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er1.xml" ContentType="application/vnd.openxmlformats-officedocument.wordprocessingml.footer+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975996" w14:textId="77777777" w:rsidR="000561DC" w:rsidRDefault="000561DC" w:rsidP="000561DC">
      <w:pPr>
        <w:bidi w:val="0"/>
        <w:jc w:val="center"/>
        <w:rPr>
          <w:rFonts w:ascii="Sakkal Majalla" w:hAnsi="Sakkal Majalla" w:cs="Sakkal Majalla"/>
          <w:b/>
          <w:bCs/>
          <w:sz w:val="28"/>
          <w:szCs w:val="28"/>
        </w:rPr>
        <w:sectPr w:rsidR="000561DC" w:rsidSect="000561DC">
          <w:footerReference w:type="first" r:id="rId5"/>
          <w:pgSz w:w="11906" w:h="16838"/>
          <w:pgMar w:top="1440" w:right="1274" w:bottom="993" w:left="1800" w:header="708" w:footer="708" w:gutter="0"/>
          <w:pgBorders w:offsetFrom="page">
            <w:top w:val="dashSmallGap" w:sz="4" w:space="24" w:color="auto"/>
            <w:left w:val="dashSmallGap" w:sz="4" w:space="24" w:color="auto"/>
            <w:bottom w:val="dashSmallGap" w:sz="4" w:space="24" w:color="auto"/>
            <w:right w:val="dashSmallGap" w:sz="4" w:space="24" w:color="auto"/>
          </w:pgBorders>
          <w:pgNumType w:start="1"/>
          <w:cols w:space="708"/>
          <w:titlePg/>
          <w:bidi/>
          <w:rtlGutter/>
          <w:docGrid w:linePitch="360"/>
        </w:sectPr>
      </w:pPr>
    </w:p>
    <w:p w14:paraId="0D5491F5" w14:textId="77777777" w:rsidR="000561DC" w:rsidRPr="009125CE" w:rsidRDefault="000561DC" w:rsidP="000561DC">
      <w:pPr>
        <w:bidi w:val="0"/>
        <w:jc w:val="center"/>
        <w:rPr>
          <w:rFonts w:ascii="Sakkal Majalla" w:hAnsi="Sakkal Majalla" w:cs="Sakkal Majalla"/>
          <w:b/>
          <w:bCs/>
          <w:sz w:val="28"/>
          <w:szCs w:val="28"/>
          <w:rtl/>
        </w:rPr>
      </w:pPr>
    </w:p>
    <w:p w14:paraId="00701BE8" w14:textId="77777777" w:rsidR="000561DC" w:rsidRDefault="000561DC" w:rsidP="000561DC">
      <w:pPr>
        <w:rPr>
          <w:rFonts w:ascii="Sakkal Majalla" w:hAnsi="Sakkal Majalla" w:cs="Sakkal Majalla"/>
          <w:sz w:val="28"/>
          <w:szCs w:val="28"/>
          <w:u w:val="single"/>
          <w:rtl/>
        </w:rPr>
      </w:pPr>
    </w:p>
    <w:p w14:paraId="67EB33B9" w14:textId="77777777" w:rsidR="000561DC" w:rsidRDefault="000561DC" w:rsidP="000561DC">
      <w:pPr>
        <w:rPr>
          <w:rFonts w:ascii="Sakkal Majalla" w:hAnsi="Sakkal Majalla" w:cs="Sakkal Majalla"/>
          <w:sz w:val="28"/>
          <w:szCs w:val="28"/>
          <w:u w:val="single"/>
          <w:rtl/>
          <w:lang w:bidi="ar-EG"/>
        </w:rPr>
      </w:pPr>
    </w:p>
    <w:p w14:paraId="452C3300" w14:textId="77777777" w:rsidR="000561DC" w:rsidRDefault="000561DC" w:rsidP="000561DC">
      <w:pPr>
        <w:rPr>
          <w:rFonts w:ascii="Sakkal Majalla" w:hAnsi="Sakkal Majalla" w:cs="Sakkal Majalla"/>
          <w:sz w:val="28"/>
          <w:szCs w:val="28"/>
          <w:u w:val="single"/>
          <w:rtl/>
          <w:lang w:bidi="ar-EG"/>
        </w:rPr>
      </w:pPr>
    </w:p>
    <w:p w14:paraId="4BAD506E" w14:textId="77777777" w:rsidR="000561DC" w:rsidRDefault="000561DC" w:rsidP="000561DC">
      <w:pPr>
        <w:rPr>
          <w:rFonts w:ascii="Sakkal Majalla" w:hAnsi="Sakkal Majalla" w:cs="Sakkal Majalla"/>
          <w:sz w:val="28"/>
          <w:szCs w:val="28"/>
          <w:u w:val="single"/>
          <w:rtl/>
          <w:lang w:bidi="ar-EG"/>
        </w:rPr>
      </w:pPr>
    </w:p>
    <w:p w14:paraId="52F36619" w14:textId="77777777" w:rsidR="000561DC" w:rsidRDefault="000561DC" w:rsidP="000561DC">
      <w:pPr>
        <w:rPr>
          <w:rFonts w:ascii="Sakkal Majalla" w:hAnsi="Sakkal Majalla" w:cs="Sakkal Majalla"/>
          <w:sz w:val="28"/>
          <w:szCs w:val="28"/>
          <w:u w:val="single"/>
          <w:rtl/>
          <w:lang w:bidi="ar-EG"/>
        </w:rPr>
      </w:pPr>
    </w:p>
    <w:p w14:paraId="5EA0BAA0" w14:textId="77777777" w:rsidR="000561DC" w:rsidRDefault="000561DC" w:rsidP="000561DC">
      <w:pPr>
        <w:spacing w:line="360" w:lineRule="auto"/>
        <w:rPr>
          <w:rFonts w:ascii="Sakkal Majalla" w:hAnsi="Sakkal Majalla" w:cs="Sakkal Majalla"/>
          <w:sz w:val="28"/>
          <w:szCs w:val="28"/>
          <w:u w:val="single"/>
          <w:rtl/>
        </w:rPr>
      </w:pPr>
    </w:p>
    <w:p w14:paraId="57247B64" w14:textId="77777777" w:rsidR="000561DC" w:rsidRDefault="000561DC" w:rsidP="000561DC">
      <w:pPr>
        <w:spacing w:line="360" w:lineRule="auto"/>
        <w:rPr>
          <w:rFonts w:ascii="Sakkal Majalla" w:hAnsi="Sakkal Majalla" w:cs="Sakkal Majalla"/>
          <w:sz w:val="28"/>
          <w:szCs w:val="28"/>
          <w:u w:val="single"/>
          <w:rtl/>
        </w:rPr>
      </w:pPr>
    </w:p>
    <w:p w14:paraId="2D9EA16B" w14:textId="77777777" w:rsidR="000561DC" w:rsidRPr="00603C11" w:rsidRDefault="000561DC" w:rsidP="000561DC">
      <w:pPr>
        <w:spacing w:line="360" w:lineRule="auto"/>
        <w:rPr>
          <w:rFonts w:ascii="Sakkal Majalla" w:hAnsi="Sakkal Majalla" w:cs="Sakkal Majalla"/>
          <w:sz w:val="28"/>
          <w:szCs w:val="28"/>
          <w:rtl/>
        </w:rPr>
      </w:pPr>
    </w:p>
    <w:p w14:paraId="39A3438A" w14:textId="77777777" w:rsidR="000561DC" w:rsidRPr="00603C11" w:rsidRDefault="000561DC" w:rsidP="000561DC">
      <w:pPr>
        <w:spacing w:line="360" w:lineRule="auto"/>
        <w:rPr>
          <w:rFonts w:ascii="Sakkal Majalla" w:hAnsi="Sakkal Majalla" w:cs="Sakkal Majalla"/>
          <w:sz w:val="28"/>
          <w:szCs w:val="28"/>
          <w:rtl/>
        </w:rPr>
      </w:pPr>
    </w:p>
    <w:p w14:paraId="4762CB6A" w14:textId="77777777" w:rsidR="000561DC" w:rsidRDefault="000561DC" w:rsidP="000561DC">
      <w:pPr>
        <w:spacing w:line="360" w:lineRule="auto"/>
        <w:jc w:val="center"/>
        <w:rPr>
          <w:rFonts w:ascii="Sakkal Majalla" w:hAnsi="Sakkal Majalla" w:cs="Sakkal Majalla"/>
          <w:b/>
          <w:bCs/>
          <w:sz w:val="48"/>
          <w:szCs w:val="48"/>
          <w:rtl/>
        </w:rPr>
      </w:pPr>
      <w:r w:rsidRPr="00603C11">
        <w:rPr>
          <w:rFonts w:ascii="Sakkal Majalla" w:hAnsi="Sakkal Majalla" w:cs="Sakkal Majalla" w:hint="cs"/>
          <w:b/>
          <w:bCs/>
          <w:sz w:val="48"/>
          <w:szCs w:val="48"/>
          <w:rtl/>
        </w:rPr>
        <w:t>الفصل الأول</w:t>
      </w:r>
    </w:p>
    <w:p w14:paraId="342289E2" w14:textId="77777777" w:rsidR="000561DC" w:rsidRPr="00603C11" w:rsidRDefault="000561DC" w:rsidP="000561DC">
      <w:pPr>
        <w:spacing w:line="360" w:lineRule="auto"/>
        <w:jc w:val="center"/>
        <w:rPr>
          <w:rFonts w:ascii="Sakkal Majalla" w:hAnsi="Sakkal Majalla" w:cs="Sakkal Majalla"/>
          <w:b/>
          <w:bCs/>
          <w:sz w:val="48"/>
          <w:szCs w:val="48"/>
          <w:rtl/>
        </w:rPr>
      </w:pPr>
      <w:r w:rsidRPr="00750D8E">
        <w:rPr>
          <w:rFonts w:ascii="Sakkal Majalla" w:hAnsi="Sakkal Majalla" w:cs="Sakkal Majalla"/>
          <w:b/>
          <w:bCs/>
          <w:sz w:val="48"/>
          <w:szCs w:val="48"/>
          <w:rtl/>
        </w:rPr>
        <w:t xml:space="preserve">الإطار العام للدراسة  </w:t>
      </w:r>
    </w:p>
    <w:p w14:paraId="2C107DEB" w14:textId="77777777" w:rsidR="000561DC" w:rsidRDefault="000561DC" w:rsidP="000561DC">
      <w:pPr>
        <w:spacing w:line="360" w:lineRule="auto"/>
        <w:rPr>
          <w:rFonts w:ascii="Sakkal Majalla" w:hAnsi="Sakkal Majalla" w:cs="Sakkal Majalla"/>
          <w:sz w:val="28"/>
          <w:szCs w:val="28"/>
          <w:u w:val="single"/>
          <w:rtl/>
        </w:rPr>
      </w:pPr>
    </w:p>
    <w:p w14:paraId="0FBB598B" w14:textId="77777777" w:rsidR="000561DC" w:rsidRDefault="000561DC" w:rsidP="000561DC">
      <w:pPr>
        <w:spacing w:line="360" w:lineRule="auto"/>
        <w:rPr>
          <w:rFonts w:ascii="Sakkal Majalla" w:hAnsi="Sakkal Majalla" w:cs="Sakkal Majalla"/>
          <w:sz w:val="28"/>
          <w:szCs w:val="28"/>
          <w:u w:val="single"/>
          <w:rtl/>
        </w:rPr>
      </w:pPr>
    </w:p>
    <w:p w14:paraId="2166F3AD" w14:textId="77777777" w:rsidR="000561DC" w:rsidRDefault="000561DC" w:rsidP="000561DC">
      <w:pPr>
        <w:spacing w:line="360" w:lineRule="auto"/>
        <w:rPr>
          <w:rFonts w:ascii="Sakkal Majalla" w:hAnsi="Sakkal Majalla" w:cs="Sakkal Majalla"/>
          <w:sz w:val="28"/>
          <w:szCs w:val="28"/>
          <w:u w:val="single"/>
          <w:rtl/>
        </w:rPr>
      </w:pPr>
    </w:p>
    <w:p w14:paraId="059F06F2" w14:textId="77777777" w:rsidR="000561DC" w:rsidRDefault="000561DC" w:rsidP="000561DC">
      <w:pPr>
        <w:spacing w:line="360" w:lineRule="auto"/>
        <w:rPr>
          <w:rFonts w:ascii="Simplified Arabic" w:hAnsi="Simplified Arabic" w:cs="Simplified Arabic"/>
          <w:color w:val="000000" w:themeColor="text1"/>
          <w:sz w:val="40"/>
          <w:szCs w:val="40"/>
          <w:rtl/>
        </w:rPr>
      </w:pPr>
    </w:p>
    <w:p w14:paraId="40DA3640" w14:textId="77777777" w:rsidR="000561DC" w:rsidRDefault="000561DC" w:rsidP="000561DC">
      <w:pPr>
        <w:spacing w:line="360" w:lineRule="auto"/>
        <w:rPr>
          <w:rFonts w:ascii="Simplified Arabic" w:hAnsi="Simplified Arabic" w:cs="Simplified Arabic"/>
          <w:color w:val="000000" w:themeColor="text1"/>
          <w:sz w:val="40"/>
          <w:szCs w:val="40"/>
          <w:rtl/>
        </w:rPr>
      </w:pPr>
    </w:p>
    <w:p w14:paraId="0E6001E8" w14:textId="77777777" w:rsidR="000561DC" w:rsidRDefault="000561DC" w:rsidP="000561DC">
      <w:pPr>
        <w:spacing w:line="360" w:lineRule="auto"/>
        <w:rPr>
          <w:rFonts w:ascii="Simplified Arabic" w:hAnsi="Simplified Arabic" w:cs="Simplified Arabic"/>
          <w:color w:val="000000" w:themeColor="text1"/>
          <w:sz w:val="40"/>
          <w:szCs w:val="40"/>
          <w:rtl/>
        </w:rPr>
      </w:pPr>
    </w:p>
    <w:p w14:paraId="1435CDCB" w14:textId="77777777" w:rsidR="000561DC" w:rsidRPr="00880048" w:rsidRDefault="000561DC" w:rsidP="000561DC">
      <w:pPr>
        <w:spacing w:line="360" w:lineRule="auto"/>
        <w:ind w:left="-99"/>
        <w:rPr>
          <w:rFonts w:ascii="Simplified Arabic" w:hAnsi="Simplified Arabic" w:cs="Simplified Arabic"/>
          <w:color w:val="000000" w:themeColor="text1"/>
          <w:sz w:val="36"/>
          <w:szCs w:val="36"/>
          <w:rtl/>
        </w:rPr>
      </w:pPr>
      <w:r>
        <w:rPr>
          <w:rFonts w:ascii="Simplified Arabic" w:hAnsi="Simplified Arabic" w:cs="Simplified Arabic" w:hint="cs"/>
          <w:color w:val="000000" w:themeColor="text1"/>
          <w:sz w:val="36"/>
          <w:szCs w:val="36"/>
          <w:rtl/>
        </w:rPr>
        <w:t xml:space="preserve">1,1 </w:t>
      </w:r>
      <w:r w:rsidRPr="00880048">
        <w:rPr>
          <w:rFonts w:ascii="Simplified Arabic" w:hAnsi="Simplified Arabic" w:cs="Simplified Arabic"/>
          <w:color w:val="000000" w:themeColor="text1"/>
          <w:sz w:val="36"/>
          <w:szCs w:val="36"/>
          <w:rtl/>
        </w:rPr>
        <w:t>مقدمة</w:t>
      </w:r>
    </w:p>
    <w:p w14:paraId="6F24942C" w14:textId="77777777" w:rsidR="000561DC" w:rsidRPr="00507433" w:rsidRDefault="000561DC" w:rsidP="000561DC">
      <w:pPr>
        <w:spacing w:line="360" w:lineRule="auto"/>
        <w:jc w:val="both"/>
        <w:rPr>
          <w:rFonts w:ascii="Simplified Arabic" w:hAnsi="Simplified Arabic" w:cs="Simplified Arabic"/>
          <w:color w:val="000000" w:themeColor="text1"/>
          <w:sz w:val="28"/>
          <w:szCs w:val="28"/>
        </w:rPr>
      </w:pPr>
      <w:r w:rsidRPr="00507433">
        <w:rPr>
          <w:rFonts w:ascii="Simplified Arabic" w:hAnsi="Simplified Arabic" w:cs="Simplified Arabic"/>
          <w:color w:val="000000" w:themeColor="text1"/>
          <w:sz w:val="28"/>
          <w:szCs w:val="28"/>
          <w:rtl/>
        </w:rPr>
        <w:t xml:space="preserve">نظرًا للتطور السريع والمتواصل لتكنولوجيا المعلومات والاتصالات في السنوات الأخيرة، والتغيرات المتزايدة في طبيعة احتياجات المجتمعات الحديثة وأدائها وماليتها وخدماتها، فقد توجب على الحكومات العالمية تغير شامل في عملياتها ووسائل تقديم خدماتها. نحن أنشط، وأكثر مرونة وإنتاجية مما كنا مسبقًا، لذا، لم يعد من العمل الاعتماد على التقليد القديم لخدمة الحكومة والمعاملة الورقية القائمة. بمثل هذه الظروف، كان مفهوم التحول الرقمي واحدًا من الاتجاهات التي </w:t>
      </w:r>
      <w:proofErr w:type="spellStart"/>
      <w:r w:rsidRPr="00507433">
        <w:rPr>
          <w:rFonts w:ascii="Simplified Arabic" w:hAnsi="Simplified Arabic" w:cs="Simplified Arabic"/>
          <w:color w:val="000000" w:themeColor="text1"/>
          <w:sz w:val="28"/>
          <w:szCs w:val="28"/>
          <w:rtl/>
        </w:rPr>
        <w:t>أعتمدتها</w:t>
      </w:r>
      <w:proofErr w:type="spellEnd"/>
      <w:r w:rsidRPr="00507433">
        <w:rPr>
          <w:rFonts w:ascii="Simplified Arabic" w:hAnsi="Simplified Arabic" w:cs="Simplified Arabic"/>
          <w:color w:val="000000" w:themeColor="text1"/>
          <w:sz w:val="28"/>
          <w:szCs w:val="28"/>
          <w:rtl/>
        </w:rPr>
        <w:t xml:space="preserve"> الحكومات نحو أول القرن الواحد والعشرين بوصفها تنقل كل الوظائف والخدمات الإدارية باستخدام التكنولوجيا الرقمية بدلا من توفير تحسين متعدد العمليات والخدمات. باختصار، يمكن تعريف التحول الرقمي على أنه رحلة، يجب أن تكون حتى بعد العمل بالتكنولوجيا بصورة مدى إعادة تصميم العمليات وتحسين البنية التحتية وطرق تقديم الخدمات وفقًا لمتطلبات المستفيدين الحديثة. يعتبر التحول الرقمي للقطاع العام نهجاً استراتيجيًا شاملًا يهدف إلى زيادة كفاءة أداء المؤسسات وتحسين جودة الخدمات المقدمة وزيادة الشفافية بالإضافة إلى جعل الوصول إلى الخدمات الحكومية سهلًا وذلك من خلال تبسيط الإجراءات وجعلها بمتناول الجميع في أي وقت ومكان. كما ويساعد هذا التغيير في تنويع المعاملات وتقليل الأخطاء البشرية وتحسين التكامل بين الخدمات الحكومية المتعددة. لقد شهدت المملكة العربية السعودية تطورًا هائلاً في الساحة الرقمية، حيث قدمت الحكومة العديد من السياسات والاستراتيجيات الحازمة والطموحة لتقوي من خلالها تجربة التحول الرقمي الخاصة بها وفقًا لرؤية 2030٠ تم اعتبار التحول إلى الاقتصاد الرقمي من أهم أولويات الحكومة السعودية لتحقيق التنمية الاقتصادية المستدامة. لذلك، تم تحقق سريع للمشهد </w:t>
      </w:r>
      <w:r w:rsidRPr="00507433">
        <w:rPr>
          <w:rFonts w:ascii="Simplified Arabic" w:hAnsi="Simplified Arabic" w:cs="Simplified Arabic"/>
          <w:color w:val="000000" w:themeColor="text1"/>
          <w:sz w:val="28"/>
          <w:szCs w:val="28"/>
          <w:rtl/>
        </w:rPr>
        <w:lastRenderedPageBreak/>
        <w:t xml:space="preserve">الرقمي من خلال مبادرات ومنصات رقمية ومع وصول هذه الميزة، ستعطي أنظمة ا جهة القطاع العام رواجا كبيرا من خلال نشر المنصات الرقمية التي تُقدم الخدمات الأساسية مثل الحالة المدنية والخدمات القضائية والبلدية والحكومية الأخرى من خلال برامج وتطبيقات تفاعلية. لقد انخفض الوقت والجهد المطلوب بشكل كبير للمستفيدين وأصبحت تجربة المستخدم أكثر سهولة، وبساطة، ومرونة للقيام بالمعاملات وإدارة التقاطع بين جميع الفروع. وزاد نمو هذه المنصات من فعالية العلاقة بين المواطنين ووكالة حكومتهم حيث يمكن أن يتفاعل المستخدمون بصورة أكثر انسجامًا مع الحكومة الالكترونية واستعدادًا لتصريح نوعية الخدمة. ومع النمو المستمر لهذه الشبكات، يتزايد طلب المستفيدين، بما في ذلك وصول البيانات، ويسهل الاستخدام، والوقت من خلال التحول الرقمي، الأمر الذي يحول رفع مستوى جودة الخدمات الالكترونية إلى ضروري لنجاح الخدمات الرقمية. ومع ذلك، إذا كان هذا تقدمًا، يجب القول </w:t>
      </w:r>
      <w:proofErr w:type="gramStart"/>
      <w:r w:rsidRPr="00507433">
        <w:rPr>
          <w:rFonts w:ascii="Simplified Arabic" w:hAnsi="Simplified Arabic" w:cs="Simplified Arabic"/>
          <w:color w:val="000000" w:themeColor="text1"/>
          <w:sz w:val="28"/>
          <w:szCs w:val="28"/>
          <w:rtl/>
        </w:rPr>
        <w:t>أن</w:t>
      </w:r>
      <w:proofErr w:type="gramEnd"/>
      <w:r w:rsidRPr="00507433">
        <w:rPr>
          <w:rFonts w:ascii="Simplified Arabic" w:hAnsi="Simplified Arabic" w:cs="Simplified Arabic"/>
          <w:color w:val="000000" w:themeColor="text1"/>
          <w:sz w:val="28"/>
          <w:szCs w:val="28"/>
          <w:rtl/>
        </w:rPr>
        <w:t xml:space="preserve"> تقييم التأثير هو جدول أعمال بحثي يمكن أن يستفيد منه كل من المستخدم النهائي والدراسة. إذا لم تكن </w:t>
      </w:r>
      <w:proofErr w:type="spellStart"/>
      <w:r w:rsidRPr="00507433">
        <w:rPr>
          <w:rFonts w:ascii="Simplified Arabic" w:hAnsi="Simplified Arabic" w:cs="Simplified Arabic"/>
          <w:color w:val="000000" w:themeColor="text1"/>
          <w:sz w:val="28"/>
          <w:szCs w:val="28"/>
          <w:rtl/>
        </w:rPr>
        <w:t>الرقمنة</w:t>
      </w:r>
      <w:proofErr w:type="spellEnd"/>
      <w:r w:rsidRPr="00507433">
        <w:rPr>
          <w:rFonts w:ascii="Simplified Arabic" w:hAnsi="Simplified Arabic" w:cs="Simplified Arabic"/>
          <w:color w:val="000000" w:themeColor="text1"/>
          <w:sz w:val="28"/>
          <w:szCs w:val="28"/>
          <w:rtl/>
        </w:rPr>
        <w:t xml:space="preserve"> تؤثر على نهاية تجربة عميلك على مدار ساعات العمل، فقد يؤثر الاختلاف في مستويات الخدمة بين الكيانات المختلفة ووجود بعض المشاكل التقنية أو الإجرائية أيضًا على مستويات رضا المواطنين. يمكن إجراء دراسات ميدانية لمعرفة كيف يؤثر التحول الرقمي على جودة وكفاءة خدمات الحكومة الإلكترونية من هذا</w:t>
      </w:r>
      <w:r w:rsidRPr="00507433">
        <w:rPr>
          <w:rFonts w:ascii="Simplified Arabic" w:hAnsi="Simplified Arabic" w:cs="Simplified Arabic"/>
          <w:color w:val="000000" w:themeColor="text1"/>
          <w:sz w:val="28"/>
          <w:szCs w:val="28"/>
        </w:rPr>
        <w:t>.</w:t>
      </w:r>
    </w:p>
    <w:p w14:paraId="69555B5C" w14:textId="77777777" w:rsidR="000561DC" w:rsidRPr="005F0160" w:rsidRDefault="000561DC" w:rsidP="000561DC">
      <w:pPr>
        <w:spacing w:line="360" w:lineRule="auto"/>
        <w:jc w:val="both"/>
        <w:rPr>
          <w:rFonts w:ascii="Simplified Arabic" w:hAnsi="Simplified Arabic" w:cs="Simplified Arabic"/>
          <w:color w:val="000000" w:themeColor="text1"/>
          <w:sz w:val="28"/>
          <w:szCs w:val="28"/>
          <w:rtl/>
        </w:rPr>
      </w:pPr>
      <w:r w:rsidRPr="00507433">
        <w:rPr>
          <w:rFonts w:ascii="Simplified Arabic" w:hAnsi="Simplified Arabic" w:cs="Simplified Arabic"/>
          <w:color w:val="000000" w:themeColor="text1"/>
          <w:sz w:val="28"/>
          <w:szCs w:val="28"/>
          <w:rtl/>
        </w:rPr>
        <w:t xml:space="preserve">أما وقد تم الكشف عن هذه القضية، تمثل هذه الورقة العلمية محاولة جديدة لفهم علاقة بين الجودة والكفاءة الحكومية الالكترونية والتحول الرقمي، من خلال المعرفة المستمدة من المستفيدين المستخدمين في جميع أنحاء المملكة العربية السعودية. وبالإضافة إلى ذلك، تحل هذه الورقة أيضًا عوامل الحركة التي تؤثر على جودة الخدمة المقدمة لزيادة تحسين تجربة المستخدم وكذلك ما هو التحدي الرئيسي الذي يواجه المستفيد عند اقتباس هذه الخدمات الجديدة. تعتمد هذه الورقة على منهجية بحثية تتسم </w:t>
      </w:r>
      <w:proofErr w:type="spellStart"/>
      <w:r w:rsidRPr="00507433">
        <w:rPr>
          <w:rFonts w:ascii="Simplified Arabic" w:hAnsi="Simplified Arabic" w:cs="Simplified Arabic"/>
          <w:color w:val="000000" w:themeColor="text1"/>
          <w:sz w:val="28"/>
          <w:szCs w:val="28"/>
          <w:rtl/>
        </w:rPr>
        <w:t>بالهجي</w:t>
      </w:r>
      <w:proofErr w:type="spellEnd"/>
      <w:r w:rsidRPr="00507433">
        <w:rPr>
          <w:rFonts w:ascii="Simplified Arabic" w:hAnsi="Simplified Arabic" w:cs="Simplified Arabic"/>
          <w:color w:val="000000" w:themeColor="text1"/>
          <w:sz w:val="28"/>
          <w:szCs w:val="28"/>
          <w:rtl/>
        </w:rPr>
        <w:t xml:space="preserve"> العلمي، وهي تقوم على مواضيع الإدارة المعاصرة المتعددة من خلال </w:t>
      </w:r>
      <w:r w:rsidRPr="00507433">
        <w:rPr>
          <w:rFonts w:ascii="Simplified Arabic" w:hAnsi="Simplified Arabic" w:cs="Simplified Arabic"/>
          <w:color w:val="000000" w:themeColor="text1"/>
          <w:sz w:val="28"/>
          <w:szCs w:val="28"/>
          <w:rtl/>
        </w:rPr>
        <w:lastRenderedPageBreak/>
        <w:t>الدراسة الاحصائية مع المستهلك كصاحب المشكلة سيتم جمع المعلومات الكافية التي يمكن تحليلها والنتائج الصحيحة التي يمكن أن تستفيد منها الحكومة والمؤسسات لتمويل التحسينات اللازمة في تلك الخدمات. وبالإضافة إلى ذلك، هدفت هذه الوثيقة إلى تقديم مساهمة، لا سيما عند النظر إلى الأدبيات العلمية والبيانية المرتبطة بالخدمة الحكومية والحكومة الرقمية. انتهى الوثيقة بتقدم الاقتراحات حول أدلة حول التعافي من الموضوع الذي من شأنه أن يستخدمه الباحثون في اجتياز سياستهم</w:t>
      </w:r>
      <w:r w:rsidRPr="00507433">
        <w:rPr>
          <w:rFonts w:ascii="Simplified Arabic" w:hAnsi="Simplified Arabic" w:cs="Simplified Arabic"/>
          <w:color w:val="000000" w:themeColor="text1"/>
          <w:sz w:val="28"/>
          <w:szCs w:val="28"/>
        </w:rPr>
        <w:t>.</w:t>
      </w:r>
    </w:p>
    <w:p w14:paraId="0A9ED089" w14:textId="77777777" w:rsidR="000561DC" w:rsidRPr="00880048" w:rsidRDefault="000561DC" w:rsidP="000561DC">
      <w:pPr>
        <w:spacing w:line="360" w:lineRule="auto"/>
        <w:ind w:left="-99"/>
        <w:rPr>
          <w:rFonts w:ascii="Simplified Arabic" w:hAnsi="Simplified Arabic" w:cs="Simplified Arabic"/>
          <w:sz w:val="36"/>
          <w:szCs w:val="36"/>
          <w:rtl/>
        </w:rPr>
      </w:pPr>
      <w:r>
        <w:rPr>
          <w:rFonts w:ascii="Simplified Arabic" w:hAnsi="Simplified Arabic" w:cs="Simplified Arabic" w:hint="cs"/>
          <w:sz w:val="36"/>
          <w:szCs w:val="36"/>
          <w:rtl/>
        </w:rPr>
        <w:t>1,2</w:t>
      </w:r>
      <w:r w:rsidRPr="00880048">
        <w:rPr>
          <w:rFonts w:ascii="Simplified Arabic" w:hAnsi="Simplified Arabic" w:cs="Simplified Arabic" w:hint="cs"/>
          <w:sz w:val="36"/>
          <w:szCs w:val="36"/>
          <w:rtl/>
        </w:rPr>
        <w:t xml:space="preserve">مشكلة الدراسة </w:t>
      </w:r>
    </w:p>
    <w:p w14:paraId="09B2D1C5" w14:textId="77777777" w:rsidR="000561DC" w:rsidRPr="00FC621C" w:rsidRDefault="000561DC" w:rsidP="000561DC">
      <w:pPr>
        <w:spacing w:line="360" w:lineRule="auto"/>
        <w:ind w:left="-99"/>
        <w:jc w:val="both"/>
        <w:rPr>
          <w:rFonts w:ascii="Simplified Arabic" w:hAnsi="Simplified Arabic" w:cs="Simplified Arabic"/>
          <w:color w:val="000000" w:themeColor="text1"/>
          <w:sz w:val="28"/>
          <w:szCs w:val="28"/>
          <w:rtl/>
        </w:rPr>
      </w:pPr>
      <w:r w:rsidRPr="00FC621C">
        <w:rPr>
          <w:rFonts w:ascii="Simplified Arabic" w:hAnsi="Simplified Arabic" w:cs="Simplified Arabic"/>
          <w:color w:val="000000" w:themeColor="text1"/>
          <w:sz w:val="28"/>
          <w:szCs w:val="28"/>
          <w:rtl/>
        </w:rPr>
        <w:t>على الرغم من التقدم الملحوظ الذي شهدته المملكة العربية السعودية في مجال التحول الرقمي الحكومي، وما رافق ذلك من إطلاق العديد من المبادرات والمنصات الإلكترونية التي تهدف إلى تحسين مستوى الخدمات المقدمة للمواطنين، إلا أن واقع الاستفادة الفعلية من هذه الخدمات لا يزال يختلف بين فئات المستخدمين، كما أن مستوى جودة وكفاءة الخدمات الإلكترونية المقدمة يتباين من جهة حكومية إلى أخرى. فرغم وجود مؤشرات رسمية تعكس تطورًا في الجاهزية الرقمية والبنية التحتية التقنية، إلا أن هذه المؤشرات قد لا تعكس بصورة دقيقة التجربة الفعلية للمواطن أثناء استخدامه للخدمات الحكومية الإلكترونية.</w:t>
      </w:r>
    </w:p>
    <w:p w14:paraId="2C26164F" w14:textId="77777777" w:rsidR="000561DC" w:rsidRPr="00FC621C" w:rsidRDefault="000561DC" w:rsidP="000561DC">
      <w:pPr>
        <w:spacing w:line="360" w:lineRule="auto"/>
        <w:ind w:left="-99"/>
        <w:jc w:val="both"/>
        <w:rPr>
          <w:rFonts w:ascii="Simplified Arabic" w:hAnsi="Simplified Arabic" w:cs="Simplified Arabic"/>
          <w:color w:val="000000" w:themeColor="text1"/>
          <w:sz w:val="28"/>
          <w:szCs w:val="28"/>
          <w:rtl/>
        </w:rPr>
      </w:pPr>
      <w:r w:rsidRPr="00FC621C">
        <w:rPr>
          <w:rFonts w:ascii="Simplified Arabic" w:hAnsi="Simplified Arabic" w:cs="Simplified Arabic"/>
          <w:color w:val="000000" w:themeColor="text1"/>
          <w:sz w:val="28"/>
          <w:szCs w:val="28"/>
          <w:rtl/>
        </w:rPr>
        <w:t>ومن هذا المنطلق، تبرز إشكالية أساسية تتمثل في وجود فجوة محتملة بين ما تسعى الجهات الحكومية إلى تقديمه من خدمات رقمية متطورة، وبين ما يتوقعه المستخدمون من حيث سهولة الاستخدام، ووضوح الإجراءات، وسرعة الاستجابة، ودقة المعلومات، ومستوى الأمان. إذ إن نجاح التحول الرقمي لا يُقاس فقط بمدى توفر الخدمات الإلكترونية، بل بمدى كفاءتها وجودتها من وجهة نظر المستفيدين، ومدى قدرتها على تلبية احتياجاتهم بشكل فعّال.</w:t>
      </w:r>
    </w:p>
    <w:p w14:paraId="4C32A0D3" w14:textId="77777777" w:rsidR="000561DC" w:rsidRPr="00FC621C" w:rsidRDefault="000561DC" w:rsidP="000561DC">
      <w:pPr>
        <w:spacing w:line="360" w:lineRule="auto"/>
        <w:ind w:left="-99"/>
        <w:jc w:val="both"/>
        <w:rPr>
          <w:rFonts w:ascii="Simplified Arabic" w:hAnsi="Simplified Arabic" w:cs="Simplified Arabic"/>
          <w:color w:val="000000" w:themeColor="text1"/>
          <w:sz w:val="28"/>
          <w:szCs w:val="28"/>
          <w:rtl/>
        </w:rPr>
      </w:pPr>
      <w:r w:rsidRPr="00FC621C">
        <w:rPr>
          <w:rFonts w:ascii="Simplified Arabic" w:hAnsi="Simplified Arabic" w:cs="Simplified Arabic"/>
          <w:color w:val="000000" w:themeColor="text1"/>
          <w:sz w:val="28"/>
          <w:szCs w:val="28"/>
          <w:rtl/>
        </w:rPr>
        <w:lastRenderedPageBreak/>
        <w:t>كما يواجه عدد من المستخدمين تحديات متعددة أثناء تعاملهم مع المنصات الحكومية الإلكترونية، قد تتمثل في تعقيد بعض الإجراءات، أو عدم وضوح الخطوات المطلوبة لإتمام الخدمة، أو صعوبة الانتقال بين الأنظمة المختلفة، إضافة إلى بعض المشكلات التقنية مثل بطء الاستجابة أو الأعطال المؤقتة، خاصة في أوقات الضغط العالي على المنصات. وقد تؤدي هذه التحديات إلى التأثير على تجربة المستخدم بشكل عام، مما ينعكس على مستوى الرضا عن الخدمات، وقد يحد من الاستفادة الكاملة من الإمكانات التي يوفرها التحول الرقمي.</w:t>
      </w:r>
    </w:p>
    <w:p w14:paraId="4D50AD79" w14:textId="77777777" w:rsidR="000561DC" w:rsidRPr="00FC621C" w:rsidRDefault="000561DC" w:rsidP="000561DC">
      <w:pPr>
        <w:spacing w:line="360" w:lineRule="auto"/>
        <w:ind w:left="-99"/>
        <w:jc w:val="both"/>
        <w:rPr>
          <w:rFonts w:ascii="Simplified Arabic" w:hAnsi="Simplified Arabic" w:cs="Simplified Arabic"/>
          <w:color w:val="000000" w:themeColor="text1"/>
          <w:sz w:val="28"/>
          <w:szCs w:val="28"/>
          <w:rtl/>
        </w:rPr>
      </w:pPr>
      <w:r w:rsidRPr="00FC621C">
        <w:rPr>
          <w:rFonts w:ascii="Simplified Arabic" w:hAnsi="Simplified Arabic" w:cs="Simplified Arabic"/>
          <w:color w:val="000000" w:themeColor="text1"/>
          <w:sz w:val="28"/>
          <w:szCs w:val="28"/>
          <w:rtl/>
        </w:rPr>
        <w:t>ومن الناحية العلمية، تشير المراجعات البحثية إلى أن جزءًا كبيرًا من الدراسات السابقة قد ركز على التحول الرقمي من زاوية تنظيمية أو إدارية داخل الجهات الحكومية، أو من منظور الموظفين، في حين أن الدراسات التي تناولت تجربة المواطن كمستخدم نهائي للخدمة لا تزال محدودة نسبيًا، خاصة في السياق السعودي. كما أن كثيرًا من هذه الدراسات لم تتناول بشكل متكامل العلاقة بين التحول الرقمي وجودة الخدمات وكفاءتها في إطار واحد، الأمر الذي يشير إلى وجود حاجة إلى دراسات أكثر شمولًا تربط بين هذه المتغيرات.</w:t>
      </w:r>
    </w:p>
    <w:p w14:paraId="2B1BC73C" w14:textId="77777777" w:rsidR="000561DC" w:rsidRPr="00FC621C" w:rsidRDefault="000561DC" w:rsidP="000561DC">
      <w:pPr>
        <w:spacing w:line="360" w:lineRule="auto"/>
        <w:ind w:left="-99"/>
        <w:jc w:val="both"/>
        <w:rPr>
          <w:rFonts w:ascii="Simplified Arabic" w:hAnsi="Simplified Arabic" w:cs="Simplified Arabic"/>
          <w:color w:val="000000" w:themeColor="text1"/>
          <w:sz w:val="28"/>
          <w:szCs w:val="28"/>
          <w:rtl/>
        </w:rPr>
      </w:pPr>
      <w:r w:rsidRPr="00FC621C">
        <w:rPr>
          <w:rFonts w:ascii="Simplified Arabic" w:hAnsi="Simplified Arabic" w:cs="Simplified Arabic"/>
          <w:color w:val="000000" w:themeColor="text1"/>
          <w:sz w:val="28"/>
          <w:szCs w:val="28"/>
          <w:rtl/>
        </w:rPr>
        <w:t>إضافة إلى ذلك، فإن طبيعة التحول الرقمي تتسم بالتطور السريع والمستمر، مما يجعل بعض نتائج الدراسات السابقة غير مواكبة للتغيرات الحديثة في الخدمات والمنصات الرقمية، وهو ما يعزز الحاجة إلى إجراء دراسات ميدانية حديثة تعتمد على بيانات واقعية تعكس تجربة المستخدم في الوقت الحالي.</w:t>
      </w:r>
    </w:p>
    <w:p w14:paraId="63B71F30" w14:textId="77777777" w:rsidR="000561DC" w:rsidRPr="00FC621C" w:rsidRDefault="000561DC" w:rsidP="000561DC">
      <w:pPr>
        <w:spacing w:line="360" w:lineRule="auto"/>
        <w:ind w:left="-99"/>
        <w:jc w:val="both"/>
        <w:rPr>
          <w:rFonts w:ascii="Simplified Arabic" w:hAnsi="Simplified Arabic" w:cs="Simplified Arabic"/>
          <w:color w:val="000000" w:themeColor="text1"/>
          <w:sz w:val="28"/>
          <w:szCs w:val="28"/>
          <w:rtl/>
        </w:rPr>
      </w:pPr>
      <w:r w:rsidRPr="00FC621C">
        <w:rPr>
          <w:rFonts w:ascii="Simplified Arabic" w:hAnsi="Simplified Arabic" w:cs="Simplified Arabic"/>
          <w:color w:val="000000" w:themeColor="text1"/>
          <w:sz w:val="28"/>
          <w:szCs w:val="28"/>
          <w:rtl/>
        </w:rPr>
        <w:t xml:space="preserve">وبناءً على ما سبق، تتحدد مشكلة الدراسة في الحاجة إلى تحليل أثر التحول الرقمي — بمختلف أبعاده — على جودة وكفاءة الخدمات الحكومية الإلكترونية من وجهة نظر المواطنين المستخدمين </w:t>
      </w:r>
      <w:r w:rsidRPr="00FC621C">
        <w:rPr>
          <w:rFonts w:ascii="Simplified Arabic" w:hAnsi="Simplified Arabic" w:cs="Simplified Arabic"/>
          <w:color w:val="000000" w:themeColor="text1"/>
          <w:sz w:val="28"/>
          <w:szCs w:val="28"/>
          <w:rtl/>
        </w:rPr>
        <w:lastRenderedPageBreak/>
        <w:t>لهذه الخدمات، إضافة إلى قياس مستوى رضاهم عنها، والتعرف على العوامل التي تؤثر في تجربتهم، وكذلك التحديات التي ما تزال تعيق الاستخدام الأمثل للمنصات الحكومية الرقمية.</w:t>
      </w:r>
    </w:p>
    <w:p w14:paraId="03345ED7" w14:textId="77777777" w:rsidR="000561DC" w:rsidRPr="00FC621C" w:rsidRDefault="000561DC" w:rsidP="000561DC">
      <w:pPr>
        <w:spacing w:line="360" w:lineRule="auto"/>
        <w:ind w:left="-99"/>
        <w:jc w:val="both"/>
        <w:rPr>
          <w:rFonts w:ascii="Simplified Arabic" w:hAnsi="Simplified Arabic" w:cs="Simplified Arabic"/>
          <w:color w:val="000000" w:themeColor="text1"/>
          <w:sz w:val="28"/>
          <w:szCs w:val="28"/>
          <w:rtl/>
        </w:rPr>
      </w:pPr>
      <w:r w:rsidRPr="00FC621C">
        <w:rPr>
          <w:rFonts w:ascii="Simplified Arabic" w:hAnsi="Simplified Arabic" w:cs="Simplified Arabic"/>
          <w:color w:val="000000" w:themeColor="text1"/>
          <w:sz w:val="28"/>
          <w:szCs w:val="28"/>
          <w:rtl/>
        </w:rPr>
        <w:t>ومن هذا المنطلق، تتمحور المشكلة البحثية حول التساؤل الرئيس الآتي:</w:t>
      </w:r>
    </w:p>
    <w:p w14:paraId="0B270EE3" w14:textId="77777777" w:rsidR="000561DC" w:rsidRDefault="000561DC" w:rsidP="000561DC">
      <w:pPr>
        <w:spacing w:line="360" w:lineRule="auto"/>
        <w:ind w:left="-99"/>
        <w:jc w:val="both"/>
        <w:rPr>
          <w:rFonts w:ascii="Simplified Arabic" w:hAnsi="Simplified Arabic" w:cs="Simplified Arabic"/>
          <w:color w:val="000000" w:themeColor="text1"/>
          <w:sz w:val="20"/>
          <w:szCs w:val="20"/>
          <w:rtl/>
        </w:rPr>
      </w:pPr>
      <w:r w:rsidRPr="00FC621C">
        <w:rPr>
          <w:rFonts w:ascii="Simplified Arabic" w:hAnsi="Simplified Arabic" w:cs="Simplified Arabic"/>
          <w:color w:val="000000" w:themeColor="text1"/>
          <w:sz w:val="28"/>
          <w:szCs w:val="28"/>
          <w:rtl/>
        </w:rPr>
        <w:t>"ما أثر التحول الرقمي على جودة وكفاءة الخدمات الحكومية الإلكترونية من وجهة نظر المواطنين المستخدمين للمنصات الحكومية في المملكة العربية السعودية؟"</w:t>
      </w:r>
    </w:p>
    <w:p w14:paraId="7472D775" w14:textId="77777777" w:rsidR="000561DC" w:rsidRPr="00FC621C" w:rsidRDefault="000561DC" w:rsidP="000561DC">
      <w:pPr>
        <w:spacing w:line="360" w:lineRule="auto"/>
        <w:rPr>
          <w:rFonts w:ascii="Simplified Arabic" w:hAnsi="Simplified Arabic" w:cs="Simplified Arabic"/>
          <w:color w:val="000000" w:themeColor="text1"/>
          <w:sz w:val="20"/>
          <w:szCs w:val="20"/>
          <w:rtl/>
        </w:rPr>
      </w:pPr>
    </w:p>
    <w:p w14:paraId="74C08ECA" w14:textId="77777777" w:rsidR="000561DC" w:rsidRPr="005117C1" w:rsidRDefault="000561DC" w:rsidP="000561DC">
      <w:pPr>
        <w:spacing w:line="360" w:lineRule="auto"/>
        <w:ind w:left="-99"/>
        <w:jc w:val="both"/>
        <w:rPr>
          <w:rFonts w:ascii="Simplified Arabic" w:hAnsi="Simplified Arabic" w:cs="Simplified Arabic"/>
          <w:color w:val="000000" w:themeColor="text1"/>
          <w:sz w:val="36"/>
          <w:szCs w:val="36"/>
        </w:rPr>
      </w:pPr>
      <w:r w:rsidRPr="005117C1">
        <w:rPr>
          <w:rFonts w:ascii="Simplified Arabic" w:hAnsi="Simplified Arabic" w:cs="Simplified Arabic" w:hint="cs"/>
          <w:color w:val="000000" w:themeColor="text1"/>
          <w:sz w:val="36"/>
          <w:szCs w:val="36"/>
          <w:rtl/>
        </w:rPr>
        <w:t>1,3</w:t>
      </w:r>
      <w:r w:rsidRPr="005117C1">
        <w:rPr>
          <w:rFonts w:ascii="Simplified Arabic" w:hAnsi="Simplified Arabic" w:cs="Simplified Arabic"/>
          <w:color w:val="000000" w:themeColor="text1"/>
          <w:sz w:val="36"/>
          <w:szCs w:val="36"/>
          <w:rtl/>
        </w:rPr>
        <w:t xml:space="preserve">أهمية الدراسة </w:t>
      </w:r>
    </w:p>
    <w:p w14:paraId="1A32D0A6"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 xml:space="preserve">تنبع أهمية هذه الدراسة من كونها تتناول أحد الموضوعات الحديثة والحيوية في مجال الإدارة العامة، والمتمثل في التحول الرقمي ودوره في تطوير الخدمات الحكومية الإلكترونية، خاصة في ظل التوجه المتسارع نحو </w:t>
      </w:r>
      <w:proofErr w:type="spellStart"/>
      <w:r w:rsidRPr="00DA4466">
        <w:rPr>
          <w:rFonts w:ascii="Simplified Arabic" w:hAnsi="Simplified Arabic" w:cs="Simplified Arabic"/>
          <w:color w:val="000000" w:themeColor="text1"/>
          <w:sz w:val="28"/>
          <w:szCs w:val="28"/>
          <w:rtl/>
        </w:rPr>
        <w:t>الرقمنة</w:t>
      </w:r>
      <w:proofErr w:type="spellEnd"/>
      <w:r w:rsidRPr="00DA4466">
        <w:rPr>
          <w:rFonts w:ascii="Simplified Arabic" w:hAnsi="Simplified Arabic" w:cs="Simplified Arabic"/>
          <w:color w:val="000000" w:themeColor="text1"/>
          <w:sz w:val="28"/>
          <w:szCs w:val="28"/>
          <w:rtl/>
        </w:rPr>
        <w:t xml:space="preserve"> في المملكة العربية السعودية. ومع التوسع الكبير في استخدام المنصات الحكومية الرقمية، أصبحت هذه الخدمات جزءًا أساسيًا من حياة المواطنين اليومية، الأمر الذي يستدعي تقييمًا علميًا دقيقًا لمدى كفاءتها وجودتها من منظور المستفيدين أنفسهم.</w:t>
      </w:r>
    </w:p>
    <w:p w14:paraId="2A7B2E1F"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وتتضح أهمية هذه الدراسة في مجموعة من الجوانب العلمية والعملية التي تعكس القيمة البحثية والتطبيقية لها، ويمكن توضيحها على النحو الآتي:</w:t>
      </w:r>
    </w:p>
    <w:p w14:paraId="52A52F7B"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أولًا: الأهمية العلمية والبحثية</w:t>
      </w:r>
    </w:p>
    <w:p w14:paraId="261B61D2"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 xml:space="preserve">تُسهم هذه الدراسة في دعم وتطوير الأدبيات العلمية المتعلقة بالتحول الرقمي وجودة الخدمات الحكومية الإلكترونية، خاصة في البيئة العربية والسعودية التي تشهد تطورًا متسارعًا في هذا المجال. كما تقدم الدراسة إطارًا علميًا يجمع بين عدد من المفاهيم الحديثة مثل التحول الرقمي، </w:t>
      </w:r>
      <w:r w:rsidRPr="00DA4466">
        <w:rPr>
          <w:rFonts w:ascii="Simplified Arabic" w:hAnsi="Simplified Arabic" w:cs="Simplified Arabic"/>
          <w:color w:val="000000" w:themeColor="text1"/>
          <w:sz w:val="28"/>
          <w:szCs w:val="28"/>
          <w:rtl/>
        </w:rPr>
        <w:lastRenderedPageBreak/>
        <w:t>وجودة الخدمات، والكفاءة التشغيلية، ورضا المستفيدين، مما يعزز من فهم العلاقات بين هذه المتغيرات بشكل متكامل. وتوفر الدراسة كذلك بيانات ميدانية حديثة يمكن أن تُشكل مرجعًا مهمًا للباحثين في الدراسات المستقبلية.</w:t>
      </w:r>
    </w:p>
    <w:p w14:paraId="03846A7E"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ثانيًا: سد الفجوة المعرفية في الدراسات السابقة</w:t>
      </w:r>
    </w:p>
    <w:p w14:paraId="09F615E7"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على الرغم من كثرة الدراسات التي تناولت موضوع التحول الرقمي والحكومة الإلكترونية، إلا أن العديد منها ركز على الجوانب التنظيمية أو التقنية داخل الجهات الحكومية، دون التركيز بشكل كافٍ على تجربة المواطن كمستخدم نهائي للخدمة. ومن هنا تأتي أهمية هذه الدراسة في تقديم تحليل ميداني يركز على تقييم الخدمات من وجهة نظر المواطنين، مما يسهم في سد الفجوة البحثية المتعلقة بقياس جودة وكفاءة الخدمات الرقمية في السياق السعودي.</w:t>
      </w:r>
    </w:p>
    <w:p w14:paraId="40B30640"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ثالثًا: تعزيز فهم محددات جودة وكفاءة الخدمات الرقمية</w:t>
      </w:r>
    </w:p>
    <w:p w14:paraId="2F039C18"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تساعد هذه الدراسة في تحديد وتحليل العوامل التي تؤثر على جودة وكفاءة الخدمات الحكومية الإلكترونية، مثل سهولة الاستخدام، وسرعة الإنجاز، ودقة المعلومات، ومستوى الأمان، والتكامل بين الأنظمة. ويسهم هذا التحليل في تقديم فهم أعمق لكيفية تحسين تصميم الخدمات الرقمية بما يتوافق مع احتياجات المستخدمين، ويساعد الجهات الحكومية في تطوير خدمات أكثر كفاءة وفاعلية.</w:t>
      </w:r>
    </w:p>
    <w:p w14:paraId="38880C33"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رابعًا: الأهمية التطبيقية لصنّاع القرار</w:t>
      </w:r>
    </w:p>
    <w:p w14:paraId="5648E54E"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 xml:space="preserve">توفر نتائج الدراسة مؤشرات واقعية مبنية على آراء المواطنين، يمكن أن يستفيد منها متخذو القرار في الجهات الحكومية في تقييم مستوى أداء الخدمات الرقمية. كما تساعد في تحديد نقاط القوة </w:t>
      </w:r>
      <w:r w:rsidRPr="00DA4466">
        <w:rPr>
          <w:rFonts w:ascii="Simplified Arabic" w:hAnsi="Simplified Arabic" w:cs="Simplified Arabic"/>
          <w:color w:val="000000" w:themeColor="text1"/>
          <w:sz w:val="28"/>
          <w:szCs w:val="28"/>
          <w:rtl/>
        </w:rPr>
        <w:lastRenderedPageBreak/>
        <w:t>التي يمكن تعزيزها، والجوانب التي تحتاج إلى تطوير، بما يسهم في تحسين جودة الخدمات الحكومية الإلكترونية ورفع كفاءتها التشغيلية.</w:t>
      </w:r>
    </w:p>
    <w:p w14:paraId="4591C6F0"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خامسًا: دعم التوجهات الوطنية ورؤية المملكة 2030</w:t>
      </w:r>
    </w:p>
    <w:p w14:paraId="0489CAB8"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تتوافق هذه الدراسة مع مستهدفات رؤية المملكة 2030 التي تسعى إلى بناء حكومة رقمية متكاملة تقدم خدمات عالية الجودة والكفاءة. ومن خلال قياس أثر التحول الرقمي على تجربة المواطنين، تسهم الدراسة في دعم جهود تقييم المبادرات الرقمية، وتوفير مؤشرات يمكن الاعتماد عليها في تحسين الأداء الحكومي الرقمي.</w:t>
      </w:r>
    </w:p>
    <w:p w14:paraId="3532AD0A"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74253B4F"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53614E5E"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سادسًا: الأهمية الاجتماعية</w:t>
      </w:r>
    </w:p>
    <w:p w14:paraId="570851FA"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تنعكس نتائج هذه الدراسة بشكل مباشر على المجتمع، حيث إن تحسين جودة الخدمات الحكومية الإلكترونية يسهم في تعزيز ثقة المواطنين في الجهات الحكومية، ويشجع على زيادة الاعتماد على المنصات الرقمية بدلًا من الإجراءات التقليدية، مما يؤدي إلى توفير الوقت والجهد، وتحسين جودة الحياة، وتعزيز كفاءة التعاملات اليومية.</w:t>
      </w:r>
    </w:p>
    <w:p w14:paraId="753DB7E3" w14:textId="77777777" w:rsidR="000561DC" w:rsidRPr="00DA4466"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سابعًا: القيمة المستقبلية للدراسة</w:t>
      </w:r>
    </w:p>
    <w:p w14:paraId="5BC47806" w14:textId="77777777" w:rsidR="000561DC" w:rsidRPr="005F0160" w:rsidRDefault="000561DC" w:rsidP="000561DC">
      <w:pPr>
        <w:spacing w:line="360" w:lineRule="auto"/>
        <w:jc w:val="both"/>
        <w:rPr>
          <w:rFonts w:ascii="Simplified Arabic" w:hAnsi="Simplified Arabic" w:cs="Simplified Arabic"/>
          <w:color w:val="000000" w:themeColor="text1"/>
          <w:sz w:val="28"/>
          <w:szCs w:val="28"/>
          <w:rtl/>
        </w:rPr>
      </w:pPr>
      <w:r w:rsidRPr="00DA4466">
        <w:rPr>
          <w:rFonts w:ascii="Simplified Arabic" w:hAnsi="Simplified Arabic" w:cs="Simplified Arabic"/>
          <w:color w:val="000000" w:themeColor="text1"/>
          <w:sz w:val="28"/>
          <w:szCs w:val="28"/>
          <w:rtl/>
        </w:rPr>
        <w:t xml:space="preserve">تمثل هذه الدراسة أساسًا يمكن البناء عليه في تطوير الخدمات الحكومية الرقمية مستقبلًا، حيث تقدم توصيات قائمة على بيانات ميدانية وتحليل علمي، يمكن أن تسهم في تحسين تجربة المستخدم، </w:t>
      </w:r>
      <w:r w:rsidRPr="00DA4466">
        <w:rPr>
          <w:rFonts w:ascii="Simplified Arabic" w:hAnsi="Simplified Arabic" w:cs="Simplified Arabic"/>
          <w:color w:val="000000" w:themeColor="text1"/>
          <w:sz w:val="28"/>
          <w:szCs w:val="28"/>
          <w:rtl/>
        </w:rPr>
        <w:lastRenderedPageBreak/>
        <w:t>وتطوير واجهات الخدمات، وتعزيز التكامل بين الأنظمة الحكومية، بما يحقق تحولًا رقميًا أكثر شمولًا واستدامة.</w:t>
      </w:r>
    </w:p>
    <w:p w14:paraId="1B3D6210" w14:textId="77777777" w:rsidR="000561DC" w:rsidRPr="005117C1" w:rsidRDefault="000561DC" w:rsidP="000561DC">
      <w:pPr>
        <w:spacing w:line="360" w:lineRule="auto"/>
        <w:ind w:left="-99"/>
        <w:jc w:val="both"/>
        <w:rPr>
          <w:rFonts w:ascii="Simplified Arabic" w:hAnsi="Simplified Arabic" w:cs="Simplified Arabic"/>
          <w:color w:val="000000" w:themeColor="text1"/>
          <w:sz w:val="36"/>
          <w:szCs w:val="36"/>
        </w:rPr>
      </w:pPr>
      <w:r w:rsidRPr="005117C1">
        <w:rPr>
          <w:rFonts w:ascii="Simplified Arabic" w:hAnsi="Simplified Arabic" w:cs="Simplified Arabic" w:hint="cs"/>
          <w:color w:val="000000" w:themeColor="text1"/>
          <w:sz w:val="36"/>
          <w:szCs w:val="36"/>
          <w:rtl/>
        </w:rPr>
        <w:t xml:space="preserve">1,4 </w:t>
      </w:r>
      <w:r w:rsidRPr="005117C1">
        <w:rPr>
          <w:rFonts w:ascii="Simplified Arabic" w:hAnsi="Simplified Arabic" w:cs="Simplified Arabic"/>
          <w:color w:val="000000" w:themeColor="text1"/>
          <w:sz w:val="36"/>
          <w:szCs w:val="36"/>
          <w:rtl/>
        </w:rPr>
        <w:t xml:space="preserve">أهداف الدراسة </w:t>
      </w:r>
    </w:p>
    <w:p w14:paraId="1CE7B829" w14:textId="77777777" w:rsidR="000561DC" w:rsidRPr="00143D2A" w:rsidRDefault="000561DC" w:rsidP="000561DC">
      <w:p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تهدف هذه الدراسة بشكل رئيس إلى تحليل أثر التحول الرقمي في تحسين جودة وكفاءة الخدمات الحكومية الإلكترونية في المملكة العربية السعودية، وذلك من خلال استكشاف آراء المواطنين المستخدمين للمنصات الحكومية الرقمية، وقياس مدى انعكاس هذا التحول على تجربتهم الفعلية مع هذه الخدمات</w:t>
      </w:r>
      <w:r w:rsidRPr="00143D2A">
        <w:rPr>
          <w:rFonts w:ascii="Simplified Arabic" w:hAnsi="Simplified Arabic" w:cs="Simplified Arabic"/>
          <w:color w:val="000000" w:themeColor="text1"/>
          <w:sz w:val="28"/>
          <w:szCs w:val="28"/>
        </w:rPr>
        <w:t>.</w:t>
      </w:r>
    </w:p>
    <w:p w14:paraId="0090C727" w14:textId="77777777" w:rsidR="000561DC" w:rsidRPr="00143D2A" w:rsidRDefault="000561DC" w:rsidP="000561DC">
      <w:p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وينبثق عن الهدف الرئيس مجموعة من الأهداف الفرعية التي تسعى الدراسة إلى تحقيقها، وذلك على النحو الآتي</w:t>
      </w:r>
      <w:r w:rsidRPr="00143D2A">
        <w:rPr>
          <w:rFonts w:ascii="Simplified Arabic" w:hAnsi="Simplified Arabic" w:cs="Simplified Arabic"/>
          <w:color w:val="000000" w:themeColor="text1"/>
          <w:sz w:val="28"/>
          <w:szCs w:val="28"/>
        </w:rPr>
        <w:t>:</w:t>
      </w:r>
    </w:p>
    <w:p w14:paraId="4D34D6DE" w14:textId="77777777" w:rsidR="000561DC" w:rsidRPr="00143D2A" w:rsidRDefault="000561DC" w:rsidP="000561DC">
      <w:pPr>
        <w:numPr>
          <w:ilvl w:val="0"/>
          <w:numId w:val="2"/>
        </w:num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التعرف على مستوى استخدام المواطنين للمنصات الحكومية الإلكترونية، مثل منصة أبشر، وتوكلنا، وناجز، وغيرها من المنصات الرقمية، ومدى اعتمادهم عليها في إنجاز معاملاتهم</w:t>
      </w:r>
      <w:r w:rsidRPr="00143D2A">
        <w:rPr>
          <w:rFonts w:ascii="Simplified Arabic" w:hAnsi="Simplified Arabic" w:cs="Simplified Arabic"/>
          <w:color w:val="000000" w:themeColor="text1"/>
          <w:sz w:val="28"/>
          <w:szCs w:val="28"/>
        </w:rPr>
        <w:t>.</w:t>
      </w:r>
    </w:p>
    <w:p w14:paraId="7F23E939" w14:textId="77777777" w:rsidR="000561DC" w:rsidRPr="00143D2A" w:rsidRDefault="000561DC" w:rsidP="000561DC">
      <w:pPr>
        <w:numPr>
          <w:ilvl w:val="0"/>
          <w:numId w:val="2"/>
        </w:num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تقييم جودة الخدمات الحكومية الإلكترونية من وجهة نظر المواطنين، وذلك من خلال قياس مجموعة من الأبعاد المرتبطة بجودة الخدمة، مثل سهولة الاستخدام، ودقة المعلومات، ووضوح الإجراءات، ومستوى الأمان، ومدى تكامل الخدمات بين الجهات الحكومية</w:t>
      </w:r>
      <w:r w:rsidRPr="00143D2A">
        <w:rPr>
          <w:rFonts w:ascii="Simplified Arabic" w:hAnsi="Simplified Arabic" w:cs="Simplified Arabic"/>
          <w:color w:val="000000" w:themeColor="text1"/>
          <w:sz w:val="28"/>
          <w:szCs w:val="28"/>
        </w:rPr>
        <w:t>.</w:t>
      </w:r>
    </w:p>
    <w:p w14:paraId="1FB72E90" w14:textId="77777777" w:rsidR="000561DC" w:rsidRPr="00143D2A" w:rsidRDefault="000561DC" w:rsidP="000561DC">
      <w:pPr>
        <w:numPr>
          <w:ilvl w:val="0"/>
          <w:numId w:val="2"/>
        </w:num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تحليل أثر التحول الرقمي على سرعة إنجاز الخدمات الحكومية، ومدى مساهمته في تقليل الزمن المستغرق لإتمام المعاملات المختلفة</w:t>
      </w:r>
      <w:r w:rsidRPr="00143D2A">
        <w:rPr>
          <w:rFonts w:ascii="Simplified Arabic" w:hAnsi="Simplified Arabic" w:cs="Simplified Arabic"/>
          <w:color w:val="000000" w:themeColor="text1"/>
          <w:sz w:val="28"/>
          <w:szCs w:val="28"/>
        </w:rPr>
        <w:t>.</w:t>
      </w:r>
    </w:p>
    <w:p w14:paraId="518211B8" w14:textId="77777777" w:rsidR="000561DC" w:rsidRPr="00143D2A" w:rsidRDefault="000561DC" w:rsidP="000561DC">
      <w:pPr>
        <w:numPr>
          <w:ilvl w:val="0"/>
          <w:numId w:val="2"/>
        </w:num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lastRenderedPageBreak/>
        <w:t>قياس مدى تأثير التحول الرقمي على مستوى رضا المواطنين عن الخدمات الحكومية الإلكترونية، باعتباره أحد المؤشرات الأساسية لنجاح هذه الخدمات</w:t>
      </w:r>
      <w:r w:rsidRPr="00143D2A">
        <w:rPr>
          <w:rFonts w:ascii="Simplified Arabic" w:hAnsi="Simplified Arabic" w:cs="Simplified Arabic"/>
          <w:color w:val="000000" w:themeColor="text1"/>
          <w:sz w:val="28"/>
          <w:szCs w:val="28"/>
        </w:rPr>
        <w:t>.</w:t>
      </w:r>
    </w:p>
    <w:p w14:paraId="05EE9DA8" w14:textId="77777777" w:rsidR="000561DC" w:rsidRPr="00143D2A" w:rsidRDefault="000561DC" w:rsidP="000561DC">
      <w:pPr>
        <w:numPr>
          <w:ilvl w:val="0"/>
          <w:numId w:val="2"/>
        </w:num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التعرف على مدى إسهام التحول الرقمي في تقليل الجهد والتكاليف التي يتحملها المواطن عند الحصول على الخدمات الحكومية، مقارنة بالأساليب التقليدية</w:t>
      </w:r>
      <w:r w:rsidRPr="00143D2A">
        <w:rPr>
          <w:rFonts w:ascii="Simplified Arabic" w:hAnsi="Simplified Arabic" w:cs="Simplified Arabic"/>
          <w:color w:val="000000" w:themeColor="text1"/>
          <w:sz w:val="28"/>
          <w:szCs w:val="28"/>
        </w:rPr>
        <w:t>.</w:t>
      </w:r>
    </w:p>
    <w:p w14:paraId="2E22F965" w14:textId="77777777" w:rsidR="000561DC" w:rsidRPr="00143D2A" w:rsidRDefault="000561DC" w:rsidP="000561DC">
      <w:pPr>
        <w:numPr>
          <w:ilvl w:val="0"/>
          <w:numId w:val="2"/>
        </w:num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 xml:space="preserve">تحديد أبرز التحديات والصعوبات التي قد </w:t>
      </w:r>
      <w:proofErr w:type="spellStart"/>
      <w:r w:rsidRPr="00143D2A">
        <w:rPr>
          <w:rFonts w:ascii="Simplified Arabic" w:hAnsi="Simplified Arabic" w:cs="Simplified Arabic"/>
          <w:color w:val="000000" w:themeColor="text1"/>
          <w:sz w:val="28"/>
          <w:szCs w:val="28"/>
          <w:rtl/>
        </w:rPr>
        <w:t>يواجهها</w:t>
      </w:r>
      <w:proofErr w:type="spellEnd"/>
      <w:r w:rsidRPr="00143D2A">
        <w:rPr>
          <w:rFonts w:ascii="Simplified Arabic" w:hAnsi="Simplified Arabic" w:cs="Simplified Arabic"/>
          <w:color w:val="000000" w:themeColor="text1"/>
          <w:sz w:val="28"/>
          <w:szCs w:val="28"/>
          <w:rtl/>
        </w:rPr>
        <w:t xml:space="preserve"> المواطنون أثناء استخدام المنصات الحكومية الإلكترونية، سواء كانت تقنية أو إجرائية</w:t>
      </w:r>
      <w:r w:rsidRPr="00143D2A">
        <w:rPr>
          <w:rFonts w:ascii="Simplified Arabic" w:hAnsi="Simplified Arabic" w:cs="Simplified Arabic"/>
          <w:color w:val="000000" w:themeColor="text1"/>
          <w:sz w:val="28"/>
          <w:szCs w:val="28"/>
        </w:rPr>
        <w:t>.</w:t>
      </w:r>
    </w:p>
    <w:p w14:paraId="0EC6567C" w14:textId="77777777" w:rsidR="000561DC" w:rsidRPr="00143D2A" w:rsidRDefault="000561DC" w:rsidP="000561DC">
      <w:pPr>
        <w:numPr>
          <w:ilvl w:val="0"/>
          <w:numId w:val="2"/>
        </w:numPr>
        <w:spacing w:line="360" w:lineRule="auto"/>
        <w:jc w:val="both"/>
        <w:rPr>
          <w:rFonts w:ascii="Simplified Arabic" w:hAnsi="Simplified Arabic" w:cs="Simplified Arabic"/>
          <w:color w:val="000000" w:themeColor="text1"/>
          <w:sz w:val="28"/>
          <w:szCs w:val="28"/>
        </w:rPr>
      </w:pPr>
      <w:r w:rsidRPr="00143D2A">
        <w:rPr>
          <w:rFonts w:ascii="Simplified Arabic" w:hAnsi="Simplified Arabic" w:cs="Simplified Arabic"/>
          <w:color w:val="000000" w:themeColor="text1"/>
          <w:sz w:val="28"/>
          <w:szCs w:val="28"/>
          <w:rtl/>
        </w:rPr>
        <w:t>تقديم مجموعة من التوصيات العملية التي تسهم في تحسين جودة وكفاءة الخدمات الحكومية الرقمية، استنادًا إلى نتائج الدراسة الميدانية</w:t>
      </w:r>
      <w:r w:rsidRPr="00143D2A">
        <w:rPr>
          <w:rFonts w:ascii="Simplified Arabic" w:hAnsi="Simplified Arabic" w:cs="Simplified Arabic"/>
          <w:color w:val="000000" w:themeColor="text1"/>
          <w:sz w:val="28"/>
          <w:szCs w:val="28"/>
        </w:rPr>
        <w:t>.</w:t>
      </w:r>
    </w:p>
    <w:p w14:paraId="69F08EC3"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4CA1C620"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753A9A0E"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64350285"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60AE96D5" w14:textId="77777777" w:rsidR="000561DC" w:rsidRPr="005F0160" w:rsidRDefault="000561DC" w:rsidP="000561DC">
      <w:pPr>
        <w:spacing w:line="360" w:lineRule="auto"/>
        <w:jc w:val="both"/>
        <w:rPr>
          <w:rFonts w:ascii="Simplified Arabic" w:hAnsi="Simplified Arabic" w:cs="Simplified Arabic"/>
          <w:color w:val="000000" w:themeColor="text1"/>
          <w:sz w:val="28"/>
          <w:szCs w:val="28"/>
          <w:rtl/>
        </w:rPr>
      </w:pPr>
    </w:p>
    <w:p w14:paraId="24DD6683" w14:textId="77777777" w:rsidR="000561DC" w:rsidRPr="005117C1" w:rsidRDefault="000561DC" w:rsidP="000561DC">
      <w:pPr>
        <w:spacing w:line="360" w:lineRule="auto"/>
        <w:jc w:val="both"/>
        <w:rPr>
          <w:rFonts w:ascii="Simplified Arabic" w:hAnsi="Simplified Arabic" w:cs="Simplified Arabic"/>
          <w:color w:val="000000" w:themeColor="text1"/>
          <w:sz w:val="36"/>
          <w:szCs w:val="36"/>
        </w:rPr>
      </w:pPr>
      <w:r w:rsidRPr="005117C1">
        <w:rPr>
          <w:rFonts w:ascii="Simplified Arabic" w:hAnsi="Simplified Arabic" w:cs="Simplified Arabic" w:hint="cs"/>
          <w:color w:val="000000" w:themeColor="text1"/>
          <w:sz w:val="36"/>
          <w:szCs w:val="36"/>
          <w:rtl/>
        </w:rPr>
        <w:t xml:space="preserve">1,5 </w:t>
      </w:r>
      <w:r w:rsidRPr="005117C1">
        <w:rPr>
          <w:rFonts w:ascii="Simplified Arabic" w:hAnsi="Simplified Arabic" w:cs="Simplified Arabic"/>
          <w:color w:val="000000" w:themeColor="text1"/>
          <w:sz w:val="36"/>
          <w:szCs w:val="36"/>
          <w:rtl/>
        </w:rPr>
        <w:t>تساؤلات الدراسة</w:t>
      </w:r>
    </w:p>
    <w:p w14:paraId="5CB2701A" w14:textId="77777777" w:rsidR="000561DC" w:rsidRPr="000962AD" w:rsidRDefault="000561DC" w:rsidP="000561DC">
      <w:p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استنادًا إلى مشكلة الدراسة وأهدافها، تسعى هذه الدراسة إلى الإجابة عن مجموعة من التساؤلات التي تعكس طبيعة الموضوع محل البحث، وتتمثل في السؤال الرئيس والتساؤلات الفرعية الآتية</w:t>
      </w:r>
      <w:r w:rsidRPr="000962AD">
        <w:rPr>
          <w:rFonts w:ascii="Simplified Arabic" w:hAnsi="Simplified Arabic" w:cs="Simplified Arabic"/>
          <w:color w:val="000000" w:themeColor="text1"/>
          <w:sz w:val="28"/>
          <w:szCs w:val="28"/>
        </w:rPr>
        <w:t>:</w:t>
      </w:r>
    </w:p>
    <w:p w14:paraId="44837E58" w14:textId="77777777" w:rsidR="000561DC" w:rsidRPr="000962AD" w:rsidRDefault="000561DC" w:rsidP="000561DC">
      <w:pPr>
        <w:spacing w:line="360" w:lineRule="auto"/>
        <w:jc w:val="both"/>
        <w:rPr>
          <w:rFonts w:ascii="Simplified Arabic" w:hAnsi="Simplified Arabic" w:cs="Simplified Arabic"/>
          <w:b/>
          <w:bCs/>
          <w:color w:val="000000" w:themeColor="text1"/>
          <w:sz w:val="28"/>
          <w:szCs w:val="28"/>
        </w:rPr>
      </w:pPr>
      <w:r w:rsidRPr="000962AD">
        <w:rPr>
          <w:rFonts w:ascii="Simplified Arabic" w:hAnsi="Simplified Arabic" w:cs="Simplified Arabic"/>
          <w:b/>
          <w:bCs/>
          <w:color w:val="000000" w:themeColor="text1"/>
          <w:sz w:val="28"/>
          <w:szCs w:val="28"/>
          <w:rtl/>
        </w:rPr>
        <w:t>أولًا: التساؤل الرئيس</w:t>
      </w:r>
    </w:p>
    <w:p w14:paraId="0392DB33" w14:textId="77777777" w:rsidR="000561DC" w:rsidRPr="000962AD" w:rsidRDefault="000561DC" w:rsidP="000561DC">
      <w:p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lastRenderedPageBreak/>
        <w:t>إلى أي مدى يؤثر التحول الرقمي على جودة وكفاءة الخدمات الحكومية الإلكترونية من وجهة نظر المواطنين المستخدمين للمنصات الحكومية في المملكة العربية السعودية؟</w:t>
      </w:r>
    </w:p>
    <w:p w14:paraId="33EFF637" w14:textId="77777777" w:rsidR="000561DC" w:rsidRPr="000962AD" w:rsidRDefault="000561DC" w:rsidP="000561DC">
      <w:p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ويندرج تحت هذا التساؤل مجموعة من التساؤلات الفرعية التي تهدف إلى تحليل أبعاد الظاهرة محل الدراسة بشكل أكثر تفصيلًا</w:t>
      </w:r>
      <w:r w:rsidRPr="000962AD">
        <w:rPr>
          <w:rFonts w:ascii="Simplified Arabic" w:hAnsi="Simplified Arabic" w:cs="Simplified Arabic"/>
          <w:color w:val="000000" w:themeColor="text1"/>
          <w:sz w:val="28"/>
          <w:szCs w:val="28"/>
        </w:rPr>
        <w:t>.</w:t>
      </w:r>
    </w:p>
    <w:p w14:paraId="17C568C9" w14:textId="77777777" w:rsidR="000561DC" w:rsidRPr="000962AD" w:rsidRDefault="000561DC" w:rsidP="000561DC">
      <w:pPr>
        <w:spacing w:line="36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1CF3567F">
          <v:rect id="_x0000_i1121" style="width:0;height:1.5pt" o:hralign="center" o:hrstd="t" o:hr="t" fillcolor="#a0a0a0" stroked="f"/>
        </w:pict>
      </w:r>
    </w:p>
    <w:p w14:paraId="0B51A178" w14:textId="77777777" w:rsidR="000561DC" w:rsidRPr="000962AD" w:rsidRDefault="000561DC" w:rsidP="000561DC">
      <w:pPr>
        <w:spacing w:line="360" w:lineRule="auto"/>
        <w:jc w:val="both"/>
        <w:rPr>
          <w:rFonts w:ascii="Simplified Arabic" w:hAnsi="Simplified Arabic" w:cs="Simplified Arabic"/>
          <w:b/>
          <w:bCs/>
          <w:color w:val="000000" w:themeColor="text1"/>
          <w:sz w:val="28"/>
          <w:szCs w:val="28"/>
        </w:rPr>
      </w:pPr>
      <w:r w:rsidRPr="000962AD">
        <w:rPr>
          <w:rFonts w:ascii="Simplified Arabic" w:hAnsi="Simplified Arabic" w:cs="Simplified Arabic"/>
          <w:b/>
          <w:bCs/>
          <w:color w:val="000000" w:themeColor="text1"/>
          <w:sz w:val="28"/>
          <w:szCs w:val="28"/>
          <w:rtl/>
        </w:rPr>
        <w:t>ثانيًا: التساؤلات الفرعية</w:t>
      </w:r>
    </w:p>
    <w:p w14:paraId="55AC1FC8" w14:textId="77777777" w:rsidR="000561DC" w:rsidRPr="000962AD" w:rsidRDefault="000561DC" w:rsidP="000561DC">
      <w:pPr>
        <w:numPr>
          <w:ilvl w:val="0"/>
          <w:numId w:val="3"/>
        </w:num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ما مستوى استخدام المواطنين للمنصات الحكومية الإلكترونية في المملكة العربية السعودية، مثل منصة أبشر، وتوكلنا، وناجز، ومنصة بلدي، ومنصة العقار؟</w:t>
      </w:r>
    </w:p>
    <w:p w14:paraId="474C156C" w14:textId="77777777" w:rsidR="000561DC" w:rsidRPr="000962AD" w:rsidRDefault="000561DC" w:rsidP="000561DC">
      <w:pPr>
        <w:numPr>
          <w:ilvl w:val="0"/>
          <w:numId w:val="3"/>
        </w:num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كيف يقيّم المواطنون جودة الخدمات الحكومية الإلكترونية من حيث سهولة الاستخدام، ودقة المعلومات، ووضوح الإجراءات، ومستوى الأمان، وإمكانية الوصول إلى الخدمة؟</w:t>
      </w:r>
    </w:p>
    <w:p w14:paraId="4CDE9AF0" w14:textId="77777777" w:rsidR="000561DC" w:rsidRPr="000962AD" w:rsidRDefault="000561DC" w:rsidP="000561DC">
      <w:pPr>
        <w:numPr>
          <w:ilvl w:val="0"/>
          <w:numId w:val="3"/>
        </w:num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إلى أي مدى أسهم التحول الرقمي في تسريع إنجاز الخدمات الحكومية وتقليل الزمن اللازم لإتمام المعاملات؟</w:t>
      </w:r>
    </w:p>
    <w:p w14:paraId="12EAC6B3" w14:textId="77777777" w:rsidR="000561DC" w:rsidRPr="000962AD" w:rsidRDefault="000561DC" w:rsidP="000561DC">
      <w:pPr>
        <w:numPr>
          <w:ilvl w:val="0"/>
          <w:numId w:val="3"/>
        </w:num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ما أثر التحول الرقمي على مستوى رضا المواطنين عن الخدمات الحكومية الإلكترونية؟</w:t>
      </w:r>
    </w:p>
    <w:p w14:paraId="53D58EE1" w14:textId="77777777" w:rsidR="000561DC" w:rsidRPr="000962AD" w:rsidRDefault="000561DC" w:rsidP="000561DC">
      <w:pPr>
        <w:numPr>
          <w:ilvl w:val="0"/>
          <w:numId w:val="3"/>
        </w:num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هل ساهم التحول الرقمي في تقليل الوقت والجهد والتكاليف التي يتحملها المواطن عند الحصول على الخدمات الحكومية؟</w:t>
      </w:r>
    </w:p>
    <w:p w14:paraId="42D71D03" w14:textId="77777777" w:rsidR="000561DC" w:rsidRPr="000962AD" w:rsidRDefault="000561DC" w:rsidP="000561DC">
      <w:pPr>
        <w:numPr>
          <w:ilvl w:val="0"/>
          <w:numId w:val="3"/>
        </w:numPr>
        <w:spacing w:line="360" w:lineRule="auto"/>
        <w:jc w:val="both"/>
        <w:rPr>
          <w:rFonts w:ascii="Simplified Arabic" w:hAnsi="Simplified Arabic" w:cs="Simplified Arabic"/>
          <w:color w:val="000000" w:themeColor="text1"/>
          <w:sz w:val="28"/>
          <w:szCs w:val="28"/>
        </w:rPr>
      </w:pPr>
      <w:r w:rsidRPr="000962AD">
        <w:rPr>
          <w:rFonts w:ascii="Simplified Arabic" w:hAnsi="Simplified Arabic" w:cs="Simplified Arabic"/>
          <w:color w:val="000000" w:themeColor="text1"/>
          <w:sz w:val="28"/>
          <w:szCs w:val="28"/>
          <w:rtl/>
        </w:rPr>
        <w:t>ما أبرز التحديات التي تواجه المواطنين عند استخدام المنصات الحكومية الإلكترونية، مثل صعوبة الاستخدام، أو ضعف التكامل بين الجهات، أو المشكلات التقنية، أو بطء الاستجابة؟</w:t>
      </w:r>
    </w:p>
    <w:p w14:paraId="5180DCAC" w14:textId="77777777" w:rsidR="000561DC" w:rsidRPr="00907349" w:rsidRDefault="000561DC" w:rsidP="000561DC">
      <w:pPr>
        <w:numPr>
          <w:ilvl w:val="0"/>
          <w:numId w:val="3"/>
        </w:numPr>
        <w:spacing w:line="360" w:lineRule="auto"/>
        <w:jc w:val="both"/>
        <w:rPr>
          <w:rFonts w:ascii="Simplified Arabic" w:hAnsi="Simplified Arabic" w:cs="Simplified Arabic"/>
          <w:color w:val="000000" w:themeColor="text1"/>
          <w:sz w:val="28"/>
          <w:szCs w:val="28"/>
          <w:rtl/>
        </w:rPr>
      </w:pPr>
      <w:r w:rsidRPr="000962AD">
        <w:rPr>
          <w:rFonts w:ascii="Simplified Arabic" w:hAnsi="Simplified Arabic" w:cs="Simplified Arabic"/>
          <w:color w:val="000000" w:themeColor="text1"/>
          <w:sz w:val="28"/>
          <w:szCs w:val="28"/>
          <w:rtl/>
        </w:rPr>
        <w:lastRenderedPageBreak/>
        <w:t>هل توجد فروق ذات دلالة إحصائية في تقييم المواطنين لجودة وكفاءة الخدمات الحكومية الإلكترونية تُعزى إلى الخصائص الديموغرافية، مثل العمر، أو المستوى التعليمي، أو مستوى الخبرة التقنية؟</w:t>
      </w:r>
    </w:p>
    <w:p w14:paraId="579E917E" w14:textId="77777777" w:rsidR="000561DC" w:rsidRPr="005117C1" w:rsidRDefault="000561DC" w:rsidP="000561DC">
      <w:pPr>
        <w:spacing w:line="360" w:lineRule="auto"/>
        <w:ind w:left="-99"/>
        <w:jc w:val="both"/>
        <w:rPr>
          <w:rFonts w:ascii="Times New Roman" w:eastAsia="Times New Roman" w:hAnsi="Times New Roman" w:cs="Times New Roman"/>
          <w:kern w:val="0"/>
          <w:rtl/>
          <w14:ligatures w14:val="none"/>
        </w:rPr>
      </w:pPr>
      <w:r w:rsidRPr="005117C1">
        <w:rPr>
          <w:rFonts w:ascii="Simplified Arabic" w:hAnsi="Simplified Arabic" w:cs="Simplified Arabic" w:hint="cs"/>
          <w:color w:val="000000" w:themeColor="text1"/>
          <w:sz w:val="36"/>
          <w:szCs w:val="36"/>
          <w:rtl/>
        </w:rPr>
        <w:t xml:space="preserve">1,6 </w:t>
      </w:r>
      <w:r w:rsidRPr="005117C1">
        <w:rPr>
          <w:rFonts w:ascii="Simplified Arabic" w:hAnsi="Simplified Arabic" w:cs="Simplified Arabic"/>
          <w:color w:val="000000" w:themeColor="text1"/>
          <w:sz w:val="36"/>
          <w:szCs w:val="36"/>
          <w:rtl/>
        </w:rPr>
        <w:t>فروض الدراسة:</w:t>
      </w:r>
    </w:p>
    <w:p w14:paraId="794074E6" w14:textId="77777777" w:rsidR="000561DC" w:rsidRPr="00B21374" w:rsidRDefault="000561DC" w:rsidP="000561DC">
      <w:pPr>
        <w:spacing w:line="360" w:lineRule="auto"/>
        <w:ind w:left="-99"/>
        <w:jc w:val="both"/>
        <w:rPr>
          <w:rFonts w:ascii="Simplified Arabic" w:hAnsi="Simplified Arabic" w:cs="Simplified Arabic"/>
          <w:color w:val="000000" w:themeColor="text1"/>
          <w:sz w:val="28"/>
          <w:szCs w:val="28"/>
        </w:rPr>
      </w:pPr>
      <w:r w:rsidRPr="00B21374">
        <w:rPr>
          <w:rFonts w:ascii="Times New Roman" w:eastAsia="Times New Roman" w:hAnsi="Times New Roman" w:cs="Times New Roman"/>
          <w:kern w:val="0"/>
          <w:sz w:val="24"/>
          <w:szCs w:val="24"/>
          <w:rtl/>
          <w14:ligatures w14:val="none"/>
        </w:rPr>
        <w:t xml:space="preserve"> </w:t>
      </w:r>
      <w:r w:rsidRPr="00B21374">
        <w:rPr>
          <w:rFonts w:ascii="Simplified Arabic" w:hAnsi="Simplified Arabic" w:cs="Simplified Arabic"/>
          <w:color w:val="000000" w:themeColor="text1"/>
          <w:sz w:val="28"/>
          <w:szCs w:val="28"/>
          <w:rtl/>
        </w:rPr>
        <w:t>تنطلق هذه الدراسة من الإطار النظري الذي يرى أن التحول الرقمي يمثل أحد المحركات الرئيسة لتطوير الأداء الحكومي وتحسين مستوى الخدمات المقدمة للمواطنين، حيث لم يعد التحول الرقمي مجرد استخدام للتقنيات الحديثة، بل أصبح توجهًا استراتيجيًا يهدف إلى إعادة تصميم العمليات الحكومية، وتبسيط الإجراءات، وتعزيز التكامل بين الأنظمة المختلفة، بما يسهم في تحقيق كفاءة أعلى وجودة أفضل للخدمات الحكومية الإلكترونية</w:t>
      </w:r>
      <w:r w:rsidRPr="00B21374">
        <w:rPr>
          <w:rFonts w:ascii="Simplified Arabic" w:hAnsi="Simplified Arabic" w:cs="Simplified Arabic"/>
          <w:color w:val="000000" w:themeColor="text1"/>
          <w:sz w:val="28"/>
          <w:szCs w:val="28"/>
        </w:rPr>
        <w:t>.</w:t>
      </w:r>
    </w:p>
    <w:p w14:paraId="38D18B80" w14:textId="77777777" w:rsidR="000561DC" w:rsidRPr="00B21374" w:rsidRDefault="000561DC" w:rsidP="000561DC">
      <w:pPr>
        <w:spacing w:line="360" w:lineRule="auto"/>
        <w:ind w:left="-99"/>
        <w:jc w:val="both"/>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t>وفي ضوء مشكلة الدراسة التي تتمحور حول التباين في جودة وكفاءة الخدمات الرقمية، والفجوة بين ما تقدمه الجهات الحكومية وما يتوقعه المواطن، تفترض الدراسة أن مستوى التحول الرقمي المتحقق في المنصات الحكومية يُعد عاملًا مؤثرًا في تحديد مستوى جودة الخدمات الإلكترونية وكفاءتها، وكذلك في تشكيل تجربة المستخدم ومستوى رضاه عن هذه الخدمات</w:t>
      </w:r>
      <w:r w:rsidRPr="00B21374">
        <w:rPr>
          <w:rFonts w:ascii="Simplified Arabic" w:hAnsi="Simplified Arabic" w:cs="Simplified Arabic"/>
          <w:color w:val="000000" w:themeColor="text1"/>
          <w:sz w:val="28"/>
          <w:szCs w:val="28"/>
        </w:rPr>
        <w:t>.</w:t>
      </w:r>
    </w:p>
    <w:p w14:paraId="59E16F5C" w14:textId="77777777" w:rsidR="000561DC" w:rsidRPr="00B21374" w:rsidRDefault="000561DC" w:rsidP="000561DC">
      <w:pPr>
        <w:spacing w:line="360" w:lineRule="auto"/>
        <w:ind w:left="-99"/>
        <w:jc w:val="both"/>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t>كما تفترض الدراسة أن التحول الرقمي يؤثر في جودة الخدمات من خلال مجموعة من الأبعاد المرتبطة بتجربة المستخدم، مثل سهولة الاستخدام، ووضوح الإجراءات، ودقة المعلومات، ومستوى الأمان، إضافة إلى مدى التكامل بين الأنظمة الحكومية. وفي المقابل، يسهم التحول الرقمي في رفع كفاءة الخدمات من خلال تقليل الزمن المستغرق لإنجاز المعاملات، وخفض الجهد المبذول من قبل المستخدمين، وتقليل الاعتماد على الإجراءات التقليدية</w:t>
      </w:r>
      <w:r w:rsidRPr="00B21374">
        <w:rPr>
          <w:rFonts w:ascii="Simplified Arabic" w:hAnsi="Simplified Arabic" w:cs="Simplified Arabic"/>
          <w:color w:val="000000" w:themeColor="text1"/>
          <w:sz w:val="28"/>
          <w:szCs w:val="28"/>
        </w:rPr>
        <w:t>.</w:t>
      </w:r>
    </w:p>
    <w:p w14:paraId="387A0FAA" w14:textId="77777777" w:rsidR="000561DC" w:rsidRPr="00B21374" w:rsidRDefault="000561DC" w:rsidP="000561DC">
      <w:pPr>
        <w:spacing w:line="360" w:lineRule="auto"/>
        <w:ind w:left="-99"/>
        <w:jc w:val="both"/>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lastRenderedPageBreak/>
        <w:t>ومن جهة أخرى، تنطلق الدراسة من افتراض أن رضا المواطنين يُعد نتيجة مباشرة لجودة الخدمات وكفاءتها، وأن أي تحسن في هذه الجوانب سينعكس إيجابًا على مستوى رضا المستخدمين وثقتهم في الخدمات الحكومية الإلكترونية. كما تفترض الدراسة أن التحول الرقمي قد يسهم في تقليل التحديات التي تواجه المستخدمين أثناء استخدام المنصات، إلا أن هذه التحديات قد تستمر بدرجات متفاوتة، مما يتطلب قياس أثر التحول الرقمي في الحد منها</w:t>
      </w:r>
      <w:r w:rsidRPr="00B21374">
        <w:rPr>
          <w:rFonts w:ascii="Simplified Arabic" w:hAnsi="Simplified Arabic" w:cs="Simplified Arabic"/>
          <w:color w:val="000000" w:themeColor="text1"/>
          <w:sz w:val="28"/>
          <w:szCs w:val="28"/>
        </w:rPr>
        <w:t>.</w:t>
      </w:r>
    </w:p>
    <w:p w14:paraId="3DB7AE2C" w14:textId="77777777" w:rsidR="000561DC" w:rsidRPr="005117C1" w:rsidRDefault="000561DC" w:rsidP="000561DC">
      <w:pPr>
        <w:spacing w:line="360" w:lineRule="auto"/>
        <w:ind w:left="-99"/>
        <w:jc w:val="both"/>
        <w:rPr>
          <w:rFonts w:ascii="Simplified Arabic" w:hAnsi="Simplified Arabic" w:cs="Simplified Arabic"/>
          <w:color w:val="000000" w:themeColor="text1"/>
          <w:sz w:val="28"/>
          <w:szCs w:val="28"/>
          <w:rtl/>
        </w:rPr>
      </w:pPr>
      <w:r w:rsidRPr="00B21374">
        <w:rPr>
          <w:rFonts w:ascii="Simplified Arabic" w:hAnsi="Simplified Arabic" w:cs="Simplified Arabic"/>
          <w:color w:val="000000" w:themeColor="text1"/>
          <w:sz w:val="28"/>
          <w:szCs w:val="28"/>
          <w:rtl/>
        </w:rPr>
        <w:t>وبناءً على ما سبق، تسعى الدراسة إلى اختبار مجموعة من الفرضيات التي تعكس طبيعة العلاقة بين متغيرات الدراسة، وذلك على النحو الآتي</w:t>
      </w:r>
      <w:r w:rsidRPr="00B21374">
        <w:rPr>
          <w:rFonts w:ascii="Simplified Arabic" w:hAnsi="Simplified Arabic" w:cs="Simplified Arabic"/>
          <w:color w:val="000000" w:themeColor="text1"/>
          <w:sz w:val="28"/>
          <w:szCs w:val="28"/>
        </w:rPr>
        <w:t>:</w:t>
      </w:r>
    </w:p>
    <w:p w14:paraId="4AA1976A" w14:textId="77777777" w:rsidR="000561DC" w:rsidRPr="00B21374" w:rsidRDefault="000561DC" w:rsidP="000561DC">
      <w:pPr>
        <w:spacing w:line="360" w:lineRule="auto"/>
        <w:ind w:left="-99"/>
        <w:rPr>
          <w:rFonts w:ascii="Simplified Arabic" w:hAnsi="Simplified Arabic" w:cs="Simplified Arabic"/>
          <w:b/>
          <w:bCs/>
          <w:color w:val="000000" w:themeColor="text1"/>
          <w:sz w:val="28"/>
          <w:szCs w:val="28"/>
        </w:rPr>
      </w:pPr>
      <w:r w:rsidRPr="00B21374">
        <w:rPr>
          <w:rFonts w:ascii="Simplified Arabic" w:hAnsi="Simplified Arabic" w:cs="Simplified Arabic"/>
          <w:b/>
          <w:bCs/>
          <w:color w:val="000000" w:themeColor="text1"/>
          <w:sz w:val="28"/>
          <w:szCs w:val="28"/>
          <w:rtl/>
        </w:rPr>
        <w:t>الفرضية الرئيسة</w:t>
      </w:r>
      <w:r w:rsidRPr="00B21374">
        <w:rPr>
          <w:rFonts w:ascii="Simplified Arabic" w:hAnsi="Simplified Arabic" w:cs="Simplified Arabic"/>
          <w:b/>
          <w:bCs/>
          <w:color w:val="000000" w:themeColor="text1"/>
          <w:sz w:val="28"/>
          <w:szCs w:val="28"/>
        </w:rPr>
        <w:t>:</w:t>
      </w:r>
    </w:p>
    <w:p w14:paraId="343A97A6" w14:textId="77777777" w:rsidR="000561DC" w:rsidRPr="00B21374" w:rsidRDefault="000561DC" w:rsidP="000561DC">
      <w:pPr>
        <w:spacing w:line="360" w:lineRule="auto"/>
        <w:ind w:left="-99"/>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t>يوجد أثر ذو دلالة إحصائية للتحول الرقمي على جودة وكفاءة الخدمات الحكومية الإلكترونية من وجهة نظر المواطنين المستخدمين للمنصات الحكومية في المملكة العربية السعودية</w:t>
      </w:r>
      <w:r w:rsidRPr="00B21374">
        <w:rPr>
          <w:rFonts w:ascii="Simplified Arabic" w:hAnsi="Simplified Arabic" w:cs="Simplified Arabic"/>
          <w:color w:val="000000" w:themeColor="text1"/>
          <w:sz w:val="28"/>
          <w:szCs w:val="28"/>
        </w:rPr>
        <w:t>.</w:t>
      </w:r>
    </w:p>
    <w:p w14:paraId="46D8827D" w14:textId="77777777" w:rsidR="000561DC" w:rsidRPr="00B21374" w:rsidRDefault="000561DC" w:rsidP="000561DC">
      <w:pPr>
        <w:spacing w:line="360" w:lineRule="auto"/>
        <w:ind w:left="-99"/>
        <w:rPr>
          <w:rFonts w:ascii="Simplified Arabic" w:hAnsi="Simplified Arabic" w:cs="Simplified Arabic"/>
          <w:b/>
          <w:bCs/>
          <w:color w:val="000000" w:themeColor="text1"/>
          <w:sz w:val="28"/>
          <w:szCs w:val="28"/>
        </w:rPr>
      </w:pPr>
      <w:r w:rsidRPr="00B21374">
        <w:rPr>
          <w:rFonts w:ascii="Simplified Arabic" w:hAnsi="Simplified Arabic" w:cs="Simplified Arabic"/>
          <w:b/>
          <w:bCs/>
          <w:color w:val="000000" w:themeColor="text1"/>
          <w:sz w:val="28"/>
          <w:szCs w:val="28"/>
          <w:rtl/>
        </w:rPr>
        <w:t>الفرضيات الفرعية</w:t>
      </w:r>
      <w:r w:rsidRPr="00B21374">
        <w:rPr>
          <w:rFonts w:ascii="Simplified Arabic" w:hAnsi="Simplified Arabic" w:cs="Simplified Arabic"/>
          <w:b/>
          <w:bCs/>
          <w:color w:val="000000" w:themeColor="text1"/>
          <w:sz w:val="28"/>
          <w:szCs w:val="28"/>
        </w:rPr>
        <w:t>:</w:t>
      </w:r>
    </w:p>
    <w:p w14:paraId="7B12BE50" w14:textId="77777777" w:rsidR="000561DC" w:rsidRPr="00B21374" w:rsidRDefault="000561DC" w:rsidP="000561DC">
      <w:pPr>
        <w:spacing w:line="360" w:lineRule="auto"/>
        <w:ind w:left="-99"/>
        <w:rPr>
          <w:rFonts w:ascii="Simplified Arabic" w:hAnsi="Simplified Arabic" w:cs="Simplified Arabic"/>
          <w:color w:val="000000" w:themeColor="text1"/>
          <w:sz w:val="28"/>
          <w:szCs w:val="28"/>
        </w:rPr>
      </w:pPr>
      <w:r w:rsidRPr="00B21374">
        <w:rPr>
          <w:rFonts w:ascii="Simplified Arabic" w:hAnsi="Simplified Arabic" w:cs="Simplified Arabic"/>
          <w:b/>
          <w:bCs/>
          <w:color w:val="000000" w:themeColor="text1"/>
          <w:sz w:val="28"/>
          <w:szCs w:val="28"/>
          <w:rtl/>
        </w:rPr>
        <w:t>الفرضية الأولى</w:t>
      </w:r>
      <w:r w:rsidRPr="00B21374">
        <w:rPr>
          <w:rFonts w:ascii="Simplified Arabic" w:hAnsi="Simplified Arabic" w:cs="Simplified Arabic"/>
          <w:b/>
          <w:bCs/>
          <w:color w:val="000000" w:themeColor="text1"/>
          <w:sz w:val="28"/>
          <w:szCs w:val="28"/>
        </w:rPr>
        <w:t>:</w:t>
      </w:r>
      <w:r w:rsidRPr="00B21374">
        <w:rPr>
          <w:rFonts w:ascii="Simplified Arabic" w:hAnsi="Simplified Arabic" w:cs="Simplified Arabic"/>
          <w:color w:val="000000" w:themeColor="text1"/>
          <w:sz w:val="28"/>
          <w:szCs w:val="28"/>
        </w:rPr>
        <w:br/>
      </w:r>
      <w:r w:rsidRPr="00B21374">
        <w:rPr>
          <w:rFonts w:ascii="Simplified Arabic" w:hAnsi="Simplified Arabic" w:cs="Simplified Arabic"/>
          <w:color w:val="000000" w:themeColor="text1"/>
          <w:sz w:val="28"/>
          <w:szCs w:val="28"/>
          <w:rtl/>
        </w:rPr>
        <w:t>يوجد أثر ذو دلالة إحصائية للتحول الرقمي على جودة الخدمات الحكومية الإلكترونية كما يدركها المواطنون، من حيث سهولة الاستخدام، ودقة المعلومات، ووضوح الإجراءات، ومستوى الأمان، والتكامل بين الأنظمة</w:t>
      </w:r>
      <w:r w:rsidRPr="00B21374">
        <w:rPr>
          <w:rFonts w:ascii="Simplified Arabic" w:hAnsi="Simplified Arabic" w:cs="Simplified Arabic"/>
          <w:color w:val="000000" w:themeColor="text1"/>
          <w:sz w:val="28"/>
          <w:szCs w:val="28"/>
        </w:rPr>
        <w:t>.</w:t>
      </w:r>
    </w:p>
    <w:p w14:paraId="191BF927" w14:textId="77777777" w:rsidR="000561DC" w:rsidRPr="00B21374" w:rsidRDefault="000561DC" w:rsidP="000561DC">
      <w:pPr>
        <w:spacing w:line="360" w:lineRule="auto"/>
        <w:ind w:left="-99"/>
        <w:rPr>
          <w:rFonts w:ascii="Simplified Arabic" w:hAnsi="Simplified Arabic" w:cs="Simplified Arabic"/>
          <w:color w:val="000000" w:themeColor="text1"/>
          <w:sz w:val="28"/>
          <w:szCs w:val="28"/>
        </w:rPr>
      </w:pPr>
      <w:r w:rsidRPr="00B21374">
        <w:rPr>
          <w:rFonts w:ascii="Simplified Arabic" w:hAnsi="Simplified Arabic" w:cs="Simplified Arabic"/>
          <w:b/>
          <w:bCs/>
          <w:color w:val="000000" w:themeColor="text1"/>
          <w:sz w:val="28"/>
          <w:szCs w:val="28"/>
          <w:rtl/>
        </w:rPr>
        <w:t>الفرضية الثانية</w:t>
      </w:r>
      <w:r w:rsidRPr="00B21374">
        <w:rPr>
          <w:rFonts w:ascii="Simplified Arabic" w:hAnsi="Simplified Arabic" w:cs="Simplified Arabic"/>
          <w:b/>
          <w:bCs/>
          <w:color w:val="000000" w:themeColor="text1"/>
          <w:sz w:val="28"/>
          <w:szCs w:val="28"/>
        </w:rPr>
        <w:t>:</w:t>
      </w:r>
      <w:r w:rsidRPr="00B21374">
        <w:rPr>
          <w:rFonts w:ascii="Simplified Arabic" w:hAnsi="Simplified Arabic" w:cs="Simplified Arabic"/>
          <w:color w:val="000000" w:themeColor="text1"/>
          <w:sz w:val="28"/>
          <w:szCs w:val="28"/>
        </w:rPr>
        <w:br/>
      </w:r>
      <w:r>
        <w:rPr>
          <w:rFonts w:ascii="Simplified Arabic" w:hAnsi="Simplified Arabic" w:cs="Simplified Arabic" w:hint="cs"/>
          <w:color w:val="000000" w:themeColor="text1"/>
          <w:sz w:val="28"/>
          <w:szCs w:val="28"/>
          <w:rtl/>
        </w:rPr>
        <w:t xml:space="preserve"> </w:t>
      </w:r>
      <w:r w:rsidRPr="00B21374">
        <w:rPr>
          <w:rFonts w:ascii="Simplified Arabic" w:hAnsi="Simplified Arabic" w:cs="Simplified Arabic"/>
          <w:color w:val="000000" w:themeColor="text1"/>
          <w:sz w:val="28"/>
          <w:szCs w:val="28"/>
          <w:rtl/>
        </w:rPr>
        <w:t xml:space="preserve">يوجد أثر ذو دلالة إحصائية للتحول الرقمي على كفاءة الخدمات الحكومية الإلكترونية، وذلك من </w:t>
      </w:r>
      <w:r w:rsidRPr="00B21374">
        <w:rPr>
          <w:rFonts w:ascii="Simplified Arabic" w:hAnsi="Simplified Arabic" w:cs="Simplified Arabic"/>
          <w:color w:val="000000" w:themeColor="text1"/>
          <w:sz w:val="28"/>
          <w:szCs w:val="28"/>
          <w:rtl/>
        </w:rPr>
        <w:lastRenderedPageBreak/>
        <w:t>خلال تقليل الوقت اللازم لإنجاز المعاملات، وخفض الجهد المبذول من قبل المستخدمين، وتسريع إجراءات تقديم الخدمة</w:t>
      </w:r>
      <w:r w:rsidRPr="00B21374">
        <w:rPr>
          <w:rFonts w:ascii="Simplified Arabic" w:hAnsi="Simplified Arabic" w:cs="Simplified Arabic"/>
          <w:color w:val="000000" w:themeColor="text1"/>
          <w:sz w:val="28"/>
          <w:szCs w:val="28"/>
        </w:rPr>
        <w:t>.</w:t>
      </w:r>
    </w:p>
    <w:p w14:paraId="61320AD5" w14:textId="77777777" w:rsidR="000561DC" w:rsidRPr="00B21374" w:rsidRDefault="000561DC" w:rsidP="000561DC">
      <w:pPr>
        <w:spacing w:line="360" w:lineRule="auto"/>
        <w:ind w:left="-99"/>
        <w:rPr>
          <w:rFonts w:ascii="Simplified Arabic" w:hAnsi="Simplified Arabic" w:cs="Simplified Arabic"/>
          <w:color w:val="000000" w:themeColor="text1"/>
          <w:sz w:val="28"/>
          <w:szCs w:val="28"/>
        </w:rPr>
      </w:pPr>
      <w:r w:rsidRPr="00B21374">
        <w:rPr>
          <w:rFonts w:ascii="Simplified Arabic" w:hAnsi="Simplified Arabic" w:cs="Simplified Arabic"/>
          <w:b/>
          <w:bCs/>
          <w:color w:val="000000" w:themeColor="text1"/>
          <w:sz w:val="28"/>
          <w:szCs w:val="28"/>
          <w:rtl/>
        </w:rPr>
        <w:t>الفرضية الثالثة</w:t>
      </w:r>
      <w:r w:rsidRPr="00B21374">
        <w:rPr>
          <w:rFonts w:ascii="Simplified Arabic" w:hAnsi="Simplified Arabic" w:cs="Simplified Arabic"/>
          <w:b/>
          <w:bCs/>
          <w:color w:val="000000" w:themeColor="text1"/>
          <w:sz w:val="28"/>
          <w:szCs w:val="28"/>
        </w:rPr>
        <w:t>:</w:t>
      </w:r>
      <w:r w:rsidRPr="00B21374">
        <w:rPr>
          <w:rFonts w:ascii="Simplified Arabic" w:hAnsi="Simplified Arabic" w:cs="Simplified Arabic"/>
          <w:color w:val="000000" w:themeColor="text1"/>
          <w:sz w:val="28"/>
          <w:szCs w:val="28"/>
        </w:rPr>
        <w:br/>
      </w:r>
      <w:r w:rsidRPr="00B21374">
        <w:rPr>
          <w:rFonts w:ascii="Simplified Arabic" w:hAnsi="Simplified Arabic" w:cs="Simplified Arabic"/>
          <w:color w:val="000000" w:themeColor="text1"/>
          <w:sz w:val="28"/>
          <w:szCs w:val="28"/>
          <w:rtl/>
        </w:rPr>
        <w:t>يوجد أثر ذو دلالة إحصائية للتحول الرقمي على سهولة استخدام المنصات الحكومية الإلكترونية، بما يشمل وضوح واجهة الاستخدام، وسهولة التنقل بين الخدمات، وإمكانية الوصول إلى المعلومات والخدمات دون تعقيد</w:t>
      </w:r>
      <w:r w:rsidRPr="00B21374">
        <w:rPr>
          <w:rFonts w:ascii="Simplified Arabic" w:hAnsi="Simplified Arabic" w:cs="Simplified Arabic"/>
          <w:color w:val="000000" w:themeColor="text1"/>
          <w:sz w:val="28"/>
          <w:szCs w:val="28"/>
        </w:rPr>
        <w:t>.</w:t>
      </w:r>
    </w:p>
    <w:p w14:paraId="57D67A06" w14:textId="77777777" w:rsidR="000561DC" w:rsidRPr="00B21374" w:rsidRDefault="000561DC" w:rsidP="000561DC">
      <w:pPr>
        <w:spacing w:line="360" w:lineRule="auto"/>
        <w:ind w:left="-99"/>
        <w:rPr>
          <w:rFonts w:ascii="Simplified Arabic" w:hAnsi="Simplified Arabic" w:cs="Simplified Arabic"/>
          <w:color w:val="000000" w:themeColor="text1"/>
          <w:sz w:val="28"/>
          <w:szCs w:val="28"/>
        </w:rPr>
      </w:pPr>
      <w:r w:rsidRPr="00B21374">
        <w:rPr>
          <w:rFonts w:ascii="Simplified Arabic" w:hAnsi="Simplified Arabic" w:cs="Simplified Arabic"/>
          <w:b/>
          <w:bCs/>
          <w:color w:val="000000" w:themeColor="text1"/>
          <w:sz w:val="28"/>
          <w:szCs w:val="28"/>
          <w:rtl/>
        </w:rPr>
        <w:t>الفرضية الرابعة</w:t>
      </w:r>
      <w:r w:rsidRPr="00B21374">
        <w:rPr>
          <w:rFonts w:ascii="Simplified Arabic" w:hAnsi="Simplified Arabic" w:cs="Simplified Arabic"/>
          <w:b/>
          <w:bCs/>
          <w:color w:val="000000" w:themeColor="text1"/>
          <w:sz w:val="28"/>
          <w:szCs w:val="28"/>
        </w:rPr>
        <w:t>:</w:t>
      </w:r>
      <w:r w:rsidRPr="00B21374">
        <w:rPr>
          <w:rFonts w:ascii="Simplified Arabic" w:hAnsi="Simplified Arabic" w:cs="Simplified Arabic"/>
          <w:color w:val="000000" w:themeColor="text1"/>
          <w:sz w:val="28"/>
          <w:szCs w:val="28"/>
        </w:rPr>
        <w:br/>
      </w:r>
      <w:r w:rsidRPr="00B21374">
        <w:rPr>
          <w:rFonts w:ascii="Simplified Arabic" w:hAnsi="Simplified Arabic" w:cs="Simplified Arabic"/>
          <w:color w:val="000000" w:themeColor="text1"/>
          <w:sz w:val="28"/>
          <w:szCs w:val="28"/>
          <w:rtl/>
        </w:rPr>
        <w:t>يوجد أثر ذو دلالة إحصائية للتحول الرقمي على رضا المواطنين عن الخدمات الحكومية الإلكترونية، حيث يُتوقع أن يؤدي تحسن مستوى التحول الرقمي إلى ارتفاع مستوى الرضا والثقة لدى المستخدمين</w:t>
      </w:r>
      <w:r w:rsidRPr="00B21374">
        <w:rPr>
          <w:rFonts w:ascii="Simplified Arabic" w:hAnsi="Simplified Arabic" w:cs="Simplified Arabic"/>
          <w:color w:val="000000" w:themeColor="text1"/>
          <w:sz w:val="28"/>
          <w:szCs w:val="28"/>
        </w:rPr>
        <w:t>.</w:t>
      </w:r>
    </w:p>
    <w:p w14:paraId="5A14208E" w14:textId="77777777" w:rsidR="000561DC" w:rsidRPr="00A45A08" w:rsidRDefault="000561DC" w:rsidP="000561DC">
      <w:pPr>
        <w:spacing w:line="360" w:lineRule="auto"/>
        <w:ind w:left="-99"/>
        <w:rPr>
          <w:rFonts w:ascii="Simplified Arabic" w:hAnsi="Simplified Arabic" w:cs="Simplified Arabic"/>
          <w:color w:val="000000" w:themeColor="text1"/>
          <w:sz w:val="28"/>
          <w:szCs w:val="28"/>
          <w:rtl/>
        </w:rPr>
      </w:pPr>
      <w:r w:rsidRPr="00B21374">
        <w:rPr>
          <w:rFonts w:ascii="Simplified Arabic" w:hAnsi="Simplified Arabic" w:cs="Simplified Arabic"/>
          <w:b/>
          <w:bCs/>
          <w:color w:val="000000" w:themeColor="text1"/>
          <w:sz w:val="28"/>
          <w:szCs w:val="28"/>
          <w:rtl/>
        </w:rPr>
        <w:t>الفرضية الخامسة</w:t>
      </w:r>
      <w:r w:rsidRPr="00B21374">
        <w:rPr>
          <w:rFonts w:ascii="Simplified Arabic" w:hAnsi="Simplified Arabic" w:cs="Simplified Arabic"/>
          <w:b/>
          <w:bCs/>
          <w:color w:val="000000" w:themeColor="text1"/>
          <w:sz w:val="28"/>
          <w:szCs w:val="28"/>
        </w:rPr>
        <w:t>:</w:t>
      </w:r>
      <w:r w:rsidRPr="00B21374">
        <w:rPr>
          <w:rFonts w:ascii="Simplified Arabic" w:hAnsi="Simplified Arabic" w:cs="Simplified Arabic"/>
          <w:color w:val="000000" w:themeColor="text1"/>
          <w:sz w:val="28"/>
          <w:szCs w:val="28"/>
        </w:rPr>
        <w:br/>
      </w:r>
      <w:r w:rsidRPr="00B21374">
        <w:rPr>
          <w:rFonts w:ascii="Simplified Arabic" w:hAnsi="Simplified Arabic" w:cs="Simplified Arabic"/>
          <w:color w:val="000000" w:themeColor="text1"/>
          <w:sz w:val="28"/>
          <w:szCs w:val="28"/>
          <w:rtl/>
        </w:rPr>
        <w:t>يوجد أثر ذو دلالة إحصائية للتحول الرقمي على تقليل التحديات التي تواجه المواطنين عند استخدام المنصات الحكومية الإلكترونية، مثل المشكلات التقنية، وتعقيد الإجراءات، وضعف التكامل بين الجهات الحكومية</w:t>
      </w:r>
      <w:r w:rsidRPr="00B21374">
        <w:rPr>
          <w:rFonts w:ascii="Simplified Arabic" w:hAnsi="Simplified Arabic" w:cs="Simplified Arabic"/>
          <w:color w:val="000000" w:themeColor="text1"/>
          <w:sz w:val="28"/>
          <w:szCs w:val="28"/>
        </w:rPr>
        <w:t>.</w:t>
      </w:r>
    </w:p>
    <w:p w14:paraId="5131C266" w14:textId="77777777" w:rsidR="000561DC" w:rsidRPr="00B21374" w:rsidRDefault="000561DC" w:rsidP="000561DC">
      <w:pPr>
        <w:spacing w:line="360" w:lineRule="auto"/>
        <w:ind w:left="-99"/>
        <w:rPr>
          <w:rFonts w:ascii="Simplified Arabic" w:hAnsi="Simplified Arabic" w:cs="Simplified Arabic"/>
          <w:b/>
          <w:bCs/>
          <w:color w:val="000000" w:themeColor="text1"/>
          <w:sz w:val="28"/>
          <w:szCs w:val="28"/>
        </w:rPr>
      </w:pPr>
      <w:r w:rsidRPr="00B21374">
        <w:rPr>
          <w:rFonts w:ascii="Simplified Arabic" w:hAnsi="Simplified Arabic" w:cs="Simplified Arabic"/>
          <w:b/>
          <w:bCs/>
          <w:color w:val="000000" w:themeColor="text1"/>
          <w:sz w:val="28"/>
          <w:szCs w:val="28"/>
          <w:rtl/>
        </w:rPr>
        <w:t>الصياغة الإحصائية للفرضيات (للدقة العلمية)</w:t>
      </w:r>
      <w:r w:rsidRPr="00B21374">
        <w:rPr>
          <w:rFonts w:ascii="Simplified Arabic" w:hAnsi="Simplified Arabic" w:cs="Simplified Arabic"/>
          <w:b/>
          <w:bCs/>
          <w:color w:val="000000" w:themeColor="text1"/>
          <w:sz w:val="28"/>
          <w:szCs w:val="28"/>
        </w:rPr>
        <w:t>:</w:t>
      </w:r>
    </w:p>
    <w:p w14:paraId="7CFBA296" w14:textId="77777777" w:rsidR="000561DC" w:rsidRPr="00B21374" w:rsidRDefault="000561DC" w:rsidP="000561DC">
      <w:pPr>
        <w:spacing w:line="360" w:lineRule="auto"/>
        <w:ind w:left="-99"/>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t>ولتدعيم التحليل الإحصائي، يمكن التعبير عن الفرضيات في صورتها الصفرية على النحو الآتي</w:t>
      </w:r>
      <w:r w:rsidRPr="00B21374">
        <w:rPr>
          <w:rFonts w:ascii="Simplified Arabic" w:hAnsi="Simplified Arabic" w:cs="Simplified Arabic"/>
          <w:color w:val="000000" w:themeColor="text1"/>
          <w:sz w:val="28"/>
          <w:szCs w:val="28"/>
        </w:rPr>
        <w:t>:</w:t>
      </w:r>
    </w:p>
    <w:p w14:paraId="5C994508" w14:textId="77777777" w:rsidR="000561DC" w:rsidRPr="00B21374" w:rsidRDefault="000561DC" w:rsidP="000561DC">
      <w:pPr>
        <w:numPr>
          <w:ilvl w:val="0"/>
          <w:numId w:val="4"/>
        </w:numPr>
        <w:spacing w:line="360" w:lineRule="auto"/>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t>لا يوجد أثر ذو دلالة إحصائية للتحول الرقمي على جودة الخدمات الحكومية الإلكترونية</w:t>
      </w:r>
      <w:r w:rsidRPr="00B21374">
        <w:rPr>
          <w:rFonts w:ascii="Simplified Arabic" w:hAnsi="Simplified Arabic" w:cs="Simplified Arabic"/>
          <w:color w:val="000000" w:themeColor="text1"/>
          <w:sz w:val="28"/>
          <w:szCs w:val="28"/>
        </w:rPr>
        <w:t>.</w:t>
      </w:r>
    </w:p>
    <w:p w14:paraId="7EFA3D83" w14:textId="77777777" w:rsidR="000561DC" w:rsidRPr="00B21374" w:rsidRDefault="000561DC" w:rsidP="000561DC">
      <w:pPr>
        <w:numPr>
          <w:ilvl w:val="0"/>
          <w:numId w:val="4"/>
        </w:numPr>
        <w:spacing w:line="360" w:lineRule="auto"/>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lastRenderedPageBreak/>
        <w:t>لا يوجد أثر ذو دلالة إحصائية للتحول الرقمي على كفاءة الخدمات الحكومية الإلكترونية</w:t>
      </w:r>
      <w:r w:rsidRPr="00B21374">
        <w:rPr>
          <w:rFonts w:ascii="Simplified Arabic" w:hAnsi="Simplified Arabic" w:cs="Simplified Arabic"/>
          <w:color w:val="000000" w:themeColor="text1"/>
          <w:sz w:val="28"/>
          <w:szCs w:val="28"/>
        </w:rPr>
        <w:t>.</w:t>
      </w:r>
    </w:p>
    <w:p w14:paraId="6116C339" w14:textId="77777777" w:rsidR="000561DC" w:rsidRPr="00B21374" w:rsidRDefault="000561DC" w:rsidP="000561DC">
      <w:pPr>
        <w:numPr>
          <w:ilvl w:val="0"/>
          <w:numId w:val="4"/>
        </w:numPr>
        <w:spacing w:line="360" w:lineRule="auto"/>
        <w:rPr>
          <w:rFonts w:ascii="Simplified Arabic" w:hAnsi="Simplified Arabic" w:cs="Simplified Arabic"/>
          <w:color w:val="000000" w:themeColor="text1"/>
          <w:sz w:val="28"/>
          <w:szCs w:val="28"/>
        </w:rPr>
      </w:pPr>
      <w:r w:rsidRPr="00B21374">
        <w:rPr>
          <w:rFonts w:ascii="Simplified Arabic" w:hAnsi="Simplified Arabic" w:cs="Simplified Arabic"/>
          <w:color w:val="000000" w:themeColor="text1"/>
          <w:sz w:val="28"/>
          <w:szCs w:val="28"/>
          <w:rtl/>
        </w:rPr>
        <w:t>لا يوجد أثر ذو دلالة إحصائية للتحول الرقمي على رضا المواطنين</w:t>
      </w:r>
      <w:r w:rsidRPr="00B21374">
        <w:rPr>
          <w:rFonts w:ascii="Simplified Arabic" w:hAnsi="Simplified Arabic" w:cs="Simplified Arabic"/>
          <w:color w:val="000000" w:themeColor="text1"/>
          <w:sz w:val="28"/>
          <w:szCs w:val="28"/>
        </w:rPr>
        <w:t>.</w:t>
      </w:r>
    </w:p>
    <w:p w14:paraId="414C4CA1" w14:textId="77777777" w:rsidR="000561DC" w:rsidRPr="00A45A08" w:rsidRDefault="000561DC" w:rsidP="000561DC">
      <w:pPr>
        <w:spacing w:line="360" w:lineRule="auto"/>
        <w:ind w:left="-99"/>
        <w:rPr>
          <w:rFonts w:ascii="Simplified Arabic" w:hAnsi="Simplified Arabic" w:cs="Simplified Arabic"/>
          <w:color w:val="000000" w:themeColor="text1"/>
          <w:sz w:val="28"/>
          <w:szCs w:val="28"/>
          <w:rtl/>
        </w:rPr>
      </w:pPr>
      <w:r w:rsidRPr="00B21374">
        <w:rPr>
          <w:rFonts w:ascii="Simplified Arabic" w:hAnsi="Simplified Arabic" w:cs="Simplified Arabic"/>
          <w:color w:val="000000" w:themeColor="text1"/>
          <w:sz w:val="28"/>
          <w:szCs w:val="28"/>
          <w:rtl/>
        </w:rPr>
        <w:t>ويتم رفض هذه الفرضيات الصفرية في حال ظهور دلالة إحصائية، بما يدعم فرضيات الدراسة البديلة</w:t>
      </w:r>
      <w:r w:rsidRPr="00B21374">
        <w:rPr>
          <w:rFonts w:ascii="Simplified Arabic" w:hAnsi="Simplified Arabic" w:cs="Simplified Arabic"/>
          <w:color w:val="000000" w:themeColor="text1"/>
          <w:sz w:val="28"/>
          <w:szCs w:val="28"/>
        </w:rPr>
        <w:t>.</w:t>
      </w:r>
    </w:p>
    <w:p w14:paraId="27249E0C" w14:textId="77777777" w:rsidR="000561DC" w:rsidRPr="005117C1" w:rsidRDefault="000561DC" w:rsidP="000561DC">
      <w:pPr>
        <w:spacing w:line="360" w:lineRule="auto"/>
        <w:ind w:left="-99"/>
        <w:rPr>
          <w:rFonts w:ascii="Simplified Arabic" w:hAnsi="Simplified Arabic" w:cs="Simplified Arabic"/>
          <w:sz w:val="36"/>
          <w:szCs w:val="36"/>
          <w:rtl/>
        </w:rPr>
      </w:pPr>
      <w:r w:rsidRPr="005117C1">
        <w:rPr>
          <w:rFonts w:ascii="Simplified Arabic" w:hAnsi="Simplified Arabic" w:cs="Simplified Arabic" w:hint="cs"/>
          <w:sz w:val="36"/>
          <w:szCs w:val="36"/>
          <w:rtl/>
        </w:rPr>
        <w:t>1,7نموذج الدراسة</w:t>
      </w:r>
    </w:p>
    <w:p w14:paraId="42CFF8DE" w14:textId="77777777" w:rsidR="000561DC" w:rsidRPr="0006648D" w:rsidRDefault="000561DC" w:rsidP="000561DC">
      <w:pPr>
        <w:spacing w:line="360" w:lineRule="auto"/>
        <w:ind w:left="-99"/>
        <w:jc w:val="both"/>
        <w:rPr>
          <w:rFonts w:ascii="Simplified Arabic" w:hAnsi="Simplified Arabic" w:cs="Simplified Arabic"/>
          <w:color w:val="000000" w:themeColor="text1"/>
          <w:sz w:val="28"/>
          <w:szCs w:val="28"/>
          <w:rtl/>
        </w:rPr>
      </w:pPr>
      <w:r w:rsidRPr="0006648D">
        <w:rPr>
          <w:rFonts w:ascii="Simplified Arabic" w:hAnsi="Simplified Arabic" w:cs="Simplified Arabic"/>
          <w:color w:val="000000" w:themeColor="text1"/>
          <w:sz w:val="28"/>
          <w:szCs w:val="28"/>
          <w:rtl/>
        </w:rPr>
        <w:t>تعتمد هذه الدراسة على نموذج مفاهيمي يهدف إلى توضيح طبيعة العلاقات بين متغيرات الدراسة، والمتمثلة في التحول الرقمي وجودة وكفاءة الخدمات الحكومية الإلكترونية ورضا المستخدمين، وذلك في إطار تحليل أثر التحول الرقمي على الخدمات الحكومية في المملكة العربية السعودية من وجهة نظر المواطنين المستخدمين للمنصات الرقمية.</w:t>
      </w:r>
    </w:p>
    <w:p w14:paraId="3F8B3391" w14:textId="77777777" w:rsidR="000561DC" w:rsidRPr="0006648D" w:rsidRDefault="000561DC" w:rsidP="000561DC">
      <w:pPr>
        <w:spacing w:line="360" w:lineRule="auto"/>
        <w:ind w:left="-99"/>
        <w:jc w:val="both"/>
        <w:rPr>
          <w:rFonts w:ascii="Simplified Arabic" w:hAnsi="Simplified Arabic" w:cs="Simplified Arabic"/>
          <w:color w:val="000000" w:themeColor="text1"/>
          <w:sz w:val="28"/>
          <w:szCs w:val="28"/>
          <w:rtl/>
        </w:rPr>
      </w:pPr>
      <w:r w:rsidRPr="0006648D">
        <w:rPr>
          <w:rFonts w:ascii="Simplified Arabic" w:hAnsi="Simplified Arabic" w:cs="Simplified Arabic"/>
          <w:color w:val="000000" w:themeColor="text1"/>
          <w:sz w:val="28"/>
          <w:szCs w:val="28"/>
          <w:rtl/>
        </w:rPr>
        <w:t>وينطلق هذا النموذج من اعتبار التحول الرقمي متغيرًا مستقلاً يمثل مجموعة من الجهود والممارسات التي تتبناها الجهات الحكومية لتطوير خدماتها من خلال توظيف التقنيات الرقمية الحديثة. ويشمل ذلك تبسيط الإجراءات، وتحسين إمكانية الوصول إلى الخدمات، وتعزيز التكامل بين الأنظمة، وتقليل الاعتماد على المعاملات التقليدية، بما يسهم في رفع كفاءة الأداء الحكومي وتحسين تجربة المستفيد.</w:t>
      </w:r>
    </w:p>
    <w:p w14:paraId="5A461020" w14:textId="77777777" w:rsidR="000561DC" w:rsidRPr="0006648D" w:rsidRDefault="000561DC" w:rsidP="000561DC">
      <w:pPr>
        <w:spacing w:line="360" w:lineRule="auto"/>
        <w:ind w:left="-99"/>
        <w:jc w:val="both"/>
        <w:rPr>
          <w:rFonts w:ascii="Simplified Arabic" w:hAnsi="Simplified Arabic" w:cs="Simplified Arabic"/>
          <w:color w:val="000000" w:themeColor="text1"/>
          <w:sz w:val="28"/>
          <w:szCs w:val="28"/>
          <w:rtl/>
        </w:rPr>
      </w:pPr>
      <w:r w:rsidRPr="0006648D">
        <w:rPr>
          <w:rFonts w:ascii="Simplified Arabic" w:hAnsi="Simplified Arabic" w:cs="Simplified Arabic"/>
          <w:color w:val="000000" w:themeColor="text1"/>
          <w:sz w:val="28"/>
          <w:szCs w:val="28"/>
          <w:rtl/>
        </w:rPr>
        <w:t xml:space="preserve">وفي المقابل، تمثل جودة الخدمات الحكومية الإلكترونية أحد المتغيرات التابعة الرئيسة، حيث تعكس مدى كفاءة تصميم الخدمة الرقمية من حيث سهولة الاستخدام، ووضوح الإجراءات، ودقة المعلومات، ومستوى الأمان، إضافة إلى درجة التكامل بين الخدمات المقدمة عبر المنصات الحكومية المختلفة. </w:t>
      </w:r>
      <w:r w:rsidRPr="0006648D">
        <w:rPr>
          <w:rFonts w:ascii="Simplified Arabic" w:hAnsi="Simplified Arabic" w:cs="Simplified Arabic"/>
          <w:color w:val="000000" w:themeColor="text1"/>
          <w:sz w:val="28"/>
          <w:szCs w:val="28"/>
          <w:rtl/>
        </w:rPr>
        <w:lastRenderedPageBreak/>
        <w:t>كما تمثل كفاءة الخدمات متغيرًا تابعًا آخر يعبر عن قدرة هذه الخدمات على تحقيق أهدافها بأقل وقت وجهد وتكلفة ممكنة، من خلال تسريع إنجاز المعاملات وتقليل التعقيدات الإجرائية.</w:t>
      </w:r>
    </w:p>
    <w:p w14:paraId="4CE57C48" w14:textId="77777777" w:rsidR="000561DC" w:rsidRPr="0006648D" w:rsidRDefault="000561DC" w:rsidP="000561DC">
      <w:pPr>
        <w:spacing w:line="360" w:lineRule="auto"/>
        <w:ind w:left="-99"/>
        <w:jc w:val="both"/>
        <w:rPr>
          <w:rFonts w:ascii="Simplified Arabic" w:hAnsi="Simplified Arabic" w:cs="Simplified Arabic"/>
          <w:color w:val="000000" w:themeColor="text1"/>
          <w:sz w:val="28"/>
          <w:szCs w:val="28"/>
          <w:rtl/>
        </w:rPr>
      </w:pPr>
      <w:r w:rsidRPr="0006648D">
        <w:rPr>
          <w:rFonts w:ascii="Simplified Arabic" w:hAnsi="Simplified Arabic" w:cs="Simplified Arabic"/>
          <w:color w:val="000000" w:themeColor="text1"/>
          <w:sz w:val="28"/>
          <w:szCs w:val="28"/>
          <w:rtl/>
        </w:rPr>
        <w:t>كما يتضمن نموذج الدراسة متغير رضا المستخدمين باعتباره أحد المخرجات الأساسية للتحول الرقمي، حيث يعكس مستوى تقبّل المواطنين للخدمات الحكومية الإلكترونية، ومدى رضاهم عن تجربتهم في استخدامها، ومدى توافق هذه الخدمات مع توقعاتهم واحتياجاتهم. ويُفترض أن رضا المستخدم يتأثر بشكل مباشر بكل من جودة الخدمات وكفاءتها، إضافة إلى تأثره بمستوى التحول الرقمي ذاته.</w:t>
      </w:r>
    </w:p>
    <w:p w14:paraId="1ADDBC23" w14:textId="77777777" w:rsidR="000561DC" w:rsidRPr="0006648D" w:rsidRDefault="000561DC" w:rsidP="000561DC">
      <w:pPr>
        <w:spacing w:line="360" w:lineRule="auto"/>
        <w:ind w:left="-99"/>
        <w:jc w:val="both"/>
        <w:rPr>
          <w:rFonts w:ascii="Simplified Arabic" w:hAnsi="Simplified Arabic" w:cs="Simplified Arabic"/>
          <w:color w:val="000000" w:themeColor="text1"/>
          <w:sz w:val="28"/>
          <w:szCs w:val="28"/>
          <w:rtl/>
        </w:rPr>
      </w:pPr>
      <w:r w:rsidRPr="0006648D">
        <w:rPr>
          <w:rFonts w:ascii="Simplified Arabic" w:hAnsi="Simplified Arabic" w:cs="Simplified Arabic"/>
          <w:color w:val="000000" w:themeColor="text1"/>
          <w:sz w:val="28"/>
          <w:szCs w:val="28"/>
          <w:rtl/>
        </w:rPr>
        <w:t>وإلى جانب ذلك، يأخذ النموذج في الاعتبار التحديات التي قد تواجه المستخدمين أثناء استخدام المنصات الحكومية الإلكترونية، مثل صعوبة التعامل مع بعض الخدمات، أو تعقيد الإجراءات، أو ضعف التكامل بين الأنظمة، أو الأعطال التقنية. وتُعد هذه التحديات عاملًا قد يؤثر في مستوى الاستفادة من الخدمات الرقمية، وقد يضعف من تأثير التحول الرقمي على جودة الخدمات وكفاءتها.</w:t>
      </w:r>
    </w:p>
    <w:p w14:paraId="4787465C" w14:textId="77777777" w:rsidR="000561DC" w:rsidRPr="0006648D" w:rsidRDefault="000561DC" w:rsidP="000561DC">
      <w:pPr>
        <w:spacing w:line="360" w:lineRule="auto"/>
        <w:ind w:left="-99"/>
        <w:jc w:val="both"/>
        <w:rPr>
          <w:rFonts w:ascii="Simplified Arabic" w:hAnsi="Simplified Arabic" w:cs="Simplified Arabic"/>
          <w:color w:val="000000" w:themeColor="text1"/>
          <w:sz w:val="28"/>
          <w:szCs w:val="28"/>
          <w:rtl/>
        </w:rPr>
      </w:pPr>
      <w:r w:rsidRPr="0006648D">
        <w:rPr>
          <w:rFonts w:ascii="Simplified Arabic" w:hAnsi="Simplified Arabic" w:cs="Simplified Arabic"/>
          <w:color w:val="000000" w:themeColor="text1"/>
          <w:sz w:val="28"/>
          <w:szCs w:val="28"/>
          <w:rtl/>
        </w:rPr>
        <w:t>وبناءً على ما سبق، يفترض نموذج الدراسة وجود علاقات تأثير مباشرة بين التحول الرقمي وكل من جودة الخدمات الحكومية الإلكترونية وكفاءتها، كما يفترض وجود تأثير مباشر لكل من جودة الخدمات وكفاءتها على رضا المستخدمين. إضافة إلى ذلك، يُتوقع وجود تأثير غير مباشر للتحول الرقمي على رضا المستخدمين من خلال متغيري الجودة والكفاءة، في حين يُفترض أن التحديات التي تواجه المستخدمين قد تؤثر على قوة هذه العلاقات وتحدّ من تأثيرها.</w:t>
      </w:r>
    </w:p>
    <w:p w14:paraId="2BA30161" w14:textId="77777777" w:rsidR="000561DC" w:rsidRPr="00D774D9" w:rsidRDefault="000561DC" w:rsidP="000561DC">
      <w:pPr>
        <w:spacing w:line="360" w:lineRule="auto"/>
        <w:ind w:left="-99"/>
        <w:jc w:val="both"/>
        <w:rPr>
          <w:rFonts w:ascii="Simplified Arabic" w:hAnsi="Simplified Arabic" w:cs="Simplified Arabic"/>
          <w:color w:val="000000" w:themeColor="text1"/>
          <w:sz w:val="28"/>
          <w:szCs w:val="28"/>
          <w:rtl/>
        </w:rPr>
      </w:pPr>
      <w:r w:rsidRPr="0006648D">
        <w:rPr>
          <w:rFonts w:ascii="Simplified Arabic" w:hAnsi="Simplified Arabic" w:cs="Simplified Arabic"/>
          <w:color w:val="000000" w:themeColor="text1"/>
          <w:sz w:val="28"/>
          <w:szCs w:val="28"/>
          <w:rtl/>
        </w:rPr>
        <w:t>ويمثل هذا النموذج إطارًا تحليليًا متكاملًا يساعد في تفسير العلاقات بين متغيرات الدراسة، ويوجه عملية اختبار الفرضيات وتحليل البيانات الميدانية، بما يسهم في تحقيق أهداف الدراسة والإجابة عن تساؤلاتها بشكل علمي ومنهجي.</w:t>
      </w:r>
    </w:p>
    <w:p w14:paraId="2778A46E" w14:textId="77777777" w:rsidR="000561DC" w:rsidRDefault="000561DC" w:rsidP="000561DC">
      <w:pPr>
        <w:spacing w:line="360" w:lineRule="auto"/>
        <w:rPr>
          <w:rFonts w:ascii="Sakkal Majalla" w:hAnsi="Sakkal Majalla" w:cs="Sakkal Majalla"/>
          <w:sz w:val="28"/>
          <w:szCs w:val="28"/>
          <w:u w:val="single"/>
          <w:rtl/>
        </w:rPr>
      </w:pPr>
      <w:r w:rsidRPr="00D774D9">
        <w:rPr>
          <w:rFonts w:ascii="Simplified Arabic" w:hAnsi="Simplified Arabic" w:cs="Simplified Arabic"/>
          <w:noProof/>
          <w:color w:val="000000" w:themeColor="text1"/>
          <w:sz w:val="28"/>
          <w:szCs w:val="28"/>
          <w:rtl/>
        </w:rPr>
        <w:lastRenderedPageBreak/>
        <mc:AlternateContent>
          <mc:Choice Requires="wpg">
            <w:drawing>
              <wp:anchor distT="0" distB="0" distL="114300" distR="114300" simplePos="0" relativeHeight="251659264" behindDoc="0" locked="0" layoutInCell="1" allowOverlap="1" wp14:anchorId="4432CD3A" wp14:editId="6BF7F2F9">
                <wp:simplePos x="0" y="0"/>
                <wp:positionH relativeFrom="column">
                  <wp:posOffset>1981200</wp:posOffset>
                </wp:positionH>
                <wp:positionV relativeFrom="paragraph">
                  <wp:posOffset>11430</wp:posOffset>
                </wp:positionV>
                <wp:extent cx="3710940" cy="1600200"/>
                <wp:effectExtent l="0" t="0" r="22860" b="19050"/>
                <wp:wrapNone/>
                <wp:docPr id="1634210596" name="مجموعة 3"/>
                <wp:cNvGraphicFramePr/>
                <a:graphic xmlns:a="http://schemas.openxmlformats.org/drawingml/2006/main">
                  <a:graphicData uri="http://schemas.microsoft.com/office/word/2010/wordprocessingGroup">
                    <wpg:wgp>
                      <wpg:cNvGrpSpPr/>
                      <wpg:grpSpPr>
                        <a:xfrm>
                          <a:off x="0" y="0"/>
                          <a:ext cx="3710940" cy="1600200"/>
                          <a:chOff x="0" y="0"/>
                          <a:chExt cx="3710940" cy="1600200"/>
                        </a:xfrm>
                      </wpg:grpSpPr>
                      <wps:wsp>
                        <wps:cNvPr id="1531556717" name="مستطيل: زوايا مستديرة 1"/>
                        <wps:cNvSpPr/>
                        <wps:spPr>
                          <a:xfrm>
                            <a:off x="2270760" y="0"/>
                            <a:ext cx="1440180" cy="160020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4E2E927E" w14:textId="77777777" w:rsidR="000561DC" w:rsidRPr="00013759" w:rsidRDefault="000561DC" w:rsidP="000561DC">
                              <w:pPr>
                                <w:rPr>
                                  <w:rStyle w:val="ab"/>
                                  <w:rtl/>
                                </w:rPr>
                              </w:pPr>
                              <w:r w:rsidRPr="00013759">
                                <w:rPr>
                                  <w:rStyle w:val="ab"/>
                                  <w:rFonts w:hint="cs"/>
                                  <w:rtl/>
                                </w:rPr>
                                <w:t>التغير المستقل:</w:t>
                              </w:r>
                            </w:p>
                            <w:p w14:paraId="6BB6C35D" w14:textId="77777777" w:rsidR="000561DC" w:rsidRPr="00013759" w:rsidRDefault="000561DC" w:rsidP="000561DC">
                              <w:pPr>
                                <w:rPr>
                                  <w:rStyle w:val="ab"/>
                                </w:rPr>
                              </w:pPr>
                              <w:r w:rsidRPr="00013759">
                                <w:rPr>
                                  <w:rStyle w:val="ab"/>
                                  <w:rFonts w:hint="cs"/>
                                  <w:rtl/>
                                </w:rPr>
                                <w:t>التحول</w:t>
                              </w:r>
                              <w:r>
                                <w:rPr>
                                  <w:rStyle w:val="ab"/>
                                  <w:rFonts w:hint="cs"/>
                                  <w:rtl/>
                                </w:rPr>
                                <w:t xml:space="preserve"> </w:t>
                              </w:r>
                              <w:r w:rsidRPr="00013759">
                                <w:rPr>
                                  <w:rStyle w:val="ab"/>
                                  <w:rFonts w:hint="cs"/>
                                  <w:rtl/>
                                </w:rPr>
                                <w:t xml:space="preserve">الرقمي </w:t>
                              </w:r>
                              <w:r w:rsidRPr="00013759">
                                <w:rPr>
                                  <w:rStyle w:val="ab"/>
                                  <w:rtl/>
                                </w:rPr>
                                <w:br/>
                              </w:r>
                              <w:r w:rsidRPr="00013759">
                                <w:rPr>
                                  <w:rStyle w:val="ab"/>
                                  <w:rFonts w:hint="cs"/>
                                  <w:rtl/>
                                </w:rPr>
                                <w:t>التحديات</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30700401" name="مستطيل: زوايا مستديرة 1"/>
                        <wps:cNvSpPr/>
                        <wps:spPr>
                          <a:xfrm>
                            <a:off x="0" y="0"/>
                            <a:ext cx="1440180" cy="1600200"/>
                          </a:xfrm>
                          <a:prstGeom prst="roundRect">
                            <a:avLst/>
                          </a:prstGeom>
                        </wps:spPr>
                        <wps:style>
                          <a:lnRef idx="2">
                            <a:schemeClr val="accent1"/>
                          </a:lnRef>
                          <a:fillRef idx="1">
                            <a:schemeClr val="lt1"/>
                          </a:fillRef>
                          <a:effectRef idx="0">
                            <a:schemeClr val="accent1"/>
                          </a:effectRef>
                          <a:fontRef idx="minor">
                            <a:schemeClr val="dk1"/>
                          </a:fontRef>
                        </wps:style>
                        <wps:txbx>
                          <w:txbxContent>
                            <w:p w14:paraId="5D71AD96" w14:textId="77777777" w:rsidR="000561DC" w:rsidRDefault="000561DC" w:rsidP="000561DC">
                              <w:pPr>
                                <w:jc w:val="both"/>
                                <w:rPr>
                                  <w:rStyle w:val="ab"/>
                                  <w:rtl/>
                                </w:rPr>
                              </w:pPr>
                              <w:r>
                                <w:rPr>
                                  <w:rStyle w:val="ab"/>
                                  <w:rtl/>
                                </w:rPr>
                                <w:t xml:space="preserve">جودة الخدمات </w:t>
                              </w:r>
                              <w:r w:rsidRPr="00A27CC6">
                                <w:rPr>
                                  <w:rStyle w:val="ab"/>
                                  <w:rtl/>
                                </w:rPr>
                                <w:t>الحكومية الإلكترونية</w:t>
                              </w:r>
                              <w:r w:rsidRPr="00A27CC6">
                                <w:rPr>
                                  <w:rStyle w:val="ab"/>
                                </w:rPr>
                                <w:br/>
                              </w:r>
                              <w:r>
                                <w:rPr>
                                  <w:rStyle w:val="ab"/>
                                  <w:rtl/>
                                </w:rPr>
                                <w:t xml:space="preserve">كفاءة الخدمات </w:t>
                              </w:r>
                              <w:r w:rsidRPr="00CD2995">
                                <w:rPr>
                                  <w:rStyle w:val="ab"/>
                                  <w:rtl/>
                                </w:rPr>
                                <w:t>الحكومية الإلكترونية</w:t>
                              </w:r>
                            </w:p>
                            <w:p w14:paraId="6D1D356C" w14:textId="77777777" w:rsidR="000561DC" w:rsidRPr="00CD2995" w:rsidRDefault="000561DC" w:rsidP="000561DC">
                              <w:pPr>
                                <w:jc w:val="both"/>
                                <w:rPr>
                                  <w:rStyle w:val="ab"/>
                                  <w:b w:val="0"/>
                                  <w:bCs w:val="0"/>
                                </w:rPr>
                              </w:pPr>
                              <w:r>
                                <w:rPr>
                                  <w:rStyle w:val="ab"/>
                                  <w:rtl/>
                                </w:rPr>
                                <w:t>رضا المستخدمين</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583077873" name="رابط كسهم مستقيم 2"/>
                        <wps:cNvCnPr/>
                        <wps:spPr>
                          <a:xfrm flipH="1">
                            <a:off x="1531620" y="815340"/>
                            <a:ext cx="69342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wpg:wgp>
                  </a:graphicData>
                </a:graphic>
              </wp:anchor>
            </w:drawing>
          </mc:Choice>
          <mc:Fallback>
            <w:pict>
              <v:group w14:anchorId="4432CD3A" id="مجموعة 3" o:spid="_x0000_s1026" style="position:absolute;left:0;text-align:left;margin-left:156pt;margin-top:.9pt;width:292.2pt;height:126pt;z-index:251659264" coordsize="37109,1600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">
                <v:roundrect id="مستطيل: زوايا مستديرة 1" o:spid="_x0000_s1027" style="position:absolute;left:22707;width:14402;height:16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" fillcolor="white [3201]" strokecolor="#4472c4 [3204]" strokeweight="1pt">
                  <v:stroke joinstyle="miter"/>
                  <v:textbox>
                    <w:txbxContent>
                      <w:p w14:paraId="4E2E927E" w14:textId="77777777" w:rsidR="000561DC" w:rsidRPr="00013759" w:rsidRDefault="000561DC" w:rsidP="000561DC">
                        <w:pPr>
                          <w:rPr>
                            <w:rStyle w:val="ab"/>
                            <w:rtl/>
                          </w:rPr>
                        </w:pPr>
                        <w:r w:rsidRPr="00013759">
                          <w:rPr>
                            <w:rStyle w:val="ab"/>
                            <w:rFonts w:hint="cs"/>
                            <w:rtl/>
                          </w:rPr>
                          <w:t>التغير المستقل:</w:t>
                        </w:r>
                      </w:p>
                      <w:p w14:paraId="6BB6C35D" w14:textId="77777777" w:rsidR="000561DC" w:rsidRPr="00013759" w:rsidRDefault="000561DC" w:rsidP="000561DC">
                        <w:pPr>
                          <w:rPr>
                            <w:rStyle w:val="ab"/>
                          </w:rPr>
                        </w:pPr>
                        <w:r w:rsidRPr="00013759">
                          <w:rPr>
                            <w:rStyle w:val="ab"/>
                            <w:rFonts w:hint="cs"/>
                            <w:rtl/>
                          </w:rPr>
                          <w:t>التحول</w:t>
                        </w:r>
                        <w:r>
                          <w:rPr>
                            <w:rStyle w:val="ab"/>
                            <w:rFonts w:hint="cs"/>
                            <w:rtl/>
                          </w:rPr>
                          <w:t xml:space="preserve"> </w:t>
                        </w:r>
                        <w:r w:rsidRPr="00013759">
                          <w:rPr>
                            <w:rStyle w:val="ab"/>
                            <w:rFonts w:hint="cs"/>
                            <w:rtl/>
                          </w:rPr>
                          <w:t xml:space="preserve">الرقمي </w:t>
                        </w:r>
                        <w:r w:rsidRPr="00013759">
                          <w:rPr>
                            <w:rStyle w:val="ab"/>
                            <w:rtl/>
                          </w:rPr>
                          <w:br/>
                        </w:r>
                        <w:r w:rsidRPr="00013759">
                          <w:rPr>
                            <w:rStyle w:val="ab"/>
                            <w:rFonts w:hint="cs"/>
                            <w:rtl/>
                          </w:rPr>
                          <w:t>التحديات</w:t>
                        </w:r>
                      </w:p>
                    </w:txbxContent>
                  </v:textbox>
                </v:roundrect>
                <v:roundrect id="مستطيل: زوايا مستديرة 1" o:spid="_x0000_s1028" style="position:absolute;width:14401;height:16002;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" fillcolor="white [3201]" strokecolor="#4472c4 [3204]" strokeweight="1pt">
                  <v:stroke joinstyle="miter"/>
                  <v:textbox>
                    <w:txbxContent>
                      <w:p w14:paraId="5D71AD96" w14:textId="77777777" w:rsidR="000561DC" w:rsidRDefault="000561DC" w:rsidP="000561DC">
                        <w:pPr>
                          <w:jc w:val="both"/>
                          <w:rPr>
                            <w:rStyle w:val="ab"/>
                            <w:rtl/>
                          </w:rPr>
                        </w:pPr>
                        <w:r>
                          <w:rPr>
                            <w:rStyle w:val="ab"/>
                            <w:rtl/>
                          </w:rPr>
                          <w:t xml:space="preserve">جودة الخدمات </w:t>
                        </w:r>
                        <w:r w:rsidRPr="00A27CC6">
                          <w:rPr>
                            <w:rStyle w:val="ab"/>
                            <w:rtl/>
                          </w:rPr>
                          <w:t>الحكومية الإلكترونية</w:t>
                        </w:r>
                        <w:r w:rsidRPr="00A27CC6">
                          <w:rPr>
                            <w:rStyle w:val="ab"/>
                          </w:rPr>
                          <w:br/>
                        </w:r>
                        <w:r>
                          <w:rPr>
                            <w:rStyle w:val="ab"/>
                            <w:rtl/>
                          </w:rPr>
                          <w:t xml:space="preserve">كفاءة الخدمات </w:t>
                        </w:r>
                        <w:r w:rsidRPr="00CD2995">
                          <w:rPr>
                            <w:rStyle w:val="ab"/>
                            <w:rtl/>
                          </w:rPr>
                          <w:t>الحكومية الإلكترونية</w:t>
                        </w:r>
                      </w:p>
                      <w:p w14:paraId="6D1D356C" w14:textId="77777777" w:rsidR="000561DC" w:rsidRPr="00CD2995" w:rsidRDefault="000561DC" w:rsidP="000561DC">
                        <w:pPr>
                          <w:jc w:val="both"/>
                          <w:rPr>
                            <w:rStyle w:val="ab"/>
                            <w:b w:val="0"/>
                            <w:bCs w:val="0"/>
                          </w:rPr>
                        </w:pPr>
                        <w:r>
                          <w:rPr>
                            <w:rStyle w:val="ab"/>
                            <w:rtl/>
                          </w:rPr>
                          <w:t>رضا المستخدمين</w:t>
                        </w:r>
                      </w:p>
                    </w:txbxContent>
                  </v:textbox>
                </v:roundrect>
                <v:shapetype id="_x0000_t32" coordsize="21600,21600" o:spt="32" o:oned="t" path="m,l21600,21600e" filled="f">
                  <v:path arrowok="t" fillok="f" o:connecttype="none"/>
                  <o:lock v:ext="edit" shapetype="t"/>
                </v:shapetype>
                <v:shape id="رابط كسهم مستقيم 2" o:spid="_x0000_s1029" type="#_x0000_t32" style="position:absolute;left:15316;top:8153;width:6934;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" strokecolor="#4472c4 [3204]" strokeweight=".5pt">
                  <v:stroke endarrow="block" joinstyle="miter"/>
                </v:shape>
              </v:group>
            </w:pict>
          </mc:Fallback>
        </mc:AlternateContent>
      </w:r>
    </w:p>
    <w:p w14:paraId="5A48E0A8" w14:textId="77777777" w:rsidR="000561DC" w:rsidRDefault="000561DC" w:rsidP="000561DC">
      <w:pPr>
        <w:spacing w:line="360" w:lineRule="auto"/>
        <w:rPr>
          <w:rFonts w:ascii="Sakkal Majalla" w:hAnsi="Sakkal Majalla" w:cs="Sakkal Majalla"/>
          <w:sz w:val="28"/>
          <w:szCs w:val="28"/>
          <w:u w:val="single"/>
          <w:rtl/>
        </w:rPr>
      </w:pPr>
    </w:p>
    <w:p w14:paraId="38DF7EEC" w14:textId="77777777" w:rsidR="000561DC" w:rsidRDefault="000561DC" w:rsidP="000561DC">
      <w:pPr>
        <w:spacing w:line="360" w:lineRule="auto"/>
        <w:rPr>
          <w:rFonts w:ascii="Sakkal Majalla" w:hAnsi="Sakkal Majalla" w:cs="Sakkal Majalla"/>
          <w:sz w:val="28"/>
          <w:szCs w:val="28"/>
          <w:u w:val="single"/>
          <w:rtl/>
        </w:rPr>
      </w:pPr>
    </w:p>
    <w:p w14:paraId="7115012B" w14:textId="77777777" w:rsidR="000561DC" w:rsidRDefault="000561DC" w:rsidP="000561DC">
      <w:pPr>
        <w:spacing w:line="360" w:lineRule="auto"/>
        <w:rPr>
          <w:rFonts w:ascii="Sakkal Majalla" w:hAnsi="Sakkal Majalla" w:cs="Sakkal Majalla"/>
          <w:sz w:val="28"/>
          <w:szCs w:val="28"/>
          <w:rtl/>
        </w:rPr>
      </w:pPr>
    </w:p>
    <w:p w14:paraId="4DDABBDE" w14:textId="77777777" w:rsidR="000561DC" w:rsidRPr="00560BFE" w:rsidRDefault="000561DC" w:rsidP="000561DC">
      <w:pPr>
        <w:spacing w:line="360" w:lineRule="auto"/>
        <w:rPr>
          <w:rFonts w:ascii="Sakkal Majalla" w:hAnsi="Sakkal Majalla" w:cs="Sakkal Majalla"/>
          <w:sz w:val="28"/>
          <w:szCs w:val="28"/>
          <w:rtl/>
        </w:rPr>
      </w:pPr>
      <w:r w:rsidRPr="008D54C2">
        <w:rPr>
          <w:rFonts w:ascii="Sakkal Majalla" w:hAnsi="Sakkal Majalla" w:cs="Sakkal Majalla"/>
          <w:sz w:val="28"/>
          <w:szCs w:val="28"/>
          <w:rtl/>
        </w:rPr>
        <w:t>شكل (1): نموذج الدراسة المفاهيمي</w:t>
      </w:r>
    </w:p>
    <w:p w14:paraId="5B660731" w14:textId="77777777" w:rsidR="000561DC" w:rsidRPr="005117C1" w:rsidRDefault="000561DC" w:rsidP="000561DC">
      <w:pPr>
        <w:spacing w:line="360" w:lineRule="auto"/>
        <w:rPr>
          <w:rFonts w:ascii="Sakkal Majalla" w:hAnsi="Sakkal Majalla" w:cs="Sakkal Majalla"/>
          <w:b/>
          <w:bCs/>
          <w:sz w:val="36"/>
          <w:szCs w:val="36"/>
        </w:rPr>
      </w:pPr>
      <w:r w:rsidRPr="005117C1">
        <w:rPr>
          <w:rFonts w:ascii="Sakkal Majalla" w:hAnsi="Sakkal Majalla" w:cs="Sakkal Majalla" w:hint="cs"/>
          <w:b/>
          <w:bCs/>
          <w:sz w:val="36"/>
          <w:szCs w:val="36"/>
          <w:rtl/>
        </w:rPr>
        <w:t>1,</w:t>
      </w:r>
      <w:r>
        <w:rPr>
          <w:rFonts w:ascii="Sakkal Majalla" w:hAnsi="Sakkal Majalla" w:cs="Sakkal Majalla" w:hint="cs"/>
          <w:b/>
          <w:bCs/>
          <w:sz w:val="36"/>
          <w:szCs w:val="36"/>
          <w:rtl/>
        </w:rPr>
        <w:t>8</w:t>
      </w:r>
      <w:r w:rsidRPr="005117C1">
        <w:rPr>
          <w:rFonts w:ascii="Sakkal Majalla" w:hAnsi="Sakkal Majalla" w:cs="Sakkal Majalla"/>
          <w:b/>
          <w:bCs/>
          <w:sz w:val="36"/>
          <w:szCs w:val="36"/>
          <w:rtl/>
        </w:rPr>
        <w:t xml:space="preserve">النظرية العلمية </w:t>
      </w:r>
      <w:r>
        <w:rPr>
          <w:rFonts w:ascii="Sakkal Majalla" w:hAnsi="Sakkal Majalla" w:cs="Sakkal Majalla" w:hint="cs"/>
          <w:b/>
          <w:bCs/>
          <w:sz w:val="36"/>
          <w:szCs w:val="36"/>
          <w:rtl/>
        </w:rPr>
        <w:t>لإعداد الدراسة</w:t>
      </w:r>
    </w:p>
    <w:p w14:paraId="742ED0F1"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تعتمد هذه الدراسة على مجموعة من الأطر والنظريات العلمية التي تسهم في تفسير العلاقة بين التحول الرقمي وجودة وكفاءة الخدمات الحكومية الإلكترونية، كما تدعم بناء النموذج المفاهيمي للدراسة وتساعد في تحليل النتائج المتوقعة في ضوء أسس علمية راسخة. وقد تم اختيار هذه النظريات بعناية نظرًا لملاءمتها لطبيعة موضوع الدراسة، وارتباطها بسلوك المستخدم، وجودة الخدمات الرقمية، وتأثير التقنيات الحديثة على الأداء الحكومي.</w:t>
      </w:r>
    </w:p>
    <w:p w14:paraId="4312AE34"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وتتكامل هذه النظريات لتقديم تفسير شامل يجمع بين الأبعاد التقنية والسلوكية والتنظيمية، بما يتيح فهمًا أعمق للعوامل المؤثرة في استخدام المنصات الحكومية الرقمية وتقييمها. وفيما يأتي عرض لأبرز هذه النظريات:</w:t>
      </w:r>
    </w:p>
    <w:p w14:paraId="3EB1D616"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أولًا: نظرية تقبّل التكنولوجيا (</w:t>
      </w:r>
      <w:r w:rsidRPr="00E3378E">
        <w:rPr>
          <w:rFonts w:ascii="Simplified Arabic" w:hAnsi="Simplified Arabic" w:cs="Simplified Arabic"/>
          <w:color w:val="000000" w:themeColor="text1"/>
          <w:sz w:val="28"/>
          <w:szCs w:val="28"/>
        </w:rPr>
        <w:t>Technology Acceptance Model – TAM</w:t>
      </w:r>
      <w:r w:rsidRPr="00E3378E">
        <w:rPr>
          <w:rFonts w:ascii="Simplified Arabic" w:hAnsi="Simplified Arabic" w:cs="Simplified Arabic"/>
          <w:color w:val="000000" w:themeColor="text1"/>
          <w:sz w:val="28"/>
          <w:szCs w:val="28"/>
          <w:rtl/>
        </w:rPr>
        <w:t>)</w:t>
      </w:r>
    </w:p>
    <w:p w14:paraId="476ED1A0"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تُعد نظرية تقبّل التكنولوجيا من النماذج الأساسية التي تُستخدم في تفسير سلوك الأفراد تجاه استخدام الأنظمة التقنية، حيث تفترض أن قرار المستخدم في تبني التكنولوجيا يتأثر بدرجة إدراكه لسهولة استخدامها، ومدى الفائدة التي يمكن أن يحققها منها في إنجاز مهامه.</w:t>
      </w:r>
    </w:p>
    <w:p w14:paraId="016CB37B"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lastRenderedPageBreak/>
        <w:t>وترتكز هذه النظرية على بعدين رئيسيين يتمثلان في سهولة الاستخدام المدركة، والتي تشير إلى مدى بساطة التعامل مع النظام، والفائدة المدركة، التي تعكس مدى إسهام النظام في تحسين أداء المستخدم. وفي سياق هذه الدراسة، تساعد هذه النظرية في تفسير مدى إقبال المواطنين على استخدام المنصات الحكومية الإلكترونية، ومدى تأثير ذلك على تقييمهم لجودة الخدمات وكفاءتها، إضافة إلى انعكاسه على مستوى رضاهم عن هذه الخدمات.</w:t>
      </w:r>
    </w:p>
    <w:p w14:paraId="422E2CAE"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p>
    <w:p w14:paraId="0074F57E"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ثانيًا: النظرية الموحدة لقبول واستخدام التكنولوجيا (</w:t>
      </w:r>
      <w:r w:rsidRPr="00E3378E">
        <w:rPr>
          <w:rFonts w:ascii="Simplified Arabic" w:hAnsi="Simplified Arabic" w:cs="Simplified Arabic"/>
          <w:color w:val="000000" w:themeColor="text1"/>
          <w:sz w:val="28"/>
          <w:szCs w:val="28"/>
        </w:rPr>
        <w:t>UTAUT</w:t>
      </w:r>
      <w:r w:rsidRPr="00E3378E">
        <w:rPr>
          <w:rFonts w:ascii="Simplified Arabic" w:hAnsi="Simplified Arabic" w:cs="Simplified Arabic"/>
          <w:color w:val="000000" w:themeColor="text1"/>
          <w:sz w:val="28"/>
          <w:szCs w:val="28"/>
          <w:rtl/>
        </w:rPr>
        <w:t>)</w:t>
      </w:r>
    </w:p>
    <w:p w14:paraId="21FA9F65"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تُعد هذه النظرية تطويرًا للنماذج السابقة في مجال تبني التكنولوجيا، حيث تقدم إطارًا أكثر شمولًا لتفسير سلوك المستخدم تجاه استخدام الأنظمة الرقمية. وتعتمد على مجموعة من العوامل التي تؤثر في نية الاستخدام الفعلي، من أبرزها الأداء المتوقع، والذي يشير إلى مدى اعتقاد المستخدم بأن النظام سيساعده في تحسين أدائه، والجهد المتوقع المرتبط بسهولة الاستخدام، إضافة إلى التأثير الاجتماعي والظروف الميسرة التي تتعلق بتوفر الدعم والبنية التحتية اللازمة.</w:t>
      </w:r>
    </w:p>
    <w:p w14:paraId="26C19726"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وتُسهم هذه النظرية في تفسير العوامل التي تؤثر على تبني المواطنين للخدمات الحكومية الإلكترونية، مثل مدى توفر الدعم التقني، وسهولة الوصول إلى الخدمات، وتأثير البيئة المحيطة، مما يساعد في فهم انتشار استخدام المنصات الرقمية، ومدى انعكاس ذلك على جودة الخدمات المقدمة.</w:t>
      </w:r>
    </w:p>
    <w:p w14:paraId="6BD04749"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p>
    <w:p w14:paraId="304B9FBD"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ثالثًا: نموذج جودة الخدمة الإلكترونية (</w:t>
      </w:r>
      <w:r w:rsidRPr="00E3378E">
        <w:rPr>
          <w:rFonts w:ascii="Simplified Arabic" w:hAnsi="Simplified Arabic" w:cs="Simplified Arabic"/>
          <w:color w:val="000000" w:themeColor="text1"/>
          <w:sz w:val="28"/>
          <w:szCs w:val="28"/>
        </w:rPr>
        <w:t>E-Service Quality Model</w:t>
      </w:r>
      <w:r w:rsidRPr="00E3378E">
        <w:rPr>
          <w:rFonts w:ascii="Simplified Arabic" w:hAnsi="Simplified Arabic" w:cs="Simplified Arabic"/>
          <w:color w:val="000000" w:themeColor="text1"/>
          <w:sz w:val="28"/>
          <w:szCs w:val="28"/>
          <w:rtl/>
        </w:rPr>
        <w:t>)</w:t>
      </w:r>
    </w:p>
    <w:p w14:paraId="603BDA38"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lastRenderedPageBreak/>
        <w:t>يركز هذا النموذج على تقييم جودة الخدمات المقدمة عبر الوسائط الرقمية من خلال مجموعة من الأبعاد التي تعكس تجربة المستخدم أثناء التعامل مع الخدمة. وتشمل هذه الأبعاد سهولة الاستخدام، والاعتمادية، وسرعة الاستجابة، ومستوى الأمان، إضافة إلى كفاءة الأداء وسرعة الإنجاز.</w:t>
      </w:r>
    </w:p>
    <w:p w14:paraId="732F77E6"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وتُعد هذه الأبعاد مؤشرات رئيسة لقياس جودة الخدمات الحكومية الإلكترونية، حيث تساعد في تقييم مستوى الخدمة كما يدركها المستخدم، ومدى توافقها مع توقعاته. وتستند هذه الدراسة إلى هذا النموذج في قياس المتغيرات المرتبطة بجودة وكفاءة الخدمات، وتحليل أثر التحول الرقمي عليها.</w:t>
      </w:r>
    </w:p>
    <w:p w14:paraId="7F179F6C"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484BEF97"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p>
    <w:p w14:paraId="2433495A"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رابعًا: نظرية الكفاءة التنظيمية (</w:t>
      </w:r>
      <w:r w:rsidRPr="00E3378E">
        <w:rPr>
          <w:rFonts w:ascii="Simplified Arabic" w:hAnsi="Simplified Arabic" w:cs="Simplified Arabic"/>
          <w:color w:val="000000" w:themeColor="text1"/>
          <w:sz w:val="28"/>
          <w:szCs w:val="28"/>
        </w:rPr>
        <w:t>Organizational Efficiency Theory</w:t>
      </w:r>
      <w:r w:rsidRPr="00E3378E">
        <w:rPr>
          <w:rFonts w:ascii="Simplified Arabic" w:hAnsi="Simplified Arabic" w:cs="Simplified Arabic"/>
          <w:color w:val="000000" w:themeColor="text1"/>
          <w:sz w:val="28"/>
          <w:szCs w:val="28"/>
          <w:rtl/>
        </w:rPr>
        <w:t>)</w:t>
      </w:r>
    </w:p>
    <w:p w14:paraId="5E91BED6"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تستند هذه النظرية إلى مبدأ تحقيق أفضل النتائج باستخدام أقل قدر ممكن من الموارد، حيث يُنظر إلى الكفاءة التنظيمية على أنها قدرة المؤسسة على إنجاز أعمالها بسرعة ودقة وبتكلفة منخفضة. وفي إطار التحول الرقمي، تشير هذه النظرية إلى أن استخدام التقنيات الحديثة يسهم في تحسين الأداء الحكومي من خلال تقليل الوقت اللازم لإنجاز المعاملات، وتقليل الأخطاء الناتجة عن العمليات اليدوية، وتحسين تدفق المعلومات بين الجهات المختلفة.</w:t>
      </w:r>
    </w:p>
    <w:p w14:paraId="1852F9FA"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وتُستخدم هذه النظرية في هذه الدراسة لتفسير أثر التحول الرقمي على كفاءة الخدمات الحكومية الإلكترونية، وبيان مدى إسهامه في تحسين الأداء التشغيلي ورفع مستوى الإنتاجية.</w:t>
      </w:r>
    </w:p>
    <w:p w14:paraId="424CA451"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خامسًا: نظرية رضا المستفيد (</w:t>
      </w:r>
      <w:r w:rsidRPr="00E3378E">
        <w:rPr>
          <w:rFonts w:ascii="Simplified Arabic" w:hAnsi="Simplified Arabic" w:cs="Simplified Arabic"/>
          <w:color w:val="000000" w:themeColor="text1"/>
          <w:sz w:val="28"/>
          <w:szCs w:val="28"/>
        </w:rPr>
        <w:t>Expectation–Confirmation Theory</w:t>
      </w:r>
      <w:r w:rsidRPr="00E3378E">
        <w:rPr>
          <w:rFonts w:ascii="Simplified Arabic" w:hAnsi="Simplified Arabic" w:cs="Simplified Arabic"/>
          <w:color w:val="000000" w:themeColor="text1"/>
          <w:sz w:val="28"/>
          <w:szCs w:val="28"/>
          <w:rtl/>
        </w:rPr>
        <w:t>)</w:t>
      </w:r>
    </w:p>
    <w:p w14:paraId="11488F9F"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lastRenderedPageBreak/>
        <w:t>تعتمد هذه النظرية على فكرة أن رضا المستخدم يتشكل من خلال مقارنة توقعاته المسبقة مع الأداء الفعلي للخدمة. فإذا كانت الخدمة المقدمة تفوق توقعاته، فإن مستوى الرضا يرتفع، أما إذا كانت أقل من المتوقع، فإن مستوى الرضا ينخفض.</w:t>
      </w:r>
    </w:p>
    <w:p w14:paraId="27BA7239"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وفي سياق هذه الدراسة، تُستخدم هذه النظرية لتفسير رضا المواطنين عن الخدمات الحكومية الإلكترونية، وربط هذا الرضا بجودة الخدمة وكفاءتها، إضافة إلى دور التحول الرقمي في تلبية توقعات المستخدمين وتحسين تجربتهم.</w:t>
      </w:r>
    </w:p>
    <w:p w14:paraId="36BCB5AC"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00924D79"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07B2C119"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p>
    <w:p w14:paraId="6FA6A104" w14:textId="77777777" w:rsidR="000561DC" w:rsidRPr="005117C1" w:rsidRDefault="000561DC" w:rsidP="000561DC">
      <w:pPr>
        <w:spacing w:line="360" w:lineRule="auto"/>
        <w:jc w:val="both"/>
        <w:rPr>
          <w:rFonts w:ascii="Simplified Arabic" w:hAnsi="Simplified Arabic" w:cs="Simplified Arabic"/>
          <w:color w:val="000000" w:themeColor="text1"/>
          <w:sz w:val="36"/>
          <w:szCs w:val="36"/>
          <w:rtl/>
        </w:rPr>
      </w:pPr>
      <w:r w:rsidRPr="005117C1">
        <w:rPr>
          <w:rFonts w:ascii="Simplified Arabic" w:hAnsi="Simplified Arabic" w:cs="Simplified Arabic" w:hint="cs"/>
          <w:color w:val="000000" w:themeColor="text1"/>
          <w:sz w:val="36"/>
          <w:szCs w:val="36"/>
          <w:rtl/>
        </w:rPr>
        <w:t>1,</w:t>
      </w:r>
      <w:r>
        <w:rPr>
          <w:rFonts w:ascii="Simplified Arabic" w:hAnsi="Simplified Arabic" w:cs="Simplified Arabic" w:hint="cs"/>
          <w:color w:val="000000" w:themeColor="text1"/>
          <w:sz w:val="36"/>
          <w:szCs w:val="36"/>
          <w:rtl/>
        </w:rPr>
        <w:t>9</w:t>
      </w:r>
      <w:r w:rsidRPr="005117C1">
        <w:rPr>
          <w:rFonts w:ascii="Simplified Arabic" w:hAnsi="Simplified Arabic" w:cs="Simplified Arabic"/>
          <w:color w:val="000000" w:themeColor="text1"/>
          <w:sz w:val="36"/>
          <w:szCs w:val="36"/>
          <w:rtl/>
        </w:rPr>
        <w:t>تكامل النظريات في إطار الدراسة</w:t>
      </w:r>
    </w:p>
    <w:p w14:paraId="667BFFFD"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تتكامل هذه النظريات لتشكّل إطارًا علميًا متكاملًا يفسر العلاقات بين متغيرات الدراسة، حيث تسهم نظريات تقبّل التكنولوجيا في تفسير سلوك المستخدم تجاه استخدام المنصات الرقمية، في حين تركز نماذج جودة الخدمة على تقييم مستوى الأداء، وتوضح نظرية الكفاءة التنظيمية أثر التحول الرقمي على تحسين الأداء الحكومي، بينما تفسر نظرية رضا المستفيد النتائج النهائية لتجربة المستخدم.</w:t>
      </w:r>
    </w:p>
    <w:p w14:paraId="3E1873F0"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p>
    <w:p w14:paraId="4B248EA9" w14:textId="77777777" w:rsidR="000561DC" w:rsidRPr="00E3378E" w:rsidRDefault="000561DC" w:rsidP="000561DC">
      <w:pPr>
        <w:spacing w:line="360" w:lineRule="auto"/>
        <w:jc w:val="both"/>
        <w:rPr>
          <w:rFonts w:ascii="Simplified Arabic" w:hAnsi="Simplified Arabic" w:cs="Simplified Arabic"/>
          <w:color w:val="000000" w:themeColor="text1"/>
          <w:sz w:val="28"/>
          <w:szCs w:val="28"/>
          <w:rtl/>
        </w:rPr>
      </w:pPr>
      <w:r w:rsidRPr="00E3378E">
        <w:rPr>
          <w:rFonts w:ascii="Simplified Arabic" w:hAnsi="Simplified Arabic" w:cs="Simplified Arabic"/>
          <w:color w:val="000000" w:themeColor="text1"/>
          <w:sz w:val="28"/>
          <w:szCs w:val="28"/>
          <w:rtl/>
        </w:rPr>
        <w:t xml:space="preserve">ومن خلال هذا التكامل، يتضح أن التحول الرقمي لا يؤثر فقط في الجانب التقني للخدمات، بل يمتد تأثيره ليشمل سلوك المستخدم، وجودة التجربة، وكفاءة الأداء، ومستوى الرضا العام. وبذلك، </w:t>
      </w:r>
      <w:r w:rsidRPr="00E3378E">
        <w:rPr>
          <w:rFonts w:ascii="Simplified Arabic" w:hAnsi="Simplified Arabic" w:cs="Simplified Arabic"/>
          <w:color w:val="000000" w:themeColor="text1"/>
          <w:sz w:val="28"/>
          <w:szCs w:val="28"/>
          <w:rtl/>
        </w:rPr>
        <w:lastRenderedPageBreak/>
        <w:t>يوفر هذا الإطار النظري أساسًا متينًا يمكن الاعتماد عليه في بناء نموذج الدراسة، واختبار الفرضيات، وتفسير النتائج بطريقة علمية ومنهجية.</w:t>
      </w:r>
    </w:p>
    <w:p w14:paraId="5481C661" w14:textId="77777777" w:rsidR="000561DC" w:rsidRPr="00E3378E" w:rsidRDefault="000561DC" w:rsidP="000561DC">
      <w:pPr>
        <w:spacing w:line="360" w:lineRule="auto"/>
        <w:rPr>
          <w:rFonts w:ascii="Simplified Arabic" w:hAnsi="Simplified Arabic" w:cs="Simplified Arabic"/>
          <w:color w:val="000000" w:themeColor="text1"/>
          <w:sz w:val="28"/>
          <w:szCs w:val="28"/>
          <w:rtl/>
        </w:rPr>
      </w:pPr>
    </w:p>
    <w:p w14:paraId="11A4610A" w14:textId="77777777" w:rsidR="000561DC" w:rsidRPr="00E3378E" w:rsidRDefault="000561DC" w:rsidP="000561DC">
      <w:pPr>
        <w:spacing w:line="360" w:lineRule="auto"/>
        <w:rPr>
          <w:rFonts w:ascii="Simplified Arabic" w:hAnsi="Simplified Arabic" w:cs="Simplified Arabic"/>
          <w:color w:val="000000" w:themeColor="text1"/>
          <w:sz w:val="28"/>
          <w:szCs w:val="28"/>
          <w:rtl/>
        </w:rPr>
      </w:pPr>
    </w:p>
    <w:p w14:paraId="6A2B8264" w14:textId="77777777" w:rsidR="000561DC" w:rsidRDefault="000561DC" w:rsidP="000561DC">
      <w:pPr>
        <w:spacing w:line="360" w:lineRule="auto"/>
        <w:rPr>
          <w:rFonts w:ascii="Sakkal Majalla" w:hAnsi="Sakkal Majalla" w:cs="Sakkal Majalla"/>
          <w:sz w:val="28"/>
          <w:szCs w:val="28"/>
          <w:u w:val="single"/>
          <w:rtl/>
        </w:rPr>
      </w:pPr>
    </w:p>
    <w:p w14:paraId="2236144A" w14:textId="77777777" w:rsidR="000561DC" w:rsidRDefault="000561DC" w:rsidP="000561DC">
      <w:pPr>
        <w:spacing w:line="360" w:lineRule="auto"/>
        <w:rPr>
          <w:rFonts w:ascii="Sakkal Majalla" w:hAnsi="Sakkal Majalla" w:cs="Sakkal Majalla"/>
          <w:sz w:val="28"/>
          <w:szCs w:val="28"/>
          <w:u w:val="single"/>
          <w:rtl/>
        </w:rPr>
      </w:pPr>
    </w:p>
    <w:p w14:paraId="0FB52C2F" w14:textId="77777777" w:rsidR="000561DC" w:rsidRDefault="000561DC" w:rsidP="000561DC">
      <w:pPr>
        <w:spacing w:line="360" w:lineRule="auto"/>
        <w:rPr>
          <w:rFonts w:ascii="Sakkal Majalla" w:hAnsi="Sakkal Majalla" w:cs="Sakkal Majalla"/>
          <w:sz w:val="28"/>
          <w:szCs w:val="28"/>
          <w:u w:val="single"/>
          <w:rtl/>
        </w:rPr>
      </w:pPr>
    </w:p>
    <w:p w14:paraId="346CBDA0" w14:textId="77777777" w:rsidR="000561DC" w:rsidRDefault="000561DC" w:rsidP="000561DC">
      <w:pPr>
        <w:spacing w:line="360" w:lineRule="auto"/>
        <w:rPr>
          <w:rFonts w:ascii="Sakkal Majalla" w:hAnsi="Sakkal Majalla" w:cs="Sakkal Majalla"/>
          <w:sz w:val="28"/>
          <w:szCs w:val="28"/>
          <w:u w:val="single"/>
          <w:rtl/>
        </w:rPr>
      </w:pPr>
    </w:p>
    <w:p w14:paraId="4AB35F98" w14:textId="77777777" w:rsidR="000561DC" w:rsidRDefault="000561DC" w:rsidP="000561DC">
      <w:pPr>
        <w:spacing w:line="360" w:lineRule="auto"/>
        <w:rPr>
          <w:rFonts w:ascii="Sakkal Majalla" w:hAnsi="Sakkal Majalla" w:cs="Sakkal Majalla"/>
          <w:sz w:val="28"/>
          <w:szCs w:val="28"/>
          <w:u w:val="single"/>
          <w:rtl/>
        </w:rPr>
      </w:pPr>
    </w:p>
    <w:p w14:paraId="5E671419" w14:textId="77777777" w:rsidR="000561DC" w:rsidRDefault="000561DC" w:rsidP="000561DC">
      <w:pPr>
        <w:spacing w:line="360" w:lineRule="auto"/>
        <w:rPr>
          <w:rFonts w:ascii="Sakkal Majalla" w:hAnsi="Sakkal Majalla" w:cs="Sakkal Majalla"/>
          <w:b/>
          <w:bCs/>
          <w:sz w:val="48"/>
          <w:szCs w:val="48"/>
          <w:u w:val="single"/>
          <w:rtl/>
        </w:rPr>
      </w:pPr>
    </w:p>
    <w:p w14:paraId="337AE0AB" w14:textId="77777777" w:rsidR="000561DC" w:rsidRDefault="000561DC" w:rsidP="000561DC">
      <w:pPr>
        <w:spacing w:line="360" w:lineRule="auto"/>
        <w:jc w:val="center"/>
        <w:rPr>
          <w:rFonts w:ascii="Sakkal Majalla" w:hAnsi="Sakkal Majalla" w:cs="Sakkal Majalla"/>
          <w:b/>
          <w:bCs/>
          <w:sz w:val="48"/>
          <w:szCs w:val="48"/>
          <w:u w:val="single"/>
          <w:rtl/>
        </w:rPr>
      </w:pPr>
    </w:p>
    <w:p w14:paraId="0C09D4F2" w14:textId="77777777" w:rsidR="000561DC" w:rsidRDefault="000561DC" w:rsidP="000561DC">
      <w:pPr>
        <w:spacing w:line="360" w:lineRule="auto"/>
        <w:jc w:val="center"/>
        <w:rPr>
          <w:rFonts w:ascii="Sakkal Majalla" w:hAnsi="Sakkal Majalla" w:cs="Sakkal Majalla"/>
          <w:b/>
          <w:bCs/>
          <w:sz w:val="48"/>
          <w:szCs w:val="48"/>
          <w:u w:val="single"/>
          <w:rtl/>
        </w:rPr>
      </w:pPr>
    </w:p>
    <w:p w14:paraId="703AECB4" w14:textId="77777777" w:rsidR="000561DC" w:rsidRDefault="000561DC" w:rsidP="000561DC">
      <w:pPr>
        <w:spacing w:line="360" w:lineRule="auto"/>
        <w:jc w:val="center"/>
        <w:rPr>
          <w:rFonts w:ascii="Sakkal Majalla" w:hAnsi="Sakkal Majalla" w:cs="Sakkal Majalla"/>
          <w:b/>
          <w:bCs/>
          <w:sz w:val="48"/>
          <w:szCs w:val="48"/>
          <w:u w:val="single"/>
          <w:rtl/>
        </w:rPr>
      </w:pPr>
    </w:p>
    <w:p w14:paraId="1F97965A" w14:textId="77777777" w:rsidR="000561DC" w:rsidRDefault="000561DC" w:rsidP="000561DC">
      <w:pPr>
        <w:spacing w:line="360" w:lineRule="auto"/>
        <w:jc w:val="center"/>
        <w:rPr>
          <w:rFonts w:ascii="Sakkal Majalla" w:hAnsi="Sakkal Majalla" w:cs="Sakkal Majalla"/>
          <w:b/>
          <w:bCs/>
          <w:sz w:val="48"/>
          <w:szCs w:val="48"/>
          <w:u w:val="single"/>
          <w:rtl/>
        </w:rPr>
      </w:pPr>
    </w:p>
    <w:p w14:paraId="156FAFF9" w14:textId="77777777" w:rsidR="000561DC" w:rsidRDefault="000561DC" w:rsidP="000561DC">
      <w:pPr>
        <w:spacing w:line="360" w:lineRule="auto"/>
        <w:jc w:val="center"/>
        <w:rPr>
          <w:rFonts w:ascii="Sakkal Majalla" w:hAnsi="Sakkal Majalla" w:cs="Sakkal Majalla"/>
          <w:b/>
          <w:bCs/>
          <w:sz w:val="48"/>
          <w:szCs w:val="48"/>
          <w:u w:val="single"/>
          <w:rtl/>
        </w:rPr>
      </w:pPr>
    </w:p>
    <w:p w14:paraId="78BE9C8D" w14:textId="77777777" w:rsidR="000561DC" w:rsidRPr="005117C1" w:rsidRDefault="000561DC" w:rsidP="000561DC">
      <w:pPr>
        <w:spacing w:line="360" w:lineRule="auto"/>
        <w:jc w:val="center"/>
        <w:rPr>
          <w:rFonts w:ascii="Sakkal Majalla" w:hAnsi="Sakkal Majalla" w:cs="Sakkal Majalla"/>
          <w:b/>
          <w:bCs/>
          <w:sz w:val="48"/>
          <w:szCs w:val="48"/>
          <w:rtl/>
        </w:rPr>
      </w:pPr>
    </w:p>
    <w:p w14:paraId="4388B6CC" w14:textId="77777777" w:rsidR="000561DC" w:rsidRPr="005117C1" w:rsidRDefault="000561DC" w:rsidP="000561DC">
      <w:pPr>
        <w:spacing w:line="360" w:lineRule="auto"/>
        <w:jc w:val="center"/>
        <w:rPr>
          <w:rFonts w:ascii="Sakkal Majalla" w:hAnsi="Sakkal Majalla" w:cs="Sakkal Majalla"/>
          <w:b/>
          <w:bCs/>
          <w:sz w:val="48"/>
          <w:szCs w:val="48"/>
          <w:rtl/>
        </w:rPr>
      </w:pPr>
      <w:r w:rsidRPr="005117C1">
        <w:rPr>
          <w:rFonts w:ascii="Sakkal Majalla" w:hAnsi="Sakkal Majalla" w:cs="Sakkal Majalla" w:hint="cs"/>
          <w:b/>
          <w:bCs/>
          <w:sz w:val="48"/>
          <w:szCs w:val="48"/>
          <w:rtl/>
        </w:rPr>
        <w:t>الفصل الثاني</w:t>
      </w:r>
    </w:p>
    <w:p w14:paraId="6ED98766" w14:textId="77777777" w:rsidR="000561DC" w:rsidRDefault="000561DC" w:rsidP="000561DC">
      <w:pPr>
        <w:spacing w:line="360" w:lineRule="auto"/>
        <w:jc w:val="center"/>
        <w:rPr>
          <w:rFonts w:ascii="Sakkal Majalla" w:hAnsi="Sakkal Majalla" w:cs="Sakkal Majalla"/>
          <w:b/>
          <w:bCs/>
          <w:sz w:val="48"/>
          <w:szCs w:val="48"/>
          <w:rtl/>
        </w:rPr>
      </w:pPr>
      <w:r w:rsidRPr="005117C1">
        <w:rPr>
          <w:rFonts w:ascii="Sakkal Majalla" w:hAnsi="Sakkal Majalla" w:cs="Sakkal Majalla" w:hint="cs"/>
          <w:b/>
          <w:bCs/>
          <w:sz w:val="48"/>
          <w:szCs w:val="48"/>
          <w:rtl/>
        </w:rPr>
        <w:t>الدراسات السابقة</w:t>
      </w:r>
    </w:p>
    <w:p w14:paraId="2A2C4559" w14:textId="77777777" w:rsidR="000561DC" w:rsidRPr="005117C1" w:rsidRDefault="000561DC" w:rsidP="000561DC">
      <w:pPr>
        <w:spacing w:line="360" w:lineRule="auto"/>
        <w:jc w:val="center"/>
        <w:rPr>
          <w:rFonts w:ascii="Sakkal Majalla" w:hAnsi="Sakkal Majalla" w:cs="Sakkal Majalla"/>
          <w:b/>
          <w:bCs/>
          <w:sz w:val="48"/>
          <w:szCs w:val="48"/>
          <w:rtl/>
        </w:rPr>
      </w:pPr>
      <w:proofErr w:type="gramStart"/>
      <w:r>
        <w:rPr>
          <w:rFonts w:ascii="Sakkal Majalla" w:hAnsi="Sakkal Majalla" w:cs="Sakkal Majalla" w:hint="cs"/>
          <w:b/>
          <w:bCs/>
          <w:sz w:val="48"/>
          <w:szCs w:val="48"/>
          <w:rtl/>
        </w:rPr>
        <w:t>والاطار</w:t>
      </w:r>
      <w:proofErr w:type="gramEnd"/>
      <w:r>
        <w:rPr>
          <w:rFonts w:ascii="Sakkal Majalla" w:hAnsi="Sakkal Majalla" w:cs="Sakkal Majalla" w:hint="cs"/>
          <w:b/>
          <w:bCs/>
          <w:sz w:val="48"/>
          <w:szCs w:val="48"/>
          <w:rtl/>
        </w:rPr>
        <w:t xml:space="preserve"> النظري</w:t>
      </w:r>
    </w:p>
    <w:p w14:paraId="7F6D3361" w14:textId="77777777" w:rsidR="000561DC" w:rsidRPr="005F0160" w:rsidRDefault="000561DC" w:rsidP="000561DC">
      <w:pPr>
        <w:spacing w:line="360" w:lineRule="auto"/>
        <w:ind w:left="-99"/>
        <w:rPr>
          <w:rFonts w:ascii="Simplified Arabic" w:hAnsi="Simplified Arabic" w:cs="Simplified Arabic"/>
          <w:color w:val="000000" w:themeColor="text1"/>
          <w:sz w:val="28"/>
          <w:szCs w:val="28"/>
          <w:rtl/>
        </w:rPr>
      </w:pPr>
    </w:p>
    <w:p w14:paraId="1B591E74" w14:textId="77777777" w:rsidR="000561DC" w:rsidRPr="005F0160" w:rsidRDefault="000561DC" w:rsidP="000561DC">
      <w:pPr>
        <w:spacing w:line="360" w:lineRule="auto"/>
        <w:ind w:left="-99"/>
        <w:rPr>
          <w:rFonts w:ascii="Simplified Arabic" w:hAnsi="Simplified Arabic" w:cs="Simplified Arabic"/>
          <w:color w:val="000000" w:themeColor="text1"/>
          <w:sz w:val="28"/>
          <w:szCs w:val="28"/>
          <w:rtl/>
        </w:rPr>
      </w:pPr>
    </w:p>
    <w:p w14:paraId="44F218B0" w14:textId="77777777" w:rsidR="000561DC" w:rsidRPr="005F0160" w:rsidRDefault="000561DC" w:rsidP="000561DC">
      <w:pPr>
        <w:spacing w:line="360" w:lineRule="auto"/>
        <w:ind w:left="-99"/>
        <w:rPr>
          <w:rFonts w:ascii="Simplified Arabic" w:hAnsi="Simplified Arabic" w:cs="Simplified Arabic"/>
          <w:color w:val="000000" w:themeColor="text1"/>
          <w:sz w:val="28"/>
          <w:szCs w:val="28"/>
          <w:rtl/>
        </w:rPr>
      </w:pPr>
    </w:p>
    <w:p w14:paraId="16A9FBE5" w14:textId="77777777" w:rsidR="000561DC" w:rsidRPr="005F0160" w:rsidRDefault="000561DC" w:rsidP="000561DC">
      <w:pPr>
        <w:spacing w:line="360" w:lineRule="auto"/>
        <w:ind w:left="-99"/>
        <w:rPr>
          <w:rFonts w:ascii="Simplified Arabic" w:hAnsi="Simplified Arabic" w:cs="Simplified Arabic"/>
          <w:color w:val="000000" w:themeColor="text1"/>
          <w:sz w:val="28"/>
          <w:szCs w:val="28"/>
          <w:rtl/>
        </w:rPr>
      </w:pPr>
    </w:p>
    <w:p w14:paraId="12313F82" w14:textId="77777777" w:rsidR="000561DC" w:rsidRPr="005F0160" w:rsidRDefault="000561DC" w:rsidP="000561DC">
      <w:pPr>
        <w:spacing w:line="360" w:lineRule="auto"/>
        <w:ind w:left="-99"/>
        <w:rPr>
          <w:rFonts w:ascii="Simplified Arabic" w:hAnsi="Simplified Arabic" w:cs="Simplified Arabic"/>
          <w:color w:val="000000" w:themeColor="text1"/>
          <w:sz w:val="28"/>
          <w:szCs w:val="28"/>
          <w:rtl/>
        </w:rPr>
      </w:pPr>
    </w:p>
    <w:p w14:paraId="065E245D" w14:textId="77777777" w:rsidR="000561DC" w:rsidRDefault="000561DC" w:rsidP="000561DC">
      <w:pPr>
        <w:spacing w:line="360" w:lineRule="auto"/>
        <w:rPr>
          <w:rFonts w:ascii="Sakkal Majalla" w:hAnsi="Sakkal Majalla" w:cs="Sakkal Majalla"/>
          <w:sz w:val="28"/>
          <w:szCs w:val="28"/>
          <w:u w:val="single"/>
          <w:rtl/>
        </w:rPr>
      </w:pPr>
    </w:p>
    <w:p w14:paraId="64A5B7DC" w14:textId="77777777" w:rsidR="000561DC" w:rsidRPr="005117C1" w:rsidRDefault="000561DC" w:rsidP="000561DC">
      <w:pPr>
        <w:spacing w:line="360" w:lineRule="auto"/>
        <w:rPr>
          <w:rFonts w:ascii="Sakkal Majalla" w:hAnsi="Sakkal Majalla" w:cs="Sakkal Majalla"/>
          <w:sz w:val="36"/>
          <w:szCs w:val="36"/>
          <w:rtl/>
        </w:rPr>
      </w:pPr>
      <w:r>
        <w:rPr>
          <w:rFonts w:ascii="Sakkal Majalla" w:hAnsi="Sakkal Majalla" w:cs="Sakkal Majalla" w:hint="cs"/>
          <w:sz w:val="36"/>
          <w:szCs w:val="36"/>
          <w:rtl/>
        </w:rPr>
        <w:t>2,1</w:t>
      </w:r>
      <w:r w:rsidRPr="005117C1">
        <w:rPr>
          <w:rFonts w:ascii="Sakkal Majalla" w:hAnsi="Sakkal Majalla" w:cs="Sakkal Majalla" w:hint="cs"/>
          <w:sz w:val="36"/>
          <w:szCs w:val="36"/>
          <w:rtl/>
        </w:rPr>
        <w:t>مقدمة</w:t>
      </w:r>
    </w:p>
    <w:p w14:paraId="448B55FA" w14:textId="77777777" w:rsidR="000561DC" w:rsidRPr="00825140"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 xml:space="preserve">يُعد التحول الرقمي من أبرز التحولات التي شهدتها الأنظمة الحكومية في العصر الحديث، حيث أصبح يمثل أحد المحاور الأساسية لتطوير الأداء الحكومي وتحسين مستوى الخدمات المقدمة للمواطنين. وقد أدى هذا التوجه إلى إحداث تغيير جوهري في طبيعة تقديم الخدمات، من أساليب تقليدية تعتمد على الإجراءات الورقية والتعامل المباشر، إلى منظومات رقمية متكاملة تعتمد على </w:t>
      </w:r>
      <w:r w:rsidRPr="00825140">
        <w:rPr>
          <w:rFonts w:ascii="Simplified Arabic" w:hAnsi="Simplified Arabic" w:cs="Simplified Arabic"/>
          <w:color w:val="000000" w:themeColor="text1"/>
          <w:sz w:val="28"/>
          <w:szCs w:val="28"/>
          <w:rtl/>
        </w:rPr>
        <w:lastRenderedPageBreak/>
        <w:t>تقنيات المعلومات والاتصالات، وتتيح تقديم الخدمات عبر منصات إلكترونية متقدمة تتميز بالسرعة والمرونة وسهولة الوصول.</w:t>
      </w:r>
    </w:p>
    <w:p w14:paraId="306E369B" w14:textId="77777777" w:rsidR="000561DC" w:rsidRPr="00825140"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وفي ظل هذا التحول، ازداد اهتمام الباحثين في مجالات الإدارة العامة ونظم المعلومات بدراسة التحول الرقمي والحكومة الإلكترونية، نظرًا لما لهما من تأثير مباشر على جودة الخدمات الحكومية وكفاءتها، وكذلك على مستوى رضا المستفيدين وتجربتهم في استخدام هذه الخدمات. وقد تناولت الدراسات السابقة هذا الموضوع من زوايا متعددة، حيث ركزت بعض الدراسات على قياس جودة الخدمات الإلكترونية وأبعادها المختلفة، في حين اهتمت دراسات أخرى بتحليل سلوك المستخدمين ومدى تقبلهم للتقنيات الحديثة، أو بدراسة أثر التحول الرقمي على الأداء المؤسسي والكفاءة التشغيلية، إضافة إلى دراسات تناولت العوامل المؤثرة في رضا المستفيدين.</w:t>
      </w:r>
    </w:p>
    <w:p w14:paraId="0F31A989" w14:textId="77777777" w:rsidR="000561DC" w:rsidRPr="00825140"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ورغم هذا الزخم في الأدبيات العلمية، إلا أن هناك تباينًا واضحًا في طبيعة المعالجة البحثية، سواء من حيث المنهجيات المستخدمة أو الفئات المستهدفة أو البيئات التطبيقية. كما تختلف نتائج الدراسات باختلاف السياقات الجغرافية والتنظيمية، الأمر الذي يجعل من الضروري إجراء تحليل علمي متكامل لهذه الدراسات، بهدف استخلاص أبرز ما توصلت إليه، ومقارنة نتائجها، والتعرف على أوجه الاتفاق والاختلاف بينها.</w:t>
      </w:r>
    </w:p>
    <w:p w14:paraId="7F419C58" w14:textId="77777777" w:rsidR="000561DC" w:rsidRPr="00825140" w:rsidRDefault="000561DC" w:rsidP="000561DC">
      <w:pPr>
        <w:spacing w:line="360" w:lineRule="auto"/>
        <w:ind w:left="-99"/>
        <w:jc w:val="both"/>
        <w:rPr>
          <w:rFonts w:ascii="Simplified Arabic" w:hAnsi="Simplified Arabic" w:cs="Simplified Arabic"/>
          <w:color w:val="000000" w:themeColor="text1"/>
          <w:sz w:val="28"/>
          <w:szCs w:val="28"/>
          <w:rtl/>
        </w:rPr>
      </w:pPr>
    </w:p>
    <w:p w14:paraId="1317E949" w14:textId="77777777" w:rsidR="000561DC" w:rsidRPr="00825140"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 xml:space="preserve">كما تشير المراجعة العلمية إلى أن بعض الدراسات ركزت على جانب محدد من التحول الرقمي دون النظر إليه كمنظومة متكاملة، في حين أن قلة من الدراسات تناولت العلاقة بين التحول الرقمي وجودة الخدمات وكفاءتها ورضا المستخدمين بشكل مترابط، خاصة في البيئة السعودية التي تشهد </w:t>
      </w:r>
      <w:r w:rsidRPr="00825140">
        <w:rPr>
          <w:rFonts w:ascii="Simplified Arabic" w:hAnsi="Simplified Arabic" w:cs="Simplified Arabic"/>
          <w:color w:val="000000" w:themeColor="text1"/>
          <w:sz w:val="28"/>
          <w:szCs w:val="28"/>
          <w:rtl/>
        </w:rPr>
        <w:lastRenderedPageBreak/>
        <w:t>تطورًا متسارعًا في هذا المجال. وهذا ما يعزز أهمية إجراء دراسة تجمع بين هذه المتغيرات ضمن إطار تحليلي واحد.</w:t>
      </w:r>
    </w:p>
    <w:p w14:paraId="175D5F2D" w14:textId="77777777" w:rsidR="000561DC" w:rsidRPr="00825140"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وانطلاقًا من ذلك، يهدف هذا الفصل إلى تقديم عرض منهجي ومنظم للدراسات السابقة المرتبطة بموضوع البحث، سواء على المستوى العربي أو العالمي، من خلال استعراض أهدافها، ومناهجها، وأهم النتائج التي توصلت إليها. كما يتضمن هذا الفصل تحليلًا نقديًا لهذه الدراسات، يركز على إبراز أوجه التشابه والاختلاف بينها، وتحديد الاتجاهات البحثية السائدة، والكشف عن الفجوات العلمية التي لم تحظَ بالاهتمام الكافي.</w:t>
      </w:r>
    </w:p>
    <w:p w14:paraId="74190A06" w14:textId="77777777" w:rsidR="000561DC" w:rsidRPr="00825140"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إضافة إلى ذلك، يسعى هذا الفصل إلى تحديد موقع الدراسة الحالية ضمن هذا الحقل المعرفي، وبيان الإسهام العلمي الذي يمكن أن تقدمه، سواء من حيث معالجة الفجوة البحثية، أو تقديم نموذج تحليلي يجمع بين متغيرات التحول الرقمي وجودة الخدمات وكفاءتها ورضا المستخدمين في سياق واحد.</w:t>
      </w:r>
    </w:p>
    <w:p w14:paraId="7FA28FB9" w14:textId="77777777" w:rsidR="000561DC"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كما يتناول الفصل الإطار النظري الذي تقوم عليه الدراسة، من خلال عرض وتحليل المفاهيم الأساسية المرتبطة بالتحول الرقمي، والحكومة الإلكترونية، وجودة الخدمات، والكفاءة التنظيمية، ورضا المستفيدين، بما يسهم في بناء أساس علمي متكامل يساعد في تفسير نتائج الدراسة وربطها بما ورد في الأدبيات السابقة.</w:t>
      </w:r>
    </w:p>
    <w:p w14:paraId="1A709CAD" w14:textId="77777777" w:rsidR="000561DC" w:rsidRPr="00603C11" w:rsidRDefault="000561DC" w:rsidP="000561DC">
      <w:pPr>
        <w:spacing w:line="360" w:lineRule="auto"/>
        <w:ind w:left="-99"/>
        <w:jc w:val="both"/>
        <w:rPr>
          <w:rFonts w:ascii="Simplified Arabic" w:hAnsi="Simplified Arabic" w:cs="Simplified Arabic"/>
          <w:color w:val="000000" w:themeColor="text1"/>
          <w:sz w:val="28"/>
          <w:szCs w:val="28"/>
          <w:rtl/>
        </w:rPr>
      </w:pPr>
      <w:r w:rsidRPr="00825140">
        <w:rPr>
          <w:rFonts w:ascii="Simplified Arabic" w:hAnsi="Simplified Arabic" w:cs="Simplified Arabic"/>
          <w:color w:val="000000" w:themeColor="text1"/>
          <w:sz w:val="28"/>
          <w:szCs w:val="28"/>
          <w:rtl/>
        </w:rPr>
        <w:t>وبذلك، يُمثل هذا الفصل قاعدة علمية ومنهجية تنطلق منها الدراسة، حيث يسهم في الربط بين الجوانب النظرية والتطبيقية، ويمهد لبناء النموذج البحثي واختبار فرضيات الدراسة في الفصول اللاحقة، بما يعزز من تماسك البحث وتكامل أجزائه.</w:t>
      </w:r>
    </w:p>
    <w:p w14:paraId="6D37650C" w14:textId="77777777" w:rsidR="000561DC" w:rsidRPr="00603C11" w:rsidRDefault="000561DC" w:rsidP="000561DC">
      <w:pPr>
        <w:spacing w:line="360" w:lineRule="auto"/>
        <w:jc w:val="both"/>
        <w:rPr>
          <w:rFonts w:ascii="Simplified Arabic" w:hAnsi="Simplified Arabic" w:cs="Simplified Arabic"/>
          <w:color w:val="000000" w:themeColor="text1"/>
          <w:sz w:val="36"/>
          <w:szCs w:val="36"/>
          <w:rtl/>
        </w:rPr>
      </w:pPr>
      <w:r>
        <w:rPr>
          <w:rFonts w:ascii="Simplified Arabic" w:hAnsi="Simplified Arabic" w:cs="Simplified Arabic" w:hint="cs"/>
          <w:color w:val="000000" w:themeColor="text1"/>
          <w:sz w:val="36"/>
          <w:szCs w:val="36"/>
          <w:rtl/>
        </w:rPr>
        <w:t>2,2</w:t>
      </w:r>
      <w:r w:rsidRPr="00603C11">
        <w:rPr>
          <w:rFonts w:ascii="Simplified Arabic" w:hAnsi="Simplified Arabic" w:cs="Simplified Arabic"/>
          <w:color w:val="000000" w:themeColor="text1"/>
          <w:sz w:val="36"/>
          <w:szCs w:val="36"/>
          <w:rtl/>
        </w:rPr>
        <w:t>الدراسات السابقة:</w:t>
      </w:r>
    </w:p>
    <w:p w14:paraId="012C7327" w14:textId="77777777" w:rsidR="000561DC" w:rsidRPr="00422400" w:rsidRDefault="000561DC" w:rsidP="000561DC">
      <w:pPr>
        <w:spacing w:line="360" w:lineRule="auto"/>
        <w:ind w:left="-99"/>
        <w:jc w:val="both"/>
        <w:rPr>
          <w:rFonts w:ascii="Simplified Arabic" w:hAnsi="Simplified Arabic" w:cs="Simplified Arabic"/>
          <w:color w:val="000000" w:themeColor="text1"/>
          <w:sz w:val="32"/>
          <w:szCs w:val="32"/>
          <w:u w:val="single"/>
          <w:rtl/>
        </w:rPr>
      </w:pPr>
      <w:proofErr w:type="gramStart"/>
      <w:r w:rsidRPr="00422400">
        <w:rPr>
          <w:rFonts w:ascii="Simplified Arabic" w:hAnsi="Simplified Arabic" w:cs="Simplified Arabic"/>
          <w:color w:val="000000" w:themeColor="text1"/>
          <w:sz w:val="32"/>
          <w:szCs w:val="32"/>
          <w:u w:val="single"/>
          <w:rtl/>
        </w:rPr>
        <w:lastRenderedPageBreak/>
        <w:t>أولا :</w:t>
      </w:r>
      <w:proofErr w:type="gramEnd"/>
      <w:r w:rsidRPr="00422400">
        <w:rPr>
          <w:rFonts w:ascii="Simplified Arabic" w:hAnsi="Simplified Arabic" w:cs="Simplified Arabic"/>
          <w:color w:val="000000" w:themeColor="text1"/>
          <w:sz w:val="32"/>
          <w:szCs w:val="32"/>
          <w:u w:val="single"/>
          <w:rtl/>
        </w:rPr>
        <w:t xml:space="preserve"> الدراسات العربية </w:t>
      </w:r>
    </w:p>
    <w:p w14:paraId="214A40F6" w14:textId="77777777" w:rsidR="000561DC" w:rsidRPr="005F0160" w:rsidRDefault="000561DC" w:rsidP="000561DC">
      <w:pPr>
        <w:spacing w:line="360" w:lineRule="auto"/>
        <w:ind w:left="-99"/>
        <w:jc w:val="both"/>
        <w:rPr>
          <w:rFonts w:ascii="Simplified Arabic" w:hAnsi="Simplified Arabic" w:cs="Simplified Arabic"/>
          <w:color w:val="000000" w:themeColor="text1"/>
          <w:sz w:val="32"/>
          <w:szCs w:val="32"/>
          <w:rtl/>
        </w:rPr>
      </w:pPr>
      <w:r w:rsidRPr="005F0160">
        <w:rPr>
          <w:rFonts w:ascii="Simplified Arabic" w:hAnsi="Simplified Arabic" w:cs="Simplified Arabic"/>
          <w:color w:val="000000" w:themeColor="text1"/>
          <w:sz w:val="32"/>
          <w:szCs w:val="32"/>
          <w:rtl/>
        </w:rPr>
        <w:t xml:space="preserve">-الأنصاري </w:t>
      </w:r>
      <w:proofErr w:type="gramStart"/>
      <w:r w:rsidRPr="005F0160">
        <w:rPr>
          <w:rFonts w:ascii="Simplified Arabic" w:hAnsi="Simplified Arabic" w:cs="Simplified Arabic"/>
          <w:color w:val="000000" w:themeColor="text1"/>
          <w:sz w:val="32"/>
          <w:szCs w:val="32"/>
          <w:rtl/>
        </w:rPr>
        <w:t>محمد  (</w:t>
      </w:r>
      <w:proofErr w:type="gramEnd"/>
      <w:r w:rsidRPr="005F0160">
        <w:rPr>
          <w:rFonts w:ascii="Simplified Arabic" w:hAnsi="Simplified Arabic" w:cs="Simplified Arabic"/>
          <w:color w:val="000000" w:themeColor="text1"/>
          <w:sz w:val="32"/>
          <w:szCs w:val="32"/>
          <w:rtl/>
        </w:rPr>
        <w:t xml:space="preserve"> 2025م)</w:t>
      </w:r>
    </w:p>
    <w:p w14:paraId="38AAF423"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وهدفت إلى قياس رضا المواطنين عن الخدمات الحكومية الإلكترونية في السعودية من خلال إطار منهجي يعتمد على معايير </w:t>
      </w:r>
      <w:r w:rsidRPr="005F0160">
        <w:rPr>
          <w:rFonts w:ascii="Simplified Arabic" w:hAnsi="Simplified Arabic" w:cs="Simplified Arabic"/>
          <w:color w:val="000000" w:themeColor="text1"/>
          <w:sz w:val="28"/>
          <w:szCs w:val="28"/>
        </w:rPr>
        <w:t>ISO/IEC 25010</w:t>
      </w:r>
      <w:r w:rsidRPr="005F0160">
        <w:rPr>
          <w:rFonts w:ascii="Simplified Arabic" w:hAnsi="Simplified Arabic" w:cs="Simplified Arabic"/>
          <w:color w:val="000000" w:themeColor="text1"/>
          <w:sz w:val="28"/>
          <w:szCs w:val="28"/>
          <w:rtl/>
        </w:rPr>
        <w:t xml:space="preserve"> </w:t>
      </w:r>
      <w:proofErr w:type="gramStart"/>
      <w:r w:rsidRPr="005F0160">
        <w:rPr>
          <w:rFonts w:ascii="Simplified Arabic" w:hAnsi="Simplified Arabic" w:cs="Simplified Arabic"/>
          <w:color w:val="000000" w:themeColor="text1"/>
          <w:sz w:val="28"/>
          <w:szCs w:val="28"/>
          <w:rtl/>
        </w:rPr>
        <w:t xml:space="preserve">و </w:t>
      </w:r>
      <w:r w:rsidRPr="005F0160">
        <w:rPr>
          <w:rFonts w:ascii="Simplified Arabic" w:hAnsi="Simplified Arabic" w:cs="Simplified Arabic"/>
          <w:color w:val="000000" w:themeColor="text1"/>
          <w:sz w:val="28"/>
          <w:szCs w:val="28"/>
        </w:rPr>
        <w:t>ISO</w:t>
      </w:r>
      <w:proofErr w:type="gramEnd"/>
      <w:r w:rsidRPr="005F0160">
        <w:rPr>
          <w:rFonts w:ascii="Simplified Arabic" w:hAnsi="Simplified Arabic" w:cs="Simplified Arabic"/>
          <w:color w:val="000000" w:themeColor="text1"/>
          <w:sz w:val="28"/>
          <w:szCs w:val="28"/>
        </w:rPr>
        <w:t>/IEC 25022</w:t>
      </w:r>
      <w:r w:rsidRPr="005F0160">
        <w:rPr>
          <w:rFonts w:ascii="Simplified Arabic" w:hAnsi="Simplified Arabic" w:cs="Simplified Arabic"/>
          <w:color w:val="000000" w:themeColor="text1"/>
          <w:sz w:val="28"/>
          <w:szCs w:val="28"/>
          <w:rtl/>
        </w:rPr>
        <w:t xml:space="preserve">، إضافةً إلى الاستفادة من نموذج </w:t>
      </w:r>
      <w:r w:rsidRPr="005F0160">
        <w:rPr>
          <w:rFonts w:ascii="Simplified Arabic" w:hAnsi="Simplified Arabic" w:cs="Simplified Arabic"/>
          <w:color w:val="000000" w:themeColor="text1"/>
          <w:sz w:val="28"/>
          <w:szCs w:val="28"/>
        </w:rPr>
        <w:t>UTAUT</w:t>
      </w:r>
      <w:r w:rsidRPr="005F0160">
        <w:rPr>
          <w:rFonts w:ascii="Simplified Arabic" w:hAnsi="Simplified Arabic" w:cs="Simplified Arabic"/>
          <w:color w:val="000000" w:themeColor="text1"/>
          <w:sz w:val="28"/>
          <w:szCs w:val="28"/>
          <w:rtl/>
        </w:rPr>
        <w:t xml:space="preserve"> لفهم سلوك المستخدمين. اعتمد الباحث على استبانة وُزعت على 500 مواطن، نتج عنها 276 إجابة صالحة للتحليل.</w:t>
      </w:r>
    </w:p>
    <w:p w14:paraId="1164AEBC"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وتوصلت الدراسة إلى أن مستوى الرضا العام لدى المواطنين مرتفع جدًا، خصوصًا فيما يتعلق بسهولة الاستخدام، الثقة في الخدمات، ونجاح تنفيذ المعاملات. كما أظهرت النتائج أن المستخدمين يشعرون بكفاءة الخدمات وموثوقيتها، وهو ما يتوافق مع تقدم المملكة في مؤشر الأمم المتحدة لتطوير الحكومة الإلكترونية. ومع ذلك، كشفت الدراسة عن بعض التحديات مثل قلة وضوح بعض الخدمات، بطء الاستجابة، ووجود خطوات أو معلومات إضافية غير ضرورية في عدد من المنصات. كما أوضحت أن الجانب العاطفي أو "الاستمتاع" باستخدام الخدمات كان منخفضًا مقارنةً بجوانب الرضا الوظيفي.</w:t>
      </w:r>
    </w:p>
    <w:p w14:paraId="5E900D28" w14:textId="77777777" w:rsidR="000561DC"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وانتهت الدراسة بالتوصية بزيادة التركيز على تحسين تجربة المستخدم </w:t>
      </w:r>
      <w:r w:rsidRPr="005F0160">
        <w:rPr>
          <w:rFonts w:ascii="Simplified Arabic" w:hAnsi="Simplified Arabic" w:cs="Simplified Arabic"/>
          <w:color w:val="000000" w:themeColor="text1"/>
          <w:sz w:val="28"/>
          <w:szCs w:val="28"/>
        </w:rPr>
        <w:t>UX</w:t>
      </w:r>
      <w:r w:rsidRPr="005F0160">
        <w:rPr>
          <w:rFonts w:ascii="Simplified Arabic" w:hAnsi="Simplified Arabic" w:cs="Simplified Arabic"/>
          <w:color w:val="000000" w:themeColor="text1"/>
          <w:sz w:val="28"/>
          <w:szCs w:val="28"/>
          <w:rtl/>
        </w:rPr>
        <w:t>، وتعزيز وضوح الإجراءات، وتقليل التعقيد في الخطوات المطلوبة، إضافة إلى تعزيز الحملات التوعوية ورفع جودة التصميم من أجل تحسين رضا المستخدمين بشكل أكبر.</w:t>
      </w:r>
    </w:p>
    <w:p w14:paraId="57558D79" w14:textId="77777777" w:rsidR="000561DC" w:rsidRDefault="000561DC" w:rsidP="000561DC">
      <w:pPr>
        <w:spacing w:line="360" w:lineRule="auto"/>
        <w:ind w:left="-99"/>
        <w:jc w:val="both"/>
        <w:rPr>
          <w:rFonts w:ascii="Simplified Arabic" w:hAnsi="Simplified Arabic" w:cs="Simplified Arabic"/>
          <w:color w:val="000000" w:themeColor="text1"/>
          <w:sz w:val="28"/>
          <w:szCs w:val="28"/>
          <w:rtl/>
        </w:rPr>
      </w:pPr>
    </w:p>
    <w:p w14:paraId="082141EA"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p>
    <w:p w14:paraId="7EEA5125" w14:textId="77777777" w:rsidR="000561DC" w:rsidRPr="005F0160" w:rsidRDefault="000561DC" w:rsidP="000561DC">
      <w:pPr>
        <w:spacing w:line="360" w:lineRule="auto"/>
        <w:ind w:left="-99"/>
        <w:jc w:val="both"/>
        <w:rPr>
          <w:rFonts w:ascii="Simplified Arabic" w:hAnsi="Simplified Arabic" w:cs="Simplified Arabic"/>
          <w:color w:val="000000" w:themeColor="text1"/>
          <w:sz w:val="32"/>
          <w:szCs w:val="32"/>
          <w:rtl/>
        </w:rPr>
      </w:pPr>
      <w:r w:rsidRPr="005F0160">
        <w:rPr>
          <w:rFonts w:ascii="Simplified Arabic" w:hAnsi="Simplified Arabic" w:cs="Simplified Arabic"/>
          <w:color w:val="000000" w:themeColor="text1"/>
          <w:sz w:val="32"/>
          <w:szCs w:val="32"/>
          <w:rtl/>
        </w:rPr>
        <w:lastRenderedPageBreak/>
        <w:t>-الزهراني ريم أحمد سعيد (2025م)</w:t>
      </w:r>
    </w:p>
    <w:p w14:paraId="7E37FFE9"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قدّمت ريم أحمد سعيد الزهراني (2025) دراسة بعنوان “أثر أبعاد الحكومة الإلكترونية في تحسين جودة الخدمات العامة: دراسة ميدانية على وزارة الصحة بجدة”، وهدفت من خلالها إلى التعرف على دور خمسة أبعاد من الحكومة الإلكترونية—البنية التحتية، البنية التشريعية، أنظمة الحكومة الإلكترونية، العنصر البشري، والدعم الإداري—في تحسين جودة الخدمات العامة. اعتمدت الدراسة المنهج الوصفي التحليلي، واستندت إلى استبانة وُزعت على عينة بلغت 380 موظفًا من فرع وزارة الصحة بجدة.</w:t>
      </w:r>
    </w:p>
    <w:p w14:paraId="45617712"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وأظهرت نتائج الدراسة ارتفاع مستوى تطبيق الحكومة الإلكترونية داخل الوزارة، حيث جاء بعد البنية التشريعية في المرتبة الأعلى من حيث التأثير، يليه الدعم الإداري ثم العنصر البشري، بينما لم تُظهر البنية التحتية أو أنظمة الحكومة الإلكترونية أثرًا دالًا في تحسين جودة الخدمات. كما بيّنت النتائج وجود علاقة إيجابية ودالة إحصائيًا بين معظم أبعاد الحكومة الإلكترونية وجودة الخدمات، إضافة إلى تأثير بعض المتغيرات الديموغرافية على تقييم الأفراد لهذه العلاقة. وخلصت الدراسة إلى أن تعزيز جودة الخدمات يتطلب دعمًا إداريًا وتشريعيًا قويًا، وتطوير مهارات الكوادر البشرية، إلى جانب تحسين البنى التحتية التقنية والأنظمة الإلكترونية القائمة، مع توصيات بالاستمرار في تطوير مستوى النضج الرقمي داخل الوزارة.</w:t>
      </w:r>
    </w:p>
    <w:p w14:paraId="4721B6E5" w14:textId="77777777" w:rsidR="000561DC" w:rsidRPr="005F0160" w:rsidRDefault="000561DC" w:rsidP="000561DC">
      <w:pPr>
        <w:spacing w:line="360" w:lineRule="auto"/>
        <w:ind w:left="-99"/>
        <w:jc w:val="both"/>
        <w:rPr>
          <w:rFonts w:ascii="Simplified Arabic" w:hAnsi="Simplified Arabic" w:cs="Simplified Arabic"/>
          <w:color w:val="000000" w:themeColor="text1"/>
          <w:sz w:val="32"/>
          <w:szCs w:val="32"/>
          <w:rtl/>
        </w:rPr>
      </w:pPr>
      <w:r w:rsidRPr="005F0160">
        <w:rPr>
          <w:rFonts w:ascii="Simplified Arabic" w:hAnsi="Simplified Arabic" w:cs="Simplified Arabic"/>
          <w:color w:val="000000" w:themeColor="text1"/>
          <w:sz w:val="32"/>
          <w:szCs w:val="32"/>
          <w:rtl/>
        </w:rPr>
        <w:t xml:space="preserve">-الشهري ريم بنت </w:t>
      </w:r>
      <w:proofErr w:type="gramStart"/>
      <w:r w:rsidRPr="005F0160">
        <w:rPr>
          <w:rFonts w:ascii="Simplified Arabic" w:hAnsi="Simplified Arabic" w:cs="Simplified Arabic"/>
          <w:color w:val="000000" w:themeColor="text1"/>
          <w:sz w:val="32"/>
          <w:szCs w:val="32"/>
          <w:rtl/>
        </w:rPr>
        <w:t>فهران  و</w:t>
      </w:r>
      <w:proofErr w:type="gramEnd"/>
      <w:r w:rsidRPr="005F0160">
        <w:rPr>
          <w:rFonts w:ascii="Simplified Arabic" w:hAnsi="Simplified Arabic" w:cs="Simplified Arabic"/>
          <w:color w:val="000000" w:themeColor="text1"/>
          <w:sz w:val="32"/>
          <w:szCs w:val="32"/>
          <w:rtl/>
        </w:rPr>
        <w:t xml:space="preserve"> الشعلان ابتهال بنت عبد العزيز (</w:t>
      </w:r>
      <w:r>
        <w:rPr>
          <w:rFonts w:ascii="Simplified Arabic" w:hAnsi="Simplified Arabic" w:cs="Simplified Arabic" w:hint="cs"/>
          <w:color w:val="000000" w:themeColor="text1"/>
          <w:sz w:val="32"/>
          <w:szCs w:val="32"/>
          <w:rtl/>
        </w:rPr>
        <w:t>2025م</w:t>
      </w:r>
      <w:r w:rsidRPr="005F0160">
        <w:rPr>
          <w:rFonts w:ascii="Simplified Arabic" w:hAnsi="Simplified Arabic" w:cs="Simplified Arabic"/>
          <w:color w:val="000000" w:themeColor="text1"/>
          <w:sz w:val="32"/>
          <w:szCs w:val="32"/>
          <w:rtl/>
        </w:rPr>
        <w:t>)</w:t>
      </w:r>
    </w:p>
    <w:p w14:paraId="7372425C"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قدّمت ريم بنت فهران الشهري وابتهال بنت عبد العزيز الشعلان (2025) دراسة بعنوان “أثر التحول الرقمي على تسهيل الخدمات للمستفيدين في المؤسسات الحكومية السعودية”، وهدفت إلى التعرف على واقع التحول الرقمي في المؤسسات الحكومية وقياس مدى تأثيره في سهولة حصول المستفيدين </w:t>
      </w:r>
      <w:r w:rsidRPr="005F0160">
        <w:rPr>
          <w:rFonts w:ascii="Simplified Arabic" w:hAnsi="Simplified Arabic" w:cs="Simplified Arabic"/>
          <w:color w:val="000000" w:themeColor="text1"/>
          <w:sz w:val="28"/>
          <w:szCs w:val="28"/>
          <w:rtl/>
        </w:rPr>
        <w:lastRenderedPageBreak/>
        <w:t>على الخدمات. اعتمدت الدراسة المنهج الوصفي التحليلي، وتم تطبيق استبانة على عينة مكوّنة من 384 مستفيدًا من مختلف الجهات الحكومية داخل المملكة العربية السعودية.</w:t>
      </w:r>
    </w:p>
    <w:p w14:paraId="0168B518"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وتوصلت النتائج إلى وجود علاقة ارتباط قوية ودالة إحصائيًا بين مستوى التحول الرقمي وقدرة المستفيدين على الحصول على الخدمات بسهولة، حيث فسّر التحول الرقمي ما نسبته 79.3% من التباين في تسهيل الخدمات. كما كشفت الدراسة عن رضا مرتفع لدى المستفيدين عن الخدمات الرقمية المقدمة، خاصة منصات مثل أبشر وسداد وواصل، والتي ساهمت بشكل واضح في تقليل الجهد والوقت والتكاليف، وفي تجاوز الحواجز الجغرافية، إضافة إلى تعزيز حماية البيانات وموثوقية الخدمات. وأوصت الدراسة بزيادة تنوع الخدمات الإلكترونية، وتقليل المعاملات التقليدية، وتحسين الدعم الفني ومتابعة الشكاوى، وتطوير أنظمة التحول الرقمي بشكل مستمر.</w:t>
      </w:r>
    </w:p>
    <w:p w14:paraId="28F7FBF6" w14:textId="77777777" w:rsidR="000561DC" w:rsidRPr="00471498"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32"/>
          <w:szCs w:val="32"/>
        </w:rPr>
      </w:pPr>
      <w:r w:rsidRPr="00471498">
        <w:rPr>
          <w:rFonts w:ascii="Simplified Arabic" w:hAnsi="Simplified Arabic" w:cs="Simplified Arabic"/>
          <w:color w:val="000000" w:themeColor="text1"/>
          <w:sz w:val="32"/>
          <w:szCs w:val="32"/>
          <w:rtl/>
        </w:rPr>
        <w:t>بيطار شادي (2024م)</w:t>
      </w:r>
    </w:p>
    <w:p w14:paraId="4C89E695"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تتناول دراسة “أثر توفر أبعاد جودة الخدمات الإلكترونية لتطبيق معاملاتي في تبني المواطنين للخدمات الحكومية الإلكترونية عبر الجوال” الصادرة عن الجامعة الافتراضية السورية (2024)، العوامل المؤثرة في تبنّي المواطنين للخدمات الحكومية عبر الهاتف المحمول من خلال تطبيق “معاملاتي”. هدفت الدراسة إلى قياس تأثير أربعة أبعاد رئيسية لجودة الخدمة الإلكترونية على سلوك التبني، وهي: سهولة الاستخدام، موثوقية ودقة الخدمات، الإشعارات وتتبع المعاملات، والتكامل بين الخدمات، كما يظهر في صياغة أسئلة الدراسة. اعتمدت الدراسة على منهج كمي باستخدام الانحدار المتعدد لتحليل استجابات عينة من المستخدمين، وأظهرت نتائجها أن جميع الأبعاد الأربعة كان لها تأثير إيجابي ودالٍ إحصائيًا على تبني المستخدمين للخدمات الحكومية عبر الجوال، حيث بينت النماذج الإحصائية أن معاملات الانحدار لجميع الأبعاد كانت موجبة ودالة. كما أوضحت الدراسة </w:t>
      </w:r>
      <w:r w:rsidRPr="005F0160">
        <w:rPr>
          <w:rFonts w:ascii="Simplified Arabic" w:hAnsi="Simplified Arabic" w:cs="Simplified Arabic"/>
          <w:color w:val="000000" w:themeColor="text1"/>
          <w:sz w:val="28"/>
          <w:szCs w:val="28"/>
          <w:rtl/>
        </w:rPr>
        <w:lastRenderedPageBreak/>
        <w:t>أن الموثوقية ودقة الخدمات وسهولة الاستخدام كانتا الأكثر تأثيرًا بين الأبعاد المدروسة. وقد خلصت الدراسة إلى ضرورة تحسين جودة الخدمات الإلكترونية وتطوير التجربة التقنية والتفاعلية للمستخدمين، مع مراعاة الفروق الديموغرافية، وأوصت بتعزيز التكامل بين الجهات الحكومية لضمان تجربة موحدة وأكثر فاعلية.</w:t>
      </w:r>
    </w:p>
    <w:p w14:paraId="615FBBC7" w14:textId="77777777" w:rsidR="000561DC" w:rsidRPr="00471498"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32"/>
          <w:szCs w:val="32"/>
        </w:rPr>
      </w:pPr>
      <w:proofErr w:type="spellStart"/>
      <w:r w:rsidRPr="00471498">
        <w:rPr>
          <w:rFonts w:ascii="Simplified Arabic" w:hAnsi="Simplified Arabic" w:cs="Simplified Arabic"/>
          <w:color w:val="000000" w:themeColor="text1"/>
          <w:sz w:val="32"/>
          <w:szCs w:val="32"/>
          <w:rtl/>
        </w:rPr>
        <w:t>الرتيق</w:t>
      </w:r>
      <w:proofErr w:type="spellEnd"/>
      <w:r w:rsidRPr="00471498">
        <w:rPr>
          <w:rFonts w:ascii="Simplified Arabic" w:hAnsi="Simplified Arabic" w:cs="Simplified Arabic"/>
          <w:color w:val="000000" w:themeColor="text1"/>
          <w:sz w:val="32"/>
          <w:szCs w:val="32"/>
          <w:rtl/>
        </w:rPr>
        <w:t xml:space="preserve"> </w:t>
      </w:r>
      <w:proofErr w:type="gramStart"/>
      <w:r w:rsidRPr="00471498">
        <w:rPr>
          <w:rFonts w:ascii="Simplified Arabic" w:hAnsi="Simplified Arabic" w:cs="Simplified Arabic"/>
          <w:color w:val="000000" w:themeColor="text1"/>
          <w:sz w:val="32"/>
          <w:szCs w:val="32"/>
          <w:rtl/>
        </w:rPr>
        <w:t>عبدالله</w:t>
      </w:r>
      <w:proofErr w:type="gramEnd"/>
      <w:r w:rsidRPr="00471498">
        <w:rPr>
          <w:rFonts w:ascii="Simplified Arabic" w:hAnsi="Simplified Arabic" w:cs="Simplified Arabic"/>
          <w:color w:val="000000" w:themeColor="text1"/>
          <w:sz w:val="32"/>
          <w:szCs w:val="32"/>
          <w:rtl/>
        </w:rPr>
        <w:t xml:space="preserve"> الناصر </w:t>
      </w:r>
      <w:proofErr w:type="gramStart"/>
      <w:r w:rsidRPr="00471498">
        <w:rPr>
          <w:rFonts w:ascii="Simplified Arabic" w:hAnsi="Simplified Arabic" w:cs="Simplified Arabic"/>
          <w:color w:val="000000" w:themeColor="text1"/>
          <w:sz w:val="32"/>
          <w:szCs w:val="32"/>
          <w:rtl/>
        </w:rPr>
        <w:t>( 2024</w:t>
      </w:r>
      <w:proofErr w:type="gramEnd"/>
      <w:r w:rsidRPr="00471498">
        <w:rPr>
          <w:rFonts w:ascii="Simplified Arabic" w:hAnsi="Simplified Arabic" w:cs="Simplified Arabic"/>
          <w:color w:val="000000" w:themeColor="text1"/>
          <w:sz w:val="32"/>
          <w:szCs w:val="32"/>
          <w:rtl/>
        </w:rPr>
        <w:t>م)</w:t>
      </w:r>
    </w:p>
    <w:p w14:paraId="30B3BB21"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تتناول دراسة “أثر التحول الرقمي على الاستراتيجيات المالية للشركات في المملكة العربية السعودية” المنشورة في مجلة الدراسات الجامعية للبحوث الشاملة (2024) أثر التحول الرقمي على ممارسات الشركات المالية، وقد اعتمدت على المنهج الوصفي التحليلي باستخدام استبانة وُجهت إلى موظفي الشركات المالية داخل المملكة. ركزت الدراسة على تحليل مدى اعتماد الشركات على التقنيات الرقمية في تطوير الخدمات، وتحسين الأداء، وبناء استراتيجيات الاستثمار والتمويل، وإدارة المخاطر.</w:t>
      </w:r>
    </w:p>
    <w:p w14:paraId="7A1EA1CC"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وأظهرت النتائج—كما ورد في صفحة الملخص—وجود تأثير كبير ودالٍ إحصائيًا للتحول الرقمي على الاستراتيجيات المالية، حيث تعتمد الشركات بشكل واسع على التكنولوجيا الرقمية في التحليل المالي، ووضع الأهداف، وتطوير المنتجات والخدمات، إضافة إلى زيادة الاعتماد على الابتكار والأنظمة التقنية المتقدمة مثل التطبيقات الذكية وأساليب التطوير السريع للبرمجيات. كما بينت النتائج أن التحول الرقمي ساهم في تحسين الكفاءة التشغيلية وتقليل التكاليف ورفع مستوى التنافسية، مع التأكيد على ضرورة تحسين الأمن السيبراني وتطوير مهارات الموظفين الرقمية.</w:t>
      </w:r>
    </w:p>
    <w:p w14:paraId="043213E3" w14:textId="77777777" w:rsidR="000561DC" w:rsidRPr="00471498"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32"/>
          <w:szCs w:val="32"/>
          <w:rtl/>
        </w:rPr>
      </w:pPr>
      <w:r w:rsidRPr="00471498">
        <w:rPr>
          <w:rFonts w:ascii="Simplified Arabic" w:hAnsi="Simplified Arabic" w:cs="Simplified Arabic"/>
          <w:color w:val="000000" w:themeColor="text1"/>
          <w:sz w:val="32"/>
          <w:szCs w:val="32"/>
          <w:rtl/>
        </w:rPr>
        <w:t xml:space="preserve">الحربي تهاني دبيان </w:t>
      </w:r>
      <w:proofErr w:type="gramStart"/>
      <w:r w:rsidRPr="00471498">
        <w:rPr>
          <w:rFonts w:ascii="Simplified Arabic" w:hAnsi="Simplified Arabic" w:cs="Simplified Arabic"/>
          <w:color w:val="000000" w:themeColor="text1"/>
          <w:sz w:val="32"/>
          <w:szCs w:val="32"/>
          <w:rtl/>
        </w:rPr>
        <w:t xml:space="preserve">و </w:t>
      </w:r>
      <w:proofErr w:type="spellStart"/>
      <w:r w:rsidRPr="00471498">
        <w:rPr>
          <w:rFonts w:ascii="Simplified Arabic" w:hAnsi="Simplified Arabic" w:cs="Simplified Arabic"/>
          <w:color w:val="000000" w:themeColor="text1"/>
          <w:sz w:val="32"/>
          <w:szCs w:val="32"/>
          <w:rtl/>
        </w:rPr>
        <w:t>الربغي</w:t>
      </w:r>
      <w:proofErr w:type="spellEnd"/>
      <w:proofErr w:type="gramEnd"/>
      <w:r w:rsidRPr="00471498">
        <w:rPr>
          <w:rFonts w:ascii="Simplified Arabic" w:hAnsi="Simplified Arabic" w:cs="Simplified Arabic"/>
          <w:color w:val="000000" w:themeColor="text1"/>
          <w:sz w:val="32"/>
          <w:szCs w:val="32"/>
          <w:rtl/>
        </w:rPr>
        <w:t xml:space="preserve"> ريم علي (2024م) </w:t>
      </w:r>
    </w:p>
    <w:p w14:paraId="103199D9"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lastRenderedPageBreak/>
        <w:t>تتناول دراسة “دور الحكومة الرقمية ودعمها للجهات الحكومية في تبنّي التقنيات الناشئة” دور هيئة الحكومة الرقمية في تمكين الجهات الحكومية داخل المملكة من تبنّي التقنيات الناشئة مثل الذكاء الاصطناعي، إنترنت الأشياء، وسلسلة الكتل. ركزت الدراسة على تحليل آليات الدعم المقدمة للجهات الحكومية، ودور الهيئة كممكن ومنظم واستشاري في تعزيز التحول الرقمي. وتوصلت الدراسة إلى أن الحكومة الرقمية تمثل عاملًا رئيسيًا في تحسين الكفاءة والجودة داخل القطاع العام، وأن تبنّي التقنيات الناشئة يساعد في تطوير الخدمات وتحسين تجربة المستفيد، مع التأكيد على أهمية رفع الجاهزية الرقمية وتطوير السياسات التقنية والبنية التحتية لنجاح التحول الرقمي.</w:t>
      </w:r>
    </w:p>
    <w:p w14:paraId="59E7DE04" w14:textId="77777777" w:rsidR="000561DC" w:rsidRPr="007E064D" w:rsidRDefault="000561DC" w:rsidP="000561DC">
      <w:pPr>
        <w:spacing w:line="360" w:lineRule="auto"/>
        <w:ind w:left="-99"/>
        <w:jc w:val="both"/>
        <w:rPr>
          <w:rFonts w:ascii="Simplified Arabic" w:hAnsi="Simplified Arabic" w:cs="Simplified Arabic"/>
          <w:color w:val="000000" w:themeColor="text1"/>
          <w:sz w:val="32"/>
          <w:szCs w:val="32"/>
          <w:rtl/>
        </w:rPr>
      </w:pPr>
      <w:r w:rsidRPr="007E064D">
        <w:rPr>
          <w:rFonts w:ascii="Simplified Arabic" w:hAnsi="Simplified Arabic" w:cs="Simplified Arabic"/>
          <w:color w:val="000000" w:themeColor="text1"/>
          <w:sz w:val="32"/>
          <w:szCs w:val="32"/>
          <w:rtl/>
        </w:rPr>
        <w:t xml:space="preserve">-أحمد مروان روحي </w:t>
      </w:r>
      <w:proofErr w:type="gramStart"/>
      <w:r w:rsidRPr="007E064D">
        <w:rPr>
          <w:rFonts w:ascii="Simplified Arabic" w:hAnsi="Simplified Arabic" w:cs="Simplified Arabic"/>
          <w:color w:val="000000" w:themeColor="text1"/>
          <w:sz w:val="32"/>
          <w:szCs w:val="32"/>
          <w:rtl/>
        </w:rPr>
        <w:t>( 2023</w:t>
      </w:r>
      <w:proofErr w:type="gramEnd"/>
      <w:r w:rsidRPr="007E064D">
        <w:rPr>
          <w:rFonts w:ascii="Simplified Arabic" w:hAnsi="Simplified Arabic" w:cs="Simplified Arabic"/>
          <w:color w:val="000000" w:themeColor="text1"/>
          <w:sz w:val="32"/>
          <w:szCs w:val="32"/>
          <w:rtl/>
        </w:rPr>
        <w:t>م)</w:t>
      </w:r>
    </w:p>
    <w:p w14:paraId="2F3D2488"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تُعد دراسة مروان روحي طلال أحمد (2023) المعنونة بـ “أثر تطبيق تقنيات الحكومة الإلكترونية في تحسين جودة الخدمات في البلديات” من الدراسات التي تناولت دور تقنيات الحكومة الإلكترونية في تطوير الخدمات العامة على مستوى البلديات في الأردن. هدفت الدراسة إلى التعرف على كيفية إسهام تطبيق التقنيات الرقمية في رفع مستوى جودة الخدمات، وتسهيل الإجراءات، وتعزيز الإنتاجية داخل البلديات. اعتمد الباحث المنهج الاستقرائي لتحليل واقع تطبيق الحكومة الإلكترونية، واستعراض المتطلبات الإدارية والبشرية والتقنية اللازمة لتفعيلها، إضافة إلى تحديد المعوقات التي تواجه تنفيذها في الدوائر البلدية، مثل ضعف البنية التحتية وقلة الكوادر المؤهلة.</w:t>
      </w:r>
    </w:p>
    <w:p w14:paraId="57AF5085" w14:textId="77777777" w:rsidR="000561DC"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وتوصلت الدراسة إلى أن تطبيق تقنيات الحكومة الإلكترونية يمثل الخيار الأكثر فاعلية لتحسين الخدمات البلدية، حيث يساهم في تسريع الإنجاز، وتقليل التكلفة، وزيادة العدالة في الحصول على الخدمات من خلال الرسائل الذكية والإجراءات الرقمية. كما أكدت النتائج أن نجاح الحكومة الإلكترونية في البلديات يتطلب توفير بنية تحتية تقنية قوية، وتدريب الموظفين بشكل مناسب، </w:t>
      </w:r>
      <w:r w:rsidRPr="005F0160">
        <w:rPr>
          <w:rFonts w:ascii="Simplified Arabic" w:hAnsi="Simplified Arabic" w:cs="Simplified Arabic"/>
          <w:color w:val="000000" w:themeColor="text1"/>
          <w:sz w:val="28"/>
          <w:szCs w:val="28"/>
          <w:rtl/>
        </w:rPr>
        <w:lastRenderedPageBreak/>
        <w:t>وتحديث الأنظمة بما يتوافق مع متطلبات التحول الرقمي. وأوصت الدراسة بضرورة عقد برامج تدريبية للعاملين، وتخصيص موارد مالية كافية لتطوير البنية التحتية الرقمية في البلديات، مما ينعكس مباشرة على جودة الخدمات المقدمة للمواطنين.</w:t>
      </w:r>
    </w:p>
    <w:p w14:paraId="7BB0D35B"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p>
    <w:p w14:paraId="49A9507B" w14:textId="77777777" w:rsidR="000561DC" w:rsidRPr="007E064D" w:rsidRDefault="000561DC" w:rsidP="000561DC">
      <w:pPr>
        <w:spacing w:line="360" w:lineRule="auto"/>
        <w:ind w:left="-99"/>
        <w:jc w:val="both"/>
        <w:rPr>
          <w:rFonts w:ascii="Simplified Arabic" w:hAnsi="Simplified Arabic" w:cs="Simplified Arabic"/>
          <w:color w:val="000000" w:themeColor="text1"/>
          <w:sz w:val="32"/>
          <w:szCs w:val="32"/>
          <w:rtl/>
        </w:rPr>
      </w:pPr>
      <w:r w:rsidRPr="007E064D">
        <w:rPr>
          <w:rFonts w:ascii="Simplified Arabic" w:hAnsi="Simplified Arabic" w:cs="Simplified Arabic"/>
          <w:color w:val="000000" w:themeColor="text1"/>
          <w:sz w:val="32"/>
          <w:szCs w:val="32"/>
          <w:rtl/>
        </w:rPr>
        <w:t xml:space="preserve">-دراسة </w:t>
      </w:r>
      <w:proofErr w:type="spellStart"/>
      <w:proofErr w:type="gramStart"/>
      <w:r w:rsidRPr="007E064D">
        <w:rPr>
          <w:rFonts w:ascii="Simplified Arabic" w:hAnsi="Simplified Arabic" w:cs="Simplified Arabic"/>
          <w:color w:val="000000" w:themeColor="text1"/>
          <w:sz w:val="32"/>
          <w:szCs w:val="32"/>
          <w:rtl/>
        </w:rPr>
        <w:t>د.سري</w:t>
      </w:r>
      <w:proofErr w:type="spellEnd"/>
      <w:proofErr w:type="gramEnd"/>
      <w:r w:rsidRPr="007E064D">
        <w:rPr>
          <w:rFonts w:ascii="Simplified Arabic" w:hAnsi="Simplified Arabic" w:cs="Simplified Arabic"/>
          <w:color w:val="000000" w:themeColor="text1"/>
          <w:sz w:val="32"/>
          <w:szCs w:val="32"/>
          <w:rtl/>
        </w:rPr>
        <w:t xml:space="preserve"> العايد، </w:t>
      </w:r>
      <w:proofErr w:type="spellStart"/>
      <w:proofErr w:type="gramStart"/>
      <w:r w:rsidRPr="007E064D">
        <w:rPr>
          <w:rFonts w:ascii="Simplified Arabic" w:hAnsi="Simplified Arabic" w:cs="Simplified Arabic"/>
          <w:color w:val="000000" w:themeColor="text1"/>
          <w:sz w:val="32"/>
          <w:szCs w:val="32"/>
          <w:rtl/>
        </w:rPr>
        <w:t>د.لوى</w:t>
      </w:r>
      <w:proofErr w:type="spellEnd"/>
      <w:proofErr w:type="gramEnd"/>
      <w:r w:rsidRPr="007E064D">
        <w:rPr>
          <w:rFonts w:ascii="Simplified Arabic" w:hAnsi="Simplified Arabic" w:cs="Simplified Arabic"/>
          <w:color w:val="000000" w:themeColor="text1"/>
          <w:sz w:val="32"/>
          <w:szCs w:val="32"/>
          <w:rtl/>
        </w:rPr>
        <w:t xml:space="preserve"> الحمودي (2019)</w:t>
      </w:r>
    </w:p>
    <w:p w14:paraId="7F81536D"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عد دراسة “تقييم التطبيقات الحكومية في السعودية من وجهة نظر المستفيدين” (2019) من الدراسات التي تناولت مستوى رضا المواطنين عن الخدمات الحكومية الإلكترونية في منطقة الرياض. وقد اعتمدت الدراسة على المنهج الوصفي التحليلي بهدف قياس درجة تقييم المستفيدين لأبعاد الخدمات الإلكترونية، والتي شملت الظهور والتفاعل والتبادل المالي والتكامل. أظهرت نتائج الدراسة أن تقييم المستفيدين لهذه الأبعاد كان مرتفعًا بشكل عام، حيث جاء بعد التبادل المالي في المرتبة الأولى من حيث الرضا، يليه التفاعل ثم التكامل، في حين حلّ بعد الظهور في المرتبة الأخيرة. كما توصلت الدراسة إلى وجود فروق ذات دلالة إحصائية في تقييم الخدمات تُعزى لمتغير الجنس، وأوصت بضرورة تطوير قدرات موظفي الجهات الحكومية وتدريبهم بما يواكب التطور في مشاريع الحكومة الإلكترونية.</w:t>
      </w:r>
    </w:p>
    <w:p w14:paraId="1F6A6726" w14:textId="77777777" w:rsidR="000561DC" w:rsidRPr="007E064D" w:rsidRDefault="000561DC" w:rsidP="000561DC">
      <w:pPr>
        <w:spacing w:line="360" w:lineRule="auto"/>
        <w:ind w:left="-99"/>
        <w:jc w:val="both"/>
        <w:rPr>
          <w:rFonts w:ascii="Simplified Arabic" w:hAnsi="Simplified Arabic" w:cs="Simplified Arabic"/>
          <w:color w:val="000000" w:themeColor="text1"/>
          <w:sz w:val="32"/>
          <w:szCs w:val="32"/>
          <w:rtl/>
        </w:rPr>
      </w:pPr>
      <w:proofErr w:type="gramStart"/>
      <w:r w:rsidRPr="007E064D">
        <w:rPr>
          <w:rFonts w:ascii="Simplified Arabic" w:hAnsi="Simplified Arabic" w:cs="Simplified Arabic"/>
          <w:color w:val="000000" w:themeColor="text1"/>
          <w:sz w:val="32"/>
          <w:szCs w:val="32"/>
          <w:rtl/>
        </w:rPr>
        <w:t>ثاني</w:t>
      </w:r>
      <w:r>
        <w:rPr>
          <w:rFonts w:ascii="Simplified Arabic" w:hAnsi="Simplified Arabic" w:cs="Simplified Arabic" w:hint="cs"/>
          <w:color w:val="000000" w:themeColor="text1"/>
          <w:sz w:val="32"/>
          <w:szCs w:val="32"/>
          <w:rtl/>
        </w:rPr>
        <w:t>ً</w:t>
      </w:r>
      <w:r w:rsidRPr="007E064D">
        <w:rPr>
          <w:rFonts w:ascii="Simplified Arabic" w:hAnsi="Simplified Arabic" w:cs="Simplified Arabic"/>
          <w:color w:val="000000" w:themeColor="text1"/>
          <w:sz w:val="32"/>
          <w:szCs w:val="32"/>
          <w:rtl/>
        </w:rPr>
        <w:t>ا :</w:t>
      </w:r>
      <w:proofErr w:type="gramEnd"/>
      <w:r w:rsidRPr="007E064D">
        <w:rPr>
          <w:rFonts w:ascii="Simplified Arabic" w:hAnsi="Simplified Arabic" w:cs="Simplified Arabic"/>
          <w:color w:val="000000" w:themeColor="text1"/>
          <w:sz w:val="32"/>
          <w:szCs w:val="32"/>
          <w:rtl/>
        </w:rPr>
        <w:t xml:space="preserve"> الدراسات العالمية</w:t>
      </w:r>
    </w:p>
    <w:p w14:paraId="5003DBAB"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u w:val="single"/>
        </w:rPr>
      </w:pPr>
      <w:r w:rsidRPr="005F0160">
        <w:rPr>
          <w:rFonts w:ascii="Simplified Arabic" w:hAnsi="Simplified Arabic" w:cs="Simplified Arabic"/>
          <w:color w:val="000000" w:themeColor="text1"/>
          <w:sz w:val="28"/>
          <w:szCs w:val="28"/>
          <w:u w:val="single"/>
        </w:rPr>
        <w:t>Sarker, M</w:t>
      </w:r>
      <w:r w:rsidRPr="005F0160">
        <w:rPr>
          <w:rFonts w:ascii="Simplified Arabic" w:hAnsi="Simplified Arabic" w:cs="Simplified Arabic"/>
          <w:color w:val="000000" w:themeColor="text1"/>
          <w:sz w:val="28"/>
          <w:szCs w:val="28"/>
          <w:u w:val="single"/>
          <w:rtl/>
        </w:rPr>
        <w:t>. (2025)</w:t>
      </w:r>
    </w:p>
    <w:p w14:paraId="3F0F182C"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تناولت هذه الدراسة أثر تطبيقات الحكومة الإلكترونية في إحداث التغيير التنظيمي داخل المؤسسات الحكومية في خمس دول نامية، مركّزة على كيفية تأثير التحول الرقمي على الأداء الوظيفي، </w:t>
      </w:r>
      <w:r w:rsidRPr="005F0160">
        <w:rPr>
          <w:rFonts w:ascii="Simplified Arabic" w:hAnsi="Simplified Arabic" w:cs="Simplified Arabic"/>
          <w:color w:val="000000" w:themeColor="text1"/>
          <w:sz w:val="28"/>
          <w:szCs w:val="28"/>
          <w:rtl/>
        </w:rPr>
        <w:lastRenderedPageBreak/>
        <w:t>والإجراءات الإدارية، وجودة الخدمات المقدمة للمواطنين. استخدم الباحث منهجًا مقارنًا قائمًا على تحليل بيانات كمية ونوعية من القطاعات الحكومية في هذه الدول، مع الاستفادة من المقابلات، وتحليل الوثائق، واستطلاعات المستخدمين. وأظهرت النتائج – كما يتضح في الجداول التحليلية في الصفحات 7–9 – أن تطبيق الحكومة الإلكترونية أدى إلى تبسيط الإجراءات، ورفع الكفاءة التشغيلية، وتحسين الشفافية، وتقليل الوقت المستغرق في تقديم الخدمات، إلا أن حجم الأثر كان متفاوتًا بين الدول بسبب الاختلاف في الجاهزية الرقمية ومستوى تبني التقنيات. كما أوضحت الدراسة أن العوائق الأكثر تكرارًا شملت ضعف البنية التحتية الرقمية، ومحدودية مهارات العاملين، ومقاومة التغيير، إضافة إلى تحديات التمويل. وخلص الباحث إلى أن نجاح الحكومة الإلكترونية يعتمد على وجود دعم مؤسسي قوي، وبرامج تدريبية مستمرة، واستراتيجيات تحول واضحة تتماشى مع الاحتياجات المحلية لكل بلد.</w:t>
      </w:r>
    </w:p>
    <w:p w14:paraId="411F1CC9"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u w:val="single"/>
          <w:rtl/>
        </w:rPr>
      </w:pPr>
      <w:proofErr w:type="spellStart"/>
      <w:r w:rsidRPr="005F0160">
        <w:rPr>
          <w:rFonts w:ascii="Simplified Arabic" w:hAnsi="Simplified Arabic" w:cs="Simplified Arabic"/>
          <w:color w:val="000000" w:themeColor="text1"/>
          <w:sz w:val="28"/>
          <w:szCs w:val="28"/>
          <w:u w:val="single"/>
        </w:rPr>
        <w:t>Shaxnoza</w:t>
      </w:r>
      <w:proofErr w:type="spellEnd"/>
      <w:r w:rsidRPr="005F0160">
        <w:rPr>
          <w:rFonts w:ascii="Simplified Arabic" w:hAnsi="Simplified Arabic" w:cs="Simplified Arabic"/>
          <w:color w:val="000000" w:themeColor="text1"/>
          <w:sz w:val="28"/>
          <w:szCs w:val="28"/>
          <w:u w:val="single"/>
        </w:rPr>
        <w:t>, J</w:t>
      </w:r>
      <w:r w:rsidRPr="005F0160">
        <w:rPr>
          <w:rFonts w:ascii="Simplified Arabic" w:hAnsi="Simplified Arabic" w:cs="Simplified Arabic"/>
          <w:color w:val="000000" w:themeColor="text1"/>
          <w:sz w:val="28"/>
          <w:szCs w:val="28"/>
          <w:u w:val="single"/>
          <w:rtl/>
        </w:rPr>
        <w:t>. (2024)</w:t>
      </w:r>
    </w:p>
    <w:p w14:paraId="61A02BD3"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تستعرض هذه الدراسة تأثير تطبيقات الحوكمة الإلكترونية على كفاءة الخدمات العامة في سياقات اقتصادية واجتماعية مختلفة، وذلك من خلال تحليل شامل للأدبيات الحديثة المرتبطة بالحوكمة الرقمية. وبيّنت الدراسة أن تبنّي الحوكمة الإلكترونية يساهم عادةً في تحسين جودة الخدمات، وتقليل التكاليف التشغيلية، وزيادة مستوى الشفافية، إلا أن حجم هذه الفوائد يختلف من دولة لأخرى بحسب قوة البنية التحتية الرقمية، ومهارات المستخدمين، وطبيعة القطاع الحكومي. كما كشفت نتائج البحث أن الدول النامية تواجه زيادة مبدئية في التكاليف بسبب الحاجة إلى تشغيل الأنظمة التقليدية بالتوازي مع التحول الرقمي. وأكدت الدراسة أن نجاح الحوكمة الإلكترونية يعتمد على معالجة فجوة الوصول الرقمي، ورفع مستوى الوعي التقني، وتطبيق سياسات خاصة تتناسب مع السياق المحلي.</w:t>
      </w:r>
    </w:p>
    <w:p w14:paraId="58BE3191"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u w:val="single"/>
          <w:rtl/>
        </w:rPr>
      </w:pPr>
      <w:r w:rsidRPr="005F0160">
        <w:rPr>
          <w:rFonts w:ascii="Simplified Arabic" w:hAnsi="Simplified Arabic" w:cs="Simplified Arabic"/>
          <w:color w:val="000000" w:themeColor="text1"/>
          <w:sz w:val="28"/>
          <w:szCs w:val="28"/>
          <w:u w:val="single"/>
        </w:rPr>
        <w:lastRenderedPageBreak/>
        <w:t xml:space="preserve">Alshammari &amp; </w:t>
      </w:r>
      <w:proofErr w:type="spellStart"/>
      <w:r w:rsidRPr="005F0160">
        <w:rPr>
          <w:rFonts w:ascii="Simplified Arabic" w:hAnsi="Simplified Arabic" w:cs="Simplified Arabic"/>
          <w:color w:val="000000" w:themeColor="text1"/>
          <w:sz w:val="28"/>
          <w:szCs w:val="28"/>
          <w:u w:val="single"/>
        </w:rPr>
        <w:t>Mukred</w:t>
      </w:r>
      <w:proofErr w:type="spellEnd"/>
      <w:r w:rsidRPr="005F0160">
        <w:rPr>
          <w:rFonts w:ascii="Simplified Arabic" w:hAnsi="Simplified Arabic" w:cs="Simplified Arabic"/>
          <w:color w:val="000000" w:themeColor="text1"/>
          <w:sz w:val="28"/>
          <w:szCs w:val="28"/>
          <w:u w:val="single"/>
          <w:rtl/>
        </w:rPr>
        <w:t xml:space="preserve"> (2024)</w:t>
      </w:r>
    </w:p>
    <w:p w14:paraId="13806171"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تبحث هذه الدراسة في جودة الخدمات المقدمة عبر منصات الحكومة الإلكترونية في المملكة العربية السعودية من خلال دمج النماذج الإحصائية التقليدية مع خوارزميات تصنيف تعتمد على تقنيات التعلم الآلي </w:t>
      </w:r>
      <w:r w:rsidRPr="005F0160">
        <w:rPr>
          <w:rFonts w:ascii="Simplified Arabic" w:hAnsi="Simplified Arabic" w:cs="Simplified Arabic"/>
          <w:color w:val="000000" w:themeColor="text1"/>
          <w:sz w:val="28"/>
          <w:szCs w:val="28"/>
        </w:rPr>
        <w:t>Machine Learning</w:t>
      </w:r>
      <w:r w:rsidRPr="005F0160">
        <w:rPr>
          <w:rFonts w:ascii="Simplified Arabic" w:hAnsi="Simplified Arabic" w:cs="Simplified Arabic"/>
          <w:color w:val="000000" w:themeColor="text1"/>
          <w:sz w:val="28"/>
          <w:szCs w:val="28"/>
          <w:rtl/>
        </w:rPr>
        <w:t>. اعتمد الباحثان على بيانات ميدانية جُمعت من مستخدمين فعليين لمنصات حكومية رقمية مثل أبشر ومنصات الوزارات المختلفة، وقاما بتحليل جودة الخدمة عبر خمسة أبعاد رئيسية تشمل: الاعتمادية، الاستجابة، الأمان، سهولة الاستخدام، ورضا المستخدم.</w:t>
      </w:r>
    </w:p>
    <w:p w14:paraId="3F26F6C1"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تُظهر الرسوم البيانية في الصفحات 6–8 أن خوارزمية </w:t>
      </w:r>
      <w:r w:rsidRPr="005F0160">
        <w:rPr>
          <w:rFonts w:ascii="Simplified Arabic" w:hAnsi="Simplified Arabic" w:cs="Simplified Arabic"/>
          <w:color w:val="000000" w:themeColor="text1"/>
          <w:sz w:val="28"/>
          <w:szCs w:val="28"/>
        </w:rPr>
        <w:t>Random Forest</w:t>
      </w:r>
      <w:r w:rsidRPr="005F0160">
        <w:rPr>
          <w:rFonts w:ascii="Simplified Arabic" w:hAnsi="Simplified Arabic" w:cs="Simplified Arabic"/>
          <w:color w:val="000000" w:themeColor="text1"/>
          <w:sz w:val="28"/>
          <w:szCs w:val="28"/>
          <w:rtl/>
        </w:rPr>
        <w:t xml:space="preserve"> كانت الأعلى دقة في تصنيف مستويات رضا المستخدمين مقارنةً </w:t>
      </w:r>
      <w:proofErr w:type="spellStart"/>
      <w:r w:rsidRPr="005F0160">
        <w:rPr>
          <w:rFonts w:ascii="Simplified Arabic" w:hAnsi="Simplified Arabic" w:cs="Simplified Arabic"/>
          <w:color w:val="000000" w:themeColor="text1"/>
          <w:sz w:val="28"/>
          <w:szCs w:val="28"/>
          <w:rtl/>
        </w:rPr>
        <w:t>باللوجستك</w:t>
      </w:r>
      <w:proofErr w:type="spellEnd"/>
      <w:r w:rsidRPr="005F0160">
        <w:rPr>
          <w:rFonts w:ascii="Simplified Arabic" w:hAnsi="Simplified Arabic" w:cs="Simplified Arabic"/>
          <w:color w:val="000000" w:themeColor="text1"/>
          <w:sz w:val="28"/>
          <w:szCs w:val="28"/>
          <w:rtl/>
        </w:rPr>
        <w:t xml:space="preserve"> والانحدار الشجري. كما أوضحت نتائج الجداول في الصفحات 9–10 أن جودة الخدمة المدركة كانت أعلى بشكل واضح في بعدَي سهولة الاستخدام والأمان، بينما سجّل بعد الاستجابة أقل مستوى رضا.</w:t>
      </w:r>
    </w:p>
    <w:p w14:paraId="54D5279F"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وخلصت الدراسة إلى أن استخدام نماذج التعلم الآلي يسهم في تحسين دقة تقييم جودة الخدمات الحكومية، وفي التنبؤ بمستوى رضا المواطنين بشكل أفضل من الطرق التقليدية. كما أكدت النتائج أن جودة الخدمات الرقمية في السعودية مقبولة ومرتفعة نسبيًا، لكنها تحتاج إلى تحسينات في سرعة الاستجابة والتفاعل المباشر مع المستفيدين. وقد أوصى الباحثان بدمج أدوات التحليل الذكي في عمليات التطوير المستمر لمنصات الحكومة الإلكترونية من أجل تعزيز رضا المستخدمين وضمان الاستفادة المثلى من التحول الرقمي.</w:t>
      </w:r>
    </w:p>
    <w:p w14:paraId="105DF2FB" w14:textId="77777777" w:rsidR="000561DC" w:rsidRPr="007E064D" w:rsidRDefault="000561DC" w:rsidP="000561DC">
      <w:pPr>
        <w:spacing w:line="360" w:lineRule="auto"/>
        <w:ind w:left="-99"/>
        <w:jc w:val="both"/>
        <w:rPr>
          <w:rFonts w:ascii="Simplified Arabic" w:hAnsi="Simplified Arabic" w:cs="Simplified Arabic"/>
          <w:color w:val="000000" w:themeColor="text1"/>
          <w:sz w:val="32"/>
          <w:szCs w:val="32"/>
          <w:rtl/>
        </w:rPr>
      </w:pPr>
      <w:r w:rsidRPr="007E064D">
        <w:rPr>
          <w:rFonts w:ascii="Simplified Arabic" w:hAnsi="Simplified Arabic" w:cs="Simplified Arabic"/>
          <w:color w:val="000000" w:themeColor="text1"/>
          <w:sz w:val="32"/>
          <w:szCs w:val="32"/>
          <w:rtl/>
        </w:rPr>
        <w:t>أولًا: مقدمة تحليلية للدراسات السابقة</w:t>
      </w:r>
    </w:p>
    <w:p w14:paraId="7F3F3017"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شهدت السنوات الأخيرة نموًا واسعًا في الأدبيات العلمية المرتبطة بالتحول الرقمي وجودة الخدمات الحكومية الإلكترونية في كل من السياقين العربي والعالمي. وقد تناولت هذه الدراسات موضوعات </w:t>
      </w:r>
      <w:r w:rsidRPr="005F0160">
        <w:rPr>
          <w:rFonts w:ascii="Simplified Arabic" w:hAnsi="Simplified Arabic" w:cs="Simplified Arabic"/>
          <w:color w:val="000000" w:themeColor="text1"/>
          <w:sz w:val="28"/>
          <w:szCs w:val="28"/>
          <w:rtl/>
        </w:rPr>
        <w:lastRenderedPageBreak/>
        <w:t>متعددة مثل جودة الخدمة، رضا المستفيد، سهولة الاستخدام، التبني الرقمي، البنية التحتية، التحول المؤسسي، والكفاءة التشغيلية. ورغم هذا التعدد، فإن معظم الدراسات ركزت على جانب واحد من التجربة الرقمية الحكومية دون تقديم إطار شامل يدمج بين أثر التحول الرقمي ومستوى جودة وكفاءة الخدمات كما يراها المواطن المستخدم نفسه. كما يظهر تباين واضح بين الدراسات من حيث المنهجية، والعينة، والمحاور التي تمت دراستها، إلا أن هناك قواسم مشتركة بينها تتعلق بتأثير التحول الرقمي في تحسين الخدمة، مع استمرار وجود تحديات في الأداء والاستجابة وسهولة الوصول. وهذا التنوع في النتائج والمقاربات المنهجية يشكل قاعدة معرفية مهمة يمكن من خلالها فهم جوانب الاتفاق والاختلاف، وتحديد الفجوات التي لم تُعالج بشكل كافٍ في الأدبيات السابقة.</w:t>
      </w:r>
    </w:p>
    <w:p w14:paraId="3624E94D"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ثانيًا: نقاط الاتفاق بين الدراسات السابقة</w:t>
      </w:r>
    </w:p>
    <w:p w14:paraId="41170E0F"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اتفاق واسع على أثر التحول الرقمي في تحسين جودة الخدمات الحكومية، سواء في السرعة، الدقة، أو تيسير الوصول للخدمة.</w:t>
      </w:r>
    </w:p>
    <w:p w14:paraId="2C831C2F"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اتفاق على أهمية سهولة الاستخدام كعامل أساسي في رضا المواطنين وتبنيهم للخدمات الرقمية.</w:t>
      </w:r>
    </w:p>
    <w:p w14:paraId="3CDCFC89"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اتفاق على دور البنية التنظيمية والدعم المؤسسي كشرط لنجاح التحول الرقمي وبناء خدمات فعّالة.</w:t>
      </w:r>
    </w:p>
    <w:p w14:paraId="04D0D5DC"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اتفاق على وجود تحديات تقنية وبشرية مثل ضعف التكامل، نقص الخبرات الرقمية، أو محدودية البنية التحتية في بعض القطاعات.</w:t>
      </w:r>
    </w:p>
    <w:p w14:paraId="5AA91457" w14:textId="77777777" w:rsidR="000561DC" w:rsidRPr="005F0160" w:rsidRDefault="000561DC" w:rsidP="000561DC">
      <w:pPr>
        <w:pStyle w:val="a6"/>
        <w:spacing w:line="360" w:lineRule="auto"/>
        <w:ind w:left="-99"/>
        <w:jc w:val="both"/>
        <w:rPr>
          <w:rFonts w:ascii="Simplified Arabic" w:hAnsi="Simplified Arabic" w:cs="Simplified Arabic"/>
          <w:color w:val="000000" w:themeColor="text1"/>
          <w:sz w:val="28"/>
          <w:szCs w:val="28"/>
          <w:rtl/>
        </w:rPr>
      </w:pPr>
    </w:p>
    <w:p w14:paraId="237E2905"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اتفاق على أن رضا المستفيدين هو مؤشر رئيسي لنجاح الخدمات الرقمية وأن التحول الرقمي لا ينجح دون تبني المستخدمين له.</w:t>
      </w:r>
    </w:p>
    <w:p w14:paraId="39F86F5F"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lastRenderedPageBreak/>
        <w:t>اتفاق عالمي ومحلي على أن التحول الرقمي يقلل الوقت والجهد والتكاليف ويُحسّن الإجراءات الحكومية.</w:t>
      </w:r>
    </w:p>
    <w:p w14:paraId="0AD55F17"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ثالثًا: نقاط الاختلاف بين الدراسات السابقة</w:t>
      </w:r>
    </w:p>
    <w:p w14:paraId="36ADA516"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اختلاف في فئات الدراسة: فبعض الدراسات ركزت على المواطنين، وأخرى على الموظفين، وثالثة على القيادات الحكومية.</w:t>
      </w:r>
    </w:p>
    <w:p w14:paraId="3EA30B84"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اختلاف في محاور التركيز: بعض الدراسات درست الجودة، أخرى درست التبني، وثالثة درست الكفاءة أو التحول المؤسسي.</w:t>
      </w:r>
    </w:p>
    <w:p w14:paraId="0FFDAE95"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اختلاف في النتائج: بعض الدراسات أشارت لارتفاع رضا المستخدمين، بينما أخرى أظهرت تحديات في جوانب الاستجابة أو الوضوح أو التكامل بين الأنظمة.</w:t>
      </w:r>
    </w:p>
    <w:p w14:paraId="121F45A0"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اختلاف في السياق: الدراسات العالمية ركزت على دول نامية ومتقدمة متباينة في جاهزيتها الرقمية، بينما ركزت الدراسات العربية على منصات سعودية أو عربية محددة.</w:t>
      </w:r>
    </w:p>
    <w:p w14:paraId="54BEC724"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اختلاف في المنهجيات: تفاوتت الأدوات بين الاستبيانات، المقابلات، تحليل الوثائق، أو تقنيات التعلم الآلي.</w:t>
      </w:r>
    </w:p>
    <w:p w14:paraId="35EA9CE0"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اختلاف في درجة التطور التقني: بعض القطاعات (كالصحة والداخلية) أكثر نضجًا رقميًا من قطاعات أخرى، مما انعكس على نتائج الدراسات.</w:t>
      </w:r>
    </w:p>
    <w:p w14:paraId="04910D54"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رابعًا: الفجوة البحثية (</w:t>
      </w:r>
      <w:r w:rsidRPr="005F0160">
        <w:rPr>
          <w:rFonts w:ascii="Simplified Arabic" w:hAnsi="Simplified Arabic" w:cs="Simplified Arabic"/>
          <w:color w:val="000000" w:themeColor="text1"/>
          <w:sz w:val="28"/>
          <w:szCs w:val="28"/>
        </w:rPr>
        <w:t>Research Gap</w:t>
      </w:r>
      <w:r w:rsidRPr="005F0160">
        <w:rPr>
          <w:rFonts w:ascii="Simplified Arabic" w:hAnsi="Simplified Arabic" w:cs="Simplified Arabic"/>
          <w:color w:val="000000" w:themeColor="text1"/>
          <w:sz w:val="28"/>
          <w:szCs w:val="28"/>
          <w:rtl/>
        </w:rPr>
        <w:t>)</w:t>
      </w:r>
    </w:p>
    <w:p w14:paraId="4BB8FBB9"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بالرغم من تعدد الدراسات التي تناولت الحكومة الإلكترونية والتحول الرقمي، إلا أن التحليل الشامل يكشف عن فجوة معرفية واضحة تتمثل في:</w:t>
      </w:r>
    </w:p>
    <w:p w14:paraId="129DC87E"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عدم وجود دراسة سعودية حديثة تجمع بين:</w:t>
      </w:r>
    </w:p>
    <w:p w14:paraId="4A214CE9"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lastRenderedPageBreak/>
        <w:t xml:space="preserve">أثر التحول الرقمي </w:t>
      </w:r>
      <w:proofErr w:type="spellStart"/>
      <w:r w:rsidRPr="005F0160">
        <w:rPr>
          <w:rFonts w:ascii="Simplified Arabic" w:hAnsi="Simplified Arabic" w:cs="Simplified Arabic"/>
          <w:color w:val="000000" w:themeColor="text1"/>
          <w:sz w:val="28"/>
          <w:szCs w:val="28"/>
          <w:rtl/>
        </w:rPr>
        <w:t>الشاملو</w:t>
      </w:r>
      <w:proofErr w:type="spellEnd"/>
      <w:r w:rsidRPr="005F0160">
        <w:rPr>
          <w:rFonts w:ascii="Simplified Arabic" w:hAnsi="Simplified Arabic" w:cs="Simplified Arabic"/>
          <w:color w:val="000000" w:themeColor="text1"/>
          <w:sz w:val="28"/>
          <w:szCs w:val="28"/>
          <w:rtl/>
        </w:rPr>
        <w:t xml:space="preserve"> ليس الجزئي في الخدمات الحكومية،</w:t>
      </w:r>
      <w:r>
        <w:rPr>
          <w:rFonts w:ascii="Simplified Arabic" w:hAnsi="Simplified Arabic" w:cs="Simplified Arabic" w:hint="cs"/>
          <w:color w:val="000000" w:themeColor="text1"/>
          <w:sz w:val="28"/>
          <w:szCs w:val="28"/>
          <w:rtl/>
        </w:rPr>
        <w:t xml:space="preserve"> </w:t>
      </w:r>
      <w:r w:rsidRPr="005F0160">
        <w:rPr>
          <w:rFonts w:ascii="Simplified Arabic" w:hAnsi="Simplified Arabic" w:cs="Simplified Arabic"/>
          <w:color w:val="000000" w:themeColor="text1"/>
          <w:sz w:val="28"/>
          <w:szCs w:val="28"/>
          <w:rtl/>
        </w:rPr>
        <w:t>وعلاقته بكل من جودة الخدمة وكفاءتها معًا،</w:t>
      </w:r>
      <w:r>
        <w:rPr>
          <w:rFonts w:ascii="Simplified Arabic" w:hAnsi="Simplified Arabic" w:cs="Simplified Arabic" w:hint="cs"/>
          <w:color w:val="000000" w:themeColor="text1"/>
          <w:sz w:val="28"/>
          <w:szCs w:val="28"/>
          <w:rtl/>
        </w:rPr>
        <w:t xml:space="preserve"> </w:t>
      </w:r>
      <w:r w:rsidRPr="005F0160">
        <w:rPr>
          <w:rFonts w:ascii="Simplified Arabic" w:hAnsi="Simplified Arabic" w:cs="Simplified Arabic"/>
          <w:color w:val="000000" w:themeColor="text1"/>
          <w:sz w:val="28"/>
          <w:szCs w:val="28"/>
          <w:rtl/>
        </w:rPr>
        <w:t>ومن منظور المواطنين المستخدمين مباشرةً للمنصات والخدمات الحكومية</w:t>
      </w:r>
      <w:r>
        <w:rPr>
          <w:rFonts w:ascii="Simplified Arabic" w:hAnsi="Simplified Arabic" w:cs="Simplified Arabic" w:hint="cs"/>
          <w:color w:val="000000" w:themeColor="text1"/>
          <w:sz w:val="28"/>
          <w:szCs w:val="28"/>
          <w:rtl/>
        </w:rPr>
        <w:t xml:space="preserve">، </w:t>
      </w:r>
      <w:r w:rsidRPr="005F0160">
        <w:rPr>
          <w:rFonts w:ascii="Simplified Arabic" w:hAnsi="Simplified Arabic" w:cs="Simplified Arabic"/>
          <w:color w:val="000000" w:themeColor="text1"/>
          <w:sz w:val="28"/>
          <w:szCs w:val="28"/>
          <w:rtl/>
        </w:rPr>
        <w:t xml:space="preserve">كما أن: </w:t>
      </w:r>
    </w:p>
    <w:p w14:paraId="7A9056E4"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عظم الدراسات ركزت على جودة الخدمة فقط أو الرضا فقط أو التبني فقط، وليس الدمج بين الجودة والكفاءة والتحول الرقمي في إطار واحد.</w:t>
      </w:r>
    </w:p>
    <w:p w14:paraId="0E625747"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الدراسات السابقة قيّمت خدمات معينة (مثل "معاملاتي" أو "أبشر") ولم تُقيّم منظومة الخدمات الحكومية السعودية كبيئة رقمية متكاملة.</w:t>
      </w:r>
    </w:p>
    <w:p w14:paraId="6DBAE860"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ولم تعالج أي دراسة بشكل مباشر تجربة المواطن الشاملة عبر منصات متعددة (أبشر – توكلنا – ناجز – بلدي – الصحة – النفاذ الوطني…).</w:t>
      </w:r>
    </w:p>
    <w:p w14:paraId="3671A3CF"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كما لم يتم الربط بين التحول الرقمي والتجربة التشغيلية للمواطن (تقليل الوقت – الجهد – الأخطاء – التكلفة).</w:t>
      </w:r>
    </w:p>
    <w:p w14:paraId="40A61CA2" w14:textId="77777777" w:rsidR="000561DC" w:rsidRPr="005F0160" w:rsidRDefault="000561DC" w:rsidP="000561DC">
      <w:pPr>
        <w:pStyle w:val="a6"/>
        <w:numPr>
          <w:ilvl w:val="0"/>
          <w:numId w:val="1"/>
        </w:numPr>
        <w:spacing w:line="360" w:lineRule="auto"/>
        <w:ind w:left="-99"/>
        <w:jc w:val="both"/>
        <w:rPr>
          <w:rFonts w:ascii="Simplified Arabic" w:hAnsi="Simplified Arabic" w:cs="Simplified Arabic"/>
          <w:color w:val="000000" w:themeColor="text1"/>
          <w:sz w:val="28"/>
          <w:szCs w:val="28"/>
        </w:rPr>
      </w:pPr>
      <w:r w:rsidRPr="005F0160">
        <w:rPr>
          <w:rFonts w:ascii="Simplified Arabic" w:hAnsi="Simplified Arabic" w:cs="Simplified Arabic"/>
          <w:color w:val="000000" w:themeColor="text1"/>
          <w:sz w:val="28"/>
          <w:szCs w:val="28"/>
          <w:rtl/>
        </w:rPr>
        <w:t>والدراسات العالمية وإن قدّمت رؤى مقارنة، إلا أنها لا تعكس خصوصية التجربة السعودية المتقدمة رقميًا.</w:t>
      </w:r>
    </w:p>
    <w:p w14:paraId="3FA543ED" w14:textId="77777777" w:rsidR="000561DC" w:rsidRPr="005F0160" w:rsidRDefault="000561DC" w:rsidP="000561DC">
      <w:pPr>
        <w:spacing w:line="360" w:lineRule="auto"/>
        <w:ind w:left="-99"/>
        <w:jc w:val="both"/>
        <w:rPr>
          <w:rFonts w:ascii="Simplified Arabic" w:hAnsi="Simplified Arabic" w:cs="Simplified Arabic"/>
          <w:color w:val="000000" w:themeColor="text1"/>
          <w:sz w:val="28"/>
          <w:szCs w:val="28"/>
          <w:rtl/>
        </w:rPr>
      </w:pPr>
      <w:r w:rsidRPr="005F0160">
        <w:rPr>
          <w:rFonts w:ascii="Simplified Arabic" w:hAnsi="Simplified Arabic" w:cs="Simplified Arabic"/>
          <w:color w:val="000000" w:themeColor="text1"/>
          <w:sz w:val="28"/>
          <w:szCs w:val="28"/>
          <w:rtl/>
        </w:rPr>
        <w:t xml:space="preserve"> وعليه، تتحدد الفجوة العلمية في الحاجة إلى دراسة ميدانية حديثة تقدم فهمًا شاملاً لأثر التحول الرقمي في جودة وكفاءة الخدمات الحكومية من منظور المواطن السعودي.</w:t>
      </w:r>
    </w:p>
    <w:p w14:paraId="422BA31B" w14:textId="77777777" w:rsidR="000561DC" w:rsidRPr="00422400" w:rsidRDefault="000561DC" w:rsidP="000561DC">
      <w:pPr>
        <w:spacing w:line="360" w:lineRule="auto"/>
        <w:ind w:left="-99"/>
        <w:jc w:val="both"/>
        <w:rPr>
          <w:rFonts w:ascii="Simplified Arabic" w:hAnsi="Simplified Arabic" w:cs="Simplified Arabic"/>
          <w:color w:val="000000" w:themeColor="text1"/>
          <w:sz w:val="36"/>
          <w:szCs w:val="36"/>
          <w:rtl/>
        </w:rPr>
      </w:pPr>
      <w:r>
        <w:rPr>
          <w:rFonts w:ascii="Simplified Arabic" w:hAnsi="Simplified Arabic" w:cs="Simplified Arabic" w:hint="cs"/>
          <w:color w:val="000000" w:themeColor="text1"/>
          <w:sz w:val="36"/>
          <w:szCs w:val="36"/>
          <w:rtl/>
        </w:rPr>
        <w:t xml:space="preserve">2,3 </w:t>
      </w:r>
      <w:r w:rsidRPr="00422400">
        <w:rPr>
          <w:rFonts w:ascii="Simplified Arabic" w:hAnsi="Simplified Arabic" w:cs="Simplified Arabic"/>
          <w:color w:val="000000" w:themeColor="text1"/>
          <w:sz w:val="36"/>
          <w:szCs w:val="36"/>
          <w:rtl/>
        </w:rPr>
        <w:t>المنطلقات النظرية للدراسة:</w:t>
      </w:r>
    </w:p>
    <w:p w14:paraId="1F1D0BA4"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 xml:space="preserve">تستند هذه الدراسة إلى مجموعة من المنطلقات النظرية التي تشكّل الإطار الفكري والعلمي لفهم طبيعة العلاقة بين التحول الرقمي وجودة وكفاءة الخدمات الحكومية الإلكترونية، كما تمثل هذه المنطلقات الأساس الذي يُبنى عليه النموذج المفاهيمي للدراسة، وتُستخدم في تفسير العلاقات بين </w:t>
      </w:r>
      <w:r w:rsidRPr="0005072A">
        <w:rPr>
          <w:rFonts w:ascii="Simplified Arabic" w:hAnsi="Simplified Arabic" w:cs="Simplified Arabic"/>
          <w:color w:val="000000" w:themeColor="text1"/>
          <w:sz w:val="28"/>
          <w:szCs w:val="28"/>
          <w:rtl/>
        </w:rPr>
        <w:lastRenderedPageBreak/>
        <w:t>المتغيرات وصياغة الفرضيات واختبارها ميدانيًا. وتتكامل هذه المنطلقات لتقديم رؤية شاملة تجمع بين الأبعاد التقنية والإدارية والسلوكية المرتبطة بموضوع الدراسة</w:t>
      </w:r>
      <w:r w:rsidRPr="0005072A">
        <w:rPr>
          <w:rFonts w:ascii="Simplified Arabic" w:hAnsi="Simplified Arabic" w:cs="Simplified Arabic"/>
          <w:color w:val="000000" w:themeColor="text1"/>
          <w:sz w:val="28"/>
          <w:szCs w:val="28"/>
        </w:rPr>
        <w:t>.</w:t>
      </w:r>
    </w:p>
    <w:p w14:paraId="38545B56" w14:textId="77777777" w:rsidR="000561DC" w:rsidRPr="0005072A" w:rsidRDefault="000561DC" w:rsidP="000561DC">
      <w:pPr>
        <w:spacing w:line="360" w:lineRule="auto"/>
        <w:ind w:left="-99"/>
        <w:jc w:val="both"/>
        <w:rPr>
          <w:rFonts w:ascii="Simplified Arabic" w:hAnsi="Simplified Arabic" w:cs="Simplified Arabic"/>
          <w:b/>
          <w:bCs/>
          <w:color w:val="000000" w:themeColor="text1"/>
          <w:sz w:val="28"/>
          <w:szCs w:val="28"/>
        </w:rPr>
      </w:pPr>
      <w:r w:rsidRPr="0005072A">
        <w:rPr>
          <w:rFonts w:ascii="Simplified Arabic" w:hAnsi="Simplified Arabic" w:cs="Simplified Arabic"/>
          <w:b/>
          <w:bCs/>
          <w:color w:val="000000" w:themeColor="text1"/>
          <w:sz w:val="28"/>
          <w:szCs w:val="28"/>
          <w:rtl/>
        </w:rPr>
        <w:t>أولًا: منطلقات التحول الرقمي</w:t>
      </w:r>
      <w:r w:rsidRPr="0005072A">
        <w:rPr>
          <w:rFonts w:ascii="Simplified Arabic" w:hAnsi="Simplified Arabic" w:cs="Simplified Arabic"/>
          <w:b/>
          <w:bCs/>
          <w:color w:val="000000" w:themeColor="text1"/>
          <w:sz w:val="28"/>
          <w:szCs w:val="28"/>
        </w:rPr>
        <w:t xml:space="preserve"> (Digital Transformation)</w:t>
      </w:r>
    </w:p>
    <w:p w14:paraId="1740B408"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يُنظر إلى التحول الرقمي بوصفه عملية استراتيجية شاملة تتجاوز مجرد إدخال التقنيات الحديثة إلى بيئة العمل، ليشمل إعادة تصميم العمليات والإجراءات، وتطوير نماذج تقديم الخدمات بما يتوافق مع متطلبات البيئة الرقمية. ويهدف هذا التحول إلى تحسين كفاءة الأداء الحكومي، وتعزيز جودة الخدمات المقدمة، ورفع مستوى رضا المستفيدين</w:t>
      </w:r>
      <w:r w:rsidRPr="0005072A">
        <w:rPr>
          <w:rFonts w:ascii="Simplified Arabic" w:hAnsi="Simplified Arabic" w:cs="Simplified Arabic"/>
          <w:color w:val="000000" w:themeColor="text1"/>
          <w:sz w:val="28"/>
          <w:szCs w:val="28"/>
        </w:rPr>
        <w:t>.</w:t>
      </w:r>
    </w:p>
    <w:p w14:paraId="28475CD1"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ويستند هذا المفهوم إلى مجموعة من المرتكزات الأساسية التي تعكس طبيعته الشمولية، من أبرزها إعادة هندسة العمليات الإدارية وتحويلها إلى إجراءات رقمية مؤتمتة، بما يقلل من التعقيد ويرفع من مستوى الكفاءة. كما يعتمد على توظيف التقنيات الحديثة، مثل الحوسبة السحابية وتحليل البيانات والتطبيقات الذكية، في تطوير الخدمات الحكومية وتحسين آليات تقديمها</w:t>
      </w:r>
      <w:r w:rsidRPr="0005072A">
        <w:rPr>
          <w:rFonts w:ascii="Simplified Arabic" w:hAnsi="Simplified Arabic" w:cs="Simplified Arabic"/>
          <w:color w:val="000000" w:themeColor="text1"/>
          <w:sz w:val="28"/>
          <w:szCs w:val="28"/>
        </w:rPr>
        <w:t>.</w:t>
      </w:r>
    </w:p>
    <w:p w14:paraId="54C08375"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ومن جهة أخرى، يركز التحول الرقمي على جعل المستفيد محورًا أساسيًا في تصميم الخدمات، بحيث تُبنى الخدمات وفق احتياجات المستخدم وتوقعاته، وليس وفق الإجراءات الداخلية فقط. ويأتي هذا التوجه متوافقًا مع رؤية المملكة العربية السعودية 2030 التي وضعت التحول الرقمي ضمن أولوياتها الاستراتيجية، وسعت إلى بناء حكومة رقمية متكاملة تعتمد على الابتكار والتقنية في تقديم خدماتها</w:t>
      </w:r>
      <w:r w:rsidRPr="0005072A">
        <w:rPr>
          <w:rFonts w:ascii="Simplified Arabic" w:hAnsi="Simplified Arabic" w:cs="Simplified Arabic"/>
          <w:color w:val="000000" w:themeColor="text1"/>
          <w:sz w:val="28"/>
          <w:szCs w:val="28"/>
        </w:rPr>
        <w:t>.</w:t>
      </w:r>
    </w:p>
    <w:p w14:paraId="78800EEB" w14:textId="77777777" w:rsidR="000561DC" w:rsidRPr="0005072A" w:rsidRDefault="000561DC" w:rsidP="000561DC">
      <w:pPr>
        <w:spacing w:line="360" w:lineRule="auto"/>
        <w:jc w:val="both"/>
        <w:rPr>
          <w:rFonts w:ascii="Simplified Arabic" w:hAnsi="Simplified Arabic" w:cs="Simplified Arabic"/>
          <w:b/>
          <w:bCs/>
          <w:color w:val="000000" w:themeColor="text1"/>
          <w:sz w:val="28"/>
          <w:szCs w:val="28"/>
        </w:rPr>
      </w:pPr>
      <w:r w:rsidRPr="0005072A">
        <w:rPr>
          <w:rFonts w:ascii="Simplified Arabic" w:hAnsi="Simplified Arabic" w:cs="Simplified Arabic"/>
          <w:b/>
          <w:bCs/>
          <w:color w:val="000000" w:themeColor="text1"/>
          <w:sz w:val="28"/>
          <w:szCs w:val="28"/>
          <w:rtl/>
        </w:rPr>
        <w:t>ثانيًا: منطلقات الحكومة الإلكترونية</w:t>
      </w:r>
      <w:r w:rsidRPr="0005072A">
        <w:rPr>
          <w:rFonts w:ascii="Simplified Arabic" w:hAnsi="Simplified Arabic" w:cs="Simplified Arabic"/>
          <w:b/>
          <w:bCs/>
          <w:color w:val="000000" w:themeColor="text1"/>
          <w:sz w:val="28"/>
          <w:szCs w:val="28"/>
        </w:rPr>
        <w:t xml:space="preserve"> (E-Government)</w:t>
      </w:r>
    </w:p>
    <w:p w14:paraId="63C95165"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lastRenderedPageBreak/>
        <w:t>تنطلق الدراسة كذلك من المفاهيم النظرية للحكومة الإلكترونية، والتي تمثل أحد التطبيقات الرئيسة للتحول الرقمي في القطاع العام، حيث تقوم على استخدام تقنيات المعلومات والاتصالات في تقديم الخدمات الحكومية بطريقة أكثر كفاءة وشفافية</w:t>
      </w:r>
      <w:r w:rsidRPr="0005072A">
        <w:rPr>
          <w:rFonts w:ascii="Simplified Arabic" w:hAnsi="Simplified Arabic" w:cs="Simplified Arabic"/>
          <w:color w:val="000000" w:themeColor="text1"/>
          <w:sz w:val="28"/>
          <w:szCs w:val="28"/>
        </w:rPr>
        <w:t>.</w:t>
      </w:r>
    </w:p>
    <w:p w14:paraId="3D446BA1"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وتؤكد الأدبيات أن نجاح الحكومة الإلكترونية يعتمد على مجموعة من المبادئ الأساسية، من أهمها إتاحة الخدمات بشكل مستمر عبر منصات رقمية سهلة الوصول، بما يمكّن المواطنين من إنجاز معاملاتهم في أي وقت ومن أي مكان. كما تسهم الحكومة الإلكترونية في تحسين جودة الخدمات من خلال تقليل الأخطاء، وتسريع الإجراءات، وتعزيز الشفافية في التعاملات الحكومية</w:t>
      </w:r>
      <w:r w:rsidRPr="0005072A">
        <w:rPr>
          <w:rFonts w:ascii="Simplified Arabic" w:hAnsi="Simplified Arabic" w:cs="Simplified Arabic"/>
          <w:color w:val="000000" w:themeColor="text1"/>
          <w:sz w:val="28"/>
          <w:szCs w:val="28"/>
        </w:rPr>
        <w:t>.</w:t>
      </w:r>
    </w:p>
    <w:p w14:paraId="04E1D476"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إضافة إلى ذلك، يُعد تكامل الأنظمة بين الجهات الحكومية عنصرًا حاسمًا في نجاح الخدمات الإلكترونية، حيث يساهم في تسهيل تبادل البيانات وتقليل الازدواجية، مما يؤدي إلى تحسين تجربة المستخدم وزيادة كفاءة الأداء الحكومي بشكل عام</w:t>
      </w:r>
      <w:r w:rsidRPr="0005072A">
        <w:rPr>
          <w:rFonts w:ascii="Simplified Arabic" w:hAnsi="Simplified Arabic" w:cs="Simplified Arabic"/>
          <w:color w:val="000000" w:themeColor="text1"/>
          <w:sz w:val="28"/>
          <w:szCs w:val="28"/>
        </w:rPr>
        <w:t>.</w:t>
      </w:r>
    </w:p>
    <w:p w14:paraId="66A06597" w14:textId="77777777" w:rsidR="000561DC" w:rsidRDefault="000561DC" w:rsidP="000561DC">
      <w:pPr>
        <w:spacing w:line="360" w:lineRule="auto"/>
        <w:ind w:left="-99"/>
        <w:jc w:val="both"/>
        <w:rPr>
          <w:rFonts w:ascii="Simplified Arabic" w:hAnsi="Simplified Arabic" w:cs="Simplified Arabic"/>
          <w:b/>
          <w:bCs/>
          <w:color w:val="000000" w:themeColor="text1"/>
          <w:sz w:val="28"/>
          <w:szCs w:val="28"/>
          <w:rtl/>
        </w:rPr>
      </w:pPr>
    </w:p>
    <w:p w14:paraId="326650EF" w14:textId="77777777" w:rsidR="000561DC" w:rsidRDefault="000561DC" w:rsidP="000561DC">
      <w:pPr>
        <w:spacing w:line="360" w:lineRule="auto"/>
        <w:ind w:left="-99"/>
        <w:jc w:val="both"/>
        <w:rPr>
          <w:rFonts w:ascii="Simplified Arabic" w:hAnsi="Simplified Arabic" w:cs="Simplified Arabic"/>
          <w:b/>
          <w:bCs/>
          <w:color w:val="000000" w:themeColor="text1"/>
          <w:sz w:val="28"/>
          <w:szCs w:val="28"/>
          <w:rtl/>
        </w:rPr>
      </w:pPr>
    </w:p>
    <w:p w14:paraId="1A3BBD10" w14:textId="77777777" w:rsidR="000561DC" w:rsidRPr="0005072A" w:rsidRDefault="000561DC" w:rsidP="000561DC">
      <w:pPr>
        <w:spacing w:line="360" w:lineRule="auto"/>
        <w:ind w:left="-99"/>
        <w:jc w:val="both"/>
        <w:rPr>
          <w:rFonts w:ascii="Simplified Arabic" w:hAnsi="Simplified Arabic" w:cs="Simplified Arabic"/>
          <w:b/>
          <w:bCs/>
          <w:color w:val="000000" w:themeColor="text1"/>
          <w:sz w:val="28"/>
          <w:szCs w:val="28"/>
        </w:rPr>
      </w:pPr>
      <w:r w:rsidRPr="0005072A">
        <w:rPr>
          <w:rFonts w:ascii="Simplified Arabic" w:hAnsi="Simplified Arabic" w:cs="Simplified Arabic"/>
          <w:b/>
          <w:bCs/>
          <w:color w:val="000000" w:themeColor="text1"/>
          <w:sz w:val="28"/>
          <w:szCs w:val="28"/>
          <w:rtl/>
        </w:rPr>
        <w:t>ثالثًا: منطلقات جودة الخدمة الإلكترونية</w:t>
      </w:r>
      <w:r w:rsidRPr="0005072A">
        <w:rPr>
          <w:rFonts w:ascii="Simplified Arabic" w:hAnsi="Simplified Arabic" w:cs="Simplified Arabic"/>
          <w:b/>
          <w:bCs/>
          <w:color w:val="000000" w:themeColor="text1"/>
          <w:sz w:val="28"/>
          <w:szCs w:val="28"/>
        </w:rPr>
        <w:t xml:space="preserve"> (E-Service Quality)</w:t>
      </w:r>
    </w:p>
    <w:p w14:paraId="00D0D94C"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تعتمد الدراسة على منطلقات جودة الخدمة الإلكترونية بوصفها أحد المفاهيم الأساسية في تقييم الخدمات الرقمية، حيث تُقاس جودة الخدمة من خلال مجموعة من الأبعاد التي تعكس تجربة المستخدم أثناء التعامل مع المنصات الإلكترونية</w:t>
      </w:r>
      <w:r w:rsidRPr="0005072A">
        <w:rPr>
          <w:rFonts w:ascii="Simplified Arabic" w:hAnsi="Simplified Arabic" w:cs="Simplified Arabic"/>
          <w:color w:val="000000" w:themeColor="text1"/>
          <w:sz w:val="28"/>
          <w:szCs w:val="28"/>
        </w:rPr>
        <w:t>.</w:t>
      </w:r>
    </w:p>
    <w:p w14:paraId="672CDAD9"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lastRenderedPageBreak/>
        <w:t>وتشمل هذه الأبعاد سهولة الاستخدام، والتي تعكس مدى بساطة التعامل مع النظام، والاعتمادية التي تشير إلى دقة تنفيذ الخدمة، وسرعة الاستجابة لطلبات المستخدمين، إضافة إلى مستوى الأمان في حماية البيانات الشخصية. كما تشمل سرعة إنجاز الخدمة واستقرار الأداء التقني للمنصة</w:t>
      </w:r>
      <w:r w:rsidRPr="0005072A">
        <w:rPr>
          <w:rFonts w:ascii="Simplified Arabic" w:hAnsi="Simplified Arabic" w:cs="Simplified Arabic"/>
          <w:color w:val="000000" w:themeColor="text1"/>
          <w:sz w:val="28"/>
          <w:szCs w:val="28"/>
        </w:rPr>
        <w:t>.</w:t>
      </w:r>
    </w:p>
    <w:p w14:paraId="3ED4B769"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وتُعد هذه الأبعاد أدوات تحليلية مهمة في هذه الدراسة، حيث تُستخدم لقياس مستوى جودة الخدمات الحكومية الإلكترونية، وتحديد مدى تأثير التحول الرقمي على تحسين هذه الجوانب</w:t>
      </w:r>
      <w:r w:rsidRPr="0005072A">
        <w:rPr>
          <w:rFonts w:ascii="Simplified Arabic" w:hAnsi="Simplified Arabic" w:cs="Simplified Arabic"/>
          <w:color w:val="000000" w:themeColor="text1"/>
          <w:sz w:val="28"/>
          <w:szCs w:val="28"/>
        </w:rPr>
        <w:t>.</w:t>
      </w:r>
    </w:p>
    <w:p w14:paraId="018D10C3" w14:textId="77777777" w:rsidR="000561DC" w:rsidRPr="0005072A" w:rsidRDefault="000561DC" w:rsidP="000561DC">
      <w:pPr>
        <w:spacing w:line="360" w:lineRule="auto"/>
        <w:ind w:left="-99"/>
        <w:jc w:val="both"/>
        <w:rPr>
          <w:rFonts w:ascii="Simplified Arabic" w:hAnsi="Simplified Arabic" w:cs="Simplified Arabic"/>
          <w:b/>
          <w:bCs/>
          <w:color w:val="000000" w:themeColor="text1"/>
          <w:sz w:val="28"/>
          <w:szCs w:val="28"/>
        </w:rPr>
      </w:pPr>
      <w:r w:rsidRPr="0005072A">
        <w:rPr>
          <w:rFonts w:ascii="Simplified Arabic" w:hAnsi="Simplified Arabic" w:cs="Simplified Arabic"/>
          <w:b/>
          <w:bCs/>
          <w:color w:val="000000" w:themeColor="text1"/>
          <w:sz w:val="28"/>
          <w:szCs w:val="28"/>
          <w:rtl/>
        </w:rPr>
        <w:t>رابعًا: منطلقات الكفاءة التنظيمية</w:t>
      </w:r>
      <w:r w:rsidRPr="0005072A">
        <w:rPr>
          <w:rFonts w:ascii="Simplified Arabic" w:hAnsi="Simplified Arabic" w:cs="Simplified Arabic"/>
          <w:b/>
          <w:bCs/>
          <w:color w:val="000000" w:themeColor="text1"/>
          <w:sz w:val="28"/>
          <w:szCs w:val="28"/>
        </w:rPr>
        <w:t xml:space="preserve"> (Organizational Efficiency)</w:t>
      </w:r>
    </w:p>
    <w:p w14:paraId="1BC8C59C"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تُعد الكفاءة التنظيمية من المفاهيم الأساسية في الإدارة الحديثة، حيث تشير إلى قدرة المؤسسة على تحقيق أهدافها بأفضل استخدام ممكن للموارد المتاحة. وفي سياق التحول الرقمي، يُنظر إلى التقنية بوصفها أداة رئيسة لتحسين الكفاءة من خلال تقليل الزمن اللازم لإنجاز المعاملات، وتقليل التكاليف التشغيلية، والحد من الأخطاء البشرية</w:t>
      </w:r>
      <w:r w:rsidRPr="0005072A">
        <w:rPr>
          <w:rFonts w:ascii="Simplified Arabic" w:hAnsi="Simplified Arabic" w:cs="Simplified Arabic"/>
          <w:color w:val="000000" w:themeColor="text1"/>
          <w:sz w:val="28"/>
          <w:szCs w:val="28"/>
        </w:rPr>
        <w:t>.</w:t>
      </w:r>
    </w:p>
    <w:p w14:paraId="0051B111"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كما تسهم الأتمتة الرقمية في إزالة الإجراءات غير الضرورية، مما يؤدي إلى تسريع العمليات وتحسين الإنتاجية. ويُعد تكامل الأنظمة بين الجهات الحكومية أحد العوامل المهمة التي تعزز الكفاءة التشغيلية، حيث يسهم في تسهيل تدفق المعلومات وتحسين جودة القرارات الإدارية</w:t>
      </w:r>
      <w:r w:rsidRPr="0005072A">
        <w:rPr>
          <w:rFonts w:ascii="Simplified Arabic" w:hAnsi="Simplified Arabic" w:cs="Simplified Arabic"/>
          <w:color w:val="000000" w:themeColor="text1"/>
          <w:sz w:val="28"/>
          <w:szCs w:val="28"/>
        </w:rPr>
        <w:t>.</w:t>
      </w:r>
    </w:p>
    <w:p w14:paraId="59028B6A" w14:textId="77777777" w:rsidR="000561DC" w:rsidRPr="00A45A08" w:rsidRDefault="000561DC" w:rsidP="000561DC">
      <w:pPr>
        <w:spacing w:line="360" w:lineRule="auto"/>
        <w:ind w:left="-99"/>
        <w:jc w:val="both"/>
        <w:rPr>
          <w:rFonts w:ascii="Simplified Arabic" w:hAnsi="Simplified Arabic" w:cs="Simplified Arabic"/>
          <w:color w:val="000000" w:themeColor="text1"/>
          <w:sz w:val="28"/>
          <w:szCs w:val="28"/>
          <w:rtl/>
        </w:rPr>
      </w:pPr>
      <w:r w:rsidRPr="0005072A">
        <w:rPr>
          <w:rFonts w:ascii="Simplified Arabic" w:hAnsi="Simplified Arabic" w:cs="Simplified Arabic"/>
          <w:color w:val="000000" w:themeColor="text1"/>
          <w:sz w:val="28"/>
          <w:szCs w:val="28"/>
          <w:rtl/>
        </w:rPr>
        <w:t>وتُستخدم هذه المنطلقات في هذه الدراسة لتفسير أثر التحول الرقمي على كفاءة الخدمات الحكومية، ومدى قدرته على تحقيق أداء أكثر فعالية واستدامة</w:t>
      </w:r>
      <w:r w:rsidRPr="0005072A">
        <w:rPr>
          <w:rFonts w:ascii="Simplified Arabic" w:hAnsi="Simplified Arabic" w:cs="Simplified Arabic"/>
          <w:color w:val="000000" w:themeColor="text1"/>
          <w:sz w:val="28"/>
          <w:szCs w:val="28"/>
        </w:rPr>
        <w:t>.</w:t>
      </w:r>
    </w:p>
    <w:p w14:paraId="51AB4679" w14:textId="77777777" w:rsidR="000561DC" w:rsidRPr="0005072A" w:rsidRDefault="000561DC" w:rsidP="000561DC">
      <w:pPr>
        <w:spacing w:line="360" w:lineRule="auto"/>
        <w:ind w:left="-99"/>
        <w:jc w:val="both"/>
        <w:rPr>
          <w:rFonts w:ascii="Simplified Arabic" w:hAnsi="Simplified Arabic" w:cs="Simplified Arabic"/>
          <w:b/>
          <w:bCs/>
          <w:color w:val="000000" w:themeColor="text1"/>
          <w:sz w:val="28"/>
          <w:szCs w:val="28"/>
        </w:rPr>
      </w:pPr>
      <w:r w:rsidRPr="0005072A">
        <w:rPr>
          <w:rFonts w:ascii="Simplified Arabic" w:hAnsi="Simplified Arabic" w:cs="Simplified Arabic"/>
          <w:b/>
          <w:bCs/>
          <w:color w:val="000000" w:themeColor="text1"/>
          <w:sz w:val="28"/>
          <w:szCs w:val="28"/>
          <w:rtl/>
        </w:rPr>
        <w:t>خامسًا: منطلقات رضا المستفيد</w:t>
      </w:r>
      <w:r w:rsidRPr="0005072A">
        <w:rPr>
          <w:rFonts w:ascii="Simplified Arabic" w:hAnsi="Simplified Arabic" w:cs="Simplified Arabic"/>
          <w:b/>
          <w:bCs/>
          <w:color w:val="000000" w:themeColor="text1"/>
          <w:sz w:val="28"/>
          <w:szCs w:val="28"/>
        </w:rPr>
        <w:t xml:space="preserve"> (Citizen Satisfaction)</w:t>
      </w:r>
    </w:p>
    <w:p w14:paraId="32BB8226"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lastRenderedPageBreak/>
        <w:t>يرتبط نجاح الخدمات الحكومية الإلكترونية بشكل وثيق بمستوى رضا المستفيدين عنها، حيث يُعد رضا المواطن مؤشرًا أساسيًا على جودة الخدمات وكفاءتها. وتستند هذه الدراسة إلى منطلقات نظرية ترى أن رضا المستخدم يتشكل من خلال المقارنة بين توقعاته المسبقة والأداء الفعلي للخدمة المقدمة</w:t>
      </w:r>
      <w:r w:rsidRPr="0005072A">
        <w:rPr>
          <w:rFonts w:ascii="Simplified Arabic" w:hAnsi="Simplified Arabic" w:cs="Simplified Arabic"/>
          <w:color w:val="000000" w:themeColor="text1"/>
          <w:sz w:val="28"/>
          <w:szCs w:val="28"/>
        </w:rPr>
        <w:t>.</w:t>
      </w:r>
    </w:p>
    <w:p w14:paraId="5E7CBEC0"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فكلما كانت الخدمة سهلة الاستخدام، وسريعة، وآمنة، ومتوافقة مع احتياجات المستخدم، ارتفع مستوى الرضا والثقة بها. وعلى العكس من ذلك، فإن وجود تعقيدات أو مشكلات تقنية قد يؤدي إلى انخفاض مستوى الرضا</w:t>
      </w:r>
      <w:r w:rsidRPr="0005072A">
        <w:rPr>
          <w:rFonts w:ascii="Simplified Arabic" w:hAnsi="Simplified Arabic" w:cs="Simplified Arabic"/>
          <w:color w:val="000000" w:themeColor="text1"/>
          <w:sz w:val="28"/>
          <w:szCs w:val="28"/>
        </w:rPr>
        <w:t>.</w:t>
      </w:r>
    </w:p>
    <w:p w14:paraId="72AEA882"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وبناءً على ذلك، يُعد رضا المواطنين أحد النتائج الأساسية للتحول الرقمي، كما يمثل متغيرًا مهمًا في تفسير نجاح الخدمات الحكومية الإلكترونية</w:t>
      </w:r>
      <w:r w:rsidRPr="0005072A">
        <w:rPr>
          <w:rFonts w:ascii="Simplified Arabic" w:hAnsi="Simplified Arabic" w:cs="Simplified Arabic"/>
          <w:color w:val="000000" w:themeColor="text1"/>
          <w:sz w:val="28"/>
          <w:szCs w:val="28"/>
        </w:rPr>
        <w:t>.</w:t>
      </w:r>
    </w:p>
    <w:p w14:paraId="31837E7C"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p>
    <w:p w14:paraId="1C982D3F" w14:textId="77777777" w:rsidR="000561DC" w:rsidRPr="0005072A" w:rsidRDefault="000561DC" w:rsidP="000561DC">
      <w:pPr>
        <w:spacing w:line="360" w:lineRule="auto"/>
        <w:ind w:left="-99"/>
        <w:jc w:val="both"/>
        <w:rPr>
          <w:rFonts w:ascii="Simplified Arabic" w:hAnsi="Simplified Arabic" w:cs="Simplified Arabic"/>
          <w:b/>
          <w:bCs/>
          <w:color w:val="000000" w:themeColor="text1"/>
          <w:sz w:val="28"/>
          <w:szCs w:val="28"/>
        </w:rPr>
      </w:pPr>
      <w:r w:rsidRPr="0005072A">
        <w:rPr>
          <w:rFonts w:ascii="Simplified Arabic" w:hAnsi="Simplified Arabic" w:cs="Simplified Arabic"/>
          <w:b/>
          <w:bCs/>
          <w:color w:val="000000" w:themeColor="text1"/>
          <w:sz w:val="28"/>
          <w:szCs w:val="28"/>
          <w:rtl/>
        </w:rPr>
        <w:t>سادسًا: منطلقات تجربة المستخدم</w:t>
      </w:r>
      <w:r w:rsidRPr="0005072A">
        <w:rPr>
          <w:rFonts w:ascii="Simplified Arabic" w:hAnsi="Simplified Arabic" w:cs="Simplified Arabic"/>
          <w:b/>
          <w:bCs/>
          <w:color w:val="000000" w:themeColor="text1"/>
          <w:sz w:val="28"/>
          <w:szCs w:val="28"/>
        </w:rPr>
        <w:t xml:space="preserve"> (User Experience)</w:t>
      </w:r>
    </w:p>
    <w:p w14:paraId="150C8755"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تشير الأدبيات الحديثة إلى أن تجربة المستخدم أصبحت عنصرًا حاسمًا في تقييم الخدمات الرقمية، حيث لا يقتصر نجاح الخدمة على توفيرها فقط، بل يعتمد على مدى سهولة استخدامها وجودة التفاعل معها</w:t>
      </w:r>
      <w:r w:rsidRPr="0005072A">
        <w:rPr>
          <w:rFonts w:ascii="Simplified Arabic" w:hAnsi="Simplified Arabic" w:cs="Simplified Arabic"/>
          <w:color w:val="000000" w:themeColor="text1"/>
          <w:sz w:val="28"/>
          <w:szCs w:val="28"/>
        </w:rPr>
        <w:t>.</w:t>
      </w:r>
    </w:p>
    <w:p w14:paraId="1CB07942"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وتشمل تجربة المستخدم عدة عناصر، من أبرزها وضوح واجهة الاستخدام، وسهولة التنقل بين الخدمات، واستقرار الأداء التقني، إضافة إلى توفر الإرشادات والتوجيهات التي تساعد المستخدم في إنجاز معاملاته بسهولة. كما يشمل ذلك توفير خدمات تتناسب مع مختلف الفئات، بما يحقق شمولية الوصول إلى الخدمات</w:t>
      </w:r>
      <w:r w:rsidRPr="0005072A">
        <w:rPr>
          <w:rFonts w:ascii="Simplified Arabic" w:hAnsi="Simplified Arabic" w:cs="Simplified Arabic"/>
          <w:color w:val="000000" w:themeColor="text1"/>
          <w:sz w:val="28"/>
          <w:szCs w:val="28"/>
        </w:rPr>
        <w:t>.</w:t>
      </w:r>
    </w:p>
    <w:p w14:paraId="3928A75A"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lastRenderedPageBreak/>
        <w:t>وتُسهم هذه المنطلقات في تفسير كيفية تفاعل المواطنين مع المنصات الحكومية، ومدى تأثير التحول الرقمي على تحسين تجربتهم وزيادة اعتمادهم على الخدمات الإلكترونية</w:t>
      </w:r>
      <w:r w:rsidRPr="0005072A">
        <w:rPr>
          <w:rFonts w:ascii="Simplified Arabic" w:hAnsi="Simplified Arabic" w:cs="Simplified Arabic"/>
          <w:color w:val="000000" w:themeColor="text1"/>
          <w:sz w:val="28"/>
          <w:szCs w:val="28"/>
        </w:rPr>
        <w:t>.</w:t>
      </w:r>
    </w:p>
    <w:p w14:paraId="67A90162" w14:textId="77777777" w:rsidR="000561DC" w:rsidRPr="0005072A" w:rsidRDefault="000561DC" w:rsidP="000561DC">
      <w:pPr>
        <w:spacing w:line="360" w:lineRule="auto"/>
        <w:ind w:left="-99"/>
        <w:jc w:val="both"/>
        <w:rPr>
          <w:rFonts w:ascii="Simplified Arabic" w:hAnsi="Simplified Arabic" w:cs="Simplified Arabic"/>
          <w:b/>
          <w:bCs/>
          <w:color w:val="000000" w:themeColor="text1"/>
          <w:sz w:val="28"/>
          <w:szCs w:val="28"/>
        </w:rPr>
      </w:pPr>
      <w:r w:rsidRPr="0005072A">
        <w:rPr>
          <w:rFonts w:ascii="Simplified Arabic" w:hAnsi="Simplified Arabic" w:cs="Simplified Arabic"/>
          <w:b/>
          <w:bCs/>
          <w:color w:val="000000" w:themeColor="text1"/>
          <w:sz w:val="28"/>
          <w:szCs w:val="28"/>
          <w:rtl/>
        </w:rPr>
        <w:t>تكامل المنطلقات النظرية في إطار الدراسة</w:t>
      </w:r>
    </w:p>
    <w:p w14:paraId="59A6F6B3" w14:textId="77777777" w:rsidR="000561DC" w:rsidRPr="0005072A" w:rsidRDefault="000561DC" w:rsidP="000561DC">
      <w:pPr>
        <w:spacing w:line="360" w:lineRule="auto"/>
        <w:ind w:left="-99"/>
        <w:jc w:val="both"/>
        <w:rPr>
          <w:rFonts w:ascii="Simplified Arabic" w:hAnsi="Simplified Arabic" w:cs="Simplified Arabic"/>
          <w:color w:val="000000" w:themeColor="text1"/>
          <w:sz w:val="28"/>
          <w:szCs w:val="28"/>
        </w:rPr>
      </w:pPr>
      <w:r w:rsidRPr="0005072A">
        <w:rPr>
          <w:rFonts w:ascii="Simplified Arabic" w:hAnsi="Simplified Arabic" w:cs="Simplified Arabic"/>
          <w:color w:val="000000" w:themeColor="text1"/>
          <w:sz w:val="28"/>
          <w:szCs w:val="28"/>
          <w:rtl/>
        </w:rPr>
        <w:t>تتكامل هذه المنطلقات النظرية لتقديم إطار تحليلي شامل يفسر العلاقات بين متغيرات الدراسة، حيث يوضح التحول الرقمي الأساس التقني للتغيير، بينما تفسر مفاهيم الحكومة الإلكترونية آليات تقديم الخدمات، وتحدد نماذج جودة الخدمة معايير التقييم، في حين توضح الكفاءة التنظيمية أثر التحول على الأداء، وتفسر نظريات رضا المستفيد وتجربة المستخدم النتائج النهائية لهذا التحول</w:t>
      </w:r>
      <w:r w:rsidRPr="0005072A">
        <w:rPr>
          <w:rFonts w:ascii="Simplified Arabic" w:hAnsi="Simplified Arabic" w:cs="Simplified Arabic"/>
          <w:color w:val="000000" w:themeColor="text1"/>
          <w:sz w:val="28"/>
          <w:szCs w:val="28"/>
        </w:rPr>
        <w:t>.</w:t>
      </w:r>
    </w:p>
    <w:p w14:paraId="755312A8" w14:textId="77777777" w:rsidR="000561DC" w:rsidRPr="009A43BE" w:rsidRDefault="000561DC" w:rsidP="000561DC">
      <w:pPr>
        <w:spacing w:line="360" w:lineRule="auto"/>
        <w:ind w:left="-99"/>
        <w:jc w:val="both"/>
        <w:rPr>
          <w:rFonts w:ascii="Simplified Arabic" w:hAnsi="Simplified Arabic" w:cs="Simplified Arabic"/>
          <w:color w:val="000000" w:themeColor="text1"/>
          <w:sz w:val="28"/>
          <w:szCs w:val="28"/>
          <w:rtl/>
        </w:rPr>
      </w:pPr>
      <w:r w:rsidRPr="0005072A">
        <w:rPr>
          <w:rFonts w:ascii="Simplified Arabic" w:hAnsi="Simplified Arabic" w:cs="Simplified Arabic"/>
          <w:color w:val="000000" w:themeColor="text1"/>
          <w:sz w:val="28"/>
          <w:szCs w:val="28"/>
          <w:rtl/>
        </w:rPr>
        <w:t>ومن خلال هذا التكامل، يمكن فهم التحول الرقمي بوصفه منظومة متكاملة تؤثر في جودة الخدمات وكفاءتها ورضا المستخدمين، وهو ما تسعى هذه الدراسة إلى تحليله واختباره في السياق السعودي</w:t>
      </w:r>
      <w:r w:rsidRPr="0005072A">
        <w:rPr>
          <w:rFonts w:ascii="Simplified Arabic" w:hAnsi="Simplified Arabic" w:cs="Simplified Arabic"/>
          <w:color w:val="000000" w:themeColor="text1"/>
          <w:sz w:val="28"/>
          <w:szCs w:val="28"/>
        </w:rPr>
        <w:t>.</w:t>
      </w:r>
    </w:p>
    <w:p w14:paraId="0EFFAAE0" w14:textId="77777777" w:rsidR="000561DC" w:rsidRPr="00422400" w:rsidRDefault="000561DC" w:rsidP="000561DC">
      <w:pPr>
        <w:spacing w:line="360" w:lineRule="auto"/>
        <w:jc w:val="both"/>
        <w:rPr>
          <w:rFonts w:ascii="Simplified Arabic" w:hAnsi="Simplified Arabic" w:cs="Simplified Arabic"/>
          <w:sz w:val="36"/>
          <w:szCs w:val="36"/>
          <w:rtl/>
        </w:rPr>
      </w:pPr>
      <w:r w:rsidRPr="00422400">
        <w:rPr>
          <w:rFonts w:ascii="Sakkal Majalla" w:hAnsi="Sakkal Majalla" w:cs="Sakkal Majalla" w:hint="cs"/>
          <w:sz w:val="36"/>
          <w:szCs w:val="36"/>
          <w:rtl/>
        </w:rPr>
        <w:t xml:space="preserve">2,4 </w:t>
      </w:r>
      <w:r w:rsidRPr="00422400">
        <w:rPr>
          <w:rFonts w:ascii="Simplified Arabic" w:hAnsi="Simplified Arabic" w:cs="Simplified Arabic" w:hint="cs"/>
          <w:sz w:val="36"/>
          <w:szCs w:val="36"/>
          <w:rtl/>
        </w:rPr>
        <w:t>الإطار النظري</w:t>
      </w:r>
    </w:p>
    <w:p w14:paraId="014AFFF6"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يُعد الإطار النظري أحد المرتكزات الأساسية في بناء الدراسات العلمية، حيث يمثل الأساس الفكري الذي تستند إليه الدراسة في تفسير الظواهر وتحليل العلاقات بين المتغيرات المختلفة. كما يسهم في تحديد المفاهيم الرئيسة، وربطها ببعضها ضمن إطار علمي متكامل، بما يدعم بناء النموذج البحثي وصياغة الفرضيات وتفسير النتائج</w:t>
      </w:r>
      <w:r w:rsidRPr="003B244E">
        <w:rPr>
          <w:rFonts w:ascii="Simplified Arabic" w:hAnsi="Simplified Arabic" w:cs="Simplified Arabic"/>
          <w:color w:val="000000" w:themeColor="text1"/>
          <w:sz w:val="28"/>
          <w:szCs w:val="28"/>
        </w:rPr>
        <w:t>.</w:t>
      </w:r>
    </w:p>
    <w:p w14:paraId="354A36C4"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 xml:space="preserve">وفي سياق هذه الدراسة، التي تتناول أثر التحول الرقمي على جودة وكفاءة الخدمات الحكومية الإلكترونية من وجهة نظر المواطنين، تبرز أهمية الإطار النظري نظرًا لتعدد الأبعاد المرتبطة بالموضوع، والتي تشمل الجوانب التقنية والإدارية والسلوكية في آنٍ واحد. ومن ثم، فإن هذا الإطار </w:t>
      </w:r>
      <w:r w:rsidRPr="003B244E">
        <w:rPr>
          <w:rFonts w:ascii="Simplified Arabic" w:hAnsi="Simplified Arabic" w:cs="Simplified Arabic"/>
          <w:color w:val="000000" w:themeColor="text1"/>
          <w:sz w:val="28"/>
          <w:szCs w:val="28"/>
          <w:rtl/>
        </w:rPr>
        <w:lastRenderedPageBreak/>
        <w:t>يقوم على مجموعة من المحاور النظرية المتكاملة التي تتفاعل فيما بينها لتفسير طبيعة العلاقة بين التحول الرقمي ونتائج تطبيقه على مستوى الخدمات الحكومية</w:t>
      </w:r>
      <w:r w:rsidRPr="003B244E">
        <w:rPr>
          <w:rFonts w:ascii="Simplified Arabic" w:hAnsi="Simplified Arabic" w:cs="Simplified Arabic"/>
          <w:color w:val="000000" w:themeColor="text1"/>
          <w:sz w:val="28"/>
          <w:szCs w:val="28"/>
        </w:rPr>
        <w:t>.</w:t>
      </w:r>
    </w:p>
    <w:p w14:paraId="7B23D218"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3E4A0647">
          <v:rect id="_x0000_i1122" style="width:0;height:1.5pt" o:hralign="center" o:hrstd="t" o:hr="t" fillcolor="#a0a0a0" stroked="f"/>
        </w:pict>
      </w:r>
    </w:p>
    <w:p w14:paraId="283FE6B5"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368272EA"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أولًا: التحول الرقمي</w:t>
      </w:r>
      <w:r w:rsidRPr="003B244E">
        <w:rPr>
          <w:rFonts w:ascii="Simplified Arabic" w:hAnsi="Simplified Arabic" w:cs="Simplified Arabic"/>
          <w:color w:val="000000" w:themeColor="text1"/>
          <w:sz w:val="28"/>
          <w:szCs w:val="28"/>
        </w:rPr>
        <w:t xml:space="preserve"> (Digital Transformation)</w:t>
      </w:r>
    </w:p>
    <w:p w14:paraId="457F4796"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يُنظر إلى التحول الرقمي بوصفه تحولًا استراتيجيًا شاملاً يتجاوز مجرد استخدام التقنيات الحديثة، ليشمل إعادة صياغة نماذج العمل وتطوير العمليات المؤسسية بما يتناسب مع متطلبات البيئة الرقمية. ويهدف هذا التحول إلى تحسين الأداء المؤسسي، وتعزيز الابتكار، ورفع مستوى جودة الخدمات المقدمة للمستفيدين</w:t>
      </w:r>
      <w:r w:rsidRPr="003B244E">
        <w:rPr>
          <w:rFonts w:ascii="Simplified Arabic" w:hAnsi="Simplified Arabic" w:cs="Simplified Arabic"/>
          <w:color w:val="000000" w:themeColor="text1"/>
          <w:sz w:val="28"/>
          <w:szCs w:val="28"/>
        </w:rPr>
        <w:t>.</w:t>
      </w:r>
    </w:p>
    <w:p w14:paraId="3EEA1165"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ويُعرف التحول الرقمي بأنه عملية دمج التقنيات الرقمية في مختلف الأنشطة والإجراءات داخل المؤسسة، بما يؤدي إلى إحداث تغيير جذري في طريقة تقديم الخدمات وخلق القيمة للمستفيدين. ولا يقتصر هذا المفهوم على الأتمتة، بل يمتد ليشمل إعادة هندسة العمليات، وتبسيط الإجراءات، وتعزيز التكامل بين الأنظمة</w:t>
      </w:r>
      <w:r w:rsidRPr="003B244E">
        <w:rPr>
          <w:rFonts w:ascii="Simplified Arabic" w:hAnsi="Simplified Arabic" w:cs="Simplified Arabic"/>
          <w:color w:val="000000" w:themeColor="text1"/>
          <w:sz w:val="28"/>
          <w:szCs w:val="28"/>
        </w:rPr>
        <w:t>.</w:t>
      </w:r>
    </w:p>
    <w:p w14:paraId="34AA299B"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وتتجلى أهمية التحول الرقمي في القطاع الحكومي من خلال قدرته على تحسين جودة الخدمات العامة، وتقليل التعقيد الإداري، ورفع كفاءة الأداء، وتعزيز الشفافية والمساءلة، إضافة إلى تحسين تجربة المواطن في الحصول على الخدمة</w:t>
      </w:r>
      <w:r w:rsidRPr="003B244E">
        <w:rPr>
          <w:rFonts w:ascii="Simplified Arabic" w:hAnsi="Simplified Arabic" w:cs="Simplified Arabic"/>
          <w:color w:val="000000" w:themeColor="text1"/>
          <w:sz w:val="28"/>
          <w:szCs w:val="28"/>
        </w:rPr>
        <w:t>.</w:t>
      </w:r>
    </w:p>
    <w:p w14:paraId="7F0AF7F2"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lastRenderedPageBreak/>
        <w:t>كما يعتمد التحول الرقمي على مجموعة من الممكنات الأساسية، من أبرزها البنية التحتية الرقمية، وتحليل البيانات، والحوسبة السحابية، والتطبيقات الذكية، وتكامل الأنظمة. وتلعب هذه الممكنات دورًا محوريًا في دعم التحول الرقمي وتحقيق أهدافه</w:t>
      </w:r>
      <w:r w:rsidRPr="003B244E">
        <w:rPr>
          <w:rFonts w:ascii="Simplified Arabic" w:hAnsi="Simplified Arabic" w:cs="Simplified Arabic"/>
          <w:color w:val="000000" w:themeColor="text1"/>
          <w:sz w:val="28"/>
          <w:szCs w:val="28"/>
        </w:rPr>
        <w:t>.</w:t>
      </w:r>
    </w:p>
    <w:p w14:paraId="62D6FA8B"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وفي المملكة العربية السعودية، يمثل التحول الرقمي أحد الركائز الأساسية لرؤية 2030، حيث تم إطلاق العديد من المبادرات والمنصات الرقمية التي تهدف إلى تحسين جودة الحياة، وتسهيل الوصول إلى الخدمات، وتعزيز الكفاءة التشغيلية في القطاع الحكومي</w:t>
      </w:r>
      <w:r w:rsidRPr="003B244E">
        <w:rPr>
          <w:rFonts w:ascii="Simplified Arabic" w:hAnsi="Simplified Arabic" w:cs="Simplified Arabic"/>
          <w:color w:val="000000" w:themeColor="text1"/>
          <w:sz w:val="28"/>
          <w:szCs w:val="28"/>
        </w:rPr>
        <w:t>.</w:t>
      </w:r>
    </w:p>
    <w:p w14:paraId="6C569B9B"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38DF97DA">
          <v:rect id="_x0000_i1123" style="width:0;height:1.5pt" o:hralign="center" o:hrstd="t" o:hr="t" fillcolor="#a0a0a0" stroked="f"/>
        </w:pict>
      </w:r>
    </w:p>
    <w:p w14:paraId="519C85D7"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ثانيًا: الحكومة الإلكترونية</w:t>
      </w:r>
      <w:r w:rsidRPr="003B244E">
        <w:rPr>
          <w:rFonts w:ascii="Simplified Arabic" w:hAnsi="Simplified Arabic" w:cs="Simplified Arabic"/>
          <w:color w:val="000000" w:themeColor="text1"/>
          <w:sz w:val="28"/>
          <w:szCs w:val="28"/>
        </w:rPr>
        <w:t xml:space="preserve"> (E-Government)</w:t>
      </w:r>
    </w:p>
    <w:p w14:paraId="7CC75EBF"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تُعد الحكومة الإلكترونية من أبرز تطبيقات التحول الرقمي في القطاع العام، حيث تقوم على استخدام تقنيات المعلومات والاتصالات لتقديم الخدمات الحكومية بطريقة إلكترونية تتيح السرعة والمرونة وسهولة الوصول</w:t>
      </w:r>
      <w:r w:rsidRPr="003B244E">
        <w:rPr>
          <w:rFonts w:ascii="Simplified Arabic" w:hAnsi="Simplified Arabic" w:cs="Simplified Arabic"/>
          <w:color w:val="000000" w:themeColor="text1"/>
          <w:sz w:val="28"/>
          <w:szCs w:val="28"/>
        </w:rPr>
        <w:t>.</w:t>
      </w:r>
    </w:p>
    <w:p w14:paraId="078AB6D5"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وقد مر مفهوم الحكومة الإلكترونية بعدة مراحل تطورية، بدأت بنشر المعلومات، ثم التفاعل مع المستخدمين، ثم تقديم الخدمات بشكل إلكتروني، وصولًا إلى مرحلة التكامل الرقمي الكامل بين الجهات الحكومية. ويعكس هذا التطور انتقال الحكومات من مجرد توفير المعلومات إلى تقديم خدمات متكاملة تعتمد على التكامل بين الأنظمة</w:t>
      </w:r>
      <w:r w:rsidRPr="003B244E">
        <w:rPr>
          <w:rFonts w:ascii="Simplified Arabic" w:hAnsi="Simplified Arabic" w:cs="Simplified Arabic"/>
          <w:color w:val="000000" w:themeColor="text1"/>
          <w:sz w:val="28"/>
          <w:szCs w:val="28"/>
        </w:rPr>
        <w:t>.</w:t>
      </w:r>
    </w:p>
    <w:p w14:paraId="6F94BD27"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وتهدف الحكومة الإلكترونية إلى تحسين جودة الخدمات، وتقليل التكاليف التشغيلية، وتسريع إنجاز المعاملات، وتعزيز الشفافية، وتمكين المواطنين من الوصول إلى الخدمات بسهولة</w:t>
      </w:r>
      <w:r w:rsidRPr="003B244E">
        <w:rPr>
          <w:rFonts w:ascii="Simplified Arabic" w:hAnsi="Simplified Arabic" w:cs="Simplified Arabic"/>
          <w:color w:val="000000" w:themeColor="text1"/>
          <w:sz w:val="28"/>
          <w:szCs w:val="28"/>
        </w:rPr>
        <w:t>.</w:t>
      </w:r>
    </w:p>
    <w:p w14:paraId="38296EB7"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lastRenderedPageBreak/>
        <w:t>كما تعتمد على عدة عناصر أساسية، تشمل البنية التقنية، والإطار التشريعي، والموارد البشرية، والتكامل بين الجهات، إضافة إلى الأمن السيبراني الذي يُعد عنصرًا أساسيًا لضمان حماية البيانات</w:t>
      </w:r>
      <w:r w:rsidRPr="003B244E">
        <w:rPr>
          <w:rFonts w:ascii="Simplified Arabic" w:hAnsi="Simplified Arabic" w:cs="Simplified Arabic"/>
          <w:color w:val="000000" w:themeColor="text1"/>
          <w:sz w:val="28"/>
          <w:szCs w:val="28"/>
        </w:rPr>
        <w:t>.</w:t>
      </w:r>
    </w:p>
    <w:p w14:paraId="28892B8A"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وتُعد تجربة المملكة العربية السعودية من التجارب المتقدمة في هذا المجال، حيث حققت تقدمًا ملحوظًا في مؤشرات الحكومة الرقمية من خلال تطوير عدد من المنصات الحكومية التي سهلت الوصول إلى الخدمات وعززت كفاءتها</w:t>
      </w:r>
      <w:r w:rsidRPr="003B244E">
        <w:rPr>
          <w:rFonts w:ascii="Simplified Arabic" w:hAnsi="Simplified Arabic" w:cs="Simplified Arabic"/>
          <w:color w:val="000000" w:themeColor="text1"/>
          <w:sz w:val="28"/>
          <w:szCs w:val="28"/>
        </w:rPr>
        <w:t>.</w:t>
      </w:r>
    </w:p>
    <w:p w14:paraId="3158046E" w14:textId="77777777" w:rsidR="000561DC" w:rsidRPr="003B244E" w:rsidRDefault="000561DC" w:rsidP="000561DC">
      <w:pPr>
        <w:spacing w:line="360" w:lineRule="auto"/>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74D159AA">
          <v:rect id="_x0000_i1124" style="width:0;height:1.5pt" o:hralign="center" o:hrstd="t" o:hr="t" fillcolor="#a0a0a0" stroked="f"/>
        </w:pict>
      </w:r>
    </w:p>
    <w:p w14:paraId="18AECBC0"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ثالثًا: جودة الخدمات الحكومية الإلكترونية</w:t>
      </w:r>
      <w:r w:rsidRPr="003B244E">
        <w:rPr>
          <w:rFonts w:ascii="Simplified Arabic" w:hAnsi="Simplified Arabic" w:cs="Simplified Arabic"/>
          <w:color w:val="000000" w:themeColor="text1"/>
          <w:sz w:val="28"/>
          <w:szCs w:val="28"/>
        </w:rPr>
        <w:t xml:space="preserve"> (E-Service Quality)</w:t>
      </w:r>
    </w:p>
    <w:p w14:paraId="04CB4BC9"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تُعد جودة الخدمة الإلكترونية من المفاهيم المحورية في تقييم نجاح الخدمات الرقمية، حيث تعكس مدى قدرة الخدمة على تلبية احتياجات المستخدمين بكفاءة وفعالية</w:t>
      </w:r>
      <w:r w:rsidRPr="003B244E">
        <w:rPr>
          <w:rFonts w:ascii="Simplified Arabic" w:hAnsi="Simplified Arabic" w:cs="Simplified Arabic"/>
          <w:color w:val="000000" w:themeColor="text1"/>
          <w:sz w:val="28"/>
          <w:szCs w:val="28"/>
        </w:rPr>
        <w:t>.</w:t>
      </w:r>
    </w:p>
    <w:p w14:paraId="062718FE"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وقد طُورت عدة نماذج لقياس جودة الخدمات الإلكترونية، والتي تعتمد على مجموعة من الأبعاد التي تمثل تجربة المستخدم، مثل سهولة الاستخدام، والاعتمادية، وسرعة الاستجابة، ومستوى الأمان، إضافة إلى كفاءة الأداء وسرعة الإنجاز</w:t>
      </w:r>
      <w:r w:rsidRPr="003B244E">
        <w:rPr>
          <w:rFonts w:ascii="Simplified Arabic" w:hAnsi="Simplified Arabic" w:cs="Simplified Arabic"/>
          <w:color w:val="000000" w:themeColor="text1"/>
          <w:sz w:val="28"/>
          <w:szCs w:val="28"/>
        </w:rPr>
        <w:t>.</w:t>
      </w:r>
    </w:p>
    <w:p w14:paraId="24F679E1"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وتُسهم هذه الأبعاد في تقييم جودة الخدمة كما يدركها المستخدم، وتُعد مؤشرات مهمة يمكن من خلالها قياس مدى نجاح التحول الرقمي في تحسين مستوى الخدمات الحكومية الإلكترونية</w:t>
      </w:r>
      <w:r w:rsidRPr="003B244E">
        <w:rPr>
          <w:rFonts w:ascii="Simplified Arabic" w:hAnsi="Simplified Arabic" w:cs="Simplified Arabic"/>
          <w:color w:val="000000" w:themeColor="text1"/>
          <w:sz w:val="28"/>
          <w:szCs w:val="28"/>
        </w:rPr>
        <w:t>.</w:t>
      </w:r>
    </w:p>
    <w:p w14:paraId="1EAE69A8"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كما أن جودة الخدمة ترتبط بشكل مباشر بمستوى رضا المستخدم، حيث تؤدي الخدمات ذات الجودة العالية إلى تعزيز ثقة المواطنين في المنصات الحكومية وزيادة اعتمادهم عليها</w:t>
      </w:r>
      <w:r w:rsidRPr="003B244E">
        <w:rPr>
          <w:rFonts w:ascii="Simplified Arabic" w:hAnsi="Simplified Arabic" w:cs="Simplified Arabic"/>
          <w:color w:val="000000" w:themeColor="text1"/>
          <w:sz w:val="28"/>
          <w:szCs w:val="28"/>
        </w:rPr>
        <w:t>.</w:t>
      </w:r>
    </w:p>
    <w:p w14:paraId="24181F5C"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1E69B5F0">
          <v:rect id="_x0000_i1125" style="width:0;height:1.5pt" o:hralign="center" o:hrstd="t" o:hr="t" fillcolor="#a0a0a0" stroked="f"/>
        </w:pict>
      </w:r>
    </w:p>
    <w:p w14:paraId="4C77D148"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رابعًا: كفاءة الخدمات الحكومية الإلكترونية</w:t>
      </w:r>
      <w:r w:rsidRPr="003B244E">
        <w:rPr>
          <w:rFonts w:ascii="Simplified Arabic" w:hAnsi="Simplified Arabic" w:cs="Simplified Arabic"/>
          <w:color w:val="000000" w:themeColor="text1"/>
          <w:sz w:val="28"/>
          <w:szCs w:val="28"/>
        </w:rPr>
        <w:t xml:space="preserve"> (Efficiency)</w:t>
      </w:r>
    </w:p>
    <w:p w14:paraId="2BA48E39"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lastRenderedPageBreak/>
        <w:t>تشير الكفاءة إلى قدرة الجهات الحكومية على تقديم خدماتها باستخدام أقل قدر ممكن من الموارد، وفي أقصر وقت، مع تحقيق أفضل النتائج. وتُعد الكفاءة أحد الأهداف الرئيسة للتحول الرقمي، حيث يسهم في تحسين الأداء وتقليل الهدر في الوقت والجهد والتكاليف</w:t>
      </w:r>
      <w:r w:rsidRPr="003B244E">
        <w:rPr>
          <w:rFonts w:ascii="Simplified Arabic" w:hAnsi="Simplified Arabic" w:cs="Simplified Arabic"/>
          <w:color w:val="000000" w:themeColor="text1"/>
          <w:sz w:val="28"/>
          <w:szCs w:val="28"/>
        </w:rPr>
        <w:t>.</w:t>
      </w:r>
    </w:p>
    <w:p w14:paraId="62F0FD18"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ويؤدي التحول الرقمي إلى تحسين الكفاءة من خلال تقليل الإجراءات التقليدية، وتسريع إنجاز المعاملات، وتقليل الأخطاء البشرية، وتحسين تدفق المعلومات داخل الجهات الحكومية</w:t>
      </w:r>
      <w:r w:rsidRPr="003B244E">
        <w:rPr>
          <w:rFonts w:ascii="Simplified Arabic" w:hAnsi="Simplified Arabic" w:cs="Simplified Arabic"/>
          <w:color w:val="000000" w:themeColor="text1"/>
          <w:sz w:val="28"/>
          <w:szCs w:val="28"/>
        </w:rPr>
        <w:t>.</w:t>
      </w:r>
    </w:p>
    <w:p w14:paraId="522A5A22"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كما أن التكامل بين الأنظمة الحكومية يلعب دورًا مهمًا في رفع مستوى الكفاءة، حيث يتيح تبادل البيانات بين الجهات المختلفة دون الحاجة إلى تكرار الإجراءات، مما يسهم في تحسين تجربة المستخدم وزيادة فعالية الخدمات</w:t>
      </w:r>
      <w:r w:rsidRPr="003B244E">
        <w:rPr>
          <w:rFonts w:ascii="Simplified Arabic" w:hAnsi="Simplified Arabic" w:cs="Simplified Arabic"/>
          <w:color w:val="000000" w:themeColor="text1"/>
          <w:sz w:val="28"/>
          <w:szCs w:val="28"/>
        </w:rPr>
        <w:t>.</w:t>
      </w:r>
    </w:p>
    <w:p w14:paraId="3DD0B114"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5875704F">
          <v:rect id="_x0000_i1126" style="width:0;height:1.5pt" o:hralign="center" o:hrstd="t" o:hr="t" fillcolor="#a0a0a0" stroked="f"/>
        </w:pict>
      </w:r>
    </w:p>
    <w:p w14:paraId="0A26273B"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خامسًا: رضا المستفيد</w:t>
      </w:r>
      <w:r w:rsidRPr="003B244E">
        <w:rPr>
          <w:rFonts w:ascii="Simplified Arabic" w:hAnsi="Simplified Arabic" w:cs="Simplified Arabic"/>
          <w:color w:val="000000" w:themeColor="text1"/>
          <w:sz w:val="28"/>
          <w:szCs w:val="28"/>
        </w:rPr>
        <w:t xml:space="preserve"> (Citizen Satisfaction)</w:t>
      </w:r>
    </w:p>
    <w:p w14:paraId="74BBC98A"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يُعد رضا المستفيد من أهم المؤشرات التي تُستخدم لتقييم نجاح الخدمات الحكومية الإلكترونية، حيث يعكس مدى توافق الخدمة المقدمة مع توقعات المستخدم واحتياجاته</w:t>
      </w:r>
      <w:r w:rsidRPr="003B244E">
        <w:rPr>
          <w:rFonts w:ascii="Simplified Arabic" w:hAnsi="Simplified Arabic" w:cs="Simplified Arabic"/>
          <w:color w:val="000000" w:themeColor="text1"/>
          <w:sz w:val="28"/>
          <w:szCs w:val="28"/>
        </w:rPr>
        <w:t>.</w:t>
      </w:r>
    </w:p>
    <w:p w14:paraId="632F9B6E"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ويتأثر رضا المواطن بعدة عوامل، من أبرزها جودة الخدمة، وسرعة الإنجاز، وسهولة الاستخدام، ومستوى الأمان، ووضوح الإجراءات. كما يرتبط الرضا بمستوى الثقة في الخدمات الحكومية ومدى استمرارية استخدامها</w:t>
      </w:r>
      <w:r w:rsidRPr="003B244E">
        <w:rPr>
          <w:rFonts w:ascii="Simplified Arabic" w:hAnsi="Simplified Arabic" w:cs="Simplified Arabic"/>
          <w:color w:val="000000" w:themeColor="text1"/>
          <w:sz w:val="28"/>
          <w:szCs w:val="28"/>
        </w:rPr>
        <w:t>.</w:t>
      </w:r>
    </w:p>
    <w:p w14:paraId="346AC52C"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وفي سياق التحول الرقمي، يُعد رضا المستخدم نتيجة مباشرة لتحسين جودة الخدمات وكفاءتها، وبالتالي يمثل مؤشرًا مهمًا على نجاح المبادرات الرقمية</w:t>
      </w:r>
      <w:r w:rsidRPr="003B244E">
        <w:rPr>
          <w:rFonts w:ascii="Simplified Arabic" w:hAnsi="Simplified Arabic" w:cs="Simplified Arabic"/>
          <w:color w:val="000000" w:themeColor="text1"/>
          <w:sz w:val="28"/>
          <w:szCs w:val="28"/>
        </w:rPr>
        <w:t>.</w:t>
      </w:r>
    </w:p>
    <w:p w14:paraId="7F1AE646"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2C62626A">
          <v:rect id="_x0000_i1127" style="width:0;height:1.5pt" o:hralign="center" o:hrstd="t" o:hr="t" fillcolor="#a0a0a0" stroked="f"/>
        </w:pict>
      </w:r>
    </w:p>
    <w:p w14:paraId="4600FB99"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lastRenderedPageBreak/>
        <w:t>سادسًا: تجربة المستخدم</w:t>
      </w:r>
      <w:r w:rsidRPr="003B244E">
        <w:rPr>
          <w:rFonts w:ascii="Simplified Arabic" w:hAnsi="Simplified Arabic" w:cs="Simplified Arabic"/>
          <w:color w:val="000000" w:themeColor="text1"/>
          <w:sz w:val="28"/>
          <w:szCs w:val="28"/>
        </w:rPr>
        <w:t xml:space="preserve"> (User Experience – UX)</w:t>
      </w:r>
    </w:p>
    <w:p w14:paraId="2EC0F347"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أصبحت تجربة المستخدم عنصرًا أساسيًا في تقييم الخدمات الرقمية، حيث لا يقتصر نجاح الخدمة على توفرها، بل يعتمد على مدى سهولة استخدامها ووضوحها وملاءمتها لاحتياجات المستخدمين</w:t>
      </w:r>
      <w:r w:rsidRPr="003B244E">
        <w:rPr>
          <w:rFonts w:ascii="Simplified Arabic" w:hAnsi="Simplified Arabic" w:cs="Simplified Arabic"/>
          <w:color w:val="000000" w:themeColor="text1"/>
          <w:sz w:val="28"/>
          <w:szCs w:val="28"/>
        </w:rPr>
        <w:t>.</w:t>
      </w:r>
    </w:p>
    <w:p w14:paraId="3B41A457"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وتشمل تجربة المستخدم عدة عناصر، مثل تصميم واجهة الاستخدام، وسهولة التنقل، ووضوح التعليمات، وسرعة الأداء، إضافة إلى التفاعل مع المستخدم من خلال التنبيهات والإرشادات</w:t>
      </w:r>
      <w:r w:rsidRPr="003B244E">
        <w:rPr>
          <w:rFonts w:ascii="Simplified Arabic" w:hAnsi="Simplified Arabic" w:cs="Simplified Arabic"/>
          <w:color w:val="000000" w:themeColor="text1"/>
          <w:sz w:val="28"/>
          <w:szCs w:val="28"/>
        </w:rPr>
        <w:t>.</w:t>
      </w:r>
    </w:p>
    <w:p w14:paraId="604A6443"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وتؤثر تجربة المستخدم بشكل مباشر على رضا المواطنين، وعلى مدى تبنيهم للخدمات الحكومية الإلكترونية، حيث تؤدي التجربة الإيجابية إلى زيادة الاعتماد على الخدمات الرقمية</w:t>
      </w:r>
      <w:r w:rsidRPr="003B244E">
        <w:rPr>
          <w:rFonts w:ascii="Simplified Arabic" w:hAnsi="Simplified Arabic" w:cs="Simplified Arabic"/>
          <w:color w:val="000000" w:themeColor="text1"/>
          <w:sz w:val="28"/>
          <w:szCs w:val="28"/>
        </w:rPr>
        <w:t>.</w:t>
      </w:r>
    </w:p>
    <w:p w14:paraId="20F54332"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Pr>
          <w:rFonts w:ascii="Simplified Arabic" w:hAnsi="Simplified Arabic" w:cs="Simplified Arabic"/>
          <w:color w:val="000000" w:themeColor="text1"/>
          <w:sz w:val="28"/>
          <w:szCs w:val="28"/>
        </w:rPr>
        <w:pict w14:anchorId="55663C92">
          <v:rect id="_x0000_i1128" style="width:0;height:1.5pt" o:hralign="center" o:hrstd="t" o:hr="t" fillcolor="#a0a0a0" stroked="f"/>
        </w:pict>
      </w:r>
    </w:p>
    <w:p w14:paraId="7C1F9B5E" w14:textId="77777777" w:rsidR="000561DC" w:rsidRDefault="000561DC" w:rsidP="000561DC">
      <w:pPr>
        <w:spacing w:line="360" w:lineRule="auto"/>
        <w:jc w:val="both"/>
        <w:rPr>
          <w:rFonts w:ascii="Simplified Arabic" w:hAnsi="Simplified Arabic" w:cs="Simplified Arabic"/>
          <w:color w:val="000000" w:themeColor="text1"/>
          <w:sz w:val="28"/>
          <w:szCs w:val="28"/>
          <w:rtl/>
        </w:rPr>
      </w:pPr>
    </w:p>
    <w:p w14:paraId="63986CEB"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تكامل الإطار النظري</w:t>
      </w:r>
    </w:p>
    <w:p w14:paraId="6997524E"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يتضح من العرض السابق أن هناك علاقة تكاملية بين مفاهيم التحول الرقمي والحكومة الإلكترونية وجودة الخدمة والكفاءة ورضا المستفيد وتجربة المستخدم، حيث يمثل التحول الرقمي الإطار العام الذي يقود عملية التغيير، بينما تمثل الحكومة الإلكترونية التطبيق العملي لهذا التحول</w:t>
      </w:r>
      <w:r w:rsidRPr="003B244E">
        <w:rPr>
          <w:rFonts w:ascii="Simplified Arabic" w:hAnsi="Simplified Arabic" w:cs="Simplified Arabic"/>
          <w:color w:val="000000" w:themeColor="text1"/>
          <w:sz w:val="28"/>
          <w:szCs w:val="28"/>
        </w:rPr>
        <w:t>.</w:t>
      </w:r>
    </w:p>
    <w:p w14:paraId="6D3D597E"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وفي المقابل، تُعد جودة الخدمة وكفاءتها من أهم نتائج التحول الرقمي، في حين يعكس رضا المستفيد وتجربة المستخدم الأثر النهائي لهذا التحول من منظور المواطن</w:t>
      </w:r>
      <w:r w:rsidRPr="003B244E">
        <w:rPr>
          <w:rFonts w:ascii="Simplified Arabic" w:hAnsi="Simplified Arabic" w:cs="Simplified Arabic"/>
          <w:color w:val="000000" w:themeColor="text1"/>
          <w:sz w:val="28"/>
          <w:szCs w:val="28"/>
        </w:rPr>
        <w:t>.</w:t>
      </w:r>
    </w:p>
    <w:p w14:paraId="659F2AD6" w14:textId="77777777" w:rsidR="000561DC" w:rsidRPr="003B244E" w:rsidRDefault="000561DC" w:rsidP="000561DC">
      <w:pPr>
        <w:spacing w:line="360" w:lineRule="auto"/>
        <w:jc w:val="both"/>
        <w:rPr>
          <w:rFonts w:ascii="Simplified Arabic" w:hAnsi="Simplified Arabic" w:cs="Simplified Arabic"/>
          <w:color w:val="000000" w:themeColor="text1"/>
          <w:sz w:val="28"/>
          <w:szCs w:val="28"/>
        </w:rPr>
      </w:pPr>
      <w:r w:rsidRPr="003B244E">
        <w:rPr>
          <w:rFonts w:ascii="Simplified Arabic" w:hAnsi="Simplified Arabic" w:cs="Simplified Arabic"/>
          <w:color w:val="000000" w:themeColor="text1"/>
          <w:sz w:val="28"/>
          <w:szCs w:val="28"/>
          <w:rtl/>
        </w:rPr>
        <w:t>وبناءً على ذلك، يمكن القول إن نجاح التحول الرقمي لا يُقاس بمدى توفر التقنية فقط، بل بمدى انعكاسها الفعلي على تحسين جودة الخدمات وكفاءتها، وعلى مستوى رضا المستخدمين وتجربتهم، وهو ما تسعى هذه الدراسة إلى تحليله وقياسه في السياق السعودي</w:t>
      </w:r>
      <w:r w:rsidRPr="003B244E">
        <w:rPr>
          <w:rFonts w:ascii="Simplified Arabic" w:hAnsi="Simplified Arabic" w:cs="Simplified Arabic"/>
          <w:color w:val="000000" w:themeColor="text1"/>
          <w:sz w:val="28"/>
          <w:szCs w:val="28"/>
        </w:rPr>
        <w:t>.</w:t>
      </w:r>
    </w:p>
    <w:p w14:paraId="263B3B85" w14:textId="77777777" w:rsidR="000561DC" w:rsidRDefault="000561DC" w:rsidP="000561DC">
      <w:pPr>
        <w:spacing w:line="360" w:lineRule="auto"/>
        <w:rPr>
          <w:rFonts w:ascii="Sakkal Majalla" w:hAnsi="Sakkal Majalla" w:cs="Sakkal Majalla"/>
          <w:sz w:val="28"/>
          <w:szCs w:val="28"/>
          <w:u w:val="single"/>
          <w:rtl/>
        </w:rPr>
      </w:pPr>
    </w:p>
    <w:p w14:paraId="496726BF" w14:textId="77777777" w:rsidR="000561DC" w:rsidRDefault="000561DC" w:rsidP="000561DC">
      <w:pPr>
        <w:spacing w:line="360" w:lineRule="auto"/>
        <w:rPr>
          <w:rFonts w:ascii="Sakkal Majalla" w:hAnsi="Sakkal Majalla" w:cs="Sakkal Majalla"/>
          <w:sz w:val="28"/>
          <w:szCs w:val="28"/>
          <w:u w:val="single"/>
          <w:rtl/>
        </w:rPr>
      </w:pPr>
      <w:r>
        <w:rPr>
          <w:rFonts w:ascii="Sakkal Majalla" w:hAnsi="Sakkal Majalla" w:cs="Sakkal Majalla"/>
          <w:noProof/>
          <w:sz w:val="28"/>
          <w:szCs w:val="28"/>
          <w:u w:val="single"/>
          <w:rtl/>
          <w:lang w:val="ar-SA"/>
        </w:rPr>
        <w:drawing>
          <wp:inline distT="0" distB="0" distL="0" distR="0" wp14:anchorId="2231308C" wp14:editId="54202886">
            <wp:extent cx="5486400" cy="3200400"/>
            <wp:effectExtent l="0" t="0" r="0" b="19050"/>
            <wp:docPr id="2113376734" name="رسم تخطيطي 4"/>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6" r:lo="rId7" r:qs="rId8" r:cs="rId9"/>
              </a:graphicData>
            </a:graphic>
          </wp:inline>
        </w:drawing>
      </w:r>
      <w:r w:rsidRPr="00FC16CB">
        <w:rPr>
          <w:rFonts w:ascii="Sakkal Majalla" w:hAnsi="Sakkal Majalla" w:cs="Sakkal Majalla"/>
          <w:b/>
          <w:bCs/>
          <w:sz w:val="28"/>
          <w:szCs w:val="28"/>
          <w:rtl/>
        </w:rPr>
        <w:t>شكل (2): الإطار النظري للدراسة</w:t>
      </w:r>
    </w:p>
    <w:p w14:paraId="15464787" w14:textId="77777777" w:rsidR="000561DC" w:rsidRDefault="000561DC" w:rsidP="000561DC">
      <w:pPr>
        <w:spacing w:line="360" w:lineRule="auto"/>
        <w:rPr>
          <w:rFonts w:ascii="Sakkal Majalla" w:hAnsi="Sakkal Majalla" w:cs="Sakkal Majalla"/>
          <w:sz w:val="28"/>
          <w:szCs w:val="28"/>
          <w:u w:val="single"/>
          <w:rtl/>
        </w:rPr>
      </w:pPr>
    </w:p>
    <w:p w14:paraId="24D255E8" w14:textId="77777777" w:rsidR="00173F3F" w:rsidRDefault="00173F3F"/>
    <w:sectPr w:rsidR="00173F3F" w:rsidSect="000561DC">
      <w:pgSz w:w="11906" w:h="16838"/>
      <w:pgMar w:top="1440" w:right="1800" w:bottom="1440" w:left="1800" w:header="708" w:footer="708" w:gutter="0"/>
      <w:pgBorders w:offsetFrom="page">
        <w:top w:val="dashSmallGap" w:sz="4" w:space="24" w:color="auto"/>
        <w:left w:val="dashSmallGap" w:sz="4" w:space="24" w:color="auto"/>
        <w:bottom w:val="dashSmallGap" w:sz="4" w:space="24" w:color="auto"/>
        <w:right w:val="dashSmallGap" w:sz="4" w:space="24" w:color="auto"/>
      </w:pgBorders>
      <w:cols w:space="708"/>
      <w:bidi/>
      <w:rtlGutter/>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akkal Majalla">
    <w:panose1 w:val="02000000000000000000"/>
    <w:charset w:val="00"/>
    <w:family w:val="auto"/>
    <w:pitch w:val="variable"/>
    <w:sig w:usb0="A0002027" w:usb1="80000000" w:usb2="00000108" w:usb3="00000000" w:csb0="000000D3"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panose1 w:val="02020603050405020304"/>
    <w:charset w:val="00"/>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tl/>
      </w:rPr>
      <w:id w:val="-1000036351"/>
      <w:docPartObj>
        <w:docPartGallery w:val="Page Numbers (Bottom of Page)"/>
        <w:docPartUnique/>
      </w:docPartObj>
    </w:sdtPr>
    <w:sdtContent>
      <w:p w14:paraId="70BF8953" w14:textId="77777777" w:rsidR="000561DC" w:rsidRDefault="000561DC">
        <w:pPr>
          <w:pStyle w:val="aa"/>
          <w:jc w:val="center"/>
        </w:pPr>
        <w:r>
          <w:fldChar w:fldCharType="begin"/>
        </w:r>
        <w:r>
          <w:instrText>PAGE   \* MERGEFORMAT</w:instrText>
        </w:r>
        <w:r>
          <w:fldChar w:fldCharType="separate"/>
        </w:r>
        <w:r>
          <w:rPr>
            <w:rtl/>
            <w:lang w:val="ar-SA"/>
          </w:rPr>
          <w:t>2</w:t>
        </w:r>
        <w:r>
          <w:fldChar w:fldCharType="end"/>
        </w:r>
      </w:p>
    </w:sdtContent>
  </w:sdt>
  <w:p w14:paraId="7F041D86" w14:textId="77777777" w:rsidR="000561DC" w:rsidRDefault="000561DC">
    <w:pPr>
      <w:pStyle w:val="aa"/>
    </w:pPr>
  </w:p>
</w:ft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30287A"/>
    <w:multiLevelType w:val="multilevel"/>
    <w:tmpl w:val="114E2C0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143C6ABC"/>
    <w:multiLevelType w:val="hybridMultilevel"/>
    <w:tmpl w:val="7C3A291A"/>
    <w:lvl w:ilvl="0" w:tplc="D55CDC14">
      <w:numFmt w:val="bullet"/>
      <w:lvlText w:val="-"/>
      <w:lvlJc w:val="left"/>
      <w:pPr>
        <w:ind w:left="720" w:hanging="360"/>
      </w:pPr>
      <w:rPr>
        <w:rFonts w:ascii="Sakkal Majalla" w:eastAsiaTheme="minorHAnsi" w:hAnsi="Sakkal Majalla" w:cs="Sakkal Majalla"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4AA35BB"/>
    <w:multiLevelType w:val="multilevel"/>
    <w:tmpl w:val="19680E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6073D43"/>
    <w:multiLevelType w:val="multilevel"/>
    <w:tmpl w:val="F80A3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68757215">
    <w:abstractNumId w:val="1"/>
  </w:num>
  <w:num w:numId="2" w16cid:durableId="1409569350">
    <w:abstractNumId w:val="0"/>
  </w:num>
  <w:num w:numId="3" w16cid:durableId="1362172595">
    <w:abstractNumId w:val="2"/>
  </w:num>
  <w:num w:numId="4" w16cid:durableId="187072720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561DC"/>
    <w:rsid w:val="000561DC"/>
    <w:rsid w:val="00173F3F"/>
    <w:rsid w:val="001A7238"/>
    <w:rsid w:val="004B3C96"/>
    <w:rsid w:val="007C4CDC"/>
    <w:rsid w:val="00DC1BD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ABEDAE9"/>
  <w15:chartTrackingRefBased/>
  <w15:docId w15:val="{9CF78102-B4DD-45B8-A308-8B80BBBCBA4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0561DC"/>
    <w:pPr>
      <w:bidi/>
    </w:pPr>
  </w:style>
  <w:style w:type="paragraph" w:styleId="1">
    <w:name w:val="heading 1"/>
    <w:basedOn w:val="a"/>
    <w:next w:val="a"/>
    <w:link w:val="1Char"/>
    <w:uiPriority w:val="9"/>
    <w:qFormat/>
    <w:rsid w:val="000561DC"/>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2">
    <w:name w:val="heading 2"/>
    <w:basedOn w:val="a"/>
    <w:next w:val="a"/>
    <w:link w:val="2Char"/>
    <w:uiPriority w:val="9"/>
    <w:semiHidden/>
    <w:unhideWhenUsed/>
    <w:qFormat/>
    <w:rsid w:val="000561DC"/>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3">
    <w:name w:val="heading 3"/>
    <w:basedOn w:val="a"/>
    <w:next w:val="a"/>
    <w:link w:val="3Char"/>
    <w:uiPriority w:val="9"/>
    <w:semiHidden/>
    <w:unhideWhenUsed/>
    <w:qFormat/>
    <w:rsid w:val="000561DC"/>
    <w:pPr>
      <w:keepNext/>
      <w:keepLines/>
      <w:spacing w:before="160" w:after="80"/>
      <w:outlineLvl w:val="2"/>
    </w:pPr>
    <w:rPr>
      <w:rFonts w:eastAsiaTheme="majorEastAsia" w:cstheme="majorBidi"/>
      <w:color w:val="2F5496" w:themeColor="accent1" w:themeShade="BF"/>
      <w:sz w:val="28"/>
      <w:szCs w:val="28"/>
    </w:rPr>
  </w:style>
  <w:style w:type="paragraph" w:styleId="4">
    <w:name w:val="heading 4"/>
    <w:basedOn w:val="a"/>
    <w:next w:val="a"/>
    <w:link w:val="4Char"/>
    <w:uiPriority w:val="9"/>
    <w:semiHidden/>
    <w:unhideWhenUsed/>
    <w:qFormat/>
    <w:rsid w:val="000561DC"/>
    <w:pPr>
      <w:keepNext/>
      <w:keepLines/>
      <w:spacing w:before="80" w:after="40"/>
      <w:outlineLvl w:val="3"/>
    </w:pPr>
    <w:rPr>
      <w:rFonts w:eastAsiaTheme="majorEastAsia" w:cstheme="majorBidi"/>
      <w:i/>
      <w:iCs/>
      <w:color w:val="2F5496" w:themeColor="accent1" w:themeShade="BF"/>
    </w:rPr>
  </w:style>
  <w:style w:type="paragraph" w:styleId="5">
    <w:name w:val="heading 5"/>
    <w:basedOn w:val="a"/>
    <w:next w:val="a"/>
    <w:link w:val="5Char"/>
    <w:uiPriority w:val="9"/>
    <w:semiHidden/>
    <w:unhideWhenUsed/>
    <w:qFormat/>
    <w:rsid w:val="000561DC"/>
    <w:pPr>
      <w:keepNext/>
      <w:keepLines/>
      <w:spacing w:before="80" w:after="40"/>
      <w:outlineLvl w:val="4"/>
    </w:pPr>
    <w:rPr>
      <w:rFonts w:eastAsiaTheme="majorEastAsia" w:cstheme="majorBidi"/>
      <w:color w:val="2F5496" w:themeColor="accent1" w:themeShade="BF"/>
    </w:rPr>
  </w:style>
  <w:style w:type="paragraph" w:styleId="6">
    <w:name w:val="heading 6"/>
    <w:basedOn w:val="a"/>
    <w:next w:val="a"/>
    <w:link w:val="6Char"/>
    <w:uiPriority w:val="9"/>
    <w:semiHidden/>
    <w:unhideWhenUsed/>
    <w:qFormat/>
    <w:rsid w:val="000561DC"/>
    <w:pPr>
      <w:keepNext/>
      <w:keepLines/>
      <w:spacing w:before="40" w:after="0"/>
      <w:outlineLvl w:val="5"/>
    </w:pPr>
    <w:rPr>
      <w:rFonts w:eastAsiaTheme="majorEastAsia" w:cstheme="majorBidi"/>
      <w:i/>
      <w:iCs/>
      <w:color w:val="595959" w:themeColor="text1" w:themeTint="A6"/>
    </w:rPr>
  </w:style>
  <w:style w:type="paragraph" w:styleId="7">
    <w:name w:val="heading 7"/>
    <w:basedOn w:val="a"/>
    <w:next w:val="a"/>
    <w:link w:val="7Char"/>
    <w:uiPriority w:val="9"/>
    <w:semiHidden/>
    <w:unhideWhenUsed/>
    <w:qFormat/>
    <w:rsid w:val="000561DC"/>
    <w:pPr>
      <w:keepNext/>
      <w:keepLines/>
      <w:spacing w:before="40" w:after="0"/>
      <w:outlineLvl w:val="6"/>
    </w:pPr>
    <w:rPr>
      <w:rFonts w:eastAsiaTheme="majorEastAsia" w:cstheme="majorBidi"/>
      <w:color w:val="595959" w:themeColor="text1" w:themeTint="A6"/>
    </w:rPr>
  </w:style>
  <w:style w:type="paragraph" w:styleId="8">
    <w:name w:val="heading 8"/>
    <w:basedOn w:val="a"/>
    <w:next w:val="a"/>
    <w:link w:val="8Char"/>
    <w:uiPriority w:val="9"/>
    <w:semiHidden/>
    <w:unhideWhenUsed/>
    <w:qFormat/>
    <w:rsid w:val="000561DC"/>
    <w:pPr>
      <w:keepNext/>
      <w:keepLines/>
      <w:spacing w:after="0"/>
      <w:outlineLvl w:val="7"/>
    </w:pPr>
    <w:rPr>
      <w:rFonts w:eastAsiaTheme="majorEastAsia" w:cstheme="majorBidi"/>
      <w:i/>
      <w:iCs/>
      <w:color w:val="272727" w:themeColor="text1" w:themeTint="D8"/>
    </w:rPr>
  </w:style>
  <w:style w:type="paragraph" w:styleId="9">
    <w:name w:val="heading 9"/>
    <w:basedOn w:val="a"/>
    <w:next w:val="a"/>
    <w:link w:val="9Char"/>
    <w:uiPriority w:val="9"/>
    <w:semiHidden/>
    <w:unhideWhenUsed/>
    <w:qFormat/>
    <w:rsid w:val="000561DC"/>
    <w:pPr>
      <w:keepNext/>
      <w:keepLines/>
      <w:spacing w:after="0"/>
      <w:outlineLvl w:val="8"/>
    </w:pPr>
    <w:rPr>
      <w:rFonts w:eastAsiaTheme="majorEastAsia" w:cstheme="majorBidi"/>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العنوان 1 Char"/>
    <w:basedOn w:val="a0"/>
    <w:link w:val="1"/>
    <w:uiPriority w:val="9"/>
    <w:rsid w:val="000561DC"/>
    <w:rPr>
      <w:rFonts w:asciiTheme="majorHAnsi" w:eastAsiaTheme="majorEastAsia" w:hAnsiTheme="majorHAnsi" w:cstheme="majorBidi"/>
      <w:color w:val="2F5496" w:themeColor="accent1" w:themeShade="BF"/>
      <w:sz w:val="40"/>
      <w:szCs w:val="40"/>
    </w:rPr>
  </w:style>
  <w:style w:type="character" w:customStyle="1" w:styleId="2Char">
    <w:name w:val="عنوان 2 Char"/>
    <w:basedOn w:val="a0"/>
    <w:link w:val="2"/>
    <w:uiPriority w:val="9"/>
    <w:semiHidden/>
    <w:rsid w:val="000561DC"/>
    <w:rPr>
      <w:rFonts w:asciiTheme="majorHAnsi" w:eastAsiaTheme="majorEastAsia" w:hAnsiTheme="majorHAnsi" w:cstheme="majorBidi"/>
      <w:color w:val="2F5496" w:themeColor="accent1" w:themeShade="BF"/>
      <w:sz w:val="32"/>
      <w:szCs w:val="32"/>
    </w:rPr>
  </w:style>
  <w:style w:type="character" w:customStyle="1" w:styleId="3Char">
    <w:name w:val="عنوان 3 Char"/>
    <w:basedOn w:val="a0"/>
    <w:link w:val="3"/>
    <w:uiPriority w:val="9"/>
    <w:semiHidden/>
    <w:rsid w:val="000561DC"/>
    <w:rPr>
      <w:rFonts w:eastAsiaTheme="majorEastAsia" w:cstheme="majorBidi"/>
      <w:color w:val="2F5496" w:themeColor="accent1" w:themeShade="BF"/>
      <w:sz w:val="28"/>
      <w:szCs w:val="28"/>
    </w:rPr>
  </w:style>
  <w:style w:type="character" w:customStyle="1" w:styleId="4Char">
    <w:name w:val="عنوان 4 Char"/>
    <w:basedOn w:val="a0"/>
    <w:link w:val="4"/>
    <w:uiPriority w:val="9"/>
    <w:semiHidden/>
    <w:rsid w:val="000561DC"/>
    <w:rPr>
      <w:rFonts w:eastAsiaTheme="majorEastAsia" w:cstheme="majorBidi"/>
      <w:i/>
      <w:iCs/>
      <w:color w:val="2F5496" w:themeColor="accent1" w:themeShade="BF"/>
    </w:rPr>
  </w:style>
  <w:style w:type="character" w:customStyle="1" w:styleId="5Char">
    <w:name w:val="عنوان 5 Char"/>
    <w:basedOn w:val="a0"/>
    <w:link w:val="5"/>
    <w:uiPriority w:val="9"/>
    <w:semiHidden/>
    <w:rsid w:val="000561DC"/>
    <w:rPr>
      <w:rFonts w:eastAsiaTheme="majorEastAsia" w:cstheme="majorBidi"/>
      <w:color w:val="2F5496" w:themeColor="accent1" w:themeShade="BF"/>
    </w:rPr>
  </w:style>
  <w:style w:type="character" w:customStyle="1" w:styleId="6Char">
    <w:name w:val="عنوان 6 Char"/>
    <w:basedOn w:val="a0"/>
    <w:link w:val="6"/>
    <w:uiPriority w:val="9"/>
    <w:semiHidden/>
    <w:rsid w:val="000561DC"/>
    <w:rPr>
      <w:rFonts w:eastAsiaTheme="majorEastAsia" w:cstheme="majorBidi"/>
      <w:i/>
      <w:iCs/>
      <w:color w:val="595959" w:themeColor="text1" w:themeTint="A6"/>
    </w:rPr>
  </w:style>
  <w:style w:type="character" w:customStyle="1" w:styleId="7Char">
    <w:name w:val="عنوان 7 Char"/>
    <w:basedOn w:val="a0"/>
    <w:link w:val="7"/>
    <w:uiPriority w:val="9"/>
    <w:semiHidden/>
    <w:rsid w:val="000561DC"/>
    <w:rPr>
      <w:rFonts w:eastAsiaTheme="majorEastAsia" w:cstheme="majorBidi"/>
      <w:color w:val="595959" w:themeColor="text1" w:themeTint="A6"/>
    </w:rPr>
  </w:style>
  <w:style w:type="character" w:customStyle="1" w:styleId="8Char">
    <w:name w:val="عنوان 8 Char"/>
    <w:basedOn w:val="a0"/>
    <w:link w:val="8"/>
    <w:uiPriority w:val="9"/>
    <w:semiHidden/>
    <w:rsid w:val="000561DC"/>
    <w:rPr>
      <w:rFonts w:eastAsiaTheme="majorEastAsia" w:cstheme="majorBidi"/>
      <w:i/>
      <w:iCs/>
      <w:color w:val="272727" w:themeColor="text1" w:themeTint="D8"/>
    </w:rPr>
  </w:style>
  <w:style w:type="character" w:customStyle="1" w:styleId="9Char">
    <w:name w:val="عنوان 9 Char"/>
    <w:basedOn w:val="a0"/>
    <w:link w:val="9"/>
    <w:uiPriority w:val="9"/>
    <w:semiHidden/>
    <w:rsid w:val="000561DC"/>
    <w:rPr>
      <w:rFonts w:eastAsiaTheme="majorEastAsia" w:cstheme="majorBidi"/>
      <w:color w:val="272727" w:themeColor="text1" w:themeTint="D8"/>
    </w:rPr>
  </w:style>
  <w:style w:type="paragraph" w:styleId="a3">
    <w:name w:val="Title"/>
    <w:basedOn w:val="a"/>
    <w:next w:val="a"/>
    <w:link w:val="Char"/>
    <w:uiPriority w:val="10"/>
    <w:qFormat/>
    <w:rsid w:val="000561D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Char">
    <w:name w:val="العنوان Char"/>
    <w:basedOn w:val="a0"/>
    <w:link w:val="a3"/>
    <w:uiPriority w:val="10"/>
    <w:rsid w:val="000561DC"/>
    <w:rPr>
      <w:rFonts w:asciiTheme="majorHAnsi" w:eastAsiaTheme="majorEastAsia" w:hAnsiTheme="majorHAnsi" w:cstheme="majorBidi"/>
      <w:spacing w:val="-10"/>
      <w:kern w:val="28"/>
      <w:sz w:val="56"/>
      <w:szCs w:val="56"/>
    </w:rPr>
  </w:style>
  <w:style w:type="paragraph" w:styleId="a4">
    <w:name w:val="Subtitle"/>
    <w:basedOn w:val="a"/>
    <w:next w:val="a"/>
    <w:link w:val="Char0"/>
    <w:uiPriority w:val="11"/>
    <w:qFormat/>
    <w:rsid w:val="000561DC"/>
    <w:pPr>
      <w:numPr>
        <w:ilvl w:val="1"/>
      </w:numPr>
    </w:pPr>
    <w:rPr>
      <w:rFonts w:eastAsiaTheme="majorEastAsia" w:cstheme="majorBidi"/>
      <w:color w:val="595959" w:themeColor="text1" w:themeTint="A6"/>
      <w:spacing w:val="15"/>
      <w:sz w:val="28"/>
      <w:szCs w:val="28"/>
    </w:rPr>
  </w:style>
  <w:style w:type="character" w:customStyle="1" w:styleId="Char0">
    <w:name w:val="عنوان فرعي Char"/>
    <w:basedOn w:val="a0"/>
    <w:link w:val="a4"/>
    <w:uiPriority w:val="11"/>
    <w:rsid w:val="000561DC"/>
    <w:rPr>
      <w:rFonts w:eastAsiaTheme="majorEastAsia" w:cstheme="majorBidi"/>
      <w:color w:val="595959" w:themeColor="text1" w:themeTint="A6"/>
      <w:spacing w:val="15"/>
      <w:sz w:val="28"/>
      <w:szCs w:val="28"/>
    </w:rPr>
  </w:style>
  <w:style w:type="paragraph" w:styleId="a5">
    <w:name w:val="Quote"/>
    <w:basedOn w:val="a"/>
    <w:next w:val="a"/>
    <w:link w:val="Char1"/>
    <w:uiPriority w:val="29"/>
    <w:qFormat/>
    <w:rsid w:val="000561DC"/>
    <w:pPr>
      <w:spacing w:before="160"/>
      <w:jc w:val="center"/>
    </w:pPr>
    <w:rPr>
      <w:i/>
      <w:iCs/>
      <w:color w:val="404040" w:themeColor="text1" w:themeTint="BF"/>
    </w:rPr>
  </w:style>
  <w:style w:type="character" w:customStyle="1" w:styleId="Char1">
    <w:name w:val="اقتباس Char"/>
    <w:basedOn w:val="a0"/>
    <w:link w:val="a5"/>
    <w:uiPriority w:val="29"/>
    <w:rsid w:val="000561DC"/>
    <w:rPr>
      <w:i/>
      <w:iCs/>
      <w:color w:val="404040" w:themeColor="text1" w:themeTint="BF"/>
    </w:rPr>
  </w:style>
  <w:style w:type="paragraph" w:styleId="a6">
    <w:name w:val="List Paragraph"/>
    <w:basedOn w:val="a"/>
    <w:uiPriority w:val="34"/>
    <w:qFormat/>
    <w:rsid w:val="000561DC"/>
    <w:pPr>
      <w:ind w:left="720"/>
      <w:contextualSpacing/>
    </w:pPr>
  </w:style>
  <w:style w:type="character" w:styleId="a7">
    <w:name w:val="Intense Emphasis"/>
    <w:basedOn w:val="a0"/>
    <w:uiPriority w:val="21"/>
    <w:qFormat/>
    <w:rsid w:val="000561DC"/>
    <w:rPr>
      <w:i/>
      <w:iCs/>
      <w:color w:val="2F5496" w:themeColor="accent1" w:themeShade="BF"/>
    </w:rPr>
  </w:style>
  <w:style w:type="paragraph" w:styleId="a8">
    <w:name w:val="Intense Quote"/>
    <w:basedOn w:val="a"/>
    <w:next w:val="a"/>
    <w:link w:val="Char2"/>
    <w:uiPriority w:val="30"/>
    <w:qFormat/>
    <w:rsid w:val="000561DC"/>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har2">
    <w:name w:val="اقتباس مكثف Char"/>
    <w:basedOn w:val="a0"/>
    <w:link w:val="a8"/>
    <w:uiPriority w:val="30"/>
    <w:rsid w:val="000561DC"/>
    <w:rPr>
      <w:i/>
      <w:iCs/>
      <w:color w:val="2F5496" w:themeColor="accent1" w:themeShade="BF"/>
    </w:rPr>
  </w:style>
  <w:style w:type="character" w:styleId="a9">
    <w:name w:val="Intense Reference"/>
    <w:basedOn w:val="a0"/>
    <w:uiPriority w:val="32"/>
    <w:qFormat/>
    <w:rsid w:val="000561DC"/>
    <w:rPr>
      <w:b/>
      <w:bCs/>
      <w:smallCaps/>
      <w:color w:val="2F5496" w:themeColor="accent1" w:themeShade="BF"/>
      <w:spacing w:val="5"/>
    </w:rPr>
  </w:style>
  <w:style w:type="paragraph" w:styleId="aa">
    <w:name w:val="footer"/>
    <w:basedOn w:val="a"/>
    <w:link w:val="Char3"/>
    <w:uiPriority w:val="99"/>
    <w:unhideWhenUsed/>
    <w:rsid w:val="000561DC"/>
    <w:pPr>
      <w:tabs>
        <w:tab w:val="center" w:pos="4153"/>
        <w:tab w:val="right" w:pos="8306"/>
      </w:tabs>
      <w:spacing w:after="0" w:line="240" w:lineRule="auto"/>
    </w:pPr>
  </w:style>
  <w:style w:type="character" w:customStyle="1" w:styleId="Char3">
    <w:name w:val="تذييل الصفحة Char"/>
    <w:basedOn w:val="a0"/>
    <w:link w:val="aa"/>
    <w:uiPriority w:val="99"/>
    <w:rsid w:val="000561DC"/>
  </w:style>
  <w:style w:type="character" w:styleId="ab">
    <w:name w:val="Strong"/>
    <w:basedOn w:val="a0"/>
    <w:uiPriority w:val="22"/>
    <w:qFormat/>
    <w:rsid w:val="000561D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diagramQuickStyle" Target="diagrams/quickStyle1.xml"/><Relationship Id="rId3" Type="http://schemas.openxmlformats.org/officeDocument/2006/relationships/settings" Target="settings.xml"/><Relationship Id="rId7" Type="http://schemas.openxmlformats.org/officeDocument/2006/relationships/diagramLayout" Target="diagrams/layout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diagramData" Target="diagrams/data1.xml"/><Relationship Id="rId11" Type="http://schemas.openxmlformats.org/officeDocument/2006/relationships/fontTable" Target="fontTable.xml"/><Relationship Id="rId5" Type="http://schemas.openxmlformats.org/officeDocument/2006/relationships/footer" Target="footer1.xml"/><Relationship Id="rId10" Type="http://schemas.microsoft.com/office/2007/relationships/diagramDrawing" Target="diagrams/drawing1.xml"/><Relationship Id="rId4" Type="http://schemas.openxmlformats.org/officeDocument/2006/relationships/webSettings" Target="webSettings.xml"/><Relationship Id="rId9" Type="http://schemas.openxmlformats.org/officeDocument/2006/relationships/diagramColors" Target="diagrams/colors1.xml"/></Relationships>
</file>

<file path=word/diagrams/colors1.xml><?xml version="1.0" encoding="utf-8"?>
<dgm:colorsDef xmlns:dgm="http://schemas.openxmlformats.org/drawingml/2006/diagram" xmlns:a="http://schemas.openxmlformats.org/drawingml/2006/main" uniqueId="urn:microsoft.com/office/officeart/2005/8/colors/accent1_4">
  <dgm:title val=""/>
  <dgm:desc val=""/>
  <dgm:catLst>
    <dgm:cat type="accent1" pri="11400"/>
  </dgm:catLst>
  <dgm:styleLbl name="node0">
    <dgm:fillClrLst meth="cycle">
      <a:schemeClr val="accent1">
        <a:shade val="60000"/>
      </a:schemeClr>
    </dgm:fillClrLst>
    <dgm:linClrLst meth="repeat">
      <a:schemeClr val="lt1"/>
    </dgm:linClrLst>
    <dgm:effectClrLst/>
    <dgm:txLinClrLst/>
    <dgm:txFillClrLst/>
    <dgm:txEffectClrLst/>
  </dgm:styleLbl>
  <dgm:styleLbl name="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alignNode1">
    <dgm:fillClrLst meth="cycle">
      <a:schemeClr val="accent1">
        <a:shade val="50000"/>
      </a:schemeClr>
      <a:schemeClr val="accent1">
        <a:tint val="55000"/>
      </a:schemeClr>
    </dgm:fillClrLst>
    <dgm:linClrLst meth="cycle">
      <a:schemeClr val="accent1">
        <a:shade val="50000"/>
      </a:schemeClr>
      <a:schemeClr val="accent1">
        <a:tint val="55000"/>
      </a:schemeClr>
    </dgm:linClrLst>
    <dgm:effectClrLst/>
    <dgm:txLinClrLst/>
    <dgm:txFillClrLst/>
    <dgm:txEffectClrLst/>
  </dgm:styleLbl>
  <dgm:styleLbl name="lnNode1">
    <dgm:fillClrLst meth="cycle">
      <a:schemeClr val="accent1">
        <a:shade val="50000"/>
      </a:schemeClr>
      <a:schemeClr val="accent1">
        <a:tint val="55000"/>
      </a:schemeClr>
    </dgm:fillClrLst>
    <dgm:linClrLst meth="repeat">
      <a:schemeClr val="lt1"/>
    </dgm:linClrLst>
    <dgm:effectClrLst/>
    <dgm:txLinClrLst/>
    <dgm:txFillClrLst/>
    <dgm:txEffectClrLst/>
  </dgm:styleLbl>
  <dgm:styleLbl name="vennNode1">
    <dgm:fillClrLst meth="cycle">
      <a:schemeClr val="accent1">
        <a:shade val="80000"/>
        <a:alpha val="50000"/>
      </a:schemeClr>
      <a:schemeClr val="accent1">
        <a:tint val="50000"/>
        <a:alpha val="50000"/>
      </a:schemeClr>
    </dgm:fillClrLst>
    <dgm:linClrLst meth="repeat">
      <a:schemeClr val="lt1"/>
    </dgm:linClrLst>
    <dgm:effectClrLst/>
    <dgm:txLinClrLst/>
    <dgm:txFillClrLst/>
    <dgm:txEffectClrLst/>
  </dgm:styleLbl>
  <dgm:styleLbl name="node2">
    <dgm:fillClrLst>
      <a:schemeClr val="accent1">
        <a:shade val="80000"/>
      </a:schemeClr>
    </dgm:fillClrLst>
    <dgm:linClrLst meth="repeat">
      <a:schemeClr val="lt1"/>
    </dgm:linClrLst>
    <dgm:effectClrLst/>
    <dgm:txLinClrLst/>
    <dgm:txFillClrLst/>
    <dgm:txEffectClrLst/>
  </dgm:styleLbl>
  <dgm:styleLbl name="node3">
    <dgm:fillClrLst>
      <a:schemeClr val="accent1">
        <a:tint val="99000"/>
      </a:schemeClr>
    </dgm:fillClrLst>
    <dgm:linClrLst meth="repeat">
      <a:schemeClr val="lt1"/>
    </dgm:linClrLst>
    <dgm:effectClrLst/>
    <dgm:txLinClrLst/>
    <dgm:txFillClrLst/>
    <dgm:txEffectClrLst/>
  </dgm:styleLbl>
  <dgm:styleLbl name="node4">
    <dgm:fillClrLst>
      <a:schemeClr val="accent1">
        <a:tint val="70000"/>
      </a:schemeClr>
    </dgm:fillClrLst>
    <dgm:linClrLst meth="repeat">
      <a:schemeClr val="lt1"/>
    </dgm:linClrLst>
    <dgm:effectClrLst/>
    <dgm:txLinClrLst/>
    <dgm:txFillClrLst/>
    <dgm:txEffectClrLst/>
  </dgm:styleLbl>
  <dgm:styleLbl name="f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align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bgImgPlace1">
    <dgm:fillClrLst>
      <a:schemeClr val="accent1">
        <a:tint val="50000"/>
      </a:schemeClr>
      <a:schemeClr val="accent1">
        <a:tint val="55000"/>
      </a:schemeClr>
    </dgm:fillClrLst>
    <dgm:linClrLst meth="repeat">
      <a:schemeClr val="lt1"/>
    </dgm:linClrLst>
    <dgm:effectClrLst/>
    <dgm:txLinClrLst/>
    <dgm:txFillClrLst meth="repeat">
      <a:schemeClr val="lt1"/>
    </dgm:txFillClrLst>
    <dgm:txEffectClrLst/>
  </dgm:styleLbl>
  <dgm:styleLbl name="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f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bgSibTrans2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dgm:txEffectClrLst/>
  </dgm:styleLbl>
  <dgm:styleLbl name="sibTrans1D1">
    <dgm:fillClrLst meth="cycle">
      <a:schemeClr val="accent1">
        <a:shade val="90000"/>
      </a:schemeClr>
      <a:schemeClr val="accent1">
        <a:tint val="50000"/>
      </a:schemeClr>
    </dgm:fillClrLst>
    <dgm:linClrLst meth="cycle">
      <a:schemeClr val="accent1">
        <a:shade val="90000"/>
      </a:schemeClr>
      <a:schemeClr val="accent1">
        <a:tint val="50000"/>
      </a:schemeClr>
    </dgm:linClrLst>
    <dgm:effectClrLst/>
    <dgm:txLinClrLst/>
    <dgm:txFillClrLst meth="repeat">
      <a:schemeClr val="tx1"/>
    </dgm:txFillClrLst>
    <dgm:txEffectClrLst/>
  </dgm:styleLbl>
  <dgm:styleLbl name="callout">
    <dgm:fillClrLst meth="repeat">
      <a:schemeClr val="accent1"/>
    </dgm:fillClrLst>
    <dgm:linClrLst meth="repeat">
      <a:schemeClr val="accent1"/>
    </dgm:linClrLst>
    <dgm:effectClrLst/>
    <dgm:txLinClrLst/>
    <dgm:txFillClrLst meth="repeat">
      <a:schemeClr val="tx1"/>
    </dgm:txFillClrLst>
    <dgm:txEffectClrLst/>
  </dgm:styleLbl>
  <dgm:styleLbl name="asst0">
    <dgm:fillClrLst meth="repeat">
      <a:schemeClr val="accent1">
        <a:shade val="80000"/>
      </a:schemeClr>
    </dgm:fillClrLst>
    <dgm:linClrLst meth="repeat">
      <a:schemeClr val="lt1"/>
    </dgm:linClrLst>
    <dgm:effectClrLst/>
    <dgm:txLinClrLst/>
    <dgm:txFillClrLst/>
    <dgm:txEffectClrLst/>
  </dgm:styleLbl>
  <dgm:styleLbl name="asst1">
    <dgm:fillClrLst meth="repeat">
      <a:schemeClr val="accent1">
        <a:shade val="80000"/>
      </a:schemeClr>
    </dgm:fillClrLst>
    <dgm:linClrLst meth="repeat">
      <a:schemeClr val="lt1"/>
    </dgm:linClrLst>
    <dgm:effectClrLst/>
    <dgm:txLinClrLst/>
    <dgm:txFillClrLst/>
    <dgm:txEffectClrLst/>
  </dgm:styleLbl>
  <dgm:styleLbl name="asst2">
    <dgm:fillClrLst>
      <a:schemeClr val="accent1">
        <a:tint val="90000"/>
      </a:schemeClr>
    </dgm:fillClrLst>
    <dgm:linClrLst meth="repeat">
      <a:schemeClr val="lt1"/>
    </dgm:linClrLst>
    <dgm:effectClrLst/>
    <dgm:txLinClrLst/>
    <dgm:txFillClrLst/>
    <dgm:txEffectClrLst/>
  </dgm:styleLbl>
  <dgm:styleLbl name="asst3">
    <dgm:fillClrLst>
      <a:schemeClr val="accent1">
        <a:tint val="70000"/>
      </a:schemeClr>
    </dgm:fillClrLst>
    <dgm:linClrLst meth="repeat">
      <a:schemeClr val="lt1"/>
    </dgm:linClrLst>
    <dgm:effectClrLst/>
    <dgm:txLinClrLst/>
    <dgm:txFillClrLst/>
    <dgm:txEffectClrLst/>
  </dgm:styleLbl>
  <dgm:styleLbl name="asst4">
    <dgm:fillClrLst>
      <a:schemeClr val="accent1">
        <a:tint val="50000"/>
      </a:schemeClr>
    </dgm:fillClrLst>
    <dgm:linClrLst meth="repeat">
      <a:schemeClr val="lt1"/>
    </dgm:linClrLst>
    <dgm:effectClrLst/>
    <dgm:txLinClrLst/>
    <dgm:txFillClrLst/>
    <dgm:txEffectClrLst/>
  </dgm:styleLbl>
  <dgm:styleLbl name="parChTrans2D1">
    <dgm:fillClrLst meth="repeat">
      <a:schemeClr val="accent1">
        <a:tint val="60000"/>
      </a:schemeClr>
    </dgm:fillClrLst>
    <dgm:linClrLst meth="repeat">
      <a:schemeClr val="accent1">
        <a:shade val="80000"/>
      </a:schemeClr>
    </dgm:linClrLst>
    <dgm:effectClrLst/>
    <dgm:txLinClrLst/>
    <dgm:txFillClrLst/>
    <dgm:txEffectClrLst/>
  </dgm:styleLbl>
  <dgm:styleLbl name="parChTrans2D2">
    <dgm:fillClrLst meth="repeat">
      <a:schemeClr val="accent1">
        <a:tint val="90000"/>
      </a:schemeClr>
    </dgm:fillClrLst>
    <dgm:linClrLst meth="repeat">
      <a:schemeClr val="accent1">
        <a:tint val="90000"/>
      </a:schemeClr>
    </dgm:linClrLst>
    <dgm:effectClrLst/>
    <dgm:txLinClrLst/>
    <dgm:txFillClrLst/>
    <dgm:txEffectClrLst/>
  </dgm:styleLbl>
  <dgm:styleLbl name="parChTrans2D3">
    <dgm:fillClrLst meth="repeat">
      <a:schemeClr val="accent1">
        <a:tint val="70000"/>
      </a:schemeClr>
    </dgm:fillClrLst>
    <dgm:linClrLst meth="repeat">
      <a:schemeClr val="accent1">
        <a:tint val="70000"/>
      </a:schemeClr>
    </dgm:linClrLst>
    <dgm:effectClrLst/>
    <dgm:txLinClrLst/>
    <dgm:txFillClrLst/>
    <dgm:txEffectClrLst/>
  </dgm:styleLbl>
  <dgm:styleLbl name="parChTrans2D4">
    <dgm:fillClrLst meth="repeat">
      <a:schemeClr val="accent1">
        <a:tint val="50000"/>
      </a:schemeClr>
    </dgm:fillClrLst>
    <dgm:linClrLst meth="repeat">
      <a:schemeClr val="accent1">
        <a:tint val="50000"/>
      </a:schemeClr>
    </dgm:linClrLst>
    <dgm:effectClrLst/>
    <dgm:txLinClrLst/>
    <dgm:txFillClrLst meth="repeat">
      <a:schemeClr val="dk1"/>
    </dgm:txFillClrLst>
    <dgm:txEffectClrLst/>
  </dgm:styleLbl>
  <dgm:styleLbl name="parChTrans1D1">
    <dgm:fillClrLst meth="repeat">
      <a:schemeClr val="accent1">
        <a:shade val="80000"/>
      </a:schemeClr>
    </dgm:fillClrLst>
    <dgm:linClrLst meth="repeat">
      <a:schemeClr val="accent1">
        <a:shade val="80000"/>
      </a:schemeClr>
    </dgm:linClrLst>
    <dgm:effectClrLst/>
    <dgm:txLinClrLst/>
    <dgm:txFillClrLst meth="repeat">
      <a:schemeClr val="tx1"/>
    </dgm:txFillClrLst>
    <dgm:txEffectClrLst/>
  </dgm:styleLbl>
  <dgm:styleLbl name="parChTrans1D2">
    <dgm:fillClrLst meth="repeat">
      <a:schemeClr val="accent1">
        <a:tint val="90000"/>
      </a:schemeClr>
    </dgm:fillClrLst>
    <dgm:linClrLst meth="repeat">
      <a:schemeClr val="accent1">
        <a:tint val="90000"/>
      </a:schemeClr>
    </dgm:linClrLst>
    <dgm:effectClrLst/>
    <dgm:txLinClrLst/>
    <dgm:txFillClrLst meth="repeat">
      <a:schemeClr val="tx1"/>
    </dgm:txFillClrLst>
    <dgm:txEffectClrLst/>
  </dgm:styleLbl>
  <dgm:styleLbl name="parChTrans1D3">
    <dgm:fillClrLst meth="repeat">
      <a:schemeClr val="accent1">
        <a:tint val="70000"/>
      </a:schemeClr>
    </dgm:fillClrLst>
    <dgm:linClrLst meth="repeat">
      <a:schemeClr val="accent1">
        <a:tint val="70000"/>
      </a:schemeClr>
    </dgm:linClrLst>
    <dgm:effectClrLst/>
    <dgm:txLinClrLst/>
    <dgm:txFillClrLst meth="repeat">
      <a:schemeClr val="tx1"/>
    </dgm:txFillClrLst>
    <dgm:txEffectClrLst/>
  </dgm:styleLbl>
  <dgm:styleLbl name="parChTrans1D4">
    <dgm:fillClrLst meth="repeat">
      <a:schemeClr val="accent1">
        <a:tint val="50000"/>
      </a:schemeClr>
    </dgm:fillClrLst>
    <dgm:linClrLst meth="repeat">
      <a:schemeClr val="accent1">
        <a:tint val="50000"/>
      </a:schemeClr>
    </dgm:linClrLst>
    <dgm:effectClrLst/>
    <dgm:txLinClrLst/>
    <dgm:txFillClrLst meth="repeat">
      <a:schemeClr val="tx1"/>
    </dgm:txFillClrLst>
    <dgm:txEffectClrLst/>
  </dgm:styleLbl>
  <dgm:styleLbl name="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conF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align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trAlignAcc1">
    <dgm:fillClrLst meth="repeat">
      <a:schemeClr val="lt1">
        <a:alpha val="55000"/>
      </a:schemeClr>
    </dgm:fillClrLst>
    <dgm:linClrLst meth="repeat">
      <a:schemeClr val="accent1"/>
    </dgm:linClrLst>
    <dgm:effectClrLst/>
    <dgm:txLinClrLst/>
    <dgm:txFillClrLst meth="repeat">
      <a:schemeClr val="dk1"/>
    </dgm:txFillClrLst>
    <dgm:txEffectClrLst/>
  </dgm:styleLbl>
  <dgm:styleLbl name="bgAcc1">
    <dgm:fillClrLst meth="repeat">
      <a:schemeClr val="lt1">
        <a:alpha val="90000"/>
      </a:schemeClr>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FgAcc1">
    <dgm:fillClrLst meth="repeat">
      <a:schemeClr val="lt1"/>
    </dgm:fillClrLst>
    <dgm:linClrLst meth="cycle">
      <a:schemeClr val="accent1">
        <a:shade val="50000"/>
      </a:schemeClr>
      <a:schemeClr val="accent1">
        <a:tint val="55000"/>
      </a:schemeClr>
    </dgm:linClrLst>
    <dgm:effectClrLst/>
    <dgm:txLinClrLst/>
    <dgm:txFillClrLst meth="repeat">
      <a:schemeClr val="dk1"/>
    </dgm:txFillClrLst>
    <dgm:txEffectClrLst/>
  </dgm:styleLbl>
  <dgm:styleLbl name="solidAlignAcc1">
    <dgm:fillClrLst meth="repeat">
      <a:schemeClr val="lt1"/>
    </dgm:fillClrLst>
    <dgm:linClrLst meth="repeat">
      <a:schemeClr val="accent1"/>
    </dgm:linClrLst>
    <dgm:effectClrLst/>
    <dgm:txLinClrLst/>
    <dgm:txFillClrLst meth="repeat">
      <a:schemeClr val="dk1"/>
    </dgm:txFillClrLst>
    <dgm:txEffectClrLst/>
  </dgm:styleLbl>
  <dgm:styleLbl name="solidBgAcc1">
    <dgm:fillClrLst meth="repeat">
      <a:schemeClr val="lt1"/>
    </dgm:fillClrLst>
    <dgm:linClrLst meth="repeat">
      <a:schemeClr val="accent1"/>
    </dgm:linClrLst>
    <dgm:effectClrLst/>
    <dgm:txLinClrLst/>
    <dgm:txFillClrLst meth="repeat">
      <a:schemeClr val="dk1"/>
    </dgm:txFillClrLst>
    <dgm:txEffectClrLst/>
  </dgm:styleLbl>
  <dgm:styleLbl name="fg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alignAccFollowNode1">
    <dgm:fillClrLst meth="repeat">
      <a:schemeClr val="accent1">
        <a:alpha val="90000"/>
        <a:tint val="55000"/>
      </a:schemeClr>
    </dgm:fillClrLst>
    <dgm:linClrLst meth="repeat">
      <a:schemeClr val="accent1">
        <a:alpha val="90000"/>
        <a:tint val="55000"/>
      </a:schemeClr>
    </dgm:linClrLst>
    <dgm:effectClrLst/>
    <dgm:txLinClrLst/>
    <dgm:txFillClrLst meth="repeat">
      <a:schemeClr val="dk1"/>
    </dgm:txFillClrLst>
    <dgm:txEffectClrLst/>
  </dgm:styleLbl>
  <dgm:styleLbl name="bgAccFollowNode1">
    <dgm:fillClrLst meth="repeat">
      <a:schemeClr val="accent1">
        <a:alpha val="90000"/>
        <a:tint val="55000"/>
      </a:schemeClr>
    </dgm:fillClrLst>
    <dgm:linClrLst meth="repeat">
      <a:schemeClr val="lt1"/>
    </dgm:linClrLst>
    <dgm:effectClrLst/>
    <dgm:txLinClrLst/>
    <dgm:txFillClrLst meth="repeat">
      <a:schemeClr val="dk1"/>
    </dgm:txFillClrLst>
    <dgm:txEffectClrLst/>
  </dgm:styleLbl>
  <dgm:styleLbl name="fgAcc0">
    <dgm:fillClrLst meth="repeat">
      <a:schemeClr val="lt1">
        <a:alpha val="90000"/>
      </a:schemeClr>
    </dgm:fillClrLst>
    <dgm:linClrLst meth="repeat">
      <a:schemeClr val="accent1">
        <a:shade val="80000"/>
      </a:schemeClr>
    </dgm:linClrLst>
    <dgm:effectClrLst/>
    <dgm:txLinClrLst/>
    <dgm:txFillClrLst meth="repeat">
      <a:schemeClr val="dk1"/>
    </dgm:txFillClrLst>
    <dgm:txEffectClrLst/>
  </dgm:styleLbl>
  <dgm:styleLbl name="fgAcc2">
    <dgm:fillClrLst meth="repeat">
      <a:schemeClr val="lt1">
        <a:alpha val="90000"/>
      </a:schemeClr>
    </dgm:fillClrLst>
    <dgm:linClrLst meth="repeat">
      <a:schemeClr val="accent1">
        <a:tint val="90000"/>
      </a:schemeClr>
    </dgm:linClrLst>
    <dgm:effectClrLst/>
    <dgm:txLinClrLst/>
    <dgm:txFillClrLst meth="repeat">
      <a:schemeClr val="dk1"/>
    </dgm:txFillClrLst>
    <dgm:txEffectClrLst/>
  </dgm:styleLbl>
  <dgm:styleLbl name="fgAcc3">
    <dgm:fillClrLst meth="repeat">
      <a:schemeClr val="lt1">
        <a:alpha val="90000"/>
      </a:schemeClr>
    </dgm:fillClrLst>
    <dgm:linClrLst meth="repeat">
      <a:schemeClr val="accent1">
        <a:tint val="70000"/>
      </a:schemeClr>
    </dgm:linClrLst>
    <dgm:effectClrLst/>
    <dgm:txLinClrLst/>
    <dgm:txFillClrLst meth="repeat">
      <a:schemeClr val="dk1"/>
    </dgm:txFillClrLst>
    <dgm:txEffectClrLst/>
  </dgm:styleLbl>
  <dgm:styleLbl name="fgAcc4">
    <dgm:fillClrLst meth="repeat">
      <a:schemeClr val="lt1">
        <a:alpha val="90000"/>
      </a:schemeClr>
    </dgm:fillClrLst>
    <dgm:linClrLst meth="repeat">
      <a:schemeClr val="accent1">
        <a:tint val="50000"/>
      </a:schemeClr>
    </dgm:linClrLst>
    <dgm:effectClrLst/>
    <dgm:txLinClrLst/>
    <dgm:txFillClrLst meth="repeat">
      <a:schemeClr val="dk1"/>
    </dgm:txFillClrLst>
    <dgm:txEffectClrLst/>
  </dgm:styleLbl>
  <dgm:styleLbl name="bgShp">
    <dgm:fillClrLst meth="repeat">
      <a:schemeClr val="accent1">
        <a:tint val="55000"/>
      </a:schemeClr>
    </dgm:fillClrLst>
    <dgm:linClrLst meth="repeat">
      <a:schemeClr val="dk1"/>
    </dgm:linClrLst>
    <dgm:effectClrLst/>
    <dgm:txLinClrLst/>
    <dgm:txFillClrLst meth="repeat">
      <a:schemeClr val="dk1"/>
    </dgm:txFillClrLst>
    <dgm:txEffectClrLst/>
  </dgm:styleLbl>
  <dgm:styleLbl name="dkBgShp">
    <dgm:fillClrLst meth="repeat">
      <a:schemeClr val="accent1">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1">
        <a:tint val="50000"/>
        <a:alpha val="55000"/>
      </a:schemeClr>
    </dgm:fillClrLst>
    <dgm:linClrLst meth="repeat">
      <a:schemeClr val="accent1"/>
    </dgm:linClrLst>
    <dgm:effectClrLst/>
    <dgm:txLinClrLst/>
    <dgm:txFillClrLst meth="repeat">
      <a:schemeClr val="lt1"/>
    </dgm:txFillClrLst>
    <dgm:txEffectClrLst/>
  </dgm:styleLbl>
  <dgm:styleLbl name="fgShp">
    <dgm:fillClrLst meth="repeat">
      <a:schemeClr val="accent1">
        <a:tint val="55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E84A1D82-15A5-4AB1-BBE8-364C5FD14EB9}" type="doc">
      <dgm:prSet loTypeId="urn:microsoft.com/office/officeart/2005/8/layout/process2" loCatId="process" qsTypeId="urn:microsoft.com/office/officeart/2005/8/quickstyle/simple1" qsCatId="simple" csTypeId="urn:microsoft.com/office/officeart/2005/8/colors/accent1_4" csCatId="accent1" phldr="1"/>
      <dgm:spPr/>
    </dgm:pt>
    <dgm:pt modelId="{2DEE199D-BFCC-4128-ADC3-8203B6A11C23}">
      <dgm:prSet phldrT="[نص]"/>
      <dgm:spPr/>
      <dgm:t>
        <a:bodyPr/>
        <a:lstStyle/>
        <a:p>
          <a:pPr rtl="1"/>
          <a:r>
            <a:rPr lang="ar-SA"/>
            <a:t>التحول الرقمي</a:t>
          </a:r>
        </a:p>
      </dgm:t>
    </dgm:pt>
    <dgm:pt modelId="{51648FB8-3521-4643-81EB-60BC6B67E7F9}" type="parTrans" cxnId="{61B5CB66-4E62-47E1-BAC4-6C624A1DD921}">
      <dgm:prSet/>
      <dgm:spPr/>
      <dgm:t>
        <a:bodyPr/>
        <a:lstStyle/>
        <a:p>
          <a:pPr rtl="1"/>
          <a:endParaRPr lang="ar-SA"/>
        </a:p>
      </dgm:t>
    </dgm:pt>
    <dgm:pt modelId="{3FE8131A-5645-4612-B87D-E12ADC2529C6}" type="sibTrans" cxnId="{61B5CB66-4E62-47E1-BAC4-6C624A1DD921}">
      <dgm:prSet/>
      <dgm:spPr/>
      <dgm:t>
        <a:bodyPr/>
        <a:lstStyle/>
        <a:p>
          <a:pPr rtl="1"/>
          <a:endParaRPr lang="ar-SA"/>
        </a:p>
      </dgm:t>
    </dgm:pt>
    <dgm:pt modelId="{21C21A44-E868-4BA9-AD6F-C73DD186D6B3}">
      <dgm:prSet phldrT="[نص]"/>
      <dgm:spPr/>
      <dgm:t>
        <a:bodyPr/>
        <a:lstStyle/>
        <a:p>
          <a:pPr rtl="1"/>
          <a:r>
            <a:rPr lang="ar-SA"/>
            <a:t>الحكومة الالكتورنية</a:t>
          </a:r>
        </a:p>
      </dgm:t>
    </dgm:pt>
    <dgm:pt modelId="{CE16E234-7A28-4308-91D4-FCB9569ECCA0}" type="parTrans" cxnId="{257099E5-1337-4CB9-A523-FC788023666C}">
      <dgm:prSet/>
      <dgm:spPr/>
      <dgm:t>
        <a:bodyPr/>
        <a:lstStyle/>
        <a:p>
          <a:pPr rtl="1"/>
          <a:endParaRPr lang="ar-SA"/>
        </a:p>
      </dgm:t>
    </dgm:pt>
    <dgm:pt modelId="{F6CFDFA4-AE6D-4958-9604-49655DE745E3}" type="sibTrans" cxnId="{257099E5-1337-4CB9-A523-FC788023666C}">
      <dgm:prSet/>
      <dgm:spPr/>
      <dgm:t>
        <a:bodyPr/>
        <a:lstStyle/>
        <a:p>
          <a:pPr rtl="1"/>
          <a:endParaRPr lang="ar-SA"/>
        </a:p>
      </dgm:t>
    </dgm:pt>
    <dgm:pt modelId="{9FF88FFC-2AC7-44A9-B2E9-7F73AF26A062}">
      <dgm:prSet phldrT="[نص]"/>
      <dgm:spPr/>
      <dgm:t>
        <a:bodyPr/>
        <a:lstStyle/>
        <a:p>
          <a:pPr rtl="1"/>
          <a:r>
            <a:rPr lang="ar-SA"/>
            <a:t>جودة الخدمات الإلكترونية </a:t>
          </a:r>
        </a:p>
      </dgm:t>
    </dgm:pt>
    <dgm:pt modelId="{C9881738-80C4-4FD4-A1E2-97CFA31D4C91}" type="parTrans" cxnId="{E5018D73-CA5A-4DB2-A290-2EC4B81DD262}">
      <dgm:prSet/>
      <dgm:spPr/>
      <dgm:t>
        <a:bodyPr/>
        <a:lstStyle/>
        <a:p>
          <a:pPr rtl="1"/>
          <a:endParaRPr lang="ar-SA"/>
        </a:p>
      </dgm:t>
    </dgm:pt>
    <dgm:pt modelId="{46C7BB8C-26E4-4697-B233-14616F22997B}" type="sibTrans" cxnId="{E5018D73-CA5A-4DB2-A290-2EC4B81DD262}">
      <dgm:prSet/>
      <dgm:spPr/>
      <dgm:t>
        <a:bodyPr/>
        <a:lstStyle/>
        <a:p>
          <a:pPr rtl="1"/>
          <a:endParaRPr lang="ar-SA"/>
        </a:p>
      </dgm:t>
    </dgm:pt>
    <dgm:pt modelId="{B12C8EB7-7E14-454B-B855-55E64FE494DC}">
      <dgm:prSet phldrT="[نص]"/>
      <dgm:spPr/>
      <dgm:t>
        <a:bodyPr/>
        <a:lstStyle/>
        <a:p>
          <a:pPr rtl="1"/>
          <a:r>
            <a:rPr lang="ar-SA"/>
            <a:t>كفاءة الأداء</a:t>
          </a:r>
        </a:p>
      </dgm:t>
    </dgm:pt>
    <dgm:pt modelId="{C0880F9B-F497-4D90-9CD3-4A04AFA8304D}" type="parTrans" cxnId="{657BAFAB-A94B-4220-8917-E7C5D5FCD1AD}">
      <dgm:prSet/>
      <dgm:spPr/>
      <dgm:t>
        <a:bodyPr/>
        <a:lstStyle/>
        <a:p>
          <a:pPr rtl="1"/>
          <a:endParaRPr lang="ar-SA"/>
        </a:p>
      </dgm:t>
    </dgm:pt>
    <dgm:pt modelId="{E335B6E3-11F4-4F33-97C4-0087A143335C}" type="sibTrans" cxnId="{657BAFAB-A94B-4220-8917-E7C5D5FCD1AD}">
      <dgm:prSet/>
      <dgm:spPr/>
      <dgm:t>
        <a:bodyPr/>
        <a:lstStyle/>
        <a:p>
          <a:pPr rtl="1"/>
          <a:endParaRPr lang="ar-SA"/>
        </a:p>
      </dgm:t>
    </dgm:pt>
    <dgm:pt modelId="{ECD3DDBC-B732-4CEB-BC98-048C84D67A58}">
      <dgm:prSet phldrT="[نص]"/>
      <dgm:spPr/>
      <dgm:t>
        <a:bodyPr/>
        <a:lstStyle/>
        <a:p>
          <a:pPr rtl="1"/>
          <a:r>
            <a:rPr lang="ar-SA"/>
            <a:t>رضا المستخدمين</a:t>
          </a:r>
        </a:p>
      </dgm:t>
    </dgm:pt>
    <dgm:pt modelId="{9B8207A8-7B4A-45EF-B460-74DBA5D2214D}" type="parTrans" cxnId="{92808AFC-91B7-4DB9-B892-B766C80959EB}">
      <dgm:prSet/>
      <dgm:spPr/>
      <dgm:t>
        <a:bodyPr/>
        <a:lstStyle/>
        <a:p>
          <a:pPr rtl="1"/>
          <a:endParaRPr lang="ar-SA"/>
        </a:p>
      </dgm:t>
    </dgm:pt>
    <dgm:pt modelId="{6BAC965A-EF25-458B-889D-B84F1202CD4D}" type="sibTrans" cxnId="{92808AFC-91B7-4DB9-B892-B766C80959EB}">
      <dgm:prSet/>
      <dgm:spPr/>
      <dgm:t>
        <a:bodyPr/>
        <a:lstStyle/>
        <a:p>
          <a:pPr rtl="1"/>
          <a:endParaRPr lang="ar-SA"/>
        </a:p>
      </dgm:t>
    </dgm:pt>
    <dgm:pt modelId="{BE993EDC-D3AB-4031-A1BE-02F3D71BDA6B}" type="pres">
      <dgm:prSet presAssocID="{E84A1D82-15A5-4AB1-BBE8-364C5FD14EB9}" presName="linearFlow" presStyleCnt="0">
        <dgm:presLayoutVars>
          <dgm:resizeHandles val="exact"/>
        </dgm:presLayoutVars>
      </dgm:prSet>
      <dgm:spPr/>
    </dgm:pt>
    <dgm:pt modelId="{028E960A-C61B-407F-9B97-1BDE2A478D63}" type="pres">
      <dgm:prSet presAssocID="{2DEE199D-BFCC-4128-ADC3-8203B6A11C23}" presName="node" presStyleLbl="node1" presStyleIdx="0" presStyleCnt="5">
        <dgm:presLayoutVars>
          <dgm:bulletEnabled val="1"/>
        </dgm:presLayoutVars>
      </dgm:prSet>
      <dgm:spPr/>
    </dgm:pt>
    <dgm:pt modelId="{B3CA931E-C06A-4D20-A308-5272C4F73E11}" type="pres">
      <dgm:prSet presAssocID="{3FE8131A-5645-4612-B87D-E12ADC2529C6}" presName="sibTrans" presStyleLbl="sibTrans2D1" presStyleIdx="0" presStyleCnt="4"/>
      <dgm:spPr/>
    </dgm:pt>
    <dgm:pt modelId="{B545AB18-7479-49F7-91FD-666DD8289AC6}" type="pres">
      <dgm:prSet presAssocID="{3FE8131A-5645-4612-B87D-E12ADC2529C6}" presName="connectorText" presStyleLbl="sibTrans2D1" presStyleIdx="0" presStyleCnt="4"/>
      <dgm:spPr/>
    </dgm:pt>
    <dgm:pt modelId="{A5321838-D9C4-4049-98CA-32603C6A6C01}" type="pres">
      <dgm:prSet presAssocID="{21C21A44-E868-4BA9-AD6F-C73DD186D6B3}" presName="node" presStyleLbl="node1" presStyleIdx="1" presStyleCnt="5">
        <dgm:presLayoutVars>
          <dgm:bulletEnabled val="1"/>
        </dgm:presLayoutVars>
      </dgm:prSet>
      <dgm:spPr/>
    </dgm:pt>
    <dgm:pt modelId="{A10F78BE-0D6F-4326-AE95-DBB558F1B911}" type="pres">
      <dgm:prSet presAssocID="{F6CFDFA4-AE6D-4958-9604-49655DE745E3}" presName="sibTrans" presStyleLbl="sibTrans2D1" presStyleIdx="1" presStyleCnt="4"/>
      <dgm:spPr/>
    </dgm:pt>
    <dgm:pt modelId="{F17F7F35-4D0D-4780-97A6-FDC31E694CC2}" type="pres">
      <dgm:prSet presAssocID="{F6CFDFA4-AE6D-4958-9604-49655DE745E3}" presName="connectorText" presStyleLbl="sibTrans2D1" presStyleIdx="1" presStyleCnt="4"/>
      <dgm:spPr/>
    </dgm:pt>
    <dgm:pt modelId="{4D441015-7836-49D3-93C0-085B7149588A}" type="pres">
      <dgm:prSet presAssocID="{9FF88FFC-2AC7-44A9-B2E9-7F73AF26A062}" presName="node" presStyleLbl="node1" presStyleIdx="2" presStyleCnt="5">
        <dgm:presLayoutVars>
          <dgm:bulletEnabled val="1"/>
        </dgm:presLayoutVars>
      </dgm:prSet>
      <dgm:spPr/>
    </dgm:pt>
    <dgm:pt modelId="{26A4DF56-E43C-40AE-8E31-39CE5DAD3D15}" type="pres">
      <dgm:prSet presAssocID="{46C7BB8C-26E4-4697-B233-14616F22997B}" presName="sibTrans" presStyleLbl="sibTrans2D1" presStyleIdx="2" presStyleCnt="4"/>
      <dgm:spPr/>
    </dgm:pt>
    <dgm:pt modelId="{3BBDDE21-BE6C-46D6-A61F-A083C861EC72}" type="pres">
      <dgm:prSet presAssocID="{46C7BB8C-26E4-4697-B233-14616F22997B}" presName="connectorText" presStyleLbl="sibTrans2D1" presStyleIdx="2" presStyleCnt="4"/>
      <dgm:spPr/>
    </dgm:pt>
    <dgm:pt modelId="{6CF7D347-0821-4EDB-8156-742179C392FE}" type="pres">
      <dgm:prSet presAssocID="{B12C8EB7-7E14-454B-B855-55E64FE494DC}" presName="node" presStyleLbl="node1" presStyleIdx="3" presStyleCnt="5">
        <dgm:presLayoutVars>
          <dgm:bulletEnabled val="1"/>
        </dgm:presLayoutVars>
      </dgm:prSet>
      <dgm:spPr/>
    </dgm:pt>
    <dgm:pt modelId="{D2F0C2CD-CE93-48DD-95DD-8A1A92F68040}" type="pres">
      <dgm:prSet presAssocID="{E335B6E3-11F4-4F33-97C4-0087A143335C}" presName="sibTrans" presStyleLbl="sibTrans2D1" presStyleIdx="3" presStyleCnt="4"/>
      <dgm:spPr/>
    </dgm:pt>
    <dgm:pt modelId="{F7E3DAF6-7183-46BA-82F2-A47297E0187D}" type="pres">
      <dgm:prSet presAssocID="{E335B6E3-11F4-4F33-97C4-0087A143335C}" presName="connectorText" presStyleLbl="sibTrans2D1" presStyleIdx="3" presStyleCnt="4"/>
      <dgm:spPr/>
    </dgm:pt>
    <dgm:pt modelId="{3607E250-F718-46F3-8DFB-B49DD585D5AF}" type="pres">
      <dgm:prSet presAssocID="{ECD3DDBC-B732-4CEB-BC98-048C84D67A58}" presName="node" presStyleLbl="node1" presStyleIdx="4" presStyleCnt="5">
        <dgm:presLayoutVars>
          <dgm:bulletEnabled val="1"/>
        </dgm:presLayoutVars>
      </dgm:prSet>
      <dgm:spPr/>
    </dgm:pt>
  </dgm:ptLst>
  <dgm:cxnLst>
    <dgm:cxn modelId="{A6B1130B-9A41-4BDA-9AAE-75AB1C472ABC}" type="presOf" srcId="{21C21A44-E868-4BA9-AD6F-C73DD186D6B3}" destId="{A5321838-D9C4-4049-98CA-32603C6A6C01}" srcOrd="0" destOrd="0" presId="urn:microsoft.com/office/officeart/2005/8/layout/process2"/>
    <dgm:cxn modelId="{F4D1D617-266B-4730-A253-E53E862DDB42}" type="presOf" srcId="{3FE8131A-5645-4612-B87D-E12ADC2529C6}" destId="{B3CA931E-C06A-4D20-A308-5272C4F73E11}" srcOrd="0" destOrd="0" presId="urn:microsoft.com/office/officeart/2005/8/layout/process2"/>
    <dgm:cxn modelId="{4678BD20-044D-4107-8791-CB19B475A976}" type="presOf" srcId="{E335B6E3-11F4-4F33-97C4-0087A143335C}" destId="{D2F0C2CD-CE93-48DD-95DD-8A1A92F68040}" srcOrd="0" destOrd="0" presId="urn:microsoft.com/office/officeart/2005/8/layout/process2"/>
    <dgm:cxn modelId="{340DA434-B723-4B87-AE35-806CC150E840}" type="presOf" srcId="{F6CFDFA4-AE6D-4958-9604-49655DE745E3}" destId="{A10F78BE-0D6F-4326-AE95-DBB558F1B911}" srcOrd="0" destOrd="0" presId="urn:microsoft.com/office/officeart/2005/8/layout/process2"/>
    <dgm:cxn modelId="{61B5CB66-4E62-47E1-BAC4-6C624A1DD921}" srcId="{E84A1D82-15A5-4AB1-BBE8-364C5FD14EB9}" destId="{2DEE199D-BFCC-4128-ADC3-8203B6A11C23}" srcOrd="0" destOrd="0" parTransId="{51648FB8-3521-4643-81EB-60BC6B67E7F9}" sibTransId="{3FE8131A-5645-4612-B87D-E12ADC2529C6}"/>
    <dgm:cxn modelId="{19A64B69-D5D3-4948-8D93-9A127F5264BB}" type="presOf" srcId="{F6CFDFA4-AE6D-4958-9604-49655DE745E3}" destId="{F17F7F35-4D0D-4780-97A6-FDC31E694CC2}" srcOrd="1" destOrd="0" presId="urn:microsoft.com/office/officeart/2005/8/layout/process2"/>
    <dgm:cxn modelId="{DC010C4E-6028-4D4A-BEA1-815D04C18B27}" type="presOf" srcId="{3FE8131A-5645-4612-B87D-E12ADC2529C6}" destId="{B545AB18-7479-49F7-91FD-666DD8289AC6}" srcOrd="1" destOrd="0" presId="urn:microsoft.com/office/officeart/2005/8/layout/process2"/>
    <dgm:cxn modelId="{64C57C4F-C428-49C6-858C-1A9A4E3D9BCC}" type="presOf" srcId="{E335B6E3-11F4-4F33-97C4-0087A143335C}" destId="{F7E3DAF6-7183-46BA-82F2-A47297E0187D}" srcOrd="1" destOrd="0" presId="urn:microsoft.com/office/officeart/2005/8/layout/process2"/>
    <dgm:cxn modelId="{E5018D73-CA5A-4DB2-A290-2EC4B81DD262}" srcId="{E84A1D82-15A5-4AB1-BBE8-364C5FD14EB9}" destId="{9FF88FFC-2AC7-44A9-B2E9-7F73AF26A062}" srcOrd="2" destOrd="0" parTransId="{C9881738-80C4-4FD4-A1E2-97CFA31D4C91}" sibTransId="{46C7BB8C-26E4-4697-B233-14616F22997B}"/>
    <dgm:cxn modelId="{10EDEE9E-112F-4D24-892C-55094FC645D1}" type="presOf" srcId="{46C7BB8C-26E4-4697-B233-14616F22997B}" destId="{3BBDDE21-BE6C-46D6-A61F-A083C861EC72}" srcOrd="1" destOrd="0" presId="urn:microsoft.com/office/officeart/2005/8/layout/process2"/>
    <dgm:cxn modelId="{657BAFAB-A94B-4220-8917-E7C5D5FCD1AD}" srcId="{E84A1D82-15A5-4AB1-BBE8-364C5FD14EB9}" destId="{B12C8EB7-7E14-454B-B855-55E64FE494DC}" srcOrd="3" destOrd="0" parTransId="{C0880F9B-F497-4D90-9CD3-4A04AFA8304D}" sibTransId="{E335B6E3-11F4-4F33-97C4-0087A143335C}"/>
    <dgm:cxn modelId="{DF2768B3-5504-4D64-A9B8-054903B2DFC8}" type="presOf" srcId="{9FF88FFC-2AC7-44A9-B2E9-7F73AF26A062}" destId="{4D441015-7836-49D3-93C0-085B7149588A}" srcOrd="0" destOrd="0" presId="urn:microsoft.com/office/officeart/2005/8/layout/process2"/>
    <dgm:cxn modelId="{C1B5FFB3-98B5-44DA-A6F9-B385EC29C4D0}" type="presOf" srcId="{E84A1D82-15A5-4AB1-BBE8-364C5FD14EB9}" destId="{BE993EDC-D3AB-4031-A1BE-02F3D71BDA6B}" srcOrd="0" destOrd="0" presId="urn:microsoft.com/office/officeart/2005/8/layout/process2"/>
    <dgm:cxn modelId="{55EBDEC7-6C46-4794-B06D-7A7A27647AC8}" type="presOf" srcId="{B12C8EB7-7E14-454B-B855-55E64FE494DC}" destId="{6CF7D347-0821-4EDB-8156-742179C392FE}" srcOrd="0" destOrd="0" presId="urn:microsoft.com/office/officeart/2005/8/layout/process2"/>
    <dgm:cxn modelId="{6CB63DDF-9835-4B35-8911-6428DA5CBF6B}" type="presOf" srcId="{46C7BB8C-26E4-4697-B233-14616F22997B}" destId="{26A4DF56-E43C-40AE-8E31-39CE5DAD3D15}" srcOrd="0" destOrd="0" presId="urn:microsoft.com/office/officeart/2005/8/layout/process2"/>
    <dgm:cxn modelId="{257099E5-1337-4CB9-A523-FC788023666C}" srcId="{E84A1D82-15A5-4AB1-BBE8-364C5FD14EB9}" destId="{21C21A44-E868-4BA9-AD6F-C73DD186D6B3}" srcOrd="1" destOrd="0" parTransId="{CE16E234-7A28-4308-91D4-FCB9569ECCA0}" sibTransId="{F6CFDFA4-AE6D-4958-9604-49655DE745E3}"/>
    <dgm:cxn modelId="{62EF1CED-D37E-42E5-8BE3-14CAB3256F4D}" type="presOf" srcId="{ECD3DDBC-B732-4CEB-BC98-048C84D67A58}" destId="{3607E250-F718-46F3-8DFB-B49DD585D5AF}" srcOrd="0" destOrd="0" presId="urn:microsoft.com/office/officeart/2005/8/layout/process2"/>
    <dgm:cxn modelId="{92808AFC-91B7-4DB9-B892-B766C80959EB}" srcId="{E84A1D82-15A5-4AB1-BBE8-364C5FD14EB9}" destId="{ECD3DDBC-B732-4CEB-BC98-048C84D67A58}" srcOrd="4" destOrd="0" parTransId="{9B8207A8-7B4A-45EF-B460-74DBA5D2214D}" sibTransId="{6BAC965A-EF25-458B-889D-B84F1202CD4D}"/>
    <dgm:cxn modelId="{A786B9FC-C97E-4E47-9259-F20C8F8E4B4C}" type="presOf" srcId="{2DEE199D-BFCC-4128-ADC3-8203B6A11C23}" destId="{028E960A-C61B-407F-9B97-1BDE2A478D63}" srcOrd="0" destOrd="0" presId="urn:microsoft.com/office/officeart/2005/8/layout/process2"/>
    <dgm:cxn modelId="{F3CCB4E6-6B2E-4059-8EC8-B71078982586}" type="presParOf" srcId="{BE993EDC-D3AB-4031-A1BE-02F3D71BDA6B}" destId="{028E960A-C61B-407F-9B97-1BDE2A478D63}" srcOrd="0" destOrd="0" presId="urn:microsoft.com/office/officeart/2005/8/layout/process2"/>
    <dgm:cxn modelId="{E6EB92EB-7F75-41AA-8342-CA45FEDF6C3F}" type="presParOf" srcId="{BE993EDC-D3AB-4031-A1BE-02F3D71BDA6B}" destId="{B3CA931E-C06A-4D20-A308-5272C4F73E11}" srcOrd="1" destOrd="0" presId="urn:microsoft.com/office/officeart/2005/8/layout/process2"/>
    <dgm:cxn modelId="{666B2DAE-F87B-4D39-A8FE-F5468258F282}" type="presParOf" srcId="{B3CA931E-C06A-4D20-A308-5272C4F73E11}" destId="{B545AB18-7479-49F7-91FD-666DD8289AC6}" srcOrd="0" destOrd="0" presId="urn:microsoft.com/office/officeart/2005/8/layout/process2"/>
    <dgm:cxn modelId="{98642DC3-4740-4B73-9F91-5BC0B80789C1}" type="presParOf" srcId="{BE993EDC-D3AB-4031-A1BE-02F3D71BDA6B}" destId="{A5321838-D9C4-4049-98CA-32603C6A6C01}" srcOrd="2" destOrd="0" presId="urn:microsoft.com/office/officeart/2005/8/layout/process2"/>
    <dgm:cxn modelId="{905257FB-5ACD-4796-BC4E-3D9E74A79E12}" type="presParOf" srcId="{BE993EDC-D3AB-4031-A1BE-02F3D71BDA6B}" destId="{A10F78BE-0D6F-4326-AE95-DBB558F1B911}" srcOrd="3" destOrd="0" presId="urn:microsoft.com/office/officeart/2005/8/layout/process2"/>
    <dgm:cxn modelId="{5355202F-80FA-4E38-A17C-2B72E7A1352D}" type="presParOf" srcId="{A10F78BE-0D6F-4326-AE95-DBB558F1B911}" destId="{F17F7F35-4D0D-4780-97A6-FDC31E694CC2}" srcOrd="0" destOrd="0" presId="urn:microsoft.com/office/officeart/2005/8/layout/process2"/>
    <dgm:cxn modelId="{3FD95E66-9F77-477D-B813-10C602D5016F}" type="presParOf" srcId="{BE993EDC-D3AB-4031-A1BE-02F3D71BDA6B}" destId="{4D441015-7836-49D3-93C0-085B7149588A}" srcOrd="4" destOrd="0" presId="urn:microsoft.com/office/officeart/2005/8/layout/process2"/>
    <dgm:cxn modelId="{475D50A4-1B6A-4B3A-B9FC-3084D7A73DD3}" type="presParOf" srcId="{BE993EDC-D3AB-4031-A1BE-02F3D71BDA6B}" destId="{26A4DF56-E43C-40AE-8E31-39CE5DAD3D15}" srcOrd="5" destOrd="0" presId="urn:microsoft.com/office/officeart/2005/8/layout/process2"/>
    <dgm:cxn modelId="{71407F37-278E-4B5F-AEC6-D0AEFFF47138}" type="presParOf" srcId="{26A4DF56-E43C-40AE-8E31-39CE5DAD3D15}" destId="{3BBDDE21-BE6C-46D6-A61F-A083C861EC72}" srcOrd="0" destOrd="0" presId="urn:microsoft.com/office/officeart/2005/8/layout/process2"/>
    <dgm:cxn modelId="{64E0358B-4AB0-403F-A445-2B331F871242}" type="presParOf" srcId="{BE993EDC-D3AB-4031-A1BE-02F3D71BDA6B}" destId="{6CF7D347-0821-4EDB-8156-742179C392FE}" srcOrd="6" destOrd="0" presId="urn:microsoft.com/office/officeart/2005/8/layout/process2"/>
    <dgm:cxn modelId="{C297BD04-915B-42EA-B586-C3E5BA98FF9D}" type="presParOf" srcId="{BE993EDC-D3AB-4031-A1BE-02F3D71BDA6B}" destId="{D2F0C2CD-CE93-48DD-95DD-8A1A92F68040}" srcOrd="7" destOrd="0" presId="urn:microsoft.com/office/officeart/2005/8/layout/process2"/>
    <dgm:cxn modelId="{5FE2B696-936F-4718-8B53-CB71DD794E9B}" type="presParOf" srcId="{D2F0C2CD-CE93-48DD-95DD-8A1A92F68040}" destId="{F7E3DAF6-7183-46BA-82F2-A47297E0187D}" srcOrd="0" destOrd="0" presId="urn:microsoft.com/office/officeart/2005/8/layout/process2"/>
    <dgm:cxn modelId="{A3C5A7BA-F5A7-4B61-88DD-1AAE9111F03E}" type="presParOf" srcId="{BE993EDC-D3AB-4031-A1BE-02F3D71BDA6B}" destId="{3607E250-F718-46F3-8DFB-B49DD585D5AF}" srcOrd="8" destOrd="0" presId="urn:microsoft.com/office/officeart/2005/8/layout/process2"/>
  </dgm:cxnLst>
  <dgm:bg/>
  <dgm:whole/>
  <dgm:extLst>
    <a:ext uri="http://schemas.microsoft.com/office/drawing/2008/diagram">
      <dsp:dataModelExt xmlns:dsp="http://schemas.microsoft.com/office/drawing/2008/diagram" relId="rId10"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028E960A-C61B-407F-9B97-1BDE2A478D63}">
      <dsp:nvSpPr>
        <dsp:cNvPr id="0" name=""/>
        <dsp:cNvSpPr/>
      </dsp:nvSpPr>
      <dsp:spPr>
        <a:xfrm>
          <a:off x="1841728" y="390"/>
          <a:ext cx="1802943" cy="457088"/>
        </a:xfrm>
        <a:prstGeom prst="roundRect">
          <a:avLst>
            <a:gd name="adj" fmla="val 10000"/>
          </a:avLst>
        </a:prstGeom>
        <a:solidFill>
          <a:schemeClr val="accent1">
            <a:shade val="50000"/>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التحول الرقمي</a:t>
          </a:r>
        </a:p>
      </dsp:txBody>
      <dsp:txXfrm>
        <a:off x="1855116" y="13778"/>
        <a:ext cx="1776167" cy="430312"/>
      </dsp:txXfrm>
    </dsp:sp>
    <dsp:sp modelId="{B3CA931E-C06A-4D20-A308-5272C4F73E11}">
      <dsp:nvSpPr>
        <dsp:cNvPr id="0" name=""/>
        <dsp:cNvSpPr/>
      </dsp:nvSpPr>
      <dsp:spPr>
        <a:xfrm rot="5400000">
          <a:off x="2657495" y="468906"/>
          <a:ext cx="171408" cy="205689"/>
        </a:xfrm>
        <a:prstGeom prst="rightArrow">
          <a:avLst>
            <a:gd name="adj1" fmla="val 60000"/>
            <a:gd name="adj2" fmla="val 50000"/>
          </a:avLst>
        </a:prstGeom>
        <a:solidFill>
          <a:schemeClr val="accent1">
            <a:shade val="90000"/>
            <a:hueOff val="0"/>
            <a:satOff val="0"/>
            <a:lumOff val="0"/>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681493" y="486046"/>
        <a:ext cx="123413" cy="119986"/>
      </dsp:txXfrm>
    </dsp:sp>
    <dsp:sp modelId="{A5321838-D9C4-4049-98CA-32603C6A6C01}">
      <dsp:nvSpPr>
        <dsp:cNvPr id="0" name=""/>
        <dsp:cNvSpPr/>
      </dsp:nvSpPr>
      <dsp:spPr>
        <a:xfrm>
          <a:off x="1841728" y="686023"/>
          <a:ext cx="1802943" cy="457088"/>
        </a:xfrm>
        <a:prstGeom prst="roundRect">
          <a:avLst>
            <a:gd name="adj" fmla="val 10000"/>
          </a:avLst>
        </a:prstGeom>
        <a:solidFill>
          <a:schemeClr val="accent1">
            <a:shade val="50000"/>
            <a:hueOff val="160997"/>
            <a:satOff val="-3921"/>
            <a:lumOff val="1715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الحكومة الالكتورنية</a:t>
          </a:r>
        </a:p>
      </dsp:txBody>
      <dsp:txXfrm>
        <a:off x="1855116" y="699411"/>
        <a:ext cx="1776167" cy="430312"/>
      </dsp:txXfrm>
    </dsp:sp>
    <dsp:sp modelId="{A10F78BE-0D6F-4326-AE95-DBB558F1B911}">
      <dsp:nvSpPr>
        <dsp:cNvPr id="0" name=""/>
        <dsp:cNvSpPr/>
      </dsp:nvSpPr>
      <dsp:spPr>
        <a:xfrm rot="5400000">
          <a:off x="2657495" y="1154538"/>
          <a:ext cx="171408" cy="205689"/>
        </a:xfrm>
        <a:prstGeom prst="rightArrow">
          <a:avLst>
            <a:gd name="adj1" fmla="val 60000"/>
            <a:gd name="adj2" fmla="val 50000"/>
          </a:avLst>
        </a:prstGeom>
        <a:solidFill>
          <a:schemeClr val="accent1">
            <a:shade val="90000"/>
            <a:hueOff val="207713"/>
            <a:satOff val="-4436"/>
            <a:lumOff val="1655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681493" y="1171678"/>
        <a:ext cx="123413" cy="119986"/>
      </dsp:txXfrm>
    </dsp:sp>
    <dsp:sp modelId="{4D441015-7836-49D3-93C0-085B7149588A}">
      <dsp:nvSpPr>
        <dsp:cNvPr id="0" name=""/>
        <dsp:cNvSpPr/>
      </dsp:nvSpPr>
      <dsp:spPr>
        <a:xfrm>
          <a:off x="1841728" y="1371655"/>
          <a:ext cx="1802943" cy="457088"/>
        </a:xfrm>
        <a:prstGeom prst="roundRect">
          <a:avLst>
            <a:gd name="adj" fmla="val 10000"/>
          </a:avLst>
        </a:prstGeom>
        <a:solidFill>
          <a:schemeClr val="accent1">
            <a:shade val="50000"/>
            <a:hueOff val="321995"/>
            <a:satOff val="-7842"/>
            <a:lumOff val="3431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جودة الخدمات الإلكترونية </a:t>
          </a:r>
        </a:p>
      </dsp:txBody>
      <dsp:txXfrm>
        <a:off x="1855116" y="1385043"/>
        <a:ext cx="1776167" cy="430312"/>
      </dsp:txXfrm>
    </dsp:sp>
    <dsp:sp modelId="{26A4DF56-E43C-40AE-8E31-39CE5DAD3D15}">
      <dsp:nvSpPr>
        <dsp:cNvPr id="0" name=""/>
        <dsp:cNvSpPr/>
      </dsp:nvSpPr>
      <dsp:spPr>
        <a:xfrm rot="5400000">
          <a:off x="2657495" y="1840171"/>
          <a:ext cx="171408" cy="205689"/>
        </a:xfrm>
        <a:prstGeom prst="rightArrow">
          <a:avLst>
            <a:gd name="adj1" fmla="val 60000"/>
            <a:gd name="adj2" fmla="val 50000"/>
          </a:avLst>
        </a:prstGeom>
        <a:solidFill>
          <a:schemeClr val="accent1">
            <a:shade val="90000"/>
            <a:hueOff val="415426"/>
            <a:satOff val="-8871"/>
            <a:lumOff val="33109"/>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681493" y="1857311"/>
        <a:ext cx="123413" cy="119986"/>
      </dsp:txXfrm>
    </dsp:sp>
    <dsp:sp modelId="{6CF7D347-0821-4EDB-8156-742179C392FE}">
      <dsp:nvSpPr>
        <dsp:cNvPr id="0" name=""/>
        <dsp:cNvSpPr/>
      </dsp:nvSpPr>
      <dsp:spPr>
        <a:xfrm>
          <a:off x="1841728" y="2057288"/>
          <a:ext cx="1802943" cy="457088"/>
        </a:xfrm>
        <a:prstGeom prst="roundRect">
          <a:avLst>
            <a:gd name="adj" fmla="val 10000"/>
          </a:avLst>
        </a:prstGeom>
        <a:solidFill>
          <a:schemeClr val="accent1">
            <a:shade val="50000"/>
            <a:hueOff val="321995"/>
            <a:satOff val="-7842"/>
            <a:lumOff val="34317"/>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كفاءة الأداء</a:t>
          </a:r>
        </a:p>
      </dsp:txBody>
      <dsp:txXfrm>
        <a:off x="1855116" y="2070676"/>
        <a:ext cx="1776167" cy="430312"/>
      </dsp:txXfrm>
    </dsp:sp>
    <dsp:sp modelId="{D2F0C2CD-CE93-48DD-95DD-8A1A92F68040}">
      <dsp:nvSpPr>
        <dsp:cNvPr id="0" name=""/>
        <dsp:cNvSpPr/>
      </dsp:nvSpPr>
      <dsp:spPr>
        <a:xfrm rot="5400000">
          <a:off x="2657495" y="2525803"/>
          <a:ext cx="171408" cy="205689"/>
        </a:xfrm>
        <a:prstGeom prst="rightArrow">
          <a:avLst>
            <a:gd name="adj1" fmla="val 60000"/>
            <a:gd name="adj2" fmla="val 50000"/>
          </a:avLst>
        </a:prstGeom>
        <a:solidFill>
          <a:schemeClr val="accent1">
            <a:shade val="90000"/>
            <a:hueOff val="207713"/>
            <a:satOff val="-4436"/>
            <a:lumOff val="16555"/>
            <a:alphaOff val="0"/>
          </a:schemeClr>
        </a:solidFill>
        <a:ln>
          <a:noFill/>
        </a:ln>
        <a:effectLst/>
      </dsp:spPr>
      <dsp:style>
        <a:lnRef idx="0">
          <a:scrgbClr r="0" g="0" b="0"/>
        </a:lnRef>
        <a:fillRef idx="1">
          <a:scrgbClr r="0" g="0" b="0"/>
        </a:fillRef>
        <a:effectRef idx="0">
          <a:scrgbClr r="0" g="0" b="0"/>
        </a:effectRef>
        <a:fontRef idx="minor">
          <a:schemeClr val="lt1"/>
        </a:fontRef>
      </dsp:style>
      <dsp:txBody>
        <a:bodyPr spcFirstLastPara="0" vert="horz" wrap="square" lIns="0" tIns="0" rIns="0" bIns="0" numCol="1" spcCol="1270" anchor="ctr" anchorCtr="0">
          <a:noAutofit/>
        </a:bodyPr>
        <a:lstStyle/>
        <a:p>
          <a:pPr marL="0" lvl="0" indent="0" algn="ctr" defTabSz="400050" rtl="1">
            <a:lnSpc>
              <a:spcPct val="90000"/>
            </a:lnSpc>
            <a:spcBef>
              <a:spcPct val="0"/>
            </a:spcBef>
            <a:spcAft>
              <a:spcPct val="35000"/>
            </a:spcAft>
            <a:buNone/>
          </a:pPr>
          <a:endParaRPr lang="ar-SA" sz="900" kern="1200"/>
        </a:p>
      </dsp:txBody>
      <dsp:txXfrm rot="-5400000">
        <a:off x="2681493" y="2542943"/>
        <a:ext cx="123413" cy="119986"/>
      </dsp:txXfrm>
    </dsp:sp>
    <dsp:sp modelId="{3607E250-F718-46F3-8DFB-B49DD585D5AF}">
      <dsp:nvSpPr>
        <dsp:cNvPr id="0" name=""/>
        <dsp:cNvSpPr/>
      </dsp:nvSpPr>
      <dsp:spPr>
        <a:xfrm>
          <a:off x="1841728" y="2742920"/>
          <a:ext cx="1802943" cy="457088"/>
        </a:xfrm>
        <a:prstGeom prst="roundRect">
          <a:avLst>
            <a:gd name="adj" fmla="val 10000"/>
          </a:avLst>
        </a:prstGeom>
        <a:solidFill>
          <a:schemeClr val="accent1">
            <a:shade val="50000"/>
            <a:hueOff val="160997"/>
            <a:satOff val="-3921"/>
            <a:lumOff val="17158"/>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60960" tIns="60960" rIns="60960" bIns="60960" numCol="1" spcCol="1270" anchor="ctr" anchorCtr="0">
          <a:noAutofit/>
        </a:bodyPr>
        <a:lstStyle/>
        <a:p>
          <a:pPr marL="0" lvl="0" indent="0" algn="ctr" defTabSz="711200" rtl="1">
            <a:lnSpc>
              <a:spcPct val="90000"/>
            </a:lnSpc>
            <a:spcBef>
              <a:spcPct val="0"/>
            </a:spcBef>
            <a:spcAft>
              <a:spcPct val="35000"/>
            </a:spcAft>
            <a:buNone/>
          </a:pPr>
          <a:r>
            <a:rPr lang="ar-SA" sz="1600" kern="1200"/>
            <a:t>رضا المستخدمين</a:t>
          </a:r>
        </a:p>
      </dsp:txBody>
      <dsp:txXfrm>
        <a:off x="1855116" y="2756308"/>
        <a:ext cx="1776167" cy="430312"/>
      </dsp:txXfrm>
    </dsp:sp>
  </dsp:spTree>
</dsp:drawing>
</file>

<file path=word/diagrams/layout1.xml><?xml version="1.0" encoding="utf-8"?>
<dgm:layoutDef xmlns:dgm="http://schemas.openxmlformats.org/drawingml/2006/diagram" xmlns:a="http://schemas.openxmlformats.org/drawingml/2006/main" uniqueId="urn:microsoft.com/office/officeart/2005/8/layout/process2">
  <dgm:title val=""/>
  <dgm:desc val=""/>
  <dgm:catLst>
    <dgm:cat type="process" pri="13000"/>
  </dgm:catLst>
  <dgm:sampData useDef="1">
    <dgm:dataModel>
      <dgm:ptLst/>
      <dgm:bg/>
      <dgm:whole/>
    </dgm:dataModel>
  </dgm:sampData>
  <dgm:styleData>
    <dgm:dataModel>
      <dgm:ptLst>
        <dgm:pt modelId="0" type="doc"/>
        <dgm:pt modelId="1"/>
        <dgm:pt modelId="2"/>
      </dgm:ptLst>
      <dgm:cxnLst>
        <dgm:cxn modelId="3" srcId="0" destId="1" srcOrd="0" destOrd="0"/>
        <dgm:cxn modelId="4"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Flow">
    <dgm:varLst>
      <dgm:resizeHandles val="exact"/>
    </dgm:varLst>
    <dgm:alg type="lin">
      <dgm:param type="linDir" val="fromT"/>
    </dgm:alg>
    <dgm:shape xmlns:r="http://schemas.openxmlformats.org/officeDocument/2006/relationships" r:blip="">
      <dgm:adjLst/>
    </dgm:shape>
    <dgm:presOf/>
    <dgm:constrLst>
      <dgm:constr type="h" for="ch" ptType="node" refType="h"/>
      <dgm:constr type="h" for="ch" ptType="sibTrans" refType="h" refFor="ch" refPtType="node" fact="0.5"/>
      <dgm:constr type="w" for="ch" ptType="node" op="equ"/>
      <dgm:constr type="primFontSz" for="ch" ptType="node" op="equ" val="65"/>
      <dgm:constr type="primFontSz" for="des" forName="connectorText" op="equ" val="55"/>
      <dgm:constr type="primFontSz" for="des" forName="connectorText" refType="primFontSz" refFor="ch" refPtType="node" op="lte" fact="0.8"/>
    </dgm:constrLst>
    <dgm:ruleLst/>
    <dgm:forEach name="nodesForEach" axis="ch" ptType="node">
      <dgm:layoutNode name="node">
        <dgm:varLst>
          <dgm:bulletEnabled val="1"/>
        </dgm:varLst>
        <dgm:choose name="Name0">
          <dgm:if name="Name1" axis="root des" ptType="all node" func="maxDepth" op="gt" val="1">
            <dgm:alg type="tx">
              <dgm:param type="parTxLTRAlign" val="l"/>
              <dgm:param type="parTxRTLAlign" val="r"/>
              <dgm:param type="txAnchorVertCh" val="mid"/>
            </dgm:alg>
          </dgm:if>
          <dgm:else name="Name2">
            <dgm:alg type="tx"/>
          </dgm:else>
        </dgm:choose>
        <dgm:shape xmlns:r="http://schemas.openxmlformats.org/officeDocument/2006/relationships" type="roundRect" r:blip="">
          <dgm:adjLst>
            <dgm:adj idx="1" val="0.1"/>
          </dgm:adjLst>
        </dgm:shape>
        <dgm:presOf axis="desOrSelf" ptType="node"/>
        <dgm:constrLst>
          <dgm:constr type="w" refType="h" fact="1.8"/>
          <dgm:constr type="tMarg" refType="primFontSz" fact="0.3"/>
          <dgm:constr type="bMarg" refType="primFontSz" fact="0.3"/>
          <dgm:constr type="lMarg" refType="primFontSz" fact="0.3"/>
          <dgm:constr type="rMarg" refType="primFontSz" fact="0.3"/>
        </dgm:constrLst>
        <dgm:ruleLst>
          <dgm:rule type="primFontSz" val="18" fact="NaN" max="NaN"/>
          <dgm:rule type="w" val="NaN" fact="4" max="NaN"/>
          <dgm:rule type="primFontSz" val="5" fact="NaN" max="NaN"/>
        </dgm:ruleLst>
      </dgm:layoutNode>
      <dgm:forEach name="sibTransForEach" axis="followSib" ptType="sibTrans" cnt="1">
        <dgm:layoutNode name="sibTrans">
          <dgm:alg type="conn">
            <dgm:param type="begPts" val="auto"/>
            <dgm:param type="endPts" val="auto"/>
          </dgm:alg>
          <dgm:shape xmlns:r="http://schemas.openxmlformats.org/officeDocument/2006/relationships" type="conn" r:blip="">
            <dgm:adjLst/>
          </dgm:shape>
          <dgm:presOf axis="self"/>
          <dgm:constrLst>
            <dgm:constr type="w" refType="h" fact="0.9"/>
            <dgm:constr type="connDist"/>
            <dgm:constr type="wArH" refType="w" fact="0.5"/>
            <dgm:constr type="hArH" refType="w"/>
            <dgm:constr type="stemThick" refType="w" fact="0.6"/>
            <dgm:constr type="begPad" refType="connDist" fact="0.125"/>
            <dgm:constr type="endPad" refType="connDist" fact="0.125"/>
          </dgm:constrLst>
          <dgm:ruleLst/>
          <dgm:layoutNode name="connectorText">
            <dgm:alg type="tx">
              <dgm:param type="autoTxRot" val="upr"/>
            </dgm:alg>
            <dgm:shape xmlns:r="http://schemas.openxmlformats.org/officeDocument/2006/relationships" type="conn" r:blip="" hideGeom="1">
              <dgm:adjLst/>
            </dgm:shape>
            <dgm:presOf axis="self"/>
            <dgm:constrLst>
              <dgm:constr type="lMarg"/>
              <dgm:constr type="rMarg"/>
              <dgm:constr type="tMarg"/>
              <dgm:constr type="bMarg"/>
            </dgm:constrLst>
            <dgm:ruleLst>
              <dgm:rule type="primFontSz" val="5" fact="NaN" max="NaN"/>
            </dgm:ruleLst>
          </dgm:layoutNode>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47</Pages>
  <Words>7891</Words>
  <Characters>44983</Characters>
  <Application>Microsoft Office Word</Application>
  <DocSecurity>0</DocSecurity>
  <Lines>374</Lines>
  <Paragraphs>105</Paragraphs>
  <ScaleCrop>false</ScaleCrop>
  <Company/>
  <LinksUpToDate>false</LinksUpToDate>
  <CharactersWithSpaces>52769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Aljwharah -</dc:creator>
  <cp:keywords/>
  <dc:description/>
  <cp:lastModifiedBy>Aljwharah -</cp:lastModifiedBy>
  <cp:revision>1</cp:revision>
  <dcterms:created xsi:type="dcterms:W3CDTF">2026-03-27T18:22:00Z</dcterms:created>
  <dcterms:modified xsi:type="dcterms:W3CDTF">2026-03-27T18:23:00Z</dcterms:modified>
</cp:coreProperties>
</file>