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A6D29" w14:textId="77777777" w:rsidR="00E457CD" w:rsidRPr="00BF65CE" w:rsidRDefault="00003072" w:rsidP="002071EC">
      <w:pPr>
        <w:spacing w:after="120"/>
        <w:jc w:val="both"/>
        <w:rPr>
          <w:rFonts w:ascii="Simplified Arabic" w:hAnsi="Simplified Arabic" w:cs="Simplified Arabic"/>
          <w:rtl/>
        </w:rPr>
      </w:pPr>
      <w:r w:rsidRPr="00BF65C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0AE8E96A" wp14:editId="67CEABF9">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3E8A8DFE" w14:textId="77777777" w:rsidR="00003072" w:rsidRPr="00BF65CE" w:rsidRDefault="00003072" w:rsidP="002071EC">
      <w:pPr>
        <w:spacing w:after="120"/>
        <w:jc w:val="both"/>
        <w:rPr>
          <w:rFonts w:ascii="Simplified Arabic" w:hAnsi="Simplified Arabic" w:cs="Simplified Arabic"/>
          <w:rtl/>
        </w:rPr>
      </w:pPr>
    </w:p>
    <w:p w14:paraId="647629C7" w14:textId="77777777" w:rsidR="00003072" w:rsidRPr="00BF65CE" w:rsidRDefault="00003072" w:rsidP="002071EC">
      <w:pPr>
        <w:spacing w:after="120"/>
        <w:jc w:val="both"/>
        <w:rPr>
          <w:rFonts w:ascii="Simplified Arabic" w:hAnsi="Simplified Arabic" w:cs="Simplified Arabic"/>
          <w:rtl/>
        </w:rPr>
      </w:pPr>
    </w:p>
    <w:p w14:paraId="242DB5B3" w14:textId="77777777" w:rsidR="00003072" w:rsidRPr="00BF65CE" w:rsidRDefault="00003072" w:rsidP="002071EC">
      <w:pPr>
        <w:spacing w:after="120"/>
        <w:jc w:val="both"/>
        <w:rPr>
          <w:rFonts w:ascii="Simplified Arabic" w:hAnsi="Simplified Arabic" w:cs="Simplified Arabic"/>
        </w:rPr>
      </w:pPr>
    </w:p>
    <w:p w14:paraId="08A057EB" w14:textId="77777777" w:rsidR="00E457CD" w:rsidRPr="00BF65CE" w:rsidRDefault="00014347" w:rsidP="006F2839">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0A597537"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24F28437" w14:textId="77777777" w:rsidR="00E457CD" w:rsidRPr="00BF65CE" w:rsidRDefault="00014347" w:rsidP="009C60BC">
      <w:pPr>
        <w:spacing w:after="420" w:line="320" w:lineRule="auto"/>
        <w:jc w:val="center"/>
        <w:rPr>
          <w:rFonts w:ascii="Simplified Arabic" w:hAnsi="Simplified Arabic" w:cs="Simplified Arabic"/>
          <w:szCs w:val="36"/>
        </w:rPr>
      </w:pPr>
      <w:r w:rsidRPr="00BF65CE">
        <w:rPr>
          <w:rFonts w:ascii="Simplified Arabic" w:hAnsi="Simplified Arabic" w:cs="Simplified Arabic"/>
          <w:b/>
          <w:bCs/>
          <w:sz w:val="36"/>
          <w:szCs w:val="36"/>
          <w:rtl/>
        </w:rPr>
        <w:t>دور الإبداع كمتغير وسيط في تأثير الاستقطاب التنظيمي وتطبيقات الذكاء الاصطناعي على التميز المؤسسي</w:t>
      </w:r>
    </w:p>
    <w:p w14:paraId="06C70588" w14:textId="77777777" w:rsidR="00E457CD" w:rsidRPr="00BF65CE" w:rsidRDefault="00014347" w:rsidP="009C60BC">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1C2BD3D4"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الجوهرة حسين السعود</w:t>
      </w:r>
    </w:p>
    <w:p w14:paraId="586A1FF1" w14:textId="77777777" w:rsidR="00E457CD" w:rsidRPr="00BF65CE" w:rsidRDefault="00014347" w:rsidP="009C60BC">
      <w:pPr>
        <w:spacing w:after="360" w:line="320" w:lineRule="auto"/>
        <w:jc w:val="center"/>
        <w:rPr>
          <w:rFonts w:ascii="Simplified Arabic" w:hAnsi="Simplified Arabic" w:cs="Simplified Arabic"/>
        </w:rPr>
      </w:pPr>
      <w:r w:rsidRPr="00BF65CE">
        <w:rPr>
          <w:rFonts w:ascii="Simplified Arabic" w:hAnsi="Simplified Arabic" w:cs="Simplified Arabic"/>
          <w:rtl/>
        </w:rPr>
        <w:t>الرقم الأكاديمي: 233001529</w:t>
      </w:r>
    </w:p>
    <w:p w14:paraId="7A5835AB" w14:textId="77777777" w:rsidR="00E457CD" w:rsidRPr="00BF65CE" w:rsidRDefault="00014347" w:rsidP="009C60BC">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250FC826" w14:textId="77777777" w:rsidR="00E457CD" w:rsidRPr="00BF65CE" w:rsidRDefault="00014347" w:rsidP="009C60BC">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697E2A5A" w14:textId="77777777" w:rsidR="00E457CD" w:rsidRPr="00BF65CE" w:rsidRDefault="00014347" w:rsidP="009C60BC">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282BA2A7" w14:textId="77777777" w:rsidR="00E457CD" w:rsidRPr="00BF65CE" w:rsidRDefault="00014347" w:rsidP="009C60BC">
      <w:pPr>
        <w:spacing w:after="120" w:line="320" w:lineRule="auto"/>
        <w:jc w:val="center"/>
        <w:rPr>
          <w:rFonts w:ascii="Simplified Arabic" w:hAnsi="Simplified Arabic" w:cs="Simplified Arabic"/>
        </w:rPr>
      </w:pPr>
      <w:r w:rsidRPr="00BF65CE">
        <w:rPr>
          <w:rFonts w:ascii="Simplified Arabic" w:hAnsi="Simplified Arabic" w:cs="Simplified Arabic"/>
          <w:b/>
          <w:bCs/>
          <w:rtl/>
        </w:rPr>
        <w:t>1446 هـ - 2025 م</w:t>
      </w:r>
    </w:p>
    <w:p w14:paraId="2D0B9FFC"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32054CAE" w14:textId="77777777" w:rsidR="00E457CD" w:rsidRPr="00BF65CE" w:rsidRDefault="00003072" w:rsidP="009C60BC">
      <w:pPr>
        <w:spacing w:after="120"/>
        <w:jc w:val="center"/>
        <w:rPr>
          <w:rFonts w:ascii="Simplified Arabic" w:hAnsi="Simplified Arabic" w:cs="Simplified Arabic"/>
          <w:rtl/>
        </w:rPr>
      </w:pPr>
      <w:r w:rsidRPr="00BF65CE">
        <w:rPr>
          <w:rFonts w:ascii="Simplified Arabic" w:hAnsi="Simplified Arabic" w:cs="Simplified Arabic"/>
          <w:b/>
          <w:noProof/>
          <w:sz w:val="28"/>
          <w:szCs w:val="28"/>
        </w:rPr>
        <w:lastRenderedPageBreak/>
        <w:drawing>
          <wp:anchor distT="0" distB="0" distL="114300" distR="114300" simplePos="0" relativeHeight="251661312" behindDoc="0" locked="0" layoutInCell="1" allowOverlap="1" wp14:anchorId="581A016E" wp14:editId="1C079824">
            <wp:simplePos x="0" y="0"/>
            <wp:positionH relativeFrom="margin">
              <wp:posOffset>1791970</wp:posOffset>
            </wp:positionH>
            <wp:positionV relativeFrom="margin">
              <wp:posOffset>453390</wp:posOffset>
            </wp:positionV>
            <wp:extent cx="1994535" cy="876300"/>
            <wp:effectExtent l="0" t="0" r="5715" b="0"/>
            <wp:wrapSquare wrapText="bothSides"/>
            <wp:docPr id="6888745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105B89A7" w14:textId="77777777" w:rsidR="00003072" w:rsidRPr="00BF65CE" w:rsidRDefault="00003072" w:rsidP="009C60BC">
      <w:pPr>
        <w:spacing w:after="120"/>
        <w:jc w:val="center"/>
        <w:rPr>
          <w:rFonts w:ascii="Simplified Arabic" w:hAnsi="Simplified Arabic" w:cs="Simplified Arabic"/>
          <w:rtl/>
        </w:rPr>
      </w:pPr>
    </w:p>
    <w:p w14:paraId="22BC885D" w14:textId="77777777" w:rsidR="00003072" w:rsidRPr="00BF65CE" w:rsidRDefault="00003072" w:rsidP="009C60BC">
      <w:pPr>
        <w:spacing w:after="120"/>
        <w:jc w:val="center"/>
        <w:rPr>
          <w:rFonts w:ascii="Simplified Arabic" w:hAnsi="Simplified Arabic" w:cs="Simplified Arabic"/>
          <w:rtl/>
        </w:rPr>
      </w:pPr>
    </w:p>
    <w:p w14:paraId="35C81035" w14:textId="77777777" w:rsidR="00003072" w:rsidRPr="00BF65CE" w:rsidRDefault="00003072" w:rsidP="009C60BC">
      <w:pPr>
        <w:spacing w:after="120"/>
        <w:jc w:val="center"/>
        <w:rPr>
          <w:rFonts w:ascii="Simplified Arabic" w:hAnsi="Simplified Arabic" w:cs="Simplified Arabic"/>
        </w:rPr>
      </w:pPr>
    </w:p>
    <w:p w14:paraId="5722927A" w14:textId="77777777" w:rsidR="00E457CD" w:rsidRPr="00BF65CE" w:rsidRDefault="00014347" w:rsidP="008115A2">
      <w:pPr>
        <w:bidi w:val="0"/>
        <w:spacing w:after="60" w:line="320" w:lineRule="auto"/>
        <w:jc w:val="center"/>
        <w:rPr>
          <w:rFonts w:ascii="Simplified Arabic" w:hAnsi="Simplified Arabic" w:cs="Simplified Arabic"/>
          <w:szCs w:val="28"/>
        </w:rPr>
      </w:pPr>
      <w:r w:rsidRPr="00BF65CE">
        <w:rPr>
          <w:rFonts w:ascii="Simplified Arabic" w:hAnsi="Simplified Arabic" w:cs="Simplified Arabic"/>
          <w:b/>
          <w:bCs/>
          <w:szCs w:val="28"/>
        </w:rPr>
        <w:t>MIDOCEAN UNIVERSITY</w:t>
      </w:r>
    </w:p>
    <w:p w14:paraId="645A2843"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hAnsi="Simplified Arabic" w:cs="Simplified Arabic"/>
          <w:b/>
          <w:bCs/>
        </w:rPr>
        <w:t>College of Administration</w:t>
      </w:r>
    </w:p>
    <w:p w14:paraId="71C7794A" w14:textId="77777777" w:rsidR="00E457CD" w:rsidRPr="00BF65CE" w:rsidRDefault="00014347" w:rsidP="009C60BC">
      <w:pPr>
        <w:bidi w:val="0"/>
        <w:spacing w:after="420" w:line="320" w:lineRule="auto"/>
        <w:jc w:val="center"/>
        <w:rPr>
          <w:rFonts w:ascii="Simplified Arabic" w:hAnsi="Simplified Arabic" w:cs="Simplified Arabic"/>
          <w:szCs w:val="36"/>
        </w:rPr>
      </w:pPr>
      <w:r w:rsidRPr="00BF65CE">
        <w:rPr>
          <w:rFonts w:ascii="Simplified Arabic" w:eastAsia="Times New Roman" w:hAnsi="Simplified Arabic" w:cs="Simplified Arabic"/>
          <w:b/>
          <w:bCs/>
          <w:szCs w:val="36"/>
        </w:rPr>
        <w:t>Creativity as a Mediator in the Effects of Talent Acquisition and Artificial Intelligence Applications on Organizational Excellence</w:t>
      </w:r>
    </w:p>
    <w:p w14:paraId="0C84FBC1" w14:textId="77777777" w:rsidR="00E457CD" w:rsidRPr="00BF65CE" w:rsidRDefault="0064692C" w:rsidP="009C60BC">
      <w:pPr>
        <w:bidi w:val="0"/>
        <w:spacing w:after="80" w:line="320" w:lineRule="auto"/>
        <w:jc w:val="center"/>
        <w:rPr>
          <w:rFonts w:ascii="Simplified Arabic" w:hAnsi="Simplified Arabic" w:cs="Simplified Arabic"/>
          <w:szCs w:val="28"/>
        </w:rPr>
      </w:pPr>
      <w:r w:rsidRPr="00BF65CE">
        <w:rPr>
          <w:rFonts w:ascii="Simplified Arabic" w:hAnsi="Simplified Arabic" w:cs="Simplified Arabic"/>
          <w:b/>
          <w:bCs/>
          <w:szCs w:val="28"/>
        </w:rPr>
        <w:t>by</w:t>
      </w:r>
    </w:p>
    <w:p w14:paraId="64BAD5EE" w14:textId="77777777" w:rsidR="00E457CD" w:rsidRPr="00BF65CE" w:rsidRDefault="00D61B1A" w:rsidP="009C60BC">
      <w:pPr>
        <w:bidi w:val="0"/>
        <w:spacing w:after="40" w:line="320" w:lineRule="auto"/>
        <w:jc w:val="center"/>
        <w:rPr>
          <w:rFonts w:ascii="Simplified Arabic" w:hAnsi="Simplified Arabic" w:cs="Simplified Arabic"/>
        </w:rPr>
      </w:pPr>
      <w:r w:rsidRPr="00BF65CE">
        <w:rPr>
          <w:rFonts w:ascii="Simplified Arabic" w:eastAsia="Times New Roman" w:hAnsi="Simplified Arabic" w:cs="Simplified Arabic"/>
          <w:b/>
          <w:bCs/>
        </w:rPr>
        <w:t>ALJAWHARAH HUSSEIN ALSAUD</w:t>
      </w:r>
    </w:p>
    <w:p w14:paraId="6EADFBDA" w14:textId="77777777" w:rsidR="00E457CD" w:rsidRPr="00BF65CE" w:rsidRDefault="00014347" w:rsidP="009C60BC">
      <w:pPr>
        <w:bidi w:val="0"/>
        <w:spacing w:after="360" w:line="320" w:lineRule="auto"/>
        <w:jc w:val="center"/>
        <w:rPr>
          <w:rFonts w:ascii="Simplified Arabic" w:hAnsi="Simplified Arabic" w:cs="Simplified Arabic"/>
        </w:rPr>
      </w:pPr>
      <w:r w:rsidRPr="00BF65CE">
        <w:rPr>
          <w:rFonts w:ascii="Simplified Arabic" w:eastAsia="Times New Roman" w:hAnsi="Simplified Arabic" w:cs="Simplified Arabic"/>
        </w:rPr>
        <w:t>Academic No.: 233001529</w:t>
      </w:r>
    </w:p>
    <w:p w14:paraId="23A3C5B8" w14:textId="77777777" w:rsidR="00E457CD" w:rsidRPr="00BF65CE" w:rsidRDefault="00014347" w:rsidP="009C60BC">
      <w:pPr>
        <w:bidi w:val="0"/>
        <w:spacing w:after="80" w:line="320" w:lineRule="auto"/>
        <w:jc w:val="center"/>
        <w:rPr>
          <w:rFonts w:ascii="Simplified Arabic" w:hAnsi="Simplified Arabic" w:cs="Simplified Arabic"/>
        </w:rPr>
      </w:pPr>
      <w:r w:rsidRPr="00BF65CE">
        <w:rPr>
          <w:rFonts w:ascii="Simplified Arabic" w:eastAsia="Times New Roman" w:hAnsi="Simplified Arabic" w:cs="Simplified Arabic"/>
          <w:b/>
          <w:bCs/>
        </w:rPr>
        <w:t>Submitted to Midocean University in partial fulfillment of the requirements for the degree of Doctor of Philosophy</w:t>
      </w:r>
    </w:p>
    <w:p w14:paraId="5CE4F07E" w14:textId="77777777" w:rsidR="00D61BBC" w:rsidRPr="00BF65CE" w:rsidRDefault="00014347" w:rsidP="009C60BC">
      <w:pPr>
        <w:bidi w:val="0"/>
        <w:spacing w:after="420" w:line="320" w:lineRule="auto"/>
        <w:jc w:val="center"/>
        <w:rPr>
          <w:rFonts w:ascii="Simplified Arabic" w:eastAsia="Times New Roman" w:hAnsi="Simplified Arabic" w:cs="Simplified Arabic"/>
          <w:b/>
          <w:bCs/>
        </w:rPr>
      </w:pPr>
      <w:r w:rsidRPr="00BF65CE">
        <w:rPr>
          <w:rFonts w:ascii="Simplified Arabic" w:eastAsia="Times New Roman" w:hAnsi="Simplified Arabic" w:cs="Simplified Arabic"/>
          <w:b/>
          <w:bCs/>
        </w:rPr>
        <w:t xml:space="preserve">in </w:t>
      </w:r>
    </w:p>
    <w:p w14:paraId="55EB0B02" w14:textId="77777777" w:rsidR="00E457CD" w:rsidRPr="00BF65CE" w:rsidRDefault="001B134D" w:rsidP="00D61BBC">
      <w:pPr>
        <w:bidi w:val="0"/>
        <w:spacing w:after="420" w:line="320" w:lineRule="auto"/>
        <w:jc w:val="center"/>
        <w:rPr>
          <w:rFonts w:ascii="Simplified Arabic" w:hAnsi="Simplified Arabic" w:cs="Simplified Arabic"/>
        </w:rPr>
      </w:pPr>
      <w:r w:rsidRPr="00BF65CE">
        <w:rPr>
          <w:rFonts w:ascii="Simplified Arabic" w:eastAsia="Times New Roman" w:hAnsi="Simplified Arabic" w:cs="Simplified Arabic"/>
          <w:b/>
          <w:bCs/>
        </w:rPr>
        <w:t>ADMINISTRATION AND HUMAN RESOURCES</w:t>
      </w:r>
    </w:p>
    <w:p w14:paraId="35122185" w14:textId="77777777" w:rsidR="00E457CD" w:rsidRPr="00BF65CE" w:rsidRDefault="00014347" w:rsidP="009C60BC">
      <w:pPr>
        <w:bidi w:val="0"/>
        <w:spacing w:after="120" w:line="320" w:lineRule="auto"/>
        <w:jc w:val="center"/>
        <w:rPr>
          <w:rFonts w:ascii="Simplified Arabic" w:hAnsi="Simplified Arabic" w:cs="Simplified Arabic"/>
        </w:rPr>
      </w:pPr>
      <w:r w:rsidRPr="00BF65CE">
        <w:rPr>
          <w:rFonts w:ascii="Simplified Arabic" w:eastAsia="Times New Roman" w:hAnsi="Simplified Arabic" w:cs="Simplified Arabic"/>
          <w:b/>
          <w:bCs/>
        </w:rPr>
        <w:t>2025</w:t>
      </w:r>
    </w:p>
    <w:p w14:paraId="139CC456" w14:textId="77777777" w:rsidR="00E457CD" w:rsidRPr="00BF65CE" w:rsidRDefault="00014347" w:rsidP="009C60BC">
      <w:pPr>
        <w:jc w:val="center"/>
        <w:rPr>
          <w:rFonts w:ascii="Simplified Arabic" w:hAnsi="Simplified Arabic" w:cs="Simplified Arabic"/>
        </w:rPr>
      </w:pPr>
      <w:r w:rsidRPr="00BF65CE">
        <w:rPr>
          <w:rFonts w:ascii="Simplified Arabic" w:hAnsi="Simplified Arabic" w:cs="Simplified Arabic"/>
          <w:rtl/>
        </w:rPr>
        <w:br w:type="page"/>
      </w:r>
    </w:p>
    <w:p w14:paraId="0024C2A1" w14:textId="77777777" w:rsidR="00DE7D61" w:rsidRPr="00BF65CE" w:rsidRDefault="00DE7D61" w:rsidP="00DE7D61">
      <w:pPr>
        <w:pStyle w:val="2"/>
        <w:rPr>
          <w:rFonts w:cs="Simplified Arabic"/>
          <w:color w:val="auto"/>
          <w:rtl/>
        </w:rPr>
        <w:sectPr w:rsidR="00DE7D61" w:rsidRPr="00BF65CE" w:rsidSect="00DE7D61">
          <w:headerReference w:type="default" r:id="rId9"/>
          <w:footerReference w:type="default" r:id="rId10"/>
          <w:pgSz w:w="11906" w:h="16838" w:code="9"/>
          <w:pgMar w:top="1418" w:right="1701" w:bottom="1418" w:left="1418" w:header="709" w:footer="709" w:gutter="0"/>
          <w:cols w:space="720"/>
          <w:bidi/>
          <w:docGrid w:linePitch="360"/>
        </w:sectPr>
      </w:pPr>
    </w:p>
    <w:p w14:paraId="1D4B547C" w14:textId="77777777" w:rsidR="00E457CD" w:rsidRDefault="00014347" w:rsidP="00BA2FAF">
      <w:pPr>
        <w:pStyle w:val="2"/>
        <w:rPr>
          <w:rFonts w:cs="Simplified Arabic"/>
          <w:color w:val="auto"/>
          <w:sz w:val="24"/>
        </w:rPr>
      </w:pPr>
      <w:bookmarkStart w:id="0" w:name="_Toc235125774"/>
      <w:r w:rsidRPr="00BF65CE">
        <w:rPr>
          <w:rFonts w:cs="Simplified Arabic"/>
          <w:color w:val="auto"/>
          <w:rtl/>
        </w:rPr>
        <w:lastRenderedPageBreak/>
        <w:t>الآية القرآنية</w:t>
      </w:r>
      <w:bookmarkEnd w:id="0"/>
    </w:p>
    <w:p w14:paraId="6DF4E326" w14:textId="77777777" w:rsidR="005200BD" w:rsidRDefault="005200BD" w:rsidP="005D094F"/>
    <w:p w14:paraId="66BB29AE" w14:textId="77777777" w:rsidR="005200BD" w:rsidRDefault="005200BD" w:rsidP="005D094F"/>
    <w:p w14:paraId="353AE23C" w14:textId="77777777" w:rsidR="005200BD" w:rsidRDefault="005200BD" w:rsidP="005D094F"/>
    <w:p w14:paraId="2F05F276" w14:textId="77777777" w:rsidR="00EF66F8" w:rsidRPr="003A673B" w:rsidRDefault="00315503" w:rsidP="003A673B">
      <w:pPr>
        <w:jc w:val="center"/>
        <w:rPr>
          <w:b/>
          <w:bCs/>
          <w:sz w:val="36"/>
          <w:szCs w:val="36"/>
        </w:rPr>
      </w:pPr>
      <w:r w:rsidRPr="003A673B">
        <w:rPr>
          <w:rFonts w:hint="cs"/>
          <w:b/>
          <w:bCs/>
          <w:sz w:val="36"/>
          <w:szCs w:val="36"/>
          <w:rtl/>
        </w:rPr>
        <w:t>بسم الله الرحمن الرحيم</w:t>
      </w:r>
    </w:p>
    <w:p w14:paraId="12336A78" w14:textId="77777777" w:rsidR="00753403" w:rsidRPr="003A673B" w:rsidRDefault="00690A2C" w:rsidP="003A673B">
      <w:pPr>
        <w:jc w:val="center"/>
        <w:rPr>
          <w:b/>
          <w:bCs/>
          <w:sz w:val="36"/>
          <w:szCs w:val="36"/>
          <w:rtl/>
        </w:rPr>
      </w:pPr>
      <w:r w:rsidRPr="003A673B">
        <w:rPr>
          <w:b/>
          <w:bCs/>
          <w:sz w:val="36"/>
          <w:szCs w:val="36"/>
          <w:rtl/>
        </w:rPr>
        <w:t xml:space="preserve">( </w:t>
      </w:r>
      <w:r w:rsidR="00753403" w:rsidRPr="003A673B">
        <w:rPr>
          <w:b/>
          <w:bCs/>
          <w:sz w:val="36"/>
          <w:szCs w:val="36"/>
          <w:rtl/>
        </w:rPr>
        <w:t xml:space="preserve">يَرْفَعِ اللَّهُ الَّذِينَ آمَنُوا مِنكُمْ وَالَّذِينَ أُوتُوا الْعِلْمَ دَرَجَاتٍ وَاللَّهُ بِمَا تَعْمَلُونَ خَبِيرٌ </w:t>
      </w:r>
      <w:r w:rsidRPr="003A673B">
        <w:rPr>
          <w:b/>
          <w:bCs/>
          <w:sz w:val="36"/>
          <w:szCs w:val="36"/>
          <w:rtl/>
        </w:rPr>
        <w:t>[١١]</w:t>
      </w:r>
      <w:r w:rsidR="00753403" w:rsidRPr="003A673B">
        <w:rPr>
          <w:b/>
          <w:bCs/>
          <w:sz w:val="36"/>
          <w:szCs w:val="36"/>
          <w:rtl/>
        </w:rPr>
        <w:t>)</w:t>
      </w:r>
    </w:p>
    <w:p w14:paraId="598829A6" w14:textId="77777777" w:rsidR="00753403" w:rsidRPr="003A673B" w:rsidRDefault="00753403" w:rsidP="003A673B">
      <w:pPr>
        <w:jc w:val="center"/>
        <w:rPr>
          <w:b/>
          <w:bCs/>
          <w:sz w:val="36"/>
          <w:szCs w:val="36"/>
          <w:rtl/>
        </w:rPr>
      </w:pPr>
    </w:p>
    <w:p w14:paraId="57B2BE03" w14:textId="77777777" w:rsidR="002A6B91" w:rsidRPr="003A673B" w:rsidRDefault="00753403" w:rsidP="003A673B">
      <w:pPr>
        <w:jc w:val="right"/>
        <w:rPr>
          <w:b/>
          <w:bCs/>
          <w:sz w:val="36"/>
          <w:szCs w:val="36"/>
        </w:rPr>
      </w:pPr>
      <w:r w:rsidRPr="003A673B">
        <w:rPr>
          <w:b/>
          <w:bCs/>
          <w:sz w:val="36"/>
          <w:szCs w:val="36"/>
          <w:rtl/>
        </w:rPr>
        <w:t>سورة  المجادلة</w:t>
      </w:r>
    </w:p>
    <w:p w14:paraId="7F306AD4" w14:textId="77777777" w:rsidR="00E457CD" w:rsidRPr="00315503" w:rsidRDefault="00014347" w:rsidP="005D094F">
      <w:pPr>
        <w:rPr>
          <w:b/>
          <w:bCs/>
          <w:sz w:val="32"/>
          <w:szCs w:val="32"/>
        </w:rPr>
      </w:pPr>
      <w:r w:rsidRPr="00315503">
        <w:rPr>
          <w:rFonts w:hint="cs"/>
          <w:b/>
          <w:bCs/>
          <w:sz w:val="32"/>
          <w:szCs w:val="32"/>
          <w:rtl/>
        </w:rPr>
        <w:br w:type="page"/>
      </w:r>
    </w:p>
    <w:p w14:paraId="7F7F3CE0" w14:textId="77777777" w:rsidR="00C905EA" w:rsidRPr="00BF65CE" w:rsidRDefault="00014347" w:rsidP="00C905EA">
      <w:pPr>
        <w:pStyle w:val="2"/>
        <w:rPr>
          <w:rFonts w:cs="Simplified Arabic"/>
          <w:color w:val="auto"/>
          <w:sz w:val="24"/>
        </w:rPr>
      </w:pPr>
      <w:bookmarkStart w:id="1" w:name="_Toc235125775"/>
      <w:r w:rsidRPr="00BF65CE">
        <w:rPr>
          <w:rFonts w:cs="Simplified Arabic"/>
          <w:color w:val="auto"/>
          <w:rtl/>
        </w:rPr>
        <w:lastRenderedPageBreak/>
        <w:t>الإهداء</w:t>
      </w:r>
      <w:bookmarkEnd w:id="1"/>
    </w:p>
    <w:p w14:paraId="4F4F52F0"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من كانا بعد الله سببًا في ما وصلت إليه، إلى والديّ الكريمين، تقديرًا لما بذلاه من عطاء ودعاء وصبر لا يقدَّر بثمن.</w:t>
      </w:r>
    </w:p>
    <w:p w14:paraId="312D9AE1"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أسرتي العزيزة، التي كانت سندًا حقيقيًا في مراحل التعب والإنجاز، ومنحتني القوة حين احتجت إليها.</w:t>
      </w:r>
    </w:p>
    <w:p w14:paraId="3D9B6D79"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أساتذتي الأفاضل، الذين تعلمت منهم أن العلم مسؤولية قبل أن يكون شهادة، وأن البحث طريق طويل لا يكتمل إلا بالصبر والإخلاص.</w:t>
      </w:r>
    </w:p>
    <w:p w14:paraId="0EC39C98"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إلى كل من وقف إلى جانبي بكلمة صادقة، أو دعاء طيب، أو دعمٍ كريم.</w:t>
      </w:r>
    </w:p>
    <w:p w14:paraId="015B1A56" w14:textId="77777777" w:rsidR="00C905EA" w:rsidRPr="00BF65CE" w:rsidRDefault="00C905EA" w:rsidP="00105B6E">
      <w:pPr>
        <w:jc w:val="both"/>
        <w:rPr>
          <w:rFonts w:ascii="Simplified Arabic" w:hAnsi="Simplified Arabic" w:cs="Simplified Arabic"/>
          <w:sz w:val="28"/>
          <w:szCs w:val="28"/>
        </w:rPr>
      </w:pPr>
      <w:r w:rsidRPr="00BF65CE">
        <w:rPr>
          <w:rFonts w:ascii="Simplified Arabic" w:hAnsi="Simplified Arabic" w:cs="Simplified Arabic"/>
          <w:sz w:val="28"/>
          <w:szCs w:val="28"/>
          <w:rtl/>
        </w:rPr>
        <w:t>أهدي هذا العمل المتواضع، راجيًا أن يكون خطوة نافعة في طريق العلم والمعرفة.</w:t>
      </w:r>
    </w:p>
    <w:p w14:paraId="1F0E01AD" w14:textId="77777777" w:rsidR="002A6A64" w:rsidRPr="00BF65CE" w:rsidRDefault="002A6A64" w:rsidP="00105B6E">
      <w:pPr>
        <w:jc w:val="both"/>
        <w:rPr>
          <w:rFonts w:ascii="Simplified Arabic" w:hAnsi="Simplified Arabic" w:cs="Simplified Arabic"/>
          <w:sz w:val="28"/>
          <w:szCs w:val="28"/>
        </w:rPr>
      </w:pPr>
    </w:p>
    <w:p w14:paraId="776318AC" w14:textId="77777777" w:rsidR="002A6A64" w:rsidRPr="00BF65CE" w:rsidRDefault="002A6A64" w:rsidP="002A6A64">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2FB66720" w14:textId="77777777" w:rsidR="002A6A64" w:rsidRPr="00BF65CE" w:rsidRDefault="002A6A64" w:rsidP="002A6A64">
      <w:pPr>
        <w:jc w:val="right"/>
        <w:rPr>
          <w:rFonts w:ascii="Simplified Arabic" w:hAnsi="Simplified Arabic" w:cs="Simplified Arabic"/>
          <w:b/>
          <w:bCs/>
          <w:sz w:val="28"/>
          <w:szCs w:val="28"/>
        </w:rPr>
      </w:pPr>
    </w:p>
    <w:p w14:paraId="039EF040" w14:textId="77777777" w:rsidR="001C72F7" w:rsidRPr="00BF65CE" w:rsidRDefault="001C72F7" w:rsidP="00105B6E">
      <w:pPr>
        <w:jc w:val="both"/>
        <w:rPr>
          <w:rFonts w:ascii="Simplified Arabic" w:hAnsi="Simplified Arabic" w:cs="Simplified Arabic"/>
          <w:sz w:val="28"/>
          <w:szCs w:val="28"/>
        </w:rPr>
      </w:pPr>
    </w:p>
    <w:p w14:paraId="03736E84" w14:textId="77777777" w:rsidR="001C72F7" w:rsidRPr="00BF65CE" w:rsidRDefault="00014347" w:rsidP="001C72F7">
      <w:pPr>
        <w:jc w:val="both"/>
        <w:rPr>
          <w:rFonts w:ascii="Simplified Arabic" w:hAnsi="Simplified Arabic" w:cs="Simplified Arabic"/>
        </w:rPr>
      </w:pPr>
      <w:r w:rsidRPr="00BF65CE">
        <w:rPr>
          <w:rFonts w:ascii="Simplified Arabic" w:hAnsi="Simplified Arabic" w:cs="Simplified Arabic"/>
          <w:rtl/>
        </w:rPr>
        <w:br w:type="page"/>
      </w:r>
    </w:p>
    <w:p w14:paraId="7E637852" w14:textId="77777777" w:rsidR="008770D1" w:rsidRPr="00BF65CE" w:rsidRDefault="00014347" w:rsidP="008770D1">
      <w:pPr>
        <w:pStyle w:val="2"/>
        <w:rPr>
          <w:rFonts w:cs="Simplified Arabic"/>
          <w:color w:val="auto"/>
          <w:sz w:val="24"/>
          <w:rtl/>
        </w:rPr>
      </w:pPr>
      <w:bookmarkStart w:id="2" w:name="_Toc235125776"/>
      <w:r w:rsidRPr="00BF65CE">
        <w:rPr>
          <w:rFonts w:cs="Simplified Arabic"/>
          <w:color w:val="auto"/>
          <w:rtl/>
        </w:rPr>
        <w:lastRenderedPageBreak/>
        <w:t>الشكر والتقدير</w:t>
      </w:r>
      <w:bookmarkEnd w:id="2"/>
    </w:p>
    <w:p w14:paraId="490BCEBC"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الحمد لله رب العالمين، حمدًا يليق بجلاله وعظيم سلطانه، والصلاة والسلام على سيدنا محمد، وعلى آله وصحبه أجمعين.</w:t>
      </w:r>
    </w:p>
    <w:p w14:paraId="6506E02E"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أتقدم بخالص الشكر والتقدير إلى كل من كان له أثر في إنجاز هذه الرسالة، سواء بالتوجيه أو الدعم أو التشجيع. وأخص بالشكر أستاذي المشرف، لما قدمه من إرشاد علمي، وملاحظات قيّمة، وتوجيهات كان لها أثر واضح في تطوير هذا العمل وإتمامه بالصورة المناسبة.</w:t>
      </w:r>
    </w:p>
    <w:p w14:paraId="53D33567"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كما أتقدم بالشكر إلى أعضاء لجنة المناقشة الكرام، على تفضلهم بقراءة هذه الرسالة ومناقشتها، وعلى ما سيقدمونه من آراء علمية وملاحظات بناءة تسهم في إثراء هذا البحث.</w:t>
      </w:r>
    </w:p>
    <w:p w14:paraId="68B49173"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ولا يفوتني أن أعبر عن امتناني لأساتذتي الأفاضل في مسيرتي العلمية، الذين كان لهم فضل كبير في بناء معرفتي وتنمية مهاراتي البحثية، وأسأل الله أن يجزيهم عني خير الجزاء.</w:t>
      </w:r>
    </w:p>
    <w:p w14:paraId="723CCB3B"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وأتوجه بالشكر إلى أسرتي الكريمة، التي كانت سندًا حقيقيًا لي طوال مراحل الدراسة والبحث، بما قدمته من دعم وصبر وتشجيع. كما أشكر كل من وقف إلى جانبي، وساندني بدعاء أو كلمة طيبة أو مساعدة صادقة.</w:t>
      </w:r>
    </w:p>
    <w:p w14:paraId="214D8A33" w14:textId="77777777" w:rsidR="008770D1" w:rsidRPr="00BF65CE" w:rsidRDefault="008770D1" w:rsidP="00B702E4">
      <w:pPr>
        <w:jc w:val="both"/>
        <w:rPr>
          <w:rFonts w:ascii="Simplified Arabic" w:hAnsi="Simplified Arabic" w:cs="Simplified Arabic"/>
          <w:sz w:val="28"/>
          <w:szCs w:val="28"/>
        </w:rPr>
      </w:pPr>
      <w:r w:rsidRPr="00BF65CE">
        <w:rPr>
          <w:rFonts w:ascii="Simplified Arabic" w:hAnsi="Simplified Arabic" w:cs="Simplified Arabic"/>
          <w:sz w:val="28"/>
          <w:szCs w:val="28"/>
          <w:rtl/>
        </w:rPr>
        <w:t>وفي الختام، أسأل الله تعالى أن يجعل هذا العمل خالصًا لوجهه الكريم، وأن يكون إضافة نافعة في مجاله، فما كان فيه من صواب فمن الله، وما كان فيه من نقص أو تقصير فمن نفسي.</w:t>
      </w:r>
    </w:p>
    <w:p w14:paraId="36BB926E" w14:textId="77777777" w:rsidR="00560A26" w:rsidRPr="00BF65CE" w:rsidRDefault="00560A26" w:rsidP="00B702E4">
      <w:pPr>
        <w:jc w:val="both"/>
        <w:rPr>
          <w:rFonts w:ascii="Simplified Arabic" w:hAnsi="Simplified Arabic" w:cs="Simplified Arabic"/>
          <w:sz w:val="28"/>
          <w:szCs w:val="28"/>
        </w:rPr>
      </w:pPr>
    </w:p>
    <w:p w14:paraId="54ED5FE0" w14:textId="77777777" w:rsidR="00560A26" w:rsidRPr="00BF65CE" w:rsidRDefault="005807F5" w:rsidP="005807F5">
      <w:pPr>
        <w:jc w:val="right"/>
        <w:rPr>
          <w:rFonts w:ascii="Simplified Arabic" w:hAnsi="Simplified Arabic" w:cs="Simplified Arabic"/>
          <w:b/>
          <w:bCs/>
          <w:sz w:val="28"/>
          <w:szCs w:val="28"/>
        </w:rPr>
      </w:pPr>
      <w:r w:rsidRPr="00BF65CE">
        <w:rPr>
          <w:rFonts w:ascii="Simplified Arabic" w:hAnsi="Simplified Arabic" w:cs="Simplified Arabic"/>
          <w:b/>
          <w:bCs/>
          <w:sz w:val="28"/>
          <w:szCs w:val="28"/>
          <w:rtl/>
        </w:rPr>
        <w:t xml:space="preserve">الباحثة </w:t>
      </w:r>
    </w:p>
    <w:p w14:paraId="3183ED04" w14:textId="77777777" w:rsidR="005807F5" w:rsidRPr="00BF65CE" w:rsidRDefault="005807F5" w:rsidP="005807F5">
      <w:pPr>
        <w:jc w:val="right"/>
        <w:rPr>
          <w:rFonts w:ascii="Simplified Arabic" w:hAnsi="Simplified Arabic" w:cs="Simplified Arabic"/>
          <w:sz w:val="28"/>
          <w:szCs w:val="28"/>
        </w:rPr>
      </w:pPr>
    </w:p>
    <w:p w14:paraId="2D2887B9" w14:textId="77777777" w:rsidR="00E457CD" w:rsidRPr="00BF65CE" w:rsidRDefault="00014347" w:rsidP="00B702E4">
      <w:pPr>
        <w:jc w:val="both"/>
        <w:rPr>
          <w:rFonts w:ascii="Simplified Arabic" w:hAnsi="Simplified Arabic" w:cs="Simplified Arabic"/>
          <w:b/>
          <w:bCs/>
          <w:sz w:val="28"/>
          <w:szCs w:val="28"/>
        </w:rPr>
      </w:pPr>
      <w:r w:rsidRPr="00BF65CE">
        <w:rPr>
          <w:rFonts w:ascii="Simplified Arabic" w:hAnsi="Simplified Arabic" w:cs="Simplified Arabic"/>
          <w:b/>
          <w:bCs/>
          <w:sz w:val="28"/>
          <w:szCs w:val="28"/>
          <w:rtl/>
        </w:rPr>
        <w:br w:type="page"/>
      </w:r>
    </w:p>
    <w:p w14:paraId="06EB92D0" w14:textId="77777777" w:rsidR="00E457CD" w:rsidRPr="00BF65CE" w:rsidRDefault="00014347" w:rsidP="00DE7D61">
      <w:pPr>
        <w:pStyle w:val="2"/>
        <w:rPr>
          <w:rFonts w:cs="Simplified Arabic"/>
          <w:color w:val="auto"/>
          <w:sz w:val="24"/>
        </w:rPr>
      </w:pPr>
      <w:bookmarkStart w:id="3" w:name="_Toc235125777"/>
      <w:r w:rsidRPr="00BF65CE">
        <w:rPr>
          <w:rFonts w:cs="Simplified Arabic"/>
          <w:color w:val="auto"/>
          <w:rtl/>
        </w:rPr>
        <w:lastRenderedPageBreak/>
        <w:t>المستخلص</w:t>
      </w:r>
      <w:bookmarkEnd w:id="3"/>
    </w:p>
    <w:p w14:paraId="166BD76F"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تناولت هذه الدراسة دور الإبداع كمتغير وسيط في تأثير كلٍّ من الاستقطاب التنظيمي وتطبيقات الذكاء الاصطناعي على التميز المؤسسي في مستشفيات القطاع الصحي الخاص بمدينة الرياض. وتنبع أهمية الدراسة من ندرة الأبحاث التي تجمع بين هذه المتغيرات الأربعة في بيئة القطاع الصحي الخاص، ومن سعيها إلى تقديم رؤى تدعم بناء بيئة عمل إبداعية وتبنّي حلول تقنية متقدمة بما يتوافق مع مستهدفات رؤية المملكة العربية السعودية 2030.</w:t>
      </w:r>
    </w:p>
    <w:p w14:paraId="423474B2"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واعتمدت الدراسة المنهج الكمي الوصفي التحليلي، وتكوّن مجتمعها من العاملين في خمسة مستشفيات خاصة كبرى بمدينة الرياض بلغ إجماليهم (9607) موظفًا، واختيرت منهم عينة عشوائية طبقية متناسبة بلغت (384) مفردة. وجُمعت البيانات بأداة استبانة محكّمة مكوّنة من (21) عبارة وفق مقياس ليكرت الخماسي، وحُلّلت إحصائيًا باستخدام برنامجي SPSS وAMOS عبر أسلوب نمذجة المعادلة البنائية القائمة على التغاير (CB-SEM).</w:t>
      </w:r>
    </w:p>
    <w:p w14:paraId="716DB36B" w14:textId="77777777" w:rsidR="00E457CD" w:rsidRPr="00BF65CE" w:rsidRDefault="00014347" w:rsidP="00484049">
      <w:pPr>
        <w:spacing w:after="160"/>
        <w:jc w:val="both"/>
        <w:rPr>
          <w:rFonts w:ascii="Simplified Arabic" w:hAnsi="Simplified Arabic" w:cs="Simplified Arabic"/>
        </w:rPr>
      </w:pPr>
      <w:r w:rsidRPr="00BF65CE">
        <w:rPr>
          <w:rFonts w:ascii="Simplified Arabic" w:hAnsi="Simplified Arabic" w:cs="Simplified Arabic"/>
          <w:rtl/>
        </w:rPr>
        <w:t>وأظهرت النتائج وجود أثر مباشر دالٍّ إحصائيًا للاستقطاب التنظيمي في التميز المؤسسي (</w:t>
      </w:r>
      <w:r w:rsidRPr="00BF65CE">
        <w:rPr>
          <w:rFonts w:ascii="Cambria" w:hAnsi="Cambria" w:cs="Cambria" w:hint="cs"/>
          <w:rtl/>
        </w:rPr>
        <w:t>β</w:t>
      </w:r>
      <w:r w:rsidRPr="00BF65CE">
        <w:rPr>
          <w:rFonts w:ascii="Simplified Arabic" w:hAnsi="Simplified Arabic" w:cs="Simplified Arabic"/>
          <w:rtl/>
        </w:rPr>
        <w:t xml:space="preserve"> = 0.427)، ولتطبيقات الذكاء الاصطناعي في التميز المؤسسي (</w:t>
      </w:r>
      <w:r w:rsidRPr="00BF65CE">
        <w:rPr>
          <w:rFonts w:ascii="Cambria" w:hAnsi="Cambria" w:cs="Cambria" w:hint="cs"/>
          <w:rtl/>
        </w:rPr>
        <w:t>β</w:t>
      </w:r>
      <w:r w:rsidRPr="00BF65CE">
        <w:rPr>
          <w:rFonts w:ascii="Simplified Arabic" w:hAnsi="Simplified Arabic" w:cs="Simplified Arabic"/>
          <w:rtl/>
        </w:rPr>
        <w:t xml:space="preserve"> = 0.545)، كما تبيّن وجود أثر قوي للاستقطاب التنظيمي في الإبداع المؤسسي (</w:t>
      </w:r>
      <w:r w:rsidRPr="00BF65CE">
        <w:rPr>
          <w:rFonts w:ascii="Cambria" w:hAnsi="Cambria" w:cs="Cambria" w:hint="cs"/>
          <w:rtl/>
        </w:rPr>
        <w:t>β</w:t>
      </w:r>
      <w:r w:rsidRPr="00BF65CE">
        <w:rPr>
          <w:rFonts w:ascii="Simplified Arabic" w:hAnsi="Simplified Arabic" w:cs="Simplified Arabic"/>
          <w:rtl/>
        </w:rPr>
        <w:t xml:space="preserve"> = 0.665). في المقابل، لم يكن أثر تطبيقات الذكاء الاصطناعي في الإبداع المؤسسي دالًّا، ولا أثر الإبداع المؤسسي في التميز المؤسسي، ومن ثَمَّ لم يثبت الدور الوسيط للإبداع المؤسسي في كلتا العلاقتين. وقد فسّر النموذج نحو (74.8%) من التباين في التميز المؤسسي.</w:t>
      </w:r>
    </w:p>
    <w:p w14:paraId="1888F926" w14:textId="77777777" w:rsidR="00E457CD" w:rsidRPr="00BF65CE" w:rsidRDefault="00014347" w:rsidP="00AA0E23">
      <w:pPr>
        <w:spacing w:after="160"/>
        <w:jc w:val="both"/>
        <w:rPr>
          <w:rFonts w:ascii="Simplified Arabic" w:hAnsi="Simplified Arabic" w:cs="Simplified Arabic"/>
        </w:rPr>
      </w:pPr>
      <w:r w:rsidRPr="00BF65CE">
        <w:rPr>
          <w:rFonts w:ascii="Simplified Arabic" w:hAnsi="Simplified Arabic" w:cs="Simplified Arabic"/>
          <w:rtl/>
        </w:rPr>
        <w:t>وتشير دلالة هذه النتائج إلى أهمية دمج سياسات الاستقطاب التنظيمي وتطبيقات الذكاء الاصطناعي مباشرةً في تخطيط الجودة والتحول الرقمي بالمستشفيات الخاصة، مع إدارة الإبداع المؤسسي بوصفه مخرجات تشغيلية قابلة للقياس لا شعارًا تنظيميًا. وقدّمت الدراسة خطة عمل تنفيذية للتوصيات الإجرائية إضافةً إلى مقترحات لبحوث مستقبلية تختبر متغيرات وسيطة ومعدِّلة بديلة.</w:t>
      </w:r>
    </w:p>
    <w:p w14:paraId="59CAE239"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b/>
          <w:bCs/>
          <w:rtl/>
        </w:rPr>
        <w:t>الكلمات المفتاحية: الاستقطاب التنظيمي، تطبيقات الذكاء الاصطناعي، الإبداع المؤسسي، التميز المؤسسي، القطاع الصحي الخاص، الرياض.</w:t>
      </w:r>
    </w:p>
    <w:p w14:paraId="5755801E"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0620EFD2" w14:textId="77777777" w:rsidR="00E457CD" w:rsidRPr="00BF65CE" w:rsidRDefault="00014347" w:rsidP="00DE7D61">
      <w:pPr>
        <w:pStyle w:val="2"/>
        <w:bidi w:val="0"/>
        <w:rPr>
          <w:rFonts w:asciiTheme="majorBidi" w:hAnsiTheme="majorBidi" w:cstheme="majorBidi"/>
          <w:color w:val="auto"/>
        </w:rPr>
      </w:pPr>
      <w:bookmarkStart w:id="4" w:name="_Toc235125778"/>
      <w:r w:rsidRPr="00BF65CE">
        <w:rPr>
          <w:rFonts w:asciiTheme="majorBidi" w:hAnsiTheme="majorBidi" w:cstheme="majorBidi"/>
          <w:color w:val="auto"/>
        </w:rPr>
        <w:lastRenderedPageBreak/>
        <w:t>Abstract</w:t>
      </w:r>
      <w:bookmarkEnd w:id="4"/>
    </w:p>
    <w:p w14:paraId="389CF480"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This study examined the role of creativity as a mediating variable in the effects of talent acquisition and Artificial Intelligence (AI) applications on organizational excellence in private-sector hospitals in Riyadh, Saudi Arabia. The importance of the study stems from the scarcity of research integrating these four variables within the private health sector, and from its aim to provide insights that support a creative work environment and the adoption of advanced technological solutions in line with Saudi Vision 2030.</w:t>
      </w:r>
    </w:p>
    <w:p w14:paraId="785CA897"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study adopted a quantitative descriptive-analytical approach. Its population comprised employees of five major private hospitals in Riyadh, totaling (9,607) employees, from which a proportional stratified random sample of (384) respondents was drawn. Data were collected using a validated 21-item questionnaire based on a five-point Likert scale, and analyzed using SPSS and AMOS through Covariance-Based Structural Equation Modeling (CB-SEM).</w:t>
      </w:r>
    </w:p>
    <w:p w14:paraId="15BC9DBF"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 results revealed a statistically significant direct effect of talent acquisition on organizational excellence (β = 0.427) and of AI applications on organizational excellence (β = 0.545). Talent acquisition also had a strong effect on organizational creativity (β = 0.665). Conversely, neither the effect of AI applications on creativity nor the effect of creativity on organizational excellence was significant; accordingly, the mediating role of creativity was not supported in either relationship. The model explained about 74.8% of the variance in organizational excellence.</w:t>
      </w:r>
    </w:p>
    <w:p w14:paraId="7FFC69A5"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rPr>
        <w:t>These findings indicate the importance of integrating talent acquisition policies and AI applications directly into quality and digital-transformation planning in private hospitals, while managing creativity as measurable operational outcomes rather than an organizational slogan. The study offered an executive action plan for the procedural recommendations, in addition to suggestions for future research examining alternative mediating and moderating variables.</w:t>
      </w:r>
    </w:p>
    <w:p w14:paraId="116DE72A" w14:textId="77777777" w:rsidR="00E457CD" w:rsidRPr="00BF65CE" w:rsidRDefault="00014347" w:rsidP="002071EC">
      <w:pPr>
        <w:bidi w:val="0"/>
        <w:spacing w:after="160"/>
        <w:jc w:val="both"/>
        <w:rPr>
          <w:rFonts w:asciiTheme="majorBidi" w:hAnsiTheme="majorBidi" w:cstheme="majorBidi"/>
        </w:rPr>
      </w:pPr>
      <w:r w:rsidRPr="00BF65CE">
        <w:rPr>
          <w:rFonts w:asciiTheme="majorBidi" w:eastAsia="Times New Roman" w:hAnsiTheme="majorBidi" w:cstheme="majorBidi"/>
          <w:b/>
          <w:bCs/>
        </w:rPr>
        <w:t>Keywords: Talent Acquisition, Artificial Intelligence Applications, Organizational Creativity, Organizational Excellence, Private Health Sector, Riyadh.</w:t>
      </w:r>
    </w:p>
    <w:p w14:paraId="4049F247" w14:textId="77777777" w:rsidR="00E457CD" w:rsidRPr="00BF65CE" w:rsidRDefault="00014347" w:rsidP="002071EC">
      <w:pPr>
        <w:jc w:val="both"/>
        <w:rPr>
          <w:rFonts w:asciiTheme="majorBidi" w:hAnsiTheme="majorBidi" w:cstheme="majorBidi"/>
        </w:rPr>
      </w:pPr>
      <w:r w:rsidRPr="00BF65CE">
        <w:rPr>
          <w:rFonts w:asciiTheme="majorBidi" w:hAnsiTheme="majorBidi" w:cstheme="majorBidi"/>
          <w:rtl/>
        </w:rPr>
        <w:br w:type="page"/>
      </w:r>
    </w:p>
    <w:p w14:paraId="6FE05439" w14:textId="77777777" w:rsidR="00E457CD" w:rsidRPr="00BF65CE" w:rsidRDefault="00014347" w:rsidP="00DE7D61">
      <w:pPr>
        <w:pStyle w:val="3"/>
        <w:rPr>
          <w:rFonts w:cs="Simplified Arabic"/>
          <w:color w:val="auto"/>
          <w:sz w:val="24"/>
        </w:rPr>
      </w:pPr>
      <w:bookmarkStart w:id="5" w:name="_Toc235125779"/>
      <w:r w:rsidRPr="00BF65CE">
        <w:rPr>
          <w:rFonts w:cs="Simplified Arabic"/>
          <w:color w:val="auto"/>
          <w:rtl/>
        </w:rPr>
        <w:lastRenderedPageBreak/>
        <w:t>قائمة المحتويات</w:t>
      </w:r>
      <w:bookmarkEnd w:id="5"/>
    </w:p>
    <w:sdt>
      <w:sdtPr>
        <w:rPr>
          <w:rFonts w:ascii="Simplified Arabic" w:eastAsia="Traditional Arabic" w:hAnsi="Simplified Arabic" w:cs="Simplified Arabic"/>
          <w:color w:val="auto"/>
          <w:sz w:val="24"/>
          <w:szCs w:val="24"/>
        </w:rPr>
        <w:id w:val="-976991999"/>
        <w:docPartObj>
          <w:docPartGallery w:val="Table of Contents"/>
          <w:docPartUnique/>
        </w:docPartObj>
      </w:sdtPr>
      <w:sdtEndPr>
        <w:rPr>
          <w:b/>
          <w:bCs/>
          <w:noProof/>
          <w:rtl/>
        </w:rPr>
      </w:sdtEndPr>
      <w:sdtContent>
        <w:p w14:paraId="0C0C0506" w14:textId="77777777" w:rsidR="00DE7D61" w:rsidRPr="00BF65CE" w:rsidRDefault="00DE7D61" w:rsidP="00DE7D61">
          <w:pPr>
            <w:pStyle w:val="a9"/>
            <w:rPr>
              <w:rFonts w:ascii="Simplified Arabic" w:hAnsi="Simplified Arabic" w:cs="Simplified Arabic"/>
              <w:color w:val="auto"/>
            </w:rPr>
          </w:pPr>
        </w:p>
        <w:p w14:paraId="19C39E78" w14:textId="350C0A99" w:rsidR="001D67A5" w:rsidRDefault="00DE7D61">
          <w:pPr>
            <w:pStyle w:val="20"/>
            <w:tabs>
              <w:tab w:val="right" w:leader="dot" w:pos="8777"/>
            </w:tabs>
            <w:rPr>
              <w:rFonts w:asciiTheme="minorHAnsi" w:eastAsiaTheme="minorEastAsia" w:hAnsiTheme="minorHAnsi" w:cstheme="minorBidi"/>
              <w:noProof/>
              <w:kern w:val="2"/>
              <w:rtl/>
              <w14:ligatures w14:val="standardContextual"/>
            </w:rPr>
          </w:pPr>
          <w:r w:rsidRPr="00BF65CE">
            <w:rPr>
              <w:rFonts w:ascii="Simplified Arabic" w:hAnsi="Simplified Arabic" w:cs="Simplified Arabic"/>
            </w:rPr>
            <w:fldChar w:fldCharType="begin"/>
          </w:r>
          <w:r w:rsidRPr="00BF65CE">
            <w:rPr>
              <w:rFonts w:ascii="Simplified Arabic" w:hAnsi="Simplified Arabic" w:cs="Simplified Arabic"/>
            </w:rPr>
            <w:instrText xml:space="preserve"> TOC \o "1-3" \h \z \u </w:instrText>
          </w:r>
          <w:r w:rsidRPr="00BF65CE">
            <w:rPr>
              <w:rFonts w:ascii="Simplified Arabic" w:hAnsi="Simplified Arabic" w:cs="Simplified Arabic"/>
            </w:rPr>
            <w:fldChar w:fldCharType="separate"/>
          </w:r>
          <w:hyperlink w:anchor="_Toc235125774" w:history="1">
            <w:r w:rsidR="001D67A5" w:rsidRPr="00AF1853">
              <w:rPr>
                <w:rStyle w:val="Hyperlink"/>
                <w:rFonts w:cs="Simplified Arabic"/>
                <w:noProof/>
                <w:rtl/>
              </w:rPr>
              <w:t>الآية القرآنية</w:t>
            </w:r>
            <w:r w:rsidR="001D67A5">
              <w:rPr>
                <w:noProof/>
                <w:webHidden/>
                <w:rtl/>
              </w:rPr>
              <w:tab/>
            </w:r>
            <w:r w:rsidR="001D67A5">
              <w:rPr>
                <w:rStyle w:val="Hyperlink"/>
                <w:noProof/>
                <w:rtl/>
              </w:rPr>
              <w:fldChar w:fldCharType="begin"/>
            </w:r>
            <w:r w:rsidR="001D67A5">
              <w:rPr>
                <w:noProof/>
                <w:webHidden/>
                <w:rtl/>
              </w:rPr>
              <w:instrText xml:space="preserve"> </w:instrText>
            </w:r>
            <w:r w:rsidR="001D67A5">
              <w:rPr>
                <w:noProof/>
                <w:webHidden/>
              </w:rPr>
              <w:instrText>PAGEREF</w:instrText>
            </w:r>
            <w:r w:rsidR="001D67A5">
              <w:rPr>
                <w:noProof/>
                <w:webHidden/>
                <w:rtl/>
              </w:rPr>
              <w:instrText xml:space="preserve"> _</w:instrText>
            </w:r>
            <w:r w:rsidR="001D67A5">
              <w:rPr>
                <w:noProof/>
                <w:webHidden/>
              </w:rPr>
              <w:instrText>Toc235125774 \h</w:instrText>
            </w:r>
            <w:r w:rsidR="001D67A5">
              <w:rPr>
                <w:noProof/>
                <w:webHidden/>
                <w:rtl/>
              </w:rPr>
              <w:instrText xml:space="preserve"> </w:instrText>
            </w:r>
            <w:r w:rsidR="001D67A5">
              <w:rPr>
                <w:rStyle w:val="Hyperlink"/>
                <w:noProof/>
                <w:rtl/>
              </w:rPr>
            </w:r>
            <w:r w:rsidR="001D67A5">
              <w:rPr>
                <w:rStyle w:val="Hyperlink"/>
                <w:noProof/>
                <w:rtl/>
              </w:rPr>
              <w:fldChar w:fldCharType="separate"/>
            </w:r>
            <w:r w:rsidR="001D67A5">
              <w:rPr>
                <w:rFonts w:hint="eastAsia"/>
                <w:noProof/>
                <w:webHidden/>
                <w:rtl/>
              </w:rPr>
              <w:t>‌أ</w:t>
            </w:r>
            <w:r w:rsidR="001D67A5">
              <w:rPr>
                <w:rStyle w:val="Hyperlink"/>
                <w:noProof/>
                <w:rtl/>
              </w:rPr>
              <w:fldChar w:fldCharType="end"/>
            </w:r>
          </w:hyperlink>
        </w:p>
        <w:p w14:paraId="00A32406" w14:textId="47621B8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75" w:history="1">
            <w:r w:rsidRPr="00AF1853">
              <w:rPr>
                <w:rStyle w:val="Hyperlink"/>
                <w:rFonts w:cs="Simplified Arabic"/>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Toc235125775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‌ب</w:t>
            </w:r>
            <w:r>
              <w:rPr>
                <w:rStyle w:val="Hyperlink"/>
                <w:noProof/>
                <w:rtl/>
              </w:rPr>
              <w:fldChar w:fldCharType="end"/>
            </w:r>
          </w:hyperlink>
        </w:p>
        <w:p w14:paraId="0DA99B6A" w14:textId="2E63BAE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76" w:history="1">
            <w:r w:rsidRPr="00AF1853">
              <w:rPr>
                <w:rStyle w:val="Hyperlink"/>
                <w:rFonts w:cs="Simplified Arabic"/>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Toc235125776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‌ج</w:t>
            </w:r>
            <w:r>
              <w:rPr>
                <w:rStyle w:val="Hyperlink"/>
                <w:noProof/>
                <w:rtl/>
              </w:rPr>
              <w:fldChar w:fldCharType="end"/>
            </w:r>
          </w:hyperlink>
        </w:p>
        <w:p w14:paraId="3EBBE732" w14:textId="0398C682"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77" w:history="1">
            <w:r w:rsidRPr="00AF1853">
              <w:rPr>
                <w:rStyle w:val="Hyperlink"/>
                <w:rFonts w:cs="Simplified Arabic"/>
                <w:noProof/>
                <w:rtl/>
              </w:rPr>
              <w:t>المستخلص</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Toc235125777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‌د</w:t>
            </w:r>
            <w:r>
              <w:rPr>
                <w:rStyle w:val="Hyperlink"/>
                <w:noProof/>
                <w:rtl/>
              </w:rPr>
              <w:fldChar w:fldCharType="end"/>
            </w:r>
          </w:hyperlink>
        </w:p>
        <w:p w14:paraId="49A140E8" w14:textId="1452311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78" w:history="1">
            <w:r w:rsidRPr="00AF1853">
              <w:rPr>
                <w:rStyle w:val="Hyperlink"/>
                <w:rFonts w:asciiTheme="majorBidi" w:hAnsiTheme="majorBidi" w:cstheme="majorBidi"/>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Toc235125778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‌ه</w:t>
            </w:r>
            <w:r>
              <w:rPr>
                <w:rStyle w:val="Hyperlink"/>
                <w:noProof/>
                <w:rtl/>
              </w:rPr>
              <w:fldChar w:fldCharType="end"/>
            </w:r>
          </w:hyperlink>
        </w:p>
        <w:p w14:paraId="4A43D2A8" w14:textId="2FC0D472"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79" w:history="1">
            <w:r w:rsidRPr="00AF1853">
              <w:rPr>
                <w:rStyle w:val="Hyperlink"/>
                <w:rFonts w:cs="Simplified Arabic"/>
                <w:noProof/>
                <w:rtl/>
              </w:rPr>
              <w:t>قائمة المحتويات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Toc235125779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‌و</w:t>
            </w:r>
            <w:r>
              <w:rPr>
                <w:rStyle w:val="Hyperlink"/>
                <w:noProof/>
                <w:rtl/>
              </w:rPr>
              <w:fldChar w:fldCharType="end"/>
            </w:r>
          </w:hyperlink>
        </w:p>
        <w:p w14:paraId="26F550B9" w14:textId="69F6BD57"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0" w:history="1">
            <w:r w:rsidRPr="00AF1853">
              <w:rPr>
                <w:rStyle w:val="Hyperlink"/>
                <w:rFonts w:cs="Simplified Arabic"/>
                <w:noProof/>
                <w:rtl/>
              </w:rPr>
              <w:t>قائمة الجداول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Toc235125780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‌ك</w:t>
            </w:r>
            <w:r>
              <w:rPr>
                <w:rStyle w:val="Hyperlink"/>
                <w:noProof/>
                <w:rtl/>
              </w:rPr>
              <w:fldChar w:fldCharType="end"/>
            </w:r>
          </w:hyperlink>
        </w:p>
        <w:p w14:paraId="2C268CF2" w14:textId="2CF326A3"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1" w:history="1">
            <w:r w:rsidRPr="00AF1853">
              <w:rPr>
                <w:rStyle w:val="Hyperlink"/>
                <w:rFonts w:cs="Simplified Arabic"/>
                <w:noProof/>
                <w:rtl/>
              </w:rPr>
              <w:t>قائمة الأشكال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Toc235125781 \h</w:instrText>
            </w:r>
            <w:r>
              <w:rPr>
                <w:noProof/>
                <w:webHidden/>
                <w:rtl/>
              </w:rPr>
              <w:instrText xml:space="preserve"> </w:instrText>
            </w:r>
            <w:r>
              <w:rPr>
                <w:rStyle w:val="Hyperlink"/>
                <w:noProof/>
                <w:rtl/>
              </w:rPr>
            </w:r>
            <w:r>
              <w:rPr>
                <w:rStyle w:val="Hyperlink"/>
                <w:noProof/>
                <w:rtl/>
              </w:rPr>
              <w:fldChar w:fldCharType="separate"/>
            </w:r>
            <w:r>
              <w:rPr>
                <w:rFonts w:hint="eastAsia"/>
                <w:noProof/>
                <w:webHidden/>
                <w:rtl/>
              </w:rPr>
              <w:t>‌ل</w:t>
            </w:r>
            <w:r>
              <w:rPr>
                <w:rStyle w:val="Hyperlink"/>
                <w:noProof/>
                <w:rtl/>
              </w:rPr>
              <w:fldChar w:fldCharType="end"/>
            </w:r>
          </w:hyperlink>
        </w:p>
        <w:p w14:paraId="5DF9DB2E" w14:textId="2465F670"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782" w:history="1">
            <w:r w:rsidRPr="00AF1853">
              <w:rPr>
                <w:rStyle w:val="Hyperlink"/>
                <w:rFonts w:cs="Simplified Arabic"/>
                <w:noProof/>
                <w:rtl/>
              </w:rPr>
              <w:t>الفصل الأول: الإطار 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Toc235125782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555A678D" w14:textId="3C6131F6"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3" w:history="1">
            <w:r w:rsidRPr="00AF1853">
              <w:rPr>
                <w:rStyle w:val="Hyperlink"/>
                <w:rFonts w:cs="Simplified Arabic"/>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Toc235125783 \h</w:instrText>
            </w:r>
            <w:r>
              <w:rPr>
                <w:noProof/>
                <w:webHidden/>
                <w:rtl/>
              </w:rPr>
              <w:instrText xml:space="preserve"> </w:instrText>
            </w:r>
            <w:r>
              <w:rPr>
                <w:rStyle w:val="Hyperlink"/>
                <w:noProof/>
                <w:rtl/>
              </w:rPr>
            </w:r>
            <w:r>
              <w:rPr>
                <w:rStyle w:val="Hyperlink"/>
                <w:noProof/>
                <w:rtl/>
              </w:rPr>
              <w:fldChar w:fldCharType="separate"/>
            </w:r>
            <w:r>
              <w:rPr>
                <w:noProof/>
                <w:webHidden/>
                <w:rtl/>
              </w:rPr>
              <w:t>1</w:t>
            </w:r>
            <w:r>
              <w:rPr>
                <w:rStyle w:val="Hyperlink"/>
                <w:noProof/>
                <w:rtl/>
              </w:rPr>
              <w:fldChar w:fldCharType="end"/>
            </w:r>
          </w:hyperlink>
        </w:p>
        <w:p w14:paraId="08435F06" w14:textId="155D7BD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4" w:history="1">
            <w:r w:rsidRPr="00AF1853">
              <w:rPr>
                <w:rStyle w:val="Hyperlink"/>
                <w:rFonts w:cs="Simplified Arabic"/>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Toc235125784 \h</w:instrText>
            </w:r>
            <w:r>
              <w:rPr>
                <w:noProof/>
                <w:webHidden/>
                <w:rtl/>
              </w:rPr>
              <w:instrText xml:space="preserve"> </w:instrText>
            </w:r>
            <w:r>
              <w:rPr>
                <w:rStyle w:val="Hyperlink"/>
                <w:noProof/>
                <w:rtl/>
              </w:rPr>
            </w:r>
            <w:r>
              <w:rPr>
                <w:rStyle w:val="Hyperlink"/>
                <w:noProof/>
                <w:rtl/>
              </w:rPr>
              <w:fldChar w:fldCharType="separate"/>
            </w:r>
            <w:r>
              <w:rPr>
                <w:noProof/>
                <w:webHidden/>
                <w:rtl/>
              </w:rPr>
              <w:t>2</w:t>
            </w:r>
            <w:r>
              <w:rPr>
                <w:rStyle w:val="Hyperlink"/>
                <w:noProof/>
                <w:rtl/>
              </w:rPr>
              <w:fldChar w:fldCharType="end"/>
            </w:r>
          </w:hyperlink>
        </w:p>
        <w:p w14:paraId="1BA111A5" w14:textId="3AB250E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5" w:history="1">
            <w:r w:rsidRPr="00AF1853">
              <w:rPr>
                <w:rStyle w:val="Hyperlink"/>
                <w:rFonts w:cs="Simplified Arabic"/>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Toc235125785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0D2E9DB8" w14:textId="1B1357A1"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6" w:history="1">
            <w:r w:rsidRPr="00AF1853">
              <w:rPr>
                <w:rStyle w:val="Hyperlink"/>
                <w:rFonts w:cs="Simplified Arabic"/>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Toc235125786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506546DA" w14:textId="6331B5AC"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87" w:history="1">
            <w:r w:rsidRPr="00AF1853">
              <w:rPr>
                <w:rStyle w:val="Hyperlink"/>
                <w:rFonts w:cs="Simplified Arabic"/>
                <w:noProof/>
                <w:rtl/>
              </w:rPr>
              <w:t>أولاً: الأهمية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Toc235125787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585BFD13" w14:textId="58F3007D"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88" w:history="1">
            <w:r w:rsidRPr="00AF1853">
              <w:rPr>
                <w:rStyle w:val="Hyperlink"/>
                <w:rFonts w:cs="Simplified Arabic"/>
                <w:noProof/>
                <w:rtl/>
              </w:rPr>
              <w:t>ثانياً: الأهمية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Toc235125788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C08A09C" w14:textId="64AEFBF4"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89" w:history="1">
            <w:r w:rsidRPr="00AF1853">
              <w:rPr>
                <w:rStyle w:val="Hyperlink"/>
                <w:rFonts w:cs="Simplified Arabic"/>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Toc235125789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5206714A" w14:textId="55B9FBB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90" w:history="1">
            <w:r w:rsidRPr="00AF1853">
              <w:rPr>
                <w:rStyle w:val="Hyperlink"/>
                <w:rFonts w:cs="Simplified Arabic"/>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5C34FDF2" w14:textId="07935B27"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91" w:history="1">
            <w:r w:rsidRPr="00AF1853">
              <w:rPr>
                <w:rStyle w:val="Hyperlink"/>
                <w:rFonts w:cs="Simplified Arabic"/>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Toc235125791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7FF137D" w14:textId="56061F5A"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92" w:history="1">
            <w:r w:rsidRPr="00AF1853">
              <w:rPr>
                <w:rStyle w:val="Hyperlink"/>
                <w:rFonts w:cs="Simplified Arabic"/>
                <w:noProof/>
                <w:rtl/>
              </w:rPr>
              <w:t>مفاهيم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Toc235125792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F9B95CE" w14:textId="0C4D7846"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93" w:history="1">
            <w:r w:rsidRPr="00AF1853">
              <w:rPr>
                <w:rStyle w:val="Hyperlink"/>
                <w:rFonts w:cs="Simplified Arabic"/>
                <w:noProof/>
                <w:rtl/>
              </w:rPr>
              <w:t>1- مفهوم الاستقطاب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Toc235125793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5ECEA8D2" w14:textId="470773DE"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94" w:history="1">
            <w:r w:rsidRPr="00AF1853">
              <w:rPr>
                <w:rStyle w:val="Hyperlink"/>
                <w:rFonts w:cs="Simplified Arabic"/>
                <w:noProof/>
                <w:rtl/>
              </w:rPr>
              <w:t>2- مفهوم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Toc235125794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392F67D7" w14:textId="62D5D7F2"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95" w:history="1">
            <w:r w:rsidRPr="00AF1853">
              <w:rPr>
                <w:rStyle w:val="Hyperlink"/>
                <w:rFonts w:cs="Simplified Arabic"/>
                <w:noProof/>
                <w:rtl/>
              </w:rPr>
              <w:t>3- مفهوم التميز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Toc235125795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6AAF7DFE" w14:textId="2BA7B67D"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796" w:history="1">
            <w:r w:rsidRPr="00AF1853">
              <w:rPr>
                <w:rStyle w:val="Hyperlink"/>
                <w:rFonts w:cs="Simplified Arabic"/>
                <w:noProof/>
                <w:rtl/>
              </w:rPr>
              <w:t>4- مفهوم الإبداع: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Toc235125796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69815FC6" w14:textId="07ADF071"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97" w:history="1">
            <w:r w:rsidRPr="00AF1853">
              <w:rPr>
                <w:rStyle w:val="Hyperlink"/>
                <w:rFonts w:cs="Simplified Arabic"/>
                <w:noProof/>
                <w:rtl/>
              </w:rPr>
              <w:t>خلاصة 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Toc235125797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23441B5A" w14:textId="5F197B0A"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798" w:history="1">
            <w:r w:rsidRPr="00AF1853">
              <w:rPr>
                <w:rStyle w:val="Hyperlink"/>
                <w:rFonts w:cs="Simplified Arabic"/>
                <w:noProof/>
                <w:rtl/>
              </w:rPr>
              <w:t>الفصل الثاني: الإطار النظري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Toc235125798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06DA1F2B" w14:textId="505BDBA1"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799" w:history="1">
            <w:r w:rsidRPr="00AF1853">
              <w:rPr>
                <w:rStyle w:val="Hyperlink"/>
                <w:rFonts w:cs="Simplified Arabic"/>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Toc235125799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78EA756E" w14:textId="4260EDF7"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00" w:history="1">
            <w:r w:rsidRPr="00AF1853">
              <w:rPr>
                <w:rStyle w:val="Hyperlink"/>
                <w:rFonts w:cs="Simplified Arabic"/>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Toc235125800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5A801BC" w14:textId="6104A906"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1" w:history="1">
            <w:r w:rsidRPr="00AF1853">
              <w:rPr>
                <w:rStyle w:val="Hyperlink"/>
                <w:rFonts w:cs="Simplified Arabic"/>
                <w:noProof/>
                <w:rtl/>
              </w:rPr>
              <w:t>الاستقطاب التنظيمي (المتغير المستقل1)</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Toc235125801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9575E0B" w14:textId="2F083655"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2" w:history="1">
            <w:r w:rsidRPr="00AF1853">
              <w:rPr>
                <w:rStyle w:val="Hyperlink"/>
                <w:rFonts w:cs="Simplified Arabic"/>
                <w:noProof/>
                <w:rtl/>
              </w:rPr>
              <w:t>تطبيقات الذكاء الاصطناعي (المتغير المستقل2)</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Toc235125802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17BF902F" w14:textId="06674FC3"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3" w:history="1">
            <w:r w:rsidRPr="00AF1853">
              <w:rPr>
                <w:rStyle w:val="Hyperlink"/>
                <w:rFonts w:cs="Simplified Arabic"/>
                <w:noProof/>
                <w:rtl/>
              </w:rPr>
              <w:t>الإبداع (المتغير الوسيط)</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Toc235125803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B0B19CA" w14:textId="6FD177D6"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4" w:history="1">
            <w:r w:rsidRPr="00AF1853">
              <w:rPr>
                <w:rStyle w:val="Hyperlink"/>
                <w:rFonts w:cs="Simplified Arabic"/>
                <w:noProof/>
                <w:rtl/>
              </w:rPr>
              <w:t>التميز المؤسسي (المتغير التابع)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Toc235125804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63E9357E" w14:textId="631A40A9"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05" w:history="1">
            <w:r w:rsidRPr="00AF1853">
              <w:rPr>
                <w:rStyle w:val="Hyperlink"/>
                <w:rFonts w:cs="Simplified Arabic"/>
                <w:noProof/>
                <w:rtl/>
              </w:rPr>
              <w:t>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Toc235125805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4B61E2F" w14:textId="171EDEB3"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06" w:history="1">
            <w:r w:rsidRPr="00AF1853">
              <w:rPr>
                <w:rStyle w:val="Hyperlink"/>
                <w:rFonts w:cs="Simplified Arabic"/>
                <w:noProof/>
                <w:rtl/>
              </w:rPr>
              <w:t>استخدام نظرية الموارد في تفسير 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Toc235125806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9B0AAC5" w14:textId="6B2E7AC4"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7" w:history="1">
            <w:r w:rsidRPr="00AF1853">
              <w:rPr>
                <w:rStyle w:val="Hyperlink"/>
                <w:rFonts w:cs="Simplified Arabic"/>
                <w:noProof/>
                <w:rtl/>
              </w:rPr>
              <w:t>تعريف نظرية الموارد : ( Resource – Based – View RBV)</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Toc235125807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9941C29" w14:textId="3D830E96"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8" w:history="1">
            <w:r w:rsidRPr="00AF1853">
              <w:rPr>
                <w:rStyle w:val="Hyperlink"/>
                <w:rFonts w:cs="Simplified Arabic"/>
                <w:noProof/>
                <w:rtl/>
              </w:rPr>
              <w:t>أنواع الموارد وفق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Toc235125808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2092D81" w14:textId="34E80D73"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09" w:history="1">
            <w:r w:rsidRPr="00AF1853">
              <w:rPr>
                <w:rStyle w:val="Hyperlink"/>
                <w:rFonts w:cs="Simplified Arabic"/>
                <w:noProof/>
                <w:rtl/>
              </w:rPr>
              <w:t>تطبيقات نظرية الموارد على متغيرات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Toc235125809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65239B2F" w14:textId="77973C20"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10" w:history="1">
            <w:r w:rsidRPr="00AF1853">
              <w:rPr>
                <w:rStyle w:val="Hyperlink"/>
                <w:rFonts w:cs="Simplified Arabic"/>
                <w:noProof/>
                <w:rtl/>
              </w:rPr>
              <w:t>التكامل بين نظرية الموارد ونموذج الدراسة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Toc235125810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2053484" w14:textId="62881786"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11" w:history="1">
            <w:r w:rsidRPr="00AF1853">
              <w:rPr>
                <w:rStyle w:val="Hyperlink"/>
                <w:rFonts w:cs="Simplified Arabic"/>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Toc235125811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CBC68A5" w14:textId="5B59A14B"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12" w:history="1">
            <w:r w:rsidRPr="00AF1853">
              <w:rPr>
                <w:rStyle w:val="Hyperlink"/>
                <w:rFonts w:cs="Simplified Arabic"/>
                <w:noProof/>
                <w:rtl/>
              </w:rPr>
              <w:t>أولاً: الدراسات المتعلقة بالاستقطاب التنظيمي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230760BA" w14:textId="0C6B0B2A"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13" w:history="1">
            <w:r w:rsidRPr="00AF1853">
              <w:rPr>
                <w:rStyle w:val="Hyperlink"/>
                <w:rFonts w:cs="Simplified Arabic"/>
                <w:noProof/>
                <w:rtl/>
              </w:rPr>
              <w:t>ثانيًا: الدراسات المتعلقة بتطبيقات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Toc235125813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6D1690CA" w14:textId="40A2D350"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14" w:history="1">
            <w:r w:rsidRPr="00AF1853">
              <w:rPr>
                <w:rStyle w:val="Hyperlink"/>
                <w:rFonts w:cs="Simplified Arabic"/>
                <w:noProof/>
                <w:rtl/>
              </w:rPr>
              <w:t>ثالثًا: الدراسات المتعلقة بالإبداع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Toc235125814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15BD91B1" w14:textId="03A3BA8F"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15" w:history="1">
            <w:r w:rsidRPr="00AF1853">
              <w:rPr>
                <w:rStyle w:val="Hyperlink"/>
                <w:rFonts w:cs="Simplified Arabic"/>
                <w:noProof/>
                <w:rtl/>
              </w:rPr>
              <w:t>رابعًا: الدراسات المتعلقة بالتميز المؤسسي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Toc235125815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48AF3F7" w14:textId="0BFCEF1B"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16" w:history="1">
            <w:r w:rsidRPr="00AF1853">
              <w:rPr>
                <w:rStyle w:val="Hyperlink"/>
                <w:rFonts w:cs="Simplified Arabic"/>
                <w:noProof/>
                <w:rtl/>
              </w:rPr>
              <w:t>نقاط الاتفاق بين الدراسة الحالية والدراسات المرجعية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Toc235125816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01BE1B35" w14:textId="6424659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17" w:history="1">
            <w:r w:rsidRPr="00AF1853">
              <w:rPr>
                <w:rStyle w:val="Hyperlink"/>
                <w:rFonts w:cs="Simplified Arabic"/>
                <w:noProof/>
                <w:rtl/>
              </w:rPr>
              <w:t>نقاط الاختلاف بين الدراسة الحالية والدراسات المرجعية: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752676E0" w14:textId="1DF924D5"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18" w:history="1">
            <w:r w:rsidRPr="00AF1853">
              <w:rPr>
                <w:rStyle w:val="Hyperlink"/>
                <w:rFonts w:cs="Simplified Arabic"/>
                <w:noProof/>
                <w:rtl/>
              </w:rPr>
              <w:t>خلاصة 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FAB592D" w14:textId="724C9C15"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19" w:history="1">
            <w:r w:rsidRPr="00AF1853">
              <w:rPr>
                <w:rStyle w:val="Hyperlink"/>
                <w:rFonts w:cs="Simplified Arabic"/>
                <w:noProof/>
                <w:rtl/>
              </w:rPr>
              <w:t>الفصل الثالث: منهجية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Toc235125819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4B88F009" w14:textId="07D1DF02"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0" w:history="1">
            <w:r w:rsidRPr="00AF1853">
              <w:rPr>
                <w:rStyle w:val="Hyperlink"/>
                <w:rFonts w:cs="Simplified Arabic"/>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F6D5732" w14:textId="52D425B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1" w:history="1">
            <w:r w:rsidRPr="00AF1853">
              <w:rPr>
                <w:rStyle w:val="Hyperlink"/>
                <w:rFonts w:cs="Simplified Arabic"/>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Toc235125821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0B6EF69" w14:textId="61B4D712"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2" w:history="1">
            <w:r w:rsidRPr="00AF1853">
              <w:rPr>
                <w:rStyle w:val="Hyperlink"/>
                <w:rFonts w:cs="Simplified Arabic"/>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050B453F" w14:textId="6606AEF2"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3" w:history="1">
            <w:r w:rsidRPr="00AF1853">
              <w:rPr>
                <w:rStyle w:val="Hyperlink"/>
                <w:rFonts w:cs="Simplified Arabic"/>
                <w:noProof/>
                <w:rtl/>
              </w:rPr>
              <w:t>عينة الدراسة وأسلوب اختيارها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C6C3AE9" w14:textId="23F24E8B"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4" w:history="1">
            <w:r w:rsidRPr="00AF1853">
              <w:rPr>
                <w:rStyle w:val="Hyperlink"/>
                <w:rFonts w:cs="Simplified Arabic"/>
                <w:noProof/>
                <w:rtl/>
              </w:rPr>
              <w:t>تحديد حجم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Toc235125824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F1CC463" w14:textId="4230893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5" w:history="1">
            <w:r w:rsidRPr="00AF1853">
              <w:rPr>
                <w:rStyle w:val="Hyperlink"/>
                <w:rFonts w:cs="Simplified Arabic"/>
                <w:noProof/>
                <w:rtl/>
              </w:rPr>
              <w:t>توزيع العينة على المستشفيات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0DA6F3F4" w14:textId="44982E97"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6" w:history="1">
            <w:r w:rsidRPr="00AF1853">
              <w:rPr>
                <w:rStyle w:val="Hyperlink"/>
                <w:rFonts w:cs="Simplified Arabic"/>
                <w:noProof/>
                <w:rtl/>
              </w:rPr>
              <w:t>توزيع العينة حسب الفئات الوظيفية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Toc235125826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58E99B99" w14:textId="4031CA03"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7" w:history="1">
            <w:r w:rsidRPr="00AF1853">
              <w:rPr>
                <w:rStyle w:val="Hyperlink"/>
                <w:rFonts w:cs="Simplified Arabic"/>
                <w:noProof/>
                <w:rtl/>
              </w:rPr>
              <w:t>خطوات جمع البيانات وأدواتها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Toc235125827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503331F" w14:textId="476433A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28" w:history="1">
            <w:r w:rsidRPr="00AF1853">
              <w:rPr>
                <w:rStyle w:val="Hyperlink"/>
                <w:rFonts w:cs="Simplified Arabic"/>
                <w:noProof/>
                <w:rtl/>
              </w:rPr>
              <w:t>ثبات الأداة وصدقها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Toc235125828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6CCED60" w14:textId="5B0BD3D0"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29" w:history="1">
            <w:r w:rsidRPr="00AF1853">
              <w:rPr>
                <w:rStyle w:val="Hyperlink"/>
                <w:rFonts w:cs="Simplified Arabic"/>
                <w:noProof/>
                <w:rtl/>
              </w:rPr>
              <w:t>صدق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Toc235125829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6EBB4FCB" w14:textId="2B208C77"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30" w:history="1">
            <w:r w:rsidRPr="00AF1853">
              <w:rPr>
                <w:rStyle w:val="Hyperlink"/>
                <w:rFonts w:cs="Simplified Arabic"/>
                <w:noProof/>
                <w:rtl/>
              </w:rPr>
              <w:t>ثبات 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Toc235125830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22F1095F" w14:textId="58C8DDDA"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1" w:history="1">
            <w:r w:rsidRPr="00AF1853">
              <w:rPr>
                <w:rStyle w:val="Hyperlink"/>
                <w:rFonts w:cs="Simplified Arabic"/>
                <w:noProof/>
                <w:rtl/>
              </w:rPr>
              <w:t>متغيرات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Toc235125831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14014746" w14:textId="20E0792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2" w:history="1">
            <w:r w:rsidRPr="00AF1853">
              <w:rPr>
                <w:rStyle w:val="Hyperlink"/>
                <w:rFonts w:cs="Simplified Arabic"/>
                <w:noProof/>
                <w:rtl/>
              </w:rPr>
              <w:t>إجراءات تنفيذ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Toc235125832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10180008" w14:textId="333515F1"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3" w:history="1">
            <w:r w:rsidRPr="00AF1853">
              <w:rPr>
                <w:rStyle w:val="Hyperlink"/>
                <w:rFonts w:cs="Simplified Arabic"/>
                <w:noProof/>
                <w:rtl/>
              </w:rPr>
              <w:t>أساليب التحليل الإحصائي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Toc235125833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03C5DDD8" w14:textId="5175FDB9"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4" w:history="1">
            <w:r w:rsidRPr="00AF1853">
              <w:rPr>
                <w:rStyle w:val="Hyperlink"/>
                <w:rFonts w:cs="Simplified Arabic"/>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Toc235125834 \h</w:instrText>
            </w:r>
            <w:r>
              <w:rPr>
                <w:noProof/>
                <w:webHidden/>
                <w:rtl/>
              </w:rPr>
              <w:instrText xml:space="preserve">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14:paraId="58DC5E04" w14:textId="53B1628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5" w:history="1">
            <w:r w:rsidRPr="00AF1853">
              <w:rPr>
                <w:rStyle w:val="Hyperlink"/>
                <w:rFonts w:cs="Simplified Arabic"/>
                <w:noProof/>
                <w:rtl/>
              </w:rPr>
              <w:t>خلاصة 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Toc235125835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190FA249" w14:textId="2D263399"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36" w:history="1">
            <w:r w:rsidRPr="00AF1853">
              <w:rPr>
                <w:rStyle w:val="Hyperlink"/>
                <w:rFonts w:cs="Simplified Arabic"/>
                <w:noProof/>
                <w:rtl/>
              </w:rPr>
              <w:t>الفصل الرابع: التحليل الإحصائي واختبار الفروض</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Toc235125836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7D19467" w14:textId="7651C4A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7" w:history="1">
            <w:r w:rsidRPr="00AF1853">
              <w:rPr>
                <w:rStyle w:val="Hyperlink"/>
                <w:rFonts w:cs="Simplified Arabic"/>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Toc235125837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E36EAA5" w14:textId="4ADE3C01"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8" w:history="1">
            <w:r w:rsidRPr="00AF1853">
              <w:rPr>
                <w:rStyle w:val="Hyperlink"/>
                <w:rFonts w:cs="Simplified Arabic"/>
                <w:noProof/>
                <w:rtl/>
              </w:rPr>
              <w:t>منهجية التحليل الإحصائي ووصف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Toc235125838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6BD46A65" w14:textId="7D5FC3FF"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39" w:history="1">
            <w:r w:rsidRPr="00AF1853">
              <w:rPr>
                <w:rStyle w:val="Hyperlink"/>
                <w:rFonts w:cs="Simplified Arabic"/>
                <w:noProof/>
                <w:rtl/>
              </w:rPr>
              <w:t>تقييم جودة مطابقة النموذج البنائي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Toc235125839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4F029635" w14:textId="366BA8DB"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0" w:history="1">
            <w:r w:rsidRPr="00AF1853">
              <w:rPr>
                <w:rStyle w:val="Hyperlink"/>
                <w:rFonts w:cs="Simplified Arabic"/>
                <w:noProof/>
                <w:rtl/>
              </w:rPr>
              <w:t>النموذج البنائي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Toc235125840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3149504A" w14:textId="4FDABF45"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1" w:history="1">
            <w:r w:rsidRPr="00AF1853">
              <w:rPr>
                <w:rStyle w:val="Hyperlink"/>
                <w:rFonts w:cs="Simplified Arabic"/>
                <w:noProof/>
                <w:rtl/>
              </w:rPr>
              <w:t>نتائج نموذج القياس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Toc235125841 \h</w:instrText>
            </w:r>
            <w:r>
              <w:rPr>
                <w:noProof/>
                <w:webHidden/>
                <w:rtl/>
              </w:rPr>
              <w:instrText xml:space="preserve"> </w:instrText>
            </w:r>
            <w:r>
              <w:rPr>
                <w:rStyle w:val="Hyperlink"/>
                <w:noProof/>
                <w:rtl/>
              </w:rPr>
            </w:r>
            <w:r>
              <w:rPr>
                <w:rStyle w:val="Hyperlink"/>
                <w:noProof/>
                <w:rtl/>
              </w:rPr>
              <w:fldChar w:fldCharType="separate"/>
            </w:r>
            <w:r>
              <w:rPr>
                <w:noProof/>
                <w:webHidden/>
                <w:rtl/>
              </w:rPr>
              <w:t>45</w:t>
            </w:r>
            <w:r>
              <w:rPr>
                <w:rStyle w:val="Hyperlink"/>
                <w:noProof/>
                <w:rtl/>
              </w:rPr>
              <w:fldChar w:fldCharType="end"/>
            </w:r>
          </w:hyperlink>
        </w:p>
        <w:p w14:paraId="6499E2F9" w14:textId="16316073"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2" w:history="1">
            <w:r w:rsidRPr="00AF1853">
              <w:rPr>
                <w:rStyle w:val="Hyperlink"/>
                <w:rFonts w:cs="Simplified Arabic"/>
                <w:noProof/>
                <w:rtl/>
              </w:rPr>
              <w:t>نتائج النموذج البنائي واختبار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Toc235125842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7EA55E38" w14:textId="6670E9A8"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43" w:history="1">
            <w:r w:rsidRPr="00AF1853">
              <w:rPr>
                <w:rStyle w:val="Hyperlink"/>
                <w:rFonts w:cs="Simplified Arabic"/>
                <w:noProof/>
                <w:rtl/>
              </w:rPr>
              <w:t>اختبار الفرضيات المباشرة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Toc235125843 \h</w:instrText>
            </w:r>
            <w:r>
              <w:rPr>
                <w:noProof/>
                <w:webHidden/>
                <w:rtl/>
              </w:rPr>
              <w:instrText xml:space="preserve"> </w:instrText>
            </w:r>
            <w:r>
              <w:rPr>
                <w:rStyle w:val="Hyperlink"/>
                <w:noProof/>
                <w:rtl/>
              </w:rPr>
            </w:r>
            <w:r>
              <w:rPr>
                <w:rStyle w:val="Hyperlink"/>
                <w:noProof/>
                <w:rtl/>
              </w:rPr>
              <w:fldChar w:fldCharType="separate"/>
            </w:r>
            <w:r>
              <w:rPr>
                <w:noProof/>
                <w:webHidden/>
                <w:rtl/>
              </w:rPr>
              <w:t>47</w:t>
            </w:r>
            <w:r>
              <w:rPr>
                <w:rStyle w:val="Hyperlink"/>
                <w:noProof/>
                <w:rtl/>
              </w:rPr>
              <w:fldChar w:fldCharType="end"/>
            </w:r>
          </w:hyperlink>
        </w:p>
        <w:p w14:paraId="291C7C89" w14:textId="3F35142F" w:rsidR="001D67A5" w:rsidRDefault="001D67A5">
          <w:pPr>
            <w:pStyle w:val="30"/>
            <w:tabs>
              <w:tab w:val="right" w:leader="dot" w:pos="8777"/>
            </w:tabs>
            <w:rPr>
              <w:rFonts w:asciiTheme="minorHAnsi" w:eastAsiaTheme="minorEastAsia" w:hAnsiTheme="minorHAnsi" w:cstheme="minorBidi"/>
              <w:noProof/>
              <w:kern w:val="2"/>
              <w:sz w:val="24"/>
              <w:szCs w:val="24"/>
              <w:rtl/>
              <w14:ligatures w14:val="standardContextual"/>
            </w:rPr>
          </w:pPr>
          <w:hyperlink w:anchor="_Toc235125844" w:history="1">
            <w:r w:rsidRPr="00AF1853">
              <w:rPr>
                <w:rStyle w:val="Hyperlink"/>
                <w:rFonts w:cs="Simplified Arabic"/>
                <w:noProof/>
                <w:rtl/>
              </w:rPr>
              <w:t>اختبار الأثر الوسيط (الفرضيات غير المباشرة)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Toc235125844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44E266B7" w14:textId="204DFAB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5" w:history="1">
            <w:r w:rsidRPr="00AF1853">
              <w:rPr>
                <w:rStyle w:val="Hyperlink"/>
                <w:rFonts w:cs="Simplified Arabic"/>
                <w:noProof/>
                <w:rtl/>
              </w:rPr>
              <w:t>ملخص نتائج اختبار 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Toc235125845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3C8B573E" w14:textId="69AFFF06"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6" w:history="1">
            <w:r w:rsidRPr="00AF1853">
              <w:rPr>
                <w:rStyle w:val="Hyperlink"/>
                <w:rFonts w:cs="Simplified Arabic"/>
                <w:noProof/>
                <w:rtl/>
              </w:rPr>
              <w:t>مناقشة النتائج وتفسيرها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Toc235125846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489EBA6B" w14:textId="2AD5453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7" w:history="1">
            <w:r w:rsidRPr="00AF1853">
              <w:rPr>
                <w:rStyle w:val="Hyperlink"/>
                <w:rFonts w:cs="Simplified Arabic"/>
                <w:noProof/>
                <w:rtl/>
              </w:rPr>
              <w:t>خلاصة 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Toc235125847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C626CFF" w14:textId="46DFFC23"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48" w:history="1">
            <w:r w:rsidRPr="00AF1853">
              <w:rPr>
                <w:rStyle w:val="Hyperlink"/>
                <w:rFonts w:cs="Simplified Arabic"/>
                <w:noProof/>
                <w:rtl/>
              </w:rPr>
              <w:t>الفصل الخامس: نتائج وتوصيات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Toc235125848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36FC291C" w14:textId="269833FC"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49" w:history="1">
            <w:r w:rsidRPr="00AF1853">
              <w:rPr>
                <w:rStyle w:val="Hyperlink"/>
                <w:rFonts w:cs="Simplified Arabic"/>
                <w:noProof/>
                <w:rtl/>
              </w:rPr>
              <w:t>تمهيد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Toc235125849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02C1F30A" w14:textId="358117D5"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0" w:history="1">
            <w:r w:rsidRPr="00AF1853">
              <w:rPr>
                <w:rStyle w:val="Hyperlink"/>
                <w:rFonts w:cs="Simplified Arabic"/>
                <w:noProof/>
                <w:rtl/>
              </w:rPr>
              <w:t>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Toc235125850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65956E45" w14:textId="1582FD55"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1" w:history="1">
            <w:r w:rsidRPr="00AF1853">
              <w:rPr>
                <w:rStyle w:val="Hyperlink"/>
                <w:rFonts w:cs="Simplified Arabic"/>
                <w:noProof/>
                <w:rtl/>
              </w:rPr>
              <w:t>منطلقات بناء 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Toc235125851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30B42A48" w14:textId="194E5F0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2" w:history="1">
            <w:r w:rsidRPr="00AF1853">
              <w:rPr>
                <w:rStyle w:val="Hyperlink"/>
                <w:rFonts w:cs="Simplified Arabic"/>
                <w:noProof/>
                <w:rtl/>
              </w:rPr>
              <w:t>توصيات إجرائية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Toc235125852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0AC6D524" w14:textId="408F754A"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3" w:history="1">
            <w:r w:rsidRPr="00AF1853">
              <w:rPr>
                <w:rStyle w:val="Hyperlink"/>
                <w:rFonts w:cs="Simplified Arabic"/>
                <w:noProof/>
                <w:rtl/>
              </w:rPr>
              <w:t>مقترحات لبحوث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Toc235125853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08EB7669" w14:textId="6772C160"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4" w:history="1">
            <w:r w:rsidRPr="00AF1853">
              <w:rPr>
                <w:rStyle w:val="Hyperlink"/>
                <w:rFonts w:cs="Simplified Arabic"/>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Toc235125854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C2A53B0" w14:textId="71407F7E"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5" w:history="1">
            <w:r w:rsidRPr="00AF1853">
              <w:rPr>
                <w:rStyle w:val="Hyperlink"/>
                <w:rFonts w:cs="Simplified Arabic"/>
                <w:noProof/>
                <w:rtl/>
              </w:rPr>
              <w:t>خلاصة الفصل الخامس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Toc235125855 \h</w:instrText>
            </w:r>
            <w:r>
              <w:rPr>
                <w:noProof/>
                <w:webHidden/>
                <w:rtl/>
              </w:rPr>
              <w:instrText xml:space="preserve"> </w:instrText>
            </w:r>
            <w:r>
              <w:rPr>
                <w:rStyle w:val="Hyperlink"/>
                <w:noProof/>
                <w:rtl/>
              </w:rPr>
            </w:r>
            <w:r>
              <w:rPr>
                <w:rStyle w:val="Hyperlink"/>
                <w:noProof/>
                <w:rtl/>
              </w:rPr>
              <w:fldChar w:fldCharType="separate"/>
            </w:r>
            <w:r>
              <w:rPr>
                <w:noProof/>
                <w:webHidden/>
                <w:rtl/>
              </w:rPr>
              <w:t>58</w:t>
            </w:r>
            <w:r>
              <w:rPr>
                <w:rStyle w:val="Hyperlink"/>
                <w:noProof/>
                <w:rtl/>
              </w:rPr>
              <w:fldChar w:fldCharType="end"/>
            </w:r>
          </w:hyperlink>
        </w:p>
        <w:p w14:paraId="0ED973F6" w14:textId="799F9311"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56" w:history="1">
            <w:r w:rsidRPr="00AF1853">
              <w:rPr>
                <w:rStyle w:val="Hyperlink"/>
                <w:rFonts w:cs="Simplified Arabic"/>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Toc235125856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474262DB" w14:textId="388E8B1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7" w:history="1">
            <w:r w:rsidRPr="00AF1853">
              <w:rPr>
                <w:rStyle w:val="Hyperlink"/>
                <w:rFonts w:cs="Simplified Arabic"/>
                <w:noProof/>
                <w:rtl/>
              </w:rPr>
              <w:t>أولًا: 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Toc235125857 \h</w:instrText>
            </w:r>
            <w:r>
              <w:rPr>
                <w:noProof/>
                <w:webHidden/>
                <w:rtl/>
              </w:rPr>
              <w:instrText xml:space="preserve"> </w:instrText>
            </w:r>
            <w:r>
              <w:rPr>
                <w:rStyle w:val="Hyperlink"/>
                <w:noProof/>
                <w:rtl/>
              </w:rPr>
            </w:r>
            <w:r>
              <w:rPr>
                <w:rStyle w:val="Hyperlink"/>
                <w:noProof/>
                <w:rtl/>
              </w:rPr>
              <w:fldChar w:fldCharType="separate"/>
            </w:r>
            <w:r>
              <w:rPr>
                <w:noProof/>
                <w:webHidden/>
                <w:rtl/>
              </w:rPr>
              <w:t>59</w:t>
            </w:r>
            <w:r>
              <w:rPr>
                <w:rStyle w:val="Hyperlink"/>
                <w:noProof/>
                <w:rtl/>
              </w:rPr>
              <w:fldChar w:fldCharType="end"/>
            </w:r>
          </w:hyperlink>
        </w:p>
        <w:p w14:paraId="58D75821" w14:textId="385E65F8"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58" w:history="1">
            <w:r w:rsidRPr="00AF1853">
              <w:rPr>
                <w:rStyle w:val="Hyperlink"/>
                <w:rFonts w:cs="Simplified Arabic"/>
                <w:noProof/>
                <w:rtl/>
              </w:rPr>
              <w:t>ثانيًا: 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Toc235125858 \h</w:instrText>
            </w:r>
            <w:r>
              <w:rPr>
                <w:noProof/>
                <w:webHidden/>
                <w:rtl/>
              </w:rPr>
              <w:instrText xml:space="preserve"> </w:instrText>
            </w:r>
            <w:r>
              <w:rPr>
                <w:rStyle w:val="Hyperlink"/>
                <w:noProof/>
                <w:rtl/>
              </w:rPr>
            </w:r>
            <w:r>
              <w:rPr>
                <w:rStyle w:val="Hyperlink"/>
                <w:noProof/>
                <w:rtl/>
              </w:rPr>
              <w:fldChar w:fldCharType="separate"/>
            </w:r>
            <w:r>
              <w:rPr>
                <w:noProof/>
                <w:webHidden/>
                <w:rtl/>
              </w:rPr>
              <w:t>62</w:t>
            </w:r>
            <w:r>
              <w:rPr>
                <w:rStyle w:val="Hyperlink"/>
                <w:noProof/>
                <w:rtl/>
              </w:rPr>
              <w:fldChar w:fldCharType="end"/>
            </w:r>
          </w:hyperlink>
        </w:p>
        <w:p w14:paraId="585CCB65" w14:textId="36BB43A7"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59" w:history="1">
            <w:r w:rsidRPr="00AF1853">
              <w:rPr>
                <w:rStyle w:val="Hyperlink"/>
                <w:rFonts w:cs="Simplified Arabic"/>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Toc235125859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7AF3C09F" w14:textId="4B7960BB" w:rsidR="001D67A5" w:rsidRDefault="001D67A5">
          <w:pPr>
            <w:pStyle w:val="20"/>
            <w:tabs>
              <w:tab w:val="right" w:leader="dot" w:pos="8777"/>
            </w:tabs>
            <w:rPr>
              <w:rFonts w:asciiTheme="minorHAnsi" w:eastAsiaTheme="minorEastAsia" w:hAnsiTheme="minorHAnsi" w:cstheme="minorBidi"/>
              <w:noProof/>
              <w:kern w:val="2"/>
              <w:rtl/>
              <w14:ligatures w14:val="standardContextual"/>
            </w:rPr>
          </w:pPr>
          <w:hyperlink w:anchor="_Toc235125860" w:history="1">
            <w:r w:rsidRPr="00AF1853">
              <w:rPr>
                <w:rStyle w:val="Hyperlink"/>
                <w:rFonts w:cs="Simplified Arabic"/>
                <w:noProof/>
                <w:rtl/>
              </w:rPr>
              <w:t>ملحق (1): استبانة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Toc235125860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74319948" w14:textId="0610BA36" w:rsidR="001D67A5" w:rsidRDefault="001D67A5">
          <w:pPr>
            <w:pStyle w:val="11"/>
            <w:tabs>
              <w:tab w:val="right" w:leader="dot" w:pos="8777"/>
            </w:tabs>
            <w:rPr>
              <w:rFonts w:asciiTheme="minorHAnsi" w:eastAsiaTheme="minorEastAsia" w:hAnsiTheme="minorHAnsi" w:cstheme="minorBidi"/>
              <w:b w:val="0"/>
              <w:bCs w:val="0"/>
              <w:noProof/>
              <w:kern w:val="2"/>
              <w:rtl/>
              <w14:ligatures w14:val="standardContextual"/>
            </w:rPr>
          </w:pPr>
          <w:hyperlink w:anchor="_Toc235125861" w:history="1">
            <w:r w:rsidRPr="00AF1853">
              <w:rPr>
                <w:rStyle w:val="Hyperlink"/>
                <w:rFonts w:asciiTheme="minorBidi" w:eastAsia="Times New Roman" w:hAnsiTheme="minorBidi"/>
                <w:noProof/>
                <w:rtl/>
              </w:rPr>
              <w:t>استبانة 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Toc235125861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AE4D5DF" w14:textId="2DD25339" w:rsidR="00DE7D61" w:rsidRPr="00BF65CE" w:rsidRDefault="00DE7D61" w:rsidP="001D67A5">
          <w:pPr>
            <w:spacing w:line="240" w:lineRule="auto"/>
            <w:rPr>
              <w:rFonts w:ascii="Simplified Arabic" w:hAnsi="Simplified Arabic" w:cs="Simplified Arabic"/>
            </w:rPr>
          </w:pPr>
          <w:r w:rsidRPr="00BF65CE">
            <w:rPr>
              <w:rFonts w:ascii="Simplified Arabic" w:hAnsi="Simplified Arabic" w:cs="Simplified Arabic"/>
              <w:b/>
              <w:bCs/>
              <w:noProof/>
            </w:rPr>
            <w:fldChar w:fldCharType="end"/>
          </w:r>
        </w:p>
      </w:sdtContent>
    </w:sdt>
    <w:p w14:paraId="27ED86FB" w14:textId="77777777" w:rsidR="00E457CD" w:rsidRPr="00BF65CE" w:rsidRDefault="00E457CD" w:rsidP="002071EC">
      <w:pPr>
        <w:jc w:val="both"/>
        <w:rPr>
          <w:rFonts w:ascii="Simplified Arabic" w:hAnsi="Simplified Arabic" w:cs="Simplified Arabic"/>
        </w:rPr>
      </w:pPr>
    </w:p>
    <w:p w14:paraId="5E602326"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29314C16" w14:textId="77777777" w:rsidR="00E457CD" w:rsidRPr="00BF65CE" w:rsidRDefault="00014347" w:rsidP="00DE7D61">
      <w:pPr>
        <w:pStyle w:val="2"/>
        <w:rPr>
          <w:rFonts w:cs="Simplified Arabic"/>
          <w:color w:val="auto"/>
          <w:sz w:val="24"/>
        </w:rPr>
      </w:pPr>
      <w:bookmarkStart w:id="6" w:name="_Toc235125780"/>
      <w:r w:rsidRPr="00BF65CE">
        <w:rPr>
          <w:rFonts w:cs="Simplified Arabic"/>
          <w:color w:val="auto"/>
          <w:rtl/>
        </w:rPr>
        <w:lastRenderedPageBreak/>
        <w:t>قائمة الجداول</w:t>
      </w:r>
      <w:bookmarkEnd w:id="6"/>
    </w:p>
    <w:tbl>
      <w:tblPr>
        <w:tblStyle w:val="12"/>
        <w:bidiVisual/>
        <w:tblW w:w="5000" w:type="pct"/>
        <w:tblLook w:val="0720" w:firstRow="1" w:lastRow="0" w:firstColumn="0" w:lastColumn="1" w:noHBand="1" w:noVBand="1"/>
      </w:tblPr>
      <w:tblGrid>
        <w:gridCol w:w="7153"/>
        <w:gridCol w:w="1624"/>
      </w:tblGrid>
      <w:tr w:rsidR="002E268B" w:rsidRPr="00BF65CE" w14:paraId="69C2EA5E" w14:textId="77777777" w:rsidTr="00786407">
        <w:trPr>
          <w:cnfStyle w:val="100000000000" w:firstRow="1" w:lastRow="0" w:firstColumn="0" w:lastColumn="0" w:oddVBand="0" w:evenVBand="0" w:oddHBand="0" w:evenHBand="0" w:firstRowFirstColumn="0" w:firstRowLastColumn="0" w:lastRowFirstColumn="0" w:lastRowLastColumn="0"/>
        </w:trPr>
        <w:tc>
          <w:tcPr>
            <w:tcW w:w="4075" w:type="pct"/>
            <w:vAlign w:val="center"/>
          </w:tcPr>
          <w:p w14:paraId="6340B551" w14:textId="77777777"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الجدول</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478CFA6" w14:textId="77777777" w:rsidR="002E268B" w:rsidRPr="00BF65CE" w:rsidRDefault="001700C5" w:rsidP="00786407">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453EC1" w:rsidRPr="00BF65CE" w14:paraId="67B82DD1" w14:textId="77777777" w:rsidTr="00786407">
        <w:tc>
          <w:tcPr>
            <w:tcW w:w="4075" w:type="pct"/>
            <w:vAlign w:val="center"/>
          </w:tcPr>
          <w:p w14:paraId="75A61AE5" w14:textId="77777777" w:rsidR="00453EC1" w:rsidRPr="00BF65CE" w:rsidRDefault="00786407" w:rsidP="00786407">
            <w:pPr>
              <w:rPr>
                <w:rFonts w:ascii="Simplified Arabic" w:hAnsi="Simplified Arabic" w:cs="Simplified Arabic"/>
                <w:rtl/>
              </w:rPr>
            </w:pPr>
            <w:r w:rsidRPr="00BF65CE">
              <w:rPr>
                <w:rFonts w:ascii="Simplified Arabic" w:hAnsi="Simplified Arabic" w:cs="Simplified Arabic"/>
                <w:rtl/>
              </w:rPr>
              <w:t>جدول (2-1): ملخص الدراسات المتعلقة بالاستقطاب التنظيمي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062C1F9" w14:textId="77777777" w:rsidR="00453EC1" w:rsidRPr="00BF65CE" w:rsidRDefault="0040664C" w:rsidP="00786407">
            <w:pPr>
              <w:jc w:val="center"/>
              <w:rPr>
                <w:rFonts w:ascii="Simplified Arabic" w:hAnsi="Simplified Arabic" w:cs="Simplified Arabic"/>
                <w:rtl/>
              </w:rPr>
            </w:pPr>
            <w:r>
              <w:rPr>
                <w:rFonts w:ascii="Simplified Arabic" w:hAnsi="Simplified Arabic" w:cs="Simplified Arabic"/>
                <w:rtl/>
              </w:rPr>
              <w:t>17</w:t>
            </w:r>
          </w:p>
        </w:tc>
      </w:tr>
      <w:tr w:rsidR="00453EC1" w:rsidRPr="00BF65CE" w14:paraId="48EB6250" w14:textId="77777777" w:rsidTr="00786407">
        <w:tc>
          <w:tcPr>
            <w:tcW w:w="4075" w:type="pct"/>
            <w:vAlign w:val="center"/>
          </w:tcPr>
          <w:p w14:paraId="1FC2AC41" w14:textId="77777777" w:rsidR="00453EC1" w:rsidRPr="00BF65CE" w:rsidRDefault="00BE3A8A" w:rsidP="00786407">
            <w:pPr>
              <w:rPr>
                <w:rFonts w:ascii="Simplified Arabic" w:hAnsi="Simplified Arabic" w:cs="Simplified Arabic"/>
                <w:rtl/>
              </w:rPr>
            </w:pPr>
            <w:r w:rsidRPr="00BF65CE">
              <w:rPr>
                <w:rFonts w:ascii="Simplified Arabic" w:hAnsi="Simplified Arabic" w:cs="Simplified Arabic"/>
                <w:rtl/>
              </w:rPr>
              <w:t>جدول (2-2): ملخص الدراسات المتعلقة بتطبيقات الذكاء الاصطناعي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A570F1C" w14:textId="77777777" w:rsidR="00453EC1" w:rsidRPr="00BF65CE" w:rsidRDefault="00721B85" w:rsidP="00786407">
            <w:pPr>
              <w:jc w:val="center"/>
              <w:rPr>
                <w:rFonts w:ascii="Simplified Arabic" w:hAnsi="Simplified Arabic" w:cs="Simplified Arabic"/>
                <w:rtl/>
              </w:rPr>
            </w:pPr>
            <w:r>
              <w:rPr>
                <w:rFonts w:ascii="Simplified Arabic" w:hAnsi="Simplified Arabic" w:cs="Simplified Arabic"/>
                <w:rtl/>
              </w:rPr>
              <w:t>19</w:t>
            </w:r>
          </w:p>
        </w:tc>
      </w:tr>
      <w:tr w:rsidR="00453EC1" w:rsidRPr="00BF65CE" w14:paraId="224E1100" w14:textId="77777777" w:rsidTr="00786407">
        <w:tc>
          <w:tcPr>
            <w:tcW w:w="4075" w:type="pct"/>
            <w:vAlign w:val="center"/>
          </w:tcPr>
          <w:p w14:paraId="0927794C" w14:textId="77777777" w:rsidR="00453EC1" w:rsidRPr="00BF65CE" w:rsidRDefault="009E547A" w:rsidP="00786407">
            <w:pPr>
              <w:rPr>
                <w:rFonts w:ascii="Simplified Arabic" w:hAnsi="Simplified Arabic" w:cs="Simplified Arabic"/>
                <w:rtl/>
              </w:rPr>
            </w:pPr>
            <w:r w:rsidRPr="00BF65CE">
              <w:rPr>
                <w:rFonts w:ascii="Simplified Arabic" w:hAnsi="Simplified Arabic" w:cs="Simplified Arabic"/>
                <w:rtl/>
              </w:rPr>
              <w:t>جدول (2-3): ملخص الدراسات المتعلقة بالإبداع</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A65111B" w14:textId="77777777" w:rsidR="00453EC1" w:rsidRPr="00BF65CE" w:rsidRDefault="00906149" w:rsidP="00786407">
            <w:pPr>
              <w:jc w:val="center"/>
              <w:rPr>
                <w:rFonts w:ascii="Simplified Arabic" w:hAnsi="Simplified Arabic" w:cs="Simplified Arabic"/>
                <w:rtl/>
              </w:rPr>
            </w:pPr>
            <w:r>
              <w:rPr>
                <w:rFonts w:ascii="Simplified Arabic" w:hAnsi="Simplified Arabic" w:cs="Simplified Arabic"/>
                <w:rtl/>
              </w:rPr>
              <w:t>22</w:t>
            </w:r>
          </w:p>
        </w:tc>
      </w:tr>
      <w:tr w:rsidR="00453EC1" w:rsidRPr="00BF65CE" w14:paraId="5E886461" w14:textId="77777777" w:rsidTr="00786407">
        <w:tc>
          <w:tcPr>
            <w:tcW w:w="4075" w:type="pct"/>
            <w:vAlign w:val="center"/>
          </w:tcPr>
          <w:p w14:paraId="27EEFED3" w14:textId="77777777" w:rsidR="00453EC1" w:rsidRPr="00BF65CE" w:rsidRDefault="00AD0570" w:rsidP="00786407">
            <w:pPr>
              <w:rPr>
                <w:rFonts w:ascii="Simplified Arabic" w:hAnsi="Simplified Arabic" w:cs="Simplified Arabic"/>
                <w:rtl/>
              </w:rPr>
            </w:pPr>
            <w:r w:rsidRPr="00BF65CE">
              <w:rPr>
                <w:rFonts w:ascii="Simplified Arabic" w:hAnsi="Simplified Arabic" w:cs="Simplified Arabic"/>
                <w:rtl/>
              </w:rPr>
              <w:t>جدول (2-4): ملخص الدراسات المتعلقة بالتميز المؤسسي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6B2A59E" w14:textId="77777777" w:rsidR="00453EC1" w:rsidRPr="00BF65CE" w:rsidRDefault="00906149" w:rsidP="00786407">
            <w:pPr>
              <w:jc w:val="center"/>
              <w:rPr>
                <w:rFonts w:ascii="Simplified Arabic" w:hAnsi="Simplified Arabic" w:cs="Simplified Arabic"/>
                <w:rtl/>
              </w:rPr>
            </w:pPr>
            <w:r>
              <w:rPr>
                <w:rFonts w:ascii="Simplified Arabic" w:hAnsi="Simplified Arabic" w:cs="Simplified Arabic"/>
                <w:rtl/>
              </w:rPr>
              <w:t>24</w:t>
            </w:r>
          </w:p>
        </w:tc>
      </w:tr>
      <w:tr w:rsidR="00453EC1" w:rsidRPr="00BF65CE" w14:paraId="590F370F" w14:textId="77777777" w:rsidTr="00786407">
        <w:tc>
          <w:tcPr>
            <w:tcW w:w="4075" w:type="pct"/>
            <w:vAlign w:val="center"/>
          </w:tcPr>
          <w:p w14:paraId="317FD01B" w14:textId="77777777" w:rsidR="00453EC1" w:rsidRPr="00BF65CE" w:rsidRDefault="00513F4D" w:rsidP="00786407">
            <w:pPr>
              <w:rPr>
                <w:rFonts w:ascii="Simplified Arabic" w:hAnsi="Simplified Arabic" w:cs="Simplified Arabic"/>
                <w:rtl/>
              </w:rPr>
            </w:pPr>
            <w:r w:rsidRPr="00BF65CE">
              <w:rPr>
                <w:rFonts w:ascii="Simplified Arabic" w:hAnsi="Simplified Arabic" w:cs="Simplified Arabic"/>
                <w:rtl/>
              </w:rPr>
              <w:t>جدول (3-1): توزيع مجتمع الدراسة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F5F60BF" w14:textId="77777777"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28</w:t>
            </w:r>
          </w:p>
        </w:tc>
      </w:tr>
      <w:tr w:rsidR="00453EC1" w:rsidRPr="00BF65CE" w14:paraId="740E6D45" w14:textId="77777777" w:rsidTr="00786407">
        <w:tc>
          <w:tcPr>
            <w:tcW w:w="4075" w:type="pct"/>
            <w:vAlign w:val="center"/>
          </w:tcPr>
          <w:p w14:paraId="37C012B7" w14:textId="77777777" w:rsidR="00453EC1" w:rsidRPr="00BF65CE" w:rsidRDefault="00626D1C" w:rsidP="00786407">
            <w:pPr>
              <w:rPr>
                <w:rFonts w:ascii="Simplified Arabic" w:hAnsi="Simplified Arabic" w:cs="Simplified Arabic"/>
                <w:rtl/>
              </w:rPr>
            </w:pPr>
            <w:r w:rsidRPr="00BF65CE">
              <w:rPr>
                <w:rFonts w:ascii="Simplified Arabic" w:hAnsi="Simplified Arabic" w:cs="Simplified Arabic"/>
                <w:rtl/>
              </w:rPr>
              <w:t>جدول (3-2): توزيع العينة الطبقية المتناسبة حسب المستشفى</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E9ACF45" w14:textId="77777777"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29</w:t>
            </w:r>
          </w:p>
        </w:tc>
      </w:tr>
      <w:tr w:rsidR="00453EC1" w:rsidRPr="00BF65CE" w14:paraId="2D007859" w14:textId="77777777" w:rsidTr="00786407">
        <w:tc>
          <w:tcPr>
            <w:tcW w:w="4075" w:type="pct"/>
            <w:vAlign w:val="center"/>
          </w:tcPr>
          <w:p w14:paraId="6882DCC9" w14:textId="77777777" w:rsidR="00453EC1" w:rsidRPr="00BF65CE" w:rsidRDefault="000A57F2" w:rsidP="00786407">
            <w:pPr>
              <w:rPr>
                <w:rFonts w:ascii="Simplified Arabic" w:hAnsi="Simplified Arabic" w:cs="Simplified Arabic"/>
                <w:rtl/>
              </w:rPr>
            </w:pPr>
            <w:r w:rsidRPr="00BF65CE">
              <w:rPr>
                <w:rFonts w:ascii="Simplified Arabic" w:hAnsi="Simplified Arabic" w:cs="Simplified Arabic"/>
                <w:rtl/>
              </w:rPr>
              <w:t>جدول (3-3): النسب المعتمدة لتوزيع العينة حسب 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F5CFA6F" w14:textId="77777777"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30</w:t>
            </w:r>
          </w:p>
        </w:tc>
      </w:tr>
      <w:tr w:rsidR="000A57F2" w:rsidRPr="00BF65CE" w14:paraId="19B1F495" w14:textId="77777777" w:rsidTr="00786407">
        <w:tc>
          <w:tcPr>
            <w:tcW w:w="4075" w:type="pct"/>
            <w:vAlign w:val="center"/>
          </w:tcPr>
          <w:p w14:paraId="0615CA20" w14:textId="77777777" w:rsidR="000A57F2" w:rsidRPr="00BF65CE" w:rsidRDefault="00F33FE4" w:rsidP="00786407">
            <w:pPr>
              <w:rPr>
                <w:rFonts w:ascii="Simplified Arabic" w:hAnsi="Simplified Arabic" w:cs="Simplified Arabic"/>
                <w:rtl/>
              </w:rPr>
            </w:pPr>
            <w:r w:rsidRPr="00BF65CE">
              <w:rPr>
                <w:rFonts w:ascii="Simplified Arabic" w:hAnsi="Simplified Arabic" w:cs="Simplified Arabic"/>
                <w:rtl/>
              </w:rPr>
              <w:t>جدول (3-4): التوزيع التفصيلي للعينة حسب المستشفى والفئة الوظيفية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CF7CE4C" w14:textId="77777777" w:rsidR="000A57F2" w:rsidRPr="00BF65CE" w:rsidRDefault="00207734" w:rsidP="00786407">
            <w:pPr>
              <w:jc w:val="center"/>
              <w:rPr>
                <w:rFonts w:ascii="Simplified Arabic" w:hAnsi="Simplified Arabic" w:cs="Simplified Arabic"/>
                <w:rtl/>
              </w:rPr>
            </w:pPr>
            <w:r>
              <w:rPr>
                <w:rFonts w:ascii="Simplified Arabic" w:hAnsi="Simplified Arabic" w:cs="Simplified Arabic"/>
                <w:rtl/>
              </w:rPr>
              <w:t>30</w:t>
            </w:r>
          </w:p>
        </w:tc>
      </w:tr>
      <w:tr w:rsidR="00453EC1" w:rsidRPr="00BF65CE" w14:paraId="12D1614F" w14:textId="77777777" w:rsidTr="00786407">
        <w:tc>
          <w:tcPr>
            <w:tcW w:w="4075" w:type="pct"/>
            <w:vAlign w:val="center"/>
          </w:tcPr>
          <w:p w14:paraId="5B00A9BB" w14:textId="77777777" w:rsidR="00453EC1" w:rsidRPr="00BF65CE" w:rsidRDefault="004B233C" w:rsidP="00786407">
            <w:pPr>
              <w:rPr>
                <w:rFonts w:ascii="Simplified Arabic" w:hAnsi="Simplified Arabic" w:cs="Simplified Arabic"/>
                <w:rtl/>
              </w:rPr>
            </w:pPr>
            <w:r w:rsidRPr="00BF65CE">
              <w:rPr>
                <w:rFonts w:ascii="Simplified Arabic" w:hAnsi="Simplified Arabic" w:cs="Simplified Arabic"/>
                <w:rtl/>
              </w:rPr>
              <w:t>جدول (3-5): معاملات الثبات لأبعاد الدراسة والأداة ككل باستخدام ألفا كرونباخ</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37C4E37" w14:textId="77777777" w:rsidR="00453EC1" w:rsidRPr="00BF65CE" w:rsidRDefault="00207734" w:rsidP="00786407">
            <w:pPr>
              <w:jc w:val="center"/>
              <w:rPr>
                <w:rFonts w:ascii="Simplified Arabic" w:hAnsi="Simplified Arabic" w:cs="Simplified Arabic"/>
                <w:rtl/>
              </w:rPr>
            </w:pPr>
            <w:r>
              <w:rPr>
                <w:rFonts w:ascii="Simplified Arabic" w:hAnsi="Simplified Arabic" w:cs="Simplified Arabic"/>
                <w:rtl/>
              </w:rPr>
              <w:t>32</w:t>
            </w:r>
          </w:p>
        </w:tc>
      </w:tr>
      <w:tr w:rsidR="004B233C" w:rsidRPr="00BF65CE" w14:paraId="075E1ED8" w14:textId="77777777" w:rsidTr="00786407">
        <w:tc>
          <w:tcPr>
            <w:tcW w:w="4075" w:type="pct"/>
            <w:vAlign w:val="center"/>
          </w:tcPr>
          <w:p w14:paraId="058ED890" w14:textId="77777777" w:rsidR="004B233C" w:rsidRPr="00BF65CE" w:rsidRDefault="00896995" w:rsidP="00786407">
            <w:pPr>
              <w:rPr>
                <w:rFonts w:ascii="Simplified Arabic" w:hAnsi="Simplified Arabic" w:cs="Simplified Arabic"/>
                <w:rtl/>
              </w:rPr>
            </w:pPr>
            <w:r w:rsidRPr="00BF65CE">
              <w:rPr>
                <w:rFonts w:ascii="Simplified Arabic" w:hAnsi="Simplified Arabic" w:cs="Simplified Arabic"/>
                <w:rtl/>
              </w:rPr>
              <w:t>جدول (4-1): مؤشرات جودة مطابقة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416BD04" w14:textId="77777777" w:rsidR="004B233C" w:rsidRPr="00BF65CE" w:rsidRDefault="00A91E06" w:rsidP="00786407">
            <w:pPr>
              <w:jc w:val="center"/>
              <w:rPr>
                <w:rFonts w:ascii="Simplified Arabic" w:hAnsi="Simplified Arabic" w:cs="Simplified Arabic"/>
                <w:rtl/>
              </w:rPr>
            </w:pPr>
            <w:r>
              <w:rPr>
                <w:rFonts w:ascii="Simplified Arabic" w:hAnsi="Simplified Arabic" w:cs="Simplified Arabic"/>
                <w:rtl/>
              </w:rPr>
              <w:t>39</w:t>
            </w:r>
          </w:p>
        </w:tc>
      </w:tr>
      <w:tr w:rsidR="004B233C" w:rsidRPr="00BF65CE" w14:paraId="471207F5" w14:textId="77777777" w:rsidTr="00786407">
        <w:tc>
          <w:tcPr>
            <w:tcW w:w="4075" w:type="pct"/>
            <w:vAlign w:val="center"/>
          </w:tcPr>
          <w:p w14:paraId="40D1F685" w14:textId="77777777" w:rsidR="004B233C" w:rsidRPr="00BF65CE" w:rsidRDefault="0082537A" w:rsidP="00786407">
            <w:pPr>
              <w:rPr>
                <w:rFonts w:ascii="Simplified Arabic" w:hAnsi="Simplified Arabic" w:cs="Simplified Arabic"/>
                <w:rtl/>
              </w:rPr>
            </w:pPr>
            <w:r w:rsidRPr="00BF65CE">
              <w:rPr>
                <w:rFonts w:ascii="Simplified Arabic" w:hAnsi="Simplified Arabic" w:cs="Simplified Arabic"/>
                <w:rtl/>
              </w:rPr>
              <w:t>جدول (4-2): معاملات التشبّع المعيارية لمؤشرات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51EB330B" w14:textId="77777777" w:rsidR="004B233C" w:rsidRPr="00BF65CE" w:rsidRDefault="00A91E06" w:rsidP="00786407">
            <w:pPr>
              <w:jc w:val="center"/>
              <w:rPr>
                <w:rFonts w:ascii="Simplified Arabic" w:hAnsi="Simplified Arabic" w:cs="Simplified Arabic"/>
                <w:rtl/>
              </w:rPr>
            </w:pPr>
            <w:r>
              <w:rPr>
                <w:rFonts w:ascii="Simplified Arabic" w:hAnsi="Simplified Arabic" w:cs="Simplified Arabic"/>
                <w:rtl/>
              </w:rPr>
              <w:t>40</w:t>
            </w:r>
          </w:p>
        </w:tc>
      </w:tr>
      <w:tr w:rsidR="004B233C" w:rsidRPr="00BF65CE" w14:paraId="2AB940D3" w14:textId="77777777" w:rsidTr="00786407">
        <w:tc>
          <w:tcPr>
            <w:tcW w:w="4075" w:type="pct"/>
            <w:vAlign w:val="center"/>
          </w:tcPr>
          <w:p w14:paraId="19C82F7A" w14:textId="77777777" w:rsidR="004B233C" w:rsidRPr="00BF65CE" w:rsidRDefault="0029524F" w:rsidP="00786407">
            <w:pPr>
              <w:rPr>
                <w:rFonts w:ascii="Simplified Arabic" w:hAnsi="Simplified Arabic" w:cs="Simplified Arabic"/>
                <w:rtl/>
              </w:rPr>
            </w:pPr>
            <w:r w:rsidRPr="00BF65CE">
              <w:rPr>
                <w:rFonts w:ascii="Simplified Arabic" w:hAnsi="Simplified Arabic" w:cs="Simplified Arabic"/>
                <w:rtl/>
              </w:rPr>
              <w:t>جدول (4-3): نتائج اختبار المسارات المباشرة في النموذج البنائي</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2FD21D42" w14:textId="77777777" w:rsidR="004B233C" w:rsidRPr="00BF65CE" w:rsidRDefault="002C5557" w:rsidP="00786407">
            <w:pPr>
              <w:jc w:val="center"/>
              <w:rPr>
                <w:rFonts w:ascii="Simplified Arabic" w:hAnsi="Simplified Arabic" w:cs="Simplified Arabic"/>
                <w:rtl/>
              </w:rPr>
            </w:pPr>
            <w:r>
              <w:rPr>
                <w:rFonts w:ascii="Simplified Arabic" w:hAnsi="Simplified Arabic" w:cs="Simplified Arabic"/>
                <w:rtl/>
              </w:rPr>
              <w:t>42</w:t>
            </w:r>
          </w:p>
        </w:tc>
      </w:tr>
      <w:tr w:rsidR="004B233C" w:rsidRPr="00BF65CE" w14:paraId="0D88D577" w14:textId="77777777" w:rsidTr="00786407">
        <w:tc>
          <w:tcPr>
            <w:tcW w:w="4075" w:type="pct"/>
            <w:vAlign w:val="center"/>
          </w:tcPr>
          <w:p w14:paraId="1FF89BF2" w14:textId="77777777" w:rsidR="004B233C" w:rsidRPr="00BF65CE" w:rsidRDefault="00C74F57" w:rsidP="00786407">
            <w:pPr>
              <w:rPr>
                <w:rFonts w:ascii="Simplified Arabic" w:hAnsi="Simplified Arabic" w:cs="Simplified Arabic"/>
                <w:rtl/>
              </w:rPr>
            </w:pPr>
            <w:r w:rsidRPr="00BF65CE">
              <w:rPr>
                <w:rFonts w:ascii="Simplified Arabic" w:hAnsi="Simplified Arabic" w:cs="Simplified Arabic"/>
                <w:rtl/>
              </w:rPr>
              <w:t xml:space="preserve">جدول (4-4): نتائج اختبار الأثر الوسيط بأسلوب </w:t>
            </w:r>
            <w:r w:rsidRPr="00BF65CE">
              <w:rPr>
                <w:rFonts w:ascii="Simplified Arabic" w:hAnsi="Simplified Arabic" w:cs="Simplified Arabic"/>
              </w:rPr>
              <w:t>Bootstrap</w:t>
            </w:r>
            <w:r w:rsidRPr="00BF65CE">
              <w:rPr>
                <w:rFonts w:ascii="Simplified Arabic" w:hAnsi="Simplified Arabic" w:cs="Simplified Arabic"/>
                <w:rtl/>
              </w:rPr>
              <w:t xml:space="preserve"> (المعاملات المعيارية)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1F835CB9" w14:textId="77777777" w:rsidR="004B233C" w:rsidRPr="00BF65CE" w:rsidRDefault="002C5557" w:rsidP="00786407">
            <w:pPr>
              <w:jc w:val="center"/>
              <w:rPr>
                <w:rFonts w:ascii="Simplified Arabic" w:hAnsi="Simplified Arabic" w:cs="Simplified Arabic"/>
                <w:rtl/>
              </w:rPr>
            </w:pPr>
            <w:r>
              <w:rPr>
                <w:rFonts w:ascii="Simplified Arabic" w:hAnsi="Simplified Arabic" w:cs="Simplified Arabic"/>
                <w:rtl/>
              </w:rPr>
              <w:t>43</w:t>
            </w:r>
          </w:p>
        </w:tc>
      </w:tr>
      <w:tr w:rsidR="004B233C" w:rsidRPr="00BF65CE" w14:paraId="418DB64D" w14:textId="77777777" w:rsidTr="00786407">
        <w:tc>
          <w:tcPr>
            <w:tcW w:w="4075" w:type="pct"/>
            <w:vAlign w:val="center"/>
          </w:tcPr>
          <w:p w14:paraId="5571E8CE" w14:textId="77777777" w:rsidR="004B233C" w:rsidRPr="00BF65CE" w:rsidRDefault="00A22D59" w:rsidP="00786407">
            <w:pPr>
              <w:rPr>
                <w:rFonts w:ascii="Simplified Arabic" w:hAnsi="Simplified Arabic" w:cs="Simplified Arabic"/>
                <w:rtl/>
              </w:rPr>
            </w:pPr>
            <w:r w:rsidRPr="00BF65CE">
              <w:rPr>
                <w:rFonts w:ascii="Simplified Arabic" w:hAnsi="Simplified Arabic" w:cs="Simplified Arabic"/>
                <w:rtl/>
              </w:rPr>
              <w:t>جدول (4-5): ملخص نتائج اختبار الفرضيات وإجابات تساؤلات الدراسة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0DFD17FB" w14:textId="77777777"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44</w:t>
            </w:r>
          </w:p>
        </w:tc>
      </w:tr>
      <w:tr w:rsidR="004B233C" w:rsidRPr="00BF65CE" w14:paraId="08AD1AC6" w14:textId="77777777" w:rsidTr="00786407">
        <w:tc>
          <w:tcPr>
            <w:tcW w:w="4075" w:type="pct"/>
            <w:vAlign w:val="center"/>
          </w:tcPr>
          <w:p w14:paraId="749771B3" w14:textId="77777777" w:rsidR="004B233C" w:rsidRPr="00BF65CE" w:rsidRDefault="000C160B" w:rsidP="00786407">
            <w:pPr>
              <w:rPr>
                <w:rFonts w:ascii="Simplified Arabic" w:hAnsi="Simplified Arabic" w:cs="Simplified Arabic"/>
                <w:rtl/>
              </w:rPr>
            </w:pPr>
            <w:r w:rsidRPr="00BF65CE">
              <w:rPr>
                <w:rFonts w:ascii="Simplified Arabic" w:hAnsi="Simplified Arabic" w:cs="Simplified Arabic"/>
                <w:rtl/>
              </w:rPr>
              <w:t>جدول (5-1): خطة العمل التنفيذية للتوصيات الإجرائية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70F1D609" w14:textId="77777777"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47</w:t>
            </w:r>
          </w:p>
        </w:tc>
      </w:tr>
      <w:tr w:rsidR="004B233C" w:rsidRPr="00BF65CE" w14:paraId="40046BC7" w14:textId="77777777" w:rsidTr="00786407">
        <w:tc>
          <w:tcPr>
            <w:tcW w:w="4075" w:type="pct"/>
            <w:vAlign w:val="center"/>
          </w:tcPr>
          <w:p w14:paraId="73E8C903" w14:textId="77777777" w:rsidR="004B233C" w:rsidRPr="00BF65CE" w:rsidRDefault="000301E0" w:rsidP="00786407">
            <w:pPr>
              <w:rPr>
                <w:rFonts w:ascii="Simplified Arabic" w:hAnsi="Simplified Arabic" w:cs="Simplified Arabic"/>
                <w:rtl/>
              </w:rPr>
            </w:pPr>
            <w:r w:rsidRPr="00BF65CE">
              <w:rPr>
                <w:rFonts w:ascii="Simplified Arabic" w:hAnsi="Simplified Arabic" w:cs="Simplified Arabic"/>
                <w:rtl/>
              </w:rPr>
              <w:t>جدول (5-2):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925" w:type="pct"/>
            <w:vAlign w:val="center"/>
          </w:tcPr>
          <w:p w14:paraId="447462F0" w14:textId="77777777" w:rsidR="004B233C" w:rsidRPr="00BF65CE" w:rsidRDefault="003435DC" w:rsidP="00786407">
            <w:pPr>
              <w:jc w:val="center"/>
              <w:rPr>
                <w:rFonts w:ascii="Simplified Arabic" w:hAnsi="Simplified Arabic" w:cs="Simplified Arabic"/>
                <w:rtl/>
              </w:rPr>
            </w:pPr>
            <w:r>
              <w:rPr>
                <w:rFonts w:ascii="Simplified Arabic" w:hAnsi="Simplified Arabic" w:cs="Simplified Arabic"/>
                <w:rtl/>
              </w:rPr>
              <w:t>50</w:t>
            </w:r>
          </w:p>
        </w:tc>
      </w:tr>
    </w:tbl>
    <w:p w14:paraId="04A77BED" w14:textId="77777777" w:rsidR="00E457CD" w:rsidRPr="00BF65CE" w:rsidRDefault="00E457CD" w:rsidP="002071EC">
      <w:pPr>
        <w:jc w:val="both"/>
        <w:rPr>
          <w:rFonts w:ascii="Simplified Arabic" w:hAnsi="Simplified Arabic" w:cs="Simplified Arabic"/>
        </w:rPr>
      </w:pPr>
    </w:p>
    <w:p w14:paraId="2849E347" w14:textId="77777777" w:rsidR="00E457CD" w:rsidRPr="00BF65CE" w:rsidRDefault="00014347" w:rsidP="002071EC">
      <w:pPr>
        <w:jc w:val="both"/>
        <w:rPr>
          <w:rFonts w:ascii="Simplified Arabic" w:hAnsi="Simplified Arabic" w:cs="Simplified Arabic"/>
        </w:rPr>
      </w:pPr>
      <w:r w:rsidRPr="00BF65CE">
        <w:rPr>
          <w:rFonts w:ascii="Simplified Arabic" w:hAnsi="Simplified Arabic" w:cs="Simplified Arabic"/>
          <w:rtl/>
        </w:rPr>
        <w:br w:type="page"/>
      </w:r>
    </w:p>
    <w:p w14:paraId="35A0ECC4" w14:textId="77777777" w:rsidR="00E457CD" w:rsidRPr="00BF65CE" w:rsidRDefault="00014347" w:rsidP="002E268B">
      <w:pPr>
        <w:pStyle w:val="2"/>
        <w:rPr>
          <w:rFonts w:cs="Simplified Arabic"/>
          <w:color w:val="auto"/>
          <w:sz w:val="24"/>
        </w:rPr>
      </w:pPr>
      <w:bookmarkStart w:id="7" w:name="_Toc235125781"/>
      <w:r w:rsidRPr="00BF65CE">
        <w:rPr>
          <w:rFonts w:cs="Simplified Arabic"/>
          <w:color w:val="auto"/>
          <w:rtl/>
        </w:rPr>
        <w:lastRenderedPageBreak/>
        <w:t>قائمة الأشكال</w:t>
      </w:r>
      <w:bookmarkEnd w:id="7"/>
    </w:p>
    <w:tbl>
      <w:tblPr>
        <w:tblStyle w:val="12"/>
        <w:bidiVisual/>
        <w:tblW w:w="5000" w:type="pct"/>
        <w:tblLook w:val="0720" w:firstRow="1" w:lastRow="0" w:firstColumn="0" w:lastColumn="1" w:noHBand="1" w:noVBand="1"/>
      </w:tblPr>
      <w:tblGrid>
        <w:gridCol w:w="7188"/>
        <w:gridCol w:w="1589"/>
      </w:tblGrid>
      <w:tr w:rsidR="002E268B" w:rsidRPr="00BF65CE" w14:paraId="00A9AD7A" w14:textId="77777777" w:rsidTr="001700C5">
        <w:trPr>
          <w:cnfStyle w:val="100000000000" w:firstRow="1" w:lastRow="0" w:firstColumn="0" w:lastColumn="0" w:oddVBand="0" w:evenVBand="0" w:oddHBand="0" w:evenHBand="0" w:firstRowFirstColumn="0" w:firstRowLastColumn="0" w:lastRowFirstColumn="0" w:lastRowLastColumn="0"/>
        </w:trPr>
        <w:tc>
          <w:tcPr>
            <w:tcW w:w="4095" w:type="pct"/>
            <w:vAlign w:val="center"/>
          </w:tcPr>
          <w:p w14:paraId="79A7EA19" w14:textId="77777777"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الشكل</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39CCCB8D" w14:textId="77777777" w:rsidR="002E268B" w:rsidRPr="00BF65CE" w:rsidRDefault="00B96CE1" w:rsidP="001700C5">
            <w:pPr>
              <w:jc w:val="center"/>
              <w:rPr>
                <w:rFonts w:ascii="Simplified Arabic" w:hAnsi="Simplified Arabic" w:cs="Simplified Arabic"/>
                <w:rtl/>
              </w:rPr>
            </w:pPr>
            <w:r w:rsidRPr="00BF65CE">
              <w:rPr>
                <w:rFonts w:ascii="Simplified Arabic" w:hAnsi="Simplified Arabic" w:cs="Simplified Arabic"/>
                <w:rtl/>
              </w:rPr>
              <w:t>رقم الصفحة</w:t>
            </w:r>
          </w:p>
        </w:tc>
      </w:tr>
      <w:tr w:rsidR="002E268B" w:rsidRPr="00BF65CE" w14:paraId="63F5C759" w14:textId="77777777" w:rsidTr="001700C5">
        <w:tc>
          <w:tcPr>
            <w:tcW w:w="4095" w:type="pct"/>
            <w:vAlign w:val="center"/>
          </w:tcPr>
          <w:p w14:paraId="0870DF37" w14:textId="77777777" w:rsidR="002E268B" w:rsidRPr="00BF65CE" w:rsidRDefault="000D06EF" w:rsidP="001700C5">
            <w:pPr>
              <w:rPr>
                <w:rFonts w:ascii="Simplified Arabic" w:hAnsi="Simplified Arabic" w:cs="Simplified Arabic"/>
                <w:rtl/>
              </w:rPr>
            </w:pPr>
            <w:r w:rsidRPr="00BF65CE">
              <w:rPr>
                <w:rFonts w:ascii="Simplified Arabic" w:hAnsi="Simplified Arabic" w:cs="Simplified Arabic"/>
                <w:rtl/>
              </w:rPr>
              <w:t>شكل (1-1): نموذج علاقات متغيرات الدراسة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6D2FF5CE" w14:textId="77777777" w:rsidR="002E268B" w:rsidRPr="00BF65CE" w:rsidRDefault="00106296" w:rsidP="001700C5">
            <w:pPr>
              <w:jc w:val="center"/>
              <w:rPr>
                <w:rFonts w:ascii="Simplified Arabic" w:hAnsi="Simplified Arabic" w:cs="Simplified Arabic"/>
                <w:rtl/>
              </w:rPr>
            </w:pPr>
            <w:r>
              <w:rPr>
                <w:rFonts w:ascii="Simplified Arabic" w:hAnsi="Simplified Arabic" w:cs="Simplified Arabic"/>
                <w:rtl/>
              </w:rPr>
              <w:t>12</w:t>
            </w:r>
          </w:p>
        </w:tc>
      </w:tr>
      <w:tr w:rsidR="002E268B" w:rsidRPr="00BF65CE" w14:paraId="39AA65EE" w14:textId="77777777" w:rsidTr="001700C5">
        <w:tc>
          <w:tcPr>
            <w:tcW w:w="4095" w:type="pct"/>
            <w:vAlign w:val="center"/>
          </w:tcPr>
          <w:p w14:paraId="66ED8BF4" w14:textId="77777777" w:rsidR="002E268B" w:rsidRPr="00BF65CE" w:rsidRDefault="00EC7488" w:rsidP="001700C5">
            <w:pPr>
              <w:rPr>
                <w:rFonts w:ascii="Simplified Arabic" w:hAnsi="Simplified Arabic" w:cs="Simplified Arabic"/>
                <w:rtl/>
              </w:rPr>
            </w:pPr>
            <w:r w:rsidRPr="00BF65CE">
              <w:rPr>
                <w:rFonts w:ascii="Simplified Arabic" w:hAnsi="Simplified Arabic" w:cs="Simplified Arabic"/>
                <w:rtl/>
              </w:rPr>
              <w:t>شكل (4-1): النموذج البنائي للدراسة بمعاملات المسار المعيارية</w:t>
            </w:r>
          </w:p>
        </w:tc>
        <w:tc>
          <w:tcPr>
            <w:cnfStyle w:val="000100000000" w:firstRow="0" w:lastRow="0" w:firstColumn="0" w:lastColumn="1" w:oddVBand="0" w:evenVBand="0" w:oddHBand="0" w:evenHBand="0" w:firstRowFirstColumn="0" w:firstRowLastColumn="0" w:lastRowFirstColumn="0" w:lastRowLastColumn="0"/>
            <w:tcW w:w="905" w:type="pct"/>
            <w:vAlign w:val="center"/>
          </w:tcPr>
          <w:p w14:paraId="421EFBB0" w14:textId="77777777" w:rsidR="002E268B" w:rsidRPr="00BF65CE" w:rsidRDefault="000F05C8" w:rsidP="001700C5">
            <w:pPr>
              <w:jc w:val="center"/>
              <w:rPr>
                <w:rFonts w:ascii="Simplified Arabic" w:hAnsi="Simplified Arabic" w:cs="Simplified Arabic"/>
                <w:rtl/>
              </w:rPr>
            </w:pPr>
            <w:r>
              <w:rPr>
                <w:rFonts w:ascii="Simplified Arabic" w:hAnsi="Simplified Arabic" w:cs="Simplified Arabic"/>
                <w:rtl/>
              </w:rPr>
              <w:t>40</w:t>
            </w:r>
          </w:p>
        </w:tc>
      </w:tr>
    </w:tbl>
    <w:p w14:paraId="591530E1" w14:textId="77777777" w:rsidR="00E457CD" w:rsidRPr="00BF65CE" w:rsidRDefault="00E457CD" w:rsidP="002071EC">
      <w:pPr>
        <w:jc w:val="both"/>
        <w:rPr>
          <w:rFonts w:ascii="Simplified Arabic" w:hAnsi="Simplified Arabic" w:cs="Simplified Arabic"/>
          <w:rtl/>
        </w:rPr>
        <w:sectPr w:rsidR="00E457CD" w:rsidRPr="00BF65CE" w:rsidSect="00DE7D61">
          <w:headerReference w:type="default" r:id="rId11"/>
          <w:footerReference w:type="default" r:id="rId12"/>
          <w:pgSz w:w="11906" w:h="16838" w:code="9"/>
          <w:pgMar w:top="1418" w:right="1701" w:bottom="1418" w:left="1418" w:header="709" w:footer="709" w:gutter="0"/>
          <w:pgNumType w:fmt="arabicAbjad" w:start="1"/>
          <w:cols w:space="720"/>
          <w:bidi/>
          <w:docGrid w:linePitch="360"/>
        </w:sectPr>
      </w:pPr>
    </w:p>
    <w:p w14:paraId="1D010447" w14:textId="77777777" w:rsidR="00E457CD" w:rsidRPr="00BF65CE" w:rsidRDefault="00014347" w:rsidP="00DE7D61">
      <w:pPr>
        <w:pStyle w:val="1"/>
        <w:rPr>
          <w:rFonts w:cs="Simplified Arabic"/>
          <w:color w:val="auto"/>
          <w:sz w:val="24"/>
        </w:rPr>
      </w:pPr>
      <w:bookmarkStart w:id="8" w:name="_Toc235125782"/>
      <w:r w:rsidRPr="00BF65CE">
        <w:rPr>
          <w:rFonts w:cs="Simplified Arabic"/>
          <w:color w:val="auto"/>
          <w:rtl/>
        </w:rPr>
        <w:lastRenderedPageBreak/>
        <w:t>الفصل الأول: الإطار المنهجي للدراسة</w:t>
      </w:r>
      <w:bookmarkEnd w:id="8"/>
    </w:p>
    <w:p w14:paraId="4B0DD7C8" w14:textId="77777777" w:rsidR="00E457CD" w:rsidRPr="00BF65CE" w:rsidRDefault="00014347" w:rsidP="00DE7D61">
      <w:pPr>
        <w:pStyle w:val="2"/>
        <w:rPr>
          <w:rFonts w:cs="Simplified Arabic"/>
          <w:color w:val="auto"/>
          <w:sz w:val="24"/>
        </w:rPr>
      </w:pPr>
      <w:bookmarkStart w:id="9" w:name="_Toc235125783"/>
      <w:r w:rsidRPr="00BF65CE">
        <w:rPr>
          <w:rFonts w:cs="Simplified Arabic"/>
          <w:color w:val="auto"/>
          <w:rtl/>
        </w:rPr>
        <w:t>مقدمة</w:t>
      </w:r>
      <w:bookmarkEnd w:id="9"/>
    </w:p>
    <w:p w14:paraId="6D1BF22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يشهد القطاع الصحي الخاص في مدينة الرياض نمواً متسارعاً وتنافسية شديدة، وفي ظل التطورات السريعة والمتلاحقة التي يشهدها العالم اليوم، أصبح الاستقطاب التنظيمي وتطبيقات الذكاء الاصطناعي من العوامل الحاسمة التي تسهم في تعزيز التميز المؤسسي وذلك لضمان البقاء والنجاح، وفي الوقت نفسه، يُعَدُّ الإبداع وسيلة جوهرية لتحقيق التكيف مع المتغيرات البيئية وتحفيز الابتكار داخل المؤسسات، يطرح هذا الواقع أسئلة محورية حول كيفية تفاعل هذه العناصر الثلاثة وتأثيرها المتبادل في تحقيق أداء مؤسسي متميز.</w:t>
      </w:r>
    </w:p>
    <w:p w14:paraId="64252AC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وإن الإبداع الإداري يحتاج إلى بيئة عمل ملائمة وسليمة تدفع الأفراد إلى إبراز قدراتهم ومهاراتهم الإبداعية وتوظيفها بالشكل المناسب في حل المشاكل بطرق فريدة والوصول إلى أفكار جديدة تعود بالفائدة على الأفراد (امحمد؛ مبارك، 2020)، وأظهرت دراسة بو حالة؛ بوطة (2023) أثر بيئة العمل على الإبداع التنظيمي بالمؤسسة الاقتصادية، وكما كشفت نتائج دراسة الحارثي (2024) أثر التنظيم الإداري على التحقيق المؤسسي.</w:t>
      </w:r>
    </w:p>
    <w:p w14:paraId="00E76DD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وتعد عملية الاستقطاب عملية حساسة ومهمة كونها الخطوة الأولى التي يتم من خلالها البحث عن أفضل الموارد البشرية التي ستشغل المكان الوظيفي المتاح، فيتم أولاً تحديد المصدر المناسب للحصول على الموارد البشرية حسب متطلبات الوظيفة لمهارات وكفاءات معينة سواء عن طريق المصادر الداخلية أو الخارجية، فالاستقطاب الداخلي هو استغلال الموارد البشرية الموجودة داخل المؤسسة فهي تساعد على اكتشاف مهارات الأفراد والطاقات البشرية المتوفر في المؤسسة، أما الاستقطاب الخارجي فيتم عن طريق جذب موارد بشرية من خارج المؤسسة تتوفر فيها مهارات غير موجودة داخل المؤسسة (العمري، 2020).</w:t>
      </w:r>
    </w:p>
    <w:p w14:paraId="496C83A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ويعد الاستقطاب التنظيمي أحد العوامل المؤثرة على الأداء المؤسسي، ورغم أن الاختلاف في الآراء داخل المؤسسات قد يكون محفزاً للإبداع والابتكار من خلال تعزيز التفاعل الفكري بين الموظفين، فإن الاستقطاب المفرط قد يؤدي إلى اضطراب في العمليات وصعوبات في اتخاذ القرارات، مما يؤثر سلباً على الأداء المالي والرضا الوظيفي.</w:t>
      </w:r>
    </w:p>
    <w:p w14:paraId="6303754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وفي المقابل، تلعب تطبيقات الذكاء الاصطناعي دوراً متنامياً في تحسين الكفاءة المؤسسية وتعزيز جودة الأداء، تشير الدراسات إلى أن الذكاء الاصطناعي يمكن أن يسهم في دعم عمليات اتخاذ القرار، تحسين الكفاءة التشغيلية، وتخفيف الأعباء الروتينية عن الموظفين، مما يتيح لهم التركيز على المهام الاستراتيجية والإبداعية، هذه الميزات تساهم بشكل مباشر في تعزيز الأداء المالي ورفع مستوى رضا الموظفين (Fan et al., 2024).</w:t>
      </w:r>
    </w:p>
    <w:p w14:paraId="16B6573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ويمثل الذكاء الاصطناعي أهم مخرجات الثورة الصناعية الرابعة لتعدد استخداماته في المجالات العسكرية والصناعية والاقتصادية والتقنية والتطبيقات الطبية والتعليمية والخدمية، ويتوقع له أن يفتح الباب لابتكارات لا حدود لها وأن يؤدي إلى مزيد من الثورات الصناعية بما يحدث تغييراً جذرياً في حياة الأفراد (مركز البحوث والمعلومات،2021).</w:t>
      </w:r>
    </w:p>
    <w:p w14:paraId="6C3DBF6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وإن اختيار هذا الموضوع يستند إلى ندرة الدراسات التي تربط بين (الإبداع، الاستقطاب، والذكاء الاصطناعي، التميز المؤسسي) في سياق القطاع الصحي الخاص، مما يجعل الدراسة المقترحة ذا قيمة علمية وعملية عالية، وتهدف الدراسة إلى تقديم رؤى جديدة تسهم في تطوير بيئة عمل إبداعية وتبني حلول تكنولوجية متقدمة لتحقيق مستويات متميزة من الأداء المؤسسي.</w:t>
      </w:r>
    </w:p>
    <w:p w14:paraId="17E60455" w14:textId="77777777" w:rsidR="00E457CD" w:rsidRPr="00BF65CE" w:rsidRDefault="00014347" w:rsidP="00DE7D61">
      <w:pPr>
        <w:pStyle w:val="2"/>
        <w:rPr>
          <w:rFonts w:cs="Simplified Arabic"/>
          <w:color w:val="auto"/>
          <w:sz w:val="24"/>
        </w:rPr>
      </w:pPr>
      <w:bookmarkStart w:id="10" w:name="_Toc235125784"/>
      <w:r w:rsidRPr="00BF65CE">
        <w:rPr>
          <w:rFonts w:cs="Simplified Arabic"/>
          <w:color w:val="auto"/>
          <w:rtl/>
        </w:rPr>
        <w:t>مشكلة الدراسة:</w:t>
      </w:r>
      <w:bookmarkEnd w:id="10"/>
    </w:p>
    <w:p w14:paraId="6E40DFD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السنوات الأخيرة، شهد قطاع الرعاية الصحية في الرياض تقدماً كبيراً من خلال دمج تقنيات الذكاء الاصطناعي، وتعد هذه الابتكارات بتحسين الكفاءة التشغيلية وجودة الرعاية، بما يتماشى مع أهداف رؤية المملكة العربية السعودية (2030) (ازيبي، 2024)، ومع ذلك، غالباً ما يعوق الاستقطاب التنظيمي نجاح هذه التقنيات، حيث يمكن أن تؤدي الآراء والممارسات المختلفة بين أصحاب المصلحة إلى عدم الكفاءة والصراعات.</w:t>
      </w:r>
    </w:p>
    <w:p w14:paraId="49D8D07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حين استكشفت الدراسات السابقة تأثير الذكاء الاصطناعي على تقديم الرعاية الصحية (الخلايلة والصمادي، 2021)، إلا أن هناك نقصاً ملحوظاً في الأبحاث التي تتناول كيف يمكن للإبداع أن يتوسط العلاقة بين الاستقطاب التنظيمي وتطبيقات الذكاء الاصطناعي، الإبداع ضروري لتعزيز التعاون والابتكار، وهما أمران حاسمان في التغلب على التحديات التي يفرضها الاستقطاب، وبالرغم من تقدم القطاع الصحي الخاص في الرياض واعتماده المتزايد على الذكاء الاصطناعي، تظل البحوث التي تركز على التحديات التنظيمية والتكنولوجية في هذا السياق محدودة، وهذا يبرز الحاجة إلى دراسات محلية تتماشى مع أهداف رؤية السعودية (2030).</w:t>
      </w:r>
    </w:p>
    <w:p w14:paraId="1DC335E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وكذلك هناك حاجة إلى دراسة تكاملية تربط بين الاستقطاب التنظيمي، الإبداع، والذكاء الاصطناعي في سياق بيئة الرعاية الصحية الخاصة في الرياض، مع التركيز على دور الإبداع في تحسين التعاون وتخفيف تأثير الاستقطاب، لتحقيق التميز المؤسسي، ومن هذا المنطلق تبلوره مشكلة الدراسة في السؤال الرئيس الآتي:</w:t>
      </w:r>
    </w:p>
    <w:p w14:paraId="64F6FD36" w14:textId="77777777" w:rsidR="00E457CD" w:rsidRPr="00BF65CE" w:rsidRDefault="00014347" w:rsidP="003331A0">
      <w:pPr>
        <w:spacing w:after="100"/>
        <w:jc w:val="both"/>
        <w:rPr>
          <w:rFonts w:ascii="Simplified Arabic" w:hAnsi="Simplified Arabic" w:cs="Simplified Arabic"/>
          <w:b/>
          <w:bCs/>
        </w:rPr>
      </w:pPr>
      <w:r w:rsidRPr="00BF65CE">
        <w:rPr>
          <w:rFonts w:ascii="Simplified Arabic" w:hAnsi="Simplified Arabic" w:cs="Simplified Arabic"/>
          <w:b/>
          <w:bCs/>
          <w:rtl/>
        </w:rPr>
        <w:t>ما دور الإبداع كمتغير وسيط في سياق تأثيرات الاستقطاب التنظيمي وتطبيقات الذكاء الاصطناعي في تعزيز التميز المؤسسي داخل مستشفيات القطاع الصحي الخاص في الرياض.</w:t>
      </w:r>
    </w:p>
    <w:p w14:paraId="725CDFD9" w14:textId="77777777" w:rsidR="00E457CD" w:rsidRPr="00BF65CE" w:rsidRDefault="00014347" w:rsidP="00DE7D61">
      <w:pPr>
        <w:pStyle w:val="2"/>
        <w:rPr>
          <w:rFonts w:cs="Simplified Arabic"/>
          <w:color w:val="auto"/>
          <w:sz w:val="24"/>
        </w:rPr>
      </w:pPr>
      <w:bookmarkStart w:id="11" w:name="_Toc235125785"/>
      <w:r w:rsidRPr="00BF65CE">
        <w:rPr>
          <w:rFonts w:cs="Simplified Arabic"/>
          <w:color w:val="auto"/>
          <w:rtl/>
        </w:rPr>
        <w:t>تساؤلات الدراسة:</w:t>
      </w:r>
      <w:bookmarkEnd w:id="11"/>
    </w:p>
    <w:p w14:paraId="700482D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واستناداً لما سبق يمكن طرح تساؤلات على النحو الآتي:</w:t>
      </w:r>
    </w:p>
    <w:p w14:paraId="781D3BDD"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أثر الاستقطاب التنظيمي على التميز المؤسسي في مستشفيات القطاع الصحي الخاص في الرياض؟</w:t>
      </w:r>
    </w:p>
    <w:p w14:paraId="148E7690"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أثر تطبيقات الذكاء الاصطناعي على التميز المؤسسي في مستشفيات القطاع الصحي الخاص في الرياض؟</w:t>
      </w:r>
    </w:p>
    <w:p w14:paraId="38672DBB"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دور الإبداع كمتغير وسيط بين الاستقطاب التنظيمي و التميز المؤسسي في مستشفيات القطاع الصحي الخاص في الرياض؟</w:t>
      </w:r>
    </w:p>
    <w:p w14:paraId="69523A58" w14:textId="77777777" w:rsidR="00E457CD" w:rsidRPr="00BF65CE" w:rsidRDefault="00014347" w:rsidP="003331A0">
      <w:pPr>
        <w:pStyle w:val="a4"/>
        <w:numPr>
          <w:ilvl w:val="0"/>
          <w:numId w:val="3"/>
        </w:numPr>
        <w:bidi/>
        <w:spacing w:after="100"/>
        <w:jc w:val="both"/>
        <w:rPr>
          <w:rFonts w:ascii="Simplified Arabic" w:hAnsi="Simplified Arabic" w:cs="Simplified Arabic"/>
        </w:rPr>
      </w:pPr>
      <w:r w:rsidRPr="00BF65CE">
        <w:rPr>
          <w:rFonts w:ascii="Simplified Arabic" w:hAnsi="Simplified Arabic" w:cs="Simplified Arabic"/>
          <w:rtl/>
        </w:rPr>
        <w:t>ما دور الإبداع كمتغير وسيط بين تطبيقات الذكاء الاصطناعي و التميز المؤسسي في مستشفيات القطاع الصحي الخاص في الرياض؟</w:t>
      </w:r>
    </w:p>
    <w:p w14:paraId="129532E4" w14:textId="77777777" w:rsidR="00E457CD" w:rsidRPr="00BF65CE" w:rsidRDefault="00014347" w:rsidP="00DE7D61">
      <w:pPr>
        <w:pStyle w:val="2"/>
        <w:rPr>
          <w:rFonts w:cs="Simplified Arabic"/>
          <w:color w:val="auto"/>
        </w:rPr>
      </w:pPr>
      <w:bookmarkStart w:id="12" w:name="_Toc235125786"/>
      <w:r w:rsidRPr="00BF65CE">
        <w:rPr>
          <w:rFonts w:cs="Simplified Arabic"/>
          <w:color w:val="auto"/>
          <w:rtl/>
        </w:rPr>
        <w:t>أهمية الدراسة:</w:t>
      </w:r>
      <w:bookmarkEnd w:id="12"/>
    </w:p>
    <w:p w14:paraId="00CDFE0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تتضح أهمية الدراسة من خلال الآتي:</w:t>
      </w:r>
    </w:p>
    <w:p w14:paraId="79979BB9" w14:textId="77777777" w:rsidR="00E457CD" w:rsidRPr="00BF65CE" w:rsidRDefault="00014347" w:rsidP="00DE7D61">
      <w:pPr>
        <w:pStyle w:val="3"/>
        <w:rPr>
          <w:rFonts w:cs="Simplified Arabic"/>
          <w:color w:val="auto"/>
        </w:rPr>
      </w:pPr>
      <w:bookmarkStart w:id="13" w:name="_Toc235125787"/>
      <w:r w:rsidRPr="00BF65CE">
        <w:rPr>
          <w:rFonts w:cs="Simplified Arabic"/>
          <w:color w:val="auto"/>
          <w:rtl/>
        </w:rPr>
        <w:t>أولاً: الأهمية النظرية:</w:t>
      </w:r>
      <w:bookmarkEnd w:id="13"/>
    </w:p>
    <w:p w14:paraId="483DFD1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1- إثراء الأدبيات العلمية حول العلاقة بين الاستقطاب التنظيمي والذكاء الاصطناعي والإبداع والتميز المؤسسي، خاصة في القطاع الصحي.</w:t>
      </w:r>
    </w:p>
    <w:p w14:paraId="0D2374E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2- تقديم نموذج تفاعلي جديد يوضح الدور الوسيط للإبداع في تعزيز التميز المؤسسي، مما يساهم في تطوير الأطر النظرية في مجال الإدارة.</w:t>
      </w:r>
    </w:p>
    <w:p w14:paraId="2447E2E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3- دعم الدراسات المستقبلية التي تركز على دور التقنيات الحديثة والإبداع في تحقيق التميز المؤسسي.</w:t>
      </w:r>
    </w:p>
    <w:p w14:paraId="74D8D231" w14:textId="77777777" w:rsidR="00E457CD" w:rsidRPr="00BF65CE" w:rsidRDefault="00014347" w:rsidP="00DE7D61">
      <w:pPr>
        <w:pStyle w:val="3"/>
        <w:rPr>
          <w:rFonts w:cs="Simplified Arabic"/>
          <w:color w:val="auto"/>
        </w:rPr>
      </w:pPr>
      <w:bookmarkStart w:id="14" w:name="_Toc235125788"/>
      <w:r w:rsidRPr="00BF65CE">
        <w:rPr>
          <w:rFonts w:cs="Simplified Arabic"/>
          <w:color w:val="auto"/>
          <w:rtl/>
        </w:rPr>
        <w:t>ثانياً: الأهمية التطبيقية:</w:t>
      </w:r>
      <w:bookmarkEnd w:id="14"/>
    </w:p>
    <w:p w14:paraId="3D04A1EE"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مساعدة الإدارات العليا في مستشفيات القطاع الخاص على تطوير استراتيجيات الاستقطاب وتطبيق الذكاء الاصطناعي لتعزيز التميز المؤسسي.</w:t>
      </w:r>
    </w:p>
    <w:p w14:paraId="75C4F229"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تقديم توصيات عملية لتحفيز الإبداع بين الموظفين، مما يساهم في تحسين جودة الخدمات الصحية.</w:t>
      </w:r>
    </w:p>
    <w:p w14:paraId="1F8B12C5"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تعزيز قدرة المستشفيات على التكيف مع التغيرات وتطوير بيئة عمل تدعم الابتكار، مما يساهم في تحقيق رؤية السعودية (2030م) في تحسين جودة الخدمات الصحية.</w:t>
      </w:r>
    </w:p>
    <w:p w14:paraId="355BDD6B"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تقييم مدى جاهزية المؤسسات الصحية للاستفادة من تطبيقات الذكاء الاصطناعي بناءً على فعالية سياسات الاستقطاب و القدرة على جذب الموهوبين تكنولوجياً، حيث تظهر الدراسات ان المؤسسات ذات الاستقطاب عالي الكفاءة تحقق نجاحاً أكبر في مشروعات التحول الرقمي بنسبة 40% (Harvard Business Review 2023).</w:t>
      </w:r>
    </w:p>
    <w:p w14:paraId="204A2126" w14:textId="77777777" w:rsidR="00E457CD" w:rsidRPr="00BF65CE" w:rsidRDefault="00014347" w:rsidP="003331A0">
      <w:pPr>
        <w:pStyle w:val="a4"/>
        <w:numPr>
          <w:ilvl w:val="0"/>
          <w:numId w:val="4"/>
        </w:numPr>
        <w:bidi/>
        <w:spacing w:after="100"/>
        <w:jc w:val="both"/>
        <w:rPr>
          <w:rFonts w:ascii="Simplified Arabic" w:hAnsi="Simplified Arabic" w:cs="Simplified Arabic"/>
        </w:rPr>
      </w:pPr>
      <w:r w:rsidRPr="00BF65CE">
        <w:rPr>
          <w:rFonts w:ascii="Simplified Arabic" w:hAnsi="Simplified Arabic" w:cs="Simplified Arabic"/>
          <w:rtl/>
        </w:rPr>
        <w:t>إبراز أثر الاستقطاب الموجه نحو المهارات الابتكارية و الابداع على استدامة التميز المؤسسي، خاصة في ظل التوقعات بأن الذكاء الاصطناعي سيسهم في توفير ما يعادل 15% من الجهد البشري في الخدمات الطبية و الادارية بحلول عام 2030 (World Economic 2024).</w:t>
      </w:r>
    </w:p>
    <w:p w14:paraId="56E66906" w14:textId="77777777" w:rsidR="00E457CD" w:rsidRPr="00BF65CE" w:rsidRDefault="00014347" w:rsidP="00DE7D61">
      <w:pPr>
        <w:pStyle w:val="2"/>
        <w:rPr>
          <w:rFonts w:cs="Simplified Arabic"/>
          <w:color w:val="auto"/>
        </w:rPr>
      </w:pPr>
      <w:bookmarkStart w:id="15" w:name="_Toc235125789"/>
      <w:r w:rsidRPr="00BF65CE">
        <w:rPr>
          <w:rFonts w:cs="Simplified Arabic"/>
          <w:color w:val="auto"/>
          <w:rtl/>
        </w:rPr>
        <w:t>أهداف الدراسة:</w:t>
      </w:r>
      <w:bookmarkEnd w:id="15"/>
    </w:p>
    <w:p w14:paraId="6057EA3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تسعى هذه الدراسة لتحقيق الأهداف التالية:</w:t>
      </w:r>
    </w:p>
    <w:p w14:paraId="27C01991"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التعرف على العلاقة بين الاستقطاب التنظيمي على التميز المؤسسي في مستشفيات القطاع الصحي الخاص في الرياض.</w:t>
      </w:r>
    </w:p>
    <w:p w14:paraId="0FA19942"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lastRenderedPageBreak/>
        <w:t>معرفة أثر تطبيقات الذكاء الاصطناعي على التميز المؤسسي في مستشفيات القطاع الصحي الخاص بمدينة الرياض.</w:t>
      </w:r>
    </w:p>
    <w:p w14:paraId="45813AB0"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تحليل دور الإبداع كمتغير وسيط في العلاقة بين الاستقطاب التنظيمي و التميز المؤسسي في مستشفيات القطاع الصحي الخاص في مدينة الرياض</w:t>
      </w:r>
    </w:p>
    <w:p w14:paraId="09B5573F" w14:textId="77777777" w:rsidR="00E457CD" w:rsidRPr="00BF65CE" w:rsidRDefault="00014347" w:rsidP="003331A0">
      <w:pPr>
        <w:pStyle w:val="a4"/>
        <w:numPr>
          <w:ilvl w:val="0"/>
          <w:numId w:val="5"/>
        </w:numPr>
        <w:bidi/>
        <w:spacing w:after="100"/>
        <w:jc w:val="both"/>
        <w:rPr>
          <w:rFonts w:ascii="Simplified Arabic" w:hAnsi="Simplified Arabic" w:cs="Simplified Arabic"/>
        </w:rPr>
      </w:pPr>
      <w:r w:rsidRPr="00BF65CE">
        <w:rPr>
          <w:rFonts w:ascii="Simplified Arabic" w:hAnsi="Simplified Arabic" w:cs="Simplified Arabic"/>
          <w:rtl/>
        </w:rPr>
        <w:t>تحليل دور الإبداع كمتغير وسيط في العلاقة بين تطبيقات الذكاء الاصطناعي والتميز المؤسسي في مستشفيات القطاع الصحي الخاص بمدينة الرياض.</w:t>
      </w:r>
    </w:p>
    <w:p w14:paraId="0CE0AF2E" w14:textId="77777777" w:rsidR="00E457CD" w:rsidRPr="00BF65CE" w:rsidRDefault="00014347" w:rsidP="00DE7D61">
      <w:pPr>
        <w:pStyle w:val="2"/>
        <w:rPr>
          <w:rFonts w:cs="Simplified Arabic"/>
          <w:color w:val="auto"/>
        </w:rPr>
      </w:pPr>
      <w:bookmarkStart w:id="16" w:name="_Toc235125790"/>
      <w:r w:rsidRPr="00BF65CE">
        <w:rPr>
          <w:rFonts w:cs="Simplified Arabic"/>
          <w:color w:val="auto"/>
          <w:rtl/>
        </w:rPr>
        <w:t>فروض الدراسة:</w:t>
      </w:r>
      <w:bookmarkEnd w:id="16"/>
    </w:p>
    <w:p w14:paraId="22AD4065" w14:textId="77777777"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على التميز المؤسسي في مستشفيات القطاع الصحي الخاص بمدينة الرياض.</w:t>
      </w:r>
    </w:p>
    <w:p w14:paraId="6B8C1D82" w14:textId="77777777"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ذو دلالة إحصائية لتطبيقات الذكاء الاصطناعي على التميز المؤسسي في مستشفيات القطاع الصحي الخاص بمدينة الرياض</w:t>
      </w:r>
    </w:p>
    <w:p w14:paraId="7954F49E" w14:textId="77777777"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p w14:paraId="4B393CEC" w14:textId="77777777" w:rsidR="00E457CD" w:rsidRPr="00BF65CE" w:rsidRDefault="00014347" w:rsidP="003331A0">
      <w:pPr>
        <w:pStyle w:val="a4"/>
        <w:numPr>
          <w:ilvl w:val="0"/>
          <w:numId w:val="8"/>
        </w:numPr>
        <w:bidi/>
        <w:spacing w:after="160"/>
        <w:jc w:val="both"/>
        <w:rPr>
          <w:rFonts w:ascii="Simplified Arabic" w:hAnsi="Simplified Arabic" w:cs="Simplified Arabic"/>
        </w:rPr>
      </w:pPr>
      <w:r w:rsidRPr="00BF65CE">
        <w:rPr>
          <w:rFonts w:ascii="Simplified Arabic" w:hAnsi="Simplified Arabic" w:cs="Simplified Arabic"/>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p w14:paraId="6DE2F662" w14:textId="77777777" w:rsidR="00E457CD" w:rsidRPr="00BF65CE" w:rsidRDefault="00014347" w:rsidP="00DE7D61">
      <w:pPr>
        <w:pStyle w:val="2"/>
        <w:rPr>
          <w:rFonts w:cs="Simplified Arabic"/>
          <w:color w:val="auto"/>
        </w:rPr>
      </w:pPr>
      <w:bookmarkStart w:id="17" w:name="_Toc235125791"/>
      <w:r w:rsidRPr="00BF65CE">
        <w:rPr>
          <w:rFonts w:cs="Simplified Arabic"/>
          <w:color w:val="auto"/>
          <w:rtl/>
        </w:rPr>
        <w:t>حدود الدراسة:</w:t>
      </w:r>
      <w:bookmarkEnd w:id="17"/>
      <w:r w:rsidRPr="00BF65CE">
        <w:rPr>
          <w:rFonts w:cs="Simplified Arabic"/>
          <w:color w:val="auto"/>
          <w:rtl/>
        </w:rPr>
        <w:t xml:space="preserve"> </w:t>
      </w:r>
    </w:p>
    <w:p w14:paraId="371306D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ستكون نطاق حدود الدراسة على النحو التالي:</w:t>
      </w:r>
    </w:p>
    <w:p w14:paraId="6FFA158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الموضوعية: </w:t>
      </w:r>
      <w:r w:rsidRPr="00BF65CE">
        <w:rPr>
          <w:rFonts w:ascii="Simplified Arabic" w:hAnsi="Simplified Arabic" w:cs="Simplified Arabic"/>
          <w:rtl/>
        </w:rPr>
        <w:t>اقتصرت الدراسة على دور الإبداع في تأثير الاستقطاب التنظيمي وتطبيقات الذكاء الاصطناعي على التميز المؤسسي في المستشفيات الخاصة في المملكة العربية السعودية.</w:t>
      </w:r>
    </w:p>
    <w:p w14:paraId="681901C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lastRenderedPageBreak/>
        <w:t xml:space="preserve">- الحدود البشرية: </w:t>
      </w:r>
      <w:r w:rsidRPr="00BF65CE">
        <w:rPr>
          <w:rFonts w:ascii="Simplified Arabic" w:hAnsi="Simplified Arabic" w:cs="Simplified Arabic"/>
          <w:rtl/>
        </w:rPr>
        <w:t>تستهدف الدراسة عينة من الموظفين والمديرين في مستشفيات القطاع الصحي الخاص في مدينة الرياض، حيث سيتم جمع بياناتهم من خلال استبيانات ومقابلات، موزعين بشكل متوازن بين مختلف المستويات الوظيفية (إداريين، مشرفين، وموظفين عاديين).</w:t>
      </w:r>
    </w:p>
    <w:p w14:paraId="22664DC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الزمانية: </w:t>
      </w:r>
      <w:r w:rsidRPr="00BF65CE">
        <w:rPr>
          <w:rFonts w:ascii="Simplified Arabic" w:hAnsi="Simplified Arabic" w:cs="Simplified Arabic"/>
          <w:rtl/>
        </w:rPr>
        <w:t>تمتد فترة الدراسة من سنة (2025م) إلى سنة (2026م) تشمل هذه الفترة جمع البيانات، وتحليل النتائج، وتقديم التوصيات، سيتم إجراء الاستطلاعات والمقابلات خلال العام (2025م)، وكذلك ستتم عملية تحليل البيانات وإعداد التقرير النهائي.</w:t>
      </w:r>
    </w:p>
    <w:p w14:paraId="49C2389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الحدود المكانية: </w:t>
      </w:r>
      <w:r w:rsidRPr="00BF65CE">
        <w:rPr>
          <w:rFonts w:ascii="Simplified Arabic" w:hAnsi="Simplified Arabic" w:cs="Simplified Arabic"/>
          <w:rtl/>
        </w:rPr>
        <w:t>تركز الدراسة على مستشفيات القطاع الخاص في المملكة العربية السعودية، مع التركيز على مدينة الرياض.</w:t>
      </w:r>
    </w:p>
    <w:p w14:paraId="3B00B66B" w14:textId="77777777" w:rsidR="00E457CD" w:rsidRPr="00BF65CE" w:rsidRDefault="00014347" w:rsidP="00DE7D61">
      <w:pPr>
        <w:pStyle w:val="2"/>
        <w:rPr>
          <w:rFonts w:cs="Simplified Arabic"/>
          <w:color w:val="auto"/>
        </w:rPr>
      </w:pPr>
      <w:bookmarkStart w:id="18" w:name="_Toc235125792"/>
      <w:r w:rsidRPr="00BF65CE">
        <w:rPr>
          <w:rFonts w:cs="Simplified Arabic"/>
          <w:color w:val="auto"/>
          <w:rtl/>
        </w:rPr>
        <w:t>مفاهيم الدراسة:</w:t>
      </w:r>
      <w:bookmarkEnd w:id="18"/>
    </w:p>
    <w:p w14:paraId="2562F300" w14:textId="77777777" w:rsidR="00E457CD" w:rsidRPr="00BF65CE" w:rsidRDefault="00014347" w:rsidP="00DE7D61">
      <w:pPr>
        <w:pStyle w:val="3"/>
        <w:rPr>
          <w:rFonts w:cs="Simplified Arabic"/>
          <w:color w:val="auto"/>
        </w:rPr>
      </w:pPr>
      <w:bookmarkStart w:id="19" w:name="_Toc235125793"/>
      <w:r w:rsidRPr="00BF65CE">
        <w:rPr>
          <w:rFonts w:cs="Simplified Arabic"/>
          <w:color w:val="auto"/>
          <w:rtl/>
        </w:rPr>
        <w:t>1- مفهوم الاستقطاب التنظيمي:</w:t>
      </w:r>
      <w:bookmarkEnd w:id="19"/>
    </w:p>
    <w:p w14:paraId="60110F7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الجهود المستمرة لجذب المواهب والاحتفاظ بها داخل المؤسسة لضمان تلبية الاحتياجات الاستراتيجية بعيدة المدى، يتطلب الاستقطاب الفعّال استخدام استراتيجيات توظيف متقدمة، مثل التوظيف الرقمي وتحليل بيانات الموارد البشرية، لضمان جذب الأفراد ذوي المهارات العالية، كذلك، يعتمد الاحتفاظ بالمواهب على إنشاء بيئة عمل داعمة وثقافة تنظيمية تشجع على الابتكار والتطوير المهني المستمر(Paramita et al., 2024).</w:t>
      </w:r>
    </w:p>
    <w:p w14:paraId="098AC7C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التعرف الإجرائي:</w:t>
      </w:r>
    </w:p>
    <w:p w14:paraId="2C1F1A0D"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العملية التي يتم من خلالها تحديد واحتفاظ الأفراد ذوي الكفاءات العالية والمهارات الفريدة ضمن المؤسسة، يُقاس الاستقطاب من خلال مستوى الرضا الوظيفي، والتحفيز، والتعاون بين الموظفين، ومدى توافق الأهداف الفردية مع الأهداف المؤسسية.</w:t>
      </w:r>
    </w:p>
    <w:p w14:paraId="403728C2" w14:textId="77777777" w:rsidR="00DF326B" w:rsidRDefault="00DF326B" w:rsidP="002071EC">
      <w:pPr>
        <w:spacing w:after="160"/>
        <w:jc w:val="both"/>
        <w:rPr>
          <w:rFonts w:ascii="Simplified Arabic" w:hAnsi="Simplified Arabic" w:cs="Simplified Arabic"/>
        </w:rPr>
      </w:pPr>
    </w:p>
    <w:p w14:paraId="1F23719F" w14:textId="77777777" w:rsidR="00DF326B" w:rsidRPr="00BF65CE" w:rsidRDefault="00DF326B" w:rsidP="002071EC">
      <w:pPr>
        <w:spacing w:after="160"/>
        <w:jc w:val="both"/>
        <w:rPr>
          <w:rFonts w:ascii="Simplified Arabic" w:hAnsi="Simplified Arabic" w:cs="Simplified Arabic"/>
        </w:rPr>
      </w:pPr>
    </w:p>
    <w:p w14:paraId="2DCA9DC1" w14:textId="77777777" w:rsidR="00E457CD" w:rsidRPr="00BF65CE" w:rsidRDefault="00014347" w:rsidP="00DE7D61">
      <w:pPr>
        <w:pStyle w:val="3"/>
        <w:rPr>
          <w:rFonts w:cs="Simplified Arabic"/>
          <w:color w:val="auto"/>
        </w:rPr>
      </w:pPr>
      <w:bookmarkStart w:id="20" w:name="_Toc235125794"/>
      <w:r w:rsidRPr="00BF65CE">
        <w:rPr>
          <w:rFonts w:cs="Simplified Arabic"/>
          <w:color w:val="auto"/>
          <w:rtl/>
        </w:rPr>
        <w:lastRenderedPageBreak/>
        <w:t>2- مفهوم الذكاء الاصطناعي:</w:t>
      </w:r>
      <w:bookmarkEnd w:id="20"/>
    </w:p>
    <w:p w14:paraId="5112C96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الذكاء الاصطناعي يُعتبر من أهم التقنيات الحديثة التي تعزز من أداء المؤسسات من خلال تحليل البيانات الضخمة والتعلم الآلي، يُسهم الذكاء الاصطناعي في تحسين الإنتاجية وتقديم خدمات مخصصة، كما يساعد في الأتمتة واتخاذ القرارات الاستراتيجية الدقيقة بناءً على البيانات، يُظهر الاستخدام المتزايد للذكاء الاصطناعي في مجالات مثل التسويق وإدارة سلسلة التوريد تأثيره الكبير على تحسين الأداء المؤسسي والمرونة التشغيلية (Paramita et al., 2024).</w:t>
      </w:r>
    </w:p>
    <w:p w14:paraId="58C581E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 ويعرف (مركز البحوث والمعلومات، 2021) الذكاء الاصطناعي</w:t>
      </w:r>
      <w:r w:rsidRPr="00BF65CE">
        <w:rPr>
          <w:rFonts w:ascii="Simplified Arabic" w:hAnsi="Simplified Arabic" w:cs="Simplified Arabic"/>
          <w:rtl/>
        </w:rPr>
        <w:t xml:space="preserve"> بأنه: محاكاة لذكاء الإنسان وفهم طبيعته عن طريق عمل برامج للحاسب الآلي قادرة على محاكاة السلوك الإنساني المتسم بالذكاء، ويوجد الذكاء الاصطناعي حالياً في كل مكان حولنا، بداية من السيارات ذاتية القيادة والطائرات المسيرة بدون طيار وبرمجيات الترجمة أو الاستثمار وغيرها الكثير من التطبيقات المنتشرة في الحياة.</w:t>
      </w:r>
    </w:p>
    <w:p w14:paraId="2C14928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التعريف الإجرائي: </w:t>
      </w:r>
    </w:p>
    <w:p w14:paraId="2C46B75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يُعرف الذكاء الاصطناعي بأنه مجموعة من التقنيات والأنظمة التي تحاكي القدرات العقلية البشرية لأداء مهام معينة، مثل تحليل البيانات، واتخاذ القرارات، والتنبؤ بالاتجاهات، يتم قياسه من خلال عدد التطبيقات المستخدمة في المؤسسة، وفعالية هذه التطبيقات في تحسين العمليات وجودة الأداء.</w:t>
      </w:r>
    </w:p>
    <w:p w14:paraId="2FF52E99" w14:textId="77777777" w:rsidR="00E457CD" w:rsidRPr="00BF65CE" w:rsidRDefault="00014347" w:rsidP="00DE7D61">
      <w:pPr>
        <w:pStyle w:val="3"/>
        <w:rPr>
          <w:rFonts w:cs="Simplified Arabic"/>
          <w:color w:val="auto"/>
        </w:rPr>
      </w:pPr>
      <w:bookmarkStart w:id="21" w:name="_Toc235125795"/>
      <w:r w:rsidRPr="00BF65CE">
        <w:rPr>
          <w:rFonts w:cs="Simplified Arabic"/>
          <w:color w:val="auto"/>
          <w:rtl/>
        </w:rPr>
        <w:t>3- مفهوم التميز المؤسسي:</w:t>
      </w:r>
      <w:bookmarkEnd w:id="21"/>
    </w:p>
    <w:p w14:paraId="6C0965D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التميز المؤسسي هو القدرة على تحقيق أداء متفوق من خلال الابتكار والتركيز على رضا العملاء والموظفين، ويعتمد على استراتيجيات تحسين الأداء المستدامة، مثل تطبيق أفضل الممارسات وتطوير ثقافة التحسين المستمر، يشمل التميز المؤسسي أيضاً استجابة المؤسسة السريعة للتغيرات في السوق وقدرتها على تقديم قيمة مضافة للعملاء بشكل يتجاوز المنافسين (Martin, 2022).</w:t>
      </w:r>
    </w:p>
    <w:p w14:paraId="3F93F2A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وكذلك يعرف (الحارثي، 2024) التميز المؤسسي بأنه</w:t>
      </w:r>
      <w:r w:rsidRPr="00BF65CE">
        <w:rPr>
          <w:rFonts w:ascii="Simplified Arabic" w:hAnsi="Simplified Arabic" w:cs="Simplified Arabic"/>
          <w:rtl/>
        </w:rPr>
        <w:t xml:space="preserve">: حالة من الإبداع الإداري، والتفوق التنظيمي التي تحقق مستويات غير عادية من الأداء، والتنفيذ للعمليات الإنتاجية والتسويقية والمالية وغيرها في المؤسسة، وما ينتج عنها من نتائج </w:t>
      </w:r>
      <w:r w:rsidRPr="00BF65CE">
        <w:rPr>
          <w:rFonts w:ascii="Simplified Arabic" w:hAnsi="Simplified Arabic" w:cs="Simplified Arabic"/>
          <w:rtl/>
        </w:rPr>
        <w:lastRenderedPageBreak/>
        <w:t>وانجازات تتفوق على ما يحققه المنافسون، ويرضى عنها العملاء وكافة أصحاب المصلحة، وتعرف قدرات أداء منافسيها، وتظهر نقاط الضعف والقوة الخارجية بها والبيئة المحيطة.</w:t>
      </w:r>
    </w:p>
    <w:p w14:paraId="29D0773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التعريف الإجرائي:</w:t>
      </w:r>
    </w:p>
    <w:p w14:paraId="3D793EB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يُقصد بالتميز المؤسسي هو قدرة المؤسسة على تحقيق نتائج متفوقة مقارنةً بمنافسيها، ويشمل الأداء المالي، الابتكار، والرضا الوظيفي، يتم قياسه من خلال مؤشرات الأداء الرئيسية (KPIs) مثل العائد على الاستثمار (ROI) ومعدل الاحتفاظ بالعملاء ورضا الموظفين.</w:t>
      </w:r>
    </w:p>
    <w:p w14:paraId="6F679086" w14:textId="77777777" w:rsidR="00E457CD" w:rsidRPr="00BF65CE" w:rsidRDefault="00014347" w:rsidP="00DE7D61">
      <w:pPr>
        <w:pStyle w:val="3"/>
        <w:rPr>
          <w:rFonts w:cs="Simplified Arabic"/>
          <w:color w:val="auto"/>
        </w:rPr>
      </w:pPr>
      <w:bookmarkStart w:id="22" w:name="_Toc235125796"/>
      <w:r w:rsidRPr="00BF65CE">
        <w:rPr>
          <w:rFonts w:cs="Simplified Arabic"/>
          <w:color w:val="auto"/>
          <w:rtl/>
        </w:rPr>
        <w:t>4- مفهوم الإبداع:</w:t>
      </w:r>
      <w:bookmarkEnd w:id="22"/>
    </w:p>
    <w:p w14:paraId="73205EA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يعتبر الإبداع أحد المحركات الرئيسية للابتكار في المؤسسات، يعزز الإبداع من القدرة على تطوير حلول جديدة للتحديات التي تواجه المؤسسة، وهو عامل حاسم في تحسين العمليات والمنتجات والخدمات، يعتمد قياس الإبداع على قدرة المؤسسة على تحفيز الموظفين على التفكير خارج الصندوق وتقديم أفكار جديدة ومبتكرة، تؤكد الدراسات الحديثة على دور القيادة في تعزيز بيئة عمل تشجع على الإبداع (Id et al., 2024b).</w:t>
      </w:r>
    </w:p>
    <w:p w14:paraId="3BDC6E8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وكذلك يعرف (بو حالة؛ بوطة؛ 2023) الإبداع بأنه: قدرة الفرد العامل على تحويل المعرفة إلى عمل منتج وهو يتميز عن الابتكار الذي يهتم بطرح الأفكار الخلاقة التي تمثل رؤية جديدة للأشياء أو طرق العمل في حين الابداع يمثل خطوة إضافية لتطبيق الأفكار الخلاقة (الأشياء المبتكرة) بما يؤدي إلى خلق الإنتاج وزيادته ويضيف قيمة ملحوظة للمنظمة أما بتحقيق مزيد من الأرباح أو تخفيض التكاليف أو تقليل عنصر المخاطرة، كما أن الإبداع هو الاتيان بشيء جديد غير مألوف والنظر إلى الأشياء الموجودة بطريقة جديدة، وكما هو عبارة عن عملية ينتج عنها عمل جديد ترضى عنه الجماعة وتتقبله على أنه شيء مفيد.</w:t>
      </w:r>
    </w:p>
    <w:p w14:paraId="1288477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 xml:space="preserve">التعريف الإجرائي: </w:t>
      </w:r>
    </w:p>
    <w:p w14:paraId="112AA30F" w14:textId="77777777" w:rsidR="003331A0" w:rsidRPr="00DF326B" w:rsidRDefault="00014347" w:rsidP="00DF326B">
      <w:pPr>
        <w:spacing w:after="160"/>
        <w:jc w:val="both"/>
        <w:rPr>
          <w:rFonts w:ascii="Simplified Arabic" w:hAnsi="Simplified Arabic" w:cs="Simplified Arabic"/>
          <w:rtl/>
        </w:rPr>
      </w:pPr>
      <w:r w:rsidRPr="00BF65CE">
        <w:rPr>
          <w:rFonts w:ascii="Simplified Arabic" w:hAnsi="Simplified Arabic" w:cs="Simplified Arabic"/>
          <w:rtl/>
        </w:rPr>
        <w:t>يُعرف الإبداع بأنه القدرة على توليد أفكار جديدة ومبتكرة وحل المشكلات بطرق غير تقليدية، يتم قياس مستوى الإبداع من خلال تقييمات دورية للابتكارات المقدمة من الموظفين، وقياس تأثيرها على تحسين العمليات أو المنتجات أو الخدمات المقدمة من المؤسسة.</w:t>
      </w:r>
    </w:p>
    <w:p w14:paraId="2BBE2F79" w14:textId="77777777" w:rsidR="008A3F6D" w:rsidRDefault="00145E6B">
      <w:pPr>
        <w:pStyle w:val="2"/>
        <w:rPr>
          <w:rFonts w:cs="Simplified Arabic"/>
          <w:color w:val="auto"/>
        </w:rPr>
      </w:pPr>
      <w:bookmarkStart w:id="23" w:name="_Toc235125797"/>
      <w:r>
        <w:rPr>
          <w:rFonts w:cs="Simplified Arabic"/>
          <w:color w:val="auto"/>
          <w:rtl/>
        </w:rPr>
        <w:lastRenderedPageBreak/>
        <w:t>خلاصة الفصل الأول</w:t>
      </w:r>
      <w:bookmarkEnd w:id="23"/>
    </w:p>
    <w:p w14:paraId="3A2FF133" w14:textId="77777777" w:rsidR="008A3F6D" w:rsidRDefault="00145E6B">
      <w:pPr>
        <w:spacing w:after="160"/>
        <w:jc w:val="both"/>
        <w:rPr>
          <w:rFonts w:ascii="Simplified Arabic" w:hAnsi="Simplified Arabic" w:cs="Simplified Arabic"/>
        </w:rPr>
      </w:pPr>
      <w:r>
        <w:rPr>
          <w:rFonts w:ascii="Simplified Arabic" w:hAnsi="Simplified Arabic" w:cs="Simplified Arabic"/>
          <w:rtl/>
        </w:rPr>
        <w:t>عرض الفصل الأول الإطار المنهجي للدراسة، بدءًا من تحديد المشكلة وتساؤلاتها وأهدافها وأهميتها وفروضها، ثم بيان حدود الدراسة ومفاهيم متغيراتها الرئيسة. كما أوضح الفصل العلاقات المتوقعة بين الاستقطاب التنظيمي وتطبيقات الذكاء الاصطناعي والإبداع المؤسسي والتميز المؤسسي، بما يمهّد لبناء الإطار النظري للدراسة في الفصل التالي.</w:t>
      </w:r>
    </w:p>
    <w:p w14:paraId="5C450CDD" w14:textId="77777777" w:rsidR="00E457CD" w:rsidRPr="00BF65CE" w:rsidRDefault="00014347" w:rsidP="00DE7D61">
      <w:pPr>
        <w:pStyle w:val="1"/>
        <w:pageBreakBefore/>
        <w:rPr>
          <w:rFonts w:cs="Simplified Arabic"/>
          <w:color w:val="auto"/>
          <w:sz w:val="24"/>
        </w:rPr>
      </w:pPr>
      <w:bookmarkStart w:id="24" w:name="_Toc235125798"/>
      <w:r w:rsidRPr="00BF65CE">
        <w:rPr>
          <w:rFonts w:cs="Simplified Arabic"/>
          <w:color w:val="auto"/>
          <w:rtl/>
        </w:rPr>
        <w:lastRenderedPageBreak/>
        <w:t>الفصل الثاني: الإطار النظري للدراسة</w:t>
      </w:r>
      <w:bookmarkEnd w:id="24"/>
    </w:p>
    <w:p w14:paraId="600B643B" w14:textId="77777777" w:rsidR="00E457CD" w:rsidRPr="00BF65CE" w:rsidRDefault="00DB76C7" w:rsidP="00DE7D61">
      <w:pPr>
        <w:pStyle w:val="2"/>
        <w:rPr>
          <w:rFonts w:cs="Simplified Arabic"/>
          <w:color w:val="auto"/>
        </w:rPr>
      </w:pPr>
      <w:bookmarkStart w:id="25" w:name="_Toc235125799"/>
      <w:r>
        <w:rPr>
          <w:rFonts w:cs="Simplified Arabic"/>
          <w:color w:val="auto"/>
          <w:rtl/>
        </w:rPr>
        <w:t>تمهيد</w:t>
      </w:r>
      <w:bookmarkEnd w:id="25"/>
      <w:r w:rsidR="00014347" w:rsidRPr="00BF65CE">
        <w:rPr>
          <w:rFonts w:cs="Simplified Arabic"/>
          <w:color w:val="auto"/>
          <w:rtl/>
        </w:rPr>
        <w:t xml:space="preserve"> </w:t>
      </w:r>
    </w:p>
    <w:p w14:paraId="3011257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يعتبر الإبداع من الركائز المهمة للغاية والتي تستند إليها المؤسسات المعاصرة في تحقيق التميز المؤسسي، وخاصة في ظل التحولات الرقمية السريعة وتزايد التنافسية في بيئات الأعمال، ومن ثم قد أصبح لعمليات الاستقطاب التنظيمي دور محوري في تمكين المؤسسات من استقطاب الكفاءات القادرة على قيادة التغيير، وتعزيز بيئات عمل محفزة تدعم التفكير الإبداعي والابتكار.</w:t>
      </w:r>
    </w:p>
    <w:p w14:paraId="1CD8287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الوقت ذاته ظهرت تطبيقات الذكاء الاصطناعي كأحد أهم الأدوات الداعمة لتطوير الأداء المؤسسي، لما توفره من إمكانيات هائلة في تحليل البيانات، وتوجيه القرارات الاستراتيجية، وتبسيط الإجراءات التشغيلية بما ينعكس على تحقيق مستويات أعلى من الكفاءة.</w:t>
      </w:r>
    </w:p>
    <w:p w14:paraId="2B963BD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وعليه فان دراسة التفاعل بين هذه المتغيرات تكتسب أهمية خاصة في ظل ما تواجهه المؤسسات من تحديات تتعلق بتعزيز تنافسيتها وتحقيق التميز في تقديم الخدمات، ومن هنا، يركز هذا الفصل على استعراض الأدبيات المتعلقة بالاستقطاب التنظيمي، وتطبيقات الذكاء الاصطناعي، والتميز المؤسسي، مع تسليط الضوء على الإبداع كمتغير وسيط يربط بين هذه الأبعاد. كما يتناول الفصل تحليل الدراسات السابقة التي تناولت هذه المفاهيم بصورة فردية أو مترابطة، بما يتيح بناء إطار نظري متكامل يدعم الفرضيات البحثية، ويشكل أساسًا لفهم العلاقات بين متغيرات الدراسة.</w:t>
      </w:r>
    </w:p>
    <w:p w14:paraId="3D81BD28" w14:textId="77777777" w:rsidR="00E457CD" w:rsidRPr="00BF65CE" w:rsidRDefault="00014347" w:rsidP="00DE7D61">
      <w:pPr>
        <w:pStyle w:val="2"/>
        <w:rPr>
          <w:rFonts w:cs="Simplified Arabic"/>
          <w:color w:val="auto"/>
        </w:rPr>
      </w:pPr>
      <w:bookmarkStart w:id="26" w:name="_Toc235125800"/>
      <w:r w:rsidRPr="00BF65CE">
        <w:rPr>
          <w:rFonts w:cs="Simplified Arabic"/>
          <w:color w:val="auto"/>
          <w:rtl/>
        </w:rPr>
        <w:t>متغيرات الدراسة:</w:t>
      </w:r>
      <w:bookmarkEnd w:id="26"/>
    </w:p>
    <w:p w14:paraId="35428784"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يأتي هذا البحث ليدرس دور الإبداع كمتغير وسيط في العلاقة بين الاستقطاب التنظيمي وتطبيقات الذكاء الاصطناعي من جهة، والتميز المؤسسي من جهة أخرى، بما يسهم في تقديم فهم للآليات التي تمكّن المؤسسات من الارتقاء بمستوى أدائها ويمكن بيان المتغيرات التي تتعلق بدراساتنا على النحو التالي:</w:t>
      </w:r>
    </w:p>
    <w:p w14:paraId="5455A094" w14:textId="77777777" w:rsidR="00DF326B" w:rsidRDefault="00DF326B" w:rsidP="002071EC">
      <w:pPr>
        <w:spacing w:after="160"/>
        <w:jc w:val="both"/>
        <w:rPr>
          <w:rFonts w:ascii="Simplified Arabic" w:hAnsi="Simplified Arabic" w:cs="Simplified Arabic"/>
        </w:rPr>
      </w:pPr>
    </w:p>
    <w:p w14:paraId="73FE2E7F" w14:textId="77777777" w:rsidR="00DF326B" w:rsidRPr="00BF65CE" w:rsidRDefault="00DF326B" w:rsidP="002071EC">
      <w:pPr>
        <w:spacing w:after="160"/>
        <w:jc w:val="both"/>
        <w:rPr>
          <w:rFonts w:ascii="Simplified Arabic" w:hAnsi="Simplified Arabic" w:cs="Simplified Arabic"/>
        </w:rPr>
      </w:pPr>
    </w:p>
    <w:p w14:paraId="794AAB14" w14:textId="77777777" w:rsidR="00E457CD" w:rsidRPr="00BF65CE" w:rsidRDefault="00014347" w:rsidP="00DE7D61">
      <w:pPr>
        <w:pStyle w:val="3"/>
        <w:rPr>
          <w:rFonts w:cs="Simplified Arabic"/>
          <w:color w:val="auto"/>
          <w:sz w:val="24"/>
          <w:szCs w:val="24"/>
        </w:rPr>
      </w:pPr>
      <w:bookmarkStart w:id="27" w:name="_Toc235125801"/>
      <w:r w:rsidRPr="00BF65CE">
        <w:rPr>
          <w:rFonts w:cs="Simplified Arabic"/>
          <w:color w:val="auto"/>
          <w:sz w:val="24"/>
          <w:szCs w:val="24"/>
          <w:rtl/>
        </w:rPr>
        <w:lastRenderedPageBreak/>
        <w:t>الاستقطاب التنظيمي (المتغير المستقل1)</w:t>
      </w:r>
      <w:bookmarkEnd w:id="27"/>
    </w:p>
    <w:p w14:paraId="4092228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يشير الاستقطاب التنظيمي إلى الجهود التي تبذلها المؤسسة لجذب واستقطاب الكفاءات البشرية المؤهلة، وضمان اندماجها الفعّال ضمن بيئة العمل (الحسين، 2021) ويمتد ليشمل بناء صورة ذهنية إيجابية عن المنظمة، وإيجاد بيئة عمل محفزة تعزز الولاء والارتباط الوظيفي.</w:t>
      </w:r>
    </w:p>
    <w:p w14:paraId="4142EC5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أبعاده الرئيسة:</w:t>
      </w:r>
    </w:p>
    <w:p w14:paraId="3F72470F"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التخطيط والتنفيذ وإعداد الخطط الاستراتيجية المتعلقة بتحديد الاحتياجات البشرية على المدى القريب والبعيد، ثم ترجمة تلك الخطط إلى إجراءات عملية من خلال تطبيق السياسات والبرامج الخاصة بعمليات الاستقطاب على نحو منظّم وفعّال، بما يضمن توافقها مع أهداف المؤسسة الاستراتيجية.</w:t>
      </w:r>
    </w:p>
    <w:p w14:paraId="1E1CE8C9"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بناء الثقة والحوار البنّاء من خلال قدرة المؤسسة على تعزيز صورتها الذهنية الإيجابية بما يعكس المصداقية والشفافية، إضافةً إلى إتاحة قنوات اتصال وتواصل فعّالة مع المرشحين، الأمر الذي يسهم في خلق تفاعل إيجابي متبادل قائم على الفهم العميق لثقافة المنظمة وقيمها.</w:t>
      </w:r>
    </w:p>
    <w:p w14:paraId="561B34CB"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أساليب الاستقطاب ومصادره واستخدام الأدوات والآليات التي تعتمدها المؤسسة في البحث عن الكفاءات وجذبها، سواء عبر الأساليب التقليدية أو الحديثة، إلى جانب تنويع مصادر الاستقطاب من داخل المنظمة (الكوادر القائمة) أو من خارجها (سوق العمل المحلي والإقليمي والدولي).</w:t>
      </w:r>
    </w:p>
    <w:p w14:paraId="6CC53E6A" w14:textId="77777777" w:rsidR="00E457CD" w:rsidRPr="00BF65CE"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الاستقطاب الإلكتروني في توظيف المنصات الرقمية والتطبيقات الإلكترونية المختلفة لتسهيل عمليات الإعلان، والتقديم، والفرز، بما يُسهم في رفع كفاءة الاستقطاب وتسريعه.</w:t>
      </w:r>
    </w:p>
    <w:p w14:paraId="65F84D36" w14:textId="77777777" w:rsidR="00E457CD" w:rsidRDefault="00014347" w:rsidP="003331A0">
      <w:pPr>
        <w:pStyle w:val="a4"/>
        <w:numPr>
          <w:ilvl w:val="0"/>
          <w:numId w:val="9"/>
        </w:numPr>
        <w:bidi/>
        <w:spacing w:after="100"/>
        <w:jc w:val="both"/>
        <w:rPr>
          <w:rFonts w:ascii="Simplified Arabic" w:hAnsi="Simplified Arabic" w:cs="Simplified Arabic"/>
        </w:rPr>
      </w:pPr>
      <w:r w:rsidRPr="00BF65CE">
        <w:rPr>
          <w:rFonts w:ascii="Simplified Arabic" w:hAnsi="Simplified Arabic" w:cs="Simplified Arabic"/>
          <w:rtl/>
        </w:rPr>
        <w:t>أساليب الجذب ترتبط بالوسائل التي تنتهجها المؤسسة لتعزيز قدرتها التنافسية في استقطاب الكفاءات، مثل الحوافز المادية والمعنوية، والبرامج التطويرية، وتوفير بيئة عمل محفزة وداعمة تسهم في تعزيز الولاء الوظيفي والاستمرارية.</w:t>
      </w:r>
    </w:p>
    <w:p w14:paraId="01B6EF41" w14:textId="77777777" w:rsidR="00DF326B" w:rsidRDefault="00DF326B" w:rsidP="00DF326B">
      <w:pPr>
        <w:spacing w:after="100"/>
        <w:jc w:val="both"/>
        <w:rPr>
          <w:rFonts w:ascii="Simplified Arabic" w:hAnsi="Simplified Arabic" w:cs="Simplified Arabic"/>
        </w:rPr>
      </w:pPr>
    </w:p>
    <w:p w14:paraId="620553E6" w14:textId="77777777" w:rsidR="00DF326B" w:rsidRDefault="00DF326B" w:rsidP="00DF326B">
      <w:pPr>
        <w:spacing w:after="100"/>
        <w:jc w:val="both"/>
        <w:rPr>
          <w:rFonts w:ascii="Simplified Arabic" w:hAnsi="Simplified Arabic" w:cs="Simplified Arabic"/>
        </w:rPr>
      </w:pPr>
    </w:p>
    <w:p w14:paraId="01707CBF" w14:textId="77777777" w:rsidR="00DF326B" w:rsidRPr="00DF326B" w:rsidRDefault="00DF326B" w:rsidP="00DF326B">
      <w:pPr>
        <w:spacing w:after="100"/>
        <w:jc w:val="both"/>
        <w:rPr>
          <w:rFonts w:ascii="Simplified Arabic" w:hAnsi="Simplified Arabic" w:cs="Simplified Arabic"/>
        </w:rPr>
      </w:pPr>
    </w:p>
    <w:p w14:paraId="536E5BDD" w14:textId="77777777" w:rsidR="00E457CD" w:rsidRPr="00BF65CE" w:rsidRDefault="00014347" w:rsidP="00DE7D61">
      <w:pPr>
        <w:pStyle w:val="3"/>
        <w:rPr>
          <w:rFonts w:cs="Simplified Arabic"/>
          <w:color w:val="auto"/>
          <w:sz w:val="24"/>
          <w:szCs w:val="24"/>
        </w:rPr>
      </w:pPr>
      <w:bookmarkStart w:id="28" w:name="_Toc235125802"/>
      <w:r w:rsidRPr="00BF65CE">
        <w:rPr>
          <w:rFonts w:cs="Simplified Arabic"/>
          <w:color w:val="auto"/>
          <w:sz w:val="24"/>
          <w:szCs w:val="24"/>
          <w:rtl/>
        </w:rPr>
        <w:lastRenderedPageBreak/>
        <w:t>تطبيقات الذكاء الاصطناعي (المتغير المستقل2)</w:t>
      </w:r>
      <w:bookmarkEnd w:id="28"/>
    </w:p>
    <w:p w14:paraId="4BC71B2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تعرف تطبيقات الذكاء الاصطناعي بأنها التقنيات والأنظمة الذكية التي تحاكي القدرات البشرية في التحليل واتخاذ القرار، بما يساهم في رفع كفاءة الأداء التنظيمي وتحسين جودة الخدمات (الشمري، 2022). وتزايد اعتماد المؤسسات عليها في مختلف عملياتها الإدارية والتشغيلية لتحقيق سرعة الاستجابة ودقة التنبؤ بالمستقبل.</w:t>
      </w:r>
    </w:p>
    <w:p w14:paraId="3068B13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أبعاده الرئيسة:</w:t>
      </w:r>
    </w:p>
    <w:p w14:paraId="3B640205"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 و توظيف تقنيات الذكاء الاصطناعي في عمليات الاستقطاب، الاختيار، التقييم، وإدارة المسار الوظيفي بما يحقق كفاءة أكبر وعدالة أعلى.</w:t>
      </w:r>
    </w:p>
    <w:p w14:paraId="06AE4EA4"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قدرات الذكاء الاصطناعي و تشمل قدراته في التحليل العميق للبيانات، والتعلم الآلي، والتكيف مع المتغيرات، بما يعزز من فاعلية القرارات التنظيمية.</w:t>
      </w:r>
    </w:p>
    <w:p w14:paraId="680B8E5E"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تطبيقات الذكاء الاصطناعي و استخداماته المتنوعة في الأتمتة الذكية للعمليات، وتحليل البيانات الضخمة، وتطوير أنظمة دعم القرار في مختلف المجالات الإدارية والتشغيلية.</w:t>
      </w:r>
    </w:p>
    <w:p w14:paraId="1E618D1C"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تحسين الأداء ودعم القرار في المساهمة في رفع مستوى الكفاءة التشغيلية وتوفير أدوات دقيقة للتنبؤ واتخاذ القرارات الاستراتيجية.</w:t>
      </w:r>
    </w:p>
    <w:p w14:paraId="1F6F204C" w14:textId="77777777" w:rsidR="00E457CD" w:rsidRPr="00BF65CE" w:rsidRDefault="00014347" w:rsidP="00D578AA">
      <w:pPr>
        <w:pStyle w:val="a4"/>
        <w:numPr>
          <w:ilvl w:val="0"/>
          <w:numId w:val="10"/>
        </w:numPr>
        <w:bidi/>
        <w:spacing w:after="100"/>
        <w:jc w:val="both"/>
        <w:rPr>
          <w:rFonts w:ascii="Simplified Arabic" w:hAnsi="Simplified Arabic" w:cs="Simplified Arabic"/>
        </w:rPr>
      </w:pPr>
      <w:r w:rsidRPr="00BF65CE">
        <w:rPr>
          <w:rFonts w:ascii="Simplified Arabic" w:hAnsi="Simplified Arabic" w:cs="Simplified Arabic"/>
          <w:rtl/>
        </w:rPr>
        <w:t>التدريب والنمو ورضا المراجعين من خلال إسهام تقنيات الذكاء الاصطناعي في تصميم برامج تدريبية متطورة، ودعم النمو المهني، وتحسين تجربة الموظفين والعملاء بما يعزز رضا المستفيدين عن الخدمات.</w:t>
      </w:r>
    </w:p>
    <w:p w14:paraId="0536D523" w14:textId="77777777" w:rsidR="00E457CD" w:rsidRPr="00BF65CE" w:rsidRDefault="00014347" w:rsidP="00DE7D61">
      <w:pPr>
        <w:pStyle w:val="3"/>
        <w:rPr>
          <w:rFonts w:cs="Simplified Arabic"/>
          <w:color w:val="auto"/>
          <w:sz w:val="24"/>
          <w:szCs w:val="24"/>
        </w:rPr>
      </w:pPr>
      <w:bookmarkStart w:id="29" w:name="_Toc235125803"/>
      <w:r w:rsidRPr="00BF65CE">
        <w:rPr>
          <w:rFonts w:cs="Simplified Arabic"/>
          <w:color w:val="auto"/>
          <w:sz w:val="24"/>
          <w:szCs w:val="24"/>
          <w:rtl/>
        </w:rPr>
        <w:t>الإبداع (المتغير الوسيط)</w:t>
      </w:r>
      <w:bookmarkEnd w:id="29"/>
    </w:p>
    <w:p w14:paraId="239B44C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هو القدرة على توليد أفكار جديدة ومبتكرة، وتطبيقها عمليًا في تطوير المنتجات والخدمات أو تحسين العمليات (عمرو، 2020). ولا يقتصر الإبداع على الجوانب الفردية، ولكنه يمتد ليشمل الإبداع الجماعي والتنظيمي الذي يدعم بناء ميزة تنافسية مستدامة ومن أبعاده:</w:t>
      </w:r>
    </w:p>
    <w:p w14:paraId="16AB694E"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الشراكات الإبداعية و التعاون مع الأطراف الداخلية والخارجية بما يسهم في توليد حلول مبتكرة قائمة على تبادل الخبرات والمعرفة.</w:t>
      </w:r>
    </w:p>
    <w:p w14:paraId="48F3A057"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lastRenderedPageBreak/>
        <w:t>القيم والأعراف و دور القيم التنظيمية والأعراف السائدة في دعم التفكير الإبداعي، وتعزيز بيئة عمل مرنة ومحفزة للابتكار.</w:t>
      </w:r>
    </w:p>
    <w:p w14:paraId="455AFCA0"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الإبداع الوظيفي ويتمثل في قدرة الموظفين على إدخال أساليب جديدة وأفكار متطورة في ممارساتهم الوظيفية بما يرفع من كفاءة الأداء.</w:t>
      </w:r>
    </w:p>
    <w:p w14:paraId="4E9A69DB"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تبادل المعلومات وفرق العمل ، يعكس أهمية تبادل المعرفة بين الأفراد والفرق، ودور العمل الجماعي في توليد أفكار مشتركة تسهم في تطوير حلول مبتكرة.</w:t>
      </w:r>
    </w:p>
    <w:p w14:paraId="14DBC756" w14:textId="77777777" w:rsidR="00E457CD" w:rsidRPr="00BF65CE" w:rsidRDefault="00014347" w:rsidP="00D578AA">
      <w:pPr>
        <w:pStyle w:val="a4"/>
        <w:numPr>
          <w:ilvl w:val="0"/>
          <w:numId w:val="11"/>
        </w:numPr>
        <w:bidi/>
        <w:spacing w:after="100"/>
        <w:jc w:val="both"/>
        <w:rPr>
          <w:rFonts w:ascii="Simplified Arabic" w:hAnsi="Simplified Arabic" w:cs="Simplified Arabic"/>
        </w:rPr>
      </w:pPr>
      <w:r w:rsidRPr="00BF65CE">
        <w:rPr>
          <w:rFonts w:ascii="Simplified Arabic" w:hAnsi="Simplified Arabic" w:cs="Simplified Arabic"/>
          <w:rtl/>
        </w:rPr>
        <w:t>الإبداع الشخصي ويشير إلى القدرات الفردية على ابتكار أفكار جديدة غير تقليدية، والمبادرة بتطبيقها بما يخدم أهداف المؤسسة.</w:t>
      </w:r>
    </w:p>
    <w:p w14:paraId="4E7ADA60" w14:textId="77777777" w:rsidR="00E457CD" w:rsidRPr="00BF65CE" w:rsidRDefault="00014347" w:rsidP="00DE7D61">
      <w:pPr>
        <w:pStyle w:val="3"/>
        <w:rPr>
          <w:rFonts w:cs="Simplified Arabic"/>
          <w:color w:val="auto"/>
          <w:sz w:val="24"/>
          <w:szCs w:val="24"/>
        </w:rPr>
      </w:pPr>
      <w:bookmarkStart w:id="30" w:name="_Toc235125804"/>
      <w:r w:rsidRPr="00BF65CE">
        <w:rPr>
          <w:rFonts w:cs="Simplified Arabic"/>
          <w:color w:val="auto"/>
          <w:sz w:val="24"/>
          <w:szCs w:val="24"/>
          <w:rtl/>
        </w:rPr>
        <w:t>التميز المؤسسي (المتغير التابع)</w:t>
      </w:r>
      <w:bookmarkEnd w:id="30"/>
    </w:p>
    <w:p w14:paraId="5A186E3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التميز المؤسسي هو تحقيق مستويات رفيعة من الأداء تتجاوز المعايير التقليدية في الجودة والإنتاجية والخدمات، بما يضمن استدامة النجاح المؤسسي (الجابري، 2021). ويعد التميز غاية تسعى المؤسسات إلى بلوغها عبر التبني الفعّال لممارسات قيادية وإدارية مبتكرة ومن اهم أبعاده ما يلي:</w:t>
      </w:r>
    </w:p>
    <w:p w14:paraId="7648150E" w14:textId="77777777" w:rsidR="00E457CD" w:rsidRPr="00BF65CE"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جودة الأداء المؤسسي و قدرة المؤسسة على تطبيق معايير عالية في الكفاءة والجودة بما ينعكس إيجابًا على تحقيق أهدافها الاستراتيجية.تحقيق رضا أصحاب المصلحة لتلبية توقعات الموظفين والعملاء والشركاء.</w:t>
      </w:r>
    </w:p>
    <w:p w14:paraId="465CB053" w14:textId="77777777" w:rsidR="00E457CD" w:rsidRPr="00BF65CE"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التميز في تقديم الخدمات ويتمثل في قدرة المؤسسة على تلبية احتياجات وتوقعات أصحاب المصلحة من موظفين وعملاء وشركاء من خلال تقديم خدمات متميزة تعزز رضاهم وولاءهم.</w:t>
      </w:r>
    </w:p>
    <w:p w14:paraId="6CE52BC1" w14:textId="77777777" w:rsidR="00E457CD" w:rsidRDefault="00014347" w:rsidP="00D578AA">
      <w:pPr>
        <w:pStyle w:val="a4"/>
        <w:numPr>
          <w:ilvl w:val="0"/>
          <w:numId w:val="12"/>
        </w:numPr>
        <w:bidi/>
        <w:spacing w:after="100"/>
        <w:jc w:val="both"/>
        <w:rPr>
          <w:rFonts w:ascii="Simplified Arabic" w:hAnsi="Simplified Arabic" w:cs="Simplified Arabic"/>
        </w:rPr>
      </w:pPr>
      <w:r w:rsidRPr="00BF65CE">
        <w:rPr>
          <w:rFonts w:ascii="Simplified Arabic" w:hAnsi="Simplified Arabic" w:cs="Simplified Arabic"/>
          <w:rtl/>
        </w:rPr>
        <w:t>تطوير الموارد البشرية عن طريق الاستثمار في تنمية مهارات الكوادر البشرية وتطوير قدراتهم بما يسهم في تحقيق الإبداع والابتكار والمحافظة على استدامة الأداء المؤسسي.</w:t>
      </w:r>
    </w:p>
    <w:p w14:paraId="2ECC6F85" w14:textId="77777777" w:rsidR="00DF326B" w:rsidRDefault="00DF326B" w:rsidP="00DF326B">
      <w:pPr>
        <w:spacing w:after="100"/>
        <w:jc w:val="both"/>
        <w:rPr>
          <w:rFonts w:ascii="Simplified Arabic" w:hAnsi="Simplified Arabic" w:cs="Simplified Arabic"/>
        </w:rPr>
      </w:pPr>
    </w:p>
    <w:p w14:paraId="73DF0413" w14:textId="77777777" w:rsidR="00DF326B" w:rsidRDefault="00DF326B" w:rsidP="00DF326B">
      <w:pPr>
        <w:spacing w:after="100"/>
        <w:jc w:val="both"/>
        <w:rPr>
          <w:rFonts w:ascii="Simplified Arabic" w:hAnsi="Simplified Arabic" w:cs="Simplified Arabic"/>
        </w:rPr>
      </w:pPr>
    </w:p>
    <w:p w14:paraId="4DAC4709" w14:textId="77777777" w:rsidR="00DF326B" w:rsidRPr="00DF326B" w:rsidRDefault="00DF326B" w:rsidP="00DF326B">
      <w:pPr>
        <w:spacing w:after="100"/>
        <w:jc w:val="both"/>
        <w:rPr>
          <w:rFonts w:ascii="Simplified Arabic" w:hAnsi="Simplified Arabic" w:cs="Simplified Arabic"/>
        </w:rPr>
      </w:pPr>
    </w:p>
    <w:p w14:paraId="652E00F4" w14:textId="77777777" w:rsidR="00E457CD" w:rsidRPr="00BF65CE" w:rsidRDefault="00014347" w:rsidP="00DE7D61">
      <w:pPr>
        <w:pStyle w:val="2"/>
        <w:rPr>
          <w:rFonts w:cs="Simplified Arabic"/>
          <w:color w:val="auto"/>
        </w:rPr>
      </w:pPr>
      <w:bookmarkStart w:id="31" w:name="_Toc235125805"/>
      <w:r w:rsidRPr="00BF65CE">
        <w:rPr>
          <w:rFonts w:cs="Simplified Arabic"/>
          <w:color w:val="auto"/>
          <w:rtl/>
        </w:rPr>
        <w:lastRenderedPageBreak/>
        <w:t>نموذج الدراسة:</w:t>
      </w:r>
      <w:bookmarkEnd w:id="31"/>
    </w:p>
    <w:p w14:paraId="30E784EE" w14:textId="77777777" w:rsidR="00E457CD" w:rsidRPr="00BF65CE"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يمكن تمثيل العلاقة بين المتغيرات في نموذج بحثي يقيس تأثير المتغيرات المستقلة (الاستقطاب التنظيمي وتطبيقات الذكاء الاصطناعي) على المتغير التابع (التميز المؤسسي) بوجود متغير وسيط (الإبداع)، الذي يعزز أو يعدل تأثير المتغيرات المستقلة على المتغيرات التابعة.</w:t>
      </w:r>
    </w:p>
    <w:p w14:paraId="3CE374B4" w14:textId="77777777" w:rsidR="00D578AA" w:rsidRPr="00BF65CE" w:rsidRDefault="00D578AA" w:rsidP="00E14927">
      <w:pPr>
        <w:jc w:val="center"/>
        <w:rPr>
          <w:rFonts w:ascii="Simplified Arabic" w:hAnsi="Simplified Arabic" w:cs="Simplified Arabic"/>
          <w:b/>
          <w:bCs/>
        </w:rPr>
      </w:pPr>
      <w:r w:rsidRPr="00BF65CE">
        <w:rPr>
          <w:rFonts w:ascii="Simplified Arabic" w:hAnsi="Simplified Arabic" w:cs="Simplified Arabic"/>
          <w:b/>
          <w:bCs/>
          <w:noProof/>
          <w:rtl/>
        </w:rPr>
        <w:drawing>
          <wp:anchor distT="0" distB="0" distL="114300" distR="114300" simplePos="0" relativeHeight="251662336" behindDoc="0" locked="0" layoutInCell="1" allowOverlap="1" wp14:anchorId="7DAF28B1" wp14:editId="2DD0EA5C">
            <wp:simplePos x="0" y="0"/>
            <wp:positionH relativeFrom="column">
              <wp:posOffset>-287850</wp:posOffset>
            </wp:positionH>
            <wp:positionV relativeFrom="paragraph">
              <wp:posOffset>537</wp:posOffset>
            </wp:positionV>
            <wp:extent cx="5864860" cy="3249295"/>
            <wp:effectExtent l="0" t="0" r="2540" b="8255"/>
            <wp:wrapThrough wrapText="bothSides">
              <wp:wrapPolygon edited="0">
                <wp:start x="0" y="0"/>
                <wp:lineTo x="0" y="21528"/>
                <wp:lineTo x="21539" y="21528"/>
                <wp:lineTo x="2153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4860" cy="3249295"/>
                    </a:xfrm>
                    <a:prstGeom prst="rect">
                      <a:avLst/>
                    </a:prstGeom>
                    <a:noFill/>
                  </pic:spPr>
                </pic:pic>
              </a:graphicData>
            </a:graphic>
            <wp14:sizeRelH relativeFrom="page">
              <wp14:pctWidth>0</wp14:pctWidth>
            </wp14:sizeRelH>
            <wp14:sizeRelV relativeFrom="page">
              <wp14:pctHeight>0</wp14:pctHeight>
            </wp14:sizeRelV>
          </wp:anchor>
        </w:drawing>
      </w:r>
      <w:r w:rsidR="00BB3141" w:rsidRPr="00BF65CE">
        <w:rPr>
          <w:rFonts w:ascii="Simplified Arabic" w:hAnsi="Simplified Arabic" w:cs="Simplified Arabic"/>
          <w:b/>
          <w:bCs/>
          <w:rtl/>
        </w:rPr>
        <w:t xml:space="preserve">شكل (1-1): </w:t>
      </w:r>
      <w:r w:rsidR="00A67584" w:rsidRPr="00BF65CE">
        <w:rPr>
          <w:rFonts w:ascii="Simplified Arabic" w:hAnsi="Simplified Arabic" w:cs="Simplified Arabic"/>
          <w:b/>
          <w:bCs/>
          <w:rtl/>
        </w:rPr>
        <w:t>نموذج علاقات متغيرات الدراسة</w:t>
      </w:r>
    </w:p>
    <w:p w14:paraId="7D00F9D9" w14:textId="77777777" w:rsidR="008A3F6D" w:rsidRDefault="00145E6B" w:rsidP="00E14927">
      <w:pPr>
        <w:spacing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أدبيات الدراسة.</w:t>
      </w:r>
    </w:p>
    <w:p w14:paraId="297DFF95"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b/>
          <w:bCs/>
          <w:rtl/>
        </w:rPr>
        <w:t>التأثير المباشر:</w:t>
      </w:r>
    </w:p>
    <w:p w14:paraId="61C2B37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الاستقطاب التنظيمي وتطبيقات الذكاء الاصطناعي يؤثران بشكل مباشر على الإبداع.</w:t>
      </w:r>
    </w:p>
    <w:p w14:paraId="056AFEB9"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b/>
          <w:bCs/>
          <w:rtl/>
        </w:rPr>
        <w:t xml:space="preserve">التأثير غير المباشر: </w:t>
      </w:r>
    </w:p>
    <w:p w14:paraId="74BABEAB"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يعمل كمتغير وسيط بين المتغيرات المستقلة والتميز المؤسسي، مما يعزز أو يقلل من تأثير المتغيرات المستقلة على هذه النواتج، ويساعد هذا النموذج والخريطة على توضيح كيفية تفاعل العوامل المختلفة داخل المنظمة لتحقيق مستويات عالية من التميز المؤسسي</w:t>
      </w:r>
    </w:p>
    <w:p w14:paraId="3B31A08E" w14:textId="77777777" w:rsidR="00DF326B" w:rsidRPr="00BF65CE" w:rsidRDefault="00DF326B" w:rsidP="002071EC">
      <w:pPr>
        <w:spacing w:after="160"/>
        <w:jc w:val="both"/>
        <w:rPr>
          <w:rFonts w:ascii="Simplified Arabic" w:hAnsi="Simplified Arabic" w:cs="Simplified Arabic"/>
        </w:rPr>
      </w:pPr>
    </w:p>
    <w:p w14:paraId="79E939C7" w14:textId="77777777" w:rsidR="00E457CD" w:rsidRPr="00BF65CE" w:rsidRDefault="00014347" w:rsidP="00DE7D61">
      <w:pPr>
        <w:pStyle w:val="2"/>
        <w:rPr>
          <w:rFonts w:cs="Simplified Arabic"/>
          <w:color w:val="auto"/>
        </w:rPr>
      </w:pPr>
      <w:bookmarkStart w:id="32" w:name="_Toc235125806"/>
      <w:r w:rsidRPr="00BF65CE">
        <w:rPr>
          <w:rFonts w:cs="Simplified Arabic"/>
          <w:color w:val="auto"/>
          <w:rtl/>
        </w:rPr>
        <w:lastRenderedPageBreak/>
        <w:t>استخدام نظرية الموارد في تفسير متغيرات الدراسة</w:t>
      </w:r>
      <w:bookmarkEnd w:id="32"/>
    </w:p>
    <w:p w14:paraId="035A917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ترجع أهمية النظريات العلمية باعتبارها محور أساسي في بناء الأطر المتعلقة بالمفاهيم للدراسات الإدارية، حيث تمكن الباحث من تفسير العلاقات بين المتغيرات بأسلوب علمي ومنهجي، كما تساهم النظريات في توجيه الباحث نحو تحديد عناصر النموذج التفسيري أو التنبؤي، مما يزيد من مصداقية الدراسة وإمكانية تعميم نتائجها ومن هنا تظهر نظرية الموارد في فهم مصادر الميزة التنافسية وتحليل الأداء المؤسسي، خاصة في البيئات والقطاعات ذات التنافسية العالية.</w:t>
      </w:r>
    </w:p>
    <w:p w14:paraId="448B339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ومن هنا يمكن القول أن تعتمد هذه النظرية على فرضية جوهرية مفادها أن امتلاك المؤسسة لموارد نادرة غير قابلة للتقليد وذات قيمة استراتيجية يمكن أن يؤدي إلى تحقيق أداء متفوق واستدامة في التميز وعليه فإن نظرية الموارد أصبحت مرجع رئيسي للعديد من الدراسات التي تسعى لفهم كيف تسهم الخصائص الداخلية للمؤسسات في تحقيق نتائج ملموسة، سواء على صعيد الكفاءة التشغيلية أو الولاء المؤسسي أو الابتكار، وقد شهدت النظرية اهتمام في الأدبيات العربية، حيث استخدمها العديد من الباحثين العرب في تفسير الأداء الإداري وتحديد العوامل المؤثرة في نجاح المبادرات المؤسسية في وطنا العربي وخاصة أنها تلائم رؤية 2030 التي تتبانها الدولة.</w:t>
      </w:r>
    </w:p>
    <w:p w14:paraId="2B47B60C" w14:textId="77777777" w:rsidR="00E457CD" w:rsidRPr="00BF65CE" w:rsidRDefault="00014347" w:rsidP="00DE7D61">
      <w:pPr>
        <w:pStyle w:val="3"/>
        <w:rPr>
          <w:rFonts w:cs="Simplified Arabic"/>
          <w:color w:val="auto"/>
        </w:rPr>
      </w:pPr>
      <w:bookmarkStart w:id="33" w:name="_Toc235125807"/>
      <w:r w:rsidRPr="00BF65CE">
        <w:rPr>
          <w:rFonts w:cs="Simplified Arabic"/>
          <w:color w:val="auto"/>
          <w:rtl/>
        </w:rPr>
        <w:t>تعريف نظرية الموارد : ( Resource – Based – View RBV)</w:t>
      </w:r>
      <w:bookmarkEnd w:id="33"/>
      <w:r w:rsidRPr="00BF65CE">
        <w:rPr>
          <w:rFonts w:cs="Simplified Arabic"/>
          <w:color w:val="auto"/>
          <w:rtl/>
        </w:rPr>
        <w:t xml:space="preserve"> </w:t>
      </w:r>
    </w:p>
    <w:p w14:paraId="791FC40C"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ظهرت نظرية الموارد بوصفها امتدادا لنقاشات الفكر الاستراتيجي في نهاية الثمانينيات، وقد تم تطوريها بشكل بارز من قبل بارني (Barney, 1991)، الذي ركز على أن الميزة التنافسية المستدامة لا تستمد من الظروف الخارجية فحسب ولكنها من القدرات والموارد الداخلية للمؤسسة ومنها تعرف الموارد هنا بأنها مجموعة من الأصول والقدرات والعمليات التنظيمية والمعلومات والمعرفة التي تسيطر عليها المؤسسة، وتمكنها من صياغة وتنفيذ استراتيجيات تزيد وتحسن من فعاليتها وكفاءتها (Barney, 1991)، وفي عالمنا العربي عرفها الطائي والتميمي (2020) بأنها "جملة الإمكانات الداخلية التي تملكها المنظمة، والتي يصعب على المنافسين الحصول عليها أو تقليدها، وتشكل مصدر لتحقيق ميزة تنافسية على المدى الطويل".</w:t>
      </w:r>
    </w:p>
    <w:p w14:paraId="52B0EA75" w14:textId="77777777" w:rsidR="00584EEB" w:rsidRDefault="00584EEB" w:rsidP="002071EC">
      <w:pPr>
        <w:spacing w:after="160"/>
        <w:jc w:val="both"/>
        <w:rPr>
          <w:rFonts w:ascii="Simplified Arabic" w:hAnsi="Simplified Arabic" w:cs="Simplified Arabic"/>
        </w:rPr>
      </w:pPr>
    </w:p>
    <w:p w14:paraId="681F6C22" w14:textId="77777777" w:rsidR="00584EEB" w:rsidRPr="00BF65CE" w:rsidRDefault="00584EEB" w:rsidP="002071EC">
      <w:pPr>
        <w:spacing w:after="160"/>
        <w:jc w:val="both"/>
        <w:rPr>
          <w:rFonts w:ascii="Simplified Arabic" w:hAnsi="Simplified Arabic" w:cs="Simplified Arabic"/>
        </w:rPr>
      </w:pPr>
    </w:p>
    <w:p w14:paraId="18844832" w14:textId="77777777" w:rsidR="00E457CD" w:rsidRPr="00BF65CE" w:rsidRDefault="00014347" w:rsidP="00DE7D61">
      <w:pPr>
        <w:pStyle w:val="3"/>
        <w:rPr>
          <w:rFonts w:cs="Simplified Arabic"/>
          <w:color w:val="auto"/>
        </w:rPr>
      </w:pPr>
      <w:bookmarkStart w:id="34" w:name="_Toc235125808"/>
      <w:r w:rsidRPr="00BF65CE">
        <w:rPr>
          <w:rFonts w:cs="Simplified Arabic"/>
          <w:color w:val="auto"/>
          <w:rtl/>
        </w:rPr>
        <w:lastRenderedPageBreak/>
        <w:t>أنواع الموارد وفق النظرية</w:t>
      </w:r>
      <w:bookmarkEnd w:id="34"/>
    </w:p>
    <w:p w14:paraId="25D2529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تصنف الموارد وفق النظرية إلى ثلاثة أنواع رئيسة:</w:t>
      </w:r>
    </w:p>
    <w:p w14:paraId="10B78669"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المادية: مثل البنية التحتية والأصول التكنولوجية والمعدات.</w:t>
      </w:r>
    </w:p>
    <w:p w14:paraId="6BAC20EA"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البشرية: وتشمل كلا من المعرفة والخبرة، والمهارات المتراكمة لدى الموظفين.</w:t>
      </w:r>
    </w:p>
    <w:p w14:paraId="4577A8BE" w14:textId="77777777" w:rsidR="00E457CD" w:rsidRPr="00BF65CE" w:rsidRDefault="00014347" w:rsidP="00D578AA">
      <w:pPr>
        <w:pStyle w:val="a4"/>
        <w:numPr>
          <w:ilvl w:val="0"/>
          <w:numId w:val="13"/>
        </w:numPr>
        <w:bidi/>
        <w:spacing w:after="100"/>
        <w:jc w:val="both"/>
        <w:rPr>
          <w:rFonts w:ascii="Simplified Arabic" w:hAnsi="Simplified Arabic" w:cs="Simplified Arabic"/>
        </w:rPr>
      </w:pPr>
      <w:r w:rsidRPr="00BF65CE">
        <w:rPr>
          <w:rFonts w:ascii="Simplified Arabic" w:hAnsi="Simplified Arabic" w:cs="Simplified Arabic"/>
          <w:rtl/>
        </w:rPr>
        <w:t>الموارد غير الملموسة وتشمل كلا من السمعة التنظيمية والثقافة المؤسسية والعلاقات الاستراتيجية ، وقد أشار العزاوي (2019) إلى أن "الموارد غير الملموسة أصبحت تمثل في العصر الرقمي محور التفوق التنافسي، نظرًا لصعوبة تقليدها وارتباطها بالهوية التنظيمية الفريدة".</w:t>
      </w:r>
    </w:p>
    <w:p w14:paraId="1A9164E8" w14:textId="77777777" w:rsidR="00E457CD" w:rsidRPr="00BF65CE" w:rsidRDefault="00014347" w:rsidP="00DE7D61">
      <w:pPr>
        <w:pStyle w:val="3"/>
        <w:rPr>
          <w:rFonts w:cs="Simplified Arabic"/>
          <w:color w:val="auto"/>
        </w:rPr>
      </w:pPr>
      <w:bookmarkStart w:id="35" w:name="_Toc235125809"/>
      <w:r w:rsidRPr="00BF65CE">
        <w:rPr>
          <w:rFonts w:cs="Simplified Arabic"/>
          <w:color w:val="auto"/>
          <w:rtl/>
        </w:rPr>
        <w:t>تطبيقات نظرية الموارد على متغيرات البحث</w:t>
      </w:r>
      <w:bookmarkEnd w:id="35"/>
    </w:p>
    <w:p w14:paraId="56D8D0A0"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الاستقطاب التنظيمي – موارد بشرية نادر فالمؤسسات التي تركز على استقطاب الكفاءات البشرية النادرة تحول ذلك إلى استثمار استراتيجي يدر هنا قيمة مستدامة، فالخبرات والمعارف المتخصصة تعتبر مورد يصعب تقليده.</w:t>
      </w:r>
    </w:p>
    <w:p w14:paraId="56C87ABE"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الذكاء الاصطناعي – مورد تنظيمي تقني وهو من الأصول التكنولوجية ذات القيمة الاستراتيجية؛ فهو يحسن كفاءة الموارد الأخرى (بشرية ومعرفية) عبر تحسين القرارات، وإدارة المعرفة، وتحليل البيانات، وقد أصبح ذا أهمية متزايدة في الدول العربية .</w:t>
      </w:r>
    </w:p>
    <w:p w14:paraId="6419A516" w14:textId="77777777" w:rsidR="00D578AA" w:rsidRPr="00BF65CE" w:rsidRDefault="00014347" w:rsidP="00D578AA">
      <w:pPr>
        <w:pStyle w:val="a4"/>
        <w:numPr>
          <w:ilvl w:val="0"/>
          <w:numId w:val="15"/>
        </w:numPr>
        <w:bidi/>
        <w:spacing w:after="160"/>
        <w:jc w:val="both"/>
        <w:rPr>
          <w:rFonts w:ascii="Simplified Arabic" w:hAnsi="Simplified Arabic" w:cs="Simplified Arabic"/>
          <w:rtl/>
        </w:rPr>
      </w:pPr>
      <w:r w:rsidRPr="00BF65CE">
        <w:rPr>
          <w:rFonts w:ascii="Simplified Arabic" w:hAnsi="Simplified Arabic" w:cs="Simplified Arabic"/>
          <w:rtl/>
        </w:rPr>
        <w:t>الإبداع المؤسسي – مورد غير ملموس وينتج عن تفاعل الموارد البشرية والتقنية، ويعبر عن مورد داخلي غير ملموس يصعب تقليده، يلعب دورًا وسيطًا في تحويل الموارد إلى نتائج مؤسسية ملموسة.</w:t>
      </w:r>
    </w:p>
    <w:p w14:paraId="46DF2392" w14:textId="77777777" w:rsidR="00E457CD" w:rsidRDefault="00014347" w:rsidP="00D578AA">
      <w:pPr>
        <w:pStyle w:val="a4"/>
        <w:numPr>
          <w:ilvl w:val="0"/>
          <w:numId w:val="15"/>
        </w:numPr>
        <w:bidi/>
        <w:spacing w:after="160"/>
        <w:jc w:val="both"/>
        <w:rPr>
          <w:rFonts w:ascii="Simplified Arabic" w:hAnsi="Simplified Arabic" w:cs="Simplified Arabic"/>
        </w:rPr>
      </w:pPr>
      <w:r w:rsidRPr="00BF65CE">
        <w:rPr>
          <w:rFonts w:ascii="Simplified Arabic" w:hAnsi="Simplified Arabic" w:cs="Simplified Arabic"/>
          <w:rtl/>
        </w:rPr>
        <w:t>التميز المؤسسي – نتاج توظيف الموارد فعندما تطوع المؤسسة مواردها القيمّة والنادرة وصعبة التقليد، فإنها بناء لميزة تنافسية واضحة، وهذا التوظيف الفاعل يكلّل بتحقيق تميز مؤسسي له انعكاسات واضحة على الأداء التنظيمي.</w:t>
      </w:r>
    </w:p>
    <w:p w14:paraId="79646510" w14:textId="77777777" w:rsidR="00584EEB" w:rsidRDefault="00584EEB" w:rsidP="00584EEB">
      <w:pPr>
        <w:spacing w:after="160"/>
        <w:jc w:val="both"/>
        <w:rPr>
          <w:rFonts w:ascii="Simplified Arabic" w:hAnsi="Simplified Arabic" w:cs="Simplified Arabic"/>
        </w:rPr>
      </w:pPr>
    </w:p>
    <w:p w14:paraId="1B860C87" w14:textId="77777777" w:rsidR="00584EEB" w:rsidRPr="00584EEB" w:rsidRDefault="00584EEB" w:rsidP="00584EEB">
      <w:pPr>
        <w:spacing w:after="160"/>
        <w:jc w:val="both"/>
        <w:rPr>
          <w:rFonts w:ascii="Simplified Arabic" w:hAnsi="Simplified Arabic" w:cs="Simplified Arabic"/>
        </w:rPr>
      </w:pPr>
    </w:p>
    <w:p w14:paraId="009B584F" w14:textId="77777777" w:rsidR="00E457CD" w:rsidRPr="00BF65CE" w:rsidRDefault="00014347" w:rsidP="00DE7D61">
      <w:pPr>
        <w:pStyle w:val="3"/>
        <w:rPr>
          <w:rFonts w:cs="Simplified Arabic"/>
          <w:color w:val="auto"/>
        </w:rPr>
      </w:pPr>
      <w:bookmarkStart w:id="36" w:name="_Toc235125810"/>
      <w:r w:rsidRPr="00BF65CE">
        <w:rPr>
          <w:rFonts w:cs="Simplified Arabic"/>
          <w:color w:val="auto"/>
          <w:rtl/>
        </w:rPr>
        <w:lastRenderedPageBreak/>
        <w:t>التكامل بين نظرية الموارد ونموذج الدراسة الحالي</w:t>
      </w:r>
      <w:bookmarkEnd w:id="36"/>
    </w:p>
    <w:p w14:paraId="62978A3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نجد هنا أن نظرية الموارد تقدم إطار تفسيري للعلاقات بين متغيرات الدراسة الأربعة، وهي: الاستقطاب التنظيمي، الذكاء الاصطناعي مع الإبداع، التميز المؤسسي، ووفقا لهذه النظرية، فإن تميز المؤسسة في أدائها لا ينتج عن عامل واحد منعزل ولكنه عن توظيف بين الموارد المتاحة، سواء كانت بشرية أو تقنية أو تنظيمية.</w:t>
      </w:r>
    </w:p>
    <w:p w14:paraId="6A9D5C2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يعتبر الاستقطاب التنظيمي أداة للحصول على موارد بشرية نادرة يصعب تقليدها، وتشكل مصدر للميزة التنافسي، كما ينظر إلى الذكاء الاصطناعي على أنه مورد تنظيمي عالي القيمة، يزيد من كفاءة العمليات ويساعد في رفع قدرة المؤسسة على اتخاذ قرارات مبنية على تحليل معطيات دقيقة (الكبيسي، 2022)</w:t>
      </w:r>
    </w:p>
    <w:p w14:paraId="31E648F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أما الإبداع فهو ناتج مركب لتفاعل الموارد البشرية (مثل الخبرات والمهارات) مع الموارد التقني مثل الأنظمة الذكية مما يجعله متغيرا وسيط يربط بين تفعيل الموارد وبين تحقق التميز التنظيمي( يوسف، 2025)</w:t>
      </w:r>
    </w:p>
    <w:p w14:paraId="6A8A4063" w14:textId="77777777" w:rsidR="00D578AA" w:rsidRPr="00BF65CE" w:rsidRDefault="00D578AA">
      <w:pPr>
        <w:bidi w:val="0"/>
        <w:rPr>
          <w:rFonts w:ascii="Simplified Arabic" w:hAnsi="Simplified Arabic" w:cs="Simplified Arabic"/>
          <w:b/>
          <w:bCs/>
          <w:rtl/>
        </w:rPr>
      </w:pPr>
      <w:r w:rsidRPr="00BF65CE">
        <w:rPr>
          <w:rFonts w:ascii="Simplified Arabic" w:hAnsi="Simplified Arabic" w:cs="Simplified Arabic"/>
          <w:rtl/>
        </w:rPr>
        <w:br w:type="page"/>
      </w:r>
    </w:p>
    <w:p w14:paraId="54D4FE30" w14:textId="77777777" w:rsidR="00E457CD" w:rsidRPr="00BF65CE" w:rsidRDefault="00014347" w:rsidP="00DE7D61">
      <w:pPr>
        <w:pStyle w:val="2"/>
        <w:rPr>
          <w:rFonts w:cs="Simplified Arabic"/>
          <w:color w:val="auto"/>
        </w:rPr>
      </w:pPr>
      <w:bookmarkStart w:id="37" w:name="_Toc235125811"/>
      <w:r w:rsidRPr="00BF65CE">
        <w:rPr>
          <w:rFonts w:cs="Simplified Arabic"/>
          <w:color w:val="auto"/>
          <w:rtl/>
        </w:rPr>
        <w:lastRenderedPageBreak/>
        <w:t>الدراسات السابقة</w:t>
      </w:r>
      <w:bookmarkEnd w:id="37"/>
    </w:p>
    <w:p w14:paraId="0A286AA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تُعد الدراسات المرجعية من أهم السبل المتاحة للباحثين لزيادة معرفتهم بموضوع الدراسة، من خلال التعرف إلى خبرات وتجارب الباحثين الآخرين في مجالات الدراسات العلمية القريبة من موضوع الدراسة، والوقوف على الآليات والأدوات المستخدمة، والنتائج التي تم التوصل إليها من قبل الباحثين في هذا المجال، ومن خلال اطلاع الباحثة على العديد من الدراسات المرجعية ذات الصلة بموضوع الدراسة الحالية واطلاعها على الأدب التربوي، تم عرضها من الأحدث للأقدم على النحو الآتي:</w:t>
      </w:r>
    </w:p>
    <w:p w14:paraId="4B91569F" w14:textId="77777777" w:rsidR="00E457CD" w:rsidRPr="00BF65CE" w:rsidRDefault="00014347" w:rsidP="00DE7D61">
      <w:pPr>
        <w:pStyle w:val="3"/>
        <w:rPr>
          <w:rFonts w:cs="Simplified Arabic"/>
          <w:color w:val="auto"/>
        </w:rPr>
      </w:pPr>
      <w:bookmarkStart w:id="38" w:name="_Toc235125812"/>
      <w:r w:rsidRPr="00BF65CE">
        <w:rPr>
          <w:rFonts w:cs="Simplified Arabic"/>
          <w:color w:val="auto"/>
          <w:rtl/>
        </w:rPr>
        <w:t>أولاً: الدراسات المتعلقة بالاستقطاب التنظيمي</w:t>
      </w:r>
      <w:bookmarkEnd w:id="38"/>
    </w:p>
    <w:p w14:paraId="21B5018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 xml:space="preserve">Al-Khalifa وآخرون (2024) </w:t>
      </w:r>
      <w:r w:rsidRPr="00BF65CE">
        <w:rPr>
          <w:rFonts w:ascii="Simplified Arabic" w:hAnsi="Simplified Arabic" w:cs="Simplified Arabic"/>
          <w:rtl/>
        </w:rPr>
        <w:t xml:space="preserve"> تناولت هذه الدراسة العلاقة بين ممارسات الاستقطاب الذكي المدعومة بتقنيات الذكاء الاصطناعي والتميز المؤسسي في القطاع المالي بالسعودية، حيث افترضت أن الإبداع التنظيمي يلعب دور وسيط في هذا التأثير، وقد استخدمت الدراسة المنهج الكمي، وجمعت البيانات من (412) موظف باستخدام استبيان إلكتروني ومنها أظهرت نتائج تحليل الانحدار المتعدد وتحليل المسار أن تطبيقات الذكاء الاصطناعي في التوظيف تسهم في رفع جودة الأداء المؤسسي عبر تحسين بيئة الإبداع داخل فرق العمل ومنها دعت الدراسة إلى إعادة تصميم سياسات الموارد البشرية بما يضمن التكامل بين التكنولوجيا والابتكار البشري.</w:t>
      </w:r>
    </w:p>
    <w:p w14:paraId="38097EB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دراسة</w:t>
      </w:r>
      <w:r w:rsidRPr="00BF65CE">
        <w:rPr>
          <w:rFonts w:ascii="Simplified Arabic" w:hAnsi="Simplified Arabic" w:cs="Simplified Arabic"/>
          <w:b/>
          <w:bCs/>
          <w:rtl/>
        </w:rPr>
        <w:t xml:space="preserve"> Javidan وآخرون (2023)</w:t>
      </w:r>
      <w:r w:rsidRPr="00BF65CE">
        <w:rPr>
          <w:rFonts w:ascii="Simplified Arabic" w:hAnsi="Simplified Arabic" w:cs="Simplified Arabic"/>
          <w:rtl/>
        </w:rPr>
        <w:t xml:space="preserve"> تناولت التحدي القيادي المستجد المتمثل في إدارة فرق العمل داخل المنظمات في ظل تصاعد ظاهرة الاستقطاب السياسي، حيث أوضح الباحثون أن الانقسامات السياسية بين أعضاء الفرق قد تؤدي إلى تآكل الثقة المتبادلة، وزيادة حدة النزاعات، وتراجع مستويات التعاون والإنتاجية. اعتمدت الدراسة على مراجعة منهجية للأدبيات الحديثة، إلى جانب تحليل دراسات حالة واقعية لفرق عمل متنوعة من الناحية الأيديولوجية، وتوصلت إلى أن القادة يواجهون حاجة متزايدة لتطوير مهارات جديدة في إدارة التنوع الفكري والسياسي، مع التركيز على بناء بيئة عمل شمولية تتيح الحوار البنّاء وتحترم التباينات. كما اقترحت الدراسة إطارًا عمليًا يتضمن استراتيجيات لتهدئة النزاعات، وتوجيه النقاشات نحو الأهداف المشتركة، وتعزيز الانفتاح والتفاهم بين الأعضاء، بما يضمن الحفاظ على تماسك الفرق واستمرار أدائها بكفاءة رغم الانقسامات القائمة.</w:t>
      </w:r>
    </w:p>
    <w:p w14:paraId="5F4F6CC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دراسة </w:t>
      </w:r>
      <w:r w:rsidRPr="00BF65CE">
        <w:rPr>
          <w:rFonts w:ascii="Simplified Arabic" w:hAnsi="Simplified Arabic" w:cs="Simplified Arabic"/>
          <w:b/>
          <w:bCs/>
          <w:rtl/>
        </w:rPr>
        <w:t>مدين وفتاح (2022)</w:t>
      </w:r>
      <w:r w:rsidRPr="00BF65CE">
        <w:rPr>
          <w:rFonts w:ascii="Simplified Arabic" w:hAnsi="Simplified Arabic" w:cs="Simplified Arabic"/>
          <w:rtl/>
        </w:rPr>
        <w:t xml:space="preserve"> تناولت هذه الدراسة تأثير استقطاب الموارد البشرية بأبعاده (التخطيط، التنفيذ، التقييم) على الالتزام التنظيمي في هيئة السياحة العراقية، وذلك باستخدام المنهج الوصفي التحليلي واستطلاع آراء (138) من القيادات الإدارية عبر استبانة محللة إحصائيًا باستخدام برامج SPSS وAMOS. أظهرت النتائج وجود علاقة ارتباط وتأثير معنوي بين استقطاب الموارد البشرية والالتزام التنظيمي، حيث يزداد الالتزام كلما تم الاستقطاب بصورة صحيحة. وأوصت الدراسة بضرورة توظيف الخريجين من أصحاب الشهادات العليا في المناصب القيادية، إضافة إلى تعزيز مشاركة الكوادر النسائية نظرًا لقدرتها على تحسين بيئة العمل وابتكار الحلول التطويرية في القطاع السياحي .</w:t>
      </w:r>
    </w:p>
    <w:p w14:paraId="050BF10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العمري (2020)</w:t>
      </w:r>
      <w:r w:rsidRPr="00BF65CE">
        <w:rPr>
          <w:rFonts w:ascii="Simplified Arabic" w:hAnsi="Simplified Arabic" w:cs="Simplified Arabic"/>
          <w:rtl/>
        </w:rPr>
        <w:t xml:space="preserve"> إلى ان مهما اختلفت وتنوعت المنظمات فإن هدفها واحد هو تحقيق الأهداف التي أنشأت من أجلها، عندما تحدد المنظمات احتياجاتها من الموارد البشرية، يبقى لها أن تجذب أكبر عدد ممكن من طالبي التوظيف؛ وذلك لكي تختار أفضل العناصر من بينهم فعلى مستوى إدارة الموارد البشرية تقوم في البداية بتخطيط القوى العاملة والتي يتم من خلالها الوصف الكامل والجيد لكل الوظائف المراد شغلها وتحديد مواصفات من يشغلها، وبمجرد الانتهاء من هذه العملية تبدأ الخطوة التالية وهي البحث عن أنسب الأشخاص لهذه الوظائف ومحاولة جذب واستقطاب أكفأهم للعمل بالمنظمة وترغيبهم للبقاء بها، وهذا يتطلب منها دراسة دقيقة للمصادر التي يمكن الحصول منها على هذه الأيدي العاملة بغية التقليل من مساوئها، وتخفيض تكاليف اللجوء إليها وتحقيق أكبر المزايا منها، ولتسليط الضوء على سياسة الاستقطاب ومساهمته في تطوير المنظمات وزيادة الإنتاجية لديها، يبدأ البحث بإعطاء مقدمة لتعريف القارئ بمفهوم الاستقطاب وأهميته وأهدافه وخطوات عملية الاستقطاب، ثم ينتقل المبحث الثاني إلى الاهتمام بمصادر الاستقطاب مع التركيز على مصادر الموارد البشرية الداخلية والخارجية وكيفية جذبهم، وفي المبحث الثالث تم التركيز على أساليبه المختلفة والعوامل المؤثرة على عملية الاستقطاب وأيضاً المشاكل التي تواجه المنظمات .</w:t>
      </w:r>
    </w:p>
    <w:p w14:paraId="362A1C8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 xml:space="preserve">الخشاب (2019) </w:t>
      </w:r>
      <w:r w:rsidRPr="00BF65CE">
        <w:rPr>
          <w:rFonts w:ascii="Simplified Arabic" w:hAnsi="Simplified Arabic" w:cs="Simplified Arabic"/>
          <w:rtl/>
        </w:rPr>
        <w:t xml:space="preserve"> تأثير استراتيجيات الاستقطاب على الأداء المؤسسي، أكدت الدراسة أن المؤسسات التي تطبق استراتيجيات استقطاب فعالة تحقق مستويات أعلى من الأداء والرضا الوظيفي مقارنة بتلك التي تعتمد على استراتيجيات تقليدية.</w:t>
      </w:r>
    </w:p>
    <w:p w14:paraId="0895BE2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تهدف دراسة </w:t>
      </w:r>
      <w:r w:rsidRPr="00BF65CE">
        <w:rPr>
          <w:rFonts w:ascii="Simplified Arabic" w:hAnsi="Simplified Arabic" w:cs="Simplified Arabic"/>
          <w:b/>
          <w:bCs/>
          <w:rtl/>
        </w:rPr>
        <w:t xml:space="preserve">امين (2018) </w:t>
      </w:r>
      <w:r w:rsidRPr="00BF65CE">
        <w:rPr>
          <w:rFonts w:ascii="Simplified Arabic" w:hAnsi="Simplified Arabic" w:cs="Simplified Arabic"/>
          <w:rtl/>
        </w:rPr>
        <w:t xml:space="preserve"> إلى دراسة أثر استقطاب الموظفين على الأداء الوظيفي: دراسة تطبيقية على شركة التأمين في مدينة المنصورة بمحافظة الدقهلية، وقد تم تصميم نموذج مقترح للدراسة لكي يستخدم كدليل لاختبار أثر استقطاب </w:t>
      </w:r>
      <w:r w:rsidRPr="00BF65CE">
        <w:rPr>
          <w:rFonts w:ascii="Simplified Arabic" w:hAnsi="Simplified Arabic" w:cs="Simplified Arabic"/>
          <w:rtl/>
        </w:rPr>
        <w:lastRenderedPageBreak/>
        <w:t>الموظفين على الأداء الوظيفي، وتم اختيار بطريقة كمية باستخدام المدخل الاستنتاجي في هذه الدراسة، كما تم تصميم قائمة الاستقصاء المعبأة بمعرفة المستقصي منه، وتم توجيهها إلى العاملين بشركة التأمين عن طريق المقابلة الشخصية، ولتحليل البيانات الأولية للبحث، تم استخدام البرنامج الإحصائي (SPSS) لإدخال البيانات الأولية، وتم الاعتماد على أسلوب العينة من خلال (213) مفردة، في حين أن عدد الاستمارات الصحيحة التي تم إدخالها للبرنامج بلغ (177) مفردة بنسبة تقدر بحوالي (83.1%) من إجمالي حجم العينة، وقد أظهرت نتائج الدراسة وجود ارتباط معنوي ايجابي بين الاستقطاب (العادي - الإلكتروني) والأداء الوظيفي، كما ثبت وجود تأثير معنوي إيجابي لكل من أبعاد الاستقطاب العادي والاستقطاب الإلكتروني كمتغيرات مستقلة على أبعاد الأداء الوظيفي، كما اتضح وجود اختلافات معنوية بشأن الأداء الوظيفي لموظفين شركات التأمين وفقاً لنوع الاستقطاب (عادي – إلكتروني).</w:t>
      </w:r>
    </w:p>
    <w:p w14:paraId="73AD178A"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(2-1): </w:t>
      </w:r>
      <w:r w:rsidR="007F255E" w:rsidRPr="00BF65CE">
        <w:rPr>
          <w:rFonts w:ascii="Simplified Arabic" w:hAnsi="Simplified Arabic" w:cs="Simplified Arabic"/>
          <w:rtl/>
        </w:rPr>
        <w:t>ملخص الدراسات المتعلقة بالاستقطاب التنظيمي</w:t>
      </w:r>
    </w:p>
    <w:tbl>
      <w:tblPr>
        <w:tblStyle w:val="12"/>
        <w:bidiVisual/>
        <w:tblW w:w="0" w:type="auto"/>
        <w:tblLook w:val="0620" w:firstRow="1" w:lastRow="0" w:firstColumn="0" w:lastColumn="0" w:noHBand="1" w:noVBand="1"/>
      </w:tblPr>
      <w:tblGrid>
        <w:gridCol w:w="1471"/>
        <w:gridCol w:w="2203"/>
        <w:gridCol w:w="2410"/>
        <w:gridCol w:w="2694"/>
      </w:tblGrid>
      <w:tr w:rsidR="00E457CD" w:rsidRPr="00BF65CE" w14:paraId="775B50C5" w14:textId="77777777" w:rsidTr="00866B6D">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526CF182"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3879E31E"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370AB60A"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30F663B1" w14:textId="77777777" w:rsidR="00E457CD" w:rsidRPr="00BF65CE" w:rsidRDefault="00014347" w:rsidP="00866B6D">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48BA2A90" w14:textId="77777777" w:rsidTr="00866B6D">
        <w:tc>
          <w:tcPr>
            <w:tcW w:w="0" w:type="auto"/>
            <w:vAlign w:val="center"/>
          </w:tcPr>
          <w:p w14:paraId="05367CBF"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Al-Khalifa وآخرون (2024)</w:t>
            </w:r>
          </w:p>
        </w:tc>
        <w:tc>
          <w:tcPr>
            <w:tcW w:w="0" w:type="auto"/>
            <w:vAlign w:val="center"/>
          </w:tcPr>
          <w:p w14:paraId="165C6383"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الذكي – جودة الاداء المؤسسي - الابنكار</w:t>
            </w:r>
          </w:p>
        </w:tc>
        <w:tc>
          <w:tcPr>
            <w:tcW w:w="0" w:type="auto"/>
            <w:vAlign w:val="center"/>
          </w:tcPr>
          <w:p w14:paraId="71624DF0"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آليات الاستقطاب -الاتمته في تحسين جودة المريض- تطبيق الابتكار</w:t>
            </w:r>
          </w:p>
        </w:tc>
        <w:tc>
          <w:tcPr>
            <w:tcW w:w="0" w:type="auto"/>
            <w:vAlign w:val="center"/>
          </w:tcPr>
          <w:p w14:paraId="6354D69D"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التركيز على تحسين تجربة المريض\ العميل و التوافق مع نظرية الموارد</w:t>
            </w:r>
          </w:p>
        </w:tc>
      </w:tr>
      <w:tr w:rsidR="00E457CD" w:rsidRPr="00BF65CE" w14:paraId="5AE7CFC8" w14:textId="77777777" w:rsidTr="00866B6D">
        <w:tc>
          <w:tcPr>
            <w:tcW w:w="0" w:type="auto"/>
            <w:vAlign w:val="center"/>
          </w:tcPr>
          <w:p w14:paraId="28FFB4E0"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Javidan وآخرون 2023</w:t>
            </w:r>
          </w:p>
        </w:tc>
        <w:tc>
          <w:tcPr>
            <w:tcW w:w="0" w:type="auto"/>
            <w:vAlign w:val="center"/>
          </w:tcPr>
          <w:p w14:paraId="74CAB1B0"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إدارة التنوع السياسي، بناء الثقة، الحوار البنّاء، تهدئة النزاعات</w:t>
            </w:r>
          </w:p>
        </w:tc>
        <w:tc>
          <w:tcPr>
            <w:tcW w:w="0" w:type="auto"/>
            <w:vAlign w:val="center"/>
          </w:tcPr>
          <w:p w14:paraId="1F0FB59C"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بناء الثقة، الحوار البنّاء</w:t>
            </w:r>
          </w:p>
        </w:tc>
        <w:tc>
          <w:tcPr>
            <w:tcW w:w="0" w:type="auto"/>
            <w:vAlign w:val="center"/>
          </w:tcPr>
          <w:p w14:paraId="38B6E123"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لأنهما جوهر القيادة في بيئات العمل المتنوعة سياسيًا ويؤثران على الأداء الجماعي</w:t>
            </w:r>
          </w:p>
        </w:tc>
      </w:tr>
      <w:tr w:rsidR="00E457CD" w:rsidRPr="00BF65CE" w14:paraId="3492D1AC" w14:textId="77777777" w:rsidTr="00866B6D">
        <w:tc>
          <w:tcPr>
            <w:tcW w:w="0" w:type="auto"/>
            <w:vAlign w:val="center"/>
          </w:tcPr>
          <w:p w14:paraId="0A1B2438"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مدين وفتاح 2022</w:t>
            </w:r>
          </w:p>
        </w:tc>
        <w:tc>
          <w:tcPr>
            <w:tcW w:w="0" w:type="auto"/>
            <w:vAlign w:val="center"/>
          </w:tcPr>
          <w:p w14:paraId="4E4935C9"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التخطيط، التنفيذ، التقييم في استقطاب الموارد البشرية</w:t>
            </w:r>
          </w:p>
        </w:tc>
        <w:tc>
          <w:tcPr>
            <w:tcW w:w="0" w:type="auto"/>
            <w:vAlign w:val="center"/>
          </w:tcPr>
          <w:p w14:paraId="69A137C2"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التخطيط، التنفيذ</w:t>
            </w:r>
          </w:p>
        </w:tc>
        <w:tc>
          <w:tcPr>
            <w:tcW w:w="0" w:type="auto"/>
            <w:vAlign w:val="center"/>
          </w:tcPr>
          <w:p w14:paraId="68E50236"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لكونهما الأكثر ارتباطًا بفعالية عمليات الاستقطاب وتأثيرها على الالتزام التنظيمي</w:t>
            </w:r>
          </w:p>
        </w:tc>
      </w:tr>
      <w:tr w:rsidR="00E457CD" w:rsidRPr="00BF65CE" w14:paraId="27945080" w14:textId="77777777" w:rsidTr="00866B6D">
        <w:tc>
          <w:tcPr>
            <w:tcW w:w="0" w:type="auto"/>
            <w:vAlign w:val="center"/>
          </w:tcPr>
          <w:p w14:paraId="7F827737"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العمري 2020</w:t>
            </w:r>
          </w:p>
        </w:tc>
        <w:tc>
          <w:tcPr>
            <w:tcW w:w="0" w:type="auto"/>
            <w:vAlign w:val="center"/>
          </w:tcPr>
          <w:p w14:paraId="4B2480FA"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تخطيط القوى العاملة – وصف الوظائف – أساليب الجذب</w:t>
            </w:r>
          </w:p>
        </w:tc>
        <w:tc>
          <w:tcPr>
            <w:tcW w:w="0" w:type="auto"/>
            <w:vAlign w:val="center"/>
          </w:tcPr>
          <w:p w14:paraId="5274C45F"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الجذب</w:t>
            </w:r>
          </w:p>
        </w:tc>
        <w:tc>
          <w:tcPr>
            <w:tcW w:w="0" w:type="auto"/>
            <w:vAlign w:val="center"/>
          </w:tcPr>
          <w:p w14:paraId="649E4A46"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لأنها تتناسب مع حاجة الدراسة لقياس فعالية سياسات الجذب المعتمدة</w:t>
            </w:r>
          </w:p>
        </w:tc>
      </w:tr>
      <w:tr w:rsidR="00E457CD" w:rsidRPr="00BF65CE" w14:paraId="67A7F4A4" w14:textId="77777777" w:rsidTr="00866B6D">
        <w:tc>
          <w:tcPr>
            <w:tcW w:w="0" w:type="auto"/>
            <w:vAlign w:val="center"/>
          </w:tcPr>
          <w:p w14:paraId="7FE0F5A5"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الخشاب 2019</w:t>
            </w:r>
          </w:p>
        </w:tc>
        <w:tc>
          <w:tcPr>
            <w:tcW w:w="0" w:type="auto"/>
            <w:vAlign w:val="center"/>
          </w:tcPr>
          <w:p w14:paraId="743CAF27"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الاستقطاب – مصادر الاستقطاب – العوامل المؤثرة</w:t>
            </w:r>
          </w:p>
        </w:tc>
        <w:tc>
          <w:tcPr>
            <w:tcW w:w="0" w:type="auto"/>
            <w:vAlign w:val="center"/>
          </w:tcPr>
          <w:p w14:paraId="571860E1"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أساليب الاستقطاب – مصادر الاستقطاب</w:t>
            </w:r>
          </w:p>
        </w:tc>
        <w:tc>
          <w:tcPr>
            <w:tcW w:w="0" w:type="auto"/>
            <w:vAlign w:val="center"/>
          </w:tcPr>
          <w:p w14:paraId="5D497F5D"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لأنها تمثل أهم محاور عملية الاستقطاب التي تتوافق مع بيئة العمل المستهدفة</w:t>
            </w:r>
          </w:p>
        </w:tc>
      </w:tr>
      <w:tr w:rsidR="00E457CD" w:rsidRPr="00BF65CE" w14:paraId="5D185C10" w14:textId="77777777" w:rsidTr="00866B6D">
        <w:tc>
          <w:tcPr>
            <w:tcW w:w="0" w:type="auto"/>
            <w:vAlign w:val="center"/>
          </w:tcPr>
          <w:p w14:paraId="316119F6"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أمين 2018</w:t>
            </w:r>
          </w:p>
        </w:tc>
        <w:tc>
          <w:tcPr>
            <w:tcW w:w="0" w:type="auto"/>
            <w:vAlign w:val="center"/>
          </w:tcPr>
          <w:p w14:paraId="752DB8CC"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العادي – الاستقطاب الإلكتروني</w:t>
            </w:r>
          </w:p>
        </w:tc>
        <w:tc>
          <w:tcPr>
            <w:tcW w:w="0" w:type="auto"/>
            <w:vAlign w:val="center"/>
          </w:tcPr>
          <w:p w14:paraId="7617606B"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الاستقطاب الإلكتروني</w:t>
            </w:r>
          </w:p>
        </w:tc>
        <w:tc>
          <w:tcPr>
            <w:tcW w:w="0" w:type="auto"/>
            <w:vAlign w:val="center"/>
          </w:tcPr>
          <w:p w14:paraId="79DAE1E1" w14:textId="77777777" w:rsidR="00E457CD" w:rsidRPr="00BF65CE" w:rsidRDefault="00014347" w:rsidP="00866B6D">
            <w:pPr>
              <w:rPr>
                <w:rFonts w:ascii="Simplified Arabic" w:hAnsi="Simplified Arabic" w:cs="Simplified Arabic"/>
              </w:rPr>
            </w:pPr>
            <w:r w:rsidRPr="00BF65CE">
              <w:rPr>
                <w:rFonts w:ascii="Simplified Arabic" w:hAnsi="Simplified Arabic" w:cs="Simplified Arabic"/>
                <w:rtl/>
              </w:rPr>
              <w:t>لمواكبة التحول الرقمي واعتماد المؤسسات على التوظيف الإلكتروني</w:t>
            </w:r>
          </w:p>
        </w:tc>
      </w:tr>
    </w:tbl>
    <w:p w14:paraId="0A90BE3D" w14:textId="77777777" w:rsidR="00E457CD" w:rsidRPr="00BF65CE"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6DDED744" w14:textId="77777777" w:rsidR="00E457CD" w:rsidRPr="00BF65CE" w:rsidRDefault="00014347" w:rsidP="00DE7D61">
      <w:pPr>
        <w:pStyle w:val="3"/>
        <w:rPr>
          <w:rFonts w:cs="Simplified Arabic"/>
          <w:color w:val="auto"/>
        </w:rPr>
      </w:pPr>
      <w:bookmarkStart w:id="39" w:name="_Toc235125813"/>
      <w:r w:rsidRPr="00BF65CE">
        <w:rPr>
          <w:rFonts w:cs="Simplified Arabic"/>
          <w:color w:val="auto"/>
          <w:rtl/>
        </w:rPr>
        <w:lastRenderedPageBreak/>
        <w:t>ثانيًا: الدراسات المتعلقة بتطبيقات الذكاء الاصطناعي</w:t>
      </w:r>
      <w:bookmarkEnd w:id="39"/>
    </w:p>
    <w:p w14:paraId="18F532E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أبو شحاتة، وآخرون (2024)</w:t>
      </w:r>
      <w:r w:rsidRPr="00BF65CE">
        <w:rPr>
          <w:rFonts w:ascii="Simplified Arabic" w:hAnsi="Simplified Arabic" w:cs="Simplified Arabic"/>
          <w:rtl/>
        </w:rPr>
        <w:t xml:space="preserve"> إلى تقييم الأثر المباشر وغير المباشر لتطبيق تقنيات الذكاء الاصطناعي في ممارسات إدارة الموارد البشرية على مستوى انخراط الموظفين في العمل بالشركة المصرية للاتصالات، كما تسعى الدراسة إلى استكشاف الدور الوسيط الذي يلعبه الدعم التنظيمي المدرك في تعزيز هذه العلاقة، أظهرت النتائج أن تطبيق الذكاء الاصطناعي في ممارسات إدارة الموارد البشرية في الشركة المصرية للاتصالات قد أدى إلى زيادة في مستوى انخراط الموظفين في أعمالهم، قد يعود ذلك إلى عدة عوامل مثل زيادة الكفاءة، توفير الوقت، وتحسين تجربة الموظف.</w:t>
      </w:r>
    </w:p>
    <w:p w14:paraId="11ADC03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استعرضت دراسة </w:t>
      </w:r>
      <w:r w:rsidRPr="00BF65CE">
        <w:rPr>
          <w:rFonts w:ascii="Simplified Arabic" w:hAnsi="Simplified Arabic" w:cs="Simplified Arabic"/>
          <w:b/>
          <w:bCs/>
          <w:rtl/>
        </w:rPr>
        <w:t xml:space="preserve">Batista, J., Mesquita, A., &amp; Carnaz, G (2024) </w:t>
      </w:r>
      <w:r w:rsidRPr="00BF65CE">
        <w:rPr>
          <w:rFonts w:ascii="Simplified Arabic" w:hAnsi="Simplified Arabic" w:cs="Simplified Arabic"/>
          <w:rtl/>
        </w:rPr>
        <w:t xml:space="preserve"> تأثير الذكاء الاصطناعي التوليدي على التعليم العالي، مع التركيز على قبوله من قِبل الأطراف المعنية واستخدامه لتعزيز العمليات التعليمية، أشارت النتائج إلى فوائد متعددة في تحسين الأداء المؤسسي، لكنها سلطت الضوء أيضاً على تحديات مرتبطة بالاستراتيجيات المؤسسية والنزاهة الأكاديمية.</w:t>
      </w:r>
    </w:p>
    <w:p w14:paraId="51B4266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Chaity, N. S., Senathirajah, A. R. B. S., &amp; Abdullah, M (2024)</w:t>
      </w:r>
      <w:r w:rsidRPr="00BF65CE">
        <w:rPr>
          <w:rFonts w:ascii="Simplified Arabic" w:hAnsi="Simplified Arabic" w:cs="Simplified Arabic"/>
          <w:rtl/>
        </w:rPr>
        <w:t xml:space="preserve"> 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تعزيز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0732BD4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Gamil &amp; Rahman (2024 (</w:t>
      </w:r>
      <w:r w:rsidRPr="00BF65CE">
        <w:rPr>
          <w:rFonts w:ascii="Simplified Arabic" w:hAnsi="Simplified Arabic" w:cs="Simplified Arabic"/>
          <w:rtl/>
        </w:rPr>
        <w:t xml:space="preserve">حيث سعت هذه الدراسة إلى تحليل دور الذكاء الاصطناعي في في تحسين وزيادة أداء أنظمة إدارة الموارد البشرية من خلال كفاءة الموظف التقنية كمتغير وسيط ومنها اعتمدت الدراسة على منهج كمي باستخدام استبانة طُبقت على عينة من (272) موظف يعملون في الإدارات العليا للموارد البشرية بعدد من الشركات السعودية ، ومنها استخدم الباحثان نموذج المعادلات الهيكلية (SEM) لاختبار العلاقات بين المتغيرات، حيث أظهرت </w:t>
      </w:r>
      <w:r w:rsidRPr="00BF65CE">
        <w:rPr>
          <w:rFonts w:ascii="Simplified Arabic" w:hAnsi="Simplified Arabic" w:cs="Simplified Arabic"/>
          <w:rtl/>
        </w:rPr>
        <w:lastRenderedPageBreak/>
        <w:t>النتائج أن تطبيقات الذكاء الاصطناعي تسهم بشكل غير مباشر في تحسين الأداء من خلال رفع الكفاءة التقنية، وقد أوصت الدراسة بضرورة دمج التدريب التقني في سياسات التوظيف والتطوير المهني لمواكبة التحول الرقمي .</w:t>
      </w:r>
    </w:p>
    <w:p w14:paraId="4094F21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El-Masri وآخرون (2024)</w:t>
      </w:r>
      <w:r w:rsidRPr="00BF65CE">
        <w:rPr>
          <w:rFonts w:ascii="Simplified Arabic" w:hAnsi="Simplified Arabic" w:cs="Simplified Arabic"/>
          <w:rtl/>
        </w:rPr>
        <w:t xml:space="preserve"> هدفت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 SmartPLS 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 .</w:t>
      </w:r>
    </w:p>
    <w:p w14:paraId="2D17276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Rafner, J., Beaty, R. E., Kaufman, J. C., Lubart, T., &amp; Sherson, J (2023)</w:t>
      </w:r>
      <w:r w:rsidRPr="00BF65CE">
        <w:rPr>
          <w:rFonts w:ascii="Simplified Arabic" w:hAnsi="Simplified Arabic" w:cs="Simplified Arabic"/>
          <w:rtl/>
        </w:rPr>
        <w:t xml:space="preserve"> 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6C4F813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دراسة الهنداوي وآخرون (2021)</w:t>
      </w:r>
      <w:r w:rsidRPr="00BF65CE">
        <w:rPr>
          <w:rFonts w:ascii="Simplified Arabic" w:hAnsi="Simplified Arabic" w:cs="Simplified Arabic"/>
          <w:rtl/>
        </w:rPr>
        <w:t xml:space="preserve"> استهدفت الكشف عن ماهية الذكاء الاصطناعي وتطبيقاته في إدارة المؤسسات الجامعية، مع التركيز على استعراض الخبرات المتميزة والنماذج العالمية في توظيف هذه التقنيات لتطوير الإدارة الجامعية. تناولت الدراسة المشرفات والأهمية المتزايدة لتطبيقات الذكاء الاصطناعي في هذا المجال، مستعرضةً كيف يمكن لهذه التطبيقات الإسهام في تحسين كفاءة الأداء الإداري، ودعم اتخاذ القرار، وتطوير الخدمات الأكاديمية والإدارية. اعتمد الباحثون المنهج الوصفي التحليلي لتحليل الأدبيات والدراسات السابقة، مستفيدين من التجارب الدولية الرائدة في هذا المجال، وخلصت الدراسة إلى مجموعة من النتائج التي تؤكد أن دمج الذكاء الاصطناعي في الإدارة الجامعية يمثل ضرورة ملحة لمواكبة التطورات التكنولوجية وتحقيق التميز المؤسسي، مع التأكيد على أهمية التخطيط الاستراتيجي والتدريب المستمر لضمان فاعلية تطبيق هذه التقنيات.</w:t>
      </w:r>
    </w:p>
    <w:p w14:paraId="411D234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سعت دراسة </w:t>
      </w:r>
      <w:r w:rsidRPr="00BF65CE">
        <w:rPr>
          <w:rFonts w:ascii="Simplified Arabic" w:hAnsi="Simplified Arabic" w:cs="Simplified Arabic"/>
          <w:b/>
          <w:bCs/>
          <w:rtl/>
        </w:rPr>
        <w:t>العنزي،؛ السعود (2020)</w:t>
      </w:r>
      <w:r w:rsidRPr="00BF65CE">
        <w:rPr>
          <w:rFonts w:ascii="Simplified Arabic" w:hAnsi="Simplified Arabic" w:cs="Simplified Arabic"/>
          <w:rtl/>
        </w:rPr>
        <w:t xml:space="preserve"> إلى التعرف إلى أثر الذكاء الاصطناعي على أداء المنظمات (العمليات الداخلية، التدريب والنمو، رضا المراجعين)، واتبع الباحث المنهج الوصفي التحليلي للقيام بهذه الدراسة، واشتملت عينة الدراسة على </w:t>
      </w:r>
      <w:r w:rsidRPr="00BF65CE">
        <w:rPr>
          <w:rFonts w:ascii="Simplified Arabic" w:hAnsi="Simplified Arabic" w:cs="Simplified Arabic"/>
          <w:rtl/>
        </w:rPr>
        <w:lastRenderedPageBreak/>
        <w:t>(130) من موظفي مؤسسة الرعاية الصحية الأولية بدولة قطر، واستخدمت الدراسة أداة طورت لهذا الغرض، وأظهرت نتائج الدراسة أن المتوسطات الحسابية جاءت مرتفعة جدا ومرتفعة ومتوسطة للبعد المستقل (الذكاء الاصطناعي)، وأن المتوسط الحسابي للبعد الكلي (أداء المنظمات) بلغ (4.00)، وجاء بالمرتبة الأولى البعد الثاني (التدريب والنمو)، تلتها في المرتبة الأخيرة البعد الأول (العمليات الداخلية)، كما أظهرت النتائج أن المتغير المستقل (الذكاء الاصطناعي) له تأثير دال إحصائيا في المتغير التابع (أداء المهمات) بأبعاده مجتمعة (العمليات الداخلية، والتدريب والنمو، ورضا المراجعين)، وفي ضوء نتائج الدراسة قدم الباحث عدة توصيات، منها: ضرورة الاهتمام بتطبيقات الذكاء الاصطناعي المتعلقة بعمليات إلغاء اشتراكات العميل الإلكترونية، والحرص على إتمامها بطريقة سريعة وسهلة، والحرص على الاهتمام بسير العمليات الداخلية في المؤسسة، وتحسين العلاقات بين العاملين فيها، والحرص على التزامهم بالأنظمة والقوانين.</w:t>
      </w:r>
    </w:p>
    <w:p w14:paraId="15DF1DDB"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(2-2): </w:t>
      </w:r>
      <w:r w:rsidR="001823A7" w:rsidRPr="00BF65CE">
        <w:rPr>
          <w:rFonts w:ascii="Simplified Arabic" w:hAnsi="Simplified Arabic" w:cs="Simplified Arabic"/>
          <w:rtl/>
        </w:rPr>
        <w:t>ملخص الدراسات المتعلقة بتطبيقات الذكاء الاصطناعي</w:t>
      </w:r>
    </w:p>
    <w:tbl>
      <w:tblPr>
        <w:tblStyle w:val="12"/>
        <w:bidiVisual/>
        <w:tblW w:w="0" w:type="auto"/>
        <w:tblLook w:val="0220" w:firstRow="1" w:lastRow="0" w:firstColumn="0" w:lastColumn="0" w:noHBand="1" w:noVBand="0"/>
      </w:tblPr>
      <w:tblGrid>
        <w:gridCol w:w="1374"/>
        <w:gridCol w:w="2858"/>
        <w:gridCol w:w="1666"/>
        <w:gridCol w:w="2880"/>
      </w:tblGrid>
      <w:tr w:rsidR="00E457CD" w:rsidRPr="00BF65CE" w14:paraId="7653336C" w14:textId="77777777" w:rsidTr="00605E70">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2B8923D7"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4730BB4F"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338E9520"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7FFBB4C7" w14:textId="77777777" w:rsidR="00E457CD" w:rsidRPr="00BF65CE" w:rsidRDefault="00014347" w:rsidP="00AB3548">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26EEAF83" w14:textId="77777777" w:rsidTr="00605E70">
        <w:tc>
          <w:tcPr>
            <w:tcW w:w="0" w:type="auto"/>
            <w:vAlign w:val="center"/>
          </w:tcPr>
          <w:p w14:paraId="70E89D1C"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أبو شحاتة وآخرون 2024</w:t>
            </w:r>
          </w:p>
        </w:tc>
        <w:tc>
          <w:tcPr>
            <w:tcW w:w="0" w:type="auto"/>
            <w:vAlign w:val="center"/>
          </w:tcPr>
          <w:p w14:paraId="26E02426"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 – دعم الموظفين</w:t>
            </w:r>
          </w:p>
        </w:tc>
        <w:tc>
          <w:tcPr>
            <w:tcW w:w="0" w:type="auto"/>
            <w:vAlign w:val="center"/>
          </w:tcPr>
          <w:p w14:paraId="7FD78BB6"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الذكاء الاصطناعي في إدارة الموارد البشرية</w:t>
            </w:r>
          </w:p>
        </w:tc>
        <w:tc>
          <w:tcPr>
            <w:tcW w:w="0" w:type="auto"/>
            <w:vAlign w:val="center"/>
          </w:tcPr>
          <w:p w14:paraId="0B17B104"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 الأكثر ارتباطًا ببيئة الموارد البشرية التي تستهدفها الدراسة</w:t>
            </w:r>
          </w:p>
        </w:tc>
      </w:tr>
      <w:tr w:rsidR="00E457CD" w:rsidRPr="00BF65CE" w14:paraId="221A8366" w14:textId="77777777" w:rsidTr="00605E70">
        <w:tc>
          <w:tcPr>
            <w:tcW w:w="0" w:type="auto"/>
            <w:vAlign w:val="center"/>
          </w:tcPr>
          <w:p w14:paraId="2DCFEBE3"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Chaity وآخرون 2024</w:t>
            </w:r>
          </w:p>
        </w:tc>
        <w:tc>
          <w:tcPr>
            <w:tcW w:w="0" w:type="auto"/>
            <w:vAlign w:val="center"/>
          </w:tcPr>
          <w:p w14:paraId="1C993F41"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قدرات الذكاء الاصطناعي – الثقافة التنظيمية الداعمة</w:t>
            </w:r>
          </w:p>
        </w:tc>
        <w:tc>
          <w:tcPr>
            <w:tcW w:w="0" w:type="auto"/>
            <w:vAlign w:val="center"/>
          </w:tcPr>
          <w:p w14:paraId="3E1C67A5"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قدرات الذكاء الاصطناعي</w:t>
            </w:r>
          </w:p>
        </w:tc>
        <w:tc>
          <w:tcPr>
            <w:tcW w:w="0" w:type="auto"/>
            <w:vAlign w:val="center"/>
          </w:tcPr>
          <w:p w14:paraId="62C10645"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لأنها تمثل جوهر تأثير التقنية على بيئة العمل</w:t>
            </w:r>
          </w:p>
        </w:tc>
      </w:tr>
      <w:tr w:rsidR="00E457CD" w:rsidRPr="00BF65CE" w14:paraId="71B17938" w14:textId="77777777" w:rsidTr="00605E70">
        <w:tc>
          <w:tcPr>
            <w:tcW w:w="0" w:type="auto"/>
            <w:vAlign w:val="center"/>
          </w:tcPr>
          <w:p w14:paraId="6E2F9CF8"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Gamil &amp; Rahman 2024</w:t>
            </w:r>
          </w:p>
        </w:tc>
        <w:tc>
          <w:tcPr>
            <w:tcW w:w="0" w:type="auto"/>
            <w:vAlign w:val="center"/>
          </w:tcPr>
          <w:p w14:paraId="33A5C9C9"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تطبيقات الذكاء الاصطناعي – الكفاءة التقنية</w:t>
            </w:r>
          </w:p>
        </w:tc>
        <w:tc>
          <w:tcPr>
            <w:tcW w:w="0" w:type="auto"/>
            <w:vAlign w:val="center"/>
          </w:tcPr>
          <w:p w14:paraId="7A3AE8E0"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تطبيقات الذكاء الاصطناعي</w:t>
            </w:r>
          </w:p>
        </w:tc>
        <w:tc>
          <w:tcPr>
            <w:tcW w:w="0" w:type="auto"/>
            <w:vAlign w:val="center"/>
          </w:tcPr>
          <w:p w14:paraId="4104D6CE"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لأنها تعكس الدور الفعلي للتقنية في تطوير الأداء</w:t>
            </w:r>
          </w:p>
        </w:tc>
      </w:tr>
      <w:tr w:rsidR="00E457CD" w:rsidRPr="00BF65CE" w14:paraId="25F8C1FC" w14:textId="77777777" w:rsidTr="00605E70">
        <w:tc>
          <w:tcPr>
            <w:tcW w:w="0" w:type="auto"/>
            <w:vAlign w:val="center"/>
          </w:tcPr>
          <w:p w14:paraId="4084581F"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الهنداوي وآخرون 2021</w:t>
            </w:r>
          </w:p>
        </w:tc>
        <w:tc>
          <w:tcPr>
            <w:tcW w:w="0" w:type="auto"/>
            <w:vAlign w:val="center"/>
          </w:tcPr>
          <w:p w14:paraId="303583FD"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تحسين الأداء الإداري، دعم اتخاذ القرار، تطوير الخدمات الأكاديمية، التخطيط الاستراتيجي، التدريب المستمر</w:t>
            </w:r>
          </w:p>
        </w:tc>
        <w:tc>
          <w:tcPr>
            <w:tcW w:w="0" w:type="auto"/>
            <w:vAlign w:val="center"/>
          </w:tcPr>
          <w:p w14:paraId="10155BE0"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تحسين الأداء، دعم اتخاذ القرار</w:t>
            </w:r>
          </w:p>
        </w:tc>
        <w:tc>
          <w:tcPr>
            <w:tcW w:w="0" w:type="auto"/>
            <w:vAlign w:val="center"/>
          </w:tcPr>
          <w:p w14:paraId="1E72677C"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لارتباطهما المباشر بقياس أثر تطبيقات الذكاء الاصطناعي على كفاءة الإدارة</w:t>
            </w:r>
          </w:p>
        </w:tc>
      </w:tr>
      <w:tr w:rsidR="00E457CD" w:rsidRPr="00BF65CE" w14:paraId="489FE0DF" w14:textId="77777777" w:rsidTr="00605E70">
        <w:tc>
          <w:tcPr>
            <w:tcW w:w="0" w:type="auto"/>
            <w:vAlign w:val="center"/>
          </w:tcPr>
          <w:p w14:paraId="5336B464"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العنزي والسعود 2020</w:t>
            </w:r>
          </w:p>
        </w:tc>
        <w:tc>
          <w:tcPr>
            <w:tcW w:w="0" w:type="auto"/>
            <w:vAlign w:val="center"/>
          </w:tcPr>
          <w:p w14:paraId="74B343FB"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العمليات الداخلية، التدريب والنمو، رضا المراجعين</w:t>
            </w:r>
          </w:p>
        </w:tc>
        <w:tc>
          <w:tcPr>
            <w:tcW w:w="0" w:type="auto"/>
            <w:vAlign w:val="center"/>
          </w:tcPr>
          <w:p w14:paraId="1C43E45B"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التدريب والنمو، رضا المراجعين</w:t>
            </w:r>
          </w:p>
        </w:tc>
        <w:tc>
          <w:tcPr>
            <w:tcW w:w="0" w:type="auto"/>
            <w:vAlign w:val="center"/>
          </w:tcPr>
          <w:p w14:paraId="739C2762" w14:textId="77777777" w:rsidR="00E457CD" w:rsidRPr="00BF65CE" w:rsidRDefault="00014347" w:rsidP="00AB3548">
            <w:pPr>
              <w:rPr>
                <w:rFonts w:ascii="Simplified Arabic" w:hAnsi="Simplified Arabic" w:cs="Simplified Arabic"/>
              </w:rPr>
            </w:pPr>
            <w:r w:rsidRPr="00BF65CE">
              <w:rPr>
                <w:rFonts w:ascii="Simplified Arabic" w:hAnsi="Simplified Arabic" w:cs="Simplified Arabic"/>
                <w:rtl/>
              </w:rPr>
              <w:t>لأنهما الأكثر تأثيرًا على تنمية القدرات المؤسسية وتحقيق رضا المستفيدين في ضوء تطبيقات الذكاء الاصطناعي</w:t>
            </w:r>
          </w:p>
        </w:tc>
      </w:tr>
    </w:tbl>
    <w:p w14:paraId="3882B808" w14:textId="77777777" w:rsidR="00E457CD" w:rsidRDefault="00014347" w:rsidP="00AB3548">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09DAEFC3" w14:textId="77777777" w:rsidR="00584EEB" w:rsidRPr="00BF65CE" w:rsidRDefault="00584EEB" w:rsidP="00AB3548">
      <w:pPr>
        <w:spacing w:after="200" w:line="280" w:lineRule="auto"/>
        <w:jc w:val="both"/>
        <w:rPr>
          <w:rFonts w:ascii="Simplified Arabic" w:hAnsi="Simplified Arabic" w:cs="Simplified Arabic"/>
        </w:rPr>
      </w:pPr>
    </w:p>
    <w:p w14:paraId="2F2CD20D" w14:textId="77777777" w:rsidR="00E457CD" w:rsidRPr="00BF65CE" w:rsidRDefault="00014347" w:rsidP="00DE7D61">
      <w:pPr>
        <w:pStyle w:val="3"/>
        <w:rPr>
          <w:rFonts w:cs="Simplified Arabic"/>
          <w:color w:val="auto"/>
        </w:rPr>
      </w:pPr>
      <w:bookmarkStart w:id="40" w:name="_Toc235125814"/>
      <w:r w:rsidRPr="00BF65CE">
        <w:rPr>
          <w:rFonts w:cs="Simplified Arabic"/>
          <w:color w:val="auto"/>
          <w:rtl/>
        </w:rPr>
        <w:lastRenderedPageBreak/>
        <w:t>ثالثًا: الدراسات المتعلقة بالإبداع</w:t>
      </w:r>
      <w:bookmarkEnd w:id="40"/>
    </w:p>
    <w:p w14:paraId="6582F7C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Jiang وآخرون (2025)</w:t>
      </w:r>
      <w:r w:rsidRPr="00BF65CE">
        <w:rPr>
          <w:rFonts w:ascii="Simplified Arabic" w:hAnsi="Simplified Arabic" w:cs="Simplified Arabic"/>
          <w:rtl/>
        </w:rPr>
        <w:t xml:space="preserve"> هدفت هذه الدراسة إلى اكتشاف العلاقة بين التعاون البشري-الآلي وسلوكيات الموظفين المبادرين في بيئة العمل، استناد إلى نظرية الحفاظ على الموارد، ومنها نجد انه اعتمد الباحثون على منهج كمي باستخدام الاستبيان، وجمعت البيانات من عينة مكونة من (384) موظف من قطاعات تكنولوجية متنوعة في الصين ومنها قام الباحث بتنظيف تحليل المسار باستخدام برنامج AMOS لاختبار الفرضيات، وقد أشارت النتائج إلى أن التعاون مع الذكاء الاصطناعي يقلل من الأعباء المعرفية، مما يحسن دائما وابدا من مستويات السلوك المبادر لدى الموظفين، كما بينت الدراسة أن الدعم الإداري يضاعف من أثر هذا التعاون على الأداء الإبداعي ، ومنها أوصت الدراسة بضرورة الاستثمار في تهيئة الموظفين نفسي وتقني للتعامل مع تقنيات الذكاء الاصطناعي بما يحقق أقصى درجات التميز المؤسسي.</w:t>
      </w:r>
    </w:p>
    <w:p w14:paraId="6C67F92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Zhang &amp; Chen (2025)</w:t>
      </w:r>
      <w:r w:rsidRPr="00BF65CE">
        <w:rPr>
          <w:rFonts w:ascii="Simplified Arabic" w:hAnsi="Simplified Arabic" w:cs="Simplified Arabic"/>
          <w:rtl/>
        </w:rPr>
        <w:t xml:space="preserve"> وحيث هدفت الدراسة إلى استكشاف كيف يؤثر مناخ العمل التنظيمي على سلوكيات الإبداع لدى الموظفين، مع اختبار دور الذكاء الاصطناعي كمتغير وسيط في هذه العلاقة ، وقد تم جمع البيانات من (306) موظفا يعملون في قطاعات تكنولوجيا المعلومات بالصين، باستخدام أداة استبيان إلكترونية، وتم تحليلها باستخدام برنامج AMOS. أظهرت النتائج أن مناخ العمل الإيجابي يزيد من الإبداع، لكن التأثير كان أقوى عند إدماج الذكاء الاصطناعي في العمليات التنظيمية. وأوصت الدراسة بإعادة تصميم الثقافة التنظيمية بما يدعم إدخال التكنولوجيا دون التأثير السلبي على التفاعل الإنساني.</w:t>
      </w:r>
    </w:p>
    <w:p w14:paraId="6BCD92D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تناولت دراسة </w:t>
      </w:r>
      <w:r w:rsidRPr="00BF65CE">
        <w:rPr>
          <w:rFonts w:ascii="Simplified Arabic" w:hAnsi="Simplified Arabic" w:cs="Simplified Arabic"/>
          <w:b/>
          <w:bCs/>
          <w:rtl/>
        </w:rPr>
        <w:t>Chaity, N. S., Senathirajah, A. R. B. S., &amp; Abdullah, M (2024)</w:t>
      </w:r>
      <w:r w:rsidRPr="00BF65CE">
        <w:rPr>
          <w:rFonts w:ascii="Simplified Arabic" w:hAnsi="Simplified Arabic" w:cs="Simplified Arabic"/>
          <w:rtl/>
        </w:rPr>
        <w:t xml:space="preserve"> العلاقة بين قدرات الذكاء الاصطناعي والأداء المستدام، وأظهرت النتائج أن الذكاء الاصطناعي يساهم بشكل كبير في تعزيز الإبداع التنظيمي والابتكار الأخضر، تمثل الإبداع التنظيمي والابتكار الأخضر دور الوسيط بين قدرات الذكاء الاصطناعي والأداء المستدام، كما أظهرت الدراسة دور الثقافة التنظيمية في دعم هذه العلاقة، وركزت هذه الدراسة على قدرة الذكاء الاصطناعي وتأثيرها على الإبداع التنظيمي، مع دور المعرفة المشتركة كعامل وسيط والتماسك التنظيمي كعامل مُعدّل، أظهرت النتائج أن تعزيز قدرات الذكاء الاصطناعي يؤدي إلى تحسين الإبداع التنظيمي عندما يكون هناك مشاركة فعّالة للمعرفة وبيئة تنظيمية داعمة للتعاون.</w:t>
      </w:r>
    </w:p>
    <w:p w14:paraId="4888691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هدفت دراسة </w:t>
      </w:r>
      <w:r w:rsidRPr="00BF65CE">
        <w:rPr>
          <w:rFonts w:ascii="Simplified Arabic" w:hAnsi="Simplified Arabic" w:cs="Simplified Arabic"/>
          <w:b/>
          <w:bCs/>
          <w:rtl/>
        </w:rPr>
        <w:t>El-Masri وآخرون (2024)</w:t>
      </w:r>
      <w:r w:rsidRPr="00BF65CE">
        <w:rPr>
          <w:rFonts w:ascii="Simplified Arabic" w:hAnsi="Simplified Arabic" w:cs="Simplified Arabic"/>
          <w:rtl/>
        </w:rPr>
        <w:t xml:space="preserve"> هذه الدراسة إلى تحليل تأثير تطبيقات الذكاء الاصطناعي في بيئة العمل على الإبداع الوظيفي لدى العاملين في قطاع الضيافة، مع دراسة دور سلوكيات التعلم ورفاهية الموظف كمتغيرين وسيطين. تم تطبيق الاستبانة على عينة من (317) موظفا بفندق خمس نجوم في القاهرة، واستخدم الباحثون نموذج المعادلات البنائية SmartPLS لاختبار النموذج المفترض، ومنها توصلت النتائج إلى أن التعاون مع تقنيات الذكاء الاصطناعي يؤدي إلى رفع الإبداع من خلال دعم بيئة التعلم الإيجابية والرفاهية النفسية، ومنها أوصت الدراسة بضرورة تبني ممارسات الذكاء الاصطناعي التي تضمن التفاعل الإنساني وتحفز العاملين على التفكير الابتكاري .</w:t>
      </w:r>
    </w:p>
    <w:p w14:paraId="3433E5A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b/>
          <w:bCs/>
          <w:rtl/>
        </w:rPr>
        <w:t>دراسة شكري وآخرون (2024)</w:t>
      </w:r>
      <w:r w:rsidRPr="00BF65CE">
        <w:rPr>
          <w:rFonts w:ascii="Simplified Arabic" w:hAnsi="Simplified Arabic" w:cs="Simplified Arabic"/>
          <w:rtl/>
        </w:rPr>
        <w:t xml:space="preserve"> هدفت إلى توضيح العلاقة بين التمكين الإداري والإبداع لدى موظفي شركات السياحة والفنادق الفاخرة، مع إبراز دور البراعة التنظيمية كمتغير وسيط في هذه العلاقة. اعتمدت الدراسة على جمع بيانات من 281 موظفًا بفنادق خمس نجوم و360 موظفًا بشركات سياحية من الدرجة الأولى في القاهرة الكبرى، وتم تحليل البيانات باستخدام برنامج ADANCO-PLS v.2.4 لدراسة الفروق بين المجموعتين. أظهرت النتائج أن أبعاد التمكين الإداري (تبادل المعلومات، الاستقلالية، تعزيز العمل الحر، وفرق العمل) أثرت إيجابيًا في البراعة التنظيمية لصالح موظفي الفنادق، كما تبين أن البراعة التنظيمية توسطت جزئيًا في العلاقة بين التمكين والإبداع الإداري لصالح هذه العينة، باستثناء الاستقلالية التي ظهرت فائدتها الأكبر لصالح موظفي شركات السياحة</w:t>
      </w:r>
    </w:p>
    <w:p w14:paraId="45FF0DA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دراسة </w:t>
      </w:r>
      <w:r w:rsidRPr="00BF65CE">
        <w:rPr>
          <w:rFonts w:ascii="Simplified Arabic" w:hAnsi="Simplified Arabic" w:cs="Simplified Arabic"/>
          <w:b/>
          <w:bCs/>
          <w:rtl/>
        </w:rPr>
        <w:t>بخيخ وآخرون (2023)</w:t>
      </w:r>
      <w:r w:rsidRPr="00BF65CE">
        <w:rPr>
          <w:rFonts w:ascii="Simplified Arabic" w:hAnsi="Simplified Arabic" w:cs="Simplified Arabic"/>
          <w:rtl/>
        </w:rPr>
        <w:t xml:space="preserve"> هدفت إلى الكشف عن طبيعة العلاقة بين الثقافة التنظيمية والإبداع الإداري في المؤسسة الجزائرية، من خلال دراسة ميدانية على موظفي كلية العلوم الإنسانية والاجتماعية بجامعة جيجل. انطلقت المشكلة البحثية من التساؤل حول وجود علاقة بين الثقافة التنظيمية (بأبعادها: القيم، الأعراف، التوقعات، المعتقدات) والإبداع الإداري، وصيغت فرضية رئيسية وأربع فرضيات فرعية تعكس هذه الأبعاد. اعتمدت الدراسة المنهج الوصفي التحليلي، واستخدمت الاستمارة كأداة لجمع البيانات من عينة مكونة من 64 موظفًا. تناول الإطار النظري أربعة فصول ناقشت موضوع الدراسة، المقاربات النظرية، الثقافة التنظيمية، والإبداع الإداري، بينما اشتمل الجانب الميداني على الإطار المنهجي وتحليل النتائج. أظهرت النتائج وجود علاقة إيجابية ذات دلالة إحصائية بين الثقافة التنظيمية بجميع أبعادها والإبداع الإداري لدى الموظفين، ما يشير إلى أن تعزيز القيم والأعراف والتوقعات والمعتقدات التنظيمية يسهم في دعم بيئة العمل المبدعة</w:t>
      </w:r>
    </w:p>
    <w:p w14:paraId="64BB26B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تناولت دراسة </w:t>
      </w:r>
      <w:r w:rsidRPr="00BF65CE">
        <w:rPr>
          <w:rFonts w:ascii="Simplified Arabic" w:hAnsi="Simplified Arabic" w:cs="Simplified Arabic"/>
          <w:b/>
          <w:bCs/>
          <w:rtl/>
        </w:rPr>
        <w:t>Rafner, J., Beaty, R. E., Kaufman, J. C., Lubart, T., &amp; Sherson, J (2023)</w:t>
      </w:r>
      <w:r w:rsidRPr="00BF65CE">
        <w:rPr>
          <w:rFonts w:ascii="Simplified Arabic" w:hAnsi="Simplified Arabic" w:cs="Simplified Arabic"/>
          <w:rtl/>
        </w:rPr>
        <w:t xml:space="preserve"> التأثيرات المتعددة للذكاء الاصطناعي التوليدي على الإبداع، حيث أظهرت أن الأدوات التوليدية تعزز الشراكات الإبداعية بين البشر والتقنيات، ركزت النتائج على تحسين الإبداع من خلال تحسين الفهم والتفاعل بين الأطراف، ومع ذلك، أشارت الدراسة إلى تحديات متعلقة بأصالة الأفكار والتنوع في النتائج الإبداعية.</w:t>
      </w:r>
    </w:p>
    <w:p w14:paraId="7AC92806"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(2-3): </w:t>
      </w:r>
      <w:r w:rsidR="001823A7" w:rsidRPr="00BF65CE">
        <w:rPr>
          <w:rFonts w:ascii="Simplified Arabic" w:hAnsi="Simplified Arabic" w:cs="Simplified Arabic"/>
          <w:rtl/>
        </w:rPr>
        <w:t>ملخص الدراسات المتعلقة بالإبداع</w:t>
      </w:r>
    </w:p>
    <w:tbl>
      <w:tblPr>
        <w:tblStyle w:val="12"/>
        <w:bidiVisual/>
        <w:tblW w:w="5000" w:type="pct"/>
        <w:tblLook w:val="0620" w:firstRow="1" w:lastRow="0" w:firstColumn="0" w:lastColumn="0" w:noHBand="1" w:noVBand="1"/>
      </w:tblPr>
      <w:tblGrid>
        <w:gridCol w:w="1378"/>
        <w:gridCol w:w="3320"/>
        <w:gridCol w:w="1584"/>
        <w:gridCol w:w="2496"/>
      </w:tblGrid>
      <w:tr w:rsidR="00E457CD" w:rsidRPr="00BF65CE" w14:paraId="3A870984" w14:textId="77777777" w:rsidTr="00E20D9A">
        <w:trPr>
          <w:cnfStyle w:val="100000000000" w:firstRow="1" w:lastRow="0" w:firstColumn="0" w:lastColumn="0" w:oddVBand="0" w:evenVBand="0" w:oddHBand="0" w:evenHBand="0" w:firstRowFirstColumn="0" w:firstRowLastColumn="0" w:lastRowFirstColumn="0" w:lastRowLastColumn="0"/>
        </w:trPr>
        <w:tc>
          <w:tcPr>
            <w:tcW w:w="785" w:type="pct"/>
            <w:vAlign w:val="center"/>
          </w:tcPr>
          <w:p w14:paraId="12115D74"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الدراسة</w:t>
            </w:r>
          </w:p>
        </w:tc>
        <w:tc>
          <w:tcPr>
            <w:tcW w:w="1891" w:type="pct"/>
            <w:vAlign w:val="center"/>
          </w:tcPr>
          <w:p w14:paraId="3F3AD494"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902" w:type="pct"/>
            <w:vAlign w:val="center"/>
          </w:tcPr>
          <w:p w14:paraId="4EF9F666"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1423" w:type="pct"/>
            <w:vAlign w:val="center"/>
          </w:tcPr>
          <w:p w14:paraId="666E8F94" w14:textId="77777777" w:rsidR="00E457CD" w:rsidRPr="00BF65CE" w:rsidRDefault="00014347" w:rsidP="00E20D9A">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2433CCE2" w14:textId="77777777" w:rsidTr="00E20D9A">
        <w:tc>
          <w:tcPr>
            <w:tcW w:w="785" w:type="pct"/>
            <w:vAlign w:val="center"/>
          </w:tcPr>
          <w:p w14:paraId="6984E43E"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Rafner وآخرون 2023</w:t>
            </w:r>
          </w:p>
        </w:tc>
        <w:tc>
          <w:tcPr>
            <w:tcW w:w="1891" w:type="pct"/>
            <w:vAlign w:val="center"/>
          </w:tcPr>
          <w:p w14:paraId="2A350FD1"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الشراكات الإبداعية – أصالة الأفكار</w:t>
            </w:r>
          </w:p>
        </w:tc>
        <w:tc>
          <w:tcPr>
            <w:tcW w:w="902" w:type="pct"/>
            <w:vAlign w:val="center"/>
          </w:tcPr>
          <w:p w14:paraId="50AC90FA"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الشراكات الإبداعية</w:t>
            </w:r>
          </w:p>
        </w:tc>
        <w:tc>
          <w:tcPr>
            <w:tcW w:w="1423" w:type="pct"/>
            <w:vAlign w:val="center"/>
          </w:tcPr>
          <w:p w14:paraId="0742AEAD"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لأنها تعبر عن تعاون الإنسان والتقنية في توليد الأفكار</w:t>
            </w:r>
          </w:p>
        </w:tc>
      </w:tr>
      <w:tr w:rsidR="00E457CD" w:rsidRPr="00BF65CE" w14:paraId="7E19CF85" w14:textId="77777777" w:rsidTr="00E20D9A">
        <w:tc>
          <w:tcPr>
            <w:tcW w:w="785" w:type="pct"/>
            <w:vAlign w:val="center"/>
          </w:tcPr>
          <w:p w14:paraId="7247D01E"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بخيخ وآخرون 2023</w:t>
            </w:r>
          </w:p>
        </w:tc>
        <w:tc>
          <w:tcPr>
            <w:tcW w:w="1891" w:type="pct"/>
            <w:vAlign w:val="center"/>
          </w:tcPr>
          <w:p w14:paraId="4807FCD1"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القيم، الأعراف، التوقعات، المعتقدات في الثقافة التنظيمية</w:t>
            </w:r>
          </w:p>
        </w:tc>
        <w:tc>
          <w:tcPr>
            <w:tcW w:w="902" w:type="pct"/>
            <w:vAlign w:val="center"/>
          </w:tcPr>
          <w:p w14:paraId="757AC9BF"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القيم، الأعراف</w:t>
            </w:r>
          </w:p>
        </w:tc>
        <w:tc>
          <w:tcPr>
            <w:tcW w:w="1423" w:type="pct"/>
            <w:vAlign w:val="center"/>
          </w:tcPr>
          <w:p w14:paraId="029A8CD7"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لكونهما يمثلان الأساس في بناء بيئة تنظيمية داعمة للإبداع الإداري</w:t>
            </w:r>
          </w:p>
        </w:tc>
      </w:tr>
      <w:tr w:rsidR="00E457CD" w:rsidRPr="00BF65CE" w14:paraId="71A0B813" w14:textId="77777777" w:rsidTr="00E20D9A">
        <w:tc>
          <w:tcPr>
            <w:tcW w:w="785" w:type="pct"/>
            <w:vAlign w:val="center"/>
          </w:tcPr>
          <w:p w14:paraId="3F3B2318"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El-Masri وآخرون 2024</w:t>
            </w:r>
          </w:p>
        </w:tc>
        <w:tc>
          <w:tcPr>
            <w:tcW w:w="1891" w:type="pct"/>
            <w:vAlign w:val="center"/>
          </w:tcPr>
          <w:p w14:paraId="5ABE3133"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الوظيفي – بيئة التعلم – رفاهية الموظف</w:t>
            </w:r>
          </w:p>
        </w:tc>
        <w:tc>
          <w:tcPr>
            <w:tcW w:w="902" w:type="pct"/>
            <w:vAlign w:val="center"/>
          </w:tcPr>
          <w:p w14:paraId="4D72576E"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الوظيفي</w:t>
            </w:r>
          </w:p>
        </w:tc>
        <w:tc>
          <w:tcPr>
            <w:tcW w:w="1423" w:type="pct"/>
            <w:vAlign w:val="center"/>
          </w:tcPr>
          <w:p w14:paraId="3690F200"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 يعبر عن المخرجات المباشرة لسلوكيات الموظفين الإبداعية</w:t>
            </w:r>
          </w:p>
        </w:tc>
      </w:tr>
      <w:tr w:rsidR="00E457CD" w:rsidRPr="00BF65CE" w14:paraId="6EBA6EF0" w14:textId="77777777" w:rsidTr="00E20D9A">
        <w:tc>
          <w:tcPr>
            <w:tcW w:w="785" w:type="pct"/>
            <w:vAlign w:val="center"/>
          </w:tcPr>
          <w:p w14:paraId="3DC29515"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شكري وآخرون 2024</w:t>
            </w:r>
          </w:p>
        </w:tc>
        <w:tc>
          <w:tcPr>
            <w:tcW w:w="1891" w:type="pct"/>
            <w:vAlign w:val="center"/>
          </w:tcPr>
          <w:p w14:paraId="6CDE1AEC"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تبادل المعلومات، الاستقلالية، تعزيز العمل الحر، فرق العمل، البراعة التنظيمية، الإبداع الإداري</w:t>
            </w:r>
          </w:p>
        </w:tc>
        <w:tc>
          <w:tcPr>
            <w:tcW w:w="902" w:type="pct"/>
            <w:vAlign w:val="center"/>
          </w:tcPr>
          <w:p w14:paraId="1FBBB6D7"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تبادل المعلومات، فرق العمل</w:t>
            </w:r>
          </w:p>
        </w:tc>
        <w:tc>
          <w:tcPr>
            <w:tcW w:w="1423" w:type="pct"/>
            <w:vAlign w:val="center"/>
          </w:tcPr>
          <w:p w14:paraId="7F62072E"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لأنهما يساهمان في تمكين الموظفين وتحفيز الإبداع في بيئة العمل</w:t>
            </w:r>
          </w:p>
        </w:tc>
      </w:tr>
      <w:tr w:rsidR="00E457CD" w:rsidRPr="00BF65CE" w14:paraId="1D041F46" w14:textId="77777777" w:rsidTr="00E20D9A">
        <w:tc>
          <w:tcPr>
            <w:tcW w:w="785" w:type="pct"/>
            <w:vAlign w:val="center"/>
          </w:tcPr>
          <w:p w14:paraId="013ED75D"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Zhang &amp; Chen 2025</w:t>
            </w:r>
          </w:p>
        </w:tc>
        <w:tc>
          <w:tcPr>
            <w:tcW w:w="1891" w:type="pct"/>
            <w:vAlign w:val="center"/>
          </w:tcPr>
          <w:p w14:paraId="62D8CD18"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مناخ العمل الإيجابي – الإبداع الشخصي</w:t>
            </w:r>
          </w:p>
        </w:tc>
        <w:tc>
          <w:tcPr>
            <w:tcW w:w="902" w:type="pct"/>
            <w:vAlign w:val="center"/>
          </w:tcPr>
          <w:p w14:paraId="32410868"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الإبداع الشخصي</w:t>
            </w:r>
          </w:p>
        </w:tc>
        <w:tc>
          <w:tcPr>
            <w:tcW w:w="1423" w:type="pct"/>
            <w:vAlign w:val="center"/>
          </w:tcPr>
          <w:p w14:paraId="03EC584C" w14:textId="77777777" w:rsidR="00E457CD" w:rsidRPr="00BF65CE" w:rsidRDefault="00014347" w:rsidP="00E20D9A">
            <w:pPr>
              <w:rPr>
                <w:rFonts w:ascii="Simplified Arabic" w:hAnsi="Simplified Arabic" w:cs="Simplified Arabic"/>
              </w:rPr>
            </w:pPr>
            <w:r w:rsidRPr="00BF65CE">
              <w:rPr>
                <w:rFonts w:ascii="Simplified Arabic" w:hAnsi="Simplified Arabic" w:cs="Simplified Arabic"/>
                <w:rtl/>
              </w:rPr>
              <w:t>لقياس الابتكار الفردي في بيئة العمل التقنية</w:t>
            </w:r>
          </w:p>
        </w:tc>
      </w:tr>
    </w:tbl>
    <w:p w14:paraId="423074BB"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57FAFB88" w14:textId="77777777" w:rsidR="00E457CD" w:rsidRPr="00BF65CE" w:rsidRDefault="00014347" w:rsidP="00DE7D61">
      <w:pPr>
        <w:pStyle w:val="3"/>
        <w:rPr>
          <w:rFonts w:cs="Simplified Arabic"/>
          <w:color w:val="auto"/>
        </w:rPr>
      </w:pPr>
      <w:bookmarkStart w:id="41" w:name="_Toc235125815"/>
      <w:r w:rsidRPr="00BF65CE">
        <w:rPr>
          <w:rFonts w:cs="Simplified Arabic"/>
          <w:color w:val="auto"/>
          <w:rtl/>
        </w:rPr>
        <w:t>رابعًا: الدراسات المتعلقة بالتميز المؤسسي</w:t>
      </w:r>
      <w:bookmarkEnd w:id="41"/>
    </w:p>
    <w:p w14:paraId="529062D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أصرف (2020</w:t>
      </w:r>
      <w:r w:rsidR="00C75DEC" w:rsidRPr="00BF65CE">
        <w:rPr>
          <w:rFonts w:ascii="Simplified Arabic" w:hAnsi="Simplified Arabic" w:cs="Simplified Arabic"/>
          <w:b/>
          <w:bCs/>
          <w:rtl/>
        </w:rPr>
        <w:t>)</w:t>
      </w:r>
      <w:r w:rsidRPr="00BF65CE">
        <w:rPr>
          <w:rFonts w:ascii="Simplified Arabic" w:hAnsi="Simplified Arabic" w:cs="Simplified Arabic"/>
          <w:b/>
          <w:bCs/>
          <w:rtl/>
        </w:rPr>
        <w:t xml:space="preserve"> </w:t>
      </w:r>
      <w:r w:rsidRPr="00BF65CE">
        <w:rPr>
          <w:rFonts w:ascii="Simplified Arabic" w:hAnsi="Simplified Arabic" w:cs="Simplified Arabic"/>
          <w:rtl/>
        </w:rPr>
        <w:t xml:space="preserve"> إلى تحديد أثر تطبيقات إدارة الموارد البشرية الرقمية على تعزيز التميز المؤسسي، مع التركيز على دائرة التنمية الاقتصادية في حكومة عجمان، تهدف أيضاً إلى استكشاف كيفية تأثير الاستقطاب الرقمي، التدريب الرقمي، والتقييم الرقمي في تحقيق هذا الهدف، أظهرت نتائج الدراسة أن الاستقطاب الرقمي، التدريب الرقمي، والتقييم الرقمي تلعب جميعها دوراً في تعزيز التميز المؤسسي، الاستقطاب الرقمي كان له أكبر تأثير مقارنة ببقية المتغيرات الأخرى على التميز المؤسسي.</w:t>
      </w:r>
    </w:p>
    <w:p w14:paraId="082C315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 xml:space="preserve">سعت دراسة </w:t>
      </w:r>
      <w:r w:rsidRPr="00BF65CE">
        <w:rPr>
          <w:rFonts w:ascii="Simplified Arabic" w:hAnsi="Simplified Arabic" w:cs="Simplified Arabic"/>
          <w:b/>
          <w:bCs/>
          <w:rtl/>
        </w:rPr>
        <w:t>سليم (2020)</w:t>
      </w:r>
      <w:r w:rsidRPr="00BF65CE">
        <w:rPr>
          <w:rFonts w:ascii="Simplified Arabic" w:hAnsi="Simplified Arabic" w:cs="Simplified Arabic"/>
          <w:rtl/>
        </w:rPr>
        <w:t xml:space="preserve"> إلى ان المؤسسات التعليمية للتعليم العالي تواجه تحديات كبيرة في النمو المتزايد في اعداد المقبلين على تلك المؤسسات وبما يفوق طاقتها الاستيعابية مما أدى إلى اتجاه معظم الطلاب إلى مؤسسات التعليم الخاصة وازدياد المنافسة بين تلك المؤسسات فيما بينها في الحصول على نسبة الاقبال الأكبر من الطلاب والطالبات، وتحتاج مؤسسات التعليم العالي الخاصة إلى تطوير وتحديث وخاصة مع كثرة عدد المؤسسات التعليم العالي الخاصة في الفترة الاخيرة واشتداد المنافسة وتحول سوق التعليم من السوق المحدد والقاصر على المؤسسات الحكومية وعدد قليل من المؤسسات الخاصة إلى سوق منفتح ومبنى على المنافسة القوية، ومما لا شك فيه أن الموارد البشرية تسهم بشكل كبير في تحسين نظم الادارة بصفة عامة وذلك عندما تتفاقم المشكلات الادارية التي تواجه المنظمات ويكون المنحنى الاستراتيجي للموارد البشرية يتمثل بصنع القرارات بعيدة المدى بشأن العاملين بالمنظمة على كافة المستويات التنظيمية حيث يكون توجه هذه الادارة تحت مظلة الادارة العليا للمنظمة والتي تعبر عن الاتجاه العام للمنظمة لبلوغ أهدافها الاستراتيجية طويلة الأجل وتحقيق التميز من خلال كل مواردها البشرية التي تسهم بجهودها في تنظيم اعمال ونشاطات المنظمة.</w:t>
      </w:r>
    </w:p>
    <w:p w14:paraId="226E882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هدفت دراسة </w:t>
      </w:r>
      <w:r w:rsidRPr="00BF65CE">
        <w:rPr>
          <w:rFonts w:ascii="Simplified Arabic" w:hAnsi="Simplified Arabic" w:cs="Simplified Arabic"/>
          <w:b/>
          <w:bCs/>
          <w:rtl/>
        </w:rPr>
        <w:t xml:space="preserve">ادريس (2019) </w:t>
      </w:r>
      <w:r w:rsidRPr="00BF65CE">
        <w:rPr>
          <w:rFonts w:ascii="Simplified Arabic" w:hAnsi="Simplified Arabic" w:cs="Simplified Arabic"/>
          <w:rtl/>
        </w:rPr>
        <w:t xml:space="preserve"> إلى التعرف على ممارسات إدارة الموارد البشرية وأثارها على تحقيق التميز المؤسسي في مصرف الوحدة فرع اجدابيا، ولتحقيق أهداف الدراسة قام الباحث بالاعتماد على استبيانه شملت (35) فقرة لجمع المعلومات الأولية من عينة الدراسة المكونة من (24) مفردة تم اختيارها بطريقة المسح الشامل، حيث استخدم أسلوب الإحصاء الوصفي في تحليل البيانات المجمعة، وفي ضوء ذلك جرى تحليل البيانات باستخدام الحزمة الإحصائية (SPSS) حيث تبين أن هناك علامة ارتباط متوسطة طردية بين ممارسات الموارد البشرية والتميز القيادي بمقدار (0.588)، وذلك تفسره قيمة معامل مربع الارتباط بنسبة (34%)، وأن هناك علامة ارتباط متوسطة طردية بين ممارسات الموارد البشرية والتميز بتقديم خدمات بمقدار (0.364)، وذلك تفسره قيمة معامل مربع الارتباط بنسبة (13%)، وتوصلت الدراسة إلى عدد من النتائج أبرزها: 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في المصرف مرتفع ويتم ذلك حسب الاحتياجات المصرف للموارد البشرية، وكذلك حظي التدريب في المصرف على مستوى مرتفع مع الحرص على تدريب </w:t>
      </w:r>
      <w:r w:rsidRPr="00BF65CE">
        <w:rPr>
          <w:rFonts w:ascii="Simplified Arabic" w:hAnsi="Simplified Arabic" w:cs="Simplified Arabic"/>
          <w:rtl/>
        </w:rPr>
        <w:lastRenderedPageBreak/>
        <w:t>الموظفين الجدد على أعمالهم قبل البدء فيها، كما تبين من الدراسة أن مستوى التحفيز مرتفع حيث يمنح الموظفين حوافز ومكافآت بناء على معايير موضوعية .</w:t>
      </w:r>
    </w:p>
    <w:p w14:paraId="056A82C3"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 xml:space="preserve">جدول (2-4): </w:t>
      </w:r>
      <w:r w:rsidR="00F83CD1" w:rsidRPr="00BF65CE">
        <w:rPr>
          <w:rFonts w:ascii="Simplified Arabic" w:hAnsi="Simplified Arabic" w:cs="Simplified Arabic"/>
          <w:rtl/>
        </w:rPr>
        <w:t xml:space="preserve">ملخص </w:t>
      </w:r>
      <w:r w:rsidR="00C75DEC" w:rsidRPr="00BF65CE">
        <w:rPr>
          <w:rFonts w:ascii="Simplified Arabic" w:hAnsi="Simplified Arabic" w:cs="Simplified Arabic"/>
          <w:rtl/>
        </w:rPr>
        <w:t>الدراسات المتعلقة بالتميز المؤسسي</w:t>
      </w:r>
    </w:p>
    <w:tbl>
      <w:tblPr>
        <w:tblStyle w:val="12"/>
        <w:bidiVisual/>
        <w:tblW w:w="0" w:type="auto"/>
        <w:tblLook w:val="0620" w:firstRow="1" w:lastRow="0" w:firstColumn="0" w:lastColumn="0" w:noHBand="1" w:noVBand="1"/>
      </w:tblPr>
      <w:tblGrid>
        <w:gridCol w:w="1071"/>
        <w:gridCol w:w="2799"/>
        <w:gridCol w:w="1822"/>
        <w:gridCol w:w="3086"/>
      </w:tblGrid>
      <w:tr w:rsidR="00E457CD" w:rsidRPr="00BF65CE" w14:paraId="597CE00F" w14:textId="77777777" w:rsidTr="00F83CD1">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62271B99"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الدراسة</w:t>
            </w:r>
          </w:p>
        </w:tc>
        <w:tc>
          <w:tcPr>
            <w:tcW w:w="0" w:type="auto"/>
            <w:vAlign w:val="center"/>
          </w:tcPr>
          <w:p w14:paraId="115AB598"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التي استخدمتها الدراسة</w:t>
            </w:r>
          </w:p>
        </w:tc>
        <w:tc>
          <w:tcPr>
            <w:tcW w:w="0" w:type="auto"/>
            <w:vAlign w:val="center"/>
          </w:tcPr>
          <w:p w14:paraId="5FF5491B"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الأبعاد المختارة للدراسة الحالية</w:t>
            </w:r>
          </w:p>
        </w:tc>
        <w:tc>
          <w:tcPr>
            <w:tcW w:w="0" w:type="auto"/>
            <w:vAlign w:val="center"/>
          </w:tcPr>
          <w:p w14:paraId="6002762F" w14:textId="77777777" w:rsidR="00E457CD" w:rsidRPr="00BF65CE" w:rsidRDefault="00014347" w:rsidP="00F83CD1">
            <w:pPr>
              <w:jc w:val="center"/>
              <w:rPr>
                <w:rFonts w:ascii="Simplified Arabic" w:hAnsi="Simplified Arabic" w:cs="Simplified Arabic"/>
              </w:rPr>
            </w:pPr>
            <w:r w:rsidRPr="00BF65CE">
              <w:rPr>
                <w:rFonts w:ascii="Simplified Arabic" w:hAnsi="Simplified Arabic" w:cs="Simplified Arabic"/>
                <w:rtl/>
              </w:rPr>
              <w:t>مبررات الاختيار</w:t>
            </w:r>
          </w:p>
        </w:tc>
      </w:tr>
      <w:tr w:rsidR="00E457CD" w:rsidRPr="00BF65CE" w14:paraId="3D6FEA3E" w14:textId="77777777" w:rsidTr="00F83CD1">
        <w:tc>
          <w:tcPr>
            <w:tcW w:w="0" w:type="auto"/>
            <w:vAlign w:val="center"/>
          </w:tcPr>
          <w:p w14:paraId="26AC8A60"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أصرف 2020</w:t>
            </w:r>
          </w:p>
        </w:tc>
        <w:tc>
          <w:tcPr>
            <w:tcW w:w="0" w:type="auto"/>
            <w:vAlign w:val="center"/>
          </w:tcPr>
          <w:p w14:paraId="44454012"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الاستقطاب الرقمي – التدريب الرقمي – التقييم الرقمي</w:t>
            </w:r>
          </w:p>
        </w:tc>
        <w:tc>
          <w:tcPr>
            <w:tcW w:w="0" w:type="auto"/>
            <w:vAlign w:val="center"/>
          </w:tcPr>
          <w:p w14:paraId="2FB7B90C"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جودة الأداء المؤسسي</w:t>
            </w:r>
          </w:p>
        </w:tc>
        <w:tc>
          <w:tcPr>
            <w:tcW w:w="0" w:type="auto"/>
            <w:vAlign w:val="center"/>
          </w:tcPr>
          <w:p w14:paraId="3642D847"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الأكثر ارتباطًا بنتائج الكفاءة الكلية للمؤسسة</w:t>
            </w:r>
          </w:p>
        </w:tc>
      </w:tr>
      <w:tr w:rsidR="00E457CD" w:rsidRPr="00BF65CE" w14:paraId="0FC99A35" w14:textId="77777777" w:rsidTr="00F83CD1">
        <w:tc>
          <w:tcPr>
            <w:tcW w:w="0" w:type="auto"/>
            <w:vAlign w:val="center"/>
          </w:tcPr>
          <w:p w14:paraId="097A2D2F"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إدريس 2019</w:t>
            </w:r>
          </w:p>
        </w:tc>
        <w:tc>
          <w:tcPr>
            <w:tcW w:w="0" w:type="auto"/>
            <w:vAlign w:val="center"/>
          </w:tcPr>
          <w:p w14:paraId="2F2423B1"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التميز القيادي – التميز في تقديم الخدمات</w:t>
            </w:r>
          </w:p>
        </w:tc>
        <w:tc>
          <w:tcPr>
            <w:tcW w:w="0" w:type="auto"/>
            <w:vAlign w:val="center"/>
          </w:tcPr>
          <w:p w14:paraId="1879F8F2"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التميز في تقديم الخدمات</w:t>
            </w:r>
          </w:p>
        </w:tc>
        <w:tc>
          <w:tcPr>
            <w:tcW w:w="0" w:type="auto"/>
            <w:vAlign w:val="center"/>
          </w:tcPr>
          <w:p w14:paraId="1A5025DF"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يمثل البعد الأوضح لقياس الأداء في المؤسسات الخدمية</w:t>
            </w:r>
          </w:p>
        </w:tc>
      </w:tr>
      <w:tr w:rsidR="00E457CD" w:rsidRPr="00BF65CE" w14:paraId="356AF759" w14:textId="77777777" w:rsidTr="00F83CD1">
        <w:tc>
          <w:tcPr>
            <w:tcW w:w="0" w:type="auto"/>
            <w:vAlign w:val="center"/>
          </w:tcPr>
          <w:p w14:paraId="442D8D97"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سليم 2020</w:t>
            </w:r>
          </w:p>
        </w:tc>
        <w:tc>
          <w:tcPr>
            <w:tcW w:w="0" w:type="auto"/>
            <w:vAlign w:val="center"/>
          </w:tcPr>
          <w:p w14:paraId="229DA563"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تطوير الموارد البشرية – تحسين الإدارة</w:t>
            </w:r>
          </w:p>
        </w:tc>
        <w:tc>
          <w:tcPr>
            <w:tcW w:w="0" w:type="auto"/>
            <w:vAlign w:val="center"/>
          </w:tcPr>
          <w:p w14:paraId="14DE7E0A"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تطوير الموارد البشرية</w:t>
            </w:r>
          </w:p>
        </w:tc>
        <w:tc>
          <w:tcPr>
            <w:tcW w:w="0" w:type="auto"/>
            <w:vAlign w:val="center"/>
          </w:tcPr>
          <w:p w14:paraId="36960C84" w14:textId="77777777" w:rsidR="00E457CD" w:rsidRPr="00BF65CE" w:rsidRDefault="00014347" w:rsidP="00F83CD1">
            <w:pPr>
              <w:rPr>
                <w:rFonts w:ascii="Simplified Arabic" w:hAnsi="Simplified Arabic" w:cs="Simplified Arabic"/>
              </w:rPr>
            </w:pPr>
            <w:r w:rsidRPr="00BF65CE">
              <w:rPr>
                <w:rFonts w:ascii="Simplified Arabic" w:hAnsi="Simplified Arabic" w:cs="Simplified Arabic"/>
                <w:rtl/>
              </w:rPr>
              <w:t>لأنه يركز على تنمية قدرات العاملين لتحقيق التميز</w:t>
            </w:r>
          </w:p>
        </w:tc>
      </w:tr>
    </w:tbl>
    <w:p w14:paraId="639FF18A" w14:textId="77777777" w:rsidR="00E457CD" w:rsidRPr="00BF65CE" w:rsidRDefault="00014347" w:rsidP="002071EC">
      <w:pPr>
        <w:spacing w:before="40" w:after="200" w:line="280" w:lineRule="auto"/>
        <w:jc w:val="both"/>
        <w:rPr>
          <w:rFonts w:ascii="Simplified Arabic" w:hAnsi="Simplified Arabic" w:cs="Simplified Arabic"/>
        </w:rPr>
      </w:pPr>
      <w:r w:rsidRPr="00BF65CE">
        <w:rPr>
          <w:rFonts w:ascii="Simplified Arabic" w:hAnsi="Simplified Arabic" w:cs="Simplified Arabic"/>
          <w:rtl/>
        </w:rPr>
        <w:t>المصدر: من اعداد الباحثة من واقع الدراسات السابقة</w:t>
      </w:r>
    </w:p>
    <w:p w14:paraId="0A021DAB" w14:textId="77777777" w:rsidR="00E457CD" w:rsidRPr="00BF65CE" w:rsidRDefault="00014347" w:rsidP="00DE7D61">
      <w:pPr>
        <w:pStyle w:val="2"/>
        <w:rPr>
          <w:rFonts w:cs="Simplified Arabic"/>
          <w:color w:val="auto"/>
        </w:rPr>
      </w:pPr>
      <w:bookmarkStart w:id="42" w:name="_Toc235125816"/>
      <w:r w:rsidRPr="00BF65CE">
        <w:rPr>
          <w:rFonts w:cs="Simplified Arabic"/>
          <w:color w:val="auto"/>
          <w:rtl/>
        </w:rPr>
        <w:t>نقاط الاتفاق بين الدراسة الحالية والدراسات المرجعية :</w:t>
      </w:r>
      <w:bookmarkEnd w:id="42"/>
    </w:p>
    <w:p w14:paraId="0E38D721"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جميع الدراسات التي تناولت الذكاء الاصطناعي أكدت دوره المحوري في تحسين الأداء المؤسسي والوظيفي، مثل دراسة العنزي؛ السعود (2020) التي ركزت على أثر الذكاء الاصطناعي على العمليات الداخلية والتدريب ورضا العملاء.</w:t>
      </w:r>
    </w:p>
    <w:p w14:paraId="35A1D4B2"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معظم الدراسات تناولت التميز المؤسسي كمتغير تابع، مثل دراسة أصرف (2020) ودراسة إدريس (2019)، ما يتفق مع الدراسة الحالية في التركيز على تحقيق التميز المؤسسي كأحد المخرجات الأساسية.</w:t>
      </w:r>
    </w:p>
    <w:p w14:paraId="1C6983FD" w14:textId="77777777" w:rsidR="00E457CD" w:rsidRPr="00BF65CE"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تناولت بعض الدراسات أهمية ممارسات الموارد البشرية كأداة لتحقيق التميز المؤسسي، مثل دراسة سليم (2020) ودراسة إدريس (2019)، وهو ما يتماشى مع اهتمام الدراسة الحالية بدور الإبداع كعامل بشري مرتبط بتطبيقات الذكاء الاصطناعي.</w:t>
      </w:r>
    </w:p>
    <w:p w14:paraId="16F933CA" w14:textId="77777777" w:rsidR="00E457CD" w:rsidRDefault="00014347" w:rsidP="00EF56BD">
      <w:pPr>
        <w:pStyle w:val="a4"/>
        <w:numPr>
          <w:ilvl w:val="0"/>
          <w:numId w:val="16"/>
        </w:numPr>
        <w:bidi/>
        <w:spacing w:after="100"/>
        <w:jc w:val="both"/>
        <w:rPr>
          <w:rFonts w:ascii="Simplified Arabic" w:hAnsi="Simplified Arabic" w:cs="Simplified Arabic"/>
        </w:rPr>
      </w:pPr>
      <w:r w:rsidRPr="00BF65CE">
        <w:rPr>
          <w:rFonts w:ascii="Simplified Arabic" w:hAnsi="Simplified Arabic" w:cs="Simplified Arabic"/>
          <w:rtl/>
        </w:rPr>
        <w:t>أكدت الدراسات السابقة مثل أصرف (2020) والعنزي، السعود (2020) دور التكنولوجيا في تحسين الكفاءة المؤسسية، وهو ما ينسجم مع الدراسة الحالية التي تبحث في تأثير الذكاء الاصطناعي.</w:t>
      </w:r>
    </w:p>
    <w:p w14:paraId="71448CAB" w14:textId="77777777" w:rsidR="00584EEB" w:rsidRPr="00584EEB" w:rsidRDefault="00584EEB" w:rsidP="00584EEB">
      <w:pPr>
        <w:spacing w:after="100"/>
        <w:jc w:val="both"/>
        <w:rPr>
          <w:rFonts w:ascii="Simplified Arabic" w:hAnsi="Simplified Arabic" w:cs="Simplified Arabic"/>
        </w:rPr>
      </w:pPr>
    </w:p>
    <w:p w14:paraId="6DD5767A" w14:textId="77777777" w:rsidR="00E457CD" w:rsidRPr="00BF65CE" w:rsidRDefault="00014347" w:rsidP="00DE7D61">
      <w:pPr>
        <w:pStyle w:val="2"/>
        <w:rPr>
          <w:rFonts w:cs="Simplified Arabic"/>
          <w:color w:val="auto"/>
        </w:rPr>
      </w:pPr>
      <w:bookmarkStart w:id="43" w:name="_Toc235125817"/>
      <w:r w:rsidRPr="00BF65CE">
        <w:rPr>
          <w:rFonts w:cs="Simplified Arabic"/>
          <w:color w:val="auto"/>
          <w:rtl/>
        </w:rPr>
        <w:lastRenderedPageBreak/>
        <w:t>نقاط الاختلاف بين الدراسة الحالية والدراسات المرجعية:</w:t>
      </w:r>
      <w:bookmarkEnd w:id="43"/>
    </w:p>
    <w:p w14:paraId="312F17FD"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الحالية تتفرد بدمج متغيرين رئيسيين هما الذكاء الاصطناعي والاستقطاب التنظيمي معاً لدراسة تأثيرهما على التميز المؤسسي، وهو أمر لم تركز عليه الدراسات السابقة بشكل مباشر.</w:t>
      </w:r>
    </w:p>
    <w:p w14:paraId="76B80D83"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ركزت معظم الدراسات السابقة على قطاعات متنوعة مثل الاتصالات، التعليم، والبنوك، بينما تركز الدراسة الحالية على القطاع الصحي الخاص، مما يضيف بُعداً جديداً في سياق تطبيقات الذكاء الاصطناعي والاستقطاب التنظيمي.</w:t>
      </w:r>
    </w:p>
    <w:p w14:paraId="0DEB5B2C"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الحالية تقدم الإبداع كمتغير وسيط بين الذكاء الاصطناعي والاستقطاب التنظيمي من جهة، والتميز المؤسسي والأداء المالي والرضا الوظيفي من جهة أخرى، وهو جانب لم تعالجه الدراسات السابقة.</w:t>
      </w:r>
    </w:p>
    <w:p w14:paraId="19154EC6"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بينما ركزت الدراسات السابقة مثل دراسة الخشاب (2019)، ودراسة أمين (2018) على قطاعات مختلفة جغرافياً، فإن الدراسة الحالية تتميز بتركيزها الميداني على مستشفيات القطاع الصحي الخاص في الرياض، ما يعطيها خصوصية محلية وإضافة جديدة للأدب البحثي في هذا المجال.</w:t>
      </w:r>
    </w:p>
    <w:p w14:paraId="617BC6B6"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تجمع الدراسة بين الذكاء الاصطناعي، والاستقطاب التنظيمي، والإبداع، والتميز المؤسسي، وهو ما يجعلها شاملة مقارنة بالدراسات السابقة التي ركزت على متغيرات محددة.</w:t>
      </w:r>
    </w:p>
    <w:p w14:paraId="64832A94"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يتميز النموذج التحليلي للدراسة بدمج الإبداع كمتغير وسيط، مما يعزز فهم كيفية تحسين الأداء المؤسسي من خلال الابتكار والإبداع في بيئة عمل تواجه تحديات الاستقطاب.</w:t>
      </w:r>
    </w:p>
    <w:p w14:paraId="17055047"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الدراسة موجهة للقطاع الصحي الخاص في مدينة الرياض، مما يمنحها خصوصية محلية يمكن الاستفادة منها في تطوير سياسات خاصة بهذا القطاع.</w:t>
      </w:r>
    </w:p>
    <w:p w14:paraId="41E56578" w14:textId="77777777" w:rsidR="00E457CD" w:rsidRPr="00BF65CE"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تعالج الدراسة الحالية العلاقة الديناميكية بين التكنولوجيا (الذكاء الاصطناعي) والبشر (الاستقطاب التنظيمي والإبداع)، وهو منظور جديد لم يتم التركيز عليه في الدراسات السابقة.</w:t>
      </w:r>
    </w:p>
    <w:p w14:paraId="187296D8" w14:textId="77777777" w:rsidR="00E457CD" w:rsidRDefault="00014347" w:rsidP="00EF56BD">
      <w:pPr>
        <w:pStyle w:val="a4"/>
        <w:numPr>
          <w:ilvl w:val="0"/>
          <w:numId w:val="17"/>
        </w:numPr>
        <w:bidi/>
        <w:spacing w:after="100"/>
        <w:jc w:val="both"/>
        <w:rPr>
          <w:rFonts w:ascii="Simplified Arabic" w:hAnsi="Simplified Arabic" w:cs="Simplified Arabic"/>
        </w:rPr>
      </w:pPr>
      <w:r w:rsidRPr="00BF65CE">
        <w:rPr>
          <w:rFonts w:ascii="Simplified Arabic" w:hAnsi="Simplified Arabic" w:cs="Simplified Arabic"/>
          <w:rtl/>
        </w:rPr>
        <w:t>تركز الدراسة على قياس التأثيرات التنظيمية مثل التميز المؤسسي، مما يجعلها شاملة وعميقة.</w:t>
      </w:r>
    </w:p>
    <w:p w14:paraId="7F11A5AC" w14:textId="77777777" w:rsidR="00584EEB" w:rsidRDefault="00584EEB" w:rsidP="00584EEB">
      <w:pPr>
        <w:spacing w:after="100"/>
        <w:jc w:val="both"/>
        <w:rPr>
          <w:rFonts w:ascii="Simplified Arabic" w:hAnsi="Simplified Arabic" w:cs="Simplified Arabic"/>
        </w:rPr>
      </w:pPr>
    </w:p>
    <w:p w14:paraId="630DA314" w14:textId="77777777" w:rsidR="00584EEB" w:rsidRPr="00584EEB" w:rsidRDefault="00584EEB" w:rsidP="00584EEB">
      <w:pPr>
        <w:spacing w:after="100"/>
        <w:jc w:val="both"/>
        <w:rPr>
          <w:rFonts w:ascii="Simplified Arabic" w:hAnsi="Simplified Arabic" w:cs="Simplified Arabic"/>
        </w:rPr>
      </w:pPr>
    </w:p>
    <w:p w14:paraId="1D36302D" w14:textId="77777777" w:rsidR="00E457CD" w:rsidRPr="00BF65CE" w:rsidRDefault="00014347" w:rsidP="00DE7D61">
      <w:pPr>
        <w:pStyle w:val="2"/>
        <w:rPr>
          <w:rFonts w:cs="Simplified Arabic"/>
          <w:color w:val="auto"/>
        </w:rPr>
      </w:pPr>
      <w:bookmarkStart w:id="44" w:name="_Toc235125818"/>
      <w:r w:rsidRPr="00BF65CE">
        <w:rPr>
          <w:rFonts w:cs="Simplified Arabic"/>
          <w:color w:val="auto"/>
          <w:rtl/>
        </w:rPr>
        <w:lastRenderedPageBreak/>
        <w:t>خلاصة الفصل الثاني</w:t>
      </w:r>
      <w:bookmarkEnd w:id="44"/>
    </w:p>
    <w:p w14:paraId="42E2F62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استعرض هذا الفصل من الدراسة الأسس النظرية لمتغيرات البحث ، حيث تناول مفهوم الاستقطاب التنظيمي وأهميته في جذب الكفاءات المناسبة والمحافظة عليها بما يحقق توافقًا بين احتياجات المنظمة وقدرات الموظفين، إضافة إلى استعراض تطبيقات الذكاء الاصطناعي ودورها المتنامي في تحسين كفاءة العمليات التنظيمية ودعم اتخاذ القرار، كما تم التطرق إلى مفهوم الإبداع بوصفه قدرة الأفراد والمنظمات على توليد أفكار جديدة وحلول مبتكرة تسهم في تحسين الأداء، مع بيان دوره كمتغير وسيط يربط بين الممارسات التنظيمية والتطور المؤسسي، كما تناول الفصل التميز المؤسسي باعتباره من المخرجات التي تعكس قدرة المنظمة على تحقيق مستويات عالية من الجودة والإبداع والإنتاجية، مع دعم كل متغير بأبرز ما توصلت إليه الدراسات السابقة.</w:t>
      </w:r>
    </w:p>
    <w:p w14:paraId="18092A48"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32A7BAEA" w14:textId="77777777" w:rsidR="00E457CD" w:rsidRPr="00BF65CE" w:rsidRDefault="00014347" w:rsidP="00DE7D61">
      <w:pPr>
        <w:pStyle w:val="1"/>
        <w:rPr>
          <w:rFonts w:cs="Simplified Arabic"/>
          <w:color w:val="auto"/>
          <w:sz w:val="24"/>
        </w:rPr>
      </w:pPr>
      <w:bookmarkStart w:id="45" w:name="_Toc235125819"/>
      <w:r w:rsidRPr="00BF65CE">
        <w:rPr>
          <w:rFonts w:cs="Simplified Arabic"/>
          <w:color w:val="auto"/>
          <w:rtl/>
        </w:rPr>
        <w:lastRenderedPageBreak/>
        <w:t>الفصل الثالث: منهجية الدراسة</w:t>
      </w:r>
      <w:bookmarkEnd w:id="45"/>
    </w:p>
    <w:p w14:paraId="67BA63AB" w14:textId="77777777" w:rsidR="008A3F6D" w:rsidRDefault="00145E6B">
      <w:pPr>
        <w:pStyle w:val="2"/>
        <w:rPr>
          <w:rFonts w:cs="Simplified Arabic"/>
          <w:color w:val="auto"/>
        </w:rPr>
      </w:pPr>
      <w:bookmarkStart w:id="46" w:name="_Toc235125820"/>
      <w:r>
        <w:rPr>
          <w:rFonts w:cs="Simplified Arabic"/>
          <w:color w:val="auto"/>
          <w:rtl/>
        </w:rPr>
        <w:t>تمهيد</w:t>
      </w:r>
      <w:bookmarkEnd w:id="46"/>
    </w:p>
    <w:p w14:paraId="748E8DF4" w14:textId="77777777" w:rsidR="008A3F6D" w:rsidRDefault="00145E6B">
      <w:pPr>
        <w:spacing w:after="160"/>
        <w:jc w:val="both"/>
        <w:rPr>
          <w:rFonts w:ascii="Simplified Arabic" w:hAnsi="Simplified Arabic" w:cs="Simplified Arabic"/>
        </w:rPr>
      </w:pPr>
      <w:r>
        <w:rPr>
          <w:rFonts w:ascii="Simplified Arabic" w:hAnsi="Simplified Arabic" w:cs="Simplified Arabic"/>
          <w:rtl/>
        </w:rPr>
        <w:t>يتناول هذا الفصل المنهجية والإجراءات التي اتبعتها الدراسة لتحقيق أهدافها واختبار فروضها. ويبدأ بتحديد منهج الدراسة ومجتمعها وعينتها وأسلوب اختيارها، ثم يوضح خطوات جمع البيانات وأداة الدراسة وإجراءات التحقق من صدقها وثباتها، وينتهي بعرض متغيرات الدراسة وإجراءات التنفيذ وأساليب التحليل الإحصائي والحدود المنهجية التي تحكم تفسير النتائج.</w:t>
      </w:r>
    </w:p>
    <w:p w14:paraId="1BE8CCFE" w14:textId="77777777" w:rsidR="00E457CD" w:rsidRPr="00BF65CE" w:rsidRDefault="00014347" w:rsidP="00DE7D61">
      <w:pPr>
        <w:pStyle w:val="2"/>
        <w:rPr>
          <w:rFonts w:cs="Simplified Arabic"/>
          <w:color w:val="auto"/>
        </w:rPr>
      </w:pPr>
      <w:bookmarkStart w:id="47" w:name="_Toc235125821"/>
      <w:r w:rsidRPr="00BF65CE">
        <w:rPr>
          <w:rFonts w:cs="Simplified Arabic"/>
          <w:color w:val="auto"/>
          <w:rtl/>
        </w:rPr>
        <w:t>منهج الدراسة</w:t>
      </w:r>
      <w:bookmarkEnd w:id="47"/>
    </w:p>
    <w:p w14:paraId="4D0CEFC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اعتمد الباحث في دراسته على المنهج الكمي الوصفي التحليلي، نظراً لما يتناسب مع طبيعة مشكلة البحث التي تتطلب وصف الظواهر التنظيمية في المستشفيات الخاصة بالرياض وتفسير العلاقات بين المتغيرات الرئيسة (الاستقطاب التنظيمي، تطبيقات الذكاء الاصطناعي، الإبداع، والتميز المؤسسي). ويعتمد هذا المنهج على جمع بيانات كمية من عينة محددة وتحليلها إحصائياً لبيان مدى وجود علاقات ارتباطية وتأثيرات مباشرة وغير مباشرة بين المتغيرات محل الدراسة. وقد تم اختيار هذا المنهج لكونه الأنسب لاختبار الفرضيات المرتبطة بالعلاقات السببية والتفسيرية بين المتغيرات السنوية والوسطية في بيئة طبيعية دون تدخلات تجريبية مباشرة. وتحقق الدراسة أهدافها من خلال الاستناد إلى الأساليب الإحصائية العلمية عبر برنامج الحزم الإحصائية للعلوم الاجتماعية (SPSS)، الذي يوفر أدوات فعالة لتحليل البيانات الكمية واختبار الفروض مما يعزز مصداقية النتائج ويتيح إمكانية تعميمها ضمن حدود المجتمع المدروس.</w:t>
      </w:r>
    </w:p>
    <w:p w14:paraId="0457BEC0" w14:textId="77777777" w:rsidR="00E457CD" w:rsidRPr="00BF65CE" w:rsidRDefault="00014347" w:rsidP="00DE7D61">
      <w:pPr>
        <w:pStyle w:val="2"/>
        <w:rPr>
          <w:rFonts w:cs="Simplified Arabic"/>
          <w:color w:val="auto"/>
        </w:rPr>
      </w:pPr>
      <w:bookmarkStart w:id="48" w:name="_Toc235125822"/>
      <w:r w:rsidRPr="00BF65CE">
        <w:rPr>
          <w:rFonts w:cs="Simplified Arabic"/>
          <w:color w:val="auto"/>
          <w:rtl/>
        </w:rPr>
        <w:t>مجتمع الدراسة</w:t>
      </w:r>
      <w:bookmarkEnd w:id="48"/>
    </w:p>
    <w:p w14:paraId="353D7F3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يتمثل مجتمع الدراسة في جميع العاملين في المستشفيات الخاصة العاملة فعليًا بمدينة الرياض في المملكة العربية السعودية، وذلك بمختلف فئاتهم ومستوياتهم الوظيفية، بما يشمل الإدارة العليا، وإدارات الموارد البشرية، والإشراف الفني، والممارسين الصحيين، والوظائف التشغيلية والإدارية. ويُعد هذا المجتمع ملائمًا لأهداف الدراسة نظرًا لطبيعة بيئة العمل في المستشفيات الخاصة، وما تتسم به من تنافسية تنظيمية، وتطور في أنظمة الاستقطاب، واتجاه متزايد نحو توظيف تطبيقات الذكاء الاصطناعي في الإدارة الصحية والتشغيلية.</w:t>
      </w:r>
    </w:p>
    <w:p w14:paraId="009407BD" w14:textId="026B37E9" w:rsidR="00584EEB" w:rsidRPr="00BF65CE" w:rsidRDefault="00014347" w:rsidP="00E14927">
      <w:pPr>
        <w:spacing w:after="160"/>
        <w:jc w:val="both"/>
        <w:rPr>
          <w:rFonts w:ascii="Simplified Arabic" w:hAnsi="Simplified Arabic" w:cs="Simplified Arabic"/>
        </w:rPr>
      </w:pPr>
      <w:r w:rsidRPr="00BF65CE">
        <w:rPr>
          <w:rFonts w:ascii="Simplified Arabic" w:hAnsi="Simplified Arabic" w:cs="Simplified Arabic"/>
          <w:rtl/>
        </w:rPr>
        <w:lastRenderedPageBreak/>
        <w:t>وقد اقتصر مجتمع الدراسة إجرائيًا على العاملين في خمسة مستشفيات خاصة تخصصية كبرى بمدينة الرياض، بلغ إجمالي العاملين فيها (9607) موظف، كما يوضح الجدول الآتي:</w:t>
      </w:r>
    </w:p>
    <w:p w14:paraId="49F9830D"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(3-1): توزيع مجتمع الدراسة حسب المستشفى</w:t>
      </w:r>
    </w:p>
    <w:tbl>
      <w:tblPr>
        <w:tblStyle w:val="12"/>
        <w:bidiVisual/>
        <w:tblW w:w="5000" w:type="pct"/>
        <w:tblLook w:val="0620" w:firstRow="1" w:lastRow="0" w:firstColumn="0" w:lastColumn="0" w:noHBand="1" w:noVBand="1"/>
      </w:tblPr>
      <w:tblGrid>
        <w:gridCol w:w="6289"/>
        <w:gridCol w:w="2489"/>
      </w:tblGrid>
      <w:tr w:rsidR="00E457CD" w:rsidRPr="00BF65CE" w14:paraId="1AF64F61" w14:textId="77777777" w:rsidTr="0008503B">
        <w:trPr>
          <w:cnfStyle w:val="100000000000" w:firstRow="1" w:lastRow="0" w:firstColumn="0" w:lastColumn="0" w:oddVBand="0" w:evenVBand="0" w:oddHBand="0" w:evenHBand="0" w:firstRowFirstColumn="0" w:firstRowLastColumn="0" w:lastRowFirstColumn="0" w:lastRowLastColumn="0"/>
        </w:trPr>
        <w:tc>
          <w:tcPr>
            <w:tcW w:w="3582" w:type="pct"/>
            <w:vAlign w:val="center"/>
          </w:tcPr>
          <w:p w14:paraId="042555B5"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w:t>
            </w:r>
          </w:p>
        </w:tc>
        <w:tc>
          <w:tcPr>
            <w:tcW w:w="1418" w:type="pct"/>
            <w:vAlign w:val="center"/>
          </w:tcPr>
          <w:p w14:paraId="2755A060"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حجم المجتمع</w:t>
            </w:r>
          </w:p>
        </w:tc>
      </w:tr>
      <w:tr w:rsidR="00E457CD" w:rsidRPr="00BF65CE" w14:paraId="09313F29" w14:textId="77777777" w:rsidTr="0008503B">
        <w:tc>
          <w:tcPr>
            <w:tcW w:w="3582" w:type="pct"/>
            <w:vAlign w:val="center"/>
          </w:tcPr>
          <w:p w14:paraId="7650012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دلة</w:t>
            </w:r>
          </w:p>
        </w:tc>
        <w:tc>
          <w:tcPr>
            <w:tcW w:w="1418" w:type="pct"/>
            <w:vAlign w:val="center"/>
          </w:tcPr>
          <w:p w14:paraId="7649D304"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4,000</w:t>
            </w:r>
          </w:p>
        </w:tc>
      </w:tr>
      <w:tr w:rsidR="00E457CD" w:rsidRPr="00BF65CE" w14:paraId="556EE4B7" w14:textId="77777777" w:rsidTr="0008503B">
        <w:tc>
          <w:tcPr>
            <w:tcW w:w="3582" w:type="pct"/>
            <w:vAlign w:val="center"/>
          </w:tcPr>
          <w:p w14:paraId="4150C15D"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1418" w:type="pct"/>
            <w:vAlign w:val="center"/>
          </w:tcPr>
          <w:p w14:paraId="5216F2D6"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2,500</w:t>
            </w:r>
          </w:p>
        </w:tc>
      </w:tr>
      <w:tr w:rsidR="00E457CD" w:rsidRPr="00BF65CE" w14:paraId="383A1878" w14:textId="77777777" w:rsidTr="0008503B">
        <w:tc>
          <w:tcPr>
            <w:tcW w:w="3582" w:type="pct"/>
            <w:vAlign w:val="center"/>
          </w:tcPr>
          <w:p w14:paraId="1A492CA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المملكة</w:t>
            </w:r>
          </w:p>
        </w:tc>
        <w:tc>
          <w:tcPr>
            <w:tcW w:w="1418" w:type="pct"/>
            <w:vAlign w:val="center"/>
          </w:tcPr>
          <w:p w14:paraId="0443CDC8"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1,307</w:t>
            </w:r>
          </w:p>
        </w:tc>
      </w:tr>
      <w:tr w:rsidR="00E457CD" w:rsidRPr="00BF65CE" w14:paraId="61F792FF" w14:textId="77777777" w:rsidTr="0008503B">
        <w:tc>
          <w:tcPr>
            <w:tcW w:w="3582" w:type="pct"/>
            <w:vAlign w:val="center"/>
          </w:tcPr>
          <w:p w14:paraId="27C990E2"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مستشفى الحمادي</w:t>
            </w:r>
          </w:p>
        </w:tc>
        <w:tc>
          <w:tcPr>
            <w:tcW w:w="1418" w:type="pct"/>
            <w:vAlign w:val="center"/>
          </w:tcPr>
          <w:p w14:paraId="7AC7E70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1,200</w:t>
            </w:r>
          </w:p>
        </w:tc>
      </w:tr>
      <w:tr w:rsidR="00E457CD" w:rsidRPr="00BF65CE" w14:paraId="77E9D85A" w14:textId="77777777" w:rsidTr="0008503B">
        <w:tc>
          <w:tcPr>
            <w:tcW w:w="3582" w:type="pct"/>
            <w:vAlign w:val="center"/>
          </w:tcPr>
          <w:p w14:paraId="71CF202B"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المركز التخصصي الطبي</w:t>
            </w:r>
          </w:p>
        </w:tc>
        <w:tc>
          <w:tcPr>
            <w:tcW w:w="1418" w:type="pct"/>
            <w:vAlign w:val="center"/>
          </w:tcPr>
          <w:p w14:paraId="3212022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600</w:t>
            </w:r>
          </w:p>
        </w:tc>
      </w:tr>
      <w:tr w:rsidR="00E457CD" w:rsidRPr="00BF65CE" w14:paraId="48D0ECD7" w14:textId="77777777" w:rsidTr="0008503B">
        <w:tc>
          <w:tcPr>
            <w:tcW w:w="3582" w:type="pct"/>
            <w:vAlign w:val="center"/>
          </w:tcPr>
          <w:p w14:paraId="611DDF64"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الإجمالي</w:t>
            </w:r>
          </w:p>
        </w:tc>
        <w:tc>
          <w:tcPr>
            <w:tcW w:w="1418" w:type="pct"/>
            <w:vAlign w:val="center"/>
          </w:tcPr>
          <w:p w14:paraId="520FF258"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9,607</w:t>
            </w:r>
          </w:p>
        </w:tc>
      </w:tr>
    </w:tbl>
    <w:p w14:paraId="28C05592" w14:textId="664CA003" w:rsidR="00E457CD"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بيانات المستشفيات محل الدراسة.</w:t>
      </w:r>
    </w:p>
    <w:p w14:paraId="759F93C8" w14:textId="77777777" w:rsidR="00E457CD" w:rsidRPr="00BF65CE" w:rsidRDefault="00014347" w:rsidP="00DE7D61">
      <w:pPr>
        <w:pStyle w:val="2"/>
        <w:rPr>
          <w:rFonts w:cs="Simplified Arabic"/>
          <w:color w:val="auto"/>
        </w:rPr>
      </w:pPr>
      <w:bookmarkStart w:id="49" w:name="_Toc235125823"/>
      <w:r w:rsidRPr="00BF65CE">
        <w:rPr>
          <w:rFonts w:cs="Simplified Arabic"/>
          <w:color w:val="auto"/>
          <w:rtl/>
        </w:rPr>
        <w:t>عينة الدراسة وأسلوب اختيارها</w:t>
      </w:r>
      <w:bookmarkEnd w:id="49"/>
    </w:p>
    <w:p w14:paraId="05F5666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تكوّنت عينة الدراسة من العاملين في المستشفيات الخاصة التخصصية الكبرى بمدينة الرياض. ونظرًا لتفاوت أعداد العاملين بين المستشفيات محل الدراسة، فقد تم استخدام أسلوب العينة العشوائية الطبقية المتناسبة، بحيث تمثل كل مستشفى طبقة مستقلة، ثم وُزعت العينة على هذه الطبقات بما يتناسب مع حجم كل مستشفى من إجمالي مجتمع الدراسة. ويساعد هذا الأسلوب على الحد من التحيز الناتج عن اختلاف أحجام المستشفيات، كما يضمن تمثيلًا أكثر توازنًا لمفردات المجتمع.</w:t>
      </w:r>
    </w:p>
    <w:p w14:paraId="32656158" w14:textId="77777777" w:rsidR="00E457CD"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وقد رُوعي في توزيع العينة تمثيل الفئات الوظيفية الرئيسة ذات الصلة بموضوع الدراسة، وهي: الإدارة العليا، والموارد البشرية، والإشراف الفني، والممارسون الصحيون، والوظائف التشغيلية والإدارية. كما أُخذ في الاعتبار تنوع الخصائص الديموغرافية للمشاركين، مثل الجنس، والعمر، والمؤهل العلمي، وسنوات الخبرة؛ وذلك بما يدعم تحليل اتجاهات العاملين نحو ممارسات الاستقطاب التنظيمي وتطبيقات الذكاء الاصطناعي، وانعكاسها على الإبداع والتميز المؤسسي.</w:t>
      </w:r>
    </w:p>
    <w:p w14:paraId="2F73CE29" w14:textId="77777777" w:rsidR="00E14927" w:rsidRDefault="00E14927" w:rsidP="002071EC">
      <w:pPr>
        <w:spacing w:after="160"/>
        <w:jc w:val="both"/>
        <w:rPr>
          <w:rFonts w:ascii="Simplified Arabic" w:hAnsi="Simplified Arabic" w:cs="Simplified Arabic"/>
          <w:rtl/>
        </w:rPr>
      </w:pPr>
    </w:p>
    <w:p w14:paraId="3D753DBD" w14:textId="77777777" w:rsidR="00E14927" w:rsidRPr="00BF65CE" w:rsidRDefault="00E14927" w:rsidP="002071EC">
      <w:pPr>
        <w:spacing w:after="160"/>
        <w:jc w:val="both"/>
        <w:rPr>
          <w:rFonts w:ascii="Simplified Arabic" w:hAnsi="Simplified Arabic" w:cs="Simplified Arabic"/>
        </w:rPr>
      </w:pPr>
    </w:p>
    <w:p w14:paraId="76543918" w14:textId="77777777" w:rsidR="00E457CD" w:rsidRPr="00BF65CE" w:rsidRDefault="00014347" w:rsidP="00DE7D61">
      <w:pPr>
        <w:pStyle w:val="2"/>
        <w:rPr>
          <w:rFonts w:cs="Simplified Arabic"/>
          <w:color w:val="auto"/>
        </w:rPr>
      </w:pPr>
      <w:bookmarkStart w:id="50" w:name="_Toc235125824"/>
      <w:r w:rsidRPr="00BF65CE">
        <w:rPr>
          <w:rFonts w:cs="Simplified Arabic"/>
          <w:color w:val="auto"/>
          <w:rtl/>
        </w:rPr>
        <w:lastRenderedPageBreak/>
        <w:t>تحديد حجم العينة</w:t>
      </w:r>
      <w:bookmarkEnd w:id="50"/>
    </w:p>
    <w:p w14:paraId="181F3C8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تحديد حجم العينة بالاستناد إلى معادلة ياماني (Taro Yamane)، عند هامش خطأ (0.05). وتُكتب المعادلة في صورتها الأساسية على النحو الآتي:</w:t>
      </w:r>
    </w:p>
    <w:p w14:paraId="0162467D"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 = N ÷ ( 1 + N × e² )</w:t>
      </w:r>
    </w:p>
    <w:p w14:paraId="3236E06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وبالتعويض في المعادلة:</w:t>
      </w:r>
    </w:p>
    <w:p w14:paraId="7E4BDC0E"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 xml:space="preserve">n = 9607 ÷ ( 1 + 9607 × (0.05)² ) = 383.89 </w:t>
      </w:r>
      <w:r w:rsidRPr="00BF65CE">
        <w:rPr>
          <w:rFonts w:ascii="Cambria Math" w:eastAsia="Times New Roman" w:hAnsi="Cambria Math" w:cs="Cambria Math"/>
          <w:i/>
          <w:iCs/>
        </w:rPr>
        <w:t>≈</w:t>
      </w:r>
      <w:r w:rsidRPr="00BF65CE">
        <w:rPr>
          <w:rFonts w:ascii="Simplified Arabic" w:eastAsia="Times New Roman" w:hAnsi="Simplified Arabic" w:cs="Simplified Arabic"/>
          <w:i/>
          <w:iCs/>
        </w:rPr>
        <w:t xml:space="preserve"> 384</w:t>
      </w:r>
    </w:p>
    <w:p w14:paraId="3F460E7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إن: n يمثل حجم العينة، وN تمثل حجم المجتمع، وبينما e يمثل هامش الخطأ المسموح به. وبناءً على ذلك، اعتمدت الدراسة حجم عينة مقداره (384) موظفًا، وهو حجم كافٍ لأغراض التحليل الإحصائي، كما ينسجم مع طبيعة العينة الطبقية المتناسبة وحاجة الدراسة إلى تمثيل المستشفيات والفئات الوظيفية المستهدفة.</w:t>
      </w:r>
    </w:p>
    <w:p w14:paraId="7DA5D9BF" w14:textId="77777777" w:rsidR="00E457CD" w:rsidRPr="00BF65CE" w:rsidRDefault="00014347" w:rsidP="00DE7D61">
      <w:pPr>
        <w:pStyle w:val="2"/>
        <w:rPr>
          <w:rFonts w:cs="Simplified Arabic"/>
          <w:color w:val="auto"/>
        </w:rPr>
      </w:pPr>
      <w:bookmarkStart w:id="51" w:name="_Toc235125825"/>
      <w:r w:rsidRPr="00BF65CE">
        <w:rPr>
          <w:rFonts w:cs="Simplified Arabic"/>
          <w:color w:val="auto"/>
          <w:rtl/>
        </w:rPr>
        <w:t>توزيع العينة على المستشفيات</w:t>
      </w:r>
      <w:bookmarkEnd w:id="51"/>
    </w:p>
    <w:p w14:paraId="5E9F718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توزيع العينة الكلية على المستشفيات وفقًا للوزن النسبي لكل مستشفى من إجمالي مجتمع الدراسة، وذلك باستخدام معادلة التوزيع الطبقي المتناسب الآتية:</w:t>
      </w:r>
    </w:p>
    <w:p w14:paraId="25D2BBD5"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 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N ) × n</w:t>
      </w:r>
    </w:p>
    <w:p w14:paraId="207C9CE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حيث إن: 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العينة في المستشفى i، وN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المجتمع في المستشفى نفسه، وN يمثل إجمالي مجتمع الدراسة، وn يمثل حجم العينة الكلية المعتمد. وقد تمت معالجة فروق التقريب بما يضمن أن يكون مجموع العينات الفرعية مساويًا لحجم العينة الكلية المعتمدة (384) مفردة.</w:t>
      </w:r>
    </w:p>
    <w:p w14:paraId="679CA23C"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(3-2): توزيع العينة الطبقية المتناسبة حسب المستشفى</w:t>
      </w:r>
    </w:p>
    <w:tbl>
      <w:tblPr>
        <w:tblStyle w:val="12"/>
        <w:bidiVisual/>
        <w:tblW w:w="5000" w:type="pct"/>
        <w:tblLook w:val="0620" w:firstRow="1" w:lastRow="0" w:firstColumn="0" w:lastColumn="0" w:noHBand="1" w:noVBand="1"/>
      </w:tblPr>
      <w:tblGrid>
        <w:gridCol w:w="3176"/>
        <w:gridCol w:w="1706"/>
        <w:gridCol w:w="1296"/>
        <w:gridCol w:w="1494"/>
        <w:gridCol w:w="1106"/>
      </w:tblGrid>
      <w:tr w:rsidR="00E457CD" w:rsidRPr="00BF65CE" w14:paraId="67097B1D" w14:textId="77777777" w:rsidTr="00AD757E">
        <w:trPr>
          <w:cnfStyle w:val="100000000000" w:firstRow="1" w:lastRow="0" w:firstColumn="0" w:lastColumn="0" w:oddVBand="0" w:evenVBand="0" w:oddHBand="0" w:evenHBand="0" w:firstRowFirstColumn="0" w:firstRowLastColumn="0" w:lastRowFirstColumn="0" w:lastRowLastColumn="0"/>
        </w:trPr>
        <w:tc>
          <w:tcPr>
            <w:tcW w:w="1809" w:type="pct"/>
            <w:vAlign w:val="center"/>
          </w:tcPr>
          <w:p w14:paraId="7F08C0D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المستشفى</w:t>
            </w:r>
          </w:p>
        </w:tc>
        <w:tc>
          <w:tcPr>
            <w:tcW w:w="972" w:type="pct"/>
            <w:vAlign w:val="center"/>
          </w:tcPr>
          <w:p w14:paraId="0DDB11A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المجتمع (Ni)</w:t>
            </w:r>
          </w:p>
        </w:tc>
        <w:tc>
          <w:tcPr>
            <w:tcW w:w="738" w:type="pct"/>
            <w:vAlign w:val="center"/>
          </w:tcPr>
          <w:p w14:paraId="284054B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المجتمع</w:t>
            </w:r>
          </w:p>
        </w:tc>
        <w:tc>
          <w:tcPr>
            <w:tcW w:w="851" w:type="pct"/>
            <w:vAlign w:val="center"/>
          </w:tcPr>
          <w:p w14:paraId="46FF84D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حجم العينة (ni)</w:t>
            </w:r>
          </w:p>
        </w:tc>
        <w:tc>
          <w:tcPr>
            <w:tcW w:w="630" w:type="pct"/>
            <w:vAlign w:val="center"/>
          </w:tcPr>
          <w:p w14:paraId="53971B9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نسبة العينة</w:t>
            </w:r>
          </w:p>
        </w:tc>
      </w:tr>
      <w:tr w:rsidR="00E457CD" w:rsidRPr="00BF65CE" w14:paraId="32B570CB" w14:textId="77777777" w:rsidTr="00AD757E">
        <w:tc>
          <w:tcPr>
            <w:tcW w:w="1809" w:type="pct"/>
            <w:vAlign w:val="center"/>
          </w:tcPr>
          <w:p w14:paraId="71C507E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دلة</w:t>
            </w:r>
          </w:p>
        </w:tc>
        <w:tc>
          <w:tcPr>
            <w:tcW w:w="972" w:type="pct"/>
            <w:vAlign w:val="center"/>
          </w:tcPr>
          <w:p w14:paraId="2ECC6F1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4,000</w:t>
            </w:r>
          </w:p>
        </w:tc>
        <w:tc>
          <w:tcPr>
            <w:tcW w:w="738" w:type="pct"/>
            <w:vAlign w:val="center"/>
          </w:tcPr>
          <w:p w14:paraId="73CDFD0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41.60%</w:t>
            </w:r>
          </w:p>
        </w:tc>
        <w:tc>
          <w:tcPr>
            <w:tcW w:w="851" w:type="pct"/>
            <w:vAlign w:val="center"/>
          </w:tcPr>
          <w:p w14:paraId="4071AAB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160</w:t>
            </w:r>
          </w:p>
        </w:tc>
        <w:tc>
          <w:tcPr>
            <w:tcW w:w="630" w:type="pct"/>
            <w:vAlign w:val="center"/>
          </w:tcPr>
          <w:p w14:paraId="63AE59B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41.70%</w:t>
            </w:r>
          </w:p>
        </w:tc>
      </w:tr>
      <w:tr w:rsidR="00E457CD" w:rsidRPr="00BF65CE" w14:paraId="29314B4E" w14:textId="77777777" w:rsidTr="00AD757E">
        <w:tc>
          <w:tcPr>
            <w:tcW w:w="1809" w:type="pct"/>
            <w:vAlign w:val="center"/>
          </w:tcPr>
          <w:p w14:paraId="75B4DA02"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972" w:type="pct"/>
            <w:vAlign w:val="center"/>
          </w:tcPr>
          <w:p w14:paraId="361C7CC2"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2,500</w:t>
            </w:r>
          </w:p>
        </w:tc>
        <w:tc>
          <w:tcPr>
            <w:tcW w:w="738" w:type="pct"/>
            <w:vAlign w:val="center"/>
          </w:tcPr>
          <w:p w14:paraId="7DEAE5E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c>
          <w:tcPr>
            <w:tcW w:w="851" w:type="pct"/>
            <w:vAlign w:val="center"/>
          </w:tcPr>
          <w:p w14:paraId="3781ECE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630" w:type="pct"/>
            <w:vAlign w:val="center"/>
          </w:tcPr>
          <w:p w14:paraId="0E6A905F"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26.00%</w:t>
            </w:r>
          </w:p>
        </w:tc>
      </w:tr>
      <w:tr w:rsidR="00E457CD" w:rsidRPr="00BF65CE" w14:paraId="294E2F47" w14:textId="77777777" w:rsidTr="00AD757E">
        <w:tc>
          <w:tcPr>
            <w:tcW w:w="1809" w:type="pct"/>
            <w:vAlign w:val="center"/>
          </w:tcPr>
          <w:p w14:paraId="6322AB0D"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مستشفى المملكة</w:t>
            </w:r>
          </w:p>
        </w:tc>
        <w:tc>
          <w:tcPr>
            <w:tcW w:w="972" w:type="pct"/>
            <w:vAlign w:val="center"/>
          </w:tcPr>
          <w:p w14:paraId="44090902"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1,307</w:t>
            </w:r>
          </w:p>
        </w:tc>
        <w:tc>
          <w:tcPr>
            <w:tcW w:w="738" w:type="pct"/>
            <w:vAlign w:val="center"/>
          </w:tcPr>
          <w:p w14:paraId="29AB7229"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13.60%</w:t>
            </w:r>
          </w:p>
        </w:tc>
        <w:tc>
          <w:tcPr>
            <w:tcW w:w="851" w:type="pct"/>
            <w:vAlign w:val="center"/>
          </w:tcPr>
          <w:p w14:paraId="31475FF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52</w:t>
            </w:r>
          </w:p>
        </w:tc>
        <w:tc>
          <w:tcPr>
            <w:tcW w:w="630" w:type="pct"/>
            <w:vAlign w:val="center"/>
          </w:tcPr>
          <w:p w14:paraId="1A39751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13.50%</w:t>
            </w:r>
          </w:p>
        </w:tc>
      </w:tr>
      <w:tr w:rsidR="00E457CD" w:rsidRPr="00BF65CE" w14:paraId="37393C63" w14:textId="77777777" w:rsidTr="00AD757E">
        <w:tc>
          <w:tcPr>
            <w:tcW w:w="1809" w:type="pct"/>
            <w:vAlign w:val="center"/>
          </w:tcPr>
          <w:p w14:paraId="37787F8D"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lastRenderedPageBreak/>
              <w:t>مستشفى الحمادي</w:t>
            </w:r>
          </w:p>
        </w:tc>
        <w:tc>
          <w:tcPr>
            <w:tcW w:w="972" w:type="pct"/>
            <w:vAlign w:val="center"/>
          </w:tcPr>
          <w:p w14:paraId="24C20603"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1,200</w:t>
            </w:r>
          </w:p>
        </w:tc>
        <w:tc>
          <w:tcPr>
            <w:tcW w:w="738" w:type="pct"/>
            <w:vAlign w:val="center"/>
          </w:tcPr>
          <w:p w14:paraId="426D6700"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c>
          <w:tcPr>
            <w:tcW w:w="851" w:type="pct"/>
            <w:vAlign w:val="center"/>
          </w:tcPr>
          <w:p w14:paraId="7A153088"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48</w:t>
            </w:r>
          </w:p>
        </w:tc>
        <w:tc>
          <w:tcPr>
            <w:tcW w:w="630" w:type="pct"/>
            <w:vAlign w:val="center"/>
          </w:tcPr>
          <w:p w14:paraId="19F3C0D4"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12.50%</w:t>
            </w:r>
          </w:p>
        </w:tc>
      </w:tr>
      <w:tr w:rsidR="00E457CD" w:rsidRPr="00BF65CE" w14:paraId="4FFCF495" w14:textId="77777777" w:rsidTr="00AD757E">
        <w:tc>
          <w:tcPr>
            <w:tcW w:w="1809" w:type="pct"/>
            <w:vAlign w:val="center"/>
          </w:tcPr>
          <w:p w14:paraId="29CE84B9"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972" w:type="pct"/>
            <w:vAlign w:val="center"/>
          </w:tcPr>
          <w:p w14:paraId="72C6701D"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600</w:t>
            </w:r>
          </w:p>
        </w:tc>
        <w:tc>
          <w:tcPr>
            <w:tcW w:w="738" w:type="pct"/>
            <w:vAlign w:val="center"/>
          </w:tcPr>
          <w:p w14:paraId="41C8109B"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c>
          <w:tcPr>
            <w:tcW w:w="851" w:type="pct"/>
            <w:vAlign w:val="center"/>
          </w:tcPr>
          <w:p w14:paraId="3331DEC1"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24</w:t>
            </w:r>
          </w:p>
        </w:tc>
        <w:tc>
          <w:tcPr>
            <w:tcW w:w="630" w:type="pct"/>
            <w:vAlign w:val="center"/>
          </w:tcPr>
          <w:p w14:paraId="1B3B60CA"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6.30%</w:t>
            </w:r>
          </w:p>
        </w:tc>
      </w:tr>
      <w:tr w:rsidR="00E457CD" w:rsidRPr="00BF65CE" w14:paraId="4A00AEE1" w14:textId="77777777" w:rsidTr="00AD757E">
        <w:tc>
          <w:tcPr>
            <w:tcW w:w="1809" w:type="pct"/>
            <w:vAlign w:val="center"/>
          </w:tcPr>
          <w:p w14:paraId="363FD1BE" w14:textId="77777777" w:rsidR="00E457CD" w:rsidRPr="00BF65CE" w:rsidRDefault="00014347" w:rsidP="00AD757E">
            <w:pPr>
              <w:rPr>
                <w:rFonts w:ascii="Simplified Arabic" w:hAnsi="Simplified Arabic" w:cs="Simplified Arabic"/>
              </w:rPr>
            </w:pPr>
            <w:r w:rsidRPr="00BF65CE">
              <w:rPr>
                <w:rFonts w:ascii="Simplified Arabic" w:hAnsi="Simplified Arabic" w:cs="Simplified Arabic"/>
                <w:rtl/>
              </w:rPr>
              <w:t>الإجمالي</w:t>
            </w:r>
          </w:p>
        </w:tc>
        <w:tc>
          <w:tcPr>
            <w:tcW w:w="972" w:type="pct"/>
            <w:vAlign w:val="center"/>
          </w:tcPr>
          <w:p w14:paraId="495E4927"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9,607</w:t>
            </w:r>
          </w:p>
        </w:tc>
        <w:tc>
          <w:tcPr>
            <w:tcW w:w="738" w:type="pct"/>
            <w:vAlign w:val="center"/>
          </w:tcPr>
          <w:p w14:paraId="412942EC"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c>
          <w:tcPr>
            <w:tcW w:w="851" w:type="pct"/>
            <w:vAlign w:val="center"/>
          </w:tcPr>
          <w:p w14:paraId="66F924D5"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384</w:t>
            </w:r>
          </w:p>
        </w:tc>
        <w:tc>
          <w:tcPr>
            <w:tcW w:w="630" w:type="pct"/>
            <w:vAlign w:val="center"/>
          </w:tcPr>
          <w:p w14:paraId="7F06FC0E" w14:textId="77777777" w:rsidR="00E457CD" w:rsidRPr="00BF65CE" w:rsidRDefault="00014347" w:rsidP="00AD757E">
            <w:pPr>
              <w:jc w:val="center"/>
              <w:rPr>
                <w:rFonts w:ascii="Simplified Arabic" w:hAnsi="Simplified Arabic" w:cs="Simplified Arabic"/>
              </w:rPr>
            </w:pPr>
            <w:r w:rsidRPr="00BF65CE">
              <w:rPr>
                <w:rFonts w:ascii="Simplified Arabic" w:hAnsi="Simplified Arabic" w:cs="Simplified Arabic"/>
                <w:rtl/>
              </w:rPr>
              <w:t>100%</w:t>
            </w:r>
          </w:p>
        </w:tc>
      </w:tr>
    </w:tbl>
    <w:p w14:paraId="5F54058B" w14:textId="5C36F5EE" w:rsidR="00584EEB"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بيانات مجتمع الدراسة ومعادلة التوزيع الطبقي المتناسب.</w:t>
      </w:r>
    </w:p>
    <w:p w14:paraId="35659DE8" w14:textId="77777777" w:rsidR="00E457CD" w:rsidRPr="00BF65CE" w:rsidRDefault="00014347" w:rsidP="00DE7D61">
      <w:pPr>
        <w:pStyle w:val="2"/>
        <w:rPr>
          <w:rFonts w:cs="Simplified Arabic"/>
          <w:color w:val="auto"/>
        </w:rPr>
      </w:pPr>
      <w:bookmarkStart w:id="52" w:name="_Toc235125826"/>
      <w:r w:rsidRPr="00BF65CE">
        <w:rPr>
          <w:rFonts w:cs="Simplified Arabic"/>
          <w:color w:val="auto"/>
          <w:rtl/>
        </w:rPr>
        <w:t>توزيع العينة حسب الفئات الوظيفية</w:t>
      </w:r>
      <w:bookmarkEnd w:id="52"/>
    </w:p>
    <w:p w14:paraId="1667A32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بعد تحديد نصيب كل مستشفى من العينة، وُزعت عينة كل مستشفى على الفئات الوظيفية الرئيسة وفق نسب تقديرية تعكس البنية الوظيفية العامة في المستشفيات الخاصة. وقد تم اعتماد النسب الآتية لأغراض التوزيع الداخلي للعينة:</w:t>
      </w:r>
    </w:p>
    <w:p w14:paraId="20EAC8CA"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(3-3): النسب المعتمدة لتوزيع العينة حسب الفئة الوظيفية</w:t>
      </w:r>
    </w:p>
    <w:tbl>
      <w:tblPr>
        <w:tblStyle w:val="12"/>
        <w:bidiVisual/>
        <w:tblW w:w="8788" w:type="dxa"/>
        <w:tblLook w:val="0620" w:firstRow="1" w:lastRow="0" w:firstColumn="0" w:lastColumn="0" w:noHBand="1" w:noVBand="1"/>
      </w:tblPr>
      <w:tblGrid>
        <w:gridCol w:w="4394"/>
        <w:gridCol w:w="4394"/>
      </w:tblGrid>
      <w:tr w:rsidR="00E457CD" w:rsidRPr="00BF65CE" w14:paraId="1B44A174" w14:textId="77777777" w:rsidTr="007A4ACA">
        <w:trPr>
          <w:cnfStyle w:val="100000000000" w:firstRow="1" w:lastRow="0" w:firstColumn="0" w:lastColumn="0" w:oddVBand="0" w:evenVBand="0" w:oddHBand="0" w:evenHBand="0" w:firstRowFirstColumn="0" w:firstRowLastColumn="0" w:lastRowFirstColumn="0" w:lastRowLastColumn="0"/>
        </w:trPr>
        <w:tc>
          <w:tcPr>
            <w:tcW w:w="4394" w:type="dxa"/>
            <w:vAlign w:val="center"/>
          </w:tcPr>
          <w:p w14:paraId="6A25BB02"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الفئة الوظيفية</w:t>
            </w:r>
          </w:p>
        </w:tc>
        <w:tc>
          <w:tcPr>
            <w:tcW w:w="4394" w:type="dxa"/>
            <w:vAlign w:val="center"/>
          </w:tcPr>
          <w:p w14:paraId="44841C76"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النسبة المئوية</w:t>
            </w:r>
          </w:p>
        </w:tc>
      </w:tr>
      <w:tr w:rsidR="00E457CD" w:rsidRPr="00BF65CE" w14:paraId="2944A707" w14:textId="77777777" w:rsidTr="007A4ACA">
        <w:tc>
          <w:tcPr>
            <w:tcW w:w="4394" w:type="dxa"/>
            <w:vAlign w:val="center"/>
          </w:tcPr>
          <w:p w14:paraId="32F296A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4394" w:type="dxa"/>
            <w:vAlign w:val="center"/>
          </w:tcPr>
          <w:p w14:paraId="1F8AC21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368FD63A" w14:textId="77777777" w:rsidTr="007A4ACA">
        <w:tc>
          <w:tcPr>
            <w:tcW w:w="4394" w:type="dxa"/>
            <w:vAlign w:val="center"/>
          </w:tcPr>
          <w:p w14:paraId="49C873A3"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4394" w:type="dxa"/>
            <w:vAlign w:val="center"/>
          </w:tcPr>
          <w:p w14:paraId="2A09019E"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62D4C2DF" w14:textId="77777777" w:rsidTr="007A4ACA">
        <w:tc>
          <w:tcPr>
            <w:tcW w:w="4394" w:type="dxa"/>
            <w:vAlign w:val="center"/>
          </w:tcPr>
          <w:p w14:paraId="471A4204"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4394" w:type="dxa"/>
            <w:vAlign w:val="center"/>
          </w:tcPr>
          <w:p w14:paraId="5563703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30DA8552" w14:textId="77777777" w:rsidTr="007A4ACA">
        <w:tc>
          <w:tcPr>
            <w:tcW w:w="4394" w:type="dxa"/>
            <w:vAlign w:val="center"/>
          </w:tcPr>
          <w:p w14:paraId="1744DD80"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4394" w:type="dxa"/>
            <w:vAlign w:val="center"/>
          </w:tcPr>
          <w:p w14:paraId="47F22DF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60%</w:t>
            </w:r>
          </w:p>
        </w:tc>
      </w:tr>
      <w:tr w:rsidR="00E457CD" w:rsidRPr="00BF65CE" w14:paraId="21B5A190" w14:textId="77777777" w:rsidTr="007A4ACA">
        <w:tc>
          <w:tcPr>
            <w:tcW w:w="4394" w:type="dxa"/>
            <w:vAlign w:val="center"/>
          </w:tcPr>
          <w:p w14:paraId="4A3968CA"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الوظائف التشغيلية والإدارية</w:t>
            </w:r>
          </w:p>
        </w:tc>
        <w:tc>
          <w:tcPr>
            <w:tcW w:w="4394" w:type="dxa"/>
            <w:vAlign w:val="center"/>
          </w:tcPr>
          <w:p w14:paraId="1775EA99"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3D83DED7" w14:textId="77777777" w:rsidTr="007A4ACA">
        <w:tc>
          <w:tcPr>
            <w:tcW w:w="4394" w:type="dxa"/>
            <w:vAlign w:val="center"/>
          </w:tcPr>
          <w:p w14:paraId="5003CAB5"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المجموع</w:t>
            </w:r>
          </w:p>
        </w:tc>
        <w:tc>
          <w:tcPr>
            <w:tcW w:w="4394" w:type="dxa"/>
            <w:vAlign w:val="center"/>
          </w:tcPr>
          <w:p w14:paraId="3C8460D7" w14:textId="77777777" w:rsidR="00E457CD" w:rsidRPr="00BF65CE" w:rsidRDefault="00014347" w:rsidP="007A4ACA">
            <w:pPr>
              <w:jc w:val="center"/>
              <w:rPr>
                <w:rFonts w:ascii="Simplified Arabic" w:hAnsi="Simplified Arabic" w:cs="Simplified Arabic"/>
              </w:rPr>
            </w:pPr>
            <w:r w:rsidRPr="00BF65CE">
              <w:rPr>
                <w:rFonts w:ascii="Simplified Arabic" w:hAnsi="Simplified Arabic" w:cs="Simplified Arabic"/>
                <w:rtl/>
              </w:rPr>
              <w:t>100%</w:t>
            </w:r>
          </w:p>
        </w:tc>
      </w:tr>
    </w:tbl>
    <w:p w14:paraId="7177B3C3" w14:textId="43859675" w:rsidR="00E457CD"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لأغراض التوزيع الطبقي الداخلي للعينة.</w:t>
      </w:r>
    </w:p>
    <w:p w14:paraId="183821A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واستُخدمت المعادلة الآتية لتوزيع عينة كل مستشفى على الفئات الوظيفية:</w:t>
      </w:r>
    </w:p>
    <w:p w14:paraId="3C6EAC40" w14:textId="77777777" w:rsidR="00E457CD" w:rsidRPr="00BF65CE" w:rsidRDefault="00014347" w:rsidP="002071EC">
      <w:pPr>
        <w:bidi w:val="0"/>
        <w:spacing w:before="120" w:after="160"/>
        <w:jc w:val="both"/>
        <w:rPr>
          <w:rFonts w:ascii="Simplified Arabic" w:hAnsi="Simplified Arabic" w:cs="Simplified Arabic"/>
        </w:rPr>
      </w:pPr>
      <w:r w:rsidRPr="00BF65CE">
        <w:rPr>
          <w:rFonts w:ascii="Simplified Arabic" w:eastAsia="Times New Roman" w:hAnsi="Simplified Arabic" w:cs="Simplified Arabic"/>
          <w:i/>
          <w:iCs/>
        </w:rPr>
        <w:t>n</w:t>
      </w:r>
      <w:r w:rsidRPr="00BF65CE">
        <w:rPr>
          <w:rFonts w:ascii="Times New Roman" w:eastAsia="Times New Roman" w:hAnsi="Times New Roman" w:cs="Times New Roman"/>
          <w:i/>
          <w:iCs/>
        </w:rPr>
        <w:t>ᵢⱼ</w:t>
      </w:r>
      <w:r w:rsidRPr="00BF65CE">
        <w:rPr>
          <w:rFonts w:ascii="Simplified Arabic" w:eastAsia="Times New Roman" w:hAnsi="Simplified Arabic" w:cs="Simplified Arabic"/>
          <w:i/>
          <w:iCs/>
        </w:rPr>
        <w:t xml:space="preserve"> = n</w:t>
      </w:r>
      <w:r w:rsidRPr="00BF65CE">
        <w:rPr>
          <w:rFonts w:ascii="Times New Roman" w:eastAsia="Times New Roman" w:hAnsi="Times New Roman" w:cs="Times New Roman"/>
          <w:i/>
          <w:iCs/>
        </w:rPr>
        <w:t>ᵢ</w:t>
      </w:r>
      <w:r w:rsidRPr="00BF65CE">
        <w:rPr>
          <w:rFonts w:ascii="Simplified Arabic" w:eastAsia="Times New Roman" w:hAnsi="Simplified Arabic" w:cs="Simplified Arabic"/>
          <w:i/>
          <w:iCs/>
        </w:rPr>
        <w:t xml:space="preserve"> × P</w:t>
      </w:r>
      <w:r w:rsidRPr="00BF65CE">
        <w:rPr>
          <w:rFonts w:ascii="Times New Roman" w:eastAsia="Times New Roman" w:hAnsi="Times New Roman" w:cs="Times New Roman"/>
          <w:i/>
          <w:iCs/>
        </w:rPr>
        <w:t>ⱼ</w:t>
      </w:r>
    </w:p>
    <w:p w14:paraId="7CD2E4C5" w14:textId="77777777" w:rsidR="00E457CD"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حيث إن: n</w:t>
      </w:r>
      <w:r w:rsidRPr="00BF65CE">
        <w:rPr>
          <w:rFonts w:ascii="Times New Roman" w:hAnsi="Times New Roman" w:cs="Times New Roman" w:hint="cs"/>
          <w:rtl/>
        </w:rPr>
        <w:t>ᵢⱼ</w:t>
      </w:r>
      <w:r w:rsidRPr="00BF65CE">
        <w:rPr>
          <w:rFonts w:ascii="Simplified Arabic" w:hAnsi="Simplified Arabic" w:cs="Simplified Arabic"/>
          <w:rtl/>
        </w:rPr>
        <w:t xml:space="preserve"> يمثل عدد أفراد العينة في الفئة الوظيفية j داخل المستشفى i، وn</w:t>
      </w:r>
      <w:r w:rsidRPr="00BF65CE">
        <w:rPr>
          <w:rFonts w:ascii="Times New Roman" w:hAnsi="Times New Roman" w:cs="Times New Roman" w:hint="cs"/>
          <w:rtl/>
        </w:rPr>
        <w:t>ᵢ</w:t>
      </w:r>
      <w:r w:rsidRPr="00BF65CE">
        <w:rPr>
          <w:rFonts w:ascii="Simplified Arabic" w:hAnsi="Simplified Arabic" w:cs="Simplified Arabic"/>
          <w:rtl/>
        </w:rPr>
        <w:t xml:space="preserve"> يمثل حجم العينة المخصصة للمستشفى، وP</w:t>
      </w:r>
      <w:r w:rsidRPr="00BF65CE">
        <w:rPr>
          <w:rFonts w:ascii="Times New Roman" w:hAnsi="Times New Roman" w:cs="Times New Roman" w:hint="cs"/>
          <w:rtl/>
        </w:rPr>
        <w:t>ⱼ</w:t>
      </w:r>
      <w:r w:rsidRPr="00BF65CE">
        <w:rPr>
          <w:rFonts w:ascii="Simplified Arabic" w:hAnsi="Simplified Arabic" w:cs="Simplified Arabic"/>
          <w:rtl/>
        </w:rPr>
        <w:t xml:space="preserve"> يمثل النسبة المئوية المعتمدة للفئة الوظيفية. وتم تقريب النتائج النهائية مع مراعاة أن يطابق مجموع الفئات داخل كل مستشفى حجم العينة المخصص له.</w:t>
      </w:r>
    </w:p>
    <w:p w14:paraId="0783C84C" w14:textId="77777777" w:rsidR="00E14927" w:rsidRDefault="00E14927" w:rsidP="002071EC">
      <w:pPr>
        <w:spacing w:after="160"/>
        <w:jc w:val="both"/>
        <w:rPr>
          <w:rFonts w:ascii="Simplified Arabic" w:hAnsi="Simplified Arabic" w:cs="Simplified Arabic"/>
          <w:rtl/>
        </w:rPr>
      </w:pPr>
    </w:p>
    <w:p w14:paraId="6EF8C50F" w14:textId="77777777" w:rsidR="00E14927" w:rsidRDefault="00E14927" w:rsidP="002071EC">
      <w:pPr>
        <w:spacing w:after="160"/>
        <w:jc w:val="both"/>
        <w:rPr>
          <w:rFonts w:ascii="Simplified Arabic" w:hAnsi="Simplified Arabic" w:cs="Simplified Arabic"/>
          <w:rtl/>
        </w:rPr>
      </w:pPr>
    </w:p>
    <w:p w14:paraId="76BC8035" w14:textId="77777777" w:rsidR="00E14927" w:rsidRPr="00BF65CE" w:rsidRDefault="00E14927" w:rsidP="002071EC">
      <w:pPr>
        <w:spacing w:after="160"/>
        <w:jc w:val="both"/>
        <w:rPr>
          <w:rFonts w:ascii="Simplified Arabic" w:hAnsi="Simplified Arabic" w:cs="Simplified Arabic"/>
        </w:rPr>
      </w:pPr>
    </w:p>
    <w:p w14:paraId="419F4B62"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lastRenderedPageBreak/>
        <w:t>جدول (3-4): التوزيع التفصيلي للعينة حسب المستشفى والفئة الوظيفية</w:t>
      </w:r>
    </w:p>
    <w:tbl>
      <w:tblPr>
        <w:tblStyle w:val="12"/>
        <w:bidiVisual/>
        <w:tblW w:w="5000" w:type="pct"/>
        <w:tblLook w:val="0620" w:firstRow="1" w:lastRow="0" w:firstColumn="0" w:lastColumn="0" w:noHBand="1" w:noVBand="1"/>
      </w:tblPr>
      <w:tblGrid>
        <w:gridCol w:w="1525"/>
        <w:gridCol w:w="985"/>
        <w:gridCol w:w="794"/>
        <w:gridCol w:w="753"/>
        <w:gridCol w:w="908"/>
        <w:gridCol w:w="922"/>
        <w:gridCol w:w="1664"/>
        <w:gridCol w:w="1227"/>
      </w:tblGrid>
      <w:tr w:rsidR="00E457CD" w:rsidRPr="00BF65CE" w14:paraId="1940FC97" w14:textId="77777777" w:rsidTr="007A4ACA">
        <w:trPr>
          <w:cnfStyle w:val="100000000000" w:firstRow="1" w:lastRow="0" w:firstColumn="0" w:lastColumn="0" w:oddVBand="0" w:evenVBand="0" w:oddHBand="0" w:evenHBand="0" w:firstRowFirstColumn="0" w:firstRowLastColumn="0" w:lastRowFirstColumn="0" w:lastRowLastColumn="0"/>
        </w:trPr>
        <w:tc>
          <w:tcPr>
            <w:tcW w:w="869" w:type="pct"/>
            <w:vAlign w:val="center"/>
          </w:tcPr>
          <w:p w14:paraId="171BC52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المستشفى</w:t>
            </w:r>
          </w:p>
        </w:tc>
        <w:tc>
          <w:tcPr>
            <w:tcW w:w="561" w:type="pct"/>
            <w:vAlign w:val="center"/>
          </w:tcPr>
          <w:p w14:paraId="1F66EE6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المجتمع N</w:t>
            </w:r>
            <w:r w:rsidRPr="00BF65CE">
              <w:rPr>
                <w:rFonts w:ascii="Times New Roman" w:hAnsi="Times New Roman" w:cs="Times New Roman" w:hint="cs"/>
                <w:rtl/>
              </w:rPr>
              <w:t>ᵢ</w:t>
            </w:r>
          </w:p>
        </w:tc>
        <w:tc>
          <w:tcPr>
            <w:tcW w:w="452" w:type="pct"/>
            <w:vAlign w:val="center"/>
          </w:tcPr>
          <w:p w14:paraId="4AD5276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حجم العينة n</w:t>
            </w:r>
            <w:r w:rsidRPr="00BF65CE">
              <w:rPr>
                <w:rFonts w:ascii="Times New Roman" w:hAnsi="Times New Roman" w:cs="Times New Roman" w:hint="cs"/>
                <w:rtl/>
              </w:rPr>
              <w:t>ᵢ</w:t>
            </w:r>
          </w:p>
        </w:tc>
        <w:tc>
          <w:tcPr>
            <w:tcW w:w="429" w:type="pct"/>
            <w:vAlign w:val="center"/>
          </w:tcPr>
          <w:p w14:paraId="6E55A4E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الإدارة العليا</w:t>
            </w:r>
          </w:p>
        </w:tc>
        <w:tc>
          <w:tcPr>
            <w:tcW w:w="517" w:type="pct"/>
            <w:vAlign w:val="center"/>
          </w:tcPr>
          <w:p w14:paraId="66A365B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الموارد البشرية</w:t>
            </w:r>
          </w:p>
        </w:tc>
        <w:tc>
          <w:tcPr>
            <w:tcW w:w="525" w:type="pct"/>
            <w:vAlign w:val="center"/>
          </w:tcPr>
          <w:p w14:paraId="258201D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الإشراف الفني</w:t>
            </w:r>
          </w:p>
        </w:tc>
        <w:tc>
          <w:tcPr>
            <w:tcW w:w="948" w:type="pct"/>
            <w:vAlign w:val="center"/>
          </w:tcPr>
          <w:p w14:paraId="078C445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الممارسون الصحيون (أطباء، تمريض، فنيون)</w:t>
            </w:r>
          </w:p>
        </w:tc>
        <w:tc>
          <w:tcPr>
            <w:tcW w:w="700" w:type="pct"/>
            <w:vAlign w:val="center"/>
          </w:tcPr>
          <w:p w14:paraId="2B272EF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الوظائف التشغيلية والإدارية</w:t>
            </w:r>
          </w:p>
        </w:tc>
      </w:tr>
      <w:tr w:rsidR="00E457CD" w:rsidRPr="00BF65CE" w14:paraId="3A79A103" w14:textId="77777777" w:rsidTr="007A4ACA">
        <w:tc>
          <w:tcPr>
            <w:tcW w:w="869" w:type="pct"/>
            <w:vAlign w:val="center"/>
          </w:tcPr>
          <w:p w14:paraId="6D26FE4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دلة</w:t>
            </w:r>
          </w:p>
        </w:tc>
        <w:tc>
          <w:tcPr>
            <w:tcW w:w="561" w:type="pct"/>
            <w:vAlign w:val="center"/>
          </w:tcPr>
          <w:p w14:paraId="0BF6BAD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4,000</w:t>
            </w:r>
          </w:p>
        </w:tc>
        <w:tc>
          <w:tcPr>
            <w:tcW w:w="452" w:type="pct"/>
            <w:vAlign w:val="center"/>
          </w:tcPr>
          <w:p w14:paraId="1369E4E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160</w:t>
            </w:r>
          </w:p>
        </w:tc>
        <w:tc>
          <w:tcPr>
            <w:tcW w:w="429" w:type="pct"/>
            <w:vAlign w:val="center"/>
          </w:tcPr>
          <w:p w14:paraId="607E565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17" w:type="pct"/>
            <w:vAlign w:val="center"/>
          </w:tcPr>
          <w:p w14:paraId="69C42AB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8</w:t>
            </w:r>
          </w:p>
        </w:tc>
        <w:tc>
          <w:tcPr>
            <w:tcW w:w="525" w:type="pct"/>
            <w:vAlign w:val="center"/>
          </w:tcPr>
          <w:p w14:paraId="25A69A4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16</w:t>
            </w:r>
          </w:p>
        </w:tc>
        <w:tc>
          <w:tcPr>
            <w:tcW w:w="948" w:type="pct"/>
            <w:vAlign w:val="center"/>
          </w:tcPr>
          <w:p w14:paraId="03793E5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w:t>
            </w:r>
          </w:p>
        </w:tc>
        <w:tc>
          <w:tcPr>
            <w:tcW w:w="700" w:type="pct"/>
            <w:vAlign w:val="center"/>
          </w:tcPr>
          <w:p w14:paraId="5D59009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32</w:t>
            </w:r>
          </w:p>
        </w:tc>
      </w:tr>
      <w:tr w:rsidR="00E457CD" w:rsidRPr="00BF65CE" w14:paraId="53C1C2E4" w14:textId="77777777" w:rsidTr="007A4ACA">
        <w:tc>
          <w:tcPr>
            <w:tcW w:w="869" w:type="pct"/>
            <w:vAlign w:val="center"/>
          </w:tcPr>
          <w:p w14:paraId="6722D458"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المستشفى السعودي الألماني - الرياض</w:t>
            </w:r>
          </w:p>
        </w:tc>
        <w:tc>
          <w:tcPr>
            <w:tcW w:w="561" w:type="pct"/>
            <w:vAlign w:val="center"/>
          </w:tcPr>
          <w:p w14:paraId="3E390F2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2,500</w:t>
            </w:r>
          </w:p>
        </w:tc>
        <w:tc>
          <w:tcPr>
            <w:tcW w:w="452" w:type="pct"/>
            <w:vAlign w:val="center"/>
          </w:tcPr>
          <w:p w14:paraId="2E074D8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100</w:t>
            </w:r>
          </w:p>
        </w:tc>
        <w:tc>
          <w:tcPr>
            <w:tcW w:w="429" w:type="pct"/>
            <w:vAlign w:val="center"/>
          </w:tcPr>
          <w:p w14:paraId="6936A96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17" w:type="pct"/>
            <w:vAlign w:val="center"/>
          </w:tcPr>
          <w:p w14:paraId="710EDC4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525" w:type="pct"/>
            <w:vAlign w:val="center"/>
          </w:tcPr>
          <w:p w14:paraId="6226025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c>
          <w:tcPr>
            <w:tcW w:w="948" w:type="pct"/>
            <w:vAlign w:val="center"/>
          </w:tcPr>
          <w:p w14:paraId="67347608"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w:t>
            </w:r>
          </w:p>
        </w:tc>
        <w:tc>
          <w:tcPr>
            <w:tcW w:w="700" w:type="pct"/>
            <w:vAlign w:val="center"/>
          </w:tcPr>
          <w:p w14:paraId="62A0F41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20</w:t>
            </w:r>
          </w:p>
        </w:tc>
      </w:tr>
      <w:tr w:rsidR="00E457CD" w:rsidRPr="00BF65CE" w14:paraId="1DF155F2" w14:textId="77777777" w:rsidTr="007A4ACA">
        <w:tc>
          <w:tcPr>
            <w:tcW w:w="869" w:type="pct"/>
            <w:vAlign w:val="center"/>
          </w:tcPr>
          <w:p w14:paraId="4B5E942C"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المملكة</w:t>
            </w:r>
          </w:p>
        </w:tc>
        <w:tc>
          <w:tcPr>
            <w:tcW w:w="561" w:type="pct"/>
            <w:vAlign w:val="center"/>
          </w:tcPr>
          <w:p w14:paraId="066732A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1,307</w:t>
            </w:r>
          </w:p>
        </w:tc>
        <w:tc>
          <w:tcPr>
            <w:tcW w:w="452" w:type="pct"/>
            <w:vAlign w:val="center"/>
          </w:tcPr>
          <w:p w14:paraId="400FF6C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52</w:t>
            </w:r>
          </w:p>
        </w:tc>
        <w:tc>
          <w:tcPr>
            <w:tcW w:w="429" w:type="pct"/>
            <w:vAlign w:val="center"/>
          </w:tcPr>
          <w:p w14:paraId="3F7A372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17" w:type="pct"/>
            <w:vAlign w:val="center"/>
          </w:tcPr>
          <w:p w14:paraId="4EA1F83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w:t>
            </w:r>
          </w:p>
        </w:tc>
        <w:tc>
          <w:tcPr>
            <w:tcW w:w="525" w:type="pct"/>
            <w:vAlign w:val="center"/>
          </w:tcPr>
          <w:p w14:paraId="36BBCF7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5E12C346"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31</w:t>
            </w:r>
          </w:p>
        </w:tc>
        <w:tc>
          <w:tcPr>
            <w:tcW w:w="700" w:type="pct"/>
            <w:vAlign w:val="center"/>
          </w:tcPr>
          <w:p w14:paraId="10DA335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15A7688F" w14:textId="77777777" w:rsidTr="007A4ACA">
        <w:tc>
          <w:tcPr>
            <w:tcW w:w="869" w:type="pct"/>
            <w:vAlign w:val="center"/>
          </w:tcPr>
          <w:p w14:paraId="4E7AF29D"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مستشفى الحمادي</w:t>
            </w:r>
          </w:p>
        </w:tc>
        <w:tc>
          <w:tcPr>
            <w:tcW w:w="561" w:type="pct"/>
            <w:vAlign w:val="center"/>
          </w:tcPr>
          <w:p w14:paraId="5DBA58B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1,200</w:t>
            </w:r>
          </w:p>
        </w:tc>
        <w:tc>
          <w:tcPr>
            <w:tcW w:w="452" w:type="pct"/>
            <w:vAlign w:val="center"/>
          </w:tcPr>
          <w:p w14:paraId="50EB0D1F"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48</w:t>
            </w:r>
          </w:p>
        </w:tc>
        <w:tc>
          <w:tcPr>
            <w:tcW w:w="429" w:type="pct"/>
            <w:vAlign w:val="center"/>
          </w:tcPr>
          <w:p w14:paraId="64633C8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17" w:type="pct"/>
            <w:vAlign w:val="center"/>
          </w:tcPr>
          <w:p w14:paraId="4E15A77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525" w:type="pct"/>
            <w:vAlign w:val="center"/>
          </w:tcPr>
          <w:p w14:paraId="2FC732D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948" w:type="pct"/>
            <w:vAlign w:val="center"/>
          </w:tcPr>
          <w:p w14:paraId="07F6201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29</w:t>
            </w:r>
          </w:p>
        </w:tc>
        <w:tc>
          <w:tcPr>
            <w:tcW w:w="700" w:type="pct"/>
            <w:vAlign w:val="center"/>
          </w:tcPr>
          <w:p w14:paraId="083934B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10</w:t>
            </w:r>
          </w:p>
        </w:tc>
      </w:tr>
      <w:tr w:rsidR="00E457CD" w:rsidRPr="00BF65CE" w14:paraId="3112294E" w14:textId="77777777" w:rsidTr="007A4ACA">
        <w:tc>
          <w:tcPr>
            <w:tcW w:w="869" w:type="pct"/>
            <w:vAlign w:val="center"/>
          </w:tcPr>
          <w:p w14:paraId="5262EBE6"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المركز التخصصي الطبي</w:t>
            </w:r>
          </w:p>
        </w:tc>
        <w:tc>
          <w:tcPr>
            <w:tcW w:w="561" w:type="pct"/>
            <w:vAlign w:val="center"/>
          </w:tcPr>
          <w:p w14:paraId="3800A80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600</w:t>
            </w:r>
          </w:p>
        </w:tc>
        <w:tc>
          <w:tcPr>
            <w:tcW w:w="452" w:type="pct"/>
            <w:vAlign w:val="center"/>
          </w:tcPr>
          <w:p w14:paraId="0C39F2D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24</w:t>
            </w:r>
          </w:p>
        </w:tc>
        <w:tc>
          <w:tcPr>
            <w:tcW w:w="429" w:type="pct"/>
            <w:vAlign w:val="center"/>
          </w:tcPr>
          <w:p w14:paraId="2626496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17" w:type="pct"/>
            <w:vAlign w:val="center"/>
          </w:tcPr>
          <w:p w14:paraId="25DB7ED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w:t>
            </w:r>
          </w:p>
        </w:tc>
        <w:tc>
          <w:tcPr>
            <w:tcW w:w="525" w:type="pct"/>
            <w:vAlign w:val="center"/>
          </w:tcPr>
          <w:p w14:paraId="709EBAD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w:t>
            </w:r>
          </w:p>
        </w:tc>
        <w:tc>
          <w:tcPr>
            <w:tcW w:w="948" w:type="pct"/>
            <w:vAlign w:val="center"/>
          </w:tcPr>
          <w:p w14:paraId="147228FD"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15</w:t>
            </w:r>
          </w:p>
        </w:tc>
        <w:tc>
          <w:tcPr>
            <w:tcW w:w="700" w:type="pct"/>
            <w:vAlign w:val="center"/>
          </w:tcPr>
          <w:p w14:paraId="7A9B40C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r>
      <w:tr w:rsidR="00E457CD" w:rsidRPr="00BF65CE" w14:paraId="6DF3D9B0" w14:textId="77777777" w:rsidTr="007A4ACA">
        <w:tc>
          <w:tcPr>
            <w:tcW w:w="869" w:type="pct"/>
            <w:vAlign w:val="center"/>
          </w:tcPr>
          <w:p w14:paraId="20C76297"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rtl/>
              </w:rPr>
              <w:t>الإجمالي</w:t>
            </w:r>
          </w:p>
        </w:tc>
        <w:tc>
          <w:tcPr>
            <w:tcW w:w="561" w:type="pct"/>
            <w:vAlign w:val="center"/>
          </w:tcPr>
          <w:p w14:paraId="1C1DF8C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9,607</w:t>
            </w:r>
          </w:p>
        </w:tc>
        <w:tc>
          <w:tcPr>
            <w:tcW w:w="452" w:type="pct"/>
            <w:vAlign w:val="center"/>
          </w:tcPr>
          <w:p w14:paraId="44DC929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384</w:t>
            </w:r>
          </w:p>
        </w:tc>
        <w:tc>
          <w:tcPr>
            <w:tcW w:w="429" w:type="pct"/>
            <w:vAlign w:val="center"/>
          </w:tcPr>
          <w:p w14:paraId="5CEFED6A"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17" w:type="pct"/>
            <w:vAlign w:val="center"/>
          </w:tcPr>
          <w:p w14:paraId="7B73D77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19</w:t>
            </w:r>
          </w:p>
        </w:tc>
        <w:tc>
          <w:tcPr>
            <w:tcW w:w="525" w:type="pct"/>
            <w:vAlign w:val="center"/>
          </w:tcPr>
          <w:p w14:paraId="261D056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38</w:t>
            </w:r>
          </w:p>
        </w:tc>
        <w:tc>
          <w:tcPr>
            <w:tcW w:w="948" w:type="pct"/>
            <w:vAlign w:val="center"/>
          </w:tcPr>
          <w:p w14:paraId="426459B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231</w:t>
            </w:r>
          </w:p>
        </w:tc>
        <w:tc>
          <w:tcPr>
            <w:tcW w:w="700" w:type="pct"/>
            <w:vAlign w:val="center"/>
          </w:tcPr>
          <w:p w14:paraId="1ED1B405"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77</w:t>
            </w:r>
          </w:p>
        </w:tc>
      </w:tr>
    </w:tbl>
    <w:p w14:paraId="10FD3244" w14:textId="388F6EFC" w:rsidR="00E457CD" w:rsidRPr="00BF65CE" w:rsidRDefault="00145E6B" w:rsidP="00E14927">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التوزيع الطبقي المتناسب للعينة.</w:t>
      </w:r>
    </w:p>
    <w:p w14:paraId="5C7E0E8D" w14:textId="77777777" w:rsidR="00E457CD" w:rsidRPr="00BF65CE" w:rsidRDefault="00014347" w:rsidP="00DE7D61">
      <w:pPr>
        <w:pStyle w:val="2"/>
        <w:rPr>
          <w:rFonts w:cs="Simplified Arabic"/>
          <w:color w:val="auto"/>
        </w:rPr>
      </w:pPr>
      <w:bookmarkStart w:id="53" w:name="_Toc235125827"/>
      <w:r w:rsidRPr="00BF65CE">
        <w:rPr>
          <w:rFonts w:cs="Simplified Arabic"/>
          <w:color w:val="auto"/>
          <w:rtl/>
        </w:rPr>
        <w:t>خطوات جمع البيانات وأدواتها</w:t>
      </w:r>
      <w:bookmarkEnd w:id="53"/>
    </w:p>
    <w:p w14:paraId="6B012BB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اعتمدت الدراسة على الاستبانة كأداة رئيسية لجمع البيانات من أفراد العينة في المستشفيات الخاصة بمدينة الرياض. تم إعداد الاستبانة بناءً على مراجعة الأدبيات والدراسات السابقة ذات الصلة بموضوع الاستقطاب التنظيمي، تطبيقات الذكاء الاصطناعي، الإبداع، والتميز المؤسسي، مع مراعاة تكييف البنود لتتناسب مع بيئة المستشفيات السعودية. تضمنت الاستبانة أربعة أقسام فرعية، خُصص كل قسم منها لقياس أحد المتغيرات الرئيسة للدراسة، واشتملت على مجموعة من العبارات المغلقة وفق مقياس ليكرت الخماسي، ما يتيح دقة في التعبير عن رؤى وتوجهات المشاركين تجاه كل متغير.</w:t>
      </w:r>
    </w:p>
    <w:p w14:paraId="26F7B67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جرت عملية جمع البيانات وفق الخطوات الآتية: إعداد الاستبانة وتدقيقها علمياً ولغوياً؛ عرض الأداة على مجموعة من المحكّمين المتخصصين في الإدارة الصحية والبحث العلمي للتحقق من صدق المحتوى وملاءمة البنود؛ تنفيذ دراسة استطلاعية على عينة محدودة من العاملين للتأكد من وضوح البنود وسهولة الإجابة عنها؛ تطبيق الاستبانة إلكترونياً أو ورقياً على العينة الأساسية موزعة طبقيًا داخل المستشفيات المستهدفة؛ التحقق من استكمال بيانات المشاركين واستبعاد الاستجابات غير الصالحة، والتأكد من تحقيق التوازن العددي في توزيع المعطيات حسب الخطة الطبقية.</w:t>
      </w:r>
    </w:p>
    <w:p w14:paraId="081F0384" w14:textId="77777777" w:rsidR="00E457CD" w:rsidRPr="00BF65CE" w:rsidRDefault="00014347" w:rsidP="00DE7D61">
      <w:pPr>
        <w:pStyle w:val="2"/>
        <w:rPr>
          <w:rFonts w:cs="Simplified Arabic"/>
          <w:color w:val="auto"/>
        </w:rPr>
      </w:pPr>
      <w:bookmarkStart w:id="54" w:name="_Toc235125828"/>
      <w:r w:rsidRPr="00BF65CE">
        <w:rPr>
          <w:rFonts w:cs="Simplified Arabic"/>
          <w:color w:val="auto"/>
          <w:rtl/>
        </w:rPr>
        <w:lastRenderedPageBreak/>
        <w:t>ثبات الأداة وصدقها</w:t>
      </w:r>
      <w:bookmarkEnd w:id="54"/>
    </w:p>
    <w:p w14:paraId="28D69919"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للتأكد من صلاحية أداة الدراسة للاستخدام في التحليل الإحصائي واختبار فرضيات الدراسة، تم التحقق من جودة الاستبانة من حيث الصدق والثبات. وفي هذا السياق، تم الاعتماد في التحقق من الصدق على التحكيم العلمي للأداة قبل تطبيقها ميدانيًا، في حين تم التحقق من الثبات إحصائيًا باستخدام معامل ألفا كرونباخ (Cronbach’s Alpha) لقياس درجة الاتساق الداخلي بين عبارات كل قسم من أقسام الاستبانة.</w:t>
      </w:r>
    </w:p>
    <w:p w14:paraId="4BBC2C1F" w14:textId="77777777" w:rsidR="00E457CD" w:rsidRPr="00BF65CE" w:rsidRDefault="00014347" w:rsidP="00DE7D61">
      <w:pPr>
        <w:pStyle w:val="3"/>
        <w:rPr>
          <w:rFonts w:cs="Simplified Arabic"/>
          <w:color w:val="auto"/>
        </w:rPr>
      </w:pPr>
      <w:bookmarkStart w:id="55" w:name="_Toc235125829"/>
      <w:r w:rsidRPr="00BF65CE">
        <w:rPr>
          <w:rFonts w:cs="Simplified Arabic"/>
          <w:color w:val="auto"/>
          <w:rtl/>
        </w:rPr>
        <w:t>صدق أداة الدراسة</w:t>
      </w:r>
      <w:bookmarkEnd w:id="55"/>
    </w:p>
    <w:p w14:paraId="0CF58B8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التحقق من صدق أداة الدراسة من خلال عرضها على مجموعة من المحكمين المتخصصين في الإدارة الصحية والمناهج والقياس والبحث العلمي، وذلك بهدف التأكد من سلامة صياغة العبارات، ووضوحها، وملاءمتها لقياس المتغيرات الرئيسة للدراسة، ومدى ارتباطها بالأبعاد النظرية التي صممت لقياسها. وقد أُخذت ملاحظات المحكمين بعين الاعتبار، وأُجريت التعديلات اللازمة على بعض العبارات من حيث الصياغة والترتيب والوضوح، بما يسهم في تعزيز ملاءمة الأداة لأهداف الدراسة ورفع مستوى دقتها في القياس.</w:t>
      </w:r>
    </w:p>
    <w:p w14:paraId="42F5E9CC" w14:textId="77777777" w:rsidR="00E457CD" w:rsidRPr="00BF65CE" w:rsidRDefault="00014347" w:rsidP="00DE7D61">
      <w:pPr>
        <w:pStyle w:val="3"/>
        <w:rPr>
          <w:rFonts w:cs="Simplified Arabic"/>
          <w:color w:val="auto"/>
        </w:rPr>
      </w:pPr>
      <w:bookmarkStart w:id="56" w:name="_Toc235125830"/>
      <w:r w:rsidRPr="00BF65CE">
        <w:rPr>
          <w:rFonts w:cs="Simplified Arabic"/>
          <w:color w:val="auto"/>
          <w:rtl/>
        </w:rPr>
        <w:t>ثبات أداة الدراسة</w:t>
      </w:r>
      <w:bookmarkEnd w:id="56"/>
    </w:p>
    <w:p w14:paraId="6F16FC5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قياس ثبات أداة الدراسة باستخدام معامل ألفا كرونباخ لاختبار الاتساق الداخلي لعبارات كل قسم من أقسام الاستبانة، وكذلك للأداة ككل، ويُعد هذا المعامل من أكثر الأساليب الإحصائية شيوعًا في الدراسات الإدارية والسلوكية. وتعد قيمة ألفا كرونباخ مقبولة إحصائيًا إذا بلغت 0.70 فأكثر، وكلما اقتربت من الواحد الصحيح دل ذلك على ارتفاع درجة الثبات.</w:t>
      </w:r>
    </w:p>
    <w:p w14:paraId="5FDB8F83"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(3-5): معاملات الثبات لأبعاد الدراسة والأداة ككل باستخدام ألفا كرونباخ</w:t>
      </w:r>
    </w:p>
    <w:tbl>
      <w:tblPr>
        <w:tblStyle w:val="12"/>
        <w:bidiVisual/>
        <w:tblW w:w="5000" w:type="pct"/>
        <w:tblLook w:val="0620" w:firstRow="1" w:lastRow="0" w:firstColumn="0" w:lastColumn="0" w:noHBand="1" w:noVBand="1"/>
      </w:tblPr>
      <w:tblGrid>
        <w:gridCol w:w="2683"/>
        <w:gridCol w:w="1705"/>
        <w:gridCol w:w="2195"/>
        <w:gridCol w:w="2195"/>
      </w:tblGrid>
      <w:tr w:rsidR="00E457CD" w:rsidRPr="00BF65CE" w14:paraId="046E8CE0" w14:textId="77777777" w:rsidTr="00E14927">
        <w:trPr>
          <w:cnfStyle w:val="100000000000" w:firstRow="1" w:lastRow="0" w:firstColumn="0" w:lastColumn="0" w:oddVBand="0" w:evenVBand="0" w:oddHBand="0" w:evenHBand="0" w:firstRowFirstColumn="0" w:firstRowLastColumn="0" w:lastRowFirstColumn="0" w:lastRowLastColumn="0"/>
        </w:trPr>
        <w:tc>
          <w:tcPr>
            <w:tcW w:w="1528" w:type="pct"/>
            <w:vAlign w:val="center"/>
          </w:tcPr>
          <w:p w14:paraId="051D82D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القسم</w:t>
            </w:r>
          </w:p>
        </w:tc>
        <w:tc>
          <w:tcPr>
            <w:tcW w:w="971" w:type="pct"/>
            <w:vAlign w:val="center"/>
          </w:tcPr>
          <w:p w14:paraId="5830207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عدد العبارات</w:t>
            </w:r>
          </w:p>
        </w:tc>
        <w:tc>
          <w:tcPr>
            <w:tcW w:w="1250" w:type="pct"/>
            <w:vAlign w:val="center"/>
          </w:tcPr>
          <w:p w14:paraId="4959F98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معامل ألفا كرونباخ</w:t>
            </w:r>
          </w:p>
        </w:tc>
        <w:tc>
          <w:tcPr>
            <w:tcW w:w="1250" w:type="pct"/>
            <w:vAlign w:val="center"/>
          </w:tcPr>
          <w:p w14:paraId="1BC58AE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درجة الثبات</w:t>
            </w:r>
          </w:p>
        </w:tc>
      </w:tr>
      <w:tr w:rsidR="00E457CD" w:rsidRPr="00BF65CE" w14:paraId="4FD1D1C6" w14:textId="77777777" w:rsidTr="00E14927">
        <w:tc>
          <w:tcPr>
            <w:tcW w:w="1528" w:type="pct"/>
            <w:vAlign w:val="center"/>
          </w:tcPr>
          <w:p w14:paraId="201F0F65"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الاستقطاب التنظيمي</w:t>
            </w:r>
          </w:p>
        </w:tc>
        <w:tc>
          <w:tcPr>
            <w:tcW w:w="971" w:type="pct"/>
            <w:vAlign w:val="center"/>
          </w:tcPr>
          <w:p w14:paraId="629E5B0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6</w:t>
            </w:r>
          </w:p>
        </w:tc>
        <w:tc>
          <w:tcPr>
            <w:tcW w:w="1250" w:type="pct"/>
            <w:vAlign w:val="center"/>
          </w:tcPr>
          <w:p w14:paraId="7015E98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13AC309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1509F743" w14:textId="77777777" w:rsidTr="00E14927">
        <w:tc>
          <w:tcPr>
            <w:tcW w:w="1528" w:type="pct"/>
            <w:vAlign w:val="center"/>
          </w:tcPr>
          <w:p w14:paraId="3F69717F"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تطبيقات الذكاء الاصطناعي</w:t>
            </w:r>
          </w:p>
        </w:tc>
        <w:tc>
          <w:tcPr>
            <w:tcW w:w="971" w:type="pct"/>
            <w:vAlign w:val="center"/>
          </w:tcPr>
          <w:p w14:paraId="4B33E37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20A91269"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0.76</w:t>
            </w:r>
          </w:p>
        </w:tc>
        <w:tc>
          <w:tcPr>
            <w:tcW w:w="1250" w:type="pct"/>
            <w:vAlign w:val="center"/>
          </w:tcPr>
          <w:p w14:paraId="11340E01"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3E61A2A8" w14:textId="77777777" w:rsidTr="00E14927">
        <w:tc>
          <w:tcPr>
            <w:tcW w:w="1528" w:type="pct"/>
            <w:vAlign w:val="center"/>
          </w:tcPr>
          <w:p w14:paraId="3A5F6FFA"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الإبداع المؤسسي</w:t>
            </w:r>
          </w:p>
        </w:tc>
        <w:tc>
          <w:tcPr>
            <w:tcW w:w="971" w:type="pct"/>
            <w:vAlign w:val="center"/>
          </w:tcPr>
          <w:p w14:paraId="7A578ADB"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0B76E6E0"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0.77</w:t>
            </w:r>
          </w:p>
        </w:tc>
        <w:tc>
          <w:tcPr>
            <w:tcW w:w="1250" w:type="pct"/>
            <w:vAlign w:val="center"/>
          </w:tcPr>
          <w:p w14:paraId="6B83E7D4"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28F7EAC9" w14:textId="77777777" w:rsidTr="00E14927">
        <w:tc>
          <w:tcPr>
            <w:tcW w:w="1528" w:type="pct"/>
            <w:vAlign w:val="center"/>
          </w:tcPr>
          <w:p w14:paraId="42A9DD6C"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التميز المؤسسي</w:t>
            </w:r>
          </w:p>
        </w:tc>
        <w:tc>
          <w:tcPr>
            <w:tcW w:w="971" w:type="pct"/>
            <w:vAlign w:val="center"/>
          </w:tcPr>
          <w:p w14:paraId="09A062A3"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5</w:t>
            </w:r>
          </w:p>
        </w:tc>
        <w:tc>
          <w:tcPr>
            <w:tcW w:w="1250" w:type="pct"/>
            <w:vAlign w:val="center"/>
          </w:tcPr>
          <w:p w14:paraId="68F4B7FE"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0.74</w:t>
            </w:r>
          </w:p>
        </w:tc>
        <w:tc>
          <w:tcPr>
            <w:tcW w:w="1250" w:type="pct"/>
            <w:vAlign w:val="center"/>
          </w:tcPr>
          <w:p w14:paraId="0F436EA2"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مقبول</w:t>
            </w:r>
          </w:p>
        </w:tc>
      </w:tr>
      <w:tr w:rsidR="00E457CD" w:rsidRPr="00BF65CE" w14:paraId="1EEBCBB2" w14:textId="77777777" w:rsidTr="00E14927">
        <w:tc>
          <w:tcPr>
            <w:tcW w:w="1528" w:type="pct"/>
            <w:vAlign w:val="center"/>
          </w:tcPr>
          <w:p w14:paraId="49F6E1C2" w14:textId="77777777" w:rsidR="00E457CD" w:rsidRPr="00BF65CE" w:rsidRDefault="00014347" w:rsidP="0093355F">
            <w:pPr>
              <w:rPr>
                <w:rFonts w:ascii="Simplified Arabic" w:hAnsi="Simplified Arabic" w:cs="Simplified Arabic"/>
              </w:rPr>
            </w:pPr>
            <w:r w:rsidRPr="00BF65CE">
              <w:rPr>
                <w:rFonts w:ascii="Simplified Arabic" w:hAnsi="Simplified Arabic" w:cs="Simplified Arabic"/>
                <w:b/>
                <w:bCs/>
                <w:rtl/>
              </w:rPr>
              <w:t>الأداة ككل</w:t>
            </w:r>
          </w:p>
        </w:tc>
        <w:tc>
          <w:tcPr>
            <w:tcW w:w="971" w:type="pct"/>
            <w:vAlign w:val="center"/>
          </w:tcPr>
          <w:p w14:paraId="1F3FA6E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21</w:t>
            </w:r>
          </w:p>
        </w:tc>
        <w:tc>
          <w:tcPr>
            <w:tcW w:w="1250" w:type="pct"/>
            <w:vAlign w:val="center"/>
          </w:tcPr>
          <w:p w14:paraId="67F35E3C"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0.89</w:t>
            </w:r>
          </w:p>
        </w:tc>
        <w:tc>
          <w:tcPr>
            <w:tcW w:w="1250" w:type="pct"/>
            <w:vAlign w:val="center"/>
          </w:tcPr>
          <w:p w14:paraId="7E730DF7" w14:textId="77777777" w:rsidR="00E457CD" w:rsidRPr="00BF65CE" w:rsidRDefault="00014347" w:rsidP="0093355F">
            <w:pPr>
              <w:jc w:val="center"/>
              <w:rPr>
                <w:rFonts w:ascii="Simplified Arabic" w:hAnsi="Simplified Arabic" w:cs="Simplified Arabic"/>
              </w:rPr>
            </w:pPr>
            <w:r w:rsidRPr="00BF65CE">
              <w:rPr>
                <w:rFonts w:ascii="Simplified Arabic" w:hAnsi="Simplified Arabic" w:cs="Simplified Arabic"/>
                <w:rtl/>
              </w:rPr>
              <w:t>مرتفع</w:t>
            </w:r>
          </w:p>
        </w:tc>
      </w:tr>
    </w:tbl>
    <w:p w14:paraId="56F23505" w14:textId="77777777" w:rsidR="00E457CD" w:rsidRPr="00BF65CE" w:rsidRDefault="00014347" w:rsidP="00E14927">
      <w:pPr>
        <w:spacing w:after="200" w:line="280" w:lineRule="auto"/>
        <w:jc w:val="both"/>
        <w:rPr>
          <w:rFonts w:ascii="Simplified Arabic" w:hAnsi="Simplified Arabic" w:cs="Simplified Arabic"/>
        </w:rPr>
      </w:pPr>
      <w:r w:rsidRPr="00BF65CE">
        <w:rPr>
          <w:rFonts w:ascii="Simplified Arabic" w:hAnsi="Simplified Arabic" w:cs="Simplified Arabic"/>
          <w:rtl/>
        </w:rPr>
        <w:t>المصدر: من إعداد الباحثة بالاعتماد على مخرجات التحليل الإحصائي.</w:t>
      </w:r>
    </w:p>
    <w:p w14:paraId="24E8D3F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يتضح من الجدول السابق أن معاملات ألفا كرونباخ لجميع أقسام الاستبانة تراوحت بين 0.74 و0.77، وهي قيم تقع ضمن الحدود المقبولة إحصائيًا، بما يدل على وجود مستوى مناسب من الاتساق الداخلي بين عبارات كل قسم. كما بلغ معامل الثبات للأداة ككل 0.89، وهي قيمة مرتفعة تعكس تمتع الاستبانة بدرجة عالية من الثبات والاعتمادية.</w:t>
      </w:r>
    </w:p>
    <w:p w14:paraId="13195C3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وتشير هذه النتائج إلى أن أداة الدراسة تتمتع بدرجة جيدة من الاتساق الداخلي، الأمر الذي يجعلها مناسبة للتطبيق الميداني ولإجراء التحليلات الإحصائية اللاحقة الخاصة باختبار فرضيات الدراسة. وبناءً على ذلك، يمكن الاعتماد على البيانات المتحصلة من الاستبانة بوصفها بيانات تتسم بدرجة مناسبة من الدقة والموثوقية.</w:t>
      </w:r>
    </w:p>
    <w:p w14:paraId="4EF37283" w14:textId="77777777" w:rsidR="00E457CD" w:rsidRPr="00BF65CE" w:rsidRDefault="00014347" w:rsidP="00DE7D61">
      <w:pPr>
        <w:pStyle w:val="2"/>
        <w:rPr>
          <w:rFonts w:cs="Simplified Arabic"/>
          <w:color w:val="auto"/>
        </w:rPr>
      </w:pPr>
      <w:bookmarkStart w:id="57" w:name="_Toc235125831"/>
      <w:r w:rsidRPr="00BF65CE">
        <w:rPr>
          <w:rFonts w:cs="Simplified Arabic"/>
          <w:color w:val="auto"/>
          <w:rtl/>
        </w:rPr>
        <w:t>متغيرات الدراسة</w:t>
      </w:r>
      <w:bookmarkEnd w:id="57"/>
      <w:r w:rsidRPr="00BF65CE">
        <w:rPr>
          <w:rFonts w:cs="Simplified Arabic"/>
          <w:color w:val="auto"/>
          <w:rtl/>
        </w:rPr>
        <w:t xml:space="preserve"> </w:t>
      </w:r>
    </w:p>
    <w:p w14:paraId="6C7CDED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تضم الدراسة أربعة متغيرات أساسية مرتبطة بمشكلة البحث وأهدافه: الاستقطاب التنظيمي وتطبيقات الذكاء الاصطناعي باعتبارهما متغيرين مستقلين، الإبداع المؤسسي كمتغير وسيط، والتميز المؤسسي كمتغير تابع. جميع هذه المتغيرات تُعد من النوع الكمي، وقد تم قياسها باستخدام استبانة محكمة صُممت لتناسب بيئة المستشفيات الخاصة بالرياض. صيغت بنود القياس وفق مقياس ليكرت الخماسي، حيث تتدرج الاستجابات من "لا أوافق مطلقًا" إلى "أوافق بشدة"، ما يتيح تحويل المدخلات إلى درجات كمية قابلة للتحليل الإحصائي.</w:t>
      </w:r>
    </w:p>
    <w:p w14:paraId="0D7D8A0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قياس الاستقطاب التنظيمي عبر مجموعة من البنود التي تتناول التخطيط الاستراتيجي، مصادر الاستقطاب، الجذب الإلكتروني، وغيرها من الأبعاد التنظيمية ذات الصلة، وذلك بهدف تقييم أثر هذه الممارسات على تحقيق التميز المؤسسي واختبار الفرضيات المرتبطة بهذا الدور. أما تطبيقات الذكاء الاصطناعي، فتم رصدها من خلال بنود تقيس إدماج التقنيات الذكية في الإدارة الصحية ودعم القرار وتحسين الأداء، بغرض تقدير مستوى الاعتماد على هذه التطبيقات في المستشفيات المستهدفة وتأثيرها على الإبداع والتميز.</w:t>
      </w:r>
    </w:p>
    <w:p w14:paraId="24247FD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الإبداع المؤسسي جاء كمتغير وسيط، وقد صُمِمَت مجموعة من البنود لقياس المناخ الإبداعي، مدى دعم الإدارة للأفكار الجديدة، الشراكات التنظيمية، وتفعيل حلول مبتكرة في العمل الصحي، بهدف اختبار دوره في تفسير العلاقة بين ممارسات الاستقطاب وتبني الذكاء الاصطناعي وبين التميز المؤسسي. أخيرًا، قياس التميز المؤسسي تم عبر بنود تعكس جودة الأداء، تطوير الموارد البشرية، مستوى الخدمات، ما يسمح بإنتاج مؤشر كمي للتفسير والتحليل يتسق مع أهداف الدراسة وفروضها.</w:t>
      </w:r>
    </w:p>
    <w:p w14:paraId="274A14E8"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يُعزز هذا النموذج القياسي إمكانية الربط والتحليل الإحصائي لكيفية تفاعل جميع المتغيرات محل الدراسة، ويحقق اتساقًا منهجيًا بين الأداة البحثية ومشكلة وأهداف البحث، فيما يضمن تحويل كل البيانات المستخلصة إلى مؤشرات رقمية دقيقة قابلة للاختبار، ما يدعم مصداقية النتائج ويسهل تفسير العلاقات السببية والوسيطة ضمن النموذج المفترض (Creswell, 2016).</w:t>
      </w:r>
    </w:p>
    <w:p w14:paraId="6010D707" w14:textId="77777777" w:rsidR="00E457CD" w:rsidRPr="00BF65CE" w:rsidRDefault="00014347" w:rsidP="00DE7D61">
      <w:pPr>
        <w:pStyle w:val="2"/>
        <w:rPr>
          <w:rFonts w:cs="Simplified Arabic"/>
          <w:color w:val="auto"/>
        </w:rPr>
      </w:pPr>
      <w:bookmarkStart w:id="58" w:name="_Toc235125832"/>
      <w:r w:rsidRPr="00BF65CE">
        <w:rPr>
          <w:rFonts w:cs="Simplified Arabic"/>
          <w:color w:val="auto"/>
          <w:rtl/>
        </w:rPr>
        <w:t>إجراءات تنفيذ الدراسة</w:t>
      </w:r>
      <w:bookmarkEnd w:id="58"/>
    </w:p>
    <w:p w14:paraId="0116241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تم تنفيذ الدراسة بصورة ميدانية منظمة وفق خطة زمنية محددة تتماشى مع المعايير الأكاديمية في البحوث التطبيقية. بدأت الخطوات بإعداد الاستبانة البحثية، حيث جرى تصميم بنودها اعتمادًا على مراجعة الأدبيات العلمية وصياغتها بما يلائم بيئة المستشفيات الخاصة بمدينة الرياض. إثر ذلك، تم تدقيق الأداة لغويًا وعلميًا، ثم عرضها على مجموعة من المحكّمين المتخصصين لضمان صدقية البنود ودقتها.</w:t>
      </w:r>
    </w:p>
    <w:p w14:paraId="4972C26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عقب مرحلة التدقيق، أُجريت دراسة استطلاعية على عينة محدودة من العاملين في المستشفيات المستهدفة، بهدف اختبار وضوح البنود وضمان سهولة الإجابة وتقليل الغموض. بناءً على الملاحظات المستخلصة من الدراسة الاستطلاعية، أُجريت التعديلات النهائية على الأداة البحثية، وتم اعتماد النسخة النهائية.</w:t>
      </w:r>
    </w:p>
    <w:p w14:paraId="52988032" w14:textId="71A18B71" w:rsidR="00E457CD"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تلا ذلك تطبيق الاستبانة على العينة الأساسية خلال فترة زمنية امتدت بين شهري مارس ومايو من عام 2025، وذلك عبر توزيعها إلكترونيًا وورقيًا مراعيًا التقسيم الطبقي بين الفئات الوظيفية المختلفة في المستشفيات. جُمعت الاستجابات وتم التأكد من اكتمال البيانات، مع استبعاد أي استجابات غير صالحة أو ناقصة لضمان جودة التحليل. بعد اكتمال جمع البيانات، أُدخلت المعلومات إلى برنامج SPSS للتحليل الإحصائي، وبدأت مراحل تحليل البيانات والتحقق من الثبات والصدق، واختبار الفرضيات باستخدام الأساليب الإحصائية المناسبة لمتغيرات الدراسة. يسهم هذا التنظيم الزمني والإجرائي في ضمان سلامة التنفيذ الميداني، وتحقيق اتساق بين مراحل التحضير وجمع البيانات والتحليل بما يدعم موثوقية النتائج ويعزز قوة الاستنتاجات في بيئة المستشفيات الخاصة بمدينة الرياض</w:t>
      </w:r>
      <w:r w:rsidR="00E14927">
        <w:rPr>
          <w:rFonts w:ascii="Simplified Arabic" w:hAnsi="Simplified Arabic" w:cs="Simplified Arabic" w:hint="cs"/>
        </w:rPr>
        <w:t>.</w:t>
      </w:r>
    </w:p>
    <w:p w14:paraId="14368432" w14:textId="77777777" w:rsidR="00E14927" w:rsidRDefault="00E14927" w:rsidP="002071EC">
      <w:pPr>
        <w:spacing w:after="160"/>
        <w:jc w:val="both"/>
        <w:rPr>
          <w:rFonts w:ascii="Simplified Arabic" w:hAnsi="Simplified Arabic" w:cs="Simplified Arabic"/>
          <w:rtl/>
        </w:rPr>
      </w:pPr>
    </w:p>
    <w:p w14:paraId="0ED14A69" w14:textId="77777777" w:rsidR="00E14927" w:rsidRPr="00BF65CE" w:rsidRDefault="00E14927" w:rsidP="002071EC">
      <w:pPr>
        <w:spacing w:after="160"/>
        <w:jc w:val="both"/>
        <w:rPr>
          <w:rFonts w:ascii="Simplified Arabic" w:hAnsi="Simplified Arabic" w:cs="Simplified Arabic"/>
        </w:rPr>
      </w:pPr>
    </w:p>
    <w:p w14:paraId="3F7AEBDC" w14:textId="77777777" w:rsidR="00E457CD" w:rsidRPr="00BF65CE" w:rsidRDefault="00014347" w:rsidP="00DE7D61">
      <w:pPr>
        <w:pStyle w:val="2"/>
        <w:rPr>
          <w:rFonts w:cs="Simplified Arabic"/>
          <w:color w:val="auto"/>
        </w:rPr>
      </w:pPr>
      <w:bookmarkStart w:id="59" w:name="_Toc235125833"/>
      <w:r w:rsidRPr="00BF65CE">
        <w:rPr>
          <w:rFonts w:cs="Simplified Arabic"/>
          <w:color w:val="auto"/>
          <w:rtl/>
        </w:rPr>
        <w:lastRenderedPageBreak/>
        <w:t>أساليب التحليل الإحصائي</w:t>
      </w:r>
      <w:bookmarkEnd w:id="59"/>
    </w:p>
    <w:p w14:paraId="69B72DC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اعتمدت الدراسة في تحليل بياناتها على برنامج IBM SPSS AMOS 26، وذلك من خلال توظيف أسلوب نمذجة المعادلة البنائية القائمة على التغاير (Covariance-Based Structural Equation Modeling – CB-SEM)، بوصفه أحد الأساليب الإحصائية المتقدمة الملائمة لاختبار النماذج النظرية التي تتضمن متغيرات كامنة وعلاقات سببية مباشرة وغير مباشرة. ويُعد هذا الأسلوب مناسبًا لطبيعة الدراسة الحالية، نظرًا لاشتمال نموذجها المفترض على أربعة متغيرات رئيسة، هي: الاستقطاب التنظيمي، وتطبيقات الذكاء الاصطناعي، والإبداع المؤسسي، والتميز المؤسسي، إضافة إلى وجود متغير وسيط يتطلب اختبار أثره ضمن بنية تحليلية متكاملة.</w:t>
      </w:r>
    </w:p>
    <w:p w14:paraId="33637FB0"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وقبل الشروع في التحليل الإحصائي، تم فحص البيانات الأولية للتأكد من اكتمال الاستجابات وصلاحيتها للتحليل. كما جرى ترميز فقرات الاستبانة وفق مقياس ليكرت الخماسي، وإعداد ملف البيانات بالصورة التي تسمح بإدخاله في برنامج AMOS. وقد هدفت هذه المرحلة إلى ضمان سلامة قاعدة البيانات وتقليل احتمالات الخطأ قبل الانتقال إلى التحليلات المتقدمة الخاصة بالنموذج القياسي والبنائي.</w:t>
      </w:r>
    </w:p>
    <w:p w14:paraId="0B26415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المرحلة الأولى من التحليل، تم استخدام الإحصاءات الوصفية لعرض الخصائص العامة لأفراد عينة الدراسة، وذلك من خلال التكرارات والنسب المئوية للمتغيرات الديموغرافية، مثل الجنس، والعمر، والمؤهل العلمي، وسنوات الخبرة. كما تم استخدام المتوسطات الحسابية والانحرافات المعيارية لوصف اتجاهات أفراد العينة نحو أقسام الاستبانة المرتبطة بمتغيرات الدراسة الرئيسة، بما يسهم في تقديم تصور أولي عن طبيعة البيانات ومستوى استجابات المشاركين.</w:t>
      </w:r>
    </w:p>
    <w:p w14:paraId="55A5FF4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وللتحقق من موثوقية أداة الدراسة، تم اختبار ثبات أقسام الاستبانة باستخدام معامل ألفا كرونباخ (Cronbach’s Alpha)، وذلك لقياس درجة الاتساق الداخلي بين فقرات كل قسم من أقسام الأداة، إضافة إلى قياس ثبات الأداة ككل. وقد تم اعتماد القيمة الإحصائية البالغة 0.70 فأكثر بوصفها حدًا مقبولًا للحكم على ثبات المقاييس المستخدمة، بما يعزز إمكانية الاعتماد على البيانات في اختبار فرضيات الدراسة.</w:t>
      </w:r>
    </w:p>
    <w:p w14:paraId="5C3FEC2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كما تم التحقق من صدق الأداة من خلال مستويين متكاملين. تمثل المستوى الأول في صدق المحتوى، وذلك عبر عرض الاستبانة على مجموعة من المحكمين المتخصصين للتأكد من وضوح الفقرات وملاءمتها لقياس متغيرات الدراسة. أما المستوى الثاني فتمثل في الصدق البنائي، والذي تم اختباره من خلال نموذج القياس باستخدام التحليل العاملي التوكيدي </w:t>
      </w:r>
      <w:r w:rsidRPr="00BF65CE">
        <w:rPr>
          <w:rFonts w:ascii="Simplified Arabic" w:hAnsi="Simplified Arabic" w:cs="Simplified Arabic"/>
          <w:rtl/>
        </w:rPr>
        <w:lastRenderedPageBreak/>
        <w:t>(Confirmatory Factor Analysis – CFA)، بما يسمح بالتحقق من مدى ارتباط المؤشرات المشاهدة بالمتغيرات الكامنة التي صممت لقياسها.</w:t>
      </w:r>
    </w:p>
    <w:p w14:paraId="1B52D94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تم بناء نموذج القياس في برنامج AMOS من خلال تمثيل المتغيرات الكامنة للدراسة وربط كل متغير بالمؤشرات القياسية التابعة له. وتم الاعتماد على معاملات التشبع المعيارية (Standardized Factor Loadings) ومستويات الدلالة الإحصائية للحكم على جودة المؤشرات ومدى صلاحيتها في تمثيل الأبعاد النظرية للدراسة. وتُعد هذه الخطوة ضرورية قبل اختبار النموذج البنائي، لأنها تؤكد أن بنود الاستبانة تقيس المتغيرات المقصودة بدرجة مقبولة من الصدق والاتساق.</w:t>
      </w:r>
    </w:p>
    <w:p w14:paraId="5466351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بعد ذلك، تم تقييم جودة مطابقة النموذج المفترض لبيانات الدراسة من خلال مجموعة من مؤشرات المطابقة المعتمدة في نمذجة المعادلة البنائية، ومنها: كاي تربيع المعياري (CMIN/DF)، وجذر متوسط مربع خطأ الاقتراب (RMSEA)، ومؤشر حسن المطابقة (GFI)، ومؤشر حسن المطابقة المعدل (AGFI)، ومؤشر المطابقة المقارن (CFI)، ومؤشر المطابقة المعياري (NFI)، ومؤشر توكر لويس (TLI). وقد استُخدمت هذه المؤشرات مجتمعة للحكم على مدى ملاءمة النموذج النظري للبيانات الميدانية، إذ لا يقتصر تقييم النموذج على مؤشر واحد، بل يعتمد على قراءة تكاملية لمجموعة من المؤشرات الإحصائية.</w:t>
      </w:r>
    </w:p>
    <w:p w14:paraId="7010557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ضوء نتائج نموذج القياس ومؤشرات جودة المطابقة، تم الانتقال إلى اختبار النموذج البنائي للدراسة. وقد تضمن ذلك تقدير معاملات المسار المعيارية بين المتغيرات الكامنة، بهدف اختبار الفرضيات المباشرة المتعلقة بأثر الاستقطاب التنظيمي وتطبيقات الذكاء الاصطناعي في التميز المؤسسي، وكذلك أثرهما في الإبداع المؤسسي، إضافة إلى أثر الإبداع المؤسسي في التميز المؤسسي. وتم الحكم على دلالة هذه العلاقات بالاستناد إلى قيمة معامل المسار المعياري، والنسبة الحرجة (Critical Ratio – C.R)، ومستوى الدلالة الإحصائية (P-value)، وفق مستوى دلالة قدره 0.05.</w:t>
      </w:r>
    </w:p>
    <w:p w14:paraId="54D45B71" w14:textId="2B0469A0" w:rsidR="00A03DF0" w:rsidRPr="00BF65CE" w:rsidRDefault="00014347" w:rsidP="00E14927">
      <w:pPr>
        <w:spacing w:after="160"/>
        <w:jc w:val="both"/>
        <w:rPr>
          <w:rFonts w:ascii="Simplified Arabic" w:hAnsi="Simplified Arabic" w:cs="Simplified Arabic"/>
        </w:rPr>
      </w:pPr>
      <w:r w:rsidRPr="00BF65CE">
        <w:rPr>
          <w:rFonts w:ascii="Simplified Arabic" w:hAnsi="Simplified Arabic" w:cs="Simplified Arabic"/>
          <w:rtl/>
        </w:rPr>
        <w:t xml:space="preserve">أما الفرضيات غير المباشرة، فقد تم اختبارها من خلال تحليل الدور الوسيط للإبداع المؤسسي في العلاقة بين كل من الاستقطاب التنظيمي وتطبيقات الذكاء الاصطناعي من جهة، والتميز المؤسسي من جهة أخرى. وقد تم استخدام أسلوب إعادة المعاينة (Bootstrapping) داخل برنامج AMOS، نظرًا لما يوفره هذا الأسلوب من قدرة على تقدير الأثر غير المباشر بدقة أعلى، خاصة في النماذج التي تتضمن متغيرات وسيطة. وتم الاعتماد على فترات الثقة المصححة للتحيز </w:t>
      </w:r>
      <w:r w:rsidRPr="00BF65CE">
        <w:rPr>
          <w:rFonts w:ascii="Simplified Arabic" w:hAnsi="Simplified Arabic" w:cs="Simplified Arabic"/>
          <w:rtl/>
        </w:rPr>
        <w:lastRenderedPageBreak/>
        <w:t>(Bias-Corrected Confidence Intervals) عند مستوى ثقة 95% للحكم على دلالة الأثر الوسيط، بحيث يُعد الأثر غير المباشر دالًا إحصائيًا إذا لم تتضمن فترة الثقة القيمة صفر بين حدّيها الأدنى والأعلى.</w:t>
      </w:r>
    </w:p>
    <w:p w14:paraId="71C4DDBB" w14:textId="77777777" w:rsidR="00E457CD" w:rsidRPr="00BF65CE" w:rsidRDefault="00014347" w:rsidP="00DE7D61">
      <w:pPr>
        <w:pStyle w:val="2"/>
        <w:rPr>
          <w:rFonts w:cs="Simplified Arabic"/>
          <w:color w:val="auto"/>
        </w:rPr>
      </w:pPr>
      <w:bookmarkStart w:id="60" w:name="_Toc235125834"/>
      <w:r w:rsidRPr="00BF65CE">
        <w:rPr>
          <w:rFonts w:cs="Simplified Arabic"/>
          <w:color w:val="auto"/>
          <w:rtl/>
        </w:rPr>
        <w:t>حدود الدراسة</w:t>
      </w:r>
      <w:bookmarkEnd w:id="60"/>
    </w:p>
    <w:p w14:paraId="287B4D6A"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تحددت نطاقات الدراسة وفق أربعة أبعاد رئيسية تضمن وضوح مجال البحث وقابلية تعميم النتائج ضمن بيئة محددة وظيفيًا وزمنيًا وجغرافيًا. تظهر هذه الحدود كما يلي:</w:t>
      </w:r>
    </w:p>
    <w:p w14:paraId="1D55A65D"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الحدود الموضوعية:</w:t>
      </w:r>
    </w:p>
    <w:p w14:paraId="79DC02DE"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ينحصر المجال الموضوعي للدراسة في تحليل دور الإبداع كمتغير وسيط في العلاقة بين الاستقطاب التنظيمي وتطبيقات الذكاء الاصطناعي من جهة، والتميز المؤسسي من جهة أخرى، مع التركيز على كيفية تفاعل هذه المتغيرات داخل المستشفيات الخاصة في مدينة الرياض. يغطي البحث ممارسات العمل المؤسسي والتقني ذات الارتباط المباشر بمستوى التميز والأداء، ولا يمتد إلى مناقشة التنظيم الحكومي أو المؤسسات غير الصحية أو التي لا تعتمد التحول الرقمي.</w:t>
      </w:r>
    </w:p>
    <w:p w14:paraId="0866EAA0"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البشرية: </w:t>
      </w:r>
    </w:p>
    <w:p w14:paraId="6F43A5DC"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شملت الدراسة العاملين في المستشفيات الخاصة بمدينة الرياض من الكوادر الإدارية والفنية، حيث اقتصر الاستهداف على الأفراد الذين لديهم وعي وإسهام في ممارسات الاستقطاب أو توظيف الذكاء الاصطناعي أو العمليات الإبداعية ضمن مؤسساتهم الصحية، باستثناء العاملين في المستشفيات الحكومية أو غير الربحية والكوادر التي لا تمارس أدوارًا تنظيمية أو تقنية مباشرة.</w:t>
      </w:r>
    </w:p>
    <w:p w14:paraId="113EC96F"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الزمانية: </w:t>
      </w:r>
    </w:p>
    <w:p w14:paraId="30C2590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جُمعت البيانات خلال عام 2025، وامتد التحليل وصياغة النتائج حتى نهاية 2026، ليشمل ذلك مختلف مراحل البحث: إعداد الأداة الميدانية، تنفيذ الدراسة الاستطلاعية، تطبيق الاستبانة النهائية، التحليل الإحصائي، وإعداد التقرير النهائي. تمثل هذه الفترة إطاراً زمنياً يُمكن من رصد العلاقة بين المتغيرات موضوع البحث بدقة، والتأكد من ملاءمة النتائج للتحولات المؤسسية والتقنية الجارية في قطاع المستشفيات الخاصة بالرياض خلال هذا التوقيت.</w:t>
      </w:r>
    </w:p>
    <w:p w14:paraId="2ADD3F40" w14:textId="77777777" w:rsidR="00E457CD" w:rsidRPr="00BF65CE" w:rsidRDefault="00014347" w:rsidP="00EF56BD">
      <w:pPr>
        <w:spacing w:after="100"/>
        <w:jc w:val="both"/>
        <w:rPr>
          <w:rFonts w:ascii="Simplified Arabic" w:hAnsi="Simplified Arabic" w:cs="Simplified Arabic"/>
        </w:rPr>
      </w:pPr>
      <w:r w:rsidRPr="00BF65CE">
        <w:rPr>
          <w:rFonts w:ascii="Simplified Arabic" w:hAnsi="Simplified Arabic" w:cs="Simplified Arabic"/>
          <w:b/>
          <w:bCs/>
          <w:rtl/>
        </w:rPr>
        <w:t xml:space="preserve">الحدود المكانية: </w:t>
      </w:r>
    </w:p>
    <w:p w14:paraId="04D04375"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تركزت الدراسة في مدينة الرياض بوصفها المركز الأبرز للمستشفيات الخاصة في المملكة العربية السعودية وأكثرها تقدماً في ميدان التحول الرقمي وتوظيف الذكاء الاصطناعي. لم تشمل الدراسة المستشفيات خارج مدينة الرياض أو تلك التابعة للقطاع الحكومي أو الخيري، ما يدعم تركيز النتائج على بيئة تنافسية متسارعة التطور ضمن القطاع الصحي الخاص بالعاصمة.</w:t>
      </w:r>
    </w:p>
    <w:p w14:paraId="44B8A4BD" w14:textId="77777777" w:rsidR="008A3F6D" w:rsidRDefault="00145E6B">
      <w:pPr>
        <w:pStyle w:val="2"/>
        <w:rPr>
          <w:rFonts w:cs="Simplified Arabic"/>
          <w:color w:val="auto"/>
        </w:rPr>
      </w:pPr>
      <w:bookmarkStart w:id="61" w:name="_Toc235125835"/>
      <w:r>
        <w:rPr>
          <w:rFonts w:cs="Simplified Arabic"/>
          <w:color w:val="auto"/>
          <w:rtl/>
        </w:rPr>
        <w:t>خلاصة الفصل الثالث</w:t>
      </w:r>
      <w:bookmarkEnd w:id="61"/>
    </w:p>
    <w:p w14:paraId="7A94BA34" w14:textId="77777777" w:rsidR="008A3F6D" w:rsidRDefault="00145E6B">
      <w:pPr>
        <w:spacing w:after="160"/>
        <w:jc w:val="both"/>
        <w:rPr>
          <w:rFonts w:ascii="Simplified Arabic" w:hAnsi="Simplified Arabic" w:cs="Simplified Arabic"/>
        </w:rPr>
      </w:pPr>
      <w:r>
        <w:rPr>
          <w:rFonts w:ascii="Simplified Arabic" w:hAnsi="Simplified Arabic" w:cs="Simplified Arabic"/>
          <w:rtl/>
        </w:rPr>
        <w:t>عرض هذا الفصل منهجية الدراسة الكمية الوصفية التحليلية وإجراءاتها التطبيقية. كما حدد مجتمع الدراسة البالغ (9607) موظفين والعينة الطبقية المتناسبة البالغة (384) مفردة، وشرح بناء الاستبانة بأقسامها الأربعة وإجراءات التحقق من صدقها وثباتها. كذلك بيّن الفصل أساليب التحليل الإحصائي باستخدام برنامجي SPSS وAMOS، بما يشمل الإحصاءات الوصفية والتحليل العاملي التوكيدي ونمذجة المعادلة البنائية واختبار الأثر الوسيط بأسلوب Bootstrap، تمهيدًا لعرض النتائج واختبار الفروض في الفصل الرابع.</w:t>
      </w:r>
    </w:p>
    <w:p w14:paraId="36B84B09"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5723728F" w14:textId="77777777" w:rsidR="00E457CD" w:rsidRPr="00BF65CE" w:rsidRDefault="00014347" w:rsidP="00DE7D61">
      <w:pPr>
        <w:pStyle w:val="1"/>
        <w:rPr>
          <w:rFonts w:cs="Simplified Arabic"/>
          <w:color w:val="auto"/>
          <w:sz w:val="24"/>
        </w:rPr>
      </w:pPr>
      <w:bookmarkStart w:id="62" w:name="_Toc235125836"/>
      <w:r w:rsidRPr="00BF65CE">
        <w:rPr>
          <w:rFonts w:cs="Simplified Arabic"/>
          <w:color w:val="auto"/>
          <w:rtl/>
        </w:rPr>
        <w:lastRenderedPageBreak/>
        <w:t>الفصل الرابع: التحليل الإحصائي واختبار الفروض</w:t>
      </w:r>
      <w:bookmarkEnd w:id="62"/>
    </w:p>
    <w:p w14:paraId="05EEAD12" w14:textId="77777777" w:rsidR="00E457CD" w:rsidRPr="00BF65CE" w:rsidRDefault="00014347" w:rsidP="00DE7D61">
      <w:pPr>
        <w:pStyle w:val="2"/>
        <w:rPr>
          <w:rFonts w:cs="Simplified Arabic"/>
          <w:color w:val="auto"/>
        </w:rPr>
      </w:pPr>
      <w:bookmarkStart w:id="63" w:name="_Toc235125837"/>
      <w:r w:rsidRPr="00BF65CE">
        <w:rPr>
          <w:rFonts w:cs="Simplified Arabic"/>
          <w:color w:val="auto"/>
          <w:rtl/>
        </w:rPr>
        <w:t>تمهيد:</w:t>
      </w:r>
      <w:bookmarkEnd w:id="63"/>
    </w:p>
    <w:p w14:paraId="30724C3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يتناول هذا الفصل عرض النتائج التي توصّلت إليها الدراسة الميدانية وتحليلها وتفسيرها في ضوء أسئلة الدراسة وفرضياتها، التي تمحورت حول الدور الوسيط للإبداع المؤسسي في العلاقة بين كلٍّ من الاستقطاب التنظيمي وتطبيقات الذكاء الاصطناعي من جهة، والتميز المؤسسي من جهة أخرى، بالتطبيق على المستشفيات الخاصة بمدينة الرياض.</w:t>
      </w:r>
    </w:p>
    <w:p w14:paraId="2BE2375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اعتمدت الدراسة في تحليل بياناتها على أسلوب نمذجة المعادلة البنائية القائمة على التباين والتغاير (Covariance-Based Structural Equation Modeling – CB-SEM) باستخدام برنامج IBM SPSS Amos، لما يتميّز به هذا الأسلوب من قدرة على تقدير العلاقات بين المتغيرات الكامنة مع تصحيح أثر خطأ القياس، فضلاً عن اختباره النموذج البنائي الكلي في آنٍ واحد.</w:t>
      </w:r>
    </w:p>
    <w:p w14:paraId="2072C7C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ويعرض الفصل في مستهلّه نتائج تقييم جودة مطابقة النموذج لبيانات الدراسة، ثم ينتقل إلى عرض نتائج نموذج القياس والنموذج البنائي، وصولاً إلى اختبار الفرضيات المباشرة وغير المباشرة، مع تفسير النتائج وربطها بالإطار النظري، ويُختتم بجدول يلخّص نتائج اختبار الفرضيات بوصفها إجابةً عن تساؤلات الدراسة.</w:t>
      </w:r>
    </w:p>
    <w:p w14:paraId="6E66BA5D" w14:textId="77777777" w:rsidR="00E457CD" w:rsidRPr="00BF65CE" w:rsidRDefault="00014347" w:rsidP="00DE7D61">
      <w:pPr>
        <w:pStyle w:val="2"/>
        <w:rPr>
          <w:rFonts w:cs="Simplified Arabic"/>
          <w:color w:val="auto"/>
        </w:rPr>
      </w:pPr>
      <w:bookmarkStart w:id="64" w:name="_Toc235125838"/>
      <w:r w:rsidRPr="00BF65CE">
        <w:rPr>
          <w:rFonts w:cs="Simplified Arabic"/>
          <w:color w:val="auto"/>
          <w:rtl/>
        </w:rPr>
        <w:t>منهجية التحليل الإحصائي ووصف عينة الدراسة</w:t>
      </w:r>
      <w:bookmarkEnd w:id="64"/>
    </w:p>
    <w:p w14:paraId="76086DE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بلغ حجم العينة النهائية الخاضعة للتحليل (384) مفردة من العاملين في المستشفيات الخاصة بمدينة الرياض، وهو حجم يفي بالشروط الإحصائية اللازمة لتطبيق أسلوب نمذجة المعادلة البنائية، إذ تشير الأدبيات المنهجية إلى أن العينات التي تتجاوز (200) مفردة تُعدّ كافيةً للحصول على تقديرات مستقرّة وموثوقة.</w:t>
      </w:r>
    </w:p>
    <w:p w14:paraId="3C6D3B51"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وتجدر الإشارة إلى أن نتائج اختبارات صدق أداة الدراسة وثباتها قد عُرضت ضمن الفصل الثالث (منهجية الدراسة) عند تناول أداة جمع البيانات، ومن ثَمَّ يقتصر هذا الفصل على عرض نتائج النمذجة البنائية المتعلقة بمطابقة النموذج وتقدير العلاقات بين المتغيرات واختبار الفرضيات.</w:t>
      </w:r>
    </w:p>
    <w:p w14:paraId="45896AC4" w14:textId="77777777" w:rsidR="00A03DF0" w:rsidRPr="00BF65CE" w:rsidRDefault="00A03DF0" w:rsidP="002071EC">
      <w:pPr>
        <w:spacing w:after="160"/>
        <w:jc w:val="both"/>
        <w:rPr>
          <w:rFonts w:ascii="Simplified Arabic" w:hAnsi="Simplified Arabic" w:cs="Simplified Arabic"/>
        </w:rPr>
      </w:pPr>
    </w:p>
    <w:p w14:paraId="43D1C0F6" w14:textId="77777777" w:rsidR="00E457CD" w:rsidRPr="00BF65CE" w:rsidRDefault="00014347" w:rsidP="00DE7D61">
      <w:pPr>
        <w:pStyle w:val="2"/>
        <w:rPr>
          <w:rFonts w:cs="Simplified Arabic"/>
          <w:color w:val="auto"/>
        </w:rPr>
      </w:pPr>
      <w:bookmarkStart w:id="65" w:name="_Toc235125839"/>
      <w:r w:rsidRPr="00BF65CE">
        <w:rPr>
          <w:rFonts w:cs="Simplified Arabic"/>
          <w:color w:val="auto"/>
          <w:rtl/>
        </w:rPr>
        <w:lastRenderedPageBreak/>
        <w:t>تقييم جودة مطابقة النموذج البنائي</w:t>
      </w:r>
      <w:bookmarkEnd w:id="65"/>
    </w:p>
    <w:p w14:paraId="60E47C7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قبل الشروع في اختبار الفرضيات، جرى تقييم مدى مطابقة النموذج البنائي لبيانات الدراسة من خلال مجموعة من مؤشرات جودة المطابقة (Goodness-of-Fit Indices) الأكثر شيوعاً في أدبيات النمذجة البنائية. ويوضّح الجدول (4-1) قيم هذه المؤشرات مقارنةً بالقيم المرجعية المقبولة.</w:t>
      </w:r>
    </w:p>
    <w:p w14:paraId="388734E0"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(4-1): مؤشرات جودة مطابقة النموذج البنائي</w:t>
      </w:r>
    </w:p>
    <w:tbl>
      <w:tblPr>
        <w:tblStyle w:val="12"/>
        <w:bidiVisual/>
        <w:tblW w:w="5000" w:type="pct"/>
        <w:tblLook w:val="0620" w:firstRow="1" w:lastRow="0" w:firstColumn="0" w:lastColumn="0" w:noHBand="1" w:noVBand="1"/>
      </w:tblPr>
      <w:tblGrid>
        <w:gridCol w:w="4122"/>
        <w:gridCol w:w="1426"/>
        <w:gridCol w:w="2375"/>
        <w:gridCol w:w="855"/>
      </w:tblGrid>
      <w:tr w:rsidR="00E457CD" w:rsidRPr="00BF65CE" w14:paraId="1533473C" w14:textId="77777777" w:rsidTr="009472F1">
        <w:trPr>
          <w:cnfStyle w:val="100000000000" w:firstRow="1" w:lastRow="0" w:firstColumn="0" w:lastColumn="0" w:oddVBand="0" w:evenVBand="0" w:oddHBand="0" w:evenHBand="0" w:firstRowFirstColumn="0" w:firstRowLastColumn="0" w:lastRowFirstColumn="0" w:lastRowLastColumn="0"/>
        </w:trPr>
        <w:tc>
          <w:tcPr>
            <w:tcW w:w="2348" w:type="pct"/>
            <w:vAlign w:val="center"/>
          </w:tcPr>
          <w:p w14:paraId="36043AD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المؤشر</w:t>
            </w:r>
          </w:p>
        </w:tc>
        <w:tc>
          <w:tcPr>
            <w:tcW w:w="812" w:type="pct"/>
            <w:vAlign w:val="center"/>
          </w:tcPr>
          <w:p w14:paraId="5B51E5D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المُقدَّرة</w:t>
            </w:r>
          </w:p>
        </w:tc>
        <w:tc>
          <w:tcPr>
            <w:tcW w:w="1353" w:type="pct"/>
            <w:vAlign w:val="center"/>
          </w:tcPr>
          <w:p w14:paraId="6FEAD7C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القيمة المرجعية المقبولة</w:t>
            </w:r>
          </w:p>
        </w:tc>
        <w:tc>
          <w:tcPr>
            <w:tcW w:w="487" w:type="pct"/>
            <w:vAlign w:val="center"/>
          </w:tcPr>
          <w:p w14:paraId="1F65888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019BD31D" w14:textId="77777777" w:rsidTr="009472F1">
        <w:tc>
          <w:tcPr>
            <w:tcW w:w="2348" w:type="pct"/>
            <w:vAlign w:val="center"/>
          </w:tcPr>
          <w:p w14:paraId="6B40985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كاي تربيع النسبي (CMIN/DF)</w:t>
            </w:r>
          </w:p>
        </w:tc>
        <w:tc>
          <w:tcPr>
            <w:tcW w:w="812" w:type="pct"/>
            <w:vAlign w:val="center"/>
          </w:tcPr>
          <w:p w14:paraId="28224A9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3.033</w:t>
            </w:r>
          </w:p>
        </w:tc>
        <w:tc>
          <w:tcPr>
            <w:tcW w:w="1353" w:type="pct"/>
            <w:vAlign w:val="center"/>
          </w:tcPr>
          <w:p w14:paraId="4694EAE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5</w:t>
            </w:r>
          </w:p>
        </w:tc>
        <w:tc>
          <w:tcPr>
            <w:tcW w:w="487" w:type="pct"/>
            <w:vAlign w:val="center"/>
          </w:tcPr>
          <w:p w14:paraId="5A04B4E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32040F55" w14:textId="77777777" w:rsidTr="009472F1">
        <w:tc>
          <w:tcPr>
            <w:tcW w:w="2348" w:type="pct"/>
            <w:vAlign w:val="center"/>
          </w:tcPr>
          <w:p w14:paraId="51FEBBE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جذر متوسط مربع خطأ الاقتراب (RMSEA)</w:t>
            </w:r>
          </w:p>
        </w:tc>
        <w:tc>
          <w:tcPr>
            <w:tcW w:w="812" w:type="pct"/>
            <w:vAlign w:val="center"/>
          </w:tcPr>
          <w:p w14:paraId="347C5C6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0.073</w:t>
            </w:r>
          </w:p>
        </w:tc>
        <w:tc>
          <w:tcPr>
            <w:tcW w:w="1353" w:type="pct"/>
            <w:vAlign w:val="center"/>
          </w:tcPr>
          <w:p w14:paraId="21F095A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0.08</w:t>
            </w:r>
          </w:p>
        </w:tc>
        <w:tc>
          <w:tcPr>
            <w:tcW w:w="487" w:type="pct"/>
            <w:vAlign w:val="center"/>
          </w:tcPr>
          <w:p w14:paraId="25AB2701"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جيد</w:t>
            </w:r>
          </w:p>
        </w:tc>
      </w:tr>
      <w:tr w:rsidR="00E457CD" w:rsidRPr="00BF65CE" w14:paraId="17B0EAF4" w14:textId="77777777" w:rsidTr="009472F1">
        <w:tc>
          <w:tcPr>
            <w:tcW w:w="2348" w:type="pct"/>
            <w:vAlign w:val="center"/>
          </w:tcPr>
          <w:p w14:paraId="60CCEBAC"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(GFI)</w:t>
            </w:r>
          </w:p>
        </w:tc>
        <w:tc>
          <w:tcPr>
            <w:tcW w:w="812" w:type="pct"/>
            <w:vAlign w:val="center"/>
          </w:tcPr>
          <w:p w14:paraId="3079FD6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0.882</w:t>
            </w:r>
          </w:p>
        </w:tc>
        <w:tc>
          <w:tcPr>
            <w:tcW w:w="1353" w:type="pct"/>
            <w:vAlign w:val="center"/>
          </w:tcPr>
          <w:p w14:paraId="52FA283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61E48AE2"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319E08E2" w14:textId="77777777" w:rsidTr="009472F1">
        <w:tc>
          <w:tcPr>
            <w:tcW w:w="2348" w:type="pct"/>
            <w:vAlign w:val="center"/>
          </w:tcPr>
          <w:p w14:paraId="793246D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حسن المطابقة المعدّل (AGFI)</w:t>
            </w:r>
          </w:p>
        </w:tc>
        <w:tc>
          <w:tcPr>
            <w:tcW w:w="812" w:type="pct"/>
            <w:vAlign w:val="center"/>
          </w:tcPr>
          <w:p w14:paraId="18D57D4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5133E35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4EA52C3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63AC5E14" w14:textId="77777777" w:rsidTr="009472F1">
        <w:tc>
          <w:tcPr>
            <w:tcW w:w="2348" w:type="pct"/>
            <w:vAlign w:val="center"/>
          </w:tcPr>
          <w:p w14:paraId="16C783D8"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المقارن (CFI)</w:t>
            </w:r>
          </w:p>
        </w:tc>
        <w:tc>
          <w:tcPr>
            <w:tcW w:w="812" w:type="pct"/>
            <w:vAlign w:val="center"/>
          </w:tcPr>
          <w:p w14:paraId="7F19C2B7"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0.870</w:t>
            </w:r>
          </w:p>
        </w:tc>
        <w:tc>
          <w:tcPr>
            <w:tcW w:w="1353" w:type="pct"/>
            <w:vAlign w:val="center"/>
          </w:tcPr>
          <w:p w14:paraId="1A4FF11A"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07E12746"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4AB3DF05" w14:textId="77777777" w:rsidTr="009472F1">
        <w:tc>
          <w:tcPr>
            <w:tcW w:w="2348" w:type="pct"/>
            <w:vAlign w:val="center"/>
          </w:tcPr>
          <w:p w14:paraId="66A20133"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المتزايد (IFI)</w:t>
            </w:r>
          </w:p>
        </w:tc>
        <w:tc>
          <w:tcPr>
            <w:tcW w:w="812" w:type="pct"/>
            <w:vAlign w:val="center"/>
          </w:tcPr>
          <w:p w14:paraId="7014FCDB"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0.871</w:t>
            </w:r>
          </w:p>
        </w:tc>
        <w:tc>
          <w:tcPr>
            <w:tcW w:w="1353" w:type="pct"/>
            <w:vAlign w:val="center"/>
          </w:tcPr>
          <w:p w14:paraId="70355D02"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4A3E14E1"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65E4B71F" w14:textId="77777777" w:rsidTr="009472F1">
        <w:tc>
          <w:tcPr>
            <w:tcW w:w="2348" w:type="pct"/>
            <w:vAlign w:val="center"/>
          </w:tcPr>
          <w:p w14:paraId="717F902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توكر–لويس (TLI)</w:t>
            </w:r>
          </w:p>
        </w:tc>
        <w:tc>
          <w:tcPr>
            <w:tcW w:w="812" w:type="pct"/>
            <w:vAlign w:val="center"/>
          </w:tcPr>
          <w:p w14:paraId="45C9A04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0.851</w:t>
            </w:r>
          </w:p>
        </w:tc>
        <w:tc>
          <w:tcPr>
            <w:tcW w:w="1353" w:type="pct"/>
            <w:vAlign w:val="center"/>
          </w:tcPr>
          <w:p w14:paraId="6317811D"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0.85</w:t>
            </w:r>
          </w:p>
        </w:tc>
        <w:tc>
          <w:tcPr>
            <w:tcW w:w="487" w:type="pct"/>
            <w:vAlign w:val="center"/>
          </w:tcPr>
          <w:p w14:paraId="17C118E5"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6656DC3C" w14:textId="77777777" w:rsidTr="009472F1">
        <w:tc>
          <w:tcPr>
            <w:tcW w:w="2348" w:type="pct"/>
            <w:vAlign w:val="center"/>
          </w:tcPr>
          <w:p w14:paraId="1252075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مؤشر المطابقة المعياري (NFI)</w:t>
            </w:r>
          </w:p>
        </w:tc>
        <w:tc>
          <w:tcPr>
            <w:tcW w:w="812" w:type="pct"/>
            <w:vAlign w:val="center"/>
          </w:tcPr>
          <w:p w14:paraId="6FF15239"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0.819</w:t>
            </w:r>
          </w:p>
        </w:tc>
        <w:tc>
          <w:tcPr>
            <w:tcW w:w="1353" w:type="pct"/>
            <w:vAlign w:val="center"/>
          </w:tcPr>
          <w:p w14:paraId="17EC53F0"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أكبر من 0.80</w:t>
            </w:r>
          </w:p>
        </w:tc>
        <w:tc>
          <w:tcPr>
            <w:tcW w:w="487" w:type="pct"/>
            <w:vAlign w:val="center"/>
          </w:tcPr>
          <w:p w14:paraId="605CE1F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r w:rsidR="00E457CD" w:rsidRPr="00BF65CE" w14:paraId="343B4385" w14:textId="77777777" w:rsidTr="009472F1">
        <w:tc>
          <w:tcPr>
            <w:tcW w:w="2348" w:type="pct"/>
            <w:vAlign w:val="center"/>
          </w:tcPr>
          <w:p w14:paraId="2D4BD984"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متبقي الجذر التربيعي المتوسط (RMR)</w:t>
            </w:r>
          </w:p>
        </w:tc>
        <w:tc>
          <w:tcPr>
            <w:tcW w:w="812" w:type="pct"/>
            <w:vAlign w:val="center"/>
          </w:tcPr>
          <w:p w14:paraId="51E4701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0.080</w:t>
            </w:r>
          </w:p>
        </w:tc>
        <w:tc>
          <w:tcPr>
            <w:tcW w:w="1353" w:type="pct"/>
            <w:vAlign w:val="center"/>
          </w:tcPr>
          <w:p w14:paraId="43AE46EE"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rtl/>
              </w:rPr>
              <w:t>أقل من أو يساوي 0.08</w:t>
            </w:r>
          </w:p>
        </w:tc>
        <w:tc>
          <w:tcPr>
            <w:tcW w:w="487" w:type="pct"/>
            <w:vAlign w:val="center"/>
          </w:tcPr>
          <w:p w14:paraId="0FE3E0FF" w14:textId="77777777" w:rsidR="00E457CD" w:rsidRPr="00BF65CE" w:rsidRDefault="00014347" w:rsidP="009472F1">
            <w:pPr>
              <w:jc w:val="center"/>
              <w:rPr>
                <w:rFonts w:ascii="Simplified Arabic" w:hAnsi="Simplified Arabic" w:cs="Simplified Arabic"/>
              </w:rPr>
            </w:pPr>
            <w:r w:rsidRPr="00BF65CE">
              <w:rPr>
                <w:rFonts w:ascii="Simplified Arabic" w:hAnsi="Simplified Arabic" w:cs="Simplified Arabic"/>
                <w:b/>
                <w:bCs/>
                <w:rtl/>
              </w:rPr>
              <w:t>مقبول</w:t>
            </w:r>
          </w:p>
        </w:tc>
      </w:tr>
    </w:tbl>
    <w:p w14:paraId="609A1796"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1287C045" w14:textId="77777777" w:rsidR="00E457CD" w:rsidRPr="00BF65CE" w:rsidRDefault="00014347" w:rsidP="002071EC">
      <w:pPr>
        <w:spacing w:before="40" w:after="160" w:line="300" w:lineRule="auto"/>
        <w:jc w:val="both"/>
        <w:rPr>
          <w:rFonts w:ascii="Simplified Arabic" w:hAnsi="Simplified Arabic" w:cs="Simplified Arabic"/>
        </w:rPr>
      </w:pPr>
      <w:r w:rsidRPr="00BF65CE">
        <w:rPr>
          <w:rFonts w:ascii="Simplified Arabic" w:hAnsi="Simplified Arabic" w:cs="Simplified Arabic"/>
          <w:i/>
          <w:iCs/>
          <w:rtl/>
        </w:rPr>
        <w:t>بلغت قيمة كاي تربيع (CMIN) = 554.961 عند درجات حرية (DF) = 183 بمستوى دلالة أقل من 0.001.</w:t>
      </w:r>
    </w:p>
    <w:p w14:paraId="7CE7C45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يتبيّن من الجدول (4-1) أن مؤشرات جودة المطابقة قد حققت في مجملها القيم المرجعية المقبولة؛ إذ بلغت قيمة كاي تربيع النسبي (3.033) وهي تقع ضمن الحد المقبول الذي يقل عن (5)، كما بلغت قيمة مؤشر جذر متوسط مربع خطأ الاقتراب (0.073) وهي قيمة جيدة تقع دون الحد الأقصى المقبول البالغ (0.08).</w:t>
      </w:r>
    </w:p>
    <w:p w14:paraId="626372E6"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وعلى نحوٍ مماثل، جاءت مؤشرات المطابقة المطلقة والمقارنة (GFI وAGFI وCFI وIFI وTLI) ضمن حدودها المقبولة، مما يدلّ على توافق مقبول بين النموذج المُفترَض والبيانات المُلاحَظة. وبناءً على ذلك يمكن الحكم بأن النموذج البنائي يتمتّع بدرجة مقبولة من المطابقة تسمح بالاعتماد على تقديراته في اختبار الفرضيات وتفسير العلاقات بين المتغيرات.</w:t>
      </w:r>
    </w:p>
    <w:p w14:paraId="1C3BDE2A" w14:textId="77777777" w:rsidR="00A03DF0" w:rsidRDefault="00A03DF0" w:rsidP="002071EC">
      <w:pPr>
        <w:spacing w:after="160"/>
        <w:jc w:val="both"/>
        <w:rPr>
          <w:rFonts w:ascii="Simplified Arabic" w:hAnsi="Simplified Arabic" w:cs="Simplified Arabic"/>
        </w:rPr>
      </w:pPr>
    </w:p>
    <w:p w14:paraId="3FC6A75B" w14:textId="77777777" w:rsidR="00A03DF0" w:rsidRPr="00BF65CE" w:rsidRDefault="00A03DF0" w:rsidP="002071EC">
      <w:pPr>
        <w:spacing w:after="160"/>
        <w:jc w:val="both"/>
        <w:rPr>
          <w:rFonts w:ascii="Simplified Arabic" w:hAnsi="Simplified Arabic" w:cs="Simplified Arabic"/>
        </w:rPr>
      </w:pPr>
    </w:p>
    <w:p w14:paraId="430F2D71" w14:textId="77777777" w:rsidR="00E457CD" w:rsidRPr="00BF65CE" w:rsidRDefault="00014347" w:rsidP="00DE7D61">
      <w:pPr>
        <w:pStyle w:val="2"/>
        <w:rPr>
          <w:rFonts w:cs="Simplified Arabic"/>
          <w:color w:val="auto"/>
        </w:rPr>
      </w:pPr>
      <w:bookmarkStart w:id="66" w:name="_Toc235125840"/>
      <w:r w:rsidRPr="00BF65CE">
        <w:rPr>
          <w:rFonts w:cs="Simplified Arabic"/>
          <w:color w:val="auto"/>
          <w:rtl/>
        </w:rPr>
        <w:lastRenderedPageBreak/>
        <w:t>النموذج البنائي للدراسة</w:t>
      </w:r>
      <w:bookmarkEnd w:id="66"/>
    </w:p>
    <w:p w14:paraId="384F2AA8" w14:textId="77777777" w:rsidR="00E457CD" w:rsidRPr="00BF65CE" w:rsidRDefault="00014347" w:rsidP="002071EC">
      <w:pPr>
        <w:spacing w:after="160"/>
        <w:jc w:val="both"/>
        <w:rPr>
          <w:rFonts w:ascii="Simplified Arabic" w:hAnsi="Simplified Arabic" w:cs="Simplified Arabic"/>
          <w:rtl/>
        </w:rPr>
      </w:pPr>
      <w:r w:rsidRPr="00BF65CE">
        <w:rPr>
          <w:rFonts w:ascii="Simplified Arabic" w:hAnsi="Simplified Arabic" w:cs="Simplified Arabic"/>
          <w:rtl/>
        </w:rPr>
        <w:t>يوضّح الشكل (4-1) النموذج البنائي للدراسة بصورته النهائية، متضمّناً المتغيرات الكامنة الأربعة (الاستقطاب التنظيمي، وتطبيقات الذكاء الاصطناعي، والإبداع المؤسسي، والتميز المؤسسي)، إضافةً إلى معاملات المسار المعيارية المُقدَّرة بين هذه المتغيرات. وتشير المسارات المتصلة إلى العلاقات الدالة إحصائياً، في حين تشير المسارات المتقطعة إلى العلاقات غير الدالة.</w:t>
      </w:r>
    </w:p>
    <w:p w14:paraId="50244A5E" w14:textId="77777777" w:rsidR="00D45CA3" w:rsidRPr="00BF65CE" w:rsidRDefault="00D45CA3" w:rsidP="009F7DB5">
      <w:pPr>
        <w:spacing w:before="60" w:after="200"/>
        <w:jc w:val="both"/>
        <w:rPr>
          <w:rFonts w:ascii="Simplified Arabic" w:hAnsi="Simplified Arabic" w:cs="Simplified Arabic"/>
          <w:b/>
          <w:bCs/>
          <w:sz w:val="28"/>
          <w:szCs w:val="28"/>
          <w:rtl/>
        </w:rPr>
      </w:pPr>
      <w:r w:rsidRPr="00BF65CE">
        <w:rPr>
          <w:rFonts w:ascii="Simplified Arabic" w:hAnsi="Simplified Arabic" w:cs="Simplified Arabic"/>
          <w:noProof/>
        </w:rPr>
        <w:drawing>
          <wp:inline distT="0" distB="0" distL="0" distR="0" wp14:anchorId="208952E0" wp14:editId="4F3D1871">
            <wp:extent cx="5580000" cy="3562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del_cropped.png"/>
                    <pic:cNvPicPr/>
                  </pic:nvPicPr>
                  <pic:blipFill>
                    <a:blip r:embed="rId14"/>
                    <a:stretch>
                      <a:fillRect/>
                    </a:stretch>
                  </pic:blipFill>
                  <pic:spPr>
                    <a:xfrm>
                      <a:off x="0" y="0"/>
                      <a:ext cx="5580000" cy="3562615"/>
                    </a:xfrm>
                    <a:prstGeom prst="rect">
                      <a:avLst/>
                    </a:prstGeom>
                  </pic:spPr>
                </pic:pic>
              </a:graphicData>
            </a:graphic>
          </wp:inline>
        </w:drawing>
      </w:r>
    </w:p>
    <w:p w14:paraId="1B45E219" w14:textId="77777777" w:rsidR="00E457CD" w:rsidRPr="00BF65CE" w:rsidRDefault="00014347" w:rsidP="006607D4">
      <w:pPr>
        <w:pStyle w:val="FigureCaption"/>
        <w:spacing w:after="0"/>
        <w:rPr>
          <w:rFonts w:ascii="Simplified Arabic" w:hAnsi="Simplified Arabic" w:cs="Simplified Arabic"/>
        </w:rPr>
      </w:pPr>
      <w:r w:rsidRPr="00BF65CE">
        <w:rPr>
          <w:rFonts w:ascii="Simplified Arabic" w:hAnsi="Simplified Arabic" w:cs="Simplified Arabic"/>
          <w:rtl/>
        </w:rPr>
        <w:t>شكل (4-1): النموذج البنائي للدراسة بمعاملات المسار المعيارية</w:t>
      </w:r>
    </w:p>
    <w:p w14:paraId="62FFACC6" w14:textId="77777777" w:rsidR="00E457CD" w:rsidRPr="00BF65CE" w:rsidRDefault="00014347" w:rsidP="00DE7D61">
      <w:pPr>
        <w:pStyle w:val="2"/>
        <w:rPr>
          <w:rFonts w:cs="Simplified Arabic"/>
          <w:color w:val="auto"/>
        </w:rPr>
      </w:pPr>
      <w:bookmarkStart w:id="67" w:name="_Toc235125841"/>
      <w:r w:rsidRPr="00BF65CE">
        <w:rPr>
          <w:rFonts w:cs="Simplified Arabic"/>
          <w:color w:val="auto"/>
          <w:rtl/>
        </w:rPr>
        <w:t>نتائج نموذج القياس</w:t>
      </w:r>
      <w:bookmarkEnd w:id="67"/>
    </w:p>
    <w:p w14:paraId="05942404"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يَعرض الجدول (4-2) معاملات التشبّع المعيارية (Standardized Factor Loadings) لمؤشرات كل متغير كامن. ويُلاحَظ أن جميع التشبّعات جاءت دالةً إحصائياً عند مستوى دلالة (0.001)، وتراوحت قيمها بين (0.527) و(0.720)، وهي قيم تدلّ على أن المؤشرات تقيس متغيراتها الكامنة بدرجةٍ كافية من صدق البناء.</w:t>
      </w:r>
    </w:p>
    <w:p w14:paraId="1F365923" w14:textId="77777777" w:rsidR="00A03DF0" w:rsidRPr="00BF65CE" w:rsidRDefault="00A03DF0" w:rsidP="002071EC">
      <w:pPr>
        <w:spacing w:after="160"/>
        <w:jc w:val="both"/>
        <w:rPr>
          <w:rFonts w:ascii="Simplified Arabic" w:hAnsi="Simplified Arabic" w:cs="Simplified Arabic"/>
        </w:rPr>
      </w:pPr>
    </w:p>
    <w:p w14:paraId="03066996"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lastRenderedPageBreak/>
        <w:t>جدول (4-2): معاملات التشبّع المعيارية لمؤشرات الدراسة</w:t>
      </w:r>
    </w:p>
    <w:tbl>
      <w:tblPr>
        <w:tblStyle w:val="12"/>
        <w:bidiVisual/>
        <w:tblW w:w="5000" w:type="pct"/>
        <w:tblLook w:val="0620" w:firstRow="1" w:lastRow="0" w:firstColumn="0" w:lastColumn="0" w:noHBand="1" w:noVBand="1"/>
      </w:tblPr>
      <w:tblGrid>
        <w:gridCol w:w="3392"/>
        <w:gridCol w:w="1127"/>
        <w:gridCol w:w="2073"/>
        <w:gridCol w:w="2186"/>
      </w:tblGrid>
      <w:tr w:rsidR="00E457CD" w:rsidRPr="00BF65CE" w14:paraId="288CCBDC" w14:textId="77777777" w:rsidTr="009E5BD4">
        <w:trPr>
          <w:cnfStyle w:val="100000000000" w:firstRow="1" w:lastRow="0" w:firstColumn="0" w:lastColumn="0" w:oddVBand="0" w:evenVBand="0" w:oddHBand="0" w:evenHBand="0" w:firstRowFirstColumn="0" w:firstRowLastColumn="0" w:lastRowFirstColumn="0" w:lastRowLastColumn="0"/>
        </w:trPr>
        <w:tc>
          <w:tcPr>
            <w:tcW w:w="1932" w:type="pct"/>
            <w:vAlign w:val="center"/>
          </w:tcPr>
          <w:p w14:paraId="280D591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المتغير الكامن</w:t>
            </w:r>
          </w:p>
        </w:tc>
        <w:tc>
          <w:tcPr>
            <w:tcW w:w="642" w:type="pct"/>
            <w:vAlign w:val="center"/>
          </w:tcPr>
          <w:p w14:paraId="23207B2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المؤشر</w:t>
            </w:r>
          </w:p>
        </w:tc>
        <w:tc>
          <w:tcPr>
            <w:tcW w:w="1181" w:type="pct"/>
            <w:vAlign w:val="center"/>
          </w:tcPr>
          <w:p w14:paraId="3021CBA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التشبّع المعياري</w:t>
            </w:r>
          </w:p>
        </w:tc>
        <w:tc>
          <w:tcPr>
            <w:tcW w:w="1245" w:type="pct"/>
            <w:vAlign w:val="center"/>
          </w:tcPr>
          <w:p w14:paraId="1B8DC35F"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الدلالة</w:t>
            </w:r>
          </w:p>
        </w:tc>
      </w:tr>
      <w:tr w:rsidR="00EF56BD" w:rsidRPr="00BF65CE" w14:paraId="28BF0D27" w14:textId="77777777" w:rsidTr="009E5BD4">
        <w:tc>
          <w:tcPr>
            <w:tcW w:w="1932" w:type="pct"/>
            <w:vMerge w:val="restart"/>
            <w:vAlign w:val="center"/>
          </w:tcPr>
          <w:p w14:paraId="3C75812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الاستقطاب التنظيمي</w:t>
            </w:r>
          </w:p>
        </w:tc>
        <w:tc>
          <w:tcPr>
            <w:tcW w:w="642" w:type="pct"/>
            <w:vAlign w:val="center"/>
          </w:tcPr>
          <w:p w14:paraId="02E9756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w:t>
            </w:r>
          </w:p>
        </w:tc>
        <w:tc>
          <w:tcPr>
            <w:tcW w:w="1181" w:type="pct"/>
            <w:vAlign w:val="center"/>
          </w:tcPr>
          <w:p w14:paraId="514A23B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0.692</w:t>
            </w:r>
          </w:p>
        </w:tc>
        <w:tc>
          <w:tcPr>
            <w:tcW w:w="1245" w:type="pct"/>
            <w:vAlign w:val="center"/>
          </w:tcPr>
          <w:p w14:paraId="24493D3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729C527" w14:textId="77777777" w:rsidTr="009E5BD4">
        <w:tc>
          <w:tcPr>
            <w:tcW w:w="1932" w:type="pct"/>
            <w:vMerge/>
            <w:vAlign w:val="center"/>
          </w:tcPr>
          <w:p w14:paraId="4468494A" w14:textId="77777777" w:rsidR="00EF56BD" w:rsidRPr="00BF65CE" w:rsidRDefault="00EF56BD" w:rsidP="007D28E1">
            <w:pPr>
              <w:jc w:val="center"/>
              <w:rPr>
                <w:rFonts w:ascii="Simplified Arabic" w:hAnsi="Simplified Arabic" w:cs="Simplified Arabic"/>
              </w:rPr>
            </w:pPr>
          </w:p>
        </w:tc>
        <w:tc>
          <w:tcPr>
            <w:tcW w:w="642" w:type="pct"/>
            <w:vAlign w:val="center"/>
          </w:tcPr>
          <w:p w14:paraId="6FD0779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w:t>
            </w:r>
          </w:p>
        </w:tc>
        <w:tc>
          <w:tcPr>
            <w:tcW w:w="1181" w:type="pct"/>
            <w:vAlign w:val="center"/>
          </w:tcPr>
          <w:p w14:paraId="2B88E8A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0.608</w:t>
            </w:r>
          </w:p>
        </w:tc>
        <w:tc>
          <w:tcPr>
            <w:tcW w:w="1245" w:type="pct"/>
            <w:vAlign w:val="center"/>
          </w:tcPr>
          <w:p w14:paraId="3E51E77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3F116DF" w14:textId="77777777" w:rsidTr="009E5BD4">
        <w:tc>
          <w:tcPr>
            <w:tcW w:w="1932" w:type="pct"/>
            <w:vMerge/>
            <w:vAlign w:val="center"/>
          </w:tcPr>
          <w:p w14:paraId="487D4BD9" w14:textId="77777777" w:rsidR="00EF56BD" w:rsidRPr="00BF65CE" w:rsidRDefault="00EF56BD" w:rsidP="007D28E1">
            <w:pPr>
              <w:jc w:val="center"/>
              <w:rPr>
                <w:rFonts w:ascii="Simplified Arabic" w:hAnsi="Simplified Arabic" w:cs="Simplified Arabic"/>
              </w:rPr>
            </w:pPr>
          </w:p>
        </w:tc>
        <w:tc>
          <w:tcPr>
            <w:tcW w:w="642" w:type="pct"/>
            <w:vAlign w:val="center"/>
          </w:tcPr>
          <w:p w14:paraId="09D3A62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Q3</w:t>
            </w:r>
          </w:p>
        </w:tc>
        <w:tc>
          <w:tcPr>
            <w:tcW w:w="1181" w:type="pct"/>
            <w:vAlign w:val="center"/>
          </w:tcPr>
          <w:p w14:paraId="1799728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0.663</w:t>
            </w:r>
          </w:p>
        </w:tc>
        <w:tc>
          <w:tcPr>
            <w:tcW w:w="1245" w:type="pct"/>
            <w:vAlign w:val="center"/>
          </w:tcPr>
          <w:p w14:paraId="74CC129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598541F" w14:textId="77777777" w:rsidTr="009E5BD4">
        <w:tc>
          <w:tcPr>
            <w:tcW w:w="1932" w:type="pct"/>
            <w:vMerge/>
            <w:vAlign w:val="center"/>
          </w:tcPr>
          <w:p w14:paraId="63074CE4" w14:textId="77777777" w:rsidR="00EF56BD" w:rsidRPr="00BF65CE" w:rsidRDefault="00EF56BD" w:rsidP="007D28E1">
            <w:pPr>
              <w:jc w:val="center"/>
              <w:rPr>
                <w:rFonts w:ascii="Simplified Arabic" w:hAnsi="Simplified Arabic" w:cs="Simplified Arabic"/>
              </w:rPr>
            </w:pPr>
          </w:p>
        </w:tc>
        <w:tc>
          <w:tcPr>
            <w:tcW w:w="642" w:type="pct"/>
            <w:vAlign w:val="center"/>
          </w:tcPr>
          <w:p w14:paraId="2A1DA58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Q4</w:t>
            </w:r>
          </w:p>
        </w:tc>
        <w:tc>
          <w:tcPr>
            <w:tcW w:w="1181" w:type="pct"/>
            <w:vAlign w:val="center"/>
          </w:tcPr>
          <w:p w14:paraId="4E64696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0.554</w:t>
            </w:r>
          </w:p>
        </w:tc>
        <w:tc>
          <w:tcPr>
            <w:tcW w:w="1245" w:type="pct"/>
            <w:vAlign w:val="center"/>
          </w:tcPr>
          <w:p w14:paraId="7D2BD50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30E74832" w14:textId="77777777" w:rsidTr="009E5BD4">
        <w:tc>
          <w:tcPr>
            <w:tcW w:w="1932" w:type="pct"/>
            <w:vMerge/>
            <w:vAlign w:val="center"/>
          </w:tcPr>
          <w:p w14:paraId="0FDFF65E" w14:textId="77777777" w:rsidR="00EF56BD" w:rsidRPr="00BF65CE" w:rsidRDefault="00EF56BD" w:rsidP="007D28E1">
            <w:pPr>
              <w:jc w:val="center"/>
              <w:rPr>
                <w:rFonts w:ascii="Simplified Arabic" w:hAnsi="Simplified Arabic" w:cs="Simplified Arabic"/>
              </w:rPr>
            </w:pPr>
          </w:p>
        </w:tc>
        <w:tc>
          <w:tcPr>
            <w:tcW w:w="642" w:type="pct"/>
            <w:vAlign w:val="center"/>
          </w:tcPr>
          <w:p w14:paraId="1DFB241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Q5</w:t>
            </w:r>
          </w:p>
        </w:tc>
        <w:tc>
          <w:tcPr>
            <w:tcW w:w="1181" w:type="pct"/>
            <w:vAlign w:val="center"/>
          </w:tcPr>
          <w:p w14:paraId="46A4DCE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0.575</w:t>
            </w:r>
          </w:p>
        </w:tc>
        <w:tc>
          <w:tcPr>
            <w:tcW w:w="1245" w:type="pct"/>
            <w:vAlign w:val="center"/>
          </w:tcPr>
          <w:p w14:paraId="3DBA58A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FFF7F8D" w14:textId="77777777" w:rsidTr="009E5BD4">
        <w:tc>
          <w:tcPr>
            <w:tcW w:w="1932" w:type="pct"/>
            <w:vMerge/>
            <w:vAlign w:val="center"/>
          </w:tcPr>
          <w:p w14:paraId="33C97DFB" w14:textId="77777777" w:rsidR="00EF56BD" w:rsidRPr="00BF65CE" w:rsidRDefault="00EF56BD" w:rsidP="007D28E1">
            <w:pPr>
              <w:jc w:val="center"/>
              <w:rPr>
                <w:rFonts w:ascii="Simplified Arabic" w:hAnsi="Simplified Arabic" w:cs="Simplified Arabic"/>
              </w:rPr>
            </w:pPr>
          </w:p>
        </w:tc>
        <w:tc>
          <w:tcPr>
            <w:tcW w:w="642" w:type="pct"/>
            <w:vAlign w:val="center"/>
          </w:tcPr>
          <w:p w14:paraId="53F2DB8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Q6</w:t>
            </w:r>
          </w:p>
        </w:tc>
        <w:tc>
          <w:tcPr>
            <w:tcW w:w="1181" w:type="pct"/>
            <w:vAlign w:val="center"/>
          </w:tcPr>
          <w:p w14:paraId="26DC9F9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0.581</w:t>
            </w:r>
          </w:p>
        </w:tc>
        <w:tc>
          <w:tcPr>
            <w:tcW w:w="1245" w:type="pct"/>
            <w:vAlign w:val="center"/>
          </w:tcPr>
          <w:p w14:paraId="78E40E2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D1EDC55" w14:textId="77777777" w:rsidTr="009E5BD4">
        <w:tc>
          <w:tcPr>
            <w:tcW w:w="1932" w:type="pct"/>
            <w:vMerge w:val="restart"/>
            <w:vAlign w:val="center"/>
          </w:tcPr>
          <w:p w14:paraId="67CD237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تطبيقات الذكاء الاصطناعي</w:t>
            </w:r>
          </w:p>
        </w:tc>
        <w:tc>
          <w:tcPr>
            <w:tcW w:w="642" w:type="pct"/>
            <w:vAlign w:val="center"/>
          </w:tcPr>
          <w:p w14:paraId="43D6142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Q7</w:t>
            </w:r>
          </w:p>
        </w:tc>
        <w:tc>
          <w:tcPr>
            <w:tcW w:w="1181" w:type="pct"/>
            <w:vAlign w:val="center"/>
          </w:tcPr>
          <w:p w14:paraId="06D0BF9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0.671</w:t>
            </w:r>
          </w:p>
        </w:tc>
        <w:tc>
          <w:tcPr>
            <w:tcW w:w="1245" w:type="pct"/>
            <w:vAlign w:val="center"/>
          </w:tcPr>
          <w:p w14:paraId="1151E08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1EA4E7B" w14:textId="77777777" w:rsidTr="009E5BD4">
        <w:tc>
          <w:tcPr>
            <w:tcW w:w="1932" w:type="pct"/>
            <w:vMerge/>
            <w:vAlign w:val="center"/>
          </w:tcPr>
          <w:p w14:paraId="73F75B14" w14:textId="77777777" w:rsidR="00EF56BD" w:rsidRPr="00BF65CE" w:rsidRDefault="00EF56BD" w:rsidP="007D28E1">
            <w:pPr>
              <w:jc w:val="center"/>
              <w:rPr>
                <w:rFonts w:ascii="Simplified Arabic" w:hAnsi="Simplified Arabic" w:cs="Simplified Arabic"/>
              </w:rPr>
            </w:pPr>
          </w:p>
        </w:tc>
        <w:tc>
          <w:tcPr>
            <w:tcW w:w="642" w:type="pct"/>
            <w:vAlign w:val="center"/>
          </w:tcPr>
          <w:p w14:paraId="736E02E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Q8</w:t>
            </w:r>
          </w:p>
        </w:tc>
        <w:tc>
          <w:tcPr>
            <w:tcW w:w="1181" w:type="pct"/>
            <w:vAlign w:val="center"/>
          </w:tcPr>
          <w:p w14:paraId="5E73374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051BADE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0714E1C" w14:textId="77777777" w:rsidTr="009E5BD4">
        <w:tc>
          <w:tcPr>
            <w:tcW w:w="1932" w:type="pct"/>
            <w:vMerge/>
            <w:vAlign w:val="center"/>
          </w:tcPr>
          <w:p w14:paraId="64D191EF" w14:textId="77777777" w:rsidR="00EF56BD" w:rsidRPr="00BF65CE" w:rsidRDefault="00EF56BD" w:rsidP="007D28E1">
            <w:pPr>
              <w:jc w:val="center"/>
              <w:rPr>
                <w:rFonts w:ascii="Simplified Arabic" w:hAnsi="Simplified Arabic" w:cs="Simplified Arabic"/>
              </w:rPr>
            </w:pPr>
          </w:p>
        </w:tc>
        <w:tc>
          <w:tcPr>
            <w:tcW w:w="642" w:type="pct"/>
            <w:vAlign w:val="center"/>
          </w:tcPr>
          <w:p w14:paraId="56D8621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Q9</w:t>
            </w:r>
          </w:p>
        </w:tc>
        <w:tc>
          <w:tcPr>
            <w:tcW w:w="1181" w:type="pct"/>
            <w:vAlign w:val="center"/>
          </w:tcPr>
          <w:p w14:paraId="4637747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w:t>
            </w:r>
          </w:p>
        </w:tc>
        <w:tc>
          <w:tcPr>
            <w:tcW w:w="1245" w:type="pct"/>
            <w:vAlign w:val="center"/>
          </w:tcPr>
          <w:p w14:paraId="587B622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09C1C3C" w14:textId="77777777" w:rsidTr="009E5BD4">
        <w:tc>
          <w:tcPr>
            <w:tcW w:w="1932" w:type="pct"/>
            <w:vMerge/>
            <w:vAlign w:val="center"/>
          </w:tcPr>
          <w:p w14:paraId="65CE36C6" w14:textId="77777777" w:rsidR="00EF56BD" w:rsidRPr="00BF65CE" w:rsidRDefault="00EF56BD" w:rsidP="007D28E1">
            <w:pPr>
              <w:jc w:val="center"/>
              <w:rPr>
                <w:rFonts w:ascii="Simplified Arabic" w:hAnsi="Simplified Arabic" w:cs="Simplified Arabic"/>
              </w:rPr>
            </w:pPr>
          </w:p>
        </w:tc>
        <w:tc>
          <w:tcPr>
            <w:tcW w:w="642" w:type="pct"/>
            <w:vAlign w:val="center"/>
          </w:tcPr>
          <w:p w14:paraId="33184962"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Q10</w:t>
            </w:r>
          </w:p>
        </w:tc>
        <w:tc>
          <w:tcPr>
            <w:tcW w:w="1181" w:type="pct"/>
            <w:vAlign w:val="center"/>
          </w:tcPr>
          <w:p w14:paraId="45C40D5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0.661</w:t>
            </w:r>
          </w:p>
        </w:tc>
        <w:tc>
          <w:tcPr>
            <w:tcW w:w="1245" w:type="pct"/>
            <w:vAlign w:val="center"/>
          </w:tcPr>
          <w:p w14:paraId="0D3FB8A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F0F19D3" w14:textId="77777777" w:rsidTr="009E5BD4">
        <w:tc>
          <w:tcPr>
            <w:tcW w:w="1932" w:type="pct"/>
            <w:vMerge/>
            <w:vAlign w:val="center"/>
          </w:tcPr>
          <w:p w14:paraId="5FF418C4" w14:textId="77777777" w:rsidR="00EF56BD" w:rsidRPr="00BF65CE" w:rsidRDefault="00EF56BD" w:rsidP="007D28E1">
            <w:pPr>
              <w:jc w:val="center"/>
              <w:rPr>
                <w:rFonts w:ascii="Simplified Arabic" w:hAnsi="Simplified Arabic" w:cs="Simplified Arabic"/>
              </w:rPr>
            </w:pPr>
          </w:p>
        </w:tc>
        <w:tc>
          <w:tcPr>
            <w:tcW w:w="642" w:type="pct"/>
            <w:vAlign w:val="center"/>
          </w:tcPr>
          <w:p w14:paraId="3266F16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Q11</w:t>
            </w:r>
          </w:p>
        </w:tc>
        <w:tc>
          <w:tcPr>
            <w:tcW w:w="1181" w:type="pct"/>
            <w:vAlign w:val="center"/>
          </w:tcPr>
          <w:p w14:paraId="32486406"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0.621</w:t>
            </w:r>
          </w:p>
        </w:tc>
        <w:tc>
          <w:tcPr>
            <w:tcW w:w="1245" w:type="pct"/>
            <w:vAlign w:val="center"/>
          </w:tcPr>
          <w:p w14:paraId="1E31FEF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19865D7C" w14:textId="77777777" w:rsidTr="009E5BD4">
        <w:tc>
          <w:tcPr>
            <w:tcW w:w="1932" w:type="pct"/>
            <w:vMerge w:val="restart"/>
            <w:vAlign w:val="center"/>
          </w:tcPr>
          <w:p w14:paraId="015EBA8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الإبداع المؤسسي</w:t>
            </w:r>
          </w:p>
        </w:tc>
        <w:tc>
          <w:tcPr>
            <w:tcW w:w="642" w:type="pct"/>
            <w:vAlign w:val="center"/>
          </w:tcPr>
          <w:p w14:paraId="2A267EB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Q12</w:t>
            </w:r>
          </w:p>
        </w:tc>
        <w:tc>
          <w:tcPr>
            <w:tcW w:w="1181" w:type="pct"/>
            <w:vAlign w:val="center"/>
          </w:tcPr>
          <w:p w14:paraId="21D84318"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0.527</w:t>
            </w:r>
          </w:p>
        </w:tc>
        <w:tc>
          <w:tcPr>
            <w:tcW w:w="1245" w:type="pct"/>
            <w:vAlign w:val="center"/>
          </w:tcPr>
          <w:p w14:paraId="0092C46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46C93C0" w14:textId="77777777" w:rsidTr="009E5BD4">
        <w:tc>
          <w:tcPr>
            <w:tcW w:w="1932" w:type="pct"/>
            <w:vMerge/>
            <w:vAlign w:val="center"/>
          </w:tcPr>
          <w:p w14:paraId="52BD0BA4" w14:textId="77777777" w:rsidR="00EF56BD" w:rsidRPr="00BF65CE" w:rsidRDefault="00EF56BD" w:rsidP="007D28E1">
            <w:pPr>
              <w:jc w:val="center"/>
              <w:rPr>
                <w:rFonts w:ascii="Simplified Arabic" w:hAnsi="Simplified Arabic" w:cs="Simplified Arabic"/>
              </w:rPr>
            </w:pPr>
          </w:p>
        </w:tc>
        <w:tc>
          <w:tcPr>
            <w:tcW w:w="642" w:type="pct"/>
            <w:vAlign w:val="center"/>
          </w:tcPr>
          <w:p w14:paraId="3974790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Q13</w:t>
            </w:r>
          </w:p>
        </w:tc>
        <w:tc>
          <w:tcPr>
            <w:tcW w:w="1181" w:type="pct"/>
            <w:vAlign w:val="center"/>
          </w:tcPr>
          <w:p w14:paraId="445300D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3F53298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23359F4" w14:textId="77777777" w:rsidTr="009E5BD4">
        <w:tc>
          <w:tcPr>
            <w:tcW w:w="1932" w:type="pct"/>
            <w:vMerge/>
            <w:vAlign w:val="center"/>
          </w:tcPr>
          <w:p w14:paraId="046D350C" w14:textId="77777777" w:rsidR="00EF56BD" w:rsidRPr="00BF65CE" w:rsidRDefault="00EF56BD" w:rsidP="007D28E1">
            <w:pPr>
              <w:jc w:val="center"/>
              <w:rPr>
                <w:rFonts w:ascii="Simplified Arabic" w:hAnsi="Simplified Arabic" w:cs="Simplified Arabic"/>
              </w:rPr>
            </w:pPr>
          </w:p>
        </w:tc>
        <w:tc>
          <w:tcPr>
            <w:tcW w:w="642" w:type="pct"/>
            <w:vAlign w:val="center"/>
          </w:tcPr>
          <w:p w14:paraId="6C98D06B"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Q14</w:t>
            </w:r>
          </w:p>
        </w:tc>
        <w:tc>
          <w:tcPr>
            <w:tcW w:w="1181" w:type="pct"/>
            <w:vAlign w:val="center"/>
          </w:tcPr>
          <w:p w14:paraId="3D808884"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0.72</w:t>
            </w:r>
          </w:p>
        </w:tc>
        <w:tc>
          <w:tcPr>
            <w:tcW w:w="1245" w:type="pct"/>
            <w:vAlign w:val="center"/>
          </w:tcPr>
          <w:p w14:paraId="0701FC2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5FFDA129" w14:textId="77777777" w:rsidTr="009E5BD4">
        <w:tc>
          <w:tcPr>
            <w:tcW w:w="1932" w:type="pct"/>
            <w:vMerge/>
            <w:vAlign w:val="center"/>
          </w:tcPr>
          <w:p w14:paraId="370ED429" w14:textId="77777777" w:rsidR="00EF56BD" w:rsidRPr="00BF65CE" w:rsidRDefault="00EF56BD" w:rsidP="007D28E1">
            <w:pPr>
              <w:jc w:val="center"/>
              <w:rPr>
                <w:rFonts w:ascii="Simplified Arabic" w:hAnsi="Simplified Arabic" w:cs="Simplified Arabic"/>
              </w:rPr>
            </w:pPr>
          </w:p>
        </w:tc>
        <w:tc>
          <w:tcPr>
            <w:tcW w:w="642" w:type="pct"/>
            <w:vAlign w:val="center"/>
          </w:tcPr>
          <w:p w14:paraId="4EEDFFB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Q15</w:t>
            </w:r>
          </w:p>
        </w:tc>
        <w:tc>
          <w:tcPr>
            <w:tcW w:w="1181" w:type="pct"/>
            <w:vAlign w:val="center"/>
          </w:tcPr>
          <w:p w14:paraId="1B78BD2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0.685</w:t>
            </w:r>
          </w:p>
        </w:tc>
        <w:tc>
          <w:tcPr>
            <w:tcW w:w="1245" w:type="pct"/>
            <w:vAlign w:val="center"/>
          </w:tcPr>
          <w:p w14:paraId="01FCF2D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41656E76" w14:textId="77777777" w:rsidTr="009E5BD4">
        <w:tc>
          <w:tcPr>
            <w:tcW w:w="1932" w:type="pct"/>
            <w:vMerge/>
            <w:vAlign w:val="center"/>
          </w:tcPr>
          <w:p w14:paraId="201C876D" w14:textId="77777777" w:rsidR="00EF56BD" w:rsidRPr="00BF65CE" w:rsidRDefault="00EF56BD" w:rsidP="007D28E1">
            <w:pPr>
              <w:jc w:val="center"/>
              <w:rPr>
                <w:rFonts w:ascii="Simplified Arabic" w:hAnsi="Simplified Arabic" w:cs="Simplified Arabic"/>
              </w:rPr>
            </w:pPr>
          </w:p>
        </w:tc>
        <w:tc>
          <w:tcPr>
            <w:tcW w:w="642" w:type="pct"/>
            <w:vAlign w:val="center"/>
          </w:tcPr>
          <w:p w14:paraId="01842FC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Q16</w:t>
            </w:r>
          </w:p>
        </w:tc>
        <w:tc>
          <w:tcPr>
            <w:tcW w:w="1181" w:type="pct"/>
            <w:vAlign w:val="center"/>
          </w:tcPr>
          <w:p w14:paraId="472A7EB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0.696</w:t>
            </w:r>
          </w:p>
        </w:tc>
        <w:tc>
          <w:tcPr>
            <w:tcW w:w="1245" w:type="pct"/>
            <w:vAlign w:val="center"/>
          </w:tcPr>
          <w:p w14:paraId="444C625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44EF426" w14:textId="77777777" w:rsidTr="009E5BD4">
        <w:tc>
          <w:tcPr>
            <w:tcW w:w="1932" w:type="pct"/>
            <w:vMerge w:val="restart"/>
            <w:vAlign w:val="center"/>
          </w:tcPr>
          <w:p w14:paraId="6B4B69F3"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التميز المؤسسي</w:t>
            </w:r>
          </w:p>
        </w:tc>
        <w:tc>
          <w:tcPr>
            <w:tcW w:w="642" w:type="pct"/>
            <w:vAlign w:val="center"/>
          </w:tcPr>
          <w:p w14:paraId="472C7B4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Q17</w:t>
            </w:r>
          </w:p>
        </w:tc>
        <w:tc>
          <w:tcPr>
            <w:tcW w:w="1181" w:type="pct"/>
            <w:vAlign w:val="center"/>
          </w:tcPr>
          <w:p w14:paraId="1081165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0.688</w:t>
            </w:r>
          </w:p>
        </w:tc>
        <w:tc>
          <w:tcPr>
            <w:tcW w:w="1245" w:type="pct"/>
            <w:vAlign w:val="center"/>
          </w:tcPr>
          <w:p w14:paraId="434334D7"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29F9184A" w14:textId="77777777" w:rsidTr="009E5BD4">
        <w:tc>
          <w:tcPr>
            <w:tcW w:w="1932" w:type="pct"/>
            <w:vMerge/>
            <w:vAlign w:val="center"/>
          </w:tcPr>
          <w:p w14:paraId="63F919B0" w14:textId="77777777" w:rsidR="00EF56BD" w:rsidRPr="00BF65CE" w:rsidRDefault="00EF56BD" w:rsidP="007D28E1">
            <w:pPr>
              <w:jc w:val="center"/>
              <w:rPr>
                <w:rFonts w:ascii="Simplified Arabic" w:hAnsi="Simplified Arabic" w:cs="Simplified Arabic"/>
              </w:rPr>
            </w:pPr>
          </w:p>
        </w:tc>
        <w:tc>
          <w:tcPr>
            <w:tcW w:w="642" w:type="pct"/>
            <w:vAlign w:val="center"/>
          </w:tcPr>
          <w:p w14:paraId="665B648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Q18</w:t>
            </w:r>
          </w:p>
        </w:tc>
        <w:tc>
          <w:tcPr>
            <w:tcW w:w="1181" w:type="pct"/>
            <w:vAlign w:val="center"/>
          </w:tcPr>
          <w:p w14:paraId="5B2B9475"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0.568</w:t>
            </w:r>
          </w:p>
        </w:tc>
        <w:tc>
          <w:tcPr>
            <w:tcW w:w="1245" w:type="pct"/>
            <w:vAlign w:val="center"/>
          </w:tcPr>
          <w:p w14:paraId="31EB466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6D5A88F2" w14:textId="77777777" w:rsidTr="009E5BD4">
        <w:tc>
          <w:tcPr>
            <w:tcW w:w="1932" w:type="pct"/>
            <w:vMerge/>
            <w:vAlign w:val="center"/>
          </w:tcPr>
          <w:p w14:paraId="5425A92C" w14:textId="77777777" w:rsidR="00EF56BD" w:rsidRPr="00BF65CE" w:rsidRDefault="00EF56BD" w:rsidP="007D28E1">
            <w:pPr>
              <w:jc w:val="center"/>
              <w:rPr>
                <w:rFonts w:ascii="Simplified Arabic" w:hAnsi="Simplified Arabic" w:cs="Simplified Arabic"/>
              </w:rPr>
            </w:pPr>
          </w:p>
        </w:tc>
        <w:tc>
          <w:tcPr>
            <w:tcW w:w="642" w:type="pct"/>
            <w:vAlign w:val="center"/>
          </w:tcPr>
          <w:p w14:paraId="43D7D21A"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Q19</w:t>
            </w:r>
          </w:p>
        </w:tc>
        <w:tc>
          <w:tcPr>
            <w:tcW w:w="1181" w:type="pct"/>
            <w:vAlign w:val="center"/>
          </w:tcPr>
          <w:p w14:paraId="49A41679"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0.642</w:t>
            </w:r>
          </w:p>
        </w:tc>
        <w:tc>
          <w:tcPr>
            <w:tcW w:w="1245" w:type="pct"/>
            <w:vAlign w:val="center"/>
          </w:tcPr>
          <w:p w14:paraId="36FEF06E"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738959DC" w14:textId="77777777" w:rsidTr="009E5BD4">
        <w:tc>
          <w:tcPr>
            <w:tcW w:w="1932" w:type="pct"/>
            <w:vMerge/>
            <w:vAlign w:val="center"/>
          </w:tcPr>
          <w:p w14:paraId="454495B6" w14:textId="77777777" w:rsidR="00EF56BD" w:rsidRPr="00BF65CE" w:rsidRDefault="00EF56BD" w:rsidP="007D28E1">
            <w:pPr>
              <w:jc w:val="center"/>
              <w:rPr>
                <w:rFonts w:ascii="Simplified Arabic" w:hAnsi="Simplified Arabic" w:cs="Simplified Arabic"/>
              </w:rPr>
            </w:pPr>
          </w:p>
        </w:tc>
        <w:tc>
          <w:tcPr>
            <w:tcW w:w="642" w:type="pct"/>
            <w:vAlign w:val="center"/>
          </w:tcPr>
          <w:p w14:paraId="7330533C"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Q20</w:t>
            </w:r>
          </w:p>
        </w:tc>
        <w:tc>
          <w:tcPr>
            <w:tcW w:w="1181" w:type="pct"/>
            <w:vAlign w:val="center"/>
          </w:tcPr>
          <w:p w14:paraId="1FF6291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0.616</w:t>
            </w:r>
          </w:p>
        </w:tc>
        <w:tc>
          <w:tcPr>
            <w:tcW w:w="1245" w:type="pct"/>
            <w:vAlign w:val="center"/>
          </w:tcPr>
          <w:p w14:paraId="41945B8F"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r w:rsidR="00EF56BD" w:rsidRPr="00BF65CE" w14:paraId="007D1746" w14:textId="77777777" w:rsidTr="009E5BD4">
        <w:tc>
          <w:tcPr>
            <w:tcW w:w="1932" w:type="pct"/>
            <w:vMerge/>
            <w:vAlign w:val="center"/>
          </w:tcPr>
          <w:p w14:paraId="77492FC0" w14:textId="77777777" w:rsidR="00EF56BD" w:rsidRPr="00BF65CE" w:rsidRDefault="00EF56BD" w:rsidP="007D28E1">
            <w:pPr>
              <w:jc w:val="center"/>
              <w:rPr>
                <w:rFonts w:ascii="Simplified Arabic" w:hAnsi="Simplified Arabic" w:cs="Simplified Arabic"/>
              </w:rPr>
            </w:pPr>
          </w:p>
        </w:tc>
        <w:tc>
          <w:tcPr>
            <w:tcW w:w="642" w:type="pct"/>
            <w:vAlign w:val="center"/>
          </w:tcPr>
          <w:p w14:paraId="4DB9C911"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Q21</w:t>
            </w:r>
          </w:p>
        </w:tc>
        <w:tc>
          <w:tcPr>
            <w:tcW w:w="1181" w:type="pct"/>
            <w:vAlign w:val="center"/>
          </w:tcPr>
          <w:p w14:paraId="6B6375CD"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0.677</w:t>
            </w:r>
          </w:p>
        </w:tc>
        <w:tc>
          <w:tcPr>
            <w:tcW w:w="1245" w:type="pct"/>
            <w:vAlign w:val="center"/>
          </w:tcPr>
          <w:p w14:paraId="61AB3780" w14:textId="77777777" w:rsidR="00EF56BD" w:rsidRPr="00BF65CE" w:rsidRDefault="00EF56BD" w:rsidP="007D28E1">
            <w:pPr>
              <w:jc w:val="center"/>
              <w:rPr>
                <w:rFonts w:ascii="Simplified Arabic" w:hAnsi="Simplified Arabic" w:cs="Simplified Arabic"/>
              </w:rPr>
            </w:pPr>
            <w:r w:rsidRPr="00BF65CE">
              <w:rPr>
                <w:rFonts w:ascii="Simplified Arabic" w:hAnsi="Simplified Arabic" w:cs="Simplified Arabic"/>
                <w:rtl/>
              </w:rPr>
              <w:t>دالة عند 0.001</w:t>
            </w:r>
          </w:p>
        </w:tc>
      </w:tr>
    </w:tbl>
    <w:p w14:paraId="59F28FE0"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49866E1A" w14:textId="77777777" w:rsidR="00E457CD" w:rsidRPr="00BF65CE" w:rsidRDefault="00E457CD" w:rsidP="002071EC">
      <w:pPr>
        <w:spacing w:after="80"/>
        <w:jc w:val="both"/>
        <w:rPr>
          <w:rFonts w:ascii="Simplified Arabic" w:hAnsi="Simplified Arabic" w:cs="Simplified Arabic"/>
        </w:rPr>
      </w:pPr>
    </w:p>
    <w:p w14:paraId="453AA5B3" w14:textId="77777777" w:rsidR="00E457CD"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وتأسيساً على ما تقدَّم، فإن نموذج القياس يتمتّع بصدق بناء مقبول، إذ تُسهم مؤشرات كل متغير كامن في قياسه بصورةٍ دالة، الأمر الذي يدعم مشروعية الانتقال إلى تقدير العلاقات البنائية بين المتغيرات الكامنة واختبار فرضيات الدراسة.</w:t>
      </w:r>
    </w:p>
    <w:p w14:paraId="75F39E17" w14:textId="77777777" w:rsidR="00A03DF0" w:rsidRDefault="00A03DF0" w:rsidP="002071EC">
      <w:pPr>
        <w:spacing w:after="160"/>
        <w:jc w:val="both"/>
        <w:rPr>
          <w:rFonts w:ascii="Simplified Arabic" w:hAnsi="Simplified Arabic" w:cs="Simplified Arabic"/>
        </w:rPr>
      </w:pPr>
    </w:p>
    <w:p w14:paraId="1E04BEEF" w14:textId="77777777" w:rsidR="00A03DF0" w:rsidRDefault="00A03DF0" w:rsidP="002071EC">
      <w:pPr>
        <w:spacing w:after="160"/>
        <w:jc w:val="both"/>
        <w:rPr>
          <w:rFonts w:ascii="Simplified Arabic" w:hAnsi="Simplified Arabic" w:cs="Simplified Arabic"/>
        </w:rPr>
      </w:pPr>
    </w:p>
    <w:p w14:paraId="371DA3ED" w14:textId="77777777" w:rsidR="00A03DF0" w:rsidRPr="00BF65CE" w:rsidRDefault="00A03DF0" w:rsidP="002071EC">
      <w:pPr>
        <w:spacing w:after="160"/>
        <w:jc w:val="both"/>
        <w:rPr>
          <w:rFonts w:ascii="Simplified Arabic" w:hAnsi="Simplified Arabic" w:cs="Simplified Arabic"/>
        </w:rPr>
      </w:pPr>
    </w:p>
    <w:p w14:paraId="0726916B" w14:textId="77777777" w:rsidR="00E457CD" w:rsidRPr="00BF65CE" w:rsidRDefault="00014347" w:rsidP="00DE7D61">
      <w:pPr>
        <w:pStyle w:val="2"/>
        <w:rPr>
          <w:rFonts w:cs="Simplified Arabic"/>
          <w:color w:val="auto"/>
        </w:rPr>
      </w:pPr>
      <w:bookmarkStart w:id="68" w:name="_Toc235125842"/>
      <w:r w:rsidRPr="00BF65CE">
        <w:rPr>
          <w:rFonts w:cs="Simplified Arabic"/>
          <w:color w:val="auto"/>
          <w:rtl/>
        </w:rPr>
        <w:t>نتائج النموذج البنائي واختبار الفرضيات</w:t>
      </w:r>
      <w:bookmarkEnd w:id="68"/>
    </w:p>
    <w:p w14:paraId="6DA572EF" w14:textId="77777777" w:rsidR="00E457CD" w:rsidRPr="00BF65CE" w:rsidRDefault="00014347" w:rsidP="00DE7D61">
      <w:pPr>
        <w:pStyle w:val="3"/>
        <w:rPr>
          <w:rFonts w:cs="Simplified Arabic"/>
          <w:color w:val="auto"/>
        </w:rPr>
      </w:pPr>
      <w:bookmarkStart w:id="69" w:name="_Toc235125843"/>
      <w:r w:rsidRPr="00BF65CE">
        <w:rPr>
          <w:rFonts w:cs="Simplified Arabic"/>
          <w:color w:val="auto"/>
          <w:rtl/>
        </w:rPr>
        <w:t>اختبار الفرضيات المباشرة</w:t>
      </w:r>
      <w:bookmarkEnd w:id="69"/>
    </w:p>
    <w:p w14:paraId="7F373C7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جرى اختبار الفرضيات المباشرة من خلال فحص معاملات المسار المعيارية بين المتغيرات الكامنة ومستوى دلالتها الإحصائية المُعبَّر عنها بالنسبة الحرجة (C.R.) وقيمة الاحتمال (P). ويلخّص الجدول (4-3) نتائج هذا الاختبار.</w:t>
      </w:r>
    </w:p>
    <w:p w14:paraId="0516EAC3" w14:textId="77777777" w:rsidR="00D31A7A" w:rsidRPr="00BF65CE" w:rsidRDefault="00D31A7A" w:rsidP="002071EC">
      <w:pPr>
        <w:pStyle w:val="TableCaption"/>
        <w:jc w:val="both"/>
        <w:rPr>
          <w:rFonts w:ascii="Simplified Arabic" w:hAnsi="Simplified Arabic" w:cs="Simplified Arabic"/>
          <w:rtl/>
        </w:rPr>
      </w:pPr>
    </w:p>
    <w:p w14:paraId="5B38EC5E"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(4-3): نتائج اختبار المسارات المباشرة في النموذج البنائي</w:t>
      </w:r>
    </w:p>
    <w:tbl>
      <w:tblPr>
        <w:tblStyle w:val="12"/>
        <w:bidiVisual/>
        <w:tblW w:w="5000" w:type="pct"/>
        <w:tblLook w:val="0620" w:firstRow="1" w:lastRow="0" w:firstColumn="0" w:lastColumn="0" w:noHBand="1" w:noVBand="1"/>
      </w:tblPr>
      <w:tblGrid>
        <w:gridCol w:w="2956"/>
        <w:gridCol w:w="1668"/>
        <w:gridCol w:w="1794"/>
        <w:gridCol w:w="1526"/>
        <w:gridCol w:w="834"/>
      </w:tblGrid>
      <w:tr w:rsidR="00E457CD" w:rsidRPr="00BF65CE" w14:paraId="32007A03" w14:textId="77777777" w:rsidTr="007D28E1">
        <w:trPr>
          <w:cnfStyle w:val="100000000000" w:firstRow="1" w:lastRow="0" w:firstColumn="0" w:lastColumn="0" w:oddVBand="0" w:evenVBand="0" w:oddHBand="0" w:evenHBand="0" w:firstRowFirstColumn="0" w:firstRowLastColumn="0" w:lastRowFirstColumn="0" w:lastRowLastColumn="0"/>
        </w:trPr>
        <w:tc>
          <w:tcPr>
            <w:tcW w:w="1684" w:type="pct"/>
            <w:vAlign w:val="center"/>
          </w:tcPr>
          <w:p w14:paraId="31D0AE7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المسار</w:t>
            </w:r>
          </w:p>
        </w:tc>
        <w:tc>
          <w:tcPr>
            <w:tcW w:w="950" w:type="pct"/>
            <w:vAlign w:val="center"/>
          </w:tcPr>
          <w:p w14:paraId="2DC1B65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المعامل المعياري (</w:t>
            </w:r>
            <w:r w:rsidRPr="00BF65CE">
              <w:rPr>
                <w:rFonts w:ascii="Cambria" w:hAnsi="Cambria" w:cs="Cambria" w:hint="cs"/>
                <w:rtl/>
              </w:rPr>
              <w:t>β</w:t>
            </w:r>
            <w:r w:rsidRPr="00BF65CE">
              <w:rPr>
                <w:rFonts w:ascii="Simplified Arabic" w:hAnsi="Simplified Arabic" w:cs="Simplified Arabic"/>
                <w:rtl/>
              </w:rPr>
              <w:t>)</w:t>
            </w:r>
          </w:p>
        </w:tc>
        <w:tc>
          <w:tcPr>
            <w:tcW w:w="1022" w:type="pct"/>
            <w:vAlign w:val="center"/>
          </w:tcPr>
          <w:p w14:paraId="7B7C05E8"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النسبة الحرجة (C.R.)</w:t>
            </w:r>
          </w:p>
        </w:tc>
        <w:tc>
          <w:tcPr>
            <w:tcW w:w="869" w:type="pct"/>
            <w:vAlign w:val="center"/>
          </w:tcPr>
          <w:p w14:paraId="5FFB963B"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مستوى الدلالة (P)</w:t>
            </w:r>
          </w:p>
        </w:tc>
        <w:tc>
          <w:tcPr>
            <w:tcW w:w="475" w:type="pct"/>
            <w:vAlign w:val="center"/>
          </w:tcPr>
          <w:p w14:paraId="51BF468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4C310E4F" w14:textId="77777777" w:rsidTr="007D28E1">
        <w:tc>
          <w:tcPr>
            <w:tcW w:w="1684" w:type="pct"/>
            <w:vAlign w:val="center"/>
          </w:tcPr>
          <w:p w14:paraId="575592F0"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الاستقطاب التنظيمي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08F2F6D4"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0.427</w:t>
            </w:r>
          </w:p>
        </w:tc>
        <w:tc>
          <w:tcPr>
            <w:tcW w:w="1022" w:type="pct"/>
            <w:vAlign w:val="center"/>
          </w:tcPr>
          <w:p w14:paraId="6BF3DD3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3.672</w:t>
            </w:r>
          </w:p>
        </w:tc>
        <w:tc>
          <w:tcPr>
            <w:tcW w:w="869" w:type="pct"/>
            <w:vAlign w:val="center"/>
          </w:tcPr>
          <w:p w14:paraId="057B25CF"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606635F6"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6AB8C2FC" w14:textId="77777777" w:rsidTr="007D28E1">
        <w:tc>
          <w:tcPr>
            <w:tcW w:w="1684" w:type="pct"/>
            <w:vAlign w:val="center"/>
          </w:tcPr>
          <w:p w14:paraId="10FED4C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1B35953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0.545</w:t>
            </w:r>
          </w:p>
        </w:tc>
        <w:tc>
          <w:tcPr>
            <w:tcW w:w="1022" w:type="pct"/>
            <w:vAlign w:val="center"/>
          </w:tcPr>
          <w:p w14:paraId="71AAE873"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5.494</w:t>
            </w:r>
          </w:p>
        </w:tc>
        <w:tc>
          <w:tcPr>
            <w:tcW w:w="869" w:type="pct"/>
            <w:vAlign w:val="center"/>
          </w:tcPr>
          <w:p w14:paraId="44A472D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73D5C378"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534D6778" w14:textId="77777777" w:rsidTr="007D28E1">
        <w:tc>
          <w:tcPr>
            <w:tcW w:w="1684" w:type="pct"/>
            <w:vAlign w:val="center"/>
          </w:tcPr>
          <w:p w14:paraId="4D1D2912"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الاستقطاب التنظيمي </w:t>
            </w:r>
            <w:r w:rsidRPr="00BF65CE">
              <w:rPr>
                <w:rFonts w:ascii="Times New Roman" w:hAnsi="Times New Roman" w:cs="Times New Roman" w:hint="cs"/>
                <w:rtl/>
              </w:rPr>
              <w:t>←</w:t>
            </w:r>
            <w:r w:rsidRPr="00BF65CE">
              <w:rPr>
                <w:rFonts w:ascii="Simplified Arabic" w:hAnsi="Simplified Arabic" w:cs="Simplified Arabic"/>
                <w:rtl/>
              </w:rPr>
              <w:t xml:space="preserve"> الإبداع المؤسسي</w:t>
            </w:r>
          </w:p>
        </w:tc>
        <w:tc>
          <w:tcPr>
            <w:tcW w:w="950" w:type="pct"/>
            <w:vAlign w:val="center"/>
          </w:tcPr>
          <w:p w14:paraId="72BD641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0.665</w:t>
            </w:r>
          </w:p>
        </w:tc>
        <w:tc>
          <w:tcPr>
            <w:tcW w:w="1022" w:type="pct"/>
            <w:vAlign w:val="center"/>
          </w:tcPr>
          <w:p w14:paraId="66B69ECC"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5.597</w:t>
            </w:r>
          </w:p>
        </w:tc>
        <w:tc>
          <w:tcPr>
            <w:tcW w:w="869" w:type="pct"/>
            <w:vAlign w:val="center"/>
          </w:tcPr>
          <w:p w14:paraId="06F6F877"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أقل من 0.001</w:t>
            </w:r>
          </w:p>
        </w:tc>
        <w:tc>
          <w:tcPr>
            <w:tcW w:w="475" w:type="pct"/>
            <w:vAlign w:val="center"/>
          </w:tcPr>
          <w:p w14:paraId="4BA6A67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دالة</w:t>
            </w:r>
          </w:p>
        </w:tc>
      </w:tr>
      <w:tr w:rsidR="00E457CD" w:rsidRPr="00BF65CE" w14:paraId="656A3A55" w14:textId="77777777" w:rsidTr="007D28E1">
        <w:tc>
          <w:tcPr>
            <w:tcW w:w="1684" w:type="pct"/>
            <w:vAlign w:val="center"/>
          </w:tcPr>
          <w:p w14:paraId="5B87359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الإبداع المؤسسي</w:t>
            </w:r>
          </w:p>
        </w:tc>
        <w:tc>
          <w:tcPr>
            <w:tcW w:w="950" w:type="pct"/>
            <w:vAlign w:val="center"/>
          </w:tcPr>
          <w:p w14:paraId="6D1EE6BF"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0.041</w:t>
            </w:r>
          </w:p>
        </w:tc>
        <w:tc>
          <w:tcPr>
            <w:tcW w:w="1022" w:type="pct"/>
            <w:vAlign w:val="center"/>
          </w:tcPr>
          <w:p w14:paraId="55871CE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0.409</w:t>
            </w:r>
          </w:p>
        </w:tc>
        <w:tc>
          <w:tcPr>
            <w:tcW w:w="869" w:type="pct"/>
            <w:vAlign w:val="center"/>
          </w:tcPr>
          <w:p w14:paraId="3B6BC85E"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0.682</w:t>
            </w:r>
          </w:p>
        </w:tc>
        <w:tc>
          <w:tcPr>
            <w:tcW w:w="475" w:type="pct"/>
            <w:vAlign w:val="center"/>
          </w:tcPr>
          <w:p w14:paraId="30F295D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3D772164" w14:textId="77777777" w:rsidTr="007D28E1">
        <w:tc>
          <w:tcPr>
            <w:tcW w:w="1684" w:type="pct"/>
            <w:vAlign w:val="center"/>
          </w:tcPr>
          <w:p w14:paraId="374CACB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 xml:space="preserve">الإبداع المؤسسي </w:t>
            </w:r>
            <w:r w:rsidRPr="00BF65CE">
              <w:rPr>
                <w:rFonts w:ascii="Times New Roman" w:hAnsi="Times New Roman" w:cs="Times New Roman" w:hint="cs"/>
                <w:rtl/>
              </w:rPr>
              <w:t>←</w:t>
            </w:r>
            <w:r w:rsidRPr="00BF65CE">
              <w:rPr>
                <w:rFonts w:ascii="Simplified Arabic" w:hAnsi="Simplified Arabic" w:cs="Simplified Arabic"/>
                <w:rtl/>
              </w:rPr>
              <w:t xml:space="preserve"> التميز المؤسسي</w:t>
            </w:r>
          </w:p>
        </w:tc>
        <w:tc>
          <w:tcPr>
            <w:tcW w:w="950" w:type="pct"/>
            <w:vAlign w:val="center"/>
          </w:tcPr>
          <w:p w14:paraId="1389C5A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-0.070</w:t>
            </w:r>
          </w:p>
        </w:tc>
        <w:tc>
          <w:tcPr>
            <w:tcW w:w="1022" w:type="pct"/>
            <w:vAlign w:val="center"/>
          </w:tcPr>
          <w:p w14:paraId="2770C98D"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-0.913</w:t>
            </w:r>
          </w:p>
        </w:tc>
        <w:tc>
          <w:tcPr>
            <w:tcW w:w="869" w:type="pct"/>
            <w:vAlign w:val="center"/>
          </w:tcPr>
          <w:p w14:paraId="2CF0E1F1"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rtl/>
              </w:rPr>
              <w:t>0.361</w:t>
            </w:r>
          </w:p>
        </w:tc>
        <w:tc>
          <w:tcPr>
            <w:tcW w:w="475" w:type="pct"/>
            <w:vAlign w:val="center"/>
          </w:tcPr>
          <w:p w14:paraId="3018AB7A" w14:textId="77777777" w:rsidR="00E457CD" w:rsidRPr="00BF65CE" w:rsidRDefault="00014347" w:rsidP="007D28E1">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1E48CA67"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w:t>
      </w:r>
    </w:p>
    <w:p w14:paraId="6989996C" w14:textId="77777777" w:rsidR="00E457CD" w:rsidRPr="00BF65CE" w:rsidRDefault="00E457CD" w:rsidP="002071EC">
      <w:pPr>
        <w:spacing w:after="80"/>
        <w:jc w:val="both"/>
        <w:rPr>
          <w:rFonts w:ascii="Simplified Arabic" w:hAnsi="Simplified Arabic" w:cs="Simplified Arabic"/>
        </w:rPr>
      </w:pPr>
    </w:p>
    <w:p w14:paraId="5ECFB36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 xml:space="preserve">يتّضح من الجدول (4-3) وجود أثر إيجابي دال إحصائياً للاستقطاب التنظيمي في التميز المؤسسي، إذ بلغ المعامل المعياري للمسار (0.427) بمستوى دلالة أقل من (0.001)، كما تبيّن وجود أثر إيجابي دال إحصائياً لتطبيقات الذكاء الاصطناعي في التميز المؤسسي بمعامل معياري بلغ (0.545) بمستوى الدلالة ذاته. وبناءً على ذلك، تُقبل الفرضية </w:t>
      </w:r>
      <w:r w:rsidRPr="00BF65CE">
        <w:rPr>
          <w:rFonts w:ascii="Simplified Arabic" w:hAnsi="Simplified Arabic" w:cs="Simplified Arabic"/>
          <w:rtl/>
        </w:rPr>
        <w:lastRenderedPageBreak/>
        <w:t>الأولى التي تنص على وجود أثر ذي دلالة إحصائية للاستقطاب التنظيمي في التميز المؤسسي، كما تُقبل الفرضية الثانية التي تنص على وجود أثر ذي دلالة إحصائية لتطبيقات الذكاء الاصطناعي في التميز المؤسسي.</w:t>
      </w:r>
    </w:p>
    <w:p w14:paraId="61234BB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 المقابل، جاء أثر الاستقطاب التنظيمي في الإبداع المؤسسي قوياً ودالاً إحصائياً بمعامل معياري بلغ (0.665)، في حين لم يكن أثر تطبيقات الذكاء الاصطناعي في الإبداع المؤسسي دالاً إحصائياً، إذ بلغ معامله (0.041) بمستوى دلالة (0.682) وهو أكبر من (0.05). أما أثر الإبداع المؤسسي في التميز المؤسسي فقد جاء ضعيفاً وغير دال إحصائياً، بل اتّخذ إشارةً سالبة بلغت (0.070-) بمستوى دلالة (0.361).</w:t>
      </w:r>
    </w:p>
    <w:p w14:paraId="221C93A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ويُظهِر النموذج قدرةً تفسيرية مرتفعة، إذ بلغ معامل التحديد (R²) للتميز المؤسسي (0.748)، أي أن النموذج يفسّر نحو (74.8%) من التباين فيه، في حين بلغ معامل التحديد للإبداع المؤسسي (0.485) بما يفسّر نحو (48.5%) من تباينه. كما أشارت النتائج إلى ارتباط موجب قوي بين المتغيرين المستقلَّين (الاستقطاب التنظيمي وتطبيقات الذكاء الاصطناعي) بلغت قيمته المعيارية (0.745) وبدلالة أقل من (0.001).</w:t>
      </w:r>
    </w:p>
    <w:p w14:paraId="3D5873C3" w14:textId="77777777" w:rsidR="00E457CD" w:rsidRPr="00BF65CE" w:rsidRDefault="00014347" w:rsidP="00DE7D61">
      <w:pPr>
        <w:pStyle w:val="3"/>
        <w:rPr>
          <w:rFonts w:cs="Simplified Arabic"/>
          <w:color w:val="auto"/>
        </w:rPr>
      </w:pPr>
      <w:bookmarkStart w:id="70" w:name="_Toc235125844"/>
      <w:r w:rsidRPr="00BF65CE">
        <w:rPr>
          <w:rFonts w:cs="Simplified Arabic"/>
          <w:color w:val="auto"/>
          <w:rtl/>
        </w:rPr>
        <w:t>اختبار الأثر الوسيط (الفرضيات غير المباشرة)</w:t>
      </w:r>
      <w:bookmarkEnd w:id="70"/>
    </w:p>
    <w:p w14:paraId="055DC56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لاختبار الدور الوسيط للإبداع المؤسسي، اعتُمد أسلوب إعادة المعاينة (Bootstrapping) بعدد (2000) عينة فرعية، مع احتساب فترات الثقة المصحَّحة للتحيّز (Bias-Corrected Confidence Intervals) عند مستوى ثقة (95%). وتقوم القاعدة الإحصائية في هذا الأسلوب على عدّ الأثر غير المباشر دالاً إذا لم تتضمّن فترة الثقة القيمة (صفر) بين حدَّيها الأدنى والأعلى.</w:t>
      </w:r>
    </w:p>
    <w:p w14:paraId="7969BCED"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(4-4): نتائج اختبار الأثر الوسيط بأسلوب Bootstrap (المعاملات المعيارية</w:t>
      </w:r>
      <w:r w:rsidR="00D31A7A" w:rsidRPr="00BF65CE">
        <w:rPr>
          <w:rFonts w:ascii="Simplified Arabic" w:hAnsi="Simplified Arabic" w:cs="Simplified Arabic"/>
        </w:rPr>
        <w:t>(</w:t>
      </w:r>
    </w:p>
    <w:tbl>
      <w:tblPr>
        <w:tblStyle w:val="12"/>
        <w:bidiVisual/>
        <w:tblW w:w="5000" w:type="pct"/>
        <w:tblLook w:val="0620" w:firstRow="1" w:lastRow="0" w:firstColumn="0" w:lastColumn="0" w:noHBand="1" w:noVBand="1"/>
      </w:tblPr>
      <w:tblGrid>
        <w:gridCol w:w="3450"/>
        <w:gridCol w:w="1320"/>
        <w:gridCol w:w="1106"/>
        <w:gridCol w:w="1146"/>
        <w:gridCol w:w="834"/>
        <w:gridCol w:w="922"/>
      </w:tblGrid>
      <w:tr w:rsidR="00E457CD" w:rsidRPr="00BF65CE" w14:paraId="72E237A4" w14:textId="77777777" w:rsidTr="00D83483">
        <w:trPr>
          <w:cnfStyle w:val="100000000000" w:firstRow="1" w:lastRow="0" w:firstColumn="0" w:lastColumn="0" w:oddVBand="0" w:evenVBand="0" w:oddHBand="0" w:evenHBand="0" w:firstRowFirstColumn="0" w:firstRowLastColumn="0" w:lastRowFirstColumn="0" w:lastRowLastColumn="0"/>
        </w:trPr>
        <w:tc>
          <w:tcPr>
            <w:tcW w:w="1965" w:type="pct"/>
            <w:vAlign w:val="center"/>
          </w:tcPr>
          <w:p w14:paraId="6881D41F"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المسار غير المباشر</w:t>
            </w:r>
          </w:p>
        </w:tc>
        <w:tc>
          <w:tcPr>
            <w:tcW w:w="752" w:type="pct"/>
            <w:vAlign w:val="center"/>
          </w:tcPr>
          <w:p w14:paraId="57B3850C"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الأثر المعياري</w:t>
            </w:r>
          </w:p>
        </w:tc>
        <w:tc>
          <w:tcPr>
            <w:tcW w:w="630" w:type="pct"/>
            <w:vAlign w:val="center"/>
          </w:tcPr>
          <w:p w14:paraId="1D040AC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الأدنى</w:t>
            </w:r>
          </w:p>
        </w:tc>
        <w:tc>
          <w:tcPr>
            <w:tcW w:w="653" w:type="pct"/>
            <w:vAlign w:val="center"/>
          </w:tcPr>
          <w:p w14:paraId="3F1D6F7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الحد الأعلى</w:t>
            </w:r>
          </w:p>
        </w:tc>
        <w:tc>
          <w:tcPr>
            <w:tcW w:w="475" w:type="pct"/>
            <w:vAlign w:val="center"/>
          </w:tcPr>
          <w:p w14:paraId="67494061"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الدلالة</w:t>
            </w:r>
          </w:p>
        </w:tc>
        <w:tc>
          <w:tcPr>
            <w:tcW w:w="525" w:type="pct"/>
            <w:vAlign w:val="center"/>
          </w:tcPr>
          <w:p w14:paraId="0037AC86"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القرار</w:t>
            </w:r>
          </w:p>
        </w:tc>
      </w:tr>
      <w:tr w:rsidR="00E457CD" w:rsidRPr="00BF65CE" w14:paraId="293B1108" w14:textId="77777777" w:rsidTr="00D83483">
        <w:tc>
          <w:tcPr>
            <w:tcW w:w="1965" w:type="pct"/>
            <w:vAlign w:val="center"/>
          </w:tcPr>
          <w:p w14:paraId="6B7D79CD"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 xml:space="preserve">الاستقطاب </w:t>
            </w:r>
            <w:r w:rsidRPr="00BF65CE">
              <w:rPr>
                <w:rFonts w:ascii="Times New Roman" w:hAnsi="Times New Roman" w:cs="Times New Roman" w:hint="cs"/>
                <w:rtl/>
              </w:rPr>
              <w:t>←</w:t>
            </w:r>
            <w:r w:rsidRPr="00BF65CE">
              <w:rPr>
                <w:rFonts w:ascii="Simplified Arabic" w:hAnsi="Simplified Arabic" w:cs="Simplified Arabic"/>
                <w:rtl/>
              </w:rPr>
              <w:t xml:space="preserve"> الإبداع </w:t>
            </w:r>
            <w:r w:rsidRPr="00BF65CE">
              <w:rPr>
                <w:rFonts w:ascii="Times New Roman" w:hAnsi="Times New Roman" w:cs="Times New Roman" w:hint="cs"/>
                <w:rtl/>
              </w:rPr>
              <w:t>←</w:t>
            </w:r>
            <w:r w:rsidRPr="00BF65CE">
              <w:rPr>
                <w:rFonts w:ascii="Simplified Arabic" w:hAnsi="Simplified Arabic" w:cs="Simplified Arabic"/>
                <w:rtl/>
              </w:rPr>
              <w:t xml:space="preserve"> التميز</w:t>
            </w:r>
          </w:p>
        </w:tc>
        <w:tc>
          <w:tcPr>
            <w:tcW w:w="752" w:type="pct"/>
            <w:vAlign w:val="center"/>
          </w:tcPr>
          <w:p w14:paraId="47B692DA"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-0.046</w:t>
            </w:r>
          </w:p>
        </w:tc>
        <w:tc>
          <w:tcPr>
            <w:tcW w:w="630" w:type="pct"/>
            <w:vAlign w:val="center"/>
          </w:tcPr>
          <w:p w14:paraId="422C85E5"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-0.230</w:t>
            </w:r>
          </w:p>
        </w:tc>
        <w:tc>
          <w:tcPr>
            <w:tcW w:w="653" w:type="pct"/>
            <w:vAlign w:val="center"/>
          </w:tcPr>
          <w:p w14:paraId="41196DB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0.092</w:t>
            </w:r>
          </w:p>
        </w:tc>
        <w:tc>
          <w:tcPr>
            <w:tcW w:w="475" w:type="pct"/>
            <w:vAlign w:val="center"/>
          </w:tcPr>
          <w:p w14:paraId="0793094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0.506</w:t>
            </w:r>
          </w:p>
        </w:tc>
        <w:tc>
          <w:tcPr>
            <w:tcW w:w="525" w:type="pct"/>
            <w:vAlign w:val="center"/>
          </w:tcPr>
          <w:p w14:paraId="2ED7D60A"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r w:rsidR="00E457CD" w:rsidRPr="00BF65CE" w14:paraId="5E4359F1" w14:textId="77777777" w:rsidTr="00D83483">
        <w:tc>
          <w:tcPr>
            <w:tcW w:w="1965" w:type="pct"/>
            <w:vAlign w:val="center"/>
          </w:tcPr>
          <w:p w14:paraId="5A0919C0"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 xml:space="preserve">الذكاء الاصطناعي </w:t>
            </w:r>
            <w:r w:rsidRPr="00BF65CE">
              <w:rPr>
                <w:rFonts w:ascii="Times New Roman" w:hAnsi="Times New Roman" w:cs="Times New Roman" w:hint="cs"/>
                <w:rtl/>
              </w:rPr>
              <w:t>←</w:t>
            </w:r>
            <w:r w:rsidRPr="00BF65CE">
              <w:rPr>
                <w:rFonts w:ascii="Simplified Arabic" w:hAnsi="Simplified Arabic" w:cs="Simplified Arabic"/>
                <w:rtl/>
              </w:rPr>
              <w:t xml:space="preserve"> الإبداع </w:t>
            </w:r>
            <w:r w:rsidRPr="00BF65CE">
              <w:rPr>
                <w:rFonts w:ascii="Times New Roman" w:hAnsi="Times New Roman" w:cs="Times New Roman" w:hint="cs"/>
                <w:rtl/>
              </w:rPr>
              <w:t>←</w:t>
            </w:r>
            <w:r w:rsidRPr="00BF65CE">
              <w:rPr>
                <w:rFonts w:ascii="Simplified Arabic" w:hAnsi="Simplified Arabic" w:cs="Simplified Arabic"/>
                <w:rtl/>
              </w:rPr>
              <w:t xml:space="preserve"> التميز</w:t>
            </w:r>
          </w:p>
        </w:tc>
        <w:tc>
          <w:tcPr>
            <w:tcW w:w="752" w:type="pct"/>
            <w:vAlign w:val="center"/>
          </w:tcPr>
          <w:p w14:paraId="2A2DBD48"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-0.003</w:t>
            </w:r>
          </w:p>
        </w:tc>
        <w:tc>
          <w:tcPr>
            <w:tcW w:w="630" w:type="pct"/>
            <w:vAlign w:val="center"/>
          </w:tcPr>
          <w:p w14:paraId="37C34787"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-0.062</w:t>
            </w:r>
          </w:p>
        </w:tc>
        <w:tc>
          <w:tcPr>
            <w:tcW w:w="653" w:type="pct"/>
            <w:vAlign w:val="center"/>
          </w:tcPr>
          <w:p w14:paraId="599BCDC0"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0.023</w:t>
            </w:r>
          </w:p>
        </w:tc>
        <w:tc>
          <w:tcPr>
            <w:tcW w:w="475" w:type="pct"/>
            <w:vAlign w:val="center"/>
          </w:tcPr>
          <w:p w14:paraId="49311212"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rtl/>
              </w:rPr>
              <w:t>0.552</w:t>
            </w:r>
          </w:p>
        </w:tc>
        <w:tc>
          <w:tcPr>
            <w:tcW w:w="525" w:type="pct"/>
            <w:vAlign w:val="center"/>
          </w:tcPr>
          <w:p w14:paraId="7A8F15C7" w14:textId="77777777" w:rsidR="00E457CD" w:rsidRPr="00BF65CE" w:rsidRDefault="00014347" w:rsidP="00D83483">
            <w:pPr>
              <w:jc w:val="center"/>
              <w:rPr>
                <w:rFonts w:ascii="Simplified Arabic" w:hAnsi="Simplified Arabic" w:cs="Simplified Arabic"/>
              </w:rPr>
            </w:pPr>
            <w:r w:rsidRPr="00BF65CE">
              <w:rPr>
                <w:rFonts w:ascii="Simplified Arabic" w:hAnsi="Simplified Arabic" w:cs="Simplified Arabic"/>
                <w:b/>
                <w:bCs/>
                <w:rtl/>
              </w:rPr>
              <w:t>غير دالة</w:t>
            </w:r>
          </w:p>
        </w:tc>
      </w:tr>
    </w:tbl>
    <w:p w14:paraId="58DE6CE8"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مخرجات برنامج AMOS بأسلوب Bootstrap.</w:t>
      </w:r>
    </w:p>
    <w:p w14:paraId="6804F1DF" w14:textId="77777777" w:rsidR="00E457CD" w:rsidRPr="00BF65CE" w:rsidRDefault="00E457CD" w:rsidP="002071EC">
      <w:pPr>
        <w:spacing w:after="80"/>
        <w:jc w:val="both"/>
        <w:rPr>
          <w:rFonts w:ascii="Simplified Arabic" w:hAnsi="Simplified Arabic" w:cs="Simplified Arabic"/>
        </w:rPr>
      </w:pPr>
    </w:p>
    <w:p w14:paraId="20BFDFF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تكشف نتائج الجدول (4-4) أن الأثر غير المباشر للاستقطاب التنظيمي في التميز المؤسسي عبر الإبداع المؤسسي لم يكن دالاً إحصائياً، إذ امتدّت فترة الثقة المصحَّحة للتحيّز بين (0.230-) و(0.092) متضمّنةً القيمة صفر، فضلاً عن أن مستوى الدلالة بلغ (0.506). وعلى نحوٍ مماثل، جاء الأثر غير المباشر لتطبيقات الذكاء الاصطناعي في التميز المؤسسي عبر الإبداع المؤسسي غير دال إحصائياً، حيث امتدّت فترة الثقة بين (0.062-) و(0.023) متضمّنةً القيمة صفر بمستوى دلالة (0.552).</w:t>
      </w:r>
    </w:p>
    <w:p w14:paraId="7BFED18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وبناءً على نتائج اختبار الأثر غير المباشر، تُرفض الفرضية الثالثة المتعلقة بوساطة الإبداع المؤسسي في العلاقة بين الاستقطاب التنظيمي والتميز المؤسسي، كما تُرفض الفرضية الرابعة المتعلقة بوساطة الإبداع المؤسسي في العلاقة بين تطبيقات الذكاء الاصطناعي والتميز المؤسسي؛ لأن فترتي الثقة تضمنتَا القيمة صفر ولم يكن الأثران غير المباشرين دالَّين إحصائيًا.</w:t>
      </w:r>
    </w:p>
    <w:p w14:paraId="79BA067B" w14:textId="77777777" w:rsidR="00E457CD" w:rsidRPr="00BF65CE" w:rsidRDefault="00014347" w:rsidP="00DE7D61">
      <w:pPr>
        <w:pStyle w:val="2"/>
        <w:rPr>
          <w:rFonts w:cs="Simplified Arabic"/>
          <w:color w:val="auto"/>
        </w:rPr>
      </w:pPr>
      <w:bookmarkStart w:id="71" w:name="_Toc235125845"/>
      <w:r w:rsidRPr="00BF65CE">
        <w:rPr>
          <w:rFonts w:cs="Simplified Arabic"/>
          <w:color w:val="auto"/>
          <w:rtl/>
        </w:rPr>
        <w:t>ملخص نتائج اختبار الفرضيات</w:t>
      </w:r>
      <w:bookmarkEnd w:id="71"/>
    </w:p>
    <w:p w14:paraId="70978B0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يلخّص الجدول (4-5) نتائج اختبار فرضيات الدراسة المباشرة وغير المباشرة، مقرونةً بالتساؤل البحثي المرتبط بكل فرضية وأسلوب التحليل الإحصائي المُستخدَم؛ ذلك أن نتيجة اختبار كل فرضية بالقبول أو الرفض تمثّل في جوهرها إجابةً عن التساؤل البحثي المقابل لها.</w:t>
      </w:r>
    </w:p>
    <w:p w14:paraId="00BE60FF"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(4-5): ملخص نتائج اختبار الفرضيات وإجابات تساؤلات الدراسة</w:t>
      </w:r>
    </w:p>
    <w:tbl>
      <w:tblPr>
        <w:tblStyle w:val="12"/>
        <w:bidiVisual/>
        <w:tblW w:w="5000" w:type="pct"/>
        <w:tblLook w:val="0620" w:firstRow="1" w:lastRow="0" w:firstColumn="0" w:lastColumn="0" w:noHBand="1" w:noVBand="1"/>
      </w:tblPr>
      <w:tblGrid>
        <w:gridCol w:w="2941"/>
        <w:gridCol w:w="3297"/>
        <w:gridCol w:w="1631"/>
        <w:gridCol w:w="909"/>
      </w:tblGrid>
      <w:tr w:rsidR="00E457CD" w:rsidRPr="00BF65CE" w14:paraId="40FF2E15" w14:textId="77777777" w:rsidTr="00314EA5">
        <w:trPr>
          <w:cnfStyle w:val="100000000000" w:firstRow="1" w:lastRow="0" w:firstColumn="0" w:lastColumn="0" w:oddVBand="0" w:evenVBand="0" w:oddHBand="0" w:evenHBand="0" w:firstRowFirstColumn="0" w:firstRowLastColumn="0" w:lastRowFirstColumn="0" w:lastRowLastColumn="0"/>
        </w:trPr>
        <w:tc>
          <w:tcPr>
            <w:tcW w:w="1675" w:type="pct"/>
            <w:vAlign w:val="center"/>
          </w:tcPr>
          <w:p w14:paraId="229BC01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التساؤل البحثي</w:t>
            </w:r>
          </w:p>
        </w:tc>
        <w:tc>
          <w:tcPr>
            <w:tcW w:w="1878" w:type="pct"/>
            <w:vAlign w:val="center"/>
          </w:tcPr>
          <w:p w14:paraId="4C245D8A"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الفرضية</w:t>
            </w:r>
          </w:p>
        </w:tc>
        <w:tc>
          <w:tcPr>
            <w:tcW w:w="929" w:type="pct"/>
            <w:vAlign w:val="center"/>
          </w:tcPr>
          <w:p w14:paraId="2A2544CC"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أسلوب التحليل الإحصائي</w:t>
            </w:r>
          </w:p>
        </w:tc>
        <w:tc>
          <w:tcPr>
            <w:tcW w:w="518" w:type="pct"/>
            <w:vAlign w:val="center"/>
          </w:tcPr>
          <w:p w14:paraId="72CD172E"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النتيجة</w:t>
            </w:r>
          </w:p>
        </w:tc>
      </w:tr>
      <w:tr w:rsidR="00E457CD" w:rsidRPr="00BF65CE" w14:paraId="0F349C47" w14:textId="77777777" w:rsidTr="00314EA5">
        <w:tc>
          <w:tcPr>
            <w:tcW w:w="1675" w:type="pct"/>
            <w:vAlign w:val="center"/>
          </w:tcPr>
          <w:p w14:paraId="1897A489"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الاستقطاب التنظيمي على التميز المؤسسي في مستشفياتالقطاع الصحي الخاص في الرياض؟</w:t>
            </w:r>
          </w:p>
        </w:tc>
        <w:tc>
          <w:tcPr>
            <w:tcW w:w="1878" w:type="pct"/>
            <w:vAlign w:val="center"/>
          </w:tcPr>
          <w:p w14:paraId="0C8FEB7F"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للاستقطاب التنظيمي على التميز المؤسسي في مستشفيات القطاع الصحي الخاص بمدينة الرياض.</w:t>
            </w:r>
          </w:p>
        </w:tc>
        <w:tc>
          <w:tcPr>
            <w:tcW w:w="929" w:type="pct"/>
            <w:vAlign w:val="center"/>
          </w:tcPr>
          <w:p w14:paraId="084A24CE"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(الأثر المباشر)</w:t>
            </w:r>
          </w:p>
        </w:tc>
        <w:tc>
          <w:tcPr>
            <w:tcW w:w="518" w:type="pct"/>
            <w:vAlign w:val="center"/>
          </w:tcPr>
          <w:p w14:paraId="1F72B91F"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285516B8" w14:textId="77777777" w:rsidTr="00314EA5">
        <w:tc>
          <w:tcPr>
            <w:tcW w:w="1675" w:type="pct"/>
            <w:vAlign w:val="center"/>
          </w:tcPr>
          <w:p w14:paraId="705C043D"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أثر تطبيقات الذكاء الاصطناعي على التميز المؤسسي في مستشفيات القطاع الصحي الخاص في الرياض؟</w:t>
            </w:r>
          </w:p>
        </w:tc>
        <w:tc>
          <w:tcPr>
            <w:tcW w:w="1878" w:type="pct"/>
            <w:vAlign w:val="center"/>
          </w:tcPr>
          <w:p w14:paraId="151B9E0F"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ذو دلالة إحصائية لتطبيقات الذكاء الاصطناعي على التميز المؤسسي في مستشفيات القطاع الصحي الخاص بمدينة الرياض.</w:t>
            </w:r>
          </w:p>
        </w:tc>
        <w:tc>
          <w:tcPr>
            <w:tcW w:w="929" w:type="pct"/>
            <w:vAlign w:val="center"/>
          </w:tcPr>
          <w:p w14:paraId="5F8B6FB4"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تحليل المسار في النموذج البنائي (الأثر المباشر)</w:t>
            </w:r>
          </w:p>
        </w:tc>
        <w:tc>
          <w:tcPr>
            <w:tcW w:w="518" w:type="pct"/>
            <w:vAlign w:val="center"/>
          </w:tcPr>
          <w:p w14:paraId="0349267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قبول الفرضية</w:t>
            </w:r>
          </w:p>
        </w:tc>
      </w:tr>
      <w:tr w:rsidR="00E457CD" w:rsidRPr="00BF65CE" w14:paraId="337122B9" w14:textId="77777777" w:rsidTr="00314EA5">
        <w:tc>
          <w:tcPr>
            <w:tcW w:w="1675" w:type="pct"/>
            <w:vAlign w:val="center"/>
          </w:tcPr>
          <w:p w14:paraId="63555DDF"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lastRenderedPageBreak/>
              <w:t>ما دور الإبداع كمتغير وسيط بين الاستقطاب التنظيمي و التميز المؤسسي في مستشفيات القطاع الصحي الخاص في الرياض؟</w:t>
            </w:r>
          </w:p>
        </w:tc>
        <w:tc>
          <w:tcPr>
            <w:tcW w:w="1878" w:type="pct"/>
            <w:vAlign w:val="center"/>
          </w:tcPr>
          <w:p w14:paraId="5CFF1A5D"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غير مباشر ذو دلالة إحصائية للاستقطاب التنظيمي على التميز المؤسسي من خلال الإبداع المؤسسي في مستشفيات القطاع الصحي الخاص بمدينة الرياض.</w:t>
            </w:r>
          </w:p>
        </w:tc>
        <w:tc>
          <w:tcPr>
            <w:tcW w:w="929" w:type="pct"/>
            <w:vAlign w:val="center"/>
          </w:tcPr>
          <w:p w14:paraId="41A3404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اختبار الأثر غير المباشر بأسلوب Bootstrap</w:t>
            </w:r>
          </w:p>
        </w:tc>
        <w:tc>
          <w:tcPr>
            <w:tcW w:w="518" w:type="pct"/>
            <w:vAlign w:val="center"/>
          </w:tcPr>
          <w:p w14:paraId="2EE572C8"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رفض الفرضية</w:t>
            </w:r>
          </w:p>
        </w:tc>
      </w:tr>
      <w:tr w:rsidR="00E457CD" w:rsidRPr="00BF65CE" w14:paraId="398652C4" w14:textId="77777777" w:rsidTr="00314EA5">
        <w:tc>
          <w:tcPr>
            <w:tcW w:w="1675" w:type="pct"/>
            <w:vAlign w:val="center"/>
          </w:tcPr>
          <w:p w14:paraId="164DD24D"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ما دور الإبداع كمتغير وسيط بين تطبيقات الذكاء الاصطناعي و التميز المؤسسي في مستشفيات القطاع الصحي الخاص في الرياض؟</w:t>
            </w:r>
          </w:p>
        </w:tc>
        <w:tc>
          <w:tcPr>
            <w:tcW w:w="1878" w:type="pct"/>
            <w:vAlign w:val="center"/>
          </w:tcPr>
          <w:p w14:paraId="42898533"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يوجد أثر غير مباشر ذو دلالة إحصائية لتطبيقات الذكاء الاصطناعي على التميز المؤسسي من خلال الإبداع المؤسسي في مستشفيات القطاع الصحي الخاص بمدينة الرياض.</w:t>
            </w:r>
          </w:p>
        </w:tc>
        <w:tc>
          <w:tcPr>
            <w:tcW w:w="929" w:type="pct"/>
            <w:vAlign w:val="center"/>
          </w:tcPr>
          <w:p w14:paraId="30C7DC55"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rtl/>
              </w:rPr>
              <w:t>اختبار الأثر غير المباشر بأسلوب Bootstrap</w:t>
            </w:r>
          </w:p>
        </w:tc>
        <w:tc>
          <w:tcPr>
            <w:tcW w:w="518" w:type="pct"/>
            <w:vAlign w:val="center"/>
          </w:tcPr>
          <w:p w14:paraId="7E5C6472" w14:textId="77777777" w:rsidR="00E457CD" w:rsidRPr="00BF65CE" w:rsidRDefault="00014347" w:rsidP="00314EA5">
            <w:pPr>
              <w:jc w:val="center"/>
              <w:rPr>
                <w:rFonts w:ascii="Simplified Arabic" w:hAnsi="Simplified Arabic" w:cs="Simplified Arabic"/>
              </w:rPr>
            </w:pPr>
            <w:r w:rsidRPr="00BF65CE">
              <w:rPr>
                <w:rFonts w:ascii="Simplified Arabic" w:hAnsi="Simplified Arabic" w:cs="Simplified Arabic"/>
                <w:b/>
                <w:bCs/>
                <w:rtl/>
              </w:rPr>
              <w:t>رفض الفرضية</w:t>
            </w:r>
          </w:p>
        </w:tc>
      </w:tr>
    </w:tbl>
    <w:p w14:paraId="7121EB83"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التحليل الإحصائي للدراسة.</w:t>
      </w:r>
    </w:p>
    <w:p w14:paraId="3D54F747" w14:textId="77777777" w:rsidR="00E457CD" w:rsidRPr="00BF65CE" w:rsidRDefault="00E457CD" w:rsidP="002071EC">
      <w:pPr>
        <w:spacing w:after="80"/>
        <w:jc w:val="both"/>
        <w:rPr>
          <w:rFonts w:ascii="Simplified Arabic" w:hAnsi="Simplified Arabic" w:cs="Simplified Arabic"/>
        </w:rPr>
      </w:pPr>
    </w:p>
    <w:p w14:paraId="7F9F2DD7" w14:textId="77777777" w:rsidR="00E457CD" w:rsidRPr="00BF65CE" w:rsidRDefault="00014347" w:rsidP="00DE7D61">
      <w:pPr>
        <w:pStyle w:val="2"/>
        <w:rPr>
          <w:rFonts w:cs="Simplified Arabic"/>
          <w:color w:val="auto"/>
        </w:rPr>
      </w:pPr>
      <w:bookmarkStart w:id="72" w:name="_Toc235125846"/>
      <w:r w:rsidRPr="00BF65CE">
        <w:rPr>
          <w:rFonts w:cs="Simplified Arabic"/>
          <w:color w:val="auto"/>
          <w:rtl/>
        </w:rPr>
        <w:t>مناقشة النتائج وتفسيرها</w:t>
      </w:r>
      <w:bookmarkEnd w:id="72"/>
    </w:p>
    <w:p w14:paraId="18AE8326"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أظهرت نتائج الدراسة دعماً واضحاً للأثر المباشر لكلٍّ من الاستقطاب التنظيمي وتطبيقات الذكاء الاصطناعي في التميز المؤسسي. ويمكن تفسير ذلك بأن قدرة المستشفيات الخاصة على استقطاب الكفاءات المؤهلة وتوظيف تطبيقات الذكاء الاصطناعي في عملياتها تنعكس مباشرةً على مستوى تميّزها المؤسسي دون حاجةٍ إلى وسيط.</w:t>
      </w:r>
    </w:p>
    <w:p w14:paraId="79EA0DC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وفيما يتعلق بانتفاء الدور الوسيط للإبداع المؤسسي، فإن النتيجة تكتسب دلالةً مهمة عند ربطها بالمسارات المباشرة؛ إذ تبيّن أن الاستقطاب التنظيمي يؤثّر بقوة في الإبداع المؤسسي (0.665)، في حين لم يكن أثر تطبيقات الذكاء الاصطناعي فيه دالاً، كما لم يظهر للإبداع المؤسسي أثرٌ دال في التميز المؤسسي. وبانقطاع هذه الحلقة الأخيرة من سلسلة الوساطة يغدو الأثر غير المباشر منعدماً عملياً، وهو ما أكّدته فترات الثقة المتضمِّنة للقيمة صفر.</w:t>
      </w:r>
    </w:p>
    <w:p w14:paraId="2320C99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ويُحتمل أن يُعزى ضعف المسار من الإبداع المؤسسي إلى التميز المؤسسي إلى الارتباط المرتفع بين المتغيرين المستقلَّين (0.745)، الذي قد يحجب الإسهام الفريد لتطبيقات الذكاء الاصطناعي في الإبداع بعد إدخال الاستقطاب التنظيمي في النموذج. كما قد يكون لطبيعة البيئة الصحية في المستشفيات الخاصة دورٌ في ذلك، إذ تميل العلاقة بين المدخلات التنظيمية والتميز إلى أن تكون علاقةً تشغيلية مباشرة أكثر منها علاقةً تتوسّطها العمليات الإبداعية.</w:t>
      </w:r>
    </w:p>
    <w:p w14:paraId="3BE193D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وتجدر الإشارة إلى أن النتائج النافية للفرضيات تُعدّ نتائج علمية مشروعة تماماً، تُسهم في إثراء الأدب النظري وتدقيق فهم العلاقات بين المتغيرات، كما تفتح آفاقاً لدراساتٍ مستقبلية تتناول متغيرات وسيطة أو معدِّلة بديلة في سياقات مؤسسية مختلفة.</w:t>
      </w:r>
    </w:p>
    <w:p w14:paraId="57F0B874" w14:textId="77777777" w:rsidR="00E457CD" w:rsidRPr="00BF65CE" w:rsidRDefault="00014347" w:rsidP="00DE7D61">
      <w:pPr>
        <w:pStyle w:val="2"/>
        <w:rPr>
          <w:rFonts w:cs="Simplified Arabic"/>
          <w:color w:val="auto"/>
        </w:rPr>
      </w:pPr>
      <w:bookmarkStart w:id="73" w:name="_Toc235125847"/>
      <w:r w:rsidRPr="00BF65CE">
        <w:rPr>
          <w:rFonts w:cs="Simplified Arabic"/>
          <w:color w:val="auto"/>
          <w:rtl/>
        </w:rPr>
        <w:t>خلاصة الفصل الرابع</w:t>
      </w:r>
      <w:bookmarkEnd w:id="73"/>
    </w:p>
    <w:p w14:paraId="48E119D3"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استعرض هذا الفصل نتائج التحليل الإحصائي لبيانات الدراسة باستخدام أسلوب نمذجة المعادلة البنائية، بدءاً من التحقق من جودة مطابقة النموذج وصدق نموذج القياس، ووصولاً إلى تقدير المسارات البنائية واختبار الأثرين المباشر وغير المباشر.</w:t>
      </w:r>
    </w:p>
    <w:p w14:paraId="7EA88BC4"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خلصت النتائج إلى قبول الفرضيتين الأولى والثانية المتعلقتين بالأثر المباشر للاستقطاب التنظيمي وتطبيقات الذكاء الاصطناعي في التميز المؤسسي، ورفض الفرضيتين الثالثة والرابعة المتعلقتين بالدور الوسيط للإبداع المؤسسي. وتُمهِّد هذه النتائج للفصل الخامس الذي يتناولها بمزيد من المناقشة والتأصيل، ويربطها بالدراسات السابقة، وصولًا إلى مجموعة من التوصيات والمقترحات في ضوء ما توصّلت إليه الدراسة.</w:t>
      </w:r>
    </w:p>
    <w:p w14:paraId="2306CF6C" w14:textId="77777777" w:rsidR="00EF56BD" w:rsidRPr="00BF65CE" w:rsidRDefault="00EF56BD">
      <w:pPr>
        <w:bidi w:val="0"/>
        <w:rPr>
          <w:rFonts w:ascii="Simplified Arabic" w:hAnsi="Simplified Arabic" w:cs="Simplified Arabic"/>
          <w:b/>
          <w:bCs/>
          <w:sz w:val="32"/>
          <w:szCs w:val="32"/>
          <w:rtl/>
        </w:rPr>
      </w:pPr>
      <w:r w:rsidRPr="00BF65CE">
        <w:rPr>
          <w:rFonts w:ascii="Simplified Arabic" w:hAnsi="Simplified Arabic" w:cs="Simplified Arabic"/>
          <w:szCs w:val="32"/>
          <w:rtl/>
        </w:rPr>
        <w:br w:type="page"/>
      </w:r>
    </w:p>
    <w:p w14:paraId="57502764" w14:textId="77777777" w:rsidR="00E457CD" w:rsidRPr="00BF65CE" w:rsidRDefault="00014347" w:rsidP="00DE7D61">
      <w:pPr>
        <w:pStyle w:val="1"/>
        <w:rPr>
          <w:rFonts w:cs="Simplified Arabic"/>
          <w:color w:val="auto"/>
          <w:sz w:val="24"/>
        </w:rPr>
      </w:pPr>
      <w:bookmarkStart w:id="74" w:name="_Toc235125848"/>
      <w:r w:rsidRPr="00BF65CE">
        <w:rPr>
          <w:rFonts w:cs="Simplified Arabic"/>
          <w:color w:val="auto"/>
          <w:rtl/>
        </w:rPr>
        <w:lastRenderedPageBreak/>
        <w:t>الفصل الخامس: نتائج وتوصيات الدراسة</w:t>
      </w:r>
      <w:bookmarkEnd w:id="74"/>
    </w:p>
    <w:p w14:paraId="39041A45" w14:textId="77777777" w:rsidR="00E457CD" w:rsidRPr="00BF65CE" w:rsidRDefault="008E651B" w:rsidP="00DE7D61">
      <w:pPr>
        <w:pStyle w:val="2"/>
        <w:rPr>
          <w:rFonts w:cs="Simplified Arabic"/>
          <w:color w:val="auto"/>
        </w:rPr>
      </w:pPr>
      <w:bookmarkStart w:id="75" w:name="_Toc235125849"/>
      <w:r>
        <w:rPr>
          <w:rFonts w:cs="Simplified Arabic"/>
          <w:color w:val="auto"/>
          <w:rtl/>
        </w:rPr>
        <w:t>تمهيد</w:t>
      </w:r>
      <w:bookmarkEnd w:id="75"/>
    </w:p>
    <w:p w14:paraId="6D7094F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يأتي هذا الفصل بوصفه الامتداد التطبيقي والبحثي للنتائج التي انتهت إليها الدراسة، إذ لا يقتصر دوره على تلخيص ما تم التوصل إليه في الفصل الرابع، بل يتجه إلى تحويل النتائج الإحصائية إلى توصيات إجرائية قابلة للتنفيذ داخل مستشفيات القطاع الصحي الخاص بمدينة الرياض. وتكتسب هذه المرحلة أهمية خاصة لأنها تمثل المساحة التي يقدم فيها الباحث تصورًا عمليًا يمكن أن تستفيد منه الإدارات العليا وإدارات الموارد البشرية والتحول الرقمي والجودة في تحسين التميز المؤسسي.</w:t>
      </w:r>
    </w:p>
    <w:p w14:paraId="130FC803" w14:textId="77777777" w:rsidR="008A3F6D" w:rsidRDefault="00145E6B">
      <w:pPr>
        <w:pStyle w:val="2"/>
        <w:rPr>
          <w:rFonts w:cs="Simplified Arabic"/>
          <w:color w:val="auto"/>
        </w:rPr>
      </w:pPr>
      <w:bookmarkStart w:id="76" w:name="_Toc235125850"/>
      <w:r>
        <w:rPr>
          <w:rFonts w:cs="Simplified Arabic"/>
          <w:color w:val="auto"/>
          <w:rtl/>
        </w:rPr>
        <w:t>نتائج الدراسة</w:t>
      </w:r>
      <w:bookmarkEnd w:id="76"/>
    </w:p>
    <w:p w14:paraId="5F78CD5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وقد كشفت نتائج الدراسة أن كلاً من الاستقطاب التنظيمي وتطبيقات الذكاء الاصطناعي يؤثران بصورة مباشرة ودالة في التميز المؤسسي، في حين لم يثبت الدور الوسيط للإبداع المؤسسي في العلاقة بين هذين المتغيرين والتميز المؤسسي. كما أظهرت النتائج أن الاستقطاب التنظيمي يرتبط بقوة بالإبداع المؤسسي، بينما لم تظهر تطبيقات الذكاء الاصطناعي أثرًا دالًا في الإبداع، ولم يظهر الإبداع نفسه أثرًا دالًا في التميز المؤسسي ضمن النموذج المختبر.</w:t>
      </w:r>
    </w:p>
    <w:p w14:paraId="386B646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وبناءً على ذلك، يعرض هذا الفصل التوصيات الإجرائية في صورة خطة عمل مرتبطة بنتائج الدراسة، ثم يقدم عددًا من المقترحات للدراسات المستقبلية، ويختتم ببيان الأثر العملي والعلمي المتوقع من الدراسة.</w:t>
      </w:r>
    </w:p>
    <w:p w14:paraId="0AF82B79" w14:textId="77777777" w:rsidR="00E457CD" w:rsidRPr="00BF65CE" w:rsidRDefault="00014347" w:rsidP="00DE7D61">
      <w:pPr>
        <w:pStyle w:val="2"/>
        <w:rPr>
          <w:rFonts w:cs="Simplified Arabic"/>
          <w:color w:val="auto"/>
        </w:rPr>
      </w:pPr>
      <w:bookmarkStart w:id="77" w:name="_Toc235125851"/>
      <w:r w:rsidRPr="00BF65CE">
        <w:rPr>
          <w:rFonts w:cs="Simplified Arabic"/>
          <w:color w:val="auto"/>
          <w:rtl/>
        </w:rPr>
        <w:t>منطلقات بناء التوصيات</w:t>
      </w:r>
      <w:bookmarkEnd w:id="77"/>
    </w:p>
    <w:p w14:paraId="6DA8892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استندت التوصيات الواردة في هذا الفصل إلى أربعة منطلقات رئيسة. يتمثل المنطلق الأول في أن التميز المؤسسي في المستشفيات الخاصة لا يتحقق فقط من خلال امتلاك الموارد البشرية أو التقنية، بل من خلال إدارة هذه الموارد بصورة منظمة وموجهة نحو جودة الأداء والخدمة. أما المنطلق الثاني فيتمثل في أن نتائج الدراسة أعطت أولوية واضحة للتأثير المباشر لكل من الاستقطاب التنظيمي والذكاء الاصطناعي في التميز المؤسسي، الأمر الذي يستدعي توجيه الموارد والقرارات نحو هذين المجالين بصورة عملية.</w:t>
      </w:r>
    </w:p>
    <w:p w14:paraId="75A3D42B"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ويتمثل المنطلق الثالث في ضرورة التعامل بحذر مع الإبداع المؤسسي؛ إذ أوضحت النتائج أنه لا يقوم بدور وسيط دال في النموذج المختبر، مما يعني أن تحفيز الإبداع وحده لا يكفي ما لم يتحول إلى ممارسات تشغيلية ومؤشرات أداء واضحة. أما المنطلق الرابع فيرتبط بطبيعة القطاع الصحي الخاص، حيث تتطلب بيئة المستشفيات قرارات سريعة، ومعايير جودة دقيقة، وربطًا مباشرًا بين الموارد البشرية والتقنية وبين مستوى الخدمة المقدمة للمراجعين.</w:t>
      </w:r>
    </w:p>
    <w:p w14:paraId="290F7ED1" w14:textId="77777777" w:rsidR="00E457CD" w:rsidRPr="00BF65CE" w:rsidRDefault="00014347" w:rsidP="00DE7D61">
      <w:pPr>
        <w:pStyle w:val="2"/>
        <w:rPr>
          <w:rFonts w:cs="Simplified Arabic"/>
          <w:color w:val="auto"/>
        </w:rPr>
      </w:pPr>
      <w:bookmarkStart w:id="78" w:name="_Toc235125852"/>
      <w:r w:rsidRPr="00BF65CE">
        <w:rPr>
          <w:rFonts w:cs="Simplified Arabic"/>
          <w:color w:val="auto"/>
          <w:rtl/>
        </w:rPr>
        <w:t>توصيات إجرائية</w:t>
      </w:r>
      <w:bookmarkEnd w:id="78"/>
    </w:p>
    <w:p w14:paraId="5280E1E1"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يوضح الجدول الآتي التوصيات الإجرائية المقترحة في ضوء نتائج الدراسة، بحيث ترتبط كل توصية بنتيجة محددة، وتُعرض آلية التنفيذ والجهات المسؤولة والمدى الزمني المتوقع للتنفيذ.</w:t>
      </w:r>
    </w:p>
    <w:p w14:paraId="3566594B"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(5-1): خطة العمل التنفيذية للتوصيات الإجرائية</w:t>
      </w:r>
    </w:p>
    <w:tbl>
      <w:tblPr>
        <w:tblStyle w:val="12"/>
        <w:bidiVisual/>
        <w:tblW w:w="5000" w:type="pct"/>
        <w:tblLook w:val="0620" w:firstRow="1" w:lastRow="0" w:firstColumn="0" w:lastColumn="0" w:noHBand="1" w:noVBand="1"/>
      </w:tblPr>
      <w:tblGrid>
        <w:gridCol w:w="1938"/>
        <w:gridCol w:w="1761"/>
        <w:gridCol w:w="2626"/>
        <w:gridCol w:w="1554"/>
        <w:gridCol w:w="899"/>
      </w:tblGrid>
      <w:tr w:rsidR="00E457CD" w:rsidRPr="00BF65CE" w14:paraId="06244ACA" w14:textId="77777777" w:rsidTr="00314EA5">
        <w:trPr>
          <w:cnfStyle w:val="100000000000" w:firstRow="1" w:lastRow="0" w:firstColumn="0" w:lastColumn="0" w:oddVBand="0" w:evenVBand="0" w:oddHBand="0" w:evenHBand="0" w:firstRowFirstColumn="0" w:firstRowLastColumn="0" w:lastRowFirstColumn="0" w:lastRowLastColumn="0"/>
        </w:trPr>
        <w:tc>
          <w:tcPr>
            <w:tcW w:w="1104" w:type="pct"/>
            <w:vAlign w:val="center"/>
          </w:tcPr>
          <w:p w14:paraId="327C62F2"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النتيجة التي توصلت إليها الدراسة</w:t>
            </w:r>
          </w:p>
        </w:tc>
        <w:tc>
          <w:tcPr>
            <w:tcW w:w="1003" w:type="pct"/>
            <w:vAlign w:val="center"/>
          </w:tcPr>
          <w:p w14:paraId="68ECA971"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التوصية أو مجموعة التوصيات</w:t>
            </w:r>
          </w:p>
        </w:tc>
        <w:tc>
          <w:tcPr>
            <w:tcW w:w="1496" w:type="pct"/>
            <w:vAlign w:val="center"/>
          </w:tcPr>
          <w:p w14:paraId="5A2D317C"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آلية التنفيذ المقترحة</w:t>
            </w:r>
          </w:p>
        </w:tc>
        <w:tc>
          <w:tcPr>
            <w:tcW w:w="885" w:type="pct"/>
            <w:vAlign w:val="center"/>
          </w:tcPr>
          <w:p w14:paraId="12D04F4C"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الجهة أو المستوى الإداري المسؤول</w:t>
            </w:r>
          </w:p>
        </w:tc>
        <w:tc>
          <w:tcPr>
            <w:tcW w:w="512" w:type="pct"/>
            <w:vAlign w:val="center"/>
          </w:tcPr>
          <w:p w14:paraId="5C7EC3A4" w14:textId="77777777" w:rsidR="00E457CD" w:rsidRPr="00BF65CE" w:rsidRDefault="00014347" w:rsidP="009E2AFE">
            <w:pPr>
              <w:jc w:val="center"/>
              <w:rPr>
                <w:rFonts w:ascii="Simplified Arabic" w:hAnsi="Simplified Arabic" w:cs="Simplified Arabic"/>
              </w:rPr>
            </w:pPr>
            <w:r w:rsidRPr="00BF65CE">
              <w:rPr>
                <w:rFonts w:ascii="Simplified Arabic" w:hAnsi="Simplified Arabic" w:cs="Simplified Arabic"/>
                <w:rtl/>
              </w:rPr>
              <w:t>المدى الزمني المتوقع</w:t>
            </w:r>
          </w:p>
        </w:tc>
      </w:tr>
      <w:tr w:rsidR="00E457CD" w:rsidRPr="00BF65CE" w14:paraId="6A6F73D2" w14:textId="77777777" w:rsidTr="00314EA5">
        <w:tc>
          <w:tcPr>
            <w:tcW w:w="1104" w:type="pct"/>
            <w:vAlign w:val="center"/>
          </w:tcPr>
          <w:p w14:paraId="3955E38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أثر إيجابي دال إحصائيًا للاستقطاب التنظيمي في التميز المؤسسي؛ إذ بلغ معامل المسار المعياري (0.427) عند مستوى دلالة أقل من (0.001).</w:t>
            </w:r>
          </w:p>
        </w:tc>
        <w:tc>
          <w:tcPr>
            <w:tcW w:w="1003" w:type="pct"/>
            <w:vAlign w:val="center"/>
          </w:tcPr>
          <w:p w14:paraId="2F076C9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بضرورة تحويل الاستقطاب التنظيمي من إجراء إداري تقليدي إلى سياسة استراتيجية مرتبطة بمؤشرات التميز المؤسسي وجودة الأداء.</w:t>
            </w:r>
          </w:p>
        </w:tc>
        <w:tc>
          <w:tcPr>
            <w:tcW w:w="1496" w:type="pct"/>
            <w:vAlign w:val="center"/>
          </w:tcPr>
          <w:p w14:paraId="4ADDCAE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يتم ذلك من خلال إعداد خريطة كفاءات لكل فئة وظيفية داخل المستشفى، وربط الإعلان الوظيفي ومعايير الاختيار بمؤشرات الجودة وخدمة المراجعين. كما ينبغي اعتماد مقابلات منظمة واختبارات مهنية وسلوكية قبل التوظيف، ثم متابعة أداء الموظف الجديد خلال الأشهر الستة الأولى للتأكد من ملاءمته الفعلية لأهداف المؤسسة.</w:t>
            </w:r>
          </w:p>
        </w:tc>
        <w:tc>
          <w:tcPr>
            <w:tcW w:w="885" w:type="pct"/>
            <w:vAlign w:val="center"/>
          </w:tcPr>
          <w:p w14:paraId="39BEB96B"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ورؤساء الأقسام الطبية والإدارية.</w:t>
            </w:r>
          </w:p>
        </w:tc>
        <w:tc>
          <w:tcPr>
            <w:tcW w:w="512" w:type="pct"/>
            <w:vAlign w:val="center"/>
          </w:tcPr>
          <w:p w14:paraId="64DC171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 إلى عام واحد</w:t>
            </w:r>
          </w:p>
        </w:tc>
      </w:tr>
      <w:tr w:rsidR="00E457CD" w:rsidRPr="00BF65CE" w14:paraId="33D1E207" w14:textId="77777777" w:rsidTr="00314EA5">
        <w:tc>
          <w:tcPr>
            <w:tcW w:w="1104" w:type="pct"/>
            <w:vAlign w:val="center"/>
          </w:tcPr>
          <w:p w14:paraId="50BB39A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وجود أثر إيجابي دال إحصائيًا لتطبيقات الذكاء الاصطناعي في التميز المؤسسي؛ إذ بلغ معامل المسار المعياري (0.545) </w:t>
            </w:r>
            <w:r w:rsidRPr="00BF65CE">
              <w:rPr>
                <w:rFonts w:ascii="Simplified Arabic" w:hAnsi="Simplified Arabic" w:cs="Simplified Arabic"/>
                <w:rtl/>
              </w:rPr>
              <w:lastRenderedPageBreak/>
              <w:t>عند مستوى دلالة أقل من (0.001)، وهو أقوى من أثر الاستقطاب التنظيمي.</w:t>
            </w:r>
          </w:p>
        </w:tc>
        <w:tc>
          <w:tcPr>
            <w:tcW w:w="1003" w:type="pct"/>
            <w:vAlign w:val="center"/>
          </w:tcPr>
          <w:p w14:paraId="399F6089"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يوصي الباحث بالتوسع المنظم في تطبيقات الذكاء الاصطناعي التي ترتبط مباشرة بجودة الخدمة والكفاءة </w:t>
            </w:r>
            <w:r w:rsidRPr="00BF65CE">
              <w:rPr>
                <w:rFonts w:ascii="Simplified Arabic" w:hAnsi="Simplified Arabic" w:cs="Simplified Arabic"/>
                <w:rtl/>
              </w:rPr>
              <w:lastRenderedPageBreak/>
              <w:t>التشغيلية ودعم القرار الإداري والطبي.</w:t>
            </w:r>
          </w:p>
        </w:tc>
        <w:tc>
          <w:tcPr>
            <w:tcW w:w="1496" w:type="pct"/>
            <w:vAlign w:val="center"/>
          </w:tcPr>
          <w:p w14:paraId="3247295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تبدأ الآلية بتحديد المجالات ذات الأولوية مثل إدارة المواعيد، تحليل بيانات المرضى، التنبؤ بالضغط التشغيلي، دعم القرار السريري، ولوحات متابعة الأداء. ثم تنفذ التطبيقات على مراحل </w:t>
            </w:r>
            <w:r w:rsidRPr="00BF65CE">
              <w:rPr>
                <w:rFonts w:ascii="Simplified Arabic" w:hAnsi="Simplified Arabic" w:cs="Simplified Arabic"/>
                <w:rtl/>
              </w:rPr>
              <w:lastRenderedPageBreak/>
              <w:t>تجريبية محددة، مع قياس أثرها قبل التوسع العام، وربط النتائج بمؤشرات زمن الانتظار، رضا المستفيدين، دقة القرار، وتخفيض الأخطاء التشغيلية.</w:t>
            </w:r>
          </w:p>
        </w:tc>
        <w:tc>
          <w:tcPr>
            <w:tcW w:w="885" w:type="pct"/>
            <w:vAlign w:val="center"/>
          </w:tcPr>
          <w:p w14:paraId="6F09793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الإدارة العليا، إدارة التحول الرقمي، إدارة تقنية المعلومات، إدارة العمليات، وإدارة </w:t>
            </w:r>
            <w:r w:rsidRPr="00BF65CE">
              <w:rPr>
                <w:rFonts w:ascii="Simplified Arabic" w:hAnsi="Simplified Arabic" w:cs="Simplified Arabic"/>
                <w:rtl/>
              </w:rPr>
              <w:lastRenderedPageBreak/>
              <w:t>الجودة وسلامة المرضى.</w:t>
            </w:r>
          </w:p>
        </w:tc>
        <w:tc>
          <w:tcPr>
            <w:tcW w:w="512" w:type="pct"/>
            <w:vAlign w:val="center"/>
          </w:tcPr>
          <w:p w14:paraId="597D37C8"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عام واحد</w:t>
            </w:r>
          </w:p>
        </w:tc>
      </w:tr>
      <w:tr w:rsidR="00E457CD" w:rsidRPr="00BF65CE" w14:paraId="6577F3F8" w14:textId="77777777" w:rsidTr="00314EA5">
        <w:tc>
          <w:tcPr>
            <w:tcW w:w="1104" w:type="pct"/>
            <w:vAlign w:val="center"/>
          </w:tcPr>
          <w:p w14:paraId="15D8EF60"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أظهر النموذج قدرة تفسيرية مرتفعة للتميز المؤسسي؛ إذ فسر نحو (74.8%) من التباين في التميز المؤسسي.</w:t>
            </w:r>
          </w:p>
        </w:tc>
        <w:tc>
          <w:tcPr>
            <w:tcW w:w="1003" w:type="pct"/>
            <w:vAlign w:val="center"/>
          </w:tcPr>
          <w:p w14:paraId="3E63FEA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ببناء لوحة قيادة مؤسسية موحدة تقيس أثر الاستقطاب التنظيمي والذكاء الاصطناعي على التميز المؤسسي بصورة دورية.</w:t>
            </w:r>
          </w:p>
        </w:tc>
        <w:tc>
          <w:tcPr>
            <w:tcW w:w="1496" w:type="pct"/>
            <w:vAlign w:val="center"/>
          </w:tcPr>
          <w:p w14:paraId="1D2C4EA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تتضمن الآلية إنشاء مؤشرات أداء رئيسة تشمل جودة التوظيف، سرعة شغل الوظائف، مستوى استخدام الأنظمة الذكية، كفاءة العمليات، رضا الموظفين، رضا المراجعين، وتطوير الموارد البشرية. تُراجع هذه المؤشرات شهريًا في مستوى الإدارات التنفيذية، وربع سنويًا في مستوى مجلس الإدارة أو اللجنة العليا للجودة.</w:t>
            </w:r>
          </w:p>
        </w:tc>
        <w:tc>
          <w:tcPr>
            <w:tcW w:w="885" w:type="pct"/>
            <w:vAlign w:val="center"/>
          </w:tcPr>
          <w:p w14:paraId="47D1AF7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الاستراتيجية، إدارة الجودة، إدارة الموارد البشرية، وإدارة التحول الرقمي.</w:t>
            </w:r>
          </w:p>
        </w:tc>
        <w:tc>
          <w:tcPr>
            <w:tcW w:w="512" w:type="pct"/>
            <w:vAlign w:val="center"/>
          </w:tcPr>
          <w:p w14:paraId="524613F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إلى ستة أشهر</w:t>
            </w:r>
          </w:p>
        </w:tc>
      </w:tr>
      <w:tr w:rsidR="00E457CD" w:rsidRPr="00BF65CE" w14:paraId="2A852C7F" w14:textId="77777777" w:rsidTr="00314EA5">
        <w:tc>
          <w:tcPr>
            <w:tcW w:w="1104" w:type="pct"/>
            <w:vAlign w:val="center"/>
          </w:tcPr>
          <w:p w14:paraId="45D74EC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أثر قوي ودال إحصائيًا للاستقطاب التنظيمي في الإبداع المؤسسي؛ إذ بلغ معامل المسار المعياري (0.665) عند مستوى دلالة أقل من (0.001).</w:t>
            </w:r>
          </w:p>
        </w:tc>
        <w:tc>
          <w:tcPr>
            <w:tcW w:w="1003" w:type="pct"/>
            <w:vAlign w:val="center"/>
          </w:tcPr>
          <w:p w14:paraId="6FF51DE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سياسات الاستقطاب نحو جذب الكفاءات القادرة على التفكير الابتكاري وحل المشكلات، وليس الاكتفاء بالخبرة الفنية فقط.</w:t>
            </w:r>
          </w:p>
        </w:tc>
        <w:tc>
          <w:tcPr>
            <w:tcW w:w="1496" w:type="pct"/>
            <w:vAlign w:val="center"/>
          </w:tcPr>
          <w:p w14:paraId="2988EDF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تطبق هذه التوصية من خلال إضافة معايير مرتبطة بالإبداع إلى نماذج الاختيار، مثل القدرة على اقتراح حلول عملية، العمل ضمن فرق متعددة التخصصات، واستخدام البيانات في تحسين الخدمة. كما يمكن إدراج أسئلة مواقف واقعية في المقابلات، وطلب نماذج سابقة لمبادرات تحسين أو مشاريع تطوير شارك فيها المرشح.</w:t>
            </w:r>
          </w:p>
        </w:tc>
        <w:tc>
          <w:tcPr>
            <w:tcW w:w="885" w:type="pct"/>
            <w:vAlign w:val="center"/>
          </w:tcPr>
          <w:p w14:paraId="051D649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الموارد البشرية، لجان التوظيف، رؤساء الأقسام، وإدارة التطوير التنظيمي.</w:t>
            </w:r>
          </w:p>
        </w:tc>
        <w:tc>
          <w:tcPr>
            <w:tcW w:w="512" w:type="pct"/>
            <w:vAlign w:val="center"/>
          </w:tcPr>
          <w:p w14:paraId="53A98CA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71CB6812" w14:textId="77777777" w:rsidTr="00314EA5">
        <w:tc>
          <w:tcPr>
            <w:tcW w:w="1104" w:type="pct"/>
            <w:vAlign w:val="center"/>
          </w:tcPr>
          <w:p w14:paraId="5208D17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عدم وجود أثر دال إحصائيًا لتطبيقات الذكاء الاصطناعي في الإبداع المؤسسي؛ إذ بلغ معامل المسار المعياري (0.041) ومستوى الدلالة (0.682).</w:t>
            </w:r>
          </w:p>
        </w:tc>
        <w:tc>
          <w:tcPr>
            <w:tcW w:w="1003" w:type="pct"/>
            <w:vAlign w:val="center"/>
          </w:tcPr>
          <w:p w14:paraId="37588717"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يوصي الباحث بعدم افتراض أن تبني الذكاء الاصطناعي سيقود تلقائيًا إلى الإبداع، بل يجب تأهيل العاملين لاستخدامه كأداة </w:t>
            </w:r>
            <w:r w:rsidRPr="00BF65CE">
              <w:rPr>
                <w:rFonts w:ascii="Simplified Arabic" w:hAnsi="Simplified Arabic" w:cs="Simplified Arabic"/>
                <w:rtl/>
              </w:rPr>
              <w:lastRenderedPageBreak/>
              <w:t>لتوليد الأفكار وتحسين العمليات.</w:t>
            </w:r>
          </w:p>
        </w:tc>
        <w:tc>
          <w:tcPr>
            <w:tcW w:w="1496" w:type="pct"/>
            <w:vAlign w:val="center"/>
          </w:tcPr>
          <w:p w14:paraId="5A43546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 xml:space="preserve">تتطلب الآلية تصميم برامج تدريبية تطبيقية للعاملين حول استخدام الذكاء الاصطناعي في تحليل المشكلات، بناء السيناريوهات، تحسين تجربة المراجع، وتطوير الإجراءات. وينبغي أن تتضمن البرامج ورش عمل قائمة على حالات واقعية </w:t>
            </w:r>
            <w:r w:rsidRPr="00BF65CE">
              <w:rPr>
                <w:rFonts w:ascii="Simplified Arabic" w:hAnsi="Simplified Arabic" w:cs="Simplified Arabic"/>
                <w:rtl/>
              </w:rPr>
              <w:lastRenderedPageBreak/>
              <w:t>من المستشفى، مع تكليف الفرق بإنتاج حلول قابلة للتطبيق لا مجرد معرفة نظرية بالتقنية.</w:t>
            </w:r>
          </w:p>
        </w:tc>
        <w:tc>
          <w:tcPr>
            <w:tcW w:w="885" w:type="pct"/>
            <w:vAlign w:val="center"/>
          </w:tcPr>
          <w:p w14:paraId="640A8F9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إدارة التدريب والتطوير، إدارة التحول الرقمي، إدارة تقنية المعلومات، وإدارة الجودة.</w:t>
            </w:r>
          </w:p>
        </w:tc>
        <w:tc>
          <w:tcPr>
            <w:tcW w:w="512" w:type="pct"/>
            <w:vAlign w:val="center"/>
          </w:tcPr>
          <w:p w14:paraId="04349F2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إلى ستة أشهر</w:t>
            </w:r>
          </w:p>
        </w:tc>
      </w:tr>
      <w:tr w:rsidR="00E457CD" w:rsidRPr="00BF65CE" w14:paraId="54A70A80" w14:textId="77777777" w:rsidTr="00314EA5">
        <w:tc>
          <w:tcPr>
            <w:tcW w:w="1104" w:type="pct"/>
            <w:vAlign w:val="center"/>
          </w:tcPr>
          <w:p w14:paraId="23647BD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عدم وجود أثر دال إحصائيًا للإبداع المؤسسي في التميز المؤسسي؛ إذ بلغ معامل المسار المعياري (-0.070) ومستوى الدلالة (0.361).</w:t>
            </w:r>
          </w:p>
        </w:tc>
        <w:tc>
          <w:tcPr>
            <w:tcW w:w="1003" w:type="pct"/>
            <w:vAlign w:val="center"/>
          </w:tcPr>
          <w:p w14:paraId="60F0BAC1"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بتحويل الإبداع المؤسسي من نشاط عام أو ثقافة معلنة إلى نظام عمل مرتبط بمخرجات قابلة للقياس في الجودة والخدمة والكفاءة.</w:t>
            </w:r>
          </w:p>
        </w:tc>
        <w:tc>
          <w:tcPr>
            <w:tcW w:w="1496" w:type="pct"/>
            <w:vAlign w:val="center"/>
          </w:tcPr>
          <w:p w14:paraId="0E39666B"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تنفذ التوصية بإنشاء مسار واضح لإدارة الأفكار يبدأ باستقبال المقترحات، ثم تقييمها فنيًا وماليًا، وتجريبها على نطاق محدود، وقياس أثرها قبل التعميم. كما ينبغي عدم اعتماد عدد الأفكار كمؤشر وحيد، بل قياس أثرها على زمن الخدمة، تقليل الهدر، رضا المستفيدين، أو رفع كفاءة استخدام الموارد.</w:t>
            </w:r>
          </w:p>
        </w:tc>
        <w:tc>
          <w:tcPr>
            <w:tcW w:w="885" w:type="pct"/>
            <w:vAlign w:val="center"/>
          </w:tcPr>
          <w:p w14:paraId="4B1AC45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إدارة الجودة، إدارة التطوير التنظيمي، لجان الابتكار، والإدارات التشغيلية والطبية.</w:t>
            </w:r>
          </w:p>
        </w:tc>
        <w:tc>
          <w:tcPr>
            <w:tcW w:w="512" w:type="pct"/>
            <w:vAlign w:val="center"/>
          </w:tcPr>
          <w:p w14:paraId="5CEB9459"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 إلى عام واحد</w:t>
            </w:r>
          </w:p>
        </w:tc>
      </w:tr>
      <w:tr w:rsidR="00E457CD" w:rsidRPr="00BF65CE" w14:paraId="47884E92" w14:textId="77777777" w:rsidTr="00314EA5">
        <w:tc>
          <w:tcPr>
            <w:tcW w:w="1104" w:type="pct"/>
            <w:vAlign w:val="center"/>
          </w:tcPr>
          <w:p w14:paraId="274AA71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رفض الفرضية الخاصة بالدور الوسيط للإبداع المؤسسي بين الاستقطاب التنظيمي والتميز المؤسسي؛ إذ كان الأثر غير المباشر غير دال إحصائيًا.</w:t>
            </w:r>
          </w:p>
        </w:tc>
        <w:tc>
          <w:tcPr>
            <w:tcW w:w="1003" w:type="pct"/>
            <w:vAlign w:val="center"/>
          </w:tcPr>
          <w:p w14:paraId="75FA02D6"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بالتركيز على المسار المباشر بين الاستقطاب والتميز، مع تطوير الإبداع بوصفه مخرجا تنظيميا داعما لا بديلا عن جودة سياسات الموارد البشرية.</w:t>
            </w:r>
          </w:p>
        </w:tc>
        <w:tc>
          <w:tcPr>
            <w:tcW w:w="1496" w:type="pct"/>
            <w:vAlign w:val="center"/>
          </w:tcPr>
          <w:p w14:paraId="134BBCE3"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يعني ذلك أن تستمر المستشفيات في تحسين سياسات الاستقطاب والاختيار والاندماج الوظيفي بصورة مباشرة، مع جعل برامج الإبداع مكملة لهذه السياسات. وينبغي أن تُربط خطط الموارد البشرية بمؤشرات التميز مثل جودة الخدمة، الالتزام الوظيفي، الكفاءة المهنية، وسرعة الاستجابة، بدلاً من الاكتفاء بتوقع أن الإبداع سيتوسط الأثر تلقائيًا.</w:t>
            </w:r>
          </w:p>
        </w:tc>
        <w:tc>
          <w:tcPr>
            <w:tcW w:w="885" w:type="pct"/>
            <w:vAlign w:val="center"/>
          </w:tcPr>
          <w:p w14:paraId="5B9A0E9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إدارة الموارد البشرية، إدارة الجودة، وإدارة الأداء المؤسسي.</w:t>
            </w:r>
          </w:p>
        </w:tc>
        <w:tc>
          <w:tcPr>
            <w:tcW w:w="512" w:type="pct"/>
            <w:vAlign w:val="center"/>
          </w:tcPr>
          <w:p w14:paraId="402E33D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ستة أشهر</w:t>
            </w:r>
          </w:p>
        </w:tc>
      </w:tr>
      <w:tr w:rsidR="00E457CD" w:rsidRPr="00BF65CE" w14:paraId="0E8B0E49" w14:textId="77777777" w:rsidTr="00314EA5">
        <w:tc>
          <w:tcPr>
            <w:tcW w:w="1104" w:type="pct"/>
            <w:vAlign w:val="center"/>
          </w:tcPr>
          <w:p w14:paraId="533B1419"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رفض الفرضية الخاصة بالدور الوسيط للإبداع المؤسسي بين تطبيقات الذكاء الاصطناعي والتميز المؤسسي؛ إذ كان الأثر غير المباشر غير دال إحصائيًا.</w:t>
            </w:r>
          </w:p>
        </w:tc>
        <w:tc>
          <w:tcPr>
            <w:tcW w:w="1003" w:type="pct"/>
            <w:vAlign w:val="center"/>
          </w:tcPr>
          <w:p w14:paraId="1C7EF3DA"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بتوجيه تطبيقات الذكاء الاصطناعي نحو تحسينات تشغيلية مباشرة، مع بناء مسار منفصل لتوظيف التقنية في دعم الإبداع المؤسسي.</w:t>
            </w:r>
          </w:p>
        </w:tc>
        <w:tc>
          <w:tcPr>
            <w:tcW w:w="1496" w:type="pct"/>
            <w:vAlign w:val="center"/>
          </w:tcPr>
          <w:p w14:paraId="4D5DB3D5"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 xml:space="preserve">تطبق هذه التوصية عبر فصل مؤشرات نجاح الذكاء الاصطناعي إلى نوعين: مؤشرات تشغيلية مباشرة مثل السرعة والدقة وخفض الأخطاء، ومؤشرات ابتكارية مثل عدد الحلول المطورة باستخدام التقنية ونسبة الحلول التي تم تطبيقها فعليًا. ويساعد هذا الفصل على منع الخلط بين نجاح التقنية </w:t>
            </w:r>
            <w:r w:rsidRPr="00BF65CE">
              <w:rPr>
                <w:rFonts w:ascii="Simplified Arabic" w:hAnsi="Simplified Arabic" w:cs="Simplified Arabic"/>
                <w:rtl/>
              </w:rPr>
              <w:lastRenderedPageBreak/>
              <w:t>تشغيليًا ونجاحها في توليد الإبداع.</w:t>
            </w:r>
          </w:p>
        </w:tc>
        <w:tc>
          <w:tcPr>
            <w:tcW w:w="885" w:type="pct"/>
            <w:vAlign w:val="center"/>
          </w:tcPr>
          <w:p w14:paraId="1EC8D0B7"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lastRenderedPageBreak/>
              <w:t>إدارة التحول الرقمي، إدارة تقنية المعلومات، إدارة العمليات، لجان الابتكار، وإدارة الجودة.</w:t>
            </w:r>
          </w:p>
        </w:tc>
        <w:tc>
          <w:tcPr>
            <w:tcW w:w="512" w:type="pct"/>
            <w:vAlign w:val="center"/>
          </w:tcPr>
          <w:p w14:paraId="18FBCA42"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عام واحد</w:t>
            </w:r>
          </w:p>
        </w:tc>
      </w:tr>
      <w:tr w:rsidR="00E457CD" w:rsidRPr="00BF65CE" w14:paraId="33E04F84" w14:textId="77777777" w:rsidTr="00314EA5">
        <w:tc>
          <w:tcPr>
            <w:tcW w:w="1104" w:type="pct"/>
            <w:vAlign w:val="center"/>
          </w:tcPr>
          <w:p w14:paraId="07AFC4DD"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وجود ارتباط موجب قوي بين الاستقطاب التنظيمي وتطبيقات الذكاء الاصطناعي بلغت قيمته المعيارية (0.745) عند مستوى دلالة أقل من (0.001).</w:t>
            </w:r>
          </w:p>
        </w:tc>
        <w:tc>
          <w:tcPr>
            <w:tcW w:w="1003" w:type="pct"/>
            <w:vAlign w:val="center"/>
          </w:tcPr>
          <w:p w14:paraId="7D200A8E"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يوصي الباحث بتكامل سياسات الموارد البشرية مع خطط التحول الرقمي، بحيث لا تعمل كل إدارة بمعزل عن الأخرى.</w:t>
            </w:r>
          </w:p>
        </w:tc>
        <w:tc>
          <w:tcPr>
            <w:tcW w:w="1496" w:type="pct"/>
            <w:vAlign w:val="center"/>
          </w:tcPr>
          <w:p w14:paraId="5141D33C"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تتمثل آلية التنفيذ في إنشاء فريق عمل مشترك يضم الموارد البشرية والتحول الرقمي والجودة والعمليات، تكون مهمته تحديد المهارات الرقمية المطلوبة مستقبلًا، وتخطيط الاحتياج الوظيفي، وتدريب العاملين على استخدام الأنظمة الذكية. كما ينبغي أن تتضمن خطط التوظيف وصفًا واضحًا للكفاءات الرقمية المطلوبة لكل وظيفة.</w:t>
            </w:r>
          </w:p>
        </w:tc>
        <w:tc>
          <w:tcPr>
            <w:tcW w:w="885" w:type="pct"/>
            <w:vAlign w:val="center"/>
          </w:tcPr>
          <w:p w14:paraId="655182FB"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الإدارة العليا، الموارد البشرية، التحول الرقمي، تقنية المعلومات، وإدارة الاستراتيجية.</w:t>
            </w:r>
          </w:p>
        </w:tc>
        <w:tc>
          <w:tcPr>
            <w:tcW w:w="512" w:type="pct"/>
            <w:vAlign w:val="center"/>
          </w:tcPr>
          <w:p w14:paraId="031ABD64" w14:textId="77777777" w:rsidR="00E457CD" w:rsidRPr="00BF65CE" w:rsidRDefault="00014347" w:rsidP="009E2AFE">
            <w:pPr>
              <w:rPr>
                <w:rFonts w:ascii="Simplified Arabic" w:hAnsi="Simplified Arabic" w:cs="Simplified Arabic"/>
              </w:rPr>
            </w:pPr>
            <w:r w:rsidRPr="00BF65CE">
              <w:rPr>
                <w:rFonts w:ascii="Simplified Arabic" w:hAnsi="Simplified Arabic" w:cs="Simplified Arabic"/>
                <w:rtl/>
              </w:rPr>
              <w:t>ثلاثة أشهر للبدء، وعام للتكامل الكامل</w:t>
            </w:r>
          </w:p>
        </w:tc>
      </w:tr>
    </w:tbl>
    <w:p w14:paraId="3F57388C"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الدراسة.</w:t>
      </w:r>
    </w:p>
    <w:p w14:paraId="1021292E" w14:textId="77777777" w:rsidR="00E457CD" w:rsidRPr="00BF65CE" w:rsidRDefault="00E457CD" w:rsidP="002071EC">
      <w:pPr>
        <w:spacing w:after="80"/>
        <w:jc w:val="both"/>
        <w:rPr>
          <w:rFonts w:ascii="Simplified Arabic" w:hAnsi="Simplified Arabic" w:cs="Simplified Arabic"/>
        </w:rPr>
      </w:pPr>
    </w:p>
    <w:p w14:paraId="633586C7" w14:textId="77777777" w:rsidR="00E457CD" w:rsidRPr="00BF65CE" w:rsidRDefault="00014347" w:rsidP="00DE7D61">
      <w:pPr>
        <w:pStyle w:val="2"/>
        <w:rPr>
          <w:rFonts w:cs="Simplified Arabic"/>
          <w:color w:val="auto"/>
        </w:rPr>
      </w:pPr>
      <w:bookmarkStart w:id="79" w:name="_Toc235125853"/>
      <w:r w:rsidRPr="00BF65CE">
        <w:rPr>
          <w:rFonts w:cs="Simplified Arabic"/>
          <w:color w:val="auto"/>
          <w:rtl/>
        </w:rPr>
        <w:t>مقترحات لبحوث مستقبلية</w:t>
      </w:r>
      <w:bookmarkEnd w:id="79"/>
    </w:p>
    <w:p w14:paraId="17805B8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في ضوء حدود الدراسة الحالية ونتائجها، ولا سيما عدم ثبوت الدور الوسيط للإبداع المؤسسي، يقترح الباحث عددًا من المسارات البحثية التي يمكن أن تسهم في تعميق الفهم العلمي للعلاقات بين الاستقطاب التنظيمي، وتطبيقات الذكاء الاصطناعي، والإبداع، والتميز المؤسسي.</w:t>
      </w:r>
    </w:p>
    <w:p w14:paraId="32453991" w14:textId="77777777" w:rsidR="00E457CD" w:rsidRPr="00BF65CE" w:rsidRDefault="00014347" w:rsidP="002071EC">
      <w:pPr>
        <w:pStyle w:val="TableCaption"/>
        <w:jc w:val="both"/>
        <w:rPr>
          <w:rFonts w:ascii="Simplified Arabic" w:hAnsi="Simplified Arabic" w:cs="Simplified Arabic"/>
        </w:rPr>
      </w:pPr>
      <w:r w:rsidRPr="00BF65CE">
        <w:rPr>
          <w:rFonts w:ascii="Simplified Arabic" w:hAnsi="Simplified Arabic" w:cs="Simplified Arabic"/>
          <w:rtl/>
        </w:rPr>
        <w:t>جدول (5-2): مقترحات الدراسات المستقبلية</w:t>
      </w:r>
    </w:p>
    <w:tbl>
      <w:tblPr>
        <w:tblStyle w:val="12"/>
        <w:bidiVisual/>
        <w:tblW w:w="5000" w:type="pct"/>
        <w:tblLook w:val="0620" w:firstRow="1" w:lastRow="0" w:firstColumn="0" w:lastColumn="0" w:noHBand="1" w:noVBand="1"/>
      </w:tblPr>
      <w:tblGrid>
        <w:gridCol w:w="1476"/>
        <w:gridCol w:w="2516"/>
        <w:gridCol w:w="2690"/>
        <w:gridCol w:w="2096"/>
      </w:tblGrid>
      <w:tr w:rsidR="00E457CD" w:rsidRPr="00BF65CE" w14:paraId="4ECBB893" w14:textId="77777777" w:rsidTr="00337569">
        <w:trPr>
          <w:cnfStyle w:val="100000000000" w:firstRow="1" w:lastRow="0" w:firstColumn="0" w:lastColumn="0" w:oddVBand="0" w:evenVBand="0" w:oddHBand="0" w:evenHBand="0" w:firstRowFirstColumn="0" w:firstRowLastColumn="0" w:lastRowFirstColumn="0" w:lastRowLastColumn="0"/>
        </w:trPr>
        <w:tc>
          <w:tcPr>
            <w:tcW w:w="840" w:type="pct"/>
            <w:vAlign w:val="center"/>
          </w:tcPr>
          <w:p w14:paraId="24BE477E"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المجال البحثي المقترح</w:t>
            </w:r>
          </w:p>
        </w:tc>
        <w:tc>
          <w:tcPr>
            <w:tcW w:w="1433" w:type="pct"/>
            <w:vAlign w:val="center"/>
          </w:tcPr>
          <w:p w14:paraId="32C9821E"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مبرر المقترح في ضوء نتائج الدراسة</w:t>
            </w:r>
          </w:p>
        </w:tc>
        <w:tc>
          <w:tcPr>
            <w:tcW w:w="1532" w:type="pct"/>
            <w:vAlign w:val="center"/>
          </w:tcPr>
          <w:p w14:paraId="77918E77"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الصياغة المقترحة للدراسة المستقبلية</w:t>
            </w:r>
          </w:p>
        </w:tc>
        <w:tc>
          <w:tcPr>
            <w:tcW w:w="1194" w:type="pct"/>
            <w:vAlign w:val="center"/>
          </w:tcPr>
          <w:p w14:paraId="261355B5" w14:textId="77777777" w:rsidR="00E457CD" w:rsidRPr="00BF65CE" w:rsidRDefault="00014347" w:rsidP="00337569">
            <w:pPr>
              <w:jc w:val="center"/>
              <w:rPr>
                <w:rFonts w:ascii="Simplified Arabic" w:hAnsi="Simplified Arabic" w:cs="Simplified Arabic"/>
              </w:rPr>
            </w:pPr>
            <w:r w:rsidRPr="00BF65CE">
              <w:rPr>
                <w:rFonts w:ascii="Simplified Arabic" w:hAnsi="Simplified Arabic" w:cs="Simplified Arabic"/>
                <w:rtl/>
              </w:rPr>
              <w:t>المنهج أو السياق المقترح</w:t>
            </w:r>
          </w:p>
        </w:tc>
      </w:tr>
      <w:tr w:rsidR="00E457CD" w:rsidRPr="00BF65CE" w14:paraId="38D8B617" w14:textId="77777777" w:rsidTr="00337569">
        <w:tc>
          <w:tcPr>
            <w:tcW w:w="840" w:type="pct"/>
            <w:vAlign w:val="center"/>
          </w:tcPr>
          <w:p w14:paraId="7874C59A"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وسيطة بديلة</w:t>
            </w:r>
          </w:p>
        </w:tc>
        <w:tc>
          <w:tcPr>
            <w:tcW w:w="1433" w:type="pct"/>
            <w:vAlign w:val="center"/>
          </w:tcPr>
          <w:p w14:paraId="32CD9BD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لم يثبت الدور الوسيط للإبداع المؤسسي، مما يشير إلى احتمال وجود متغيرات وسيطة أكثر تفسيرًا للعلاقة.</w:t>
            </w:r>
          </w:p>
        </w:tc>
        <w:tc>
          <w:tcPr>
            <w:tcW w:w="1532" w:type="pct"/>
            <w:vAlign w:val="center"/>
          </w:tcPr>
          <w:p w14:paraId="14E10497"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الاستقطاب التنظيمي وتطبيقات الذكاء الاصطناعي في التميز المؤسسي من خلال الرشاقة التنظيمية كمتغير وسيط.</w:t>
            </w:r>
          </w:p>
        </w:tc>
        <w:tc>
          <w:tcPr>
            <w:tcW w:w="1194" w:type="pct"/>
            <w:vAlign w:val="center"/>
          </w:tcPr>
          <w:p w14:paraId="1779DB2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منهج كمي باستخدام نمذجة المعادلة البنائية في مستشفيات خاصة أو حكومية.</w:t>
            </w:r>
          </w:p>
        </w:tc>
      </w:tr>
      <w:tr w:rsidR="00E457CD" w:rsidRPr="00BF65CE" w14:paraId="55447934" w14:textId="77777777" w:rsidTr="00337569">
        <w:tc>
          <w:tcPr>
            <w:tcW w:w="840" w:type="pct"/>
            <w:vAlign w:val="center"/>
          </w:tcPr>
          <w:p w14:paraId="6CCE6B2B"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اختبار متغيرات معدلة</w:t>
            </w:r>
          </w:p>
        </w:tc>
        <w:tc>
          <w:tcPr>
            <w:tcW w:w="1433" w:type="pct"/>
            <w:vAlign w:val="center"/>
          </w:tcPr>
          <w:p w14:paraId="45F2302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 xml:space="preserve">قد تتأثر العلاقة بين الذكاء الاصطناعي والتميز بعوامل </w:t>
            </w:r>
            <w:r w:rsidRPr="00BF65CE">
              <w:rPr>
                <w:rFonts w:ascii="Simplified Arabic" w:hAnsi="Simplified Arabic" w:cs="Simplified Arabic"/>
                <w:rtl/>
              </w:rPr>
              <w:lastRenderedPageBreak/>
              <w:t>تنظيمية مثل الثقافة الرقمية أو الدعم القيادي.</w:t>
            </w:r>
          </w:p>
        </w:tc>
        <w:tc>
          <w:tcPr>
            <w:tcW w:w="1532" w:type="pct"/>
            <w:vAlign w:val="center"/>
          </w:tcPr>
          <w:p w14:paraId="772E38C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lastRenderedPageBreak/>
              <w:t xml:space="preserve">الدور المعدل للثقافة الرقمية في العلاقة بين تطبيقات الذكاء </w:t>
            </w:r>
            <w:r w:rsidRPr="00BF65CE">
              <w:rPr>
                <w:rFonts w:ascii="Simplified Arabic" w:hAnsi="Simplified Arabic" w:cs="Simplified Arabic"/>
                <w:rtl/>
              </w:rPr>
              <w:lastRenderedPageBreak/>
              <w:t>الاصطناعي والتميز المؤسسي في القطاع الصحي.</w:t>
            </w:r>
          </w:p>
        </w:tc>
        <w:tc>
          <w:tcPr>
            <w:tcW w:w="1194" w:type="pct"/>
            <w:vAlign w:val="center"/>
          </w:tcPr>
          <w:p w14:paraId="4345511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lastRenderedPageBreak/>
              <w:t xml:space="preserve">منهج كمي مقارن بين مؤسسات ذات مستويات </w:t>
            </w:r>
            <w:r w:rsidRPr="00BF65CE">
              <w:rPr>
                <w:rFonts w:ascii="Simplified Arabic" w:hAnsi="Simplified Arabic" w:cs="Simplified Arabic"/>
                <w:rtl/>
              </w:rPr>
              <w:lastRenderedPageBreak/>
              <w:t>مختلفة من النضج الرقمي.</w:t>
            </w:r>
          </w:p>
        </w:tc>
      </w:tr>
      <w:tr w:rsidR="00E457CD" w:rsidRPr="00BF65CE" w14:paraId="52D4EE31" w14:textId="77777777" w:rsidTr="00337569">
        <w:tc>
          <w:tcPr>
            <w:tcW w:w="840" w:type="pct"/>
            <w:vAlign w:val="center"/>
          </w:tcPr>
          <w:p w14:paraId="3EEAB34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lastRenderedPageBreak/>
              <w:t>دراسة نوعية تفسيرية</w:t>
            </w:r>
          </w:p>
        </w:tc>
        <w:tc>
          <w:tcPr>
            <w:tcW w:w="1433" w:type="pct"/>
            <w:vAlign w:val="center"/>
          </w:tcPr>
          <w:p w14:paraId="4CECA081"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النتائج الكمية لا تفسر بالكامل سبب عدم انتقال الإبداع إلى التميز المؤسسي.</w:t>
            </w:r>
          </w:p>
        </w:tc>
        <w:tc>
          <w:tcPr>
            <w:tcW w:w="1532" w:type="pct"/>
            <w:vAlign w:val="center"/>
          </w:tcPr>
          <w:p w14:paraId="2CD65C6A"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تفسير ضعف أثر الإبداع المؤسسي في التميز المؤسسي: دراسة نوعية في المستشفيات الخاصة بمدينة الرياض.</w:t>
            </w:r>
          </w:p>
        </w:tc>
        <w:tc>
          <w:tcPr>
            <w:tcW w:w="1194" w:type="pct"/>
            <w:vAlign w:val="center"/>
          </w:tcPr>
          <w:p w14:paraId="36A42966"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مقابلات شبه مقننة مع القيادات والعاملين ومسؤولي الجودة والابتكار.</w:t>
            </w:r>
          </w:p>
        </w:tc>
      </w:tr>
      <w:tr w:rsidR="00E457CD" w:rsidRPr="00BF65CE" w14:paraId="0002CB1B" w14:textId="77777777" w:rsidTr="00337569">
        <w:tc>
          <w:tcPr>
            <w:tcW w:w="840" w:type="pct"/>
            <w:vAlign w:val="center"/>
          </w:tcPr>
          <w:p w14:paraId="4DC2BA39"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طولية</w:t>
            </w:r>
          </w:p>
        </w:tc>
        <w:tc>
          <w:tcPr>
            <w:tcW w:w="1433" w:type="pct"/>
            <w:vAlign w:val="center"/>
          </w:tcPr>
          <w:p w14:paraId="426EF02D"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تحتاج آثار الإبداع والذكاء الاصطناعي إلى وقت أطول حتى تظهر في مؤشرات التميز.</w:t>
            </w:r>
          </w:p>
        </w:tc>
        <w:tc>
          <w:tcPr>
            <w:tcW w:w="1532" w:type="pct"/>
            <w:vAlign w:val="center"/>
          </w:tcPr>
          <w:p w14:paraId="3500D586"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تطبيقات الذكاء الاصطناعي في التميز المؤسسي عبر الزمن: دراسة طولية في القطاع الصحي الخاص.</w:t>
            </w:r>
          </w:p>
        </w:tc>
        <w:tc>
          <w:tcPr>
            <w:tcW w:w="1194" w:type="pct"/>
            <w:vAlign w:val="center"/>
          </w:tcPr>
          <w:p w14:paraId="7C0C5416"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جمع بيانات على أكثر من مرحلة زمنية خلال عام أو عامين.</w:t>
            </w:r>
          </w:p>
        </w:tc>
      </w:tr>
      <w:tr w:rsidR="00E457CD" w:rsidRPr="00BF65CE" w14:paraId="77D91EF9" w14:textId="77777777" w:rsidTr="00337569">
        <w:tc>
          <w:tcPr>
            <w:tcW w:w="840" w:type="pct"/>
            <w:vAlign w:val="center"/>
          </w:tcPr>
          <w:p w14:paraId="063668B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المقارنة بين القطاعين العام والخاص</w:t>
            </w:r>
          </w:p>
        </w:tc>
        <w:tc>
          <w:tcPr>
            <w:tcW w:w="1433" w:type="pct"/>
            <w:vAlign w:val="center"/>
          </w:tcPr>
          <w:p w14:paraId="705BAD70"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اقتصرت الدراسة الحالية على مستشفيات القطاع الصحي الخاص بمدينة الرياض.</w:t>
            </w:r>
          </w:p>
        </w:tc>
        <w:tc>
          <w:tcPr>
            <w:tcW w:w="1532" w:type="pct"/>
            <w:vAlign w:val="center"/>
          </w:tcPr>
          <w:p w14:paraId="08198684"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مقارنة أثر الاستقطاب التنظيمي والذكاء الاصطناعي في التميز المؤسسي بين المستشفيات الحكومية والخاصة.</w:t>
            </w:r>
          </w:p>
        </w:tc>
        <w:tc>
          <w:tcPr>
            <w:tcW w:w="1194" w:type="pct"/>
            <w:vAlign w:val="center"/>
          </w:tcPr>
          <w:p w14:paraId="564A34D1"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دراسة مقارنة متعددة العينات باستخدام SEM أو التحليل متعدد المجموعات.</w:t>
            </w:r>
          </w:p>
        </w:tc>
      </w:tr>
      <w:tr w:rsidR="00E457CD" w:rsidRPr="00BF65CE" w14:paraId="207EDBAC" w14:textId="77777777" w:rsidTr="00337569">
        <w:tc>
          <w:tcPr>
            <w:tcW w:w="840" w:type="pct"/>
            <w:vAlign w:val="center"/>
          </w:tcPr>
          <w:p w14:paraId="5F86299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توسيع مجال الذكاء الاصطناعي</w:t>
            </w:r>
          </w:p>
        </w:tc>
        <w:tc>
          <w:tcPr>
            <w:tcW w:w="1433" w:type="pct"/>
            <w:vAlign w:val="center"/>
          </w:tcPr>
          <w:p w14:paraId="38F799A5"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تختلف النتائج حسب نوع التطبيق الذكي المستخدم؛ فالتطبيقات الإدارية ليست مماثلة للتطبيقات السريرية.</w:t>
            </w:r>
          </w:p>
        </w:tc>
        <w:tc>
          <w:tcPr>
            <w:tcW w:w="1532" w:type="pct"/>
            <w:vAlign w:val="center"/>
          </w:tcPr>
          <w:p w14:paraId="0DCE2377"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تطبيقات الذكاء الاصطناعي الإدارية والسريرية في جودة الخدمة والتميز المؤسسي.</w:t>
            </w:r>
          </w:p>
        </w:tc>
        <w:tc>
          <w:tcPr>
            <w:tcW w:w="1194" w:type="pct"/>
            <w:vAlign w:val="center"/>
          </w:tcPr>
          <w:p w14:paraId="38333B83"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تقسيم تطبيقات الذكاء الاصطناعي إلى مجالات فرعية وتحليل أثر كل مجال.</w:t>
            </w:r>
          </w:p>
        </w:tc>
      </w:tr>
      <w:tr w:rsidR="00E457CD" w:rsidRPr="00BF65CE" w14:paraId="35164846" w14:textId="77777777" w:rsidTr="00337569">
        <w:tc>
          <w:tcPr>
            <w:tcW w:w="840" w:type="pct"/>
            <w:vAlign w:val="center"/>
          </w:tcPr>
          <w:p w14:paraId="3DBE091C"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تحليل الأبعاد الفرعية للإبداع</w:t>
            </w:r>
          </w:p>
        </w:tc>
        <w:tc>
          <w:tcPr>
            <w:tcW w:w="1433" w:type="pct"/>
            <w:vAlign w:val="center"/>
          </w:tcPr>
          <w:p w14:paraId="3E7056C8"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قد لا يكون الإبداع المؤسسي كمتغير كلي دالًا، بينما قد تكون بعض أبعاده أكثر تأثيرًا.</w:t>
            </w:r>
          </w:p>
        </w:tc>
        <w:tc>
          <w:tcPr>
            <w:tcW w:w="1532" w:type="pct"/>
            <w:vAlign w:val="center"/>
          </w:tcPr>
          <w:p w14:paraId="76BE07CD"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أثر أبعاد الإبداع المؤسسي في التميز المؤسسي: دراسة تحليلية على مستوى الإبداع الشخصي والجماعي والتنظيمي.</w:t>
            </w:r>
          </w:p>
        </w:tc>
        <w:tc>
          <w:tcPr>
            <w:tcW w:w="1194" w:type="pct"/>
            <w:vAlign w:val="center"/>
          </w:tcPr>
          <w:p w14:paraId="733E38CF" w14:textId="77777777" w:rsidR="00E457CD" w:rsidRPr="00BF65CE" w:rsidRDefault="00014347" w:rsidP="00337569">
            <w:pPr>
              <w:rPr>
                <w:rFonts w:ascii="Simplified Arabic" w:hAnsi="Simplified Arabic" w:cs="Simplified Arabic"/>
              </w:rPr>
            </w:pPr>
            <w:r w:rsidRPr="00BF65CE">
              <w:rPr>
                <w:rFonts w:ascii="Simplified Arabic" w:hAnsi="Simplified Arabic" w:cs="Simplified Arabic"/>
                <w:rtl/>
              </w:rPr>
              <w:t>استخدام نموذج قياس تفصيلي يختبر الأبعاد الفرعية لا المتغير الكلي فقط.</w:t>
            </w:r>
          </w:p>
        </w:tc>
      </w:tr>
    </w:tbl>
    <w:p w14:paraId="32DF6EA3" w14:textId="77777777" w:rsidR="008A3F6D" w:rsidRDefault="00145E6B">
      <w:pPr>
        <w:spacing w:before="40" w:after="200" w:line="280" w:lineRule="auto"/>
        <w:jc w:val="both"/>
        <w:rPr>
          <w:rFonts w:ascii="Simplified Arabic" w:hAnsi="Simplified Arabic" w:cs="Simplified Arabic"/>
        </w:rPr>
      </w:pPr>
      <w:r>
        <w:rPr>
          <w:rFonts w:ascii="Simplified Arabic" w:hAnsi="Simplified Arabic" w:cs="Simplified Arabic"/>
          <w:rtl/>
        </w:rPr>
        <w:t>المصدر: من إعداد الباحثة بالاعتماد على نتائج الدراسة وحدودها.</w:t>
      </w:r>
    </w:p>
    <w:p w14:paraId="40A42873" w14:textId="77777777" w:rsidR="00E457CD" w:rsidRPr="00BF65CE" w:rsidRDefault="00E457CD" w:rsidP="002071EC">
      <w:pPr>
        <w:spacing w:after="80"/>
        <w:jc w:val="both"/>
        <w:rPr>
          <w:rFonts w:ascii="Simplified Arabic" w:hAnsi="Simplified Arabic" w:cs="Simplified Arabic"/>
        </w:rPr>
      </w:pPr>
    </w:p>
    <w:p w14:paraId="74B09752" w14:textId="77777777" w:rsidR="00E457CD" w:rsidRPr="00BF65CE" w:rsidRDefault="00014347" w:rsidP="00DE7D61">
      <w:pPr>
        <w:pStyle w:val="2"/>
        <w:rPr>
          <w:rFonts w:cs="Simplified Arabic"/>
          <w:color w:val="auto"/>
        </w:rPr>
      </w:pPr>
      <w:bookmarkStart w:id="80" w:name="_Toc235125854"/>
      <w:r w:rsidRPr="00BF65CE">
        <w:rPr>
          <w:rFonts w:cs="Simplified Arabic"/>
          <w:color w:val="auto"/>
          <w:rtl/>
        </w:rPr>
        <w:t>الخاتمة</w:t>
      </w:r>
      <w:bookmarkEnd w:id="80"/>
    </w:p>
    <w:p w14:paraId="35AA12EF"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خلصت هذه الدراسة إلى أن التميز المؤسسي في مستشفيات القطاع الصحي الخاص بمدينة الرياض يتأثر بصورة مباشرة بكل من الاستقطاب التنظيمي وتطبيقات الذكاء الاصطناعي. وهذه النتيجة تمنح الإدارات الصحية دلالة عملية مهمة، مفادها أن الاستثمار في الكفاءات البشرية المناسبة وفي التقنيات الذكية لا ينبغي أن يكون نشاطًا منفصلاً أو تجميليًا، بل يجب أن يندمج في صميم التخطيط المؤسسي وقرارات الجودة والتحول الرقمي.</w:t>
      </w:r>
    </w:p>
    <w:p w14:paraId="58A5351D"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lastRenderedPageBreak/>
        <w:t>وفي المقابل، فإن عدم ثبوت الدور الوسيط للإبداع المؤسسي لا يقلل من أهمية الإبداع، ولكنه يوجه النظر إلى ضرورة إدارته بطريقة أكثر انضباطًا. فالإبداع لا يصبح مؤثرًا في التميز بمجرد وجوده كقيمة تنظيمية أو شعار إداري، بل عندما يتحول إلى مشروعات قابلة للتطبيق، ومؤشرات أداء واضحة، ونتائج ملموسة في الخدمة والكفاءة ورضا المستفيدين. ومن هنا، فإن القيمة التطبيقية للدراسة تتمثل في تقديم خطة عمل تساعد المستشفيات الخاصة على ربط الموارد البشرية والتقنية بمخرجات التميز المؤسسي بشكل مباشر ومنظم.</w:t>
      </w:r>
    </w:p>
    <w:p w14:paraId="54F36EA7"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أما من الناحية العلمية، فقد أسهمت الدراسة في اختبار نموذج يربط بين الاستقطاب التنظيمي، وتطبيقات الذكاء الاصطناعي، والإبداع المؤسسي، والتميز المؤسسي في سياق القطاع الصحي الخاص. كما فتحت نتائجها مجالًا بحثيًا مهمًا أمام دراسات لاحقة لاختبار متغيرات وسيطة ومعدلة أخرى، أو استخدام مداخل نوعية وطولية لفهم أعمق لكيفية تحول الموارد البشرية والتقنية إلى تميز مؤسسي مستدام. وبذلك، لا تنتهي الدراسة عند حدود النتائج التي توصلت إليها، بل تضع أساسًا يمكن البناء عليه في تطوير البحث والممارسة الإدارية في المؤسسات الصحية.</w:t>
      </w:r>
    </w:p>
    <w:p w14:paraId="19E8E3B2" w14:textId="77777777" w:rsidR="00E457CD" w:rsidRPr="00BF65CE" w:rsidRDefault="00014347" w:rsidP="002071EC">
      <w:pPr>
        <w:spacing w:after="160"/>
        <w:jc w:val="both"/>
        <w:rPr>
          <w:rFonts w:ascii="Simplified Arabic" w:hAnsi="Simplified Arabic" w:cs="Simplified Arabic"/>
        </w:rPr>
      </w:pPr>
      <w:r w:rsidRPr="00BF65CE">
        <w:rPr>
          <w:rFonts w:ascii="Simplified Arabic" w:hAnsi="Simplified Arabic" w:cs="Simplified Arabic"/>
          <w:rtl/>
        </w:rPr>
        <w:t>وبناءً على ما سبق، يؤكد الباحث أن التميز المؤسسي في القطاع الصحي الخاص يتطلب إدارة واعية للعلاقة بين الإنسان والتقنية؛ فالكفاءة البشرية تمنح المؤسسة القدرة على الفهم والتكيف، بينما توفر تطبيقات الذكاء الاصطناعي أدوات السرعة والدقة والتحليل، ولا تتحقق القيمة الكاملة إلا عندما تُدار هذه العناصر ضمن رؤية مؤسسية واضحة قابلة للقياس والتنفيذ.</w:t>
      </w:r>
    </w:p>
    <w:p w14:paraId="1673F424" w14:textId="77777777" w:rsidR="008A3F6D" w:rsidRDefault="00145E6B">
      <w:pPr>
        <w:pStyle w:val="2"/>
        <w:rPr>
          <w:rFonts w:cs="Simplified Arabic"/>
          <w:color w:val="auto"/>
        </w:rPr>
      </w:pPr>
      <w:bookmarkStart w:id="81" w:name="_Toc235125855"/>
      <w:r>
        <w:rPr>
          <w:rFonts w:cs="Simplified Arabic"/>
          <w:color w:val="auto"/>
          <w:rtl/>
        </w:rPr>
        <w:t>خلاصة الفصل الخامس</w:t>
      </w:r>
      <w:bookmarkEnd w:id="81"/>
    </w:p>
    <w:p w14:paraId="7969BFB3" w14:textId="77777777" w:rsidR="008A3F6D" w:rsidRDefault="00145E6B">
      <w:pPr>
        <w:spacing w:after="160"/>
        <w:jc w:val="both"/>
        <w:rPr>
          <w:rFonts w:ascii="Simplified Arabic" w:hAnsi="Simplified Arabic" w:cs="Simplified Arabic"/>
        </w:rPr>
      </w:pPr>
      <w:r>
        <w:rPr>
          <w:rFonts w:ascii="Simplified Arabic" w:hAnsi="Simplified Arabic" w:cs="Simplified Arabic"/>
          <w:rtl/>
        </w:rPr>
        <w:t>عرض الفصل الخامس النتائج الرئيسة للدراسة وما ترتب عليها من توصيات إجرائية. وقد أكد الأثر المباشر الدال لكل من الاستقطاب التنظيمي وتطبيقات الذكاء الاصطناعي في التميز المؤسسي، في حين لم يثبت الدور الوسيط للإبداع المؤسسي. وبناءً على ذلك، قُدمت خطة تنفيذية تربط إدارة المواهب والتحول الرقمي بمؤشرات الجودة والأداء، إلى جانب مقترحات لبحوث مستقبلية تختبر متغيرات وسيطة ومعدلة وسياقات بحثية بديلة.</w:t>
      </w:r>
    </w:p>
    <w:p w14:paraId="68EC1FD3" w14:textId="77777777" w:rsidR="00463479" w:rsidRPr="00BF65CE" w:rsidRDefault="00463479">
      <w:pPr>
        <w:bidi w:val="0"/>
        <w:rPr>
          <w:rFonts w:ascii="Simplified Arabic" w:hAnsi="Simplified Arabic" w:cs="Simplified Arabic"/>
          <w:b/>
          <w:bCs/>
          <w:sz w:val="28"/>
          <w:szCs w:val="32"/>
          <w:rtl/>
        </w:rPr>
      </w:pPr>
      <w:r w:rsidRPr="00BF65CE">
        <w:rPr>
          <w:rFonts w:ascii="Simplified Arabic" w:hAnsi="Simplified Arabic" w:cs="Simplified Arabic"/>
          <w:rtl/>
        </w:rPr>
        <w:br w:type="page"/>
      </w:r>
    </w:p>
    <w:p w14:paraId="458DCDC6" w14:textId="77777777" w:rsidR="00E457CD" w:rsidRPr="00BF65CE" w:rsidRDefault="00014347" w:rsidP="00DE7D61">
      <w:pPr>
        <w:pStyle w:val="1"/>
        <w:rPr>
          <w:rFonts w:cs="Simplified Arabic"/>
          <w:color w:val="auto"/>
          <w:sz w:val="24"/>
        </w:rPr>
      </w:pPr>
      <w:bookmarkStart w:id="82" w:name="_Toc235125856"/>
      <w:r w:rsidRPr="00BF65CE">
        <w:rPr>
          <w:rFonts w:cs="Simplified Arabic"/>
          <w:color w:val="auto"/>
          <w:rtl/>
        </w:rPr>
        <w:lastRenderedPageBreak/>
        <w:t>المراجع</w:t>
      </w:r>
      <w:bookmarkEnd w:id="82"/>
    </w:p>
    <w:p w14:paraId="6C1C02E3" w14:textId="77777777" w:rsidR="00E457CD" w:rsidRPr="00BF65CE" w:rsidRDefault="00014347" w:rsidP="00DE7D61">
      <w:pPr>
        <w:pStyle w:val="2"/>
        <w:rPr>
          <w:rFonts w:cs="Simplified Arabic"/>
          <w:color w:val="auto"/>
        </w:rPr>
      </w:pPr>
      <w:bookmarkStart w:id="83" w:name="_Toc235125857"/>
      <w:r w:rsidRPr="00BF65CE">
        <w:rPr>
          <w:rFonts w:cs="Simplified Arabic"/>
          <w:color w:val="auto"/>
          <w:rtl/>
        </w:rPr>
        <w:t>أولًا: المراجع العربية</w:t>
      </w:r>
      <w:bookmarkEnd w:id="83"/>
    </w:p>
    <w:p w14:paraId="09A7B621"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أبو شحاتة، ثناء معوض علي، وحسن، سحر الطيب أحمد. (2024). أثر تطبيق الذكاء الاصطناعي في ممارسات إدارة الموارد البشرية على الانخراط في العمل والدور الوسيط للدعم التنظيمي المُدرك: دراسة تطبيقية على الشركة المصرية للاتصالات. </w:t>
      </w:r>
      <w:r w:rsidRPr="00BF65CE">
        <w:rPr>
          <w:rStyle w:val="ae"/>
          <w:rFonts w:ascii="Simplified Arabic" w:hAnsi="Simplified Arabic" w:cs="Simplified Arabic"/>
          <w:rtl/>
        </w:rPr>
        <w:t>مجلة راية الدولية للعلوم التجارية، 3</w:t>
      </w:r>
      <w:r w:rsidRPr="00BF65CE">
        <w:rPr>
          <w:rFonts w:ascii="Simplified Arabic" w:hAnsi="Simplified Arabic" w:cs="Simplified Arabic"/>
        </w:rPr>
        <w:t>(11)، 1523–1630.</w:t>
      </w:r>
    </w:p>
    <w:p w14:paraId="0202C69D"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أزيبي، يحي محمد ربيع. (2024). دور الذكاء الاصطناعي في تحسين الخدمات الصحية: دراسة حالة مستشفيات صحة جازان. </w:t>
      </w:r>
      <w:r w:rsidRPr="00BF65CE">
        <w:rPr>
          <w:rStyle w:val="ae"/>
          <w:rFonts w:ascii="Simplified Arabic" w:hAnsi="Simplified Arabic" w:cs="Simplified Arabic"/>
          <w:rtl/>
        </w:rPr>
        <w:t>مجلة المعهد العالي للدراسات النوعية، 4</w:t>
      </w:r>
      <w:r w:rsidRPr="00BF65CE">
        <w:rPr>
          <w:rFonts w:ascii="Simplified Arabic" w:hAnsi="Simplified Arabic" w:cs="Simplified Arabic"/>
        </w:rPr>
        <w:t>(8)، 2967–3140.</w:t>
      </w:r>
    </w:p>
    <w:p w14:paraId="3F8A3879" w14:textId="683114B4"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أصرف، حامد جودت. (2020). أثر تطبيقات إدارة الموارد البشرية الرقمية في تعزيز التميز المؤسسي: دراسة تطبيقية على دائرة التنمية الاقتصادية في حكومة عجمان. </w:t>
      </w:r>
      <w:r w:rsidRPr="00BF65CE">
        <w:rPr>
          <w:rStyle w:val="ae"/>
          <w:rFonts w:ascii="Simplified Arabic" w:hAnsi="Simplified Arabic" w:cs="Simplified Arabic"/>
          <w:rtl/>
        </w:rPr>
        <w:t>المجلة العربية للإدارة</w:t>
      </w:r>
      <w:r w:rsidRPr="00BF65CE">
        <w:rPr>
          <w:rFonts w:ascii="Simplified Arabic" w:hAnsi="Simplified Arabic" w:cs="Simplified Arabic"/>
        </w:rPr>
        <w:t xml:space="preserve">. </w:t>
      </w:r>
      <w:hyperlink r:id="rId15" w:history="1">
        <w:r w:rsidR="001A664C" w:rsidRPr="00E31283">
          <w:rPr>
            <w:rStyle w:val="Hyperlink"/>
            <w:rFonts w:ascii="Simplified Arabic" w:hAnsi="Simplified Arabic" w:cs="Simplified Arabic"/>
          </w:rPr>
          <w:t>https://doi.org/10.21608/aja.2020.93333</w:t>
        </w:r>
      </w:hyperlink>
      <w:r w:rsidR="001A664C">
        <w:rPr>
          <w:rFonts w:ascii="Simplified Arabic" w:hAnsi="Simplified Arabic" w:cs="Simplified Arabic" w:hint="cs"/>
        </w:rPr>
        <w:t xml:space="preserve"> </w:t>
      </w:r>
    </w:p>
    <w:p w14:paraId="34A53FB8" w14:textId="0A298A03"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أمين، أحمد عبد الحميد. (2018). أثر استقطاب الموظفين العادي والإلكتروني على الأداء الوظيفي: دراسة تطبيقية على شركات التأمين في مدينة المنصورة. </w:t>
      </w:r>
      <w:r w:rsidRPr="00BF65CE">
        <w:rPr>
          <w:rStyle w:val="ae"/>
          <w:rFonts w:ascii="Simplified Arabic" w:hAnsi="Simplified Arabic" w:cs="Simplified Arabic"/>
          <w:rtl/>
        </w:rPr>
        <w:t>مجلة البحوث التجارية، 40</w:t>
      </w:r>
      <w:r w:rsidRPr="00BF65CE">
        <w:rPr>
          <w:rFonts w:ascii="Simplified Arabic" w:hAnsi="Simplified Arabic" w:cs="Simplified Arabic"/>
        </w:rPr>
        <w:t xml:space="preserve">(4)، 15–66. </w:t>
      </w:r>
      <w:hyperlink r:id="rId16" w:history="1">
        <w:r w:rsidR="001A664C" w:rsidRPr="00E31283">
          <w:rPr>
            <w:rStyle w:val="Hyperlink"/>
            <w:rFonts w:ascii="Simplified Arabic" w:hAnsi="Simplified Arabic" w:cs="Simplified Arabic"/>
          </w:rPr>
          <w:t>https://doi.org/10.21608/zcom.2018.148757</w:t>
        </w:r>
      </w:hyperlink>
      <w:r w:rsidR="001A664C">
        <w:rPr>
          <w:rFonts w:ascii="Simplified Arabic" w:hAnsi="Simplified Arabic" w:cs="Simplified Arabic" w:hint="cs"/>
        </w:rPr>
        <w:t xml:space="preserve"> </w:t>
      </w:r>
    </w:p>
    <w:p w14:paraId="428A4472"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امحمد، النية، ومبارك، مقسودة. (2020). أثر بيئة العمل في تحقيق الإبداع الإداري: دراسة حالة الشركة الجزائرية لإنتاج الكهرباء وحدة أدرار [رسالة ماجستير غير منشورة]. جامعة أحمد دراية أدرار.</w:t>
      </w:r>
    </w:p>
    <w:p w14:paraId="4D7091A5" w14:textId="18386470"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بخيخ، زينة، ومغلاوي، أسماء. (2023). الثقافة الجديدة وعلاقتها بالإبداع الإداري في المؤسسة الجزائرية: تاريخ التفعيل [أطروحة دكتوراه، </w:t>
      </w:r>
      <w:r w:rsidR="00185522">
        <w:rPr>
          <w:rFonts w:ascii="Simplified Arabic" w:hAnsi="Simplified Arabic" w:cs="Simplified Arabic" w:hint="cs"/>
          <w:rtl/>
        </w:rPr>
        <w:t>جامعة جيجل</w:t>
      </w:r>
      <w:r w:rsidRPr="00BF65CE">
        <w:rPr>
          <w:rFonts w:ascii="Simplified Arabic" w:hAnsi="Simplified Arabic" w:cs="Simplified Arabic"/>
          <w:rtl/>
        </w:rPr>
        <w:t>]</w:t>
      </w:r>
      <w:r w:rsidR="00803B2E">
        <w:rPr>
          <w:rFonts w:ascii="Simplified Arabic" w:hAnsi="Simplified Arabic" w:cs="Simplified Arabic" w:hint="cs"/>
          <w:rtl/>
        </w:rPr>
        <w:t xml:space="preserve">. </w:t>
      </w:r>
      <w:hyperlink r:id="rId17" w:history="1">
        <w:r w:rsidR="00803B2E" w:rsidRPr="00E31283">
          <w:rPr>
            <w:rStyle w:val="Hyperlink"/>
            <w:rFonts w:ascii="Simplified Arabic" w:hAnsi="Simplified Arabic" w:cs="Simplified Arabic"/>
          </w:rPr>
          <w:t>http://dspace.univ-jijel.dz:8080/xmlui/handle/123456789/13988</w:t>
        </w:r>
      </w:hyperlink>
      <w:r w:rsidR="00803B2E">
        <w:rPr>
          <w:rFonts w:ascii="Simplified Arabic" w:hAnsi="Simplified Arabic" w:cs="Simplified Arabic" w:hint="cs"/>
        </w:rPr>
        <w:t xml:space="preserve"> </w:t>
      </w:r>
    </w:p>
    <w:p w14:paraId="729044AD"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بو حالة، محمد المهدي. (2023). بيئة العمل وأثرها في الإبداع التنظيمي بالمؤسسة الاقتصادية [رسالة ماجستير غير منشورة]. جامعة قاصدي مرباح ورقلة.</w:t>
      </w:r>
    </w:p>
    <w:p w14:paraId="23A7839B"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جبر، مدين عبد الوهاب، وأحمد، أحمد رحمان فتاح. (2022). مجسم الموارد البشرية بالكامل في التنفيذ التنظيمي: دراسة استطلاعية في هيئة السياحة العراقية. </w:t>
      </w:r>
      <w:r w:rsidRPr="00BF65CE">
        <w:rPr>
          <w:rStyle w:val="ae"/>
          <w:rFonts w:ascii="Simplified Arabic" w:hAnsi="Simplified Arabic" w:cs="Simplified Arabic"/>
          <w:rtl/>
        </w:rPr>
        <w:t>المجلة الأكاديمية في العلوم الإنسانية والاجتماعية</w:t>
      </w:r>
      <w:r w:rsidRPr="00BF65CE">
        <w:rPr>
          <w:rFonts w:ascii="Simplified Arabic" w:hAnsi="Simplified Arabic" w:cs="Simplified Arabic"/>
        </w:rPr>
        <w:t>، 319–331.</w:t>
      </w:r>
    </w:p>
    <w:p w14:paraId="6C709438"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الحارثي، بدر محمد. (2024). التنظيم الإداري وأثره على تحقيق التميز المؤسسي: دراسة تطبيقية على شركة عبداللطيف جميل. </w:t>
      </w:r>
      <w:r w:rsidRPr="00BF65CE">
        <w:rPr>
          <w:rStyle w:val="ae"/>
          <w:rFonts w:ascii="Simplified Arabic" w:hAnsi="Simplified Arabic" w:cs="Simplified Arabic"/>
          <w:rtl/>
        </w:rPr>
        <w:t>مجلة العلوم الاقتصادية والإدارية والقانونية، 8</w:t>
      </w:r>
      <w:r w:rsidRPr="00BF65CE">
        <w:rPr>
          <w:rFonts w:ascii="Simplified Arabic" w:hAnsi="Simplified Arabic" w:cs="Simplified Arabic"/>
        </w:rPr>
        <w:t>(5)، 76–93.</w:t>
      </w:r>
    </w:p>
    <w:p w14:paraId="35F30A0D"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lastRenderedPageBreak/>
        <w:t xml:space="preserve">الخشاب، ساهر. (2019). استراتيجيات الاستقطاب التنظيمي وتأثيرها على الأداء المؤسسي. </w:t>
      </w:r>
      <w:r w:rsidRPr="00BF65CE">
        <w:rPr>
          <w:rStyle w:val="ae"/>
          <w:rFonts w:ascii="Simplified Arabic" w:hAnsi="Simplified Arabic" w:cs="Simplified Arabic"/>
          <w:rtl/>
        </w:rPr>
        <w:t>الدراسات الاقتصادية والإدارية، 30</w:t>
      </w:r>
      <w:r w:rsidRPr="00BF65CE">
        <w:rPr>
          <w:rFonts w:ascii="Simplified Arabic" w:hAnsi="Simplified Arabic" w:cs="Simplified Arabic"/>
        </w:rPr>
        <w:t>(2)، 88–102.</w:t>
      </w:r>
    </w:p>
    <w:p w14:paraId="47D5692B" w14:textId="68C17003"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الخلايلة، قصي محمد، والصمادي، زياد محمد علي. (2021). أثر تطبيقات الذكاء الاصطناعي على جودة الرعاية الصحية: دراسة تطبيقية على مستشفيات وزارة الصحة الأردنية [رسالة ماجستير غير منشورة]. جامعة آل البيت. </w:t>
      </w:r>
      <w:hyperlink r:id="rId18" w:history="1">
        <w:r w:rsidR="001A664C" w:rsidRPr="00E31283">
          <w:rPr>
            <w:rStyle w:val="Hyperlink"/>
            <w:rFonts w:ascii="Simplified Arabic" w:hAnsi="Simplified Arabic" w:cs="Simplified Arabic"/>
          </w:rPr>
          <w:t>http://search.mandumah.com/Record/1253311</w:t>
        </w:r>
      </w:hyperlink>
      <w:r w:rsidR="001A664C">
        <w:rPr>
          <w:rFonts w:ascii="Simplified Arabic" w:hAnsi="Simplified Arabic" w:cs="Simplified Arabic" w:hint="cs"/>
        </w:rPr>
        <w:t xml:space="preserve"> </w:t>
      </w:r>
    </w:p>
    <w:p w14:paraId="6130654B"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سلاطني، مروة، وسبتي، يوسف. (2019). دور الإبداع والابتكار في تطوير أداء المؤسسة: دراسة حالة اتصالات الجزائر تبسة [رسالة ماجستير، جامعة العربي التبسي - تبسة].</w:t>
      </w:r>
    </w:p>
    <w:p w14:paraId="18AAE3D0"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سليم، نجوى وفائي. (2020). ممارسات إدارة الموارد البشرية وأثرها على تحقيق التميز المؤسسي: دراسة ميدانية بجامعة 6 أكتوبر، محافظة الجيزة. </w:t>
      </w:r>
      <w:r w:rsidRPr="00BF65CE">
        <w:rPr>
          <w:rStyle w:val="ae"/>
          <w:rFonts w:ascii="Simplified Arabic" w:hAnsi="Simplified Arabic" w:cs="Simplified Arabic"/>
          <w:rtl/>
        </w:rPr>
        <w:t>مجلة الدراسات الإنسانية والاجتماعية، 2</w:t>
      </w:r>
      <w:r w:rsidRPr="00BF65CE">
        <w:rPr>
          <w:rFonts w:ascii="Simplified Arabic" w:hAnsi="Simplified Arabic" w:cs="Simplified Arabic"/>
        </w:rPr>
        <w:t>(6).</w:t>
      </w:r>
    </w:p>
    <w:p w14:paraId="6EF255D0"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سليمان، إيناس السيد محمد. (2023). متطلبات هيكلة التحالف الاستراتيجي لتعزيز التميز التنظيمي لمؤسسات التعليم قبل الجامعي. </w:t>
      </w:r>
      <w:r w:rsidRPr="00BF65CE">
        <w:rPr>
          <w:rStyle w:val="ae"/>
          <w:rFonts w:ascii="Simplified Arabic" w:hAnsi="Simplified Arabic" w:cs="Simplified Arabic"/>
          <w:rtl/>
        </w:rPr>
        <w:t>مجلة كلية التربية بأسيوط، 39</w:t>
      </w:r>
      <w:r w:rsidRPr="00BF65CE">
        <w:rPr>
          <w:rFonts w:ascii="Simplified Arabic" w:hAnsi="Simplified Arabic" w:cs="Simplified Arabic"/>
        </w:rPr>
        <w:t>(1)، 1–58.</w:t>
      </w:r>
    </w:p>
    <w:p w14:paraId="61D2EFB1"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سرمد، كاظم، وآخرون. (2010). </w:t>
      </w:r>
      <w:r w:rsidRPr="00BF65CE">
        <w:rPr>
          <w:rStyle w:val="ae"/>
          <w:rFonts w:ascii="Simplified Arabic" w:hAnsi="Simplified Arabic" w:cs="Simplified Arabic"/>
          <w:rtl/>
        </w:rPr>
        <w:t>البحث العلمي: الأسس والمناهج</w:t>
      </w:r>
      <w:r w:rsidRPr="00BF65CE">
        <w:rPr>
          <w:rFonts w:ascii="Simplified Arabic" w:hAnsi="Simplified Arabic" w:cs="Simplified Arabic"/>
          <w:rtl/>
        </w:rPr>
        <w:t xml:space="preserve"> (ط. 3). دار المجد.</w:t>
      </w:r>
    </w:p>
    <w:p w14:paraId="74423F20"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شرف الدين، بن قومار، ودارم، نهاد. (2023). دور الذكاء الاصطناعي في تعزيز التكنولوجيا المالية في المؤسسات المالية: دراسة حالة البنك الخارجي الجزائري وبنك الخليج، وكالتي غرداية، سنة 2023 [أطروحة دكتوراه، جامعة غرداية].</w:t>
      </w:r>
    </w:p>
    <w:p w14:paraId="2C7CA90F"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شكري، دولت، وغيث، أحمد عبد الحليم، ومرتضى، نشأ السيد، والشيماء. (2024). الإدارة التنفيذية في المنطقة السياحية والفندقية: إدارة التمكين والبراعة. </w:t>
      </w:r>
      <w:r w:rsidRPr="00BF65CE">
        <w:rPr>
          <w:rStyle w:val="ae"/>
          <w:rFonts w:ascii="Simplified Arabic" w:hAnsi="Simplified Arabic" w:cs="Simplified Arabic"/>
          <w:rtl/>
        </w:rPr>
        <w:t>مجلة اتحاد الجامعات العربية للسياحة والضيافة، 26</w:t>
      </w:r>
      <w:r w:rsidRPr="00BF65CE">
        <w:rPr>
          <w:rFonts w:ascii="Simplified Arabic" w:hAnsi="Simplified Arabic" w:cs="Simplified Arabic"/>
        </w:rPr>
        <w:t>(1)، 411–435.</w:t>
      </w:r>
    </w:p>
    <w:p w14:paraId="456E76A5"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العبيدات، خ. أ. (2021). دور الموارد الاستراتيجية في تحقيق الميزة التنافسية: دراسة تطبيقية في قطاع الخدمات. </w:t>
      </w:r>
      <w:r w:rsidRPr="00BF65CE">
        <w:rPr>
          <w:rStyle w:val="ae"/>
          <w:rFonts w:ascii="Simplified Arabic" w:hAnsi="Simplified Arabic" w:cs="Simplified Arabic"/>
          <w:rtl/>
        </w:rPr>
        <w:t>مجلة العلوم الإدارية والمالية، 7</w:t>
      </w:r>
      <w:r w:rsidRPr="00BF65CE">
        <w:rPr>
          <w:rFonts w:ascii="Simplified Arabic" w:hAnsi="Simplified Arabic" w:cs="Simplified Arabic"/>
        </w:rPr>
        <w:t>(1)، 55–78.</w:t>
      </w:r>
    </w:p>
    <w:p w14:paraId="39CA7BBF" w14:textId="4292EEBD"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عجينة، فكرية عبد الفتاح، وبدر الدين، رانيا محمد بهاء. (2021). دور القيادة التحويلية في تنمية الإبداع التنظيمي في شركات السياحة المصرية. </w:t>
      </w:r>
      <w:r w:rsidRPr="00BF65CE">
        <w:rPr>
          <w:rStyle w:val="ae"/>
          <w:rFonts w:ascii="Simplified Arabic" w:hAnsi="Simplified Arabic" w:cs="Simplified Arabic"/>
          <w:rtl/>
        </w:rPr>
        <w:t>مجلة كلية السياحة والفنادق، 9</w:t>
      </w:r>
      <w:r w:rsidRPr="00BF65CE">
        <w:rPr>
          <w:rFonts w:ascii="Simplified Arabic" w:hAnsi="Simplified Arabic" w:cs="Simplified Arabic"/>
        </w:rPr>
        <w:t xml:space="preserve">(9)، 230–274. </w:t>
      </w:r>
      <w:hyperlink r:id="rId19" w:history="1">
        <w:r w:rsidR="001A664C" w:rsidRPr="00E31283">
          <w:rPr>
            <w:rStyle w:val="Hyperlink"/>
            <w:rFonts w:ascii="Simplified Arabic" w:hAnsi="Simplified Arabic" w:cs="Simplified Arabic"/>
          </w:rPr>
          <w:t>https://doi.org/10.21608/mkaf.2021.202120</w:t>
        </w:r>
      </w:hyperlink>
      <w:r w:rsidR="001A664C">
        <w:rPr>
          <w:rFonts w:ascii="Simplified Arabic" w:hAnsi="Simplified Arabic" w:cs="Simplified Arabic" w:hint="cs"/>
        </w:rPr>
        <w:t xml:space="preserve"> </w:t>
      </w:r>
    </w:p>
    <w:p w14:paraId="27FA2621"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العمري، بدر بن أحمد علي. (2020). استقطاب الموارد البشرية. </w:t>
      </w:r>
      <w:r w:rsidRPr="00BF65CE">
        <w:rPr>
          <w:rStyle w:val="ae"/>
          <w:rFonts w:ascii="Simplified Arabic" w:hAnsi="Simplified Arabic" w:cs="Simplified Arabic"/>
          <w:rtl/>
        </w:rPr>
        <w:t>المجلة العربية للنشر العلمي، 15</w:t>
      </w:r>
      <w:r w:rsidRPr="00BF65CE">
        <w:rPr>
          <w:rFonts w:ascii="Simplified Arabic" w:hAnsi="Simplified Arabic" w:cs="Simplified Arabic"/>
        </w:rPr>
        <w:t>(2)، 2663–5798.</w:t>
      </w:r>
    </w:p>
    <w:p w14:paraId="42958E5D" w14:textId="42ABD380"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العنزي، سعد حمود سعد الشملاني، والسعود، أنس راتب. (2020). أثر الذكاء الاصطناعي على أداء المنظمات: دراسة حالة مؤسسة الرعاية الصحية الأولية بدولة قطر [رسالة ماجستير غير منشورة]. جامعة عمان الأهلية. </w:t>
      </w:r>
      <w:hyperlink r:id="rId20" w:history="1">
        <w:r w:rsidR="001A664C" w:rsidRPr="00E31283">
          <w:rPr>
            <w:rStyle w:val="Hyperlink"/>
            <w:rFonts w:ascii="Simplified Arabic" w:hAnsi="Simplified Arabic" w:cs="Simplified Arabic"/>
          </w:rPr>
          <w:t>http://search.mandumah.com/Record/1097360</w:t>
        </w:r>
      </w:hyperlink>
      <w:r w:rsidR="001A664C">
        <w:rPr>
          <w:rFonts w:ascii="Simplified Arabic" w:hAnsi="Simplified Arabic" w:cs="Simplified Arabic" w:hint="cs"/>
        </w:rPr>
        <w:t xml:space="preserve"> </w:t>
      </w:r>
    </w:p>
    <w:p w14:paraId="7E835F79"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lastRenderedPageBreak/>
        <w:t xml:space="preserve">الكبيسي، أ. م. (2022). توظيف الذكاء الاصطناعي في تطوير أداء المنظمات: منظور قائم على نظرية الموارد. </w:t>
      </w:r>
      <w:r w:rsidRPr="00BF65CE">
        <w:rPr>
          <w:rStyle w:val="ae"/>
          <w:rFonts w:ascii="Simplified Arabic" w:hAnsi="Simplified Arabic" w:cs="Simplified Arabic"/>
          <w:rtl/>
        </w:rPr>
        <w:t>المجلة العربية للعلوم الإدارية، 29</w:t>
      </w:r>
      <w:r w:rsidRPr="00BF65CE">
        <w:rPr>
          <w:rFonts w:ascii="Simplified Arabic" w:hAnsi="Simplified Arabic" w:cs="Simplified Arabic"/>
        </w:rPr>
        <w:t>(2)، 133–152.</w:t>
      </w:r>
    </w:p>
    <w:p w14:paraId="10F28F0F"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اللوح، باسم عمر محمود. (2017). أثر العوامل الريادية في تحقيق التميز المؤسسي: دراسة حالة موظفي شركات الوساطة للأوراق المالية في فلسطين [رسالة ماجستير غير منشورة]. جامعة غزة.</w:t>
      </w:r>
    </w:p>
    <w:p w14:paraId="4466EDB8" w14:textId="1F5F67F2"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محمد، علي إدريس. (2019). ممارسات إدارة الموارد البشرية وأثرها في تحقيق التميز المؤسسي: دراسة ميدانية على الموظفين في مصرف الوحدة - فرع أجدابيا. </w:t>
      </w:r>
      <w:r w:rsidRPr="00BF65CE">
        <w:rPr>
          <w:rStyle w:val="ae"/>
          <w:rFonts w:ascii="Simplified Arabic" w:hAnsi="Simplified Arabic" w:cs="Simplified Arabic"/>
          <w:rtl/>
        </w:rPr>
        <w:t>مجلة الجامعي</w:t>
      </w:r>
      <w:r w:rsidRPr="00BF65CE">
        <w:rPr>
          <w:rFonts w:ascii="Simplified Arabic" w:hAnsi="Simplified Arabic" w:cs="Simplified Arabic"/>
        </w:rPr>
        <w:t xml:space="preserve">، (30)، 77–100. </w:t>
      </w:r>
    </w:p>
    <w:p w14:paraId="3BBA7952" w14:textId="28A78F85"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مركز البحوث والمعلومات. (</w:t>
      </w:r>
      <w:r w:rsidR="00F92EBF" w:rsidRPr="00BF65CE">
        <w:rPr>
          <w:rFonts w:ascii="Simplified Arabic" w:hAnsi="Simplified Arabic" w:cs="Simplified Arabic"/>
          <w:rtl/>
        </w:rPr>
        <w:t>2021</w:t>
      </w:r>
      <w:r w:rsidRPr="00BF65CE">
        <w:rPr>
          <w:rFonts w:ascii="Simplified Arabic" w:hAnsi="Simplified Arabic" w:cs="Simplified Arabic"/>
          <w:rtl/>
        </w:rPr>
        <w:t xml:space="preserve">). </w:t>
      </w:r>
      <w:r w:rsidRPr="00BF65CE">
        <w:rPr>
          <w:rStyle w:val="ae"/>
          <w:rFonts w:ascii="Simplified Arabic" w:hAnsi="Simplified Arabic" w:cs="Simplified Arabic"/>
          <w:rtl/>
        </w:rPr>
        <w:t>الذكاء الاصطناعي</w:t>
      </w:r>
      <w:r w:rsidRPr="00BF65CE">
        <w:rPr>
          <w:rFonts w:ascii="Simplified Arabic" w:hAnsi="Simplified Arabic" w:cs="Simplified Arabic"/>
        </w:rPr>
        <w:t xml:space="preserve">. </w:t>
      </w:r>
      <w:hyperlink r:id="rId21" w:history="1">
        <w:r w:rsidR="00F92EBF" w:rsidRPr="00BF65CE">
          <w:rPr>
            <w:rStyle w:val="Hyperlink"/>
            <w:rFonts w:ascii="Simplified Arabic" w:hAnsi="Simplified Arabic" w:cs="Simplified Arabic"/>
            <w:color w:val="auto"/>
          </w:rPr>
          <w:t>https://www.abhcci.org.sa</w:t>
        </w:r>
      </w:hyperlink>
      <w:r w:rsidR="00F92EBF" w:rsidRPr="00BF65CE">
        <w:rPr>
          <w:rFonts w:ascii="Simplified Arabic" w:hAnsi="Simplified Arabic" w:cs="Simplified Arabic"/>
        </w:rPr>
        <w:t xml:space="preserve"> </w:t>
      </w:r>
    </w:p>
    <w:p w14:paraId="7BCD1195" w14:textId="5069C58A"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الهادي، محمد. (2021). تأثير الذكاء الاصطناعي وآثاره على العمل والوظائف. </w:t>
      </w:r>
      <w:r w:rsidRPr="00BF65CE">
        <w:rPr>
          <w:rStyle w:val="ae"/>
          <w:rFonts w:ascii="Simplified Arabic" w:hAnsi="Simplified Arabic" w:cs="Simplified Arabic"/>
          <w:rtl/>
        </w:rPr>
        <w:t>مجلة الجمعية المصرية لنظم المعلومات وتكنولوجيا الحاسبات، 24</w:t>
      </w:r>
      <w:r w:rsidRPr="00BF65CE">
        <w:rPr>
          <w:rFonts w:ascii="Simplified Arabic" w:hAnsi="Simplified Arabic" w:cs="Simplified Arabic"/>
        </w:rPr>
        <w:t xml:space="preserve">(24)، 14–32. </w:t>
      </w:r>
      <w:hyperlink r:id="rId22" w:history="1">
        <w:r w:rsidR="00AC6394" w:rsidRPr="00E31283">
          <w:rPr>
            <w:rStyle w:val="Hyperlink"/>
            <w:rFonts w:ascii="Simplified Arabic" w:hAnsi="Simplified Arabic" w:cs="Simplified Arabic"/>
          </w:rPr>
          <w:t>https://doi.org/10.21608/jstc.2021.164993</w:t>
        </w:r>
      </w:hyperlink>
      <w:r w:rsidR="00AC6394">
        <w:rPr>
          <w:rFonts w:ascii="Simplified Arabic" w:hAnsi="Simplified Arabic" w:cs="Simplified Arabic" w:hint="cs"/>
        </w:rPr>
        <w:t xml:space="preserve"> </w:t>
      </w:r>
    </w:p>
    <w:p w14:paraId="05287652"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الهنداوي، أحمد عبد الفتاح حمدي، وأحمد، محمود مصطفى أحمد. (2021). الذكاء الاصطناعي وتطبيقاته في تطوير الإدارة الجامعية. </w:t>
      </w:r>
      <w:r w:rsidRPr="00BF65CE">
        <w:rPr>
          <w:rStyle w:val="ae"/>
          <w:rFonts w:ascii="Simplified Arabic" w:hAnsi="Simplified Arabic" w:cs="Simplified Arabic"/>
          <w:rtl/>
        </w:rPr>
        <w:t>التربية (الأزهر): مجلة علمية محكمة للبحوث التربوية والنفسية والاجتماعية، 40</w:t>
      </w:r>
      <w:r w:rsidRPr="00BF65CE">
        <w:rPr>
          <w:rFonts w:ascii="Simplified Arabic" w:hAnsi="Simplified Arabic" w:cs="Simplified Arabic"/>
        </w:rPr>
        <w:t>(192)، 477–513.</w:t>
      </w:r>
    </w:p>
    <w:p w14:paraId="7C4FDE8F"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وزارة الصحة السعودية. (2025). </w:t>
      </w:r>
      <w:r w:rsidRPr="00BF65CE">
        <w:rPr>
          <w:rStyle w:val="ae"/>
          <w:rFonts w:ascii="Simplified Arabic" w:hAnsi="Simplified Arabic" w:cs="Simplified Arabic"/>
          <w:rtl/>
        </w:rPr>
        <w:t>قاعدة بيانات المستشفيات الخاصة بالرياض</w:t>
      </w:r>
      <w:r w:rsidRPr="00BF65CE">
        <w:rPr>
          <w:rFonts w:ascii="Simplified Arabic" w:hAnsi="Simplified Arabic" w:cs="Simplified Arabic"/>
          <w:rtl/>
        </w:rPr>
        <w:t xml:space="preserve"> [قاعدة بيانات غير منشورة].</w:t>
      </w:r>
    </w:p>
    <w:p w14:paraId="1F1A0BB0" w14:textId="77777777" w:rsidR="000B0C77" w:rsidRPr="00BF65CE" w:rsidRDefault="000B0C77" w:rsidP="001A664C">
      <w:pPr>
        <w:pStyle w:val="ad"/>
        <w:bidi/>
        <w:spacing w:before="0" w:beforeAutospacing="0" w:after="240" w:afterAutospacing="0"/>
        <w:ind w:left="720" w:hanging="720"/>
        <w:rPr>
          <w:rFonts w:ascii="Simplified Arabic" w:hAnsi="Simplified Arabic" w:cs="Simplified Arabic"/>
        </w:rPr>
      </w:pPr>
      <w:r w:rsidRPr="00BF65CE">
        <w:rPr>
          <w:rFonts w:ascii="Simplified Arabic" w:hAnsi="Simplified Arabic" w:cs="Simplified Arabic"/>
          <w:rtl/>
        </w:rPr>
        <w:t xml:space="preserve">الجدائمي، يوسف إبراهيم، والصداعي، امحمد الثابت. (2024، أكتوبر). مراجعة منهجية لأهمية التوجه بالتسويق الداخلي كأداة للارتقاء بجودة أداء مؤسسات التعليم العالي في ليبيا: أدلة من نتائج دراسات عربية وعالمية. </w:t>
      </w:r>
      <w:r w:rsidRPr="00BF65CE">
        <w:rPr>
          <w:rStyle w:val="ae"/>
          <w:rFonts w:ascii="Simplified Arabic" w:hAnsi="Simplified Arabic" w:cs="Simplified Arabic"/>
        </w:rPr>
        <w:t>Journal of the Academic Forum، 8</w:t>
      </w:r>
      <w:r w:rsidRPr="00BF65CE">
        <w:rPr>
          <w:rFonts w:ascii="Simplified Arabic" w:hAnsi="Simplified Arabic" w:cs="Simplified Arabic"/>
        </w:rPr>
        <w:t>(2)، 1203–1251.</w:t>
      </w:r>
    </w:p>
    <w:p w14:paraId="453F1C74" w14:textId="77777777" w:rsidR="00463479" w:rsidRPr="00BF65CE" w:rsidRDefault="00463479" w:rsidP="001A664C">
      <w:pPr>
        <w:rPr>
          <w:rFonts w:ascii="Simplified Arabic" w:hAnsi="Simplified Arabic" w:cs="Simplified Arabic"/>
          <w:b/>
          <w:bCs/>
          <w:rtl/>
        </w:rPr>
      </w:pPr>
      <w:r w:rsidRPr="00BF65CE">
        <w:rPr>
          <w:rFonts w:ascii="Simplified Arabic" w:hAnsi="Simplified Arabic" w:cs="Simplified Arabic"/>
          <w:rtl/>
        </w:rPr>
        <w:br w:type="page"/>
      </w:r>
    </w:p>
    <w:p w14:paraId="21336CDA" w14:textId="77777777" w:rsidR="00E457CD" w:rsidRPr="00BF65CE" w:rsidRDefault="00014347" w:rsidP="00DE7D61">
      <w:pPr>
        <w:pStyle w:val="2"/>
        <w:rPr>
          <w:rFonts w:cs="Simplified Arabic"/>
          <w:color w:val="auto"/>
        </w:rPr>
      </w:pPr>
      <w:bookmarkStart w:id="84" w:name="_Toc235125858"/>
      <w:r w:rsidRPr="00BF65CE">
        <w:rPr>
          <w:rFonts w:cs="Simplified Arabic"/>
          <w:color w:val="auto"/>
          <w:rtl/>
        </w:rPr>
        <w:lastRenderedPageBreak/>
        <w:t>ثانيًا: المراجع الأجنبية</w:t>
      </w:r>
      <w:bookmarkEnd w:id="84"/>
    </w:p>
    <w:p w14:paraId="4CE3B173" w14:textId="3E8D7478"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Ajayi, F. A., &amp; Udeh, C. A. (2024). Innovative recruitment strategies in the IT sector: A review of successes and failures. </w:t>
      </w:r>
      <w:r w:rsidRPr="00BF65CE">
        <w:rPr>
          <w:rStyle w:val="ae"/>
          <w:rFonts w:asciiTheme="majorBidi" w:hAnsiTheme="majorBidi" w:cstheme="majorBidi"/>
        </w:rPr>
        <w:t>Magna Scientia Advanced Research and Reviews, 10</w:t>
      </w:r>
      <w:r w:rsidRPr="00BF65CE">
        <w:rPr>
          <w:rFonts w:asciiTheme="majorBidi" w:hAnsiTheme="majorBidi" w:cstheme="majorBidi"/>
        </w:rPr>
        <w:t xml:space="preserve">(2), 150–165. </w:t>
      </w:r>
      <w:hyperlink r:id="rId23" w:history="1">
        <w:r w:rsidR="00AC6394" w:rsidRPr="00E31283">
          <w:rPr>
            <w:rStyle w:val="Hyperlink"/>
            <w:rFonts w:asciiTheme="majorBidi" w:hAnsiTheme="majorBidi" w:cstheme="majorBidi"/>
          </w:rPr>
          <w:t>https://doi.org/10.30574/msarr.2024.10.2.0057</w:t>
        </w:r>
      </w:hyperlink>
      <w:r w:rsidR="00AC6394">
        <w:rPr>
          <w:rFonts w:asciiTheme="majorBidi" w:hAnsiTheme="majorBidi" w:cstheme="majorBidi" w:hint="cs"/>
        </w:rPr>
        <w:t xml:space="preserve"> </w:t>
      </w:r>
    </w:p>
    <w:p w14:paraId="561B62D7" w14:textId="5DF416F1"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Alagele, H. K. H., Neama, N. H., Alkaseer, N. A., Al Dulaimi, H. A., &amp; Abd, S. E. (2025). The mediating role of artificial intelligence on the relationship between organizational climate and employee creativity behavior: A field study. </w:t>
      </w:r>
      <w:r w:rsidRPr="00BF65CE">
        <w:rPr>
          <w:rStyle w:val="ae"/>
          <w:rFonts w:asciiTheme="majorBidi" w:hAnsiTheme="majorBidi" w:cstheme="majorBidi"/>
        </w:rPr>
        <w:t>Journal of Ecohumanism, 4</w:t>
      </w:r>
      <w:r w:rsidRPr="00BF65CE">
        <w:rPr>
          <w:rFonts w:asciiTheme="majorBidi" w:hAnsiTheme="majorBidi" w:cstheme="majorBidi"/>
        </w:rPr>
        <w:t xml:space="preserve">(2), 38–46. </w:t>
      </w:r>
      <w:hyperlink r:id="rId24" w:history="1">
        <w:r w:rsidR="00AC6394" w:rsidRPr="00E31283">
          <w:rPr>
            <w:rStyle w:val="Hyperlink"/>
            <w:rFonts w:asciiTheme="majorBidi" w:hAnsiTheme="majorBidi" w:cstheme="majorBidi"/>
          </w:rPr>
          <w:t>https://doi.org/10.62754/joe.v4i2.5736</w:t>
        </w:r>
      </w:hyperlink>
      <w:r w:rsidR="00AC6394">
        <w:rPr>
          <w:rFonts w:asciiTheme="majorBidi" w:hAnsiTheme="majorBidi" w:cstheme="majorBidi" w:hint="cs"/>
        </w:rPr>
        <w:t xml:space="preserve"> </w:t>
      </w:r>
    </w:p>
    <w:p w14:paraId="73ABB8AE" w14:textId="3358F1A8"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Al-Ayed, S. (2024). Role of artificial intelligence for strengthening human resource system via mediation of technology competence. </w:t>
      </w:r>
      <w:r w:rsidRPr="00BF65CE">
        <w:rPr>
          <w:rStyle w:val="ae"/>
          <w:rFonts w:asciiTheme="majorBidi" w:hAnsiTheme="majorBidi" w:cstheme="majorBidi"/>
        </w:rPr>
        <w:t>Problems and Perspectives in Management, 22</w:t>
      </w:r>
      <w:r w:rsidRPr="00BF65CE">
        <w:rPr>
          <w:rFonts w:asciiTheme="majorBidi" w:hAnsiTheme="majorBidi" w:cstheme="majorBidi"/>
        </w:rPr>
        <w:t xml:space="preserve">(2), 518–526. </w:t>
      </w:r>
      <w:hyperlink r:id="rId25" w:history="1">
        <w:r w:rsidR="00AC6394" w:rsidRPr="00E31283">
          <w:rPr>
            <w:rStyle w:val="Hyperlink"/>
            <w:rFonts w:asciiTheme="majorBidi" w:hAnsiTheme="majorBidi" w:cstheme="majorBidi"/>
          </w:rPr>
          <w:t>https://doi.org/10.21511/ppm.22(2).2024.40</w:t>
        </w:r>
      </w:hyperlink>
      <w:r w:rsidR="00AC6394">
        <w:rPr>
          <w:rFonts w:asciiTheme="majorBidi" w:hAnsiTheme="majorBidi" w:cstheme="majorBidi" w:hint="cs"/>
        </w:rPr>
        <w:t xml:space="preserve"> </w:t>
      </w:r>
    </w:p>
    <w:p w14:paraId="1DD8DE9A" w14:textId="3C745989"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Aly, Y. Z. (2024). Unleashing creativity through AI collaboration: How do employees’ learning behavior and wellbeing mediate? </w:t>
      </w:r>
      <w:r w:rsidRPr="00BF65CE">
        <w:rPr>
          <w:rStyle w:val="ae"/>
          <w:rFonts w:asciiTheme="majorBidi" w:hAnsiTheme="majorBidi" w:cstheme="majorBidi"/>
        </w:rPr>
        <w:t>Pharos International Journal of Tourism and Hospitality, 3</w:t>
      </w:r>
      <w:r w:rsidRPr="00BF65CE">
        <w:rPr>
          <w:rFonts w:asciiTheme="majorBidi" w:hAnsiTheme="majorBidi" w:cstheme="majorBidi"/>
        </w:rPr>
        <w:t xml:space="preserve">(2), 13–27. </w:t>
      </w:r>
      <w:hyperlink r:id="rId26" w:history="1">
        <w:r w:rsidR="00AC6394" w:rsidRPr="00E31283">
          <w:rPr>
            <w:rStyle w:val="Hyperlink"/>
            <w:rFonts w:asciiTheme="majorBidi" w:hAnsiTheme="majorBidi" w:cstheme="majorBidi"/>
          </w:rPr>
          <w:t>https://doi.org/10.21608/pijth.2024.311766.1016</w:t>
        </w:r>
      </w:hyperlink>
      <w:r w:rsidR="00AC6394">
        <w:rPr>
          <w:rFonts w:asciiTheme="majorBidi" w:hAnsiTheme="majorBidi" w:cstheme="majorBidi" w:hint="cs"/>
        </w:rPr>
        <w:t xml:space="preserve"> </w:t>
      </w:r>
    </w:p>
    <w:p w14:paraId="23E0894C" w14:textId="308BE953"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Barney, J. (1991). Firm resources and sustained competitive advantage. </w:t>
      </w:r>
      <w:r w:rsidRPr="00BF65CE">
        <w:rPr>
          <w:rStyle w:val="ae"/>
          <w:rFonts w:asciiTheme="majorBidi" w:hAnsiTheme="majorBidi" w:cstheme="majorBidi"/>
        </w:rPr>
        <w:t>Journal of Management, 17</w:t>
      </w:r>
      <w:r w:rsidRPr="00BF65CE">
        <w:rPr>
          <w:rFonts w:asciiTheme="majorBidi" w:hAnsiTheme="majorBidi" w:cstheme="majorBidi"/>
        </w:rPr>
        <w:t xml:space="preserve">(1), 99–120. </w:t>
      </w:r>
      <w:hyperlink r:id="rId27" w:history="1">
        <w:r w:rsidR="00AC6394" w:rsidRPr="00E31283">
          <w:rPr>
            <w:rStyle w:val="Hyperlink"/>
            <w:rFonts w:asciiTheme="majorBidi" w:hAnsiTheme="majorBidi" w:cstheme="majorBidi"/>
          </w:rPr>
          <w:t>https://doi.org/10.1177/014920639101700108</w:t>
        </w:r>
      </w:hyperlink>
      <w:r w:rsidR="00AC6394">
        <w:rPr>
          <w:rFonts w:asciiTheme="majorBidi" w:hAnsiTheme="majorBidi" w:cstheme="majorBidi" w:hint="cs"/>
        </w:rPr>
        <w:t xml:space="preserve"> </w:t>
      </w:r>
    </w:p>
    <w:p w14:paraId="77FFE9CB" w14:textId="3A7CDF94"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Batista, J., Mesquita, A., &amp; Carnaz, G. (2024). Generative AI and higher education: Trends, challenges, and future directions from a systematic literature review. </w:t>
      </w:r>
      <w:r w:rsidRPr="00BF65CE">
        <w:rPr>
          <w:rStyle w:val="ae"/>
          <w:rFonts w:asciiTheme="majorBidi" w:hAnsiTheme="majorBidi" w:cstheme="majorBidi"/>
        </w:rPr>
        <w:t>Information, 15</w:t>
      </w:r>
      <w:r w:rsidRPr="00BF65CE">
        <w:rPr>
          <w:rFonts w:asciiTheme="majorBidi" w:hAnsiTheme="majorBidi" w:cstheme="majorBidi"/>
        </w:rPr>
        <w:t xml:space="preserve">(11), Article 676. </w:t>
      </w:r>
      <w:hyperlink r:id="rId28" w:history="1">
        <w:r w:rsidR="00AC6394" w:rsidRPr="00E31283">
          <w:rPr>
            <w:rStyle w:val="Hyperlink"/>
            <w:rFonts w:asciiTheme="majorBidi" w:hAnsiTheme="majorBidi" w:cstheme="majorBidi"/>
          </w:rPr>
          <w:t>https://doi.org/10.3390/info15110676</w:t>
        </w:r>
      </w:hyperlink>
      <w:r w:rsidR="00AC6394">
        <w:rPr>
          <w:rFonts w:asciiTheme="majorBidi" w:hAnsiTheme="majorBidi" w:cstheme="majorBidi" w:hint="cs"/>
        </w:rPr>
        <w:t xml:space="preserve"> </w:t>
      </w:r>
    </w:p>
    <w:p w14:paraId="2FB91200" w14:textId="54A42CC1"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Bonini, A., Panari, C., Caricati, L., &amp; Mariani, M. G. (2024). The relationship between leadership and adaptive performance: A systematic review and meta-analysis. </w:t>
      </w:r>
      <w:r w:rsidRPr="00BF65CE">
        <w:rPr>
          <w:rStyle w:val="ae"/>
          <w:rFonts w:asciiTheme="majorBidi" w:hAnsiTheme="majorBidi" w:cstheme="majorBidi"/>
        </w:rPr>
        <w:t>PLOS ONE, 19</w:t>
      </w:r>
      <w:r w:rsidRPr="00BF65CE">
        <w:rPr>
          <w:rFonts w:asciiTheme="majorBidi" w:hAnsiTheme="majorBidi" w:cstheme="majorBidi"/>
        </w:rPr>
        <w:t xml:space="preserve">(10), Article e0304720. </w:t>
      </w:r>
      <w:hyperlink r:id="rId29" w:history="1">
        <w:r w:rsidR="00AC6394" w:rsidRPr="00E31283">
          <w:rPr>
            <w:rStyle w:val="Hyperlink"/>
            <w:rFonts w:asciiTheme="majorBidi" w:hAnsiTheme="majorBidi" w:cstheme="majorBidi"/>
          </w:rPr>
          <w:t>https://doi.org/10.1371/journal.pone.0304720</w:t>
        </w:r>
      </w:hyperlink>
      <w:r w:rsidR="00AC6394">
        <w:rPr>
          <w:rFonts w:asciiTheme="majorBidi" w:hAnsiTheme="majorBidi" w:cstheme="majorBidi" w:hint="cs"/>
        </w:rPr>
        <w:t xml:space="preserve"> </w:t>
      </w:r>
    </w:p>
    <w:p w14:paraId="69F44A36" w14:textId="7777777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Creswell, J. W. (2014). </w:t>
      </w:r>
      <w:r w:rsidRPr="00BF65CE">
        <w:rPr>
          <w:rStyle w:val="ae"/>
          <w:rFonts w:asciiTheme="majorBidi" w:hAnsiTheme="majorBidi" w:cstheme="majorBidi"/>
        </w:rPr>
        <w:t>Research design: Qualitative, quantitative, and mixed methods approaches</w:t>
      </w:r>
      <w:r w:rsidRPr="00BF65CE">
        <w:rPr>
          <w:rFonts w:asciiTheme="majorBidi" w:hAnsiTheme="majorBidi" w:cstheme="majorBidi"/>
        </w:rPr>
        <w:t xml:space="preserve"> (4th ed.). SAGE Publications.</w:t>
      </w:r>
    </w:p>
    <w:p w14:paraId="5BCFED01" w14:textId="4967DEE3"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Dorison, C. A., Minson, J. A., &amp; Rogers, T. (2019). Selective exposure partly relies on faulty affective forecasts. </w:t>
      </w:r>
      <w:r w:rsidRPr="00BF65CE">
        <w:rPr>
          <w:rStyle w:val="ae"/>
          <w:rFonts w:asciiTheme="majorBidi" w:hAnsiTheme="majorBidi" w:cstheme="majorBidi"/>
        </w:rPr>
        <w:t>Cognition, 188</w:t>
      </w:r>
      <w:r w:rsidRPr="00BF65CE">
        <w:rPr>
          <w:rFonts w:asciiTheme="majorBidi" w:hAnsiTheme="majorBidi" w:cstheme="majorBidi"/>
        </w:rPr>
        <w:t xml:space="preserve">, 98–107. </w:t>
      </w:r>
      <w:hyperlink r:id="rId30" w:history="1">
        <w:r w:rsidR="00AC6394" w:rsidRPr="00E31283">
          <w:rPr>
            <w:rStyle w:val="Hyperlink"/>
            <w:rFonts w:asciiTheme="majorBidi" w:hAnsiTheme="majorBidi" w:cstheme="majorBidi"/>
          </w:rPr>
          <w:t>https://doi.org/10.1016/j.cognition.2019.02.010</w:t>
        </w:r>
      </w:hyperlink>
      <w:r w:rsidR="00AC6394">
        <w:rPr>
          <w:rFonts w:asciiTheme="majorBidi" w:hAnsiTheme="majorBidi" w:cstheme="majorBidi" w:hint="cs"/>
        </w:rPr>
        <w:t xml:space="preserve"> </w:t>
      </w:r>
    </w:p>
    <w:p w14:paraId="52C43513" w14:textId="66149B0C"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Fan, Z., Ghaddar, B., Wang, X., Xing, L., Zhang, Y., &amp; Zhou, Z. (2024). </w:t>
      </w:r>
      <w:r w:rsidRPr="00BF65CE">
        <w:rPr>
          <w:rStyle w:val="ae"/>
          <w:rFonts w:asciiTheme="majorBidi" w:hAnsiTheme="majorBidi" w:cstheme="majorBidi"/>
        </w:rPr>
        <w:t>Artificial intelligence for operations research: Revolutionizing the operations research process</w:t>
      </w:r>
      <w:r w:rsidRPr="00BF65CE">
        <w:rPr>
          <w:rFonts w:asciiTheme="majorBidi" w:hAnsiTheme="majorBidi" w:cstheme="majorBidi"/>
        </w:rPr>
        <w:t xml:space="preserve">. arXiv. </w:t>
      </w:r>
      <w:hyperlink r:id="rId31" w:history="1">
        <w:r w:rsidR="00AC6394" w:rsidRPr="00E31283">
          <w:rPr>
            <w:rStyle w:val="Hyperlink"/>
            <w:rFonts w:asciiTheme="majorBidi" w:hAnsiTheme="majorBidi" w:cstheme="majorBidi"/>
          </w:rPr>
          <w:t>https://arxiv.org/abs/2401.03244v2</w:t>
        </w:r>
      </w:hyperlink>
      <w:r w:rsidR="00AC6394">
        <w:rPr>
          <w:rFonts w:asciiTheme="majorBidi" w:hAnsiTheme="majorBidi" w:cstheme="majorBidi" w:hint="cs"/>
        </w:rPr>
        <w:t xml:space="preserve"> </w:t>
      </w:r>
    </w:p>
    <w:p w14:paraId="4C350174" w14:textId="008E52CC"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Farooq, M., Ullah, I., &amp; Hameed, R. M. (2016). HR practices and organizational innovation: The mediating role of knowledge management effectiveness. </w:t>
      </w:r>
      <w:r w:rsidRPr="00BF65CE">
        <w:rPr>
          <w:rStyle w:val="ae"/>
          <w:rFonts w:asciiTheme="majorBidi" w:hAnsiTheme="majorBidi" w:cstheme="majorBidi"/>
        </w:rPr>
        <w:t>Journal of Social and Development Sciences, 7</w:t>
      </w:r>
      <w:r w:rsidRPr="00BF65CE">
        <w:rPr>
          <w:rFonts w:asciiTheme="majorBidi" w:hAnsiTheme="majorBidi" w:cstheme="majorBidi"/>
        </w:rPr>
        <w:t xml:space="preserve">(3), 50–67. </w:t>
      </w:r>
      <w:hyperlink r:id="rId32" w:history="1">
        <w:r w:rsidR="00AC6394" w:rsidRPr="00E31283">
          <w:rPr>
            <w:rStyle w:val="Hyperlink"/>
            <w:rFonts w:asciiTheme="majorBidi" w:hAnsiTheme="majorBidi" w:cstheme="majorBidi"/>
          </w:rPr>
          <w:t>https://doi.org/10.22610/jsds.v7i3.1410</w:t>
        </w:r>
      </w:hyperlink>
      <w:r w:rsidR="00AC6394">
        <w:rPr>
          <w:rFonts w:asciiTheme="majorBidi" w:hAnsiTheme="majorBidi" w:cstheme="majorBidi" w:hint="cs"/>
        </w:rPr>
        <w:t xml:space="preserve"> </w:t>
      </w:r>
    </w:p>
    <w:p w14:paraId="28859A08" w14:textId="3EA3FAB5"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Gazi, M. A. I., Rahman, M. K. H., Al Masud, A., Amin, M. B., Chaity, N. S., Senathirajah, A. R. B. S., &amp; Abdullah, M. (2024). AI capability and sustainable performance: Unveiling the mediating effects of organizational creativity and green innovation with knowledge sharing culture as a moderator. </w:t>
      </w:r>
      <w:r w:rsidRPr="00BF65CE">
        <w:rPr>
          <w:rStyle w:val="ae"/>
          <w:rFonts w:asciiTheme="majorBidi" w:hAnsiTheme="majorBidi" w:cstheme="majorBidi"/>
        </w:rPr>
        <w:t>Sustainability, 16</w:t>
      </w:r>
      <w:r w:rsidRPr="00BF65CE">
        <w:rPr>
          <w:rFonts w:asciiTheme="majorBidi" w:hAnsiTheme="majorBidi" w:cstheme="majorBidi"/>
        </w:rPr>
        <w:t xml:space="preserve">(17), Article 7466. </w:t>
      </w:r>
      <w:hyperlink r:id="rId33" w:history="1">
        <w:r w:rsidR="00AC6394" w:rsidRPr="00E31283">
          <w:rPr>
            <w:rStyle w:val="Hyperlink"/>
            <w:rFonts w:asciiTheme="majorBidi" w:hAnsiTheme="majorBidi" w:cstheme="majorBidi"/>
          </w:rPr>
          <w:t>https://doi.org/10.3390/su16177466</w:t>
        </w:r>
      </w:hyperlink>
      <w:r w:rsidR="00AC6394">
        <w:rPr>
          <w:rFonts w:asciiTheme="majorBidi" w:hAnsiTheme="majorBidi" w:cstheme="majorBidi" w:hint="cs"/>
        </w:rPr>
        <w:t xml:space="preserve"> </w:t>
      </w:r>
    </w:p>
    <w:p w14:paraId="2872E50C" w14:textId="2A524912"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Hu, X. (2024). A quantitative analysis of recruitment strategies and their impact on employee engagement. </w:t>
      </w:r>
      <w:r w:rsidRPr="00BF65CE">
        <w:rPr>
          <w:rStyle w:val="ae"/>
          <w:rFonts w:asciiTheme="majorBidi" w:hAnsiTheme="majorBidi" w:cstheme="majorBidi"/>
        </w:rPr>
        <w:t>Pacific International Journal, 7</w:t>
      </w:r>
      <w:r w:rsidRPr="00BF65CE">
        <w:rPr>
          <w:rFonts w:asciiTheme="majorBidi" w:hAnsiTheme="majorBidi" w:cstheme="majorBidi"/>
        </w:rPr>
        <w:t xml:space="preserve">(3), 35–42. </w:t>
      </w:r>
      <w:hyperlink r:id="rId34" w:history="1">
        <w:r w:rsidR="00AC6394" w:rsidRPr="00E31283">
          <w:rPr>
            <w:rStyle w:val="Hyperlink"/>
            <w:rFonts w:asciiTheme="majorBidi" w:hAnsiTheme="majorBidi" w:cstheme="majorBidi"/>
          </w:rPr>
          <w:t>https://doi.org/10.55014/pij.v7i3.614</w:t>
        </w:r>
      </w:hyperlink>
      <w:r w:rsidR="00AC6394">
        <w:rPr>
          <w:rFonts w:asciiTheme="majorBidi" w:hAnsiTheme="majorBidi" w:cstheme="majorBidi" w:hint="cs"/>
        </w:rPr>
        <w:t xml:space="preserve"> </w:t>
      </w:r>
    </w:p>
    <w:p w14:paraId="5AC9C36B" w14:textId="57BB40EB"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Javidan, M., Cotton, R., Kar, A., Kumar, M. S., &amp; Dorfman, P. W. (2023). A new leadership challenge: Navigating political polarization in organizational teams. </w:t>
      </w:r>
      <w:r w:rsidRPr="00BF65CE">
        <w:rPr>
          <w:rStyle w:val="ae"/>
          <w:rFonts w:asciiTheme="majorBidi" w:hAnsiTheme="majorBidi" w:cstheme="majorBidi"/>
        </w:rPr>
        <w:t>Business Horizons, 66</w:t>
      </w:r>
      <w:r w:rsidRPr="00BF65CE">
        <w:rPr>
          <w:rFonts w:asciiTheme="majorBidi" w:hAnsiTheme="majorBidi" w:cstheme="majorBidi"/>
        </w:rPr>
        <w:t xml:space="preserve">(6), 729–740. </w:t>
      </w:r>
      <w:hyperlink r:id="rId35" w:history="1">
        <w:r w:rsidR="00AC6394" w:rsidRPr="00E31283">
          <w:rPr>
            <w:rStyle w:val="Hyperlink"/>
            <w:rFonts w:asciiTheme="majorBidi" w:hAnsiTheme="majorBidi" w:cstheme="majorBidi"/>
          </w:rPr>
          <w:t>https://doi.org/10.1016/j.bushor.2023.03.001</w:t>
        </w:r>
      </w:hyperlink>
      <w:r w:rsidR="00AC6394">
        <w:rPr>
          <w:rFonts w:asciiTheme="majorBidi" w:hAnsiTheme="majorBidi" w:cstheme="majorBidi" w:hint="cs"/>
        </w:rPr>
        <w:t xml:space="preserve"> </w:t>
      </w:r>
    </w:p>
    <w:p w14:paraId="095AB358" w14:textId="1A6A0DAA"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Kish Bar-On, K., Dimant, E., Lelkes, Y., &amp; Rand, D. G. (2024, September 12). </w:t>
      </w:r>
      <w:r w:rsidRPr="00BF65CE">
        <w:rPr>
          <w:rStyle w:val="ae"/>
          <w:rFonts w:asciiTheme="majorBidi" w:hAnsiTheme="majorBidi" w:cstheme="majorBidi"/>
        </w:rPr>
        <w:t>Unraveling polarization: Insights into individual and collective dynamics</w:t>
      </w:r>
      <w:r w:rsidRPr="00BF65CE">
        <w:rPr>
          <w:rFonts w:asciiTheme="majorBidi" w:hAnsiTheme="majorBidi" w:cstheme="majorBidi"/>
        </w:rPr>
        <w:t xml:space="preserve">. SSRN. </w:t>
      </w:r>
      <w:hyperlink r:id="rId36" w:history="1">
        <w:r w:rsidR="00AC6394" w:rsidRPr="00E31283">
          <w:rPr>
            <w:rStyle w:val="Hyperlink"/>
            <w:rFonts w:asciiTheme="majorBidi" w:hAnsiTheme="majorBidi" w:cstheme="majorBidi"/>
          </w:rPr>
          <w:t>https://doi.org/10.2139/ssrn.4784194</w:t>
        </w:r>
      </w:hyperlink>
      <w:r w:rsidR="00AC6394">
        <w:rPr>
          <w:rFonts w:asciiTheme="majorBidi" w:hAnsiTheme="majorBidi" w:cstheme="majorBidi" w:hint="cs"/>
        </w:rPr>
        <w:t xml:space="preserve"> </w:t>
      </w:r>
    </w:p>
    <w:p w14:paraId="779EF7C7" w14:textId="7A98285D"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Li, N., Yan, Y., Yang, Y., &amp; Gu, A. (2022). Artificial intelligence capability and organizational creativity: The role of knowledge sharing and organizational cohesion. </w:t>
      </w:r>
      <w:r w:rsidRPr="00BF65CE">
        <w:rPr>
          <w:rStyle w:val="ae"/>
          <w:rFonts w:asciiTheme="majorBidi" w:hAnsiTheme="majorBidi" w:cstheme="majorBidi"/>
        </w:rPr>
        <w:t>Frontiers in Psychology, 13</w:t>
      </w:r>
      <w:r w:rsidRPr="00BF65CE">
        <w:rPr>
          <w:rFonts w:asciiTheme="majorBidi" w:hAnsiTheme="majorBidi" w:cstheme="majorBidi"/>
        </w:rPr>
        <w:t xml:space="preserve">, Article 845277. </w:t>
      </w:r>
      <w:hyperlink r:id="rId37" w:history="1">
        <w:r w:rsidR="00AC6394" w:rsidRPr="00E31283">
          <w:rPr>
            <w:rStyle w:val="Hyperlink"/>
            <w:rFonts w:asciiTheme="majorBidi" w:hAnsiTheme="majorBidi" w:cstheme="majorBidi"/>
          </w:rPr>
          <w:t>https://doi.org/10.3389/fpsyg.2022.845277</w:t>
        </w:r>
      </w:hyperlink>
      <w:r w:rsidR="00AC6394">
        <w:rPr>
          <w:rFonts w:asciiTheme="majorBidi" w:hAnsiTheme="majorBidi" w:cstheme="majorBidi" w:hint="cs"/>
        </w:rPr>
        <w:t xml:space="preserve"> </w:t>
      </w:r>
    </w:p>
    <w:p w14:paraId="28949211" w14:textId="096FB37A"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Martin, R. L. (2022, March–April). The real secret to retaining talent. </w:t>
      </w:r>
      <w:r w:rsidRPr="00BF65CE">
        <w:rPr>
          <w:rStyle w:val="ae"/>
          <w:rFonts w:asciiTheme="majorBidi" w:hAnsiTheme="majorBidi" w:cstheme="majorBidi"/>
        </w:rPr>
        <w:t>Harvard Business Review, 100</w:t>
      </w:r>
      <w:r w:rsidRPr="00BF65CE">
        <w:rPr>
          <w:rFonts w:asciiTheme="majorBidi" w:hAnsiTheme="majorBidi" w:cstheme="majorBidi"/>
        </w:rPr>
        <w:t xml:space="preserve">(2), 126–133. </w:t>
      </w:r>
      <w:hyperlink r:id="rId38" w:history="1">
        <w:r w:rsidR="00AC6394" w:rsidRPr="00E31283">
          <w:rPr>
            <w:rStyle w:val="Hyperlink"/>
            <w:rFonts w:asciiTheme="majorBidi" w:hAnsiTheme="majorBidi" w:cstheme="majorBidi"/>
          </w:rPr>
          <w:t>https://hbr.org/2022/03/the-real-secret-to-retaining-talent</w:t>
        </w:r>
      </w:hyperlink>
      <w:r w:rsidR="00AC6394">
        <w:rPr>
          <w:rFonts w:asciiTheme="majorBidi" w:hAnsiTheme="majorBidi" w:cstheme="majorBidi" w:hint="cs"/>
        </w:rPr>
        <w:t xml:space="preserve"> </w:t>
      </w:r>
    </w:p>
    <w:p w14:paraId="66B46AEB" w14:textId="6A80C94D"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Meshram, R. (2023). The role of artificial intelligence (AI) in recruitment and selection of employees in the organisation. </w:t>
      </w:r>
      <w:r w:rsidRPr="00BF65CE">
        <w:rPr>
          <w:rStyle w:val="ae"/>
          <w:rFonts w:asciiTheme="majorBidi" w:hAnsiTheme="majorBidi" w:cstheme="majorBidi"/>
        </w:rPr>
        <w:t>Russian Law Journal, 11</w:t>
      </w:r>
      <w:r w:rsidRPr="00BF65CE">
        <w:rPr>
          <w:rFonts w:asciiTheme="majorBidi" w:hAnsiTheme="majorBidi" w:cstheme="majorBidi"/>
        </w:rPr>
        <w:t xml:space="preserve">(9S). </w:t>
      </w:r>
      <w:hyperlink r:id="rId39" w:history="1">
        <w:r w:rsidR="00E72BEC" w:rsidRPr="00E31283">
          <w:rPr>
            <w:rStyle w:val="Hyperlink"/>
            <w:rFonts w:asciiTheme="majorBidi" w:hAnsiTheme="majorBidi" w:cstheme="majorBidi"/>
          </w:rPr>
          <w:t>https://doi.org/10.52783/rlj.v11i9s.1624</w:t>
        </w:r>
      </w:hyperlink>
      <w:r w:rsidR="00E72BEC">
        <w:rPr>
          <w:rFonts w:asciiTheme="majorBidi" w:hAnsiTheme="majorBidi" w:cstheme="majorBidi" w:hint="cs"/>
        </w:rPr>
        <w:t xml:space="preserve"> </w:t>
      </w:r>
    </w:p>
    <w:p w14:paraId="3276A3EC" w14:textId="7B94D13A"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lastRenderedPageBreak/>
        <w:t xml:space="preserve">Mujtaba, D. F., &amp; Mahapatra, N. R. (2024). </w:t>
      </w:r>
      <w:r w:rsidRPr="00BF65CE">
        <w:rPr>
          <w:rStyle w:val="ae"/>
          <w:rFonts w:asciiTheme="majorBidi" w:hAnsiTheme="majorBidi" w:cstheme="majorBidi"/>
        </w:rPr>
        <w:t>Fairness in AI-driven recruitment: Challenges, metrics, methods, and future directions</w:t>
      </w:r>
      <w:r w:rsidRPr="00BF65CE">
        <w:rPr>
          <w:rFonts w:asciiTheme="majorBidi" w:hAnsiTheme="majorBidi" w:cstheme="majorBidi"/>
        </w:rPr>
        <w:t xml:space="preserve">. arXiv. </w:t>
      </w:r>
      <w:hyperlink r:id="rId40" w:history="1">
        <w:r w:rsidR="00E72BEC" w:rsidRPr="00E31283">
          <w:rPr>
            <w:rStyle w:val="Hyperlink"/>
            <w:rFonts w:asciiTheme="majorBidi" w:hAnsiTheme="majorBidi" w:cstheme="majorBidi"/>
          </w:rPr>
          <w:t>https://doi.org/10.48550/arXiv.2405.19699</w:t>
        </w:r>
      </w:hyperlink>
      <w:r w:rsidR="00E72BEC">
        <w:rPr>
          <w:rFonts w:asciiTheme="majorBidi" w:hAnsiTheme="majorBidi" w:cstheme="majorBidi" w:hint="cs"/>
        </w:rPr>
        <w:t xml:space="preserve"> </w:t>
      </w:r>
    </w:p>
    <w:p w14:paraId="0C7B5374" w14:textId="7D93A4B0"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Paramita, D., Okwir, S., &amp; Nuur, C. (2024). Artificial intelligence in talent acquisition: Exploring organisational and operational dimensions. </w:t>
      </w:r>
      <w:r w:rsidRPr="00BF65CE">
        <w:rPr>
          <w:rStyle w:val="ae"/>
          <w:rFonts w:asciiTheme="majorBidi" w:hAnsiTheme="majorBidi" w:cstheme="majorBidi"/>
        </w:rPr>
        <w:t>International Journal of Organizational Analysis, 32</w:t>
      </w:r>
      <w:r w:rsidRPr="00BF65CE">
        <w:rPr>
          <w:rFonts w:asciiTheme="majorBidi" w:hAnsiTheme="majorBidi" w:cstheme="majorBidi"/>
        </w:rPr>
        <w:t xml:space="preserve">(11), 108–131. </w:t>
      </w:r>
      <w:hyperlink r:id="rId41" w:history="1">
        <w:r w:rsidR="00E72BEC" w:rsidRPr="00E31283">
          <w:rPr>
            <w:rStyle w:val="Hyperlink"/>
            <w:rFonts w:asciiTheme="majorBidi" w:hAnsiTheme="majorBidi" w:cstheme="majorBidi"/>
          </w:rPr>
          <w:t>https://doi.org/10.1108/IJOA-09-2023-3992</w:t>
        </w:r>
      </w:hyperlink>
      <w:r w:rsidR="00E72BEC">
        <w:rPr>
          <w:rFonts w:asciiTheme="majorBidi" w:hAnsiTheme="majorBidi" w:cstheme="majorBidi" w:hint="cs"/>
        </w:rPr>
        <w:t xml:space="preserve"> </w:t>
      </w:r>
    </w:p>
    <w:p w14:paraId="723D3DE3" w14:textId="0E9FCA22"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Rafner, J., Beaty, R. E., Kaufman, J. C., Lubart, T., &amp; Sherson, J. (2023). Creativity in the age of generative AI. </w:t>
      </w:r>
      <w:r w:rsidRPr="00BF65CE">
        <w:rPr>
          <w:rStyle w:val="ae"/>
          <w:rFonts w:asciiTheme="majorBidi" w:hAnsiTheme="majorBidi" w:cstheme="majorBidi"/>
        </w:rPr>
        <w:t>Nature Human Behaviour, 7</w:t>
      </w:r>
      <w:r w:rsidRPr="00BF65CE">
        <w:rPr>
          <w:rFonts w:asciiTheme="majorBidi" w:hAnsiTheme="majorBidi" w:cstheme="majorBidi"/>
        </w:rPr>
        <w:t xml:space="preserve">(11), 1836–1838. </w:t>
      </w:r>
      <w:hyperlink r:id="rId42" w:history="1">
        <w:r w:rsidR="00E72BEC" w:rsidRPr="00E31283">
          <w:rPr>
            <w:rStyle w:val="Hyperlink"/>
            <w:rFonts w:asciiTheme="majorBidi" w:hAnsiTheme="majorBidi" w:cstheme="majorBidi"/>
          </w:rPr>
          <w:t>https://doi.org/10.1038/s41562-023-01751-1</w:t>
        </w:r>
      </w:hyperlink>
      <w:r w:rsidR="00E72BEC">
        <w:rPr>
          <w:rFonts w:asciiTheme="majorBidi" w:hAnsiTheme="majorBidi" w:cstheme="majorBidi" w:hint="cs"/>
        </w:rPr>
        <w:t xml:space="preserve"> </w:t>
      </w:r>
    </w:p>
    <w:p w14:paraId="327C28DF" w14:textId="6D2D69C1"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Selase, A. E. (2018). The impact of recruitment and selection criteria on organizational performance: GN Bank, Greater Accra Region of Ghana as the mirror. </w:t>
      </w:r>
      <w:r w:rsidRPr="00BF65CE">
        <w:rPr>
          <w:rStyle w:val="ae"/>
          <w:rFonts w:asciiTheme="majorBidi" w:hAnsiTheme="majorBidi" w:cstheme="majorBidi"/>
        </w:rPr>
        <w:t>Journal of Public Administration and Governance, 8</w:t>
      </w:r>
      <w:r w:rsidRPr="00BF65CE">
        <w:rPr>
          <w:rFonts w:asciiTheme="majorBidi" w:hAnsiTheme="majorBidi" w:cstheme="majorBidi"/>
        </w:rPr>
        <w:t xml:space="preserve">(3), 283–295. </w:t>
      </w:r>
      <w:hyperlink r:id="rId43" w:history="1">
        <w:r w:rsidR="00E72BEC" w:rsidRPr="00E31283">
          <w:rPr>
            <w:rStyle w:val="Hyperlink"/>
            <w:rFonts w:asciiTheme="majorBidi" w:hAnsiTheme="majorBidi" w:cstheme="majorBidi"/>
          </w:rPr>
          <w:t>https://doi.org/10.5296/jpag.v8i3.13637</w:t>
        </w:r>
      </w:hyperlink>
      <w:r w:rsidR="00E72BEC">
        <w:rPr>
          <w:rFonts w:asciiTheme="majorBidi" w:hAnsiTheme="majorBidi" w:cstheme="majorBidi" w:hint="cs"/>
        </w:rPr>
        <w:t xml:space="preserve"> </w:t>
      </w:r>
    </w:p>
    <w:p w14:paraId="6038D325" w14:textId="257500F7"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Sun, C., Zhao, X., Guo, B., &amp; Chen, N. (2025). Will employee–AI collaboration enhance employees’ proactive behavior? A study based on the conservation of resources theory. </w:t>
      </w:r>
      <w:r w:rsidRPr="00BF65CE">
        <w:rPr>
          <w:rStyle w:val="ae"/>
          <w:rFonts w:asciiTheme="majorBidi" w:hAnsiTheme="majorBidi" w:cstheme="majorBidi"/>
        </w:rPr>
        <w:t>Behavioral Sciences, 15</w:t>
      </w:r>
      <w:r w:rsidRPr="00BF65CE">
        <w:rPr>
          <w:rFonts w:asciiTheme="majorBidi" w:hAnsiTheme="majorBidi" w:cstheme="majorBidi"/>
        </w:rPr>
        <w:t xml:space="preserve">(5), Article 648. </w:t>
      </w:r>
      <w:hyperlink r:id="rId44" w:history="1">
        <w:r w:rsidR="00E72BEC" w:rsidRPr="00E31283">
          <w:rPr>
            <w:rStyle w:val="Hyperlink"/>
            <w:rFonts w:asciiTheme="majorBidi" w:hAnsiTheme="majorBidi" w:cstheme="majorBidi"/>
          </w:rPr>
          <w:t>https://doi.org/10.3390/bs15050648</w:t>
        </w:r>
      </w:hyperlink>
      <w:r w:rsidR="00E72BEC">
        <w:rPr>
          <w:rFonts w:asciiTheme="majorBidi" w:hAnsiTheme="majorBidi" w:cstheme="majorBidi" w:hint="cs"/>
        </w:rPr>
        <w:t xml:space="preserve"> </w:t>
      </w:r>
    </w:p>
    <w:p w14:paraId="7F090E00" w14:textId="40B22F1F"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Wang, Y., Zhu, L., &amp; Jin, X. (2024). The effect of a high-performance work system on organizational innovation performance: The mediating effect of employees’ intrinsic motivation and the moderating effect of person–organization fit. </w:t>
      </w:r>
      <w:r w:rsidRPr="00BF65CE">
        <w:rPr>
          <w:rStyle w:val="ae"/>
          <w:rFonts w:asciiTheme="majorBidi" w:hAnsiTheme="majorBidi" w:cstheme="majorBidi"/>
        </w:rPr>
        <w:t>Systems, 12</w:t>
      </w:r>
      <w:r w:rsidRPr="00BF65CE">
        <w:rPr>
          <w:rFonts w:asciiTheme="majorBidi" w:hAnsiTheme="majorBidi" w:cstheme="majorBidi"/>
        </w:rPr>
        <w:t xml:space="preserve">(7), Article 230. </w:t>
      </w:r>
      <w:hyperlink r:id="rId45" w:history="1">
        <w:r w:rsidR="00E72BEC" w:rsidRPr="00E31283">
          <w:rPr>
            <w:rStyle w:val="Hyperlink"/>
            <w:rFonts w:asciiTheme="majorBidi" w:hAnsiTheme="majorBidi" w:cstheme="majorBidi"/>
          </w:rPr>
          <w:t>https://doi.org/10.3390/systems12070230</w:t>
        </w:r>
      </w:hyperlink>
      <w:r w:rsidR="00E72BEC">
        <w:rPr>
          <w:rFonts w:asciiTheme="majorBidi" w:hAnsiTheme="majorBidi" w:cstheme="majorBidi" w:hint="cs"/>
        </w:rPr>
        <w:t xml:space="preserve"> </w:t>
      </w:r>
    </w:p>
    <w:p w14:paraId="196B14DB" w14:textId="712CB57B" w:rsidR="00E608AE" w:rsidRPr="00BF65CE" w:rsidRDefault="00E608AE" w:rsidP="00C64CF0">
      <w:pPr>
        <w:pStyle w:val="ad"/>
        <w:spacing w:before="0" w:beforeAutospacing="0" w:after="240" w:afterAutospacing="0" w:line="360" w:lineRule="auto"/>
        <w:ind w:left="720" w:hanging="720"/>
        <w:jc w:val="both"/>
        <w:rPr>
          <w:rFonts w:asciiTheme="majorBidi" w:hAnsiTheme="majorBidi" w:cstheme="majorBidi"/>
        </w:rPr>
      </w:pPr>
      <w:r w:rsidRPr="00BF65CE">
        <w:rPr>
          <w:rFonts w:asciiTheme="majorBidi" w:hAnsiTheme="majorBidi" w:cstheme="majorBidi"/>
        </w:rPr>
        <w:t xml:space="preserve">Yousaf, A., Nisar, Q. A., Ali, S., Hussain, M. S., &amp; Kamboh, A. Z. (2019). Do high-performance work practices influence organizational innovation? Mediating role of human capital. </w:t>
      </w:r>
      <w:r w:rsidRPr="00BF65CE">
        <w:rPr>
          <w:rStyle w:val="ae"/>
          <w:rFonts w:asciiTheme="majorBidi" w:hAnsiTheme="majorBidi" w:cstheme="majorBidi"/>
        </w:rPr>
        <w:t>Pakistan Journal of Humanities and Social Sciences, 7</w:t>
      </w:r>
      <w:r w:rsidRPr="00BF65CE">
        <w:rPr>
          <w:rFonts w:asciiTheme="majorBidi" w:hAnsiTheme="majorBidi" w:cstheme="majorBidi"/>
        </w:rPr>
        <w:t xml:space="preserve">(1), 107–120. </w:t>
      </w:r>
      <w:hyperlink r:id="rId46" w:history="1">
        <w:r w:rsidR="00E72BEC" w:rsidRPr="00E31283">
          <w:rPr>
            <w:rStyle w:val="Hyperlink"/>
            <w:rFonts w:asciiTheme="majorBidi" w:hAnsiTheme="majorBidi" w:cstheme="majorBidi"/>
          </w:rPr>
          <w:t>https://doi.org/10.52131/pjhss.2019.0701.0075</w:t>
        </w:r>
      </w:hyperlink>
      <w:r w:rsidR="00E72BEC">
        <w:rPr>
          <w:rFonts w:asciiTheme="majorBidi" w:hAnsiTheme="majorBidi" w:cstheme="majorBidi" w:hint="cs"/>
        </w:rPr>
        <w:t xml:space="preserve"> </w:t>
      </w:r>
    </w:p>
    <w:p w14:paraId="3C0BDCF7" w14:textId="77777777" w:rsidR="00E608AE" w:rsidRPr="00BF65CE" w:rsidRDefault="00E608AE" w:rsidP="00406436">
      <w:pPr>
        <w:bidi w:val="0"/>
        <w:spacing w:before="600"/>
        <w:jc w:val="both"/>
        <w:rPr>
          <w:rFonts w:asciiTheme="majorBidi" w:hAnsiTheme="majorBidi" w:cstheme="majorBidi"/>
        </w:rPr>
      </w:pPr>
    </w:p>
    <w:p w14:paraId="2E28CD8B" w14:textId="77777777" w:rsidR="00BB33D6" w:rsidRPr="00BF65CE" w:rsidRDefault="00BB33D6" w:rsidP="00406436">
      <w:pPr>
        <w:bidi w:val="0"/>
        <w:spacing w:after="120"/>
        <w:jc w:val="both"/>
        <w:rPr>
          <w:rFonts w:asciiTheme="majorBidi" w:hAnsiTheme="majorBidi" w:cstheme="majorBidi"/>
        </w:rPr>
      </w:pPr>
    </w:p>
    <w:p w14:paraId="6E6210DB" w14:textId="77777777" w:rsidR="00463479" w:rsidRPr="00BF65CE" w:rsidRDefault="00463479">
      <w:pPr>
        <w:bidi w:val="0"/>
        <w:rPr>
          <w:rFonts w:ascii="Simplified Arabic" w:hAnsi="Simplified Arabic" w:cs="Simplified Arabic"/>
          <w:b/>
          <w:bCs/>
          <w:sz w:val="32"/>
          <w:szCs w:val="36"/>
          <w:rtl/>
        </w:rPr>
      </w:pPr>
      <w:r w:rsidRPr="00BF65CE">
        <w:rPr>
          <w:rFonts w:ascii="Simplified Arabic" w:hAnsi="Simplified Arabic" w:cs="Simplified Arabic"/>
          <w:rtl/>
        </w:rPr>
        <w:br w:type="page"/>
      </w:r>
    </w:p>
    <w:p w14:paraId="432D86B6" w14:textId="77777777" w:rsidR="00E457CD" w:rsidRPr="00BF65CE" w:rsidRDefault="00014347" w:rsidP="00480FFC">
      <w:pPr>
        <w:pStyle w:val="1"/>
        <w:rPr>
          <w:rFonts w:cs="Simplified Arabic"/>
          <w:color w:val="auto"/>
          <w:sz w:val="24"/>
        </w:rPr>
      </w:pPr>
      <w:bookmarkStart w:id="85" w:name="_Toc235125859"/>
      <w:r w:rsidRPr="00BF65CE">
        <w:rPr>
          <w:rFonts w:cs="Simplified Arabic"/>
          <w:color w:val="auto"/>
          <w:rtl/>
        </w:rPr>
        <w:lastRenderedPageBreak/>
        <w:t>الملاحق</w:t>
      </w:r>
      <w:bookmarkEnd w:id="85"/>
    </w:p>
    <w:p w14:paraId="4495D633" w14:textId="77777777" w:rsidR="00E457CD" w:rsidRPr="00BF65CE" w:rsidRDefault="00014347" w:rsidP="00DE7D61">
      <w:pPr>
        <w:pStyle w:val="2"/>
        <w:rPr>
          <w:rFonts w:cs="Simplified Arabic"/>
          <w:color w:val="auto"/>
        </w:rPr>
      </w:pPr>
      <w:bookmarkStart w:id="86" w:name="_Toc235125860"/>
      <w:r w:rsidRPr="00BF65CE">
        <w:rPr>
          <w:rFonts w:cs="Simplified Arabic"/>
          <w:color w:val="auto"/>
          <w:rtl/>
        </w:rPr>
        <w:t>ملحق (1): استبانة الدراسة</w:t>
      </w:r>
      <w:bookmarkEnd w:id="86"/>
    </w:p>
    <w:p w14:paraId="43473373" w14:textId="77777777" w:rsidR="00D53E22" w:rsidRPr="00BF65CE" w:rsidRDefault="00D53E22" w:rsidP="009E4E7B">
      <w:pPr>
        <w:pStyle w:val="1"/>
        <w:spacing w:before="0" w:after="0"/>
        <w:jc w:val="center"/>
        <w:rPr>
          <w:rStyle w:val="af0"/>
          <w:rFonts w:asciiTheme="minorBidi" w:eastAsia="Times New Roman" w:hAnsiTheme="minorBidi" w:cstheme="minorBidi"/>
          <w:color w:val="auto"/>
          <w:sz w:val="36"/>
          <w:szCs w:val="36"/>
          <w:rtl/>
        </w:rPr>
      </w:pPr>
      <w:bookmarkStart w:id="87" w:name="_Toc235125861"/>
      <w:r w:rsidRPr="00BF65CE">
        <w:rPr>
          <w:rStyle w:val="af0"/>
          <w:rFonts w:asciiTheme="minorBidi" w:eastAsia="Times New Roman" w:hAnsiTheme="minorBidi" w:cstheme="minorBidi" w:hint="cs"/>
          <w:color w:val="auto"/>
          <w:sz w:val="36"/>
          <w:szCs w:val="36"/>
          <w:rtl/>
        </w:rPr>
        <w:t>ا</w:t>
      </w:r>
      <w:r w:rsidRPr="00BF65CE">
        <w:rPr>
          <w:rStyle w:val="af0"/>
          <w:rFonts w:asciiTheme="minorBidi" w:eastAsia="Times New Roman" w:hAnsiTheme="minorBidi" w:cstheme="minorBidi"/>
          <w:color w:val="auto"/>
          <w:sz w:val="36"/>
          <w:szCs w:val="36"/>
          <w:rtl/>
        </w:rPr>
        <w:t>ستبانة بحث</w:t>
      </w:r>
      <w:bookmarkEnd w:id="87"/>
      <w:r w:rsidRPr="00BF65CE">
        <w:rPr>
          <w:rStyle w:val="af0"/>
          <w:rFonts w:asciiTheme="minorBidi" w:eastAsia="Times New Roman" w:hAnsiTheme="minorBidi" w:cstheme="minorBidi"/>
          <w:color w:val="auto"/>
          <w:sz w:val="36"/>
          <w:szCs w:val="36"/>
          <w:rtl/>
        </w:rPr>
        <w:t xml:space="preserve"> </w:t>
      </w:r>
    </w:p>
    <w:p w14:paraId="1D8DA336" w14:textId="77777777" w:rsidR="00D53E22" w:rsidRPr="00BF65CE" w:rsidRDefault="00D53E22" w:rsidP="009E4E7B">
      <w:r w:rsidRPr="00BF65CE">
        <w:rPr>
          <w:rFonts w:hint="cs"/>
          <w:b/>
          <w:bCs/>
          <w:sz w:val="36"/>
          <w:szCs w:val="36"/>
          <w:rtl/>
          <w:lang w:val=""/>
        </w:rPr>
        <w:t>"</w:t>
      </w:r>
      <w:r w:rsidRPr="00BF65CE">
        <w:rPr>
          <w:b/>
          <w:bCs/>
          <w:sz w:val="36"/>
          <w:szCs w:val="36"/>
          <w:rtl/>
          <w:lang w:val=""/>
        </w:rPr>
        <w:t>دور الإبداع كمتغير وسيط في تأثير الاستقطاب التنظيمي</w:t>
      </w:r>
      <w:r w:rsidRPr="00BF65CE">
        <w:rPr>
          <w:b/>
          <w:bCs/>
          <w:sz w:val="36"/>
          <w:szCs w:val="36"/>
          <w:lang w:val=""/>
        </w:rPr>
        <w:t xml:space="preserve"> </w:t>
      </w:r>
      <w:r w:rsidRPr="00BF65CE">
        <w:rPr>
          <w:b/>
          <w:bCs/>
          <w:sz w:val="36"/>
          <w:szCs w:val="36"/>
          <w:rtl/>
          <w:lang w:val=""/>
        </w:rPr>
        <w:t>وتطبيقات الذكاء الاصطناعي على التميز المؤسسي</w:t>
      </w:r>
    </w:p>
    <w:p w14:paraId="5DBB1FB0" w14:textId="77777777" w:rsidR="00D53E22" w:rsidRPr="00BF65CE" w:rsidRDefault="00D53E22" w:rsidP="009E4E7B">
      <w:pPr>
        <w:pStyle w:val="ad"/>
        <w:bidi/>
        <w:spacing w:before="0" w:beforeAutospacing="0" w:after="0" w:afterAutospacing="0"/>
        <w:rPr>
          <w:rFonts w:asciiTheme="minorBidi" w:hAnsiTheme="minorBidi" w:cstheme="minorBidi"/>
          <w:sz w:val="28"/>
          <w:szCs w:val="28"/>
          <w:rtl/>
        </w:rPr>
      </w:pPr>
    </w:p>
    <w:p w14:paraId="6EBB914E" w14:textId="77777777" w:rsidR="00D53E22" w:rsidRPr="00BF65CE" w:rsidRDefault="00D53E22" w:rsidP="009E4E7B">
      <w:pPr>
        <w:pStyle w:val="ad"/>
        <w:bidi/>
        <w:spacing w:after="0" w:line="360" w:lineRule="auto"/>
        <w:rPr>
          <w:rFonts w:asciiTheme="minorBidi" w:hAnsiTheme="minorBidi" w:cstheme="minorBidi"/>
          <w:sz w:val="28"/>
          <w:szCs w:val="28"/>
          <w:rtl/>
        </w:rPr>
      </w:pPr>
      <w:r w:rsidRPr="00BF65CE">
        <w:rPr>
          <w:rFonts w:asciiTheme="minorBidi" w:hAnsiTheme="minorBidi" w:cs="Arial" w:hint="eastAsia"/>
          <w:sz w:val="28"/>
          <w:szCs w:val="28"/>
          <w:rtl/>
        </w:rPr>
        <w:t>عزيزي</w:t>
      </w:r>
      <w:r w:rsidRPr="00BF65CE">
        <w:rPr>
          <w:rFonts w:asciiTheme="minorBidi" w:hAnsiTheme="minorBidi" w:cs="Arial"/>
          <w:sz w:val="28"/>
          <w:szCs w:val="28"/>
          <w:rtl/>
        </w:rPr>
        <w:t xml:space="preserve"> </w:t>
      </w:r>
      <w:r w:rsidRPr="00BF65CE">
        <w:rPr>
          <w:rFonts w:asciiTheme="minorBidi" w:hAnsiTheme="minorBidi" w:cs="Arial" w:hint="eastAsia"/>
          <w:sz w:val="28"/>
          <w:szCs w:val="28"/>
          <w:rtl/>
        </w:rPr>
        <w:t>المشارك</w:t>
      </w:r>
      <w:r w:rsidRPr="00BF65CE">
        <w:rPr>
          <w:rFonts w:asciiTheme="minorBidi" w:hAnsiTheme="minorBidi" w:cs="Arial"/>
          <w:sz w:val="28"/>
          <w:szCs w:val="28"/>
          <w:rtl/>
        </w:rPr>
        <w:t>/</w:t>
      </w:r>
      <w:r w:rsidRPr="00BF65CE">
        <w:rPr>
          <w:rFonts w:asciiTheme="minorBidi" w:hAnsiTheme="minorBidi" w:cs="Arial" w:hint="eastAsia"/>
          <w:sz w:val="28"/>
          <w:szCs w:val="28"/>
          <w:rtl/>
        </w:rPr>
        <w:t>المشاركة،</w:t>
      </w:r>
    </w:p>
    <w:p w14:paraId="2CC24C88" w14:textId="77777777" w:rsidR="00D53E22" w:rsidRPr="00BF65CE" w:rsidRDefault="00D53E22" w:rsidP="009E4E7B">
      <w:pPr>
        <w:pStyle w:val="ad"/>
        <w:bidi/>
        <w:spacing w:after="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تهدف هذه الاستبانة إلى جمع آرائكم وتقييماتكم حول بيئة العمل في المستشفيات الخاصة بمدينة الرياض، وذلك ضمن إطار دراسةٍ أكاديمية بعنوان "الإبداع كمتغير وسيط في تأثير الاستقطاب التنظيمي وتطبيقات الذكاء الاصطناعي على التميز المؤسسي". تهدف الدراسة إلى فهم مدى فاعلية سياسات الاستقطاب، واستخدام الذكاء الاصطناعي، ومناخ الإبداع في تحقيق التميز داخل مؤسسات الرعاية الصحية. يرجى الإجابة على جميع الفقرات بكل موضوعية وشفافية، فمشاركتكم القيمة ستساهم في تطوير ممارسات العمل المؤسسي والارتقاء بجودة الخدمات الصحية في القطاع الخاص</w:t>
      </w:r>
      <w:r w:rsidRPr="00BF65CE">
        <w:rPr>
          <w:rFonts w:ascii="Simplified Arabic" w:hAnsi="Simplified Arabic" w:cs="Simplified Arabic"/>
          <w:sz w:val="28"/>
          <w:szCs w:val="28"/>
        </w:rPr>
        <w:t>.</w:t>
      </w:r>
    </w:p>
    <w:p w14:paraId="34FEC62A"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r w:rsidRPr="00BF65CE">
        <w:rPr>
          <w:rFonts w:ascii="Simplified Arabic" w:hAnsi="Simplified Arabic" w:cs="Simplified Arabic"/>
          <w:sz w:val="28"/>
          <w:szCs w:val="28"/>
          <w:rtl/>
        </w:rPr>
        <w:t>جميع استجاباتكم سَرّية وتستخدم لغرض البحث العلمي فقط، ولن يُستخدم أي جزء منها بشكل شخصي أو إداري. الرجاء قراءة كل عبارة بعناية واختيار التصنيف الذي يُعبر عن رأيك بصدق.</w:t>
      </w:r>
    </w:p>
    <w:p w14:paraId="2D04FB0C"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331FC145" w14:textId="77777777" w:rsidR="00D53E22" w:rsidRPr="00BF65CE" w:rsidRDefault="00D53E22" w:rsidP="009E4E7B">
      <w:pPr>
        <w:pStyle w:val="ad"/>
        <w:bidi/>
        <w:spacing w:before="0" w:beforeAutospacing="0" w:after="240" w:afterAutospacing="0" w:line="360" w:lineRule="auto"/>
        <w:jc w:val="center"/>
        <w:rPr>
          <w:rFonts w:asciiTheme="minorBidi" w:hAnsiTheme="minorBidi" w:cstheme="minorBidi"/>
          <w:b/>
          <w:bCs/>
          <w:sz w:val="28"/>
          <w:szCs w:val="28"/>
          <w:rtl/>
        </w:rPr>
      </w:pPr>
    </w:p>
    <w:p w14:paraId="64463999" w14:textId="77777777" w:rsidR="00D53E22" w:rsidRPr="00BF65CE" w:rsidRDefault="00D53E22" w:rsidP="009E4E7B">
      <w:pPr>
        <w:spacing w:line="240" w:lineRule="auto"/>
        <w:rPr>
          <w:rStyle w:val="af0"/>
          <w:rFonts w:asciiTheme="minorBidi" w:eastAsia="Times New Roman" w:hAnsiTheme="minorBidi"/>
          <w:sz w:val="32"/>
          <w:szCs w:val="32"/>
        </w:rPr>
      </w:pPr>
    </w:p>
    <w:p w14:paraId="751C91FF" w14:textId="77777777" w:rsidR="00D53E22" w:rsidRPr="00BF65CE" w:rsidRDefault="00D53E22" w:rsidP="009E4E7B">
      <w:pPr>
        <w:spacing w:line="240" w:lineRule="auto"/>
        <w:rPr>
          <w:rStyle w:val="af0"/>
          <w:rFonts w:asciiTheme="minorBidi" w:eastAsia="Times New Roman" w:hAnsiTheme="minorBidi"/>
          <w:sz w:val="32"/>
          <w:szCs w:val="32"/>
          <w:rtl/>
        </w:rPr>
      </w:pPr>
    </w:p>
    <w:p w14:paraId="6419E7A9"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lastRenderedPageBreak/>
        <w:t>القسم الأول: البيانات الديموغرافية</w:t>
      </w:r>
    </w:p>
    <w:p w14:paraId="50D91A2E"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الإجابة عن جميع الأسئلة التالية بدقة، علمًا أن جميع المعلومات ستُعامَل بسرية تامة وتُستخدم لأغراض البحث العلمي فقط:</w:t>
      </w:r>
    </w:p>
    <w:p w14:paraId="33CE441B"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الجنس:</w:t>
      </w:r>
    </w:p>
    <w:p w14:paraId="0B17A125"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489144728"/>
          <w14:checkbox>
            <w14:checked w14:val="0"/>
            <w14:checkedState w14:val="2612" w14:font="MS Gothic"/>
            <w14:uncheckedState w14:val="2610" w14:font="MS Gothic"/>
          </w14:checkbox>
        </w:sdt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ذكر                    </w:t>
      </w:r>
      <w:sdt>
        <w:sdtPr>
          <w:rPr>
            <w:rStyle w:val="af0"/>
            <w:rFonts w:ascii="Simplified Arabic" w:eastAsia="Times New Roman" w:hAnsi="Simplified Arabic" w:cs="Simplified Arabic"/>
            <w:b w:val="0"/>
            <w:bCs w:val="0"/>
            <w:sz w:val="28"/>
            <w:szCs w:val="28"/>
            <w:rtl/>
          </w:rPr>
          <w:id w:val="841828123"/>
          <w14:checkbox>
            <w14:checked w14:val="0"/>
            <w14:checkedState w14:val="2612" w14:font="MS Gothic"/>
            <w14:uncheckedState w14:val="2610" w14:font="MS Gothic"/>
          </w14:checkbox>
        </w:sdt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  أنثى  </w:t>
      </w:r>
    </w:p>
    <w:p w14:paraId="248DBA0C"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الفئة العمرية:</w:t>
      </w:r>
    </w:p>
    <w:p w14:paraId="6C271B46" w14:textId="77777777" w:rsidR="00D53E22" w:rsidRPr="00BF65CE" w:rsidRDefault="00000000"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020238056"/>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 25 سنة    </w:t>
      </w:r>
      <w:sdt>
        <w:sdtPr>
          <w:rPr>
            <w:rStyle w:val="af0"/>
            <w:rFonts w:ascii="Simplified Arabic" w:eastAsia="Times New Roman" w:hAnsi="Simplified Arabic" w:cs="Simplified Arabic"/>
            <w:b w:val="0"/>
            <w:bCs w:val="0"/>
            <w:sz w:val="28"/>
            <w:szCs w:val="28"/>
            <w:rtl/>
          </w:rPr>
          <w:id w:val="-1455160699"/>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25 – 34 سنة  </w:t>
      </w:r>
      <w:sdt>
        <w:sdtPr>
          <w:rPr>
            <w:rStyle w:val="af0"/>
            <w:rFonts w:ascii="Simplified Arabic" w:eastAsia="Times New Roman" w:hAnsi="Simplified Arabic" w:cs="Simplified Arabic"/>
            <w:b w:val="0"/>
            <w:bCs w:val="0"/>
            <w:sz w:val="28"/>
            <w:szCs w:val="28"/>
            <w:rtl/>
          </w:rPr>
          <w:id w:val="419148382"/>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35 – 44 سنة    </w:t>
      </w:r>
      <w:sdt>
        <w:sdtPr>
          <w:rPr>
            <w:rStyle w:val="af0"/>
            <w:rFonts w:ascii="Simplified Arabic" w:eastAsia="Times New Roman" w:hAnsi="Simplified Arabic" w:cs="Simplified Arabic"/>
            <w:b w:val="0"/>
            <w:bCs w:val="0"/>
            <w:sz w:val="28"/>
            <w:szCs w:val="28"/>
            <w:rtl/>
          </w:rPr>
          <w:id w:val="390861413"/>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45 سنة فأكثر</w:t>
      </w:r>
    </w:p>
    <w:p w14:paraId="334E401F"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المؤهل العلمي:</w:t>
      </w:r>
    </w:p>
    <w:p w14:paraId="5BFEAA1F" w14:textId="77777777" w:rsidR="00D53E22" w:rsidRPr="00BF65CE" w:rsidRDefault="00000000"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358658972"/>
          <w14:checkbox>
            <w14:checked w14:val="0"/>
            <w14:checkedState w14:val="2612" w14:font="MS Gothic"/>
            <w14:uncheckedState w14:val="2610" w14:font="MS Gothic"/>
          </w14:checkbox>
        </w:sdt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hint="cs"/>
          <w:b w:val="0"/>
          <w:bCs w:val="0"/>
          <w:sz w:val="28"/>
          <w:szCs w:val="28"/>
          <w:rtl/>
        </w:rPr>
        <w:t xml:space="preserve"> ث</w:t>
      </w:r>
      <w:r w:rsidR="00D53E22" w:rsidRPr="00BF65CE">
        <w:rPr>
          <w:rStyle w:val="af0"/>
          <w:rFonts w:ascii="Simplified Arabic" w:eastAsia="Times New Roman" w:hAnsi="Simplified Arabic" w:cs="Simplified Arabic"/>
          <w:b w:val="0"/>
          <w:bCs w:val="0"/>
          <w:sz w:val="28"/>
          <w:szCs w:val="28"/>
          <w:rtl/>
        </w:rPr>
        <w:t xml:space="preserve">انوي         </w:t>
      </w:r>
      <w:sdt>
        <w:sdtPr>
          <w:rPr>
            <w:rStyle w:val="af0"/>
            <w:rFonts w:ascii="Simplified Arabic" w:eastAsia="Times New Roman" w:hAnsi="Simplified Arabic" w:cs="Simplified Arabic"/>
            <w:b w:val="0"/>
            <w:bCs w:val="0"/>
            <w:sz w:val="28"/>
            <w:szCs w:val="28"/>
            <w:rtl/>
          </w:rPr>
          <w:id w:val="1686786311"/>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دبلوم          </w:t>
      </w:r>
      <w:sdt>
        <w:sdtPr>
          <w:rPr>
            <w:rStyle w:val="af0"/>
            <w:rFonts w:ascii="Simplified Arabic" w:eastAsia="Times New Roman" w:hAnsi="Simplified Arabic" w:cs="Simplified Arabic"/>
            <w:b w:val="0"/>
            <w:bCs w:val="0"/>
            <w:sz w:val="28"/>
            <w:szCs w:val="28"/>
            <w:rtl/>
          </w:rPr>
          <w:id w:val="-1547821668"/>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بكالوريوس       </w:t>
      </w:r>
      <w:sdt>
        <w:sdtPr>
          <w:rPr>
            <w:rStyle w:val="af0"/>
            <w:rFonts w:ascii="Simplified Arabic" w:eastAsia="Times New Roman" w:hAnsi="Simplified Arabic" w:cs="Simplified Arabic"/>
            <w:b w:val="0"/>
            <w:bCs w:val="0"/>
            <w:sz w:val="28"/>
            <w:szCs w:val="28"/>
            <w:rtl/>
          </w:rPr>
          <w:id w:val="-586622161"/>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دراسات عليا (ماجستير/دكتوراه)</w:t>
      </w:r>
    </w:p>
    <w:p w14:paraId="53D13E54"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سنوات الخبرة في المستشفى الحالية:</w:t>
      </w:r>
    </w:p>
    <w:p w14:paraId="1D50F8E8" w14:textId="77777777" w:rsidR="00D53E22" w:rsidRPr="00BF65CE" w:rsidRDefault="00000000" w:rsidP="009E4E7B">
      <w:pPr>
        <w:rPr>
          <w:rStyle w:val="af0"/>
          <w:rFonts w:ascii="Simplified Arabic" w:eastAsia="Times New Roman" w:hAnsi="Simplified Arabic" w:cs="Simplified Arabic"/>
          <w:b w:val="0"/>
          <w:bCs w:val="0"/>
          <w:sz w:val="28"/>
          <w:szCs w:val="28"/>
          <w:rtl/>
        </w:rPr>
      </w:pPr>
      <w:sdt>
        <w:sdtPr>
          <w:rPr>
            <w:rStyle w:val="af0"/>
            <w:rFonts w:ascii="Simplified Arabic" w:eastAsia="Times New Roman" w:hAnsi="Simplified Arabic" w:cs="Simplified Arabic"/>
            <w:b w:val="0"/>
            <w:bCs w:val="0"/>
            <w:sz w:val="28"/>
            <w:szCs w:val="28"/>
            <w:rtl/>
          </w:rPr>
          <w:id w:val="-1320875052"/>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أقل من3 سنوات </w:t>
      </w:r>
      <w:sdt>
        <w:sdtPr>
          <w:rPr>
            <w:rStyle w:val="af0"/>
            <w:rFonts w:ascii="Simplified Arabic" w:eastAsia="Times New Roman" w:hAnsi="Simplified Arabic" w:cs="Simplified Arabic"/>
            <w:b w:val="0"/>
            <w:bCs w:val="0"/>
            <w:sz w:val="28"/>
            <w:szCs w:val="28"/>
            <w:rtl/>
          </w:rPr>
          <w:id w:val="1106769512"/>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من 3إلى أقل من 6 سنوات </w:t>
      </w:r>
      <w:sdt>
        <w:sdtPr>
          <w:rPr>
            <w:rStyle w:val="af0"/>
            <w:rFonts w:ascii="Simplified Arabic" w:eastAsia="Times New Roman" w:hAnsi="Simplified Arabic" w:cs="Simplified Arabic"/>
            <w:b w:val="0"/>
            <w:bCs w:val="0"/>
            <w:sz w:val="28"/>
            <w:szCs w:val="28"/>
            <w:rtl/>
          </w:rPr>
          <w:id w:val="-1471287473"/>
          <w14:checkbox>
            <w14:checked w14:val="0"/>
            <w14:checkedState w14:val="2612" w14:font="MS Gothic"/>
            <w14:uncheckedState w14:val="2610" w14:font="MS Gothic"/>
          </w14:checkbox>
        </w:sdtPr>
        <w:sdtContent>
          <w:r w:rsidR="00D53E22" w:rsidRPr="00BF65CE">
            <w:rPr>
              <w:rStyle w:val="af0"/>
              <w:rFonts w:ascii="MS Gothic" w:eastAsia="MS Gothic" w:hAnsi="MS Gothic" w:cs="Simplified Arabic" w:hint="eastAsia"/>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من 6إلى أقل من</w:t>
      </w:r>
      <w:r w:rsidR="00D53E22" w:rsidRPr="00BF65CE">
        <w:rPr>
          <w:rStyle w:val="af0"/>
          <w:rFonts w:ascii="Simplified Arabic" w:eastAsia="Times New Roman" w:hAnsi="Simplified Arabic" w:cs="Simplified Arabic" w:hint="cs"/>
          <w:b w:val="0"/>
          <w:bCs w:val="0"/>
          <w:sz w:val="28"/>
          <w:szCs w:val="28"/>
          <w:rtl/>
        </w:rPr>
        <w:t>10</w:t>
      </w:r>
      <w:r w:rsidR="00D53E22" w:rsidRPr="00BF65CE">
        <w:rPr>
          <w:rStyle w:val="af0"/>
          <w:rFonts w:ascii="Simplified Arabic" w:eastAsia="Times New Roman" w:hAnsi="Simplified Arabic" w:cs="Simplified Arabic"/>
          <w:b w:val="0"/>
          <w:bCs w:val="0"/>
          <w:sz w:val="28"/>
          <w:szCs w:val="28"/>
          <w:rtl/>
        </w:rPr>
        <w:t xml:space="preserve"> سنوات  </w:t>
      </w:r>
      <w:sdt>
        <w:sdtPr>
          <w:rPr>
            <w:rStyle w:val="af0"/>
            <w:rFonts w:ascii="Simplified Arabic" w:eastAsia="Times New Roman" w:hAnsi="Simplified Arabic" w:cs="Simplified Arabic"/>
            <w:b w:val="0"/>
            <w:bCs w:val="0"/>
            <w:sz w:val="28"/>
            <w:szCs w:val="28"/>
            <w:rtl/>
          </w:rPr>
          <w:id w:val="-526256594"/>
          <w14:checkbox>
            <w14:checked w14:val="0"/>
            <w14:checkedState w14:val="2612" w14:font="MS Gothic"/>
            <w14:uncheckedState w14:val="2610" w14:font="MS Gothic"/>
          </w14:checkbox>
        </w:sdtPr>
        <w:sdtContent>
          <w:r w:rsidR="00D53E22" w:rsidRPr="00BF65CE">
            <w:rPr>
              <w:rStyle w:val="af0"/>
              <w:rFonts w:ascii="Segoe UI Symbol" w:eastAsia="MS Gothic" w:hAnsi="Segoe UI Symbol" w:cs="Segoe UI Symbol" w:hint="cs"/>
              <w:b w:val="0"/>
              <w:bCs w:val="0"/>
              <w:sz w:val="28"/>
              <w:szCs w:val="28"/>
              <w:rtl/>
            </w:rPr>
            <w:t>☐</w:t>
          </w:r>
        </w:sdtContent>
      </w:sdt>
      <w:r w:rsidR="00D53E22" w:rsidRPr="00BF65CE">
        <w:rPr>
          <w:rStyle w:val="af0"/>
          <w:rFonts w:ascii="Simplified Arabic" w:eastAsia="Times New Roman" w:hAnsi="Simplified Arabic" w:cs="Simplified Arabic"/>
          <w:b w:val="0"/>
          <w:bCs w:val="0"/>
          <w:sz w:val="28"/>
          <w:szCs w:val="28"/>
          <w:rtl/>
        </w:rPr>
        <w:t xml:space="preserve"> 10سنوات فأكثر</w:t>
      </w:r>
    </w:p>
    <w:p w14:paraId="46698E55"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القسم/الإدارة:</w:t>
      </w:r>
    </w:p>
    <w:p w14:paraId="5A86399B"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ذكر اسم القسم أو الإدارة التي تعمل بها)</w:t>
      </w:r>
    </w:p>
    <w:p w14:paraId="6A5CCA45"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المسمى الوظيفي:</w:t>
      </w:r>
    </w:p>
    <w:p w14:paraId="04C8A68A" w14:textId="77777777" w:rsidR="00D53E22" w:rsidRPr="00BF65CE" w:rsidRDefault="00D53E22" w:rsidP="009E4E7B">
      <w:pPr>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(يرجى كتابة مسماك الوظيفي الحالي)</w:t>
      </w:r>
    </w:p>
    <w:p w14:paraId="20A9BE12" w14:textId="77777777" w:rsidR="00D53E22" w:rsidRPr="00BF65CE" w:rsidRDefault="00D53E22" w:rsidP="00D53E22">
      <w:pPr>
        <w:pStyle w:val="a4"/>
        <w:numPr>
          <w:ilvl w:val="0"/>
          <w:numId w:val="19"/>
        </w:numPr>
        <w:bidi/>
        <w:contextualSpacing/>
        <w:rPr>
          <w:rStyle w:val="af0"/>
          <w:rFonts w:ascii="Simplified Arabic" w:eastAsia="Times New Roman" w:hAnsi="Simplified Arabic" w:cs="Simplified Arabic"/>
          <w:b w:val="0"/>
          <w:bCs w:val="0"/>
          <w:sz w:val="28"/>
          <w:szCs w:val="28"/>
          <w:rtl/>
        </w:rPr>
      </w:pPr>
      <w:r w:rsidRPr="00BF65CE">
        <w:rPr>
          <w:rStyle w:val="af0"/>
          <w:rFonts w:ascii="Simplified Arabic" w:eastAsia="Times New Roman" w:hAnsi="Simplified Arabic" w:cs="Simplified Arabic"/>
          <w:b w:val="0"/>
          <w:bCs w:val="0"/>
          <w:sz w:val="28"/>
          <w:szCs w:val="28"/>
          <w:rtl/>
        </w:rPr>
        <w:t>نوع التعاقد:</w:t>
      </w:r>
    </w:p>
    <w:p w14:paraId="2AED8C63" w14:textId="77777777" w:rsidR="00D53E22" w:rsidRPr="00BF65CE" w:rsidRDefault="00D53E22" w:rsidP="009E4E7B">
      <w:pPr>
        <w:rPr>
          <w:rFonts w:asciiTheme="majorBidi" w:eastAsia="Times New Roman" w:hAnsiTheme="majorBidi" w:cstheme="majorBidi"/>
          <w:sz w:val="28"/>
          <w:szCs w:val="28"/>
          <w:rtl/>
        </w:rPr>
      </w:pPr>
      <w:r w:rsidRPr="00BF65CE">
        <w:rPr>
          <w:rStyle w:val="af0"/>
          <w:rFonts w:ascii="Simplified Arabic" w:eastAsia="Times New Roman" w:hAnsi="Simplified Arabic" w:cs="Simplified Arabic"/>
          <w:b w:val="0"/>
          <w:bCs w:val="0"/>
          <w:sz w:val="28"/>
          <w:szCs w:val="28"/>
          <w:rtl/>
        </w:rPr>
        <w:t xml:space="preserve">  </w:t>
      </w:r>
      <w:sdt>
        <w:sdtPr>
          <w:rPr>
            <w:rStyle w:val="af0"/>
            <w:rFonts w:ascii="Simplified Arabic" w:eastAsia="Times New Roman" w:hAnsi="Simplified Arabic" w:cs="Simplified Arabic"/>
            <w:b w:val="0"/>
            <w:bCs w:val="0"/>
            <w:sz w:val="28"/>
            <w:szCs w:val="28"/>
            <w:rtl/>
          </w:rPr>
          <w:id w:val="-820266906"/>
          <w14:checkbox>
            <w14:checked w14:val="0"/>
            <w14:checkedState w14:val="2612" w14:font="MS Gothic"/>
            <w14:uncheckedState w14:val="2610" w14:font="MS Gothic"/>
          </w14:checkbox>
        </w:sdt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كامل          </w:t>
      </w:r>
      <w:sdt>
        <w:sdtPr>
          <w:rPr>
            <w:rStyle w:val="af0"/>
            <w:rFonts w:ascii="Simplified Arabic" w:eastAsia="Times New Roman" w:hAnsi="Simplified Arabic" w:cs="Simplified Arabic"/>
            <w:b w:val="0"/>
            <w:bCs w:val="0"/>
            <w:sz w:val="28"/>
            <w:szCs w:val="28"/>
            <w:rtl/>
          </w:rPr>
          <w:id w:val="-2064934566"/>
          <w14:checkbox>
            <w14:checked w14:val="0"/>
            <w14:checkedState w14:val="2612" w14:font="MS Gothic"/>
            <w14:uncheckedState w14:val="2610" w14:font="MS Gothic"/>
          </w14:checkbox>
        </w:sdt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 xml:space="preserve">دوام جزئي          </w:t>
      </w:r>
      <w:sdt>
        <w:sdtPr>
          <w:rPr>
            <w:rStyle w:val="af0"/>
            <w:rFonts w:ascii="Simplified Arabic" w:eastAsia="Times New Roman" w:hAnsi="Simplified Arabic" w:cs="Simplified Arabic"/>
            <w:b w:val="0"/>
            <w:bCs w:val="0"/>
            <w:sz w:val="28"/>
            <w:szCs w:val="28"/>
            <w:rtl/>
          </w:rPr>
          <w:id w:val="-1126613104"/>
          <w14:checkbox>
            <w14:checked w14:val="0"/>
            <w14:checkedState w14:val="2612" w14:font="MS Gothic"/>
            <w14:uncheckedState w14:val="2610" w14:font="MS Gothic"/>
          </w14:checkbox>
        </w:sdtPr>
        <w:sdtContent>
          <w:r w:rsidRPr="00BF65CE">
            <w:rPr>
              <w:rStyle w:val="af0"/>
              <w:rFonts w:ascii="Segoe UI Symbol" w:eastAsia="MS Gothic" w:hAnsi="Segoe UI Symbol" w:cs="Segoe UI Symbol" w:hint="cs"/>
              <w:b w:val="0"/>
              <w:bCs w:val="0"/>
              <w:sz w:val="28"/>
              <w:szCs w:val="28"/>
              <w:rtl/>
            </w:rPr>
            <w:t>☐</w:t>
          </w:r>
        </w:sdtContent>
      </w:sdt>
      <w:r w:rsidRPr="00BF65CE">
        <w:rPr>
          <w:rStyle w:val="af0"/>
          <w:rFonts w:ascii="Simplified Arabic" w:eastAsia="Times New Roman" w:hAnsi="Simplified Arabic" w:cs="Simplified Arabic"/>
          <w:b w:val="0"/>
          <w:bCs w:val="0"/>
          <w:sz w:val="28"/>
          <w:szCs w:val="28"/>
          <w:rtl/>
        </w:rPr>
        <w:t>عقد مؤقت</w:t>
      </w:r>
      <w:r w:rsidRPr="00BF65CE">
        <w:rPr>
          <w:rFonts w:asciiTheme="minorBidi" w:hAnsiTheme="minorBidi"/>
          <w:sz w:val="28"/>
          <w:szCs w:val="28"/>
          <w:rtl/>
        </w:rPr>
        <w:br w:type="page"/>
      </w:r>
    </w:p>
    <w:p w14:paraId="762F6F41" w14:textId="77777777" w:rsidR="00D53E22" w:rsidRPr="00BF65CE" w:rsidRDefault="00D53E22" w:rsidP="009E4E7B">
      <w:pPr>
        <w:pStyle w:val="ad"/>
        <w:bidi/>
        <w:spacing w:before="0" w:beforeAutospacing="0" w:after="0" w:afterAutospacing="0" w:line="360" w:lineRule="auto"/>
        <w:jc w:val="center"/>
        <w:rPr>
          <w:rStyle w:val="af0"/>
          <w:rFonts w:asciiTheme="minorBidi" w:eastAsia="Times New Roman" w:hAnsiTheme="minorBidi" w:cstheme="minorBidi"/>
          <w:sz w:val="32"/>
          <w:szCs w:val="32"/>
          <w:rtl/>
        </w:rPr>
      </w:pPr>
      <w:r w:rsidRPr="00BF65CE">
        <w:rPr>
          <w:rStyle w:val="af0"/>
          <w:rFonts w:asciiTheme="minorBidi" w:eastAsia="Times New Roman" w:hAnsiTheme="minorBidi" w:cstheme="minorBidi"/>
          <w:sz w:val="28"/>
          <w:szCs w:val="32"/>
          <w:rtl/>
        </w:rPr>
        <w:lastRenderedPageBreak/>
        <w:t>القسم الثاني: عبارات متغيرات الدراسة</w:t>
      </w:r>
    </w:p>
    <w:p w14:paraId="14CC00C9" w14:textId="77777777" w:rsidR="00D53E22" w:rsidRPr="00BF65CE" w:rsidRDefault="00D53E22" w:rsidP="009E4E7B">
      <w:pPr>
        <w:pStyle w:val="ad"/>
        <w:bidi/>
        <w:spacing w:before="0" w:beforeAutospacing="0" w:after="0" w:afterAutospacing="0" w:line="360" w:lineRule="auto"/>
        <w:jc w:val="center"/>
        <w:rPr>
          <w:rStyle w:val="af0"/>
          <w:rFonts w:asciiTheme="minorBidi" w:eastAsia="Times New Roman" w:hAnsiTheme="minorBidi"/>
          <w:sz w:val="32"/>
          <w:szCs w:val="32"/>
          <w:rtl/>
          <w:lang w:val="en-GB"/>
        </w:rPr>
      </w:pPr>
      <w:r w:rsidRPr="00BF65CE">
        <w:rPr>
          <w:rStyle w:val="af0"/>
          <w:rFonts w:asciiTheme="minorBidi" w:eastAsia="Times New Roman" w:hAnsiTheme="minorBidi" w:cstheme="minorBidi"/>
          <w:sz w:val="28"/>
          <w:szCs w:val="28"/>
          <w:rtl/>
        </w:rPr>
        <w:t>القسم الفرعي الأول: الاستقطاب التنظيمي</w:t>
      </w:r>
    </w:p>
    <w:p w14:paraId="7146CF58" w14:textId="77777777" w:rsidR="00D53E22" w:rsidRPr="00BF65CE" w:rsidRDefault="00D53E22" w:rsidP="009E4E7B">
      <w:pPr>
        <w:pStyle w:val="ad"/>
        <w:bidi/>
        <w:spacing w:before="0" w:beforeAutospacing="0" w:after="0" w:afterAutospacing="0" w:line="360" w:lineRule="auto"/>
        <w:rPr>
          <w:rStyle w:val="af0"/>
          <w:rFonts w:asciiTheme="minorBidi" w:eastAsia="Times New Roman" w:hAnsiTheme="minorBidi" w:cstheme="minorBidi"/>
          <w:sz w:val="28"/>
          <w:szCs w:val="28"/>
          <w:rtl/>
        </w:rPr>
      </w:pPr>
    </w:p>
    <w:tbl>
      <w:tblPr>
        <w:tblStyle w:val="af1"/>
        <w:tblpPr w:leftFromText="181" w:rightFromText="181" w:vertAnchor="page" w:horzAnchor="margin" w:tblpXSpec="center" w:tblpY="3161"/>
        <w:bidiVisual/>
        <w:tblW w:w="9929" w:type="dxa"/>
        <w:tblLook w:val="04A0" w:firstRow="1" w:lastRow="0" w:firstColumn="1" w:lastColumn="0" w:noHBand="0" w:noVBand="1"/>
      </w:tblPr>
      <w:tblGrid>
        <w:gridCol w:w="786"/>
        <w:gridCol w:w="4900"/>
        <w:gridCol w:w="916"/>
        <w:gridCol w:w="832"/>
        <w:gridCol w:w="844"/>
        <w:gridCol w:w="807"/>
        <w:gridCol w:w="844"/>
      </w:tblGrid>
      <w:tr w:rsidR="00D53E22" w:rsidRPr="00BF65CE" w14:paraId="555A9FB0" w14:textId="77777777" w:rsidTr="009E4E7B">
        <w:trPr>
          <w:trHeight w:val="1528"/>
        </w:trPr>
        <w:tc>
          <w:tcPr>
            <w:tcW w:w="725" w:type="dxa"/>
            <w:hideMark/>
          </w:tcPr>
          <w:p w14:paraId="448D693E"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رقم السؤال</w:t>
            </w:r>
          </w:p>
        </w:tc>
        <w:tc>
          <w:tcPr>
            <w:tcW w:w="4900" w:type="dxa"/>
            <w:hideMark/>
          </w:tcPr>
          <w:p w14:paraId="000B362F"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نص السؤال</w:t>
            </w:r>
          </w:p>
        </w:tc>
        <w:tc>
          <w:tcPr>
            <w:tcW w:w="0" w:type="auto"/>
            <w:hideMark/>
          </w:tcPr>
          <w:p w14:paraId="492A6790"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 مطلقًا</w:t>
            </w:r>
            <w:r w:rsidRPr="00BF65CE">
              <w:rPr>
                <w:rFonts w:ascii="Simplified Arabic" w:eastAsia="Times New Roman" w:hAnsi="Simplified Arabic" w:cs="Simplified Arabic"/>
                <w:b/>
                <w:bCs/>
                <w:kern w:val="0"/>
                <w:sz w:val="28"/>
                <w:szCs w:val="28"/>
                <w:lang w:val="en-GB" w:eastAsia="en-GB"/>
                <w14:ligatures w14:val="none"/>
              </w:rPr>
              <w:t xml:space="preserve"> (1)</w:t>
            </w:r>
          </w:p>
        </w:tc>
        <w:tc>
          <w:tcPr>
            <w:tcW w:w="0" w:type="auto"/>
            <w:hideMark/>
          </w:tcPr>
          <w:p w14:paraId="7AD3EBE2"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لا أوافق</w:t>
            </w:r>
            <w:r w:rsidRPr="00BF65CE">
              <w:rPr>
                <w:rFonts w:ascii="Simplified Arabic" w:eastAsia="Times New Roman" w:hAnsi="Simplified Arabic" w:cs="Simplified Arabic"/>
                <w:b/>
                <w:bCs/>
                <w:kern w:val="0"/>
                <w:sz w:val="28"/>
                <w:szCs w:val="28"/>
                <w:lang w:val="en-GB" w:eastAsia="en-GB"/>
                <w14:ligatures w14:val="none"/>
              </w:rPr>
              <w:t xml:space="preserve"> (2)</w:t>
            </w:r>
          </w:p>
        </w:tc>
        <w:tc>
          <w:tcPr>
            <w:tcW w:w="0" w:type="auto"/>
            <w:hideMark/>
          </w:tcPr>
          <w:p w14:paraId="2F0D2C26"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محايد</w:t>
            </w:r>
            <w:r w:rsidRPr="00BF65CE">
              <w:rPr>
                <w:rFonts w:ascii="Simplified Arabic" w:eastAsia="Times New Roman" w:hAnsi="Simplified Arabic" w:cs="Simplified Arabic"/>
                <w:b/>
                <w:bCs/>
                <w:kern w:val="0"/>
                <w:sz w:val="28"/>
                <w:szCs w:val="28"/>
                <w:lang w:val="en-GB" w:eastAsia="en-GB"/>
                <w14:ligatures w14:val="none"/>
              </w:rPr>
              <w:t xml:space="preserve"> (3)</w:t>
            </w:r>
          </w:p>
        </w:tc>
        <w:tc>
          <w:tcPr>
            <w:tcW w:w="0" w:type="auto"/>
            <w:hideMark/>
          </w:tcPr>
          <w:p w14:paraId="276368A0"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w:t>
            </w:r>
            <w:r w:rsidRPr="00BF65CE">
              <w:rPr>
                <w:rFonts w:ascii="Simplified Arabic" w:eastAsia="Times New Roman" w:hAnsi="Simplified Arabic" w:cs="Simplified Arabic"/>
                <w:b/>
                <w:bCs/>
                <w:kern w:val="0"/>
                <w:sz w:val="28"/>
                <w:szCs w:val="28"/>
                <w:lang w:val="en-GB" w:eastAsia="en-GB"/>
                <w14:ligatures w14:val="none"/>
              </w:rPr>
              <w:t xml:space="preserve"> (4)</w:t>
            </w:r>
          </w:p>
        </w:tc>
        <w:tc>
          <w:tcPr>
            <w:tcW w:w="0" w:type="auto"/>
            <w:hideMark/>
          </w:tcPr>
          <w:p w14:paraId="2BB18C28" w14:textId="77777777" w:rsidR="00D53E22" w:rsidRPr="00BF65CE" w:rsidRDefault="00D53E22" w:rsidP="009E4E7B">
            <w:pPr>
              <w:rPr>
                <w:rFonts w:ascii="Simplified Arabic" w:eastAsia="Times New Roman" w:hAnsi="Simplified Arabic" w:cs="Simplified Arabic"/>
                <w:b/>
                <w:bCs/>
                <w:kern w:val="0"/>
                <w:sz w:val="28"/>
                <w:szCs w:val="28"/>
                <w:lang w:val="en-GB" w:eastAsia="en-GB"/>
                <w14:ligatures w14:val="none"/>
              </w:rPr>
            </w:pPr>
            <w:r w:rsidRPr="00BF65CE">
              <w:rPr>
                <w:rFonts w:ascii="Simplified Arabic" w:eastAsia="Times New Roman" w:hAnsi="Simplified Arabic" w:cs="Simplified Arabic"/>
                <w:b/>
                <w:bCs/>
                <w:kern w:val="0"/>
                <w:sz w:val="28"/>
                <w:szCs w:val="28"/>
                <w:rtl/>
                <w:lang w:val="en-GB" w:eastAsia="en-GB"/>
                <w14:ligatures w14:val="none"/>
              </w:rPr>
              <w:t>أوافق بشدة</w:t>
            </w:r>
            <w:r w:rsidRPr="00BF65CE">
              <w:rPr>
                <w:rFonts w:ascii="Simplified Arabic" w:eastAsia="Times New Roman" w:hAnsi="Simplified Arabic" w:cs="Simplified Arabic"/>
                <w:b/>
                <w:bCs/>
                <w:kern w:val="0"/>
                <w:sz w:val="28"/>
                <w:szCs w:val="28"/>
                <w:lang w:val="en-GB" w:eastAsia="en-GB"/>
                <w14:ligatures w14:val="none"/>
              </w:rPr>
              <w:t xml:space="preserve"> (5)</w:t>
            </w:r>
          </w:p>
        </w:tc>
      </w:tr>
      <w:tr w:rsidR="00D53E22" w:rsidRPr="00BF65CE" w14:paraId="1971EC40" w14:textId="77777777" w:rsidTr="009E4E7B">
        <w:trPr>
          <w:trHeight w:val="1387"/>
        </w:trPr>
        <w:tc>
          <w:tcPr>
            <w:tcW w:w="725" w:type="dxa"/>
            <w:hideMark/>
          </w:tcPr>
          <w:p w14:paraId="10AD15E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1</w:t>
            </w:r>
          </w:p>
        </w:tc>
        <w:tc>
          <w:tcPr>
            <w:tcW w:w="4900" w:type="dxa"/>
            <w:hideMark/>
          </w:tcPr>
          <w:p w14:paraId="5B2D24A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تتبع المستشفى سياسات مكتوبة وواضحة في استقطاب الموظفين الجدد</w:t>
            </w:r>
          </w:p>
        </w:tc>
        <w:tc>
          <w:tcPr>
            <w:tcW w:w="0" w:type="auto"/>
            <w:hideMark/>
          </w:tcPr>
          <w:p w14:paraId="6DE3817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BEB976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81C92DA"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6B3A8AC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FEA455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27B394FA" w14:textId="77777777" w:rsidTr="009E4E7B">
        <w:trPr>
          <w:trHeight w:val="1353"/>
        </w:trPr>
        <w:tc>
          <w:tcPr>
            <w:tcW w:w="725" w:type="dxa"/>
            <w:hideMark/>
          </w:tcPr>
          <w:p w14:paraId="4281131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2</w:t>
            </w:r>
          </w:p>
        </w:tc>
        <w:tc>
          <w:tcPr>
            <w:tcW w:w="4900" w:type="dxa"/>
            <w:hideMark/>
          </w:tcPr>
          <w:p w14:paraId="6CC629E7"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تعتمد إدارة المستشفى على تخطيط مسبق لتحديد احتياجات الكوادر البشرية</w:t>
            </w:r>
          </w:p>
        </w:tc>
        <w:tc>
          <w:tcPr>
            <w:tcW w:w="0" w:type="auto"/>
            <w:hideMark/>
          </w:tcPr>
          <w:p w14:paraId="094266E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3715EB0"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F4A726F"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614E6C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AE5A9E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3A3A581D" w14:textId="77777777" w:rsidTr="009E4E7B">
        <w:trPr>
          <w:trHeight w:val="1387"/>
        </w:trPr>
        <w:tc>
          <w:tcPr>
            <w:tcW w:w="725" w:type="dxa"/>
            <w:hideMark/>
          </w:tcPr>
          <w:p w14:paraId="2F670C0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3</w:t>
            </w:r>
          </w:p>
        </w:tc>
        <w:tc>
          <w:tcPr>
            <w:tcW w:w="4900" w:type="dxa"/>
            <w:hideMark/>
          </w:tcPr>
          <w:p w14:paraId="1F45D7F1"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توجد آليات إلكترونية تسهل عملية جذب المتقدمين للعمل في المستشفى</w:t>
            </w:r>
          </w:p>
        </w:tc>
        <w:tc>
          <w:tcPr>
            <w:tcW w:w="0" w:type="auto"/>
            <w:hideMark/>
          </w:tcPr>
          <w:p w14:paraId="5579F92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357A395"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142B6C3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60E4233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2B280AF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6F5A7D3E" w14:textId="77777777" w:rsidTr="009E4E7B">
        <w:trPr>
          <w:trHeight w:val="1353"/>
        </w:trPr>
        <w:tc>
          <w:tcPr>
            <w:tcW w:w="725" w:type="dxa"/>
            <w:hideMark/>
          </w:tcPr>
          <w:p w14:paraId="6B531FF5"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4</w:t>
            </w:r>
          </w:p>
        </w:tc>
        <w:tc>
          <w:tcPr>
            <w:tcW w:w="4900" w:type="dxa"/>
            <w:hideMark/>
          </w:tcPr>
          <w:p w14:paraId="6EFDE885"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يتم الإعلان عن الوظائف الشاغرة عبر منصات إلكترونية أو مواقع المستشفى الإلكترونية</w:t>
            </w:r>
          </w:p>
        </w:tc>
        <w:tc>
          <w:tcPr>
            <w:tcW w:w="0" w:type="auto"/>
            <w:hideMark/>
          </w:tcPr>
          <w:p w14:paraId="1DCE338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A9B633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063AE08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1BC515F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2E8FDB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65685E9C" w14:textId="77777777" w:rsidTr="009E4E7B">
        <w:trPr>
          <w:trHeight w:val="1387"/>
        </w:trPr>
        <w:tc>
          <w:tcPr>
            <w:tcW w:w="725" w:type="dxa"/>
            <w:hideMark/>
          </w:tcPr>
          <w:p w14:paraId="7D83A80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5</w:t>
            </w:r>
          </w:p>
        </w:tc>
        <w:tc>
          <w:tcPr>
            <w:tcW w:w="4900" w:type="dxa"/>
            <w:hideMark/>
          </w:tcPr>
          <w:p w14:paraId="3ED24C7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تراعي إدارة المستشفى خبرات وشهادات جميع المتقدمين عند عمليات التوظيف</w:t>
            </w:r>
          </w:p>
        </w:tc>
        <w:tc>
          <w:tcPr>
            <w:tcW w:w="0" w:type="auto"/>
            <w:hideMark/>
          </w:tcPr>
          <w:p w14:paraId="24CD54EB"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43F785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41F95C14"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164E527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5BD9776"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r w:rsidR="00D53E22" w:rsidRPr="00BF65CE" w14:paraId="1BBED3CE" w14:textId="77777777" w:rsidTr="009E4E7B">
        <w:trPr>
          <w:trHeight w:val="1353"/>
        </w:trPr>
        <w:tc>
          <w:tcPr>
            <w:tcW w:w="725" w:type="dxa"/>
            <w:hideMark/>
          </w:tcPr>
          <w:p w14:paraId="70027138"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lang w:val="en-GB" w:eastAsia="en-GB"/>
                <w14:ligatures w14:val="none"/>
              </w:rPr>
              <w:t>6</w:t>
            </w:r>
          </w:p>
        </w:tc>
        <w:tc>
          <w:tcPr>
            <w:tcW w:w="4900" w:type="dxa"/>
            <w:hideMark/>
          </w:tcPr>
          <w:p w14:paraId="28BE566C"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r w:rsidRPr="00BF65CE">
              <w:rPr>
                <w:rFonts w:ascii="Simplified Arabic" w:eastAsia="Times New Roman" w:hAnsi="Simplified Arabic" w:cs="Simplified Arabic"/>
                <w:kern w:val="0"/>
                <w:sz w:val="28"/>
                <w:szCs w:val="28"/>
                <w:rtl/>
                <w:lang w:val="en-GB" w:eastAsia="en-GB"/>
                <w14:ligatures w14:val="none"/>
              </w:rPr>
              <w:t>تتبنى سياسات المستشفى مبدأ العدالة وتكافؤ الفرص لجميع المرشحين للتوظيف</w:t>
            </w:r>
          </w:p>
        </w:tc>
        <w:tc>
          <w:tcPr>
            <w:tcW w:w="0" w:type="auto"/>
            <w:hideMark/>
          </w:tcPr>
          <w:p w14:paraId="2906486D"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7115333E"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55BD3D3"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3EDA1AB2"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c>
          <w:tcPr>
            <w:tcW w:w="0" w:type="auto"/>
            <w:hideMark/>
          </w:tcPr>
          <w:p w14:paraId="503EFEB9" w14:textId="77777777" w:rsidR="00D53E22" w:rsidRPr="00BF65CE" w:rsidRDefault="00D53E22" w:rsidP="009E4E7B">
            <w:pPr>
              <w:rPr>
                <w:rFonts w:ascii="Simplified Arabic" w:eastAsia="Times New Roman" w:hAnsi="Simplified Arabic" w:cs="Simplified Arabic"/>
                <w:kern w:val="0"/>
                <w:sz w:val="28"/>
                <w:szCs w:val="28"/>
                <w:lang w:val="en-GB" w:eastAsia="en-GB"/>
                <w14:ligatures w14:val="none"/>
              </w:rPr>
            </w:pPr>
          </w:p>
        </w:tc>
      </w:tr>
    </w:tbl>
    <w:p w14:paraId="02D03C17"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099DDEF4"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rPr>
      </w:pPr>
    </w:p>
    <w:p w14:paraId="087EEAA6" w14:textId="77777777" w:rsidR="00D53E22" w:rsidRPr="00BF65CE" w:rsidRDefault="00D53E22" w:rsidP="009E4E7B">
      <w:pPr>
        <w:pStyle w:val="ad"/>
        <w:bidi/>
        <w:spacing w:before="0" w:after="0" w:line="360" w:lineRule="auto"/>
        <w:jc w:val="both"/>
        <w:rPr>
          <w:rFonts w:ascii="Simplified Arabic" w:hAnsi="Simplified Arabic" w:cs="Simplified Arabic"/>
          <w:sz w:val="28"/>
          <w:szCs w:val="28"/>
          <w:rtl/>
        </w:rPr>
      </w:pPr>
    </w:p>
    <w:tbl>
      <w:tblPr>
        <w:tblpPr w:leftFromText="181" w:rightFromText="181" w:vertAnchor="page" w:horzAnchor="margin" w:tblpY="2041"/>
        <w:bidiVisual/>
        <w:tblW w:w="9864" w:type="dxa"/>
        <w:tblCellMar>
          <w:top w:w="15" w:type="dxa"/>
          <w:left w:w="15" w:type="dxa"/>
          <w:bottom w:w="15" w:type="dxa"/>
          <w:right w:w="15" w:type="dxa"/>
        </w:tblCellMar>
        <w:tblLook w:val="04A0" w:firstRow="1" w:lastRow="0" w:firstColumn="1" w:lastColumn="0" w:noHBand="0" w:noVBand="1"/>
      </w:tblPr>
      <w:tblGrid>
        <w:gridCol w:w="851"/>
        <w:gridCol w:w="4006"/>
        <w:gridCol w:w="1296"/>
        <w:gridCol w:w="1036"/>
        <w:gridCol w:w="825"/>
        <w:gridCol w:w="829"/>
        <w:gridCol w:w="1021"/>
      </w:tblGrid>
      <w:tr w:rsidR="00D53E22" w:rsidRPr="00BF65CE" w14:paraId="7AEC8A42" w14:textId="77777777" w:rsidTr="009E4E7B">
        <w:trPr>
          <w:trHeight w:val="1374"/>
          <w:tblHeader/>
        </w:trPr>
        <w:tc>
          <w:tcPr>
            <w:tcW w:w="85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7FC88AA"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lastRenderedPageBreak/>
              <w:t>رقم السؤال</w:t>
            </w:r>
          </w:p>
        </w:tc>
        <w:tc>
          <w:tcPr>
            <w:tcW w:w="400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E1385F9"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E079ECD"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640B0C"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A088667"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418FC59"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D95E7DA" w14:textId="77777777" w:rsidR="00D53E22" w:rsidRPr="00BF65CE" w:rsidRDefault="00D53E22" w:rsidP="009E4E7B">
            <w:pPr>
              <w:bidi w:val="0"/>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5A8C6C67"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80EDC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7</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02DCE9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أنظمة ذكاء اصطناعي متقدمة لإدارة وتحديث سجلات المرضى إلكترونيًا</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85C648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88924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60EA2A"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041976"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51934B"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74CAC7F8" w14:textId="77777777" w:rsidTr="009E4E7B">
        <w:trPr>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27822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8</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BA2BF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تساهم تطبيقات الذكاء الاصطناعي في دعم اتخاذ القرارات الطبية والإدارية داخل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34F22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3B8D9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B32973"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4A13F1"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EBE55D"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5BF62B81"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66753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9</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FABE1F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يساهم الذكاء الاصطناعي في تحسين جودة تبادل المعلومات بين الأقسام الطبية المختلفة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0803B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84490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F30D9A"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5DA849"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0DBC1B"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0CB87DDE" w14:textId="77777777" w:rsidTr="009E4E7B">
        <w:trPr>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EFC99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10</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152B2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أدى تطبيق تقنيات الذكاء الاصطناعي إلى تقليل معدل الأخطاء الإدارية في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E26333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87A4F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D0655C"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CD34CA"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6F1655"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r w:rsidR="00D53E22" w:rsidRPr="00BF65CE" w14:paraId="20E5C3CF" w14:textId="77777777" w:rsidTr="009E4E7B">
        <w:trPr>
          <w:trHeight w:val="1395"/>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C16FF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11</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F100B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تدعم نظم الذكاء الاصطناعي برامج التدريب والتطوير المستمر للموظفين بالمستشفى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B4555A"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3B2960"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CAF0CE2"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8E1F1B"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14C22F4" w14:textId="77777777" w:rsidR="00D53E22" w:rsidRPr="00BF65CE" w:rsidRDefault="00D53E22" w:rsidP="009E4E7B">
            <w:pPr>
              <w:bidi w:val="0"/>
              <w:spacing w:line="240" w:lineRule="auto"/>
              <w:rPr>
                <w:rFonts w:ascii="Times New Roman" w:eastAsia="Times New Roman" w:hAnsi="Times New Roman" w:cs="Times New Roman"/>
                <w:sz w:val="20"/>
                <w:szCs w:val="20"/>
                <w:lang w:val="en-GB" w:eastAsia="en-GB"/>
              </w:rPr>
            </w:pPr>
          </w:p>
        </w:tc>
      </w:tr>
    </w:tbl>
    <w:p w14:paraId="29959585" w14:textId="77777777" w:rsidR="00D53E22" w:rsidRPr="00BF65CE" w:rsidRDefault="00D53E22" w:rsidP="009E4E7B">
      <w:pPr>
        <w:pStyle w:val="ad"/>
        <w:bidi/>
        <w:spacing w:before="0" w:after="0" w:line="360" w:lineRule="auto"/>
        <w:jc w:val="center"/>
        <w:rPr>
          <w:rFonts w:ascii="Simplified Arabic" w:hAnsi="Simplified Arabic" w:cs="Simplified Arabic"/>
          <w:b/>
          <w:bCs/>
          <w:sz w:val="28"/>
          <w:szCs w:val="28"/>
          <w:lang w:val="en-GB"/>
        </w:rPr>
      </w:pPr>
      <w:r w:rsidRPr="00BF65CE">
        <w:rPr>
          <w:rFonts w:ascii="Simplified Arabic" w:hAnsi="Simplified Arabic" w:cs="Simplified Arabic" w:hint="cs"/>
          <w:b/>
          <w:sz w:val="28"/>
          <w:szCs w:val="28"/>
          <w:rtl/>
        </w:rPr>
        <w:t>القسم الفرعي الثاني: تطبيقات الذكاء الاصطناعي</w:t>
      </w:r>
    </w:p>
    <w:p w14:paraId="6A95E76E"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13DC582E"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072FA1CC"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p w14:paraId="495ED4B8"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sz w:val="28"/>
          <w:szCs w:val="28"/>
          <w:rtl/>
          <w:lang w:val="en-GB"/>
        </w:rPr>
      </w:pPr>
    </w:p>
    <w:tbl>
      <w:tblPr>
        <w:tblpPr w:leftFromText="181" w:rightFromText="181" w:vertAnchor="text" w:horzAnchor="margin" w:tblpXSpec="center" w:tblpY="855"/>
        <w:bidiVisual/>
        <w:tblW w:w="10320" w:type="dxa"/>
        <w:tblCellMar>
          <w:top w:w="15" w:type="dxa"/>
          <w:left w:w="15" w:type="dxa"/>
          <w:bottom w:w="15" w:type="dxa"/>
          <w:right w:w="15" w:type="dxa"/>
        </w:tblCellMar>
        <w:tblLook w:val="04A0" w:firstRow="1" w:lastRow="0" w:firstColumn="1" w:lastColumn="0" w:noHBand="0" w:noVBand="1"/>
      </w:tblPr>
      <w:tblGrid>
        <w:gridCol w:w="966"/>
        <w:gridCol w:w="4341"/>
        <w:gridCol w:w="1203"/>
        <w:gridCol w:w="974"/>
        <w:gridCol w:w="880"/>
        <w:gridCol w:w="884"/>
        <w:gridCol w:w="1072"/>
      </w:tblGrid>
      <w:tr w:rsidR="00D53E22" w:rsidRPr="00BF65CE" w14:paraId="5EC8EFD5" w14:textId="77777777" w:rsidTr="009E4E7B">
        <w:trPr>
          <w:trHeight w:val="1563"/>
          <w:tblHeader/>
        </w:trPr>
        <w:tc>
          <w:tcPr>
            <w:tcW w:w="96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61366DE"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lastRenderedPageBreak/>
              <w:t>رقم السؤال</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5E2C30"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4D20999"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 مطلقًا</w:t>
            </w:r>
            <w:r w:rsidRPr="00BF65CE">
              <w:rPr>
                <w:rFonts w:ascii="Arial" w:eastAsia="Times New Roman" w:hAnsi="Arial" w:cs="Arial"/>
                <w:b/>
                <w:bCs/>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8C71C75"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لا أوافق</w:t>
            </w:r>
            <w:r w:rsidRPr="00BF65CE">
              <w:rPr>
                <w:rFonts w:ascii="Arial" w:eastAsia="Times New Roman" w:hAnsi="Arial" w:cs="Arial"/>
                <w:b/>
                <w:bCs/>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99B813B"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محايد</w:t>
            </w:r>
            <w:r w:rsidRPr="00BF65CE">
              <w:rPr>
                <w:rFonts w:ascii="Arial" w:eastAsia="Times New Roman" w:hAnsi="Arial" w:cs="Arial"/>
                <w:b/>
                <w:bCs/>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DB98E46"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w:t>
            </w:r>
            <w:r w:rsidRPr="00BF65CE">
              <w:rPr>
                <w:rFonts w:ascii="Arial" w:eastAsia="Times New Roman" w:hAnsi="Arial" w:cs="Arial"/>
                <w:b/>
                <w:bCs/>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293E51A" w14:textId="77777777" w:rsidR="00D53E22" w:rsidRPr="00BF65CE" w:rsidRDefault="00D53E22" w:rsidP="009E4E7B">
            <w:pPr>
              <w:spacing w:line="240" w:lineRule="auto"/>
              <w:rPr>
                <w:rFonts w:ascii="Arial" w:eastAsia="Times New Roman" w:hAnsi="Arial" w:cs="Arial"/>
                <w:b/>
                <w:bCs/>
                <w:lang w:val="en-GB" w:eastAsia="en-GB"/>
              </w:rPr>
            </w:pPr>
            <w:r w:rsidRPr="00BF65CE">
              <w:rPr>
                <w:rFonts w:ascii="Arial" w:eastAsia="Times New Roman" w:hAnsi="Arial" w:cs="Arial"/>
                <w:b/>
                <w:bCs/>
                <w:rtl/>
                <w:lang w:val="en-GB" w:eastAsia="en-GB"/>
              </w:rPr>
              <w:t>أوافق بشدة</w:t>
            </w:r>
            <w:r w:rsidRPr="00BF65CE">
              <w:rPr>
                <w:rFonts w:ascii="Arial" w:eastAsia="Times New Roman" w:hAnsi="Arial" w:cs="Arial"/>
                <w:b/>
                <w:bCs/>
                <w:lang w:val="en-GB" w:eastAsia="en-GB"/>
              </w:rPr>
              <w:t xml:space="preserve"> (5)</w:t>
            </w:r>
          </w:p>
        </w:tc>
      </w:tr>
      <w:tr w:rsidR="00D53E22" w:rsidRPr="00BF65CE" w14:paraId="635B178C"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DA5B2F7"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12</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CF9FD9"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تشجع إدارة المستشفى الموظفين بصورة رسمية على تقديم أفكار جديدة ومبتكرة في بيئة العمل</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3413D0"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E8CD15"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10732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01E4E72"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B45CD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7342572A" w14:textId="77777777" w:rsidTr="009E4E7B">
        <w:trPr>
          <w:trHeight w:val="1587"/>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A33578"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13</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8470DBD"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تعتمد المستشفى نظامًا مؤسسيًا واضحًا لاستقبال ونشر الحلول الإبداعية بين جميع الأقسام</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E70100"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1E21B6"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000C40"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8E2B184"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C0EC9F"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672E4C02"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316EA6E"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14</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2C67B0"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تطبق المستشفى برامج رسمية لتكريم ومكافأة أصحاب الأفكار المبتكرة بين الموظفين</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9289BB"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3BA86A8"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CC8598"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2DD24A"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2E931F5"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5B82A84A"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626D7EB"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15</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36417D"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توفر إدارة المستشفى بيئة عمل محفزة تدعم التعاون الإبداعي من خلال تشجيع المبادرات المشتركة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7B40A2"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6B7A17"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037AC22"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D35DC8"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C19BCB"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r w:rsidR="00D53E22" w:rsidRPr="00BF65CE" w14:paraId="021EDB98" w14:textId="77777777" w:rsidTr="009E4E7B">
        <w:trPr>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E7F0E27"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lang w:val="en-GB" w:eastAsia="en-GB"/>
              </w:rPr>
              <w:t>16</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B4EBDE5" w14:textId="77777777" w:rsidR="00D53E22" w:rsidRPr="00BF65CE" w:rsidRDefault="00D53E22" w:rsidP="009E4E7B">
            <w:pPr>
              <w:spacing w:line="240" w:lineRule="auto"/>
              <w:rPr>
                <w:rFonts w:ascii="Arial" w:eastAsia="Times New Roman" w:hAnsi="Arial" w:cs="Arial"/>
                <w:lang w:val="en-GB" w:eastAsia="en-GB"/>
              </w:rPr>
            </w:pPr>
            <w:r w:rsidRPr="00BF65CE">
              <w:rPr>
                <w:rFonts w:ascii="Arial" w:eastAsia="Times New Roman" w:hAnsi="Arial" w:cs="Arial"/>
                <w:rtl/>
                <w:lang w:val="en-GB" w:eastAsia="en-GB"/>
              </w:rPr>
              <w:t>تخصص إدارة المستشفى وقتًا رسميًا للموظفين لتطوير واختبار أفكارهم الإبداعية داخل المؤسسة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D7B7DC" w14:textId="77777777" w:rsidR="00D53E22" w:rsidRPr="00BF65CE" w:rsidRDefault="00D53E22" w:rsidP="009E4E7B">
            <w:pPr>
              <w:spacing w:line="240" w:lineRule="auto"/>
              <w:rPr>
                <w:rFonts w:ascii="Arial" w:eastAsia="Times New Roman" w:hAnsi="Arial" w:cs="Arial"/>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B53935"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606843"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8CD384"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59B4E7D" w14:textId="77777777" w:rsidR="00D53E22" w:rsidRPr="00BF65CE" w:rsidRDefault="00D53E22" w:rsidP="009E4E7B">
            <w:pPr>
              <w:spacing w:line="240" w:lineRule="auto"/>
              <w:rPr>
                <w:rFonts w:ascii="Times New Roman" w:eastAsia="Times New Roman" w:hAnsi="Times New Roman" w:cs="Times New Roman"/>
                <w:sz w:val="20"/>
                <w:szCs w:val="20"/>
                <w:lang w:val="en-GB" w:eastAsia="en-GB"/>
              </w:rPr>
            </w:pPr>
          </w:p>
        </w:tc>
      </w:tr>
    </w:tbl>
    <w:p w14:paraId="74DB02F3" w14:textId="77777777" w:rsidR="00D53E22" w:rsidRPr="00BF65CE" w:rsidRDefault="00D53E22" w:rsidP="009E4E7B">
      <w:pPr>
        <w:pStyle w:val="ad"/>
        <w:bidi/>
        <w:spacing w:before="0" w:beforeAutospacing="0" w:after="0" w:afterAutospacing="0" w:line="360" w:lineRule="auto"/>
        <w:jc w:val="center"/>
        <w:rPr>
          <w:rFonts w:ascii="Simplified Arabic" w:hAnsi="Simplified Arabic" w:cs="Simplified Arabic"/>
          <w:b/>
          <w:bCs/>
          <w:sz w:val="28"/>
          <w:szCs w:val="28"/>
          <w:rtl/>
        </w:rPr>
      </w:pPr>
      <w:r w:rsidRPr="00BF65CE">
        <w:rPr>
          <w:rFonts w:ascii="Simplified Arabic" w:hAnsi="Simplified Arabic" w:cs="Simplified Arabic"/>
          <w:b/>
          <w:bCs/>
          <w:sz w:val="28"/>
          <w:szCs w:val="28"/>
          <w:rtl/>
          <w:lang w:val="en-GB"/>
        </w:rPr>
        <w:t>القسم الفرعي الثالث: الإبداع المؤسسي</w:t>
      </w:r>
    </w:p>
    <w:p w14:paraId="110D0EFB"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rPr>
      </w:pPr>
    </w:p>
    <w:p w14:paraId="3D047067"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p w14:paraId="6E58E240" w14:textId="77777777" w:rsidR="00D53E22" w:rsidRPr="00BF65CE" w:rsidRDefault="00D53E22" w:rsidP="009E4E7B">
      <w:pPr>
        <w:pStyle w:val="ad"/>
        <w:bidi/>
        <w:spacing w:before="0" w:beforeAutospacing="0" w:after="0" w:afterAutospacing="0" w:line="360" w:lineRule="auto"/>
        <w:jc w:val="both"/>
        <w:rPr>
          <w:rFonts w:ascii="Simplified Arabic" w:hAnsi="Simplified Arabic" w:cs="Simplified Arabic"/>
          <w:b/>
          <w:bCs/>
          <w:sz w:val="28"/>
          <w:szCs w:val="28"/>
          <w:rtl/>
          <w:lang w:val="en-GB"/>
        </w:rPr>
      </w:pPr>
    </w:p>
    <w:tbl>
      <w:tblPr>
        <w:tblpPr w:leftFromText="181" w:rightFromText="181" w:vertAnchor="page" w:horzAnchor="margin" w:tblpXSpec="center" w:tblpY="2388"/>
        <w:tblOverlap w:val="never"/>
        <w:bidiVisual/>
        <w:tblW w:w="10337" w:type="dxa"/>
        <w:tblCellMar>
          <w:top w:w="15" w:type="dxa"/>
          <w:left w:w="15" w:type="dxa"/>
          <w:bottom w:w="15" w:type="dxa"/>
          <w:right w:w="15" w:type="dxa"/>
        </w:tblCellMar>
        <w:tblLook w:val="04A0" w:firstRow="1" w:lastRow="0" w:firstColumn="1" w:lastColumn="0" w:noHBand="0" w:noVBand="1"/>
      </w:tblPr>
      <w:tblGrid>
        <w:gridCol w:w="883"/>
        <w:gridCol w:w="4723"/>
        <w:gridCol w:w="1332"/>
        <w:gridCol w:w="850"/>
        <w:gridCol w:w="864"/>
        <w:gridCol w:w="827"/>
        <w:gridCol w:w="858"/>
      </w:tblGrid>
      <w:tr w:rsidR="00D53E22" w:rsidRPr="00BF65CE" w14:paraId="4FEE6327" w14:textId="77777777" w:rsidTr="009E4E7B">
        <w:trPr>
          <w:trHeight w:val="1690"/>
          <w:tblHeader/>
        </w:trPr>
        <w:tc>
          <w:tcPr>
            <w:tcW w:w="88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2ECB25A"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lastRenderedPageBreak/>
              <w:t>رقم السؤال</w:t>
            </w:r>
          </w:p>
        </w:tc>
        <w:tc>
          <w:tcPr>
            <w:tcW w:w="472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D82FF56"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نص السؤال</w:t>
            </w:r>
          </w:p>
        </w:tc>
        <w:tc>
          <w:tcPr>
            <w:tcW w:w="133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8A5B83"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 مطلقًا</w:t>
            </w:r>
            <w:r w:rsidRPr="00BF65CE">
              <w:rPr>
                <w:rFonts w:ascii="Simplified Arabic" w:eastAsia="Times New Roman" w:hAnsi="Simplified Arabic" w:cs="Simplified Arabic"/>
                <w:b/>
                <w:bCs/>
                <w:sz w:val="28"/>
                <w:szCs w:val="28"/>
                <w:lang w:val="en-GB" w:eastAsia="en-GB"/>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7E57F30"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لا أوافق</w:t>
            </w:r>
            <w:r w:rsidRPr="00BF65CE">
              <w:rPr>
                <w:rFonts w:ascii="Simplified Arabic" w:eastAsia="Times New Roman" w:hAnsi="Simplified Arabic" w:cs="Simplified Arabic"/>
                <w:b/>
                <w:bCs/>
                <w:sz w:val="28"/>
                <w:szCs w:val="28"/>
                <w:lang w:val="en-GB" w:eastAsia="en-GB"/>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A4D4308"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محايد</w:t>
            </w:r>
            <w:r w:rsidRPr="00BF65CE">
              <w:rPr>
                <w:rFonts w:ascii="Simplified Arabic" w:eastAsia="Times New Roman" w:hAnsi="Simplified Arabic" w:cs="Simplified Arabic"/>
                <w:b/>
                <w:bCs/>
                <w:sz w:val="28"/>
                <w:szCs w:val="28"/>
                <w:lang w:val="en-GB" w:eastAsia="en-GB"/>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11167A4"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w:t>
            </w:r>
            <w:r w:rsidRPr="00BF65CE">
              <w:rPr>
                <w:rFonts w:ascii="Simplified Arabic" w:eastAsia="Times New Roman" w:hAnsi="Simplified Arabic" w:cs="Simplified Arabic"/>
                <w:b/>
                <w:bCs/>
                <w:sz w:val="28"/>
                <w:szCs w:val="28"/>
                <w:lang w:val="en-GB" w:eastAsia="en-GB"/>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3C1E155" w14:textId="77777777" w:rsidR="00D53E22" w:rsidRPr="00BF65CE" w:rsidRDefault="00D53E22" w:rsidP="009E4E7B">
            <w:pPr>
              <w:spacing w:line="240" w:lineRule="auto"/>
              <w:rPr>
                <w:rFonts w:ascii="Simplified Arabic" w:eastAsia="Times New Roman" w:hAnsi="Simplified Arabic" w:cs="Simplified Arabic"/>
                <w:b/>
                <w:bCs/>
                <w:sz w:val="28"/>
                <w:szCs w:val="28"/>
                <w:lang w:val="en-GB" w:eastAsia="en-GB"/>
              </w:rPr>
            </w:pPr>
            <w:r w:rsidRPr="00BF65CE">
              <w:rPr>
                <w:rFonts w:ascii="Simplified Arabic" w:eastAsia="Times New Roman" w:hAnsi="Simplified Arabic" w:cs="Simplified Arabic"/>
                <w:b/>
                <w:bCs/>
                <w:sz w:val="28"/>
                <w:szCs w:val="28"/>
                <w:rtl/>
                <w:lang w:val="en-GB" w:eastAsia="en-GB"/>
              </w:rPr>
              <w:t>أوافق بشدة</w:t>
            </w:r>
            <w:r w:rsidRPr="00BF65CE">
              <w:rPr>
                <w:rFonts w:ascii="Simplified Arabic" w:eastAsia="Times New Roman" w:hAnsi="Simplified Arabic" w:cs="Simplified Arabic"/>
                <w:b/>
                <w:bCs/>
                <w:sz w:val="28"/>
                <w:szCs w:val="28"/>
                <w:lang w:val="en-GB" w:eastAsia="en-GB"/>
              </w:rPr>
              <w:t xml:space="preserve"> (5)</w:t>
            </w:r>
          </w:p>
        </w:tc>
      </w:tr>
      <w:tr w:rsidR="00D53E22" w:rsidRPr="00BF65CE" w14:paraId="4749957F"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5EB0E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17</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B455D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تحقق المستشفى مستويات مرتفعة في جودة الأداء المؤسسي ومعدلات إنجاز الأهداف السنوية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4D27F6"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02FDE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D46D1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769550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EFF9A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29CE1570" w14:textId="77777777" w:rsidTr="009E4E7B">
        <w:trPr>
          <w:trHeight w:val="1716"/>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F8FF7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18</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76CE893"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تحرص إدارة المستشفى على تطبيق برامج تدريب مستمرة لتطوير الموارد البشرية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230461"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26BC0D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AD13259"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685560D"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4302C5"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06A5C2EB"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219234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19</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6C5B5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تقدم المستشفى خدمات صحية متقدمة تتفوق على المعايير الوطنية للجودة الطبية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F85FE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834E1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58E01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9AA51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6BCDE3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591F5FBF"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336A2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20</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F7CC15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تعتمد المستشفى نظامًا دوريًا لمتابعة رضا المراجعين وتلقي وتلبية احتياجاتهم بشكل فعال</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114E7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2FCFA3C"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18AE0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DA3C4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467C68"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r w:rsidR="00D53E22" w:rsidRPr="00BF65CE" w14:paraId="5F6EBEA0" w14:textId="77777777" w:rsidTr="009E4E7B">
        <w:trPr>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A9048B"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lang w:val="en-GB" w:eastAsia="en-GB"/>
              </w:rPr>
              <w:t>21</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6202064"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r w:rsidRPr="00BF65CE">
              <w:rPr>
                <w:rFonts w:ascii="Simplified Arabic" w:eastAsia="Times New Roman" w:hAnsi="Simplified Arabic" w:cs="Simplified Arabic"/>
                <w:sz w:val="28"/>
                <w:szCs w:val="28"/>
                <w:rtl/>
                <w:lang w:val="en-GB" w:eastAsia="en-GB"/>
              </w:rPr>
              <w:t>تلتزم إدارة المستشفى بمراجعة وتحديث الأنظمة التشغيلية بشكل منتظم لتحقيق استدامة التميز</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9875247"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76C3F3E"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C2F20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7CB1152"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4641B0F" w14:textId="77777777" w:rsidR="00D53E22" w:rsidRPr="00BF65CE" w:rsidRDefault="00D53E22" w:rsidP="009E4E7B">
            <w:pPr>
              <w:spacing w:line="240" w:lineRule="auto"/>
              <w:rPr>
                <w:rFonts w:ascii="Simplified Arabic" w:eastAsia="Times New Roman" w:hAnsi="Simplified Arabic" w:cs="Simplified Arabic"/>
                <w:sz w:val="28"/>
                <w:szCs w:val="28"/>
                <w:lang w:val="en-GB" w:eastAsia="en-GB"/>
              </w:rPr>
            </w:pPr>
          </w:p>
        </w:tc>
      </w:tr>
    </w:tbl>
    <w:p w14:paraId="3693F876" w14:textId="77777777" w:rsidR="00D53E22" w:rsidRPr="00BF65CE" w:rsidRDefault="00D53E22" w:rsidP="009E4E7B">
      <w:pPr>
        <w:pStyle w:val="ad"/>
        <w:bidi/>
        <w:spacing w:before="0" w:after="0" w:line="360" w:lineRule="auto"/>
        <w:jc w:val="center"/>
        <w:rPr>
          <w:rFonts w:ascii="Simplified Arabic" w:hAnsi="Simplified Arabic" w:cs="Simplified Arabic"/>
          <w:b/>
          <w:bCs/>
          <w:sz w:val="28"/>
          <w:szCs w:val="28"/>
          <w:rtl/>
        </w:rPr>
      </w:pPr>
      <w:r w:rsidRPr="00BF65CE">
        <w:rPr>
          <w:rFonts w:ascii="Simplified Arabic" w:hAnsi="Simplified Arabic" w:cs="Simplified Arabic"/>
          <w:b/>
          <w:bCs/>
          <w:sz w:val="28"/>
          <w:szCs w:val="28"/>
          <w:rtl/>
          <w:lang w:val="en-GB"/>
        </w:rPr>
        <w:t>القسم الفرعي الرابع: التميز المؤسسي</w:t>
      </w:r>
    </w:p>
    <w:p w14:paraId="65AF95C4" w14:textId="77777777" w:rsidR="00B83703" w:rsidRPr="00BF65CE" w:rsidRDefault="00B83703" w:rsidP="002071EC">
      <w:pPr>
        <w:spacing w:before="600"/>
        <w:jc w:val="both"/>
        <w:rPr>
          <w:rFonts w:ascii="Simplified Arabic" w:hAnsi="Simplified Arabic" w:cs="Simplified Arabic"/>
          <w:rtl/>
        </w:rPr>
      </w:pPr>
    </w:p>
    <w:p w14:paraId="1C11644F" w14:textId="77777777" w:rsidR="00E457CD" w:rsidRPr="00BF65CE" w:rsidRDefault="00E457CD" w:rsidP="000C53F2">
      <w:pPr>
        <w:bidi w:val="0"/>
        <w:rPr>
          <w:rFonts w:ascii="Simplified Arabic" w:hAnsi="Simplified Arabic" w:cs="Simplified Arabic"/>
        </w:rPr>
      </w:pPr>
    </w:p>
    <w:sectPr w:rsidR="00E457CD" w:rsidRPr="00BF65CE">
      <w:footerReference w:type="default" r:id="rId47"/>
      <w:pgSz w:w="11906" w:h="16838"/>
      <w:pgMar w:top="1417" w:right="1701" w:bottom="1417" w:left="1417"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2E8A9" w14:textId="77777777" w:rsidR="000B38FA" w:rsidRDefault="000B38FA">
      <w:pPr>
        <w:spacing w:line="240" w:lineRule="auto"/>
      </w:pPr>
      <w:r>
        <w:separator/>
      </w:r>
    </w:p>
  </w:endnote>
  <w:endnote w:type="continuationSeparator" w:id="0">
    <w:p w14:paraId="4A051B89" w14:textId="77777777" w:rsidR="000B38FA" w:rsidRDefault="000B3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30E0F" w14:textId="77777777" w:rsidR="008A3F6D" w:rsidRDefault="008A3F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20176473"/>
      <w:docPartObj>
        <w:docPartGallery w:val="Page Numbers (Bottom of Page)"/>
        <w:docPartUnique/>
      </w:docPartObj>
    </w:sdtPr>
    <w:sdtEndPr>
      <w:rPr>
        <w:noProof/>
      </w:rPr>
    </w:sdtEndPr>
    <w:sdtContent>
      <w:p w14:paraId="194F6C03" w14:textId="77777777" w:rsidR="00DE7D61" w:rsidRDefault="00DE7D61">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16EF7108" w14:textId="77777777" w:rsidR="00DE7D61" w:rsidRDefault="00DE7D61">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2D29F" w14:textId="77777777" w:rsidR="00E457CD" w:rsidRPr="00463479" w:rsidRDefault="00014347">
    <w:pPr>
      <w:jc w:val="center"/>
      <w:rPr>
        <w:rFonts w:ascii="Times New Roman" w:hAnsi="Times New Roman"/>
      </w:rPr>
    </w:pPr>
    <w:r>
      <w:rPr>
        <w:sz w:val="22"/>
        <w:szCs w:val="22"/>
      </w:rPr>
      <w:fldChar w:fldCharType="begin"/>
    </w:r>
    <w:r>
      <w:rPr>
        <w:sz w:val="22"/>
        <w:szCs w:val="22"/>
      </w:rPr>
      <w:instrText>PAGE</w:instrText>
    </w:r>
    <w:r>
      <w:rPr>
        <w:sz w:val="22"/>
        <w:szCs w:val="22"/>
      </w:rPr>
      <w:fldChar w:fldCharType="separate"/>
    </w:r>
    <w:r w:rsidR="002071EC">
      <w:rPr>
        <w:noProof/>
        <w:sz w:val="22"/>
        <w:szCs w:val="22"/>
        <w:rtl/>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9589E" w14:textId="77777777" w:rsidR="000B38FA" w:rsidRDefault="000B38FA">
      <w:pPr>
        <w:spacing w:line="240" w:lineRule="auto"/>
      </w:pPr>
      <w:r>
        <w:separator/>
      </w:r>
    </w:p>
  </w:footnote>
  <w:footnote w:type="continuationSeparator" w:id="0">
    <w:p w14:paraId="6F4851CA" w14:textId="77777777" w:rsidR="000B38FA" w:rsidRDefault="000B3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6767F" w14:textId="77777777" w:rsidR="008A3F6D" w:rsidRDefault="008A3F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F1BCB" w14:textId="77777777" w:rsidR="00DE7D61" w:rsidRDefault="00DE7D6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0588"/>
    <w:multiLevelType w:val="hybridMultilevel"/>
    <w:tmpl w:val="E8605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02C77"/>
    <w:multiLevelType w:val="hybridMultilevel"/>
    <w:tmpl w:val="33967B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7724641"/>
    <w:multiLevelType w:val="hybridMultilevel"/>
    <w:tmpl w:val="DCE0F6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3AF4223"/>
    <w:multiLevelType w:val="hybridMultilevel"/>
    <w:tmpl w:val="FFFFFFFF"/>
    <w:lvl w:ilvl="0" w:tplc="F43640A2">
      <w:start w:val="1"/>
      <w:numFmt w:val="bullet"/>
      <w:lvlText w:val="●"/>
      <w:lvlJc w:val="left"/>
      <w:pPr>
        <w:ind w:left="720" w:hanging="360"/>
      </w:pPr>
    </w:lvl>
    <w:lvl w:ilvl="1" w:tplc="F2287F78">
      <w:start w:val="1"/>
      <w:numFmt w:val="bullet"/>
      <w:lvlText w:val="○"/>
      <w:lvlJc w:val="left"/>
      <w:pPr>
        <w:ind w:left="1440" w:hanging="360"/>
      </w:pPr>
    </w:lvl>
    <w:lvl w:ilvl="2" w:tplc="870C3ECE">
      <w:start w:val="1"/>
      <w:numFmt w:val="bullet"/>
      <w:lvlText w:val="■"/>
      <w:lvlJc w:val="left"/>
      <w:pPr>
        <w:ind w:left="2160" w:hanging="360"/>
      </w:pPr>
    </w:lvl>
    <w:lvl w:ilvl="3" w:tplc="BE74EEFA">
      <w:start w:val="1"/>
      <w:numFmt w:val="bullet"/>
      <w:lvlText w:val="●"/>
      <w:lvlJc w:val="left"/>
      <w:pPr>
        <w:ind w:left="2880" w:hanging="360"/>
      </w:pPr>
    </w:lvl>
    <w:lvl w:ilvl="4" w:tplc="7CD42FC2">
      <w:start w:val="1"/>
      <w:numFmt w:val="bullet"/>
      <w:lvlText w:val="○"/>
      <w:lvlJc w:val="left"/>
      <w:pPr>
        <w:ind w:left="3600" w:hanging="360"/>
      </w:pPr>
    </w:lvl>
    <w:lvl w:ilvl="5" w:tplc="7DB2A92E">
      <w:start w:val="1"/>
      <w:numFmt w:val="bullet"/>
      <w:lvlText w:val="■"/>
      <w:lvlJc w:val="left"/>
      <w:pPr>
        <w:ind w:left="4320" w:hanging="360"/>
      </w:pPr>
    </w:lvl>
    <w:lvl w:ilvl="6" w:tplc="B6A6A00E">
      <w:start w:val="1"/>
      <w:numFmt w:val="bullet"/>
      <w:lvlText w:val="●"/>
      <w:lvlJc w:val="left"/>
      <w:pPr>
        <w:ind w:left="5040" w:hanging="360"/>
      </w:pPr>
    </w:lvl>
    <w:lvl w:ilvl="7" w:tplc="ACF254B0">
      <w:start w:val="1"/>
      <w:numFmt w:val="bullet"/>
      <w:lvlText w:val="●"/>
      <w:lvlJc w:val="left"/>
      <w:pPr>
        <w:ind w:left="5760" w:hanging="360"/>
      </w:pPr>
    </w:lvl>
    <w:lvl w:ilvl="8" w:tplc="493AC776">
      <w:start w:val="1"/>
      <w:numFmt w:val="bullet"/>
      <w:lvlText w:val="●"/>
      <w:lvlJc w:val="left"/>
      <w:pPr>
        <w:ind w:left="6480" w:hanging="360"/>
      </w:pPr>
    </w:lvl>
  </w:abstractNum>
  <w:abstractNum w:abstractNumId="4" w15:restartNumberingAfterBreak="0">
    <w:nsid w:val="15702BF7"/>
    <w:multiLevelType w:val="hybridMultilevel"/>
    <w:tmpl w:val="87403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1B36C4"/>
    <w:multiLevelType w:val="hybridMultilevel"/>
    <w:tmpl w:val="51E401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A5A6050"/>
    <w:multiLevelType w:val="hybridMultilevel"/>
    <w:tmpl w:val="31B8A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F7A6770"/>
    <w:multiLevelType w:val="hybridMultilevel"/>
    <w:tmpl w:val="F22AF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A8F074A"/>
    <w:multiLevelType w:val="hybridMultilevel"/>
    <w:tmpl w:val="9C1A3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EDD3094"/>
    <w:multiLevelType w:val="hybridMultilevel"/>
    <w:tmpl w:val="C602E3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C863D8B"/>
    <w:multiLevelType w:val="hybridMultilevel"/>
    <w:tmpl w:val="D1E24146"/>
    <w:lvl w:ilvl="0" w:tplc="421A43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E4F4F82"/>
    <w:multiLevelType w:val="hybridMultilevel"/>
    <w:tmpl w:val="FFFFFFFF"/>
    <w:lvl w:ilvl="0" w:tplc="E71A6E66">
      <w:start w:val="1"/>
      <w:numFmt w:val="bullet"/>
      <w:lvlText w:val="•"/>
      <w:lvlJc w:val="right"/>
      <w:pPr>
        <w:bidi/>
        <w:ind w:right="600" w:hanging="300"/>
      </w:pPr>
    </w:lvl>
    <w:lvl w:ilvl="1" w:tplc="A9581A58">
      <w:numFmt w:val="decimal"/>
      <w:lvlText w:val=""/>
      <w:lvlJc w:val="left"/>
    </w:lvl>
    <w:lvl w:ilvl="2" w:tplc="1F7AF7A8">
      <w:numFmt w:val="decimal"/>
      <w:lvlText w:val=""/>
      <w:lvlJc w:val="left"/>
    </w:lvl>
    <w:lvl w:ilvl="3" w:tplc="81865912">
      <w:numFmt w:val="decimal"/>
      <w:lvlText w:val=""/>
      <w:lvlJc w:val="left"/>
    </w:lvl>
    <w:lvl w:ilvl="4" w:tplc="6EE25322">
      <w:numFmt w:val="decimal"/>
      <w:lvlText w:val=""/>
      <w:lvlJc w:val="left"/>
    </w:lvl>
    <w:lvl w:ilvl="5" w:tplc="940ADA46">
      <w:numFmt w:val="decimal"/>
      <w:lvlText w:val=""/>
      <w:lvlJc w:val="left"/>
    </w:lvl>
    <w:lvl w:ilvl="6" w:tplc="48D69690">
      <w:numFmt w:val="decimal"/>
      <w:lvlText w:val=""/>
      <w:lvlJc w:val="left"/>
    </w:lvl>
    <w:lvl w:ilvl="7" w:tplc="BABE8E76">
      <w:numFmt w:val="decimal"/>
      <w:lvlText w:val=""/>
      <w:lvlJc w:val="left"/>
    </w:lvl>
    <w:lvl w:ilvl="8" w:tplc="DD5CBD44">
      <w:numFmt w:val="decimal"/>
      <w:lvlText w:val=""/>
      <w:lvlJc w:val="left"/>
    </w:lvl>
  </w:abstractNum>
  <w:abstractNum w:abstractNumId="12" w15:restartNumberingAfterBreak="0">
    <w:nsid w:val="60BF41A8"/>
    <w:multiLevelType w:val="hybridMultilevel"/>
    <w:tmpl w:val="476C46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6B16067"/>
    <w:multiLevelType w:val="hybridMultilevel"/>
    <w:tmpl w:val="53741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D5514E"/>
    <w:multiLevelType w:val="hybridMultilevel"/>
    <w:tmpl w:val="E9C83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BD81B07"/>
    <w:multiLevelType w:val="hybridMultilevel"/>
    <w:tmpl w:val="385A27A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1510E5F"/>
    <w:multiLevelType w:val="hybridMultilevel"/>
    <w:tmpl w:val="EFDC5F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2A90029"/>
    <w:multiLevelType w:val="hybridMultilevel"/>
    <w:tmpl w:val="91482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5DA0BE4"/>
    <w:multiLevelType w:val="hybridMultilevel"/>
    <w:tmpl w:val="BC8E0270"/>
    <w:lvl w:ilvl="0" w:tplc="498E3BDC">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9419599">
    <w:abstractNumId w:val="3"/>
    <w:lvlOverride w:ilvl="0">
      <w:startOverride w:val="1"/>
    </w:lvlOverride>
  </w:num>
  <w:num w:numId="2" w16cid:durableId="1706325915">
    <w:abstractNumId w:val="11"/>
    <w:lvlOverride w:ilvl="0">
      <w:startOverride w:val="1"/>
    </w:lvlOverride>
  </w:num>
  <w:num w:numId="3" w16cid:durableId="700207565">
    <w:abstractNumId w:val="1"/>
  </w:num>
  <w:num w:numId="4" w16cid:durableId="439036640">
    <w:abstractNumId w:val="5"/>
  </w:num>
  <w:num w:numId="5" w16cid:durableId="389035007">
    <w:abstractNumId w:val="8"/>
  </w:num>
  <w:num w:numId="6" w16cid:durableId="716314353">
    <w:abstractNumId w:val="13"/>
  </w:num>
  <w:num w:numId="7" w16cid:durableId="1573589291">
    <w:abstractNumId w:val="10"/>
  </w:num>
  <w:num w:numId="8" w16cid:durableId="345865687">
    <w:abstractNumId w:val="9"/>
  </w:num>
  <w:num w:numId="9" w16cid:durableId="1577206714">
    <w:abstractNumId w:val="7"/>
  </w:num>
  <w:num w:numId="10" w16cid:durableId="1519081105">
    <w:abstractNumId w:val="14"/>
  </w:num>
  <w:num w:numId="11" w16cid:durableId="305549753">
    <w:abstractNumId w:val="2"/>
  </w:num>
  <w:num w:numId="12" w16cid:durableId="1155101535">
    <w:abstractNumId w:val="0"/>
  </w:num>
  <w:num w:numId="13" w16cid:durableId="656961882">
    <w:abstractNumId w:val="12"/>
  </w:num>
  <w:num w:numId="14" w16cid:durableId="1765681979">
    <w:abstractNumId w:val="15"/>
  </w:num>
  <w:num w:numId="15" w16cid:durableId="160001388">
    <w:abstractNumId w:val="18"/>
  </w:num>
  <w:num w:numId="16" w16cid:durableId="170993909">
    <w:abstractNumId w:val="16"/>
  </w:num>
  <w:num w:numId="17" w16cid:durableId="637303177">
    <w:abstractNumId w:val="17"/>
  </w:num>
  <w:num w:numId="18" w16cid:durableId="399642052">
    <w:abstractNumId w:val="6"/>
  </w:num>
  <w:num w:numId="19" w16cid:durableId="8979399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57CD"/>
    <w:rsid w:val="00003072"/>
    <w:rsid w:val="00014347"/>
    <w:rsid w:val="0001707E"/>
    <w:rsid w:val="000301E0"/>
    <w:rsid w:val="00076AEE"/>
    <w:rsid w:val="0008404F"/>
    <w:rsid w:val="0008503B"/>
    <w:rsid w:val="00087BB0"/>
    <w:rsid w:val="000A57F2"/>
    <w:rsid w:val="000B0C77"/>
    <w:rsid w:val="000B38FA"/>
    <w:rsid w:val="000C160B"/>
    <w:rsid w:val="000C53F2"/>
    <w:rsid w:val="000D06EF"/>
    <w:rsid w:val="000F05C8"/>
    <w:rsid w:val="00105B6E"/>
    <w:rsid w:val="00106296"/>
    <w:rsid w:val="001246B3"/>
    <w:rsid w:val="00145E6B"/>
    <w:rsid w:val="001700C5"/>
    <w:rsid w:val="00181025"/>
    <w:rsid w:val="001823A7"/>
    <w:rsid w:val="00185522"/>
    <w:rsid w:val="00192417"/>
    <w:rsid w:val="001A664C"/>
    <w:rsid w:val="001B134D"/>
    <w:rsid w:val="001C72F7"/>
    <w:rsid w:val="001D67A5"/>
    <w:rsid w:val="002071EC"/>
    <w:rsid w:val="00207734"/>
    <w:rsid w:val="00221BC3"/>
    <w:rsid w:val="00236B40"/>
    <w:rsid w:val="00260B38"/>
    <w:rsid w:val="002712C3"/>
    <w:rsid w:val="00292926"/>
    <w:rsid w:val="0029524F"/>
    <w:rsid w:val="002A46A7"/>
    <w:rsid w:val="002A6A64"/>
    <w:rsid w:val="002A6B91"/>
    <w:rsid w:val="002C4B95"/>
    <w:rsid w:val="002C5557"/>
    <w:rsid w:val="002E268B"/>
    <w:rsid w:val="002F45AA"/>
    <w:rsid w:val="00314EA5"/>
    <w:rsid w:val="00315503"/>
    <w:rsid w:val="003331A0"/>
    <w:rsid w:val="00337569"/>
    <w:rsid w:val="003435DC"/>
    <w:rsid w:val="0036182C"/>
    <w:rsid w:val="003A673B"/>
    <w:rsid w:val="00406436"/>
    <w:rsid w:val="0040664C"/>
    <w:rsid w:val="004136EB"/>
    <w:rsid w:val="00453EC1"/>
    <w:rsid w:val="00463479"/>
    <w:rsid w:val="00480FFC"/>
    <w:rsid w:val="00484049"/>
    <w:rsid w:val="004A4EF6"/>
    <w:rsid w:val="004A6920"/>
    <w:rsid w:val="004B233C"/>
    <w:rsid w:val="004C501F"/>
    <w:rsid w:val="004E02A2"/>
    <w:rsid w:val="00513F4D"/>
    <w:rsid w:val="005200BD"/>
    <w:rsid w:val="005272ED"/>
    <w:rsid w:val="00536948"/>
    <w:rsid w:val="00551077"/>
    <w:rsid w:val="00560A26"/>
    <w:rsid w:val="005807F5"/>
    <w:rsid w:val="00584EEB"/>
    <w:rsid w:val="005D094F"/>
    <w:rsid w:val="00600E29"/>
    <w:rsid w:val="00605E70"/>
    <w:rsid w:val="00617EAA"/>
    <w:rsid w:val="00626D1C"/>
    <w:rsid w:val="00631C07"/>
    <w:rsid w:val="0064692C"/>
    <w:rsid w:val="006607D4"/>
    <w:rsid w:val="00690A2C"/>
    <w:rsid w:val="006C5D3F"/>
    <w:rsid w:val="006D5D86"/>
    <w:rsid w:val="006F2839"/>
    <w:rsid w:val="00721B85"/>
    <w:rsid w:val="007269BD"/>
    <w:rsid w:val="00753403"/>
    <w:rsid w:val="00764EAC"/>
    <w:rsid w:val="00764ED9"/>
    <w:rsid w:val="007654A1"/>
    <w:rsid w:val="00786407"/>
    <w:rsid w:val="007A4ACA"/>
    <w:rsid w:val="007B4C17"/>
    <w:rsid w:val="007D28E1"/>
    <w:rsid w:val="007E1F43"/>
    <w:rsid w:val="007F255E"/>
    <w:rsid w:val="007F75B1"/>
    <w:rsid w:val="00803B2E"/>
    <w:rsid w:val="008115A2"/>
    <w:rsid w:val="008200B1"/>
    <w:rsid w:val="00820C21"/>
    <w:rsid w:val="0082537A"/>
    <w:rsid w:val="00866B6D"/>
    <w:rsid w:val="008770D1"/>
    <w:rsid w:val="00896995"/>
    <w:rsid w:val="0089708C"/>
    <w:rsid w:val="008A3F6D"/>
    <w:rsid w:val="008A4D0F"/>
    <w:rsid w:val="008E651B"/>
    <w:rsid w:val="008E7A99"/>
    <w:rsid w:val="00906149"/>
    <w:rsid w:val="0091363B"/>
    <w:rsid w:val="0093355F"/>
    <w:rsid w:val="009472F1"/>
    <w:rsid w:val="0097427F"/>
    <w:rsid w:val="009C5051"/>
    <w:rsid w:val="009C60BC"/>
    <w:rsid w:val="009E2AFE"/>
    <w:rsid w:val="009E547A"/>
    <w:rsid w:val="009E5BD4"/>
    <w:rsid w:val="00A03DF0"/>
    <w:rsid w:val="00A12B1E"/>
    <w:rsid w:val="00A137F6"/>
    <w:rsid w:val="00A143EF"/>
    <w:rsid w:val="00A16509"/>
    <w:rsid w:val="00A22D59"/>
    <w:rsid w:val="00A236AF"/>
    <w:rsid w:val="00A33639"/>
    <w:rsid w:val="00A67584"/>
    <w:rsid w:val="00A72024"/>
    <w:rsid w:val="00A75FF0"/>
    <w:rsid w:val="00A91E06"/>
    <w:rsid w:val="00AA02D0"/>
    <w:rsid w:val="00AA0E23"/>
    <w:rsid w:val="00AA4A75"/>
    <w:rsid w:val="00AB3548"/>
    <w:rsid w:val="00AC4688"/>
    <w:rsid w:val="00AC6394"/>
    <w:rsid w:val="00AD0570"/>
    <w:rsid w:val="00AD757E"/>
    <w:rsid w:val="00B6027B"/>
    <w:rsid w:val="00B67B7F"/>
    <w:rsid w:val="00B702E4"/>
    <w:rsid w:val="00B83703"/>
    <w:rsid w:val="00B96CE1"/>
    <w:rsid w:val="00BA2FAF"/>
    <w:rsid w:val="00BB3141"/>
    <w:rsid w:val="00BB33D6"/>
    <w:rsid w:val="00BE3A8A"/>
    <w:rsid w:val="00BF65CE"/>
    <w:rsid w:val="00C527E4"/>
    <w:rsid w:val="00C64CF0"/>
    <w:rsid w:val="00C65D05"/>
    <w:rsid w:val="00C74F57"/>
    <w:rsid w:val="00C75DEC"/>
    <w:rsid w:val="00C81C9F"/>
    <w:rsid w:val="00C86195"/>
    <w:rsid w:val="00C905EA"/>
    <w:rsid w:val="00CC1985"/>
    <w:rsid w:val="00D31A7A"/>
    <w:rsid w:val="00D34B1F"/>
    <w:rsid w:val="00D45CA3"/>
    <w:rsid w:val="00D53E22"/>
    <w:rsid w:val="00D578AA"/>
    <w:rsid w:val="00D61B1A"/>
    <w:rsid w:val="00D61BBC"/>
    <w:rsid w:val="00D6650C"/>
    <w:rsid w:val="00D83483"/>
    <w:rsid w:val="00DA00EA"/>
    <w:rsid w:val="00DB76C7"/>
    <w:rsid w:val="00DD7DC2"/>
    <w:rsid w:val="00DE7D61"/>
    <w:rsid w:val="00DF326B"/>
    <w:rsid w:val="00E14927"/>
    <w:rsid w:val="00E20D9A"/>
    <w:rsid w:val="00E245B7"/>
    <w:rsid w:val="00E457CD"/>
    <w:rsid w:val="00E600E3"/>
    <w:rsid w:val="00E608AE"/>
    <w:rsid w:val="00E72BEC"/>
    <w:rsid w:val="00E80620"/>
    <w:rsid w:val="00E86FA7"/>
    <w:rsid w:val="00EA377D"/>
    <w:rsid w:val="00EA44C6"/>
    <w:rsid w:val="00EC7488"/>
    <w:rsid w:val="00EE504B"/>
    <w:rsid w:val="00EF56BD"/>
    <w:rsid w:val="00EF66F8"/>
    <w:rsid w:val="00F22C60"/>
    <w:rsid w:val="00F33FE4"/>
    <w:rsid w:val="00F626C5"/>
    <w:rsid w:val="00F83CD1"/>
    <w:rsid w:val="00F92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458AD"/>
  <w15:docId w15:val="{D464238A-729A-D244-B9E2-72113DDB7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aditional Arabic" w:eastAsia="Traditional Arabic" w:hAnsi="Traditional Arabic" w:cs="Traditional Arabic"/>
        <w:sz w:val="24"/>
        <w:szCs w:val="24"/>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2"/>
    <w:link w:val="1Char"/>
    <w:uiPriority w:val="9"/>
    <w:qFormat/>
    <w:rsid w:val="00DE7D61"/>
    <w:pPr>
      <w:outlineLvl w:val="0"/>
    </w:pPr>
  </w:style>
  <w:style w:type="paragraph" w:styleId="2">
    <w:name w:val="heading 2"/>
    <w:uiPriority w:val="9"/>
    <w:unhideWhenUsed/>
    <w:qFormat/>
    <w:rsid w:val="00DE7D61"/>
    <w:pPr>
      <w:bidi/>
      <w:spacing w:before="220" w:after="120"/>
      <w:outlineLvl w:val="1"/>
    </w:pPr>
    <w:rPr>
      <w:rFonts w:ascii="Simplified Arabic" w:hAnsi="Simplified Arabic"/>
      <w:b/>
      <w:bCs/>
      <w:color w:val="1F3864"/>
      <w:sz w:val="28"/>
      <w:szCs w:val="32"/>
    </w:rPr>
  </w:style>
  <w:style w:type="paragraph" w:styleId="3">
    <w:name w:val="heading 3"/>
    <w:basedOn w:val="1"/>
    <w:uiPriority w:val="9"/>
    <w:unhideWhenUsed/>
    <w:qFormat/>
    <w:rsid w:val="00DE7D61"/>
    <w:pPr>
      <w:outlineLvl w:val="2"/>
    </w:p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uiPriority w:val="34"/>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pPr>
      <w:spacing w:line="240" w:lineRule="auto"/>
    </w:pPr>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pPr>
      <w:spacing w:line="240" w:lineRule="auto"/>
    </w:pPr>
    <w:rPr>
      <w:sz w:val="20"/>
      <w:szCs w:val="20"/>
    </w:rPr>
  </w:style>
  <w:style w:type="character" w:customStyle="1" w:styleId="Char0">
    <w:name w:val="نص تعليق ختامي Char"/>
    <w:link w:val="a8"/>
    <w:uiPriority w:val="99"/>
    <w:semiHidden/>
    <w:unhideWhenUsed/>
    <w:rPr>
      <w:sz w:val="20"/>
      <w:szCs w:val="20"/>
    </w:rPr>
  </w:style>
  <w:style w:type="paragraph" w:customStyle="1" w:styleId="TableCaption">
    <w:name w:val="Table Caption"/>
    <w:pPr>
      <w:bidi/>
      <w:spacing w:before="160" w:after="80" w:line="300" w:lineRule="auto"/>
      <w:jc w:val="center"/>
    </w:pPr>
    <w:rPr>
      <w:b/>
      <w:bCs/>
    </w:rPr>
  </w:style>
  <w:style w:type="paragraph" w:customStyle="1" w:styleId="FigureCaption">
    <w:name w:val="Figure Caption"/>
    <w:pPr>
      <w:bidi/>
      <w:spacing w:before="80" w:after="160" w:line="300" w:lineRule="auto"/>
      <w:jc w:val="center"/>
    </w:pPr>
    <w:rPr>
      <w:b/>
      <w:bCs/>
    </w:rPr>
  </w:style>
  <w:style w:type="paragraph" w:styleId="11">
    <w:name w:val="toc 1"/>
    <w:uiPriority w:val="39"/>
    <w:pPr>
      <w:bidi/>
      <w:spacing w:after="60"/>
      <w:jc w:val="right"/>
    </w:pPr>
    <w:rPr>
      <w:b/>
      <w:bCs/>
    </w:rPr>
  </w:style>
  <w:style w:type="paragraph" w:styleId="20">
    <w:name w:val="toc 2"/>
    <w:uiPriority w:val="39"/>
    <w:pPr>
      <w:bidi/>
      <w:spacing w:after="40"/>
      <w:ind w:right="360"/>
      <w:jc w:val="right"/>
    </w:pPr>
  </w:style>
  <w:style w:type="paragraph" w:styleId="30">
    <w:name w:val="toc 3"/>
    <w:uiPriority w:val="39"/>
    <w:pPr>
      <w:bidi/>
      <w:spacing w:after="40"/>
      <w:ind w:right="720"/>
      <w:jc w:val="right"/>
    </w:pPr>
    <w:rPr>
      <w:sz w:val="22"/>
      <w:szCs w:val="22"/>
    </w:rPr>
  </w:style>
  <w:style w:type="paragraph" w:styleId="a9">
    <w:name w:val="TOC Heading"/>
    <w:basedOn w:val="1"/>
    <w:next w:val="a"/>
    <w:uiPriority w:val="39"/>
    <w:unhideWhenUsed/>
    <w:qFormat/>
    <w:rsid w:val="00DE7D61"/>
    <w:pPr>
      <w:keepNext/>
      <w:keepLines/>
      <w:bidi w:val="0"/>
      <w:spacing w:after="0" w:line="259" w:lineRule="auto"/>
      <w:outlineLvl w:val="9"/>
    </w:pPr>
    <w:rPr>
      <w:rFonts w:asciiTheme="majorHAnsi" w:eastAsiaTheme="majorEastAsia" w:hAnsiTheme="majorHAnsi" w:cstheme="majorBidi"/>
      <w:b w:val="0"/>
      <w:bCs w:val="0"/>
      <w:color w:val="0F4761" w:themeColor="accent1" w:themeShade="BF"/>
    </w:rPr>
  </w:style>
  <w:style w:type="paragraph" w:styleId="40">
    <w:name w:val="toc 4"/>
    <w:basedOn w:val="a"/>
    <w:next w:val="a"/>
    <w:autoRedefine/>
    <w:uiPriority w:val="39"/>
    <w:unhideWhenUsed/>
    <w:rsid w:val="00DE7D61"/>
    <w:pPr>
      <w:bidi w:val="0"/>
      <w:spacing w:after="100" w:line="259" w:lineRule="auto"/>
      <w:ind w:left="660"/>
    </w:pPr>
    <w:rPr>
      <w:rFonts w:asciiTheme="minorHAnsi" w:eastAsiaTheme="minorEastAsia" w:hAnsiTheme="minorHAnsi" w:cstheme="minorBidi"/>
      <w:sz w:val="22"/>
      <w:szCs w:val="22"/>
    </w:rPr>
  </w:style>
  <w:style w:type="paragraph" w:styleId="50">
    <w:name w:val="toc 5"/>
    <w:basedOn w:val="a"/>
    <w:next w:val="a"/>
    <w:autoRedefine/>
    <w:uiPriority w:val="39"/>
    <w:unhideWhenUsed/>
    <w:rsid w:val="00DE7D61"/>
    <w:pPr>
      <w:bidi w:val="0"/>
      <w:spacing w:after="100" w:line="259" w:lineRule="auto"/>
      <w:ind w:left="880"/>
    </w:pPr>
    <w:rPr>
      <w:rFonts w:asciiTheme="minorHAnsi" w:eastAsiaTheme="minorEastAsia" w:hAnsiTheme="minorHAnsi" w:cstheme="minorBidi"/>
      <w:sz w:val="22"/>
      <w:szCs w:val="22"/>
    </w:rPr>
  </w:style>
  <w:style w:type="paragraph" w:styleId="60">
    <w:name w:val="toc 6"/>
    <w:basedOn w:val="a"/>
    <w:next w:val="a"/>
    <w:autoRedefine/>
    <w:uiPriority w:val="39"/>
    <w:unhideWhenUsed/>
    <w:rsid w:val="00DE7D61"/>
    <w:pPr>
      <w:bidi w:val="0"/>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E7D61"/>
    <w:pPr>
      <w:bidi w:val="0"/>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E7D61"/>
    <w:pPr>
      <w:bidi w:val="0"/>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E7D61"/>
    <w:pPr>
      <w:bidi w:val="0"/>
      <w:spacing w:after="100" w:line="259" w:lineRule="auto"/>
      <w:ind w:left="1760"/>
    </w:pPr>
    <w:rPr>
      <w:rFonts w:asciiTheme="minorHAnsi" w:eastAsiaTheme="minorEastAsia" w:hAnsiTheme="minorHAnsi" w:cstheme="minorBidi"/>
      <w:sz w:val="22"/>
      <w:szCs w:val="22"/>
    </w:rPr>
  </w:style>
  <w:style w:type="character" w:styleId="aa">
    <w:name w:val="Unresolved Mention"/>
    <w:basedOn w:val="a0"/>
    <w:uiPriority w:val="99"/>
    <w:semiHidden/>
    <w:unhideWhenUsed/>
    <w:rsid w:val="00DE7D61"/>
    <w:rPr>
      <w:color w:val="605E5C"/>
      <w:shd w:val="clear" w:color="auto" w:fill="E1DFDD"/>
    </w:rPr>
  </w:style>
  <w:style w:type="paragraph" w:styleId="ab">
    <w:name w:val="header"/>
    <w:basedOn w:val="a"/>
    <w:link w:val="Char1"/>
    <w:uiPriority w:val="99"/>
    <w:unhideWhenUsed/>
    <w:rsid w:val="00DE7D61"/>
    <w:pPr>
      <w:tabs>
        <w:tab w:val="center" w:pos="4320"/>
        <w:tab w:val="right" w:pos="8640"/>
      </w:tabs>
      <w:spacing w:line="240" w:lineRule="auto"/>
    </w:pPr>
  </w:style>
  <w:style w:type="character" w:customStyle="1" w:styleId="Char1">
    <w:name w:val="رأس الصفحة Char"/>
    <w:basedOn w:val="a0"/>
    <w:link w:val="ab"/>
    <w:uiPriority w:val="99"/>
    <w:rsid w:val="00DE7D61"/>
  </w:style>
  <w:style w:type="paragraph" w:styleId="ac">
    <w:name w:val="footer"/>
    <w:basedOn w:val="a"/>
    <w:link w:val="Char2"/>
    <w:uiPriority w:val="99"/>
    <w:unhideWhenUsed/>
    <w:rsid w:val="00DE7D61"/>
    <w:pPr>
      <w:tabs>
        <w:tab w:val="center" w:pos="4320"/>
        <w:tab w:val="right" w:pos="8640"/>
      </w:tabs>
      <w:spacing w:line="240" w:lineRule="auto"/>
    </w:pPr>
  </w:style>
  <w:style w:type="character" w:customStyle="1" w:styleId="Char2">
    <w:name w:val="تذييل الصفحة Char"/>
    <w:basedOn w:val="a0"/>
    <w:link w:val="ac"/>
    <w:uiPriority w:val="99"/>
    <w:rsid w:val="00DE7D61"/>
  </w:style>
  <w:style w:type="table" w:styleId="12">
    <w:name w:val="Grid Table 1 Light"/>
    <w:basedOn w:val="a1"/>
    <w:uiPriority w:val="46"/>
    <w:rsid w:val="00E245B7"/>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d">
    <w:name w:val="Normal (Web)"/>
    <w:basedOn w:val="a"/>
    <w:uiPriority w:val="99"/>
    <w:unhideWhenUsed/>
    <w:rsid w:val="001246B3"/>
    <w:pPr>
      <w:bidi w:val="0"/>
      <w:spacing w:before="100" w:beforeAutospacing="1" w:after="100" w:afterAutospacing="1" w:line="240" w:lineRule="auto"/>
    </w:pPr>
    <w:rPr>
      <w:rFonts w:ascii="Times New Roman" w:eastAsiaTheme="minorEastAsia" w:hAnsi="Times New Roman" w:cs="Times New Roman"/>
    </w:rPr>
  </w:style>
  <w:style w:type="character" w:styleId="ae">
    <w:name w:val="Emphasis"/>
    <w:basedOn w:val="a0"/>
    <w:uiPriority w:val="20"/>
    <w:qFormat/>
    <w:rsid w:val="001246B3"/>
    <w:rPr>
      <w:i/>
      <w:iCs/>
    </w:rPr>
  </w:style>
  <w:style w:type="character" w:styleId="af">
    <w:name w:val="FollowedHyperlink"/>
    <w:basedOn w:val="a0"/>
    <w:uiPriority w:val="99"/>
    <w:semiHidden/>
    <w:unhideWhenUsed/>
    <w:rsid w:val="00F92EBF"/>
    <w:rPr>
      <w:color w:val="96607D" w:themeColor="followedHyperlink"/>
      <w:u w:val="single"/>
    </w:rPr>
  </w:style>
  <w:style w:type="character" w:customStyle="1" w:styleId="1Char">
    <w:name w:val="العنوان 1 Char"/>
    <w:basedOn w:val="a0"/>
    <w:link w:val="1"/>
    <w:uiPriority w:val="9"/>
    <w:rsid w:val="00D53E22"/>
    <w:rPr>
      <w:rFonts w:ascii="Simplified Arabic" w:hAnsi="Simplified Arabic"/>
      <w:b/>
      <w:bCs/>
      <w:color w:val="1F3864"/>
      <w:sz w:val="28"/>
      <w:szCs w:val="32"/>
    </w:rPr>
  </w:style>
  <w:style w:type="character" w:styleId="af0">
    <w:name w:val="Strong"/>
    <w:basedOn w:val="a0"/>
    <w:uiPriority w:val="22"/>
    <w:qFormat/>
    <w:rsid w:val="00D53E22"/>
    <w:rPr>
      <w:b/>
      <w:bCs/>
    </w:rPr>
  </w:style>
  <w:style w:type="table" w:styleId="af1">
    <w:name w:val="Grid Table Light"/>
    <w:basedOn w:val="a1"/>
    <w:uiPriority w:val="40"/>
    <w:rsid w:val="00D53E22"/>
    <w:pPr>
      <w:spacing w:line="240" w:lineRule="auto"/>
    </w:pPr>
    <w:rPr>
      <w:rFonts w:asciiTheme="minorHAnsi" w:eastAsiaTheme="minorEastAsia" w:hAnsiTheme="minorHAnsi" w:cstheme="minorBidi"/>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af2">
    <w:name w:val="Table Grid"/>
    <w:basedOn w:val="a1"/>
    <w:uiPriority w:val="39"/>
    <w:rsid w:val="002E26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png" /><Relationship Id="rId18" Type="http://schemas.openxmlformats.org/officeDocument/2006/relationships/hyperlink" Target="http://search.mandumah.com/Record/1253311" TargetMode="External" /><Relationship Id="rId26" Type="http://schemas.openxmlformats.org/officeDocument/2006/relationships/hyperlink" Target="https://doi.org/10.21608/pijth.2024.311766.1016" TargetMode="External" /><Relationship Id="rId39" Type="http://schemas.openxmlformats.org/officeDocument/2006/relationships/hyperlink" Target="https://doi.org/10.52783/rlj.v11i9s.1624" TargetMode="External" /><Relationship Id="rId3" Type="http://schemas.openxmlformats.org/officeDocument/2006/relationships/styles" Target="styles.xml" /><Relationship Id="rId21" Type="http://schemas.openxmlformats.org/officeDocument/2006/relationships/hyperlink" Target="https://www.abhcci.org.sa" TargetMode="External" /><Relationship Id="rId34" Type="http://schemas.openxmlformats.org/officeDocument/2006/relationships/hyperlink" Target="https://doi.org/10.55014/pij.v7i3.614" TargetMode="External" /><Relationship Id="rId42" Type="http://schemas.openxmlformats.org/officeDocument/2006/relationships/hyperlink" Target="https://doi.org/10.1038/s41562-023-01751-1" TargetMode="External" /><Relationship Id="rId47"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hyperlink" Target="http://dspace.univ-jijel.dz:8080/xmlui/handle/123456789/13988" TargetMode="External" /><Relationship Id="rId25" Type="http://schemas.openxmlformats.org/officeDocument/2006/relationships/hyperlink" Target="https://doi.org/10.21511/ppm.22(2).2024.40" TargetMode="External" /><Relationship Id="rId33" Type="http://schemas.openxmlformats.org/officeDocument/2006/relationships/hyperlink" Target="https://doi.org/10.3390/su16177466" TargetMode="External" /><Relationship Id="rId38" Type="http://schemas.openxmlformats.org/officeDocument/2006/relationships/hyperlink" Target="https://hbr.org/2022/03/the-real-secret-to-retaining-talent" TargetMode="External" /><Relationship Id="rId46" Type="http://schemas.openxmlformats.org/officeDocument/2006/relationships/hyperlink" Target="https://doi.org/10.52131/pjhss.2019.0701.0075" TargetMode="External" /><Relationship Id="rId2" Type="http://schemas.openxmlformats.org/officeDocument/2006/relationships/numbering" Target="numbering.xml" /><Relationship Id="rId16" Type="http://schemas.openxmlformats.org/officeDocument/2006/relationships/hyperlink" Target="https://doi.org/10.21608/zcom.2018.148757" TargetMode="External" /><Relationship Id="rId20" Type="http://schemas.openxmlformats.org/officeDocument/2006/relationships/hyperlink" Target="http://search.mandumah.com/Record/1097360" TargetMode="External" /><Relationship Id="rId29" Type="http://schemas.openxmlformats.org/officeDocument/2006/relationships/hyperlink" Target="https://doi.org/10.1371/journal.pone.0304720" TargetMode="External" /><Relationship Id="rId41" Type="http://schemas.openxmlformats.org/officeDocument/2006/relationships/hyperlink" Target="https://doi.org/10.1108/IJOA-09-2023-3992"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24" Type="http://schemas.openxmlformats.org/officeDocument/2006/relationships/hyperlink" Target="https://doi.org/10.62754/joe.v4i2.5736" TargetMode="External" /><Relationship Id="rId32" Type="http://schemas.openxmlformats.org/officeDocument/2006/relationships/hyperlink" Target="https://doi.org/10.22610/jsds.v7i3.1410" TargetMode="External" /><Relationship Id="rId37" Type="http://schemas.openxmlformats.org/officeDocument/2006/relationships/hyperlink" Target="https://doi.org/10.3389/fpsyg.2022.845277" TargetMode="External" /><Relationship Id="rId40" Type="http://schemas.openxmlformats.org/officeDocument/2006/relationships/hyperlink" Target="https://doi.org/10.48550/arXiv.2405.19699" TargetMode="External" /><Relationship Id="rId45" Type="http://schemas.openxmlformats.org/officeDocument/2006/relationships/hyperlink" Target="https://doi.org/10.3390/systems12070230" TargetMode="External" /><Relationship Id="rId5" Type="http://schemas.openxmlformats.org/officeDocument/2006/relationships/webSettings" Target="webSettings.xml" /><Relationship Id="rId15" Type="http://schemas.openxmlformats.org/officeDocument/2006/relationships/hyperlink" Target="https://doi.org/10.21608/aja.2020.93333" TargetMode="External" /><Relationship Id="rId23" Type="http://schemas.openxmlformats.org/officeDocument/2006/relationships/hyperlink" Target="https://doi.org/10.30574/msarr.2024.10.2.0057" TargetMode="External" /><Relationship Id="rId28" Type="http://schemas.openxmlformats.org/officeDocument/2006/relationships/hyperlink" Target="https://doi.org/10.3390/info15110676" TargetMode="External" /><Relationship Id="rId36" Type="http://schemas.openxmlformats.org/officeDocument/2006/relationships/hyperlink" Target="https://doi.org/10.2139/ssrn.4784194" TargetMode="External" /><Relationship Id="rId49" Type="http://schemas.openxmlformats.org/officeDocument/2006/relationships/theme" Target="theme/theme1.xml" /><Relationship Id="rId10" Type="http://schemas.openxmlformats.org/officeDocument/2006/relationships/footer" Target="footer1.xml" /><Relationship Id="rId19" Type="http://schemas.openxmlformats.org/officeDocument/2006/relationships/hyperlink" Target="https://doi.org/10.21608/mkaf.2021.202120" TargetMode="External" /><Relationship Id="rId31" Type="http://schemas.openxmlformats.org/officeDocument/2006/relationships/hyperlink" Target="https://arxiv.org/abs/2401.03244v2" TargetMode="External" /><Relationship Id="rId44" Type="http://schemas.openxmlformats.org/officeDocument/2006/relationships/hyperlink" Target="https://doi.org/10.3390/bs15050648"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image" Target="media/image3.png" /><Relationship Id="rId22" Type="http://schemas.openxmlformats.org/officeDocument/2006/relationships/hyperlink" Target="https://doi.org/10.21608/jstc.2021.164993" TargetMode="External" /><Relationship Id="rId27" Type="http://schemas.openxmlformats.org/officeDocument/2006/relationships/hyperlink" Target="https://doi.org/10.1177/014920639101700108" TargetMode="External" /><Relationship Id="rId30" Type="http://schemas.openxmlformats.org/officeDocument/2006/relationships/hyperlink" Target="https://doi.org/10.1016/j.cognition.2019.02.010" TargetMode="External" /><Relationship Id="rId35" Type="http://schemas.openxmlformats.org/officeDocument/2006/relationships/hyperlink" Target="https://doi.org/10.1016/j.bushor.2023.03.001" TargetMode="External" /><Relationship Id="rId43" Type="http://schemas.openxmlformats.org/officeDocument/2006/relationships/hyperlink" Target="https://doi.org/10.5296/jpag.v8i3.13637" TargetMode="External" /><Relationship Id="rId48" Type="http://schemas.openxmlformats.org/officeDocument/2006/relationships/fontTable" Target="fontTable.xml" /><Relationship Id="rId8" Type="http://schemas.openxmlformats.org/officeDocument/2006/relationships/image" Target="media/image1.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D1ADF-0559-4864-8C91-245E1C2DE56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84</Pages>
  <Words>18489</Words>
  <Characters>105392</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دور الإبداع كمتغير وسيط في تأثير الاستقطاب التنظيمي وتطبيقات الذكاء الاصطناعي على التميز المؤسسي</vt:lpstr>
    </vt:vector>
  </TitlesOfParts>
  <Company/>
  <LinksUpToDate>false</LinksUpToDate>
  <CharactersWithSpaces>123634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الإبداع كمتغير وسيط في تأثير الاستقطاب التنظيمي وتطبيقات الذكاء الاصطناعي على التميز المؤسسي</dc:title>
  <dc:creator>Midocean University Thesis Formatter</dc:creator>
  <cp:lastModifiedBy>AKRAM Mohammed</cp:lastModifiedBy>
  <cp:revision>10</cp:revision>
  <dcterms:created xsi:type="dcterms:W3CDTF">2026-07-16T17:10:00Z</dcterms:created>
  <dcterms:modified xsi:type="dcterms:W3CDTF">2026-07-16T17:31:00Z</dcterms:modified>
</cp:coreProperties>
</file>