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AB09F" w14:textId="571B287C" w:rsidR="00F74E4A" w:rsidRPr="00F74E4A" w:rsidRDefault="00F74E4A" w:rsidP="00F74E4A">
      <w:pPr>
        <w:bidi/>
        <w:rPr>
          <w:b/>
          <w:bCs/>
          <w:sz w:val="32"/>
          <w:szCs w:val="32"/>
        </w:rPr>
      </w:pPr>
      <w:r>
        <w:rPr>
          <w:b/>
          <w:bCs/>
          <w:noProof/>
          <w:sz w:val="32"/>
          <w:szCs w:val="32"/>
        </w:rPr>
        <w:drawing>
          <wp:anchor distT="0" distB="0" distL="114300" distR="114300" simplePos="0" relativeHeight="251658240" behindDoc="0" locked="0" layoutInCell="1" allowOverlap="1" wp14:anchorId="31EC4FFA" wp14:editId="60C1E865">
            <wp:simplePos x="0" y="0"/>
            <wp:positionH relativeFrom="margin">
              <wp:posOffset>-283210</wp:posOffset>
            </wp:positionH>
            <wp:positionV relativeFrom="paragraph">
              <wp:posOffset>0</wp:posOffset>
            </wp:positionV>
            <wp:extent cx="1594485" cy="1594485"/>
            <wp:effectExtent l="0" t="0" r="5715" b="5715"/>
            <wp:wrapSquare wrapText="bothSides"/>
            <wp:docPr id="238597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597418" name="Picture 238597418"/>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94485" cy="1594485"/>
                    </a:xfrm>
                    <a:prstGeom prst="rect">
                      <a:avLst/>
                    </a:prstGeom>
                  </pic:spPr>
                </pic:pic>
              </a:graphicData>
            </a:graphic>
            <wp14:sizeRelH relativeFrom="margin">
              <wp14:pctWidth>0</wp14:pctWidth>
            </wp14:sizeRelH>
            <wp14:sizeRelV relativeFrom="margin">
              <wp14:pctHeight>0</wp14:pctHeight>
            </wp14:sizeRelV>
          </wp:anchor>
        </w:drawing>
      </w:r>
      <w:r w:rsidRPr="00F74E4A">
        <w:rPr>
          <w:rFonts w:hint="cs"/>
          <w:b/>
          <w:bCs/>
          <w:sz w:val="32"/>
          <w:szCs w:val="32"/>
          <w:rtl/>
        </w:rPr>
        <w:t>جامعة</w:t>
      </w:r>
      <w:r w:rsidRPr="00F74E4A">
        <w:rPr>
          <w:b/>
          <w:bCs/>
          <w:sz w:val="32"/>
          <w:szCs w:val="32"/>
          <w:rtl/>
        </w:rPr>
        <w:t xml:space="preserve"> </w:t>
      </w:r>
      <w:r w:rsidRPr="00F74E4A">
        <w:rPr>
          <w:rFonts w:hint="cs"/>
          <w:b/>
          <w:bCs/>
          <w:sz w:val="32"/>
          <w:szCs w:val="32"/>
          <w:rtl/>
        </w:rPr>
        <w:t>ميدأوشن</w:t>
      </w:r>
    </w:p>
    <w:p w14:paraId="510681CD" w14:textId="77777777" w:rsidR="00F74E4A" w:rsidRPr="00F74E4A" w:rsidRDefault="00F74E4A" w:rsidP="00F74E4A">
      <w:pPr>
        <w:bidi/>
        <w:rPr>
          <w:b/>
          <w:bCs/>
          <w:sz w:val="32"/>
          <w:szCs w:val="32"/>
        </w:rPr>
      </w:pPr>
      <w:r w:rsidRPr="00F74E4A">
        <w:rPr>
          <w:rFonts w:hint="cs"/>
          <w:b/>
          <w:bCs/>
          <w:sz w:val="32"/>
          <w:szCs w:val="32"/>
          <w:rtl/>
        </w:rPr>
        <w:t>كلية</w:t>
      </w:r>
      <w:r w:rsidRPr="00F74E4A">
        <w:rPr>
          <w:b/>
          <w:bCs/>
          <w:sz w:val="32"/>
          <w:szCs w:val="32"/>
          <w:rtl/>
        </w:rPr>
        <w:t xml:space="preserve"> </w:t>
      </w:r>
      <w:r w:rsidRPr="00F74E4A">
        <w:rPr>
          <w:rFonts w:hint="cs"/>
          <w:b/>
          <w:bCs/>
          <w:sz w:val="32"/>
          <w:szCs w:val="32"/>
          <w:rtl/>
        </w:rPr>
        <w:t>الإدارة</w:t>
      </w:r>
    </w:p>
    <w:p w14:paraId="01AE7E9A" w14:textId="0E320518" w:rsidR="00F74E4A" w:rsidRPr="00F74E4A" w:rsidRDefault="00F74E4A" w:rsidP="00F74E4A">
      <w:pPr>
        <w:bidi/>
        <w:rPr>
          <w:b/>
          <w:bCs/>
          <w:sz w:val="32"/>
          <w:szCs w:val="32"/>
        </w:rPr>
      </w:pPr>
      <w:r>
        <w:rPr>
          <w:rFonts w:hint="cs"/>
          <w:b/>
          <w:bCs/>
          <w:sz w:val="32"/>
          <w:szCs w:val="32"/>
          <w:rtl/>
        </w:rPr>
        <w:t>تخصص إدارة المخاطر</w:t>
      </w:r>
    </w:p>
    <w:p w14:paraId="01A0571B" w14:textId="77777777" w:rsidR="00F74E4A" w:rsidRDefault="00F74E4A" w:rsidP="00F74E4A">
      <w:pPr>
        <w:bidi/>
        <w:jc w:val="center"/>
        <w:rPr>
          <w:rFonts w:cs="Arial"/>
          <w:b/>
          <w:bCs/>
          <w:sz w:val="44"/>
          <w:szCs w:val="44"/>
          <w:rtl/>
        </w:rPr>
      </w:pPr>
    </w:p>
    <w:p w14:paraId="4014FC95" w14:textId="7F3A63F3" w:rsidR="00F74E4A" w:rsidRPr="00F74E4A" w:rsidRDefault="00F74E4A" w:rsidP="00F74E4A">
      <w:pPr>
        <w:bidi/>
        <w:jc w:val="center"/>
        <w:rPr>
          <w:b/>
          <w:bCs/>
          <w:sz w:val="44"/>
          <w:szCs w:val="44"/>
          <w:rtl/>
        </w:rPr>
      </w:pPr>
      <w:r w:rsidRPr="00F74E4A">
        <w:rPr>
          <w:rFonts w:cs="Arial"/>
          <w:b/>
          <w:bCs/>
          <w:sz w:val="44"/>
          <w:szCs w:val="44"/>
          <w:rtl/>
        </w:rPr>
        <w:t>إدارة المخاطر في التمويل المصرفي</w:t>
      </w:r>
    </w:p>
    <w:p w14:paraId="454BE888" w14:textId="5799BDD8" w:rsidR="00F74E4A" w:rsidRPr="00F74E4A" w:rsidRDefault="00F74E4A" w:rsidP="00F74E4A">
      <w:pPr>
        <w:bidi/>
        <w:jc w:val="center"/>
        <w:rPr>
          <w:rFonts w:asciiTheme="minorBidi" w:hAnsiTheme="minorBidi"/>
          <w:b/>
          <w:bCs/>
          <w:sz w:val="32"/>
          <w:szCs w:val="32"/>
        </w:rPr>
      </w:pPr>
      <w:r w:rsidRPr="00F74E4A">
        <w:rPr>
          <w:rFonts w:asciiTheme="minorBidi" w:hAnsiTheme="minorBidi"/>
          <w:b/>
          <w:bCs/>
          <w:sz w:val="32"/>
          <w:szCs w:val="32"/>
          <w:rtl/>
        </w:rPr>
        <w:t>إعداد</w:t>
      </w:r>
      <w:r w:rsidRPr="00F74E4A">
        <w:rPr>
          <w:rFonts w:asciiTheme="minorBidi" w:hAnsiTheme="minorBidi"/>
          <w:b/>
          <w:bCs/>
          <w:sz w:val="32"/>
          <w:szCs w:val="32"/>
        </w:rPr>
        <w:t>:</w:t>
      </w:r>
    </w:p>
    <w:p w14:paraId="0C2476A9" w14:textId="6A420118" w:rsidR="00F74E4A" w:rsidRPr="00F74E4A" w:rsidRDefault="00F74E4A" w:rsidP="00F74E4A">
      <w:pPr>
        <w:bidi/>
        <w:jc w:val="center"/>
        <w:rPr>
          <w:rFonts w:asciiTheme="minorBidi" w:hAnsiTheme="minorBidi"/>
          <w:sz w:val="32"/>
          <w:szCs w:val="32"/>
        </w:rPr>
      </w:pPr>
      <w:r w:rsidRPr="00F74E4A">
        <w:rPr>
          <w:rFonts w:asciiTheme="minorBidi" w:hAnsiTheme="minorBidi"/>
          <w:sz w:val="32"/>
          <w:szCs w:val="32"/>
          <w:rtl/>
        </w:rPr>
        <w:t>الطالب</w:t>
      </w:r>
      <w:r w:rsidR="00AA0E29">
        <w:rPr>
          <w:rFonts w:asciiTheme="minorBidi" w:hAnsiTheme="minorBidi" w:hint="cs"/>
          <w:sz w:val="32"/>
          <w:szCs w:val="32"/>
          <w:rtl/>
        </w:rPr>
        <w:t>: سلطان عايض القحطاني</w:t>
      </w:r>
    </w:p>
    <w:p w14:paraId="6DE8EF48" w14:textId="4E8E969D" w:rsidR="00F74E4A" w:rsidRPr="00F74E4A" w:rsidRDefault="00F74E4A" w:rsidP="00F74E4A">
      <w:pPr>
        <w:bidi/>
        <w:jc w:val="center"/>
        <w:rPr>
          <w:rFonts w:asciiTheme="minorBidi" w:hAnsiTheme="minorBidi"/>
          <w:sz w:val="32"/>
          <w:szCs w:val="32"/>
        </w:rPr>
      </w:pPr>
      <w:r w:rsidRPr="00F74E4A">
        <w:rPr>
          <w:rFonts w:asciiTheme="minorBidi" w:hAnsiTheme="minorBidi"/>
          <w:sz w:val="32"/>
          <w:szCs w:val="32"/>
          <w:rtl/>
        </w:rPr>
        <w:t xml:space="preserve">الرقم الأكاديمي/ </w:t>
      </w:r>
      <w:r w:rsidR="0057566E">
        <w:rPr>
          <w:rFonts w:asciiTheme="minorBidi" w:hAnsiTheme="minorBidi" w:hint="cs"/>
          <w:sz w:val="32"/>
          <w:szCs w:val="32"/>
          <w:rtl/>
        </w:rPr>
        <w:t>242000172</w:t>
      </w:r>
    </w:p>
    <w:p w14:paraId="1C309EB6" w14:textId="2D3D1EBD" w:rsidR="00F74E4A" w:rsidRPr="00F74E4A" w:rsidRDefault="00F74E4A" w:rsidP="00F74E4A">
      <w:pPr>
        <w:bidi/>
        <w:jc w:val="center"/>
        <w:rPr>
          <w:b/>
          <w:bCs/>
          <w:sz w:val="32"/>
          <w:szCs w:val="32"/>
        </w:rPr>
      </w:pPr>
      <w:r w:rsidRPr="00F74E4A">
        <w:rPr>
          <w:rFonts w:hint="cs"/>
          <w:b/>
          <w:bCs/>
          <w:sz w:val="32"/>
          <w:szCs w:val="32"/>
          <w:rtl/>
        </w:rPr>
        <w:t>إشراف</w:t>
      </w:r>
      <w:r w:rsidRPr="00F74E4A">
        <w:rPr>
          <w:b/>
          <w:bCs/>
          <w:sz w:val="32"/>
          <w:szCs w:val="32"/>
        </w:rPr>
        <w:t>:</w:t>
      </w:r>
    </w:p>
    <w:p w14:paraId="6E57F7F5" w14:textId="77777777" w:rsidR="00F74E4A" w:rsidRDefault="00F74E4A" w:rsidP="00F74E4A">
      <w:pPr>
        <w:bidi/>
        <w:jc w:val="center"/>
        <w:rPr>
          <w:sz w:val="32"/>
          <w:szCs w:val="32"/>
          <w:rtl/>
        </w:rPr>
      </w:pPr>
      <w:r w:rsidRPr="00F74E4A">
        <w:rPr>
          <w:rFonts w:hint="cs"/>
          <w:sz w:val="32"/>
          <w:szCs w:val="32"/>
          <w:rtl/>
        </w:rPr>
        <w:t>الدكتور</w:t>
      </w:r>
      <w:r w:rsidRPr="00F74E4A">
        <w:rPr>
          <w:sz w:val="32"/>
          <w:szCs w:val="32"/>
          <w:rtl/>
        </w:rPr>
        <w:t xml:space="preserve">/ </w:t>
      </w:r>
      <w:r w:rsidRPr="00F74E4A">
        <w:rPr>
          <w:rFonts w:hint="cs"/>
          <w:sz w:val="32"/>
          <w:szCs w:val="32"/>
          <w:rtl/>
        </w:rPr>
        <w:t>الفيصل</w:t>
      </w:r>
      <w:r w:rsidRPr="00F74E4A">
        <w:rPr>
          <w:sz w:val="32"/>
          <w:szCs w:val="32"/>
          <w:rtl/>
        </w:rPr>
        <w:t xml:space="preserve"> </w:t>
      </w:r>
      <w:r w:rsidRPr="00F74E4A">
        <w:rPr>
          <w:rFonts w:hint="cs"/>
          <w:sz w:val="32"/>
          <w:szCs w:val="32"/>
          <w:rtl/>
        </w:rPr>
        <w:t>عبدالحم</w:t>
      </w:r>
      <w:r>
        <w:rPr>
          <w:rFonts w:hint="cs"/>
          <w:sz w:val="32"/>
          <w:szCs w:val="32"/>
          <w:rtl/>
        </w:rPr>
        <w:t>يد</w:t>
      </w:r>
      <w:r w:rsidRPr="00F74E4A">
        <w:rPr>
          <w:sz w:val="32"/>
          <w:szCs w:val="32"/>
          <w:rtl/>
        </w:rPr>
        <w:t xml:space="preserve"> </w:t>
      </w:r>
      <w:r w:rsidRPr="00F74E4A">
        <w:rPr>
          <w:rFonts w:hint="cs"/>
          <w:sz w:val="32"/>
          <w:szCs w:val="32"/>
          <w:rtl/>
        </w:rPr>
        <w:t>محمد</w:t>
      </w:r>
    </w:p>
    <w:p w14:paraId="104561D8" w14:textId="66693D0D" w:rsidR="00F74E4A" w:rsidRPr="00F74E4A" w:rsidRDefault="00F74E4A" w:rsidP="00F74E4A">
      <w:pPr>
        <w:bidi/>
        <w:jc w:val="center"/>
        <w:rPr>
          <w:sz w:val="32"/>
          <w:szCs w:val="32"/>
        </w:rPr>
      </w:pPr>
      <w:r w:rsidRPr="00F74E4A">
        <w:rPr>
          <w:sz w:val="32"/>
          <w:szCs w:val="32"/>
          <w:rtl/>
        </w:rPr>
        <w:t xml:space="preserve"> </w:t>
      </w:r>
      <w:r w:rsidRPr="00F74E4A">
        <w:rPr>
          <w:rFonts w:hint="cs"/>
          <w:sz w:val="32"/>
          <w:szCs w:val="32"/>
          <w:rtl/>
        </w:rPr>
        <w:t>الدكتور</w:t>
      </w:r>
      <w:r w:rsidRPr="00F74E4A">
        <w:rPr>
          <w:sz w:val="32"/>
          <w:szCs w:val="32"/>
          <w:rtl/>
        </w:rPr>
        <w:t xml:space="preserve">/ </w:t>
      </w:r>
      <w:r w:rsidRPr="00F74E4A">
        <w:rPr>
          <w:rFonts w:hint="cs"/>
          <w:sz w:val="32"/>
          <w:szCs w:val="32"/>
          <w:rtl/>
        </w:rPr>
        <w:t>فايز</w:t>
      </w:r>
      <w:r w:rsidRPr="00F74E4A">
        <w:rPr>
          <w:sz w:val="32"/>
          <w:szCs w:val="32"/>
          <w:rtl/>
        </w:rPr>
        <w:t xml:space="preserve"> </w:t>
      </w:r>
      <w:r w:rsidRPr="00F74E4A">
        <w:rPr>
          <w:rFonts w:hint="cs"/>
          <w:sz w:val="32"/>
          <w:szCs w:val="32"/>
          <w:rtl/>
        </w:rPr>
        <w:t>علي</w:t>
      </w:r>
      <w:r w:rsidRPr="00F74E4A">
        <w:rPr>
          <w:sz w:val="32"/>
          <w:szCs w:val="32"/>
          <w:rtl/>
        </w:rPr>
        <w:t xml:space="preserve"> </w:t>
      </w:r>
      <w:r>
        <w:rPr>
          <w:rFonts w:hint="cs"/>
          <w:sz w:val="32"/>
          <w:szCs w:val="32"/>
          <w:rtl/>
        </w:rPr>
        <w:t>جراد</w:t>
      </w:r>
    </w:p>
    <w:p w14:paraId="30BE5259" w14:textId="77777777" w:rsidR="00F74E4A" w:rsidRDefault="00F74E4A" w:rsidP="00F74E4A">
      <w:pPr>
        <w:bidi/>
        <w:jc w:val="center"/>
        <w:rPr>
          <w:b/>
          <w:bCs/>
          <w:rtl/>
        </w:rPr>
      </w:pPr>
    </w:p>
    <w:p w14:paraId="50C75803" w14:textId="1EBC16AB" w:rsidR="00F74E4A" w:rsidRPr="00F74E4A" w:rsidRDefault="00F74E4A" w:rsidP="00F74E4A">
      <w:pPr>
        <w:bidi/>
        <w:spacing w:line="276" w:lineRule="auto"/>
        <w:jc w:val="center"/>
        <w:rPr>
          <w:b/>
          <w:bCs/>
          <w:sz w:val="32"/>
          <w:szCs w:val="32"/>
        </w:rPr>
      </w:pPr>
      <w:r w:rsidRPr="00F74E4A">
        <w:rPr>
          <w:rFonts w:hint="cs"/>
          <w:b/>
          <w:bCs/>
          <w:sz w:val="32"/>
          <w:szCs w:val="32"/>
          <w:rtl/>
        </w:rPr>
        <w:t>العام</w:t>
      </w:r>
      <w:r w:rsidRPr="00F74E4A">
        <w:rPr>
          <w:b/>
          <w:bCs/>
          <w:sz w:val="32"/>
          <w:szCs w:val="32"/>
          <w:rtl/>
        </w:rPr>
        <w:t xml:space="preserve"> </w:t>
      </w:r>
      <w:r w:rsidRPr="00F74E4A">
        <w:rPr>
          <w:rFonts w:hint="cs"/>
          <w:b/>
          <w:bCs/>
          <w:sz w:val="32"/>
          <w:szCs w:val="32"/>
          <w:rtl/>
        </w:rPr>
        <w:t>الدراسي</w:t>
      </w:r>
      <w:r w:rsidRPr="00F74E4A">
        <w:rPr>
          <w:b/>
          <w:bCs/>
          <w:sz w:val="32"/>
          <w:szCs w:val="32"/>
        </w:rPr>
        <w:t>:</w:t>
      </w:r>
    </w:p>
    <w:p w14:paraId="73600AE3" w14:textId="094A9AFF" w:rsidR="00F406F9" w:rsidRDefault="00F74E4A" w:rsidP="00F74E4A">
      <w:pPr>
        <w:bidi/>
        <w:spacing w:line="276" w:lineRule="auto"/>
        <w:jc w:val="center"/>
        <w:rPr>
          <w:sz w:val="32"/>
          <w:szCs w:val="32"/>
          <w:rtl/>
        </w:rPr>
      </w:pPr>
      <w:r w:rsidRPr="00F74E4A">
        <w:rPr>
          <w:sz w:val="32"/>
          <w:szCs w:val="32"/>
        </w:rPr>
        <w:t xml:space="preserve">1446 </w:t>
      </w:r>
      <w:r w:rsidRPr="00F74E4A">
        <w:rPr>
          <w:rFonts w:hint="cs"/>
          <w:sz w:val="32"/>
          <w:szCs w:val="32"/>
          <w:rtl/>
        </w:rPr>
        <w:t>هـ</w:t>
      </w:r>
      <w:r w:rsidRPr="00F74E4A">
        <w:rPr>
          <w:sz w:val="32"/>
          <w:szCs w:val="32"/>
          <w:rtl/>
        </w:rPr>
        <w:t xml:space="preserve"> / </w:t>
      </w:r>
      <w:r w:rsidR="004567EA">
        <w:rPr>
          <w:sz w:val="32"/>
          <w:szCs w:val="32"/>
        </w:rPr>
        <w:t>2025</w:t>
      </w:r>
      <w:r w:rsidRPr="00F74E4A">
        <w:rPr>
          <w:sz w:val="32"/>
          <w:szCs w:val="32"/>
          <w:rtl/>
        </w:rPr>
        <w:t xml:space="preserve"> </w:t>
      </w:r>
      <w:r w:rsidRPr="00F74E4A">
        <w:rPr>
          <w:rFonts w:hint="cs"/>
          <w:sz w:val="32"/>
          <w:szCs w:val="32"/>
          <w:rtl/>
        </w:rPr>
        <w:t>م</w:t>
      </w:r>
    </w:p>
    <w:p w14:paraId="386CE797" w14:textId="77777777" w:rsidR="00F74E4A" w:rsidRDefault="00F74E4A" w:rsidP="00F74E4A">
      <w:pPr>
        <w:bidi/>
        <w:spacing w:line="276" w:lineRule="auto"/>
        <w:jc w:val="center"/>
        <w:rPr>
          <w:sz w:val="32"/>
          <w:szCs w:val="32"/>
          <w:rtl/>
        </w:rPr>
      </w:pPr>
    </w:p>
    <w:p w14:paraId="449878D9" w14:textId="77777777" w:rsidR="00F74E4A" w:rsidRDefault="00F74E4A" w:rsidP="00F74E4A">
      <w:pPr>
        <w:bidi/>
        <w:spacing w:line="276" w:lineRule="auto"/>
        <w:jc w:val="center"/>
        <w:rPr>
          <w:sz w:val="32"/>
          <w:szCs w:val="32"/>
          <w:rtl/>
        </w:rPr>
      </w:pPr>
    </w:p>
    <w:p w14:paraId="6773270C" w14:textId="7B111B39" w:rsidR="00FE74A6" w:rsidRDefault="00FE74A6" w:rsidP="00FE74A6">
      <w:pPr>
        <w:bidi/>
        <w:spacing w:line="360" w:lineRule="auto"/>
        <w:jc w:val="center"/>
        <w:rPr>
          <w:rFonts w:ascii="Traditional Arabic" w:eastAsia="Calibri" w:hAnsi="Traditional Arabic" w:cs="Traditional Arabic"/>
          <w:b/>
          <w:bCs/>
          <w:sz w:val="52"/>
          <w:szCs w:val="52"/>
          <w:rtl/>
        </w:rPr>
      </w:pPr>
    </w:p>
    <w:p w14:paraId="00F387AC" w14:textId="77777777" w:rsidR="00B52B99" w:rsidRDefault="00B52B99" w:rsidP="00B52B99">
      <w:pPr>
        <w:bidi/>
        <w:spacing w:line="360" w:lineRule="auto"/>
        <w:jc w:val="center"/>
        <w:rPr>
          <w:rFonts w:ascii="Traditional Arabic" w:eastAsia="Calibri" w:hAnsi="Traditional Arabic" w:cs="Traditional Arabic"/>
          <w:b/>
          <w:bCs/>
          <w:sz w:val="52"/>
          <w:szCs w:val="52"/>
          <w:rtl/>
        </w:rPr>
      </w:pPr>
    </w:p>
    <w:p w14:paraId="6E0AC52E" w14:textId="77777777" w:rsidR="00B52B99" w:rsidRDefault="00B52B99" w:rsidP="00B52B99">
      <w:pPr>
        <w:bidi/>
        <w:spacing w:line="360" w:lineRule="auto"/>
        <w:jc w:val="center"/>
        <w:rPr>
          <w:rFonts w:ascii="Traditional Arabic" w:eastAsia="Calibri" w:hAnsi="Traditional Arabic" w:cs="Traditional Arabic"/>
          <w:b/>
          <w:bCs/>
          <w:sz w:val="52"/>
          <w:szCs w:val="52"/>
          <w:rtl/>
        </w:rPr>
      </w:pPr>
    </w:p>
    <w:p w14:paraId="38208B23" w14:textId="77777777" w:rsidR="00B52B99" w:rsidRDefault="00B52B99" w:rsidP="00B52B99">
      <w:pPr>
        <w:bidi/>
        <w:spacing w:line="360" w:lineRule="auto"/>
        <w:jc w:val="center"/>
        <w:rPr>
          <w:rFonts w:ascii="Traditional Arabic" w:eastAsia="Calibri" w:hAnsi="Traditional Arabic" w:cs="Traditional Arabic"/>
          <w:b/>
          <w:bCs/>
          <w:sz w:val="52"/>
          <w:szCs w:val="52"/>
          <w:rtl/>
        </w:rPr>
      </w:pPr>
    </w:p>
    <w:p w14:paraId="25C5C1AB" w14:textId="40471A80" w:rsidR="00B52B99" w:rsidRDefault="00B52B99" w:rsidP="00B52B99">
      <w:pPr>
        <w:bidi/>
        <w:spacing w:line="360" w:lineRule="auto"/>
        <w:jc w:val="center"/>
        <w:rPr>
          <w:rFonts w:ascii="Traditional Arabic" w:eastAsia="Calibri" w:hAnsi="Traditional Arabic" w:cs="Traditional Arabic"/>
          <w:b/>
          <w:bCs/>
          <w:sz w:val="52"/>
          <w:szCs w:val="52"/>
          <w:rtl/>
        </w:rPr>
      </w:pPr>
      <w:r w:rsidRPr="00B52B99">
        <w:rPr>
          <w:rFonts w:ascii="Simplified Arabic" w:eastAsia="Calibri" w:hAnsi="Simplified Arabic" w:cs="Simplified Arabic"/>
          <w:b/>
          <w:bCs/>
          <w:noProof/>
          <w:kern w:val="0"/>
          <w:sz w:val="28"/>
          <w:szCs w:val="28"/>
          <w:rtl/>
          <w:lang w:val="ar-SA"/>
          <w14:ligatures w14:val="none"/>
        </w:rPr>
        <w:drawing>
          <wp:inline distT="0" distB="0" distL="0" distR="0" wp14:anchorId="02D06DD4" wp14:editId="5412729B">
            <wp:extent cx="5274310" cy="19742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duotone>
                        <a:schemeClr val="accent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274310" cy="1974215"/>
                    </a:xfrm>
                    <a:prstGeom prst="rect">
                      <a:avLst/>
                    </a:prstGeom>
                  </pic:spPr>
                </pic:pic>
              </a:graphicData>
            </a:graphic>
          </wp:inline>
        </w:drawing>
      </w:r>
    </w:p>
    <w:p w14:paraId="5FBC87DC" w14:textId="77777777" w:rsidR="00B52B99" w:rsidRDefault="00B52B99" w:rsidP="00B52B99">
      <w:pPr>
        <w:bidi/>
        <w:spacing w:line="360" w:lineRule="auto"/>
        <w:jc w:val="center"/>
        <w:rPr>
          <w:rFonts w:ascii="Traditional Arabic" w:eastAsia="Calibri" w:hAnsi="Traditional Arabic" w:cs="Traditional Arabic"/>
          <w:b/>
          <w:bCs/>
          <w:sz w:val="52"/>
          <w:szCs w:val="52"/>
          <w:rtl/>
        </w:rPr>
      </w:pPr>
    </w:p>
    <w:p w14:paraId="5EFE2E8C" w14:textId="77777777" w:rsidR="00B52B99" w:rsidRDefault="00B52B99" w:rsidP="00B52B99">
      <w:pPr>
        <w:bidi/>
        <w:spacing w:line="360" w:lineRule="auto"/>
        <w:jc w:val="center"/>
        <w:rPr>
          <w:rFonts w:ascii="Traditional Arabic" w:eastAsia="Calibri" w:hAnsi="Traditional Arabic" w:cs="Traditional Arabic"/>
          <w:b/>
          <w:bCs/>
          <w:sz w:val="52"/>
          <w:szCs w:val="52"/>
          <w:rtl/>
        </w:rPr>
      </w:pPr>
    </w:p>
    <w:p w14:paraId="1003B211" w14:textId="77777777" w:rsidR="00B52B99" w:rsidRDefault="00B52B99" w:rsidP="00B52B99">
      <w:pPr>
        <w:bidi/>
        <w:spacing w:line="360" w:lineRule="auto"/>
        <w:jc w:val="center"/>
        <w:rPr>
          <w:rFonts w:ascii="Traditional Arabic" w:eastAsia="Calibri" w:hAnsi="Traditional Arabic" w:cs="Traditional Arabic"/>
          <w:b/>
          <w:bCs/>
          <w:sz w:val="52"/>
          <w:szCs w:val="52"/>
          <w:rtl/>
        </w:rPr>
      </w:pPr>
    </w:p>
    <w:p w14:paraId="4FE44B9F" w14:textId="77777777" w:rsidR="00B52B99" w:rsidRDefault="00B52B99" w:rsidP="00B52B99">
      <w:pPr>
        <w:bidi/>
        <w:spacing w:line="360" w:lineRule="auto"/>
        <w:jc w:val="center"/>
        <w:rPr>
          <w:rFonts w:ascii="Traditional Arabic" w:eastAsia="Calibri" w:hAnsi="Traditional Arabic" w:cs="Traditional Arabic"/>
          <w:b/>
          <w:bCs/>
          <w:sz w:val="52"/>
          <w:szCs w:val="52"/>
          <w:rtl/>
        </w:rPr>
      </w:pPr>
    </w:p>
    <w:p w14:paraId="31643E51" w14:textId="77777777" w:rsidR="00B52B99" w:rsidRPr="00B52B99" w:rsidRDefault="00B52B99" w:rsidP="00B52B99">
      <w:pPr>
        <w:bidi/>
        <w:spacing w:line="360" w:lineRule="auto"/>
        <w:jc w:val="center"/>
        <w:rPr>
          <w:rFonts w:ascii="Traditional Arabic" w:eastAsia="Calibri" w:hAnsi="Traditional Arabic" w:cs="DecoType Thuluth"/>
          <w:b/>
          <w:bCs/>
          <w:sz w:val="48"/>
          <w:szCs w:val="48"/>
          <w:rtl/>
        </w:rPr>
      </w:pPr>
      <w:r w:rsidRPr="00B52B99">
        <w:rPr>
          <w:rFonts w:ascii="Traditional Arabic" w:eastAsia="Calibri" w:hAnsi="Traditional Arabic" w:cs="DecoType Thuluth" w:hint="cs"/>
          <w:b/>
          <w:bCs/>
          <w:sz w:val="48"/>
          <w:szCs w:val="48"/>
          <w:rtl/>
        </w:rPr>
        <w:lastRenderedPageBreak/>
        <w:t>إهداء</w:t>
      </w:r>
    </w:p>
    <w:p w14:paraId="6DB77A7F" w14:textId="77777777" w:rsidR="00B52B99" w:rsidRPr="00B52B99" w:rsidRDefault="00B52B99" w:rsidP="00B52B99">
      <w:pPr>
        <w:bidi/>
        <w:spacing w:line="360" w:lineRule="auto"/>
        <w:jc w:val="center"/>
        <w:rPr>
          <w:rFonts w:ascii="Traditional Arabic" w:eastAsia="Calibri" w:hAnsi="Traditional Arabic" w:cs="Traditional Arabic"/>
          <w:sz w:val="40"/>
          <w:szCs w:val="40"/>
          <w:rtl/>
        </w:rPr>
      </w:pPr>
      <w:r w:rsidRPr="00B52B99">
        <w:rPr>
          <w:rFonts w:ascii="Traditional Arabic" w:eastAsia="Calibri" w:hAnsi="Traditional Arabic" w:cs="Traditional Arabic" w:hint="cs"/>
          <w:sz w:val="40"/>
          <w:szCs w:val="40"/>
          <w:rtl/>
        </w:rPr>
        <w:t>التي</w:t>
      </w:r>
      <w:r w:rsidRPr="00B52B99">
        <w:rPr>
          <w:rFonts w:ascii="Traditional Arabic" w:eastAsia="Calibri" w:hAnsi="Traditional Arabic" w:cs="Traditional Arabic"/>
          <w:sz w:val="40"/>
          <w:szCs w:val="40"/>
          <w:rtl/>
        </w:rPr>
        <w:t xml:space="preserve"> نقول لها بشراك</w:t>
      </w:r>
    </w:p>
    <w:p w14:paraId="32E34882" w14:textId="77777777" w:rsidR="00B52B99" w:rsidRPr="00B52B99" w:rsidRDefault="00B52B99" w:rsidP="00B52B99">
      <w:pPr>
        <w:bidi/>
        <w:spacing w:line="360" w:lineRule="auto"/>
        <w:jc w:val="center"/>
        <w:rPr>
          <w:rFonts w:ascii="Traditional Arabic" w:eastAsia="Calibri" w:hAnsi="Traditional Arabic" w:cs="Traditional Arabic"/>
          <w:sz w:val="40"/>
          <w:szCs w:val="40"/>
          <w:rtl/>
        </w:rPr>
      </w:pPr>
      <w:r w:rsidRPr="00B52B99">
        <w:rPr>
          <w:rFonts w:ascii="Traditional Arabic" w:eastAsia="Calibri" w:hAnsi="Traditional Arabic" w:cs="Traditional Arabic"/>
          <w:sz w:val="40"/>
          <w:szCs w:val="40"/>
          <w:rtl/>
        </w:rPr>
        <w:t>قول رسول الله صلى الله عليه وسلم</w:t>
      </w:r>
      <w:r w:rsidRPr="00B52B99">
        <w:rPr>
          <w:rFonts w:ascii="Traditional Arabic" w:eastAsia="Calibri" w:hAnsi="Traditional Arabic" w:cs="Traditional Arabic"/>
          <w:sz w:val="40"/>
          <w:szCs w:val="40"/>
        </w:rPr>
        <w:t>:</w:t>
      </w:r>
    </w:p>
    <w:p w14:paraId="54616C22" w14:textId="77777777" w:rsidR="00B52B99" w:rsidRPr="00B52B99" w:rsidRDefault="00B52B99" w:rsidP="00B52B99">
      <w:pPr>
        <w:bidi/>
        <w:spacing w:line="360" w:lineRule="auto"/>
        <w:jc w:val="center"/>
        <w:rPr>
          <w:rFonts w:ascii="Traditional Arabic" w:eastAsia="Calibri" w:hAnsi="Traditional Arabic" w:cs="Traditional Arabic"/>
          <w:sz w:val="40"/>
          <w:szCs w:val="40"/>
          <w:rtl/>
        </w:rPr>
      </w:pPr>
      <w:r w:rsidRPr="00B52B99">
        <w:rPr>
          <w:rFonts w:ascii="Traditional Arabic" w:eastAsia="Calibri" w:hAnsi="Traditional Arabic" w:cs="Traditional Arabic"/>
          <w:sz w:val="40"/>
          <w:szCs w:val="40"/>
        </w:rPr>
        <w:t>"</w:t>
      </w:r>
      <w:r w:rsidRPr="00B52B99">
        <w:rPr>
          <w:rFonts w:ascii="Traditional Arabic" w:eastAsia="Calibri" w:hAnsi="Traditional Arabic" w:cs="Traditional Arabic"/>
          <w:sz w:val="40"/>
          <w:szCs w:val="40"/>
          <w:rtl/>
        </w:rPr>
        <w:t>إن الحوت في البحر ،</w:t>
      </w:r>
    </w:p>
    <w:p w14:paraId="387E2413" w14:textId="77777777" w:rsidR="00B52B99" w:rsidRPr="00B52B99" w:rsidRDefault="00B52B99" w:rsidP="00B52B99">
      <w:pPr>
        <w:bidi/>
        <w:spacing w:line="360" w:lineRule="auto"/>
        <w:jc w:val="center"/>
        <w:rPr>
          <w:rFonts w:ascii="Traditional Arabic" w:eastAsia="Calibri" w:hAnsi="Traditional Arabic" w:cs="Traditional Arabic"/>
          <w:sz w:val="40"/>
          <w:szCs w:val="40"/>
          <w:rtl/>
        </w:rPr>
      </w:pPr>
      <w:r w:rsidRPr="00B52B99">
        <w:rPr>
          <w:rFonts w:ascii="Traditional Arabic" w:eastAsia="Calibri" w:hAnsi="Traditional Arabic" w:cs="Traditional Arabic"/>
          <w:sz w:val="40"/>
          <w:szCs w:val="40"/>
          <w:rtl/>
        </w:rPr>
        <w:t>والطير في السماء ،</w:t>
      </w:r>
    </w:p>
    <w:p w14:paraId="5A3AD0EE" w14:textId="77777777" w:rsidR="00B52B99" w:rsidRPr="00B52B99" w:rsidRDefault="00B52B99" w:rsidP="00B52B99">
      <w:pPr>
        <w:bidi/>
        <w:spacing w:line="360" w:lineRule="auto"/>
        <w:jc w:val="center"/>
        <w:rPr>
          <w:rFonts w:ascii="Traditional Arabic" w:eastAsia="Calibri" w:hAnsi="Traditional Arabic" w:cs="Traditional Arabic"/>
          <w:sz w:val="40"/>
          <w:szCs w:val="40"/>
          <w:rtl/>
        </w:rPr>
      </w:pPr>
      <w:r w:rsidRPr="00B52B99">
        <w:rPr>
          <w:rFonts w:ascii="Traditional Arabic" w:eastAsia="Calibri" w:hAnsi="Traditional Arabic" w:cs="Traditional Arabic"/>
          <w:sz w:val="40"/>
          <w:szCs w:val="40"/>
          <w:rtl/>
        </w:rPr>
        <w:t>ليصلون على معلم الناس الخير</w:t>
      </w:r>
      <w:r w:rsidRPr="00B52B99">
        <w:rPr>
          <w:rFonts w:ascii="Traditional Arabic" w:eastAsia="Calibri" w:hAnsi="Traditional Arabic" w:cs="Traditional Arabic"/>
          <w:sz w:val="40"/>
          <w:szCs w:val="40"/>
        </w:rPr>
        <w:t>"</w:t>
      </w:r>
    </w:p>
    <w:p w14:paraId="1D6E271C" w14:textId="77777777" w:rsidR="00B52B99" w:rsidRPr="00B52B99" w:rsidRDefault="00B52B99" w:rsidP="00B52B99">
      <w:pPr>
        <w:bidi/>
        <w:spacing w:line="360" w:lineRule="auto"/>
        <w:jc w:val="center"/>
        <w:rPr>
          <w:rFonts w:ascii="Traditional Arabic" w:eastAsia="Calibri" w:hAnsi="Traditional Arabic" w:cs="Traditional Arabic"/>
          <w:sz w:val="40"/>
          <w:szCs w:val="40"/>
          <w:rtl/>
        </w:rPr>
      </w:pPr>
      <w:r w:rsidRPr="00B52B99">
        <w:rPr>
          <w:rFonts w:ascii="Traditional Arabic" w:eastAsia="Calibri" w:hAnsi="Traditional Arabic" w:cs="Traditional Arabic"/>
          <w:sz w:val="40"/>
          <w:szCs w:val="40"/>
          <w:rtl/>
        </w:rPr>
        <w:t>والذي</w:t>
      </w:r>
      <w:r w:rsidRPr="00B52B99">
        <w:rPr>
          <w:rFonts w:ascii="Traditional Arabic" w:eastAsia="Calibri" w:hAnsi="Traditional Arabic" w:cs="Traditional Arabic"/>
          <w:sz w:val="40"/>
          <w:szCs w:val="40"/>
        </w:rPr>
        <w:t xml:space="preserve"> </w:t>
      </w:r>
      <w:r w:rsidRPr="00B52B99">
        <w:rPr>
          <w:rFonts w:ascii="Traditional Arabic" w:eastAsia="Calibri" w:hAnsi="Traditional Arabic" w:cs="Traditional Arabic"/>
          <w:sz w:val="40"/>
          <w:szCs w:val="40"/>
          <w:rtl/>
        </w:rPr>
        <w:t>علمنا التفاؤل والمضي إلى الأمام</w:t>
      </w:r>
      <w:r w:rsidRPr="00B52B99">
        <w:rPr>
          <w:rFonts w:ascii="Traditional Arabic" w:eastAsia="Calibri" w:hAnsi="Traditional Arabic" w:cs="Traditional Arabic"/>
          <w:sz w:val="40"/>
          <w:szCs w:val="40"/>
        </w:rPr>
        <w:t xml:space="preserve"> . . . </w:t>
      </w:r>
    </w:p>
    <w:p w14:paraId="25DF1F30" w14:textId="376B7253" w:rsidR="00B52B99" w:rsidRPr="00B52B99" w:rsidRDefault="00B52B99" w:rsidP="00B52B99">
      <w:pPr>
        <w:bidi/>
        <w:spacing w:line="360" w:lineRule="auto"/>
        <w:jc w:val="center"/>
        <w:rPr>
          <w:rFonts w:ascii="Traditional Arabic" w:eastAsia="Calibri" w:hAnsi="Traditional Arabic" w:cs="Traditional Arabic"/>
          <w:sz w:val="40"/>
          <w:szCs w:val="40"/>
          <w:rtl/>
        </w:rPr>
      </w:pPr>
      <w:r>
        <w:rPr>
          <w:rFonts w:ascii="Traditional Arabic" w:eastAsia="Calibri" w:hAnsi="Traditional Arabic" w:cs="Traditional Arabic" w:hint="cs"/>
          <w:sz w:val="40"/>
          <w:szCs w:val="40"/>
          <w:rtl/>
        </w:rPr>
        <w:t>الدكتور الفاضل</w:t>
      </w:r>
      <w:r w:rsidRPr="00B52B99">
        <w:rPr>
          <w:rFonts w:ascii="Traditional Arabic" w:eastAsia="Calibri" w:hAnsi="Traditional Arabic" w:cs="Traditional Arabic" w:hint="cs"/>
          <w:sz w:val="40"/>
          <w:szCs w:val="40"/>
          <w:rtl/>
        </w:rPr>
        <w:t>:</w:t>
      </w:r>
      <w:r w:rsidRPr="00B52B99">
        <w:rPr>
          <w:rtl/>
        </w:rPr>
        <w:t xml:space="preserve"> </w:t>
      </w:r>
      <w:r w:rsidRPr="00B52B99">
        <w:rPr>
          <w:rFonts w:ascii="Traditional Arabic" w:eastAsia="Calibri" w:hAnsi="Traditional Arabic" w:cs="Traditional Arabic"/>
          <w:sz w:val="40"/>
          <w:szCs w:val="40"/>
          <w:rtl/>
        </w:rPr>
        <w:t>الفيصل عبدالحميد محمد</w:t>
      </w:r>
      <w:r>
        <w:rPr>
          <w:rFonts w:ascii="Traditional Arabic" w:eastAsia="Calibri" w:hAnsi="Traditional Arabic" w:cs="Traditional Arabic" w:hint="cs"/>
          <w:sz w:val="40"/>
          <w:szCs w:val="40"/>
          <w:rtl/>
        </w:rPr>
        <w:t xml:space="preserve"> ودكتور: </w:t>
      </w:r>
      <w:r w:rsidRPr="00B52B99">
        <w:rPr>
          <w:rFonts w:ascii="Traditional Arabic" w:eastAsia="Calibri" w:hAnsi="Traditional Arabic" w:cs="Traditional Arabic"/>
          <w:sz w:val="40"/>
          <w:szCs w:val="40"/>
          <w:rtl/>
        </w:rPr>
        <w:t>فايز علي جراد</w:t>
      </w:r>
    </w:p>
    <w:p w14:paraId="25550F83" w14:textId="77777777" w:rsidR="00B52B99" w:rsidRDefault="00B52B99" w:rsidP="00B52B99">
      <w:pPr>
        <w:bidi/>
        <w:spacing w:line="360" w:lineRule="auto"/>
        <w:jc w:val="center"/>
        <w:rPr>
          <w:rFonts w:ascii="Traditional Arabic" w:eastAsia="Calibri" w:hAnsi="Traditional Arabic" w:cs="Traditional Arabic"/>
          <w:sz w:val="40"/>
          <w:szCs w:val="40"/>
          <w:rtl/>
        </w:rPr>
      </w:pPr>
    </w:p>
    <w:p w14:paraId="18155094" w14:textId="77777777" w:rsidR="00B52B99" w:rsidRDefault="00B52B99" w:rsidP="00B52B99">
      <w:pPr>
        <w:bidi/>
        <w:spacing w:line="360" w:lineRule="auto"/>
        <w:jc w:val="center"/>
        <w:rPr>
          <w:rFonts w:ascii="Traditional Arabic" w:eastAsia="Calibri" w:hAnsi="Traditional Arabic" w:cs="Traditional Arabic"/>
          <w:sz w:val="40"/>
          <w:szCs w:val="40"/>
          <w:rtl/>
        </w:rPr>
      </w:pPr>
    </w:p>
    <w:p w14:paraId="7AD3B398" w14:textId="77777777" w:rsidR="00B52B99" w:rsidRDefault="00B52B99" w:rsidP="00B52B99">
      <w:pPr>
        <w:bidi/>
        <w:spacing w:line="360" w:lineRule="auto"/>
        <w:jc w:val="center"/>
        <w:rPr>
          <w:rFonts w:ascii="Traditional Arabic" w:eastAsia="Calibri" w:hAnsi="Traditional Arabic" w:cs="Traditional Arabic"/>
          <w:sz w:val="40"/>
          <w:szCs w:val="40"/>
          <w:rtl/>
        </w:rPr>
      </w:pPr>
    </w:p>
    <w:p w14:paraId="0F4CB3AD" w14:textId="77777777" w:rsidR="00B52B99" w:rsidRDefault="00B52B99" w:rsidP="00B52B99">
      <w:pPr>
        <w:bidi/>
        <w:spacing w:line="360" w:lineRule="auto"/>
        <w:jc w:val="center"/>
        <w:rPr>
          <w:rFonts w:ascii="Traditional Arabic" w:eastAsia="Calibri" w:hAnsi="Traditional Arabic" w:cs="Traditional Arabic"/>
          <w:sz w:val="40"/>
          <w:szCs w:val="40"/>
          <w:rtl/>
        </w:rPr>
      </w:pPr>
    </w:p>
    <w:p w14:paraId="65FE78C7" w14:textId="77777777" w:rsidR="00B52B99" w:rsidRDefault="00B52B99" w:rsidP="00B52B99">
      <w:pPr>
        <w:bidi/>
        <w:spacing w:line="360" w:lineRule="auto"/>
        <w:jc w:val="center"/>
        <w:rPr>
          <w:rFonts w:ascii="Traditional Arabic" w:eastAsia="Calibri" w:hAnsi="Traditional Arabic" w:cs="Traditional Arabic"/>
          <w:sz w:val="40"/>
          <w:szCs w:val="40"/>
          <w:rtl/>
        </w:rPr>
      </w:pPr>
    </w:p>
    <w:p w14:paraId="69A9A24B" w14:textId="77777777" w:rsidR="00B52B99" w:rsidRPr="00B52B99" w:rsidRDefault="00B52B99" w:rsidP="00B52B99">
      <w:pPr>
        <w:bidi/>
        <w:spacing w:line="360" w:lineRule="auto"/>
        <w:jc w:val="center"/>
        <w:rPr>
          <w:rFonts w:ascii="Andalus" w:eastAsia="Calibri" w:hAnsi="Andalus" w:cs="Andalus"/>
          <w:b/>
          <w:bCs/>
          <w:sz w:val="48"/>
          <w:szCs w:val="48"/>
          <w:rtl/>
        </w:rPr>
      </w:pPr>
      <w:bookmarkStart w:id="0" w:name="_Toc100912519"/>
      <w:r w:rsidRPr="00B52B99">
        <w:rPr>
          <w:rFonts w:ascii="Andalus" w:eastAsia="Calibri" w:hAnsi="Andalus" w:cs="Andalus"/>
          <w:b/>
          <w:bCs/>
          <w:sz w:val="48"/>
          <w:szCs w:val="48"/>
          <w:rtl/>
        </w:rPr>
        <w:lastRenderedPageBreak/>
        <w:t>الشكر والتقدير</w:t>
      </w:r>
      <w:bookmarkEnd w:id="0"/>
    </w:p>
    <w:p w14:paraId="2BC40FE2" w14:textId="77777777" w:rsidR="00B52B99" w:rsidRPr="00B52B99" w:rsidRDefault="00B52B99" w:rsidP="00B52B99">
      <w:pPr>
        <w:bidi/>
        <w:spacing w:line="360" w:lineRule="auto"/>
        <w:jc w:val="center"/>
        <w:rPr>
          <w:rFonts w:ascii="Traditional Arabic" w:eastAsia="Calibri" w:hAnsi="Traditional Arabic" w:cs="Traditional Arabic"/>
          <w:sz w:val="40"/>
          <w:szCs w:val="40"/>
        </w:rPr>
      </w:pPr>
      <w:r w:rsidRPr="00B52B99">
        <w:rPr>
          <w:rFonts w:ascii="Traditional Arabic" w:eastAsia="Calibri" w:hAnsi="Traditional Arabic" w:cs="Traditional Arabic"/>
          <w:sz w:val="40"/>
          <w:szCs w:val="40"/>
          <w:rtl/>
        </w:rPr>
        <w:t>الشكر والحمد الله جل جلاله</w:t>
      </w:r>
    </w:p>
    <w:p w14:paraId="1BA21583" w14:textId="77777777" w:rsidR="00B52B99" w:rsidRPr="00B52B99" w:rsidRDefault="00B52B99" w:rsidP="00B52B99">
      <w:pPr>
        <w:bidi/>
        <w:spacing w:line="360" w:lineRule="auto"/>
        <w:jc w:val="center"/>
        <w:rPr>
          <w:rFonts w:ascii="Traditional Arabic" w:eastAsia="Calibri" w:hAnsi="Traditional Arabic" w:cs="Traditional Arabic"/>
          <w:sz w:val="40"/>
          <w:szCs w:val="40"/>
          <w:rtl/>
        </w:rPr>
      </w:pPr>
      <w:r w:rsidRPr="00B52B99">
        <w:rPr>
          <w:rFonts w:ascii="Traditional Arabic" w:eastAsia="Calibri" w:hAnsi="Traditional Arabic" w:cs="Traditional Arabic"/>
          <w:sz w:val="40"/>
          <w:szCs w:val="40"/>
          <w:rtl/>
        </w:rPr>
        <w:t xml:space="preserve">وأشكر جميع من ساهم في إتمام هذا البحث </w:t>
      </w:r>
    </w:p>
    <w:p w14:paraId="34201636" w14:textId="6DEFA225" w:rsidR="00B52B99" w:rsidRPr="00B52B99" w:rsidRDefault="00B52B99" w:rsidP="00B52B99">
      <w:pPr>
        <w:bidi/>
        <w:spacing w:line="360" w:lineRule="auto"/>
        <w:jc w:val="center"/>
        <w:rPr>
          <w:rFonts w:ascii="Traditional Arabic" w:eastAsia="Calibri" w:hAnsi="Traditional Arabic" w:cs="Traditional Arabic"/>
          <w:sz w:val="40"/>
          <w:szCs w:val="40"/>
        </w:rPr>
      </w:pPr>
      <w:r w:rsidRPr="00B52B99">
        <w:rPr>
          <w:rFonts w:ascii="Traditional Arabic" w:eastAsia="Calibri" w:hAnsi="Traditional Arabic" w:cs="Traditional Arabic" w:hint="cs"/>
          <w:sz w:val="40"/>
          <w:szCs w:val="40"/>
          <w:rtl/>
        </w:rPr>
        <w:t xml:space="preserve">وخاصة الدكتور </w:t>
      </w:r>
      <w:r w:rsidRPr="00B52B99">
        <w:rPr>
          <w:rFonts w:ascii="Traditional Arabic" w:eastAsia="Calibri" w:hAnsi="Traditional Arabic" w:cs="Traditional Arabic"/>
          <w:sz w:val="40"/>
          <w:szCs w:val="40"/>
          <w:rtl/>
        </w:rPr>
        <w:t>الفيصل عبدالحميد محمد ودكتور: فايز علي جراد</w:t>
      </w:r>
    </w:p>
    <w:p w14:paraId="4E00E45E" w14:textId="77777777" w:rsidR="00B52B99" w:rsidRPr="00B52B99" w:rsidRDefault="00B52B99" w:rsidP="00B52B99">
      <w:pPr>
        <w:bidi/>
        <w:spacing w:line="360" w:lineRule="auto"/>
        <w:jc w:val="center"/>
        <w:rPr>
          <w:rFonts w:ascii="Traditional Arabic" w:eastAsia="Calibri" w:hAnsi="Traditional Arabic" w:cs="Traditional Arabic"/>
          <w:sz w:val="40"/>
          <w:szCs w:val="40"/>
          <w:rtl/>
        </w:rPr>
      </w:pPr>
      <w:r w:rsidRPr="00B52B99">
        <w:rPr>
          <w:rFonts w:ascii="Traditional Arabic" w:eastAsia="Calibri" w:hAnsi="Traditional Arabic" w:cs="Traditional Arabic"/>
          <w:sz w:val="40"/>
          <w:szCs w:val="40"/>
          <w:rtl/>
        </w:rPr>
        <w:t>وأسأل الله يرزقهم سعادة غير فانية</w:t>
      </w:r>
    </w:p>
    <w:p w14:paraId="1345C052" w14:textId="77777777" w:rsidR="00B52B99" w:rsidRPr="00B52B99" w:rsidRDefault="00B52B99" w:rsidP="00B52B99">
      <w:pPr>
        <w:bidi/>
        <w:spacing w:line="360" w:lineRule="auto"/>
        <w:jc w:val="center"/>
        <w:rPr>
          <w:rFonts w:ascii="Traditional Arabic" w:eastAsia="Calibri" w:hAnsi="Traditional Arabic" w:cs="Traditional Arabic"/>
          <w:sz w:val="40"/>
          <w:szCs w:val="40"/>
        </w:rPr>
      </w:pPr>
      <w:r w:rsidRPr="00B52B99">
        <w:rPr>
          <w:rFonts w:ascii="Traditional Arabic" w:eastAsia="Calibri" w:hAnsi="Traditional Arabic" w:cs="Traditional Arabic"/>
          <w:sz w:val="40"/>
          <w:szCs w:val="40"/>
          <w:rtl/>
        </w:rPr>
        <w:t>وأقول</w:t>
      </w:r>
      <w:r w:rsidRPr="00B52B99">
        <w:rPr>
          <w:rFonts w:ascii="Traditional Arabic" w:eastAsia="Calibri" w:hAnsi="Traditional Arabic" w:cs="Traditional Arabic"/>
          <w:sz w:val="40"/>
          <w:szCs w:val="40"/>
        </w:rPr>
        <w:t>:</w:t>
      </w:r>
    </w:p>
    <w:p w14:paraId="75EFB8EA" w14:textId="77777777" w:rsidR="00B52B99" w:rsidRPr="00B52B99" w:rsidRDefault="00B52B99" w:rsidP="00B52B99">
      <w:pPr>
        <w:bidi/>
        <w:spacing w:line="360" w:lineRule="auto"/>
        <w:jc w:val="center"/>
        <w:rPr>
          <w:rFonts w:ascii="Traditional Arabic" w:eastAsia="Calibri" w:hAnsi="Traditional Arabic" w:cs="Traditional Arabic"/>
          <w:sz w:val="40"/>
          <w:szCs w:val="40"/>
        </w:rPr>
      </w:pPr>
      <w:r w:rsidRPr="00B52B99">
        <w:rPr>
          <w:rFonts w:ascii="Traditional Arabic" w:eastAsia="Calibri" w:hAnsi="Traditional Arabic" w:cs="Traditional Arabic"/>
          <w:sz w:val="40"/>
          <w:szCs w:val="40"/>
          <w:rtl/>
        </w:rPr>
        <w:t>وأهنئ نفسي لأني قد حظــيت</w:t>
      </w:r>
      <w:r w:rsidRPr="00B52B99">
        <w:rPr>
          <w:rFonts w:ascii="Traditional Arabic" w:eastAsia="Calibri" w:hAnsi="Traditional Arabic" w:cs="Traditional Arabic"/>
          <w:sz w:val="40"/>
          <w:szCs w:val="40"/>
        </w:rPr>
        <w:t xml:space="preserve">    </w:t>
      </w:r>
      <w:r w:rsidRPr="00B52B99">
        <w:rPr>
          <w:rFonts w:ascii="Traditional Arabic" w:eastAsia="Calibri" w:hAnsi="Traditional Arabic" w:cs="Traditional Arabic"/>
          <w:sz w:val="40"/>
          <w:szCs w:val="40"/>
        </w:rPr>
        <w:tab/>
      </w:r>
      <w:r w:rsidRPr="00B52B99">
        <w:rPr>
          <w:rFonts w:ascii="Traditional Arabic" w:eastAsia="Calibri" w:hAnsi="Traditional Arabic" w:cs="Traditional Arabic"/>
          <w:sz w:val="40"/>
          <w:szCs w:val="40"/>
        </w:rPr>
        <w:tab/>
      </w:r>
      <w:r w:rsidRPr="00B52B99">
        <w:rPr>
          <w:rFonts w:ascii="Traditional Arabic" w:eastAsia="Calibri" w:hAnsi="Traditional Arabic" w:cs="Traditional Arabic"/>
          <w:sz w:val="40"/>
          <w:szCs w:val="40"/>
          <w:rtl/>
        </w:rPr>
        <w:t xml:space="preserve"> بجـمع إخـــوانٍ كظـــــــلٍ وارفِ</w:t>
      </w:r>
    </w:p>
    <w:p w14:paraId="0895F2E1" w14:textId="77777777" w:rsidR="00B52B99" w:rsidRPr="00B52B99" w:rsidRDefault="00B52B99" w:rsidP="00B52B99">
      <w:pPr>
        <w:bidi/>
        <w:spacing w:line="360" w:lineRule="auto"/>
        <w:jc w:val="center"/>
        <w:rPr>
          <w:rFonts w:ascii="Traditional Arabic" w:eastAsia="Calibri" w:hAnsi="Traditional Arabic" w:cs="Traditional Arabic"/>
          <w:sz w:val="40"/>
          <w:szCs w:val="40"/>
        </w:rPr>
      </w:pPr>
      <w:r w:rsidRPr="00B52B99">
        <w:rPr>
          <w:rFonts w:ascii="Traditional Arabic" w:eastAsia="Calibri" w:hAnsi="Traditional Arabic" w:cs="Traditional Arabic"/>
          <w:sz w:val="40"/>
          <w:szCs w:val="40"/>
          <w:rtl/>
        </w:rPr>
        <w:t xml:space="preserve">شكرا لكم يرعاكم رب السمـاء </w:t>
      </w:r>
      <w:r w:rsidRPr="00B52B99">
        <w:rPr>
          <w:rFonts w:ascii="Traditional Arabic" w:eastAsia="Calibri" w:hAnsi="Traditional Arabic" w:cs="Traditional Arabic"/>
          <w:sz w:val="40"/>
          <w:szCs w:val="40"/>
        </w:rPr>
        <w:tab/>
      </w:r>
      <w:r w:rsidRPr="00B52B99">
        <w:rPr>
          <w:rFonts w:ascii="Traditional Arabic" w:eastAsia="Calibri" w:hAnsi="Traditional Arabic" w:cs="Traditional Arabic"/>
          <w:sz w:val="40"/>
          <w:szCs w:val="40"/>
        </w:rPr>
        <w:tab/>
      </w:r>
      <w:r w:rsidRPr="00B52B99">
        <w:rPr>
          <w:rFonts w:ascii="Traditional Arabic" w:eastAsia="Calibri" w:hAnsi="Traditional Arabic" w:cs="Traditional Arabic"/>
          <w:sz w:val="40"/>
          <w:szCs w:val="40"/>
          <w:rtl/>
        </w:rPr>
        <w:t>كونوا كـجســــدٍ واحــدٍ متكــــاتفِ</w:t>
      </w:r>
    </w:p>
    <w:p w14:paraId="4C3D6071" w14:textId="77777777" w:rsidR="00B52B99" w:rsidRDefault="00B52B99" w:rsidP="00F63DA0">
      <w:pPr>
        <w:bidi/>
        <w:spacing w:line="360" w:lineRule="auto"/>
        <w:jc w:val="left"/>
        <w:rPr>
          <w:rFonts w:ascii="Traditional Arabic" w:eastAsia="Calibri" w:hAnsi="Traditional Arabic" w:cs="Traditional Arabic"/>
          <w:sz w:val="40"/>
          <w:szCs w:val="40"/>
          <w:rtl/>
        </w:rPr>
      </w:pPr>
    </w:p>
    <w:p w14:paraId="1B2EC070" w14:textId="77777777" w:rsidR="00F63DA0" w:rsidRDefault="00F63DA0" w:rsidP="00F63DA0">
      <w:pPr>
        <w:bidi/>
        <w:spacing w:line="360" w:lineRule="auto"/>
        <w:jc w:val="left"/>
        <w:rPr>
          <w:rFonts w:ascii="Traditional Arabic" w:eastAsia="Calibri" w:hAnsi="Traditional Arabic" w:cs="Traditional Arabic"/>
          <w:sz w:val="40"/>
          <w:szCs w:val="40"/>
          <w:rtl/>
        </w:rPr>
      </w:pPr>
    </w:p>
    <w:p w14:paraId="73F5E2C7" w14:textId="77777777" w:rsidR="00F63DA0" w:rsidRDefault="00F63DA0" w:rsidP="00F63DA0">
      <w:pPr>
        <w:bidi/>
        <w:spacing w:line="360" w:lineRule="auto"/>
        <w:jc w:val="left"/>
        <w:rPr>
          <w:rFonts w:ascii="Traditional Arabic" w:eastAsia="Calibri" w:hAnsi="Traditional Arabic" w:cs="Traditional Arabic"/>
          <w:sz w:val="40"/>
          <w:szCs w:val="40"/>
          <w:rtl/>
        </w:rPr>
      </w:pPr>
    </w:p>
    <w:p w14:paraId="02BD8430" w14:textId="77777777" w:rsidR="00F63DA0" w:rsidRDefault="00F63DA0" w:rsidP="00F63DA0">
      <w:pPr>
        <w:bidi/>
        <w:spacing w:line="360" w:lineRule="auto"/>
        <w:jc w:val="left"/>
        <w:rPr>
          <w:rFonts w:ascii="Traditional Arabic" w:eastAsia="Calibri" w:hAnsi="Traditional Arabic" w:cs="Traditional Arabic"/>
          <w:sz w:val="40"/>
          <w:szCs w:val="40"/>
          <w:rtl/>
        </w:rPr>
      </w:pPr>
    </w:p>
    <w:p w14:paraId="705D5361" w14:textId="77777777" w:rsidR="00F63DA0" w:rsidRDefault="00F63DA0" w:rsidP="00F63DA0">
      <w:pPr>
        <w:bidi/>
        <w:spacing w:line="360" w:lineRule="auto"/>
        <w:jc w:val="left"/>
        <w:rPr>
          <w:rFonts w:ascii="Traditional Arabic" w:eastAsia="Calibri" w:hAnsi="Traditional Arabic" w:cs="Traditional Arabic"/>
          <w:sz w:val="40"/>
          <w:szCs w:val="40"/>
          <w:rtl/>
        </w:rPr>
      </w:pPr>
    </w:p>
    <w:p w14:paraId="1BAD05DF" w14:textId="77777777" w:rsidR="00F63DA0" w:rsidRPr="00F63DA0" w:rsidRDefault="00F63DA0" w:rsidP="00F63DA0">
      <w:pPr>
        <w:bidi/>
        <w:spacing w:line="276" w:lineRule="auto"/>
        <w:jc w:val="center"/>
        <w:rPr>
          <w:rFonts w:ascii="Traditional Arabic" w:eastAsia="Calibri" w:hAnsi="Traditional Arabic" w:cs="Traditional Arabic"/>
          <w:b/>
          <w:bCs/>
          <w:sz w:val="32"/>
          <w:szCs w:val="32"/>
        </w:rPr>
      </w:pPr>
      <w:r w:rsidRPr="00F63DA0">
        <w:rPr>
          <w:rFonts w:ascii="Traditional Arabic" w:eastAsia="Calibri" w:hAnsi="Traditional Arabic" w:cs="Traditional Arabic"/>
          <w:b/>
          <w:bCs/>
          <w:sz w:val="32"/>
          <w:szCs w:val="32"/>
          <w:rtl/>
        </w:rPr>
        <w:lastRenderedPageBreak/>
        <w:t>ملخص الدراسة</w:t>
      </w:r>
    </w:p>
    <w:p w14:paraId="08ACFFC1" w14:textId="0AAD26B4" w:rsidR="00F63DA0" w:rsidRPr="00F63DA0" w:rsidRDefault="00F63DA0" w:rsidP="00F63DA0">
      <w:pPr>
        <w:bidi/>
        <w:spacing w:line="276" w:lineRule="auto"/>
        <w:rPr>
          <w:rFonts w:ascii="Traditional Arabic" w:eastAsia="Calibri" w:hAnsi="Traditional Arabic" w:cs="Traditional Arabic"/>
          <w:sz w:val="32"/>
          <w:szCs w:val="32"/>
        </w:rPr>
      </w:pPr>
      <w:r w:rsidRPr="00F63DA0">
        <w:rPr>
          <w:rFonts w:ascii="Traditional Arabic" w:eastAsia="Calibri" w:hAnsi="Traditional Arabic" w:cs="Traditional Arabic"/>
          <w:sz w:val="32"/>
          <w:szCs w:val="32"/>
          <w:rtl/>
        </w:rPr>
        <w:t>تهدف هذه الدراسة إلى تسليط الضوء على إدارة المخاطر في التمويل المصرفي، من خلال تحليل طبيعة المخاطر التي تواجه المصارف، ومدى تأثيرها على أدائها المالي واستقرارها. ونظرًا لأهمية النظام المصرفي في الاقتصاد، فإن المخاطر المصرفية تشكل تحديًا رئيسيًا يستوجب استخدام استراتيجيات وأدوات متقدمة للتعامل معها بفعالية</w:t>
      </w:r>
      <w:r w:rsidRPr="00F63DA0">
        <w:rPr>
          <w:rFonts w:ascii="Traditional Arabic" w:eastAsia="Calibri" w:hAnsi="Traditional Arabic" w:cs="Traditional Arabic"/>
          <w:sz w:val="32"/>
          <w:szCs w:val="32"/>
        </w:rPr>
        <w:t>.</w:t>
      </w:r>
      <w:r>
        <w:rPr>
          <w:rFonts w:ascii="Traditional Arabic" w:eastAsia="Calibri" w:hAnsi="Traditional Arabic" w:cs="Traditional Arabic" w:hint="cs"/>
          <w:sz w:val="32"/>
          <w:szCs w:val="32"/>
          <w:rtl/>
        </w:rPr>
        <w:t xml:space="preserve"> و</w:t>
      </w:r>
      <w:r w:rsidRPr="00F63DA0">
        <w:rPr>
          <w:rFonts w:ascii="Traditional Arabic" w:eastAsia="Calibri" w:hAnsi="Traditional Arabic" w:cs="Traditional Arabic"/>
          <w:sz w:val="32"/>
          <w:szCs w:val="32"/>
          <w:rtl/>
        </w:rPr>
        <w:t>تناولت الدراسة مفهوم المخاطر المصرفية، وأهم أنواعها، مثل المخاطر الائتمانية، مخاطر السيولة، مخاطر السوق، والمخاطر التشغيلية، بالإضافة إلى المخاطر القانونية والمخاطر الإلكترونية التي زادت مع التحول الرقمي في العمليات المصرفية. كما استعرضت الدراسة أهم النظريات المتعلقة بإدارة المخاطر، مثل نظرية المحفظة الحديثة، نظرية القيمة المعرضة للخطر</w:t>
      </w:r>
      <w:r w:rsidRPr="00F63DA0">
        <w:rPr>
          <w:rFonts w:ascii="Traditional Arabic" w:eastAsia="Calibri" w:hAnsi="Traditional Arabic" w:cs="Traditional Arabic"/>
          <w:sz w:val="32"/>
          <w:szCs w:val="32"/>
        </w:rPr>
        <w:t xml:space="preserve"> (VaR)</w:t>
      </w:r>
      <w:r w:rsidRPr="00F63DA0">
        <w:rPr>
          <w:rFonts w:ascii="Traditional Arabic" w:eastAsia="Calibri" w:hAnsi="Traditional Arabic" w:cs="Traditional Arabic"/>
          <w:sz w:val="32"/>
          <w:szCs w:val="32"/>
          <w:rtl/>
        </w:rPr>
        <w:t>، ونظرية كفاية رأس المال وفقًا لاتفاقيات لجنة بازل</w:t>
      </w:r>
      <w:r w:rsidRPr="00F63DA0">
        <w:rPr>
          <w:rFonts w:ascii="Traditional Arabic" w:eastAsia="Calibri" w:hAnsi="Traditional Arabic" w:cs="Traditional Arabic"/>
          <w:sz w:val="32"/>
          <w:szCs w:val="32"/>
        </w:rPr>
        <w:t>.</w:t>
      </w:r>
    </w:p>
    <w:p w14:paraId="70B6E3BB" w14:textId="6BBBB7D1" w:rsidR="00F63DA0" w:rsidRPr="00F63DA0" w:rsidRDefault="00F63DA0" w:rsidP="00F63DA0">
      <w:pPr>
        <w:bidi/>
        <w:spacing w:line="276" w:lineRule="auto"/>
        <w:rPr>
          <w:rFonts w:ascii="Traditional Arabic" w:eastAsia="Calibri" w:hAnsi="Traditional Arabic" w:cs="Traditional Arabic"/>
          <w:sz w:val="32"/>
          <w:szCs w:val="32"/>
        </w:rPr>
      </w:pPr>
      <w:r w:rsidRPr="00F63DA0">
        <w:rPr>
          <w:rFonts w:ascii="Traditional Arabic" w:eastAsia="Calibri" w:hAnsi="Traditional Arabic" w:cs="Traditional Arabic"/>
          <w:sz w:val="32"/>
          <w:szCs w:val="32"/>
          <w:rtl/>
        </w:rPr>
        <w:t>اعتمدت الدراسة على المنهج الوصفي التحليلي لتحليل البيانات والمعلومات المتعلقة بإدارة المخاطر المصرفية، بالإضافة إلى مراجعة الدراسات السابقة التي تناولت هذا الموضوع. وقد توصلت الدراسة إلى مجموعة من الاستنتاجات المهمة، أبرزها أن إدارة المخاطر المصرفية تلعب دورًا محوريًا في تحقيق الاستقرار المالي للمصارف، وأن المخاطر الائتمانية تعد من أكثر المخاطر تأثيرًا على أداء المصارف، مما يستوجب تطوير معايير دقيقة لمنح الائتمان. كما أكدت الدراسة أن التوازن بين تحقيق السيولة والربحية يعد تحديًا أساسيًا يجب على المصارف التعامل معه بذكاء</w:t>
      </w:r>
      <w:r w:rsidRPr="00F63DA0">
        <w:rPr>
          <w:rFonts w:ascii="Traditional Arabic" w:eastAsia="Calibri" w:hAnsi="Traditional Arabic" w:cs="Traditional Arabic"/>
          <w:sz w:val="32"/>
          <w:szCs w:val="32"/>
        </w:rPr>
        <w:t>.</w:t>
      </w:r>
      <w:r>
        <w:rPr>
          <w:rFonts w:ascii="Traditional Arabic" w:eastAsia="Calibri" w:hAnsi="Traditional Arabic" w:cs="Traditional Arabic" w:hint="cs"/>
          <w:sz w:val="32"/>
          <w:szCs w:val="32"/>
          <w:rtl/>
        </w:rPr>
        <w:t xml:space="preserve"> </w:t>
      </w:r>
      <w:r w:rsidRPr="00F63DA0">
        <w:rPr>
          <w:rFonts w:ascii="Traditional Arabic" w:eastAsia="Calibri" w:hAnsi="Traditional Arabic" w:cs="Traditional Arabic"/>
          <w:sz w:val="32"/>
          <w:szCs w:val="32"/>
          <w:rtl/>
        </w:rPr>
        <w:t>بناءً على هذه النتائج، قدمت الدراسة عددًا من التوصيات، من أهمها</w:t>
      </w:r>
      <w:r w:rsidRPr="00F63DA0">
        <w:rPr>
          <w:rFonts w:ascii="Traditional Arabic" w:eastAsia="Calibri" w:hAnsi="Traditional Arabic" w:cs="Traditional Arabic"/>
          <w:sz w:val="32"/>
          <w:szCs w:val="32"/>
        </w:rPr>
        <w:t>:</w:t>
      </w:r>
      <w:r>
        <w:rPr>
          <w:rFonts w:ascii="Traditional Arabic" w:eastAsia="Calibri" w:hAnsi="Traditional Arabic" w:cs="Traditional Arabic" w:hint="cs"/>
          <w:sz w:val="32"/>
          <w:szCs w:val="32"/>
          <w:rtl/>
        </w:rPr>
        <w:t xml:space="preserve"> </w:t>
      </w:r>
      <w:r w:rsidRPr="00F63DA0">
        <w:rPr>
          <w:rFonts w:ascii="Traditional Arabic" w:eastAsia="Calibri" w:hAnsi="Traditional Arabic" w:cs="Traditional Arabic"/>
          <w:sz w:val="32"/>
          <w:szCs w:val="32"/>
          <w:rtl/>
        </w:rPr>
        <w:t>تعزيز نظم إدارة المخاطر في المصارف من خلال إنشاء وحدات متخصصة وتحسين نظم الرقابة الداخلية</w:t>
      </w:r>
      <w:r w:rsidRPr="00F63DA0">
        <w:rPr>
          <w:rFonts w:ascii="Traditional Arabic" w:eastAsia="Calibri" w:hAnsi="Traditional Arabic" w:cs="Traditional Arabic"/>
          <w:sz w:val="32"/>
          <w:szCs w:val="32"/>
        </w:rPr>
        <w:t>.</w:t>
      </w:r>
      <w:r>
        <w:rPr>
          <w:rFonts w:ascii="Traditional Arabic" w:eastAsia="Calibri" w:hAnsi="Traditional Arabic" w:cs="Traditional Arabic" w:hint="cs"/>
          <w:sz w:val="32"/>
          <w:szCs w:val="32"/>
          <w:rtl/>
        </w:rPr>
        <w:t xml:space="preserve"> و</w:t>
      </w:r>
      <w:r w:rsidRPr="00F63DA0">
        <w:rPr>
          <w:rFonts w:ascii="Traditional Arabic" w:eastAsia="Calibri" w:hAnsi="Traditional Arabic" w:cs="Traditional Arabic"/>
          <w:sz w:val="32"/>
          <w:szCs w:val="32"/>
          <w:rtl/>
        </w:rPr>
        <w:t>الالتزام بمعايير لجنة بازل لضمان كفاية رأس المال وتقليل التعرض للمخاطر</w:t>
      </w:r>
      <w:r w:rsidRPr="00F63DA0">
        <w:rPr>
          <w:rFonts w:ascii="Traditional Arabic" w:eastAsia="Calibri" w:hAnsi="Traditional Arabic" w:cs="Traditional Arabic"/>
          <w:sz w:val="32"/>
          <w:szCs w:val="32"/>
        </w:rPr>
        <w:t>.</w:t>
      </w:r>
      <w:r w:rsidRPr="00F63DA0">
        <w:rPr>
          <w:rFonts w:ascii="Traditional Arabic" w:eastAsia="Calibri" w:hAnsi="Traditional Arabic" w:cs="Traditional Arabic"/>
          <w:sz w:val="32"/>
          <w:szCs w:val="32"/>
        </w:rPr>
        <w:br/>
      </w:r>
    </w:p>
    <w:p w14:paraId="334B7126" w14:textId="77777777" w:rsidR="00F63DA0" w:rsidRPr="00F63DA0" w:rsidRDefault="00F63DA0" w:rsidP="00F63DA0">
      <w:pPr>
        <w:bidi/>
        <w:spacing w:line="276" w:lineRule="auto"/>
        <w:rPr>
          <w:rFonts w:ascii="Traditional Arabic" w:eastAsia="Calibri" w:hAnsi="Traditional Arabic" w:cs="Traditional Arabic"/>
          <w:b/>
          <w:bCs/>
          <w:sz w:val="32"/>
          <w:szCs w:val="32"/>
        </w:rPr>
      </w:pPr>
      <w:r w:rsidRPr="00F63DA0">
        <w:rPr>
          <w:rFonts w:ascii="Traditional Arabic" w:eastAsia="Calibri" w:hAnsi="Traditional Arabic" w:cs="Traditional Arabic"/>
          <w:b/>
          <w:bCs/>
          <w:sz w:val="32"/>
          <w:szCs w:val="32"/>
          <w:rtl/>
        </w:rPr>
        <w:t>الكلمات المفتاحية</w:t>
      </w:r>
      <w:r w:rsidRPr="00F63DA0">
        <w:rPr>
          <w:rFonts w:ascii="Traditional Arabic" w:eastAsia="Calibri" w:hAnsi="Traditional Arabic" w:cs="Traditional Arabic"/>
          <w:b/>
          <w:bCs/>
          <w:sz w:val="32"/>
          <w:szCs w:val="32"/>
        </w:rPr>
        <w:t>:</w:t>
      </w:r>
    </w:p>
    <w:p w14:paraId="70408E27" w14:textId="77777777" w:rsidR="00F63DA0" w:rsidRPr="00F63DA0" w:rsidRDefault="00F63DA0" w:rsidP="00F63DA0">
      <w:pPr>
        <w:bidi/>
        <w:spacing w:line="276" w:lineRule="auto"/>
        <w:rPr>
          <w:rFonts w:ascii="Traditional Arabic" w:eastAsia="Calibri" w:hAnsi="Traditional Arabic" w:cs="Traditional Arabic"/>
          <w:sz w:val="32"/>
          <w:szCs w:val="32"/>
        </w:rPr>
      </w:pPr>
      <w:r w:rsidRPr="00F63DA0">
        <w:rPr>
          <w:rFonts w:ascii="Traditional Arabic" w:eastAsia="Calibri" w:hAnsi="Traditional Arabic" w:cs="Traditional Arabic"/>
          <w:sz w:val="32"/>
          <w:szCs w:val="32"/>
          <w:rtl/>
        </w:rPr>
        <w:t>إدارة المخاطر المصرفية، التمويل المصرفي، المخاطر الائتمانية، مخاطر السيولة، مخاطر السوق، لجنة بازل، الذكاء الاصطناعي، الأمن السيبراني</w:t>
      </w:r>
      <w:r w:rsidRPr="00F63DA0">
        <w:rPr>
          <w:rFonts w:ascii="Traditional Arabic" w:eastAsia="Calibri" w:hAnsi="Traditional Arabic" w:cs="Traditional Arabic"/>
          <w:sz w:val="32"/>
          <w:szCs w:val="32"/>
        </w:rPr>
        <w:t>.</w:t>
      </w:r>
    </w:p>
    <w:p w14:paraId="7B850FE1" w14:textId="77777777" w:rsidR="00F63DA0" w:rsidRDefault="00F63DA0" w:rsidP="00F63DA0">
      <w:pPr>
        <w:bidi/>
        <w:spacing w:line="360" w:lineRule="auto"/>
        <w:jc w:val="left"/>
        <w:rPr>
          <w:rFonts w:ascii="Traditional Arabic" w:eastAsia="Calibri" w:hAnsi="Traditional Arabic" w:cs="Traditional Arabic"/>
          <w:sz w:val="40"/>
          <w:szCs w:val="40"/>
          <w:rtl/>
        </w:rPr>
      </w:pPr>
    </w:p>
    <w:sdt>
      <w:sdtPr>
        <w:rPr>
          <w:rFonts w:asciiTheme="minorHAnsi" w:eastAsiaTheme="minorHAnsi" w:hAnsiTheme="minorHAnsi" w:cstheme="minorBidi"/>
          <w:color w:val="auto"/>
          <w:kern w:val="2"/>
          <w:sz w:val="22"/>
          <w:szCs w:val="22"/>
          <w:rtl/>
          <w14:ligatures w14:val="standardContextual"/>
        </w:rPr>
        <w:id w:val="1091890362"/>
        <w:docPartObj>
          <w:docPartGallery w:val="Table of Contents"/>
          <w:docPartUnique/>
        </w:docPartObj>
      </w:sdtPr>
      <w:sdtContent>
        <w:p w14:paraId="53A1906F" w14:textId="485AABB0" w:rsidR="00F63DA0" w:rsidRPr="00F63DA0" w:rsidRDefault="00F63DA0" w:rsidP="00F63DA0">
          <w:pPr>
            <w:pStyle w:val="TOCHeading"/>
            <w:bidi/>
            <w:spacing w:line="276" w:lineRule="auto"/>
            <w:jc w:val="center"/>
            <w:rPr>
              <w:sz w:val="40"/>
              <w:szCs w:val="40"/>
              <w:rtl/>
            </w:rPr>
          </w:pPr>
          <w:r>
            <w:rPr>
              <w:rFonts w:hint="cs"/>
              <w:rtl/>
            </w:rPr>
            <w:t>فهرس</w:t>
          </w:r>
        </w:p>
        <w:p w14:paraId="504D5C48" w14:textId="462200B0" w:rsidR="00F63DA0" w:rsidRPr="00F63DA0" w:rsidRDefault="00F63DA0" w:rsidP="00F63DA0">
          <w:pPr>
            <w:pStyle w:val="TOC1"/>
            <w:tabs>
              <w:tab w:val="right" w:leader="dot" w:pos="8296"/>
            </w:tabs>
            <w:bidi/>
            <w:spacing w:line="276" w:lineRule="auto"/>
            <w:rPr>
              <w:noProof/>
              <w:sz w:val="28"/>
              <w:szCs w:val="28"/>
              <w:rtl/>
            </w:rPr>
          </w:pPr>
          <w:r w:rsidRPr="00F63DA0">
            <w:rPr>
              <w:sz w:val="28"/>
              <w:szCs w:val="28"/>
            </w:rPr>
            <w:fldChar w:fldCharType="begin"/>
          </w:r>
          <w:r w:rsidRPr="00F63DA0">
            <w:rPr>
              <w:sz w:val="28"/>
              <w:szCs w:val="28"/>
            </w:rPr>
            <w:instrText xml:space="preserve"> TOC \o "1-3" \h \z \u </w:instrText>
          </w:r>
          <w:r w:rsidRPr="00F63DA0">
            <w:rPr>
              <w:sz w:val="28"/>
              <w:szCs w:val="28"/>
            </w:rPr>
            <w:fldChar w:fldCharType="separate"/>
          </w:r>
          <w:hyperlink w:anchor="_Toc192716015" w:history="1">
            <w:r w:rsidRPr="00F63DA0">
              <w:rPr>
                <w:rStyle w:val="Hyperlink"/>
                <w:rFonts w:asciiTheme="minorBidi" w:eastAsia="Calibri" w:hAnsiTheme="minorBidi"/>
                <w:noProof/>
                <w:sz w:val="28"/>
                <w:szCs w:val="28"/>
                <w:rtl/>
              </w:rPr>
              <w:t>مقدمة:</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Toc192716015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8</w:t>
            </w:r>
            <w:r w:rsidRPr="00F63DA0">
              <w:rPr>
                <w:rStyle w:val="Hyperlink"/>
                <w:noProof/>
                <w:sz w:val="28"/>
                <w:szCs w:val="28"/>
                <w:rtl/>
              </w:rPr>
              <w:fldChar w:fldCharType="end"/>
            </w:r>
          </w:hyperlink>
        </w:p>
        <w:p w14:paraId="42DA1132" w14:textId="5788FD1B" w:rsidR="00F63DA0" w:rsidRPr="00F63DA0" w:rsidRDefault="00F63DA0" w:rsidP="00F63DA0">
          <w:pPr>
            <w:pStyle w:val="TOC1"/>
            <w:tabs>
              <w:tab w:val="right" w:leader="dot" w:pos="8296"/>
            </w:tabs>
            <w:bidi/>
            <w:spacing w:line="276" w:lineRule="auto"/>
            <w:rPr>
              <w:noProof/>
              <w:sz w:val="28"/>
              <w:szCs w:val="28"/>
              <w:rtl/>
            </w:rPr>
          </w:pPr>
          <w:hyperlink w:anchor="_Toc192716016" w:history="1">
            <w:r w:rsidRPr="00F63DA0">
              <w:rPr>
                <w:rStyle w:val="Hyperlink"/>
                <w:rFonts w:asciiTheme="minorBidi" w:eastAsia="Calibri" w:hAnsiTheme="minorBidi"/>
                <w:noProof/>
                <w:sz w:val="28"/>
                <w:szCs w:val="28"/>
                <w:rtl/>
              </w:rPr>
              <w:t>مشكلة الدراسة</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Toc192716016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9</w:t>
            </w:r>
            <w:r w:rsidRPr="00F63DA0">
              <w:rPr>
                <w:rStyle w:val="Hyperlink"/>
                <w:noProof/>
                <w:sz w:val="28"/>
                <w:szCs w:val="28"/>
                <w:rtl/>
              </w:rPr>
              <w:fldChar w:fldCharType="end"/>
            </w:r>
          </w:hyperlink>
        </w:p>
        <w:p w14:paraId="42D2793D" w14:textId="15B2248B" w:rsidR="00F63DA0" w:rsidRPr="00F63DA0" w:rsidRDefault="00F63DA0" w:rsidP="00F63DA0">
          <w:pPr>
            <w:pStyle w:val="TOC1"/>
            <w:tabs>
              <w:tab w:val="right" w:leader="dot" w:pos="8296"/>
            </w:tabs>
            <w:bidi/>
            <w:spacing w:line="276" w:lineRule="auto"/>
            <w:rPr>
              <w:noProof/>
              <w:sz w:val="28"/>
              <w:szCs w:val="28"/>
              <w:rtl/>
            </w:rPr>
          </w:pPr>
          <w:hyperlink w:anchor="_Toc192716017" w:history="1">
            <w:r w:rsidRPr="00F63DA0">
              <w:rPr>
                <w:rStyle w:val="Hyperlink"/>
                <w:rFonts w:asciiTheme="minorBidi" w:eastAsia="Calibri" w:hAnsiTheme="minorBidi"/>
                <w:noProof/>
                <w:sz w:val="28"/>
                <w:szCs w:val="28"/>
                <w:rtl/>
              </w:rPr>
              <w:t>أهمية الدراسة</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Toc192716017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10</w:t>
            </w:r>
            <w:r w:rsidRPr="00F63DA0">
              <w:rPr>
                <w:rStyle w:val="Hyperlink"/>
                <w:noProof/>
                <w:sz w:val="28"/>
                <w:szCs w:val="28"/>
                <w:rtl/>
              </w:rPr>
              <w:fldChar w:fldCharType="end"/>
            </w:r>
          </w:hyperlink>
        </w:p>
        <w:p w14:paraId="1F81FD57" w14:textId="5D0CCC66" w:rsidR="00F63DA0" w:rsidRPr="00F63DA0" w:rsidRDefault="00F63DA0" w:rsidP="00F63DA0">
          <w:pPr>
            <w:pStyle w:val="TOC1"/>
            <w:tabs>
              <w:tab w:val="right" w:leader="dot" w:pos="8296"/>
            </w:tabs>
            <w:bidi/>
            <w:spacing w:line="276" w:lineRule="auto"/>
            <w:rPr>
              <w:noProof/>
              <w:sz w:val="28"/>
              <w:szCs w:val="28"/>
              <w:rtl/>
            </w:rPr>
          </w:pPr>
          <w:hyperlink w:anchor="_Toc192716018" w:history="1">
            <w:r w:rsidRPr="00F63DA0">
              <w:rPr>
                <w:rStyle w:val="Hyperlink"/>
                <w:rFonts w:asciiTheme="minorBidi" w:eastAsia="Calibri" w:hAnsiTheme="minorBidi"/>
                <w:noProof/>
                <w:sz w:val="28"/>
                <w:szCs w:val="28"/>
                <w:rtl/>
              </w:rPr>
              <w:t>أهداف الدراسة</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Toc192716018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11</w:t>
            </w:r>
            <w:r w:rsidRPr="00F63DA0">
              <w:rPr>
                <w:rStyle w:val="Hyperlink"/>
                <w:noProof/>
                <w:sz w:val="28"/>
                <w:szCs w:val="28"/>
                <w:rtl/>
              </w:rPr>
              <w:fldChar w:fldCharType="end"/>
            </w:r>
          </w:hyperlink>
        </w:p>
        <w:p w14:paraId="58E0C6D3" w14:textId="59E488CA" w:rsidR="00F63DA0" w:rsidRPr="00F63DA0" w:rsidRDefault="00F63DA0" w:rsidP="00F63DA0">
          <w:pPr>
            <w:pStyle w:val="TOC1"/>
            <w:tabs>
              <w:tab w:val="right" w:leader="dot" w:pos="8296"/>
            </w:tabs>
            <w:bidi/>
            <w:spacing w:line="276" w:lineRule="auto"/>
            <w:rPr>
              <w:noProof/>
              <w:sz w:val="28"/>
              <w:szCs w:val="28"/>
              <w:rtl/>
            </w:rPr>
          </w:pPr>
          <w:hyperlink w:anchor="_Toc192716019" w:history="1">
            <w:r w:rsidRPr="00F63DA0">
              <w:rPr>
                <w:rStyle w:val="Hyperlink"/>
                <w:rFonts w:asciiTheme="minorBidi" w:eastAsia="Calibri" w:hAnsiTheme="minorBidi"/>
                <w:noProof/>
                <w:sz w:val="28"/>
                <w:szCs w:val="28"/>
                <w:rtl/>
              </w:rPr>
              <w:t>فروض الدراسة</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Toc192716019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12</w:t>
            </w:r>
            <w:r w:rsidRPr="00F63DA0">
              <w:rPr>
                <w:rStyle w:val="Hyperlink"/>
                <w:noProof/>
                <w:sz w:val="28"/>
                <w:szCs w:val="28"/>
                <w:rtl/>
              </w:rPr>
              <w:fldChar w:fldCharType="end"/>
            </w:r>
          </w:hyperlink>
        </w:p>
        <w:p w14:paraId="42386CC9" w14:textId="2730105C" w:rsidR="00F63DA0" w:rsidRPr="00F63DA0" w:rsidRDefault="00F63DA0" w:rsidP="00F63DA0">
          <w:pPr>
            <w:pStyle w:val="TOC1"/>
            <w:tabs>
              <w:tab w:val="right" w:leader="dot" w:pos="8296"/>
            </w:tabs>
            <w:bidi/>
            <w:spacing w:line="276" w:lineRule="auto"/>
            <w:rPr>
              <w:noProof/>
              <w:sz w:val="28"/>
              <w:szCs w:val="28"/>
              <w:rtl/>
            </w:rPr>
          </w:pPr>
          <w:hyperlink w:anchor="_Toc192716020" w:history="1">
            <w:r w:rsidRPr="00F63DA0">
              <w:rPr>
                <w:rStyle w:val="Hyperlink"/>
                <w:rFonts w:asciiTheme="minorBidi" w:eastAsia="Calibri" w:hAnsiTheme="minorBidi"/>
                <w:noProof/>
                <w:sz w:val="28"/>
                <w:szCs w:val="28"/>
                <w:rtl/>
              </w:rPr>
              <w:t>منهج الدراسة</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Toc192716020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12</w:t>
            </w:r>
            <w:r w:rsidRPr="00F63DA0">
              <w:rPr>
                <w:rStyle w:val="Hyperlink"/>
                <w:noProof/>
                <w:sz w:val="28"/>
                <w:szCs w:val="28"/>
                <w:rtl/>
              </w:rPr>
              <w:fldChar w:fldCharType="end"/>
            </w:r>
          </w:hyperlink>
        </w:p>
        <w:p w14:paraId="09B23696" w14:textId="17BF2BCF" w:rsidR="00F63DA0" w:rsidRPr="00F63DA0" w:rsidRDefault="00F63DA0" w:rsidP="00F63DA0">
          <w:pPr>
            <w:pStyle w:val="TOC1"/>
            <w:tabs>
              <w:tab w:val="right" w:leader="dot" w:pos="8296"/>
            </w:tabs>
            <w:bidi/>
            <w:spacing w:line="276" w:lineRule="auto"/>
            <w:rPr>
              <w:noProof/>
              <w:sz w:val="28"/>
              <w:szCs w:val="28"/>
              <w:rtl/>
            </w:rPr>
          </w:pPr>
          <w:hyperlink w:anchor="_Toc192716021" w:history="1">
            <w:r w:rsidRPr="00F63DA0">
              <w:rPr>
                <w:rStyle w:val="Hyperlink"/>
                <w:rFonts w:asciiTheme="minorBidi" w:eastAsia="Calibri" w:hAnsiTheme="minorBidi"/>
                <w:noProof/>
                <w:sz w:val="28"/>
                <w:szCs w:val="28"/>
                <w:rtl/>
              </w:rPr>
              <w:t>الدراسات السابقة</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Toc192716021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14</w:t>
            </w:r>
            <w:r w:rsidRPr="00F63DA0">
              <w:rPr>
                <w:rStyle w:val="Hyperlink"/>
                <w:noProof/>
                <w:sz w:val="28"/>
                <w:szCs w:val="28"/>
                <w:rtl/>
              </w:rPr>
              <w:fldChar w:fldCharType="end"/>
            </w:r>
          </w:hyperlink>
        </w:p>
        <w:p w14:paraId="14E4CA9F" w14:textId="55E545DC" w:rsidR="00F63DA0" w:rsidRPr="00F63DA0" w:rsidRDefault="00F63DA0" w:rsidP="00F63DA0">
          <w:pPr>
            <w:pStyle w:val="TOC1"/>
            <w:tabs>
              <w:tab w:val="right" w:leader="dot" w:pos="8296"/>
            </w:tabs>
            <w:bidi/>
            <w:spacing w:line="276" w:lineRule="auto"/>
            <w:rPr>
              <w:noProof/>
              <w:sz w:val="28"/>
              <w:szCs w:val="28"/>
              <w:rtl/>
            </w:rPr>
          </w:pPr>
          <w:hyperlink w:anchor="_Toc192716022" w:history="1">
            <w:r w:rsidRPr="00F63DA0">
              <w:rPr>
                <w:rStyle w:val="Hyperlink"/>
                <w:rFonts w:asciiTheme="minorBidi" w:eastAsia="Calibri" w:hAnsiTheme="minorBidi"/>
                <w:noProof/>
                <w:sz w:val="28"/>
                <w:szCs w:val="28"/>
                <w:rtl/>
              </w:rPr>
              <w:t>تعريف الخطر</w:t>
            </w:r>
            <w:r w:rsidRPr="00F63DA0">
              <w:rPr>
                <w:rStyle w:val="Hyperlink"/>
                <w:rFonts w:asciiTheme="minorBidi" w:eastAsia="Calibri" w:hAnsiTheme="minorBidi"/>
                <w:noProof/>
                <w:sz w:val="28"/>
                <w:szCs w:val="28"/>
              </w:rPr>
              <w:t>:</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Toc192716022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17</w:t>
            </w:r>
            <w:r w:rsidRPr="00F63DA0">
              <w:rPr>
                <w:rStyle w:val="Hyperlink"/>
                <w:noProof/>
                <w:sz w:val="28"/>
                <w:szCs w:val="28"/>
                <w:rtl/>
              </w:rPr>
              <w:fldChar w:fldCharType="end"/>
            </w:r>
          </w:hyperlink>
        </w:p>
        <w:p w14:paraId="283DFD18" w14:textId="7B94B8CC" w:rsidR="00F63DA0" w:rsidRPr="00F63DA0" w:rsidRDefault="00F63DA0" w:rsidP="00F63DA0">
          <w:pPr>
            <w:pStyle w:val="TOC1"/>
            <w:tabs>
              <w:tab w:val="right" w:leader="dot" w:pos="8296"/>
            </w:tabs>
            <w:bidi/>
            <w:spacing w:line="276" w:lineRule="auto"/>
            <w:rPr>
              <w:noProof/>
              <w:sz w:val="28"/>
              <w:szCs w:val="28"/>
              <w:rtl/>
            </w:rPr>
          </w:pPr>
          <w:hyperlink w:anchor="_Toc192716023" w:history="1">
            <w:r w:rsidRPr="00F63DA0">
              <w:rPr>
                <w:rStyle w:val="Hyperlink"/>
                <w:rFonts w:asciiTheme="minorBidi" w:eastAsia="Calibri" w:hAnsiTheme="minorBidi"/>
                <w:noProof/>
                <w:sz w:val="28"/>
                <w:szCs w:val="28"/>
                <w:rtl/>
              </w:rPr>
              <w:t>قياس الخطر: الأهمية والدور</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Toc192716023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17</w:t>
            </w:r>
            <w:r w:rsidRPr="00F63DA0">
              <w:rPr>
                <w:rStyle w:val="Hyperlink"/>
                <w:noProof/>
                <w:sz w:val="28"/>
                <w:szCs w:val="28"/>
                <w:rtl/>
              </w:rPr>
              <w:fldChar w:fldCharType="end"/>
            </w:r>
          </w:hyperlink>
        </w:p>
        <w:p w14:paraId="6D23588F" w14:textId="0B5DE606" w:rsidR="00F63DA0" w:rsidRPr="00F63DA0" w:rsidRDefault="00F63DA0" w:rsidP="00F63DA0">
          <w:pPr>
            <w:pStyle w:val="TOC1"/>
            <w:tabs>
              <w:tab w:val="right" w:leader="dot" w:pos="8296"/>
            </w:tabs>
            <w:bidi/>
            <w:spacing w:line="276" w:lineRule="auto"/>
            <w:rPr>
              <w:noProof/>
              <w:sz w:val="28"/>
              <w:szCs w:val="28"/>
              <w:rtl/>
            </w:rPr>
          </w:pPr>
          <w:hyperlink w:anchor="_Toc192716024" w:history="1">
            <w:r w:rsidRPr="00F63DA0">
              <w:rPr>
                <w:rStyle w:val="Hyperlink"/>
                <w:rFonts w:asciiTheme="minorBidi" w:eastAsia="Calibri" w:hAnsiTheme="minorBidi"/>
                <w:noProof/>
                <w:sz w:val="28"/>
                <w:szCs w:val="28"/>
                <w:rtl/>
              </w:rPr>
              <w:t>مفهوم المخاطر المصرفية</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Toc192716024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18</w:t>
            </w:r>
            <w:r w:rsidRPr="00F63DA0">
              <w:rPr>
                <w:rStyle w:val="Hyperlink"/>
                <w:noProof/>
                <w:sz w:val="28"/>
                <w:szCs w:val="28"/>
                <w:rtl/>
              </w:rPr>
              <w:fldChar w:fldCharType="end"/>
            </w:r>
          </w:hyperlink>
        </w:p>
        <w:p w14:paraId="000953CC" w14:textId="4C1AD7CD" w:rsidR="00F63DA0" w:rsidRPr="00F63DA0" w:rsidRDefault="00F63DA0" w:rsidP="00F63DA0">
          <w:pPr>
            <w:pStyle w:val="TOC1"/>
            <w:tabs>
              <w:tab w:val="right" w:leader="dot" w:pos="8296"/>
            </w:tabs>
            <w:bidi/>
            <w:spacing w:line="276" w:lineRule="auto"/>
            <w:rPr>
              <w:noProof/>
              <w:sz w:val="28"/>
              <w:szCs w:val="28"/>
              <w:rtl/>
            </w:rPr>
          </w:pPr>
          <w:hyperlink w:anchor="_Toc192716025" w:history="1">
            <w:r w:rsidRPr="00F63DA0">
              <w:rPr>
                <w:rStyle w:val="Hyperlink"/>
                <w:rFonts w:asciiTheme="minorBidi" w:eastAsia="Calibri" w:hAnsiTheme="minorBidi"/>
                <w:noProof/>
                <w:sz w:val="28"/>
                <w:szCs w:val="28"/>
                <w:rtl/>
              </w:rPr>
              <w:t>مقاييس الخطر: نظرة عامة</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Toc192716025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19</w:t>
            </w:r>
            <w:r w:rsidRPr="00F63DA0">
              <w:rPr>
                <w:rStyle w:val="Hyperlink"/>
                <w:noProof/>
                <w:sz w:val="28"/>
                <w:szCs w:val="28"/>
                <w:rtl/>
              </w:rPr>
              <w:fldChar w:fldCharType="end"/>
            </w:r>
          </w:hyperlink>
        </w:p>
        <w:p w14:paraId="00E077AE" w14:textId="6AA91BC7" w:rsidR="00F63DA0" w:rsidRPr="00F63DA0" w:rsidRDefault="00F63DA0" w:rsidP="00F63DA0">
          <w:pPr>
            <w:pStyle w:val="TOC1"/>
            <w:tabs>
              <w:tab w:val="right" w:leader="dot" w:pos="8296"/>
            </w:tabs>
            <w:bidi/>
            <w:spacing w:line="276" w:lineRule="auto"/>
            <w:rPr>
              <w:noProof/>
              <w:sz w:val="28"/>
              <w:szCs w:val="28"/>
              <w:rtl/>
            </w:rPr>
          </w:pPr>
          <w:hyperlink w:anchor="_Toc192716026" w:history="1">
            <w:r w:rsidRPr="00F63DA0">
              <w:rPr>
                <w:rStyle w:val="Hyperlink"/>
                <w:rFonts w:asciiTheme="minorBidi" w:eastAsia="Calibri" w:hAnsiTheme="minorBidi"/>
                <w:noProof/>
                <w:sz w:val="28"/>
                <w:szCs w:val="28"/>
                <w:rtl/>
              </w:rPr>
              <w:t>المقاييس الذاتية (الخبرات)</w:t>
            </w:r>
            <w:r w:rsidRPr="00F63DA0">
              <w:rPr>
                <w:rStyle w:val="Hyperlink"/>
                <w:rFonts w:asciiTheme="minorBidi" w:eastAsia="Calibri" w:hAnsiTheme="minorBidi"/>
                <w:noProof/>
                <w:sz w:val="28"/>
                <w:szCs w:val="28"/>
              </w:rPr>
              <w:t>:</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Toc192716026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20</w:t>
            </w:r>
            <w:r w:rsidRPr="00F63DA0">
              <w:rPr>
                <w:rStyle w:val="Hyperlink"/>
                <w:noProof/>
                <w:sz w:val="28"/>
                <w:szCs w:val="28"/>
                <w:rtl/>
              </w:rPr>
              <w:fldChar w:fldCharType="end"/>
            </w:r>
          </w:hyperlink>
        </w:p>
        <w:p w14:paraId="3E5BF507" w14:textId="0F7B8EBD" w:rsidR="00F63DA0" w:rsidRPr="00F63DA0" w:rsidRDefault="00F63DA0" w:rsidP="00F63DA0">
          <w:pPr>
            <w:pStyle w:val="TOC1"/>
            <w:tabs>
              <w:tab w:val="right" w:leader="dot" w:pos="8296"/>
            </w:tabs>
            <w:bidi/>
            <w:spacing w:line="276" w:lineRule="auto"/>
            <w:rPr>
              <w:noProof/>
              <w:sz w:val="28"/>
              <w:szCs w:val="28"/>
              <w:rtl/>
            </w:rPr>
          </w:pPr>
          <w:hyperlink w:anchor="_Toc192716027" w:history="1">
            <w:r w:rsidRPr="00F63DA0">
              <w:rPr>
                <w:rStyle w:val="Hyperlink"/>
                <w:rFonts w:asciiTheme="minorBidi" w:eastAsia="Calibri" w:hAnsiTheme="minorBidi"/>
                <w:noProof/>
                <w:sz w:val="28"/>
                <w:szCs w:val="28"/>
                <w:rtl/>
              </w:rPr>
              <w:t>مقاييس الخطر المتسقة</w:t>
            </w:r>
            <w:r w:rsidRPr="00F63DA0">
              <w:rPr>
                <w:rStyle w:val="Hyperlink"/>
                <w:rFonts w:asciiTheme="minorBidi" w:eastAsia="Calibri" w:hAnsiTheme="minorBidi"/>
                <w:noProof/>
                <w:sz w:val="28"/>
                <w:szCs w:val="28"/>
              </w:rPr>
              <w:t>:</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Toc192716027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21</w:t>
            </w:r>
            <w:r w:rsidRPr="00F63DA0">
              <w:rPr>
                <w:rStyle w:val="Hyperlink"/>
                <w:noProof/>
                <w:sz w:val="28"/>
                <w:szCs w:val="28"/>
                <w:rtl/>
              </w:rPr>
              <w:fldChar w:fldCharType="end"/>
            </w:r>
          </w:hyperlink>
        </w:p>
        <w:p w14:paraId="68D3D21E" w14:textId="60EC8570" w:rsidR="00F63DA0" w:rsidRPr="00F63DA0" w:rsidRDefault="00F63DA0" w:rsidP="00F63DA0">
          <w:pPr>
            <w:pStyle w:val="TOC1"/>
            <w:tabs>
              <w:tab w:val="right" w:leader="dot" w:pos="8296"/>
            </w:tabs>
            <w:bidi/>
            <w:spacing w:line="276" w:lineRule="auto"/>
            <w:rPr>
              <w:noProof/>
              <w:sz w:val="28"/>
              <w:szCs w:val="28"/>
              <w:rtl/>
            </w:rPr>
          </w:pPr>
          <w:hyperlink w:anchor="_Toc192716028" w:history="1">
            <w:r w:rsidRPr="00F63DA0">
              <w:rPr>
                <w:rStyle w:val="Hyperlink"/>
                <w:rFonts w:asciiTheme="minorBidi" w:eastAsia="Calibri" w:hAnsiTheme="minorBidi"/>
                <w:noProof/>
                <w:sz w:val="28"/>
                <w:szCs w:val="28"/>
                <w:rtl/>
              </w:rPr>
              <w:t>المخاطر ذات المصادر الداخلية</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Toc192716028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23</w:t>
            </w:r>
            <w:r w:rsidRPr="00F63DA0">
              <w:rPr>
                <w:rStyle w:val="Hyperlink"/>
                <w:noProof/>
                <w:sz w:val="28"/>
                <w:szCs w:val="28"/>
                <w:rtl/>
              </w:rPr>
              <w:fldChar w:fldCharType="end"/>
            </w:r>
          </w:hyperlink>
        </w:p>
        <w:p w14:paraId="2130BD7D" w14:textId="50C1B217" w:rsidR="00F63DA0" w:rsidRPr="00F63DA0" w:rsidRDefault="00F63DA0" w:rsidP="00F63DA0">
          <w:pPr>
            <w:pStyle w:val="TOC2"/>
            <w:tabs>
              <w:tab w:val="right" w:leader="dot" w:pos="8296"/>
            </w:tabs>
            <w:bidi/>
            <w:spacing w:line="276" w:lineRule="auto"/>
            <w:rPr>
              <w:noProof/>
              <w:sz w:val="28"/>
              <w:szCs w:val="28"/>
              <w:rtl/>
            </w:rPr>
          </w:pPr>
          <w:hyperlink w:anchor="_Toc192716029" w:history="1">
            <w:r w:rsidRPr="00F63DA0">
              <w:rPr>
                <w:rStyle w:val="Hyperlink"/>
                <w:rFonts w:asciiTheme="minorBidi" w:eastAsia="Calibri" w:hAnsiTheme="minorBidi"/>
                <w:noProof/>
                <w:sz w:val="28"/>
                <w:szCs w:val="28"/>
                <w:rtl/>
              </w:rPr>
              <w:t>المخاطر الناتجة عن المتعاملين والمستثمرين</w:t>
            </w:r>
            <w:r w:rsidRPr="00F63DA0">
              <w:rPr>
                <w:rStyle w:val="Hyperlink"/>
                <w:rFonts w:asciiTheme="minorBidi" w:eastAsia="Calibri" w:hAnsiTheme="minorBidi"/>
                <w:noProof/>
                <w:sz w:val="28"/>
                <w:szCs w:val="28"/>
              </w:rPr>
              <w:t>:</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Toc192716029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23</w:t>
            </w:r>
            <w:r w:rsidRPr="00F63DA0">
              <w:rPr>
                <w:rStyle w:val="Hyperlink"/>
                <w:noProof/>
                <w:sz w:val="28"/>
                <w:szCs w:val="28"/>
                <w:rtl/>
              </w:rPr>
              <w:fldChar w:fldCharType="end"/>
            </w:r>
          </w:hyperlink>
        </w:p>
        <w:p w14:paraId="65E23029" w14:textId="1222A9B3" w:rsidR="00F63DA0" w:rsidRPr="00F63DA0" w:rsidRDefault="00F63DA0" w:rsidP="00F63DA0">
          <w:pPr>
            <w:pStyle w:val="TOC2"/>
            <w:tabs>
              <w:tab w:val="right" w:leader="dot" w:pos="8296"/>
            </w:tabs>
            <w:bidi/>
            <w:spacing w:line="276" w:lineRule="auto"/>
            <w:rPr>
              <w:noProof/>
              <w:sz w:val="28"/>
              <w:szCs w:val="28"/>
              <w:rtl/>
            </w:rPr>
          </w:pPr>
          <w:hyperlink w:anchor="_Toc192716030" w:history="1">
            <w:r w:rsidRPr="00F63DA0">
              <w:rPr>
                <w:rStyle w:val="Hyperlink"/>
                <w:rFonts w:asciiTheme="minorBidi" w:eastAsia="Calibri" w:hAnsiTheme="minorBidi"/>
                <w:noProof/>
                <w:sz w:val="28"/>
                <w:szCs w:val="28"/>
                <w:rtl/>
              </w:rPr>
              <w:t>المخاطر الناتجة عن نوعية الموارد البشرية المتاحة</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Toc192716030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25</w:t>
            </w:r>
            <w:r w:rsidRPr="00F63DA0">
              <w:rPr>
                <w:rStyle w:val="Hyperlink"/>
                <w:noProof/>
                <w:sz w:val="28"/>
                <w:szCs w:val="28"/>
                <w:rtl/>
              </w:rPr>
              <w:fldChar w:fldCharType="end"/>
            </w:r>
          </w:hyperlink>
        </w:p>
        <w:p w14:paraId="315E873C" w14:textId="44862111" w:rsidR="00F63DA0" w:rsidRPr="00F63DA0" w:rsidRDefault="00F63DA0" w:rsidP="00F63DA0">
          <w:pPr>
            <w:pStyle w:val="TOC1"/>
            <w:tabs>
              <w:tab w:val="right" w:leader="dot" w:pos="8296"/>
            </w:tabs>
            <w:bidi/>
            <w:spacing w:line="276" w:lineRule="auto"/>
            <w:rPr>
              <w:noProof/>
              <w:sz w:val="28"/>
              <w:szCs w:val="28"/>
              <w:rtl/>
            </w:rPr>
          </w:pPr>
          <w:hyperlink w:anchor="_Toc192716031" w:history="1">
            <w:r w:rsidRPr="00F63DA0">
              <w:rPr>
                <w:rStyle w:val="Hyperlink"/>
                <w:rFonts w:asciiTheme="minorBidi" w:eastAsia="Calibri" w:hAnsiTheme="minorBidi"/>
                <w:noProof/>
                <w:sz w:val="28"/>
                <w:szCs w:val="28"/>
                <w:rtl/>
              </w:rPr>
              <w:t>المخاطر الناتجة عن العوامل الخارجية</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Toc192716031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26</w:t>
            </w:r>
            <w:r w:rsidRPr="00F63DA0">
              <w:rPr>
                <w:rStyle w:val="Hyperlink"/>
                <w:noProof/>
                <w:sz w:val="28"/>
                <w:szCs w:val="28"/>
                <w:rtl/>
              </w:rPr>
              <w:fldChar w:fldCharType="end"/>
            </w:r>
          </w:hyperlink>
        </w:p>
        <w:p w14:paraId="1276E9AF" w14:textId="29B5F64D" w:rsidR="00F63DA0" w:rsidRPr="00F63DA0" w:rsidRDefault="00F63DA0" w:rsidP="00F63DA0">
          <w:pPr>
            <w:pStyle w:val="TOC2"/>
            <w:tabs>
              <w:tab w:val="right" w:leader="dot" w:pos="8296"/>
            </w:tabs>
            <w:bidi/>
            <w:spacing w:line="276" w:lineRule="auto"/>
            <w:rPr>
              <w:noProof/>
              <w:sz w:val="28"/>
              <w:szCs w:val="28"/>
              <w:rtl/>
            </w:rPr>
          </w:pPr>
          <w:hyperlink w:anchor="_Toc192716032" w:history="1">
            <w:r w:rsidRPr="00F63DA0">
              <w:rPr>
                <w:rStyle w:val="Hyperlink"/>
                <w:rFonts w:asciiTheme="minorBidi" w:eastAsia="Calibri" w:hAnsiTheme="minorBidi"/>
                <w:noProof/>
                <w:sz w:val="28"/>
                <w:szCs w:val="28"/>
                <w:rtl/>
              </w:rPr>
              <w:t>المخاطر المرتبطة بالأنظمة والقوانين السائدة</w:t>
            </w:r>
            <w:r w:rsidRPr="00F63DA0">
              <w:rPr>
                <w:rStyle w:val="Hyperlink"/>
                <w:rFonts w:asciiTheme="minorBidi" w:eastAsia="Calibri" w:hAnsiTheme="minorBidi"/>
                <w:noProof/>
                <w:sz w:val="28"/>
                <w:szCs w:val="28"/>
              </w:rPr>
              <w:t>:</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Toc192716032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26</w:t>
            </w:r>
            <w:r w:rsidRPr="00F63DA0">
              <w:rPr>
                <w:rStyle w:val="Hyperlink"/>
                <w:noProof/>
                <w:sz w:val="28"/>
                <w:szCs w:val="28"/>
                <w:rtl/>
              </w:rPr>
              <w:fldChar w:fldCharType="end"/>
            </w:r>
          </w:hyperlink>
        </w:p>
        <w:p w14:paraId="76EF8CBA" w14:textId="30C06B0C" w:rsidR="00F63DA0" w:rsidRPr="00F63DA0" w:rsidRDefault="00F63DA0" w:rsidP="00F63DA0">
          <w:pPr>
            <w:pStyle w:val="TOC2"/>
            <w:tabs>
              <w:tab w:val="right" w:leader="dot" w:pos="8296"/>
            </w:tabs>
            <w:bidi/>
            <w:spacing w:line="276" w:lineRule="auto"/>
            <w:rPr>
              <w:noProof/>
              <w:sz w:val="28"/>
              <w:szCs w:val="28"/>
              <w:rtl/>
            </w:rPr>
          </w:pPr>
          <w:hyperlink w:anchor="_Toc192716033" w:history="1">
            <w:r w:rsidRPr="00F63DA0">
              <w:rPr>
                <w:rStyle w:val="Hyperlink"/>
                <w:rFonts w:asciiTheme="minorBidi" w:eastAsia="Calibri" w:hAnsiTheme="minorBidi"/>
                <w:noProof/>
                <w:sz w:val="28"/>
                <w:szCs w:val="28"/>
                <w:rtl/>
              </w:rPr>
              <w:t>المخاطر المرتبطة بالرقابة الشرعية</w:t>
            </w:r>
            <w:r w:rsidRPr="00F63DA0">
              <w:rPr>
                <w:rStyle w:val="Hyperlink"/>
                <w:rFonts w:asciiTheme="minorBidi" w:eastAsia="Calibri" w:hAnsiTheme="minorBidi"/>
                <w:noProof/>
                <w:sz w:val="28"/>
                <w:szCs w:val="28"/>
              </w:rPr>
              <w:t>:</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Toc192716033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27</w:t>
            </w:r>
            <w:r w:rsidRPr="00F63DA0">
              <w:rPr>
                <w:rStyle w:val="Hyperlink"/>
                <w:noProof/>
                <w:sz w:val="28"/>
                <w:szCs w:val="28"/>
                <w:rtl/>
              </w:rPr>
              <w:fldChar w:fldCharType="end"/>
            </w:r>
          </w:hyperlink>
        </w:p>
        <w:p w14:paraId="5EF6B793" w14:textId="46D8CA4E" w:rsidR="00F63DA0" w:rsidRPr="00F63DA0" w:rsidRDefault="00F63DA0" w:rsidP="00F63DA0">
          <w:pPr>
            <w:pStyle w:val="TOC1"/>
            <w:tabs>
              <w:tab w:val="right" w:leader="dot" w:pos="8296"/>
            </w:tabs>
            <w:bidi/>
            <w:spacing w:line="276" w:lineRule="auto"/>
            <w:rPr>
              <w:noProof/>
              <w:sz w:val="28"/>
              <w:szCs w:val="28"/>
              <w:rtl/>
            </w:rPr>
          </w:pPr>
          <w:hyperlink w:anchor="_Toc192716034" w:history="1">
            <w:r w:rsidRPr="00F63DA0">
              <w:rPr>
                <w:rStyle w:val="Hyperlink"/>
                <w:rFonts w:asciiTheme="minorBidi" w:eastAsia="Calibri" w:hAnsiTheme="minorBidi"/>
                <w:noProof/>
                <w:sz w:val="28"/>
                <w:szCs w:val="28"/>
                <w:rtl/>
              </w:rPr>
              <w:t>ضيق اختصاصات الهيئة الشرعية</w:t>
            </w:r>
            <w:r w:rsidRPr="00F63DA0">
              <w:rPr>
                <w:rStyle w:val="Hyperlink"/>
                <w:rFonts w:asciiTheme="minorBidi" w:eastAsia="Calibri" w:hAnsiTheme="minorBidi"/>
                <w:noProof/>
                <w:sz w:val="28"/>
                <w:szCs w:val="28"/>
              </w:rPr>
              <w:t>:</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Toc192716034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28</w:t>
            </w:r>
            <w:r w:rsidRPr="00F63DA0">
              <w:rPr>
                <w:rStyle w:val="Hyperlink"/>
                <w:noProof/>
                <w:sz w:val="28"/>
                <w:szCs w:val="28"/>
                <w:rtl/>
              </w:rPr>
              <w:fldChar w:fldCharType="end"/>
            </w:r>
          </w:hyperlink>
        </w:p>
        <w:p w14:paraId="39ED73EB" w14:textId="785428BA" w:rsidR="00F63DA0" w:rsidRPr="00F63DA0" w:rsidRDefault="00F63DA0" w:rsidP="00F63DA0">
          <w:pPr>
            <w:pStyle w:val="TOC1"/>
            <w:tabs>
              <w:tab w:val="right" w:leader="dot" w:pos="8296"/>
            </w:tabs>
            <w:bidi/>
            <w:spacing w:line="276" w:lineRule="auto"/>
            <w:rPr>
              <w:noProof/>
              <w:sz w:val="28"/>
              <w:szCs w:val="28"/>
              <w:rtl/>
            </w:rPr>
          </w:pPr>
          <w:hyperlink w:anchor="_Toc192716035" w:history="1">
            <w:r w:rsidRPr="00F63DA0">
              <w:rPr>
                <w:rStyle w:val="Hyperlink"/>
                <w:rFonts w:asciiTheme="minorBidi" w:eastAsia="Calibri" w:hAnsiTheme="minorBidi"/>
                <w:noProof/>
                <w:sz w:val="28"/>
                <w:szCs w:val="28"/>
                <w:rtl/>
              </w:rPr>
              <w:t>واقع إلزامية الفتوى في المصارف الإسلامية</w:t>
            </w:r>
            <w:r w:rsidRPr="00F63DA0">
              <w:rPr>
                <w:rStyle w:val="Hyperlink"/>
                <w:rFonts w:asciiTheme="minorBidi" w:eastAsia="Calibri" w:hAnsiTheme="minorBidi"/>
                <w:noProof/>
                <w:sz w:val="28"/>
                <w:szCs w:val="28"/>
              </w:rPr>
              <w:t>:</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Toc192716035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28</w:t>
            </w:r>
            <w:r w:rsidRPr="00F63DA0">
              <w:rPr>
                <w:rStyle w:val="Hyperlink"/>
                <w:noProof/>
                <w:sz w:val="28"/>
                <w:szCs w:val="28"/>
                <w:rtl/>
              </w:rPr>
              <w:fldChar w:fldCharType="end"/>
            </w:r>
          </w:hyperlink>
        </w:p>
        <w:p w14:paraId="6584DF54" w14:textId="7CC77389" w:rsidR="00F63DA0" w:rsidRPr="00F63DA0" w:rsidRDefault="00F63DA0" w:rsidP="00F63DA0">
          <w:pPr>
            <w:pStyle w:val="TOC1"/>
            <w:tabs>
              <w:tab w:val="right" w:leader="dot" w:pos="8296"/>
            </w:tabs>
            <w:bidi/>
            <w:spacing w:line="276" w:lineRule="auto"/>
            <w:rPr>
              <w:noProof/>
              <w:sz w:val="28"/>
              <w:szCs w:val="28"/>
              <w:rtl/>
            </w:rPr>
          </w:pPr>
          <w:hyperlink w:anchor="_Toc192716036" w:history="1">
            <w:r w:rsidRPr="00F63DA0">
              <w:rPr>
                <w:rStyle w:val="Hyperlink"/>
                <w:rFonts w:asciiTheme="minorBidi" w:eastAsia="Calibri" w:hAnsiTheme="minorBidi"/>
                <w:noProof/>
                <w:sz w:val="28"/>
                <w:szCs w:val="28"/>
                <w:rtl/>
              </w:rPr>
              <w:t>مخاطر تطبيق نسبة الاحتياطي القانوني</w:t>
            </w:r>
            <w:r w:rsidRPr="00F63DA0">
              <w:rPr>
                <w:rStyle w:val="Hyperlink"/>
                <w:rFonts w:asciiTheme="minorBidi" w:eastAsia="Calibri" w:hAnsiTheme="minorBidi"/>
                <w:noProof/>
                <w:sz w:val="28"/>
                <w:szCs w:val="28"/>
              </w:rPr>
              <w:t>:</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Toc192716036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29</w:t>
            </w:r>
            <w:r w:rsidRPr="00F63DA0">
              <w:rPr>
                <w:rStyle w:val="Hyperlink"/>
                <w:noProof/>
                <w:sz w:val="28"/>
                <w:szCs w:val="28"/>
                <w:rtl/>
              </w:rPr>
              <w:fldChar w:fldCharType="end"/>
            </w:r>
          </w:hyperlink>
        </w:p>
        <w:p w14:paraId="35787501" w14:textId="77070B79" w:rsidR="00F63DA0" w:rsidRPr="00F63DA0" w:rsidRDefault="00F63DA0" w:rsidP="00F63DA0">
          <w:pPr>
            <w:pStyle w:val="TOC1"/>
            <w:tabs>
              <w:tab w:val="right" w:leader="dot" w:pos="8296"/>
            </w:tabs>
            <w:bidi/>
            <w:spacing w:line="276" w:lineRule="auto"/>
            <w:rPr>
              <w:noProof/>
              <w:sz w:val="28"/>
              <w:szCs w:val="28"/>
              <w:rtl/>
            </w:rPr>
          </w:pPr>
          <w:hyperlink w:anchor="_Toc192716037" w:history="1">
            <w:r w:rsidRPr="00F63DA0">
              <w:rPr>
                <w:rStyle w:val="Hyperlink"/>
                <w:rFonts w:asciiTheme="minorBidi" w:eastAsia="Calibri" w:hAnsiTheme="minorBidi"/>
                <w:noProof/>
                <w:sz w:val="28"/>
                <w:szCs w:val="28"/>
                <w:rtl/>
              </w:rPr>
              <w:t>مخاطر تجديد السقف الائتماني</w:t>
            </w:r>
            <w:r w:rsidRPr="00F63DA0">
              <w:rPr>
                <w:rStyle w:val="Hyperlink"/>
                <w:rFonts w:asciiTheme="minorBidi" w:eastAsia="Calibri" w:hAnsiTheme="minorBidi"/>
                <w:noProof/>
                <w:sz w:val="28"/>
                <w:szCs w:val="28"/>
              </w:rPr>
              <w:t>:</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Toc192716037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29</w:t>
            </w:r>
            <w:r w:rsidRPr="00F63DA0">
              <w:rPr>
                <w:rStyle w:val="Hyperlink"/>
                <w:noProof/>
                <w:sz w:val="28"/>
                <w:szCs w:val="28"/>
                <w:rtl/>
              </w:rPr>
              <w:fldChar w:fldCharType="end"/>
            </w:r>
          </w:hyperlink>
        </w:p>
        <w:p w14:paraId="692D78E2" w14:textId="6F742677" w:rsidR="00F63DA0" w:rsidRPr="00F63DA0" w:rsidRDefault="00F63DA0" w:rsidP="00F63DA0">
          <w:pPr>
            <w:pStyle w:val="TOC1"/>
            <w:tabs>
              <w:tab w:val="right" w:leader="dot" w:pos="8296"/>
            </w:tabs>
            <w:bidi/>
            <w:spacing w:line="276" w:lineRule="auto"/>
            <w:rPr>
              <w:noProof/>
              <w:sz w:val="28"/>
              <w:szCs w:val="28"/>
              <w:rtl/>
            </w:rPr>
          </w:pPr>
          <w:hyperlink w:anchor="_Toc192716038" w:history="1">
            <w:r w:rsidRPr="00F63DA0">
              <w:rPr>
                <w:rStyle w:val="Hyperlink"/>
                <w:rFonts w:asciiTheme="minorBidi" w:eastAsia="Calibri" w:hAnsiTheme="minorBidi"/>
                <w:noProof/>
                <w:sz w:val="28"/>
                <w:szCs w:val="28"/>
                <w:rtl/>
              </w:rPr>
              <w:t>مخاطر الصيرفة الإلكترونية</w:t>
            </w:r>
            <w:r w:rsidRPr="00F63DA0">
              <w:rPr>
                <w:rStyle w:val="Hyperlink"/>
                <w:rFonts w:asciiTheme="minorBidi" w:eastAsia="Calibri" w:hAnsiTheme="minorBidi"/>
                <w:noProof/>
                <w:sz w:val="28"/>
                <w:szCs w:val="28"/>
              </w:rPr>
              <w:t>:</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Toc192716038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30</w:t>
            </w:r>
            <w:r w:rsidRPr="00F63DA0">
              <w:rPr>
                <w:rStyle w:val="Hyperlink"/>
                <w:noProof/>
                <w:sz w:val="28"/>
                <w:szCs w:val="28"/>
                <w:rtl/>
              </w:rPr>
              <w:fldChar w:fldCharType="end"/>
            </w:r>
          </w:hyperlink>
        </w:p>
        <w:p w14:paraId="108367EC" w14:textId="24C44FEF" w:rsidR="00F63DA0" w:rsidRPr="00F63DA0" w:rsidRDefault="00F63DA0" w:rsidP="00F63DA0">
          <w:pPr>
            <w:pStyle w:val="TOC1"/>
            <w:tabs>
              <w:tab w:val="right" w:leader="dot" w:pos="8296"/>
            </w:tabs>
            <w:bidi/>
            <w:spacing w:line="276" w:lineRule="auto"/>
            <w:rPr>
              <w:noProof/>
              <w:sz w:val="28"/>
              <w:szCs w:val="28"/>
              <w:rtl/>
            </w:rPr>
          </w:pPr>
          <w:hyperlink w:anchor="_Toc192716039" w:history="1">
            <w:r w:rsidRPr="00F63DA0">
              <w:rPr>
                <w:rStyle w:val="Hyperlink"/>
                <w:rFonts w:asciiTheme="minorBidi" w:eastAsia="Calibri" w:hAnsiTheme="minorBidi"/>
                <w:noProof/>
                <w:sz w:val="28"/>
                <w:szCs w:val="28"/>
                <w:rtl/>
              </w:rPr>
              <w:t>تعريف خطر الائتمان ومسؤولياته</w:t>
            </w:r>
            <w:r w:rsidRPr="00F63DA0">
              <w:rPr>
                <w:rStyle w:val="Hyperlink"/>
                <w:rFonts w:asciiTheme="minorBidi" w:eastAsia="Calibri" w:hAnsiTheme="minorBidi"/>
                <w:noProof/>
                <w:sz w:val="28"/>
                <w:szCs w:val="28"/>
              </w:rPr>
              <w:t>:</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Toc192716039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31</w:t>
            </w:r>
            <w:r w:rsidRPr="00F63DA0">
              <w:rPr>
                <w:rStyle w:val="Hyperlink"/>
                <w:noProof/>
                <w:sz w:val="28"/>
                <w:szCs w:val="28"/>
                <w:rtl/>
              </w:rPr>
              <w:fldChar w:fldCharType="end"/>
            </w:r>
          </w:hyperlink>
        </w:p>
        <w:p w14:paraId="1C3678D7" w14:textId="6EA5610B" w:rsidR="00F63DA0" w:rsidRPr="00F63DA0" w:rsidRDefault="00F63DA0" w:rsidP="00F63DA0">
          <w:pPr>
            <w:pStyle w:val="TOC1"/>
            <w:tabs>
              <w:tab w:val="right" w:leader="dot" w:pos="8296"/>
            </w:tabs>
            <w:bidi/>
            <w:spacing w:line="276" w:lineRule="auto"/>
            <w:rPr>
              <w:noProof/>
              <w:sz w:val="28"/>
              <w:szCs w:val="28"/>
              <w:rtl/>
            </w:rPr>
          </w:pPr>
          <w:hyperlink w:anchor="_Toc192716040" w:history="1">
            <w:r w:rsidRPr="00F63DA0">
              <w:rPr>
                <w:rStyle w:val="Hyperlink"/>
                <w:rFonts w:asciiTheme="minorBidi" w:eastAsia="Calibri" w:hAnsiTheme="minorBidi"/>
                <w:noProof/>
                <w:sz w:val="28"/>
                <w:szCs w:val="28"/>
                <w:rtl/>
              </w:rPr>
              <w:t>أنواع خطر الائتمان</w:t>
            </w:r>
            <w:r w:rsidRPr="00F63DA0">
              <w:rPr>
                <w:rStyle w:val="Hyperlink"/>
                <w:rFonts w:asciiTheme="minorBidi" w:eastAsia="Calibri" w:hAnsiTheme="minorBidi"/>
                <w:noProof/>
                <w:sz w:val="28"/>
                <w:szCs w:val="28"/>
              </w:rPr>
              <w:t>:</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Toc192716040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32</w:t>
            </w:r>
            <w:r w:rsidRPr="00F63DA0">
              <w:rPr>
                <w:rStyle w:val="Hyperlink"/>
                <w:noProof/>
                <w:sz w:val="28"/>
                <w:szCs w:val="28"/>
                <w:rtl/>
              </w:rPr>
              <w:fldChar w:fldCharType="end"/>
            </w:r>
          </w:hyperlink>
        </w:p>
        <w:p w14:paraId="70C69B1B" w14:textId="73C8C9F7" w:rsidR="00F63DA0" w:rsidRPr="00F63DA0" w:rsidRDefault="00F63DA0" w:rsidP="00F63DA0">
          <w:pPr>
            <w:pStyle w:val="TOC1"/>
            <w:tabs>
              <w:tab w:val="right" w:leader="dot" w:pos="8296"/>
            </w:tabs>
            <w:bidi/>
            <w:spacing w:line="276" w:lineRule="auto"/>
            <w:rPr>
              <w:noProof/>
              <w:sz w:val="28"/>
              <w:szCs w:val="28"/>
              <w:rtl/>
            </w:rPr>
          </w:pPr>
          <w:hyperlink w:anchor="_Toc192716041" w:history="1">
            <w:r w:rsidRPr="00F63DA0">
              <w:rPr>
                <w:rStyle w:val="Hyperlink"/>
                <w:rFonts w:asciiTheme="minorBidi" w:eastAsia="Calibri" w:hAnsiTheme="minorBidi"/>
                <w:noProof/>
                <w:sz w:val="28"/>
                <w:szCs w:val="28"/>
                <w:rtl/>
              </w:rPr>
              <w:t>أنواع أخرى من مخاطر الائتمان</w:t>
            </w:r>
            <w:r w:rsidRPr="00F63DA0">
              <w:rPr>
                <w:rStyle w:val="Hyperlink"/>
                <w:rFonts w:asciiTheme="minorBidi" w:eastAsia="Calibri" w:hAnsiTheme="minorBidi"/>
                <w:noProof/>
                <w:sz w:val="28"/>
                <w:szCs w:val="28"/>
              </w:rPr>
              <w:t>:</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Toc192716041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33</w:t>
            </w:r>
            <w:r w:rsidRPr="00F63DA0">
              <w:rPr>
                <w:rStyle w:val="Hyperlink"/>
                <w:noProof/>
                <w:sz w:val="28"/>
                <w:szCs w:val="28"/>
                <w:rtl/>
              </w:rPr>
              <w:fldChar w:fldCharType="end"/>
            </w:r>
          </w:hyperlink>
        </w:p>
        <w:p w14:paraId="0E395432" w14:textId="00D658D2" w:rsidR="00F63DA0" w:rsidRPr="00F63DA0" w:rsidRDefault="00F63DA0" w:rsidP="00F63DA0">
          <w:pPr>
            <w:pStyle w:val="TOC1"/>
            <w:tabs>
              <w:tab w:val="right" w:leader="dot" w:pos="8296"/>
            </w:tabs>
            <w:bidi/>
            <w:spacing w:line="276" w:lineRule="auto"/>
            <w:rPr>
              <w:noProof/>
              <w:sz w:val="28"/>
              <w:szCs w:val="28"/>
              <w:rtl/>
            </w:rPr>
          </w:pPr>
          <w:hyperlink w:anchor="_Toc192716042" w:history="1">
            <w:r w:rsidRPr="00F63DA0">
              <w:rPr>
                <w:rStyle w:val="Hyperlink"/>
                <w:rFonts w:asciiTheme="minorBidi" w:eastAsia="Calibri" w:hAnsiTheme="minorBidi"/>
                <w:noProof/>
                <w:sz w:val="28"/>
                <w:szCs w:val="28"/>
                <w:rtl/>
              </w:rPr>
              <w:t>مخاطر الائتمان ومصدرها</w:t>
            </w:r>
            <w:r w:rsidRPr="00F63DA0">
              <w:rPr>
                <w:rStyle w:val="Hyperlink"/>
                <w:rFonts w:asciiTheme="minorBidi" w:eastAsia="Calibri" w:hAnsiTheme="minorBidi"/>
                <w:noProof/>
                <w:sz w:val="28"/>
                <w:szCs w:val="28"/>
              </w:rPr>
              <w:t>:</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Toc192716042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34</w:t>
            </w:r>
            <w:r w:rsidRPr="00F63DA0">
              <w:rPr>
                <w:rStyle w:val="Hyperlink"/>
                <w:noProof/>
                <w:sz w:val="28"/>
                <w:szCs w:val="28"/>
                <w:rtl/>
              </w:rPr>
              <w:fldChar w:fldCharType="end"/>
            </w:r>
          </w:hyperlink>
        </w:p>
        <w:p w14:paraId="485FBF88" w14:textId="1625FB89" w:rsidR="00F63DA0" w:rsidRPr="00F63DA0" w:rsidRDefault="00F63DA0" w:rsidP="00F63DA0">
          <w:pPr>
            <w:pStyle w:val="TOC1"/>
            <w:tabs>
              <w:tab w:val="right" w:leader="dot" w:pos="8296"/>
            </w:tabs>
            <w:bidi/>
            <w:spacing w:line="276" w:lineRule="auto"/>
            <w:rPr>
              <w:noProof/>
              <w:sz w:val="28"/>
              <w:szCs w:val="28"/>
              <w:rtl/>
            </w:rPr>
          </w:pPr>
          <w:hyperlink w:anchor="_Toc192716043" w:history="1">
            <w:r w:rsidRPr="00F63DA0">
              <w:rPr>
                <w:rStyle w:val="Hyperlink"/>
                <w:rFonts w:asciiTheme="minorBidi" w:eastAsia="Calibri" w:hAnsiTheme="minorBidi"/>
                <w:noProof/>
                <w:sz w:val="28"/>
                <w:szCs w:val="28"/>
                <w:rtl/>
              </w:rPr>
              <w:t>أهمية تقدير وقياس وإدارة خطر الائتمان</w:t>
            </w:r>
            <w:r w:rsidRPr="00F63DA0">
              <w:rPr>
                <w:rStyle w:val="Hyperlink"/>
                <w:rFonts w:asciiTheme="minorBidi" w:eastAsia="Calibri" w:hAnsiTheme="minorBidi"/>
                <w:noProof/>
                <w:sz w:val="28"/>
                <w:szCs w:val="28"/>
              </w:rPr>
              <w:t>:</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Toc192716043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35</w:t>
            </w:r>
            <w:r w:rsidRPr="00F63DA0">
              <w:rPr>
                <w:rStyle w:val="Hyperlink"/>
                <w:noProof/>
                <w:sz w:val="28"/>
                <w:szCs w:val="28"/>
                <w:rtl/>
              </w:rPr>
              <w:fldChar w:fldCharType="end"/>
            </w:r>
          </w:hyperlink>
        </w:p>
        <w:p w14:paraId="1C43952E" w14:textId="1B953BD3" w:rsidR="00F63DA0" w:rsidRPr="00F63DA0" w:rsidRDefault="00F63DA0" w:rsidP="00F63DA0">
          <w:pPr>
            <w:pStyle w:val="TOC1"/>
            <w:tabs>
              <w:tab w:val="right" w:leader="dot" w:pos="8296"/>
            </w:tabs>
            <w:bidi/>
            <w:spacing w:line="276" w:lineRule="auto"/>
            <w:rPr>
              <w:noProof/>
              <w:sz w:val="28"/>
              <w:szCs w:val="28"/>
              <w:rtl/>
            </w:rPr>
          </w:pPr>
          <w:hyperlink w:anchor="_Toc192716044" w:history="1">
            <w:r w:rsidRPr="00F63DA0">
              <w:rPr>
                <w:rStyle w:val="Hyperlink"/>
                <w:noProof/>
                <w:sz w:val="28"/>
                <w:szCs w:val="28"/>
                <w:rtl/>
              </w:rPr>
              <w:t>تعريف بطاقات الائتمان</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Toc192716044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35</w:t>
            </w:r>
            <w:r w:rsidRPr="00F63DA0">
              <w:rPr>
                <w:rStyle w:val="Hyperlink"/>
                <w:noProof/>
                <w:sz w:val="28"/>
                <w:szCs w:val="28"/>
                <w:rtl/>
              </w:rPr>
              <w:fldChar w:fldCharType="end"/>
            </w:r>
          </w:hyperlink>
        </w:p>
        <w:p w14:paraId="67BED834" w14:textId="68EF36B3" w:rsidR="00F63DA0" w:rsidRPr="00F63DA0" w:rsidRDefault="00F63DA0" w:rsidP="00F63DA0">
          <w:pPr>
            <w:pStyle w:val="TOC1"/>
            <w:tabs>
              <w:tab w:val="right" w:leader="dot" w:pos="8296"/>
            </w:tabs>
            <w:bidi/>
            <w:spacing w:line="276" w:lineRule="auto"/>
            <w:rPr>
              <w:noProof/>
              <w:sz w:val="28"/>
              <w:szCs w:val="28"/>
              <w:rtl/>
            </w:rPr>
          </w:pPr>
          <w:hyperlink w:anchor="_Toc192716045" w:history="1">
            <w:r w:rsidRPr="00F63DA0">
              <w:rPr>
                <w:rStyle w:val="Hyperlink"/>
                <w:noProof/>
                <w:sz w:val="28"/>
                <w:szCs w:val="28"/>
                <w:rtl/>
              </w:rPr>
              <w:t>مفهوم المخاطر الإلكترونية</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Toc192716045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37</w:t>
            </w:r>
            <w:r w:rsidRPr="00F63DA0">
              <w:rPr>
                <w:rStyle w:val="Hyperlink"/>
                <w:noProof/>
                <w:sz w:val="28"/>
                <w:szCs w:val="28"/>
                <w:rtl/>
              </w:rPr>
              <w:fldChar w:fldCharType="end"/>
            </w:r>
          </w:hyperlink>
        </w:p>
        <w:p w14:paraId="1F794292" w14:textId="28EDE8DC" w:rsidR="00F63DA0" w:rsidRPr="00F63DA0" w:rsidRDefault="00F63DA0" w:rsidP="00F63DA0">
          <w:pPr>
            <w:pStyle w:val="TOC1"/>
            <w:tabs>
              <w:tab w:val="right" w:leader="dot" w:pos="8296"/>
            </w:tabs>
            <w:bidi/>
            <w:spacing w:line="276" w:lineRule="auto"/>
            <w:rPr>
              <w:noProof/>
              <w:sz w:val="28"/>
              <w:szCs w:val="28"/>
              <w:rtl/>
            </w:rPr>
          </w:pPr>
          <w:hyperlink w:anchor="_Toc192716046" w:history="1">
            <w:r w:rsidRPr="00F63DA0">
              <w:rPr>
                <w:rStyle w:val="Hyperlink"/>
                <w:noProof/>
                <w:sz w:val="28"/>
                <w:szCs w:val="28"/>
                <w:rtl/>
              </w:rPr>
              <w:t>العلاقة بين المخاطر والربحية</w:t>
            </w:r>
            <w:r w:rsidRPr="00F63DA0">
              <w:rPr>
                <w:rStyle w:val="Hyperlink"/>
                <w:noProof/>
                <w:sz w:val="28"/>
                <w:szCs w:val="28"/>
              </w:rPr>
              <w:t>:</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Toc192716046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39</w:t>
            </w:r>
            <w:r w:rsidRPr="00F63DA0">
              <w:rPr>
                <w:rStyle w:val="Hyperlink"/>
                <w:noProof/>
                <w:sz w:val="28"/>
                <w:szCs w:val="28"/>
                <w:rtl/>
              </w:rPr>
              <w:fldChar w:fldCharType="end"/>
            </w:r>
          </w:hyperlink>
        </w:p>
        <w:p w14:paraId="09FBA24D" w14:textId="24671C5A" w:rsidR="00F63DA0" w:rsidRPr="00F63DA0" w:rsidRDefault="00F63DA0" w:rsidP="00F63DA0">
          <w:pPr>
            <w:pStyle w:val="TOC1"/>
            <w:tabs>
              <w:tab w:val="right" w:leader="dot" w:pos="8296"/>
            </w:tabs>
            <w:bidi/>
            <w:spacing w:line="276" w:lineRule="auto"/>
            <w:rPr>
              <w:noProof/>
              <w:sz w:val="28"/>
              <w:szCs w:val="28"/>
              <w:rtl/>
            </w:rPr>
          </w:pPr>
          <w:hyperlink w:anchor="_Toc192716047" w:history="1">
            <w:r w:rsidRPr="00F63DA0">
              <w:rPr>
                <w:rStyle w:val="Hyperlink"/>
                <w:noProof/>
                <w:sz w:val="28"/>
                <w:szCs w:val="28"/>
                <w:rtl/>
              </w:rPr>
              <w:t>التوصيات للحد من التأثيرات</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Toc192716047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41</w:t>
            </w:r>
            <w:r w:rsidRPr="00F63DA0">
              <w:rPr>
                <w:rStyle w:val="Hyperlink"/>
                <w:noProof/>
                <w:sz w:val="28"/>
                <w:szCs w:val="28"/>
                <w:rtl/>
              </w:rPr>
              <w:fldChar w:fldCharType="end"/>
            </w:r>
          </w:hyperlink>
        </w:p>
        <w:p w14:paraId="158E0D7C" w14:textId="74C43730" w:rsidR="00F63DA0" w:rsidRPr="00F63DA0" w:rsidRDefault="00F63DA0" w:rsidP="00F63DA0">
          <w:pPr>
            <w:pStyle w:val="TOC1"/>
            <w:tabs>
              <w:tab w:val="right" w:leader="dot" w:pos="8296"/>
            </w:tabs>
            <w:bidi/>
            <w:spacing w:line="276" w:lineRule="auto"/>
            <w:rPr>
              <w:noProof/>
              <w:sz w:val="28"/>
              <w:szCs w:val="28"/>
              <w:rtl/>
            </w:rPr>
          </w:pPr>
          <w:hyperlink w:anchor="_Toc192716048" w:history="1">
            <w:r w:rsidRPr="00F63DA0">
              <w:rPr>
                <w:rStyle w:val="Hyperlink"/>
                <w:noProof/>
                <w:sz w:val="28"/>
                <w:szCs w:val="28"/>
                <w:rtl/>
              </w:rPr>
              <w:t>استنتاجات الدراسة</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Toc192716048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44</w:t>
            </w:r>
            <w:r w:rsidRPr="00F63DA0">
              <w:rPr>
                <w:rStyle w:val="Hyperlink"/>
                <w:noProof/>
                <w:sz w:val="28"/>
                <w:szCs w:val="28"/>
                <w:rtl/>
              </w:rPr>
              <w:fldChar w:fldCharType="end"/>
            </w:r>
          </w:hyperlink>
        </w:p>
        <w:p w14:paraId="05A819A7" w14:textId="0503BA66" w:rsidR="00F63DA0" w:rsidRPr="00F63DA0" w:rsidRDefault="00F63DA0" w:rsidP="00F63DA0">
          <w:pPr>
            <w:pStyle w:val="TOC1"/>
            <w:tabs>
              <w:tab w:val="right" w:leader="dot" w:pos="8296"/>
            </w:tabs>
            <w:bidi/>
            <w:spacing w:line="276" w:lineRule="auto"/>
            <w:rPr>
              <w:noProof/>
              <w:sz w:val="28"/>
              <w:szCs w:val="28"/>
              <w:rtl/>
            </w:rPr>
          </w:pPr>
          <w:hyperlink w:anchor="_Toc192716049" w:history="1">
            <w:r w:rsidRPr="00F63DA0">
              <w:rPr>
                <w:rStyle w:val="Hyperlink"/>
                <w:noProof/>
                <w:sz w:val="28"/>
                <w:szCs w:val="28"/>
                <w:rtl/>
              </w:rPr>
              <w:t>توصيات الدراسة</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Toc192716049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45</w:t>
            </w:r>
            <w:r w:rsidRPr="00F63DA0">
              <w:rPr>
                <w:rStyle w:val="Hyperlink"/>
                <w:noProof/>
                <w:sz w:val="28"/>
                <w:szCs w:val="28"/>
                <w:rtl/>
              </w:rPr>
              <w:fldChar w:fldCharType="end"/>
            </w:r>
          </w:hyperlink>
        </w:p>
        <w:p w14:paraId="1CECD9B6" w14:textId="13A4D58E" w:rsidR="00F63DA0" w:rsidRPr="00F63DA0" w:rsidRDefault="00F63DA0" w:rsidP="00F63DA0">
          <w:pPr>
            <w:pStyle w:val="TOC1"/>
            <w:tabs>
              <w:tab w:val="right" w:leader="dot" w:pos="8296"/>
            </w:tabs>
            <w:bidi/>
            <w:spacing w:line="276" w:lineRule="auto"/>
            <w:rPr>
              <w:noProof/>
              <w:sz w:val="28"/>
              <w:szCs w:val="28"/>
              <w:rtl/>
            </w:rPr>
          </w:pPr>
          <w:hyperlink w:anchor="_Toc192716050" w:history="1">
            <w:r w:rsidRPr="00F63DA0">
              <w:rPr>
                <w:rStyle w:val="Hyperlink"/>
                <w:noProof/>
                <w:sz w:val="28"/>
                <w:szCs w:val="28"/>
                <w:rtl/>
              </w:rPr>
              <w:t>الخاتمة</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Toc192716050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47</w:t>
            </w:r>
            <w:r w:rsidRPr="00F63DA0">
              <w:rPr>
                <w:rStyle w:val="Hyperlink"/>
                <w:noProof/>
                <w:sz w:val="28"/>
                <w:szCs w:val="28"/>
                <w:rtl/>
              </w:rPr>
              <w:fldChar w:fldCharType="end"/>
            </w:r>
          </w:hyperlink>
        </w:p>
        <w:p w14:paraId="4568DDE1" w14:textId="090272C0" w:rsidR="00F63DA0" w:rsidRPr="00F63DA0" w:rsidRDefault="00F63DA0" w:rsidP="00F63DA0">
          <w:pPr>
            <w:pStyle w:val="TOC1"/>
            <w:tabs>
              <w:tab w:val="right" w:leader="dot" w:pos="8296"/>
            </w:tabs>
            <w:bidi/>
            <w:spacing w:line="276" w:lineRule="auto"/>
            <w:rPr>
              <w:noProof/>
              <w:sz w:val="28"/>
              <w:szCs w:val="28"/>
              <w:rtl/>
            </w:rPr>
          </w:pPr>
          <w:hyperlink w:anchor="_Toc192716051" w:history="1">
            <w:r w:rsidRPr="00F63DA0">
              <w:rPr>
                <w:rStyle w:val="Hyperlink"/>
                <w:noProof/>
                <w:sz w:val="28"/>
                <w:szCs w:val="28"/>
                <w:rtl/>
              </w:rPr>
              <w:t>المراجع:</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Toc192716051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48</w:t>
            </w:r>
            <w:r w:rsidRPr="00F63DA0">
              <w:rPr>
                <w:rStyle w:val="Hyperlink"/>
                <w:noProof/>
                <w:sz w:val="28"/>
                <w:szCs w:val="28"/>
                <w:rtl/>
              </w:rPr>
              <w:fldChar w:fldCharType="end"/>
            </w:r>
          </w:hyperlink>
        </w:p>
        <w:p w14:paraId="6314D482" w14:textId="0E438FFD" w:rsidR="00F63DA0" w:rsidRPr="00F63DA0" w:rsidRDefault="00F63DA0" w:rsidP="00F63DA0">
          <w:pPr>
            <w:pStyle w:val="TOC1"/>
            <w:tabs>
              <w:tab w:val="right" w:leader="dot" w:pos="8296"/>
            </w:tabs>
            <w:bidi/>
            <w:spacing w:line="276" w:lineRule="auto"/>
            <w:rPr>
              <w:noProof/>
              <w:sz w:val="28"/>
              <w:szCs w:val="28"/>
              <w:rtl/>
            </w:rPr>
          </w:pPr>
          <w:hyperlink w:anchor="_Toc192716052" w:history="1">
            <w:r w:rsidRPr="00F63DA0">
              <w:rPr>
                <w:rStyle w:val="Hyperlink"/>
                <w:noProof/>
                <w:sz w:val="28"/>
                <w:szCs w:val="28"/>
                <w:rtl/>
              </w:rPr>
              <w:t>مراجع الأجنبية:</w:t>
            </w:r>
            <w:r w:rsidRPr="00F63DA0">
              <w:rPr>
                <w:noProof/>
                <w:webHidden/>
                <w:sz w:val="28"/>
                <w:szCs w:val="28"/>
                <w:rtl/>
              </w:rPr>
              <w:tab/>
            </w:r>
            <w:r w:rsidRPr="00F63DA0">
              <w:rPr>
                <w:rStyle w:val="Hyperlink"/>
                <w:noProof/>
                <w:sz w:val="28"/>
                <w:szCs w:val="28"/>
                <w:rtl/>
              </w:rPr>
              <w:fldChar w:fldCharType="begin"/>
            </w:r>
            <w:r w:rsidRPr="00F63DA0">
              <w:rPr>
                <w:noProof/>
                <w:webHidden/>
                <w:sz w:val="28"/>
                <w:szCs w:val="28"/>
                <w:rtl/>
              </w:rPr>
              <w:instrText xml:space="preserve"> </w:instrText>
            </w:r>
            <w:r w:rsidRPr="00F63DA0">
              <w:rPr>
                <w:noProof/>
                <w:webHidden/>
                <w:sz w:val="28"/>
                <w:szCs w:val="28"/>
              </w:rPr>
              <w:instrText>PAGEREF</w:instrText>
            </w:r>
            <w:r w:rsidRPr="00F63DA0">
              <w:rPr>
                <w:noProof/>
                <w:webHidden/>
                <w:sz w:val="28"/>
                <w:szCs w:val="28"/>
                <w:rtl/>
              </w:rPr>
              <w:instrText xml:space="preserve"> _</w:instrText>
            </w:r>
            <w:r w:rsidRPr="00F63DA0">
              <w:rPr>
                <w:noProof/>
                <w:webHidden/>
                <w:sz w:val="28"/>
                <w:szCs w:val="28"/>
              </w:rPr>
              <w:instrText>Toc192716052 \h</w:instrText>
            </w:r>
            <w:r w:rsidRPr="00F63DA0">
              <w:rPr>
                <w:noProof/>
                <w:webHidden/>
                <w:sz w:val="28"/>
                <w:szCs w:val="28"/>
                <w:rtl/>
              </w:rPr>
              <w:instrText xml:space="preserve"> </w:instrText>
            </w:r>
            <w:r w:rsidRPr="00F63DA0">
              <w:rPr>
                <w:rStyle w:val="Hyperlink"/>
                <w:noProof/>
                <w:sz w:val="28"/>
                <w:szCs w:val="28"/>
                <w:rtl/>
              </w:rPr>
            </w:r>
            <w:r w:rsidRPr="00F63DA0">
              <w:rPr>
                <w:rStyle w:val="Hyperlink"/>
                <w:noProof/>
                <w:sz w:val="28"/>
                <w:szCs w:val="28"/>
                <w:rtl/>
              </w:rPr>
              <w:fldChar w:fldCharType="separate"/>
            </w:r>
            <w:r w:rsidR="00210DC6">
              <w:rPr>
                <w:noProof/>
                <w:webHidden/>
                <w:sz w:val="28"/>
                <w:szCs w:val="28"/>
                <w:rtl/>
              </w:rPr>
              <w:t>50</w:t>
            </w:r>
            <w:r w:rsidRPr="00F63DA0">
              <w:rPr>
                <w:rStyle w:val="Hyperlink"/>
                <w:noProof/>
                <w:sz w:val="28"/>
                <w:szCs w:val="28"/>
                <w:rtl/>
              </w:rPr>
              <w:fldChar w:fldCharType="end"/>
            </w:r>
          </w:hyperlink>
        </w:p>
        <w:p w14:paraId="782EDC45" w14:textId="3B2392F9" w:rsidR="00F63DA0" w:rsidRDefault="00F63DA0" w:rsidP="00F63DA0">
          <w:pPr>
            <w:bidi/>
            <w:spacing w:line="276" w:lineRule="auto"/>
          </w:pPr>
          <w:r w:rsidRPr="00F63DA0">
            <w:rPr>
              <w:b/>
              <w:bCs/>
              <w:noProof/>
              <w:sz w:val="28"/>
              <w:szCs w:val="28"/>
            </w:rPr>
            <w:fldChar w:fldCharType="end"/>
          </w:r>
        </w:p>
      </w:sdtContent>
    </w:sdt>
    <w:p w14:paraId="16042788" w14:textId="77777777" w:rsidR="00B52B99" w:rsidRDefault="00B52B99" w:rsidP="00F63DA0">
      <w:pPr>
        <w:bidi/>
        <w:spacing w:line="276" w:lineRule="auto"/>
        <w:jc w:val="center"/>
        <w:rPr>
          <w:rFonts w:ascii="Traditional Arabic" w:eastAsia="Calibri" w:hAnsi="Traditional Arabic" w:cs="Traditional Arabic"/>
          <w:sz w:val="40"/>
          <w:szCs w:val="40"/>
          <w:rtl/>
        </w:rPr>
      </w:pPr>
    </w:p>
    <w:p w14:paraId="4955DC87" w14:textId="77777777" w:rsidR="00F63DA0" w:rsidRDefault="00F63DA0" w:rsidP="00F63DA0">
      <w:pPr>
        <w:bidi/>
        <w:spacing w:line="360" w:lineRule="auto"/>
        <w:jc w:val="center"/>
        <w:rPr>
          <w:rFonts w:ascii="Traditional Arabic" w:eastAsia="Calibri" w:hAnsi="Traditional Arabic" w:cs="Traditional Arabic"/>
          <w:sz w:val="40"/>
          <w:szCs w:val="40"/>
          <w:rtl/>
        </w:rPr>
      </w:pPr>
    </w:p>
    <w:p w14:paraId="7909A667" w14:textId="77777777" w:rsidR="00F63DA0" w:rsidRDefault="00F63DA0" w:rsidP="00F63DA0">
      <w:pPr>
        <w:bidi/>
        <w:spacing w:line="360" w:lineRule="auto"/>
        <w:jc w:val="center"/>
        <w:rPr>
          <w:rFonts w:ascii="Traditional Arabic" w:eastAsia="Calibri" w:hAnsi="Traditional Arabic" w:cs="Traditional Arabic"/>
          <w:sz w:val="40"/>
          <w:szCs w:val="40"/>
          <w:rtl/>
        </w:rPr>
      </w:pPr>
    </w:p>
    <w:p w14:paraId="2DDDDC7A" w14:textId="77777777" w:rsidR="00F63DA0" w:rsidRDefault="00F63DA0" w:rsidP="00F63DA0">
      <w:pPr>
        <w:bidi/>
        <w:spacing w:line="360" w:lineRule="auto"/>
        <w:jc w:val="center"/>
        <w:rPr>
          <w:rFonts w:ascii="Traditional Arabic" w:eastAsia="Calibri" w:hAnsi="Traditional Arabic" w:cs="Traditional Arabic"/>
          <w:sz w:val="40"/>
          <w:szCs w:val="40"/>
          <w:rtl/>
        </w:rPr>
      </w:pPr>
    </w:p>
    <w:p w14:paraId="05BBD2B4" w14:textId="77777777" w:rsidR="00F63DA0" w:rsidRDefault="00F63DA0" w:rsidP="00F63DA0">
      <w:pPr>
        <w:bidi/>
        <w:spacing w:line="360" w:lineRule="auto"/>
        <w:jc w:val="center"/>
        <w:rPr>
          <w:rFonts w:ascii="Traditional Arabic" w:eastAsia="Calibri" w:hAnsi="Traditional Arabic" w:cs="Traditional Arabic"/>
          <w:sz w:val="40"/>
          <w:szCs w:val="40"/>
          <w:rtl/>
        </w:rPr>
      </w:pPr>
    </w:p>
    <w:p w14:paraId="3678DF1D" w14:textId="77777777" w:rsidR="00F63DA0" w:rsidRDefault="00F63DA0" w:rsidP="00F63DA0">
      <w:pPr>
        <w:bidi/>
        <w:spacing w:line="360" w:lineRule="auto"/>
        <w:jc w:val="center"/>
        <w:rPr>
          <w:rFonts w:ascii="Traditional Arabic" w:eastAsia="Calibri" w:hAnsi="Traditional Arabic" w:cs="Traditional Arabic"/>
          <w:sz w:val="40"/>
          <w:szCs w:val="40"/>
          <w:rtl/>
        </w:rPr>
      </w:pPr>
    </w:p>
    <w:p w14:paraId="5CB2DF30" w14:textId="77777777" w:rsidR="00F63DA0" w:rsidRDefault="00F63DA0" w:rsidP="00F63DA0">
      <w:pPr>
        <w:bidi/>
        <w:spacing w:line="360" w:lineRule="auto"/>
        <w:jc w:val="center"/>
        <w:rPr>
          <w:rFonts w:ascii="Traditional Arabic" w:eastAsia="Calibri" w:hAnsi="Traditional Arabic" w:cs="Traditional Arabic"/>
          <w:sz w:val="40"/>
          <w:szCs w:val="40"/>
          <w:rtl/>
        </w:rPr>
      </w:pPr>
    </w:p>
    <w:p w14:paraId="539A22DE" w14:textId="77777777" w:rsidR="00B52B99" w:rsidRDefault="00B52B99" w:rsidP="00B52B99">
      <w:pPr>
        <w:bidi/>
        <w:spacing w:line="360" w:lineRule="auto"/>
        <w:jc w:val="center"/>
        <w:rPr>
          <w:rFonts w:ascii="Traditional Arabic" w:eastAsia="Calibri" w:hAnsi="Traditional Arabic" w:cs="Traditional Arabic"/>
          <w:sz w:val="40"/>
          <w:szCs w:val="40"/>
          <w:rtl/>
        </w:rPr>
      </w:pPr>
    </w:p>
    <w:p w14:paraId="1F2893F5" w14:textId="77777777" w:rsidR="00B52B99" w:rsidRPr="00B52B99" w:rsidRDefault="00B52B99" w:rsidP="00B52B99">
      <w:pPr>
        <w:bidi/>
        <w:spacing w:line="360" w:lineRule="auto"/>
        <w:jc w:val="center"/>
        <w:rPr>
          <w:rFonts w:ascii="Traditional Arabic" w:eastAsia="Calibri" w:hAnsi="Traditional Arabic" w:cs="Traditional Arabic"/>
          <w:sz w:val="40"/>
          <w:szCs w:val="40"/>
          <w:rtl/>
        </w:rPr>
      </w:pPr>
    </w:p>
    <w:p w14:paraId="5FA1AE7A" w14:textId="77777777" w:rsidR="00B52B99" w:rsidRDefault="00B52B99" w:rsidP="00B52B99">
      <w:pPr>
        <w:bidi/>
        <w:spacing w:line="360" w:lineRule="auto"/>
        <w:jc w:val="center"/>
        <w:rPr>
          <w:rFonts w:ascii="Traditional Arabic" w:eastAsia="Calibri" w:hAnsi="Traditional Arabic" w:cs="Traditional Arabic"/>
          <w:b/>
          <w:bCs/>
          <w:sz w:val="52"/>
          <w:szCs w:val="52"/>
          <w:rtl/>
        </w:rPr>
      </w:pPr>
    </w:p>
    <w:p w14:paraId="717FD4AB" w14:textId="55AE8A09" w:rsidR="00B52B99" w:rsidRDefault="00B52B99" w:rsidP="00B52B99">
      <w:pPr>
        <w:bidi/>
        <w:spacing w:line="360" w:lineRule="auto"/>
        <w:jc w:val="center"/>
        <w:rPr>
          <w:rFonts w:ascii="Traditional Arabic" w:eastAsia="Calibri" w:hAnsi="Traditional Arabic" w:cs="Traditional Arabic"/>
          <w:b/>
          <w:bCs/>
          <w:sz w:val="52"/>
          <w:szCs w:val="52"/>
          <w:rtl/>
        </w:rPr>
      </w:pPr>
      <w:r w:rsidRPr="00FE74A6">
        <w:rPr>
          <w:rFonts w:ascii="Traditional Arabic" w:eastAsia="Calibri" w:hAnsi="Traditional Arabic" w:cs="Traditional Arabic"/>
          <w:noProof/>
          <w:kern w:val="0"/>
          <w:sz w:val="32"/>
          <w:szCs w:val="32"/>
          <w:rtl/>
          <w14:ligatures w14:val="none"/>
        </w:rPr>
        <mc:AlternateContent>
          <mc:Choice Requires="wps">
            <w:drawing>
              <wp:anchor distT="0" distB="0" distL="114300" distR="114300" simplePos="0" relativeHeight="251660288" behindDoc="0" locked="0" layoutInCell="1" allowOverlap="1" wp14:anchorId="47517257" wp14:editId="51F35546">
                <wp:simplePos x="0" y="0"/>
                <wp:positionH relativeFrom="margin">
                  <wp:posOffset>634184</wp:posOffset>
                </wp:positionH>
                <wp:positionV relativeFrom="page">
                  <wp:posOffset>3536315</wp:posOffset>
                </wp:positionV>
                <wp:extent cx="4114165" cy="2678430"/>
                <wp:effectExtent l="95250" t="133350" r="19685" b="26670"/>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165" cy="2678430"/>
                        </a:xfrm>
                        <a:prstGeom prst="roundRect">
                          <a:avLst>
                            <a:gd name="adj" fmla="val 17394"/>
                          </a:avLst>
                        </a:prstGeom>
                        <a:solidFill>
                          <a:srgbClr val="FFFFFF"/>
                        </a:solidFill>
                        <a:ln w="28575">
                          <a:solidFill>
                            <a:srgbClr val="000000"/>
                          </a:solidFill>
                          <a:round/>
                          <a:headEnd/>
                          <a:tailEnd/>
                        </a:ln>
                        <a:effectLst>
                          <a:outerShdw dist="137372" dir="14178596" algn="ctr" rotWithShape="0">
                            <a:srgbClr val="808080">
                              <a:alpha val="50000"/>
                            </a:srgbClr>
                          </a:outerShdw>
                        </a:effectLst>
                      </wps:spPr>
                      <wps:txbx>
                        <w:txbxContent>
                          <w:p w14:paraId="4EF9652B" w14:textId="77777777" w:rsidR="00FE74A6" w:rsidRPr="00BA5B25" w:rsidRDefault="00FE74A6" w:rsidP="00FE74A6">
                            <w:pPr>
                              <w:bidi/>
                              <w:spacing w:line="360" w:lineRule="auto"/>
                              <w:jc w:val="center"/>
                              <w:rPr>
                                <w:rFonts w:cs="PT Bold Heading"/>
                                <w:sz w:val="56"/>
                                <w:szCs w:val="56"/>
                                <w:rtl/>
                              </w:rPr>
                            </w:pPr>
                            <w:r w:rsidRPr="00BA5B25">
                              <w:rPr>
                                <w:rFonts w:cs="PT Bold Heading"/>
                                <w:sz w:val="56"/>
                                <w:szCs w:val="56"/>
                                <w:rtl/>
                              </w:rPr>
                              <w:t>الفصل الأول</w:t>
                            </w:r>
                            <w:r w:rsidRPr="00BA5B25">
                              <w:rPr>
                                <w:rFonts w:cs="PT Bold Heading"/>
                                <w:sz w:val="56"/>
                                <w:szCs w:val="56"/>
                              </w:rPr>
                              <w:t>:</w:t>
                            </w:r>
                          </w:p>
                          <w:p w14:paraId="50AAF1D2" w14:textId="77777777" w:rsidR="00FE74A6" w:rsidRPr="001C6321" w:rsidRDefault="00FE74A6" w:rsidP="00FE74A6">
                            <w:pPr>
                              <w:bidi/>
                              <w:spacing w:line="360" w:lineRule="auto"/>
                              <w:jc w:val="center"/>
                              <w:rPr>
                                <w:rFonts w:cs="PT Bold Heading"/>
                                <w:sz w:val="48"/>
                                <w:szCs w:val="48"/>
                              </w:rPr>
                            </w:pPr>
                            <w:r w:rsidRPr="00BA5B25">
                              <w:rPr>
                                <w:rFonts w:cs="PT Bold Heading"/>
                                <w:sz w:val="56"/>
                                <w:szCs w:val="56"/>
                                <w:rtl/>
                              </w:rPr>
                              <w:t>الإطار العام للدراسة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517257" id="Rectangle: Rounded Corners 2" o:spid="_x0000_s1026" style="position:absolute;left:0;text-align:left;margin-left:49.95pt;margin-top:278.45pt;width:323.95pt;height:210.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139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" strokeweight="2.25pt">
                <v:shadow on="t" opacity=".5" offset="-6pt,-9pt"/>
                <v:textbox>
                  <w:txbxContent>
                    <w:p w14:paraId="4EF9652B" w14:textId="77777777" w:rsidR="00FE74A6" w:rsidRPr="00BA5B25" w:rsidRDefault="00FE74A6" w:rsidP="00FE74A6">
                      <w:pPr>
                        <w:bidi/>
                        <w:spacing w:line="360" w:lineRule="auto"/>
                        <w:jc w:val="center"/>
                        <w:rPr>
                          <w:rFonts w:cs="PT Bold Heading"/>
                          <w:sz w:val="56"/>
                          <w:szCs w:val="56"/>
                          <w:rtl/>
                        </w:rPr>
                      </w:pPr>
                      <w:r w:rsidRPr="00BA5B25">
                        <w:rPr>
                          <w:rFonts w:cs="PT Bold Heading"/>
                          <w:sz w:val="56"/>
                          <w:szCs w:val="56"/>
                          <w:rtl/>
                        </w:rPr>
                        <w:t>الفصل الأول</w:t>
                      </w:r>
                      <w:r w:rsidRPr="00BA5B25">
                        <w:rPr>
                          <w:rFonts w:cs="PT Bold Heading"/>
                          <w:sz w:val="56"/>
                          <w:szCs w:val="56"/>
                        </w:rPr>
                        <w:t>:</w:t>
                      </w:r>
                    </w:p>
                    <w:p w14:paraId="50AAF1D2" w14:textId="77777777" w:rsidR="00FE74A6" w:rsidRPr="001C6321" w:rsidRDefault="00FE74A6" w:rsidP="00FE74A6">
                      <w:pPr>
                        <w:bidi/>
                        <w:spacing w:line="360" w:lineRule="auto"/>
                        <w:jc w:val="center"/>
                        <w:rPr>
                          <w:rFonts w:cs="PT Bold Heading"/>
                          <w:sz w:val="48"/>
                          <w:szCs w:val="48"/>
                        </w:rPr>
                      </w:pPr>
                      <w:r w:rsidRPr="00BA5B25">
                        <w:rPr>
                          <w:rFonts w:cs="PT Bold Heading"/>
                          <w:sz w:val="56"/>
                          <w:szCs w:val="56"/>
                          <w:rtl/>
                        </w:rPr>
                        <w:t>الإطار العام للدراسة</w:t>
                      </w:r>
                    </w:p>
                  </w:txbxContent>
                </v:textbox>
                <w10:wrap anchorx="margin" anchory="page"/>
              </v:roundrect>
            </w:pict>
          </mc:Fallback>
        </mc:AlternateContent>
      </w:r>
    </w:p>
    <w:p w14:paraId="595ECB57" w14:textId="77777777" w:rsidR="00B52B99" w:rsidRDefault="00B52B99" w:rsidP="00B52B99">
      <w:pPr>
        <w:bidi/>
        <w:spacing w:line="360" w:lineRule="auto"/>
        <w:jc w:val="center"/>
        <w:rPr>
          <w:rFonts w:ascii="Traditional Arabic" w:eastAsia="Calibri" w:hAnsi="Traditional Arabic" w:cs="Traditional Arabic"/>
          <w:b/>
          <w:bCs/>
          <w:sz w:val="52"/>
          <w:szCs w:val="52"/>
          <w:rtl/>
        </w:rPr>
      </w:pPr>
    </w:p>
    <w:p w14:paraId="6A4F80E2" w14:textId="77777777" w:rsidR="00B52B99" w:rsidRDefault="00B52B99" w:rsidP="00B52B99">
      <w:pPr>
        <w:bidi/>
        <w:spacing w:line="360" w:lineRule="auto"/>
        <w:jc w:val="center"/>
        <w:rPr>
          <w:rFonts w:ascii="Traditional Arabic" w:eastAsia="Calibri" w:hAnsi="Traditional Arabic" w:cs="Traditional Arabic"/>
          <w:b/>
          <w:bCs/>
          <w:sz w:val="52"/>
          <w:szCs w:val="52"/>
          <w:rtl/>
        </w:rPr>
      </w:pPr>
    </w:p>
    <w:p w14:paraId="15A07A52" w14:textId="77777777" w:rsidR="00B52B99" w:rsidRDefault="00B52B99" w:rsidP="00B52B99">
      <w:pPr>
        <w:bidi/>
        <w:spacing w:line="360" w:lineRule="auto"/>
        <w:jc w:val="center"/>
        <w:rPr>
          <w:rFonts w:ascii="Traditional Arabic" w:eastAsia="Calibri" w:hAnsi="Traditional Arabic" w:cs="Traditional Arabic"/>
          <w:b/>
          <w:bCs/>
          <w:sz w:val="52"/>
          <w:szCs w:val="52"/>
          <w:rtl/>
        </w:rPr>
      </w:pPr>
    </w:p>
    <w:p w14:paraId="22802440" w14:textId="77777777" w:rsidR="00B52B99" w:rsidRPr="00FE74A6" w:rsidRDefault="00B52B99" w:rsidP="00B52B99">
      <w:pPr>
        <w:bidi/>
        <w:spacing w:line="360" w:lineRule="auto"/>
        <w:jc w:val="center"/>
        <w:rPr>
          <w:rFonts w:ascii="Traditional Arabic" w:eastAsia="Calibri" w:hAnsi="Traditional Arabic" w:cs="Traditional Arabic"/>
          <w:b/>
          <w:bCs/>
          <w:sz w:val="52"/>
          <w:szCs w:val="52"/>
          <w:rtl/>
        </w:rPr>
      </w:pPr>
    </w:p>
    <w:p w14:paraId="1A6CD6B1" w14:textId="77777777" w:rsidR="00B52B99" w:rsidRDefault="00B52B99" w:rsidP="00FE74A6">
      <w:pPr>
        <w:bidi/>
        <w:spacing w:line="360" w:lineRule="auto"/>
        <w:rPr>
          <w:rFonts w:asciiTheme="minorBidi" w:eastAsia="Calibri" w:hAnsiTheme="minorBidi"/>
          <w:sz w:val="28"/>
          <w:szCs w:val="28"/>
          <w:rtl/>
        </w:rPr>
      </w:pPr>
    </w:p>
    <w:p w14:paraId="26686530" w14:textId="77777777" w:rsidR="00F63DA0" w:rsidRDefault="00F63DA0" w:rsidP="00F63DA0">
      <w:pPr>
        <w:bidi/>
        <w:spacing w:line="360" w:lineRule="auto"/>
        <w:rPr>
          <w:rFonts w:asciiTheme="minorBidi" w:eastAsia="Calibri" w:hAnsiTheme="minorBidi"/>
          <w:sz w:val="28"/>
          <w:szCs w:val="28"/>
          <w:rtl/>
        </w:rPr>
      </w:pPr>
    </w:p>
    <w:p w14:paraId="7BE3B701" w14:textId="77777777" w:rsidR="00F63DA0" w:rsidRDefault="00F63DA0" w:rsidP="00F63DA0">
      <w:pPr>
        <w:bidi/>
        <w:spacing w:line="360" w:lineRule="auto"/>
        <w:rPr>
          <w:rFonts w:asciiTheme="minorBidi" w:eastAsia="Calibri" w:hAnsiTheme="minorBidi"/>
          <w:sz w:val="28"/>
          <w:szCs w:val="28"/>
          <w:rtl/>
        </w:rPr>
      </w:pPr>
    </w:p>
    <w:p w14:paraId="5F4DAB6F" w14:textId="77777777" w:rsidR="00F63DA0" w:rsidRDefault="00F63DA0" w:rsidP="00F63DA0">
      <w:pPr>
        <w:bidi/>
        <w:spacing w:line="360" w:lineRule="auto"/>
        <w:rPr>
          <w:rFonts w:asciiTheme="minorBidi" w:eastAsia="Calibri" w:hAnsiTheme="minorBidi"/>
          <w:sz w:val="28"/>
          <w:szCs w:val="28"/>
          <w:rtl/>
        </w:rPr>
      </w:pPr>
    </w:p>
    <w:p w14:paraId="1EEAC310" w14:textId="77777777" w:rsidR="00F63DA0" w:rsidRDefault="00F63DA0" w:rsidP="00F63DA0">
      <w:pPr>
        <w:bidi/>
        <w:spacing w:line="360" w:lineRule="auto"/>
        <w:rPr>
          <w:rFonts w:asciiTheme="minorBidi" w:eastAsia="Calibri" w:hAnsiTheme="minorBidi"/>
          <w:sz w:val="28"/>
          <w:szCs w:val="28"/>
          <w:rtl/>
        </w:rPr>
      </w:pPr>
    </w:p>
    <w:p w14:paraId="2B95B840" w14:textId="77777777" w:rsidR="00F63DA0" w:rsidRDefault="00F63DA0" w:rsidP="00F63DA0">
      <w:pPr>
        <w:bidi/>
        <w:spacing w:line="360" w:lineRule="auto"/>
        <w:rPr>
          <w:rFonts w:asciiTheme="minorBidi" w:eastAsia="Calibri" w:hAnsiTheme="minorBidi"/>
          <w:sz w:val="28"/>
          <w:szCs w:val="28"/>
          <w:rtl/>
        </w:rPr>
      </w:pPr>
    </w:p>
    <w:p w14:paraId="3A2D6202" w14:textId="5C750137" w:rsidR="00FE74A6" w:rsidRPr="00B52B99" w:rsidRDefault="00B52B99" w:rsidP="00F63DA0">
      <w:pPr>
        <w:pStyle w:val="Heading1"/>
        <w:bidi/>
        <w:rPr>
          <w:rFonts w:asciiTheme="minorBidi" w:eastAsia="Calibri" w:hAnsiTheme="minorBidi"/>
          <w:b/>
          <w:bCs/>
          <w:sz w:val="30"/>
          <w:szCs w:val="30"/>
          <w:rtl/>
        </w:rPr>
      </w:pPr>
      <w:bookmarkStart w:id="1" w:name="_Toc192716015"/>
      <w:r w:rsidRPr="00B52B99">
        <w:rPr>
          <w:rFonts w:asciiTheme="minorBidi" w:eastAsia="Calibri" w:hAnsiTheme="minorBidi"/>
          <w:b/>
          <w:bCs/>
          <w:sz w:val="30"/>
          <w:szCs w:val="30"/>
          <w:rtl/>
        </w:rPr>
        <w:lastRenderedPageBreak/>
        <w:t>مقدمة</w:t>
      </w:r>
      <w:r w:rsidRPr="00B52B99">
        <w:rPr>
          <w:rFonts w:asciiTheme="minorBidi" w:eastAsia="Calibri" w:hAnsiTheme="minorBidi" w:hint="cs"/>
          <w:b/>
          <w:bCs/>
          <w:sz w:val="30"/>
          <w:szCs w:val="30"/>
          <w:rtl/>
        </w:rPr>
        <w:t>:</w:t>
      </w:r>
      <w:bookmarkEnd w:id="1"/>
    </w:p>
    <w:p w14:paraId="09593555" w14:textId="77777777" w:rsidR="00B52B99" w:rsidRPr="00B52B99" w:rsidRDefault="00B52B99" w:rsidP="00B52B99">
      <w:pPr>
        <w:bidi/>
        <w:spacing w:line="360" w:lineRule="auto"/>
        <w:rPr>
          <w:rFonts w:asciiTheme="minorBidi" w:eastAsia="Calibri" w:hAnsiTheme="minorBidi"/>
          <w:sz w:val="30"/>
          <w:szCs w:val="30"/>
        </w:rPr>
      </w:pPr>
      <w:r w:rsidRPr="00B52B99">
        <w:rPr>
          <w:rFonts w:asciiTheme="minorBidi" w:eastAsia="Calibri" w:hAnsiTheme="minorBidi"/>
          <w:sz w:val="30"/>
          <w:szCs w:val="30"/>
          <w:rtl/>
        </w:rPr>
        <w:t>يلعب النظام البنكي دورًا حيويًا وأساسياً في مختلف الأنظمة الاقتصادية، حيث يعكس بشكل مباشر تطور وقوة أي دولة، مما ينعكس بدوره على الاقتصاد الوطني من خلال الوظائف المتنوعة التي تؤديها مؤسساته المختلفة. وتعتبر البنوك التجارية من أبرز هذه المؤسسات وأهمها نظرًا لانتشارها الكبير واحتكاكها المباشر مع أغلب المتعاملين الاقتصاديين داخل البلد. فهي تشكل أوعية تتجمع فيها الأموال في صورة ودائع ليتم إعادة إقراضها وفق شروط محددة لمن يحتاج إليها. إضافة إلى ذلك، تقدم البنوك التجارية خدمات متنوعة في مختلف مجالات التوظيف، مما يساهم في تمويل الأطراف الفاعلة في الاقتصاد الوطني، ويساعد في تحقيق الأهداف الأساسية مثل الربحية، الأمان، والسيولة</w:t>
      </w:r>
      <w:r w:rsidRPr="00B52B99">
        <w:rPr>
          <w:rFonts w:asciiTheme="minorBidi" w:eastAsia="Calibri" w:hAnsiTheme="minorBidi"/>
          <w:sz w:val="30"/>
          <w:szCs w:val="30"/>
        </w:rPr>
        <w:t xml:space="preserve"> (Begenau &amp; Landvoigt, 2022).</w:t>
      </w:r>
    </w:p>
    <w:p w14:paraId="3E5FAEF5" w14:textId="77777777" w:rsidR="00B52B99" w:rsidRPr="00B52B99" w:rsidRDefault="00B52B99" w:rsidP="00B52B99">
      <w:pPr>
        <w:bidi/>
        <w:spacing w:line="360" w:lineRule="auto"/>
        <w:rPr>
          <w:rFonts w:asciiTheme="minorBidi" w:eastAsia="Calibri" w:hAnsiTheme="minorBidi"/>
          <w:sz w:val="30"/>
          <w:szCs w:val="30"/>
        </w:rPr>
      </w:pPr>
      <w:r w:rsidRPr="00B52B99">
        <w:rPr>
          <w:rFonts w:asciiTheme="minorBidi" w:eastAsia="Calibri" w:hAnsiTheme="minorBidi"/>
          <w:sz w:val="30"/>
          <w:szCs w:val="30"/>
          <w:rtl/>
        </w:rPr>
        <w:t>تعد عملية قياس المخاطر من العمليات الأساسية في القطاع المصرفي، فهي تشكل منهجًا حيويًا في تقليل المخاطر المالية، خصوصًا تلك المتعلقة بالعمل المصرفي. يسعى العديد من المحللين الماليين إلى تطوير معايير واستخدام أساليب إحصائية لقياس المخاطر المصرفية، بحيث تكون عملية التنبؤ بما يمكن أن ينتج عنها قابلة للتحكم والحد من آثارها، رغم صعوبتها. وذلك يعود إلى ارتباطها بالظروف الاقتصادية التي يصعب تجنبها، خاصة مع تنوع أساليب التنويع</w:t>
      </w:r>
      <w:r w:rsidRPr="00B52B99">
        <w:rPr>
          <w:rFonts w:asciiTheme="minorBidi" w:eastAsia="Calibri" w:hAnsiTheme="minorBidi"/>
          <w:sz w:val="30"/>
          <w:szCs w:val="30"/>
        </w:rPr>
        <w:t xml:space="preserve"> (Nguyen, 2022).</w:t>
      </w:r>
    </w:p>
    <w:p w14:paraId="77C7C5DE" w14:textId="77777777" w:rsidR="00B52B99" w:rsidRDefault="00B52B99" w:rsidP="00B52B99">
      <w:pPr>
        <w:bidi/>
        <w:spacing w:line="360" w:lineRule="auto"/>
        <w:rPr>
          <w:rFonts w:asciiTheme="minorBidi" w:eastAsia="Calibri" w:hAnsiTheme="minorBidi"/>
          <w:sz w:val="30"/>
          <w:szCs w:val="30"/>
          <w:rtl/>
        </w:rPr>
      </w:pPr>
      <w:r w:rsidRPr="00B52B99">
        <w:rPr>
          <w:rFonts w:asciiTheme="minorBidi" w:eastAsia="Calibri" w:hAnsiTheme="minorBidi"/>
          <w:sz w:val="30"/>
          <w:szCs w:val="30"/>
          <w:rtl/>
        </w:rPr>
        <w:t>منذ بداية الأزمة المالية العالمية في 2008، نشأ مناخ سياسي وأكاديمي عالمي يعارض الهيكلية التي يتسم بها النظام المالي والمصرفي، بالإضافة إلى مستوى أدائه في تحقيق الأهداف التي أُسس من أجلها. كما تعرض النظام المصرفي لانتقادات بشأن الأساليب المتبعة لتحقيق الاستقرار المالي، وعدم قدرته على منع الأزمات المالية أو حتى التنبؤ بها</w:t>
      </w:r>
      <w:r w:rsidRPr="00B52B99">
        <w:rPr>
          <w:rFonts w:asciiTheme="minorBidi" w:eastAsia="Calibri" w:hAnsiTheme="minorBidi"/>
          <w:sz w:val="30"/>
          <w:szCs w:val="30"/>
        </w:rPr>
        <w:t xml:space="preserve"> (Leo, 2019). </w:t>
      </w:r>
      <w:r w:rsidRPr="00B52B99">
        <w:rPr>
          <w:rFonts w:asciiTheme="minorBidi" w:eastAsia="Calibri" w:hAnsiTheme="minorBidi"/>
          <w:sz w:val="30"/>
          <w:szCs w:val="30"/>
          <w:rtl/>
        </w:rPr>
        <w:t>ومن جهة أخرى، أدى تزايد سرعة العولمة المالية وانفتاح الأسواق المالية والمصرفية على مستوى العالم، إلى البحث عن أدوات مالية حديثة وزيادة استخدامها، مما ساهم في تنوع حجم المخاطر المصرفية. لذلك، أصبحت معرفة المخاطر وتقويمها وإدارتها جزءًا أساسيًا من نجاح المصارف وتحقيق أهدافها، مما دفع لجنة بازل للرقابة المصرفية إلى إصدار العديد من الإرشادات الخاصة بإدارة أنواع المخاطر المصرفية المختلفة</w:t>
      </w:r>
      <w:r w:rsidRPr="00B52B99">
        <w:rPr>
          <w:rFonts w:asciiTheme="minorBidi" w:eastAsia="Calibri" w:hAnsiTheme="minorBidi"/>
          <w:sz w:val="30"/>
          <w:szCs w:val="30"/>
        </w:rPr>
        <w:t xml:space="preserve"> (VenkateswaraRao et al., 2023).</w:t>
      </w:r>
    </w:p>
    <w:p w14:paraId="0D7BB2A1" w14:textId="77777777" w:rsidR="00651A03" w:rsidRPr="00651A03" w:rsidRDefault="00651A03" w:rsidP="00651A03">
      <w:pPr>
        <w:pStyle w:val="Heading1"/>
        <w:bidi/>
        <w:rPr>
          <w:rFonts w:asciiTheme="minorBidi" w:eastAsia="Calibri" w:hAnsiTheme="minorBidi"/>
          <w:sz w:val="30"/>
          <w:szCs w:val="30"/>
        </w:rPr>
      </w:pPr>
      <w:bookmarkStart w:id="2" w:name="_Toc192716016"/>
      <w:r w:rsidRPr="00651A03">
        <w:rPr>
          <w:rFonts w:asciiTheme="minorBidi" w:eastAsia="Calibri" w:hAnsiTheme="minorBidi"/>
          <w:b/>
          <w:bCs/>
          <w:sz w:val="30"/>
          <w:szCs w:val="30"/>
          <w:rtl/>
        </w:rPr>
        <w:lastRenderedPageBreak/>
        <w:t>مشكلة الدراسة</w:t>
      </w:r>
      <w:bookmarkEnd w:id="2"/>
    </w:p>
    <w:p w14:paraId="25A6BBD1" w14:textId="71536158" w:rsidR="00651A03" w:rsidRPr="00651A03" w:rsidRDefault="00651A03" w:rsidP="00651A03">
      <w:pPr>
        <w:bidi/>
        <w:spacing w:line="360" w:lineRule="auto"/>
        <w:rPr>
          <w:rFonts w:asciiTheme="minorBidi" w:eastAsia="Calibri" w:hAnsiTheme="minorBidi"/>
          <w:sz w:val="30"/>
          <w:szCs w:val="30"/>
        </w:rPr>
      </w:pPr>
      <w:r w:rsidRPr="00651A03">
        <w:rPr>
          <w:rFonts w:asciiTheme="minorBidi" w:eastAsia="Calibri" w:hAnsiTheme="minorBidi"/>
          <w:sz w:val="30"/>
          <w:szCs w:val="30"/>
          <w:rtl/>
        </w:rPr>
        <w:t>تُعد إدارة المخاطر في التمويل المصرفي من أهم التحديات التي تواجه البنوك في العصر الحديث، حيث تلعب دورًا محوريًا في استقرار النظام المالي وضمان استمرارية عمل المصارف. ومع تزايد العولمة المالية، وانفتاح الأسواق المصرفية على مستوى العالم، تزايدت تعقيدات المخاطر المصرفية، مما جعل الحاجة إلى تطوير استراتيجيات فعالة لإدارتها أمرًا ضروريًا</w:t>
      </w:r>
      <w:r w:rsidRPr="00651A03">
        <w:rPr>
          <w:rFonts w:asciiTheme="minorBidi" w:eastAsia="Calibri" w:hAnsiTheme="minorBidi"/>
          <w:sz w:val="30"/>
          <w:szCs w:val="30"/>
        </w:rPr>
        <w:t>.</w:t>
      </w:r>
      <w:r>
        <w:rPr>
          <w:rFonts w:asciiTheme="minorBidi" w:eastAsia="Calibri" w:hAnsiTheme="minorBidi" w:hint="cs"/>
          <w:sz w:val="30"/>
          <w:szCs w:val="30"/>
          <w:rtl/>
        </w:rPr>
        <w:t xml:space="preserve"> و</w:t>
      </w:r>
      <w:r w:rsidRPr="00651A03">
        <w:rPr>
          <w:rFonts w:asciiTheme="minorBidi" w:eastAsia="Calibri" w:hAnsiTheme="minorBidi"/>
          <w:sz w:val="30"/>
          <w:szCs w:val="30"/>
          <w:rtl/>
        </w:rPr>
        <w:t>تتمثل المشكلة الرئيسية للدراسة في التعرف على المخاطر التي تواجه المصارف، خاصة فيما يتعلق بالتمويل المصرفي، وتأثيرها على الأداء المالي للمؤسسات المصرفية. كما تسعى الدراسة إلى تحليل مدى فعالية الأدوات والأساليب المستخدمة لإدارة هذه المخاطر، مع التركيز على المخاطر الائتمانية، مخاطر السيولة، مخاطر السوق، والمخاطر التشغيلية، بالإضافة إلى المخاطر الناشئة عن التطورات التكنولوجية مثل الجرائم الإلكترونية</w:t>
      </w:r>
      <w:r w:rsidRPr="00651A03">
        <w:rPr>
          <w:rFonts w:asciiTheme="minorBidi" w:eastAsia="Calibri" w:hAnsiTheme="minorBidi"/>
          <w:sz w:val="30"/>
          <w:szCs w:val="30"/>
        </w:rPr>
        <w:t>.</w:t>
      </w:r>
    </w:p>
    <w:p w14:paraId="088014A0" w14:textId="3ADFCFF1" w:rsidR="00651A03" w:rsidRPr="00651A03" w:rsidRDefault="00651A03" w:rsidP="00651A03">
      <w:pPr>
        <w:bidi/>
        <w:spacing w:line="360" w:lineRule="auto"/>
        <w:rPr>
          <w:rFonts w:asciiTheme="minorBidi" w:eastAsia="Calibri" w:hAnsiTheme="minorBidi"/>
          <w:sz w:val="30"/>
          <w:szCs w:val="30"/>
        </w:rPr>
      </w:pPr>
      <w:r w:rsidRPr="00651A03">
        <w:rPr>
          <w:rFonts w:asciiTheme="minorBidi" w:eastAsia="Calibri" w:hAnsiTheme="minorBidi"/>
          <w:sz w:val="30"/>
          <w:szCs w:val="30"/>
          <w:rtl/>
        </w:rPr>
        <w:t>من هنا، تتمحور مشكلة الدراسة حول التساؤل الرئيسي التالي</w:t>
      </w:r>
      <w:r w:rsidRPr="00651A03">
        <w:rPr>
          <w:rFonts w:asciiTheme="minorBidi" w:eastAsia="Calibri" w:hAnsiTheme="minorBidi"/>
          <w:sz w:val="30"/>
          <w:szCs w:val="30"/>
        </w:rPr>
        <w:t>:</w:t>
      </w:r>
      <w:r>
        <w:rPr>
          <w:rFonts w:asciiTheme="minorBidi" w:eastAsia="Calibri" w:hAnsiTheme="minorBidi"/>
          <w:sz w:val="30"/>
          <w:szCs w:val="30"/>
        </w:rPr>
        <w:t xml:space="preserve"> </w:t>
      </w:r>
      <w:r w:rsidRPr="00651A03">
        <w:rPr>
          <w:rFonts w:asciiTheme="minorBidi" w:eastAsia="Calibri" w:hAnsiTheme="minorBidi"/>
          <w:sz w:val="30"/>
          <w:szCs w:val="30"/>
          <w:rtl/>
        </w:rPr>
        <w:t>إلى أي مدى تؤثر إدارة المخاطر في التمويل المصرفي على استقرار وربحية المصارف، وما هي الاستراتيجيات الفعالة للحد من تأثير هذه المخاطر؟</w:t>
      </w:r>
    </w:p>
    <w:p w14:paraId="34A3ED7B" w14:textId="77777777" w:rsidR="00651A03" w:rsidRPr="00651A03" w:rsidRDefault="00651A03" w:rsidP="00651A03">
      <w:pPr>
        <w:bidi/>
        <w:spacing w:line="360" w:lineRule="auto"/>
        <w:rPr>
          <w:rFonts w:asciiTheme="minorBidi" w:eastAsia="Calibri" w:hAnsiTheme="minorBidi"/>
          <w:sz w:val="30"/>
          <w:szCs w:val="30"/>
        </w:rPr>
      </w:pPr>
      <w:r w:rsidRPr="00651A03">
        <w:rPr>
          <w:rFonts w:asciiTheme="minorBidi" w:eastAsia="Calibri" w:hAnsiTheme="minorBidi"/>
          <w:sz w:val="30"/>
          <w:szCs w:val="30"/>
          <w:rtl/>
        </w:rPr>
        <w:t>ومن هذا السؤال الرئيسي، تتفرع الأسئلة الفرعية التالية</w:t>
      </w:r>
      <w:r w:rsidRPr="00651A03">
        <w:rPr>
          <w:rFonts w:asciiTheme="minorBidi" w:eastAsia="Calibri" w:hAnsiTheme="minorBidi"/>
          <w:sz w:val="30"/>
          <w:szCs w:val="30"/>
        </w:rPr>
        <w:t>:</w:t>
      </w:r>
    </w:p>
    <w:p w14:paraId="0FDA59BC" w14:textId="77777777" w:rsidR="00651A03" w:rsidRPr="00651A03" w:rsidRDefault="00651A03" w:rsidP="00651A03">
      <w:pPr>
        <w:numPr>
          <w:ilvl w:val="0"/>
          <w:numId w:val="21"/>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ما هي أنواع المخاطر الرئيسية التي تواجه المصارف في عمليات التمويل المصرفي؟</w:t>
      </w:r>
    </w:p>
    <w:p w14:paraId="46B130CD" w14:textId="77777777" w:rsidR="00651A03" w:rsidRPr="00651A03" w:rsidRDefault="00651A03" w:rsidP="00651A03">
      <w:pPr>
        <w:numPr>
          <w:ilvl w:val="0"/>
          <w:numId w:val="21"/>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ما مدى تأثير المخاطر الائتمانية والسيولة والمخاطر السوقية على الأداء المالي للمصارف؟</w:t>
      </w:r>
    </w:p>
    <w:p w14:paraId="16AA0875" w14:textId="77777777" w:rsidR="00651A03" w:rsidRPr="00651A03" w:rsidRDefault="00651A03" w:rsidP="00651A03">
      <w:pPr>
        <w:numPr>
          <w:ilvl w:val="0"/>
          <w:numId w:val="21"/>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ما مدى كفاءة الأدوات والأساليب المتبعة في إدارة المخاطر المصرفية؟</w:t>
      </w:r>
    </w:p>
    <w:p w14:paraId="14133E22" w14:textId="77777777" w:rsidR="00651A03" w:rsidRPr="00651A03" w:rsidRDefault="00651A03" w:rsidP="00651A03">
      <w:pPr>
        <w:numPr>
          <w:ilvl w:val="0"/>
          <w:numId w:val="21"/>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كيف يمكن تحسين آليات إدارة المخاطر للحد من تأثيرها السلبي وتعزيز الاستقرار المالي؟</w:t>
      </w:r>
    </w:p>
    <w:p w14:paraId="2F9E71AA" w14:textId="77777777" w:rsidR="00651A03" w:rsidRPr="00651A03" w:rsidRDefault="00651A03" w:rsidP="00651A03">
      <w:pPr>
        <w:pStyle w:val="Heading1"/>
        <w:bidi/>
        <w:rPr>
          <w:rFonts w:asciiTheme="minorBidi" w:eastAsia="Calibri" w:hAnsiTheme="minorBidi"/>
          <w:sz w:val="30"/>
          <w:szCs w:val="30"/>
        </w:rPr>
      </w:pPr>
      <w:bookmarkStart w:id="3" w:name="_Toc192716017"/>
      <w:r w:rsidRPr="00651A03">
        <w:rPr>
          <w:rFonts w:asciiTheme="minorBidi" w:eastAsia="Calibri" w:hAnsiTheme="minorBidi"/>
          <w:b/>
          <w:bCs/>
          <w:sz w:val="30"/>
          <w:szCs w:val="30"/>
          <w:rtl/>
        </w:rPr>
        <w:lastRenderedPageBreak/>
        <w:t>أهمية الدراسة</w:t>
      </w:r>
      <w:bookmarkEnd w:id="3"/>
    </w:p>
    <w:p w14:paraId="6C7B5428" w14:textId="77777777" w:rsidR="00651A03" w:rsidRPr="00651A03" w:rsidRDefault="00651A03" w:rsidP="00651A03">
      <w:pPr>
        <w:bidi/>
        <w:spacing w:line="360" w:lineRule="auto"/>
        <w:rPr>
          <w:rFonts w:asciiTheme="minorBidi" w:eastAsia="Calibri" w:hAnsiTheme="minorBidi"/>
          <w:sz w:val="30"/>
          <w:szCs w:val="30"/>
        </w:rPr>
      </w:pPr>
      <w:r w:rsidRPr="00651A03">
        <w:rPr>
          <w:rFonts w:asciiTheme="minorBidi" w:eastAsia="Calibri" w:hAnsiTheme="minorBidi"/>
          <w:sz w:val="30"/>
          <w:szCs w:val="30"/>
          <w:rtl/>
        </w:rPr>
        <w:t>تبرز أهمية هذه الدراسة من خلال الدور المحوري الذي تلعبه إدارة المخاطر في التمويل المصرفي في تحقيق الاستقرار المالي وضمان استمرارية المصارف في ظل التحديات الاقتصادية والتطورات التكنولوجية المتسارعة. وتتجلى أهمية الدراسة من عدة جوانب رئيسية، وهي</w:t>
      </w:r>
      <w:r w:rsidRPr="00651A03">
        <w:rPr>
          <w:rFonts w:asciiTheme="minorBidi" w:eastAsia="Calibri" w:hAnsiTheme="minorBidi"/>
          <w:sz w:val="30"/>
          <w:szCs w:val="30"/>
        </w:rPr>
        <w:t>:</w:t>
      </w:r>
    </w:p>
    <w:p w14:paraId="525874B9" w14:textId="77777777" w:rsidR="00651A03" w:rsidRPr="00651A03" w:rsidRDefault="00651A03" w:rsidP="00651A03">
      <w:pPr>
        <w:numPr>
          <w:ilvl w:val="0"/>
          <w:numId w:val="22"/>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الأهمية النظرية</w:t>
      </w:r>
    </w:p>
    <w:p w14:paraId="2682B028" w14:textId="77777777" w:rsidR="00651A03" w:rsidRPr="00651A03" w:rsidRDefault="00651A03" w:rsidP="00651A03">
      <w:pPr>
        <w:numPr>
          <w:ilvl w:val="1"/>
          <w:numId w:val="22"/>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تسهم الدراسة في إثراء الأدبيات العلمية المتعلقة بإدارة المخاطر المصرفية، وذلك من خلال تقديم تحليل معمق لأنواع المخاطر التي تواجه المصارف وأثرها على أدائها المالي</w:t>
      </w:r>
      <w:r w:rsidRPr="00651A03">
        <w:rPr>
          <w:rFonts w:asciiTheme="minorBidi" w:eastAsia="Calibri" w:hAnsiTheme="minorBidi"/>
          <w:sz w:val="30"/>
          <w:szCs w:val="30"/>
        </w:rPr>
        <w:t>.</w:t>
      </w:r>
    </w:p>
    <w:p w14:paraId="7EACA4ED" w14:textId="77777777" w:rsidR="00651A03" w:rsidRPr="00651A03" w:rsidRDefault="00651A03" w:rsidP="00651A03">
      <w:pPr>
        <w:numPr>
          <w:ilvl w:val="1"/>
          <w:numId w:val="22"/>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تسلط الضوء على أحدث الأساليب والنماذج المستخدمة في قياس وإدارة المخاطر المصرفية، مما يساعد الباحثين والمختصين في المجال المصرفي على تطوير أبحاث مستقبلية قائمة على أسس علمية رصينة</w:t>
      </w:r>
      <w:r w:rsidRPr="00651A03">
        <w:rPr>
          <w:rFonts w:asciiTheme="minorBidi" w:eastAsia="Calibri" w:hAnsiTheme="minorBidi"/>
          <w:sz w:val="30"/>
          <w:szCs w:val="30"/>
        </w:rPr>
        <w:t>.</w:t>
      </w:r>
    </w:p>
    <w:p w14:paraId="4040135B" w14:textId="77777777" w:rsidR="00651A03" w:rsidRPr="00651A03" w:rsidRDefault="00651A03" w:rsidP="00651A03">
      <w:pPr>
        <w:numPr>
          <w:ilvl w:val="1"/>
          <w:numId w:val="22"/>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تواكب التطورات العالمية في مجال إدارة المخاطر المصرفية، خاصة في ظل المتغيرات الاقتصادية والتكنولوجية المتسارعة</w:t>
      </w:r>
      <w:r w:rsidRPr="00651A03">
        <w:rPr>
          <w:rFonts w:asciiTheme="minorBidi" w:eastAsia="Calibri" w:hAnsiTheme="minorBidi"/>
          <w:sz w:val="30"/>
          <w:szCs w:val="30"/>
        </w:rPr>
        <w:t>.</w:t>
      </w:r>
    </w:p>
    <w:p w14:paraId="75335C41" w14:textId="77777777" w:rsidR="00651A03" w:rsidRPr="00651A03" w:rsidRDefault="00651A03" w:rsidP="00651A03">
      <w:pPr>
        <w:numPr>
          <w:ilvl w:val="0"/>
          <w:numId w:val="22"/>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الأهمية العملية والتطبيقية</w:t>
      </w:r>
    </w:p>
    <w:p w14:paraId="4E670D6B" w14:textId="77777777" w:rsidR="00651A03" w:rsidRPr="00651A03" w:rsidRDefault="00651A03" w:rsidP="00651A03">
      <w:pPr>
        <w:numPr>
          <w:ilvl w:val="1"/>
          <w:numId w:val="22"/>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تساعد الدراسة صناع القرار في المصارف على فهم طبيعة المخاطر المالية وتأثيرها على التمويل المصرفي، مما يمكّنهم من اتخاذ قرارات مستنيرة مبنية على تحليل المخاطر</w:t>
      </w:r>
      <w:r w:rsidRPr="00651A03">
        <w:rPr>
          <w:rFonts w:asciiTheme="minorBidi" w:eastAsia="Calibri" w:hAnsiTheme="minorBidi"/>
          <w:sz w:val="30"/>
          <w:szCs w:val="30"/>
        </w:rPr>
        <w:t>.</w:t>
      </w:r>
    </w:p>
    <w:p w14:paraId="627A999C" w14:textId="77777777" w:rsidR="00651A03" w:rsidRPr="00651A03" w:rsidRDefault="00651A03" w:rsidP="00651A03">
      <w:pPr>
        <w:numPr>
          <w:ilvl w:val="1"/>
          <w:numId w:val="22"/>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تقدم توصيات عملية يمكن أن تسهم في تحسين استراتيجيات إدارة المخاطر في المؤسسات المصرفية، مما يساهم في تقليل الخسائر وتعزيز الاستقرار المالي</w:t>
      </w:r>
      <w:r w:rsidRPr="00651A03">
        <w:rPr>
          <w:rFonts w:asciiTheme="minorBidi" w:eastAsia="Calibri" w:hAnsiTheme="minorBidi"/>
          <w:sz w:val="30"/>
          <w:szCs w:val="30"/>
        </w:rPr>
        <w:t>.</w:t>
      </w:r>
    </w:p>
    <w:p w14:paraId="1463EA6A" w14:textId="77777777" w:rsidR="00651A03" w:rsidRPr="00651A03" w:rsidRDefault="00651A03" w:rsidP="00651A03">
      <w:pPr>
        <w:numPr>
          <w:ilvl w:val="1"/>
          <w:numId w:val="22"/>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توفر إطارًا يمكن أن يساعد المصارف في الامتثال لمتطلبات الهيئات الرقابية، مثل معايير لجنة بازل للرقابة المصرفية، والتي تضع ضوابط صارمة لإدارة المخاطر المصرفية</w:t>
      </w:r>
      <w:r w:rsidRPr="00651A03">
        <w:rPr>
          <w:rFonts w:asciiTheme="minorBidi" w:eastAsia="Calibri" w:hAnsiTheme="minorBidi"/>
          <w:sz w:val="30"/>
          <w:szCs w:val="30"/>
        </w:rPr>
        <w:t>.</w:t>
      </w:r>
    </w:p>
    <w:p w14:paraId="582497D5" w14:textId="77777777" w:rsidR="00651A03" w:rsidRPr="00651A03" w:rsidRDefault="00651A03" w:rsidP="00651A03">
      <w:pPr>
        <w:numPr>
          <w:ilvl w:val="0"/>
          <w:numId w:val="22"/>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lastRenderedPageBreak/>
        <w:t>الأهمية الاقتصادية</w:t>
      </w:r>
    </w:p>
    <w:p w14:paraId="0EE1B07B" w14:textId="77777777" w:rsidR="00651A03" w:rsidRPr="00651A03" w:rsidRDefault="00651A03" w:rsidP="00651A03">
      <w:pPr>
        <w:numPr>
          <w:ilvl w:val="1"/>
          <w:numId w:val="22"/>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تساهم الدراسة في تعزيز فهم العلاقة بين المخاطر المصرفية والأداء الاقتصادي، مما يتيح للمصارف تحقيق توازن بين تحقيق الربحية والحفاظ على مستوى مقبول من المخاطر</w:t>
      </w:r>
      <w:r w:rsidRPr="00651A03">
        <w:rPr>
          <w:rFonts w:asciiTheme="minorBidi" w:eastAsia="Calibri" w:hAnsiTheme="minorBidi"/>
          <w:sz w:val="30"/>
          <w:szCs w:val="30"/>
        </w:rPr>
        <w:t>.</w:t>
      </w:r>
    </w:p>
    <w:p w14:paraId="033C19F5" w14:textId="77777777" w:rsidR="00651A03" w:rsidRPr="00651A03" w:rsidRDefault="00651A03" w:rsidP="00651A03">
      <w:pPr>
        <w:numPr>
          <w:ilvl w:val="1"/>
          <w:numId w:val="22"/>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تسلط الضوء على أهمية التمويل المصرفي كأداة لدعم الاقتصاد الوطني من خلال تقديم تسهيلات مالية آمنة ومستدامة</w:t>
      </w:r>
      <w:r w:rsidRPr="00651A03">
        <w:rPr>
          <w:rFonts w:asciiTheme="minorBidi" w:eastAsia="Calibri" w:hAnsiTheme="minorBidi"/>
          <w:sz w:val="30"/>
          <w:szCs w:val="30"/>
        </w:rPr>
        <w:t>.</w:t>
      </w:r>
    </w:p>
    <w:p w14:paraId="33BC731E" w14:textId="77777777" w:rsidR="00651A03" w:rsidRPr="00651A03" w:rsidRDefault="00651A03" w:rsidP="00651A03">
      <w:pPr>
        <w:numPr>
          <w:ilvl w:val="0"/>
          <w:numId w:val="22"/>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الأهمية التكنولوجية</w:t>
      </w:r>
    </w:p>
    <w:p w14:paraId="5F9918B2" w14:textId="77777777" w:rsidR="00651A03" w:rsidRPr="00651A03" w:rsidRDefault="00651A03" w:rsidP="00651A03">
      <w:pPr>
        <w:numPr>
          <w:ilvl w:val="1"/>
          <w:numId w:val="22"/>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تناقش الدراسة المخاطر الإلكترونية التي تواجه المصارف في ظل الاعتماد المتزايد على التقنيات الرقمية، مثل الجرائم الإلكترونية وهجمات الاحتيال السيبراني، مما يجعلها مرجعًا مهمًا للجهات المعنية بحماية البيانات المصرفية</w:t>
      </w:r>
      <w:r w:rsidRPr="00651A03">
        <w:rPr>
          <w:rFonts w:asciiTheme="minorBidi" w:eastAsia="Calibri" w:hAnsiTheme="minorBidi"/>
          <w:sz w:val="30"/>
          <w:szCs w:val="30"/>
        </w:rPr>
        <w:t>.</w:t>
      </w:r>
    </w:p>
    <w:p w14:paraId="0F554A7F" w14:textId="77777777" w:rsidR="00651A03" w:rsidRPr="00651A03" w:rsidRDefault="00651A03" w:rsidP="00651A03">
      <w:pPr>
        <w:numPr>
          <w:ilvl w:val="1"/>
          <w:numId w:val="22"/>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تساعد الدراسة في وضع استراتيجيات متقدمة لحماية المعاملات المصرفية وتعزيز الأمن السيبراني في قطاع التمويل المصرفي</w:t>
      </w:r>
      <w:r w:rsidRPr="00651A03">
        <w:rPr>
          <w:rFonts w:asciiTheme="minorBidi" w:eastAsia="Calibri" w:hAnsiTheme="minorBidi"/>
          <w:sz w:val="30"/>
          <w:szCs w:val="30"/>
        </w:rPr>
        <w:t>.</w:t>
      </w:r>
    </w:p>
    <w:p w14:paraId="25C55F76" w14:textId="77777777" w:rsidR="00651A03" w:rsidRPr="00651A03" w:rsidRDefault="00651A03" w:rsidP="00651A03">
      <w:pPr>
        <w:pStyle w:val="Heading1"/>
        <w:bidi/>
        <w:rPr>
          <w:rFonts w:asciiTheme="minorBidi" w:eastAsia="Calibri" w:hAnsiTheme="minorBidi"/>
          <w:sz w:val="30"/>
          <w:szCs w:val="30"/>
        </w:rPr>
      </w:pPr>
      <w:bookmarkStart w:id="4" w:name="_Toc192716018"/>
      <w:r w:rsidRPr="00651A03">
        <w:rPr>
          <w:rFonts w:asciiTheme="minorBidi" w:eastAsia="Calibri" w:hAnsiTheme="minorBidi"/>
          <w:b/>
          <w:bCs/>
          <w:sz w:val="30"/>
          <w:szCs w:val="30"/>
          <w:rtl/>
        </w:rPr>
        <w:t>أهداف الدراسة</w:t>
      </w:r>
      <w:bookmarkEnd w:id="4"/>
    </w:p>
    <w:p w14:paraId="134C8B35" w14:textId="77777777" w:rsidR="00651A03" w:rsidRPr="00651A03" w:rsidRDefault="00651A03" w:rsidP="00651A03">
      <w:pPr>
        <w:pStyle w:val="ListParagraph"/>
        <w:numPr>
          <w:ilvl w:val="0"/>
          <w:numId w:val="27"/>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تحديد وتصنيف أنواع المخاطر التي تواجه المصارف، مثل المخاطر الائتمانية، مخاطر السيولة، مخاطر السوق، والمخاطر التشغيلية</w:t>
      </w:r>
      <w:r w:rsidRPr="00651A03">
        <w:rPr>
          <w:rFonts w:asciiTheme="minorBidi" w:eastAsia="Calibri" w:hAnsiTheme="minorBidi"/>
          <w:sz w:val="30"/>
          <w:szCs w:val="30"/>
        </w:rPr>
        <w:t>.</w:t>
      </w:r>
    </w:p>
    <w:p w14:paraId="7A853DBA" w14:textId="77777777" w:rsidR="00651A03" w:rsidRPr="00651A03" w:rsidRDefault="00651A03" w:rsidP="00651A03">
      <w:pPr>
        <w:pStyle w:val="ListParagraph"/>
        <w:numPr>
          <w:ilvl w:val="0"/>
          <w:numId w:val="27"/>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تحليل المخاطر الناشئة عن التطورات التكنولوجية، مثل المخاطر الإلكترونية والاحتيال السيبراني وتأثيرها على التمويل المصرفي</w:t>
      </w:r>
      <w:r w:rsidRPr="00651A03">
        <w:rPr>
          <w:rFonts w:asciiTheme="minorBidi" w:eastAsia="Calibri" w:hAnsiTheme="minorBidi"/>
          <w:sz w:val="30"/>
          <w:szCs w:val="30"/>
        </w:rPr>
        <w:t>.</w:t>
      </w:r>
    </w:p>
    <w:p w14:paraId="1CB531D6" w14:textId="77777777" w:rsidR="00651A03" w:rsidRPr="00651A03" w:rsidRDefault="00651A03" w:rsidP="00651A03">
      <w:pPr>
        <w:pStyle w:val="ListParagraph"/>
        <w:numPr>
          <w:ilvl w:val="0"/>
          <w:numId w:val="27"/>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دراسة العلاقة بين المخاطر المصرفية ومستوى الربحية والاستقرار المالي للمؤسسات المصرفية</w:t>
      </w:r>
      <w:r w:rsidRPr="00651A03">
        <w:rPr>
          <w:rFonts w:asciiTheme="minorBidi" w:eastAsia="Calibri" w:hAnsiTheme="minorBidi"/>
          <w:sz w:val="30"/>
          <w:szCs w:val="30"/>
        </w:rPr>
        <w:t>.</w:t>
      </w:r>
    </w:p>
    <w:p w14:paraId="6E459C7B" w14:textId="77777777" w:rsidR="00651A03" w:rsidRPr="00651A03" w:rsidRDefault="00651A03" w:rsidP="00651A03">
      <w:pPr>
        <w:pStyle w:val="ListParagraph"/>
        <w:numPr>
          <w:ilvl w:val="0"/>
          <w:numId w:val="27"/>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قياس مدى تأثير المخاطر الائتمانية والسيولة والمخاطر السوقية على قدرة المصارف على تحقيق أهدافها المالية والاستثمارية</w:t>
      </w:r>
      <w:r w:rsidRPr="00651A03">
        <w:rPr>
          <w:rFonts w:asciiTheme="minorBidi" w:eastAsia="Calibri" w:hAnsiTheme="minorBidi"/>
          <w:sz w:val="30"/>
          <w:szCs w:val="30"/>
        </w:rPr>
        <w:t>.</w:t>
      </w:r>
    </w:p>
    <w:p w14:paraId="7ADE5DEF" w14:textId="77777777" w:rsidR="00651A03" w:rsidRPr="00651A03" w:rsidRDefault="00651A03" w:rsidP="00651A03">
      <w:pPr>
        <w:pStyle w:val="ListParagraph"/>
        <w:numPr>
          <w:ilvl w:val="0"/>
          <w:numId w:val="27"/>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مراجعة وتحليل الأدوات والأساليب المستخدمة حاليًا في إدارة المخاطر في المصارف، ومدى فعاليتها في التخفيف من آثار المخاطر المختلفة</w:t>
      </w:r>
      <w:r w:rsidRPr="00651A03">
        <w:rPr>
          <w:rFonts w:asciiTheme="minorBidi" w:eastAsia="Calibri" w:hAnsiTheme="minorBidi"/>
          <w:sz w:val="30"/>
          <w:szCs w:val="30"/>
        </w:rPr>
        <w:t>.</w:t>
      </w:r>
    </w:p>
    <w:p w14:paraId="5584DAFE" w14:textId="77777777" w:rsidR="00651A03" w:rsidRPr="00651A03" w:rsidRDefault="00651A03" w:rsidP="00651A03">
      <w:pPr>
        <w:pStyle w:val="ListParagraph"/>
        <w:numPr>
          <w:ilvl w:val="0"/>
          <w:numId w:val="27"/>
        </w:numPr>
        <w:bidi/>
        <w:spacing w:line="360" w:lineRule="auto"/>
        <w:rPr>
          <w:rFonts w:asciiTheme="minorBidi" w:eastAsia="Calibri" w:hAnsiTheme="minorBidi"/>
          <w:sz w:val="30"/>
          <w:szCs w:val="30"/>
        </w:rPr>
      </w:pPr>
      <w:r w:rsidRPr="00651A03">
        <w:rPr>
          <w:rFonts w:asciiTheme="minorBidi" w:eastAsia="Calibri" w:hAnsiTheme="minorBidi"/>
          <w:sz w:val="30"/>
          <w:szCs w:val="30"/>
          <w:rtl/>
        </w:rPr>
        <w:lastRenderedPageBreak/>
        <w:t>اقتراح آليات وأساليب جديدة يمكن أن تسهم في تحسين إدارة المخاطر المصرفية، وتقليل تأثيرها السلبي على العمليات المالية</w:t>
      </w:r>
      <w:r w:rsidRPr="00651A03">
        <w:rPr>
          <w:rFonts w:asciiTheme="minorBidi" w:eastAsia="Calibri" w:hAnsiTheme="minorBidi"/>
          <w:sz w:val="30"/>
          <w:szCs w:val="30"/>
        </w:rPr>
        <w:t>.</w:t>
      </w:r>
    </w:p>
    <w:p w14:paraId="3A03AFA9" w14:textId="77777777" w:rsidR="00651A03" w:rsidRPr="00651A03" w:rsidRDefault="00651A03" w:rsidP="00651A03">
      <w:pPr>
        <w:pStyle w:val="Heading1"/>
        <w:bidi/>
        <w:rPr>
          <w:rFonts w:asciiTheme="minorBidi" w:eastAsia="Calibri" w:hAnsiTheme="minorBidi"/>
          <w:sz w:val="30"/>
          <w:szCs w:val="30"/>
        </w:rPr>
      </w:pPr>
      <w:bookmarkStart w:id="5" w:name="_Toc192716019"/>
      <w:r w:rsidRPr="00651A03">
        <w:rPr>
          <w:rFonts w:asciiTheme="minorBidi" w:eastAsia="Calibri" w:hAnsiTheme="minorBidi"/>
          <w:b/>
          <w:bCs/>
          <w:sz w:val="30"/>
          <w:szCs w:val="30"/>
          <w:rtl/>
        </w:rPr>
        <w:t>فروض الدراسة</w:t>
      </w:r>
      <w:bookmarkEnd w:id="5"/>
    </w:p>
    <w:p w14:paraId="77C53A75" w14:textId="7501E9E5" w:rsidR="00651A03" w:rsidRPr="00651A03" w:rsidRDefault="00651A03" w:rsidP="00651A03">
      <w:pPr>
        <w:numPr>
          <w:ilvl w:val="0"/>
          <w:numId w:val="24"/>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الفرض الأول</w:t>
      </w:r>
      <w:r w:rsidRPr="00651A03">
        <w:rPr>
          <w:rFonts w:asciiTheme="minorBidi" w:eastAsia="Calibri" w:hAnsiTheme="minorBidi"/>
          <w:b/>
          <w:bCs/>
          <w:sz w:val="30"/>
          <w:szCs w:val="30"/>
        </w:rPr>
        <w:t>:</w:t>
      </w:r>
      <w:r>
        <w:rPr>
          <w:rFonts w:asciiTheme="minorBidi" w:eastAsia="Calibri" w:hAnsiTheme="minorBidi" w:hint="cs"/>
          <w:sz w:val="30"/>
          <w:szCs w:val="30"/>
          <w:rtl/>
        </w:rPr>
        <w:t xml:space="preserve"> </w:t>
      </w:r>
      <w:r w:rsidRPr="00651A03">
        <w:rPr>
          <w:rFonts w:asciiTheme="minorBidi" w:eastAsia="Calibri" w:hAnsiTheme="minorBidi"/>
          <w:i/>
          <w:iCs/>
          <w:sz w:val="30"/>
          <w:szCs w:val="30"/>
          <w:rtl/>
        </w:rPr>
        <w:t>توجد علاقة ذات دلالة إحصائية بين إدارة المخاطر المصرفية ومستوى الاستقرار المالي للمصارف</w:t>
      </w:r>
      <w:r w:rsidRPr="00651A03">
        <w:rPr>
          <w:rFonts w:asciiTheme="minorBidi" w:eastAsia="Calibri" w:hAnsiTheme="minorBidi"/>
          <w:i/>
          <w:iCs/>
          <w:sz w:val="30"/>
          <w:szCs w:val="30"/>
        </w:rPr>
        <w:t>.</w:t>
      </w:r>
    </w:p>
    <w:p w14:paraId="64609F46" w14:textId="1C9897E4" w:rsidR="00651A03" w:rsidRPr="00651A03" w:rsidRDefault="00651A03" w:rsidP="00651A03">
      <w:pPr>
        <w:numPr>
          <w:ilvl w:val="0"/>
          <w:numId w:val="24"/>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الفرض الثاني</w:t>
      </w:r>
      <w:r w:rsidRPr="00651A03">
        <w:rPr>
          <w:rFonts w:asciiTheme="minorBidi" w:eastAsia="Calibri" w:hAnsiTheme="minorBidi"/>
          <w:b/>
          <w:bCs/>
          <w:sz w:val="30"/>
          <w:szCs w:val="30"/>
        </w:rPr>
        <w:t>:</w:t>
      </w:r>
      <w:r>
        <w:rPr>
          <w:rFonts w:asciiTheme="minorBidi" w:eastAsia="Calibri" w:hAnsiTheme="minorBidi" w:hint="cs"/>
          <w:sz w:val="30"/>
          <w:szCs w:val="30"/>
          <w:rtl/>
        </w:rPr>
        <w:t xml:space="preserve"> </w:t>
      </w:r>
      <w:r w:rsidRPr="00651A03">
        <w:rPr>
          <w:rFonts w:asciiTheme="minorBidi" w:eastAsia="Calibri" w:hAnsiTheme="minorBidi"/>
          <w:i/>
          <w:iCs/>
          <w:sz w:val="30"/>
          <w:szCs w:val="30"/>
          <w:rtl/>
        </w:rPr>
        <w:t>تؤثر المخاطر الائتمانية بشكل سلبي على ربحية المصارف وأدائها المالي</w:t>
      </w:r>
      <w:r w:rsidRPr="00651A03">
        <w:rPr>
          <w:rFonts w:asciiTheme="minorBidi" w:eastAsia="Calibri" w:hAnsiTheme="minorBidi"/>
          <w:i/>
          <w:iCs/>
          <w:sz w:val="30"/>
          <w:szCs w:val="30"/>
        </w:rPr>
        <w:t>.</w:t>
      </w:r>
    </w:p>
    <w:p w14:paraId="69CB3B89" w14:textId="36A43CC1" w:rsidR="00651A03" w:rsidRPr="00651A03" w:rsidRDefault="00651A03" w:rsidP="00651A03">
      <w:pPr>
        <w:numPr>
          <w:ilvl w:val="0"/>
          <w:numId w:val="24"/>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الفرض الثالث</w:t>
      </w:r>
      <w:r w:rsidRPr="00651A03">
        <w:rPr>
          <w:rFonts w:asciiTheme="minorBidi" w:eastAsia="Calibri" w:hAnsiTheme="minorBidi"/>
          <w:b/>
          <w:bCs/>
          <w:sz w:val="30"/>
          <w:szCs w:val="30"/>
        </w:rPr>
        <w:t>:</w:t>
      </w:r>
      <w:r>
        <w:rPr>
          <w:rFonts w:asciiTheme="minorBidi" w:eastAsia="Calibri" w:hAnsiTheme="minorBidi" w:hint="cs"/>
          <w:sz w:val="30"/>
          <w:szCs w:val="30"/>
          <w:rtl/>
        </w:rPr>
        <w:t xml:space="preserve"> </w:t>
      </w:r>
      <w:r w:rsidRPr="00651A03">
        <w:rPr>
          <w:rFonts w:asciiTheme="minorBidi" w:eastAsia="Calibri" w:hAnsiTheme="minorBidi"/>
          <w:i/>
          <w:iCs/>
          <w:sz w:val="30"/>
          <w:szCs w:val="30"/>
          <w:rtl/>
        </w:rPr>
        <w:t>تؤدي زيادة مخاطر السيولة إلى انخفاض قدرة المصارف على تلبية التزاماتها المالية</w:t>
      </w:r>
      <w:r w:rsidRPr="00651A03">
        <w:rPr>
          <w:rFonts w:asciiTheme="minorBidi" w:eastAsia="Calibri" w:hAnsiTheme="minorBidi"/>
          <w:i/>
          <w:iCs/>
          <w:sz w:val="30"/>
          <w:szCs w:val="30"/>
        </w:rPr>
        <w:t>.</w:t>
      </w:r>
    </w:p>
    <w:p w14:paraId="34B7E152" w14:textId="18E6634A" w:rsidR="00651A03" w:rsidRPr="00651A03" w:rsidRDefault="00651A03" w:rsidP="00651A03">
      <w:pPr>
        <w:numPr>
          <w:ilvl w:val="0"/>
          <w:numId w:val="24"/>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الفرض الرابع</w:t>
      </w:r>
      <w:r w:rsidRPr="00651A03">
        <w:rPr>
          <w:rFonts w:asciiTheme="minorBidi" w:eastAsia="Calibri" w:hAnsiTheme="minorBidi"/>
          <w:b/>
          <w:bCs/>
          <w:sz w:val="30"/>
          <w:szCs w:val="30"/>
        </w:rPr>
        <w:t>:</w:t>
      </w:r>
      <w:r>
        <w:rPr>
          <w:rFonts w:asciiTheme="minorBidi" w:eastAsia="Calibri" w:hAnsiTheme="minorBidi" w:hint="cs"/>
          <w:sz w:val="30"/>
          <w:szCs w:val="30"/>
          <w:rtl/>
        </w:rPr>
        <w:t xml:space="preserve"> </w:t>
      </w:r>
      <w:r w:rsidRPr="00651A03">
        <w:rPr>
          <w:rFonts w:asciiTheme="minorBidi" w:eastAsia="Calibri" w:hAnsiTheme="minorBidi"/>
          <w:i/>
          <w:iCs/>
          <w:sz w:val="30"/>
          <w:szCs w:val="30"/>
          <w:rtl/>
        </w:rPr>
        <w:t>هناك علاقة إيجابية بين تبني استراتيجيات فعالة لإدارة المخاطر المصرفية وتقليل حجم الخسائر المالية</w:t>
      </w:r>
      <w:r w:rsidRPr="00651A03">
        <w:rPr>
          <w:rFonts w:asciiTheme="minorBidi" w:eastAsia="Calibri" w:hAnsiTheme="minorBidi"/>
          <w:i/>
          <w:iCs/>
          <w:sz w:val="30"/>
          <w:szCs w:val="30"/>
        </w:rPr>
        <w:t>.</w:t>
      </w:r>
    </w:p>
    <w:p w14:paraId="0D4BC582" w14:textId="7BB2D838" w:rsidR="00651A03" w:rsidRPr="00651A03" w:rsidRDefault="00651A03" w:rsidP="00651A03">
      <w:pPr>
        <w:numPr>
          <w:ilvl w:val="0"/>
          <w:numId w:val="24"/>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الفرض الخامس</w:t>
      </w:r>
      <w:r w:rsidRPr="00651A03">
        <w:rPr>
          <w:rFonts w:asciiTheme="minorBidi" w:eastAsia="Calibri" w:hAnsiTheme="minorBidi"/>
          <w:b/>
          <w:bCs/>
          <w:sz w:val="30"/>
          <w:szCs w:val="30"/>
        </w:rPr>
        <w:t>:</w:t>
      </w:r>
      <w:r>
        <w:rPr>
          <w:rFonts w:asciiTheme="minorBidi" w:eastAsia="Calibri" w:hAnsiTheme="minorBidi" w:hint="cs"/>
          <w:sz w:val="30"/>
          <w:szCs w:val="30"/>
          <w:rtl/>
        </w:rPr>
        <w:t xml:space="preserve"> </w:t>
      </w:r>
      <w:r w:rsidRPr="00651A03">
        <w:rPr>
          <w:rFonts w:asciiTheme="minorBidi" w:eastAsia="Calibri" w:hAnsiTheme="minorBidi"/>
          <w:i/>
          <w:iCs/>
          <w:sz w:val="30"/>
          <w:szCs w:val="30"/>
          <w:rtl/>
        </w:rPr>
        <w:t>تلعب المخاطر الإلكترونية دورًا متزايدًا في التأثير على كفاءة العمليات المصرفية وأمن البيانات المالية</w:t>
      </w:r>
      <w:r w:rsidRPr="00651A03">
        <w:rPr>
          <w:rFonts w:asciiTheme="minorBidi" w:eastAsia="Calibri" w:hAnsiTheme="minorBidi"/>
          <w:i/>
          <w:iCs/>
          <w:sz w:val="30"/>
          <w:szCs w:val="30"/>
        </w:rPr>
        <w:t>.</w:t>
      </w:r>
    </w:p>
    <w:p w14:paraId="2EE4C0FA" w14:textId="702F9231" w:rsidR="00651A03" w:rsidRPr="00651A03" w:rsidRDefault="00651A03" w:rsidP="00651A03">
      <w:pPr>
        <w:numPr>
          <w:ilvl w:val="0"/>
          <w:numId w:val="24"/>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الفرض السادس</w:t>
      </w:r>
      <w:r w:rsidRPr="00651A03">
        <w:rPr>
          <w:rFonts w:asciiTheme="minorBidi" w:eastAsia="Calibri" w:hAnsiTheme="minorBidi"/>
          <w:b/>
          <w:bCs/>
          <w:sz w:val="30"/>
          <w:szCs w:val="30"/>
        </w:rPr>
        <w:t>:</w:t>
      </w:r>
      <w:r>
        <w:rPr>
          <w:rFonts w:asciiTheme="minorBidi" w:eastAsia="Calibri" w:hAnsiTheme="minorBidi"/>
          <w:sz w:val="30"/>
          <w:szCs w:val="30"/>
        </w:rPr>
        <w:t xml:space="preserve"> </w:t>
      </w:r>
      <w:r w:rsidRPr="00651A03">
        <w:rPr>
          <w:rFonts w:asciiTheme="minorBidi" w:eastAsia="Calibri" w:hAnsiTheme="minorBidi"/>
          <w:i/>
          <w:iCs/>
          <w:sz w:val="30"/>
          <w:szCs w:val="30"/>
          <w:rtl/>
        </w:rPr>
        <w:t>تساهم المعايير الدولية لإدارة المخاطر، مثل توصيات لجنة بازل، في تحسين أداء المصارف وتعزيز استقرارها المالي</w:t>
      </w:r>
      <w:r w:rsidRPr="00651A03">
        <w:rPr>
          <w:rFonts w:asciiTheme="minorBidi" w:eastAsia="Calibri" w:hAnsiTheme="minorBidi"/>
          <w:i/>
          <w:iCs/>
          <w:sz w:val="30"/>
          <w:szCs w:val="30"/>
        </w:rPr>
        <w:t>.</w:t>
      </w:r>
    </w:p>
    <w:p w14:paraId="18CC0BDE" w14:textId="17009111" w:rsidR="00651A03" w:rsidRPr="00651A03" w:rsidRDefault="00651A03" w:rsidP="00651A03">
      <w:pPr>
        <w:numPr>
          <w:ilvl w:val="0"/>
          <w:numId w:val="24"/>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الفرض السابع</w:t>
      </w:r>
      <w:r w:rsidRPr="00651A03">
        <w:rPr>
          <w:rFonts w:asciiTheme="minorBidi" w:eastAsia="Calibri" w:hAnsiTheme="minorBidi"/>
          <w:b/>
          <w:bCs/>
          <w:sz w:val="30"/>
          <w:szCs w:val="30"/>
        </w:rPr>
        <w:t>:</w:t>
      </w:r>
      <w:r>
        <w:rPr>
          <w:rFonts w:asciiTheme="minorBidi" w:eastAsia="Calibri" w:hAnsiTheme="minorBidi" w:hint="cs"/>
          <w:sz w:val="30"/>
          <w:szCs w:val="30"/>
          <w:rtl/>
        </w:rPr>
        <w:t xml:space="preserve"> </w:t>
      </w:r>
      <w:r w:rsidRPr="00651A03">
        <w:rPr>
          <w:rFonts w:asciiTheme="minorBidi" w:eastAsia="Calibri" w:hAnsiTheme="minorBidi"/>
          <w:i/>
          <w:iCs/>
          <w:sz w:val="30"/>
          <w:szCs w:val="30"/>
          <w:rtl/>
        </w:rPr>
        <w:t>تؤثر كفاءة الموظفين في إدارات المخاطر بالمصارف على جودة عمليات التنبؤ بالمخاطر واتخاذ القرارات الوقائية</w:t>
      </w:r>
      <w:r w:rsidRPr="00651A03">
        <w:rPr>
          <w:rFonts w:asciiTheme="minorBidi" w:eastAsia="Calibri" w:hAnsiTheme="minorBidi"/>
          <w:i/>
          <w:iCs/>
          <w:sz w:val="30"/>
          <w:szCs w:val="30"/>
        </w:rPr>
        <w:t>.</w:t>
      </w:r>
    </w:p>
    <w:p w14:paraId="66EFFD57" w14:textId="5D4C0B8B" w:rsidR="00651A03" w:rsidRPr="00651A03" w:rsidRDefault="00651A03" w:rsidP="00651A03">
      <w:pPr>
        <w:numPr>
          <w:ilvl w:val="0"/>
          <w:numId w:val="24"/>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الفرض الثامن</w:t>
      </w:r>
      <w:r w:rsidRPr="00651A03">
        <w:rPr>
          <w:rFonts w:asciiTheme="minorBidi" w:eastAsia="Calibri" w:hAnsiTheme="minorBidi"/>
          <w:b/>
          <w:bCs/>
          <w:sz w:val="30"/>
          <w:szCs w:val="30"/>
        </w:rPr>
        <w:t>:</w:t>
      </w:r>
      <w:r>
        <w:rPr>
          <w:rFonts w:asciiTheme="minorBidi" w:eastAsia="Calibri" w:hAnsiTheme="minorBidi"/>
          <w:sz w:val="30"/>
          <w:szCs w:val="30"/>
        </w:rPr>
        <w:t xml:space="preserve"> </w:t>
      </w:r>
      <w:r w:rsidRPr="00651A03">
        <w:rPr>
          <w:rFonts w:asciiTheme="minorBidi" w:eastAsia="Calibri" w:hAnsiTheme="minorBidi"/>
          <w:i/>
          <w:iCs/>
          <w:sz w:val="30"/>
          <w:szCs w:val="30"/>
          <w:rtl/>
        </w:rPr>
        <w:t>يمكن تحسين إدارة المخاطر المصرفية من خلال دمج التقنيات الحديثة مثل الذكاء الاصطناعي والتحليل التنبئي</w:t>
      </w:r>
      <w:r w:rsidRPr="00651A03">
        <w:rPr>
          <w:rFonts w:asciiTheme="minorBidi" w:eastAsia="Calibri" w:hAnsiTheme="minorBidi"/>
          <w:i/>
          <w:iCs/>
          <w:sz w:val="30"/>
          <w:szCs w:val="30"/>
        </w:rPr>
        <w:t>.</w:t>
      </w:r>
    </w:p>
    <w:p w14:paraId="73E6EEDD" w14:textId="77777777" w:rsidR="00651A03" w:rsidRPr="00651A03" w:rsidRDefault="00651A03" w:rsidP="00651A03">
      <w:pPr>
        <w:pStyle w:val="Heading1"/>
        <w:bidi/>
        <w:rPr>
          <w:rFonts w:asciiTheme="minorBidi" w:eastAsia="Calibri" w:hAnsiTheme="minorBidi"/>
          <w:sz w:val="30"/>
          <w:szCs w:val="30"/>
        </w:rPr>
      </w:pPr>
      <w:bookmarkStart w:id="6" w:name="_Toc192716020"/>
      <w:r w:rsidRPr="00651A03">
        <w:rPr>
          <w:rFonts w:asciiTheme="minorBidi" w:eastAsia="Calibri" w:hAnsiTheme="minorBidi"/>
          <w:b/>
          <w:bCs/>
          <w:sz w:val="30"/>
          <w:szCs w:val="30"/>
          <w:rtl/>
        </w:rPr>
        <w:t>منهج الدراسة</w:t>
      </w:r>
      <w:bookmarkEnd w:id="6"/>
    </w:p>
    <w:p w14:paraId="7D667730" w14:textId="77777777" w:rsidR="00651A03" w:rsidRPr="00651A03" w:rsidRDefault="00651A03" w:rsidP="00651A03">
      <w:pPr>
        <w:bidi/>
        <w:spacing w:line="360" w:lineRule="auto"/>
        <w:rPr>
          <w:rFonts w:asciiTheme="minorBidi" w:eastAsia="Calibri" w:hAnsiTheme="minorBidi"/>
          <w:sz w:val="30"/>
          <w:szCs w:val="30"/>
        </w:rPr>
      </w:pPr>
      <w:r w:rsidRPr="00651A03">
        <w:rPr>
          <w:rFonts w:asciiTheme="minorBidi" w:eastAsia="Calibri" w:hAnsiTheme="minorBidi"/>
          <w:sz w:val="30"/>
          <w:szCs w:val="30"/>
          <w:rtl/>
        </w:rPr>
        <w:t xml:space="preserve">تعتمد هذه الدراسة على </w:t>
      </w:r>
      <w:r w:rsidRPr="00651A03">
        <w:rPr>
          <w:rFonts w:asciiTheme="minorBidi" w:eastAsia="Calibri" w:hAnsiTheme="minorBidi"/>
          <w:b/>
          <w:bCs/>
          <w:sz w:val="30"/>
          <w:szCs w:val="30"/>
          <w:rtl/>
        </w:rPr>
        <w:t>المنهج الوصفي التحليلي</w:t>
      </w:r>
      <w:r w:rsidRPr="00651A03">
        <w:rPr>
          <w:rFonts w:asciiTheme="minorBidi" w:eastAsia="Calibri" w:hAnsiTheme="minorBidi"/>
          <w:sz w:val="30"/>
          <w:szCs w:val="30"/>
          <w:rtl/>
        </w:rPr>
        <w:t xml:space="preserve"> لدراسة وتحليل إدارة المخاطر في التمويل المصرفي، وذلك من خلال جمع البيانات وتحليلها لاستخلاص النتائج التي توضح </w:t>
      </w:r>
      <w:r w:rsidRPr="00651A03">
        <w:rPr>
          <w:rFonts w:asciiTheme="minorBidi" w:eastAsia="Calibri" w:hAnsiTheme="minorBidi"/>
          <w:sz w:val="30"/>
          <w:szCs w:val="30"/>
          <w:rtl/>
        </w:rPr>
        <w:lastRenderedPageBreak/>
        <w:t>تأثير المخاطر المختلفة على أداء المصارف واستقرارها المالي. ويمكن تفصيل منهج الدراسة على النحو التالي</w:t>
      </w:r>
      <w:r w:rsidRPr="00651A03">
        <w:rPr>
          <w:rFonts w:asciiTheme="minorBidi" w:eastAsia="Calibri" w:hAnsiTheme="minorBidi"/>
          <w:sz w:val="30"/>
          <w:szCs w:val="30"/>
        </w:rPr>
        <w:t>:</w:t>
      </w:r>
    </w:p>
    <w:p w14:paraId="5EF763A6" w14:textId="77777777" w:rsidR="00651A03" w:rsidRPr="00651A03" w:rsidRDefault="00651A03" w:rsidP="00651A03">
      <w:pPr>
        <w:numPr>
          <w:ilvl w:val="0"/>
          <w:numId w:val="25"/>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المنهج الوصفي</w:t>
      </w:r>
      <w:r w:rsidRPr="00651A03">
        <w:rPr>
          <w:rFonts w:asciiTheme="minorBidi" w:eastAsia="Calibri" w:hAnsiTheme="minorBidi"/>
          <w:b/>
          <w:bCs/>
          <w:sz w:val="30"/>
          <w:szCs w:val="30"/>
        </w:rPr>
        <w:t>:</w:t>
      </w:r>
    </w:p>
    <w:p w14:paraId="53B6B0D8" w14:textId="77777777" w:rsidR="00651A03" w:rsidRPr="00651A03" w:rsidRDefault="00651A03" w:rsidP="00651A03">
      <w:pPr>
        <w:numPr>
          <w:ilvl w:val="1"/>
          <w:numId w:val="25"/>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يتم استخدام المنهج الوصفي في تحديد أنواع المخاطر التي تواجه المصارف، مثل المخاطر الائتمانية، مخاطر السيولة، المخاطر التشغيلية، والمخاطر الإلكترونية</w:t>
      </w:r>
      <w:r w:rsidRPr="00651A03">
        <w:rPr>
          <w:rFonts w:asciiTheme="minorBidi" w:eastAsia="Calibri" w:hAnsiTheme="minorBidi"/>
          <w:sz w:val="30"/>
          <w:szCs w:val="30"/>
        </w:rPr>
        <w:t>.</w:t>
      </w:r>
    </w:p>
    <w:p w14:paraId="22AB2AA2" w14:textId="77777777" w:rsidR="00651A03" w:rsidRPr="00651A03" w:rsidRDefault="00651A03" w:rsidP="00651A03">
      <w:pPr>
        <w:numPr>
          <w:ilvl w:val="1"/>
          <w:numId w:val="25"/>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يهدف إلى وصف واقع إدارة المخاطر في المصارف، والوقوف على أهم الممارسات والسياسات المتبعة في هذا المجال</w:t>
      </w:r>
      <w:r w:rsidRPr="00651A03">
        <w:rPr>
          <w:rFonts w:asciiTheme="minorBidi" w:eastAsia="Calibri" w:hAnsiTheme="minorBidi"/>
          <w:sz w:val="30"/>
          <w:szCs w:val="30"/>
        </w:rPr>
        <w:t>.</w:t>
      </w:r>
    </w:p>
    <w:p w14:paraId="1B8F4C5D" w14:textId="77777777" w:rsidR="00651A03" w:rsidRPr="00651A03" w:rsidRDefault="00651A03" w:rsidP="00651A03">
      <w:pPr>
        <w:numPr>
          <w:ilvl w:val="0"/>
          <w:numId w:val="25"/>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المنهج التحليلي</w:t>
      </w:r>
      <w:r w:rsidRPr="00651A03">
        <w:rPr>
          <w:rFonts w:asciiTheme="minorBidi" w:eastAsia="Calibri" w:hAnsiTheme="minorBidi"/>
          <w:b/>
          <w:bCs/>
          <w:sz w:val="30"/>
          <w:szCs w:val="30"/>
        </w:rPr>
        <w:t>:</w:t>
      </w:r>
    </w:p>
    <w:p w14:paraId="63715883" w14:textId="77777777" w:rsidR="00651A03" w:rsidRPr="00651A03" w:rsidRDefault="00651A03" w:rsidP="00651A03">
      <w:pPr>
        <w:numPr>
          <w:ilvl w:val="1"/>
          <w:numId w:val="25"/>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يعتمد على تحليل البيانات والمعلومات المتاحة حول تأثير المخاطر المصرفية على الأداء المالي للمصارف</w:t>
      </w:r>
      <w:r w:rsidRPr="00651A03">
        <w:rPr>
          <w:rFonts w:asciiTheme="minorBidi" w:eastAsia="Calibri" w:hAnsiTheme="minorBidi"/>
          <w:sz w:val="30"/>
          <w:szCs w:val="30"/>
        </w:rPr>
        <w:t>.</w:t>
      </w:r>
    </w:p>
    <w:p w14:paraId="0E5D736F" w14:textId="77777777" w:rsidR="00651A03" w:rsidRPr="00651A03" w:rsidRDefault="00651A03" w:rsidP="00651A03">
      <w:pPr>
        <w:numPr>
          <w:ilvl w:val="1"/>
          <w:numId w:val="25"/>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يهدف إلى دراسة العلاقة بين استراتيجيات إدارة المخاطر واستقرار المصارف، من خلال تحليل تجارب بعض المؤسسات المالية ودراسة تأثير تبني معايير إدارة المخاطر على أدائها المالي</w:t>
      </w:r>
      <w:r w:rsidRPr="00651A03">
        <w:rPr>
          <w:rFonts w:asciiTheme="minorBidi" w:eastAsia="Calibri" w:hAnsiTheme="minorBidi"/>
          <w:sz w:val="30"/>
          <w:szCs w:val="30"/>
        </w:rPr>
        <w:t>.</w:t>
      </w:r>
    </w:p>
    <w:p w14:paraId="68D0CD80" w14:textId="77777777" w:rsidR="00651A03" w:rsidRPr="00651A03" w:rsidRDefault="00651A03" w:rsidP="00651A03">
      <w:pPr>
        <w:numPr>
          <w:ilvl w:val="0"/>
          <w:numId w:val="25"/>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أساليب جمع البيانات</w:t>
      </w:r>
      <w:r w:rsidRPr="00651A03">
        <w:rPr>
          <w:rFonts w:asciiTheme="minorBidi" w:eastAsia="Calibri" w:hAnsiTheme="minorBidi"/>
          <w:b/>
          <w:bCs/>
          <w:sz w:val="30"/>
          <w:szCs w:val="30"/>
        </w:rPr>
        <w:t>:</w:t>
      </w:r>
    </w:p>
    <w:p w14:paraId="2D6899EB" w14:textId="77777777" w:rsidR="00651A03" w:rsidRPr="00651A03" w:rsidRDefault="00651A03" w:rsidP="00651A03">
      <w:pPr>
        <w:numPr>
          <w:ilvl w:val="1"/>
          <w:numId w:val="25"/>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مصادر أولية</w:t>
      </w:r>
      <w:r w:rsidRPr="00651A03">
        <w:rPr>
          <w:rFonts w:asciiTheme="minorBidi" w:eastAsia="Calibri" w:hAnsiTheme="minorBidi"/>
          <w:b/>
          <w:bCs/>
          <w:sz w:val="30"/>
          <w:szCs w:val="30"/>
        </w:rPr>
        <w:t>:</w:t>
      </w:r>
      <w:r w:rsidRPr="00651A03">
        <w:rPr>
          <w:rFonts w:asciiTheme="minorBidi" w:eastAsia="Calibri" w:hAnsiTheme="minorBidi"/>
          <w:sz w:val="30"/>
          <w:szCs w:val="30"/>
        </w:rPr>
        <w:t xml:space="preserve"> </w:t>
      </w:r>
      <w:r w:rsidRPr="00651A03">
        <w:rPr>
          <w:rFonts w:asciiTheme="minorBidi" w:eastAsia="Calibri" w:hAnsiTheme="minorBidi"/>
          <w:sz w:val="30"/>
          <w:szCs w:val="30"/>
          <w:rtl/>
        </w:rPr>
        <w:t>في حال توافرها، قد تشمل استبيانات أو مقابلات مع خبراء في القطاع المصرفي، بهدف الحصول على آراء مباشرة حول فعالية استراتيجيات إدارة المخاطر</w:t>
      </w:r>
      <w:r w:rsidRPr="00651A03">
        <w:rPr>
          <w:rFonts w:asciiTheme="minorBidi" w:eastAsia="Calibri" w:hAnsiTheme="minorBidi"/>
          <w:sz w:val="30"/>
          <w:szCs w:val="30"/>
        </w:rPr>
        <w:t>.</w:t>
      </w:r>
    </w:p>
    <w:p w14:paraId="20E58DDC" w14:textId="77777777" w:rsidR="00651A03" w:rsidRPr="00651A03" w:rsidRDefault="00651A03" w:rsidP="00651A03">
      <w:pPr>
        <w:numPr>
          <w:ilvl w:val="1"/>
          <w:numId w:val="25"/>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مصادر ثانوية</w:t>
      </w:r>
      <w:r w:rsidRPr="00651A03">
        <w:rPr>
          <w:rFonts w:asciiTheme="minorBidi" w:eastAsia="Calibri" w:hAnsiTheme="minorBidi"/>
          <w:b/>
          <w:bCs/>
          <w:sz w:val="30"/>
          <w:szCs w:val="30"/>
        </w:rPr>
        <w:t>:</w:t>
      </w:r>
      <w:r w:rsidRPr="00651A03">
        <w:rPr>
          <w:rFonts w:asciiTheme="minorBidi" w:eastAsia="Calibri" w:hAnsiTheme="minorBidi"/>
          <w:sz w:val="30"/>
          <w:szCs w:val="30"/>
        </w:rPr>
        <w:t xml:space="preserve"> </w:t>
      </w:r>
      <w:r w:rsidRPr="00651A03">
        <w:rPr>
          <w:rFonts w:asciiTheme="minorBidi" w:eastAsia="Calibri" w:hAnsiTheme="minorBidi"/>
          <w:sz w:val="30"/>
          <w:szCs w:val="30"/>
          <w:rtl/>
        </w:rPr>
        <w:t>تحليل الدراسات السابقة، التقارير المالية، والمراجع الأكاديمية المتعلقة بإدارة المخاطر المصرفية، بالإضافة إلى مراجعة القوانين والتشريعات المصرفية ذات الصلة</w:t>
      </w:r>
      <w:r w:rsidRPr="00651A03">
        <w:rPr>
          <w:rFonts w:asciiTheme="minorBidi" w:eastAsia="Calibri" w:hAnsiTheme="minorBidi"/>
          <w:sz w:val="30"/>
          <w:szCs w:val="30"/>
        </w:rPr>
        <w:t>.</w:t>
      </w:r>
    </w:p>
    <w:p w14:paraId="21800152" w14:textId="77777777" w:rsidR="00651A03" w:rsidRPr="00651A03" w:rsidRDefault="00651A03" w:rsidP="00651A03">
      <w:pPr>
        <w:numPr>
          <w:ilvl w:val="0"/>
          <w:numId w:val="25"/>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أدوات التحليل</w:t>
      </w:r>
      <w:r w:rsidRPr="00651A03">
        <w:rPr>
          <w:rFonts w:asciiTheme="minorBidi" w:eastAsia="Calibri" w:hAnsiTheme="minorBidi"/>
          <w:b/>
          <w:bCs/>
          <w:sz w:val="30"/>
          <w:szCs w:val="30"/>
        </w:rPr>
        <w:t>:</w:t>
      </w:r>
    </w:p>
    <w:p w14:paraId="46BF7CCF" w14:textId="77777777" w:rsidR="00651A03" w:rsidRPr="00651A03" w:rsidRDefault="00651A03" w:rsidP="00651A03">
      <w:pPr>
        <w:numPr>
          <w:ilvl w:val="1"/>
          <w:numId w:val="25"/>
        </w:numPr>
        <w:bidi/>
        <w:spacing w:line="360" w:lineRule="auto"/>
        <w:rPr>
          <w:rFonts w:asciiTheme="minorBidi" w:eastAsia="Calibri" w:hAnsiTheme="minorBidi"/>
          <w:sz w:val="30"/>
          <w:szCs w:val="30"/>
        </w:rPr>
      </w:pPr>
      <w:r w:rsidRPr="00651A03">
        <w:rPr>
          <w:rFonts w:asciiTheme="minorBidi" w:eastAsia="Calibri" w:hAnsiTheme="minorBidi"/>
          <w:sz w:val="30"/>
          <w:szCs w:val="30"/>
          <w:rtl/>
        </w:rPr>
        <w:lastRenderedPageBreak/>
        <w:t>استخدام الأساليب الإحصائية والاقتصادية لتحليل تأثير المخاطر على الأداء المالي للمصارف</w:t>
      </w:r>
      <w:r w:rsidRPr="00651A03">
        <w:rPr>
          <w:rFonts w:asciiTheme="minorBidi" w:eastAsia="Calibri" w:hAnsiTheme="minorBidi"/>
          <w:sz w:val="30"/>
          <w:szCs w:val="30"/>
        </w:rPr>
        <w:t>.</w:t>
      </w:r>
    </w:p>
    <w:p w14:paraId="3B23D8C2" w14:textId="77777777" w:rsidR="00651A03" w:rsidRPr="00651A03" w:rsidRDefault="00651A03" w:rsidP="00651A03">
      <w:pPr>
        <w:numPr>
          <w:ilvl w:val="1"/>
          <w:numId w:val="25"/>
        </w:numPr>
        <w:bidi/>
        <w:spacing w:line="360" w:lineRule="auto"/>
        <w:rPr>
          <w:rFonts w:asciiTheme="minorBidi" w:eastAsia="Calibri" w:hAnsiTheme="minorBidi"/>
          <w:sz w:val="30"/>
          <w:szCs w:val="30"/>
        </w:rPr>
      </w:pPr>
      <w:r w:rsidRPr="00651A03">
        <w:rPr>
          <w:rFonts w:asciiTheme="minorBidi" w:eastAsia="Calibri" w:hAnsiTheme="minorBidi"/>
          <w:sz w:val="30"/>
          <w:szCs w:val="30"/>
          <w:rtl/>
        </w:rPr>
        <w:t>تحليل البيانات المالية للمصارف لتقييم مدى تأثير تطبيق سياسات إدارة المخاطر على الاستقرار المالي والربحية</w:t>
      </w:r>
      <w:r w:rsidRPr="00651A03">
        <w:rPr>
          <w:rFonts w:asciiTheme="minorBidi" w:eastAsia="Calibri" w:hAnsiTheme="minorBidi"/>
          <w:sz w:val="30"/>
          <w:szCs w:val="30"/>
        </w:rPr>
        <w:t>.</w:t>
      </w:r>
    </w:p>
    <w:p w14:paraId="478C2017" w14:textId="77777777" w:rsidR="00651A03" w:rsidRPr="00651A03" w:rsidRDefault="00651A03" w:rsidP="00651A03">
      <w:pPr>
        <w:pStyle w:val="Heading1"/>
        <w:bidi/>
        <w:rPr>
          <w:rFonts w:asciiTheme="minorBidi" w:eastAsia="Calibri" w:hAnsiTheme="minorBidi"/>
          <w:sz w:val="30"/>
          <w:szCs w:val="30"/>
        </w:rPr>
      </w:pPr>
      <w:bookmarkStart w:id="7" w:name="_Toc192716021"/>
      <w:r w:rsidRPr="00651A03">
        <w:rPr>
          <w:rFonts w:asciiTheme="minorBidi" w:eastAsia="Calibri" w:hAnsiTheme="minorBidi"/>
          <w:b/>
          <w:bCs/>
          <w:sz w:val="30"/>
          <w:szCs w:val="30"/>
          <w:rtl/>
        </w:rPr>
        <w:t>الدراسات السابقة</w:t>
      </w:r>
      <w:bookmarkEnd w:id="7"/>
    </w:p>
    <w:p w14:paraId="65B7F688" w14:textId="77777777" w:rsidR="00651A03" w:rsidRPr="00651A03" w:rsidRDefault="00651A03" w:rsidP="00651A03">
      <w:pPr>
        <w:bidi/>
        <w:spacing w:line="360" w:lineRule="auto"/>
        <w:rPr>
          <w:rFonts w:asciiTheme="minorBidi" w:eastAsia="Calibri" w:hAnsiTheme="minorBidi"/>
          <w:sz w:val="30"/>
          <w:szCs w:val="30"/>
        </w:rPr>
      </w:pPr>
      <w:r w:rsidRPr="00651A03">
        <w:rPr>
          <w:rFonts w:asciiTheme="minorBidi" w:eastAsia="Calibri" w:hAnsiTheme="minorBidi"/>
          <w:sz w:val="30"/>
          <w:szCs w:val="30"/>
          <w:rtl/>
        </w:rPr>
        <w:t>تُعد إدارة المخاطر في التمويل المصرفي موضوعًا حيويًا تناولته العديد من الدراسات الأكاديمية والبحثية، نظرًا لأهميته في تعزيز استقرار وربحية المصارف</w:t>
      </w:r>
      <w:r w:rsidRPr="00651A03">
        <w:rPr>
          <w:rFonts w:asciiTheme="minorBidi" w:eastAsia="Calibri" w:hAnsiTheme="minorBidi"/>
          <w:sz w:val="30"/>
          <w:szCs w:val="30"/>
        </w:rPr>
        <w:t xml:space="preserve">. </w:t>
      </w:r>
      <w:r w:rsidRPr="00651A03">
        <w:rPr>
          <w:rFonts w:asciiTheme="minorBidi" w:eastAsia="Calibri" w:hAnsiTheme="minorBidi"/>
          <w:sz w:val="30"/>
          <w:szCs w:val="30"/>
          <w:rtl/>
        </w:rPr>
        <w:t>فيما يلي عرض لأبرز هذه الدراسات</w:t>
      </w:r>
      <w:r w:rsidRPr="00651A03">
        <w:rPr>
          <w:rFonts w:asciiTheme="minorBidi" w:eastAsia="Calibri" w:hAnsiTheme="minorBidi"/>
          <w:sz w:val="30"/>
          <w:szCs w:val="30"/>
        </w:rPr>
        <w:t>:​</w:t>
      </w:r>
    </w:p>
    <w:p w14:paraId="5D79B9FD" w14:textId="77777777" w:rsidR="00651A03" w:rsidRPr="00651A03" w:rsidRDefault="00651A03" w:rsidP="00651A03">
      <w:pPr>
        <w:numPr>
          <w:ilvl w:val="0"/>
          <w:numId w:val="26"/>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استراتيجية إدارة المخاطر وأثرها على الأداء المالي للمصارف التجارية</w:t>
      </w:r>
      <w:r w:rsidRPr="00651A03">
        <w:rPr>
          <w:rFonts w:asciiTheme="minorBidi" w:eastAsia="Calibri" w:hAnsiTheme="minorBidi"/>
          <w:sz w:val="30"/>
          <w:szCs w:val="30"/>
        </w:rPr>
        <w:br/>
      </w:r>
      <w:r w:rsidRPr="00651A03">
        <w:rPr>
          <w:rFonts w:asciiTheme="minorBidi" w:eastAsia="Calibri" w:hAnsiTheme="minorBidi"/>
          <w:sz w:val="30"/>
          <w:szCs w:val="30"/>
          <w:rtl/>
        </w:rPr>
        <w:t>هدفت هذه الدراسة إلى تحليل تأثير استراتيجيات إدارة المخاطر على الأداء المالي للمصارف التجارية. أظهرت النتائج أن تطبيق استراتيجيات فعّالة لإدارة المخاطر يساهم بشكل إيجابي في تحسين الأداء المالي وتقليل الخسائر المحتملة</w:t>
      </w:r>
      <w:r w:rsidRPr="00651A03">
        <w:rPr>
          <w:rFonts w:asciiTheme="minorBidi" w:eastAsia="Calibri" w:hAnsiTheme="minorBidi"/>
          <w:sz w:val="30"/>
          <w:szCs w:val="30"/>
        </w:rPr>
        <w:t>.</w:t>
      </w:r>
    </w:p>
    <w:p w14:paraId="21E0FF0C" w14:textId="77777777" w:rsidR="00651A03" w:rsidRPr="00651A03" w:rsidRDefault="00651A03" w:rsidP="00651A03">
      <w:pPr>
        <w:numPr>
          <w:ilvl w:val="0"/>
          <w:numId w:val="26"/>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دور مؤشر القيمة المعرضة للخطر</w:t>
      </w:r>
      <w:r w:rsidRPr="00651A03">
        <w:rPr>
          <w:rFonts w:asciiTheme="minorBidi" w:eastAsia="Calibri" w:hAnsiTheme="minorBidi"/>
          <w:b/>
          <w:bCs/>
          <w:sz w:val="30"/>
          <w:szCs w:val="30"/>
        </w:rPr>
        <w:t xml:space="preserve"> (VaR) </w:t>
      </w:r>
      <w:r w:rsidRPr="00651A03">
        <w:rPr>
          <w:rFonts w:asciiTheme="minorBidi" w:eastAsia="Calibri" w:hAnsiTheme="minorBidi"/>
          <w:b/>
          <w:bCs/>
          <w:sz w:val="30"/>
          <w:szCs w:val="30"/>
          <w:rtl/>
        </w:rPr>
        <w:t>في إدارة المخاطر المصرفية</w:t>
      </w:r>
      <w:r w:rsidRPr="00651A03">
        <w:rPr>
          <w:rFonts w:asciiTheme="minorBidi" w:eastAsia="Calibri" w:hAnsiTheme="minorBidi"/>
          <w:sz w:val="30"/>
          <w:szCs w:val="30"/>
        </w:rPr>
        <w:br/>
      </w:r>
      <w:r w:rsidRPr="00651A03">
        <w:rPr>
          <w:rFonts w:asciiTheme="minorBidi" w:eastAsia="Calibri" w:hAnsiTheme="minorBidi"/>
          <w:sz w:val="30"/>
          <w:szCs w:val="30"/>
          <w:rtl/>
        </w:rPr>
        <w:t>تناولت هذه الدراسة أهمية استخدام مؤشر القيمة المعرضة للخطر كأداة لقياس وإدارة المخاطر في البنوك المدرجة في البورصة المصرية. أشارت النتائج إلى أن تبني هذا المؤشر يساعد في تحديد مستوى المخاطر المحتملة واتخاذ القرارات المناسبة للحد منها، مما يعزز من كفاءة إدارة المخاطر في المصارف</w:t>
      </w:r>
      <w:r w:rsidRPr="00651A03">
        <w:rPr>
          <w:rFonts w:asciiTheme="minorBidi" w:eastAsia="Calibri" w:hAnsiTheme="minorBidi"/>
          <w:sz w:val="30"/>
          <w:szCs w:val="30"/>
        </w:rPr>
        <w:t>.</w:t>
      </w:r>
    </w:p>
    <w:p w14:paraId="4FA5248F" w14:textId="77777777" w:rsidR="00651A03" w:rsidRPr="00651A03" w:rsidRDefault="00651A03" w:rsidP="00651A03">
      <w:pPr>
        <w:numPr>
          <w:ilvl w:val="0"/>
          <w:numId w:val="26"/>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دراسة مقارنة لمخاطر التمويل المصرفي بين النظام الكلاسيكي والقيمي</w:t>
      </w:r>
      <w:r w:rsidRPr="00651A03">
        <w:rPr>
          <w:rFonts w:asciiTheme="minorBidi" w:eastAsia="Calibri" w:hAnsiTheme="minorBidi"/>
          <w:sz w:val="30"/>
          <w:szCs w:val="30"/>
        </w:rPr>
        <w:br/>
      </w:r>
      <w:r w:rsidRPr="00651A03">
        <w:rPr>
          <w:rFonts w:asciiTheme="minorBidi" w:eastAsia="Calibri" w:hAnsiTheme="minorBidi"/>
          <w:sz w:val="30"/>
          <w:szCs w:val="30"/>
          <w:rtl/>
        </w:rPr>
        <w:t>استعرضت هذه الدراسة مقارنة بين مخاطر التمويل في النظام المصرفي التقليدي والنظام المصرفي الإسلامي. أظهرت النتائج أن المصارف الإسلامية تواجه تحديات مختلفة في إدارة المخاطر بسبب طبيعة عقود التمويل المتوافقة مع الشريعة الإسلامية، مما يستدعي تطوير أدوات وأساليب خاصة لإدارة هذه المخاطر</w:t>
      </w:r>
      <w:r w:rsidRPr="00651A03">
        <w:rPr>
          <w:rFonts w:asciiTheme="minorBidi" w:eastAsia="Calibri" w:hAnsiTheme="minorBidi"/>
          <w:sz w:val="30"/>
          <w:szCs w:val="30"/>
        </w:rPr>
        <w:t>.</w:t>
      </w:r>
    </w:p>
    <w:p w14:paraId="0D785A71" w14:textId="0CC27540" w:rsidR="00651A03" w:rsidRPr="00651A03" w:rsidRDefault="00651A03" w:rsidP="00651A03">
      <w:pPr>
        <w:numPr>
          <w:ilvl w:val="0"/>
          <w:numId w:val="26"/>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تحليل إدارة المخاطر الائتمانية في المصارف الإسلامية: دراسة تطبيقية على مجموعة البركة المصرفية</w:t>
      </w:r>
      <w:r>
        <w:rPr>
          <w:rFonts w:asciiTheme="minorBidi" w:eastAsia="Calibri" w:hAnsiTheme="minorBidi"/>
          <w:sz w:val="30"/>
          <w:szCs w:val="30"/>
        </w:rPr>
        <w:t xml:space="preserve">: </w:t>
      </w:r>
      <w:r w:rsidRPr="00651A03">
        <w:rPr>
          <w:rFonts w:asciiTheme="minorBidi" w:eastAsia="Calibri" w:hAnsiTheme="minorBidi"/>
          <w:sz w:val="30"/>
          <w:szCs w:val="30"/>
          <w:rtl/>
        </w:rPr>
        <w:t xml:space="preserve">ركزت هذه الدراسة على تحليل المخاطر الائتمانية </w:t>
      </w:r>
      <w:r w:rsidRPr="00651A03">
        <w:rPr>
          <w:rFonts w:asciiTheme="minorBidi" w:eastAsia="Calibri" w:hAnsiTheme="minorBidi"/>
          <w:sz w:val="30"/>
          <w:szCs w:val="30"/>
          <w:rtl/>
        </w:rPr>
        <w:lastRenderedPageBreak/>
        <w:t>التي تواجهها المصارف الإسلامية، مع دراسة تطبيقية على مجموعة البركة المصرفية. خلصت النتائج إلى أن مخاطر صيغ التمويل الإسلامي تأتي في مقدمة المخاطر التي تتعرض لها المصارف الإسلامية، وأوصت بتفعيل دور إدارة المخاطر في هذه المصارف لتعزيز استقرارها المالي</w:t>
      </w:r>
      <w:r w:rsidRPr="00651A03">
        <w:rPr>
          <w:rFonts w:asciiTheme="minorBidi" w:eastAsia="Calibri" w:hAnsiTheme="minorBidi"/>
          <w:sz w:val="30"/>
          <w:szCs w:val="30"/>
        </w:rPr>
        <w:t>.</w:t>
      </w:r>
    </w:p>
    <w:p w14:paraId="5D326862" w14:textId="2F718BB5" w:rsidR="00651A03" w:rsidRPr="00651A03" w:rsidRDefault="00651A03" w:rsidP="00651A03">
      <w:pPr>
        <w:numPr>
          <w:ilvl w:val="0"/>
          <w:numId w:val="26"/>
        </w:numPr>
        <w:bidi/>
        <w:spacing w:line="360" w:lineRule="auto"/>
        <w:rPr>
          <w:rFonts w:asciiTheme="minorBidi" w:eastAsia="Calibri" w:hAnsiTheme="minorBidi"/>
          <w:sz w:val="30"/>
          <w:szCs w:val="30"/>
        </w:rPr>
      </w:pPr>
      <w:r w:rsidRPr="00651A03">
        <w:rPr>
          <w:rFonts w:asciiTheme="minorBidi" w:eastAsia="Calibri" w:hAnsiTheme="minorBidi"/>
          <w:b/>
          <w:bCs/>
          <w:sz w:val="30"/>
          <w:szCs w:val="30"/>
          <w:rtl/>
        </w:rPr>
        <w:t>إدارة مخاطر صيغة التمويل بالاستصناع في البنوك الإسلامية: حالة بنك البركة الجزائري</w:t>
      </w:r>
      <w:r>
        <w:rPr>
          <w:rFonts w:asciiTheme="minorBidi" w:eastAsia="Calibri" w:hAnsiTheme="minorBidi"/>
          <w:sz w:val="30"/>
          <w:szCs w:val="30"/>
        </w:rPr>
        <w:t xml:space="preserve">: </w:t>
      </w:r>
      <w:r w:rsidRPr="00651A03">
        <w:rPr>
          <w:rFonts w:asciiTheme="minorBidi" w:eastAsia="Calibri" w:hAnsiTheme="minorBidi"/>
          <w:sz w:val="30"/>
          <w:szCs w:val="30"/>
          <w:rtl/>
        </w:rPr>
        <w:t>هدفت هذه الدراسة إلى التعرف على أساليب إدارة مخاطر التمويل بصيغة الاستصناع في البنوك الإسلامية، مع التركيز على بنك البركة الجزائري. أظهرت النتائج أن البنك يعتمد على مجموعة من الإجراءات والأساليب للحد من المخاطر المرتبطة بهذه الصيغة التمويلية، مما يعزز من كفاءة إدارة المخاطر</w:t>
      </w:r>
      <w:r w:rsidRPr="00651A03">
        <w:rPr>
          <w:rFonts w:asciiTheme="minorBidi" w:eastAsia="Calibri" w:hAnsiTheme="minorBidi"/>
          <w:sz w:val="30"/>
          <w:szCs w:val="30"/>
        </w:rPr>
        <w:t>.</w:t>
      </w:r>
    </w:p>
    <w:p w14:paraId="2DBC34FE" w14:textId="77777777" w:rsidR="00B52B99" w:rsidRDefault="00B52B99" w:rsidP="00B52B99">
      <w:pPr>
        <w:bidi/>
        <w:spacing w:line="360" w:lineRule="auto"/>
        <w:rPr>
          <w:rFonts w:asciiTheme="minorBidi" w:eastAsia="Calibri" w:hAnsiTheme="minorBidi"/>
          <w:sz w:val="30"/>
          <w:szCs w:val="30"/>
          <w:rtl/>
        </w:rPr>
      </w:pPr>
    </w:p>
    <w:p w14:paraId="2DBDB686" w14:textId="77777777" w:rsidR="00B52B99" w:rsidRDefault="00B52B99" w:rsidP="00B52B99">
      <w:pPr>
        <w:bidi/>
        <w:spacing w:line="360" w:lineRule="auto"/>
        <w:rPr>
          <w:rFonts w:asciiTheme="minorBidi" w:eastAsia="Calibri" w:hAnsiTheme="minorBidi"/>
          <w:sz w:val="30"/>
          <w:szCs w:val="30"/>
          <w:rtl/>
        </w:rPr>
      </w:pPr>
    </w:p>
    <w:p w14:paraId="1D585502" w14:textId="77777777" w:rsidR="00B52B99" w:rsidRPr="00FE74A6" w:rsidRDefault="00B52B99" w:rsidP="00B52B99">
      <w:pPr>
        <w:bidi/>
        <w:spacing w:line="360" w:lineRule="auto"/>
        <w:rPr>
          <w:rFonts w:asciiTheme="minorBidi" w:eastAsia="Calibri" w:hAnsiTheme="minorBidi"/>
          <w:sz w:val="30"/>
          <w:szCs w:val="30"/>
          <w:rtl/>
        </w:rPr>
      </w:pPr>
    </w:p>
    <w:p w14:paraId="7A15BA58" w14:textId="77777777" w:rsidR="00FE74A6" w:rsidRPr="00FE74A6" w:rsidRDefault="00FE74A6" w:rsidP="00FE74A6">
      <w:pPr>
        <w:bidi/>
        <w:spacing w:line="360" w:lineRule="auto"/>
        <w:rPr>
          <w:rFonts w:ascii="Traditional Arabic" w:eastAsia="Calibri" w:hAnsi="Traditional Arabic" w:cs="Traditional Arabic"/>
          <w:b/>
          <w:bCs/>
          <w:sz w:val="32"/>
          <w:szCs w:val="32"/>
          <w:rtl/>
        </w:rPr>
      </w:pPr>
    </w:p>
    <w:p w14:paraId="2E9AB715" w14:textId="77777777" w:rsidR="00FE74A6" w:rsidRPr="00FE74A6" w:rsidRDefault="00FE74A6" w:rsidP="00FE74A6">
      <w:pPr>
        <w:bidi/>
        <w:spacing w:line="360" w:lineRule="auto"/>
        <w:rPr>
          <w:rFonts w:ascii="Traditional Arabic" w:eastAsia="Calibri" w:hAnsi="Traditional Arabic" w:cs="Traditional Arabic"/>
          <w:b/>
          <w:bCs/>
          <w:sz w:val="32"/>
          <w:szCs w:val="32"/>
          <w:rtl/>
        </w:rPr>
      </w:pPr>
    </w:p>
    <w:p w14:paraId="006E76E0" w14:textId="77777777" w:rsidR="00FE74A6" w:rsidRPr="00FE74A6" w:rsidRDefault="00FE74A6" w:rsidP="00FE74A6">
      <w:pPr>
        <w:bidi/>
        <w:spacing w:line="360" w:lineRule="auto"/>
        <w:rPr>
          <w:rFonts w:ascii="Traditional Arabic" w:eastAsia="Calibri" w:hAnsi="Traditional Arabic" w:cs="Traditional Arabic"/>
          <w:b/>
          <w:bCs/>
          <w:sz w:val="32"/>
          <w:szCs w:val="32"/>
          <w:rtl/>
        </w:rPr>
      </w:pPr>
    </w:p>
    <w:p w14:paraId="28D3257A" w14:textId="77777777" w:rsidR="00FE74A6" w:rsidRPr="00FE74A6" w:rsidRDefault="00FE74A6" w:rsidP="00FE74A6">
      <w:pPr>
        <w:bidi/>
        <w:spacing w:line="360" w:lineRule="auto"/>
        <w:rPr>
          <w:rFonts w:ascii="Traditional Arabic" w:eastAsia="Calibri" w:hAnsi="Traditional Arabic" w:cs="Traditional Arabic"/>
          <w:b/>
          <w:bCs/>
          <w:sz w:val="32"/>
          <w:szCs w:val="32"/>
          <w:rtl/>
        </w:rPr>
      </w:pPr>
    </w:p>
    <w:p w14:paraId="231800FE" w14:textId="77777777" w:rsidR="00FE74A6" w:rsidRDefault="00FE74A6" w:rsidP="00FE74A6">
      <w:pPr>
        <w:bidi/>
        <w:spacing w:line="276" w:lineRule="auto"/>
        <w:jc w:val="center"/>
        <w:rPr>
          <w:sz w:val="32"/>
          <w:szCs w:val="32"/>
          <w:rtl/>
        </w:rPr>
      </w:pPr>
    </w:p>
    <w:p w14:paraId="48C8803F" w14:textId="77777777" w:rsidR="00FE74A6" w:rsidRDefault="00FE74A6" w:rsidP="00FE74A6">
      <w:pPr>
        <w:bidi/>
        <w:spacing w:line="276" w:lineRule="auto"/>
        <w:jc w:val="left"/>
        <w:rPr>
          <w:sz w:val="32"/>
          <w:szCs w:val="32"/>
          <w:rtl/>
        </w:rPr>
      </w:pPr>
    </w:p>
    <w:p w14:paraId="6E2FA779" w14:textId="77777777" w:rsidR="00FE74A6" w:rsidRDefault="00FE74A6" w:rsidP="00FE74A6">
      <w:pPr>
        <w:bidi/>
        <w:spacing w:line="276" w:lineRule="auto"/>
        <w:jc w:val="left"/>
        <w:rPr>
          <w:sz w:val="32"/>
          <w:szCs w:val="32"/>
          <w:rtl/>
        </w:rPr>
      </w:pPr>
    </w:p>
    <w:p w14:paraId="5A9D03AF" w14:textId="77777777" w:rsidR="00FE74A6" w:rsidRDefault="00FE74A6" w:rsidP="00FE74A6">
      <w:pPr>
        <w:bidi/>
        <w:spacing w:line="276" w:lineRule="auto"/>
        <w:jc w:val="left"/>
        <w:rPr>
          <w:sz w:val="32"/>
          <w:szCs w:val="32"/>
          <w:rtl/>
        </w:rPr>
      </w:pPr>
    </w:p>
    <w:p w14:paraId="3ABB70C2" w14:textId="3CED1D93" w:rsidR="00FE74A6" w:rsidRPr="00FE74A6" w:rsidRDefault="00FE74A6" w:rsidP="00FE74A6">
      <w:pPr>
        <w:bidi/>
        <w:spacing w:line="360" w:lineRule="auto"/>
        <w:jc w:val="center"/>
        <w:rPr>
          <w:rFonts w:ascii="Traditional Arabic" w:eastAsia="Calibri" w:hAnsi="Traditional Arabic" w:cs="Traditional Arabic"/>
          <w:b/>
          <w:bCs/>
          <w:sz w:val="48"/>
          <w:szCs w:val="48"/>
          <w:rtl/>
        </w:rPr>
      </w:pPr>
    </w:p>
    <w:p w14:paraId="43E1A2AF" w14:textId="77777777" w:rsidR="00FE74A6" w:rsidRPr="00FE74A6" w:rsidRDefault="00FE74A6" w:rsidP="00FE74A6">
      <w:pPr>
        <w:bidi/>
        <w:spacing w:line="360" w:lineRule="auto"/>
        <w:jc w:val="center"/>
        <w:rPr>
          <w:rFonts w:ascii="Traditional Arabic" w:eastAsia="Calibri" w:hAnsi="Traditional Arabic" w:cs="Traditional Arabic"/>
          <w:b/>
          <w:bCs/>
          <w:sz w:val="48"/>
          <w:szCs w:val="48"/>
          <w:rtl/>
        </w:rPr>
      </w:pPr>
    </w:p>
    <w:p w14:paraId="2BE384C0" w14:textId="77777777" w:rsidR="00651A03" w:rsidRDefault="00651A03" w:rsidP="00FE74A6">
      <w:pPr>
        <w:bidi/>
        <w:spacing w:line="360" w:lineRule="auto"/>
        <w:jc w:val="center"/>
        <w:rPr>
          <w:rFonts w:ascii="Traditional Arabic" w:eastAsia="Calibri" w:hAnsi="Traditional Arabic" w:cs="Traditional Arabic"/>
          <w:b/>
          <w:bCs/>
          <w:sz w:val="48"/>
          <w:szCs w:val="48"/>
          <w:rtl/>
        </w:rPr>
      </w:pPr>
    </w:p>
    <w:p w14:paraId="06A38FD4" w14:textId="77777777" w:rsidR="00651A03" w:rsidRDefault="00651A03" w:rsidP="00651A03">
      <w:pPr>
        <w:bidi/>
        <w:spacing w:line="360" w:lineRule="auto"/>
        <w:jc w:val="center"/>
        <w:rPr>
          <w:rFonts w:ascii="Traditional Arabic" w:eastAsia="Calibri" w:hAnsi="Traditional Arabic" w:cs="Traditional Arabic"/>
          <w:b/>
          <w:bCs/>
          <w:sz w:val="48"/>
          <w:szCs w:val="48"/>
          <w:rtl/>
        </w:rPr>
      </w:pPr>
    </w:p>
    <w:p w14:paraId="3C325127" w14:textId="77777777" w:rsidR="00651A03" w:rsidRDefault="00651A03" w:rsidP="00651A03">
      <w:pPr>
        <w:bidi/>
        <w:spacing w:line="360" w:lineRule="auto"/>
        <w:jc w:val="center"/>
        <w:rPr>
          <w:rFonts w:ascii="Traditional Arabic" w:eastAsia="Calibri" w:hAnsi="Traditional Arabic" w:cs="Traditional Arabic"/>
          <w:b/>
          <w:bCs/>
          <w:sz w:val="48"/>
          <w:szCs w:val="48"/>
          <w:rtl/>
        </w:rPr>
      </w:pPr>
    </w:p>
    <w:p w14:paraId="0F13E718" w14:textId="77777777" w:rsidR="00651A03" w:rsidRDefault="00651A03" w:rsidP="00651A03">
      <w:pPr>
        <w:bidi/>
        <w:spacing w:line="360" w:lineRule="auto"/>
        <w:jc w:val="center"/>
        <w:rPr>
          <w:rFonts w:ascii="Traditional Arabic" w:eastAsia="Calibri" w:hAnsi="Traditional Arabic" w:cs="Traditional Arabic"/>
          <w:b/>
          <w:bCs/>
          <w:sz w:val="48"/>
          <w:szCs w:val="48"/>
          <w:rtl/>
        </w:rPr>
      </w:pPr>
    </w:p>
    <w:p w14:paraId="3AD55D76" w14:textId="77777777" w:rsidR="00651A03" w:rsidRDefault="00651A03" w:rsidP="00651A03">
      <w:pPr>
        <w:bidi/>
        <w:spacing w:line="360" w:lineRule="auto"/>
        <w:jc w:val="center"/>
        <w:rPr>
          <w:rFonts w:ascii="Traditional Arabic" w:eastAsia="Calibri" w:hAnsi="Traditional Arabic" w:cs="Traditional Arabic"/>
          <w:b/>
          <w:bCs/>
          <w:sz w:val="48"/>
          <w:szCs w:val="48"/>
          <w:rtl/>
        </w:rPr>
      </w:pPr>
    </w:p>
    <w:p w14:paraId="147F4262" w14:textId="77777777" w:rsidR="00651A03" w:rsidRDefault="00651A03" w:rsidP="00651A03">
      <w:pPr>
        <w:bidi/>
        <w:spacing w:line="360" w:lineRule="auto"/>
        <w:jc w:val="center"/>
        <w:rPr>
          <w:rFonts w:ascii="Traditional Arabic" w:eastAsia="Calibri" w:hAnsi="Traditional Arabic" w:cs="Traditional Arabic"/>
          <w:b/>
          <w:bCs/>
          <w:sz w:val="48"/>
          <w:szCs w:val="48"/>
          <w:rtl/>
        </w:rPr>
      </w:pPr>
    </w:p>
    <w:p w14:paraId="4D7F23C4" w14:textId="77777777" w:rsidR="00651A03" w:rsidRDefault="00651A03" w:rsidP="00651A03">
      <w:pPr>
        <w:bidi/>
        <w:spacing w:line="360" w:lineRule="auto"/>
        <w:jc w:val="center"/>
        <w:rPr>
          <w:rFonts w:ascii="Traditional Arabic" w:eastAsia="Calibri" w:hAnsi="Traditional Arabic" w:cs="Traditional Arabic"/>
          <w:b/>
          <w:bCs/>
          <w:sz w:val="48"/>
          <w:szCs w:val="48"/>
          <w:rtl/>
        </w:rPr>
      </w:pPr>
    </w:p>
    <w:p w14:paraId="116A9D53" w14:textId="77777777" w:rsidR="00651A03" w:rsidRDefault="00651A03" w:rsidP="00651A03">
      <w:pPr>
        <w:bidi/>
        <w:spacing w:line="360" w:lineRule="auto"/>
        <w:jc w:val="center"/>
        <w:rPr>
          <w:rFonts w:ascii="Traditional Arabic" w:eastAsia="Calibri" w:hAnsi="Traditional Arabic" w:cs="Traditional Arabic"/>
          <w:b/>
          <w:bCs/>
          <w:sz w:val="48"/>
          <w:szCs w:val="48"/>
          <w:rtl/>
        </w:rPr>
      </w:pPr>
    </w:p>
    <w:p w14:paraId="422AF61B" w14:textId="218BF60A" w:rsidR="00FE74A6" w:rsidRPr="00FE74A6" w:rsidRDefault="00FE74A6" w:rsidP="00651A03">
      <w:pPr>
        <w:bidi/>
        <w:spacing w:line="360" w:lineRule="auto"/>
        <w:jc w:val="center"/>
        <w:rPr>
          <w:rFonts w:ascii="Traditional Arabic" w:eastAsia="Calibri" w:hAnsi="Traditional Arabic" w:cs="Traditional Arabic"/>
          <w:b/>
          <w:bCs/>
          <w:sz w:val="48"/>
          <w:szCs w:val="48"/>
          <w:rtl/>
        </w:rPr>
      </w:pPr>
      <w:r w:rsidRPr="00FE74A6">
        <w:rPr>
          <w:rFonts w:ascii="Traditional Arabic" w:eastAsia="Calibri" w:hAnsi="Traditional Arabic" w:cs="Traditional Arabic"/>
          <w:noProof/>
          <w:kern w:val="0"/>
          <w:sz w:val="32"/>
          <w:szCs w:val="32"/>
          <w:rtl/>
          <w14:ligatures w14:val="none"/>
        </w:rPr>
        <mc:AlternateContent>
          <mc:Choice Requires="wps">
            <w:drawing>
              <wp:anchor distT="0" distB="0" distL="114300" distR="114300" simplePos="0" relativeHeight="251662336" behindDoc="0" locked="0" layoutInCell="1" allowOverlap="1" wp14:anchorId="3BD5E949" wp14:editId="44EC1D57">
                <wp:simplePos x="0" y="0"/>
                <wp:positionH relativeFrom="margin">
                  <wp:align>center</wp:align>
                </wp:positionH>
                <wp:positionV relativeFrom="page">
                  <wp:posOffset>2660559</wp:posOffset>
                </wp:positionV>
                <wp:extent cx="4114165" cy="2315935"/>
                <wp:effectExtent l="95250" t="133350" r="19685" b="27305"/>
                <wp:wrapNone/>
                <wp:docPr id="96555711" name="Rectangle: Rounded Corners 965557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165" cy="2315935"/>
                        </a:xfrm>
                        <a:prstGeom prst="roundRect">
                          <a:avLst>
                            <a:gd name="adj" fmla="val 17394"/>
                          </a:avLst>
                        </a:prstGeom>
                        <a:solidFill>
                          <a:srgbClr val="FFFFFF"/>
                        </a:solidFill>
                        <a:ln w="28575">
                          <a:solidFill>
                            <a:srgbClr val="000000"/>
                          </a:solidFill>
                          <a:round/>
                          <a:headEnd/>
                          <a:tailEnd/>
                        </a:ln>
                        <a:effectLst>
                          <a:outerShdw dist="137372" dir="14178596" algn="ctr" rotWithShape="0">
                            <a:srgbClr val="808080">
                              <a:alpha val="50000"/>
                            </a:srgbClr>
                          </a:outerShdw>
                        </a:effectLst>
                      </wps:spPr>
                      <wps:txbx>
                        <w:txbxContent>
                          <w:p w14:paraId="10AC4278" w14:textId="77777777" w:rsidR="00FE74A6" w:rsidRPr="00BA5B25" w:rsidRDefault="00FE74A6" w:rsidP="00FE74A6">
                            <w:pPr>
                              <w:bidi/>
                              <w:spacing w:line="360" w:lineRule="auto"/>
                              <w:jc w:val="center"/>
                              <w:rPr>
                                <w:rFonts w:cs="PT Bold Heading"/>
                                <w:sz w:val="56"/>
                                <w:szCs w:val="56"/>
                                <w:rtl/>
                              </w:rPr>
                            </w:pPr>
                            <w:r w:rsidRPr="00BA5B25">
                              <w:rPr>
                                <w:rFonts w:cs="PT Bold Heading"/>
                                <w:sz w:val="56"/>
                                <w:szCs w:val="56"/>
                                <w:rtl/>
                              </w:rPr>
                              <w:t>الفصل الثاني</w:t>
                            </w:r>
                            <w:r w:rsidRPr="00BA5B25">
                              <w:rPr>
                                <w:rFonts w:cs="PT Bold Heading"/>
                                <w:sz w:val="56"/>
                                <w:szCs w:val="56"/>
                              </w:rPr>
                              <w:t>:</w:t>
                            </w:r>
                          </w:p>
                          <w:p w14:paraId="3B7EACAB" w14:textId="2D4DA4A3" w:rsidR="00FE74A6" w:rsidRPr="00BA5B25" w:rsidRDefault="00FE74A6" w:rsidP="00FE74A6">
                            <w:pPr>
                              <w:bidi/>
                              <w:spacing w:line="360" w:lineRule="auto"/>
                              <w:jc w:val="center"/>
                              <w:rPr>
                                <w:rFonts w:cs="PT Bold Heading"/>
                                <w:sz w:val="40"/>
                                <w:szCs w:val="40"/>
                              </w:rPr>
                            </w:pPr>
                            <w:r w:rsidRPr="00BA5B25">
                              <w:rPr>
                                <w:rFonts w:cs="PT Bold Heading"/>
                                <w:sz w:val="48"/>
                                <w:szCs w:val="48"/>
                                <w:rtl/>
                              </w:rPr>
                              <w:t>الإطار النظري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D5E949" id="Rectangle: Rounded Corners 96555711" o:spid="_x0000_s1027" style="position:absolute;left:0;text-align:left;margin-left:0;margin-top:209.5pt;width:323.95pt;height:182.3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139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" strokeweight="2.25pt">
                <v:shadow on="t" opacity=".5" offset="-6pt,-9pt"/>
                <v:textbox>
                  <w:txbxContent>
                    <w:p w14:paraId="10AC4278" w14:textId="77777777" w:rsidR="00FE74A6" w:rsidRPr="00BA5B25" w:rsidRDefault="00FE74A6" w:rsidP="00FE74A6">
                      <w:pPr>
                        <w:bidi/>
                        <w:spacing w:line="360" w:lineRule="auto"/>
                        <w:jc w:val="center"/>
                        <w:rPr>
                          <w:rFonts w:cs="PT Bold Heading"/>
                          <w:sz w:val="56"/>
                          <w:szCs w:val="56"/>
                          <w:rtl/>
                        </w:rPr>
                      </w:pPr>
                      <w:r w:rsidRPr="00BA5B25">
                        <w:rPr>
                          <w:rFonts w:cs="PT Bold Heading"/>
                          <w:sz w:val="56"/>
                          <w:szCs w:val="56"/>
                          <w:rtl/>
                        </w:rPr>
                        <w:t>الفصل الثاني</w:t>
                      </w:r>
                      <w:r w:rsidRPr="00BA5B25">
                        <w:rPr>
                          <w:rFonts w:cs="PT Bold Heading"/>
                          <w:sz w:val="56"/>
                          <w:szCs w:val="56"/>
                        </w:rPr>
                        <w:t>:</w:t>
                      </w:r>
                    </w:p>
                    <w:p w14:paraId="3B7EACAB" w14:textId="2D4DA4A3" w:rsidR="00FE74A6" w:rsidRPr="00BA5B25" w:rsidRDefault="00FE74A6" w:rsidP="00FE74A6">
                      <w:pPr>
                        <w:bidi/>
                        <w:spacing w:line="360" w:lineRule="auto"/>
                        <w:jc w:val="center"/>
                        <w:rPr>
                          <w:rFonts w:cs="PT Bold Heading"/>
                          <w:sz w:val="40"/>
                          <w:szCs w:val="40"/>
                        </w:rPr>
                      </w:pPr>
                      <w:r w:rsidRPr="00BA5B25">
                        <w:rPr>
                          <w:rFonts w:cs="PT Bold Heading"/>
                          <w:sz w:val="48"/>
                          <w:szCs w:val="48"/>
                          <w:rtl/>
                        </w:rPr>
                        <w:t>الإطار النظري</w:t>
                      </w:r>
                    </w:p>
                  </w:txbxContent>
                </v:textbox>
                <w10:wrap anchorx="margin" anchory="page"/>
              </v:roundrect>
            </w:pict>
          </mc:Fallback>
        </mc:AlternateContent>
      </w:r>
    </w:p>
    <w:p w14:paraId="70021CF5" w14:textId="24C81976" w:rsidR="00D97259" w:rsidRPr="00D97259" w:rsidRDefault="00D97259" w:rsidP="00124D5E">
      <w:pPr>
        <w:pStyle w:val="Heading1"/>
        <w:bidi/>
        <w:rPr>
          <w:rFonts w:asciiTheme="minorBidi" w:eastAsia="Calibri" w:hAnsiTheme="minorBidi"/>
          <w:sz w:val="30"/>
          <w:szCs w:val="30"/>
        </w:rPr>
      </w:pPr>
      <w:bookmarkStart w:id="8" w:name="_Toc192716022"/>
      <w:r w:rsidRPr="00D97259">
        <w:rPr>
          <w:rFonts w:asciiTheme="minorBidi" w:eastAsia="Calibri" w:hAnsiTheme="minorBidi"/>
          <w:b/>
          <w:bCs/>
          <w:sz w:val="30"/>
          <w:szCs w:val="30"/>
          <w:rtl/>
        </w:rPr>
        <w:lastRenderedPageBreak/>
        <w:t>تعريف الخطر</w:t>
      </w:r>
      <w:r w:rsidRPr="00D97259">
        <w:rPr>
          <w:rFonts w:asciiTheme="minorBidi" w:eastAsia="Calibri" w:hAnsiTheme="minorBidi"/>
          <w:b/>
          <w:bCs/>
          <w:sz w:val="30"/>
          <w:szCs w:val="30"/>
        </w:rPr>
        <w:t>:</w:t>
      </w:r>
      <w:bookmarkEnd w:id="8"/>
    </w:p>
    <w:p w14:paraId="319C7663" w14:textId="36099C32" w:rsidR="00D97259" w:rsidRPr="00D97259" w:rsidRDefault="00D97259" w:rsidP="00124D5E">
      <w:pPr>
        <w:bidi/>
        <w:spacing w:line="360" w:lineRule="auto"/>
        <w:rPr>
          <w:rFonts w:asciiTheme="minorBidi" w:eastAsia="Calibri" w:hAnsiTheme="minorBidi"/>
          <w:sz w:val="30"/>
          <w:szCs w:val="30"/>
        </w:rPr>
      </w:pPr>
      <w:r w:rsidRPr="00D97259">
        <w:rPr>
          <w:rFonts w:asciiTheme="minorBidi" w:eastAsia="Calibri" w:hAnsiTheme="minorBidi"/>
          <w:sz w:val="30"/>
          <w:szCs w:val="30"/>
          <w:rtl/>
        </w:rPr>
        <w:t>في مجال البنوك والتمويل، يرتبط مصطلح "الخطر" عمومًا بالخسائر المالية، لكن يمكن وصفه بشكل أدق على أنه عدم اليقين بشأن العوائد المتوقعة من الأصل. يعد الخطر جزءًا أساسيًا من عمل البنوك، حيث يجب على هذه المؤسسات تحمل بعض المخاطر من أجل تحقيق العوائد لملاكها. بعض المخاطر تنشأ بسبب نموذج العمل الذي يعتمد عليه البنك ولا يمكن تجنبها، مثل طبيعة عمل البنوك في تحويل آجال الاستحقاق، مما يرتبط بمخاطر السيولة ومخاطر الائتمان</w:t>
      </w:r>
      <w:r w:rsidRPr="00D97259">
        <w:rPr>
          <w:rFonts w:asciiTheme="minorBidi" w:eastAsia="Calibri" w:hAnsiTheme="minorBidi"/>
          <w:sz w:val="30"/>
          <w:szCs w:val="30"/>
        </w:rPr>
        <w:t>.</w:t>
      </w:r>
      <w:r w:rsidR="00124D5E">
        <w:rPr>
          <w:rFonts w:asciiTheme="minorBidi" w:eastAsia="Calibri" w:hAnsiTheme="minorBidi" w:hint="cs"/>
          <w:sz w:val="30"/>
          <w:szCs w:val="30"/>
          <w:rtl/>
        </w:rPr>
        <w:t xml:space="preserve"> </w:t>
      </w:r>
      <w:r w:rsidRPr="00D97259">
        <w:rPr>
          <w:rFonts w:asciiTheme="minorBidi" w:eastAsia="Calibri" w:hAnsiTheme="minorBidi"/>
          <w:sz w:val="30"/>
          <w:szCs w:val="30"/>
          <w:rtl/>
        </w:rPr>
        <w:t>الخطر لا يقتصر فقط على الأعمال المصرفية بل يشمل أي نشاط استثماري. على سبيل المثال، إذا قمت باستثمار أموالك في مشروع تجاري، وتتوقع أن تسترد أموالك خلال عامين (على سبيل المثال) من خلال تحقيق عائد شهري قدره 100 ألف درهم، فإن عدم اليقين حول تحقق تلك العوائد يمثل خطرًا. كما أن عدم التأكد من فترة استرداد أموالك يعتبر أيضًا جزءًا من هذا الخطر</w:t>
      </w:r>
      <w:r w:rsidRPr="00D97259">
        <w:rPr>
          <w:rFonts w:asciiTheme="minorBidi" w:eastAsia="Calibri" w:hAnsiTheme="minorBidi"/>
          <w:sz w:val="30"/>
          <w:szCs w:val="30"/>
        </w:rPr>
        <w:t>.</w:t>
      </w:r>
      <w:r w:rsidR="00124D5E">
        <w:rPr>
          <w:rFonts w:asciiTheme="minorBidi" w:eastAsia="Calibri" w:hAnsiTheme="minorBidi" w:hint="cs"/>
          <w:sz w:val="30"/>
          <w:szCs w:val="30"/>
          <w:rtl/>
        </w:rPr>
        <w:t xml:space="preserve"> و</w:t>
      </w:r>
      <w:r w:rsidRPr="00D97259">
        <w:rPr>
          <w:rFonts w:asciiTheme="minorBidi" w:eastAsia="Calibri" w:hAnsiTheme="minorBidi"/>
          <w:sz w:val="30"/>
          <w:szCs w:val="30"/>
          <w:rtl/>
        </w:rPr>
        <w:t>هناك العديد من المخاطر التي تحيط بالمشروع، مثل التعرض للكوارث الطبيعية كالزلزال أو الحريق، أو السرقة، أو مواجهة دعوى قضائية من خصم، أو بسبب الركود في الأسواق. هذه كلها أمثلة على المخاطر التي أساسها عدم اليقين</w:t>
      </w:r>
      <w:r w:rsidR="004065F3">
        <w:rPr>
          <w:rFonts w:asciiTheme="minorBidi" w:eastAsia="Calibri" w:hAnsiTheme="minorBidi" w:hint="cs"/>
          <w:sz w:val="30"/>
          <w:szCs w:val="30"/>
          <w:rtl/>
        </w:rPr>
        <w:t xml:space="preserve"> (</w:t>
      </w:r>
      <w:r w:rsidR="004065F3" w:rsidRPr="008E3120">
        <w:rPr>
          <w:sz w:val="32"/>
          <w:szCs w:val="32"/>
          <w:rtl/>
        </w:rPr>
        <w:t>أبو زيد</w:t>
      </w:r>
      <w:r w:rsidR="004065F3">
        <w:rPr>
          <w:rFonts w:hint="cs"/>
          <w:sz w:val="32"/>
          <w:szCs w:val="32"/>
          <w:rtl/>
        </w:rPr>
        <w:t xml:space="preserve">، </w:t>
      </w:r>
      <w:r w:rsidR="004065F3" w:rsidRPr="008E3120">
        <w:rPr>
          <w:sz w:val="32"/>
          <w:szCs w:val="32"/>
          <w:rtl/>
        </w:rPr>
        <w:t>2002).</w:t>
      </w:r>
    </w:p>
    <w:p w14:paraId="5A7690A6" w14:textId="507D5CC4" w:rsidR="00D97259" w:rsidRPr="00D97259" w:rsidRDefault="00D97259" w:rsidP="00124D5E">
      <w:pPr>
        <w:pStyle w:val="Heading1"/>
        <w:bidi/>
        <w:rPr>
          <w:rFonts w:asciiTheme="minorBidi" w:eastAsia="Calibri" w:hAnsiTheme="minorBidi"/>
          <w:sz w:val="30"/>
          <w:szCs w:val="30"/>
        </w:rPr>
      </w:pPr>
      <w:bookmarkStart w:id="9" w:name="_Toc192716023"/>
      <w:r w:rsidRPr="00D97259">
        <w:rPr>
          <w:rFonts w:asciiTheme="minorBidi" w:eastAsia="Calibri" w:hAnsiTheme="minorBidi"/>
          <w:b/>
          <w:bCs/>
          <w:sz w:val="30"/>
          <w:szCs w:val="30"/>
          <w:rtl/>
        </w:rPr>
        <w:t>قياس الخطر: الأهمية والدور</w:t>
      </w:r>
      <w:bookmarkEnd w:id="9"/>
    </w:p>
    <w:p w14:paraId="1B92EDF0" w14:textId="4FB8D57E" w:rsidR="007667C0" w:rsidRDefault="00D97259" w:rsidP="007667C0">
      <w:pPr>
        <w:bidi/>
        <w:spacing w:line="360" w:lineRule="auto"/>
        <w:rPr>
          <w:rFonts w:asciiTheme="minorBidi" w:eastAsia="Calibri" w:hAnsiTheme="minorBidi"/>
          <w:sz w:val="30"/>
          <w:szCs w:val="30"/>
          <w:rtl/>
        </w:rPr>
      </w:pPr>
      <w:r w:rsidRPr="00D97259">
        <w:rPr>
          <w:rFonts w:asciiTheme="minorBidi" w:eastAsia="Calibri" w:hAnsiTheme="minorBidi"/>
          <w:sz w:val="30"/>
          <w:szCs w:val="30"/>
          <w:rtl/>
        </w:rPr>
        <w:t>يعد قياس المخاطر خطوة أساسية في إدارة الخطر. في الواقع، فإن مفهوم الخطر لا يكون ذا قيمة عملية إذا لم يكن قابلاً للقياس. هناك طرق متعددة لتصنيف المخاطر وقياسها تقوم بها مؤسسات متخصصة، كما أن المصارف وشركات التأمين تتبنى مقاييس خاصة بها للمخاطر</w:t>
      </w:r>
      <w:r w:rsidRPr="00D97259">
        <w:rPr>
          <w:rFonts w:asciiTheme="minorBidi" w:eastAsia="Calibri" w:hAnsiTheme="minorBidi"/>
          <w:sz w:val="30"/>
          <w:szCs w:val="30"/>
        </w:rPr>
        <w:t>.</w:t>
      </w:r>
      <w:r w:rsidR="00124D5E">
        <w:rPr>
          <w:rFonts w:asciiTheme="minorBidi" w:eastAsia="Calibri" w:hAnsiTheme="minorBidi" w:hint="cs"/>
          <w:sz w:val="30"/>
          <w:szCs w:val="30"/>
          <w:rtl/>
        </w:rPr>
        <w:t xml:space="preserve"> و</w:t>
      </w:r>
      <w:r w:rsidRPr="00D97259">
        <w:rPr>
          <w:rFonts w:asciiTheme="minorBidi" w:eastAsia="Calibri" w:hAnsiTheme="minorBidi"/>
          <w:sz w:val="30"/>
          <w:szCs w:val="30"/>
          <w:rtl/>
        </w:rPr>
        <w:t>عندما تكون فرص الاستثمار عالية المخاطر، لا يعني ذلك بالضرورة عزوف الناس عنها إذا كان يمكن قياس المخاطر بوضوح، وكانت العوائد المتوقعة تتناسب مع مستوى تلك المخاطر. لكن الناس عادة لا يقبلون على الفرص الاستثمارية التي تكتنف قياس المخاطر فيها الغموض وعدم الوضوح، حيث لا يمكن تحديد ما إذا كانت المخاطر عالية أو منخفضة. هذا الغموض بحد ذاته يُعتبر مخاطرة، وبالتالي يُعتبر أي استثمار لا يكون قياس المخاطر فيه واضحًا ذا مخاطر عالية</w:t>
      </w:r>
      <w:r w:rsidR="004065F3">
        <w:rPr>
          <w:rFonts w:asciiTheme="minorBidi" w:eastAsia="Calibri" w:hAnsiTheme="minorBidi" w:hint="cs"/>
          <w:sz w:val="30"/>
          <w:szCs w:val="30"/>
          <w:rtl/>
        </w:rPr>
        <w:t xml:space="preserve"> (</w:t>
      </w:r>
      <w:r w:rsidR="004065F3" w:rsidRPr="008E3120">
        <w:rPr>
          <w:sz w:val="32"/>
          <w:szCs w:val="32"/>
          <w:rtl/>
        </w:rPr>
        <w:t>قنطقجي</w:t>
      </w:r>
      <w:r w:rsidR="004065F3">
        <w:rPr>
          <w:rFonts w:hint="cs"/>
          <w:sz w:val="32"/>
          <w:szCs w:val="32"/>
          <w:rtl/>
        </w:rPr>
        <w:t xml:space="preserve">، </w:t>
      </w:r>
      <w:r w:rsidR="004065F3" w:rsidRPr="008E3120">
        <w:rPr>
          <w:sz w:val="32"/>
          <w:szCs w:val="32"/>
          <w:rtl/>
        </w:rPr>
        <w:t>2006).</w:t>
      </w:r>
    </w:p>
    <w:p w14:paraId="7FD72D8D" w14:textId="77777777" w:rsidR="00651A03" w:rsidRPr="00651A03" w:rsidRDefault="00651A03" w:rsidP="00651A03">
      <w:pPr>
        <w:pStyle w:val="Heading1"/>
        <w:bidi/>
        <w:rPr>
          <w:rFonts w:asciiTheme="minorBidi" w:eastAsia="Calibri" w:hAnsiTheme="minorBidi"/>
          <w:sz w:val="30"/>
          <w:szCs w:val="30"/>
        </w:rPr>
      </w:pPr>
      <w:bookmarkStart w:id="10" w:name="_Toc192716024"/>
      <w:r w:rsidRPr="00651A03">
        <w:rPr>
          <w:rFonts w:asciiTheme="minorBidi" w:eastAsia="Calibri" w:hAnsiTheme="minorBidi"/>
          <w:b/>
          <w:bCs/>
          <w:sz w:val="30"/>
          <w:szCs w:val="30"/>
          <w:rtl/>
        </w:rPr>
        <w:lastRenderedPageBreak/>
        <w:t>مفهوم المخاطر المصرفية</w:t>
      </w:r>
      <w:bookmarkEnd w:id="10"/>
    </w:p>
    <w:p w14:paraId="7CFB79D2" w14:textId="77777777" w:rsidR="00651A03" w:rsidRPr="00651A03" w:rsidRDefault="00651A03" w:rsidP="00651A03">
      <w:pPr>
        <w:bidi/>
        <w:spacing w:line="360" w:lineRule="auto"/>
        <w:rPr>
          <w:rFonts w:asciiTheme="minorBidi" w:eastAsia="Calibri" w:hAnsiTheme="minorBidi"/>
          <w:sz w:val="30"/>
          <w:szCs w:val="30"/>
        </w:rPr>
      </w:pPr>
      <w:r w:rsidRPr="00651A03">
        <w:rPr>
          <w:rFonts w:asciiTheme="minorBidi" w:eastAsia="Calibri" w:hAnsiTheme="minorBidi"/>
          <w:sz w:val="30"/>
          <w:szCs w:val="30"/>
          <w:rtl/>
        </w:rPr>
        <w:t>تُعرف المخاطر المصرفية بأنها احتمالية تعرض المصارف لخسائر مالية نتيجة لعوامل داخلية أو خارجية تؤثر على أدائها واستقرارها المالي. وتعد المخاطر جزءًا لا يتجزأ من العمليات المصرفية، حيث إن البنوك تعمل في بيئة ديناميكية تتسم بالتغيرات المستمرة في الأسواق المالية والاقتصاد العالمي. ويواجه القطاع المصرفي العديد من أنواع المخاطر التي يمكن أن تؤثر على قدرته في تحقيق أهدافه، مثل المخاطر الائتمانية، مخاطر السيولة، مخاطر السوق، المخاطر التشغيلية، والمخاطر القانونية والتنظيمية</w:t>
      </w:r>
      <w:r w:rsidRPr="00651A03">
        <w:rPr>
          <w:rFonts w:asciiTheme="minorBidi" w:eastAsia="Calibri" w:hAnsiTheme="minorBidi"/>
          <w:sz w:val="30"/>
          <w:szCs w:val="30"/>
        </w:rPr>
        <w:t>.</w:t>
      </w:r>
    </w:p>
    <w:p w14:paraId="567D7A61" w14:textId="77777777" w:rsidR="00651A03" w:rsidRPr="00651A03" w:rsidRDefault="00651A03" w:rsidP="00651A03">
      <w:pPr>
        <w:bidi/>
        <w:spacing w:line="360" w:lineRule="auto"/>
        <w:rPr>
          <w:rFonts w:asciiTheme="minorBidi" w:eastAsia="Calibri" w:hAnsiTheme="minorBidi"/>
          <w:sz w:val="30"/>
          <w:szCs w:val="30"/>
        </w:rPr>
      </w:pPr>
      <w:r w:rsidRPr="00651A03">
        <w:rPr>
          <w:rFonts w:asciiTheme="minorBidi" w:eastAsia="Calibri" w:hAnsiTheme="minorBidi"/>
          <w:sz w:val="30"/>
          <w:szCs w:val="30"/>
          <w:rtl/>
        </w:rPr>
        <w:t>المخاطر الائتمانية هي الأكثر شيوعًا في القطاع المصرفي، وتحدث عندما يعجز المقترضون عن سداد التزاماتهم المالية للبنك، مما يؤثر على جودة المحفظة الائتمانية ويزيد من نسبة القروض المتعثرة. أما مخاطر السيولة، فتنشأ عندما لا يتمكن البنك من تلبية احتياجات العملاء النقدية في الوقت المناسب، مما قد يؤدي إلى فقدان الثقة في المؤسسة المصرفية. من ناحية أخرى، تتعلق مخاطر السوق بالتقلبات في أسعار الفائدة، أسعار الصرف، وأسعار الأصول المالية، مما قد يؤثر على ربحية البنك وقيمته السوقية</w:t>
      </w:r>
      <w:r w:rsidRPr="00651A03">
        <w:rPr>
          <w:rFonts w:asciiTheme="minorBidi" w:eastAsia="Calibri" w:hAnsiTheme="minorBidi"/>
          <w:sz w:val="30"/>
          <w:szCs w:val="30"/>
        </w:rPr>
        <w:t>.</w:t>
      </w:r>
    </w:p>
    <w:p w14:paraId="365B940A" w14:textId="7E1B58C4" w:rsidR="00651A03" w:rsidRDefault="00651A03" w:rsidP="00651A03">
      <w:pPr>
        <w:bidi/>
        <w:spacing w:line="360" w:lineRule="auto"/>
        <w:rPr>
          <w:rFonts w:asciiTheme="minorBidi" w:eastAsia="Calibri" w:hAnsiTheme="minorBidi"/>
          <w:sz w:val="30"/>
          <w:szCs w:val="30"/>
          <w:rtl/>
        </w:rPr>
      </w:pPr>
      <w:r w:rsidRPr="00651A03">
        <w:rPr>
          <w:rFonts w:asciiTheme="minorBidi" w:eastAsia="Calibri" w:hAnsiTheme="minorBidi"/>
          <w:sz w:val="30"/>
          <w:szCs w:val="30"/>
          <w:rtl/>
        </w:rPr>
        <w:t>بالإضافة إلى ذلك، تبرز المخاطر التشغيلية كنتيجة للأخطاء البشرية، فشل الأنظمة، أو العمليات غير الفعالة، مما قد يؤدي إلى خسائر مالية كبيرة. كما أن المخاطر القانونية والتنظيمية تنشأ بسبب عدم الامتثال للقوانين واللوائح المصرفية، مما قد يعرض المصرف لغرامات وعقوبات قانونية. وفي ظل التطور التكنولوجي، أصبحت المخاطر الإلكترونية تشكل تهديدًا متزايدًا للبنوك، حيث تتعرض للجرائم السيبرانية مثل الاحتيال الإلكتروني والاختراقات الأمنية</w:t>
      </w:r>
      <w:r w:rsidRPr="00651A03">
        <w:rPr>
          <w:rFonts w:asciiTheme="minorBidi" w:eastAsia="Calibri" w:hAnsiTheme="minorBidi"/>
          <w:sz w:val="30"/>
          <w:szCs w:val="30"/>
        </w:rPr>
        <w:t>.</w:t>
      </w:r>
      <w:r>
        <w:rPr>
          <w:rFonts w:asciiTheme="minorBidi" w:eastAsia="Calibri" w:hAnsiTheme="minorBidi" w:hint="cs"/>
          <w:sz w:val="30"/>
          <w:szCs w:val="30"/>
          <w:rtl/>
        </w:rPr>
        <w:t xml:space="preserve"> </w:t>
      </w:r>
      <w:r w:rsidRPr="00651A03">
        <w:rPr>
          <w:rFonts w:asciiTheme="minorBidi" w:eastAsia="Calibri" w:hAnsiTheme="minorBidi"/>
          <w:sz w:val="30"/>
          <w:szCs w:val="30"/>
          <w:rtl/>
        </w:rPr>
        <w:t>لهذا السبب، تسعى المصارف إلى تبني استراتيجيات فعالة لإدارة المخاطر، من خلال تطبيق معايير رقابية مثل اتفاقيات بازل، واستخدام أدوات قياس وتحليل المخاطر المالية، لضمان الاستقرار المالي وتحقيق النمو المستدام في بيئة مصرفية متغيرة</w:t>
      </w:r>
      <w:r w:rsidR="004065F3">
        <w:rPr>
          <w:rFonts w:asciiTheme="minorBidi" w:eastAsia="Calibri" w:hAnsiTheme="minorBidi" w:hint="cs"/>
          <w:sz w:val="30"/>
          <w:szCs w:val="30"/>
          <w:rtl/>
        </w:rPr>
        <w:t xml:space="preserve"> (</w:t>
      </w:r>
      <w:r w:rsidR="004065F3" w:rsidRPr="00FE74A6">
        <w:rPr>
          <w:sz w:val="32"/>
          <w:szCs w:val="32"/>
          <w:rtl/>
        </w:rPr>
        <w:t>سيهام</w:t>
      </w:r>
      <w:r w:rsidR="004065F3">
        <w:rPr>
          <w:rFonts w:hint="cs"/>
          <w:sz w:val="32"/>
          <w:szCs w:val="32"/>
          <w:rtl/>
        </w:rPr>
        <w:t xml:space="preserve">، </w:t>
      </w:r>
      <w:r w:rsidR="004065F3" w:rsidRPr="00FE74A6">
        <w:rPr>
          <w:sz w:val="32"/>
          <w:szCs w:val="32"/>
          <w:rtl/>
        </w:rPr>
        <w:t>2022).</w:t>
      </w:r>
    </w:p>
    <w:p w14:paraId="246E7D77" w14:textId="77777777" w:rsidR="007667C0" w:rsidRDefault="007667C0" w:rsidP="007667C0">
      <w:pPr>
        <w:bidi/>
        <w:spacing w:line="360" w:lineRule="auto"/>
        <w:rPr>
          <w:rFonts w:asciiTheme="minorBidi" w:eastAsia="Calibri" w:hAnsiTheme="minorBidi"/>
          <w:sz w:val="30"/>
          <w:szCs w:val="30"/>
          <w:rtl/>
        </w:rPr>
      </w:pPr>
    </w:p>
    <w:p w14:paraId="73100985" w14:textId="77777777" w:rsidR="007667C0" w:rsidRDefault="007667C0" w:rsidP="007667C0">
      <w:pPr>
        <w:bidi/>
        <w:spacing w:line="360" w:lineRule="auto"/>
        <w:rPr>
          <w:rFonts w:asciiTheme="minorBidi" w:eastAsia="Calibri" w:hAnsiTheme="minorBidi"/>
          <w:sz w:val="30"/>
          <w:szCs w:val="30"/>
          <w:rtl/>
        </w:rPr>
      </w:pPr>
    </w:p>
    <w:p w14:paraId="3DEC6F8B" w14:textId="77777777" w:rsidR="007667C0" w:rsidRDefault="007667C0" w:rsidP="007667C0">
      <w:pPr>
        <w:bidi/>
        <w:spacing w:line="360" w:lineRule="auto"/>
        <w:rPr>
          <w:rFonts w:asciiTheme="minorBidi" w:eastAsia="Calibri" w:hAnsiTheme="minorBidi"/>
          <w:sz w:val="30"/>
          <w:szCs w:val="30"/>
          <w:rtl/>
        </w:rPr>
      </w:pPr>
    </w:p>
    <w:p w14:paraId="75AB9BCC" w14:textId="5384D2B3" w:rsidR="007667C0" w:rsidRPr="00651A03" w:rsidRDefault="007667C0" w:rsidP="007667C0">
      <w:pPr>
        <w:bidi/>
        <w:spacing w:line="360" w:lineRule="auto"/>
        <w:rPr>
          <w:rFonts w:asciiTheme="minorBidi" w:eastAsia="Calibri" w:hAnsiTheme="minorBidi"/>
          <w:sz w:val="30"/>
          <w:szCs w:val="30"/>
        </w:rPr>
      </w:pPr>
      <w:r>
        <w:rPr>
          <w:rFonts w:asciiTheme="minorBidi" w:eastAsia="Calibri" w:hAnsiTheme="minorBidi"/>
          <w:noProof/>
          <w:sz w:val="30"/>
          <w:szCs w:val="30"/>
          <w:rtl/>
          <w:lang w:val="ar-SA"/>
        </w:rPr>
        <w:lastRenderedPageBreak/>
        <w:drawing>
          <wp:inline distT="0" distB="0" distL="0" distR="0" wp14:anchorId="299404F4" wp14:editId="579B093C">
            <wp:extent cx="5274310" cy="2965450"/>
            <wp:effectExtent l="0" t="0" r="2540" b="6350"/>
            <wp:docPr id="5945068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506858" name="Picture 59450685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2965450"/>
                    </a:xfrm>
                    <a:prstGeom prst="rect">
                      <a:avLst/>
                    </a:prstGeom>
                  </pic:spPr>
                </pic:pic>
              </a:graphicData>
            </a:graphic>
          </wp:inline>
        </w:drawing>
      </w:r>
    </w:p>
    <w:p w14:paraId="40893E36" w14:textId="1039C501" w:rsidR="00D97259" w:rsidRPr="00D97259" w:rsidRDefault="00D97259" w:rsidP="00124D5E">
      <w:pPr>
        <w:pStyle w:val="Heading1"/>
        <w:bidi/>
        <w:rPr>
          <w:rFonts w:asciiTheme="minorBidi" w:eastAsia="Calibri" w:hAnsiTheme="minorBidi"/>
          <w:sz w:val="30"/>
          <w:szCs w:val="30"/>
        </w:rPr>
      </w:pPr>
      <w:bookmarkStart w:id="11" w:name="_Toc192716025"/>
      <w:r w:rsidRPr="00D97259">
        <w:rPr>
          <w:rFonts w:asciiTheme="minorBidi" w:eastAsia="Calibri" w:hAnsiTheme="minorBidi"/>
          <w:b/>
          <w:bCs/>
          <w:sz w:val="30"/>
          <w:szCs w:val="30"/>
          <w:rtl/>
        </w:rPr>
        <w:t>مقاييس الخطر: نظرة عامة</w:t>
      </w:r>
      <w:bookmarkEnd w:id="11"/>
    </w:p>
    <w:p w14:paraId="4C559FB5" w14:textId="347BDB8E" w:rsidR="00D97259" w:rsidRPr="00D97259" w:rsidRDefault="00D97259" w:rsidP="00124D5E">
      <w:pPr>
        <w:bidi/>
        <w:spacing w:line="360" w:lineRule="auto"/>
        <w:rPr>
          <w:rFonts w:asciiTheme="minorBidi" w:eastAsia="Calibri" w:hAnsiTheme="minorBidi"/>
          <w:sz w:val="30"/>
          <w:szCs w:val="30"/>
        </w:rPr>
      </w:pPr>
      <w:r w:rsidRPr="00D97259">
        <w:rPr>
          <w:rFonts w:asciiTheme="minorBidi" w:eastAsia="Calibri" w:hAnsiTheme="minorBidi"/>
          <w:sz w:val="30"/>
          <w:szCs w:val="30"/>
          <w:rtl/>
        </w:rPr>
        <w:t>تسعى مقاييس الخطر (وخاصة الكمية منها) إلى تحديد مدى الخطر الذي يواجهه الأصل أو المحفظة أو الشركة، وبالتالي تحديد حجم الخسارة المالية المحتملة في حال وقوع هذا الخطر. بعض مقاييس الخطر بسيطة مثل التباين والانحراف المعياري ومعامل الاختلاف، لكنها ما زالت تحظى باهتمام كبير عند قياس المخاطر</w:t>
      </w:r>
      <w:r w:rsidRPr="00D97259">
        <w:rPr>
          <w:rFonts w:asciiTheme="minorBidi" w:eastAsia="Calibri" w:hAnsiTheme="minorBidi"/>
          <w:sz w:val="30"/>
          <w:szCs w:val="30"/>
        </w:rPr>
        <w:t>.</w:t>
      </w:r>
      <w:r w:rsidR="00124D5E">
        <w:rPr>
          <w:rFonts w:asciiTheme="minorBidi" w:eastAsia="Calibri" w:hAnsiTheme="minorBidi" w:hint="cs"/>
          <w:sz w:val="30"/>
          <w:szCs w:val="30"/>
          <w:rtl/>
        </w:rPr>
        <w:t xml:space="preserve"> </w:t>
      </w:r>
      <w:r w:rsidRPr="00D97259">
        <w:rPr>
          <w:rFonts w:asciiTheme="minorBidi" w:eastAsia="Calibri" w:hAnsiTheme="minorBidi"/>
          <w:sz w:val="30"/>
          <w:szCs w:val="30"/>
          <w:rtl/>
        </w:rPr>
        <w:t>تتنوع مقاييس الخطر حسب أنواع المخاطر والظروف المحيطة بالمنشأة، إضافة إلى طبيعة نشاطها (سواء كانت منشأة أعمال أو مؤسسة مالية، على سبيل المثال). تعتبر المقاييس الكمية التي تعتمد على المتوسط والانحراف المعياري ولا تأخذ في الاعتبار توزيع الخسائر غير متماثلة بشكل عام. بالمقابل، يعد مقياس القيمة المعرضة للخطر</w:t>
      </w:r>
      <w:r w:rsidRPr="00D97259">
        <w:rPr>
          <w:rFonts w:asciiTheme="minorBidi" w:eastAsia="Calibri" w:hAnsiTheme="minorBidi"/>
          <w:sz w:val="30"/>
          <w:szCs w:val="30"/>
        </w:rPr>
        <w:t xml:space="preserve"> (VaR) </w:t>
      </w:r>
      <w:r w:rsidRPr="00D97259">
        <w:rPr>
          <w:rFonts w:asciiTheme="minorBidi" w:eastAsia="Calibri" w:hAnsiTheme="minorBidi"/>
          <w:sz w:val="30"/>
          <w:szCs w:val="30"/>
          <w:rtl/>
        </w:rPr>
        <w:t>مقياسًا ماليًا ورياضيًا بسيطًا، حيث يلخص الخطر (أو الخسارة) في رقم واحد يعبر عن الحد الأقصى للخسارة التي قد تتعرض لها المحفظة الاستثمارية مع احتمال معين على مدى زمني معين</w:t>
      </w:r>
      <w:r w:rsidRPr="00D97259">
        <w:rPr>
          <w:rFonts w:asciiTheme="minorBidi" w:eastAsia="Calibri" w:hAnsiTheme="minorBidi"/>
          <w:sz w:val="30"/>
          <w:szCs w:val="30"/>
        </w:rPr>
        <w:t>.</w:t>
      </w:r>
    </w:p>
    <w:p w14:paraId="0BDCBBB3" w14:textId="0EA2B406" w:rsidR="00D97259" w:rsidRDefault="00124D5E" w:rsidP="00D97259">
      <w:pPr>
        <w:bidi/>
        <w:spacing w:line="360" w:lineRule="auto"/>
        <w:rPr>
          <w:rFonts w:asciiTheme="minorBidi" w:eastAsia="Calibri" w:hAnsiTheme="minorBidi"/>
          <w:sz w:val="30"/>
          <w:szCs w:val="30"/>
          <w:rtl/>
        </w:rPr>
      </w:pPr>
      <w:r>
        <w:rPr>
          <w:rFonts w:asciiTheme="minorBidi" w:eastAsia="Calibri" w:hAnsiTheme="minorBidi" w:hint="cs"/>
          <w:sz w:val="30"/>
          <w:szCs w:val="30"/>
          <w:rtl/>
        </w:rPr>
        <w:t>و</w:t>
      </w:r>
      <w:r w:rsidR="00D97259" w:rsidRPr="00D97259">
        <w:rPr>
          <w:rFonts w:asciiTheme="minorBidi" w:eastAsia="Calibri" w:hAnsiTheme="minorBidi"/>
          <w:sz w:val="30"/>
          <w:szCs w:val="30"/>
          <w:rtl/>
        </w:rPr>
        <w:t>من أفضل التصنيفات التي تناولها الباحثون في مجال نظرية المالية بشكل عام وخصوصًا في مجال المخاطر وإدارة المخاطر هو التصنيف الذي اقترحه</w:t>
      </w:r>
      <w:r w:rsidR="00D97259" w:rsidRPr="00D97259">
        <w:rPr>
          <w:rFonts w:asciiTheme="minorBidi" w:eastAsia="Calibri" w:hAnsiTheme="minorBidi"/>
          <w:sz w:val="30"/>
          <w:szCs w:val="30"/>
        </w:rPr>
        <w:t xml:space="preserve"> (Banks &amp; Dunn, 2003)</w:t>
      </w:r>
      <w:r w:rsidR="00D97259" w:rsidRPr="00D97259">
        <w:rPr>
          <w:rFonts w:asciiTheme="minorBidi" w:eastAsia="Calibri" w:hAnsiTheme="minorBidi"/>
          <w:sz w:val="30"/>
          <w:szCs w:val="30"/>
          <w:rtl/>
        </w:rPr>
        <w:t>، حيث قسموا المقاييس إلى قسمين: مقاييس ذاتية ومقاييس رياضية (موضوعية). في ما يلي نعرض أهم تلك المقاييس، مع محاولة التعرف على مزايا وعيوب كل مقياس</w:t>
      </w:r>
      <w:r w:rsidR="00D97259" w:rsidRPr="00D97259">
        <w:rPr>
          <w:rFonts w:asciiTheme="minorBidi" w:eastAsia="Calibri" w:hAnsiTheme="minorBidi"/>
          <w:sz w:val="30"/>
          <w:szCs w:val="30"/>
        </w:rPr>
        <w:t>.</w:t>
      </w:r>
    </w:p>
    <w:p w14:paraId="3AEA1940" w14:textId="77777777" w:rsidR="007667C0" w:rsidRPr="00D97259" w:rsidRDefault="007667C0" w:rsidP="007667C0">
      <w:pPr>
        <w:bidi/>
        <w:spacing w:line="360" w:lineRule="auto"/>
        <w:rPr>
          <w:rFonts w:asciiTheme="minorBidi" w:eastAsia="Calibri" w:hAnsiTheme="minorBidi"/>
          <w:sz w:val="30"/>
          <w:szCs w:val="30"/>
        </w:rPr>
      </w:pPr>
    </w:p>
    <w:p w14:paraId="2E196672" w14:textId="12E11111" w:rsidR="00D97259" w:rsidRPr="00D97259" w:rsidRDefault="00D97259" w:rsidP="00D97259">
      <w:pPr>
        <w:bidi/>
        <w:spacing w:line="360" w:lineRule="auto"/>
        <w:rPr>
          <w:rFonts w:asciiTheme="minorBidi" w:eastAsia="Calibri" w:hAnsiTheme="minorBidi"/>
          <w:sz w:val="30"/>
          <w:szCs w:val="30"/>
        </w:rPr>
      </w:pPr>
      <w:r w:rsidRPr="00D97259">
        <w:rPr>
          <w:rFonts w:asciiTheme="minorBidi" w:eastAsia="Calibri" w:hAnsiTheme="minorBidi"/>
          <w:b/>
          <w:bCs/>
          <w:sz w:val="30"/>
          <w:szCs w:val="30"/>
          <w:rtl/>
        </w:rPr>
        <w:lastRenderedPageBreak/>
        <w:t>المقاييس الرياضية (الكمية)</w:t>
      </w:r>
      <w:r w:rsidRPr="00D97259">
        <w:rPr>
          <w:rFonts w:asciiTheme="minorBidi" w:eastAsia="Calibri" w:hAnsiTheme="minorBidi"/>
          <w:b/>
          <w:bCs/>
          <w:sz w:val="30"/>
          <w:szCs w:val="30"/>
        </w:rPr>
        <w:t>:</w:t>
      </w:r>
    </w:p>
    <w:p w14:paraId="1F7BE188" w14:textId="77777777" w:rsidR="00D97259" w:rsidRPr="00D97259" w:rsidRDefault="00D97259" w:rsidP="00D97259">
      <w:pPr>
        <w:bidi/>
        <w:spacing w:line="360" w:lineRule="auto"/>
        <w:rPr>
          <w:rFonts w:asciiTheme="minorBidi" w:eastAsia="Calibri" w:hAnsiTheme="minorBidi"/>
          <w:sz w:val="30"/>
          <w:szCs w:val="30"/>
        </w:rPr>
      </w:pPr>
      <w:r w:rsidRPr="00D97259">
        <w:rPr>
          <w:rFonts w:asciiTheme="minorBidi" w:eastAsia="Calibri" w:hAnsiTheme="minorBidi"/>
          <w:sz w:val="30"/>
          <w:szCs w:val="30"/>
          <w:rtl/>
        </w:rPr>
        <w:t>هناك العديد من المقاييس الرياضية التي يمكن استخدامها لقياس المخاطر، وتشمل</w:t>
      </w:r>
      <w:r w:rsidRPr="00D97259">
        <w:rPr>
          <w:rFonts w:asciiTheme="minorBidi" w:eastAsia="Calibri" w:hAnsiTheme="minorBidi"/>
          <w:sz w:val="30"/>
          <w:szCs w:val="30"/>
        </w:rPr>
        <w:t>:</w:t>
      </w:r>
    </w:p>
    <w:p w14:paraId="6E87E822" w14:textId="77777777" w:rsidR="00D97259" w:rsidRPr="00D97259" w:rsidRDefault="00D97259" w:rsidP="00D97259">
      <w:pPr>
        <w:numPr>
          <w:ilvl w:val="0"/>
          <w:numId w:val="17"/>
        </w:numPr>
        <w:bidi/>
        <w:spacing w:line="360" w:lineRule="auto"/>
        <w:rPr>
          <w:rFonts w:asciiTheme="minorBidi" w:eastAsia="Calibri" w:hAnsiTheme="minorBidi"/>
          <w:sz w:val="30"/>
          <w:szCs w:val="30"/>
        </w:rPr>
      </w:pPr>
      <w:r w:rsidRPr="00D97259">
        <w:rPr>
          <w:rFonts w:asciiTheme="minorBidi" w:eastAsia="Calibri" w:hAnsiTheme="minorBidi"/>
          <w:sz w:val="30"/>
          <w:szCs w:val="30"/>
          <w:rtl/>
        </w:rPr>
        <w:t>المقاييس الإحصائية: مثل التباين والانحراف المعياري ومعامل الاختلاف</w:t>
      </w:r>
      <w:r w:rsidRPr="00D97259">
        <w:rPr>
          <w:rFonts w:asciiTheme="minorBidi" w:eastAsia="Calibri" w:hAnsiTheme="minorBidi"/>
          <w:sz w:val="30"/>
          <w:szCs w:val="30"/>
        </w:rPr>
        <w:t>.</w:t>
      </w:r>
    </w:p>
    <w:p w14:paraId="6EE1565C" w14:textId="77777777" w:rsidR="00D97259" w:rsidRPr="00D97259" w:rsidRDefault="00D97259" w:rsidP="00D97259">
      <w:pPr>
        <w:numPr>
          <w:ilvl w:val="0"/>
          <w:numId w:val="17"/>
        </w:numPr>
        <w:bidi/>
        <w:spacing w:line="360" w:lineRule="auto"/>
        <w:rPr>
          <w:rFonts w:asciiTheme="minorBidi" w:eastAsia="Calibri" w:hAnsiTheme="minorBidi"/>
          <w:sz w:val="30"/>
          <w:szCs w:val="30"/>
        </w:rPr>
      </w:pPr>
      <w:r w:rsidRPr="00D97259">
        <w:rPr>
          <w:rFonts w:asciiTheme="minorBidi" w:eastAsia="Calibri" w:hAnsiTheme="minorBidi"/>
          <w:sz w:val="30"/>
          <w:szCs w:val="30"/>
          <w:rtl/>
        </w:rPr>
        <w:t>المقاييس التحليلية</w:t>
      </w:r>
      <w:r w:rsidRPr="00D97259">
        <w:rPr>
          <w:rFonts w:asciiTheme="minorBidi" w:eastAsia="Calibri" w:hAnsiTheme="minorBidi"/>
          <w:sz w:val="30"/>
          <w:szCs w:val="30"/>
        </w:rPr>
        <w:t>.</w:t>
      </w:r>
    </w:p>
    <w:p w14:paraId="55BB0AEC" w14:textId="77777777" w:rsidR="00D97259" w:rsidRPr="00D97259" w:rsidRDefault="00D97259" w:rsidP="00D97259">
      <w:pPr>
        <w:numPr>
          <w:ilvl w:val="0"/>
          <w:numId w:val="17"/>
        </w:numPr>
        <w:bidi/>
        <w:spacing w:line="360" w:lineRule="auto"/>
        <w:rPr>
          <w:rFonts w:asciiTheme="minorBidi" w:eastAsia="Calibri" w:hAnsiTheme="minorBidi"/>
          <w:sz w:val="30"/>
          <w:szCs w:val="30"/>
        </w:rPr>
      </w:pPr>
      <w:r w:rsidRPr="00D97259">
        <w:rPr>
          <w:rFonts w:asciiTheme="minorBidi" w:eastAsia="Calibri" w:hAnsiTheme="minorBidi"/>
          <w:sz w:val="30"/>
          <w:szCs w:val="30"/>
          <w:rtl/>
        </w:rPr>
        <w:t>السيناريوهات</w:t>
      </w:r>
      <w:r w:rsidRPr="00D97259">
        <w:rPr>
          <w:rFonts w:asciiTheme="minorBidi" w:eastAsia="Calibri" w:hAnsiTheme="minorBidi"/>
          <w:sz w:val="30"/>
          <w:szCs w:val="30"/>
        </w:rPr>
        <w:t>.</w:t>
      </w:r>
    </w:p>
    <w:p w14:paraId="039ED12F" w14:textId="77777777" w:rsidR="00D97259" w:rsidRPr="00D97259" w:rsidRDefault="00D97259" w:rsidP="00D97259">
      <w:pPr>
        <w:numPr>
          <w:ilvl w:val="0"/>
          <w:numId w:val="17"/>
        </w:numPr>
        <w:bidi/>
        <w:spacing w:line="360" w:lineRule="auto"/>
        <w:rPr>
          <w:rFonts w:asciiTheme="minorBidi" w:eastAsia="Calibri" w:hAnsiTheme="minorBidi"/>
          <w:sz w:val="30"/>
          <w:szCs w:val="30"/>
        </w:rPr>
      </w:pPr>
      <w:r w:rsidRPr="00D97259">
        <w:rPr>
          <w:rFonts w:asciiTheme="minorBidi" w:eastAsia="Calibri" w:hAnsiTheme="minorBidi"/>
          <w:sz w:val="30"/>
          <w:szCs w:val="30"/>
          <w:rtl/>
        </w:rPr>
        <w:t>القيمة المعرضة للخطر</w:t>
      </w:r>
      <w:r w:rsidRPr="00D97259">
        <w:rPr>
          <w:rFonts w:asciiTheme="minorBidi" w:eastAsia="Calibri" w:hAnsiTheme="minorBidi"/>
          <w:sz w:val="30"/>
          <w:szCs w:val="30"/>
        </w:rPr>
        <w:t xml:space="preserve"> (VaR).</w:t>
      </w:r>
    </w:p>
    <w:p w14:paraId="7ECBBC8E" w14:textId="77777777" w:rsidR="00D97259" w:rsidRPr="00D97259" w:rsidRDefault="00D97259" w:rsidP="00D97259">
      <w:pPr>
        <w:numPr>
          <w:ilvl w:val="0"/>
          <w:numId w:val="17"/>
        </w:numPr>
        <w:bidi/>
        <w:spacing w:line="360" w:lineRule="auto"/>
        <w:rPr>
          <w:rFonts w:asciiTheme="minorBidi" w:eastAsia="Calibri" w:hAnsiTheme="minorBidi"/>
          <w:sz w:val="30"/>
          <w:szCs w:val="30"/>
        </w:rPr>
      </w:pPr>
      <w:r w:rsidRPr="00D97259">
        <w:rPr>
          <w:rFonts w:asciiTheme="minorBidi" w:eastAsia="Calibri" w:hAnsiTheme="minorBidi"/>
          <w:sz w:val="30"/>
          <w:szCs w:val="30"/>
          <w:rtl/>
        </w:rPr>
        <w:t>الخسائر القصوى</w:t>
      </w:r>
      <w:r w:rsidRPr="00D97259">
        <w:rPr>
          <w:rFonts w:asciiTheme="minorBidi" w:eastAsia="Calibri" w:hAnsiTheme="minorBidi"/>
          <w:sz w:val="30"/>
          <w:szCs w:val="30"/>
        </w:rPr>
        <w:t>.</w:t>
      </w:r>
    </w:p>
    <w:p w14:paraId="690D9489" w14:textId="5F586635" w:rsidR="00D97259" w:rsidRPr="00D97259" w:rsidRDefault="00D97259" w:rsidP="00D97259">
      <w:pPr>
        <w:bidi/>
        <w:spacing w:line="360" w:lineRule="auto"/>
        <w:rPr>
          <w:rFonts w:asciiTheme="minorBidi" w:eastAsia="Calibri" w:hAnsiTheme="minorBidi"/>
          <w:sz w:val="30"/>
          <w:szCs w:val="30"/>
        </w:rPr>
      </w:pPr>
      <w:r w:rsidRPr="00D97259">
        <w:rPr>
          <w:rFonts w:asciiTheme="minorBidi" w:eastAsia="Calibri" w:hAnsiTheme="minorBidi"/>
          <w:b/>
          <w:bCs/>
          <w:sz w:val="30"/>
          <w:szCs w:val="30"/>
          <w:rtl/>
        </w:rPr>
        <w:t>أبرز المقاييس الإحصائية للخطر</w:t>
      </w:r>
      <w:r w:rsidRPr="00D97259">
        <w:rPr>
          <w:rFonts w:asciiTheme="minorBidi" w:eastAsia="Calibri" w:hAnsiTheme="minorBidi"/>
          <w:b/>
          <w:bCs/>
          <w:sz w:val="30"/>
          <w:szCs w:val="30"/>
        </w:rPr>
        <w:t>:</w:t>
      </w:r>
      <w:r w:rsidRPr="00D97259">
        <w:rPr>
          <w:rFonts w:asciiTheme="minorBidi" w:eastAsia="Calibri" w:hAnsiTheme="minorBidi"/>
          <w:sz w:val="30"/>
          <w:szCs w:val="30"/>
        </w:rPr>
        <w:t xml:space="preserve"> </w:t>
      </w:r>
      <w:r w:rsidRPr="00D97259">
        <w:rPr>
          <w:rFonts w:asciiTheme="minorBidi" w:eastAsia="Calibri" w:hAnsiTheme="minorBidi"/>
          <w:sz w:val="30"/>
          <w:szCs w:val="30"/>
          <w:rtl/>
        </w:rPr>
        <w:t>التباين والانحراف المعياري ومعامل الاختلاف</w:t>
      </w:r>
      <w:r w:rsidRPr="00D97259">
        <w:rPr>
          <w:rFonts w:asciiTheme="minorBidi" w:eastAsia="Calibri" w:hAnsiTheme="minorBidi"/>
          <w:sz w:val="30"/>
          <w:szCs w:val="30"/>
        </w:rPr>
        <w:t>.</w:t>
      </w:r>
    </w:p>
    <w:p w14:paraId="49083CD6" w14:textId="7A295E12" w:rsidR="00D97259" w:rsidRPr="00D97259" w:rsidRDefault="00D97259" w:rsidP="00D97259">
      <w:pPr>
        <w:bidi/>
        <w:spacing w:line="360" w:lineRule="auto"/>
        <w:rPr>
          <w:rFonts w:asciiTheme="minorBidi" w:eastAsia="Calibri" w:hAnsiTheme="minorBidi"/>
          <w:sz w:val="30"/>
          <w:szCs w:val="30"/>
        </w:rPr>
      </w:pPr>
      <w:r w:rsidRPr="00D97259">
        <w:rPr>
          <w:rFonts w:asciiTheme="minorBidi" w:eastAsia="Calibri" w:hAnsiTheme="minorBidi"/>
          <w:b/>
          <w:bCs/>
          <w:sz w:val="30"/>
          <w:szCs w:val="30"/>
          <w:rtl/>
        </w:rPr>
        <w:t>السيناريوهات</w:t>
      </w:r>
      <w:r w:rsidRPr="00D97259">
        <w:rPr>
          <w:rFonts w:asciiTheme="minorBidi" w:eastAsia="Calibri" w:hAnsiTheme="minorBidi"/>
          <w:b/>
          <w:bCs/>
          <w:sz w:val="30"/>
          <w:szCs w:val="30"/>
        </w:rPr>
        <w:t>:</w:t>
      </w:r>
      <w:r w:rsidRPr="00D97259">
        <w:rPr>
          <w:rFonts w:asciiTheme="minorBidi" w:eastAsia="Calibri" w:hAnsiTheme="minorBidi"/>
          <w:sz w:val="30"/>
          <w:szCs w:val="30"/>
        </w:rPr>
        <w:t xml:space="preserve"> </w:t>
      </w:r>
      <w:r w:rsidRPr="00D97259">
        <w:rPr>
          <w:rFonts w:asciiTheme="minorBidi" w:eastAsia="Calibri" w:hAnsiTheme="minorBidi"/>
          <w:sz w:val="30"/>
          <w:szCs w:val="30"/>
          <w:rtl/>
        </w:rPr>
        <w:t>مثل محاكاة مونتي كارلو</w:t>
      </w:r>
      <w:r w:rsidRPr="00D97259">
        <w:rPr>
          <w:rFonts w:asciiTheme="minorBidi" w:eastAsia="Calibri" w:hAnsiTheme="minorBidi"/>
          <w:sz w:val="30"/>
          <w:szCs w:val="30"/>
        </w:rPr>
        <w:t xml:space="preserve"> (Monte Carlo Simulation).</w:t>
      </w:r>
    </w:p>
    <w:p w14:paraId="5C12BB40" w14:textId="5D55DF76" w:rsidR="00D97259" w:rsidRPr="00D97259" w:rsidRDefault="00D97259" w:rsidP="00124D5E">
      <w:pPr>
        <w:pStyle w:val="Heading1"/>
        <w:bidi/>
        <w:rPr>
          <w:rFonts w:asciiTheme="minorBidi" w:eastAsia="Calibri" w:hAnsiTheme="minorBidi"/>
          <w:sz w:val="30"/>
          <w:szCs w:val="30"/>
        </w:rPr>
      </w:pPr>
      <w:bookmarkStart w:id="12" w:name="_Toc192716026"/>
      <w:r w:rsidRPr="00D97259">
        <w:rPr>
          <w:rFonts w:asciiTheme="minorBidi" w:eastAsia="Calibri" w:hAnsiTheme="minorBidi"/>
          <w:b/>
          <w:bCs/>
          <w:sz w:val="30"/>
          <w:szCs w:val="30"/>
          <w:rtl/>
        </w:rPr>
        <w:t>المقاييس الذاتية (الخبرات)</w:t>
      </w:r>
      <w:r w:rsidRPr="00D97259">
        <w:rPr>
          <w:rFonts w:asciiTheme="minorBidi" w:eastAsia="Calibri" w:hAnsiTheme="minorBidi"/>
          <w:b/>
          <w:bCs/>
          <w:sz w:val="30"/>
          <w:szCs w:val="30"/>
        </w:rPr>
        <w:t>:</w:t>
      </w:r>
      <w:bookmarkEnd w:id="12"/>
    </w:p>
    <w:p w14:paraId="55A67A76" w14:textId="77777777" w:rsidR="00D97259" w:rsidRPr="00D97259" w:rsidRDefault="00D97259" w:rsidP="00D97259">
      <w:pPr>
        <w:bidi/>
        <w:spacing w:line="360" w:lineRule="auto"/>
        <w:rPr>
          <w:rFonts w:asciiTheme="minorBidi" w:eastAsia="Calibri" w:hAnsiTheme="minorBidi"/>
          <w:sz w:val="30"/>
          <w:szCs w:val="30"/>
        </w:rPr>
      </w:pPr>
      <w:r w:rsidRPr="00D97259">
        <w:rPr>
          <w:rFonts w:asciiTheme="minorBidi" w:eastAsia="Calibri" w:hAnsiTheme="minorBidi"/>
          <w:sz w:val="30"/>
          <w:szCs w:val="30"/>
          <w:rtl/>
        </w:rPr>
        <w:t>في بعض الحالات، لا يمكن استخدام المقاييس الرياضية لقياس (أو تقييم) التعرض للمخاطر، وهذا يحدث عندما تفشل الصيغ الرياضية في وصف ما قد يحدث تحت ظروف السوق المختلفة أو عندما تكون هناك معلومات غير كافية حول سلوك الأصل أو السوق أو العمليات. إذا لم تتمكن المنشأة من قياس الخطر بدقة، فإن الأفضل ألا تحاول إقناع نفسها بأنها قادرة على ذلك. في هذه الحالة، سيكون من الأفضل استخدام المقاييس الذاتية التي تعتمد على الخبرة السابقة والحدس للتنبؤ بما قد يحدث</w:t>
      </w:r>
      <w:r w:rsidRPr="00D97259">
        <w:rPr>
          <w:rFonts w:asciiTheme="minorBidi" w:eastAsia="Calibri" w:hAnsiTheme="minorBidi"/>
          <w:sz w:val="30"/>
          <w:szCs w:val="30"/>
        </w:rPr>
        <w:t>.</w:t>
      </w:r>
    </w:p>
    <w:p w14:paraId="6EB4F681" w14:textId="77777777" w:rsidR="00D97259" w:rsidRPr="00D97259" w:rsidRDefault="00D97259" w:rsidP="00D97259">
      <w:pPr>
        <w:bidi/>
        <w:spacing w:line="360" w:lineRule="auto"/>
        <w:rPr>
          <w:rFonts w:asciiTheme="minorBidi" w:eastAsia="Calibri" w:hAnsiTheme="minorBidi"/>
          <w:sz w:val="30"/>
          <w:szCs w:val="30"/>
        </w:rPr>
      </w:pPr>
      <w:r w:rsidRPr="00D97259">
        <w:rPr>
          <w:rFonts w:asciiTheme="minorBidi" w:eastAsia="Calibri" w:hAnsiTheme="minorBidi"/>
          <w:sz w:val="30"/>
          <w:szCs w:val="30"/>
          <w:rtl/>
        </w:rPr>
        <w:t>على سبيل المثال، يمكن لبنك أن يدرك أنه عندما يصل حجم المعاملات إلى حد معين (الحد الأقصى)، فإن مخاطر العمليات (التشغيل) ستزداد بسبب إرهاق النظام والأخطاء البشرية. في هذه الحالة، يعتمد التعرض للمخاطر بشكل أكبر على الخبرات السابقة بدلاً من الصيغ الرياضية أو التوزيعات الاحتمالية</w:t>
      </w:r>
      <w:r w:rsidRPr="00D97259">
        <w:rPr>
          <w:rFonts w:asciiTheme="minorBidi" w:eastAsia="Calibri" w:hAnsiTheme="minorBidi"/>
          <w:sz w:val="30"/>
          <w:szCs w:val="30"/>
        </w:rPr>
        <w:t>.</w:t>
      </w:r>
    </w:p>
    <w:p w14:paraId="2F619372" w14:textId="77777777" w:rsidR="00D97259" w:rsidRPr="00D97259" w:rsidRDefault="00D97259" w:rsidP="00D97259">
      <w:pPr>
        <w:bidi/>
        <w:spacing w:line="360" w:lineRule="auto"/>
        <w:rPr>
          <w:rFonts w:asciiTheme="minorBidi" w:eastAsia="Calibri" w:hAnsiTheme="minorBidi"/>
          <w:sz w:val="30"/>
          <w:szCs w:val="30"/>
        </w:rPr>
      </w:pPr>
      <w:r w:rsidRPr="00D97259">
        <w:rPr>
          <w:rFonts w:asciiTheme="minorBidi" w:eastAsia="Calibri" w:hAnsiTheme="minorBidi"/>
          <w:sz w:val="30"/>
          <w:szCs w:val="30"/>
          <w:rtl/>
        </w:rPr>
        <w:t xml:space="preserve">المقاييس الذاتية يمكن تطبيقها أيضًا في مجالات محددة مثل المخاطر القانونية، مخاطر ملاءمة العملاء، ومخاطر العمليات (التشغيل)، وهي أنواع من المخاطر التي يصعب </w:t>
      </w:r>
      <w:r w:rsidRPr="00D97259">
        <w:rPr>
          <w:rFonts w:asciiTheme="minorBidi" w:eastAsia="Calibri" w:hAnsiTheme="minorBidi"/>
          <w:sz w:val="30"/>
          <w:szCs w:val="30"/>
          <w:rtl/>
        </w:rPr>
        <w:lastRenderedPageBreak/>
        <w:t>إخضاعها للنمذجة المالية. كما يمكن للمقاييس الذاتية أن تُستخدم لتجاوز المقاييس الرياضية أو لتعزيزها. على سبيل المثال، يمكن للمنشأة حساب مخاطر الائتمان لجميع الأطراف باستخدام الصيغ الإحصائية، لكن قد يكون من الأفضل تجاهل هذه النتائج عند التعامل مع أطراف غير استثمارية، واستخدام قواعد أكثر صرامة ذات طبيعة ذاتية</w:t>
      </w:r>
      <w:r w:rsidRPr="00D97259">
        <w:rPr>
          <w:rFonts w:asciiTheme="minorBidi" w:eastAsia="Calibri" w:hAnsiTheme="minorBidi"/>
          <w:sz w:val="30"/>
          <w:szCs w:val="30"/>
        </w:rPr>
        <w:t>.</w:t>
      </w:r>
    </w:p>
    <w:p w14:paraId="73E618EA" w14:textId="426A9466" w:rsidR="00D97259" w:rsidRPr="00D97259" w:rsidRDefault="00D97259" w:rsidP="00124D5E">
      <w:pPr>
        <w:pStyle w:val="Heading1"/>
        <w:bidi/>
        <w:rPr>
          <w:rFonts w:asciiTheme="minorBidi" w:eastAsia="Calibri" w:hAnsiTheme="minorBidi"/>
          <w:sz w:val="30"/>
          <w:szCs w:val="30"/>
        </w:rPr>
      </w:pPr>
      <w:bookmarkStart w:id="13" w:name="_Toc192716027"/>
      <w:r w:rsidRPr="00D97259">
        <w:rPr>
          <w:rFonts w:asciiTheme="minorBidi" w:eastAsia="Calibri" w:hAnsiTheme="minorBidi"/>
          <w:b/>
          <w:bCs/>
          <w:sz w:val="30"/>
          <w:szCs w:val="30"/>
          <w:rtl/>
        </w:rPr>
        <w:t>مقاييس الخطر المتسقة</w:t>
      </w:r>
      <w:r w:rsidRPr="00D97259">
        <w:rPr>
          <w:rFonts w:asciiTheme="minorBidi" w:eastAsia="Calibri" w:hAnsiTheme="minorBidi"/>
          <w:b/>
          <w:bCs/>
          <w:sz w:val="30"/>
          <w:szCs w:val="30"/>
        </w:rPr>
        <w:t>:</w:t>
      </w:r>
      <w:bookmarkEnd w:id="13"/>
    </w:p>
    <w:p w14:paraId="5D56C397" w14:textId="77777777" w:rsidR="00D97259" w:rsidRPr="00D97259" w:rsidRDefault="00D97259" w:rsidP="00D97259">
      <w:pPr>
        <w:bidi/>
        <w:spacing w:line="360" w:lineRule="auto"/>
        <w:rPr>
          <w:rFonts w:asciiTheme="minorBidi" w:eastAsia="Calibri" w:hAnsiTheme="minorBidi"/>
          <w:sz w:val="30"/>
          <w:szCs w:val="30"/>
        </w:rPr>
      </w:pPr>
      <w:r w:rsidRPr="00D97259">
        <w:rPr>
          <w:rFonts w:asciiTheme="minorBidi" w:eastAsia="Calibri" w:hAnsiTheme="minorBidi"/>
          <w:sz w:val="30"/>
          <w:szCs w:val="30"/>
          <w:rtl/>
        </w:rPr>
        <w:t>حدد</w:t>
      </w:r>
      <w:r w:rsidRPr="00D97259">
        <w:rPr>
          <w:rFonts w:asciiTheme="minorBidi" w:eastAsia="Calibri" w:hAnsiTheme="minorBidi"/>
          <w:sz w:val="30"/>
          <w:szCs w:val="30"/>
        </w:rPr>
        <w:t xml:space="preserve"> (Artzner, Delbaen, &amp; Heath, 1999) </w:t>
      </w:r>
      <w:r w:rsidRPr="00D97259">
        <w:rPr>
          <w:rFonts w:asciiTheme="minorBidi" w:eastAsia="Calibri" w:hAnsiTheme="minorBidi"/>
          <w:sz w:val="30"/>
          <w:szCs w:val="30"/>
          <w:rtl/>
        </w:rPr>
        <w:t>مجموعة من الخصائص التي يجب أن تتوفر في المقياس ليُعتبر مقياسًا متسقًا</w:t>
      </w:r>
      <w:r w:rsidRPr="00D97259">
        <w:rPr>
          <w:rFonts w:asciiTheme="minorBidi" w:eastAsia="Calibri" w:hAnsiTheme="minorBidi"/>
          <w:sz w:val="30"/>
          <w:szCs w:val="30"/>
        </w:rPr>
        <w:t xml:space="preserve"> (Coherent Risk Measure). </w:t>
      </w:r>
      <w:r w:rsidRPr="00D97259">
        <w:rPr>
          <w:rFonts w:asciiTheme="minorBidi" w:eastAsia="Calibri" w:hAnsiTheme="minorBidi"/>
          <w:sz w:val="30"/>
          <w:szCs w:val="30"/>
          <w:rtl/>
        </w:rPr>
        <w:t>تشمل هذه الخصائص: قابلية التجميع الفرعي، الرتابة، ثبات التفسير، التجانس الإيجابي، والملاءمة. وفيما يلي شرح لهذه الخصائص</w:t>
      </w:r>
      <w:r w:rsidRPr="00D97259">
        <w:rPr>
          <w:rFonts w:asciiTheme="minorBidi" w:eastAsia="Calibri" w:hAnsiTheme="minorBidi"/>
          <w:sz w:val="30"/>
          <w:szCs w:val="30"/>
        </w:rPr>
        <w:t>:</w:t>
      </w:r>
    </w:p>
    <w:p w14:paraId="6418C500" w14:textId="77777777" w:rsidR="00D97259" w:rsidRDefault="00D97259" w:rsidP="00D97259">
      <w:pPr>
        <w:bidi/>
        <w:spacing w:line="360" w:lineRule="auto"/>
        <w:rPr>
          <w:rFonts w:asciiTheme="minorBidi" w:eastAsia="Calibri" w:hAnsiTheme="minorBidi"/>
          <w:sz w:val="30"/>
          <w:szCs w:val="30"/>
        </w:rPr>
      </w:pPr>
      <w:r w:rsidRPr="00D97259">
        <w:rPr>
          <w:rFonts w:asciiTheme="minorBidi" w:eastAsia="Calibri" w:hAnsiTheme="minorBidi"/>
          <w:b/>
          <w:bCs/>
          <w:sz w:val="30"/>
          <w:szCs w:val="30"/>
          <w:rtl/>
        </w:rPr>
        <w:t>قابلية التجميع الفرعي</w:t>
      </w:r>
      <w:r w:rsidRPr="00D97259">
        <w:rPr>
          <w:rFonts w:asciiTheme="minorBidi" w:eastAsia="Calibri" w:hAnsiTheme="minorBidi"/>
          <w:b/>
          <w:bCs/>
          <w:sz w:val="30"/>
          <w:szCs w:val="30"/>
        </w:rPr>
        <w:t xml:space="preserve"> (Subadditivity):</w:t>
      </w:r>
    </w:p>
    <w:p w14:paraId="0C2C03AB" w14:textId="6182703D" w:rsidR="00D97259" w:rsidRDefault="00D97259" w:rsidP="00D97259">
      <w:pPr>
        <w:bidi/>
        <w:spacing w:line="360" w:lineRule="auto"/>
        <w:rPr>
          <w:rFonts w:asciiTheme="minorBidi" w:eastAsia="Calibri" w:hAnsiTheme="minorBidi"/>
          <w:sz w:val="30"/>
          <w:szCs w:val="30"/>
          <w:rtl/>
        </w:rPr>
      </w:pPr>
      <w:r w:rsidRPr="00D97259">
        <w:rPr>
          <w:rFonts w:asciiTheme="minorBidi" w:eastAsia="Calibri" w:hAnsiTheme="minorBidi"/>
          <w:sz w:val="30"/>
          <w:szCs w:val="30"/>
          <w:rtl/>
        </w:rPr>
        <w:t>تشير هذه الخاصية إلى أن درجة الخطر لمحفظة مكونة من مجموعة محافظ فرعية يجب أن تكون أقل أو تساوي مجموع المخاطر لكل محفظة فرعية. يمكن التعبير عن هذه الخاصية بالشكل التالي</w:t>
      </w:r>
      <w:r w:rsidRPr="00D97259">
        <w:rPr>
          <w:rFonts w:asciiTheme="minorBidi" w:eastAsia="Calibri" w:hAnsiTheme="minorBidi"/>
          <w:sz w:val="30"/>
          <w:szCs w:val="30"/>
        </w:rPr>
        <w:t>:</w:t>
      </w:r>
    </w:p>
    <w:p w14:paraId="32077627" w14:textId="0F956D5F" w:rsidR="00D97259" w:rsidRDefault="00D97259" w:rsidP="00D97259">
      <w:pPr>
        <w:bidi/>
        <w:spacing w:line="360" w:lineRule="auto"/>
        <w:rPr>
          <w:rFonts w:asciiTheme="minorBidi" w:eastAsia="Calibri" w:hAnsiTheme="minorBidi"/>
          <w:sz w:val="30"/>
          <w:szCs w:val="30"/>
        </w:rPr>
      </w:pPr>
      <w:r w:rsidRPr="00D97259">
        <w:rPr>
          <w:rFonts w:ascii="Cambria Math" w:eastAsia="Calibri" w:hAnsi="Cambria Math" w:cs="Cambria Math"/>
          <w:sz w:val="30"/>
          <w:szCs w:val="30"/>
        </w:rPr>
        <w:t>𝜌</w:t>
      </w:r>
      <w:r w:rsidRPr="00D97259">
        <w:rPr>
          <w:rFonts w:asciiTheme="minorBidi" w:eastAsia="Calibri" w:hAnsiTheme="minorBidi"/>
          <w:sz w:val="30"/>
          <w:szCs w:val="30"/>
        </w:rPr>
        <w:t>(</w:t>
      </w:r>
      <w:r w:rsidRPr="00D97259">
        <w:rPr>
          <w:rFonts w:ascii="Cambria Math" w:eastAsia="Calibri" w:hAnsi="Cambria Math" w:cs="Cambria Math"/>
          <w:sz w:val="30"/>
          <w:szCs w:val="30"/>
        </w:rPr>
        <w:t>𝑋</w:t>
      </w:r>
      <w:r w:rsidRPr="00D97259">
        <w:rPr>
          <w:rFonts w:asciiTheme="minorBidi" w:eastAsia="Calibri" w:hAnsiTheme="minorBidi"/>
          <w:sz w:val="30"/>
          <w:szCs w:val="30"/>
        </w:rPr>
        <w:t xml:space="preserve"> + </w:t>
      </w:r>
      <w:r w:rsidRPr="00D97259">
        <w:rPr>
          <w:rFonts w:ascii="Cambria Math" w:eastAsia="Calibri" w:hAnsi="Cambria Math" w:cs="Cambria Math"/>
          <w:sz w:val="30"/>
          <w:szCs w:val="30"/>
        </w:rPr>
        <w:t>𝑌</w:t>
      </w:r>
      <w:r w:rsidRPr="00D97259">
        <w:rPr>
          <w:rFonts w:asciiTheme="minorBidi" w:eastAsia="Calibri" w:hAnsiTheme="minorBidi"/>
          <w:sz w:val="30"/>
          <w:szCs w:val="30"/>
        </w:rPr>
        <w:t xml:space="preserve">) ≤ </w:t>
      </w:r>
      <w:r w:rsidRPr="00D97259">
        <w:rPr>
          <w:rFonts w:ascii="Cambria Math" w:eastAsia="Calibri" w:hAnsi="Cambria Math" w:cs="Cambria Math"/>
          <w:sz w:val="30"/>
          <w:szCs w:val="30"/>
        </w:rPr>
        <w:t>𝜌</w:t>
      </w:r>
      <w:r w:rsidRPr="00D97259">
        <w:rPr>
          <w:rFonts w:asciiTheme="minorBidi" w:eastAsia="Calibri" w:hAnsiTheme="minorBidi"/>
          <w:sz w:val="30"/>
          <w:szCs w:val="30"/>
        </w:rPr>
        <w:t>(</w:t>
      </w:r>
      <w:r w:rsidRPr="00D97259">
        <w:rPr>
          <w:rFonts w:ascii="Cambria Math" w:eastAsia="Calibri" w:hAnsi="Cambria Math" w:cs="Cambria Math"/>
          <w:sz w:val="30"/>
          <w:szCs w:val="30"/>
        </w:rPr>
        <w:t>𝑋</w:t>
      </w:r>
      <w:r w:rsidRPr="00D97259">
        <w:rPr>
          <w:rFonts w:asciiTheme="minorBidi" w:eastAsia="Calibri" w:hAnsiTheme="minorBidi"/>
          <w:sz w:val="30"/>
          <w:szCs w:val="30"/>
        </w:rPr>
        <w:t xml:space="preserve">) + </w:t>
      </w:r>
      <w:r w:rsidRPr="00D97259">
        <w:rPr>
          <w:rFonts w:ascii="Cambria Math" w:eastAsia="Calibri" w:hAnsi="Cambria Math" w:cs="Cambria Math"/>
          <w:sz w:val="30"/>
          <w:szCs w:val="30"/>
        </w:rPr>
        <w:t>𝜌</w:t>
      </w:r>
      <w:r w:rsidRPr="00D97259">
        <w:rPr>
          <w:rFonts w:asciiTheme="minorBidi" w:eastAsia="Calibri" w:hAnsiTheme="minorBidi"/>
          <w:sz w:val="30"/>
          <w:szCs w:val="30"/>
        </w:rPr>
        <w:t>(</w:t>
      </w:r>
      <w:r w:rsidRPr="00D97259">
        <w:rPr>
          <w:rFonts w:ascii="Cambria Math" w:eastAsia="Calibri" w:hAnsi="Cambria Math" w:cs="Cambria Math"/>
          <w:sz w:val="30"/>
          <w:szCs w:val="30"/>
        </w:rPr>
        <w:t>𝑌</w:t>
      </w:r>
      <w:r w:rsidRPr="00D97259">
        <w:rPr>
          <w:rFonts w:asciiTheme="minorBidi" w:eastAsia="Calibri" w:hAnsiTheme="minorBidi"/>
          <w:sz w:val="30"/>
          <w:szCs w:val="30"/>
        </w:rPr>
        <w:t>)</w:t>
      </w:r>
    </w:p>
    <w:p w14:paraId="649A57FD" w14:textId="088D5BCD" w:rsidR="00D97259" w:rsidRPr="00D97259" w:rsidRDefault="00D97259" w:rsidP="00D97259">
      <w:pPr>
        <w:bidi/>
        <w:spacing w:line="360" w:lineRule="auto"/>
        <w:rPr>
          <w:rFonts w:asciiTheme="minorBidi" w:eastAsia="Calibri" w:hAnsiTheme="minorBidi"/>
          <w:sz w:val="30"/>
          <w:szCs w:val="30"/>
        </w:rPr>
      </w:pPr>
      <w:r w:rsidRPr="00D97259">
        <w:rPr>
          <w:rFonts w:asciiTheme="minorBidi" w:eastAsia="Calibri" w:hAnsiTheme="minorBidi"/>
          <w:sz w:val="30"/>
          <w:szCs w:val="30"/>
          <w:rtl/>
        </w:rPr>
        <w:t>تُظهر هذه الخاصية أهمية التنويع ودوره في تقليل المخاطر، حيث يؤدي تجميع الأصول ضمن محفظة واحدة أو تجميع عدة محافظ ضمن محفظة أكبر إلى تقليل الخطر بشكل عام</w:t>
      </w:r>
      <w:r w:rsidRPr="00D97259">
        <w:rPr>
          <w:rFonts w:asciiTheme="minorBidi" w:eastAsia="Calibri" w:hAnsiTheme="minorBidi"/>
          <w:sz w:val="30"/>
          <w:szCs w:val="30"/>
        </w:rPr>
        <w:t>.</w:t>
      </w:r>
    </w:p>
    <w:p w14:paraId="6313191D" w14:textId="0DCBE16D" w:rsidR="00D97259" w:rsidRDefault="00D97259" w:rsidP="00D97259">
      <w:pPr>
        <w:bidi/>
        <w:spacing w:line="360" w:lineRule="auto"/>
        <w:rPr>
          <w:rFonts w:asciiTheme="minorBidi" w:eastAsia="Calibri" w:hAnsiTheme="minorBidi"/>
          <w:sz w:val="30"/>
          <w:szCs w:val="30"/>
          <w:rtl/>
        </w:rPr>
      </w:pPr>
      <w:r w:rsidRPr="00D97259">
        <w:rPr>
          <w:rFonts w:asciiTheme="minorBidi" w:eastAsia="Calibri" w:hAnsiTheme="minorBidi"/>
          <w:b/>
          <w:bCs/>
          <w:sz w:val="30"/>
          <w:szCs w:val="30"/>
          <w:rtl/>
        </w:rPr>
        <w:t>الرتابة</w:t>
      </w:r>
      <w:r w:rsidRPr="00D97259">
        <w:rPr>
          <w:rFonts w:asciiTheme="minorBidi" w:eastAsia="Calibri" w:hAnsiTheme="minorBidi"/>
          <w:b/>
          <w:bCs/>
          <w:sz w:val="30"/>
          <w:szCs w:val="30"/>
        </w:rPr>
        <w:t xml:space="preserve"> (Monotony):</w:t>
      </w:r>
    </w:p>
    <w:p w14:paraId="629909B6" w14:textId="15BBDCD2" w:rsidR="00D97259" w:rsidRDefault="00D97259" w:rsidP="00D97259">
      <w:pPr>
        <w:bidi/>
        <w:spacing w:line="360" w:lineRule="auto"/>
        <w:rPr>
          <w:rFonts w:asciiTheme="minorBidi" w:eastAsia="Calibri" w:hAnsiTheme="minorBidi"/>
          <w:sz w:val="30"/>
          <w:szCs w:val="30"/>
          <w:rtl/>
        </w:rPr>
      </w:pPr>
      <w:r w:rsidRPr="00D97259">
        <w:rPr>
          <w:rFonts w:asciiTheme="minorBidi" w:eastAsia="Calibri" w:hAnsiTheme="minorBidi"/>
          <w:sz w:val="30"/>
          <w:szCs w:val="30"/>
          <w:rtl/>
        </w:rPr>
        <w:t>تعني هذه الخاصية أنه إذا كانت لدينا محفظة</w:t>
      </w:r>
      <w:r w:rsidRPr="00D97259">
        <w:rPr>
          <w:rFonts w:asciiTheme="minorBidi" w:eastAsia="Calibri" w:hAnsiTheme="minorBidi"/>
          <w:sz w:val="30"/>
          <w:szCs w:val="30"/>
        </w:rPr>
        <w:t xml:space="preserve"> (</w:t>
      </w:r>
      <w:r w:rsidRPr="00D97259">
        <w:rPr>
          <w:rFonts w:ascii="Cambria Math" w:eastAsia="Calibri" w:hAnsi="Cambria Math" w:cs="Cambria Math"/>
          <w:sz w:val="30"/>
          <w:szCs w:val="30"/>
        </w:rPr>
        <w:t>𝑋</w:t>
      </w:r>
      <w:r w:rsidRPr="00D97259">
        <w:rPr>
          <w:rFonts w:asciiTheme="minorBidi" w:eastAsia="Calibri" w:hAnsiTheme="minorBidi"/>
          <w:sz w:val="30"/>
          <w:szCs w:val="30"/>
        </w:rPr>
        <w:t xml:space="preserve">) </w:t>
      </w:r>
      <w:r w:rsidRPr="00D97259">
        <w:rPr>
          <w:rFonts w:asciiTheme="minorBidi" w:eastAsia="Calibri" w:hAnsiTheme="minorBidi"/>
          <w:sz w:val="30"/>
          <w:szCs w:val="30"/>
          <w:rtl/>
        </w:rPr>
        <w:t>ذات قيمة أعلى من المحفظة</w:t>
      </w:r>
      <w:r w:rsidRPr="00D97259">
        <w:rPr>
          <w:rFonts w:asciiTheme="minorBidi" w:eastAsia="Calibri" w:hAnsiTheme="minorBidi"/>
          <w:sz w:val="30"/>
          <w:szCs w:val="30"/>
        </w:rPr>
        <w:t xml:space="preserve"> (</w:t>
      </w:r>
      <w:r w:rsidRPr="00D97259">
        <w:rPr>
          <w:rFonts w:ascii="Cambria Math" w:eastAsia="Calibri" w:hAnsi="Cambria Math" w:cs="Cambria Math"/>
          <w:sz w:val="30"/>
          <w:szCs w:val="30"/>
        </w:rPr>
        <w:t>𝑌</w:t>
      </w:r>
      <w:r w:rsidRPr="00D97259">
        <w:rPr>
          <w:rFonts w:asciiTheme="minorBidi" w:eastAsia="Calibri" w:hAnsiTheme="minorBidi"/>
          <w:sz w:val="30"/>
          <w:szCs w:val="30"/>
        </w:rPr>
        <w:t>)</w:t>
      </w:r>
      <w:r w:rsidRPr="00D97259">
        <w:rPr>
          <w:rFonts w:asciiTheme="minorBidi" w:eastAsia="Calibri" w:hAnsiTheme="minorBidi"/>
          <w:sz w:val="30"/>
          <w:szCs w:val="30"/>
          <w:rtl/>
        </w:rPr>
        <w:t>، فإن المحفظة</w:t>
      </w:r>
      <w:r w:rsidRPr="00D97259">
        <w:rPr>
          <w:rFonts w:asciiTheme="minorBidi" w:eastAsia="Calibri" w:hAnsiTheme="minorBidi"/>
          <w:sz w:val="30"/>
          <w:szCs w:val="30"/>
        </w:rPr>
        <w:t xml:space="preserve"> (</w:t>
      </w:r>
      <w:r w:rsidRPr="00D97259">
        <w:rPr>
          <w:rFonts w:ascii="Cambria Math" w:eastAsia="Calibri" w:hAnsi="Cambria Math" w:cs="Cambria Math"/>
          <w:sz w:val="30"/>
          <w:szCs w:val="30"/>
        </w:rPr>
        <w:t>𝑋</w:t>
      </w:r>
      <w:r w:rsidRPr="00D97259">
        <w:rPr>
          <w:rFonts w:asciiTheme="minorBidi" w:eastAsia="Calibri" w:hAnsiTheme="minorBidi"/>
          <w:sz w:val="30"/>
          <w:szCs w:val="30"/>
        </w:rPr>
        <w:t xml:space="preserve">) </w:t>
      </w:r>
      <w:r w:rsidRPr="00D97259">
        <w:rPr>
          <w:rFonts w:asciiTheme="minorBidi" w:eastAsia="Calibri" w:hAnsiTheme="minorBidi"/>
          <w:sz w:val="30"/>
          <w:szCs w:val="30"/>
          <w:rtl/>
        </w:rPr>
        <w:t>ستكون ذات خسائر أكبر من المحفظة</w:t>
      </w:r>
      <w:r w:rsidRPr="00D97259">
        <w:rPr>
          <w:rFonts w:asciiTheme="minorBidi" w:eastAsia="Calibri" w:hAnsiTheme="minorBidi"/>
          <w:sz w:val="30"/>
          <w:szCs w:val="30"/>
        </w:rPr>
        <w:t xml:space="preserve"> (</w:t>
      </w:r>
      <w:r w:rsidRPr="00D97259">
        <w:rPr>
          <w:rFonts w:ascii="Cambria Math" w:eastAsia="Calibri" w:hAnsi="Cambria Math" w:cs="Cambria Math"/>
          <w:sz w:val="30"/>
          <w:szCs w:val="30"/>
        </w:rPr>
        <w:t>𝑌</w:t>
      </w:r>
      <w:r w:rsidRPr="00D97259">
        <w:rPr>
          <w:rFonts w:asciiTheme="minorBidi" w:eastAsia="Calibri" w:hAnsiTheme="minorBidi"/>
          <w:sz w:val="30"/>
          <w:szCs w:val="30"/>
        </w:rPr>
        <w:t xml:space="preserve">). </w:t>
      </w:r>
      <w:r w:rsidRPr="00D97259">
        <w:rPr>
          <w:rFonts w:asciiTheme="minorBidi" w:eastAsia="Calibri" w:hAnsiTheme="minorBidi"/>
          <w:sz w:val="30"/>
          <w:szCs w:val="30"/>
          <w:rtl/>
        </w:rPr>
        <w:t>يمكن التعبير عن هذه الخاصية كما يلي</w:t>
      </w:r>
      <w:r>
        <w:rPr>
          <w:rFonts w:asciiTheme="minorBidi" w:eastAsia="Calibri" w:hAnsiTheme="minorBidi" w:hint="cs"/>
          <w:sz w:val="30"/>
          <w:szCs w:val="30"/>
          <w:rtl/>
        </w:rPr>
        <w:t xml:space="preserve"> </w:t>
      </w:r>
      <w:r w:rsidRPr="00D97259">
        <w:rPr>
          <w:rFonts w:asciiTheme="minorBidi" w:eastAsia="Calibri" w:hAnsiTheme="minorBidi"/>
          <w:sz w:val="30"/>
          <w:szCs w:val="30"/>
          <w:rtl/>
        </w:rPr>
        <w:t>إذا كان</w:t>
      </w:r>
      <w:r w:rsidRPr="00D97259">
        <w:rPr>
          <w:rFonts w:asciiTheme="minorBidi" w:eastAsia="Calibri" w:hAnsiTheme="minorBidi"/>
          <w:sz w:val="30"/>
          <w:szCs w:val="30"/>
        </w:rPr>
        <w:t>:</w:t>
      </w:r>
    </w:p>
    <w:p w14:paraId="0486F57F" w14:textId="24167165" w:rsidR="00D97259" w:rsidRDefault="00D97259" w:rsidP="00D97259">
      <w:pPr>
        <w:bidi/>
        <w:spacing w:line="360" w:lineRule="auto"/>
        <w:rPr>
          <w:rFonts w:asciiTheme="minorBidi" w:eastAsia="Calibri" w:hAnsiTheme="minorBidi"/>
          <w:sz w:val="30"/>
          <w:szCs w:val="30"/>
          <w:rtl/>
        </w:rPr>
      </w:pPr>
      <w:r w:rsidRPr="00D97259">
        <w:rPr>
          <w:rFonts w:ascii="Cambria Math" w:eastAsia="Calibri" w:hAnsi="Cambria Math" w:cs="Cambria Math"/>
          <w:sz w:val="30"/>
          <w:szCs w:val="30"/>
        </w:rPr>
        <w:t>𝑋</w:t>
      </w:r>
      <w:r w:rsidRPr="00D97259">
        <w:rPr>
          <w:rFonts w:asciiTheme="minorBidi" w:eastAsia="Calibri" w:hAnsiTheme="minorBidi"/>
          <w:sz w:val="30"/>
          <w:szCs w:val="30"/>
        </w:rPr>
        <w:t xml:space="preserve"> ≤ </w:t>
      </w:r>
      <w:r w:rsidRPr="00D97259">
        <w:rPr>
          <w:rFonts w:ascii="Cambria Math" w:eastAsia="Calibri" w:hAnsi="Cambria Math" w:cs="Cambria Math"/>
          <w:sz w:val="30"/>
          <w:szCs w:val="30"/>
        </w:rPr>
        <w:t>𝑌</w:t>
      </w:r>
    </w:p>
    <w:p w14:paraId="35672B6E" w14:textId="6193DA4D" w:rsidR="00D97259" w:rsidRDefault="00D97259" w:rsidP="00124D5E">
      <w:pPr>
        <w:bidi/>
        <w:spacing w:line="360" w:lineRule="auto"/>
        <w:rPr>
          <w:rFonts w:asciiTheme="minorBidi" w:eastAsia="Calibri" w:hAnsiTheme="minorBidi"/>
          <w:sz w:val="30"/>
          <w:szCs w:val="30"/>
          <w:rtl/>
        </w:rPr>
      </w:pPr>
      <w:r w:rsidRPr="00D97259">
        <w:rPr>
          <w:rFonts w:asciiTheme="minorBidi" w:eastAsia="Calibri" w:hAnsiTheme="minorBidi"/>
          <w:sz w:val="30"/>
          <w:szCs w:val="30"/>
          <w:rtl/>
        </w:rPr>
        <w:t>فإن</w:t>
      </w:r>
      <w:r w:rsidRPr="00D97259">
        <w:rPr>
          <w:rFonts w:asciiTheme="minorBidi" w:eastAsia="Calibri" w:hAnsiTheme="minorBidi"/>
          <w:sz w:val="30"/>
          <w:szCs w:val="30"/>
        </w:rPr>
        <w:t>:</w:t>
      </w:r>
      <w:r w:rsidRPr="00D97259">
        <w:rPr>
          <w:rFonts w:asciiTheme="minorBidi" w:eastAsia="Calibri" w:hAnsiTheme="minorBidi"/>
          <w:sz w:val="30"/>
          <w:szCs w:val="30"/>
        </w:rPr>
        <w:br/>
      </w:r>
      <w:r w:rsidRPr="00D97259">
        <w:rPr>
          <w:rFonts w:ascii="Cambria Math" w:eastAsia="Calibri" w:hAnsi="Cambria Math" w:cs="Cambria Math"/>
          <w:sz w:val="30"/>
          <w:szCs w:val="30"/>
        </w:rPr>
        <w:t>𝜌</w:t>
      </w:r>
      <w:r w:rsidRPr="00D97259">
        <w:rPr>
          <w:rFonts w:asciiTheme="minorBidi" w:eastAsia="Calibri" w:hAnsiTheme="minorBidi"/>
          <w:sz w:val="30"/>
          <w:szCs w:val="30"/>
        </w:rPr>
        <w:t>(</w:t>
      </w:r>
      <w:r w:rsidRPr="00D97259">
        <w:rPr>
          <w:rFonts w:ascii="Cambria Math" w:eastAsia="Calibri" w:hAnsi="Cambria Math" w:cs="Cambria Math"/>
          <w:sz w:val="30"/>
          <w:szCs w:val="30"/>
        </w:rPr>
        <w:t>𝑋</w:t>
      </w:r>
      <w:r w:rsidRPr="00D97259">
        <w:rPr>
          <w:rFonts w:asciiTheme="minorBidi" w:eastAsia="Calibri" w:hAnsiTheme="minorBidi"/>
          <w:sz w:val="30"/>
          <w:szCs w:val="30"/>
        </w:rPr>
        <w:t xml:space="preserve">) ≤ </w:t>
      </w:r>
      <w:r w:rsidRPr="00D97259">
        <w:rPr>
          <w:rFonts w:ascii="Cambria Math" w:eastAsia="Calibri" w:hAnsi="Cambria Math" w:cs="Cambria Math"/>
          <w:sz w:val="30"/>
          <w:szCs w:val="30"/>
        </w:rPr>
        <w:t>𝜌</w:t>
      </w:r>
      <w:r w:rsidRPr="00D97259">
        <w:rPr>
          <w:rFonts w:asciiTheme="minorBidi" w:eastAsia="Calibri" w:hAnsiTheme="minorBidi"/>
          <w:sz w:val="30"/>
          <w:szCs w:val="30"/>
        </w:rPr>
        <w:t>(</w:t>
      </w:r>
      <w:r w:rsidRPr="00D97259">
        <w:rPr>
          <w:rFonts w:ascii="Cambria Math" w:eastAsia="Calibri" w:hAnsi="Cambria Math" w:cs="Cambria Math"/>
          <w:sz w:val="30"/>
          <w:szCs w:val="30"/>
        </w:rPr>
        <w:t>𝑌</w:t>
      </w:r>
      <w:r w:rsidRPr="00D97259">
        <w:rPr>
          <w:rFonts w:asciiTheme="minorBidi" w:eastAsia="Calibri" w:hAnsiTheme="minorBidi"/>
          <w:sz w:val="30"/>
          <w:szCs w:val="30"/>
        </w:rPr>
        <w:t>)</w:t>
      </w:r>
    </w:p>
    <w:p w14:paraId="0DB5142E" w14:textId="77777777" w:rsidR="008E3120" w:rsidRPr="008E3120" w:rsidRDefault="008E3120" w:rsidP="008E3120">
      <w:pPr>
        <w:bidi/>
        <w:spacing w:line="360" w:lineRule="auto"/>
        <w:rPr>
          <w:rFonts w:asciiTheme="minorBidi" w:eastAsia="Calibri" w:hAnsiTheme="minorBidi"/>
          <w:b/>
          <w:bCs/>
          <w:sz w:val="30"/>
          <w:szCs w:val="30"/>
        </w:rPr>
      </w:pPr>
      <w:r w:rsidRPr="008E3120">
        <w:rPr>
          <w:rFonts w:asciiTheme="minorBidi" w:eastAsia="Calibri" w:hAnsiTheme="minorBidi"/>
          <w:b/>
          <w:bCs/>
          <w:sz w:val="30"/>
          <w:szCs w:val="30"/>
          <w:rtl/>
        </w:rPr>
        <w:lastRenderedPageBreak/>
        <w:t>نظريات إدارة المخاطر</w:t>
      </w:r>
    </w:p>
    <w:p w14:paraId="76D3E433" w14:textId="77777777" w:rsidR="008E3120" w:rsidRPr="008E3120" w:rsidRDefault="008E3120" w:rsidP="008E3120">
      <w:pPr>
        <w:bidi/>
        <w:spacing w:line="360" w:lineRule="auto"/>
        <w:rPr>
          <w:rFonts w:asciiTheme="minorBidi" w:eastAsia="Calibri" w:hAnsiTheme="minorBidi"/>
          <w:sz w:val="30"/>
          <w:szCs w:val="30"/>
        </w:rPr>
      </w:pPr>
      <w:r w:rsidRPr="008E3120">
        <w:rPr>
          <w:rFonts w:asciiTheme="minorBidi" w:eastAsia="Calibri" w:hAnsiTheme="minorBidi"/>
          <w:sz w:val="30"/>
          <w:szCs w:val="30"/>
          <w:rtl/>
        </w:rPr>
        <w:t>تُعد إدارة المخاطر من المجالات الحيوية في العلوم المالية والمصرفية، حيث تساعد في تقليل تأثير المخاطر على المؤسسات المالية وتعزز من استقرارها. وقد طُوِّرت عدة نظريات لتفسير كيفية التعامل مع المخاطر وطرق إدارتها بفعالية. ومن أبرز هذه النظريات</w:t>
      </w:r>
      <w:r w:rsidRPr="008E3120">
        <w:rPr>
          <w:rFonts w:asciiTheme="minorBidi" w:eastAsia="Calibri" w:hAnsiTheme="minorBidi"/>
          <w:sz w:val="30"/>
          <w:szCs w:val="30"/>
        </w:rPr>
        <w:t>:</w:t>
      </w:r>
    </w:p>
    <w:p w14:paraId="5AFA20F0" w14:textId="2470DB46" w:rsidR="008E3120" w:rsidRPr="008E3120" w:rsidRDefault="008E3120" w:rsidP="008E3120">
      <w:pPr>
        <w:bidi/>
        <w:spacing w:line="360" w:lineRule="auto"/>
        <w:rPr>
          <w:rFonts w:asciiTheme="minorBidi" w:eastAsia="Calibri" w:hAnsiTheme="minorBidi"/>
          <w:sz w:val="30"/>
          <w:szCs w:val="30"/>
        </w:rPr>
      </w:pPr>
      <w:r w:rsidRPr="008E3120">
        <w:rPr>
          <w:rFonts w:asciiTheme="minorBidi" w:eastAsia="Calibri" w:hAnsiTheme="minorBidi"/>
          <w:sz w:val="30"/>
          <w:szCs w:val="30"/>
          <w:rtl/>
        </w:rPr>
        <w:t>نظرية المحفظة الحديثة</w:t>
      </w:r>
      <w:r w:rsidRPr="008E3120">
        <w:rPr>
          <w:rFonts w:asciiTheme="minorBidi" w:eastAsia="Calibri" w:hAnsiTheme="minorBidi"/>
          <w:sz w:val="30"/>
          <w:szCs w:val="30"/>
        </w:rPr>
        <w:t xml:space="preserve"> </w:t>
      </w:r>
      <w:r>
        <w:rPr>
          <w:rFonts w:asciiTheme="minorBidi" w:eastAsia="Calibri" w:hAnsiTheme="minorBidi" w:hint="cs"/>
          <w:sz w:val="30"/>
          <w:szCs w:val="30"/>
          <w:rtl/>
        </w:rPr>
        <w:t xml:space="preserve">: </w:t>
      </w:r>
      <w:r w:rsidRPr="008E3120">
        <w:rPr>
          <w:rFonts w:asciiTheme="minorBidi" w:eastAsia="Calibri" w:hAnsiTheme="minorBidi"/>
          <w:sz w:val="30"/>
          <w:szCs w:val="30"/>
          <w:rtl/>
        </w:rPr>
        <w:t>قدم هذه النظرية هاري ماركويتز</w:t>
      </w:r>
      <w:r w:rsidRPr="008E3120">
        <w:rPr>
          <w:rFonts w:asciiTheme="minorBidi" w:eastAsia="Calibri" w:hAnsiTheme="minorBidi"/>
          <w:sz w:val="30"/>
          <w:szCs w:val="30"/>
        </w:rPr>
        <w:t xml:space="preserve"> (Harry Markowitz) </w:t>
      </w:r>
      <w:r w:rsidRPr="008E3120">
        <w:rPr>
          <w:rFonts w:asciiTheme="minorBidi" w:eastAsia="Calibri" w:hAnsiTheme="minorBidi"/>
          <w:sz w:val="30"/>
          <w:szCs w:val="30"/>
          <w:rtl/>
        </w:rPr>
        <w:t>في عام 1952، وتُعتبر من أهم النظريات في إدارة المخاطر والاستثمار. تفترض هذه النظرية أن المستثمرين يمكنهم تقليل المخاطر من خلال تنويع استثماراتهم عبر مجموعة من الأصول غير المترابطة، بحيث لا تتأثر جميع الأصول في المحفظة بنفس القدر عند حدوث تقلبات في السوق. وتهدف هذه النظرية إلى تحقيق أفضل مزيج بين العائد والمخاطر من خلال بناء محفظة استثمارية متوازنة تقلل التقلبات وتحافظ على العوائد المستهدفة</w:t>
      </w:r>
      <w:r w:rsidRPr="008E3120">
        <w:rPr>
          <w:rFonts w:asciiTheme="minorBidi" w:eastAsia="Calibri" w:hAnsiTheme="minorBidi"/>
          <w:sz w:val="30"/>
          <w:szCs w:val="30"/>
        </w:rPr>
        <w:t>.</w:t>
      </w:r>
    </w:p>
    <w:p w14:paraId="3262D042" w14:textId="01C500D6" w:rsidR="008E3120" w:rsidRPr="008E3120" w:rsidRDefault="008E3120" w:rsidP="008E3120">
      <w:pPr>
        <w:bidi/>
        <w:spacing w:line="360" w:lineRule="auto"/>
        <w:rPr>
          <w:rFonts w:asciiTheme="minorBidi" w:eastAsia="Calibri" w:hAnsiTheme="minorBidi"/>
          <w:sz w:val="30"/>
          <w:szCs w:val="30"/>
        </w:rPr>
      </w:pPr>
      <w:r w:rsidRPr="008E3120">
        <w:rPr>
          <w:rFonts w:asciiTheme="minorBidi" w:eastAsia="Calibri" w:hAnsiTheme="minorBidi"/>
          <w:sz w:val="30"/>
          <w:szCs w:val="30"/>
          <w:rtl/>
        </w:rPr>
        <w:t>نظرية القيمة المعرضة للخطر</w:t>
      </w:r>
      <w:r w:rsidRPr="008E3120">
        <w:rPr>
          <w:rFonts w:asciiTheme="minorBidi" w:eastAsia="Calibri" w:hAnsiTheme="minorBidi"/>
          <w:sz w:val="30"/>
          <w:szCs w:val="30"/>
        </w:rPr>
        <w:t xml:space="preserve"> (Value at Risk - VaR)</w:t>
      </w:r>
      <w:r>
        <w:rPr>
          <w:rFonts w:asciiTheme="minorBidi" w:eastAsia="Calibri" w:hAnsiTheme="minorBidi" w:hint="cs"/>
          <w:sz w:val="30"/>
          <w:szCs w:val="30"/>
          <w:rtl/>
        </w:rPr>
        <w:t xml:space="preserve">: </w:t>
      </w:r>
      <w:r w:rsidRPr="008E3120">
        <w:rPr>
          <w:rFonts w:asciiTheme="minorBidi" w:eastAsia="Calibri" w:hAnsiTheme="minorBidi"/>
          <w:sz w:val="30"/>
          <w:szCs w:val="30"/>
          <w:rtl/>
        </w:rPr>
        <w:t>تُستخدم هذه النظرية على نطاق واسع في المصارف لقياس مستوى المخاطر المحتملة التي قد تواجه المؤسسة المالية في فترة زمنية معينة. يتم حساب القيمة المعرضة للخطر</w:t>
      </w:r>
      <w:r w:rsidRPr="008E3120">
        <w:rPr>
          <w:rFonts w:asciiTheme="minorBidi" w:eastAsia="Calibri" w:hAnsiTheme="minorBidi"/>
          <w:sz w:val="30"/>
          <w:szCs w:val="30"/>
        </w:rPr>
        <w:t xml:space="preserve"> (VaR) </w:t>
      </w:r>
      <w:r w:rsidRPr="008E3120">
        <w:rPr>
          <w:rFonts w:asciiTheme="minorBidi" w:eastAsia="Calibri" w:hAnsiTheme="minorBidi"/>
          <w:sz w:val="30"/>
          <w:szCs w:val="30"/>
          <w:rtl/>
        </w:rPr>
        <w:t>من خلال تحليل البيانات التاريخية وتوقع الحد الأقصى للخسائر التي قد تحدث مع مستوى ثقة معين (مثل 95% أو 99%). تساعد هذه النظرية المؤسسات المصرفية في تقييم حجم الخسائر المحتملة واتخاذ القرارات المناسبة بشأن الحد من المخاطر</w:t>
      </w:r>
      <w:r w:rsidRPr="008E3120">
        <w:rPr>
          <w:rFonts w:asciiTheme="minorBidi" w:eastAsia="Calibri" w:hAnsiTheme="minorBidi"/>
          <w:sz w:val="30"/>
          <w:szCs w:val="30"/>
        </w:rPr>
        <w:t>.</w:t>
      </w:r>
    </w:p>
    <w:p w14:paraId="06A7B0D5" w14:textId="19EBF39E" w:rsidR="008E3120" w:rsidRPr="008E3120" w:rsidRDefault="008E3120" w:rsidP="008E3120">
      <w:pPr>
        <w:bidi/>
        <w:spacing w:line="360" w:lineRule="auto"/>
        <w:rPr>
          <w:rFonts w:asciiTheme="minorBidi" w:eastAsia="Calibri" w:hAnsiTheme="minorBidi"/>
          <w:sz w:val="30"/>
          <w:szCs w:val="30"/>
        </w:rPr>
      </w:pPr>
      <w:r w:rsidRPr="008E3120">
        <w:rPr>
          <w:rFonts w:asciiTheme="minorBidi" w:eastAsia="Calibri" w:hAnsiTheme="minorBidi"/>
          <w:sz w:val="30"/>
          <w:szCs w:val="30"/>
          <w:rtl/>
        </w:rPr>
        <w:t>نظرية الخيارات المالية</w:t>
      </w:r>
      <w:r w:rsidRPr="008E3120">
        <w:rPr>
          <w:rFonts w:asciiTheme="minorBidi" w:eastAsia="Calibri" w:hAnsiTheme="minorBidi"/>
          <w:sz w:val="30"/>
          <w:szCs w:val="30"/>
        </w:rPr>
        <w:t xml:space="preserve"> </w:t>
      </w:r>
      <w:r>
        <w:rPr>
          <w:rFonts w:asciiTheme="minorBidi" w:eastAsia="Calibri" w:hAnsiTheme="minorBidi" w:hint="cs"/>
          <w:sz w:val="30"/>
          <w:szCs w:val="30"/>
          <w:rtl/>
        </w:rPr>
        <w:t xml:space="preserve">: </w:t>
      </w:r>
      <w:r w:rsidRPr="008E3120">
        <w:rPr>
          <w:rFonts w:asciiTheme="minorBidi" w:eastAsia="Calibri" w:hAnsiTheme="minorBidi"/>
          <w:sz w:val="30"/>
          <w:szCs w:val="30"/>
          <w:rtl/>
        </w:rPr>
        <w:t>تستند هذه النظرية إلى فكرة استخدام المشتقات المالية، مثل الخيارات المالية</w:t>
      </w:r>
      <w:r w:rsidRPr="008E3120">
        <w:rPr>
          <w:rFonts w:asciiTheme="minorBidi" w:eastAsia="Calibri" w:hAnsiTheme="minorBidi"/>
          <w:sz w:val="30"/>
          <w:szCs w:val="30"/>
        </w:rPr>
        <w:t xml:space="preserve"> (Options) </w:t>
      </w:r>
      <w:r w:rsidRPr="008E3120">
        <w:rPr>
          <w:rFonts w:asciiTheme="minorBidi" w:eastAsia="Calibri" w:hAnsiTheme="minorBidi"/>
          <w:sz w:val="30"/>
          <w:szCs w:val="30"/>
          <w:rtl/>
        </w:rPr>
        <w:t>والعقود المستقبلية</w:t>
      </w:r>
      <w:r w:rsidRPr="008E3120">
        <w:rPr>
          <w:rFonts w:asciiTheme="minorBidi" w:eastAsia="Calibri" w:hAnsiTheme="minorBidi"/>
          <w:sz w:val="30"/>
          <w:szCs w:val="30"/>
        </w:rPr>
        <w:t xml:space="preserve"> (Futures)</w:t>
      </w:r>
      <w:r w:rsidRPr="008E3120">
        <w:rPr>
          <w:rFonts w:asciiTheme="minorBidi" w:eastAsia="Calibri" w:hAnsiTheme="minorBidi"/>
          <w:sz w:val="30"/>
          <w:szCs w:val="30"/>
          <w:rtl/>
        </w:rPr>
        <w:t>، كأدوات للتحوط ضد المخاطر المالية. تعتمد هذه النظرية على نموذج بلاك-شولز</w:t>
      </w:r>
      <w:r w:rsidRPr="008E3120">
        <w:rPr>
          <w:rFonts w:asciiTheme="minorBidi" w:eastAsia="Calibri" w:hAnsiTheme="minorBidi"/>
          <w:sz w:val="30"/>
          <w:szCs w:val="30"/>
        </w:rPr>
        <w:t xml:space="preserve"> (Black-Scholes Model) </w:t>
      </w:r>
      <w:r w:rsidRPr="008E3120">
        <w:rPr>
          <w:rFonts w:asciiTheme="minorBidi" w:eastAsia="Calibri" w:hAnsiTheme="minorBidi"/>
          <w:sz w:val="30"/>
          <w:szCs w:val="30"/>
          <w:rtl/>
        </w:rPr>
        <w:t>لتسعير الخيارات المالية، مما يساعد المستثمرين والمصارف على تقليل المخاطر المرتبطة بتغيرات الأسعار، مثل أسعار الفائدة أو العملات</w:t>
      </w:r>
      <w:r w:rsidRPr="008E3120">
        <w:rPr>
          <w:rFonts w:asciiTheme="minorBidi" w:eastAsia="Calibri" w:hAnsiTheme="minorBidi"/>
          <w:sz w:val="30"/>
          <w:szCs w:val="30"/>
        </w:rPr>
        <w:t>.</w:t>
      </w:r>
    </w:p>
    <w:p w14:paraId="71A98B22" w14:textId="290A339B" w:rsidR="008E3120" w:rsidRPr="008E3120" w:rsidRDefault="008E3120" w:rsidP="008E3120">
      <w:pPr>
        <w:bidi/>
        <w:spacing w:line="360" w:lineRule="auto"/>
        <w:rPr>
          <w:rFonts w:asciiTheme="minorBidi" w:eastAsia="Calibri" w:hAnsiTheme="minorBidi"/>
          <w:sz w:val="30"/>
          <w:szCs w:val="30"/>
        </w:rPr>
      </w:pPr>
      <w:r w:rsidRPr="008E3120">
        <w:rPr>
          <w:rFonts w:asciiTheme="minorBidi" w:eastAsia="Calibri" w:hAnsiTheme="minorBidi"/>
          <w:sz w:val="30"/>
          <w:szCs w:val="30"/>
          <w:rtl/>
        </w:rPr>
        <w:t>نظرية كفاية رأس المال ومعايير بازل</w:t>
      </w:r>
      <w:r w:rsidRPr="008E3120">
        <w:rPr>
          <w:rFonts w:asciiTheme="minorBidi" w:eastAsia="Calibri" w:hAnsiTheme="minorBidi"/>
          <w:sz w:val="30"/>
          <w:szCs w:val="30"/>
        </w:rPr>
        <w:t xml:space="preserve"> </w:t>
      </w:r>
      <w:r>
        <w:rPr>
          <w:rFonts w:asciiTheme="minorBidi" w:eastAsia="Calibri" w:hAnsiTheme="minorBidi" w:hint="cs"/>
          <w:sz w:val="30"/>
          <w:szCs w:val="30"/>
          <w:rtl/>
        </w:rPr>
        <w:t xml:space="preserve">: </w:t>
      </w:r>
      <w:r w:rsidRPr="008E3120">
        <w:rPr>
          <w:rFonts w:asciiTheme="minorBidi" w:eastAsia="Calibri" w:hAnsiTheme="minorBidi"/>
          <w:sz w:val="30"/>
          <w:szCs w:val="30"/>
          <w:rtl/>
        </w:rPr>
        <w:t xml:space="preserve">تعتمد هذه النظرية على الاتفاقيات التي وضعتها لجنة بازل للرقابة المصرفية، والتي تهدف إلى تحسين استقرار النظام المصرفي العالمي. تحدد معايير بازل متطلبات رأس المال التي يجب أن تحتفظ بها البنوك لمواجهة المخاطر المحتملة، مثل المخاطر الائتمانية ومخاطر السوق والمخاطر التشغيلية. وتساعد هذه </w:t>
      </w:r>
      <w:r w:rsidRPr="008E3120">
        <w:rPr>
          <w:rFonts w:asciiTheme="minorBidi" w:eastAsia="Calibri" w:hAnsiTheme="minorBidi"/>
          <w:sz w:val="30"/>
          <w:szCs w:val="30"/>
          <w:rtl/>
        </w:rPr>
        <w:lastRenderedPageBreak/>
        <w:t>النظرية في تعزيز قدرة المصارف على مواجهة الأزمات المالية وتقليل احتمالية تعرضها للإفلاس</w:t>
      </w:r>
      <w:r w:rsidRPr="008E3120">
        <w:rPr>
          <w:rFonts w:asciiTheme="minorBidi" w:eastAsia="Calibri" w:hAnsiTheme="minorBidi"/>
          <w:sz w:val="30"/>
          <w:szCs w:val="30"/>
        </w:rPr>
        <w:t>.</w:t>
      </w:r>
    </w:p>
    <w:p w14:paraId="3ADD4421" w14:textId="0642767B" w:rsidR="008E3120" w:rsidRPr="008E3120" w:rsidRDefault="008E3120" w:rsidP="008E3120">
      <w:pPr>
        <w:bidi/>
        <w:spacing w:line="360" w:lineRule="auto"/>
        <w:rPr>
          <w:rFonts w:asciiTheme="minorBidi" w:eastAsia="Calibri" w:hAnsiTheme="minorBidi"/>
          <w:sz w:val="30"/>
          <w:szCs w:val="30"/>
        </w:rPr>
      </w:pPr>
      <w:r w:rsidRPr="008E3120">
        <w:rPr>
          <w:rFonts w:asciiTheme="minorBidi" w:eastAsia="Calibri" w:hAnsiTheme="minorBidi"/>
          <w:sz w:val="30"/>
          <w:szCs w:val="30"/>
          <w:rtl/>
        </w:rPr>
        <w:t>نظرية المنفعة المتوقعة</w:t>
      </w:r>
      <w:r>
        <w:rPr>
          <w:rFonts w:asciiTheme="minorBidi" w:eastAsia="Calibri" w:hAnsiTheme="minorBidi" w:hint="cs"/>
          <w:sz w:val="30"/>
          <w:szCs w:val="30"/>
          <w:rtl/>
        </w:rPr>
        <w:t xml:space="preserve">: </w:t>
      </w:r>
      <w:r w:rsidRPr="008E3120">
        <w:rPr>
          <w:rFonts w:asciiTheme="minorBidi" w:eastAsia="Calibri" w:hAnsiTheme="minorBidi"/>
          <w:sz w:val="30"/>
          <w:szCs w:val="30"/>
          <w:rtl/>
        </w:rPr>
        <w:t>تم تطوير هذه النظرية من قبل جون فون نيومان وأوسكار مورغنسترن، وهي تُستخدم لفهم كيفية اتخاذ الأفراد والشركات قراراتهم في ظل عدم اليقين. تفترض هذه النظرية أن المستثمرين يختارون البدائل التي تعظم منفعتهم المتوقعة بناءً على احتمالات الأحداث المختلفة</w:t>
      </w:r>
      <w:r w:rsidRPr="008E3120">
        <w:rPr>
          <w:rFonts w:asciiTheme="minorBidi" w:eastAsia="Calibri" w:hAnsiTheme="minorBidi"/>
          <w:sz w:val="30"/>
          <w:szCs w:val="30"/>
        </w:rPr>
        <w:t xml:space="preserve">. </w:t>
      </w:r>
      <w:r w:rsidRPr="008E3120">
        <w:rPr>
          <w:rFonts w:asciiTheme="minorBidi" w:eastAsia="Calibri" w:hAnsiTheme="minorBidi"/>
          <w:sz w:val="30"/>
          <w:szCs w:val="30"/>
          <w:rtl/>
        </w:rPr>
        <w:t>وتُستخدم هذه النظرية في المصارف لتقييم المخاطر المحتملة واتخاذ قرارات التمويل والاستثمار بناءً على تحليل العوائد المتوقعة مقابل المخاطر المحتملة</w:t>
      </w:r>
      <w:r w:rsidRPr="008E3120">
        <w:rPr>
          <w:rFonts w:asciiTheme="minorBidi" w:eastAsia="Calibri" w:hAnsiTheme="minorBidi"/>
          <w:sz w:val="30"/>
          <w:szCs w:val="30"/>
        </w:rPr>
        <w:t>.</w:t>
      </w:r>
    </w:p>
    <w:p w14:paraId="63A55A55" w14:textId="3A8442BE" w:rsidR="008E3120" w:rsidRPr="008E3120" w:rsidRDefault="008E3120" w:rsidP="008E3120">
      <w:pPr>
        <w:bidi/>
        <w:spacing w:line="360" w:lineRule="auto"/>
        <w:rPr>
          <w:rFonts w:asciiTheme="minorBidi" w:eastAsia="Calibri" w:hAnsiTheme="minorBidi"/>
          <w:sz w:val="30"/>
          <w:szCs w:val="30"/>
        </w:rPr>
      </w:pPr>
      <w:r w:rsidRPr="008E3120">
        <w:rPr>
          <w:rFonts w:asciiTheme="minorBidi" w:eastAsia="Calibri" w:hAnsiTheme="minorBidi"/>
          <w:sz w:val="30"/>
          <w:szCs w:val="30"/>
          <w:rtl/>
        </w:rPr>
        <w:t>نظرية الاحتمالات وتحليل المخاطر</w:t>
      </w:r>
      <w:r w:rsidRPr="008E3120">
        <w:rPr>
          <w:rFonts w:asciiTheme="minorBidi" w:eastAsia="Calibri" w:hAnsiTheme="minorBidi"/>
          <w:sz w:val="30"/>
          <w:szCs w:val="30"/>
        </w:rPr>
        <w:t xml:space="preserve"> </w:t>
      </w:r>
      <w:r>
        <w:rPr>
          <w:rFonts w:asciiTheme="minorBidi" w:eastAsia="Calibri" w:hAnsiTheme="minorBidi" w:hint="cs"/>
          <w:sz w:val="30"/>
          <w:szCs w:val="30"/>
          <w:rtl/>
        </w:rPr>
        <w:t xml:space="preserve">: </w:t>
      </w:r>
      <w:r w:rsidRPr="008E3120">
        <w:rPr>
          <w:rFonts w:asciiTheme="minorBidi" w:eastAsia="Calibri" w:hAnsiTheme="minorBidi"/>
          <w:sz w:val="30"/>
          <w:szCs w:val="30"/>
          <w:rtl/>
        </w:rPr>
        <w:t>تعتمد هذه النظرية على استخدام الإحصاءات والنماذج الرياضية لحساب احتمالات وقوع المخاطر وتأثيرها على المؤسسات المالية. تُستخدم أساليب مثل محاكاة مونت كارلو</w:t>
      </w:r>
      <w:r w:rsidRPr="008E3120">
        <w:rPr>
          <w:rFonts w:asciiTheme="minorBidi" w:eastAsia="Calibri" w:hAnsiTheme="minorBidi"/>
          <w:sz w:val="30"/>
          <w:szCs w:val="30"/>
        </w:rPr>
        <w:t xml:space="preserve"> (Monte Carlo Simulation) </w:t>
      </w:r>
      <w:r w:rsidRPr="008E3120">
        <w:rPr>
          <w:rFonts w:asciiTheme="minorBidi" w:eastAsia="Calibri" w:hAnsiTheme="minorBidi"/>
          <w:sz w:val="30"/>
          <w:szCs w:val="30"/>
          <w:rtl/>
        </w:rPr>
        <w:t>لتحليل السيناريوهات المختلفة وتقدير المخاطر المالية التي قد تواجهها المصارف في المستقبل</w:t>
      </w:r>
      <w:r w:rsidRPr="008E3120">
        <w:rPr>
          <w:rFonts w:asciiTheme="minorBidi" w:eastAsia="Calibri" w:hAnsiTheme="minorBidi"/>
          <w:sz w:val="30"/>
          <w:szCs w:val="30"/>
        </w:rPr>
        <w:t>.</w:t>
      </w:r>
    </w:p>
    <w:p w14:paraId="05007914" w14:textId="31BAB69C" w:rsidR="008E3120" w:rsidRDefault="008E3120" w:rsidP="008E3120">
      <w:pPr>
        <w:bidi/>
        <w:spacing w:line="360" w:lineRule="auto"/>
        <w:rPr>
          <w:rFonts w:asciiTheme="minorBidi" w:eastAsia="Calibri" w:hAnsiTheme="minorBidi"/>
          <w:sz w:val="30"/>
          <w:szCs w:val="30"/>
          <w:rtl/>
        </w:rPr>
      </w:pPr>
      <w:r w:rsidRPr="008E3120">
        <w:rPr>
          <w:rFonts w:asciiTheme="minorBidi" w:eastAsia="Calibri" w:hAnsiTheme="minorBidi"/>
          <w:sz w:val="30"/>
          <w:szCs w:val="30"/>
          <w:rtl/>
        </w:rPr>
        <w:t>نظرية الوكالة</w:t>
      </w:r>
      <w:r w:rsidRPr="008E3120">
        <w:rPr>
          <w:rFonts w:asciiTheme="minorBidi" w:eastAsia="Calibri" w:hAnsiTheme="minorBidi"/>
          <w:sz w:val="30"/>
          <w:szCs w:val="30"/>
        </w:rPr>
        <w:t xml:space="preserve"> </w:t>
      </w:r>
      <w:r>
        <w:rPr>
          <w:rFonts w:asciiTheme="minorBidi" w:eastAsia="Calibri" w:hAnsiTheme="minorBidi" w:hint="cs"/>
          <w:sz w:val="30"/>
          <w:szCs w:val="30"/>
          <w:rtl/>
        </w:rPr>
        <w:t xml:space="preserve">: </w:t>
      </w:r>
      <w:r w:rsidRPr="008E3120">
        <w:rPr>
          <w:rFonts w:asciiTheme="minorBidi" w:eastAsia="Calibri" w:hAnsiTheme="minorBidi"/>
          <w:sz w:val="30"/>
          <w:szCs w:val="30"/>
          <w:rtl/>
        </w:rPr>
        <w:t>تُركز هذه النظرية على العلاقة بين المالكين والمديرين في المؤسسات المالية، حيث تُشير إلى أن المديرين (الوكلاء) قد يتخذون قرارات تخدم مصالحهم الشخصية بدلاً من مصالح المالكين (المساهمين). تسلط هذه النظرية الضوء على المخاطر الناجمة عن تضارب المصالح، وتؤكد أهمية الحوكمة الرشيدة وإجراءات الرقابة الداخلية في تقليل المخاطر الإدارية والمالية</w:t>
      </w:r>
      <w:r w:rsidRPr="008E3120">
        <w:rPr>
          <w:rFonts w:asciiTheme="minorBidi" w:eastAsia="Calibri" w:hAnsiTheme="minorBidi"/>
          <w:sz w:val="30"/>
          <w:szCs w:val="30"/>
        </w:rPr>
        <w:t>.</w:t>
      </w:r>
    </w:p>
    <w:p w14:paraId="1798F3FD" w14:textId="7ED7BC7E" w:rsidR="00706FD5" w:rsidRPr="00706FD5" w:rsidRDefault="00706FD5" w:rsidP="00124D5E">
      <w:pPr>
        <w:pStyle w:val="Heading1"/>
        <w:bidi/>
        <w:rPr>
          <w:rFonts w:asciiTheme="minorBidi" w:eastAsia="Calibri" w:hAnsiTheme="minorBidi" w:cstheme="minorBidi"/>
          <w:sz w:val="30"/>
          <w:szCs w:val="30"/>
        </w:rPr>
      </w:pPr>
      <w:bookmarkStart w:id="14" w:name="_Toc192716028"/>
      <w:r w:rsidRPr="00706FD5">
        <w:rPr>
          <w:rFonts w:asciiTheme="minorBidi" w:eastAsia="Calibri" w:hAnsiTheme="minorBidi" w:cstheme="minorBidi"/>
          <w:b/>
          <w:bCs/>
          <w:sz w:val="30"/>
          <w:szCs w:val="30"/>
          <w:rtl/>
        </w:rPr>
        <w:t>المخاطر ذات المصادر الداخلية</w:t>
      </w:r>
      <w:bookmarkEnd w:id="14"/>
    </w:p>
    <w:p w14:paraId="61D500DB" w14:textId="002AB5A9" w:rsidR="00706FD5" w:rsidRPr="00706FD5" w:rsidRDefault="00706FD5" w:rsidP="00124D5E">
      <w:pPr>
        <w:pStyle w:val="Heading2"/>
        <w:bidi/>
        <w:rPr>
          <w:rFonts w:asciiTheme="minorBidi" w:eastAsia="Calibri" w:hAnsiTheme="minorBidi" w:cstheme="minorBidi"/>
          <w:sz w:val="30"/>
          <w:szCs w:val="30"/>
        </w:rPr>
      </w:pPr>
      <w:bookmarkStart w:id="15" w:name="_Toc192716029"/>
      <w:r w:rsidRPr="00706FD5">
        <w:rPr>
          <w:rFonts w:asciiTheme="minorBidi" w:eastAsia="Calibri" w:hAnsiTheme="minorBidi" w:cstheme="minorBidi"/>
          <w:b/>
          <w:bCs/>
          <w:sz w:val="30"/>
          <w:szCs w:val="30"/>
          <w:rtl/>
        </w:rPr>
        <w:t>المخاطر الناتجة عن المتعاملين والمستثمرين</w:t>
      </w:r>
      <w:r w:rsidRPr="00706FD5">
        <w:rPr>
          <w:rFonts w:asciiTheme="minorBidi" w:eastAsia="Calibri" w:hAnsiTheme="minorBidi" w:cstheme="minorBidi"/>
          <w:b/>
          <w:bCs/>
          <w:sz w:val="30"/>
          <w:szCs w:val="30"/>
        </w:rPr>
        <w:t>:</w:t>
      </w:r>
      <w:bookmarkEnd w:id="15"/>
    </w:p>
    <w:p w14:paraId="438ECA7E"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 xml:space="preserve">تعتبر العلاقة بين المستثمر والمصرف الإسلامي ذات طابع خاص، حيث تشارك الأطراف في الربح والخسارة، وبالتالي في إدارة المخاطر. وهذا يُعد من العوامل الرئيسية التي تجعل المستثمر أحد أبرز مصادر المخاطر في المصارف الإسلامية. ويتجلى ذلك عند مقارنة العمل المصرفي الإسلامي بالعمل المصرفي التقليدي، حيث يعتمد المصرف التقليدي في </w:t>
      </w:r>
      <w:r w:rsidRPr="00706FD5">
        <w:rPr>
          <w:rFonts w:asciiTheme="minorBidi" w:eastAsia="Calibri" w:hAnsiTheme="minorBidi"/>
          <w:sz w:val="30"/>
          <w:szCs w:val="30"/>
          <w:rtl/>
        </w:rPr>
        <w:lastRenderedPageBreak/>
        <w:t>استثماراته بشكل أساسي على مبدأ الإقراض والفائدة، بينما يعتمد المصرف الإسلامي على المشاركة والمساهمة مع العميل في جميع مراحل المشروع (زيد، 2003، صفحة 236)</w:t>
      </w:r>
      <w:r w:rsidRPr="00706FD5">
        <w:rPr>
          <w:rFonts w:asciiTheme="minorBidi" w:eastAsia="Calibri" w:hAnsiTheme="minorBidi"/>
          <w:sz w:val="30"/>
          <w:szCs w:val="30"/>
        </w:rPr>
        <w:t>.</w:t>
      </w:r>
    </w:p>
    <w:p w14:paraId="57FB240E"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يمكن تصنيف هذه المخاطر إلى ثلاثة أقسام رئيسية هي</w:t>
      </w:r>
      <w:r w:rsidRPr="00706FD5">
        <w:rPr>
          <w:rFonts w:asciiTheme="minorBidi" w:eastAsia="Calibri" w:hAnsiTheme="minorBidi"/>
          <w:sz w:val="30"/>
          <w:szCs w:val="30"/>
        </w:rPr>
        <w:t>:</w:t>
      </w:r>
    </w:p>
    <w:p w14:paraId="58A31695"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b/>
          <w:bCs/>
          <w:sz w:val="30"/>
          <w:szCs w:val="30"/>
          <w:rtl/>
        </w:rPr>
        <w:t>أ. المخاطر الناتجة عن غياب المواصفات الأخلاقية لدى العميل المستثمر</w:t>
      </w:r>
      <w:r w:rsidRPr="00706FD5">
        <w:rPr>
          <w:rFonts w:asciiTheme="minorBidi" w:eastAsia="Calibri" w:hAnsiTheme="minorBidi"/>
          <w:b/>
          <w:bCs/>
          <w:sz w:val="30"/>
          <w:szCs w:val="30"/>
        </w:rPr>
        <w:t>:</w:t>
      </w:r>
    </w:p>
    <w:p w14:paraId="03A648BF"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تتطلب العلاقة بين المصرف الإسلامي والمستثمر توافر مجموعة من الصفات الأخلاقية الضرورية مثل: الصدق، والالتزام بالمواعيد. هذه الصفات تمثل ركيزة أساسية لنجاح الاستثمار، حيث أن غيابها أو نقصها يرفع من نسبة المخاطر في استثمارات المصارف الإسلامية. ذلك لأن غياب الالتزام قد يؤدي إلى مشاكل مثل التزوير، والتحايل في الإيرادات، والمماطلة في السداد. لذلك، يعد التحقق من النوعية الأخلاقية للعميل أحد الأساليب المهمة التي يمكن من خلالها التحكم في هذه المخاطر، وذلك عبر دراسة درجة الالتزام الأخلاقي للعميل، من خلال بناء قاعدة بيانات حول المستثمرين، تتضمن كل ما يتعلق بهم من معلومات تخص الاستثمار ومتابعة مشاريعهم</w:t>
      </w:r>
      <w:r w:rsidRPr="00706FD5">
        <w:rPr>
          <w:rFonts w:asciiTheme="minorBidi" w:eastAsia="Calibri" w:hAnsiTheme="minorBidi"/>
          <w:sz w:val="30"/>
          <w:szCs w:val="30"/>
        </w:rPr>
        <w:t>.</w:t>
      </w:r>
    </w:p>
    <w:p w14:paraId="1D41691B"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b/>
          <w:bCs/>
          <w:sz w:val="30"/>
          <w:szCs w:val="30"/>
          <w:rtl/>
        </w:rPr>
        <w:t>ب. المخاطر الناتجة عن عدم توفر الكفاءة الإدارية والفنية لدى المستثمر</w:t>
      </w:r>
      <w:r w:rsidRPr="00706FD5">
        <w:rPr>
          <w:rFonts w:asciiTheme="minorBidi" w:eastAsia="Calibri" w:hAnsiTheme="minorBidi"/>
          <w:b/>
          <w:bCs/>
          <w:sz w:val="30"/>
          <w:szCs w:val="30"/>
        </w:rPr>
        <w:t>:</w:t>
      </w:r>
    </w:p>
    <w:p w14:paraId="716A009B"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من الضروري أن يتوافر لدى المستثمر الكفاءات الإدارية والفنية والخبرة العملية في التعامل مع مشروعاته أو استثماراته. فوجود هذه الإمكانيات يُعد من العوامل الأساسية لنجاح المشروع الاستثماري، بينما نقصها يؤدي إلى تدهور كفاءة المشروع ويزيد من احتمالية وقوع الخسائر، مما يرفع من مستوى المخاطر المرتبطة بهذا المشروع</w:t>
      </w:r>
      <w:r w:rsidRPr="00706FD5">
        <w:rPr>
          <w:rFonts w:asciiTheme="minorBidi" w:eastAsia="Calibri" w:hAnsiTheme="minorBidi"/>
          <w:sz w:val="30"/>
          <w:szCs w:val="30"/>
        </w:rPr>
        <w:t>.</w:t>
      </w:r>
    </w:p>
    <w:p w14:paraId="0AA6254F"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b/>
          <w:bCs/>
          <w:sz w:val="30"/>
          <w:szCs w:val="30"/>
          <w:rtl/>
        </w:rPr>
        <w:t>ج. المخاطر الناتجة عن عدم سلامة المركز المالي للعميل المستثمر</w:t>
      </w:r>
      <w:r w:rsidRPr="00706FD5">
        <w:rPr>
          <w:rFonts w:asciiTheme="minorBidi" w:eastAsia="Calibri" w:hAnsiTheme="minorBidi"/>
          <w:b/>
          <w:bCs/>
          <w:sz w:val="30"/>
          <w:szCs w:val="30"/>
        </w:rPr>
        <w:t>:</w:t>
      </w:r>
    </w:p>
    <w:p w14:paraId="3A7125AC" w14:textId="50F488B8" w:rsidR="00706FD5" w:rsidRDefault="00706FD5" w:rsidP="00124D5E">
      <w:pPr>
        <w:bidi/>
        <w:spacing w:line="360" w:lineRule="auto"/>
        <w:rPr>
          <w:rFonts w:asciiTheme="minorBidi" w:eastAsia="Calibri" w:hAnsiTheme="minorBidi"/>
          <w:sz w:val="30"/>
          <w:szCs w:val="30"/>
          <w:rtl/>
        </w:rPr>
      </w:pPr>
      <w:r w:rsidRPr="00706FD5">
        <w:rPr>
          <w:rFonts w:asciiTheme="minorBidi" w:eastAsia="Calibri" w:hAnsiTheme="minorBidi"/>
          <w:sz w:val="30"/>
          <w:szCs w:val="30"/>
          <w:rtl/>
        </w:rPr>
        <w:t>تتمثل هذه المخاطر في عدم قدرة العميل على الوفاء بالالتزامات المالية تجاه المصرف في المستقبل، بما في ذلك قيمة التمويل الممنوح وحصة المصرف من الأرباح المحققة. وتظهر هذه المخاطر عندما تكون التزامات العميل المالية أكبر من إمكانياته أو موارده الفعلية، أي عندما يكون مركزه المالي العام مدينًا. وهذا يعد السبب الرئيسي لوجود مثل هذه المخاطر، ويعكس طبيعة العلاقة بين المصرف الإسلامي والعميل، التي تقوم على مبدأ المشاركة في المخاطر. في حالة فشل المشروع الاستثماري، قد يكون المصرف غير قادر على استرداد التزاماته المالية</w:t>
      </w:r>
      <w:r w:rsidRPr="00706FD5">
        <w:rPr>
          <w:rFonts w:asciiTheme="minorBidi" w:eastAsia="Calibri" w:hAnsiTheme="minorBidi"/>
          <w:sz w:val="30"/>
          <w:szCs w:val="30"/>
        </w:rPr>
        <w:t>.</w:t>
      </w:r>
      <w:r w:rsidR="00124D5E">
        <w:rPr>
          <w:rFonts w:asciiTheme="minorBidi" w:eastAsia="Calibri" w:hAnsiTheme="minorBidi" w:hint="cs"/>
          <w:sz w:val="30"/>
          <w:szCs w:val="30"/>
          <w:rtl/>
        </w:rPr>
        <w:t xml:space="preserve"> </w:t>
      </w:r>
      <w:r w:rsidRPr="00706FD5">
        <w:rPr>
          <w:rFonts w:asciiTheme="minorBidi" w:eastAsia="Calibri" w:hAnsiTheme="minorBidi"/>
          <w:sz w:val="30"/>
          <w:szCs w:val="30"/>
          <w:rtl/>
        </w:rPr>
        <w:t xml:space="preserve">لذلك، يجب على المصرف الإسلامي التأكد من سلامة المركز المالي </w:t>
      </w:r>
      <w:r w:rsidRPr="00706FD5">
        <w:rPr>
          <w:rFonts w:asciiTheme="minorBidi" w:eastAsia="Calibri" w:hAnsiTheme="minorBidi"/>
          <w:sz w:val="30"/>
          <w:szCs w:val="30"/>
          <w:rtl/>
        </w:rPr>
        <w:lastRenderedPageBreak/>
        <w:t>للعملاء قبل تمويلهم كإجراء وقائي لتقليل المخاطر في استثمارات المصارف الإسلامية. يتم ذلك من خلال إجراءات متعددة مثل جمع البيانات عن المستثمرين، والتأكد من وجود عقد شراكة واضح، وصور من السجل التجاري، وعقود الملكية العقارية، بالإضافة إلى أسماء الجهات التي تعامل معها العميل</w:t>
      </w:r>
      <w:r w:rsidRPr="00706FD5">
        <w:rPr>
          <w:rFonts w:asciiTheme="minorBidi" w:eastAsia="Calibri" w:hAnsiTheme="minorBidi"/>
          <w:sz w:val="30"/>
          <w:szCs w:val="30"/>
        </w:rPr>
        <w:t>.</w:t>
      </w:r>
    </w:p>
    <w:p w14:paraId="1BC82298" w14:textId="67E3DE48" w:rsidR="007667C0" w:rsidRDefault="007667C0" w:rsidP="007667C0">
      <w:pPr>
        <w:bidi/>
        <w:spacing w:line="360" w:lineRule="auto"/>
        <w:rPr>
          <w:rFonts w:asciiTheme="minorBidi" w:eastAsia="Calibri" w:hAnsiTheme="minorBidi"/>
          <w:sz w:val="30"/>
          <w:szCs w:val="30"/>
          <w:rtl/>
        </w:rPr>
      </w:pPr>
      <w:r>
        <w:rPr>
          <w:rFonts w:asciiTheme="minorBidi" w:eastAsia="Calibri" w:hAnsiTheme="minorBidi"/>
          <w:noProof/>
          <w:sz w:val="30"/>
          <w:szCs w:val="30"/>
          <w:rtl/>
          <w:lang w:val="ar-SA"/>
        </w:rPr>
        <w:drawing>
          <wp:inline distT="0" distB="0" distL="0" distR="0" wp14:anchorId="2BD371C9" wp14:editId="343E5DA3">
            <wp:extent cx="5274310" cy="2966720"/>
            <wp:effectExtent l="0" t="0" r="2540" b="5080"/>
            <wp:docPr id="2514711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471132" name="Picture 25147113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2966720"/>
                    </a:xfrm>
                    <a:prstGeom prst="rect">
                      <a:avLst/>
                    </a:prstGeom>
                  </pic:spPr>
                </pic:pic>
              </a:graphicData>
            </a:graphic>
          </wp:inline>
        </w:drawing>
      </w:r>
    </w:p>
    <w:p w14:paraId="40FD87B4" w14:textId="77777777" w:rsidR="00706FD5" w:rsidRPr="00706FD5" w:rsidRDefault="00706FD5" w:rsidP="00124D5E">
      <w:pPr>
        <w:pStyle w:val="Heading2"/>
        <w:bidi/>
        <w:rPr>
          <w:rFonts w:asciiTheme="minorBidi" w:eastAsia="Calibri" w:hAnsiTheme="minorBidi"/>
          <w:sz w:val="30"/>
          <w:szCs w:val="30"/>
        </w:rPr>
      </w:pPr>
      <w:bookmarkStart w:id="16" w:name="_Toc192716030"/>
      <w:r w:rsidRPr="00706FD5">
        <w:rPr>
          <w:rFonts w:asciiTheme="minorBidi" w:eastAsia="Calibri" w:hAnsiTheme="minorBidi"/>
          <w:b/>
          <w:bCs/>
          <w:sz w:val="30"/>
          <w:szCs w:val="30"/>
          <w:rtl/>
        </w:rPr>
        <w:t>المخاطر الناتجة عن نوعية الموارد البشرية المتاحة</w:t>
      </w:r>
      <w:bookmarkEnd w:id="16"/>
    </w:p>
    <w:p w14:paraId="594BE14D"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تعد نوعية وطبيعة الاستثمارات التي تقوم بها المصارف الإسلامية مصدرًا رئيسيًا من مصادر المخاطر التي تواجهها، وذلك نظرًا للطابع الخاص لهذه الاستثمارات مثل المشاركة، المرابحة، والاستصناع، وغيرها من النماذج. تتطلب هذه الاستثمارات توفير موارد بشرية متميزة قادرة على دراسة وتقييم جدوى عمل المستثمر ومدى ملاءمته للمشاركة في هذه المشاريع من قبل المصرف الإسلامي</w:t>
      </w:r>
      <w:r w:rsidRPr="00706FD5">
        <w:rPr>
          <w:rFonts w:asciiTheme="minorBidi" w:eastAsia="Calibri" w:hAnsiTheme="minorBidi"/>
          <w:sz w:val="30"/>
          <w:szCs w:val="30"/>
        </w:rPr>
        <w:t>.</w:t>
      </w:r>
    </w:p>
    <w:p w14:paraId="4F0F29CD"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إن توفر هذه النوعية المميزة من الموارد البشرية يعد أحد الضمانات الأساسية لمواجهة المخاطر التي قد تنشأ من تلك الاستثمارات. وفي حال عجزت المصارف الإسلامية عن توفير هذه الموارد أو كانت غير مؤهلة بالشكل الكافي، فإن ذلك يشكل مصدرًا رئيسيًا للمخاطر. وهذه المخاطر قد تتجسد في عدة صور، مثل</w:t>
      </w:r>
      <w:r w:rsidRPr="00706FD5">
        <w:rPr>
          <w:rFonts w:asciiTheme="minorBidi" w:eastAsia="Calibri" w:hAnsiTheme="minorBidi"/>
          <w:sz w:val="30"/>
          <w:szCs w:val="30"/>
        </w:rPr>
        <w:t>:</w:t>
      </w:r>
    </w:p>
    <w:p w14:paraId="13C38DB8" w14:textId="77777777" w:rsidR="00706FD5" w:rsidRPr="00706FD5" w:rsidRDefault="00706FD5" w:rsidP="00706FD5">
      <w:pPr>
        <w:numPr>
          <w:ilvl w:val="0"/>
          <w:numId w:val="15"/>
        </w:numPr>
        <w:bidi/>
        <w:spacing w:line="360" w:lineRule="auto"/>
        <w:rPr>
          <w:rFonts w:asciiTheme="minorBidi" w:eastAsia="Calibri" w:hAnsiTheme="minorBidi"/>
          <w:sz w:val="30"/>
          <w:szCs w:val="30"/>
        </w:rPr>
      </w:pPr>
      <w:r w:rsidRPr="00706FD5">
        <w:rPr>
          <w:rFonts w:asciiTheme="minorBidi" w:eastAsia="Calibri" w:hAnsiTheme="minorBidi"/>
          <w:sz w:val="30"/>
          <w:szCs w:val="30"/>
          <w:rtl/>
        </w:rPr>
        <w:t>المخاطر الناتجة عن عدم القدرة على دراسة واختبار العمليات الاستثمارية بشكل مناسب</w:t>
      </w:r>
      <w:r w:rsidRPr="00706FD5">
        <w:rPr>
          <w:rFonts w:asciiTheme="minorBidi" w:eastAsia="Calibri" w:hAnsiTheme="minorBidi"/>
          <w:sz w:val="30"/>
          <w:szCs w:val="30"/>
        </w:rPr>
        <w:t>.</w:t>
      </w:r>
    </w:p>
    <w:p w14:paraId="50208311" w14:textId="77777777" w:rsidR="00706FD5" w:rsidRPr="00706FD5" w:rsidRDefault="00706FD5" w:rsidP="00706FD5">
      <w:pPr>
        <w:numPr>
          <w:ilvl w:val="0"/>
          <w:numId w:val="15"/>
        </w:numPr>
        <w:bidi/>
        <w:spacing w:line="360" w:lineRule="auto"/>
        <w:rPr>
          <w:rFonts w:asciiTheme="minorBidi" w:eastAsia="Calibri" w:hAnsiTheme="minorBidi"/>
          <w:sz w:val="30"/>
          <w:szCs w:val="30"/>
        </w:rPr>
      </w:pPr>
      <w:r w:rsidRPr="00706FD5">
        <w:rPr>
          <w:rFonts w:asciiTheme="minorBidi" w:eastAsia="Calibri" w:hAnsiTheme="minorBidi"/>
          <w:sz w:val="30"/>
          <w:szCs w:val="30"/>
          <w:rtl/>
        </w:rPr>
        <w:lastRenderedPageBreak/>
        <w:t>المخاطر الناتجة عن عدم قدرة الموارد البشرية على متابعة العمليات الاستثمارية بشكل فعال، وعدم قدرتها على ابتكار حلول للمشاكل التي قد تنشأ أثناء التطبيق العملي</w:t>
      </w:r>
      <w:r w:rsidRPr="00706FD5">
        <w:rPr>
          <w:rFonts w:asciiTheme="minorBidi" w:eastAsia="Calibri" w:hAnsiTheme="minorBidi"/>
          <w:sz w:val="30"/>
          <w:szCs w:val="30"/>
        </w:rPr>
        <w:t>.</w:t>
      </w:r>
    </w:p>
    <w:p w14:paraId="0A50F800"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بناءً على ما سبق، يتضح أن توفر الموارد البشرية المؤهلة يعد أحد المتطلبات الأساسية لتنفيذ هذه الاستثمارات بشكل صحيح. وعليه، فإن عدم توفر هذه الموارد يمثل مصدرًا رئيسيًا للمخاطر التي تواجه استثمارات المصارف الإسلامية</w:t>
      </w:r>
      <w:r w:rsidRPr="00706FD5">
        <w:rPr>
          <w:rFonts w:asciiTheme="minorBidi" w:eastAsia="Calibri" w:hAnsiTheme="minorBidi"/>
          <w:sz w:val="30"/>
          <w:szCs w:val="30"/>
        </w:rPr>
        <w:t>.</w:t>
      </w:r>
    </w:p>
    <w:p w14:paraId="5F46BCCA"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لذلك، يتطلب الأمر اتباع أسس سليمة لاختيار الموظفين في المصارف الإسلامية، حيث أظهرت الدراسات التي أجراها المعهد العالمي للفكر الإسلامي أن أهم الأسس لاختيار العاملين في المصارف الإسلامية هي الاعتبارات الشخصية، يليها الكفاءة المهنية والمعرفية في المجال المصرفي (المصرفيين، 1992، صفحة 296)</w:t>
      </w:r>
      <w:r w:rsidRPr="00706FD5">
        <w:rPr>
          <w:rFonts w:asciiTheme="minorBidi" w:eastAsia="Calibri" w:hAnsiTheme="minorBidi"/>
          <w:sz w:val="30"/>
          <w:szCs w:val="30"/>
        </w:rPr>
        <w:t>.</w:t>
      </w:r>
    </w:p>
    <w:p w14:paraId="37C57257" w14:textId="502DDD36"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b/>
          <w:bCs/>
          <w:sz w:val="30"/>
          <w:szCs w:val="30"/>
          <w:rtl/>
        </w:rPr>
        <w:t>مخاطر السمعة</w:t>
      </w:r>
      <w:r w:rsidRPr="00706FD5">
        <w:rPr>
          <w:rFonts w:asciiTheme="minorBidi" w:eastAsia="Calibri" w:hAnsiTheme="minorBidi"/>
          <w:sz w:val="30"/>
          <w:szCs w:val="30"/>
          <w:rtl/>
        </w:rPr>
        <w:t xml:space="preserve"> </w:t>
      </w:r>
      <w:r>
        <w:rPr>
          <w:rFonts w:asciiTheme="minorBidi" w:eastAsia="Calibri" w:hAnsiTheme="minorBidi" w:hint="cs"/>
          <w:sz w:val="30"/>
          <w:szCs w:val="30"/>
          <w:rtl/>
        </w:rPr>
        <w:t>(</w:t>
      </w:r>
      <w:r w:rsidRPr="00706FD5">
        <w:rPr>
          <w:rFonts w:asciiTheme="minorBidi" w:eastAsia="Calibri" w:hAnsiTheme="minorBidi"/>
          <w:sz w:val="30"/>
          <w:szCs w:val="30"/>
          <w:rtl/>
        </w:rPr>
        <w:t>سامر، 2006، صفحة 67</w:t>
      </w:r>
      <w:r>
        <w:rPr>
          <w:rFonts w:asciiTheme="minorBidi" w:eastAsia="Calibri" w:hAnsiTheme="minorBidi" w:hint="cs"/>
          <w:sz w:val="30"/>
          <w:szCs w:val="30"/>
          <w:rtl/>
        </w:rPr>
        <w:t>):</w:t>
      </w:r>
    </w:p>
    <w:p w14:paraId="68A71D3D" w14:textId="7DD5207E"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تظهر هذه المخاطر عندما يكون هناك رأي عام سلبي تجاه المصارف الإسلامية، نتيجة عدم قدرتها على تقديم خدمات مصرفية عبر الإنترنت وفقًا لمعايير الأمان والسرية والدقة، مع استمرارها في تلبية احتياجات العملاء بسرعة وفعالية. ومن هنا يتعين على المصارف أن تولي اهتمامًا كبيرًا بتطوير ورعاية الأداء في الأنشطة الإلكترونية</w:t>
      </w:r>
      <w:r w:rsidRPr="00706FD5">
        <w:rPr>
          <w:rFonts w:asciiTheme="minorBidi" w:eastAsia="Calibri" w:hAnsiTheme="minorBidi"/>
          <w:sz w:val="30"/>
          <w:szCs w:val="30"/>
        </w:rPr>
        <w:t>.</w:t>
      </w:r>
    </w:p>
    <w:p w14:paraId="6E199EF9" w14:textId="77777777" w:rsidR="00706FD5" w:rsidRPr="00706FD5" w:rsidRDefault="00706FD5" w:rsidP="00124D5E">
      <w:pPr>
        <w:pStyle w:val="Heading1"/>
        <w:bidi/>
        <w:rPr>
          <w:rFonts w:asciiTheme="minorBidi" w:eastAsia="Calibri" w:hAnsiTheme="minorBidi"/>
          <w:sz w:val="30"/>
          <w:szCs w:val="30"/>
        </w:rPr>
      </w:pPr>
      <w:bookmarkStart w:id="17" w:name="_Toc192716031"/>
      <w:r w:rsidRPr="00706FD5">
        <w:rPr>
          <w:rFonts w:asciiTheme="minorBidi" w:eastAsia="Calibri" w:hAnsiTheme="minorBidi"/>
          <w:b/>
          <w:bCs/>
          <w:sz w:val="30"/>
          <w:szCs w:val="30"/>
          <w:rtl/>
        </w:rPr>
        <w:t>المخاطر الناتجة عن العوامل الخارجية</w:t>
      </w:r>
      <w:bookmarkEnd w:id="17"/>
    </w:p>
    <w:p w14:paraId="67F4B349" w14:textId="0A8C4207" w:rsidR="00706FD5" w:rsidRPr="00706FD5" w:rsidRDefault="00706FD5" w:rsidP="00124D5E">
      <w:pPr>
        <w:pStyle w:val="Heading2"/>
        <w:bidi/>
        <w:rPr>
          <w:rFonts w:asciiTheme="minorBidi" w:eastAsia="Calibri" w:hAnsiTheme="minorBidi"/>
          <w:sz w:val="30"/>
          <w:szCs w:val="30"/>
        </w:rPr>
      </w:pPr>
      <w:bookmarkStart w:id="18" w:name="_Toc192716032"/>
      <w:r w:rsidRPr="00706FD5">
        <w:rPr>
          <w:rFonts w:asciiTheme="minorBidi" w:eastAsia="Calibri" w:hAnsiTheme="minorBidi"/>
          <w:b/>
          <w:bCs/>
          <w:sz w:val="30"/>
          <w:szCs w:val="30"/>
          <w:rtl/>
        </w:rPr>
        <w:t>المخاطر المرتبطة بالأنظمة والقوانين السائدة</w:t>
      </w:r>
      <w:r w:rsidRPr="00706FD5">
        <w:rPr>
          <w:rFonts w:asciiTheme="minorBidi" w:eastAsia="Calibri" w:hAnsiTheme="minorBidi"/>
          <w:b/>
          <w:bCs/>
          <w:sz w:val="30"/>
          <w:szCs w:val="30"/>
        </w:rPr>
        <w:t>:</w:t>
      </w:r>
      <w:bookmarkEnd w:id="18"/>
    </w:p>
    <w:p w14:paraId="318EE909"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تُصمم الأنظمة والتعليمات التي تحكم عمل المصارف بشكل عام لخدمة المصارف التقليدية، ما يجعل المصارف الإسلامية تواجه صعوبة في التعامل مع هذه التعليمات، نظرًا لأنها لا تأخذ في اعتبارها خصوصيات العمل المصرفي الإسلامي. ومع ذلك، تختلف هذه المخاطر من مصرف إلى آخر حسب البلد واللوائح المصرفية التي يخضع لها (علي، 2232 هـ، صفحة 228)</w:t>
      </w:r>
      <w:r w:rsidRPr="00706FD5">
        <w:rPr>
          <w:rFonts w:asciiTheme="minorBidi" w:eastAsia="Calibri" w:hAnsiTheme="minorBidi"/>
          <w:sz w:val="30"/>
          <w:szCs w:val="30"/>
        </w:rPr>
        <w:t>.</w:t>
      </w:r>
    </w:p>
    <w:p w14:paraId="528EDF3A" w14:textId="41CDBF1D" w:rsidR="00706FD5" w:rsidRPr="00706FD5" w:rsidRDefault="00706FD5" w:rsidP="00124D5E">
      <w:pPr>
        <w:pStyle w:val="Heading2"/>
        <w:bidi/>
        <w:rPr>
          <w:rFonts w:asciiTheme="minorBidi" w:eastAsia="Calibri" w:hAnsiTheme="minorBidi"/>
          <w:sz w:val="30"/>
          <w:szCs w:val="30"/>
        </w:rPr>
      </w:pPr>
      <w:bookmarkStart w:id="19" w:name="_Toc192716033"/>
      <w:r w:rsidRPr="00706FD5">
        <w:rPr>
          <w:rFonts w:asciiTheme="minorBidi" w:eastAsia="Calibri" w:hAnsiTheme="minorBidi"/>
          <w:b/>
          <w:bCs/>
          <w:sz w:val="30"/>
          <w:szCs w:val="30"/>
          <w:rtl/>
        </w:rPr>
        <w:lastRenderedPageBreak/>
        <w:t>المخاطر المرتبطة بالرقابة الشرعية</w:t>
      </w:r>
      <w:r w:rsidRPr="00706FD5">
        <w:rPr>
          <w:rFonts w:asciiTheme="minorBidi" w:eastAsia="Calibri" w:hAnsiTheme="minorBidi"/>
          <w:b/>
          <w:bCs/>
          <w:sz w:val="30"/>
          <w:szCs w:val="30"/>
        </w:rPr>
        <w:t>:</w:t>
      </w:r>
      <w:bookmarkEnd w:id="19"/>
    </w:p>
    <w:p w14:paraId="4E168F8F"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إن غياب وضوح مفهوم الرقابة الشرعية في بعض المصارف الإسلامية أدى إلى ظهور مخاطر تتعلق بها، ومنها</w:t>
      </w:r>
      <w:r w:rsidRPr="00706FD5">
        <w:rPr>
          <w:rFonts w:asciiTheme="minorBidi" w:eastAsia="Calibri" w:hAnsiTheme="minorBidi"/>
          <w:sz w:val="30"/>
          <w:szCs w:val="30"/>
        </w:rPr>
        <w:t>:</w:t>
      </w:r>
    </w:p>
    <w:p w14:paraId="528E3278" w14:textId="77777777" w:rsidR="00706FD5" w:rsidRPr="00706FD5" w:rsidRDefault="00706FD5" w:rsidP="00706FD5">
      <w:pPr>
        <w:numPr>
          <w:ilvl w:val="0"/>
          <w:numId w:val="16"/>
        </w:numPr>
        <w:bidi/>
        <w:spacing w:line="360" w:lineRule="auto"/>
        <w:rPr>
          <w:rFonts w:asciiTheme="minorBidi" w:eastAsia="Calibri" w:hAnsiTheme="minorBidi"/>
          <w:sz w:val="30"/>
          <w:szCs w:val="30"/>
        </w:rPr>
      </w:pPr>
      <w:r w:rsidRPr="00706FD5">
        <w:rPr>
          <w:rFonts w:asciiTheme="minorBidi" w:eastAsia="Calibri" w:hAnsiTheme="minorBidi"/>
          <w:sz w:val="30"/>
          <w:szCs w:val="30"/>
          <w:rtl/>
        </w:rPr>
        <w:t>قلة عدد الفقهاء المتخصصين في المعاملات المصرفية والمسائل الاقتصادية الحديثة، مما يؤدي إلى غموض التصورات حول هذه المسائل وصعوبة الوصول إلى الحكم الشرعي الصحيح</w:t>
      </w:r>
      <w:r w:rsidRPr="00706FD5">
        <w:rPr>
          <w:rFonts w:asciiTheme="minorBidi" w:eastAsia="Calibri" w:hAnsiTheme="minorBidi"/>
          <w:sz w:val="30"/>
          <w:szCs w:val="30"/>
        </w:rPr>
        <w:t>.</w:t>
      </w:r>
    </w:p>
    <w:p w14:paraId="34331769" w14:textId="77777777" w:rsidR="00706FD5" w:rsidRPr="00706FD5" w:rsidRDefault="00706FD5" w:rsidP="00706FD5">
      <w:pPr>
        <w:numPr>
          <w:ilvl w:val="0"/>
          <w:numId w:val="16"/>
        </w:numPr>
        <w:bidi/>
        <w:spacing w:line="360" w:lineRule="auto"/>
        <w:rPr>
          <w:rFonts w:asciiTheme="minorBidi" w:eastAsia="Calibri" w:hAnsiTheme="minorBidi"/>
          <w:sz w:val="30"/>
          <w:szCs w:val="30"/>
        </w:rPr>
      </w:pPr>
      <w:r w:rsidRPr="00706FD5">
        <w:rPr>
          <w:rFonts w:asciiTheme="minorBidi" w:eastAsia="Calibri" w:hAnsiTheme="minorBidi"/>
          <w:sz w:val="30"/>
          <w:szCs w:val="30"/>
          <w:rtl/>
        </w:rPr>
        <w:t>التطور السريع في المعاملات الاقتصادية وصعوبة متابعتها بالفتوى والأحكام الشرعية الخاصة بها</w:t>
      </w:r>
      <w:r w:rsidRPr="00706FD5">
        <w:rPr>
          <w:rFonts w:asciiTheme="minorBidi" w:eastAsia="Calibri" w:hAnsiTheme="minorBidi"/>
          <w:sz w:val="30"/>
          <w:szCs w:val="30"/>
        </w:rPr>
        <w:t>.</w:t>
      </w:r>
    </w:p>
    <w:p w14:paraId="6A47CD46" w14:textId="24756261" w:rsidR="00706FD5" w:rsidRDefault="00706FD5" w:rsidP="00706FD5">
      <w:pPr>
        <w:numPr>
          <w:ilvl w:val="0"/>
          <w:numId w:val="16"/>
        </w:numPr>
        <w:bidi/>
        <w:spacing w:line="360" w:lineRule="auto"/>
        <w:rPr>
          <w:rFonts w:asciiTheme="minorBidi" w:eastAsia="Calibri" w:hAnsiTheme="minorBidi"/>
          <w:sz w:val="30"/>
          <w:szCs w:val="30"/>
        </w:rPr>
      </w:pPr>
      <w:r w:rsidRPr="00706FD5">
        <w:rPr>
          <w:rFonts w:asciiTheme="minorBidi" w:eastAsia="Calibri" w:hAnsiTheme="minorBidi"/>
          <w:sz w:val="30"/>
          <w:szCs w:val="30"/>
          <w:rtl/>
        </w:rPr>
        <w:t>عدم الاستجابة السريعة للقرارات الشرعية بشأن بعض التصرفات، حيث قد تعتمد الإدارة على فهم غير كامل أو متأخر للمعاملات المصرفية، مما يؤدي إلى اتخاذ قرارات غير دقيقة أو تتضمن تكييفات خاطئة للواقع العملي، وبالتالي يمكن أن يتسبب ذلك في تقديم تصرفات غير متوافقة مع الأحكام الشرعية بناءً على فتاوى غير دقيقة</w:t>
      </w:r>
      <w:r w:rsidRPr="00706FD5">
        <w:rPr>
          <w:rFonts w:asciiTheme="minorBidi" w:eastAsia="Calibri" w:hAnsiTheme="minorBidi"/>
          <w:sz w:val="30"/>
          <w:szCs w:val="30"/>
        </w:rPr>
        <w:t>.</w:t>
      </w:r>
    </w:p>
    <w:p w14:paraId="58566BA3" w14:textId="7E97F1C5" w:rsidR="007667C0" w:rsidRPr="00706FD5" w:rsidRDefault="007667C0" w:rsidP="007667C0">
      <w:pPr>
        <w:bidi/>
        <w:spacing w:line="360" w:lineRule="auto"/>
        <w:rPr>
          <w:rFonts w:asciiTheme="minorBidi" w:eastAsia="Calibri" w:hAnsiTheme="minorBidi"/>
          <w:sz w:val="30"/>
          <w:szCs w:val="30"/>
          <w:rtl/>
        </w:rPr>
      </w:pPr>
      <w:r>
        <w:rPr>
          <w:rFonts w:asciiTheme="minorBidi" w:eastAsia="Calibri" w:hAnsiTheme="minorBidi"/>
          <w:noProof/>
          <w:sz w:val="30"/>
          <w:szCs w:val="30"/>
          <w:rtl/>
          <w:lang w:val="ar-SA"/>
        </w:rPr>
        <w:drawing>
          <wp:inline distT="0" distB="0" distL="0" distR="0" wp14:anchorId="262319F7" wp14:editId="4E692F09">
            <wp:extent cx="5274310" cy="2965450"/>
            <wp:effectExtent l="0" t="0" r="2540" b="6350"/>
            <wp:docPr id="12387593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59384" name="Picture 123875938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2965450"/>
                    </a:xfrm>
                    <a:prstGeom prst="rect">
                      <a:avLst/>
                    </a:prstGeom>
                  </pic:spPr>
                </pic:pic>
              </a:graphicData>
            </a:graphic>
          </wp:inline>
        </w:drawing>
      </w:r>
    </w:p>
    <w:p w14:paraId="5B2F14A6" w14:textId="77777777" w:rsidR="00706FD5" w:rsidRPr="00706FD5" w:rsidRDefault="00706FD5" w:rsidP="00124D5E">
      <w:pPr>
        <w:pStyle w:val="Heading1"/>
        <w:bidi/>
        <w:rPr>
          <w:rFonts w:asciiTheme="minorBidi" w:eastAsia="Calibri" w:hAnsiTheme="minorBidi"/>
          <w:sz w:val="30"/>
          <w:szCs w:val="30"/>
        </w:rPr>
      </w:pPr>
      <w:bookmarkStart w:id="20" w:name="_Toc192716034"/>
      <w:r w:rsidRPr="00706FD5">
        <w:rPr>
          <w:rFonts w:asciiTheme="minorBidi" w:eastAsia="Calibri" w:hAnsiTheme="minorBidi"/>
          <w:b/>
          <w:bCs/>
          <w:sz w:val="30"/>
          <w:szCs w:val="30"/>
          <w:rtl/>
        </w:rPr>
        <w:lastRenderedPageBreak/>
        <w:t>ضيق اختصاصات الهيئة الشرعية</w:t>
      </w:r>
      <w:r w:rsidRPr="00706FD5">
        <w:rPr>
          <w:rFonts w:asciiTheme="minorBidi" w:eastAsia="Calibri" w:hAnsiTheme="minorBidi"/>
          <w:b/>
          <w:bCs/>
          <w:sz w:val="30"/>
          <w:szCs w:val="30"/>
        </w:rPr>
        <w:t>:</w:t>
      </w:r>
      <w:bookmarkEnd w:id="20"/>
    </w:p>
    <w:p w14:paraId="3838020A"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تقتصر اختصاصات الهيئة الشرعية في معظم الأحيان على إصدار الفتاوى في شكل أسئلة وأجوبة دون أن تقوم بتقويم الأخطاء أو تقديم البدائل الشرعية، مما يجعلها تقتصر على إضافة الصبغة الشرعية فقط على المصرف، وتعمل كواجهة شرعية لدعاية المصرف أمام جمهور المسلمين</w:t>
      </w:r>
      <w:r w:rsidRPr="00706FD5">
        <w:rPr>
          <w:rFonts w:asciiTheme="minorBidi" w:eastAsia="Calibri" w:hAnsiTheme="minorBidi"/>
          <w:sz w:val="30"/>
          <w:szCs w:val="30"/>
        </w:rPr>
        <w:t>.</w:t>
      </w:r>
    </w:p>
    <w:p w14:paraId="57B31C63" w14:textId="77777777" w:rsidR="00706FD5" w:rsidRPr="00706FD5" w:rsidRDefault="00706FD5" w:rsidP="00124D5E">
      <w:pPr>
        <w:pStyle w:val="Heading1"/>
        <w:bidi/>
        <w:rPr>
          <w:rFonts w:asciiTheme="minorBidi" w:eastAsia="Calibri" w:hAnsiTheme="minorBidi"/>
          <w:sz w:val="30"/>
          <w:szCs w:val="30"/>
        </w:rPr>
      </w:pPr>
      <w:bookmarkStart w:id="21" w:name="_Toc192716035"/>
      <w:r w:rsidRPr="00706FD5">
        <w:rPr>
          <w:rFonts w:asciiTheme="minorBidi" w:eastAsia="Calibri" w:hAnsiTheme="minorBidi"/>
          <w:b/>
          <w:bCs/>
          <w:sz w:val="30"/>
          <w:szCs w:val="30"/>
          <w:rtl/>
        </w:rPr>
        <w:t>واقع إلزامية الفتوى في المصارف الإسلامية</w:t>
      </w:r>
      <w:r w:rsidRPr="00706FD5">
        <w:rPr>
          <w:rFonts w:asciiTheme="minorBidi" w:eastAsia="Calibri" w:hAnsiTheme="minorBidi"/>
          <w:b/>
          <w:bCs/>
          <w:sz w:val="30"/>
          <w:szCs w:val="30"/>
        </w:rPr>
        <w:t>:</w:t>
      </w:r>
      <w:bookmarkEnd w:id="21"/>
    </w:p>
    <w:p w14:paraId="0D54EB3E"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تُعتبر الهيئة الشرعية هي الجهة التي تقود المصرف نحو الالتزام بالمعاملات المشروعة، وهي تمثل الجهة الأخيرة في العمل المصرفي الإسلامي. فالمصرف في البداية يستثمر أموال المودعين بما يعود بالنفع عليهم، وفي المرحلة الثانية يجب أن يكون هذا الاستثمار مشروعًا ومباحًا. لذا، تُعد آراء الهيئة الشرعية ملزمة للمصرف، ويجب أن تكون قرارات الهيئة قائمة على الشريعة وواجبة التطبيق، وليس مجرد مشاورات أو اقتراحات. لكن في الواقع، تبين أن 47.65% من آراء الهيئة الشرعية ملزمة، بينما 91.97% منها استشارية، و32.2% غير معلومة (المصرفيين، 1992، صفحة 206)</w:t>
      </w:r>
      <w:r w:rsidRPr="00706FD5">
        <w:rPr>
          <w:rFonts w:asciiTheme="minorBidi" w:eastAsia="Calibri" w:hAnsiTheme="minorBidi"/>
          <w:sz w:val="30"/>
          <w:szCs w:val="30"/>
        </w:rPr>
        <w:t>.</w:t>
      </w:r>
    </w:p>
    <w:p w14:paraId="0DD164DF" w14:textId="0D299AB3"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b/>
          <w:bCs/>
          <w:sz w:val="30"/>
          <w:szCs w:val="30"/>
          <w:rtl/>
        </w:rPr>
        <w:t>مخاطر السيولة</w:t>
      </w:r>
      <w:r w:rsidRPr="00706FD5">
        <w:rPr>
          <w:rFonts w:asciiTheme="minorBidi" w:eastAsia="Calibri" w:hAnsiTheme="minorBidi"/>
          <w:b/>
          <w:bCs/>
          <w:sz w:val="30"/>
          <w:szCs w:val="30"/>
        </w:rPr>
        <w:t>:</w:t>
      </w:r>
    </w:p>
    <w:p w14:paraId="35176D18"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تعني السيولة في المفهوم الاقتصادي قدرة المصرف على الوفاء بالتزاماته تجاه الغير عند استحقاقها. عادةً ما يحتاج المصرف التجاري إلى بعض الموارد السائلة أو الأصول التي يمكن تحويلها إلى نقد خلال فترة قصيرة لتدعيم قدرته على مواجهة سحب الودائع الكبيرة من قبل بعض أصحاب الحسابات. كأداة للتحكم في الائتمان، تتعرض المصارف الإسلامية لمخاطر متعددة إذا لم تلتزم بنسبة السيولة الكافية أو إذا عجزت مواردها عن تغطية التزاماتها المالية. في هذه الحالة، قد تتعرض المصارف لمخاطر متعددة تشمل توقفها عن بدء مشروعات جديدة أو الوفاء بالتزاماتها، مما يؤثر سلبًا على سمعتها وثقة المتعاملين بها</w:t>
      </w:r>
      <w:r w:rsidRPr="00706FD5">
        <w:rPr>
          <w:rFonts w:asciiTheme="minorBidi" w:eastAsia="Calibri" w:hAnsiTheme="minorBidi"/>
          <w:sz w:val="30"/>
          <w:szCs w:val="30"/>
        </w:rPr>
        <w:t>.</w:t>
      </w:r>
    </w:p>
    <w:p w14:paraId="5EC10064" w14:textId="0DAD2830"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 xml:space="preserve">عند تعثر المصرف في الوفاء بالتزاماته، قد يتجه العملاء لسحب ودائعهم، مما قد يؤدي إلى إفلاس المصرف أو عجزه عن الاستمرار في العمل. من جهة أخرى، يعتبر توجيه الموارد المالية السائلة نحو تمويل مشروعات استثمارية مستلفة أمرًا غير مستحب من </w:t>
      </w:r>
      <w:r w:rsidRPr="00706FD5">
        <w:rPr>
          <w:rFonts w:asciiTheme="minorBidi" w:eastAsia="Calibri" w:hAnsiTheme="minorBidi"/>
          <w:sz w:val="30"/>
          <w:szCs w:val="30"/>
          <w:rtl/>
        </w:rPr>
        <w:lastRenderedPageBreak/>
        <w:t>الناحية الشرعية، لأن ذلك قد يتعارض مع أحكام الشريعة التي تمنع حبس الأموال عن الاستثمار والتنمية</w:t>
      </w:r>
      <w:r w:rsidR="004065F3">
        <w:rPr>
          <w:rFonts w:asciiTheme="minorBidi" w:eastAsia="Calibri" w:hAnsiTheme="minorBidi" w:hint="cs"/>
          <w:sz w:val="30"/>
          <w:szCs w:val="30"/>
          <w:rtl/>
        </w:rPr>
        <w:t xml:space="preserve"> (</w:t>
      </w:r>
      <w:r w:rsidR="004065F3" w:rsidRPr="004065F3">
        <w:rPr>
          <w:sz w:val="32"/>
          <w:szCs w:val="32"/>
          <w:rtl/>
        </w:rPr>
        <w:t>سمحان</w:t>
      </w:r>
      <w:r w:rsidR="004065F3">
        <w:rPr>
          <w:rFonts w:hint="cs"/>
          <w:sz w:val="32"/>
          <w:szCs w:val="32"/>
          <w:rtl/>
        </w:rPr>
        <w:t xml:space="preserve">، </w:t>
      </w:r>
      <w:r w:rsidR="004065F3" w:rsidRPr="004065F3">
        <w:rPr>
          <w:sz w:val="32"/>
          <w:szCs w:val="32"/>
          <w:rtl/>
        </w:rPr>
        <w:t>2006).</w:t>
      </w:r>
    </w:p>
    <w:p w14:paraId="2D38F1E4"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لذلك، يجب على المصارف الإسلامية أن توازن بين ضرورة توفير السيولة النقدية التي تُمكنها من الوفاء بالتزاماتها وبين ضرورة توظيف فائض السيولة بما يتوافق مع الشريعة، حيث أن الخطر قد ينشأ إما من نقص السيولة أو من فائض يزيد عن الحاجة</w:t>
      </w:r>
      <w:r w:rsidRPr="00706FD5">
        <w:rPr>
          <w:rFonts w:asciiTheme="minorBidi" w:eastAsia="Calibri" w:hAnsiTheme="minorBidi"/>
          <w:sz w:val="30"/>
          <w:szCs w:val="30"/>
        </w:rPr>
        <w:t>.</w:t>
      </w:r>
    </w:p>
    <w:p w14:paraId="7CA49170" w14:textId="10206C5E" w:rsidR="00706FD5" w:rsidRPr="00706FD5" w:rsidRDefault="00706FD5" w:rsidP="00124D5E">
      <w:pPr>
        <w:pStyle w:val="Heading1"/>
        <w:bidi/>
        <w:rPr>
          <w:rFonts w:asciiTheme="minorBidi" w:eastAsia="Calibri" w:hAnsiTheme="minorBidi"/>
          <w:sz w:val="30"/>
          <w:szCs w:val="30"/>
        </w:rPr>
      </w:pPr>
      <w:bookmarkStart w:id="22" w:name="_Toc192716036"/>
      <w:r w:rsidRPr="00706FD5">
        <w:rPr>
          <w:rFonts w:asciiTheme="minorBidi" w:eastAsia="Calibri" w:hAnsiTheme="minorBidi"/>
          <w:b/>
          <w:bCs/>
          <w:sz w:val="30"/>
          <w:szCs w:val="30"/>
          <w:rtl/>
        </w:rPr>
        <w:t>مخاطر تطبيق نسبة الاحتياطي القانوني</w:t>
      </w:r>
      <w:r w:rsidRPr="00706FD5">
        <w:rPr>
          <w:rFonts w:asciiTheme="minorBidi" w:eastAsia="Calibri" w:hAnsiTheme="minorBidi"/>
          <w:b/>
          <w:bCs/>
          <w:sz w:val="30"/>
          <w:szCs w:val="30"/>
        </w:rPr>
        <w:t>:</w:t>
      </w:r>
      <w:bookmarkEnd w:id="22"/>
    </w:p>
    <w:p w14:paraId="506C7F2E" w14:textId="77777777" w:rsidR="00706FD5" w:rsidRDefault="00706FD5" w:rsidP="00706FD5">
      <w:pPr>
        <w:bidi/>
        <w:spacing w:line="360" w:lineRule="auto"/>
        <w:rPr>
          <w:rFonts w:asciiTheme="minorBidi" w:eastAsia="Calibri" w:hAnsiTheme="minorBidi"/>
          <w:sz w:val="30"/>
          <w:szCs w:val="30"/>
          <w:rtl/>
        </w:rPr>
      </w:pPr>
      <w:r w:rsidRPr="00706FD5">
        <w:rPr>
          <w:rFonts w:asciiTheme="minorBidi" w:eastAsia="Calibri" w:hAnsiTheme="minorBidi"/>
          <w:sz w:val="30"/>
          <w:szCs w:val="30"/>
          <w:rtl/>
        </w:rPr>
        <w:t>يُعد تطبيق نسبة الاحتياطي القانوني على استثمارات المصارف الإسلامية أمرًا متعارضًا مع طبيعة هذه الحسابات، حيث يتطلب الأمر إيداع الأموال في الاحتياطيات بدلاً من استثمارها عبر الأدوات التمويلية الشرعية. هذا التوجه قد يحد من قدرة المصارف الإسلامية على استثمار أموال المودعين، مما يضيع الفرص الاستثمارية ويقلل من العوائد الممكنة. إضافة إلى ذلك، تتبع المصارف الإسلامية عقد المضاربة الشرعية حيث يتعامل المصرف كأمين وليس كضامن للأموال، مما يعني أنه في حالة حدوث خسارة، لا يكون المصرف ملزمًا برد الودائع إلا في حال التقصير، ويشترك في الخسارة بنسبة مشاركته في الربح</w:t>
      </w:r>
      <w:r w:rsidRPr="00706FD5">
        <w:rPr>
          <w:rFonts w:asciiTheme="minorBidi" w:eastAsia="Calibri" w:hAnsiTheme="minorBidi"/>
          <w:sz w:val="30"/>
          <w:szCs w:val="30"/>
        </w:rPr>
        <w:t>.</w:t>
      </w:r>
    </w:p>
    <w:p w14:paraId="331A81F9" w14:textId="77777777" w:rsidR="00706FD5" w:rsidRPr="00706FD5" w:rsidRDefault="00706FD5" w:rsidP="00124D5E">
      <w:pPr>
        <w:pStyle w:val="Heading1"/>
        <w:bidi/>
        <w:rPr>
          <w:rFonts w:asciiTheme="minorBidi" w:eastAsia="Calibri" w:hAnsiTheme="minorBidi"/>
          <w:sz w:val="30"/>
          <w:szCs w:val="30"/>
        </w:rPr>
      </w:pPr>
      <w:bookmarkStart w:id="23" w:name="_Toc192716037"/>
      <w:r w:rsidRPr="00706FD5">
        <w:rPr>
          <w:rFonts w:asciiTheme="minorBidi" w:eastAsia="Calibri" w:hAnsiTheme="minorBidi"/>
          <w:b/>
          <w:bCs/>
          <w:sz w:val="30"/>
          <w:szCs w:val="30"/>
          <w:rtl/>
        </w:rPr>
        <w:t>مخاطر تجديد السقف الائتماني</w:t>
      </w:r>
      <w:r w:rsidRPr="00706FD5">
        <w:rPr>
          <w:rFonts w:asciiTheme="minorBidi" w:eastAsia="Calibri" w:hAnsiTheme="minorBidi"/>
          <w:b/>
          <w:bCs/>
          <w:sz w:val="30"/>
          <w:szCs w:val="30"/>
        </w:rPr>
        <w:t>:</w:t>
      </w:r>
      <w:bookmarkEnd w:id="23"/>
    </w:p>
    <w:p w14:paraId="1AF907AC" w14:textId="77777777" w:rsidR="00706FD5" w:rsidRDefault="00706FD5" w:rsidP="00706FD5">
      <w:pPr>
        <w:bidi/>
        <w:spacing w:line="360" w:lineRule="auto"/>
        <w:rPr>
          <w:rFonts w:asciiTheme="minorBidi" w:eastAsia="Calibri" w:hAnsiTheme="minorBidi"/>
          <w:sz w:val="30"/>
          <w:szCs w:val="30"/>
          <w:rtl/>
        </w:rPr>
      </w:pPr>
      <w:r w:rsidRPr="00706FD5">
        <w:rPr>
          <w:rFonts w:asciiTheme="minorBidi" w:eastAsia="Calibri" w:hAnsiTheme="minorBidi"/>
          <w:sz w:val="30"/>
          <w:szCs w:val="30"/>
          <w:rtl/>
        </w:rPr>
        <w:t>إن تحديد البنوك المركزية للحدود العليا والدنيا لأنواع التمويل، ضمن إطار وضع ضوابط تحكم السقوف الائتمانية، يؤدي إلى فقدان المصرف الإسلامي الفرصة للاستفادة من بدائل استثمارية جيدة. وبالتالي، يتسبب ذلك في خسارة المصرف للأرباح التي كان من الممكن تحقيقها، مما يزيد من مستوى المخاطر التي قد تواجهها المصارف الإسلامية. فبموجب السياسة النقدية للبنوك المركزية، يتعين على المصارف الإسلامية تجميد جزء من الأموال المودعة لديها، مما يعوقها عن استثمار هذه الأموال في الوقت الذي يتعين عليها فيه أن تمول وتستثمر جميع الودائع بهدف تحقيق أرباح مستدامة وتحقيق عوائد مناسبة لأصحاب الودائع</w:t>
      </w:r>
      <w:r w:rsidRPr="00706FD5">
        <w:rPr>
          <w:rFonts w:asciiTheme="minorBidi" w:eastAsia="Calibri" w:hAnsiTheme="minorBidi"/>
          <w:sz w:val="30"/>
          <w:szCs w:val="30"/>
        </w:rPr>
        <w:t>.</w:t>
      </w:r>
    </w:p>
    <w:p w14:paraId="11073F39" w14:textId="77777777" w:rsidR="007667C0" w:rsidRPr="00706FD5" w:rsidRDefault="007667C0" w:rsidP="007667C0">
      <w:pPr>
        <w:bidi/>
        <w:spacing w:line="360" w:lineRule="auto"/>
        <w:rPr>
          <w:rFonts w:asciiTheme="minorBidi" w:eastAsia="Calibri" w:hAnsiTheme="minorBidi"/>
          <w:sz w:val="30"/>
          <w:szCs w:val="30"/>
        </w:rPr>
      </w:pPr>
    </w:p>
    <w:p w14:paraId="5EA81FA2" w14:textId="46EA137C"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b/>
          <w:bCs/>
          <w:sz w:val="30"/>
          <w:szCs w:val="30"/>
          <w:rtl/>
        </w:rPr>
        <w:lastRenderedPageBreak/>
        <w:t>مخاطر أسعار الصرف</w:t>
      </w:r>
      <w:r w:rsidRPr="00706FD5">
        <w:rPr>
          <w:rFonts w:asciiTheme="minorBidi" w:eastAsia="Calibri" w:hAnsiTheme="minorBidi"/>
          <w:b/>
          <w:bCs/>
          <w:sz w:val="30"/>
          <w:szCs w:val="30"/>
        </w:rPr>
        <w:t>:</w:t>
      </w:r>
    </w:p>
    <w:p w14:paraId="72D274FF"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تواجه المصارف الإسلامية مخاطر فقدان جزء من أصولها نتيجة تحركات أسعار الصرف. رغم أن القواعد المحاسبية تُتيح بعض الشفافية في هذا المجال، فإن تقلبات الأسعار قد تؤدي إلى خسائر تؤثر على الوضع المالي للمصرف</w:t>
      </w:r>
      <w:r w:rsidRPr="00706FD5">
        <w:rPr>
          <w:rFonts w:asciiTheme="minorBidi" w:eastAsia="Calibri" w:hAnsiTheme="minorBidi"/>
          <w:sz w:val="30"/>
          <w:szCs w:val="30"/>
        </w:rPr>
        <w:t>.</w:t>
      </w:r>
    </w:p>
    <w:p w14:paraId="0EDF511A" w14:textId="1CFA64E0"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b/>
          <w:bCs/>
          <w:sz w:val="30"/>
          <w:szCs w:val="30"/>
          <w:rtl/>
        </w:rPr>
        <w:t>مخاطر التسعير</w:t>
      </w:r>
      <w:r w:rsidRPr="00706FD5">
        <w:rPr>
          <w:rFonts w:asciiTheme="minorBidi" w:eastAsia="Calibri" w:hAnsiTheme="minorBidi"/>
          <w:b/>
          <w:bCs/>
          <w:sz w:val="30"/>
          <w:szCs w:val="30"/>
        </w:rPr>
        <w:t>:</w:t>
      </w:r>
    </w:p>
    <w:p w14:paraId="28370CAB"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تنتج هذه المخاطر عن التغيرات في أسعار الأصول، وتتعامل معها محفظة الاستثمارات المالية بناءً على عوامل داخلية وخارجية، مثل الظروف الاقتصادية المحلية ومناخ الأعمال السائد في السوق. أما بالنسبة للعوامل الداخلية، فهي تشمل الهيكل التمويلي، ومدى كفاءة الأنشطة التشغيلية، والظروف الاقتصادية الخاصة بالمصرف ذاته</w:t>
      </w:r>
      <w:r w:rsidRPr="00706FD5">
        <w:rPr>
          <w:rFonts w:asciiTheme="minorBidi" w:eastAsia="Calibri" w:hAnsiTheme="minorBidi"/>
          <w:sz w:val="30"/>
          <w:szCs w:val="30"/>
        </w:rPr>
        <w:t>.</w:t>
      </w:r>
    </w:p>
    <w:p w14:paraId="62EDB4C4" w14:textId="4CFC9D45"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b/>
          <w:bCs/>
          <w:sz w:val="30"/>
          <w:szCs w:val="30"/>
          <w:rtl/>
        </w:rPr>
        <w:t>مخاطر الالتزام</w:t>
      </w:r>
      <w:r w:rsidRPr="00706FD5">
        <w:rPr>
          <w:rFonts w:asciiTheme="minorBidi" w:eastAsia="Calibri" w:hAnsiTheme="minorBidi"/>
          <w:b/>
          <w:bCs/>
          <w:sz w:val="30"/>
          <w:szCs w:val="30"/>
        </w:rPr>
        <w:t>:</w:t>
      </w:r>
    </w:p>
    <w:p w14:paraId="543CA954"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تشير هذه المخاطر إلى تعرض المصرف لعقوبات، سواء كانت مالية أو غرامات، نتيجة لمخالفات ناتجة عن ممارسة نشاط معين أو عدم الالتزام بالمعايير والأنظمة المعمول بها</w:t>
      </w:r>
      <w:r w:rsidRPr="00706FD5">
        <w:rPr>
          <w:rFonts w:asciiTheme="minorBidi" w:eastAsia="Calibri" w:hAnsiTheme="minorBidi"/>
          <w:sz w:val="30"/>
          <w:szCs w:val="30"/>
        </w:rPr>
        <w:t>.</w:t>
      </w:r>
    </w:p>
    <w:p w14:paraId="3638EB76" w14:textId="122A4D3D"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b/>
          <w:bCs/>
          <w:sz w:val="30"/>
          <w:szCs w:val="30"/>
          <w:rtl/>
        </w:rPr>
        <w:t>مخاطر الاستثمار</w:t>
      </w:r>
      <w:r w:rsidRPr="00706FD5">
        <w:rPr>
          <w:rFonts w:asciiTheme="minorBidi" w:eastAsia="Calibri" w:hAnsiTheme="minorBidi"/>
          <w:b/>
          <w:bCs/>
          <w:sz w:val="30"/>
          <w:szCs w:val="30"/>
        </w:rPr>
        <w:t>:</w:t>
      </w:r>
    </w:p>
    <w:p w14:paraId="40ADCF94"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على عكس المصارف التقليدية التي تحصل على عائد ثابت من توظيف الأموال، يعتمد المصرف الإسلامي على نتائج مشاركته مع عملائه. وبالتالي، فإن استثماراته تكون معرضة للربح والخسارة وفقًا للأداء الفعلي لهذه الاستثمارات</w:t>
      </w:r>
      <w:r w:rsidRPr="00706FD5">
        <w:rPr>
          <w:rFonts w:asciiTheme="minorBidi" w:eastAsia="Calibri" w:hAnsiTheme="minorBidi"/>
          <w:sz w:val="30"/>
          <w:szCs w:val="30"/>
        </w:rPr>
        <w:t>.</w:t>
      </w:r>
    </w:p>
    <w:p w14:paraId="67014611" w14:textId="7BE1E995" w:rsidR="00706FD5" w:rsidRPr="00706FD5" w:rsidRDefault="00706FD5" w:rsidP="00124D5E">
      <w:pPr>
        <w:pStyle w:val="Heading1"/>
        <w:bidi/>
        <w:rPr>
          <w:rFonts w:asciiTheme="minorBidi" w:eastAsia="Calibri" w:hAnsiTheme="minorBidi"/>
          <w:sz w:val="30"/>
          <w:szCs w:val="30"/>
        </w:rPr>
      </w:pPr>
      <w:bookmarkStart w:id="24" w:name="_Toc192716038"/>
      <w:r w:rsidRPr="00706FD5">
        <w:rPr>
          <w:rFonts w:asciiTheme="minorBidi" w:eastAsia="Calibri" w:hAnsiTheme="minorBidi"/>
          <w:b/>
          <w:bCs/>
          <w:sz w:val="30"/>
          <w:szCs w:val="30"/>
          <w:rtl/>
        </w:rPr>
        <w:t>مخاطر الصيرفة الإلكترونية</w:t>
      </w:r>
      <w:r w:rsidRPr="00706FD5">
        <w:rPr>
          <w:rFonts w:asciiTheme="minorBidi" w:eastAsia="Calibri" w:hAnsiTheme="minorBidi"/>
          <w:b/>
          <w:bCs/>
          <w:sz w:val="30"/>
          <w:szCs w:val="30"/>
        </w:rPr>
        <w:t>:</w:t>
      </w:r>
      <w:bookmarkEnd w:id="24"/>
    </w:p>
    <w:p w14:paraId="36E9EA32" w14:textId="77777777" w:rsidR="00706FD5" w:rsidRPr="00706FD5" w:rsidRDefault="00706FD5" w:rsidP="00706FD5">
      <w:pPr>
        <w:bidi/>
        <w:spacing w:line="360" w:lineRule="auto"/>
        <w:rPr>
          <w:rFonts w:asciiTheme="minorBidi" w:eastAsia="Calibri" w:hAnsiTheme="minorBidi"/>
          <w:sz w:val="30"/>
          <w:szCs w:val="30"/>
        </w:rPr>
      </w:pPr>
      <w:r w:rsidRPr="00706FD5">
        <w:rPr>
          <w:rFonts w:asciiTheme="minorBidi" w:eastAsia="Calibri" w:hAnsiTheme="minorBidi"/>
          <w:sz w:val="30"/>
          <w:szCs w:val="30"/>
          <w:rtl/>
        </w:rPr>
        <w:t>أدى النمو الكبير في الأنشطة المصرفية الإلكترونية إلى خلق تحديات جديدة أمام المصارف والجهات الرقابية. ذلك بسبب نقص الخبرة الكافية لدى العاملين في المصارف لمواكبة تطورات تكنولوجيا الاتصالات، بالإضافة إلى تصاعد احتمالية الاحتيال والتسلل على الشبكات المفتوحة مثل الإنترنت. هذا يعود إلى نقص الممارسات التقليدية التي كانت تضمن التحقق من هوية العميل، مما يزيد من مخاطر العمليات المصرفية الإلكترونية</w:t>
      </w:r>
      <w:r w:rsidRPr="00706FD5">
        <w:rPr>
          <w:rFonts w:asciiTheme="minorBidi" w:eastAsia="Calibri" w:hAnsiTheme="minorBidi"/>
          <w:sz w:val="30"/>
          <w:szCs w:val="30"/>
        </w:rPr>
        <w:t>.</w:t>
      </w:r>
    </w:p>
    <w:p w14:paraId="65164B55" w14:textId="24CB03D3" w:rsidR="00124D5E" w:rsidRPr="00124D5E" w:rsidRDefault="00124D5E" w:rsidP="00124D5E">
      <w:pPr>
        <w:pStyle w:val="Heading1"/>
        <w:bidi/>
        <w:rPr>
          <w:rFonts w:asciiTheme="minorBidi" w:eastAsia="Calibri" w:hAnsiTheme="minorBidi"/>
          <w:sz w:val="30"/>
          <w:szCs w:val="30"/>
        </w:rPr>
      </w:pPr>
      <w:bookmarkStart w:id="25" w:name="_Toc192716039"/>
      <w:r w:rsidRPr="00124D5E">
        <w:rPr>
          <w:rFonts w:asciiTheme="minorBidi" w:eastAsia="Calibri" w:hAnsiTheme="minorBidi"/>
          <w:b/>
          <w:bCs/>
          <w:sz w:val="30"/>
          <w:szCs w:val="30"/>
          <w:rtl/>
        </w:rPr>
        <w:lastRenderedPageBreak/>
        <w:t>تعريف خطر الائتمان ومسؤولياته</w:t>
      </w:r>
      <w:r w:rsidRPr="00124D5E">
        <w:rPr>
          <w:rFonts w:asciiTheme="minorBidi" w:eastAsia="Calibri" w:hAnsiTheme="minorBidi"/>
          <w:b/>
          <w:bCs/>
          <w:sz w:val="30"/>
          <w:szCs w:val="30"/>
        </w:rPr>
        <w:t>:</w:t>
      </w:r>
      <w:bookmarkEnd w:id="25"/>
    </w:p>
    <w:p w14:paraId="2354F377" w14:textId="1B5E7186" w:rsidR="00124D5E" w:rsidRPr="00124D5E" w:rsidRDefault="00124D5E" w:rsidP="00124D5E">
      <w:pPr>
        <w:bidi/>
        <w:spacing w:line="360" w:lineRule="auto"/>
        <w:rPr>
          <w:rFonts w:asciiTheme="minorBidi" w:eastAsia="Calibri" w:hAnsiTheme="minorBidi"/>
          <w:sz w:val="30"/>
          <w:szCs w:val="30"/>
        </w:rPr>
      </w:pPr>
      <w:r w:rsidRPr="00124D5E">
        <w:rPr>
          <w:rFonts w:asciiTheme="minorBidi" w:eastAsia="Calibri" w:hAnsiTheme="minorBidi"/>
          <w:b/>
          <w:bCs/>
          <w:sz w:val="30"/>
          <w:szCs w:val="30"/>
          <w:rtl/>
        </w:rPr>
        <w:t>تعريف خطر الائتمان</w:t>
      </w:r>
      <w:r w:rsidRPr="00124D5E">
        <w:rPr>
          <w:rFonts w:asciiTheme="minorBidi" w:eastAsia="Calibri" w:hAnsiTheme="minorBidi"/>
          <w:b/>
          <w:bCs/>
          <w:sz w:val="30"/>
          <w:szCs w:val="30"/>
        </w:rPr>
        <w:t>:</w:t>
      </w:r>
    </w:p>
    <w:p w14:paraId="0D0CF22D" w14:textId="77777777" w:rsidR="00124D5E" w:rsidRPr="00124D5E" w:rsidRDefault="00124D5E" w:rsidP="00124D5E">
      <w:pPr>
        <w:bidi/>
        <w:spacing w:line="360" w:lineRule="auto"/>
        <w:rPr>
          <w:rFonts w:asciiTheme="minorBidi" w:eastAsia="Calibri" w:hAnsiTheme="minorBidi"/>
          <w:sz w:val="30"/>
          <w:szCs w:val="30"/>
        </w:rPr>
      </w:pPr>
      <w:r w:rsidRPr="00124D5E">
        <w:rPr>
          <w:rFonts w:asciiTheme="minorBidi" w:eastAsia="Calibri" w:hAnsiTheme="minorBidi"/>
          <w:sz w:val="30"/>
          <w:szCs w:val="30"/>
          <w:rtl/>
        </w:rPr>
        <w:t>في الصناعة المالية بشكل عام، ينشأ خطر الائتمان عندما تقوم المنشأة بتقديم القروض أو الائتمان للأفراد أو القطاعات الاقتصادية المختلفة، ويصعب عليها استرجاع حقوقها (سواء كانت قروضًا أو غيرها). قد يحدث ذلك نتيجة لعدم قدرة المقترض على سداد أصل القرض وفوائده في التاريخ المحدد للاستحقاق، أو أن المقترض لديه القدرة المالية للسداد ولكن يمتنع عن ذلك لسبب ما (مثل المماطلة). وبالتالي، يتجسد خطر الائتمان في الخسائر التي قد تتحملها المنشأة بسبب عدم قدرة الطرف الآخر على السداد أو عدم وجود النية لدفع المستحقات (رضا وجودة، 1999). وعرف أحد الباحثين</w:t>
      </w:r>
      <w:r w:rsidRPr="00124D5E">
        <w:rPr>
          <w:rFonts w:asciiTheme="minorBidi" w:eastAsia="Calibri" w:hAnsiTheme="minorBidi"/>
          <w:sz w:val="30"/>
          <w:szCs w:val="30"/>
        </w:rPr>
        <w:t xml:space="preserve"> (Dubil, 2004) </w:t>
      </w:r>
      <w:r w:rsidRPr="00124D5E">
        <w:rPr>
          <w:rFonts w:asciiTheme="minorBidi" w:eastAsia="Calibri" w:hAnsiTheme="minorBidi"/>
          <w:sz w:val="30"/>
          <w:szCs w:val="30"/>
          <w:rtl/>
        </w:rPr>
        <w:t>خطر الائتمان بأنه يتعلق باحتمالية عدم سداد التدفقات النقدية الموعودة</w:t>
      </w:r>
      <w:r w:rsidRPr="00124D5E">
        <w:rPr>
          <w:rFonts w:asciiTheme="minorBidi" w:eastAsia="Calibri" w:hAnsiTheme="minorBidi"/>
          <w:sz w:val="30"/>
          <w:szCs w:val="30"/>
        </w:rPr>
        <w:t>.</w:t>
      </w:r>
    </w:p>
    <w:p w14:paraId="44B368F0" w14:textId="77777777" w:rsidR="00124D5E" w:rsidRPr="00124D5E" w:rsidRDefault="00124D5E" w:rsidP="00124D5E">
      <w:pPr>
        <w:bidi/>
        <w:spacing w:line="360" w:lineRule="auto"/>
        <w:rPr>
          <w:rFonts w:asciiTheme="minorBidi" w:eastAsia="Calibri" w:hAnsiTheme="minorBidi"/>
          <w:sz w:val="30"/>
          <w:szCs w:val="30"/>
        </w:rPr>
      </w:pPr>
      <w:r w:rsidRPr="00124D5E">
        <w:rPr>
          <w:rFonts w:asciiTheme="minorBidi" w:eastAsia="Calibri" w:hAnsiTheme="minorBidi"/>
          <w:sz w:val="30"/>
          <w:szCs w:val="30"/>
          <w:rtl/>
        </w:rPr>
        <w:t>بشكل عام، يتأثر تأثير خطر الائتمان بعاملين رئيسيين</w:t>
      </w:r>
      <w:r w:rsidRPr="00124D5E">
        <w:rPr>
          <w:rFonts w:asciiTheme="minorBidi" w:eastAsia="Calibri" w:hAnsiTheme="minorBidi"/>
          <w:sz w:val="30"/>
          <w:szCs w:val="30"/>
        </w:rPr>
        <w:t>:</w:t>
      </w:r>
    </w:p>
    <w:p w14:paraId="31CD88B1" w14:textId="77777777" w:rsidR="00124D5E" w:rsidRPr="00124D5E" w:rsidRDefault="00124D5E" w:rsidP="00124D5E">
      <w:pPr>
        <w:numPr>
          <w:ilvl w:val="0"/>
          <w:numId w:val="18"/>
        </w:numPr>
        <w:bidi/>
        <w:spacing w:line="360" w:lineRule="auto"/>
        <w:rPr>
          <w:rFonts w:asciiTheme="minorBidi" w:eastAsia="Calibri" w:hAnsiTheme="minorBidi"/>
          <w:sz w:val="30"/>
          <w:szCs w:val="30"/>
        </w:rPr>
      </w:pPr>
      <w:r w:rsidRPr="00124D5E">
        <w:rPr>
          <w:rFonts w:asciiTheme="minorBidi" w:eastAsia="Calibri" w:hAnsiTheme="minorBidi"/>
          <w:sz w:val="30"/>
          <w:szCs w:val="30"/>
          <w:rtl/>
        </w:rPr>
        <w:t>قيمة التدفقات النقدية التي من المتوقع الحصول عليها</w:t>
      </w:r>
      <w:r w:rsidRPr="00124D5E">
        <w:rPr>
          <w:rFonts w:asciiTheme="minorBidi" w:eastAsia="Calibri" w:hAnsiTheme="minorBidi"/>
          <w:sz w:val="30"/>
          <w:szCs w:val="30"/>
        </w:rPr>
        <w:t>.</w:t>
      </w:r>
    </w:p>
    <w:p w14:paraId="3501CF69" w14:textId="77777777" w:rsidR="00124D5E" w:rsidRPr="00124D5E" w:rsidRDefault="00124D5E" w:rsidP="00124D5E">
      <w:pPr>
        <w:numPr>
          <w:ilvl w:val="0"/>
          <w:numId w:val="18"/>
        </w:numPr>
        <w:bidi/>
        <w:spacing w:line="360" w:lineRule="auto"/>
        <w:rPr>
          <w:rFonts w:asciiTheme="minorBidi" w:eastAsia="Calibri" w:hAnsiTheme="minorBidi"/>
          <w:sz w:val="30"/>
          <w:szCs w:val="30"/>
        </w:rPr>
      </w:pPr>
      <w:r w:rsidRPr="00124D5E">
        <w:rPr>
          <w:rFonts w:asciiTheme="minorBidi" w:eastAsia="Calibri" w:hAnsiTheme="minorBidi"/>
          <w:sz w:val="30"/>
          <w:szCs w:val="30"/>
          <w:rtl/>
        </w:rPr>
        <w:t>احتمال إتمام المعاملة من قبل الطرف الآخر</w:t>
      </w:r>
      <w:r w:rsidRPr="00124D5E">
        <w:rPr>
          <w:rFonts w:asciiTheme="minorBidi" w:eastAsia="Calibri" w:hAnsiTheme="minorBidi"/>
          <w:sz w:val="30"/>
          <w:szCs w:val="30"/>
        </w:rPr>
        <w:t>.</w:t>
      </w:r>
    </w:p>
    <w:p w14:paraId="217EB235" w14:textId="77777777" w:rsidR="00124D5E" w:rsidRPr="00124D5E" w:rsidRDefault="00124D5E" w:rsidP="00124D5E">
      <w:pPr>
        <w:bidi/>
        <w:spacing w:line="360" w:lineRule="auto"/>
        <w:rPr>
          <w:rFonts w:asciiTheme="minorBidi" w:eastAsia="Calibri" w:hAnsiTheme="minorBidi"/>
          <w:sz w:val="30"/>
          <w:szCs w:val="30"/>
        </w:rPr>
      </w:pPr>
      <w:r w:rsidRPr="00124D5E">
        <w:rPr>
          <w:rFonts w:asciiTheme="minorBidi" w:eastAsia="Calibri" w:hAnsiTheme="minorBidi"/>
          <w:sz w:val="30"/>
          <w:szCs w:val="30"/>
          <w:rtl/>
        </w:rPr>
        <w:t>لا يقتصر خطر الائتمان على القروض فقط، بل يمتد إلى كافة الأصول الأخرى المدرجة في الميزانية العامة أو خارجها، مثل الضمانات والقبولات المصرفية والمشتقات المالية. وقد تنشأ مشاكل خطيرة نتيجة التقصير في تصنيف وتحديد بعض الأصول غير الفعالة، مما يتطلب تخصيص احتياطي لمواجهتها وإيقاف احتساب العوائد المتعلقة بها</w:t>
      </w:r>
      <w:r w:rsidRPr="00124D5E">
        <w:rPr>
          <w:rFonts w:asciiTheme="minorBidi" w:eastAsia="Calibri" w:hAnsiTheme="minorBidi"/>
          <w:sz w:val="30"/>
          <w:szCs w:val="30"/>
        </w:rPr>
        <w:t>.</w:t>
      </w:r>
    </w:p>
    <w:p w14:paraId="14876489" w14:textId="77777777" w:rsidR="00124D5E" w:rsidRDefault="00124D5E" w:rsidP="00124D5E">
      <w:pPr>
        <w:bidi/>
        <w:spacing w:line="360" w:lineRule="auto"/>
        <w:rPr>
          <w:rFonts w:asciiTheme="minorBidi" w:eastAsia="Calibri" w:hAnsiTheme="minorBidi"/>
          <w:sz w:val="30"/>
          <w:szCs w:val="30"/>
          <w:rtl/>
        </w:rPr>
      </w:pPr>
      <w:r w:rsidRPr="00124D5E">
        <w:rPr>
          <w:rFonts w:asciiTheme="minorBidi" w:eastAsia="Calibri" w:hAnsiTheme="minorBidi"/>
          <w:sz w:val="30"/>
          <w:szCs w:val="30"/>
          <w:rtl/>
        </w:rPr>
        <w:t>وبإجمال، يعتبر خطر الائتمان نوعًا من المخاطر التي تركز على الخسارة والمستقبل. هذه المخاطر لا تقتصر على نوع معين من القروض، بل يمكن أن تشمل جميع أنواع القروض التي تقدمها المؤسسة (سواء كانت مالية أو تجارية)، بدرجات متفاوتة. كما أن هذا الخطر لا يتعلق فقط بتقديم القروض (أو الائتمان)، بل يمتد حتى الانتهاء من عملية تحصيل المبلغ بالكامل</w:t>
      </w:r>
      <w:r w:rsidRPr="00124D5E">
        <w:rPr>
          <w:rFonts w:asciiTheme="minorBidi" w:eastAsia="Calibri" w:hAnsiTheme="minorBidi"/>
          <w:sz w:val="30"/>
          <w:szCs w:val="30"/>
        </w:rPr>
        <w:t>.</w:t>
      </w:r>
    </w:p>
    <w:p w14:paraId="5152A3D5" w14:textId="77777777" w:rsidR="007667C0" w:rsidRDefault="007667C0" w:rsidP="007667C0">
      <w:pPr>
        <w:bidi/>
        <w:spacing w:line="360" w:lineRule="auto"/>
        <w:rPr>
          <w:rFonts w:asciiTheme="minorBidi" w:eastAsia="Calibri" w:hAnsiTheme="minorBidi"/>
          <w:sz w:val="30"/>
          <w:szCs w:val="30"/>
          <w:rtl/>
        </w:rPr>
      </w:pPr>
    </w:p>
    <w:p w14:paraId="1AEC29B4" w14:textId="77777777" w:rsidR="007667C0" w:rsidRPr="00124D5E" w:rsidRDefault="007667C0" w:rsidP="007667C0">
      <w:pPr>
        <w:bidi/>
        <w:spacing w:line="360" w:lineRule="auto"/>
        <w:rPr>
          <w:rFonts w:asciiTheme="minorBidi" w:eastAsia="Calibri" w:hAnsiTheme="minorBidi"/>
          <w:sz w:val="30"/>
          <w:szCs w:val="30"/>
        </w:rPr>
      </w:pPr>
    </w:p>
    <w:p w14:paraId="2928A7F9" w14:textId="1135DA2E" w:rsidR="00124D5E" w:rsidRPr="00124D5E" w:rsidRDefault="00124D5E" w:rsidP="00124D5E">
      <w:pPr>
        <w:bidi/>
        <w:spacing w:line="360" w:lineRule="auto"/>
        <w:rPr>
          <w:rFonts w:asciiTheme="minorBidi" w:eastAsia="Calibri" w:hAnsiTheme="minorBidi"/>
          <w:sz w:val="30"/>
          <w:szCs w:val="30"/>
        </w:rPr>
      </w:pPr>
      <w:r w:rsidRPr="00124D5E">
        <w:rPr>
          <w:rFonts w:asciiTheme="minorBidi" w:eastAsia="Calibri" w:hAnsiTheme="minorBidi"/>
          <w:b/>
          <w:bCs/>
          <w:sz w:val="30"/>
          <w:szCs w:val="30"/>
          <w:rtl/>
        </w:rPr>
        <w:lastRenderedPageBreak/>
        <w:t>أسباب خطر الائتمان</w:t>
      </w:r>
      <w:r w:rsidRPr="00124D5E">
        <w:rPr>
          <w:rFonts w:asciiTheme="minorBidi" w:eastAsia="Calibri" w:hAnsiTheme="minorBidi"/>
          <w:b/>
          <w:bCs/>
          <w:sz w:val="30"/>
          <w:szCs w:val="30"/>
        </w:rPr>
        <w:t>:</w:t>
      </w:r>
    </w:p>
    <w:p w14:paraId="17C0CAE2" w14:textId="77777777" w:rsidR="00124D5E" w:rsidRPr="00124D5E" w:rsidRDefault="00124D5E" w:rsidP="00124D5E">
      <w:pPr>
        <w:bidi/>
        <w:spacing w:line="360" w:lineRule="auto"/>
        <w:rPr>
          <w:rFonts w:asciiTheme="minorBidi" w:eastAsia="Calibri" w:hAnsiTheme="minorBidi"/>
          <w:sz w:val="30"/>
          <w:szCs w:val="30"/>
        </w:rPr>
      </w:pPr>
      <w:r w:rsidRPr="00124D5E">
        <w:rPr>
          <w:rFonts w:asciiTheme="minorBidi" w:eastAsia="Calibri" w:hAnsiTheme="minorBidi"/>
          <w:sz w:val="30"/>
          <w:szCs w:val="30"/>
          <w:rtl/>
        </w:rPr>
        <w:t>قد تنشأ المخاطر الائتمانية نتيجة لخلل في العملية الائتمانية بعد إتمام العقد، سواء كان ذلك في المبلغ الائتماني (مثل القرض والفوائد)، أو في توقيتات السداد. يُعتبر تأخر المدين عن السداد نوعًا من المخاطر الائتمانية. فالمخاطر الائتمانية تمثل خسارة محتملة تؤثر على المقرض ولا تضر المقترض، وبالتالي فهي تؤثر على أي شخص يقوم بمنح قرض، سواء كان بنكًا أو مؤسسة مالية أو منشأة تجارية تقوم بالبيع بالأجل</w:t>
      </w:r>
      <w:r w:rsidRPr="00124D5E">
        <w:rPr>
          <w:rFonts w:asciiTheme="minorBidi" w:eastAsia="Calibri" w:hAnsiTheme="minorBidi"/>
          <w:sz w:val="30"/>
          <w:szCs w:val="30"/>
        </w:rPr>
        <w:t>.</w:t>
      </w:r>
    </w:p>
    <w:p w14:paraId="5A340842" w14:textId="77777777" w:rsidR="00124D5E" w:rsidRDefault="00124D5E" w:rsidP="00124D5E">
      <w:pPr>
        <w:bidi/>
        <w:spacing w:line="360" w:lineRule="auto"/>
        <w:rPr>
          <w:rFonts w:asciiTheme="minorBidi" w:eastAsia="Calibri" w:hAnsiTheme="minorBidi"/>
          <w:sz w:val="30"/>
          <w:szCs w:val="30"/>
          <w:rtl/>
        </w:rPr>
      </w:pPr>
      <w:r w:rsidRPr="00124D5E">
        <w:rPr>
          <w:rFonts w:asciiTheme="minorBidi" w:eastAsia="Calibri" w:hAnsiTheme="minorBidi"/>
          <w:sz w:val="30"/>
          <w:szCs w:val="30"/>
          <w:rtl/>
        </w:rPr>
        <w:t>السبب الرئيس وراء المخاطر الائتمانية هو المقترض، إما لعدم قدرته على السداد أو لعدم التزامه بذلك. ولا تختلف المخاطر الائتمانية سواء كان المقترض شخصًا حكوميًا أو غير حكومي، حيث أن القروض المقدمة إلى منشآت الدولة تحمل أيضًا مخاطر ائتمانية. رغم أن بعض الأشخاص يشيرون إلى أن القروض الموجهة للحكومة لا تحتوي على مخاطر، باعتبار أن الحكومة لا يمكن أن تمتنع عن سداد القروض</w:t>
      </w:r>
      <w:r w:rsidRPr="00124D5E">
        <w:rPr>
          <w:rFonts w:asciiTheme="minorBidi" w:eastAsia="Calibri" w:hAnsiTheme="minorBidi"/>
          <w:sz w:val="30"/>
          <w:szCs w:val="30"/>
        </w:rPr>
        <w:t>.</w:t>
      </w:r>
    </w:p>
    <w:p w14:paraId="755FCED0" w14:textId="1A4EB756" w:rsidR="007667C0" w:rsidRPr="00124D5E" w:rsidRDefault="007667C0" w:rsidP="007667C0">
      <w:pPr>
        <w:bidi/>
        <w:spacing w:line="360" w:lineRule="auto"/>
        <w:rPr>
          <w:rFonts w:asciiTheme="minorBidi" w:eastAsia="Calibri" w:hAnsiTheme="minorBidi"/>
          <w:sz w:val="30"/>
          <w:szCs w:val="30"/>
        </w:rPr>
      </w:pPr>
      <w:r>
        <w:rPr>
          <w:rFonts w:asciiTheme="minorBidi" w:eastAsia="Calibri" w:hAnsiTheme="minorBidi"/>
          <w:noProof/>
          <w:sz w:val="30"/>
          <w:szCs w:val="30"/>
        </w:rPr>
        <w:drawing>
          <wp:inline distT="0" distB="0" distL="0" distR="0" wp14:anchorId="58DC26B2" wp14:editId="4A0B5D3C">
            <wp:extent cx="5274310" cy="3192145"/>
            <wp:effectExtent l="0" t="0" r="2540" b="8255"/>
            <wp:docPr id="10728224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822422" name="Picture 1072822422"/>
                    <pic:cNvPicPr/>
                  </pic:nvPicPr>
                  <pic:blipFill>
                    <a:blip r:embed="rId13">
                      <a:extLst>
                        <a:ext uri="{28A0092B-C50C-407E-A947-70E740481C1C}">
                          <a14:useLocalDpi xmlns:a14="http://schemas.microsoft.com/office/drawing/2010/main" val="0"/>
                        </a:ext>
                      </a:extLst>
                    </a:blip>
                    <a:stretch>
                      <a:fillRect/>
                    </a:stretch>
                  </pic:blipFill>
                  <pic:spPr>
                    <a:xfrm>
                      <a:off x="0" y="0"/>
                      <a:ext cx="5274310" cy="3192145"/>
                    </a:xfrm>
                    <a:prstGeom prst="rect">
                      <a:avLst/>
                    </a:prstGeom>
                  </pic:spPr>
                </pic:pic>
              </a:graphicData>
            </a:graphic>
          </wp:inline>
        </w:drawing>
      </w:r>
    </w:p>
    <w:p w14:paraId="3F7BADB4" w14:textId="77777777" w:rsidR="00124D5E" w:rsidRPr="00124D5E" w:rsidRDefault="00124D5E" w:rsidP="00124D5E">
      <w:pPr>
        <w:pStyle w:val="Heading1"/>
        <w:bidi/>
        <w:rPr>
          <w:rFonts w:asciiTheme="minorBidi" w:eastAsia="Calibri" w:hAnsiTheme="minorBidi"/>
          <w:sz w:val="30"/>
          <w:szCs w:val="30"/>
        </w:rPr>
      </w:pPr>
      <w:bookmarkStart w:id="26" w:name="_Toc192716040"/>
      <w:r w:rsidRPr="00124D5E">
        <w:rPr>
          <w:rFonts w:asciiTheme="minorBidi" w:eastAsia="Calibri" w:hAnsiTheme="minorBidi"/>
          <w:b/>
          <w:bCs/>
          <w:sz w:val="30"/>
          <w:szCs w:val="30"/>
          <w:rtl/>
        </w:rPr>
        <w:t>أنواع خطر الائتمان</w:t>
      </w:r>
      <w:r w:rsidRPr="00124D5E">
        <w:rPr>
          <w:rFonts w:asciiTheme="minorBidi" w:eastAsia="Calibri" w:hAnsiTheme="minorBidi"/>
          <w:b/>
          <w:bCs/>
          <w:sz w:val="30"/>
          <w:szCs w:val="30"/>
        </w:rPr>
        <w:t>:</w:t>
      </w:r>
      <w:bookmarkEnd w:id="26"/>
    </w:p>
    <w:p w14:paraId="06C3A81D" w14:textId="59FFC889" w:rsidR="00124D5E" w:rsidRPr="00124D5E" w:rsidRDefault="00124D5E" w:rsidP="00124D5E">
      <w:pPr>
        <w:bidi/>
        <w:spacing w:line="360" w:lineRule="auto"/>
        <w:rPr>
          <w:rFonts w:asciiTheme="minorBidi" w:eastAsia="Calibri" w:hAnsiTheme="minorBidi"/>
          <w:sz w:val="30"/>
          <w:szCs w:val="30"/>
        </w:rPr>
      </w:pPr>
      <w:r w:rsidRPr="00124D5E">
        <w:rPr>
          <w:rFonts w:asciiTheme="minorBidi" w:eastAsia="Calibri" w:hAnsiTheme="minorBidi"/>
          <w:b/>
          <w:bCs/>
          <w:sz w:val="30"/>
          <w:szCs w:val="30"/>
          <w:rtl/>
        </w:rPr>
        <w:t>الائتمان التجاري</w:t>
      </w:r>
      <w:r w:rsidRPr="00124D5E">
        <w:rPr>
          <w:rFonts w:asciiTheme="minorBidi" w:eastAsia="Calibri" w:hAnsiTheme="minorBidi"/>
          <w:b/>
          <w:bCs/>
          <w:sz w:val="30"/>
          <w:szCs w:val="30"/>
        </w:rPr>
        <w:t>:</w:t>
      </w:r>
    </w:p>
    <w:p w14:paraId="1B150C39" w14:textId="77777777" w:rsidR="00124D5E" w:rsidRPr="00124D5E" w:rsidRDefault="00124D5E" w:rsidP="00124D5E">
      <w:pPr>
        <w:bidi/>
        <w:spacing w:line="360" w:lineRule="auto"/>
        <w:rPr>
          <w:rFonts w:asciiTheme="minorBidi" w:eastAsia="Calibri" w:hAnsiTheme="minorBidi"/>
          <w:sz w:val="30"/>
          <w:szCs w:val="30"/>
        </w:rPr>
      </w:pPr>
      <w:r w:rsidRPr="00124D5E">
        <w:rPr>
          <w:rFonts w:asciiTheme="minorBidi" w:eastAsia="Calibri" w:hAnsiTheme="minorBidi"/>
          <w:sz w:val="30"/>
          <w:szCs w:val="30"/>
          <w:rtl/>
        </w:rPr>
        <w:lastRenderedPageBreak/>
        <w:t>تمنح بعض المؤسسات التجارية ائتمانًا تجاريًا لعملائها، ويعد هذا النوع من الائتمان أحد أوجه التمويل الذي تحصل عليه المنشآت من الموردين. يتضمن الائتمان التجاري المشتريات الآجلة للسلع التي يتاجر فيها العميل، حيث يمكنه شراء السلع على الحساب دون دفع المبلغ مقدمًا، ولكن يقوم بتسديده في وقت لاحق. عادةً ما تمنح الشركات التي تقدم الائتمان التجاري فترة 30 أو 60 أو 90 يومًا للدفع، ويتم تسجيل المعاملة من خلال فاتورة. هنا، يتحمل البائع (المؤسسة التي تقدم الائتمان التجاري) خطر الائتمان، الذي يتمثل في احتمال تأخر المشتري عن السداد أو حتى عجزه الكلي عن السداد</w:t>
      </w:r>
      <w:r w:rsidRPr="00124D5E">
        <w:rPr>
          <w:rFonts w:asciiTheme="minorBidi" w:eastAsia="Calibri" w:hAnsiTheme="minorBidi"/>
          <w:sz w:val="30"/>
          <w:szCs w:val="30"/>
        </w:rPr>
        <w:t>.</w:t>
      </w:r>
    </w:p>
    <w:p w14:paraId="11829637" w14:textId="44BD27F4" w:rsidR="00124D5E" w:rsidRPr="00124D5E" w:rsidRDefault="00124D5E" w:rsidP="00124D5E">
      <w:pPr>
        <w:bidi/>
        <w:spacing w:line="360" w:lineRule="auto"/>
        <w:rPr>
          <w:rFonts w:asciiTheme="minorBidi" w:eastAsia="Calibri" w:hAnsiTheme="minorBidi"/>
          <w:sz w:val="30"/>
          <w:szCs w:val="30"/>
        </w:rPr>
      </w:pPr>
      <w:r w:rsidRPr="00124D5E">
        <w:rPr>
          <w:rFonts w:asciiTheme="minorBidi" w:eastAsia="Calibri" w:hAnsiTheme="minorBidi"/>
          <w:b/>
          <w:bCs/>
          <w:sz w:val="30"/>
          <w:szCs w:val="30"/>
          <w:rtl/>
        </w:rPr>
        <w:t>حمزة محمود الزبيري</w:t>
      </w:r>
      <w:r w:rsidRPr="00124D5E">
        <w:rPr>
          <w:rFonts w:asciiTheme="minorBidi" w:eastAsia="Calibri" w:hAnsiTheme="minorBidi"/>
          <w:b/>
          <w:bCs/>
          <w:sz w:val="30"/>
          <w:szCs w:val="30"/>
        </w:rPr>
        <w:t>.</w:t>
      </w:r>
      <w:r w:rsidRPr="00124D5E">
        <w:rPr>
          <w:rFonts w:asciiTheme="minorBidi" w:eastAsia="Calibri" w:hAnsiTheme="minorBidi"/>
          <w:sz w:val="30"/>
          <w:szCs w:val="30"/>
        </w:rPr>
        <w:t xml:space="preserve"> (2000). "</w:t>
      </w:r>
      <w:r w:rsidRPr="00124D5E">
        <w:rPr>
          <w:rFonts w:asciiTheme="minorBidi" w:eastAsia="Calibri" w:hAnsiTheme="minorBidi"/>
          <w:sz w:val="30"/>
          <w:szCs w:val="30"/>
          <w:rtl/>
        </w:rPr>
        <w:t>إدارة المصارف: استراتيجية تعبئة الودائع وتقديم الائتمان" (الطبعة الأولى). مؤسسة الوراق، عمان، ص. 210. وقد واجهت بعض الدول مشكلات تتعلق بعدم القدرة على السداد، مثل أزمة الأرجنتين في 2002 أو أزمة اليونان في 2012</w:t>
      </w:r>
      <w:r w:rsidRPr="00124D5E">
        <w:rPr>
          <w:rFonts w:asciiTheme="minorBidi" w:eastAsia="Calibri" w:hAnsiTheme="minorBidi"/>
          <w:sz w:val="30"/>
          <w:szCs w:val="30"/>
        </w:rPr>
        <w:t>.</w:t>
      </w:r>
    </w:p>
    <w:p w14:paraId="59C97599" w14:textId="77777777" w:rsidR="00124D5E" w:rsidRPr="00124D5E" w:rsidRDefault="00124D5E" w:rsidP="00124D5E">
      <w:pPr>
        <w:pStyle w:val="Heading1"/>
        <w:bidi/>
        <w:rPr>
          <w:rFonts w:asciiTheme="minorBidi" w:eastAsia="Calibri" w:hAnsiTheme="minorBidi"/>
          <w:sz w:val="30"/>
          <w:szCs w:val="30"/>
        </w:rPr>
      </w:pPr>
      <w:bookmarkStart w:id="27" w:name="_Toc192716041"/>
      <w:r w:rsidRPr="00124D5E">
        <w:rPr>
          <w:rFonts w:asciiTheme="minorBidi" w:eastAsia="Calibri" w:hAnsiTheme="minorBidi"/>
          <w:b/>
          <w:bCs/>
          <w:sz w:val="30"/>
          <w:szCs w:val="30"/>
          <w:rtl/>
        </w:rPr>
        <w:t>أنواع أخرى من مخاطر الائتمان</w:t>
      </w:r>
      <w:r w:rsidRPr="00124D5E">
        <w:rPr>
          <w:rFonts w:asciiTheme="minorBidi" w:eastAsia="Calibri" w:hAnsiTheme="minorBidi"/>
          <w:b/>
          <w:bCs/>
          <w:sz w:val="30"/>
          <w:szCs w:val="30"/>
        </w:rPr>
        <w:t>:</w:t>
      </w:r>
      <w:bookmarkEnd w:id="27"/>
    </w:p>
    <w:p w14:paraId="20B16293" w14:textId="77777777" w:rsidR="00124D5E" w:rsidRPr="00124D5E" w:rsidRDefault="00124D5E" w:rsidP="00124D5E">
      <w:pPr>
        <w:numPr>
          <w:ilvl w:val="0"/>
          <w:numId w:val="19"/>
        </w:numPr>
        <w:bidi/>
        <w:spacing w:line="360" w:lineRule="auto"/>
        <w:rPr>
          <w:rFonts w:asciiTheme="minorBidi" w:eastAsia="Calibri" w:hAnsiTheme="minorBidi"/>
          <w:sz w:val="30"/>
          <w:szCs w:val="30"/>
        </w:rPr>
      </w:pPr>
      <w:r w:rsidRPr="00124D5E">
        <w:rPr>
          <w:rFonts w:asciiTheme="minorBidi" w:eastAsia="Calibri" w:hAnsiTheme="minorBidi"/>
          <w:b/>
          <w:bCs/>
          <w:sz w:val="30"/>
          <w:szCs w:val="30"/>
          <w:rtl/>
        </w:rPr>
        <w:t>المخاطر السيادية</w:t>
      </w:r>
      <w:r w:rsidRPr="00124D5E">
        <w:rPr>
          <w:rFonts w:asciiTheme="minorBidi" w:eastAsia="Calibri" w:hAnsiTheme="minorBidi"/>
          <w:b/>
          <w:bCs/>
          <w:sz w:val="30"/>
          <w:szCs w:val="30"/>
        </w:rPr>
        <w:t xml:space="preserve"> (Sovereign Risk):</w:t>
      </w:r>
      <w:r w:rsidRPr="00124D5E">
        <w:rPr>
          <w:rFonts w:asciiTheme="minorBidi" w:eastAsia="Calibri" w:hAnsiTheme="minorBidi"/>
          <w:sz w:val="30"/>
          <w:szCs w:val="30"/>
        </w:rPr>
        <w:t xml:space="preserve"> </w:t>
      </w:r>
      <w:r w:rsidRPr="00124D5E">
        <w:rPr>
          <w:rFonts w:asciiTheme="minorBidi" w:eastAsia="Calibri" w:hAnsiTheme="minorBidi"/>
          <w:sz w:val="30"/>
          <w:szCs w:val="30"/>
          <w:rtl/>
        </w:rPr>
        <w:t>تشير هذه المخاطر إلى عدم قدرة أو رغبة الحكومة أو البنك المركزي في الوفاء بالتزاماتها التعاقدية</w:t>
      </w:r>
      <w:r w:rsidRPr="00124D5E">
        <w:rPr>
          <w:rFonts w:asciiTheme="minorBidi" w:eastAsia="Calibri" w:hAnsiTheme="minorBidi"/>
          <w:sz w:val="30"/>
          <w:szCs w:val="30"/>
        </w:rPr>
        <w:t>.</w:t>
      </w:r>
    </w:p>
    <w:p w14:paraId="501F5BC5" w14:textId="77777777" w:rsidR="00124D5E" w:rsidRPr="00124D5E" w:rsidRDefault="00124D5E" w:rsidP="00124D5E">
      <w:pPr>
        <w:numPr>
          <w:ilvl w:val="0"/>
          <w:numId w:val="19"/>
        </w:numPr>
        <w:bidi/>
        <w:spacing w:line="360" w:lineRule="auto"/>
        <w:rPr>
          <w:rFonts w:asciiTheme="minorBidi" w:eastAsia="Calibri" w:hAnsiTheme="minorBidi"/>
          <w:sz w:val="30"/>
          <w:szCs w:val="30"/>
        </w:rPr>
      </w:pPr>
      <w:r w:rsidRPr="00124D5E">
        <w:rPr>
          <w:rFonts w:asciiTheme="minorBidi" w:eastAsia="Calibri" w:hAnsiTheme="minorBidi"/>
          <w:b/>
          <w:bCs/>
          <w:sz w:val="30"/>
          <w:szCs w:val="30"/>
          <w:rtl/>
        </w:rPr>
        <w:t>مخاطر التركيز</w:t>
      </w:r>
      <w:r w:rsidRPr="00124D5E">
        <w:rPr>
          <w:rFonts w:asciiTheme="minorBidi" w:eastAsia="Calibri" w:hAnsiTheme="minorBidi"/>
          <w:b/>
          <w:bCs/>
          <w:sz w:val="30"/>
          <w:szCs w:val="30"/>
        </w:rPr>
        <w:t xml:space="preserve"> (Concentration Risk):</w:t>
      </w:r>
      <w:r w:rsidRPr="00124D5E">
        <w:rPr>
          <w:rFonts w:asciiTheme="minorBidi" w:eastAsia="Calibri" w:hAnsiTheme="minorBidi"/>
          <w:sz w:val="30"/>
          <w:szCs w:val="30"/>
        </w:rPr>
        <w:t xml:space="preserve"> </w:t>
      </w:r>
      <w:r w:rsidRPr="00124D5E">
        <w:rPr>
          <w:rFonts w:asciiTheme="minorBidi" w:eastAsia="Calibri" w:hAnsiTheme="minorBidi"/>
          <w:sz w:val="30"/>
          <w:szCs w:val="30"/>
          <w:rtl/>
        </w:rPr>
        <w:t>تحدث هذه المخاطر عندما تتركز المعاملات في يد شخص أو مجموعة أشخاص مرتبطين اقتصاديًا أو في منطقة جغرافية أو قطاع اقتصادي محدد، مما قد يسبب خسائر كبيرة تهدد العمليات الأساسية للبنك</w:t>
      </w:r>
      <w:r w:rsidRPr="00124D5E">
        <w:rPr>
          <w:rFonts w:asciiTheme="minorBidi" w:eastAsia="Calibri" w:hAnsiTheme="minorBidi"/>
          <w:sz w:val="30"/>
          <w:szCs w:val="30"/>
        </w:rPr>
        <w:t>.</w:t>
      </w:r>
    </w:p>
    <w:p w14:paraId="5E108183" w14:textId="77777777" w:rsidR="00124D5E" w:rsidRPr="00124D5E" w:rsidRDefault="00124D5E" w:rsidP="00124D5E">
      <w:pPr>
        <w:numPr>
          <w:ilvl w:val="0"/>
          <w:numId w:val="19"/>
        </w:numPr>
        <w:bidi/>
        <w:spacing w:line="360" w:lineRule="auto"/>
        <w:rPr>
          <w:rFonts w:asciiTheme="minorBidi" w:eastAsia="Calibri" w:hAnsiTheme="minorBidi"/>
          <w:sz w:val="30"/>
          <w:szCs w:val="30"/>
        </w:rPr>
      </w:pPr>
      <w:r w:rsidRPr="00124D5E">
        <w:rPr>
          <w:rFonts w:asciiTheme="minorBidi" w:eastAsia="Calibri" w:hAnsiTheme="minorBidi"/>
          <w:b/>
          <w:bCs/>
          <w:sz w:val="30"/>
          <w:szCs w:val="30"/>
          <w:rtl/>
        </w:rPr>
        <w:t>مخاطر التسوية</w:t>
      </w:r>
      <w:r w:rsidRPr="00124D5E">
        <w:rPr>
          <w:rFonts w:asciiTheme="minorBidi" w:eastAsia="Calibri" w:hAnsiTheme="minorBidi"/>
          <w:b/>
          <w:bCs/>
          <w:sz w:val="30"/>
          <w:szCs w:val="30"/>
        </w:rPr>
        <w:t xml:space="preserve"> (Settlement Risk):</w:t>
      </w:r>
      <w:r w:rsidRPr="00124D5E">
        <w:rPr>
          <w:rFonts w:asciiTheme="minorBidi" w:eastAsia="Calibri" w:hAnsiTheme="minorBidi"/>
          <w:sz w:val="30"/>
          <w:szCs w:val="30"/>
        </w:rPr>
        <w:t xml:space="preserve"> </w:t>
      </w:r>
      <w:r w:rsidRPr="00124D5E">
        <w:rPr>
          <w:rFonts w:asciiTheme="minorBidi" w:eastAsia="Calibri" w:hAnsiTheme="minorBidi"/>
          <w:sz w:val="30"/>
          <w:szCs w:val="30"/>
          <w:rtl/>
        </w:rPr>
        <w:t>تنشأ هذه المخاطر عندما لا يتم تسوية الصفقة وفقًا للشروط المتفق عليها. على سبيل المثال، في تداول السندات، يحدث التسليم عادة بعد يومين من الاتفاق على التجارة والدفع، ويمكن أن تكون المخاطر مرتبطة بعدم تسليم الأوراق المالية في الوقت المحدد</w:t>
      </w:r>
      <w:r w:rsidRPr="00124D5E">
        <w:rPr>
          <w:rFonts w:asciiTheme="minorBidi" w:eastAsia="Calibri" w:hAnsiTheme="minorBidi"/>
          <w:sz w:val="30"/>
          <w:szCs w:val="30"/>
        </w:rPr>
        <w:t>.</w:t>
      </w:r>
    </w:p>
    <w:p w14:paraId="3A455C7A" w14:textId="77777777" w:rsidR="00124D5E" w:rsidRPr="00124D5E" w:rsidRDefault="00124D5E" w:rsidP="00124D5E">
      <w:pPr>
        <w:numPr>
          <w:ilvl w:val="0"/>
          <w:numId w:val="19"/>
        </w:numPr>
        <w:bidi/>
        <w:spacing w:line="360" w:lineRule="auto"/>
        <w:rPr>
          <w:rFonts w:asciiTheme="minorBidi" w:eastAsia="Calibri" w:hAnsiTheme="minorBidi"/>
          <w:sz w:val="30"/>
          <w:szCs w:val="30"/>
        </w:rPr>
      </w:pPr>
      <w:r w:rsidRPr="00124D5E">
        <w:rPr>
          <w:rFonts w:asciiTheme="minorBidi" w:eastAsia="Calibri" w:hAnsiTheme="minorBidi"/>
          <w:b/>
          <w:bCs/>
          <w:sz w:val="30"/>
          <w:szCs w:val="30"/>
          <w:rtl/>
        </w:rPr>
        <w:lastRenderedPageBreak/>
        <w:t>مخاطر الطرف المقابل</w:t>
      </w:r>
      <w:r w:rsidRPr="00124D5E">
        <w:rPr>
          <w:rFonts w:asciiTheme="minorBidi" w:eastAsia="Calibri" w:hAnsiTheme="minorBidi"/>
          <w:b/>
          <w:bCs/>
          <w:sz w:val="30"/>
          <w:szCs w:val="30"/>
        </w:rPr>
        <w:t xml:space="preserve"> (Counterparty Risk):</w:t>
      </w:r>
      <w:r w:rsidRPr="00124D5E">
        <w:rPr>
          <w:rFonts w:asciiTheme="minorBidi" w:eastAsia="Calibri" w:hAnsiTheme="minorBidi"/>
          <w:sz w:val="30"/>
          <w:szCs w:val="30"/>
        </w:rPr>
        <w:t xml:space="preserve"> </w:t>
      </w:r>
      <w:r w:rsidRPr="00124D5E">
        <w:rPr>
          <w:rFonts w:asciiTheme="minorBidi" w:eastAsia="Calibri" w:hAnsiTheme="minorBidi"/>
          <w:sz w:val="30"/>
          <w:szCs w:val="30"/>
          <w:rtl/>
        </w:rPr>
        <w:t>هي المخاطر المرتبطة بمركز في أداة تداولية، مثل الحالة التي لا يفي فيها الطرف المقابل بالتزامه عندما يكون هناك خيار ربح</w:t>
      </w:r>
      <w:r w:rsidRPr="00124D5E">
        <w:rPr>
          <w:rFonts w:asciiTheme="minorBidi" w:eastAsia="Calibri" w:hAnsiTheme="minorBidi"/>
          <w:sz w:val="30"/>
          <w:szCs w:val="30"/>
        </w:rPr>
        <w:t xml:space="preserve"> (In-The-Money) </w:t>
      </w:r>
      <w:r w:rsidRPr="00124D5E">
        <w:rPr>
          <w:rFonts w:asciiTheme="minorBidi" w:eastAsia="Calibri" w:hAnsiTheme="minorBidi"/>
          <w:sz w:val="30"/>
          <w:szCs w:val="30"/>
          <w:rtl/>
        </w:rPr>
        <w:t>في وقت استحقاقه</w:t>
      </w:r>
      <w:r w:rsidRPr="00124D5E">
        <w:rPr>
          <w:rFonts w:asciiTheme="minorBidi" w:eastAsia="Calibri" w:hAnsiTheme="minorBidi"/>
          <w:sz w:val="30"/>
          <w:szCs w:val="30"/>
        </w:rPr>
        <w:t>.</w:t>
      </w:r>
    </w:p>
    <w:p w14:paraId="11F97EA7" w14:textId="77777777" w:rsidR="00124D5E" w:rsidRPr="00124D5E" w:rsidRDefault="00124D5E" w:rsidP="00124D5E">
      <w:pPr>
        <w:pStyle w:val="Heading1"/>
        <w:bidi/>
        <w:rPr>
          <w:rFonts w:asciiTheme="minorBidi" w:eastAsia="Calibri" w:hAnsiTheme="minorBidi"/>
          <w:sz w:val="30"/>
          <w:szCs w:val="30"/>
        </w:rPr>
      </w:pPr>
      <w:bookmarkStart w:id="28" w:name="_Toc192716042"/>
      <w:r w:rsidRPr="00124D5E">
        <w:rPr>
          <w:rFonts w:asciiTheme="minorBidi" w:eastAsia="Calibri" w:hAnsiTheme="minorBidi"/>
          <w:b/>
          <w:bCs/>
          <w:sz w:val="30"/>
          <w:szCs w:val="30"/>
          <w:rtl/>
        </w:rPr>
        <w:t>مخاطر الائتمان ومصدرها</w:t>
      </w:r>
      <w:r w:rsidRPr="00124D5E">
        <w:rPr>
          <w:rFonts w:asciiTheme="minorBidi" w:eastAsia="Calibri" w:hAnsiTheme="minorBidi"/>
          <w:b/>
          <w:bCs/>
          <w:sz w:val="30"/>
          <w:szCs w:val="30"/>
        </w:rPr>
        <w:t>:</w:t>
      </w:r>
      <w:bookmarkEnd w:id="28"/>
    </w:p>
    <w:p w14:paraId="6B7BA380" w14:textId="77777777" w:rsidR="00124D5E" w:rsidRDefault="00124D5E" w:rsidP="00124D5E">
      <w:pPr>
        <w:bidi/>
        <w:spacing w:line="360" w:lineRule="auto"/>
        <w:rPr>
          <w:rFonts w:asciiTheme="minorBidi" w:eastAsia="Calibri" w:hAnsiTheme="minorBidi"/>
          <w:sz w:val="30"/>
          <w:szCs w:val="30"/>
          <w:rtl/>
        </w:rPr>
      </w:pPr>
      <w:r w:rsidRPr="00124D5E">
        <w:rPr>
          <w:rFonts w:asciiTheme="minorBidi" w:eastAsia="Calibri" w:hAnsiTheme="minorBidi"/>
          <w:sz w:val="30"/>
          <w:szCs w:val="30"/>
          <w:rtl/>
        </w:rPr>
        <w:t>لا يرتبط خطر الائتمان فقط بالصناعة المصرفية، بل ينشأ في أي معاملة تتأخر فيها إحدى الأطراف (سواء الثمن أو السلعة)، حيث يعتبر خطرًا ائتمانيًا. بمعنى آخر، ينشأ خطر الائتمان عندما يتم منح الائتمان. ينقسم الائتمان إلى نوعين رئيسيين</w:t>
      </w:r>
      <w:r w:rsidRPr="00124D5E">
        <w:rPr>
          <w:rFonts w:asciiTheme="minorBidi" w:eastAsia="Calibri" w:hAnsiTheme="minorBidi"/>
          <w:sz w:val="30"/>
          <w:szCs w:val="30"/>
        </w:rPr>
        <w:t>:</w:t>
      </w:r>
    </w:p>
    <w:p w14:paraId="6360D0B2" w14:textId="16961EAE" w:rsidR="00124D5E" w:rsidRPr="00124D5E" w:rsidRDefault="00124D5E" w:rsidP="00124D5E">
      <w:pPr>
        <w:bidi/>
        <w:spacing w:line="360" w:lineRule="auto"/>
        <w:rPr>
          <w:rFonts w:asciiTheme="minorBidi" w:eastAsia="Calibri" w:hAnsiTheme="minorBidi"/>
          <w:sz w:val="30"/>
          <w:szCs w:val="30"/>
        </w:rPr>
      </w:pPr>
      <w:r w:rsidRPr="00124D5E">
        <w:rPr>
          <w:rFonts w:asciiTheme="minorBidi" w:eastAsia="Calibri" w:hAnsiTheme="minorBidi"/>
          <w:b/>
          <w:bCs/>
          <w:sz w:val="30"/>
          <w:szCs w:val="30"/>
          <w:rtl/>
        </w:rPr>
        <w:t>الائتمان المصرفي</w:t>
      </w:r>
      <w:r w:rsidRPr="00124D5E">
        <w:rPr>
          <w:rFonts w:asciiTheme="minorBidi" w:eastAsia="Calibri" w:hAnsiTheme="minorBidi"/>
          <w:b/>
          <w:bCs/>
          <w:sz w:val="30"/>
          <w:szCs w:val="30"/>
        </w:rPr>
        <w:t xml:space="preserve"> (Bank Credit):</w:t>
      </w:r>
      <w:r>
        <w:rPr>
          <w:rFonts w:asciiTheme="minorBidi" w:eastAsia="Calibri" w:hAnsiTheme="minorBidi"/>
          <w:sz w:val="30"/>
          <w:szCs w:val="30"/>
        </w:rPr>
        <w:t xml:space="preserve"> </w:t>
      </w:r>
      <w:r w:rsidRPr="00124D5E">
        <w:rPr>
          <w:rFonts w:asciiTheme="minorBidi" w:eastAsia="Calibri" w:hAnsiTheme="minorBidi"/>
          <w:sz w:val="30"/>
          <w:szCs w:val="30"/>
          <w:rtl/>
        </w:rPr>
        <w:t>يعرف الائتمان المصرفي على أنه الثقة التي يمنحها المصرف التجاري لشخص ما من خلال وضع مبلغ من المال تحت تصرفه أو ضمانه لفترة محددة وفقًا للاتفاق بين الطرفين. في نهاية المدة، يقوم المقترض بالوفاء بالتزاماته مقابل عائد محدد يتضمن الفوائد والعمولات. يشمل التسهيل الائتماني إما</w:t>
      </w:r>
      <w:r w:rsidRPr="00124D5E">
        <w:rPr>
          <w:rFonts w:asciiTheme="minorBidi" w:eastAsia="Calibri" w:hAnsiTheme="minorBidi"/>
          <w:sz w:val="30"/>
          <w:szCs w:val="30"/>
        </w:rPr>
        <w:t>:</w:t>
      </w:r>
    </w:p>
    <w:p w14:paraId="1433306E" w14:textId="77777777" w:rsidR="00124D5E" w:rsidRPr="00124D5E" w:rsidRDefault="00124D5E" w:rsidP="00124D5E">
      <w:pPr>
        <w:numPr>
          <w:ilvl w:val="0"/>
          <w:numId w:val="20"/>
        </w:numPr>
        <w:bidi/>
        <w:spacing w:line="360" w:lineRule="auto"/>
        <w:rPr>
          <w:rFonts w:asciiTheme="minorBidi" w:eastAsia="Calibri" w:hAnsiTheme="minorBidi"/>
          <w:sz w:val="30"/>
          <w:szCs w:val="30"/>
        </w:rPr>
      </w:pPr>
      <w:r w:rsidRPr="00124D5E">
        <w:rPr>
          <w:rFonts w:asciiTheme="minorBidi" w:eastAsia="Calibri" w:hAnsiTheme="minorBidi"/>
          <w:sz w:val="30"/>
          <w:szCs w:val="30"/>
          <w:rtl/>
        </w:rPr>
        <w:t>مبلغًا محددًا من المال يضعه المصرف تحت تصرف العميل لاستخدامه في غرض محدد وبالضمانات المتفق عليها خلال مدة معينة</w:t>
      </w:r>
      <w:r w:rsidRPr="00124D5E">
        <w:rPr>
          <w:rFonts w:asciiTheme="minorBidi" w:eastAsia="Calibri" w:hAnsiTheme="minorBidi"/>
          <w:sz w:val="30"/>
          <w:szCs w:val="30"/>
        </w:rPr>
        <w:t>.</w:t>
      </w:r>
    </w:p>
    <w:p w14:paraId="0AD5B7CB" w14:textId="77777777" w:rsidR="00124D5E" w:rsidRPr="00124D5E" w:rsidRDefault="00124D5E" w:rsidP="00124D5E">
      <w:pPr>
        <w:numPr>
          <w:ilvl w:val="0"/>
          <w:numId w:val="20"/>
        </w:numPr>
        <w:bidi/>
        <w:spacing w:line="360" w:lineRule="auto"/>
        <w:rPr>
          <w:rFonts w:asciiTheme="minorBidi" w:eastAsia="Calibri" w:hAnsiTheme="minorBidi"/>
          <w:sz w:val="30"/>
          <w:szCs w:val="30"/>
        </w:rPr>
      </w:pPr>
      <w:r w:rsidRPr="00124D5E">
        <w:rPr>
          <w:rFonts w:asciiTheme="minorBidi" w:eastAsia="Calibri" w:hAnsiTheme="minorBidi"/>
          <w:sz w:val="30"/>
          <w:szCs w:val="30"/>
          <w:rtl/>
        </w:rPr>
        <w:t>تعهد من المصرف لصالح طرف آخر بناءً على طلب العميل ولأجل معين، مثل خطاب الضمان الذي يلتزم المصرف فيه بدفع قيمته للمستفيد عند أول طلب</w:t>
      </w:r>
      <w:r w:rsidRPr="00124D5E">
        <w:rPr>
          <w:rFonts w:asciiTheme="minorBidi" w:eastAsia="Calibri" w:hAnsiTheme="minorBidi"/>
          <w:sz w:val="30"/>
          <w:szCs w:val="30"/>
        </w:rPr>
        <w:t>.</w:t>
      </w:r>
    </w:p>
    <w:p w14:paraId="43F89354" w14:textId="09315B38" w:rsidR="00124D5E" w:rsidRPr="00124D5E" w:rsidRDefault="00124D5E" w:rsidP="00124D5E">
      <w:pPr>
        <w:bidi/>
        <w:spacing w:line="360" w:lineRule="auto"/>
        <w:rPr>
          <w:rFonts w:asciiTheme="minorBidi" w:eastAsia="Calibri" w:hAnsiTheme="minorBidi"/>
          <w:sz w:val="30"/>
          <w:szCs w:val="30"/>
        </w:rPr>
      </w:pPr>
      <w:r w:rsidRPr="00124D5E">
        <w:rPr>
          <w:rFonts w:asciiTheme="minorBidi" w:eastAsia="Calibri" w:hAnsiTheme="minorBidi"/>
          <w:b/>
          <w:bCs/>
          <w:sz w:val="30"/>
          <w:szCs w:val="30"/>
          <w:rtl/>
        </w:rPr>
        <w:t>الائتمان التجاري</w:t>
      </w:r>
      <w:r w:rsidRPr="00124D5E">
        <w:rPr>
          <w:rFonts w:asciiTheme="minorBidi" w:eastAsia="Calibri" w:hAnsiTheme="minorBidi"/>
          <w:b/>
          <w:bCs/>
          <w:sz w:val="30"/>
          <w:szCs w:val="30"/>
        </w:rPr>
        <w:t xml:space="preserve"> (Trade Credit):</w:t>
      </w:r>
      <w:r>
        <w:rPr>
          <w:rFonts w:asciiTheme="minorBidi" w:eastAsia="Calibri" w:hAnsiTheme="minorBidi"/>
          <w:sz w:val="30"/>
          <w:szCs w:val="30"/>
        </w:rPr>
        <w:t xml:space="preserve"> </w:t>
      </w:r>
      <w:r w:rsidRPr="00124D5E">
        <w:rPr>
          <w:rFonts w:asciiTheme="minorBidi" w:eastAsia="Calibri" w:hAnsiTheme="minorBidi"/>
          <w:sz w:val="30"/>
          <w:szCs w:val="30"/>
          <w:rtl/>
        </w:rPr>
        <w:t>يعد الائتمان التجاري شكلاً من أشكال التمويل قصير الأجل الذي يحصل عليه العميل من الموردين. في هذا النوع، يمكن للعميل شراء السلع على الحساب ودفع قيمتها في وقت لاحق. وعادةً ما تكون فترة السداد 30 أو 60 أو 90 يومًا، ويقوم البائع بتسجيل المعاملة من خلال فاتورة. في هذه الحالة، يتحمل البائع خطر الائتمان، حيث قد يتعرض لخسارة إذا تأخر المشتري عن السداد أو عجز عن دفع المبلغ المستحق</w:t>
      </w:r>
      <w:r w:rsidRPr="00124D5E">
        <w:rPr>
          <w:rFonts w:asciiTheme="minorBidi" w:eastAsia="Calibri" w:hAnsiTheme="minorBidi"/>
          <w:sz w:val="30"/>
          <w:szCs w:val="30"/>
        </w:rPr>
        <w:t>.</w:t>
      </w:r>
    </w:p>
    <w:p w14:paraId="73411986" w14:textId="45853355" w:rsidR="00124D5E" w:rsidRPr="00124D5E" w:rsidRDefault="00124D5E" w:rsidP="00124D5E">
      <w:pPr>
        <w:pStyle w:val="Heading1"/>
        <w:bidi/>
        <w:rPr>
          <w:rFonts w:asciiTheme="minorBidi" w:eastAsia="Calibri" w:hAnsiTheme="minorBidi"/>
          <w:sz w:val="30"/>
          <w:szCs w:val="30"/>
        </w:rPr>
      </w:pPr>
      <w:bookmarkStart w:id="29" w:name="_Toc192716043"/>
      <w:r w:rsidRPr="00124D5E">
        <w:rPr>
          <w:rFonts w:asciiTheme="minorBidi" w:eastAsia="Calibri" w:hAnsiTheme="minorBidi"/>
          <w:b/>
          <w:bCs/>
          <w:sz w:val="30"/>
          <w:szCs w:val="30"/>
          <w:rtl/>
        </w:rPr>
        <w:lastRenderedPageBreak/>
        <w:t>أهمية تقدير وقياس وإدارة خطر الائتمان</w:t>
      </w:r>
      <w:r w:rsidRPr="00124D5E">
        <w:rPr>
          <w:rFonts w:asciiTheme="minorBidi" w:eastAsia="Calibri" w:hAnsiTheme="minorBidi"/>
          <w:b/>
          <w:bCs/>
          <w:sz w:val="30"/>
          <w:szCs w:val="30"/>
        </w:rPr>
        <w:t>:</w:t>
      </w:r>
      <w:bookmarkEnd w:id="29"/>
    </w:p>
    <w:p w14:paraId="1277DA78" w14:textId="39A62580" w:rsidR="00124D5E" w:rsidRPr="00124D5E" w:rsidRDefault="00124D5E" w:rsidP="00124D5E">
      <w:pPr>
        <w:bidi/>
        <w:spacing w:line="360" w:lineRule="auto"/>
        <w:rPr>
          <w:rFonts w:asciiTheme="minorBidi" w:eastAsia="Calibri" w:hAnsiTheme="minorBidi"/>
          <w:sz w:val="30"/>
          <w:szCs w:val="30"/>
        </w:rPr>
      </w:pPr>
      <w:r w:rsidRPr="00124D5E">
        <w:rPr>
          <w:rFonts w:asciiTheme="minorBidi" w:eastAsia="Calibri" w:hAnsiTheme="minorBidi"/>
          <w:sz w:val="30"/>
          <w:szCs w:val="30"/>
          <w:rtl/>
        </w:rPr>
        <w:t>الوظيفة الأساسية للبنك هي قبول الودائع ومنح الائتمان. بينما تلتزم البنوك برد أموال المودعين، إلا أنها لا تستطيع ضمان أن القروض التي تمنحها ستكون قابلة للاسترداد وفي مواعيدها المحددة. وبالتالي، يعد خطر الائتمان جزءًا لا يتجزأ من الصناعة المصرفية ولا يمكن تجنبه. وقد طورت الصناعة العديد من الأساليب والتقنيات للتعامل مع هذا الخطر، ومن أبرز هذه التطورات وكالات التصنيف الائتماني، بالإضافة إلى نماذج وأدوات متقدمة لقياس التعرضات للمخاطر الائتمانية في مختلف المنتجات المالية</w:t>
      </w:r>
      <w:r w:rsidRPr="00124D5E">
        <w:rPr>
          <w:rFonts w:asciiTheme="minorBidi" w:eastAsia="Calibri" w:hAnsiTheme="minorBidi"/>
          <w:sz w:val="30"/>
          <w:szCs w:val="30"/>
        </w:rPr>
        <w:t>.</w:t>
      </w:r>
      <w:r>
        <w:rPr>
          <w:rFonts w:asciiTheme="minorBidi" w:eastAsia="Calibri" w:hAnsiTheme="minorBidi" w:hint="cs"/>
          <w:sz w:val="30"/>
          <w:szCs w:val="30"/>
          <w:rtl/>
        </w:rPr>
        <w:t xml:space="preserve"> </w:t>
      </w:r>
      <w:r w:rsidRPr="00124D5E">
        <w:rPr>
          <w:rFonts w:asciiTheme="minorBidi" w:eastAsia="Calibri" w:hAnsiTheme="minorBidi"/>
          <w:sz w:val="30"/>
          <w:szCs w:val="30"/>
          <w:rtl/>
        </w:rPr>
        <w:t>ومع ذلك، كشفت الأزمة المالية العالمية عن أوجه القصور الكبيرة في قياس ونمذجة المخاطر، مما أثار مخاوف واسعة بشأن قدرة البنوك والمؤسسات الأخرى على قياس التعرض الائتماني بدقة. على سبيل المثال، أظهرت الأزمة المالية أن البنوك ووكالات التصنيف لم تعتمد فقط على تقديرات خاطئة لمخاطر التخلف عن السداد، بل قللت أيضًا من تقدير احتمال ارتباط التخلف عن السداد في بيئة اقتصادية مضطربة. كما بينت الأزمة أيضًا أن استخدام نماذج قياس المخاطر البسيطة كان غير واقعي، حيث لم تكن قادرة على التعامل مع تعقيد منتجات الائتمان المهيكلة</w:t>
      </w:r>
      <w:r w:rsidRPr="00124D5E">
        <w:rPr>
          <w:rFonts w:asciiTheme="minorBidi" w:eastAsia="Calibri" w:hAnsiTheme="minorBidi"/>
          <w:sz w:val="30"/>
          <w:szCs w:val="30"/>
        </w:rPr>
        <w:t>.</w:t>
      </w:r>
    </w:p>
    <w:p w14:paraId="0DB213F3" w14:textId="7301CC8B" w:rsidR="00FE74A6" w:rsidRPr="00124D5E" w:rsidRDefault="00124D5E" w:rsidP="00124D5E">
      <w:pPr>
        <w:bidi/>
        <w:spacing w:line="360" w:lineRule="auto"/>
        <w:rPr>
          <w:rFonts w:asciiTheme="minorBidi" w:eastAsia="Calibri" w:hAnsiTheme="minorBidi"/>
          <w:sz w:val="30"/>
          <w:szCs w:val="30"/>
          <w:rtl/>
        </w:rPr>
      </w:pPr>
      <w:r>
        <w:rPr>
          <w:rFonts w:asciiTheme="minorBidi" w:eastAsia="Calibri" w:hAnsiTheme="minorBidi" w:hint="cs"/>
          <w:sz w:val="30"/>
          <w:szCs w:val="30"/>
          <w:rtl/>
        </w:rPr>
        <w:t>و</w:t>
      </w:r>
      <w:r w:rsidRPr="00124D5E">
        <w:rPr>
          <w:rFonts w:asciiTheme="minorBidi" w:eastAsia="Calibri" w:hAnsiTheme="minorBidi"/>
          <w:sz w:val="30"/>
          <w:szCs w:val="30"/>
          <w:rtl/>
        </w:rPr>
        <w:t>لا يمكن تحميل البنوك المسؤولية الكاملة عن هذه الإخفاقات، فتصميم نماذج قياس خطر الائتمان ليس مهمة سهلة. على سبيل المثال، يتم تقدير حجم التعرض الائتماني بناءً على فترة زمنية مستقبلية، إلا أن هذا التعرض قد يختلف بشكل كبير عن التعرض الحالي. ويرجع ذلك إلى أن بعض المنتجات تتضمن مخاطر ائتمانية مشروطة، بينما يتغير التعرض في بعض الحالات تبعًا لظروف السوق</w:t>
      </w:r>
      <w:r w:rsidRPr="00124D5E">
        <w:rPr>
          <w:rFonts w:asciiTheme="minorBidi" w:eastAsia="Calibri" w:hAnsiTheme="minorBidi"/>
          <w:sz w:val="30"/>
          <w:szCs w:val="30"/>
        </w:rPr>
        <w:t>.</w:t>
      </w:r>
      <w:r>
        <w:rPr>
          <w:rFonts w:asciiTheme="minorBidi" w:eastAsia="Calibri" w:hAnsiTheme="minorBidi" w:hint="cs"/>
          <w:sz w:val="30"/>
          <w:szCs w:val="30"/>
          <w:rtl/>
        </w:rPr>
        <w:t xml:space="preserve"> </w:t>
      </w:r>
      <w:r w:rsidRPr="00124D5E">
        <w:rPr>
          <w:rFonts w:asciiTheme="minorBidi" w:eastAsia="Calibri" w:hAnsiTheme="minorBidi"/>
          <w:sz w:val="30"/>
          <w:szCs w:val="30"/>
          <w:rtl/>
        </w:rPr>
        <w:t>على الرغم من هذه التعقيدات، يظل القياس الفعال لمخاطر الائتمان عنصرًا حاسمًا في إدارة المخاطر، بالإضافة إلى كونه ضروريًا لاستقرار المؤسسات المالية على المستوى الجزئي وكذلك النظام المالي ككل</w:t>
      </w:r>
      <w:r w:rsidRPr="00124D5E">
        <w:rPr>
          <w:rFonts w:asciiTheme="minorBidi" w:eastAsia="Calibri" w:hAnsiTheme="minorBidi"/>
          <w:sz w:val="30"/>
          <w:szCs w:val="30"/>
        </w:rPr>
        <w:t>.</w:t>
      </w:r>
    </w:p>
    <w:p w14:paraId="7488A721" w14:textId="77777777" w:rsidR="00FE74A6" w:rsidRPr="00FE74A6" w:rsidRDefault="00FE74A6" w:rsidP="00124D5E">
      <w:pPr>
        <w:pStyle w:val="Heading1"/>
        <w:bidi/>
        <w:rPr>
          <w:b/>
          <w:bCs/>
          <w:sz w:val="32"/>
          <w:szCs w:val="32"/>
        </w:rPr>
      </w:pPr>
      <w:bookmarkStart w:id="30" w:name="_Toc192716044"/>
      <w:r w:rsidRPr="00FE74A6">
        <w:rPr>
          <w:b/>
          <w:bCs/>
          <w:sz w:val="32"/>
          <w:szCs w:val="32"/>
          <w:rtl/>
        </w:rPr>
        <w:t>تعريف بطاقات الائتمان</w:t>
      </w:r>
      <w:bookmarkEnd w:id="30"/>
    </w:p>
    <w:p w14:paraId="39808E6E" w14:textId="77777777" w:rsidR="00FE74A6" w:rsidRPr="00FE74A6" w:rsidRDefault="00FE74A6" w:rsidP="00B52B99">
      <w:pPr>
        <w:bidi/>
        <w:spacing w:line="276" w:lineRule="auto"/>
        <w:rPr>
          <w:sz w:val="32"/>
          <w:szCs w:val="32"/>
          <w:rtl/>
        </w:rPr>
      </w:pPr>
      <w:r w:rsidRPr="00FE74A6">
        <w:rPr>
          <w:sz w:val="32"/>
          <w:szCs w:val="32"/>
          <w:rtl/>
        </w:rPr>
        <w:t>يطلق على بطاقات الائتمان مصطلح النقود البلاستيكية، و هي بطاقة خاصة يصدرها المصرف لعميله لكى تمكنه من الحصول على السلع و الخدمات من محلات و أماكن معينة عند تقديمه لهذه البطاقة الخاصة</w:t>
      </w:r>
      <w:r w:rsidRPr="00FE74A6">
        <w:rPr>
          <w:rFonts w:hint="cs"/>
          <w:sz w:val="32"/>
          <w:szCs w:val="32"/>
          <w:rtl/>
        </w:rPr>
        <w:t xml:space="preserve"> (</w:t>
      </w:r>
      <w:r w:rsidRPr="00FE74A6">
        <w:rPr>
          <w:sz w:val="32"/>
          <w:szCs w:val="32"/>
          <w:rtl/>
        </w:rPr>
        <w:t>منصور</w:t>
      </w:r>
      <w:r w:rsidRPr="00FE74A6">
        <w:rPr>
          <w:rFonts w:hint="cs"/>
          <w:sz w:val="32"/>
          <w:szCs w:val="32"/>
          <w:rtl/>
        </w:rPr>
        <w:t>، 2007م).</w:t>
      </w:r>
    </w:p>
    <w:p w14:paraId="13E4EC1A" w14:textId="77777777" w:rsidR="00FE74A6" w:rsidRPr="00FE74A6" w:rsidRDefault="00FE74A6" w:rsidP="00B52B99">
      <w:pPr>
        <w:bidi/>
        <w:spacing w:line="276" w:lineRule="auto"/>
        <w:rPr>
          <w:sz w:val="32"/>
          <w:szCs w:val="32"/>
          <w:rtl/>
        </w:rPr>
      </w:pPr>
      <w:r w:rsidRPr="00FE74A6">
        <w:rPr>
          <w:sz w:val="32"/>
          <w:szCs w:val="32"/>
          <w:rtl/>
        </w:rPr>
        <w:lastRenderedPageBreak/>
        <w:t>و تقوم هذه الوسيلة على أن إحدى المؤسسات المالية أو شركات الاستثمار تصدر بطاقات مصنعة ذات تصميم عالي التقنية، ويصعب العبث بها، و يمكن لحاملها أن يقدمها للبائع عندما يشتري بعض السلع ليقوم هذا الأخير بتدوين</w:t>
      </w:r>
      <w:r w:rsidRPr="00FE74A6">
        <w:rPr>
          <w:rFonts w:hint="cs"/>
          <w:sz w:val="32"/>
          <w:szCs w:val="32"/>
          <w:rtl/>
        </w:rPr>
        <w:t xml:space="preserve"> </w:t>
      </w:r>
      <w:r w:rsidRPr="00FE74A6">
        <w:rPr>
          <w:sz w:val="32"/>
          <w:szCs w:val="32"/>
          <w:rtl/>
        </w:rPr>
        <w:t>بيانات البطاقة على فاتورة يصدرها و يوقعها حامل البطاقة لترسل إلى البنك كمعتمد لتلك البطاقة ليتم الوفاء بالمشتريات</w:t>
      </w:r>
      <w:r w:rsidRPr="00FE74A6">
        <w:rPr>
          <w:sz w:val="32"/>
          <w:szCs w:val="32"/>
        </w:rPr>
        <w:t xml:space="preserve"> </w:t>
      </w:r>
      <w:bookmarkStart w:id="31" w:name="_ftnref16"/>
      <w:bookmarkEnd w:id="31"/>
      <w:r w:rsidRPr="00FE74A6">
        <w:rPr>
          <w:rFonts w:hint="cs"/>
          <w:sz w:val="32"/>
          <w:szCs w:val="32"/>
          <w:rtl/>
        </w:rPr>
        <w:t>(الكيلاني، 2004م).</w:t>
      </w:r>
      <w:r w:rsidRPr="00FE74A6">
        <w:rPr>
          <w:sz w:val="32"/>
          <w:szCs w:val="32"/>
        </w:rPr>
        <w:t xml:space="preserve"> </w:t>
      </w:r>
      <w:r w:rsidRPr="00FE74A6">
        <w:rPr>
          <w:rFonts w:hint="cs"/>
          <w:sz w:val="32"/>
          <w:szCs w:val="32"/>
          <w:rtl/>
        </w:rPr>
        <w:t>وعرفت</w:t>
      </w:r>
      <w:r w:rsidRPr="00FE74A6">
        <w:rPr>
          <w:sz w:val="32"/>
          <w:szCs w:val="32"/>
          <w:rtl/>
        </w:rPr>
        <w:t xml:space="preserve"> بأنها " عقد بين المصدر للبطاقة وبين الحامل لها، يتضمن حدا أقصـى الائتمـان وشـروط العلاقة بينهما، فالمصرف تعهد بإعطاء ما يشتريه عميلة بالبطاقة وفي مقابل ذلك تعهـد حامل البطاقة ( العميل ) بالسداد في وقت محدد " ( أبو غدة، 1412ه: 4)</w:t>
      </w:r>
      <w:r w:rsidRPr="00FE74A6">
        <w:rPr>
          <w:sz w:val="32"/>
          <w:szCs w:val="32"/>
        </w:rPr>
        <w:t xml:space="preserve">  </w:t>
      </w:r>
    </w:p>
    <w:p w14:paraId="504268A0" w14:textId="77777777" w:rsidR="00FE74A6" w:rsidRPr="00FE74A6" w:rsidRDefault="00FE74A6" w:rsidP="00B52B99">
      <w:pPr>
        <w:bidi/>
        <w:spacing w:line="276" w:lineRule="auto"/>
        <w:rPr>
          <w:sz w:val="32"/>
          <w:szCs w:val="32"/>
          <w:rtl/>
        </w:rPr>
      </w:pPr>
      <w:r w:rsidRPr="00FE74A6">
        <w:rPr>
          <w:sz w:val="32"/>
          <w:szCs w:val="32"/>
          <w:rtl/>
        </w:rPr>
        <w:t>كما عرفت بأنها " هي مستند من ورق سميك مسطح أو بلاستيكي، يصدره المصرف  أو غيـره لحامله، وعليه بعض البيانات الخاصة بحاملة، والجهة المصدرة للبطاقة، وهـي مصـرف أو مؤسسة مالية تقوم بإصدار البطاقة بناء على ترخيص معتمـد مـن المنظمـة العالميـة لهـذ</w:t>
      </w:r>
      <w:r w:rsidRPr="00FE74A6">
        <w:rPr>
          <w:rFonts w:hint="cs"/>
          <w:sz w:val="32"/>
          <w:szCs w:val="32"/>
          <w:rtl/>
        </w:rPr>
        <w:t>ه</w:t>
      </w:r>
      <w:r w:rsidRPr="00FE74A6">
        <w:rPr>
          <w:sz w:val="32"/>
          <w:szCs w:val="32"/>
        </w:rPr>
        <w:t xml:space="preserve"> </w:t>
      </w:r>
      <w:r w:rsidRPr="00FE74A6">
        <w:rPr>
          <w:sz w:val="32"/>
          <w:szCs w:val="32"/>
          <w:rtl/>
        </w:rPr>
        <w:t>البطاقات. (الزخيلي، 2004: 2)</w:t>
      </w:r>
    </w:p>
    <w:p w14:paraId="1EB4B165" w14:textId="77777777" w:rsidR="00FE74A6" w:rsidRPr="00FE74A6" w:rsidRDefault="00FE74A6" w:rsidP="00FE74A6">
      <w:pPr>
        <w:bidi/>
        <w:spacing w:line="276" w:lineRule="auto"/>
        <w:jc w:val="left"/>
        <w:rPr>
          <w:sz w:val="32"/>
          <w:szCs w:val="32"/>
        </w:rPr>
      </w:pPr>
      <w:r w:rsidRPr="00FE74A6">
        <w:rPr>
          <w:noProof/>
          <w:sz w:val="32"/>
          <w:szCs w:val="32"/>
        </w:rPr>
        <w:drawing>
          <wp:inline distT="0" distB="0" distL="0" distR="0" wp14:anchorId="33E576B3" wp14:editId="0E28CDBB">
            <wp:extent cx="5274310" cy="2945765"/>
            <wp:effectExtent l="0" t="0" r="2540" b="6985"/>
            <wp:docPr id="8647857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785725" name="Picture 86478572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4310" cy="2945765"/>
                    </a:xfrm>
                    <a:prstGeom prst="rect">
                      <a:avLst/>
                    </a:prstGeom>
                  </pic:spPr>
                </pic:pic>
              </a:graphicData>
            </a:graphic>
          </wp:inline>
        </w:drawing>
      </w:r>
    </w:p>
    <w:p w14:paraId="15063F6B" w14:textId="77777777" w:rsidR="00FE74A6" w:rsidRPr="00FE74A6" w:rsidRDefault="00FE74A6" w:rsidP="00FE74A6">
      <w:pPr>
        <w:bidi/>
        <w:spacing w:line="276" w:lineRule="auto"/>
        <w:jc w:val="left"/>
        <w:rPr>
          <w:b/>
          <w:bCs/>
          <w:sz w:val="32"/>
          <w:szCs w:val="32"/>
        </w:rPr>
      </w:pPr>
      <w:r w:rsidRPr="00FE74A6">
        <w:rPr>
          <w:b/>
          <w:bCs/>
          <w:sz w:val="32"/>
          <w:szCs w:val="32"/>
          <w:rtl/>
        </w:rPr>
        <w:t>نشأة وتطور نظام بطاقات الائتمان عالميًا</w:t>
      </w:r>
    </w:p>
    <w:p w14:paraId="2BBBA98A" w14:textId="77777777" w:rsidR="00FE74A6" w:rsidRPr="00FE74A6" w:rsidRDefault="00FE74A6" w:rsidP="00FE74A6">
      <w:pPr>
        <w:numPr>
          <w:ilvl w:val="0"/>
          <w:numId w:val="1"/>
        </w:numPr>
        <w:bidi/>
        <w:spacing w:line="276" w:lineRule="auto"/>
        <w:jc w:val="left"/>
        <w:rPr>
          <w:sz w:val="32"/>
          <w:szCs w:val="32"/>
        </w:rPr>
      </w:pPr>
      <w:r w:rsidRPr="00FE74A6">
        <w:rPr>
          <w:b/>
          <w:bCs/>
          <w:sz w:val="32"/>
          <w:szCs w:val="32"/>
          <w:rtl/>
        </w:rPr>
        <w:t>البدايات الأولى</w:t>
      </w:r>
      <w:r w:rsidRPr="00FE74A6">
        <w:rPr>
          <w:b/>
          <w:bCs/>
          <w:sz w:val="32"/>
          <w:szCs w:val="32"/>
        </w:rPr>
        <w:t>:</w:t>
      </w:r>
      <w:r w:rsidRPr="00FE74A6">
        <w:rPr>
          <w:sz w:val="32"/>
          <w:szCs w:val="32"/>
        </w:rPr>
        <w:t xml:space="preserve"> </w:t>
      </w:r>
      <w:r w:rsidRPr="00FE74A6">
        <w:rPr>
          <w:sz w:val="32"/>
          <w:szCs w:val="32"/>
          <w:rtl/>
        </w:rPr>
        <w:t>ظهرت فكرة بطاقات الائتمان في أوائل القرن العشرين، حيث قدمت بعض الشركات في الولايات المتحدة بطاقات مخصصة لعملائها لشراء السلع والخدمات وسدادها لاحقًا</w:t>
      </w:r>
      <w:r w:rsidRPr="00FE74A6">
        <w:rPr>
          <w:sz w:val="32"/>
          <w:szCs w:val="32"/>
        </w:rPr>
        <w:t>.</w:t>
      </w:r>
    </w:p>
    <w:p w14:paraId="5963D96A" w14:textId="77777777" w:rsidR="00FE74A6" w:rsidRPr="00FE74A6" w:rsidRDefault="00FE74A6" w:rsidP="00FE74A6">
      <w:pPr>
        <w:numPr>
          <w:ilvl w:val="0"/>
          <w:numId w:val="1"/>
        </w:numPr>
        <w:bidi/>
        <w:spacing w:line="276" w:lineRule="auto"/>
        <w:jc w:val="left"/>
        <w:rPr>
          <w:sz w:val="32"/>
          <w:szCs w:val="32"/>
        </w:rPr>
      </w:pPr>
      <w:r w:rsidRPr="00FE74A6">
        <w:rPr>
          <w:b/>
          <w:bCs/>
          <w:sz w:val="32"/>
          <w:szCs w:val="32"/>
          <w:rtl/>
        </w:rPr>
        <w:t>إصدار أول بطاقة ائتمان شاملة</w:t>
      </w:r>
      <w:r w:rsidRPr="00FE74A6">
        <w:rPr>
          <w:b/>
          <w:bCs/>
          <w:sz w:val="32"/>
          <w:szCs w:val="32"/>
        </w:rPr>
        <w:t>:</w:t>
      </w:r>
      <w:r w:rsidRPr="00FE74A6">
        <w:rPr>
          <w:sz w:val="32"/>
          <w:szCs w:val="32"/>
        </w:rPr>
        <w:t xml:space="preserve"> </w:t>
      </w:r>
      <w:r w:rsidRPr="00FE74A6">
        <w:rPr>
          <w:sz w:val="32"/>
          <w:szCs w:val="32"/>
          <w:rtl/>
        </w:rPr>
        <w:t>في عام 1950، أطلقت شركة "داينرز كلوب" أول بطاقة ائتمان متعددة الاستخدامات، والتي يمكن استخدامها في مجموعة متنوعة من المتاجر والمطاعم</w:t>
      </w:r>
      <w:r w:rsidRPr="00FE74A6">
        <w:rPr>
          <w:sz w:val="32"/>
          <w:szCs w:val="32"/>
        </w:rPr>
        <w:t>.</w:t>
      </w:r>
    </w:p>
    <w:p w14:paraId="66989FE2" w14:textId="77777777" w:rsidR="00FE74A6" w:rsidRPr="00FE74A6" w:rsidRDefault="00FE74A6" w:rsidP="00FE74A6">
      <w:pPr>
        <w:numPr>
          <w:ilvl w:val="0"/>
          <w:numId w:val="1"/>
        </w:numPr>
        <w:bidi/>
        <w:spacing w:line="276" w:lineRule="auto"/>
        <w:jc w:val="left"/>
        <w:rPr>
          <w:sz w:val="32"/>
          <w:szCs w:val="32"/>
        </w:rPr>
      </w:pPr>
      <w:r w:rsidRPr="00FE74A6">
        <w:rPr>
          <w:b/>
          <w:bCs/>
          <w:sz w:val="32"/>
          <w:szCs w:val="32"/>
          <w:rtl/>
        </w:rPr>
        <w:lastRenderedPageBreak/>
        <w:t>ظهور بطاقات البنوك</w:t>
      </w:r>
      <w:r w:rsidRPr="00FE74A6">
        <w:rPr>
          <w:b/>
          <w:bCs/>
          <w:sz w:val="32"/>
          <w:szCs w:val="32"/>
        </w:rPr>
        <w:t>:</w:t>
      </w:r>
      <w:r w:rsidRPr="00FE74A6">
        <w:rPr>
          <w:sz w:val="32"/>
          <w:szCs w:val="32"/>
        </w:rPr>
        <w:t xml:space="preserve"> </w:t>
      </w:r>
      <w:r w:rsidRPr="00FE74A6">
        <w:rPr>
          <w:sz w:val="32"/>
          <w:szCs w:val="32"/>
          <w:rtl/>
        </w:rPr>
        <w:t>في عام 1958، قدم بنك "أمريكان إكسبريس" بطاقة ائتمان متطورة، تبعتها شركة "بنك أوف أمريكا" بإصدار بطاقة "بانكاميريكارد" التي أصبحت فيما بعد "فيزا</w:t>
      </w:r>
      <w:r w:rsidRPr="00FE74A6">
        <w:rPr>
          <w:sz w:val="32"/>
          <w:szCs w:val="32"/>
        </w:rPr>
        <w:t>".</w:t>
      </w:r>
    </w:p>
    <w:p w14:paraId="083A7BEB" w14:textId="77777777" w:rsidR="00FE74A6" w:rsidRPr="00FE74A6" w:rsidRDefault="00FE74A6" w:rsidP="00FE74A6">
      <w:pPr>
        <w:numPr>
          <w:ilvl w:val="0"/>
          <w:numId w:val="1"/>
        </w:numPr>
        <w:bidi/>
        <w:spacing w:line="276" w:lineRule="auto"/>
        <w:jc w:val="left"/>
        <w:rPr>
          <w:sz w:val="32"/>
          <w:szCs w:val="32"/>
        </w:rPr>
      </w:pPr>
      <w:r w:rsidRPr="00FE74A6">
        <w:rPr>
          <w:b/>
          <w:bCs/>
          <w:sz w:val="32"/>
          <w:szCs w:val="32"/>
          <w:rtl/>
        </w:rPr>
        <w:t>الانتشار العالمي</w:t>
      </w:r>
      <w:r w:rsidRPr="00FE74A6">
        <w:rPr>
          <w:b/>
          <w:bCs/>
          <w:sz w:val="32"/>
          <w:szCs w:val="32"/>
        </w:rPr>
        <w:t>:</w:t>
      </w:r>
      <w:r w:rsidRPr="00FE74A6">
        <w:rPr>
          <w:sz w:val="32"/>
          <w:szCs w:val="32"/>
        </w:rPr>
        <w:t xml:space="preserve"> </w:t>
      </w:r>
      <w:r w:rsidRPr="00FE74A6">
        <w:rPr>
          <w:sz w:val="32"/>
          <w:szCs w:val="32"/>
          <w:rtl/>
        </w:rPr>
        <w:t>شهدت بطاقات الائتمان توسعًا كبيرًا منذ السبعينيات مع التطور التكنولوجي، وانتشار شبكات الدفع العالمية مثل "فيزا" و"ماستر كارد</w:t>
      </w:r>
      <w:r w:rsidRPr="00FE74A6">
        <w:rPr>
          <w:sz w:val="32"/>
          <w:szCs w:val="32"/>
        </w:rPr>
        <w:t>".</w:t>
      </w:r>
    </w:p>
    <w:p w14:paraId="46B09F8B" w14:textId="77777777" w:rsidR="00FE74A6" w:rsidRPr="00FE74A6" w:rsidRDefault="00FE74A6" w:rsidP="00FE74A6">
      <w:pPr>
        <w:numPr>
          <w:ilvl w:val="0"/>
          <w:numId w:val="1"/>
        </w:numPr>
        <w:bidi/>
        <w:spacing w:line="276" w:lineRule="auto"/>
        <w:jc w:val="left"/>
        <w:rPr>
          <w:sz w:val="32"/>
          <w:szCs w:val="32"/>
        </w:rPr>
      </w:pPr>
      <w:r w:rsidRPr="00FE74A6">
        <w:rPr>
          <w:b/>
          <w:bCs/>
          <w:sz w:val="32"/>
          <w:szCs w:val="32"/>
          <w:rtl/>
        </w:rPr>
        <w:t>التطور الرقمي</w:t>
      </w:r>
      <w:r w:rsidRPr="00FE74A6">
        <w:rPr>
          <w:b/>
          <w:bCs/>
          <w:sz w:val="32"/>
          <w:szCs w:val="32"/>
        </w:rPr>
        <w:t>:</w:t>
      </w:r>
      <w:r w:rsidRPr="00FE74A6">
        <w:rPr>
          <w:sz w:val="32"/>
          <w:szCs w:val="32"/>
        </w:rPr>
        <w:t xml:space="preserve"> </w:t>
      </w:r>
      <w:r w:rsidRPr="00FE74A6">
        <w:rPr>
          <w:sz w:val="32"/>
          <w:szCs w:val="32"/>
          <w:rtl/>
        </w:rPr>
        <w:t>مع ظهور الإنترنت والتجارة الإلكترونية في التسعينيات، أصبحت بطاقات الائتمان أداة رئيسية لإتمام المعاملات الرقمية. وتم إدخال تقنيات حديثة مثل التشفير والبطاقات الذكية المزودة برقائق إلكترونية لزيادة مستوى الأمان</w:t>
      </w:r>
      <w:r w:rsidRPr="00FE74A6">
        <w:rPr>
          <w:rFonts w:hint="cs"/>
          <w:sz w:val="32"/>
          <w:szCs w:val="32"/>
          <w:rtl/>
        </w:rPr>
        <w:t xml:space="preserve"> (</w:t>
      </w:r>
      <w:r w:rsidRPr="00FE74A6">
        <w:rPr>
          <w:sz w:val="32"/>
          <w:szCs w:val="32"/>
          <w:rtl/>
        </w:rPr>
        <w:t>العصيمي</w:t>
      </w:r>
      <w:r w:rsidRPr="00FE74A6">
        <w:rPr>
          <w:rFonts w:hint="cs"/>
          <w:sz w:val="32"/>
          <w:szCs w:val="32"/>
          <w:rtl/>
        </w:rPr>
        <w:t>، 1424ه).</w:t>
      </w:r>
    </w:p>
    <w:p w14:paraId="00E561AE" w14:textId="77777777" w:rsidR="00FE74A6" w:rsidRPr="00FE74A6" w:rsidRDefault="00FE74A6" w:rsidP="00124D5E">
      <w:pPr>
        <w:pStyle w:val="Heading1"/>
        <w:bidi/>
        <w:rPr>
          <w:b/>
          <w:bCs/>
          <w:sz w:val="32"/>
          <w:szCs w:val="32"/>
        </w:rPr>
      </w:pPr>
      <w:bookmarkStart w:id="32" w:name="_Toc192716045"/>
      <w:r w:rsidRPr="00FE74A6">
        <w:rPr>
          <w:b/>
          <w:bCs/>
          <w:sz w:val="32"/>
          <w:szCs w:val="32"/>
          <w:rtl/>
        </w:rPr>
        <w:t>مفهوم المخاطر الإلكترونية</w:t>
      </w:r>
      <w:bookmarkEnd w:id="32"/>
    </w:p>
    <w:p w14:paraId="7AE0FCF1" w14:textId="77777777" w:rsidR="00FE74A6" w:rsidRPr="00FE74A6" w:rsidRDefault="00FE74A6" w:rsidP="00FE74A6">
      <w:pPr>
        <w:bidi/>
        <w:spacing w:line="276" w:lineRule="auto"/>
        <w:jc w:val="left"/>
        <w:rPr>
          <w:sz w:val="32"/>
          <w:szCs w:val="32"/>
        </w:rPr>
      </w:pPr>
      <w:r w:rsidRPr="00FE74A6">
        <w:rPr>
          <w:sz w:val="32"/>
          <w:szCs w:val="32"/>
          <w:rtl/>
        </w:rPr>
        <w:t>المخاطر الإلكترونية تشير إلى التهديدات والتحديات التي تواجه الأنظمة الرقمية والشبكات، والتي يمكن أن تؤدي إلى اختراق البيانات أو سرقتها أو تعطيل الأنظمة الإلكترونية. فيما يخص بطاقات الائتمان، تشتمل المخاطر الإلكترونية على</w:t>
      </w:r>
      <w:r w:rsidRPr="00FE74A6">
        <w:rPr>
          <w:sz w:val="32"/>
          <w:szCs w:val="32"/>
        </w:rPr>
        <w:t>:</w:t>
      </w:r>
    </w:p>
    <w:p w14:paraId="24549440" w14:textId="77777777" w:rsidR="00FE74A6" w:rsidRPr="00FE74A6" w:rsidRDefault="00FE74A6" w:rsidP="00FE74A6">
      <w:pPr>
        <w:numPr>
          <w:ilvl w:val="0"/>
          <w:numId w:val="2"/>
        </w:numPr>
        <w:bidi/>
        <w:spacing w:line="276" w:lineRule="auto"/>
        <w:jc w:val="left"/>
        <w:rPr>
          <w:sz w:val="32"/>
          <w:szCs w:val="32"/>
        </w:rPr>
      </w:pPr>
      <w:r w:rsidRPr="00FE74A6">
        <w:rPr>
          <w:b/>
          <w:bCs/>
          <w:sz w:val="32"/>
          <w:szCs w:val="32"/>
          <w:rtl/>
        </w:rPr>
        <w:t>الاختراق السيبراني</w:t>
      </w:r>
      <w:r w:rsidRPr="00FE74A6">
        <w:rPr>
          <w:b/>
          <w:bCs/>
          <w:sz w:val="32"/>
          <w:szCs w:val="32"/>
        </w:rPr>
        <w:t>:</w:t>
      </w:r>
      <w:r w:rsidRPr="00FE74A6">
        <w:rPr>
          <w:sz w:val="32"/>
          <w:szCs w:val="32"/>
        </w:rPr>
        <w:t xml:space="preserve"> </w:t>
      </w:r>
      <w:r w:rsidRPr="00FE74A6">
        <w:rPr>
          <w:sz w:val="32"/>
          <w:szCs w:val="32"/>
          <w:rtl/>
        </w:rPr>
        <w:t>قيام جهات غير مصرح لها بالدخول إلى الأنظمة المصرفية وسرقة بيانات البطاقات</w:t>
      </w:r>
      <w:r w:rsidRPr="00FE74A6">
        <w:rPr>
          <w:sz w:val="32"/>
          <w:szCs w:val="32"/>
        </w:rPr>
        <w:t>.</w:t>
      </w:r>
    </w:p>
    <w:p w14:paraId="5BC83370" w14:textId="77777777" w:rsidR="00FE74A6" w:rsidRPr="00FE74A6" w:rsidRDefault="00FE74A6" w:rsidP="00FE74A6">
      <w:pPr>
        <w:numPr>
          <w:ilvl w:val="0"/>
          <w:numId w:val="2"/>
        </w:numPr>
        <w:bidi/>
        <w:spacing w:line="276" w:lineRule="auto"/>
        <w:jc w:val="left"/>
        <w:rPr>
          <w:sz w:val="32"/>
          <w:szCs w:val="32"/>
        </w:rPr>
      </w:pPr>
      <w:r w:rsidRPr="00FE74A6">
        <w:rPr>
          <w:b/>
          <w:bCs/>
          <w:sz w:val="32"/>
          <w:szCs w:val="32"/>
          <w:rtl/>
        </w:rPr>
        <w:t>التصيد الإلكتروني</w:t>
      </w:r>
      <w:r w:rsidRPr="00FE74A6">
        <w:rPr>
          <w:b/>
          <w:bCs/>
          <w:sz w:val="32"/>
          <w:szCs w:val="32"/>
        </w:rPr>
        <w:t xml:space="preserve"> (Phishing):</w:t>
      </w:r>
      <w:r w:rsidRPr="00FE74A6">
        <w:rPr>
          <w:sz w:val="32"/>
          <w:szCs w:val="32"/>
        </w:rPr>
        <w:t xml:space="preserve"> </w:t>
      </w:r>
      <w:r w:rsidRPr="00FE74A6">
        <w:rPr>
          <w:sz w:val="32"/>
          <w:szCs w:val="32"/>
          <w:rtl/>
        </w:rPr>
        <w:t>خداع المستخدمين للحصول على بياناتهم الشخصية مثل أرقام البطاقات وكلمات المرور</w:t>
      </w:r>
      <w:r w:rsidRPr="00FE74A6">
        <w:rPr>
          <w:sz w:val="32"/>
          <w:szCs w:val="32"/>
        </w:rPr>
        <w:t>.</w:t>
      </w:r>
    </w:p>
    <w:p w14:paraId="2A6A47E0" w14:textId="77777777" w:rsidR="00FE74A6" w:rsidRPr="00FE74A6" w:rsidRDefault="00FE74A6" w:rsidP="00FE74A6">
      <w:pPr>
        <w:numPr>
          <w:ilvl w:val="0"/>
          <w:numId w:val="2"/>
        </w:numPr>
        <w:bidi/>
        <w:spacing w:line="276" w:lineRule="auto"/>
        <w:jc w:val="left"/>
        <w:rPr>
          <w:sz w:val="32"/>
          <w:szCs w:val="32"/>
        </w:rPr>
      </w:pPr>
      <w:r w:rsidRPr="00FE74A6">
        <w:rPr>
          <w:b/>
          <w:bCs/>
          <w:sz w:val="32"/>
          <w:szCs w:val="32"/>
          <w:rtl/>
        </w:rPr>
        <w:t>البرمجيات الخبيثة</w:t>
      </w:r>
      <w:r w:rsidRPr="00FE74A6">
        <w:rPr>
          <w:b/>
          <w:bCs/>
          <w:sz w:val="32"/>
          <w:szCs w:val="32"/>
        </w:rPr>
        <w:t>:</w:t>
      </w:r>
      <w:r w:rsidRPr="00FE74A6">
        <w:rPr>
          <w:sz w:val="32"/>
          <w:szCs w:val="32"/>
        </w:rPr>
        <w:t xml:space="preserve"> </w:t>
      </w:r>
      <w:r w:rsidRPr="00FE74A6">
        <w:rPr>
          <w:sz w:val="32"/>
          <w:szCs w:val="32"/>
          <w:rtl/>
        </w:rPr>
        <w:t>استخدام برامج ضارة للوصول إلى بيانات البطاقات أو التحكم في أنظمة الدفع</w:t>
      </w:r>
      <w:r w:rsidRPr="00FE74A6">
        <w:rPr>
          <w:sz w:val="32"/>
          <w:szCs w:val="32"/>
        </w:rPr>
        <w:t>.</w:t>
      </w:r>
    </w:p>
    <w:p w14:paraId="4A541D56" w14:textId="77777777" w:rsidR="00FE74A6" w:rsidRPr="00FE74A6" w:rsidRDefault="00FE74A6" w:rsidP="00FE74A6">
      <w:pPr>
        <w:numPr>
          <w:ilvl w:val="0"/>
          <w:numId w:val="2"/>
        </w:numPr>
        <w:bidi/>
        <w:spacing w:line="276" w:lineRule="auto"/>
        <w:jc w:val="left"/>
        <w:rPr>
          <w:sz w:val="32"/>
          <w:szCs w:val="32"/>
        </w:rPr>
      </w:pPr>
      <w:r w:rsidRPr="00FE74A6">
        <w:rPr>
          <w:b/>
          <w:bCs/>
          <w:sz w:val="32"/>
          <w:szCs w:val="32"/>
          <w:rtl/>
        </w:rPr>
        <w:t>التلاعب بالنقاط الضعيفة</w:t>
      </w:r>
      <w:r w:rsidRPr="00FE74A6">
        <w:rPr>
          <w:b/>
          <w:bCs/>
          <w:sz w:val="32"/>
          <w:szCs w:val="32"/>
        </w:rPr>
        <w:t>:</w:t>
      </w:r>
      <w:r w:rsidRPr="00FE74A6">
        <w:rPr>
          <w:sz w:val="32"/>
          <w:szCs w:val="32"/>
        </w:rPr>
        <w:t xml:space="preserve"> </w:t>
      </w:r>
      <w:r w:rsidRPr="00FE74A6">
        <w:rPr>
          <w:sz w:val="32"/>
          <w:szCs w:val="32"/>
          <w:rtl/>
        </w:rPr>
        <w:t>استغلال الثغرات في الأنظمة الأمنية للبنوك أو المتاجر الإلكترونية</w:t>
      </w:r>
      <w:r w:rsidRPr="00FE74A6">
        <w:rPr>
          <w:rFonts w:hint="cs"/>
          <w:sz w:val="32"/>
          <w:szCs w:val="32"/>
          <w:rtl/>
        </w:rPr>
        <w:t xml:space="preserve"> (</w:t>
      </w:r>
      <w:r w:rsidRPr="00FE74A6">
        <w:rPr>
          <w:sz w:val="32"/>
          <w:szCs w:val="32"/>
          <w:rtl/>
        </w:rPr>
        <w:t>عكوش</w:t>
      </w:r>
      <w:r w:rsidRPr="00FE74A6">
        <w:rPr>
          <w:rFonts w:hint="cs"/>
          <w:sz w:val="32"/>
          <w:szCs w:val="32"/>
          <w:rtl/>
        </w:rPr>
        <w:t>، 2022م).</w:t>
      </w:r>
    </w:p>
    <w:p w14:paraId="17F65897" w14:textId="77777777" w:rsidR="00FE74A6" w:rsidRPr="00FE74A6" w:rsidRDefault="00FE74A6" w:rsidP="00FE74A6">
      <w:pPr>
        <w:bidi/>
        <w:spacing w:line="276" w:lineRule="auto"/>
        <w:rPr>
          <w:b/>
          <w:bCs/>
          <w:sz w:val="30"/>
          <w:szCs w:val="30"/>
        </w:rPr>
      </w:pPr>
      <w:r w:rsidRPr="00FE74A6">
        <w:rPr>
          <w:b/>
          <w:bCs/>
          <w:sz w:val="30"/>
          <w:szCs w:val="30"/>
          <w:rtl/>
        </w:rPr>
        <w:t>الاختراقات السيبرانية وسرقة البيانات</w:t>
      </w:r>
    </w:p>
    <w:p w14:paraId="60B1655B" w14:textId="77777777" w:rsidR="00FE74A6" w:rsidRPr="00FE74A6" w:rsidRDefault="00FE74A6" w:rsidP="00FE74A6">
      <w:pPr>
        <w:bidi/>
        <w:spacing w:line="276" w:lineRule="auto"/>
        <w:rPr>
          <w:sz w:val="30"/>
          <w:szCs w:val="30"/>
        </w:rPr>
      </w:pPr>
      <w:r w:rsidRPr="00FE74A6">
        <w:rPr>
          <w:sz w:val="30"/>
          <w:szCs w:val="30"/>
          <w:rtl/>
        </w:rPr>
        <w:t>الاختراق السيبراني هو أحد أخطر التهديدات التي تواجه بطاقات الائتمان. يتمثل هذا النوع من الهجمات في استغلال الضعف في الأنظمة الإلكترونية للمؤسسات المالية أو المتاجر الإلكترونية للحصول على بيانات العملاء، مثل أرقام بطاقات الائتمان والمعلومات الشخصية</w:t>
      </w:r>
      <w:r w:rsidRPr="00FE74A6">
        <w:rPr>
          <w:sz w:val="30"/>
          <w:szCs w:val="30"/>
        </w:rPr>
        <w:t>.</w:t>
      </w:r>
    </w:p>
    <w:p w14:paraId="108A3F5C" w14:textId="77777777" w:rsidR="00FE74A6" w:rsidRPr="00FE74A6" w:rsidRDefault="00FE74A6" w:rsidP="00FE74A6">
      <w:pPr>
        <w:bidi/>
        <w:spacing w:line="276" w:lineRule="auto"/>
        <w:rPr>
          <w:b/>
          <w:bCs/>
          <w:sz w:val="30"/>
          <w:szCs w:val="30"/>
        </w:rPr>
      </w:pPr>
      <w:r w:rsidRPr="00FE74A6">
        <w:rPr>
          <w:b/>
          <w:bCs/>
          <w:sz w:val="30"/>
          <w:szCs w:val="30"/>
          <w:rtl/>
        </w:rPr>
        <w:lastRenderedPageBreak/>
        <w:t>التصيد الإلكتروني</w:t>
      </w:r>
      <w:r w:rsidRPr="00FE74A6">
        <w:rPr>
          <w:b/>
          <w:bCs/>
          <w:sz w:val="30"/>
          <w:szCs w:val="30"/>
        </w:rPr>
        <w:t xml:space="preserve"> (Phishing)</w:t>
      </w:r>
      <w:r w:rsidRPr="00FE74A6">
        <w:rPr>
          <w:rFonts w:hint="cs"/>
          <w:b/>
          <w:bCs/>
          <w:sz w:val="30"/>
          <w:szCs w:val="30"/>
          <w:rtl/>
        </w:rPr>
        <w:t xml:space="preserve">: </w:t>
      </w:r>
      <w:r w:rsidRPr="00FE74A6">
        <w:rPr>
          <w:sz w:val="30"/>
          <w:szCs w:val="30"/>
          <w:rtl/>
        </w:rPr>
        <w:t>التصيد الإلكتروني هو عملية احتيالية تهدف إلى خداع المستخدمين للحصول على معلومات حساسة مثل أرقام بطاقات الائتمان وكلمات المرور من خلال رسائل أو مواقع إلكترونية تبدو موثوقة</w:t>
      </w:r>
      <w:r w:rsidRPr="00FE74A6">
        <w:rPr>
          <w:sz w:val="30"/>
          <w:szCs w:val="30"/>
        </w:rPr>
        <w:t>.</w:t>
      </w:r>
    </w:p>
    <w:p w14:paraId="22AD6419" w14:textId="77777777" w:rsidR="00FE74A6" w:rsidRPr="00FE74A6" w:rsidRDefault="00FE74A6" w:rsidP="00FE74A6">
      <w:pPr>
        <w:bidi/>
        <w:spacing w:line="276" w:lineRule="auto"/>
        <w:rPr>
          <w:b/>
          <w:bCs/>
          <w:sz w:val="30"/>
          <w:szCs w:val="30"/>
          <w:rtl/>
        </w:rPr>
      </w:pPr>
      <w:r w:rsidRPr="00FE74A6">
        <w:rPr>
          <w:b/>
          <w:bCs/>
          <w:sz w:val="30"/>
          <w:szCs w:val="30"/>
          <w:rtl/>
        </w:rPr>
        <w:t>البرمجيات الخبيثة والفيروسات</w:t>
      </w:r>
      <w:r w:rsidRPr="00FE74A6">
        <w:rPr>
          <w:rFonts w:hint="cs"/>
          <w:b/>
          <w:bCs/>
          <w:sz w:val="30"/>
          <w:szCs w:val="30"/>
          <w:rtl/>
        </w:rPr>
        <w:t xml:space="preserve">: </w:t>
      </w:r>
      <w:r w:rsidRPr="00FE74A6">
        <w:rPr>
          <w:sz w:val="30"/>
          <w:szCs w:val="30"/>
          <w:rtl/>
        </w:rPr>
        <w:t>البرمجيات الخبيثة</w:t>
      </w:r>
      <w:r w:rsidRPr="00FE74A6">
        <w:rPr>
          <w:sz w:val="30"/>
          <w:szCs w:val="30"/>
        </w:rPr>
        <w:t xml:space="preserve"> (Malware) </w:t>
      </w:r>
      <w:r w:rsidRPr="00FE74A6">
        <w:rPr>
          <w:sz w:val="30"/>
          <w:szCs w:val="30"/>
          <w:rtl/>
        </w:rPr>
        <w:t>والفيروسات هي برامج ضارة يتم تصميمها لاختراق الأجهزة والأنظمة الإلكترونية للحصول على بيانات بطاقات الائتمان أو التلاعب بها</w:t>
      </w:r>
      <w:r w:rsidRPr="00FE74A6">
        <w:rPr>
          <w:sz w:val="30"/>
          <w:szCs w:val="30"/>
        </w:rPr>
        <w:t>.</w:t>
      </w:r>
    </w:p>
    <w:p w14:paraId="70E5C4FB" w14:textId="77777777" w:rsidR="00FE74A6" w:rsidRPr="00FE74A6" w:rsidRDefault="00FE74A6" w:rsidP="00FE74A6">
      <w:pPr>
        <w:bidi/>
        <w:spacing w:line="276" w:lineRule="auto"/>
        <w:rPr>
          <w:b/>
          <w:bCs/>
          <w:sz w:val="30"/>
          <w:szCs w:val="30"/>
        </w:rPr>
      </w:pPr>
      <w:r w:rsidRPr="00FE74A6">
        <w:rPr>
          <w:b/>
          <w:bCs/>
          <w:sz w:val="30"/>
          <w:szCs w:val="30"/>
          <w:rtl/>
        </w:rPr>
        <w:t>الهجمات المباشرة على أنظمة الدفع الإلكتروني</w:t>
      </w:r>
      <w:r w:rsidRPr="00FE74A6">
        <w:rPr>
          <w:rFonts w:hint="cs"/>
          <w:b/>
          <w:bCs/>
          <w:sz w:val="30"/>
          <w:szCs w:val="30"/>
          <w:rtl/>
        </w:rPr>
        <w:t xml:space="preserve">: </w:t>
      </w:r>
      <w:r w:rsidRPr="00FE74A6">
        <w:rPr>
          <w:sz w:val="30"/>
          <w:szCs w:val="30"/>
          <w:rtl/>
        </w:rPr>
        <w:t>الهجمات المباشرة تستهدف البنية التحتية لأنظمة الدفع الإلكتروني، بما في ذلك محطات الدفع، والخوادم التي تعالج المعاملات</w:t>
      </w:r>
      <w:r w:rsidRPr="00FE74A6">
        <w:rPr>
          <w:sz w:val="30"/>
          <w:szCs w:val="30"/>
        </w:rPr>
        <w:t>.</w:t>
      </w:r>
    </w:p>
    <w:p w14:paraId="39C2D056" w14:textId="77777777" w:rsidR="00FE74A6" w:rsidRPr="00FE74A6" w:rsidRDefault="00FE74A6" w:rsidP="00FE74A6">
      <w:pPr>
        <w:bidi/>
        <w:spacing w:line="276" w:lineRule="auto"/>
        <w:rPr>
          <w:b/>
          <w:bCs/>
          <w:sz w:val="30"/>
          <w:szCs w:val="30"/>
        </w:rPr>
      </w:pPr>
      <w:r w:rsidRPr="00FE74A6">
        <w:rPr>
          <w:b/>
          <w:bCs/>
          <w:sz w:val="30"/>
          <w:szCs w:val="30"/>
          <w:rtl/>
        </w:rPr>
        <w:t>أسباب انتشار المخاطر الإلكترونية لبطاقات الائتمان</w:t>
      </w:r>
    </w:p>
    <w:p w14:paraId="01BF5687" w14:textId="77777777" w:rsidR="00FE74A6" w:rsidRPr="00FE74A6" w:rsidRDefault="00FE74A6" w:rsidP="00FE74A6">
      <w:pPr>
        <w:numPr>
          <w:ilvl w:val="0"/>
          <w:numId w:val="12"/>
        </w:numPr>
        <w:bidi/>
        <w:spacing w:line="276" w:lineRule="auto"/>
        <w:rPr>
          <w:b/>
          <w:bCs/>
          <w:sz w:val="30"/>
          <w:szCs w:val="30"/>
        </w:rPr>
      </w:pPr>
      <w:r w:rsidRPr="00FE74A6">
        <w:rPr>
          <w:b/>
          <w:bCs/>
          <w:sz w:val="30"/>
          <w:szCs w:val="30"/>
          <w:rtl/>
        </w:rPr>
        <w:t>ضعف التدابير الأمنية</w:t>
      </w:r>
      <w:r w:rsidRPr="00FE74A6">
        <w:rPr>
          <w:rFonts w:hint="cs"/>
          <w:b/>
          <w:bCs/>
          <w:sz w:val="30"/>
          <w:szCs w:val="30"/>
          <w:rtl/>
        </w:rPr>
        <w:t xml:space="preserve"> </w:t>
      </w:r>
      <w:r w:rsidRPr="00FE74A6">
        <w:rPr>
          <w:sz w:val="30"/>
          <w:szCs w:val="30"/>
          <w:rtl/>
        </w:rPr>
        <w:t>تعد التدابير الأمنية غير الكافية من العوامل الرئيسية التي تجعل بطاقات الائتمان عرضة للمخاطر الإلكترونية</w:t>
      </w:r>
      <w:r w:rsidRPr="00FE74A6">
        <w:rPr>
          <w:sz w:val="30"/>
          <w:szCs w:val="30"/>
        </w:rPr>
        <w:t>.</w:t>
      </w:r>
    </w:p>
    <w:p w14:paraId="24672002" w14:textId="77777777" w:rsidR="00FE74A6" w:rsidRPr="00FE74A6" w:rsidRDefault="00FE74A6" w:rsidP="00FE74A6">
      <w:pPr>
        <w:numPr>
          <w:ilvl w:val="0"/>
          <w:numId w:val="12"/>
        </w:numPr>
        <w:bidi/>
        <w:spacing w:line="276" w:lineRule="auto"/>
        <w:rPr>
          <w:b/>
          <w:bCs/>
          <w:sz w:val="30"/>
          <w:szCs w:val="30"/>
        </w:rPr>
      </w:pPr>
      <w:r w:rsidRPr="00FE74A6">
        <w:rPr>
          <w:b/>
          <w:bCs/>
          <w:sz w:val="30"/>
          <w:szCs w:val="30"/>
          <w:rtl/>
        </w:rPr>
        <w:t>قلة وعي المستخدمين</w:t>
      </w:r>
      <w:r w:rsidRPr="00FE74A6">
        <w:rPr>
          <w:rFonts w:hint="cs"/>
          <w:b/>
          <w:bCs/>
          <w:sz w:val="30"/>
          <w:szCs w:val="30"/>
          <w:rtl/>
        </w:rPr>
        <w:t xml:space="preserve">: </w:t>
      </w:r>
      <w:r w:rsidRPr="00FE74A6">
        <w:rPr>
          <w:sz w:val="30"/>
          <w:szCs w:val="30"/>
          <w:rtl/>
        </w:rPr>
        <w:t>عدم إدراك المستخدمين للمخاطر المرتبطة باستخدام بطاقات الائتمان يزيد من احتمالية وقوعهم ضحايا للجرائم الإلكترونية</w:t>
      </w:r>
      <w:r w:rsidRPr="00FE74A6">
        <w:rPr>
          <w:sz w:val="30"/>
          <w:szCs w:val="30"/>
        </w:rPr>
        <w:t>.</w:t>
      </w:r>
    </w:p>
    <w:p w14:paraId="2343B197" w14:textId="77777777" w:rsidR="00FE74A6" w:rsidRPr="00FE74A6" w:rsidRDefault="00FE74A6" w:rsidP="00FE74A6">
      <w:pPr>
        <w:numPr>
          <w:ilvl w:val="0"/>
          <w:numId w:val="3"/>
        </w:numPr>
        <w:bidi/>
        <w:spacing w:line="276" w:lineRule="auto"/>
        <w:rPr>
          <w:sz w:val="30"/>
          <w:szCs w:val="30"/>
        </w:rPr>
      </w:pPr>
      <w:r w:rsidRPr="00FE74A6">
        <w:rPr>
          <w:b/>
          <w:bCs/>
          <w:sz w:val="30"/>
          <w:szCs w:val="30"/>
          <w:rtl/>
        </w:rPr>
        <w:t>النقر على روابط تصيد</w:t>
      </w:r>
      <w:r w:rsidRPr="00FE74A6">
        <w:rPr>
          <w:rFonts w:hint="cs"/>
          <w:b/>
          <w:bCs/>
          <w:sz w:val="30"/>
          <w:szCs w:val="30"/>
          <w:rtl/>
        </w:rPr>
        <w:t xml:space="preserve">: </w:t>
      </w:r>
      <w:r w:rsidRPr="00FE74A6">
        <w:rPr>
          <w:sz w:val="30"/>
          <w:szCs w:val="30"/>
          <w:rtl/>
        </w:rPr>
        <w:t>فتح رسائل بريد إلكتروني أو نصية مزيفة تُطلب فيها معلومات حساسة</w:t>
      </w:r>
      <w:r w:rsidRPr="00FE74A6">
        <w:rPr>
          <w:sz w:val="30"/>
          <w:szCs w:val="30"/>
        </w:rPr>
        <w:t>.</w:t>
      </w:r>
    </w:p>
    <w:p w14:paraId="7700B58F" w14:textId="77777777" w:rsidR="00FE74A6" w:rsidRPr="00FE74A6" w:rsidRDefault="00FE74A6" w:rsidP="00FE74A6">
      <w:pPr>
        <w:numPr>
          <w:ilvl w:val="0"/>
          <w:numId w:val="3"/>
        </w:numPr>
        <w:bidi/>
        <w:spacing w:line="276" w:lineRule="auto"/>
        <w:rPr>
          <w:sz w:val="30"/>
          <w:szCs w:val="30"/>
        </w:rPr>
      </w:pPr>
      <w:r w:rsidRPr="00FE74A6">
        <w:rPr>
          <w:b/>
          <w:bCs/>
          <w:sz w:val="30"/>
          <w:szCs w:val="30"/>
          <w:rtl/>
        </w:rPr>
        <w:t>استخدام كلمات مرور ضعيفة</w:t>
      </w:r>
      <w:r w:rsidRPr="00FE74A6">
        <w:rPr>
          <w:b/>
          <w:bCs/>
          <w:sz w:val="30"/>
          <w:szCs w:val="30"/>
        </w:rPr>
        <w:t>:</w:t>
      </w:r>
      <w:r w:rsidRPr="00FE74A6">
        <w:rPr>
          <w:sz w:val="30"/>
          <w:szCs w:val="30"/>
        </w:rPr>
        <w:t xml:space="preserve"> </w:t>
      </w:r>
      <w:r w:rsidRPr="00FE74A6">
        <w:rPr>
          <w:sz w:val="30"/>
          <w:szCs w:val="30"/>
          <w:rtl/>
        </w:rPr>
        <w:t>الاعتماد على كلمات مرور بسيطة أو قابلة للتخمين</w:t>
      </w:r>
      <w:r w:rsidRPr="00FE74A6">
        <w:rPr>
          <w:sz w:val="30"/>
          <w:szCs w:val="30"/>
        </w:rPr>
        <w:t>.</w:t>
      </w:r>
    </w:p>
    <w:p w14:paraId="714228A1" w14:textId="77777777" w:rsidR="00FE74A6" w:rsidRPr="00FE74A6" w:rsidRDefault="00FE74A6" w:rsidP="00FE74A6">
      <w:pPr>
        <w:numPr>
          <w:ilvl w:val="0"/>
          <w:numId w:val="3"/>
        </w:numPr>
        <w:bidi/>
        <w:spacing w:line="276" w:lineRule="auto"/>
        <w:rPr>
          <w:sz w:val="30"/>
          <w:szCs w:val="30"/>
        </w:rPr>
      </w:pPr>
      <w:r w:rsidRPr="00FE74A6">
        <w:rPr>
          <w:b/>
          <w:bCs/>
          <w:sz w:val="30"/>
          <w:szCs w:val="30"/>
          <w:rtl/>
        </w:rPr>
        <w:t>تجاهل التحذيرات الأمنية</w:t>
      </w:r>
      <w:r w:rsidRPr="00FE74A6">
        <w:rPr>
          <w:b/>
          <w:bCs/>
          <w:sz w:val="30"/>
          <w:szCs w:val="30"/>
        </w:rPr>
        <w:t>:</w:t>
      </w:r>
      <w:r w:rsidRPr="00FE74A6">
        <w:rPr>
          <w:sz w:val="30"/>
          <w:szCs w:val="30"/>
        </w:rPr>
        <w:t xml:space="preserve"> </w:t>
      </w:r>
      <w:r w:rsidRPr="00FE74A6">
        <w:rPr>
          <w:sz w:val="30"/>
          <w:szCs w:val="30"/>
          <w:rtl/>
        </w:rPr>
        <w:t>مثل عدم التحقق من عنوان</w:t>
      </w:r>
      <w:r w:rsidRPr="00FE74A6">
        <w:rPr>
          <w:sz w:val="30"/>
          <w:szCs w:val="30"/>
        </w:rPr>
        <w:t xml:space="preserve"> URL </w:t>
      </w:r>
      <w:r w:rsidRPr="00FE74A6">
        <w:rPr>
          <w:sz w:val="30"/>
          <w:szCs w:val="30"/>
          <w:rtl/>
        </w:rPr>
        <w:t>للمواقع أو تجاهل إشعارات الأمان</w:t>
      </w:r>
      <w:r w:rsidRPr="00FE74A6">
        <w:rPr>
          <w:rFonts w:hint="cs"/>
          <w:sz w:val="30"/>
          <w:szCs w:val="30"/>
          <w:rtl/>
        </w:rPr>
        <w:t xml:space="preserve"> (</w:t>
      </w:r>
      <w:r w:rsidRPr="00FE74A6">
        <w:rPr>
          <w:sz w:val="30"/>
          <w:szCs w:val="30"/>
          <w:rtl/>
        </w:rPr>
        <w:t>ديدح</w:t>
      </w:r>
      <w:r w:rsidRPr="00FE74A6">
        <w:rPr>
          <w:rFonts w:hint="cs"/>
          <w:sz w:val="30"/>
          <w:szCs w:val="30"/>
          <w:rtl/>
        </w:rPr>
        <w:t xml:space="preserve"> ، 2022م).</w:t>
      </w:r>
    </w:p>
    <w:p w14:paraId="121DA818" w14:textId="77777777" w:rsidR="00FE74A6" w:rsidRPr="00FE74A6" w:rsidRDefault="00FE74A6" w:rsidP="00FE74A6">
      <w:pPr>
        <w:bidi/>
        <w:spacing w:line="276" w:lineRule="auto"/>
        <w:rPr>
          <w:sz w:val="30"/>
          <w:szCs w:val="30"/>
        </w:rPr>
      </w:pPr>
      <w:r w:rsidRPr="00FE74A6">
        <w:rPr>
          <w:noProof/>
          <w:sz w:val="30"/>
          <w:szCs w:val="30"/>
        </w:rPr>
        <w:lastRenderedPageBreak/>
        <w:drawing>
          <wp:inline distT="0" distB="0" distL="0" distR="0" wp14:anchorId="08FAAB47" wp14:editId="13898243">
            <wp:extent cx="5274310" cy="4859020"/>
            <wp:effectExtent l="0" t="0" r="2540" b="0"/>
            <wp:docPr id="20164042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404271" name="Picture 2016404271"/>
                    <pic:cNvPicPr/>
                  </pic:nvPicPr>
                  <pic:blipFill>
                    <a:blip r:embed="rId15">
                      <a:extLst>
                        <a:ext uri="{28A0092B-C50C-407E-A947-70E740481C1C}">
                          <a14:useLocalDpi xmlns:a14="http://schemas.microsoft.com/office/drawing/2010/main" val="0"/>
                        </a:ext>
                      </a:extLst>
                    </a:blip>
                    <a:stretch>
                      <a:fillRect/>
                    </a:stretch>
                  </pic:blipFill>
                  <pic:spPr>
                    <a:xfrm>
                      <a:off x="0" y="0"/>
                      <a:ext cx="5274310" cy="4859020"/>
                    </a:xfrm>
                    <a:prstGeom prst="rect">
                      <a:avLst/>
                    </a:prstGeom>
                  </pic:spPr>
                </pic:pic>
              </a:graphicData>
            </a:graphic>
          </wp:inline>
        </w:drawing>
      </w:r>
    </w:p>
    <w:p w14:paraId="16C66116" w14:textId="77777777" w:rsidR="00FE74A6" w:rsidRPr="00FE74A6" w:rsidRDefault="00FE74A6" w:rsidP="00FE74A6">
      <w:pPr>
        <w:bidi/>
        <w:spacing w:line="276" w:lineRule="auto"/>
        <w:rPr>
          <w:b/>
          <w:bCs/>
          <w:sz w:val="30"/>
          <w:szCs w:val="30"/>
        </w:rPr>
      </w:pPr>
      <w:r w:rsidRPr="00FE74A6">
        <w:rPr>
          <w:b/>
          <w:bCs/>
          <w:sz w:val="30"/>
          <w:szCs w:val="30"/>
          <w:rtl/>
        </w:rPr>
        <w:t>مدى إمكانية تحقيق الربحية في ظل مخاطر الصرافة الإلكترونية</w:t>
      </w:r>
      <w:r w:rsidRPr="00FE74A6">
        <w:rPr>
          <w:b/>
          <w:bCs/>
          <w:sz w:val="30"/>
          <w:szCs w:val="30"/>
        </w:rPr>
        <w:t>:</w:t>
      </w:r>
    </w:p>
    <w:p w14:paraId="53873D97" w14:textId="77777777" w:rsidR="00FE74A6" w:rsidRPr="00FE74A6" w:rsidRDefault="00FE74A6" w:rsidP="00FE74A6">
      <w:pPr>
        <w:bidi/>
        <w:spacing w:line="276" w:lineRule="auto"/>
        <w:rPr>
          <w:sz w:val="30"/>
          <w:szCs w:val="30"/>
        </w:rPr>
      </w:pPr>
      <w:r w:rsidRPr="00FE74A6">
        <w:rPr>
          <w:sz w:val="30"/>
          <w:szCs w:val="30"/>
          <w:rtl/>
        </w:rPr>
        <w:t>يعتبر موضوع الربحية في المصارف من المواضيع الهامة في مجال الرقابة والتفتيش على المصارف وهو أحد أهم عناصر تقييم الوضع المالي للمصارف ويتأثر مستوى الربحية مباشرة بمستوى كفاءة الإدارة ودرجة متانة ودقة نظام الضبط الداخلي، فالإستراتيجية المنتجة الفعالة تكون بفعل إدارة جيدة كما أن وجود نظام فعال ودقيق لإدارة المخاطر يساند الإدارة الجيدة في رفع مستوى الربحية، ومما لاشك فيه أن جميع أنواع المخاطر المصرفية لها تأثير مباشر بحسب مقدارها على ربحية المصرف. ولعل الإفصاح الدقيق والكافي عن مؤشرات تأثير المخاطر المعنية على ربحية المصرف هو أكبر دليل أيضاً على شفافية الإدارة ونظرتها المستقبلية، وتتبع أهمية الربحية في المصارف بعلاقتها مع الأداء والمخاطر</w:t>
      </w:r>
      <w:r w:rsidRPr="00FE74A6">
        <w:rPr>
          <w:sz w:val="30"/>
          <w:szCs w:val="30"/>
        </w:rPr>
        <w:t>.</w:t>
      </w:r>
    </w:p>
    <w:p w14:paraId="0652B754" w14:textId="77777777" w:rsidR="00FE74A6" w:rsidRPr="00FE74A6" w:rsidRDefault="00FE74A6" w:rsidP="00124D5E">
      <w:pPr>
        <w:pStyle w:val="Heading1"/>
        <w:bidi/>
        <w:rPr>
          <w:sz w:val="30"/>
          <w:szCs w:val="30"/>
        </w:rPr>
      </w:pPr>
      <w:bookmarkStart w:id="33" w:name="_Toc192716046"/>
      <w:r w:rsidRPr="00FE74A6">
        <w:rPr>
          <w:b/>
          <w:bCs/>
          <w:sz w:val="30"/>
          <w:szCs w:val="30"/>
          <w:rtl/>
        </w:rPr>
        <w:t>العلاقة بين المخاطر والربحية</w:t>
      </w:r>
      <w:r w:rsidRPr="00FE74A6">
        <w:rPr>
          <w:b/>
          <w:bCs/>
          <w:sz w:val="30"/>
          <w:szCs w:val="30"/>
        </w:rPr>
        <w:t>:</w:t>
      </w:r>
      <w:bookmarkEnd w:id="33"/>
    </w:p>
    <w:p w14:paraId="2E4FD374" w14:textId="77777777" w:rsidR="00FE74A6" w:rsidRPr="00FE74A6" w:rsidRDefault="00FE74A6" w:rsidP="00FE74A6">
      <w:pPr>
        <w:numPr>
          <w:ilvl w:val="0"/>
          <w:numId w:val="13"/>
        </w:numPr>
        <w:bidi/>
        <w:spacing w:line="276" w:lineRule="auto"/>
        <w:rPr>
          <w:sz w:val="30"/>
          <w:szCs w:val="30"/>
        </w:rPr>
      </w:pPr>
      <w:r w:rsidRPr="00FE74A6">
        <w:rPr>
          <w:b/>
          <w:bCs/>
          <w:sz w:val="30"/>
          <w:szCs w:val="30"/>
          <w:rtl/>
        </w:rPr>
        <w:t>تأثير مخاطر الائتمان على الربحية</w:t>
      </w:r>
    </w:p>
    <w:p w14:paraId="476FDCFC" w14:textId="77777777" w:rsidR="00FE74A6" w:rsidRPr="00FE74A6" w:rsidRDefault="00FE74A6" w:rsidP="00FE74A6">
      <w:pPr>
        <w:bidi/>
        <w:spacing w:line="276" w:lineRule="auto"/>
        <w:rPr>
          <w:sz w:val="30"/>
          <w:szCs w:val="30"/>
        </w:rPr>
      </w:pPr>
      <w:r w:rsidRPr="00FE74A6">
        <w:rPr>
          <w:sz w:val="30"/>
          <w:szCs w:val="30"/>
          <w:rtl/>
        </w:rPr>
        <w:lastRenderedPageBreak/>
        <w:t>طبقت في بعض المصارف الكبرى في العالم منذ ما يزيد عن عقد من الزمان نماذج مقاربة إحصائية لقياس مخاطر الائتمان التي يمكن أن يواجهها المصرف لدى منحه قروضاً إلى زبائنه، حيث تعمل تلك النماذج على قياس مخاطر الائتمان للمحفظة الائتمانية وفق معطيات وافتراضات معينة يحددها المصرف المعني سلفاً من واقع تعاملاته السابقة، ويهدف هذا الأمر بصورة أساسية إلى تحديد مدى تأثير القروض الممنوحة على ربحية المصرف</w:t>
      </w:r>
      <w:r w:rsidRPr="00FE74A6">
        <w:rPr>
          <w:rFonts w:hint="cs"/>
          <w:sz w:val="30"/>
          <w:szCs w:val="30"/>
          <w:rtl/>
        </w:rPr>
        <w:t xml:space="preserve"> (</w:t>
      </w:r>
      <w:r w:rsidRPr="00FE74A6">
        <w:rPr>
          <w:sz w:val="30"/>
          <w:szCs w:val="30"/>
          <w:rtl/>
        </w:rPr>
        <w:t>عصام</w:t>
      </w:r>
      <w:r w:rsidRPr="00FE74A6">
        <w:rPr>
          <w:rFonts w:hint="cs"/>
          <w:sz w:val="30"/>
          <w:szCs w:val="30"/>
          <w:rtl/>
        </w:rPr>
        <w:t>، 2010م).</w:t>
      </w:r>
    </w:p>
    <w:p w14:paraId="297D9334" w14:textId="77777777" w:rsidR="00FE74A6" w:rsidRPr="00FE74A6" w:rsidRDefault="00FE74A6" w:rsidP="00FE74A6">
      <w:pPr>
        <w:bidi/>
        <w:spacing w:line="276" w:lineRule="auto"/>
        <w:rPr>
          <w:sz w:val="30"/>
          <w:szCs w:val="30"/>
        </w:rPr>
      </w:pPr>
      <w:r w:rsidRPr="00FE74A6">
        <w:rPr>
          <w:b/>
          <w:bCs/>
          <w:sz w:val="30"/>
          <w:szCs w:val="30"/>
          <w:rtl/>
        </w:rPr>
        <w:t>طرق قياس المخاطر</w:t>
      </w:r>
      <w:r w:rsidRPr="00FE74A6">
        <w:rPr>
          <w:b/>
          <w:bCs/>
          <w:sz w:val="30"/>
          <w:szCs w:val="30"/>
        </w:rPr>
        <w:t>:</w:t>
      </w:r>
    </w:p>
    <w:p w14:paraId="5184FBB2" w14:textId="77777777" w:rsidR="00FE74A6" w:rsidRPr="00FE74A6" w:rsidRDefault="00FE74A6" w:rsidP="00FE74A6">
      <w:pPr>
        <w:numPr>
          <w:ilvl w:val="0"/>
          <w:numId w:val="13"/>
        </w:numPr>
        <w:bidi/>
        <w:spacing w:line="276" w:lineRule="auto"/>
        <w:rPr>
          <w:sz w:val="30"/>
          <w:szCs w:val="30"/>
        </w:rPr>
      </w:pPr>
      <w:r w:rsidRPr="00FE74A6">
        <w:rPr>
          <w:b/>
          <w:bCs/>
          <w:sz w:val="30"/>
          <w:szCs w:val="30"/>
          <w:rtl/>
        </w:rPr>
        <w:t>تأثير مخاطر الفوائد على الربحية</w:t>
      </w:r>
      <w:r w:rsidRPr="00FE74A6">
        <w:rPr>
          <w:b/>
          <w:bCs/>
          <w:sz w:val="30"/>
          <w:szCs w:val="30"/>
        </w:rPr>
        <w:t>:</w:t>
      </w:r>
    </w:p>
    <w:p w14:paraId="75B8B247" w14:textId="77777777" w:rsidR="00FE74A6" w:rsidRPr="00FE74A6" w:rsidRDefault="00FE74A6" w:rsidP="00FE74A6">
      <w:pPr>
        <w:bidi/>
        <w:spacing w:line="276" w:lineRule="auto"/>
        <w:rPr>
          <w:sz w:val="30"/>
          <w:szCs w:val="30"/>
        </w:rPr>
      </w:pPr>
      <w:r w:rsidRPr="00FE74A6">
        <w:rPr>
          <w:sz w:val="30"/>
          <w:szCs w:val="30"/>
          <w:rtl/>
        </w:rPr>
        <w:t>تقيس مخاطر الفائدة في الدرجة الأولى مدى تأثر أرباح المصرف في المدى القصير ومدى تأثر قيمته الاقتصادية في المدى الطويل بالتغيرات في بنود الموجودات والمطلوبات وخارج الميزانية الناتجة عن المتغيرات في معدلات الفوائد والتي تعهد مهمتها بإدارة الموجودات والمطلوبات في المصرف</w:t>
      </w:r>
      <w:r w:rsidRPr="00FE74A6">
        <w:rPr>
          <w:sz w:val="30"/>
          <w:szCs w:val="30"/>
        </w:rPr>
        <w:t>.</w:t>
      </w:r>
    </w:p>
    <w:p w14:paraId="499C4D19" w14:textId="77777777" w:rsidR="00FE74A6" w:rsidRPr="00FE74A6" w:rsidRDefault="00FE74A6" w:rsidP="00FE74A6">
      <w:pPr>
        <w:numPr>
          <w:ilvl w:val="0"/>
          <w:numId w:val="13"/>
        </w:numPr>
        <w:bidi/>
        <w:spacing w:line="276" w:lineRule="auto"/>
        <w:rPr>
          <w:sz w:val="30"/>
          <w:szCs w:val="30"/>
        </w:rPr>
      </w:pPr>
      <w:r w:rsidRPr="00FE74A6">
        <w:rPr>
          <w:b/>
          <w:bCs/>
          <w:sz w:val="30"/>
          <w:szCs w:val="30"/>
          <w:rtl/>
        </w:rPr>
        <w:t>مخاطر السوق في محفظة المتاجرة</w:t>
      </w:r>
      <w:r w:rsidRPr="00FE74A6">
        <w:rPr>
          <w:b/>
          <w:bCs/>
          <w:sz w:val="30"/>
          <w:szCs w:val="30"/>
        </w:rPr>
        <w:t>:</w:t>
      </w:r>
    </w:p>
    <w:p w14:paraId="0C4682F0" w14:textId="77777777" w:rsidR="00FE74A6" w:rsidRPr="00FE74A6" w:rsidRDefault="00FE74A6" w:rsidP="00FE74A6">
      <w:pPr>
        <w:bidi/>
        <w:spacing w:line="276" w:lineRule="auto"/>
        <w:rPr>
          <w:sz w:val="30"/>
          <w:szCs w:val="30"/>
        </w:rPr>
      </w:pPr>
      <w:r w:rsidRPr="00FE74A6">
        <w:rPr>
          <w:sz w:val="30"/>
          <w:szCs w:val="30"/>
          <w:rtl/>
        </w:rPr>
        <w:t>تعمل المصارف الدولية على قياس أنواع محددة من مخاطر السوق، وكذلك مخاطر الإقراض الكامنة في محافظ المتاجرة التي تتداول بها وذلك من خلال احتساب ما هو معروف بعبارة [القيمة المعرضة للمخاطر] وهى تستعين ايضا بالادوات الإحصائية للتمكن من تحديد المستوى من الخسائر الناتجة عن المخاطر التي يتوقع تجاوزها في المراكز المحتفظ بها حالياً وذلك خلال فترة زمنية محددة</w:t>
      </w:r>
      <w:r w:rsidRPr="00FE74A6">
        <w:rPr>
          <w:sz w:val="30"/>
          <w:szCs w:val="30"/>
        </w:rPr>
        <w:t>:</w:t>
      </w:r>
    </w:p>
    <w:p w14:paraId="0819F646" w14:textId="77777777" w:rsidR="00FE74A6" w:rsidRPr="00FE74A6" w:rsidRDefault="00FE74A6" w:rsidP="00FE74A6">
      <w:pPr>
        <w:bidi/>
        <w:spacing w:line="276" w:lineRule="auto"/>
        <w:rPr>
          <w:sz w:val="30"/>
          <w:szCs w:val="30"/>
        </w:rPr>
      </w:pPr>
      <w:r w:rsidRPr="00FE74A6">
        <w:rPr>
          <w:b/>
          <w:bCs/>
          <w:sz w:val="30"/>
          <w:szCs w:val="30"/>
          <w:rtl/>
        </w:rPr>
        <w:t>نسب الربحية</w:t>
      </w:r>
      <w:r w:rsidRPr="00FE74A6">
        <w:rPr>
          <w:sz w:val="30"/>
          <w:szCs w:val="30"/>
          <w:rtl/>
        </w:rPr>
        <w:t> </w:t>
      </w:r>
      <w:r w:rsidRPr="00FE74A6">
        <w:rPr>
          <w:sz w:val="30"/>
          <w:szCs w:val="30"/>
        </w:rPr>
        <w:t xml:space="preserve">Profitability Ratios </w:t>
      </w:r>
      <w:r w:rsidRPr="00FE74A6">
        <w:rPr>
          <w:sz w:val="30"/>
          <w:szCs w:val="30"/>
          <w:rtl/>
        </w:rPr>
        <w:t>يجد المعنيون والمهتمون بأداء المصارف في الدول التي لا تتمتع عموماً بأسواق مالية منظمة ونشطة وذات سيولة عالية في نسب الربحية أدوات بديلة عن مؤشرات السوق لقياس الأداء المصرفي، بحيث يستندون إلى هذه النسب مع غيرها من النسب المعمول بها في التحليل المالي في المصارف من أجل إقرار ما يرونه مناسباً في تعاملهم مع المصرف المعني وفيما يلي أهم مكونات هذه المجموعة من النسب</w:t>
      </w:r>
      <w:r w:rsidRPr="00FE74A6">
        <w:rPr>
          <w:sz w:val="30"/>
          <w:szCs w:val="30"/>
        </w:rPr>
        <w:t>:</w:t>
      </w:r>
    </w:p>
    <w:p w14:paraId="6709A109" w14:textId="77777777" w:rsidR="00FE74A6" w:rsidRPr="00FE74A6" w:rsidRDefault="00FE74A6" w:rsidP="00FE74A6">
      <w:pPr>
        <w:numPr>
          <w:ilvl w:val="0"/>
          <w:numId w:val="13"/>
        </w:numPr>
        <w:bidi/>
        <w:spacing w:line="276" w:lineRule="auto"/>
        <w:rPr>
          <w:sz w:val="30"/>
          <w:szCs w:val="30"/>
        </w:rPr>
      </w:pPr>
      <w:r w:rsidRPr="00FE74A6">
        <w:rPr>
          <w:b/>
          <w:bCs/>
          <w:sz w:val="30"/>
          <w:szCs w:val="30"/>
          <w:rtl/>
        </w:rPr>
        <w:t>معدل العائد على حقوق الملكية</w:t>
      </w:r>
      <w:r w:rsidRPr="00FE74A6">
        <w:rPr>
          <w:sz w:val="30"/>
          <w:szCs w:val="30"/>
          <w:rtl/>
        </w:rPr>
        <w:t> </w:t>
      </w:r>
      <w:r w:rsidRPr="00FE74A6">
        <w:rPr>
          <w:sz w:val="30"/>
          <w:szCs w:val="30"/>
        </w:rPr>
        <w:t>Return on Equity</w:t>
      </w:r>
      <w:r w:rsidRPr="00FE74A6">
        <w:rPr>
          <w:b/>
          <w:bCs/>
          <w:sz w:val="30"/>
          <w:szCs w:val="30"/>
        </w:rPr>
        <w:t>:</w:t>
      </w:r>
      <w:r w:rsidRPr="00FE74A6">
        <w:rPr>
          <w:sz w:val="30"/>
          <w:szCs w:val="30"/>
        </w:rPr>
        <w:t> </w:t>
      </w:r>
      <w:r w:rsidRPr="00FE74A6">
        <w:rPr>
          <w:sz w:val="30"/>
          <w:szCs w:val="30"/>
          <w:rtl/>
        </w:rPr>
        <w:t>يقيس ما يحصل عليه المساهمين [الملاك] من استثماراتهم لأموالهم في نشاط المصرف وتتمثل تلك الأموال في رأس المال والاحتياطيات والأرباح المحتجزة [معدل العائد على حقوق الملكية- صافي الربح بعد الضريبة/ حقوق الملكية]، وقد تم تعديل هذا المعدل لأسباب فنية تحليلية مالية</w:t>
      </w:r>
      <w:r w:rsidRPr="00FE74A6">
        <w:rPr>
          <w:rFonts w:hint="cs"/>
          <w:sz w:val="30"/>
          <w:szCs w:val="30"/>
          <w:rtl/>
        </w:rPr>
        <w:t>.</w:t>
      </w:r>
    </w:p>
    <w:p w14:paraId="7773CCA7" w14:textId="77777777" w:rsidR="00FE74A6" w:rsidRPr="00FE74A6" w:rsidRDefault="00FE74A6" w:rsidP="00FE74A6">
      <w:pPr>
        <w:numPr>
          <w:ilvl w:val="0"/>
          <w:numId w:val="13"/>
        </w:numPr>
        <w:bidi/>
        <w:spacing w:line="276" w:lineRule="auto"/>
        <w:rPr>
          <w:sz w:val="30"/>
          <w:szCs w:val="30"/>
        </w:rPr>
      </w:pPr>
      <w:r w:rsidRPr="00FE74A6">
        <w:rPr>
          <w:sz w:val="30"/>
          <w:szCs w:val="30"/>
          <w:rtl/>
        </w:rPr>
        <w:t>معدل العائد على الملكية- صافي الربح بعد الضريبة/ حقوق الملكية+ الأرباح المحتجزة+ نصف الأرباح المتولدة عن السنة</w:t>
      </w:r>
      <w:r w:rsidRPr="00FE74A6">
        <w:rPr>
          <w:sz w:val="30"/>
          <w:szCs w:val="30"/>
        </w:rPr>
        <w:t>.</w:t>
      </w:r>
    </w:p>
    <w:p w14:paraId="307F2292" w14:textId="77777777" w:rsidR="00FE74A6" w:rsidRPr="00FE74A6" w:rsidRDefault="00FE74A6" w:rsidP="00FE74A6">
      <w:pPr>
        <w:numPr>
          <w:ilvl w:val="0"/>
          <w:numId w:val="13"/>
        </w:numPr>
        <w:bidi/>
        <w:spacing w:line="276" w:lineRule="auto"/>
        <w:rPr>
          <w:sz w:val="30"/>
          <w:szCs w:val="30"/>
        </w:rPr>
      </w:pPr>
      <w:r w:rsidRPr="00FE74A6">
        <w:rPr>
          <w:b/>
          <w:bCs/>
          <w:sz w:val="30"/>
          <w:szCs w:val="30"/>
          <w:rtl/>
        </w:rPr>
        <w:lastRenderedPageBreak/>
        <w:t>معدل العائد على الودائع</w:t>
      </w:r>
      <w:r w:rsidRPr="00FE74A6">
        <w:rPr>
          <w:b/>
          <w:bCs/>
          <w:sz w:val="30"/>
          <w:szCs w:val="30"/>
        </w:rPr>
        <w:t>:</w:t>
      </w:r>
      <w:r w:rsidRPr="00FE74A6">
        <w:rPr>
          <w:sz w:val="30"/>
          <w:szCs w:val="30"/>
        </w:rPr>
        <w:t> </w:t>
      </w:r>
      <w:r w:rsidRPr="00FE74A6">
        <w:rPr>
          <w:sz w:val="30"/>
          <w:szCs w:val="30"/>
          <w:rtl/>
        </w:rPr>
        <w:t>يقيس مدى قدرة المصرف على توليد الأرباح من الودائع التي تم الحصول عليها: معدل العائد على الودائع- صافي الربح بعد الضريبة/ الودائع بأنواعها الثلاثة</w:t>
      </w:r>
      <w:r w:rsidRPr="00FE74A6">
        <w:rPr>
          <w:sz w:val="30"/>
          <w:szCs w:val="30"/>
        </w:rPr>
        <w:t>.</w:t>
      </w:r>
    </w:p>
    <w:p w14:paraId="185E1747" w14:textId="77777777" w:rsidR="00FE74A6" w:rsidRPr="00FE74A6" w:rsidRDefault="00FE74A6" w:rsidP="00FE74A6">
      <w:pPr>
        <w:numPr>
          <w:ilvl w:val="0"/>
          <w:numId w:val="13"/>
        </w:numPr>
        <w:bidi/>
        <w:spacing w:line="276" w:lineRule="auto"/>
        <w:rPr>
          <w:sz w:val="30"/>
          <w:szCs w:val="30"/>
        </w:rPr>
      </w:pPr>
      <w:r w:rsidRPr="00FE74A6">
        <w:rPr>
          <w:b/>
          <w:bCs/>
          <w:sz w:val="30"/>
          <w:szCs w:val="30"/>
          <w:rtl/>
        </w:rPr>
        <w:t>معدل العائد على الأموال المتاحة</w:t>
      </w:r>
      <w:r w:rsidRPr="00FE74A6">
        <w:rPr>
          <w:b/>
          <w:bCs/>
          <w:sz w:val="30"/>
          <w:szCs w:val="30"/>
        </w:rPr>
        <w:t>:</w:t>
      </w:r>
      <w:r w:rsidRPr="00FE74A6">
        <w:rPr>
          <w:sz w:val="30"/>
          <w:szCs w:val="30"/>
        </w:rPr>
        <w:t> </w:t>
      </w:r>
      <w:r w:rsidRPr="00FE74A6">
        <w:rPr>
          <w:sz w:val="30"/>
          <w:szCs w:val="30"/>
          <w:rtl/>
        </w:rPr>
        <w:t>يقيس نسبة صافي الأرباح المتولدة إلى جملة الموارد المتاحة المتمثلة في الودائع وحقوق الملكية</w:t>
      </w:r>
      <w:r w:rsidRPr="00FE74A6">
        <w:rPr>
          <w:sz w:val="30"/>
          <w:szCs w:val="30"/>
        </w:rPr>
        <w:t xml:space="preserve"> Return on Total Resources </w:t>
      </w:r>
      <w:r w:rsidRPr="00FE74A6">
        <w:rPr>
          <w:sz w:val="30"/>
          <w:szCs w:val="30"/>
          <w:rtl/>
        </w:rPr>
        <w:t>معدل العائد على الموارد المتاحة- صافي الربح بعد الضريبة/ حقوق الملكية+ الودائع</w:t>
      </w:r>
      <w:r w:rsidRPr="00FE74A6">
        <w:rPr>
          <w:rFonts w:hint="cs"/>
          <w:sz w:val="30"/>
          <w:szCs w:val="30"/>
          <w:rtl/>
        </w:rPr>
        <w:t xml:space="preserve"> (</w:t>
      </w:r>
      <w:r w:rsidRPr="00FE74A6">
        <w:rPr>
          <w:sz w:val="30"/>
          <w:szCs w:val="30"/>
          <w:rtl/>
        </w:rPr>
        <w:t>منير</w:t>
      </w:r>
      <w:r w:rsidRPr="00FE74A6">
        <w:rPr>
          <w:rFonts w:hint="cs"/>
          <w:sz w:val="30"/>
          <w:szCs w:val="30"/>
          <w:rtl/>
        </w:rPr>
        <w:t>، 2006م).</w:t>
      </w:r>
    </w:p>
    <w:p w14:paraId="6CAFC945" w14:textId="77777777" w:rsidR="00FE74A6" w:rsidRPr="00FE74A6" w:rsidRDefault="00FE74A6" w:rsidP="00124D5E">
      <w:pPr>
        <w:pStyle w:val="Heading1"/>
        <w:bidi/>
        <w:rPr>
          <w:b/>
          <w:bCs/>
          <w:sz w:val="30"/>
          <w:szCs w:val="30"/>
        </w:rPr>
      </w:pPr>
      <w:bookmarkStart w:id="34" w:name="_Toc192716047"/>
      <w:r w:rsidRPr="00FE74A6">
        <w:rPr>
          <w:b/>
          <w:bCs/>
          <w:sz w:val="30"/>
          <w:szCs w:val="30"/>
          <w:rtl/>
        </w:rPr>
        <w:t>التوصيات للحد من التأثيرات</w:t>
      </w:r>
      <w:bookmarkEnd w:id="34"/>
    </w:p>
    <w:p w14:paraId="2EC94B09" w14:textId="77777777" w:rsidR="00FE74A6" w:rsidRPr="00FE74A6" w:rsidRDefault="00FE74A6" w:rsidP="00FE74A6">
      <w:pPr>
        <w:numPr>
          <w:ilvl w:val="0"/>
          <w:numId w:val="4"/>
        </w:numPr>
        <w:bidi/>
        <w:spacing w:line="276" w:lineRule="auto"/>
        <w:rPr>
          <w:sz w:val="30"/>
          <w:szCs w:val="30"/>
        </w:rPr>
      </w:pPr>
      <w:r w:rsidRPr="00FE74A6">
        <w:rPr>
          <w:b/>
          <w:bCs/>
          <w:sz w:val="30"/>
          <w:szCs w:val="30"/>
          <w:rtl/>
        </w:rPr>
        <w:t>تعزيز الإجراءات الأمنية</w:t>
      </w:r>
      <w:r w:rsidRPr="00FE74A6">
        <w:rPr>
          <w:b/>
          <w:bCs/>
          <w:sz w:val="30"/>
          <w:szCs w:val="30"/>
        </w:rPr>
        <w:t>:</w:t>
      </w:r>
      <w:r w:rsidRPr="00FE74A6">
        <w:rPr>
          <w:sz w:val="30"/>
          <w:szCs w:val="30"/>
        </w:rPr>
        <w:t xml:space="preserve"> </w:t>
      </w:r>
      <w:r w:rsidRPr="00FE74A6">
        <w:rPr>
          <w:sz w:val="30"/>
          <w:szCs w:val="30"/>
          <w:rtl/>
        </w:rPr>
        <w:t>الاستثمار في تقنيات حديثة للتشفير وحماية البيانات</w:t>
      </w:r>
      <w:r w:rsidRPr="00FE74A6">
        <w:rPr>
          <w:sz w:val="30"/>
          <w:szCs w:val="30"/>
        </w:rPr>
        <w:t>.</w:t>
      </w:r>
    </w:p>
    <w:p w14:paraId="7B50728E" w14:textId="77777777" w:rsidR="00FE74A6" w:rsidRPr="00FE74A6" w:rsidRDefault="00FE74A6" w:rsidP="00FE74A6">
      <w:pPr>
        <w:numPr>
          <w:ilvl w:val="0"/>
          <w:numId w:val="4"/>
        </w:numPr>
        <w:bidi/>
        <w:spacing w:line="276" w:lineRule="auto"/>
        <w:rPr>
          <w:sz w:val="30"/>
          <w:szCs w:val="30"/>
        </w:rPr>
      </w:pPr>
      <w:r w:rsidRPr="00FE74A6">
        <w:rPr>
          <w:b/>
          <w:bCs/>
          <w:sz w:val="30"/>
          <w:szCs w:val="30"/>
          <w:rtl/>
        </w:rPr>
        <w:t>رفع مستوى التوعية</w:t>
      </w:r>
      <w:r w:rsidRPr="00FE74A6">
        <w:rPr>
          <w:b/>
          <w:bCs/>
          <w:sz w:val="30"/>
          <w:szCs w:val="30"/>
        </w:rPr>
        <w:t>:</w:t>
      </w:r>
      <w:r w:rsidRPr="00FE74A6">
        <w:rPr>
          <w:sz w:val="30"/>
          <w:szCs w:val="30"/>
        </w:rPr>
        <w:t xml:space="preserve"> </w:t>
      </w:r>
      <w:r w:rsidRPr="00FE74A6">
        <w:rPr>
          <w:sz w:val="30"/>
          <w:szCs w:val="30"/>
          <w:rtl/>
        </w:rPr>
        <w:t>تنظيم حملات توعوية تستهدف تعريف المستخدمين بالمخاطر وكيفية تجنبها</w:t>
      </w:r>
      <w:r w:rsidRPr="00FE74A6">
        <w:rPr>
          <w:sz w:val="30"/>
          <w:szCs w:val="30"/>
        </w:rPr>
        <w:t>.</w:t>
      </w:r>
    </w:p>
    <w:p w14:paraId="5847AD11" w14:textId="77777777" w:rsidR="00FE74A6" w:rsidRPr="00FE74A6" w:rsidRDefault="00FE74A6" w:rsidP="00FE74A6">
      <w:pPr>
        <w:numPr>
          <w:ilvl w:val="0"/>
          <w:numId w:val="4"/>
        </w:numPr>
        <w:bidi/>
        <w:spacing w:line="276" w:lineRule="auto"/>
        <w:rPr>
          <w:sz w:val="30"/>
          <w:szCs w:val="30"/>
        </w:rPr>
      </w:pPr>
      <w:r w:rsidRPr="00FE74A6">
        <w:rPr>
          <w:b/>
          <w:bCs/>
          <w:sz w:val="30"/>
          <w:szCs w:val="30"/>
          <w:rtl/>
        </w:rPr>
        <w:t>تحسين استجابة البنوك</w:t>
      </w:r>
      <w:r w:rsidRPr="00FE74A6">
        <w:rPr>
          <w:b/>
          <w:bCs/>
          <w:sz w:val="30"/>
          <w:szCs w:val="30"/>
        </w:rPr>
        <w:t>:</w:t>
      </w:r>
      <w:r w:rsidRPr="00FE74A6">
        <w:rPr>
          <w:sz w:val="30"/>
          <w:szCs w:val="30"/>
        </w:rPr>
        <w:t xml:space="preserve"> </w:t>
      </w:r>
      <w:r w:rsidRPr="00FE74A6">
        <w:rPr>
          <w:sz w:val="30"/>
          <w:szCs w:val="30"/>
          <w:rtl/>
        </w:rPr>
        <w:t>تسهيل إجراءات استرداد الأموال وتعزيز قنوات التواصل مع العملاء</w:t>
      </w:r>
      <w:r w:rsidRPr="00FE74A6">
        <w:rPr>
          <w:sz w:val="30"/>
          <w:szCs w:val="30"/>
        </w:rPr>
        <w:t>.</w:t>
      </w:r>
    </w:p>
    <w:p w14:paraId="50C74C34" w14:textId="77777777" w:rsidR="00FE74A6" w:rsidRPr="00FE74A6" w:rsidRDefault="00FE74A6" w:rsidP="00FE74A6">
      <w:pPr>
        <w:numPr>
          <w:ilvl w:val="0"/>
          <w:numId w:val="4"/>
        </w:numPr>
        <w:bidi/>
        <w:spacing w:line="276" w:lineRule="auto"/>
        <w:rPr>
          <w:sz w:val="30"/>
          <w:szCs w:val="30"/>
        </w:rPr>
      </w:pPr>
      <w:r w:rsidRPr="00FE74A6">
        <w:rPr>
          <w:b/>
          <w:bCs/>
          <w:sz w:val="30"/>
          <w:szCs w:val="30"/>
          <w:rtl/>
        </w:rPr>
        <w:t>التعاون الدولي</w:t>
      </w:r>
      <w:r w:rsidRPr="00FE74A6">
        <w:rPr>
          <w:b/>
          <w:bCs/>
          <w:sz w:val="30"/>
          <w:szCs w:val="30"/>
        </w:rPr>
        <w:t>:</w:t>
      </w:r>
      <w:r w:rsidRPr="00FE74A6">
        <w:rPr>
          <w:sz w:val="30"/>
          <w:szCs w:val="30"/>
        </w:rPr>
        <w:t xml:space="preserve"> </w:t>
      </w:r>
      <w:r w:rsidRPr="00FE74A6">
        <w:rPr>
          <w:sz w:val="30"/>
          <w:szCs w:val="30"/>
          <w:rtl/>
        </w:rPr>
        <w:t>وضع سياسات موحدة لمكافحة الجرائم الإلكترونية وزيادة التنسيق بين الدول لملاحقة القراصنة</w:t>
      </w:r>
      <w:r w:rsidRPr="00FE74A6">
        <w:rPr>
          <w:rFonts w:hint="cs"/>
          <w:sz w:val="30"/>
          <w:szCs w:val="30"/>
          <w:rtl/>
        </w:rPr>
        <w:t>.</w:t>
      </w:r>
    </w:p>
    <w:p w14:paraId="08C3375E" w14:textId="77777777" w:rsidR="00FE74A6" w:rsidRPr="00FE74A6" w:rsidRDefault="00FE74A6" w:rsidP="00FE74A6">
      <w:pPr>
        <w:bidi/>
        <w:spacing w:line="276" w:lineRule="auto"/>
        <w:rPr>
          <w:b/>
          <w:bCs/>
          <w:sz w:val="30"/>
          <w:szCs w:val="30"/>
        </w:rPr>
      </w:pPr>
      <w:r w:rsidRPr="00FE74A6">
        <w:rPr>
          <w:b/>
          <w:bCs/>
          <w:sz w:val="30"/>
          <w:szCs w:val="30"/>
          <w:rtl/>
        </w:rPr>
        <w:t>الحلول لمواجهة المخاطر الإلكترونية لبطاقات الائتمان</w:t>
      </w:r>
    </w:p>
    <w:p w14:paraId="442FC7C5" w14:textId="77777777" w:rsidR="00FE74A6" w:rsidRPr="00FE74A6" w:rsidRDefault="00FE74A6" w:rsidP="00FE74A6">
      <w:pPr>
        <w:numPr>
          <w:ilvl w:val="0"/>
          <w:numId w:val="5"/>
        </w:numPr>
        <w:bidi/>
        <w:spacing w:line="276" w:lineRule="auto"/>
        <w:rPr>
          <w:sz w:val="30"/>
          <w:szCs w:val="30"/>
        </w:rPr>
      </w:pPr>
      <w:r w:rsidRPr="00FE74A6">
        <w:rPr>
          <w:sz w:val="30"/>
          <w:szCs w:val="30"/>
          <w:rtl/>
        </w:rPr>
        <w:t>التشفير من طرف إلى طرف</w:t>
      </w:r>
      <w:r w:rsidRPr="00FE74A6">
        <w:rPr>
          <w:sz w:val="30"/>
          <w:szCs w:val="30"/>
        </w:rPr>
        <w:t xml:space="preserve"> </w:t>
      </w:r>
      <w:r w:rsidRPr="00FE74A6">
        <w:rPr>
          <w:sz w:val="30"/>
          <w:szCs w:val="30"/>
          <w:rtl/>
        </w:rPr>
        <w:t>حماية البيانات بدءًا من نقطة إدخالها (مثل جهاز الدفع) وحتى وصولها إلى الخادم</w:t>
      </w:r>
      <w:r w:rsidRPr="00FE74A6">
        <w:rPr>
          <w:sz w:val="30"/>
          <w:szCs w:val="30"/>
        </w:rPr>
        <w:t>.</w:t>
      </w:r>
    </w:p>
    <w:p w14:paraId="780FBA5D" w14:textId="77777777" w:rsidR="00FE74A6" w:rsidRPr="00FE74A6" w:rsidRDefault="00FE74A6" w:rsidP="00FE74A6">
      <w:pPr>
        <w:numPr>
          <w:ilvl w:val="0"/>
          <w:numId w:val="5"/>
        </w:numPr>
        <w:bidi/>
        <w:spacing w:line="276" w:lineRule="auto"/>
        <w:rPr>
          <w:sz w:val="30"/>
          <w:szCs w:val="30"/>
        </w:rPr>
      </w:pPr>
      <w:r w:rsidRPr="00FE74A6">
        <w:rPr>
          <w:sz w:val="30"/>
          <w:szCs w:val="30"/>
          <w:rtl/>
        </w:rPr>
        <w:t>بطاقات مزودة برقائق إلكترونية تولد رموزًا متغيرة في كل معاملة، مما يجعلها أكثر أمانًا مقارنة بالبطاقات التقليدية</w:t>
      </w:r>
      <w:r w:rsidRPr="00FE74A6">
        <w:rPr>
          <w:sz w:val="30"/>
          <w:szCs w:val="30"/>
        </w:rPr>
        <w:t>.</w:t>
      </w:r>
    </w:p>
    <w:p w14:paraId="0E6D6DE9" w14:textId="77777777" w:rsidR="00FE74A6" w:rsidRPr="00FE74A6" w:rsidRDefault="00FE74A6" w:rsidP="00FE74A6">
      <w:pPr>
        <w:numPr>
          <w:ilvl w:val="0"/>
          <w:numId w:val="6"/>
        </w:numPr>
        <w:bidi/>
        <w:spacing w:line="276" w:lineRule="auto"/>
        <w:rPr>
          <w:sz w:val="30"/>
          <w:szCs w:val="30"/>
        </w:rPr>
      </w:pPr>
      <w:r w:rsidRPr="00FE74A6">
        <w:rPr>
          <w:sz w:val="30"/>
          <w:szCs w:val="30"/>
          <w:rtl/>
        </w:rPr>
        <w:t>إطلاق مبادرات من قبل المؤسسات المالية والبنوك لتثقيف العملاء حول كيفية حماية بياناتهم</w:t>
      </w:r>
      <w:r w:rsidRPr="00FE74A6">
        <w:rPr>
          <w:sz w:val="30"/>
          <w:szCs w:val="30"/>
        </w:rPr>
        <w:t>.</w:t>
      </w:r>
    </w:p>
    <w:p w14:paraId="171E3B52" w14:textId="77777777" w:rsidR="00FE74A6" w:rsidRPr="00FE74A6" w:rsidRDefault="00FE74A6" w:rsidP="00FE74A6">
      <w:pPr>
        <w:numPr>
          <w:ilvl w:val="0"/>
          <w:numId w:val="6"/>
        </w:numPr>
        <w:bidi/>
        <w:spacing w:line="276" w:lineRule="auto"/>
        <w:rPr>
          <w:sz w:val="30"/>
          <w:szCs w:val="30"/>
        </w:rPr>
      </w:pPr>
      <w:r w:rsidRPr="00FE74A6">
        <w:rPr>
          <w:sz w:val="30"/>
          <w:szCs w:val="30"/>
          <w:rtl/>
        </w:rPr>
        <w:t>التركيز على مخاطر فتح الروابط المشبوهة أو إدخال البيانات على مواقع غير موثوقة</w:t>
      </w:r>
      <w:r w:rsidRPr="00FE74A6">
        <w:rPr>
          <w:sz w:val="30"/>
          <w:szCs w:val="30"/>
        </w:rPr>
        <w:t>.</w:t>
      </w:r>
    </w:p>
    <w:p w14:paraId="7DD66AB0" w14:textId="77777777" w:rsidR="00FE74A6" w:rsidRPr="00FE74A6" w:rsidRDefault="00FE74A6" w:rsidP="00FE74A6">
      <w:pPr>
        <w:numPr>
          <w:ilvl w:val="0"/>
          <w:numId w:val="7"/>
        </w:numPr>
        <w:bidi/>
        <w:spacing w:line="276" w:lineRule="auto"/>
        <w:rPr>
          <w:sz w:val="30"/>
          <w:szCs w:val="30"/>
        </w:rPr>
      </w:pPr>
      <w:r w:rsidRPr="00FE74A6">
        <w:rPr>
          <w:sz w:val="30"/>
          <w:szCs w:val="30"/>
          <w:rtl/>
        </w:rPr>
        <w:t>إعلام المستخدمين بالإجراءات الصحيحة للإبلاغ عن عمليات الاحتيال أو الاشتباه بها</w:t>
      </w:r>
      <w:r w:rsidRPr="00FE74A6">
        <w:rPr>
          <w:sz w:val="30"/>
          <w:szCs w:val="30"/>
        </w:rPr>
        <w:t>.</w:t>
      </w:r>
    </w:p>
    <w:p w14:paraId="25C7E118" w14:textId="77777777" w:rsidR="00FE74A6" w:rsidRPr="00FE74A6" w:rsidRDefault="00FE74A6" w:rsidP="00FE74A6">
      <w:pPr>
        <w:numPr>
          <w:ilvl w:val="0"/>
          <w:numId w:val="7"/>
        </w:numPr>
        <w:bidi/>
        <w:spacing w:line="276" w:lineRule="auto"/>
        <w:rPr>
          <w:sz w:val="30"/>
          <w:szCs w:val="30"/>
        </w:rPr>
      </w:pPr>
      <w:r w:rsidRPr="00FE74A6">
        <w:rPr>
          <w:sz w:val="30"/>
          <w:szCs w:val="30"/>
          <w:rtl/>
        </w:rPr>
        <w:t>تعزيز الثقة بأن البنوك ستتعامل بسرعة وكفاءة مع شكاواهم</w:t>
      </w:r>
      <w:r w:rsidRPr="00FE74A6">
        <w:rPr>
          <w:sz w:val="30"/>
          <w:szCs w:val="30"/>
        </w:rPr>
        <w:t>.</w:t>
      </w:r>
    </w:p>
    <w:p w14:paraId="001312A4" w14:textId="77777777" w:rsidR="00FE74A6" w:rsidRPr="00FE74A6" w:rsidRDefault="00FE74A6" w:rsidP="00FE74A6">
      <w:pPr>
        <w:numPr>
          <w:ilvl w:val="0"/>
          <w:numId w:val="8"/>
        </w:numPr>
        <w:bidi/>
        <w:spacing w:line="276" w:lineRule="auto"/>
        <w:rPr>
          <w:sz w:val="30"/>
          <w:szCs w:val="30"/>
        </w:rPr>
      </w:pPr>
      <w:r w:rsidRPr="00FE74A6">
        <w:rPr>
          <w:sz w:val="30"/>
          <w:szCs w:val="30"/>
          <w:rtl/>
        </w:rPr>
        <w:lastRenderedPageBreak/>
        <w:t>اعتماد تشريعات دولية ملزمة تفرض على المؤسسات المالية وشركات التكنولوجيا الالتزام بمعايير الأمان الرقمي</w:t>
      </w:r>
      <w:r w:rsidRPr="00FE74A6">
        <w:rPr>
          <w:sz w:val="30"/>
          <w:szCs w:val="30"/>
        </w:rPr>
        <w:t>.</w:t>
      </w:r>
    </w:p>
    <w:p w14:paraId="76BEC48A" w14:textId="77777777" w:rsidR="00FE74A6" w:rsidRPr="00FE74A6" w:rsidRDefault="00FE74A6" w:rsidP="00FE74A6">
      <w:pPr>
        <w:numPr>
          <w:ilvl w:val="0"/>
          <w:numId w:val="9"/>
        </w:numPr>
        <w:bidi/>
        <w:spacing w:line="276" w:lineRule="auto"/>
        <w:rPr>
          <w:sz w:val="30"/>
          <w:szCs w:val="30"/>
        </w:rPr>
      </w:pPr>
      <w:r w:rsidRPr="00FE74A6">
        <w:rPr>
          <w:sz w:val="30"/>
          <w:szCs w:val="30"/>
          <w:rtl/>
        </w:rPr>
        <w:t>إنشاء مراكز دولية متخصصة لرصد الأنشطة الإجرامية الإلكترونية وملاحقة مرتكبيها</w:t>
      </w:r>
      <w:r w:rsidRPr="00FE74A6">
        <w:rPr>
          <w:sz w:val="30"/>
          <w:szCs w:val="30"/>
        </w:rPr>
        <w:t>.</w:t>
      </w:r>
    </w:p>
    <w:p w14:paraId="0F86CD5C" w14:textId="77777777" w:rsidR="00FE74A6" w:rsidRPr="00FE74A6" w:rsidRDefault="00FE74A6" w:rsidP="00FE74A6">
      <w:pPr>
        <w:numPr>
          <w:ilvl w:val="0"/>
          <w:numId w:val="10"/>
        </w:numPr>
        <w:bidi/>
        <w:spacing w:line="276" w:lineRule="auto"/>
        <w:rPr>
          <w:sz w:val="30"/>
          <w:szCs w:val="30"/>
        </w:rPr>
      </w:pPr>
      <w:r w:rsidRPr="00FE74A6">
        <w:rPr>
          <w:sz w:val="30"/>
          <w:szCs w:val="30"/>
          <w:rtl/>
        </w:rPr>
        <w:t>فرض عقوبات صارمة على الجهات أو الأفراد المتورطين في الجرائم الإلكترونية</w:t>
      </w:r>
      <w:r w:rsidRPr="00FE74A6">
        <w:rPr>
          <w:sz w:val="30"/>
          <w:szCs w:val="30"/>
        </w:rPr>
        <w:t>.</w:t>
      </w:r>
    </w:p>
    <w:p w14:paraId="418100D6" w14:textId="77777777" w:rsidR="00FE74A6" w:rsidRPr="00FE74A6" w:rsidRDefault="00FE74A6" w:rsidP="00FE74A6">
      <w:pPr>
        <w:numPr>
          <w:ilvl w:val="0"/>
          <w:numId w:val="10"/>
        </w:numPr>
        <w:bidi/>
        <w:spacing w:line="276" w:lineRule="auto"/>
        <w:rPr>
          <w:sz w:val="30"/>
          <w:szCs w:val="30"/>
        </w:rPr>
      </w:pPr>
      <w:r w:rsidRPr="00FE74A6">
        <w:rPr>
          <w:sz w:val="30"/>
          <w:szCs w:val="30"/>
          <w:rtl/>
        </w:rPr>
        <w:t>سن قوانين تحمي حقوق المستخدمين المتضررين، مثل إلزام المؤسسات المالية بتعويضهم عن الخسائر الناتجة عن الاحتيال</w:t>
      </w:r>
      <w:r w:rsidRPr="00FE74A6">
        <w:rPr>
          <w:sz w:val="30"/>
          <w:szCs w:val="30"/>
        </w:rPr>
        <w:t>.</w:t>
      </w:r>
    </w:p>
    <w:p w14:paraId="0D09F759" w14:textId="77777777" w:rsidR="00FE74A6" w:rsidRPr="00FE74A6" w:rsidRDefault="00FE74A6" w:rsidP="00FE74A6">
      <w:pPr>
        <w:numPr>
          <w:ilvl w:val="0"/>
          <w:numId w:val="11"/>
        </w:numPr>
        <w:bidi/>
        <w:spacing w:line="276" w:lineRule="auto"/>
        <w:rPr>
          <w:sz w:val="30"/>
          <w:szCs w:val="30"/>
        </w:rPr>
      </w:pPr>
      <w:r w:rsidRPr="00FE74A6">
        <w:rPr>
          <w:sz w:val="30"/>
          <w:szCs w:val="30"/>
          <w:rtl/>
        </w:rPr>
        <w:t>تشجيع المؤسسات على تبادل البيانات حول الهجمات الإلكترونية والاختراقات لتطوير استراتيجيات وقائية أفضل</w:t>
      </w:r>
      <w:r w:rsidRPr="00FE74A6">
        <w:rPr>
          <w:sz w:val="30"/>
          <w:szCs w:val="30"/>
        </w:rPr>
        <w:t>.</w:t>
      </w:r>
    </w:p>
    <w:p w14:paraId="5262D07F" w14:textId="77777777" w:rsidR="00FE74A6" w:rsidRDefault="00FE74A6" w:rsidP="00FE74A6">
      <w:pPr>
        <w:numPr>
          <w:ilvl w:val="0"/>
          <w:numId w:val="11"/>
        </w:numPr>
        <w:bidi/>
        <w:spacing w:line="276" w:lineRule="auto"/>
        <w:rPr>
          <w:sz w:val="30"/>
          <w:szCs w:val="30"/>
        </w:rPr>
      </w:pPr>
      <w:r w:rsidRPr="00FE74A6">
        <w:rPr>
          <w:sz w:val="30"/>
          <w:szCs w:val="30"/>
          <w:rtl/>
        </w:rPr>
        <w:t>إنشاء منصات مركزية تجمع بين الحكومات والشركات لتشارك التهديدات والابتكارات الأمنية</w:t>
      </w:r>
      <w:r w:rsidRPr="00FE74A6">
        <w:rPr>
          <w:rFonts w:hint="cs"/>
          <w:sz w:val="30"/>
          <w:szCs w:val="30"/>
          <w:rtl/>
        </w:rPr>
        <w:t xml:space="preserve"> (</w:t>
      </w:r>
      <w:r w:rsidRPr="00FE74A6">
        <w:rPr>
          <w:sz w:val="30"/>
          <w:szCs w:val="30"/>
          <w:rtl/>
        </w:rPr>
        <w:t>البجاري</w:t>
      </w:r>
      <w:r w:rsidRPr="00FE74A6">
        <w:rPr>
          <w:rFonts w:hint="cs"/>
          <w:sz w:val="30"/>
          <w:szCs w:val="30"/>
          <w:rtl/>
        </w:rPr>
        <w:t xml:space="preserve"> وآخرون، 2022م).</w:t>
      </w:r>
    </w:p>
    <w:p w14:paraId="5969A4BC" w14:textId="77777777" w:rsidR="004065F3" w:rsidRDefault="004065F3" w:rsidP="004065F3">
      <w:pPr>
        <w:bidi/>
        <w:spacing w:line="276" w:lineRule="auto"/>
        <w:rPr>
          <w:sz w:val="30"/>
          <w:szCs w:val="30"/>
          <w:rtl/>
        </w:rPr>
      </w:pPr>
    </w:p>
    <w:p w14:paraId="2246EFD3" w14:textId="77777777" w:rsidR="004065F3" w:rsidRDefault="004065F3" w:rsidP="004065F3">
      <w:pPr>
        <w:bidi/>
        <w:spacing w:line="276" w:lineRule="auto"/>
        <w:rPr>
          <w:sz w:val="30"/>
          <w:szCs w:val="30"/>
          <w:rtl/>
        </w:rPr>
      </w:pPr>
    </w:p>
    <w:p w14:paraId="27681591" w14:textId="77777777" w:rsidR="004065F3" w:rsidRDefault="004065F3" w:rsidP="004065F3">
      <w:pPr>
        <w:bidi/>
        <w:spacing w:line="276" w:lineRule="auto"/>
        <w:rPr>
          <w:sz w:val="30"/>
          <w:szCs w:val="30"/>
          <w:rtl/>
        </w:rPr>
      </w:pPr>
    </w:p>
    <w:p w14:paraId="0A638BD4" w14:textId="77777777" w:rsidR="004065F3" w:rsidRDefault="004065F3" w:rsidP="004065F3">
      <w:pPr>
        <w:bidi/>
        <w:spacing w:line="276" w:lineRule="auto"/>
        <w:rPr>
          <w:sz w:val="30"/>
          <w:szCs w:val="30"/>
          <w:rtl/>
        </w:rPr>
      </w:pPr>
    </w:p>
    <w:p w14:paraId="7073BC35" w14:textId="77777777" w:rsidR="004065F3" w:rsidRDefault="004065F3" w:rsidP="004065F3">
      <w:pPr>
        <w:bidi/>
        <w:spacing w:line="276" w:lineRule="auto"/>
        <w:rPr>
          <w:sz w:val="30"/>
          <w:szCs w:val="30"/>
          <w:rtl/>
        </w:rPr>
      </w:pPr>
    </w:p>
    <w:p w14:paraId="0D41ADCE" w14:textId="77777777" w:rsidR="004065F3" w:rsidRDefault="004065F3" w:rsidP="004065F3">
      <w:pPr>
        <w:bidi/>
        <w:spacing w:line="276" w:lineRule="auto"/>
        <w:rPr>
          <w:sz w:val="30"/>
          <w:szCs w:val="30"/>
          <w:rtl/>
        </w:rPr>
      </w:pPr>
    </w:p>
    <w:p w14:paraId="6A304A3E" w14:textId="77777777" w:rsidR="004065F3" w:rsidRDefault="004065F3" w:rsidP="004065F3">
      <w:pPr>
        <w:bidi/>
        <w:spacing w:line="276" w:lineRule="auto"/>
        <w:rPr>
          <w:sz w:val="30"/>
          <w:szCs w:val="30"/>
          <w:rtl/>
        </w:rPr>
      </w:pPr>
    </w:p>
    <w:p w14:paraId="788B49A2" w14:textId="77777777" w:rsidR="004065F3" w:rsidRDefault="004065F3" w:rsidP="004065F3">
      <w:pPr>
        <w:bidi/>
        <w:spacing w:line="276" w:lineRule="auto"/>
        <w:rPr>
          <w:sz w:val="30"/>
          <w:szCs w:val="30"/>
          <w:rtl/>
        </w:rPr>
      </w:pPr>
    </w:p>
    <w:p w14:paraId="57D84E18" w14:textId="77777777" w:rsidR="004065F3" w:rsidRPr="00FE74A6" w:rsidRDefault="004065F3" w:rsidP="004065F3">
      <w:pPr>
        <w:bidi/>
        <w:spacing w:line="360" w:lineRule="auto"/>
        <w:jc w:val="center"/>
        <w:rPr>
          <w:rFonts w:ascii="Traditional Arabic" w:eastAsia="Calibri" w:hAnsi="Traditional Arabic" w:cs="Traditional Arabic"/>
          <w:b/>
          <w:bCs/>
          <w:sz w:val="48"/>
          <w:szCs w:val="48"/>
          <w:rtl/>
        </w:rPr>
      </w:pPr>
    </w:p>
    <w:p w14:paraId="2038C809" w14:textId="77777777" w:rsidR="004065F3" w:rsidRDefault="004065F3" w:rsidP="004065F3">
      <w:pPr>
        <w:bidi/>
        <w:spacing w:line="360" w:lineRule="auto"/>
        <w:jc w:val="center"/>
        <w:rPr>
          <w:rFonts w:ascii="Traditional Arabic" w:eastAsia="Calibri" w:hAnsi="Traditional Arabic" w:cs="Traditional Arabic"/>
          <w:b/>
          <w:bCs/>
          <w:sz w:val="48"/>
          <w:szCs w:val="48"/>
          <w:rtl/>
        </w:rPr>
      </w:pPr>
    </w:p>
    <w:p w14:paraId="3D5EC887" w14:textId="77777777" w:rsidR="004065F3" w:rsidRDefault="004065F3" w:rsidP="004065F3">
      <w:pPr>
        <w:bidi/>
        <w:spacing w:line="360" w:lineRule="auto"/>
        <w:jc w:val="center"/>
        <w:rPr>
          <w:rFonts w:ascii="Traditional Arabic" w:eastAsia="Calibri" w:hAnsi="Traditional Arabic" w:cs="Traditional Arabic"/>
          <w:b/>
          <w:bCs/>
          <w:sz w:val="48"/>
          <w:szCs w:val="48"/>
          <w:rtl/>
        </w:rPr>
      </w:pPr>
    </w:p>
    <w:p w14:paraId="783FB2EA" w14:textId="77777777" w:rsidR="004065F3" w:rsidRDefault="004065F3" w:rsidP="004065F3">
      <w:pPr>
        <w:bidi/>
        <w:spacing w:line="360" w:lineRule="auto"/>
        <w:jc w:val="center"/>
        <w:rPr>
          <w:rFonts w:ascii="Traditional Arabic" w:eastAsia="Calibri" w:hAnsi="Traditional Arabic" w:cs="Traditional Arabic"/>
          <w:b/>
          <w:bCs/>
          <w:sz w:val="48"/>
          <w:szCs w:val="48"/>
          <w:rtl/>
        </w:rPr>
      </w:pPr>
    </w:p>
    <w:p w14:paraId="3EBFACF9" w14:textId="77777777" w:rsidR="004065F3" w:rsidRDefault="004065F3" w:rsidP="004065F3">
      <w:pPr>
        <w:bidi/>
        <w:spacing w:line="360" w:lineRule="auto"/>
        <w:jc w:val="center"/>
        <w:rPr>
          <w:rFonts w:ascii="Traditional Arabic" w:eastAsia="Calibri" w:hAnsi="Traditional Arabic" w:cs="Traditional Arabic"/>
          <w:b/>
          <w:bCs/>
          <w:sz w:val="48"/>
          <w:szCs w:val="48"/>
          <w:rtl/>
        </w:rPr>
      </w:pPr>
    </w:p>
    <w:p w14:paraId="5A5BB0EF" w14:textId="77777777" w:rsidR="004065F3" w:rsidRDefault="004065F3" w:rsidP="004065F3">
      <w:pPr>
        <w:bidi/>
        <w:spacing w:line="360" w:lineRule="auto"/>
        <w:jc w:val="center"/>
        <w:rPr>
          <w:rFonts w:ascii="Traditional Arabic" w:eastAsia="Calibri" w:hAnsi="Traditional Arabic" w:cs="Traditional Arabic"/>
          <w:b/>
          <w:bCs/>
          <w:sz w:val="48"/>
          <w:szCs w:val="48"/>
          <w:rtl/>
        </w:rPr>
      </w:pPr>
    </w:p>
    <w:p w14:paraId="0A9FB0EC" w14:textId="77777777" w:rsidR="004065F3" w:rsidRDefault="004065F3" w:rsidP="004065F3">
      <w:pPr>
        <w:bidi/>
        <w:spacing w:line="360" w:lineRule="auto"/>
        <w:jc w:val="center"/>
        <w:rPr>
          <w:rFonts w:ascii="Traditional Arabic" w:eastAsia="Calibri" w:hAnsi="Traditional Arabic" w:cs="Traditional Arabic"/>
          <w:b/>
          <w:bCs/>
          <w:sz w:val="48"/>
          <w:szCs w:val="48"/>
          <w:rtl/>
        </w:rPr>
      </w:pPr>
    </w:p>
    <w:p w14:paraId="2B52F705" w14:textId="77777777" w:rsidR="004065F3" w:rsidRDefault="004065F3" w:rsidP="004065F3">
      <w:pPr>
        <w:bidi/>
        <w:spacing w:line="360" w:lineRule="auto"/>
        <w:jc w:val="center"/>
        <w:rPr>
          <w:rFonts w:ascii="Traditional Arabic" w:eastAsia="Calibri" w:hAnsi="Traditional Arabic" w:cs="Traditional Arabic"/>
          <w:b/>
          <w:bCs/>
          <w:sz w:val="48"/>
          <w:szCs w:val="48"/>
          <w:rtl/>
        </w:rPr>
      </w:pPr>
    </w:p>
    <w:p w14:paraId="28DB57E1" w14:textId="77777777" w:rsidR="004065F3" w:rsidRDefault="004065F3" w:rsidP="004065F3">
      <w:pPr>
        <w:bidi/>
        <w:spacing w:line="360" w:lineRule="auto"/>
        <w:jc w:val="center"/>
        <w:rPr>
          <w:rFonts w:ascii="Traditional Arabic" w:eastAsia="Calibri" w:hAnsi="Traditional Arabic" w:cs="Traditional Arabic"/>
          <w:b/>
          <w:bCs/>
          <w:sz w:val="48"/>
          <w:szCs w:val="48"/>
          <w:rtl/>
        </w:rPr>
      </w:pPr>
    </w:p>
    <w:p w14:paraId="1CB83AAE" w14:textId="77777777" w:rsidR="007667C0" w:rsidRDefault="007667C0" w:rsidP="004065F3">
      <w:pPr>
        <w:bidi/>
        <w:spacing w:line="360" w:lineRule="auto"/>
        <w:jc w:val="center"/>
        <w:rPr>
          <w:rFonts w:ascii="Traditional Arabic" w:eastAsia="Calibri" w:hAnsi="Traditional Arabic" w:cs="Traditional Arabic"/>
          <w:b/>
          <w:bCs/>
          <w:sz w:val="48"/>
          <w:szCs w:val="48"/>
          <w:rtl/>
        </w:rPr>
      </w:pPr>
    </w:p>
    <w:p w14:paraId="0E946F90" w14:textId="77777777" w:rsidR="007667C0" w:rsidRDefault="007667C0" w:rsidP="007667C0">
      <w:pPr>
        <w:bidi/>
        <w:spacing w:line="360" w:lineRule="auto"/>
        <w:jc w:val="center"/>
        <w:rPr>
          <w:rFonts w:ascii="Traditional Arabic" w:eastAsia="Calibri" w:hAnsi="Traditional Arabic" w:cs="Traditional Arabic"/>
          <w:b/>
          <w:bCs/>
          <w:sz w:val="48"/>
          <w:szCs w:val="48"/>
          <w:rtl/>
        </w:rPr>
      </w:pPr>
    </w:p>
    <w:p w14:paraId="663F8DB5" w14:textId="77777777" w:rsidR="007667C0" w:rsidRDefault="007667C0" w:rsidP="007667C0">
      <w:pPr>
        <w:bidi/>
        <w:spacing w:line="360" w:lineRule="auto"/>
        <w:jc w:val="center"/>
        <w:rPr>
          <w:rFonts w:ascii="Traditional Arabic" w:eastAsia="Calibri" w:hAnsi="Traditional Arabic" w:cs="Traditional Arabic"/>
          <w:b/>
          <w:bCs/>
          <w:sz w:val="48"/>
          <w:szCs w:val="48"/>
          <w:rtl/>
        </w:rPr>
      </w:pPr>
    </w:p>
    <w:p w14:paraId="36E0EE96" w14:textId="6F889817" w:rsidR="008E3120" w:rsidRPr="004065F3" w:rsidRDefault="004065F3" w:rsidP="007667C0">
      <w:pPr>
        <w:bidi/>
        <w:spacing w:line="360" w:lineRule="auto"/>
        <w:jc w:val="center"/>
        <w:rPr>
          <w:rFonts w:ascii="Traditional Arabic" w:eastAsia="Calibri" w:hAnsi="Traditional Arabic" w:cs="Traditional Arabic"/>
          <w:b/>
          <w:bCs/>
          <w:sz w:val="48"/>
          <w:szCs w:val="48"/>
          <w:rtl/>
        </w:rPr>
      </w:pPr>
      <w:r w:rsidRPr="00FE74A6">
        <w:rPr>
          <w:rFonts w:ascii="Traditional Arabic" w:eastAsia="Calibri" w:hAnsi="Traditional Arabic" w:cs="Traditional Arabic"/>
          <w:noProof/>
          <w:kern w:val="0"/>
          <w:sz w:val="32"/>
          <w:szCs w:val="32"/>
          <w:rtl/>
          <w14:ligatures w14:val="none"/>
        </w:rPr>
        <mc:AlternateContent>
          <mc:Choice Requires="wps">
            <w:drawing>
              <wp:anchor distT="0" distB="0" distL="114300" distR="114300" simplePos="0" relativeHeight="251664384" behindDoc="0" locked="0" layoutInCell="1" allowOverlap="1" wp14:anchorId="4EB5D614" wp14:editId="30E29B9B">
                <wp:simplePos x="0" y="0"/>
                <wp:positionH relativeFrom="margin">
                  <wp:align>center</wp:align>
                </wp:positionH>
                <wp:positionV relativeFrom="page">
                  <wp:posOffset>2660559</wp:posOffset>
                </wp:positionV>
                <wp:extent cx="4114165" cy="2315935"/>
                <wp:effectExtent l="95250" t="133350" r="19685" b="27305"/>
                <wp:wrapNone/>
                <wp:docPr id="1569277604" name="Rectangle: Rounded Corners 15692776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165" cy="2315935"/>
                        </a:xfrm>
                        <a:prstGeom prst="roundRect">
                          <a:avLst>
                            <a:gd name="adj" fmla="val 17394"/>
                          </a:avLst>
                        </a:prstGeom>
                        <a:solidFill>
                          <a:srgbClr val="FFFFFF"/>
                        </a:solidFill>
                        <a:ln w="28575">
                          <a:solidFill>
                            <a:srgbClr val="000000"/>
                          </a:solidFill>
                          <a:round/>
                          <a:headEnd/>
                          <a:tailEnd/>
                        </a:ln>
                        <a:effectLst>
                          <a:outerShdw dist="137372" dir="14178596" algn="ctr" rotWithShape="0">
                            <a:srgbClr val="808080">
                              <a:alpha val="50000"/>
                            </a:srgbClr>
                          </a:outerShdw>
                        </a:effectLst>
                      </wps:spPr>
                      <wps:txbx>
                        <w:txbxContent>
                          <w:p w14:paraId="538186F8" w14:textId="64C648D1" w:rsidR="004065F3" w:rsidRPr="00BA5B25" w:rsidRDefault="004065F3" w:rsidP="004065F3">
                            <w:pPr>
                              <w:bidi/>
                              <w:spacing w:line="360" w:lineRule="auto"/>
                              <w:jc w:val="center"/>
                              <w:rPr>
                                <w:rFonts w:cs="PT Bold Heading"/>
                                <w:sz w:val="56"/>
                                <w:szCs w:val="56"/>
                                <w:rtl/>
                              </w:rPr>
                            </w:pPr>
                            <w:r w:rsidRPr="00BA5B25">
                              <w:rPr>
                                <w:rFonts w:cs="PT Bold Heading"/>
                                <w:sz w:val="56"/>
                                <w:szCs w:val="56"/>
                                <w:rtl/>
                              </w:rPr>
                              <w:t xml:space="preserve">الفصل </w:t>
                            </w:r>
                            <w:r>
                              <w:rPr>
                                <w:rFonts w:cs="PT Bold Heading" w:hint="cs"/>
                                <w:sz w:val="56"/>
                                <w:szCs w:val="56"/>
                                <w:rtl/>
                              </w:rPr>
                              <w:t>الثالث</w:t>
                            </w:r>
                            <w:r w:rsidRPr="00BA5B25">
                              <w:rPr>
                                <w:rFonts w:cs="PT Bold Heading"/>
                                <w:sz w:val="56"/>
                                <w:szCs w:val="56"/>
                              </w:rPr>
                              <w:t>:</w:t>
                            </w:r>
                          </w:p>
                          <w:p w14:paraId="2B23BBD3" w14:textId="73C096F4" w:rsidR="004065F3" w:rsidRPr="00BA5B25" w:rsidRDefault="004065F3" w:rsidP="004065F3">
                            <w:pPr>
                              <w:bidi/>
                              <w:spacing w:line="360" w:lineRule="auto"/>
                              <w:jc w:val="center"/>
                              <w:rPr>
                                <w:rFonts w:cs="PT Bold Heading"/>
                                <w:sz w:val="40"/>
                                <w:szCs w:val="40"/>
                              </w:rPr>
                            </w:pPr>
                            <w:r>
                              <w:rPr>
                                <w:rFonts w:cs="PT Bold Heading" w:hint="cs"/>
                                <w:sz w:val="48"/>
                                <w:szCs w:val="48"/>
                                <w:rtl/>
                              </w:rPr>
                              <w:t>الاستنتاجات والتوصيات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B5D614" id="Rectangle: Rounded Corners 1569277604" o:spid="_x0000_s1028" style="position:absolute;left:0;text-align:left;margin-left:0;margin-top:209.5pt;width:323.95pt;height:182.3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139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" strokeweight="2.25pt">
                <v:shadow on="t" opacity=".5" offset="-6pt,-9pt"/>
                <v:textbox>
                  <w:txbxContent>
                    <w:p w14:paraId="538186F8" w14:textId="64C648D1" w:rsidR="004065F3" w:rsidRPr="00BA5B25" w:rsidRDefault="004065F3" w:rsidP="004065F3">
                      <w:pPr>
                        <w:bidi/>
                        <w:spacing w:line="360" w:lineRule="auto"/>
                        <w:jc w:val="center"/>
                        <w:rPr>
                          <w:rFonts w:cs="PT Bold Heading"/>
                          <w:sz w:val="56"/>
                          <w:szCs w:val="56"/>
                          <w:rtl/>
                        </w:rPr>
                      </w:pPr>
                      <w:r w:rsidRPr="00BA5B25">
                        <w:rPr>
                          <w:rFonts w:cs="PT Bold Heading"/>
                          <w:sz w:val="56"/>
                          <w:szCs w:val="56"/>
                          <w:rtl/>
                        </w:rPr>
                        <w:t xml:space="preserve">الفصل </w:t>
                      </w:r>
                      <w:r>
                        <w:rPr>
                          <w:rFonts w:cs="PT Bold Heading" w:hint="cs"/>
                          <w:sz w:val="56"/>
                          <w:szCs w:val="56"/>
                          <w:rtl/>
                        </w:rPr>
                        <w:t>الثالث</w:t>
                      </w:r>
                      <w:r w:rsidRPr="00BA5B25">
                        <w:rPr>
                          <w:rFonts w:cs="PT Bold Heading"/>
                          <w:sz w:val="56"/>
                          <w:szCs w:val="56"/>
                        </w:rPr>
                        <w:t>:</w:t>
                      </w:r>
                    </w:p>
                    <w:p w14:paraId="2B23BBD3" w14:textId="73C096F4" w:rsidR="004065F3" w:rsidRPr="00BA5B25" w:rsidRDefault="004065F3" w:rsidP="004065F3">
                      <w:pPr>
                        <w:bidi/>
                        <w:spacing w:line="360" w:lineRule="auto"/>
                        <w:jc w:val="center"/>
                        <w:rPr>
                          <w:rFonts w:cs="PT Bold Heading"/>
                          <w:sz w:val="40"/>
                          <w:szCs w:val="40"/>
                        </w:rPr>
                      </w:pPr>
                      <w:r>
                        <w:rPr>
                          <w:rFonts w:cs="PT Bold Heading" w:hint="cs"/>
                          <w:sz w:val="48"/>
                          <w:szCs w:val="48"/>
                          <w:rtl/>
                        </w:rPr>
                        <w:t>الاستنتاجات والتوصيات</w:t>
                      </w:r>
                    </w:p>
                  </w:txbxContent>
                </v:textbox>
                <w10:wrap anchorx="margin" anchory="page"/>
              </v:roundrect>
            </w:pict>
          </mc:Fallback>
        </mc:AlternateContent>
      </w:r>
    </w:p>
    <w:p w14:paraId="6C3C819F" w14:textId="77777777" w:rsidR="008E3120" w:rsidRDefault="008E3120" w:rsidP="008E3120">
      <w:pPr>
        <w:bidi/>
        <w:spacing w:line="276" w:lineRule="auto"/>
        <w:rPr>
          <w:sz w:val="30"/>
          <w:szCs w:val="30"/>
          <w:rtl/>
        </w:rPr>
      </w:pPr>
    </w:p>
    <w:p w14:paraId="53773EC0" w14:textId="77777777" w:rsidR="008E3120" w:rsidRPr="008E3120" w:rsidRDefault="008E3120" w:rsidP="004065F3">
      <w:pPr>
        <w:pStyle w:val="Heading1"/>
        <w:bidi/>
        <w:rPr>
          <w:b/>
          <w:bCs/>
          <w:sz w:val="30"/>
          <w:szCs w:val="30"/>
        </w:rPr>
      </w:pPr>
      <w:bookmarkStart w:id="35" w:name="_Toc192716048"/>
      <w:r w:rsidRPr="008E3120">
        <w:rPr>
          <w:b/>
          <w:bCs/>
          <w:sz w:val="30"/>
          <w:szCs w:val="30"/>
          <w:rtl/>
        </w:rPr>
        <w:lastRenderedPageBreak/>
        <w:t>استنتاجات الدراسة</w:t>
      </w:r>
      <w:bookmarkEnd w:id="35"/>
    </w:p>
    <w:p w14:paraId="20AF2B83" w14:textId="77777777" w:rsidR="008E3120" w:rsidRPr="008E3120" w:rsidRDefault="008E3120" w:rsidP="008E3120">
      <w:pPr>
        <w:pStyle w:val="ListParagraph"/>
        <w:numPr>
          <w:ilvl w:val="0"/>
          <w:numId w:val="30"/>
        </w:numPr>
        <w:bidi/>
        <w:spacing w:line="276" w:lineRule="auto"/>
        <w:rPr>
          <w:sz w:val="30"/>
          <w:szCs w:val="30"/>
        </w:rPr>
      </w:pPr>
      <w:r w:rsidRPr="008E3120">
        <w:rPr>
          <w:sz w:val="30"/>
          <w:szCs w:val="30"/>
          <w:rtl/>
        </w:rPr>
        <w:t>بعد تحليل إدارة المخاطر في التمويل المصرفي واستعراض الأدبيات والنظريات ذات الصلة، توصلت الدراسة إلى مجموعة من الاستنتاجات المهمة التي تسلط الضوء على تأثير المخاطر المصرفية على أداء المؤسسات المالية وفعالية استراتيجيات إدارتها. فيما يلي أبرز الاستنتاجات التي تم التوصل إليها</w:t>
      </w:r>
      <w:r w:rsidRPr="008E3120">
        <w:rPr>
          <w:sz w:val="30"/>
          <w:szCs w:val="30"/>
        </w:rPr>
        <w:t>:</w:t>
      </w:r>
    </w:p>
    <w:p w14:paraId="547D38CB" w14:textId="77777777" w:rsidR="008E3120" w:rsidRPr="008E3120" w:rsidRDefault="008E3120" w:rsidP="008E3120">
      <w:pPr>
        <w:pStyle w:val="ListParagraph"/>
        <w:numPr>
          <w:ilvl w:val="0"/>
          <w:numId w:val="30"/>
        </w:numPr>
        <w:bidi/>
        <w:spacing w:line="276" w:lineRule="auto"/>
        <w:rPr>
          <w:sz w:val="30"/>
          <w:szCs w:val="30"/>
        </w:rPr>
      </w:pPr>
      <w:r w:rsidRPr="008E3120">
        <w:rPr>
          <w:sz w:val="30"/>
          <w:szCs w:val="30"/>
          <w:rtl/>
        </w:rPr>
        <w:t>تُعد إدارة المخاطر المصرفية من العوامل الحاسمة في تحقيق الاستقرار المالي وضمان استدامة عمل البنوك. إذ تساعد في التقليل من احتمالية التعرض لخسائر كبيرة نتيجة للمخاطر الائتمانية، مخاطر السوق، مخاطر السيولة، والمخاطر التشغيلية</w:t>
      </w:r>
      <w:r w:rsidRPr="008E3120">
        <w:rPr>
          <w:sz w:val="30"/>
          <w:szCs w:val="30"/>
        </w:rPr>
        <w:t>.</w:t>
      </w:r>
    </w:p>
    <w:p w14:paraId="7974361F" w14:textId="77777777" w:rsidR="008E3120" w:rsidRPr="008E3120" w:rsidRDefault="008E3120" w:rsidP="008E3120">
      <w:pPr>
        <w:pStyle w:val="ListParagraph"/>
        <w:numPr>
          <w:ilvl w:val="0"/>
          <w:numId w:val="30"/>
        </w:numPr>
        <w:bidi/>
        <w:spacing w:line="276" w:lineRule="auto"/>
        <w:rPr>
          <w:sz w:val="30"/>
          <w:szCs w:val="30"/>
        </w:rPr>
      </w:pPr>
      <w:r w:rsidRPr="008E3120">
        <w:rPr>
          <w:sz w:val="30"/>
          <w:szCs w:val="30"/>
          <w:rtl/>
        </w:rPr>
        <w:t>تُعد المخاطر الائتمانية الناتجة عن تعثر العملاء في السداد من أخطر التحديات التي تواجه المصارف، حيث تؤثر على جودة المحفظة الائتمانية وتزيد من نسبة القروض المتعثرة، مما يتطلب سياسات صارمة لتقييم الجدارة الائتمانية للعملاء قبل منح القروض</w:t>
      </w:r>
      <w:r w:rsidRPr="008E3120">
        <w:rPr>
          <w:sz w:val="30"/>
          <w:szCs w:val="30"/>
        </w:rPr>
        <w:t>.</w:t>
      </w:r>
    </w:p>
    <w:p w14:paraId="0252B046" w14:textId="77777777" w:rsidR="008E3120" w:rsidRPr="008E3120" w:rsidRDefault="008E3120" w:rsidP="008E3120">
      <w:pPr>
        <w:pStyle w:val="ListParagraph"/>
        <w:numPr>
          <w:ilvl w:val="0"/>
          <w:numId w:val="30"/>
        </w:numPr>
        <w:bidi/>
        <w:spacing w:line="276" w:lineRule="auto"/>
        <w:rPr>
          <w:sz w:val="30"/>
          <w:szCs w:val="30"/>
        </w:rPr>
      </w:pPr>
      <w:r w:rsidRPr="008E3120">
        <w:rPr>
          <w:sz w:val="30"/>
          <w:szCs w:val="30"/>
          <w:rtl/>
        </w:rPr>
        <w:t>أظهرت الدراسة أن البنوك تحتاج إلى تحقيق توازن بين الاحتفاظ بسيولة كافية لمواجهة الالتزامات قصيرة الأجل وبين تحقيق أرباح من خلال الاستثمار والإقراض. فزيادة السيولة قد تؤدي إلى انخفاض الربحية، في حين أن نقصها قد يعرض البنك لمخاطر تعثر مالي</w:t>
      </w:r>
      <w:r w:rsidRPr="008E3120">
        <w:rPr>
          <w:sz w:val="30"/>
          <w:szCs w:val="30"/>
        </w:rPr>
        <w:t>.</w:t>
      </w:r>
    </w:p>
    <w:p w14:paraId="115C042F" w14:textId="77777777" w:rsidR="008E3120" w:rsidRPr="008E3120" w:rsidRDefault="008E3120" w:rsidP="008E3120">
      <w:pPr>
        <w:pStyle w:val="ListParagraph"/>
        <w:numPr>
          <w:ilvl w:val="0"/>
          <w:numId w:val="30"/>
        </w:numPr>
        <w:bidi/>
        <w:spacing w:line="276" w:lineRule="auto"/>
        <w:rPr>
          <w:sz w:val="30"/>
          <w:szCs w:val="30"/>
        </w:rPr>
      </w:pPr>
      <w:r w:rsidRPr="008E3120">
        <w:rPr>
          <w:sz w:val="30"/>
          <w:szCs w:val="30"/>
          <w:rtl/>
        </w:rPr>
        <w:t>تؤثر التغيرات في أسعار الفائدة، أسعار الصرف، وتقلبات الأسواق المالية بشكل كبير على أداء المصارف، مما يستدعي استخدام أدوات التحوط مثل المشتقات المالية وإدارة المحافظ الاستثمارية بكفاءة</w:t>
      </w:r>
      <w:r w:rsidRPr="008E3120">
        <w:rPr>
          <w:sz w:val="30"/>
          <w:szCs w:val="30"/>
        </w:rPr>
        <w:t>.</w:t>
      </w:r>
    </w:p>
    <w:p w14:paraId="6E08221F" w14:textId="77777777" w:rsidR="008E3120" w:rsidRPr="008E3120" w:rsidRDefault="008E3120" w:rsidP="008E3120">
      <w:pPr>
        <w:pStyle w:val="ListParagraph"/>
        <w:numPr>
          <w:ilvl w:val="0"/>
          <w:numId w:val="30"/>
        </w:numPr>
        <w:bidi/>
        <w:spacing w:line="276" w:lineRule="auto"/>
        <w:rPr>
          <w:sz w:val="30"/>
          <w:szCs w:val="30"/>
        </w:rPr>
      </w:pPr>
      <w:r w:rsidRPr="008E3120">
        <w:rPr>
          <w:sz w:val="30"/>
          <w:szCs w:val="30"/>
          <w:rtl/>
        </w:rPr>
        <w:t>يلعب الذكاء الاصطناعي، التحليل التنبئي، وتقنيات البلوك تشين دورًا متزايدًا في تحسين قدرة المصارف على تقييم وإدارة المخاطر، حيث توفر هذه التقنيات أدوات تحليلية متقدمة لاكتشاف التهديدات المحتملة واتخاذ القرارات الاستباقية</w:t>
      </w:r>
      <w:r w:rsidRPr="008E3120">
        <w:rPr>
          <w:sz w:val="30"/>
          <w:szCs w:val="30"/>
        </w:rPr>
        <w:t>.</w:t>
      </w:r>
    </w:p>
    <w:p w14:paraId="51153A53" w14:textId="77777777" w:rsidR="008E3120" w:rsidRPr="008E3120" w:rsidRDefault="008E3120" w:rsidP="008E3120">
      <w:pPr>
        <w:pStyle w:val="ListParagraph"/>
        <w:numPr>
          <w:ilvl w:val="0"/>
          <w:numId w:val="30"/>
        </w:numPr>
        <w:bidi/>
        <w:spacing w:line="276" w:lineRule="auto"/>
        <w:rPr>
          <w:sz w:val="30"/>
          <w:szCs w:val="30"/>
        </w:rPr>
      </w:pPr>
      <w:r w:rsidRPr="008E3120">
        <w:rPr>
          <w:sz w:val="30"/>
          <w:szCs w:val="30"/>
          <w:rtl/>
        </w:rPr>
        <w:t xml:space="preserve">أظهرت الدراسة أن المصارف التي تطبق معايير </w:t>
      </w:r>
      <w:r w:rsidRPr="008E3120">
        <w:rPr>
          <w:b/>
          <w:bCs/>
          <w:sz w:val="30"/>
          <w:szCs w:val="30"/>
          <w:rtl/>
        </w:rPr>
        <w:t>لجنة بازل</w:t>
      </w:r>
      <w:r w:rsidRPr="008E3120">
        <w:rPr>
          <w:sz w:val="30"/>
          <w:szCs w:val="30"/>
          <w:rtl/>
        </w:rPr>
        <w:t xml:space="preserve"> </w:t>
      </w:r>
      <w:r w:rsidRPr="008E3120">
        <w:rPr>
          <w:sz w:val="30"/>
          <w:szCs w:val="30"/>
        </w:rPr>
        <w:t xml:space="preserve">(Basel Accords) </w:t>
      </w:r>
      <w:r w:rsidRPr="008E3120">
        <w:rPr>
          <w:sz w:val="30"/>
          <w:szCs w:val="30"/>
          <w:rtl/>
        </w:rPr>
        <w:t>تتمتع بمستوى أعلى من الحماية ضد الأزمات المالية، حيث تساعد هذه المعايير في ضبط كفاية رأس المال وإدارة المخاطر بفعالية</w:t>
      </w:r>
      <w:r w:rsidRPr="008E3120">
        <w:rPr>
          <w:sz w:val="30"/>
          <w:szCs w:val="30"/>
        </w:rPr>
        <w:t>.</w:t>
      </w:r>
    </w:p>
    <w:p w14:paraId="5355672C" w14:textId="77777777" w:rsidR="008E3120" w:rsidRPr="008E3120" w:rsidRDefault="008E3120" w:rsidP="008E3120">
      <w:pPr>
        <w:pStyle w:val="ListParagraph"/>
        <w:numPr>
          <w:ilvl w:val="0"/>
          <w:numId w:val="30"/>
        </w:numPr>
        <w:bidi/>
        <w:spacing w:line="276" w:lineRule="auto"/>
        <w:rPr>
          <w:sz w:val="30"/>
          <w:szCs w:val="30"/>
        </w:rPr>
      </w:pPr>
      <w:r w:rsidRPr="008E3120">
        <w:rPr>
          <w:sz w:val="30"/>
          <w:szCs w:val="30"/>
          <w:rtl/>
        </w:rPr>
        <w:t>الأخطاء البشرية، ضعف الرقابة الداخلية، واختراقات الأمن السيبراني من العوامل التي تزيد من المخاطر التشغيلية في المصارف. لذلك، فإن تحسين نظم الرقابة وتحديث البنية التحتية التقنية يساهمان في تقليل هذه المخاطر</w:t>
      </w:r>
      <w:r w:rsidRPr="008E3120">
        <w:rPr>
          <w:sz w:val="30"/>
          <w:szCs w:val="30"/>
        </w:rPr>
        <w:t>.</w:t>
      </w:r>
    </w:p>
    <w:p w14:paraId="29C7A90E" w14:textId="77777777" w:rsidR="008E3120" w:rsidRPr="008E3120" w:rsidRDefault="008E3120" w:rsidP="008E3120">
      <w:pPr>
        <w:pStyle w:val="ListParagraph"/>
        <w:numPr>
          <w:ilvl w:val="0"/>
          <w:numId w:val="30"/>
        </w:numPr>
        <w:bidi/>
        <w:spacing w:line="276" w:lineRule="auto"/>
        <w:rPr>
          <w:sz w:val="30"/>
          <w:szCs w:val="30"/>
        </w:rPr>
      </w:pPr>
      <w:r w:rsidRPr="008E3120">
        <w:rPr>
          <w:sz w:val="30"/>
          <w:szCs w:val="30"/>
          <w:rtl/>
        </w:rPr>
        <w:t>تبني أنظمة حوكمة فعالة يعزز من قدرة البنوك على اتخاذ قرارات رشيدة في إدارة المخاطر، كما أن تعزيز الشفافية والمساءلة يسهم في تقليل التضارب بين مصالح الإدارة والمساهمين</w:t>
      </w:r>
      <w:r w:rsidRPr="008E3120">
        <w:rPr>
          <w:sz w:val="30"/>
          <w:szCs w:val="30"/>
        </w:rPr>
        <w:t>.</w:t>
      </w:r>
    </w:p>
    <w:p w14:paraId="73F911EE" w14:textId="77777777" w:rsidR="008E3120" w:rsidRPr="008E3120" w:rsidRDefault="008E3120" w:rsidP="008E3120">
      <w:pPr>
        <w:pStyle w:val="ListParagraph"/>
        <w:numPr>
          <w:ilvl w:val="0"/>
          <w:numId w:val="30"/>
        </w:numPr>
        <w:bidi/>
        <w:spacing w:line="276" w:lineRule="auto"/>
        <w:rPr>
          <w:sz w:val="30"/>
          <w:szCs w:val="30"/>
        </w:rPr>
      </w:pPr>
      <w:r w:rsidRPr="008E3120">
        <w:rPr>
          <w:sz w:val="30"/>
          <w:szCs w:val="30"/>
          <w:rtl/>
        </w:rPr>
        <w:lastRenderedPageBreak/>
        <w:t>أظهرت الدراسة أن المصارف تحتاج إلى تطوير استراتيجيات تحوط أكثر تطورًا لمواجهة المخاطر المختلفة، مثل استخدام التأمين ضد المخاطر الائتمانية، وتطبيق أساليب التحليل الكمي المتقدمة لقياس المخاطر بدقة</w:t>
      </w:r>
      <w:r w:rsidRPr="008E3120">
        <w:rPr>
          <w:sz w:val="30"/>
          <w:szCs w:val="30"/>
        </w:rPr>
        <w:t>.</w:t>
      </w:r>
    </w:p>
    <w:p w14:paraId="02A0E980" w14:textId="24E1BD0D" w:rsidR="008E3120" w:rsidRPr="007667C0" w:rsidRDefault="008E3120" w:rsidP="007667C0">
      <w:pPr>
        <w:pStyle w:val="ListParagraph"/>
        <w:numPr>
          <w:ilvl w:val="0"/>
          <w:numId w:val="30"/>
        </w:numPr>
        <w:bidi/>
        <w:spacing w:line="276" w:lineRule="auto"/>
        <w:rPr>
          <w:sz w:val="30"/>
          <w:szCs w:val="30"/>
          <w:rtl/>
        </w:rPr>
      </w:pPr>
      <w:r w:rsidRPr="008E3120">
        <w:rPr>
          <w:sz w:val="30"/>
          <w:szCs w:val="30"/>
          <w:rtl/>
        </w:rPr>
        <w:t>ازدياد الاعتماد على الخدمات المصرفية الرقمية أدى إلى ارتفاع معدلات الهجمات السيبرانية، مما يستوجب تعزيز الأمن السيبراني وتطبيق حلول تشفير متقدمة لحماية بيانات العملاء والمعاملات المصرفية</w:t>
      </w:r>
      <w:r w:rsidRPr="008E3120">
        <w:rPr>
          <w:sz w:val="30"/>
          <w:szCs w:val="30"/>
        </w:rPr>
        <w:t>.</w:t>
      </w:r>
    </w:p>
    <w:p w14:paraId="6BABE841" w14:textId="77777777" w:rsidR="008E3120" w:rsidRPr="008E3120" w:rsidRDefault="008E3120" w:rsidP="004065F3">
      <w:pPr>
        <w:pStyle w:val="Heading1"/>
        <w:bidi/>
        <w:rPr>
          <w:b/>
          <w:bCs/>
          <w:sz w:val="30"/>
          <w:szCs w:val="30"/>
        </w:rPr>
      </w:pPr>
      <w:bookmarkStart w:id="36" w:name="_Toc192716049"/>
      <w:r w:rsidRPr="008E3120">
        <w:rPr>
          <w:b/>
          <w:bCs/>
          <w:sz w:val="30"/>
          <w:szCs w:val="30"/>
          <w:rtl/>
        </w:rPr>
        <w:t>توصيات الدراسة</w:t>
      </w:r>
      <w:bookmarkEnd w:id="36"/>
    </w:p>
    <w:p w14:paraId="3CF9E67F" w14:textId="77777777" w:rsidR="008E3120" w:rsidRPr="008E3120" w:rsidRDefault="008E3120" w:rsidP="008E3120">
      <w:pPr>
        <w:bidi/>
        <w:spacing w:line="276" w:lineRule="auto"/>
        <w:rPr>
          <w:sz w:val="30"/>
          <w:szCs w:val="30"/>
        </w:rPr>
      </w:pPr>
      <w:r w:rsidRPr="008E3120">
        <w:rPr>
          <w:sz w:val="30"/>
          <w:szCs w:val="30"/>
          <w:rtl/>
        </w:rPr>
        <w:t>بناءً على الاستنتاجات التي توصلت إليها الدراسة حول إدارة المخاطر في التمويل المصرفي، فإن هناك مجموعة من التوصيات التي يمكن أن تساهم في تعزيز كفاءة المصارف في مواجهة المخاطر وتحقيق الاستقرار المالي. وفيما يلي أبرز التوصيات</w:t>
      </w:r>
      <w:r w:rsidRPr="008E3120">
        <w:rPr>
          <w:sz w:val="30"/>
          <w:szCs w:val="30"/>
        </w:rPr>
        <w:t>:</w:t>
      </w:r>
    </w:p>
    <w:p w14:paraId="2967648C" w14:textId="77777777" w:rsidR="008E3120" w:rsidRPr="008E3120" w:rsidRDefault="008E3120" w:rsidP="008E3120">
      <w:pPr>
        <w:numPr>
          <w:ilvl w:val="0"/>
          <w:numId w:val="31"/>
        </w:numPr>
        <w:bidi/>
        <w:spacing w:line="276" w:lineRule="auto"/>
        <w:rPr>
          <w:sz w:val="30"/>
          <w:szCs w:val="30"/>
        </w:rPr>
      </w:pPr>
      <w:r w:rsidRPr="008E3120">
        <w:rPr>
          <w:sz w:val="30"/>
          <w:szCs w:val="30"/>
          <w:rtl/>
        </w:rPr>
        <w:t>ضرورة تطوير وحدات متخصصة في إدارة المخاطر المصرفية داخل البنوك، بحيث تكون قادرة على تحليل المخاطر وتقديم حلول استباقية</w:t>
      </w:r>
      <w:r w:rsidRPr="008E3120">
        <w:rPr>
          <w:sz w:val="30"/>
          <w:szCs w:val="30"/>
        </w:rPr>
        <w:t>.</w:t>
      </w:r>
    </w:p>
    <w:p w14:paraId="7E8915D0" w14:textId="77777777" w:rsidR="008E3120" w:rsidRPr="008E3120" w:rsidRDefault="008E3120" w:rsidP="008E3120">
      <w:pPr>
        <w:numPr>
          <w:ilvl w:val="0"/>
          <w:numId w:val="31"/>
        </w:numPr>
        <w:bidi/>
        <w:spacing w:line="276" w:lineRule="auto"/>
        <w:rPr>
          <w:sz w:val="30"/>
          <w:szCs w:val="30"/>
        </w:rPr>
      </w:pPr>
      <w:r w:rsidRPr="008E3120">
        <w:rPr>
          <w:sz w:val="30"/>
          <w:szCs w:val="30"/>
          <w:rtl/>
        </w:rPr>
        <w:t>تفعيل دور لجان إدارة المخاطر في المصارف لمتابعة المخاطر المحتملة ووضع خطط لتقليل آثارها</w:t>
      </w:r>
      <w:r w:rsidRPr="008E3120">
        <w:rPr>
          <w:sz w:val="30"/>
          <w:szCs w:val="30"/>
        </w:rPr>
        <w:t>.</w:t>
      </w:r>
    </w:p>
    <w:p w14:paraId="6C16CD49" w14:textId="77777777" w:rsidR="008E3120" w:rsidRPr="008E3120" w:rsidRDefault="008E3120" w:rsidP="008E3120">
      <w:pPr>
        <w:numPr>
          <w:ilvl w:val="0"/>
          <w:numId w:val="31"/>
        </w:numPr>
        <w:bidi/>
        <w:spacing w:line="276" w:lineRule="auto"/>
        <w:rPr>
          <w:sz w:val="30"/>
          <w:szCs w:val="30"/>
        </w:rPr>
      </w:pPr>
      <w:r w:rsidRPr="008E3120">
        <w:rPr>
          <w:sz w:val="30"/>
          <w:szCs w:val="30"/>
          <w:rtl/>
        </w:rPr>
        <w:t>تبني سياسات تحوط مالية فعالة تعتمد على الأدوات المالية الحديثة مثل المشتقات المالية والتأمين على القروض</w:t>
      </w:r>
      <w:r w:rsidRPr="008E3120">
        <w:rPr>
          <w:sz w:val="30"/>
          <w:szCs w:val="30"/>
        </w:rPr>
        <w:t>.</w:t>
      </w:r>
    </w:p>
    <w:p w14:paraId="2716ABD1" w14:textId="77777777" w:rsidR="008E3120" w:rsidRPr="008E3120" w:rsidRDefault="008E3120" w:rsidP="008E3120">
      <w:pPr>
        <w:numPr>
          <w:ilvl w:val="0"/>
          <w:numId w:val="32"/>
        </w:numPr>
        <w:bidi/>
        <w:spacing w:line="276" w:lineRule="auto"/>
        <w:rPr>
          <w:sz w:val="30"/>
          <w:szCs w:val="30"/>
        </w:rPr>
      </w:pPr>
      <w:r w:rsidRPr="008E3120">
        <w:rPr>
          <w:sz w:val="30"/>
          <w:szCs w:val="30"/>
          <w:rtl/>
        </w:rPr>
        <w:t>تطبيق نماذج تحليل الجدارة الائتمانية لقياس قدرة العملاء على السداد قبل منح التمويل</w:t>
      </w:r>
      <w:r w:rsidRPr="008E3120">
        <w:rPr>
          <w:sz w:val="30"/>
          <w:szCs w:val="30"/>
        </w:rPr>
        <w:t>.</w:t>
      </w:r>
    </w:p>
    <w:p w14:paraId="2BCA4080" w14:textId="77777777" w:rsidR="008E3120" w:rsidRPr="008E3120" w:rsidRDefault="008E3120" w:rsidP="008E3120">
      <w:pPr>
        <w:numPr>
          <w:ilvl w:val="0"/>
          <w:numId w:val="32"/>
        </w:numPr>
        <w:bidi/>
        <w:spacing w:line="276" w:lineRule="auto"/>
        <w:rPr>
          <w:sz w:val="30"/>
          <w:szCs w:val="30"/>
        </w:rPr>
      </w:pPr>
      <w:r w:rsidRPr="008E3120">
        <w:rPr>
          <w:sz w:val="30"/>
          <w:szCs w:val="30"/>
          <w:rtl/>
        </w:rPr>
        <w:t>تطوير معايير صارمة لمنح القروض، مع التركيز على التصنيف الائتماني للعملاء والشركات</w:t>
      </w:r>
      <w:r w:rsidRPr="008E3120">
        <w:rPr>
          <w:sz w:val="30"/>
          <w:szCs w:val="30"/>
        </w:rPr>
        <w:t>.</w:t>
      </w:r>
    </w:p>
    <w:p w14:paraId="09194499" w14:textId="77777777" w:rsidR="008E3120" w:rsidRPr="008E3120" w:rsidRDefault="008E3120" w:rsidP="008E3120">
      <w:pPr>
        <w:numPr>
          <w:ilvl w:val="0"/>
          <w:numId w:val="32"/>
        </w:numPr>
        <w:bidi/>
        <w:spacing w:line="276" w:lineRule="auto"/>
        <w:rPr>
          <w:sz w:val="30"/>
          <w:szCs w:val="30"/>
        </w:rPr>
      </w:pPr>
      <w:r w:rsidRPr="008E3120">
        <w:rPr>
          <w:sz w:val="30"/>
          <w:szCs w:val="30"/>
          <w:rtl/>
        </w:rPr>
        <w:t>استخدام تقنيات الذكاء الاصطناعي والتحليل التنبئي لرصد مؤشرات التعثر الائتماني والتنبؤ بمخاطر عدم السداد</w:t>
      </w:r>
      <w:r w:rsidRPr="008E3120">
        <w:rPr>
          <w:sz w:val="30"/>
          <w:szCs w:val="30"/>
        </w:rPr>
        <w:t>.</w:t>
      </w:r>
    </w:p>
    <w:p w14:paraId="473EE5A6" w14:textId="77777777" w:rsidR="008E3120" w:rsidRPr="008E3120" w:rsidRDefault="008E3120" w:rsidP="008E3120">
      <w:pPr>
        <w:numPr>
          <w:ilvl w:val="0"/>
          <w:numId w:val="33"/>
        </w:numPr>
        <w:bidi/>
        <w:spacing w:line="276" w:lineRule="auto"/>
        <w:rPr>
          <w:sz w:val="30"/>
          <w:szCs w:val="30"/>
        </w:rPr>
      </w:pPr>
      <w:r w:rsidRPr="008E3120">
        <w:rPr>
          <w:sz w:val="30"/>
          <w:szCs w:val="30"/>
          <w:rtl/>
        </w:rPr>
        <w:t>تحسين إدارة السيولة من خلال اعتماد سياسات تضمن وجود احتياطي كافٍ لمواجهة السحوبات المفاجئة</w:t>
      </w:r>
      <w:r w:rsidRPr="008E3120">
        <w:rPr>
          <w:sz w:val="30"/>
          <w:szCs w:val="30"/>
        </w:rPr>
        <w:t>.</w:t>
      </w:r>
    </w:p>
    <w:p w14:paraId="52FCF329" w14:textId="77777777" w:rsidR="008E3120" w:rsidRPr="008E3120" w:rsidRDefault="008E3120" w:rsidP="008E3120">
      <w:pPr>
        <w:numPr>
          <w:ilvl w:val="0"/>
          <w:numId w:val="33"/>
        </w:numPr>
        <w:bidi/>
        <w:spacing w:line="276" w:lineRule="auto"/>
        <w:rPr>
          <w:sz w:val="30"/>
          <w:szCs w:val="30"/>
        </w:rPr>
      </w:pPr>
      <w:r w:rsidRPr="008E3120">
        <w:rPr>
          <w:sz w:val="30"/>
          <w:szCs w:val="30"/>
          <w:rtl/>
        </w:rPr>
        <w:t>تنويع مصادر التمويل للمصارف لضمان الاستقرار المالي وتقليل الاعتماد على مصادر تمويل محددة</w:t>
      </w:r>
      <w:r w:rsidRPr="008E3120">
        <w:rPr>
          <w:sz w:val="30"/>
          <w:szCs w:val="30"/>
        </w:rPr>
        <w:t>.</w:t>
      </w:r>
    </w:p>
    <w:p w14:paraId="4D094E46" w14:textId="77777777" w:rsidR="008E3120" w:rsidRPr="008E3120" w:rsidRDefault="008E3120" w:rsidP="008E3120">
      <w:pPr>
        <w:numPr>
          <w:ilvl w:val="0"/>
          <w:numId w:val="33"/>
        </w:numPr>
        <w:bidi/>
        <w:spacing w:line="276" w:lineRule="auto"/>
        <w:rPr>
          <w:sz w:val="30"/>
          <w:szCs w:val="30"/>
        </w:rPr>
      </w:pPr>
      <w:r w:rsidRPr="008E3120">
        <w:rPr>
          <w:sz w:val="30"/>
          <w:szCs w:val="30"/>
          <w:rtl/>
        </w:rPr>
        <w:t>تطوير استراتيجيات استثمارية توازن بين تحقيق الأرباح وتقليل المخاطر</w:t>
      </w:r>
      <w:r w:rsidRPr="008E3120">
        <w:rPr>
          <w:sz w:val="30"/>
          <w:szCs w:val="30"/>
        </w:rPr>
        <w:t>.</w:t>
      </w:r>
    </w:p>
    <w:p w14:paraId="79374104" w14:textId="77777777" w:rsidR="008E3120" w:rsidRPr="008E3120" w:rsidRDefault="008E3120" w:rsidP="008E3120">
      <w:pPr>
        <w:numPr>
          <w:ilvl w:val="0"/>
          <w:numId w:val="34"/>
        </w:numPr>
        <w:bidi/>
        <w:spacing w:line="276" w:lineRule="auto"/>
        <w:rPr>
          <w:sz w:val="30"/>
          <w:szCs w:val="30"/>
        </w:rPr>
      </w:pPr>
      <w:r w:rsidRPr="008E3120">
        <w:rPr>
          <w:sz w:val="30"/>
          <w:szCs w:val="30"/>
          <w:rtl/>
        </w:rPr>
        <w:lastRenderedPageBreak/>
        <w:t>التزام المصارف بمعايير لجنة بازل لضمان كفاية رأس المال وتغطية المخاطر الائتمانية والسوقية والتشغيلية</w:t>
      </w:r>
      <w:r w:rsidRPr="008E3120">
        <w:rPr>
          <w:sz w:val="30"/>
          <w:szCs w:val="30"/>
        </w:rPr>
        <w:t>.</w:t>
      </w:r>
    </w:p>
    <w:p w14:paraId="57C62F76" w14:textId="77777777" w:rsidR="008E3120" w:rsidRPr="008E3120" w:rsidRDefault="008E3120" w:rsidP="008E3120">
      <w:pPr>
        <w:numPr>
          <w:ilvl w:val="0"/>
          <w:numId w:val="34"/>
        </w:numPr>
        <w:bidi/>
        <w:spacing w:line="276" w:lineRule="auto"/>
        <w:rPr>
          <w:sz w:val="30"/>
          <w:szCs w:val="30"/>
        </w:rPr>
      </w:pPr>
      <w:r w:rsidRPr="008E3120">
        <w:rPr>
          <w:sz w:val="30"/>
          <w:szCs w:val="30"/>
          <w:rtl/>
        </w:rPr>
        <w:t>تبني أفضل الممارسات العالمية في إدارة المخاطر، مثل استخدام مؤشرات القيمة المعرضة للخطر</w:t>
      </w:r>
      <w:r w:rsidRPr="008E3120">
        <w:rPr>
          <w:sz w:val="30"/>
          <w:szCs w:val="30"/>
        </w:rPr>
        <w:t xml:space="preserve"> (VaR) </w:t>
      </w:r>
      <w:r w:rsidRPr="008E3120">
        <w:rPr>
          <w:sz w:val="30"/>
          <w:szCs w:val="30"/>
          <w:rtl/>
        </w:rPr>
        <w:t>وأدوات قياس المخاطر المتقدمة</w:t>
      </w:r>
      <w:r w:rsidRPr="008E3120">
        <w:rPr>
          <w:sz w:val="30"/>
          <w:szCs w:val="30"/>
        </w:rPr>
        <w:t>.</w:t>
      </w:r>
    </w:p>
    <w:p w14:paraId="6917A931" w14:textId="77777777" w:rsidR="008E3120" w:rsidRPr="008E3120" w:rsidRDefault="008E3120" w:rsidP="008E3120">
      <w:pPr>
        <w:numPr>
          <w:ilvl w:val="0"/>
          <w:numId w:val="34"/>
        </w:numPr>
        <w:bidi/>
        <w:spacing w:line="276" w:lineRule="auto"/>
        <w:rPr>
          <w:sz w:val="30"/>
          <w:szCs w:val="30"/>
        </w:rPr>
      </w:pPr>
      <w:r w:rsidRPr="008E3120">
        <w:rPr>
          <w:sz w:val="30"/>
          <w:szCs w:val="30"/>
          <w:rtl/>
        </w:rPr>
        <w:t>تعزيز التعاون مع البنوك المركزية والهيئات الرقابية لضمان الامتثال للمعايير المصرفية الدولية</w:t>
      </w:r>
      <w:r w:rsidRPr="008E3120">
        <w:rPr>
          <w:sz w:val="30"/>
          <w:szCs w:val="30"/>
        </w:rPr>
        <w:t>.</w:t>
      </w:r>
    </w:p>
    <w:p w14:paraId="05DFE34F" w14:textId="77777777" w:rsidR="008E3120" w:rsidRPr="008E3120" w:rsidRDefault="008E3120" w:rsidP="008E3120">
      <w:pPr>
        <w:numPr>
          <w:ilvl w:val="0"/>
          <w:numId w:val="35"/>
        </w:numPr>
        <w:bidi/>
        <w:spacing w:line="276" w:lineRule="auto"/>
        <w:rPr>
          <w:sz w:val="30"/>
          <w:szCs w:val="30"/>
        </w:rPr>
      </w:pPr>
      <w:r w:rsidRPr="008E3120">
        <w:rPr>
          <w:sz w:val="30"/>
          <w:szCs w:val="30"/>
          <w:rtl/>
        </w:rPr>
        <w:t>تفعيل نظم الحوكمة داخل المصارف لتعزيز المساءلة وتقليل المخاطر التشغيلية</w:t>
      </w:r>
      <w:r w:rsidRPr="008E3120">
        <w:rPr>
          <w:sz w:val="30"/>
          <w:szCs w:val="30"/>
        </w:rPr>
        <w:t>.</w:t>
      </w:r>
    </w:p>
    <w:p w14:paraId="49474898" w14:textId="77777777" w:rsidR="008E3120" w:rsidRPr="008E3120" w:rsidRDefault="008E3120" w:rsidP="008E3120">
      <w:pPr>
        <w:numPr>
          <w:ilvl w:val="0"/>
          <w:numId w:val="36"/>
        </w:numPr>
        <w:bidi/>
        <w:spacing w:line="276" w:lineRule="auto"/>
        <w:rPr>
          <w:sz w:val="30"/>
          <w:szCs w:val="30"/>
        </w:rPr>
      </w:pPr>
      <w:r w:rsidRPr="008E3120">
        <w:rPr>
          <w:sz w:val="30"/>
          <w:szCs w:val="30"/>
          <w:rtl/>
        </w:rPr>
        <w:t>الاستثمار في تقنيات الأمن السيبراني لحماية الأنظمة المصرفية من الهجمات الإلكترونية والاحتيال المالي</w:t>
      </w:r>
      <w:r w:rsidRPr="008E3120">
        <w:rPr>
          <w:sz w:val="30"/>
          <w:szCs w:val="30"/>
        </w:rPr>
        <w:t>.</w:t>
      </w:r>
    </w:p>
    <w:p w14:paraId="4EB8CE4D" w14:textId="77777777" w:rsidR="008E3120" w:rsidRPr="008E3120" w:rsidRDefault="008E3120" w:rsidP="008E3120">
      <w:pPr>
        <w:numPr>
          <w:ilvl w:val="0"/>
          <w:numId w:val="36"/>
        </w:numPr>
        <w:bidi/>
        <w:spacing w:line="276" w:lineRule="auto"/>
        <w:rPr>
          <w:sz w:val="30"/>
          <w:szCs w:val="30"/>
        </w:rPr>
      </w:pPr>
      <w:r w:rsidRPr="008E3120">
        <w:rPr>
          <w:sz w:val="30"/>
          <w:szCs w:val="30"/>
          <w:rtl/>
        </w:rPr>
        <w:t>تطبيق تشفير البيانات وتقنيات المصادقة الثنائية في جميع العمليات المصرفية الإلكترونية</w:t>
      </w:r>
      <w:r w:rsidRPr="008E3120">
        <w:rPr>
          <w:sz w:val="30"/>
          <w:szCs w:val="30"/>
        </w:rPr>
        <w:t>.</w:t>
      </w:r>
    </w:p>
    <w:p w14:paraId="0F17CF17" w14:textId="77777777" w:rsidR="008E3120" w:rsidRPr="008E3120" w:rsidRDefault="008E3120" w:rsidP="008E3120">
      <w:pPr>
        <w:numPr>
          <w:ilvl w:val="0"/>
          <w:numId w:val="37"/>
        </w:numPr>
        <w:bidi/>
        <w:spacing w:line="276" w:lineRule="auto"/>
        <w:rPr>
          <w:sz w:val="30"/>
          <w:szCs w:val="30"/>
        </w:rPr>
      </w:pPr>
      <w:r w:rsidRPr="008E3120">
        <w:rPr>
          <w:sz w:val="30"/>
          <w:szCs w:val="30"/>
          <w:rtl/>
        </w:rPr>
        <w:t>تقديم برامج تدريبية دورية لموظفي البنوك حول أحدث تقنيات إدارة المخاطر</w:t>
      </w:r>
      <w:r w:rsidRPr="008E3120">
        <w:rPr>
          <w:sz w:val="30"/>
          <w:szCs w:val="30"/>
        </w:rPr>
        <w:t>.</w:t>
      </w:r>
    </w:p>
    <w:p w14:paraId="353D6758" w14:textId="77777777" w:rsidR="008E3120" w:rsidRPr="008E3120" w:rsidRDefault="008E3120" w:rsidP="008E3120">
      <w:pPr>
        <w:numPr>
          <w:ilvl w:val="0"/>
          <w:numId w:val="37"/>
        </w:numPr>
        <w:bidi/>
        <w:spacing w:line="276" w:lineRule="auto"/>
        <w:rPr>
          <w:sz w:val="30"/>
          <w:szCs w:val="30"/>
        </w:rPr>
      </w:pPr>
      <w:r w:rsidRPr="008E3120">
        <w:rPr>
          <w:sz w:val="30"/>
          <w:szCs w:val="30"/>
          <w:rtl/>
        </w:rPr>
        <w:t>تعزيز ثقافة التفكير التحليلي واتخاذ القرار في مجال المخاطر لدى العاملين في القطاع المصرفي</w:t>
      </w:r>
      <w:r w:rsidRPr="008E3120">
        <w:rPr>
          <w:sz w:val="30"/>
          <w:szCs w:val="30"/>
        </w:rPr>
        <w:t>.</w:t>
      </w:r>
    </w:p>
    <w:p w14:paraId="49ED9541" w14:textId="77777777" w:rsidR="008E3120" w:rsidRPr="008E3120" w:rsidRDefault="008E3120" w:rsidP="008E3120">
      <w:pPr>
        <w:numPr>
          <w:ilvl w:val="0"/>
          <w:numId w:val="38"/>
        </w:numPr>
        <w:bidi/>
        <w:spacing w:line="276" w:lineRule="auto"/>
        <w:rPr>
          <w:sz w:val="30"/>
          <w:szCs w:val="30"/>
        </w:rPr>
      </w:pPr>
      <w:r w:rsidRPr="008E3120">
        <w:rPr>
          <w:sz w:val="30"/>
          <w:szCs w:val="30"/>
          <w:rtl/>
        </w:rPr>
        <w:t>استخدام أدوات التحوط مثل العقود المستقبلية</w:t>
      </w:r>
      <w:r w:rsidRPr="008E3120">
        <w:rPr>
          <w:sz w:val="30"/>
          <w:szCs w:val="30"/>
        </w:rPr>
        <w:t xml:space="preserve"> (Futures) </w:t>
      </w:r>
      <w:r w:rsidRPr="008E3120">
        <w:rPr>
          <w:sz w:val="30"/>
          <w:szCs w:val="30"/>
          <w:rtl/>
        </w:rPr>
        <w:t>والمشتقات المالية لحماية المصارف من مخاطر السوق</w:t>
      </w:r>
      <w:r w:rsidRPr="008E3120">
        <w:rPr>
          <w:sz w:val="30"/>
          <w:szCs w:val="30"/>
        </w:rPr>
        <w:t>.</w:t>
      </w:r>
    </w:p>
    <w:p w14:paraId="3A83B4B5" w14:textId="77777777" w:rsidR="008E3120" w:rsidRPr="008E3120" w:rsidRDefault="008E3120" w:rsidP="008E3120">
      <w:pPr>
        <w:numPr>
          <w:ilvl w:val="0"/>
          <w:numId w:val="38"/>
        </w:numPr>
        <w:bidi/>
        <w:spacing w:line="276" w:lineRule="auto"/>
        <w:rPr>
          <w:sz w:val="30"/>
          <w:szCs w:val="30"/>
        </w:rPr>
      </w:pPr>
      <w:r w:rsidRPr="008E3120">
        <w:rPr>
          <w:sz w:val="30"/>
          <w:szCs w:val="30"/>
          <w:rtl/>
        </w:rPr>
        <w:t>تعزيز قدرة المصارف على التنبؤ بالتغيرات في أسعار الفائدة والعملات لتقليل تأثير التقلبات السوقية</w:t>
      </w:r>
      <w:r w:rsidRPr="008E3120">
        <w:rPr>
          <w:sz w:val="30"/>
          <w:szCs w:val="30"/>
        </w:rPr>
        <w:t>.</w:t>
      </w:r>
    </w:p>
    <w:p w14:paraId="69B85247" w14:textId="77777777" w:rsidR="008E3120" w:rsidRPr="008E3120" w:rsidRDefault="008E3120" w:rsidP="008E3120">
      <w:pPr>
        <w:numPr>
          <w:ilvl w:val="0"/>
          <w:numId w:val="38"/>
        </w:numPr>
        <w:bidi/>
        <w:spacing w:line="276" w:lineRule="auto"/>
        <w:rPr>
          <w:sz w:val="30"/>
          <w:szCs w:val="30"/>
        </w:rPr>
      </w:pPr>
      <w:r w:rsidRPr="008E3120">
        <w:rPr>
          <w:sz w:val="30"/>
          <w:szCs w:val="30"/>
          <w:rtl/>
        </w:rPr>
        <w:t>تبني استراتيجيات استثمار مرنة تسمح للمصارف بالتكيف مع التغيرات الاقتصادية السريعة</w:t>
      </w:r>
      <w:r w:rsidRPr="008E3120">
        <w:rPr>
          <w:sz w:val="30"/>
          <w:szCs w:val="30"/>
        </w:rPr>
        <w:t>.</w:t>
      </w:r>
    </w:p>
    <w:p w14:paraId="358ECBBA" w14:textId="77777777" w:rsidR="008E3120" w:rsidRPr="008E3120" w:rsidRDefault="008E3120" w:rsidP="008E3120">
      <w:pPr>
        <w:numPr>
          <w:ilvl w:val="0"/>
          <w:numId w:val="39"/>
        </w:numPr>
        <w:bidi/>
        <w:spacing w:line="276" w:lineRule="auto"/>
        <w:rPr>
          <w:sz w:val="30"/>
          <w:szCs w:val="30"/>
        </w:rPr>
      </w:pPr>
      <w:r w:rsidRPr="008E3120">
        <w:rPr>
          <w:sz w:val="30"/>
          <w:szCs w:val="30"/>
          <w:rtl/>
        </w:rPr>
        <w:t>وضع خطط طوارئ مالية لضمان استمرارية العمليات المصرفية في حالات الأزمات الاقتصادية</w:t>
      </w:r>
      <w:r w:rsidRPr="008E3120">
        <w:rPr>
          <w:sz w:val="30"/>
          <w:szCs w:val="30"/>
        </w:rPr>
        <w:t>.</w:t>
      </w:r>
    </w:p>
    <w:p w14:paraId="422A80F4" w14:textId="77777777" w:rsidR="008E3120" w:rsidRPr="008E3120" w:rsidRDefault="008E3120" w:rsidP="008E3120">
      <w:pPr>
        <w:numPr>
          <w:ilvl w:val="0"/>
          <w:numId w:val="39"/>
        </w:numPr>
        <w:bidi/>
        <w:spacing w:line="276" w:lineRule="auto"/>
        <w:rPr>
          <w:sz w:val="30"/>
          <w:szCs w:val="30"/>
        </w:rPr>
      </w:pPr>
      <w:r w:rsidRPr="008E3120">
        <w:rPr>
          <w:sz w:val="30"/>
          <w:szCs w:val="30"/>
          <w:rtl/>
        </w:rPr>
        <w:t>تعزيز القدرة على إدارة الأزمات المالية من خلال نماذج محاكاة مختلفة للتنبؤ بتداعيات الأزمات على المصارف</w:t>
      </w:r>
      <w:r w:rsidRPr="008E3120">
        <w:rPr>
          <w:sz w:val="30"/>
          <w:szCs w:val="30"/>
        </w:rPr>
        <w:t>.</w:t>
      </w:r>
    </w:p>
    <w:p w14:paraId="73A1D712" w14:textId="77777777" w:rsidR="008E3120" w:rsidRPr="008E3120" w:rsidRDefault="008E3120" w:rsidP="008E3120">
      <w:pPr>
        <w:numPr>
          <w:ilvl w:val="0"/>
          <w:numId w:val="39"/>
        </w:numPr>
        <w:bidi/>
        <w:spacing w:line="276" w:lineRule="auto"/>
        <w:rPr>
          <w:sz w:val="30"/>
          <w:szCs w:val="30"/>
        </w:rPr>
      </w:pPr>
      <w:r w:rsidRPr="008E3120">
        <w:rPr>
          <w:sz w:val="30"/>
          <w:szCs w:val="30"/>
          <w:rtl/>
        </w:rPr>
        <w:t>تحسين التواصل مع الهيئات الرقابية واتخاذ التدابير الوقائية لتجنب الأزمات المصرفية</w:t>
      </w:r>
      <w:r w:rsidRPr="008E3120">
        <w:rPr>
          <w:sz w:val="30"/>
          <w:szCs w:val="30"/>
        </w:rPr>
        <w:t>.</w:t>
      </w:r>
    </w:p>
    <w:p w14:paraId="719A54D7" w14:textId="77777777" w:rsidR="008E3120" w:rsidRPr="008E3120" w:rsidRDefault="008E3120" w:rsidP="008E3120">
      <w:pPr>
        <w:numPr>
          <w:ilvl w:val="0"/>
          <w:numId w:val="40"/>
        </w:numPr>
        <w:bidi/>
        <w:spacing w:line="276" w:lineRule="auto"/>
        <w:rPr>
          <w:sz w:val="30"/>
          <w:szCs w:val="30"/>
        </w:rPr>
      </w:pPr>
      <w:r w:rsidRPr="008E3120">
        <w:rPr>
          <w:sz w:val="30"/>
          <w:szCs w:val="30"/>
          <w:rtl/>
        </w:rPr>
        <w:t>توظيف الذكاء الاصطناعي وتحليل البيانات الضخمة لتطوير نماذج تنبؤية أكثر دقة في إدارة المخاطر</w:t>
      </w:r>
      <w:r w:rsidRPr="008E3120">
        <w:rPr>
          <w:sz w:val="30"/>
          <w:szCs w:val="30"/>
        </w:rPr>
        <w:t>.</w:t>
      </w:r>
    </w:p>
    <w:p w14:paraId="48B5A35B" w14:textId="77777777" w:rsidR="008E3120" w:rsidRPr="008E3120" w:rsidRDefault="008E3120" w:rsidP="008E3120">
      <w:pPr>
        <w:numPr>
          <w:ilvl w:val="0"/>
          <w:numId w:val="40"/>
        </w:numPr>
        <w:bidi/>
        <w:spacing w:line="276" w:lineRule="auto"/>
        <w:rPr>
          <w:sz w:val="30"/>
          <w:szCs w:val="30"/>
        </w:rPr>
      </w:pPr>
      <w:r w:rsidRPr="008E3120">
        <w:rPr>
          <w:sz w:val="30"/>
          <w:szCs w:val="30"/>
          <w:rtl/>
        </w:rPr>
        <w:lastRenderedPageBreak/>
        <w:t>تعزيز التعاون بين البنوك وشركات التكنولوجيا المالية لتحسين الخدمات المصرفية الرقمية وتقليل المخاطر المرتبطة بها</w:t>
      </w:r>
      <w:r w:rsidRPr="008E3120">
        <w:rPr>
          <w:sz w:val="30"/>
          <w:szCs w:val="30"/>
        </w:rPr>
        <w:t>.</w:t>
      </w:r>
    </w:p>
    <w:p w14:paraId="7B48BF95" w14:textId="77777777" w:rsidR="008E3120" w:rsidRPr="008E3120" w:rsidRDefault="008E3120" w:rsidP="008E3120">
      <w:pPr>
        <w:numPr>
          <w:ilvl w:val="0"/>
          <w:numId w:val="40"/>
        </w:numPr>
        <w:bidi/>
        <w:spacing w:line="276" w:lineRule="auto"/>
        <w:rPr>
          <w:sz w:val="30"/>
          <w:szCs w:val="30"/>
        </w:rPr>
      </w:pPr>
      <w:r w:rsidRPr="008E3120">
        <w:rPr>
          <w:sz w:val="30"/>
          <w:szCs w:val="30"/>
          <w:rtl/>
        </w:rPr>
        <w:t>استخدام تقنية البلوك تشين في تسجيل المعاملات المالية لزيادة مستوى الأمان وتقليل مخاطر التلاعب والاحتيال</w:t>
      </w:r>
      <w:r w:rsidRPr="008E3120">
        <w:rPr>
          <w:sz w:val="30"/>
          <w:szCs w:val="30"/>
        </w:rPr>
        <w:t>.</w:t>
      </w:r>
    </w:p>
    <w:p w14:paraId="30EABC0E" w14:textId="77777777" w:rsidR="008E3120" w:rsidRPr="008E3120" w:rsidRDefault="008E3120" w:rsidP="004065F3">
      <w:pPr>
        <w:pStyle w:val="Heading1"/>
        <w:bidi/>
        <w:rPr>
          <w:b/>
          <w:bCs/>
          <w:sz w:val="30"/>
          <w:szCs w:val="30"/>
        </w:rPr>
      </w:pPr>
      <w:bookmarkStart w:id="37" w:name="_Toc192716050"/>
      <w:r w:rsidRPr="008E3120">
        <w:rPr>
          <w:b/>
          <w:bCs/>
          <w:sz w:val="30"/>
          <w:szCs w:val="30"/>
          <w:rtl/>
        </w:rPr>
        <w:t>الخاتمة</w:t>
      </w:r>
      <w:bookmarkEnd w:id="37"/>
    </w:p>
    <w:p w14:paraId="09522387" w14:textId="77777777" w:rsidR="008E3120" w:rsidRPr="008E3120" w:rsidRDefault="008E3120" w:rsidP="008E3120">
      <w:pPr>
        <w:bidi/>
        <w:spacing w:line="276" w:lineRule="auto"/>
        <w:rPr>
          <w:sz w:val="30"/>
          <w:szCs w:val="30"/>
        </w:rPr>
      </w:pPr>
      <w:r w:rsidRPr="008E3120">
        <w:rPr>
          <w:sz w:val="30"/>
          <w:szCs w:val="30"/>
          <w:rtl/>
        </w:rPr>
        <w:t>في ضوء ما تم تناوله في هذه الدراسة حول إدارة المخاطر في التمويل المصرفي، يتضح أن المخاطر المصرفية تُشكّل أحد التحديات الكبرى التي تواجه المؤسسات المالية، نظرًا لتأثيرها المباشر على الاستقرار المالي للمصارف وقدرتها على تحقيق أهدافها التشغيلية والاستثمارية. وقد تناولت الدراسة أنواع المخاطر المصرفية المختلفة، مثل المخاطر الائتمانية، مخاطر السيولة، مخاطر السوق، والمخاطر التشغيلية، بالإضافة إلى التحديات المرتبطة بالمخاطر الإلكترونية في ظل التطور التكنولوجي المتسارع</w:t>
      </w:r>
      <w:r w:rsidRPr="008E3120">
        <w:rPr>
          <w:sz w:val="30"/>
          <w:szCs w:val="30"/>
        </w:rPr>
        <w:t>.</w:t>
      </w:r>
    </w:p>
    <w:p w14:paraId="2F29B135" w14:textId="77777777" w:rsidR="008E3120" w:rsidRPr="008E3120" w:rsidRDefault="008E3120" w:rsidP="008E3120">
      <w:pPr>
        <w:bidi/>
        <w:spacing w:line="276" w:lineRule="auto"/>
        <w:rPr>
          <w:sz w:val="30"/>
          <w:szCs w:val="30"/>
        </w:rPr>
      </w:pPr>
      <w:r w:rsidRPr="008E3120">
        <w:rPr>
          <w:sz w:val="30"/>
          <w:szCs w:val="30"/>
          <w:rtl/>
        </w:rPr>
        <w:t>أظهرت الدراسة أن إدارة المخاطر المصرفية الفعالة ليست مجرد خيار، بل هي ضرورة لضمان استمرارية المؤسسات المالية وتقليل الخسائر المحتملة. وقد توصلت الدراسة إلى أن تبني استراتيجيات متقدمة لإدارة المخاطر، مثل تطبيق معايير لجنة بازل، وتعزيز الحوكمة المصرفية، والاستفادة من التقنيات الحديثة كـالذكاء الاصطناعي وتحليل البيانات الضخمة، يُمكن أن يساهم بشكل كبير في تحسين كفاءة إدارة المخاطر والحد من تأثيرها السلبي على أداء المصارف</w:t>
      </w:r>
      <w:r w:rsidRPr="008E3120">
        <w:rPr>
          <w:sz w:val="30"/>
          <w:szCs w:val="30"/>
        </w:rPr>
        <w:t>.</w:t>
      </w:r>
    </w:p>
    <w:p w14:paraId="6D801CD0" w14:textId="77777777" w:rsidR="008E3120" w:rsidRPr="008E3120" w:rsidRDefault="008E3120" w:rsidP="008E3120">
      <w:pPr>
        <w:bidi/>
        <w:spacing w:line="276" w:lineRule="auto"/>
        <w:rPr>
          <w:sz w:val="30"/>
          <w:szCs w:val="30"/>
        </w:rPr>
      </w:pPr>
      <w:r w:rsidRPr="008E3120">
        <w:rPr>
          <w:sz w:val="30"/>
          <w:szCs w:val="30"/>
          <w:rtl/>
        </w:rPr>
        <w:t>كما أكدت الدراسة أن التوازن بين تحقيق الربحية وضمان السيولة يُعد من أهم التحديات التي تواجه المصارف، حيث تحتاج إلى إدارة مواردها المالية بذكاء للحفاظ على مستوى كافٍ من السيولة دون التأثير على الأرباح. بالإضافة إلى ذلك، فإن المخاطر الإلكترونية أصبحت تهديدًا متزايدًا للمصارف، مما يتطلب تعزيز أنظمة الأمن السيبراني واعتماد حلول متقدمة لحماية البيانات والمعاملات المصرفية</w:t>
      </w:r>
      <w:r w:rsidRPr="008E3120">
        <w:rPr>
          <w:sz w:val="30"/>
          <w:szCs w:val="30"/>
        </w:rPr>
        <w:t>.</w:t>
      </w:r>
    </w:p>
    <w:p w14:paraId="24FF3A30" w14:textId="77777777" w:rsidR="008E3120" w:rsidRPr="008E3120" w:rsidRDefault="008E3120" w:rsidP="008E3120">
      <w:pPr>
        <w:bidi/>
        <w:spacing w:line="276" w:lineRule="auto"/>
        <w:rPr>
          <w:sz w:val="30"/>
          <w:szCs w:val="30"/>
        </w:rPr>
      </w:pPr>
    </w:p>
    <w:p w14:paraId="4FDFFC50" w14:textId="77777777" w:rsidR="008E3120" w:rsidRDefault="008E3120" w:rsidP="008E3120">
      <w:pPr>
        <w:bidi/>
        <w:spacing w:line="276" w:lineRule="auto"/>
        <w:rPr>
          <w:sz w:val="30"/>
          <w:szCs w:val="30"/>
          <w:rtl/>
        </w:rPr>
      </w:pPr>
    </w:p>
    <w:p w14:paraId="39413C58" w14:textId="77777777" w:rsidR="008E3120" w:rsidRPr="00FE74A6" w:rsidRDefault="008E3120" w:rsidP="008E3120">
      <w:pPr>
        <w:bidi/>
        <w:spacing w:line="276" w:lineRule="auto"/>
        <w:rPr>
          <w:sz w:val="30"/>
          <w:szCs w:val="30"/>
        </w:rPr>
      </w:pPr>
    </w:p>
    <w:p w14:paraId="2D3565A1" w14:textId="77777777" w:rsidR="00FE74A6" w:rsidRDefault="00FE74A6" w:rsidP="00FE74A6">
      <w:pPr>
        <w:bidi/>
        <w:spacing w:line="276" w:lineRule="auto"/>
        <w:jc w:val="left"/>
        <w:rPr>
          <w:sz w:val="32"/>
          <w:szCs w:val="32"/>
          <w:rtl/>
        </w:rPr>
      </w:pPr>
    </w:p>
    <w:p w14:paraId="683DAD39" w14:textId="77777777" w:rsidR="00FE74A6" w:rsidRDefault="00FE74A6" w:rsidP="00FE74A6">
      <w:pPr>
        <w:bidi/>
        <w:spacing w:line="276" w:lineRule="auto"/>
        <w:jc w:val="left"/>
        <w:rPr>
          <w:sz w:val="32"/>
          <w:szCs w:val="32"/>
          <w:rtl/>
        </w:rPr>
      </w:pPr>
    </w:p>
    <w:p w14:paraId="16EFD271" w14:textId="77777777" w:rsidR="00FE74A6" w:rsidRDefault="00FE74A6" w:rsidP="00FE74A6">
      <w:pPr>
        <w:bidi/>
        <w:spacing w:line="276" w:lineRule="auto"/>
        <w:jc w:val="left"/>
        <w:rPr>
          <w:sz w:val="32"/>
          <w:szCs w:val="32"/>
          <w:rtl/>
        </w:rPr>
      </w:pPr>
    </w:p>
    <w:p w14:paraId="364581F9" w14:textId="77777777" w:rsidR="00FE74A6" w:rsidRPr="00FE74A6" w:rsidRDefault="00FE74A6" w:rsidP="004065F3">
      <w:pPr>
        <w:pStyle w:val="Heading1"/>
        <w:bidi/>
        <w:rPr>
          <w:b/>
          <w:bCs/>
          <w:sz w:val="32"/>
          <w:szCs w:val="32"/>
          <w:rtl/>
        </w:rPr>
      </w:pPr>
      <w:bookmarkStart w:id="38" w:name="_Toc192716051"/>
      <w:r w:rsidRPr="00FE74A6">
        <w:rPr>
          <w:rFonts w:hint="cs"/>
          <w:b/>
          <w:bCs/>
          <w:sz w:val="32"/>
          <w:szCs w:val="32"/>
          <w:rtl/>
        </w:rPr>
        <w:lastRenderedPageBreak/>
        <w:t>المراجع:</w:t>
      </w:r>
      <w:bookmarkEnd w:id="38"/>
    </w:p>
    <w:p w14:paraId="5E0FBFB0" w14:textId="77777777" w:rsidR="008E3120" w:rsidRDefault="00D97259" w:rsidP="008E3120">
      <w:pPr>
        <w:pStyle w:val="ListParagraph"/>
        <w:numPr>
          <w:ilvl w:val="0"/>
          <w:numId w:val="41"/>
        </w:numPr>
        <w:bidi/>
        <w:spacing w:line="276" w:lineRule="auto"/>
        <w:jc w:val="left"/>
        <w:rPr>
          <w:sz w:val="32"/>
          <w:szCs w:val="32"/>
        </w:rPr>
      </w:pPr>
      <w:r w:rsidRPr="008E3120">
        <w:rPr>
          <w:sz w:val="32"/>
          <w:szCs w:val="32"/>
          <w:rtl/>
        </w:rPr>
        <w:t>إسماعيل عبد السلام العماوي. (2002). المعوقات الخارجية للمصارف الإسلامية: دراسة تطبيقية لآثارها على البنك الإسلامي الأردني (رسالة ماجستير). جامعة اليرموك، الأردن، ص. 23</w:t>
      </w:r>
      <w:r w:rsidRPr="008E3120">
        <w:rPr>
          <w:sz w:val="32"/>
          <w:szCs w:val="32"/>
        </w:rPr>
        <w:t>.</w:t>
      </w:r>
    </w:p>
    <w:p w14:paraId="6620511B" w14:textId="77777777" w:rsidR="004065F3" w:rsidRPr="00FE74A6" w:rsidRDefault="004065F3" w:rsidP="004065F3">
      <w:pPr>
        <w:numPr>
          <w:ilvl w:val="0"/>
          <w:numId w:val="41"/>
        </w:numPr>
        <w:bidi/>
        <w:spacing w:line="276" w:lineRule="auto"/>
        <w:jc w:val="left"/>
        <w:rPr>
          <w:sz w:val="32"/>
          <w:szCs w:val="32"/>
        </w:rPr>
      </w:pPr>
      <w:r w:rsidRPr="00FE74A6">
        <w:rPr>
          <w:sz w:val="32"/>
          <w:szCs w:val="32"/>
          <w:rtl/>
        </w:rPr>
        <w:t>البجاري، حسن صالح يوسف، آل قزان، مروان وحيد عبدالحميد، و عبدالرحمن، أمير</w:t>
      </w:r>
      <w:r w:rsidRPr="00FE74A6">
        <w:rPr>
          <w:rFonts w:hint="cs"/>
          <w:sz w:val="32"/>
          <w:szCs w:val="32"/>
          <w:rtl/>
        </w:rPr>
        <w:t xml:space="preserve"> </w:t>
      </w:r>
      <w:r w:rsidRPr="00FE74A6">
        <w:rPr>
          <w:sz w:val="32"/>
          <w:szCs w:val="32"/>
          <w:rtl/>
        </w:rPr>
        <w:t>حازم. (2021). الريادة وتقنيات بطاقات الائتمان والدفع الإلكتروني ودورها في تعزيز العمل المحاسبي: دراسة حالة جامعة الموصل. العلوم الاقتصادية، مج16, ع62 ، 135 - 155.</w:t>
      </w:r>
    </w:p>
    <w:p w14:paraId="00D4768B" w14:textId="77777777" w:rsidR="004065F3" w:rsidRPr="00FE74A6" w:rsidRDefault="004065F3" w:rsidP="004065F3">
      <w:pPr>
        <w:numPr>
          <w:ilvl w:val="0"/>
          <w:numId w:val="41"/>
        </w:numPr>
        <w:bidi/>
        <w:spacing w:line="276" w:lineRule="auto"/>
        <w:jc w:val="left"/>
        <w:rPr>
          <w:sz w:val="32"/>
          <w:szCs w:val="32"/>
        </w:rPr>
      </w:pPr>
      <w:r w:rsidRPr="00FE74A6">
        <w:rPr>
          <w:sz w:val="32"/>
          <w:szCs w:val="32"/>
          <w:rtl/>
        </w:rPr>
        <w:t>ديدح، آلاء محمود. (2022). مخاطر اشتر الآن وسدد لاحقا عبر التطبيقات الإلكترونية وبعيدا عن بطاقات الائتمان</w:t>
      </w:r>
      <w:r w:rsidRPr="00FE74A6">
        <w:rPr>
          <w:sz w:val="32"/>
          <w:szCs w:val="32"/>
        </w:rPr>
        <w:t>. </w:t>
      </w:r>
      <w:r w:rsidRPr="00FE74A6">
        <w:rPr>
          <w:i/>
          <w:iCs/>
          <w:sz w:val="32"/>
          <w:szCs w:val="32"/>
          <w:rtl/>
        </w:rPr>
        <w:t>مجلة الإقتصاد الإسلامي العالمية، ع126</w:t>
      </w:r>
      <w:r w:rsidRPr="00FE74A6">
        <w:rPr>
          <w:sz w:val="32"/>
          <w:szCs w:val="32"/>
          <w:rtl/>
        </w:rPr>
        <w:t> ، 100</w:t>
      </w:r>
      <w:r w:rsidRPr="00FE74A6">
        <w:rPr>
          <w:sz w:val="32"/>
          <w:szCs w:val="32"/>
        </w:rPr>
        <w:t xml:space="preserve"> - 110.</w:t>
      </w:r>
    </w:p>
    <w:p w14:paraId="71D45E07" w14:textId="77777777" w:rsidR="004065F3" w:rsidRPr="00FE74A6" w:rsidRDefault="004065F3" w:rsidP="004065F3">
      <w:pPr>
        <w:numPr>
          <w:ilvl w:val="0"/>
          <w:numId w:val="41"/>
        </w:numPr>
        <w:bidi/>
        <w:spacing w:line="276" w:lineRule="auto"/>
        <w:jc w:val="left"/>
        <w:rPr>
          <w:sz w:val="32"/>
          <w:szCs w:val="32"/>
        </w:rPr>
      </w:pPr>
      <w:r w:rsidRPr="00FE74A6">
        <w:rPr>
          <w:sz w:val="32"/>
          <w:szCs w:val="32"/>
          <w:rtl/>
        </w:rPr>
        <w:t>عصام</w:t>
      </w:r>
      <w:r w:rsidRPr="00FE74A6">
        <w:rPr>
          <w:rFonts w:hint="cs"/>
          <w:sz w:val="32"/>
          <w:szCs w:val="32"/>
          <w:rtl/>
        </w:rPr>
        <w:t xml:space="preserve">، </w:t>
      </w:r>
      <w:r w:rsidRPr="00FE74A6">
        <w:rPr>
          <w:sz w:val="32"/>
          <w:szCs w:val="32"/>
          <w:rtl/>
        </w:rPr>
        <w:t>الدين أحمد أباظة</w:t>
      </w:r>
      <w:r w:rsidRPr="00FE74A6">
        <w:rPr>
          <w:rFonts w:hint="cs"/>
          <w:sz w:val="32"/>
          <w:szCs w:val="32"/>
          <w:rtl/>
        </w:rPr>
        <w:t xml:space="preserve"> (2010م)</w:t>
      </w:r>
      <w:r w:rsidRPr="00FE74A6">
        <w:rPr>
          <w:sz w:val="32"/>
          <w:szCs w:val="32"/>
          <w:rtl/>
        </w:rPr>
        <w:t xml:space="preserve"> العولمة المصرفية، دار النهضة العربية</w:t>
      </w:r>
      <w:r w:rsidRPr="00FE74A6">
        <w:rPr>
          <w:rFonts w:hint="cs"/>
          <w:sz w:val="32"/>
          <w:szCs w:val="32"/>
          <w:rtl/>
        </w:rPr>
        <w:t>.</w:t>
      </w:r>
    </w:p>
    <w:p w14:paraId="2853B3FB" w14:textId="40118E30" w:rsidR="004065F3" w:rsidRPr="004065F3" w:rsidRDefault="004065F3" w:rsidP="004065F3">
      <w:pPr>
        <w:numPr>
          <w:ilvl w:val="0"/>
          <w:numId w:val="41"/>
        </w:numPr>
        <w:bidi/>
        <w:spacing w:line="276" w:lineRule="auto"/>
        <w:jc w:val="left"/>
        <w:rPr>
          <w:sz w:val="32"/>
          <w:szCs w:val="32"/>
        </w:rPr>
      </w:pPr>
      <w:r w:rsidRPr="00FE74A6">
        <w:rPr>
          <w:sz w:val="32"/>
          <w:szCs w:val="32"/>
          <w:rtl/>
        </w:rPr>
        <w:t>عكوش، سيهام. (2022). الآليات القانونية والتقنية لمواجهة المخاطر التكنولوجية: بطاقات الائتمان نموذجا</w:t>
      </w:r>
      <w:r w:rsidRPr="00FE74A6">
        <w:rPr>
          <w:sz w:val="32"/>
          <w:szCs w:val="32"/>
        </w:rPr>
        <w:t>. </w:t>
      </w:r>
      <w:r w:rsidRPr="00FE74A6">
        <w:rPr>
          <w:i/>
          <w:iCs/>
          <w:sz w:val="32"/>
          <w:szCs w:val="32"/>
          <w:rtl/>
        </w:rPr>
        <w:t>مجلة العلوم القانونية والاجتماعية، مج7, ع1</w:t>
      </w:r>
      <w:r w:rsidRPr="00FE74A6">
        <w:rPr>
          <w:sz w:val="32"/>
          <w:szCs w:val="32"/>
          <w:rtl/>
        </w:rPr>
        <w:t> ، 400</w:t>
      </w:r>
      <w:r w:rsidRPr="00FE74A6">
        <w:rPr>
          <w:sz w:val="32"/>
          <w:szCs w:val="32"/>
        </w:rPr>
        <w:t xml:space="preserve"> - 411.</w:t>
      </w:r>
    </w:p>
    <w:p w14:paraId="27D7869C" w14:textId="77777777" w:rsidR="008E3120" w:rsidRDefault="00D97259" w:rsidP="008E3120">
      <w:pPr>
        <w:pStyle w:val="ListParagraph"/>
        <w:numPr>
          <w:ilvl w:val="0"/>
          <w:numId w:val="41"/>
        </w:numPr>
        <w:bidi/>
        <w:spacing w:line="276" w:lineRule="auto"/>
        <w:jc w:val="left"/>
        <w:rPr>
          <w:sz w:val="32"/>
          <w:szCs w:val="32"/>
        </w:rPr>
      </w:pPr>
      <w:r w:rsidRPr="008E3120">
        <w:rPr>
          <w:sz w:val="32"/>
          <w:szCs w:val="32"/>
          <w:rtl/>
        </w:rPr>
        <w:t>عدنان عبد الله عويصة. (2002). نظرية المسطرة في الاقتصاد الإسلامي: دراسة تأصيلية تطبيقية (أطروحة دكتوراه). جامعة اليرموك، الأردن، ص. 22</w:t>
      </w:r>
      <w:r w:rsidRPr="008E3120">
        <w:rPr>
          <w:sz w:val="32"/>
          <w:szCs w:val="32"/>
        </w:rPr>
        <w:t>.</w:t>
      </w:r>
    </w:p>
    <w:p w14:paraId="253FF09A" w14:textId="77777777" w:rsidR="008E3120" w:rsidRDefault="00D97259" w:rsidP="008E3120">
      <w:pPr>
        <w:pStyle w:val="ListParagraph"/>
        <w:numPr>
          <w:ilvl w:val="0"/>
          <w:numId w:val="41"/>
        </w:numPr>
        <w:bidi/>
        <w:spacing w:line="276" w:lineRule="auto"/>
        <w:jc w:val="left"/>
        <w:rPr>
          <w:sz w:val="32"/>
          <w:szCs w:val="32"/>
        </w:rPr>
      </w:pPr>
      <w:r w:rsidRPr="008E3120">
        <w:rPr>
          <w:sz w:val="32"/>
          <w:szCs w:val="32"/>
          <w:rtl/>
        </w:rPr>
        <w:t>محمد عبد المنعم أبو زيد. (2002). مخاطر التي تواجه استثمارات المؤسسات المصرفية الإسلامية. في كتاب الوقائع: دور المؤسسات المصرفية الإسلامية في الاستثمار والتنمية (المرجع السابق، ص. 236). جامعة الشارقة</w:t>
      </w:r>
      <w:r w:rsidRPr="008E3120">
        <w:rPr>
          <w:sz w:val="32"/>
          <w:szCs w:val="32"/>
        </w:rPr>
        <w:t>.</w:t>
      </w:r>
    </w:p>
    <w:p w14:paraId="0B41FA33" w14:textId="77777777" w:rsidR="008E3120" w:rsidRDefault="00D97259" w:rsidP="008E3120">
      <w:pPr>
        <w:pStyle w:val="ListParagraph"/>
        <w:numPr>
          <w:ilvl w:val="0"/>
          <w:numId w:val="41"/>
        </w:numPr>
        <w:bidi/>
        <w:spacing w:line="276" w:lineRule="auto"/>
        <w:jc w:val="left"/>
        <w:rPr>
          <w:sz w:val="32"/>
          <w:szCs w:val="32"/>
        </w:rPr>
      </w:pPr>
      <w:r w:rsidRPr="008E3120">
        <w:rPr>
          <w:sz w:val="32"/>
          <w:szCs w:val="32"/>
        </w:rPr>
        <w:t xml:space="preserve">  </w:t>
      </w:r>
      <w:r w:rsidRPr="008E3120">
        <w:rPr>
          <w:sz w:val="32"/>
          <w:szCs w:val="32"/>
          <w:rtl/>
        </w:rPr>
        <w:t>سامر قنطقجي. (2006). دورة في صناعة التمويل في المصارف والمؤسسات المالية: المكونات الاستراتيجية والتميز التنافسي للمصارف والمؤسسات المالية الإسلامية (البرنامج الرابع، الدورة التدريبية في مركز التدريب الإداري لغرفة تجارة وصناعة حلب بالتعاون مع مركز الأعمال والمؤسسات السورية، ص. 6)</w:t>
      </w:r>
      <w:r w:rsidRPr="008E3120">
        <w:rPr>
          <w:sz w:val="32"/>
          <w:szCs w:val="32"/>
        </w:rPr>
        <w:t>.</w:t>
      </w:r>
    </w:p>
    <w:p w14:paraId="40429628" w14:textId="77777777" w:rsidR="004065F3" w:rsidRDefault="00D97259" w:rsidP="004065F3">
      <w:pPr>
        <w:pStyle w:val="ListParagraph"/>
        <w:numPr>
          <w:ilvl w:val="0"/>
          <w:numId w:val="41"/>
        </w:numPr>
        <w:bidi/>
        <w:spacing w:line="276" w:lineRule="auto"/>
        <w:jc w:val="left"/>
        <w:rPr>
          <w:sz w:val="32"/>
          <w:szCs w:val="32"/>
        </w:rPr>
      </w:pPr>
      <w:r w:rsidRPr="008E3120">
        <w:rPr>
          <w:sz w:val="32"/>
          <w:szCs w:val="32"/>
          <w:rtl/>
        </w:rPr>
        <w:lastRenderedPageBreak/>
        <w:t>عبد الله محمد نور علي. (2232 هـ). تحليلات مخاطر الاستثمار في المصارف الإسلامية بين النظرية والتطبيق. مكة المكرمة: رابطة العالم الإسلامي، سلسلة دعوة الحق، ص. 22</w:t>
      </w:r>
      <w:r w:rsidRPr="008E3120">
        <w:rPr>
          <w:sz w:val="32"/>
          <w:szCs w:val="32"/>
        </w:rPr>
        <w:t>.</w:t>
      </w:r>
    </w:p>
    <w:p w14:paraId="580765BB" w14:textId="77777777" w:rsidR="004065F3" w:rsidRDefault="00D97259" w:rsidP="004065F3">
      <w:pPr>
        <w:pStyle w:val="ListParagraph"/>
        <w:numPr>
          <w:ilvl w:val="0"/>
          <w:numId w:val="41"/>
        </w:numPr>
        <w:bidi/>
        <w:spacing w:line="276" w:lineRule="auto"/>
        <w:jc w:val="left"/>
        <w:rPr>
          <w:sz w:val="32"/>
          <w:szCs w:val="32"/>
        </w:rPr>
      </w:pPr>
      <w:r w:rsidRPr="004065F3">
        <w:rPr>
          <w:sz w:val="32"/>
          <w:szCs w:val="32"/>
          <w:rtl/>
        </w:rPr>
        <w:t>رضوان محمد عبد العال. (2002). سياسات التمويل في المصارف الإسلامية بين الضوابط الشرعية والمخاطر العملية. الملتقى العلمي الثالث، حلاوان، مصر، ص. 2</w:t>
      </w:r>
      <w:r w:rsidRPr="004065F3">
        <w:rPr>
          <w:sz w:val="32"/>
          <w:szCs w:val="32"/>
        </w:rPr>
        <w:t>.</w:t>
      </w:r>
    </w:p>
    <w:p w14:paraId="1B3177F6" w14:textId="77777777" w:rsidR="004065F3" w:rsidRDefault="00D97259" w:rsidP="004065F3">
      <w:pPr>
        <w:pStyle w:val="ListParagraph"/>
        <w:numPr>
          <w:ilvl w:val="0"/>
          <w:numId w:val="41"/>
        </w:numPr>
        <w:bidi/>
        <w:spacing w:line="276" w:lineRule="auto"/>
        <w:jc w:val="left"/>
        <w:rPr>
          <w:sz w:val="32"/>
          <w:szCs w:val="32"/>
        </w:rPr>
      </w:pPr>
      <w:r w:rsidRPr="004065F3">
        <w:rPr>
          <w:sz w:val="32"/>
          <w:szCs w:val="32"/>
          <w:rtl/>
        </w:rPr>
        <w:t>أمارة محمد يحيى عاصي. (2020). تقييم الأداء المالي للمصارف الإسلامية: دراسة تطبيقية على البنك الإسلامي الأردني للتمويل والاستثمار (رسالة ماجستير). جامعة حلب، قسم الاقتصاد، سوريا، ص. 22</w:t>
      </w:r>
      <w:r w:rsidRPr="004065F3">
        <w:rPr>
          <w:sz w:val="32"/>
          <w:szCs w:val="32"/>
        </w:rPr>
        <w:t>.</w:t>
      </w:r>
    </w:p>
    <w:p w14:paraId="5D9645E4" w14:textId="77777777" w:rsidR="004065F3" w:rsidRDefault="00D97259" w:rsidP="004065F3">
      <w:pPr>
        <w:pStyle w:val="ListParagraph"/>
        <w:numPr>
          <w:ilvl w:val="0"/>
          <w:numId w:val="41"/>
        </w:numPr>
        <w:bidi/>
        <w:spacing w:line="276" w:lineRule="auto"/>
        <w:jc w:val="left"/>
        <w:rPr>
          <w:sz w:val="32"/>
          <w:szCs w:val="32"/>
        </w:rPr>
      </w:pPr>
      <w:r w:rsidRPr="004065F3">
        <w:rPr>
          <w:sz w:val="32"/>
          <w:szCs w:val="32"/>
          <w:rtl/>
        </w:rPr>
        <w:t>سامر قنطقجي. (2006). صناعة التمويل في المصارف والمؤسسات المالية والإسلامية. (المرجع السابق، ص. 9)</w:t>
      </w:r>
      <w:r w:rsidRPr="004065F3">
        <w:rPr>
          <w:sz w:val="32"/>
          <w:szCs w:val="32"/>
        </w:rPr>
        <w:t>.</w:t>
      </w:r>
    </w:p>
    <w:p w14:paraId="6F321363" w14:textId="77777777" w:rsidR="004065F3" w:rsidRDefault="00D97259" w:rsidP="004065F3">
      <w:pPr>
        <w:pStyle w:val="ListParagraph"/>
        <w:numPr>
          <w:ilvl w:val="0"/>
          <w:numId w:val="41"/>
        </w:numPr>
        <w:bidi/>
        <w:spacing w:line="276" w:lineRule="auto"/>
        <w:jc w:val="left"/>
        <w:rPr>
          <w:sz w:val="32"/>
          <w:szCs w:val="32"/>
        </w:rPr>
      </w:pPr>
      <w:r w:rsidRPr="004065F3">
        <w:rPr>
          <w:sz w:val="32"/>
          <w:szCs w:val="32"/>
          <w:rtl/>
        </w:rPr>
        <w:t>فادي محمد رفاعي. (2002). المصارف الإسلامية: منشورات الكلية الحقوقية. بيروت، لبنان، ص. 32-39</w:t>
      </w:r>
      <w:r w:rsidRPr="004065F3">
        <w:rPr>
          <w:sz w:val="32"/>
          <w:szCs w:val="32"/>
        </w:rPr>
        <w:t>.</w:t>
      </w:r>
    </w:p>
    <w:p w14:paraId="306005A1" w14:textId="0DC7CB03" w:rsidR="00D97259" w:rsidRPr="004065F3" w:rsidRDefault="00D97259" w:rsidP="004065F3">
      <w:pPr>
        <w:pStyle w:val="ListParagraph"/>
        <w:numPr>
          <w:ilvl w:val="0"/>
          <w:numId w:val="41"/>
        </w:numPr>
        <w:bidi/>
        <w:spacing w:line="276" w:lineRule="auto"/>
        <w:jc w:val="left"/>
        <w:rPr>
          <w:sz w:val="32"/>
          <w:szCs w:val="32"/>
        </w:rPr>
      </w:pPr>
      <w:r w:rsidRPr="004065F3">
        <w:rPr>
          <w:sz w:val="32"/>
          <w:szCs w:val="32"/>
          <w:rtl/>
        </w:rPr>
        <w:t>محمد حسين الوادي، حسين محمد سمحان. (2006). المصارف الإسلامية: الأسس النظرية والتطبيقات العملية. دار المسيرة للنشر والتوزيع والطباعة، عمان، الأردن، ص. 92-93</w:t>
      </w:r>
      <w:r w:rsidRPr="004065F3">
        <w:rPr>
          <w:sz w:val="32"/>
          <w:szCs w:val="32"/>
        </w:rPr>
        <w:t>.</w:t>
      </w:r>
    </w:p>
    <w:p w14:paraId="0761085C" w14:textId="77777777" w:rsidR="00FE74A6" w:rsidRPr="00FE74A6" w:rsidRDefault="00FE74A6" w:rsidP="00FE74A6">
      <w:pPr>
        <w:numPr>
          <w:ilvl w:val="0"/>
          <w:numId w:val="14"/>
        </w:numPr>
        <w:bidi/>
        <w:spacing w:line="276" w:lineRule="auto"/>
        <w:jc w:val="left"/>
        <w:rPr>
          <w:sz w:val="32"/>
          <w:szCs w:val="32"/>
        </w:rPr>
      </w:pPr>
      <w:r w:rsidRPr="00FE74A6">
        <w:rPr>
          <w:sz w:val="32"/>
          <w:szCs w:val="32"/>
          <w:rtl/>
        </w:rPr>
        <w:t>العصيمي</w:t>
      </w:r>
      <w:r w:rsidRPr="00FE74A6">
        <w:rPr>
          <w:rFonts w:hint="cs"/>
          <w:sz w:val="32"/>
          <w:szCs w:val="32"/>
          <w:rtl/>
        </w:rPr>
        <w:t xml:space="preserve">، </w:t>
      </w:r>
      <w:r w:rsidRPr="00FE74A6">
        <w:rPr>
          <w:sz w:val="32"/>
          <w:szCs w:val="32"/>
          <w:rtl/>
        </w:rPr>
        <w:t>محمد بن سعود</w:t>
      </w:r>
      <w:r w:rsidRPr="00FE74A6">
        <w:rPr>
          <w:rFonts w:hint="cs"/>
          <w:sz w:val="32"/>
          <w:szCs w:val="32"/>
          <w:rtl/>
        </w:rPr>
        <w:t xml:space="preserve"> (1424ه)</w:t>
      </w:r>
      <w:r w:rsidRPr="00FE74A6">
        <w:rPr>
          <w:sz w:val="32"/>
          <w:szCs w:val="32"/>
          <w:rtl/>
        </w:rPr>
        <w:t xml:space="preserve"> "البطاقات الائتمانية، تاريخها، أنواعها، تعاريفها ، توصيفها، مزاياها، عيوبها"، دار ابن الجوزي</w:t>
      </w:r>
      <w:r w:rsidRPr="00FE74A6">
        <w:rPr>
          <w:rFonts w:hint="cs"/>
          <w:sz w:val="32"/>
          <w:szCs w:val="32"/>
          <w:rtl/>
        </w:rPr>
        <w:t>.</w:t>
      </w:r>
    </w:p>
    <w:p w14:paraId="308A5504" w14:textId="77777777" w:rsidR="00FE74A6" w:rsidRPr="00FE74A6" w:rsidRDefault="00FE74A6" w:rsidP="00FE74A6">
      <w:pPr>
        <w:numPr>
          <w:ilvl w:val="0"/>
          <w:numId w:val="14"/>
        </w:numPr>
        <w:bidi/>
        <w:spacing w:line="276" w:lineRule="auto"/>
        <w:jc w:val="left"/>
        <w:rPr>
          <w:sz w:val="32"/>
          <w:szCs w:val="32"/>
        </w:rPr>
      </w:pPr>
      <w:r w:rsidRPr="00FE74A6">
        <w:rPr>
          <w:sz w:val="32"/>
          <w:szCs w:val="32"/>
          <w:rtl/>
        </w:rPr>
        <w:t>الكيلاني</w:t>
      </w:r>
      <w:r w:rsidRPr="00FE74A6">
        <w:rPr>
          <w:rFonts w:hint="cs"/>
          <w:sz w:val="32"/>
          <w:szCs w:val="32"/>
          <w:rtl/>
        </w:rPr>
        <w:t xml:space="preserve">، </w:t>
      </w:r>
      <w:r w:rsidRPr="00FE74A6">
        <w:rPr>
          <w:sz w:val="32"/>
          <w:szCs w:val="32"/>
          <w:rtl/>
        </w:rPr>
        <w:t xml:space="preserve">محمد </w:t>
      </w:r>
      <w:r w:rsidRPr="00FE74A6">
        <w:rPr>
          <w:rFonts w:hint="cs"/>
          <w:sz w:val="32"/>
          <w:szCs w:val="32"/>
          <w:rtl/>
        </w:rPr>
        <w:t>(2004م)</w:t>
      </w:r>
      <w:r w:rsidRPr="00FE74A6">
        <w:rPr>
          <w:sz w:val="32"/>
          <w:szCs w:val="32"/>
          <w:rtl/>
        </w:rPr>
        <w:t xml:space="preserve"> التشريعات التجارية و المعاملات الإلكترونية، الطبعة الأولى، دار وائل،</w:t>
      </w:r>
      <w:r w:rsidRPr="00FE74A6">
        <w:rPr>
          <w:rFonts w:hint="cs"/>
          <w:sz w:val="32"/>
          <w:szCs w:val="32"/>
          <w:rtl/>
        </w:rPr>
        <w:t xml:space="preserve"> </w:t>
      </w:r>
      <w:r w:rsidRPr="00FE74A6">
        <w:rPr>
          <w:sz w:val="32"/>
          <w:szCs w:val="32"/>
          <w:rtl/>
        </w:rPr>
        <w:t>عمان، الأردن</w:t>
      </w:r>
      <w:r w:rsidRPr="00FE74A6">
        <w:rPr>
          <w:rFonts w:hint="cs"/>
          <w:sz w:val="32"/>
          <w:szCs w:val="32"/>
          <w:rtl/>
        </w:rPr>
        <w:t>.</w:t>
      </w:r>
    </w:p>
    <w:p w14:paraId="45EC38A5" w14:textId="77777777" w:rsidR="00FE74A6" w:rsidRPr="00FE74A6" w:rsidRDefault="00FE74A6" w:rsidP="00FE74A6">
      <w:pPr>
        <w:numPr>
          <w:ilvl w:val="0"/>
          <w:numId w:val="14"/>
        </w:numPr>
        <w:bidi/>
        <w:spacing w:line="276" w:lineRule="auto"/>
        <w:jc w:val="left"/>
        <w:rPr>
          <w:sz w:val="32"/>
          <w:szCs w:val="32"/>
        </w:rPr>
      </w:pPr>
      <w:r w:rsidRPr="00FE74A6">
        <w:rPr>
          <w:rFonts w:hint="cs"/>
          <w:sz w:val="32"/>
          <w:szCs w:val="32"/>
          <w:rtl/>
        </w:rPr>
        <w:t xml:space="preserve">منصور، </w:t>
      </w:r>
      <w:r w:rsidRPr="00FE74A6">
        <w:rPr>
          <w:sz w:val="32"/>
          <w:szCs w:val="32"/>
          <w:rtl/>
        </w:rPr>
        <w:t xml:space="preserve">محمد حسين </w:t>
      </w:r>
      <w:r w:rsidRPr="00FE74A6">
        <w:rPr>
          <w:rFonts w:hint="cs"/>
          <w:sz w:val="32"/>
          <w:szCs w:val="32"/>
          <w:rtl/>
        </w:rPr>
        <w:t>(2007م)</w:t>
      </w:r>
      <w:r w:rsidRPr="00FE74A6">
        <w:rPr>
          <w:sz w:val="32"/>
          <w:szCs w:val="32"/>
          <w:rtl/>
        </w:rPr>
        <w:t xml:space="preserve"> المسؤولية الإلكترونية، دار الجامعة الجديدة، الإسكندرية</w:t>
      </w:r>
      <w:r w:rsidRPr="00FE74A6">
        <w:rPr>
          <w:rFonts w:hint="cs"/>
          <w:sz w:val="32"/>
          <w:szCs w:val="32"/>
          <w:rtl/>
        </w:rPr>
        <w:t>.</w:t>
      </w:r>
    </w:p>
    <w:p w14:paraId="1245E2A4" w14:textId="77777777" w:rsidR="00FE74A6" w:rsidRDefault="00FE74A6" w:rsidP="00FE74A6">
      <w:pPr>
        <w:numPr>
          <w:ilvl w:val="0"/>
          <w:numId w:val="14"/>
        </w:numPr>
        <w:bidi/>
        <w:spacing w:line="276" w:lineRule="auto"/>
        <w:jc w:val="left"/>
        <w:rPr>
          <w:sz w:val="32"/>
          <w:szCs w:val="32"/>
        </w:rPr>
      </w:pPr>
      <w:r w:rsidRPr="00FE74A6">
        <w:rPr>
          <w:sz w:val="32"/>
          <w:szCs w:val="32"/>
          <w:rtl/>
        </w:rPr>
        <w:t>منير</w:t>
      </w:r>
      <w:r w:rsidRPr="00FE74A6">
        <w:rPr>
          <w:rFonts w:hint="cs"/>
          <w:sz w:val="32"/>
          <w:szCs w:val="32"/>
          <w:rtl/>
        </w:rPr>
        <w:t>،</w:t>
      </w:r>
      <w:r w:rsidRPr="00FE74A6">
        <w:rPr>
          <w:sz w:val="32"/>
          <w:szCs w:val="32"/>
          <w:rtl/>
        </w:rPr>
        <w:t xml:space="preserve"> إبراهيم</w:t>
      </w:r>
      <w:r w:rsidRPr="00FE74A6">
        <w:rPr>
          <w:rFonts w:hint="cs"/>
          <w:sz w:val="32"/>
          <w:szCs w:val="32"/>
          <w:rtl/>
        </w:rPr>
        <w:t xml:space="preserve"> (2006م) </w:t>
      </w:r>
      <w:r w:rsidRPr="00FE74A6">
        <w:rPr>
          <w:sz w:val="32"/>
          <w:szCs w:val="32"/>
          <w:rtl/>
        </w:rPr>
        <w:t>إدارة البنوك التجارية، مدخل اتخاذ القرارات، المكتب العربي الحديث، الإسكندرية</w:t>
      </w:r>
      <w:r w:rsidRPr="00FE74A6">
        <w:rPr>
          <w:rFonts w:hint="cs"/>
          <w:sz w:val="32"/>
          <w:szCs w:val="32"/>
          <w:rtl/>
        </w:rPr>
        <w:t>.</w:t>
      </w:r>
    </w:p>
    <w:p w14:paraId="1587F28D" w14:textId="77777777" w:rsidR="004065F3" w:rsidRDefault="004065F3" w:rsidP="004065F3">
      <w:pPr>
        <w:bidi/>
        <w:spacing w:line="276" w:lineRule="auto"/>
        <w:jc w:val="left"/>
        <w:rPr>
          <w:sz w:val="32"/>
          <w:szCs w:val="32"/>
          <w:rtl/>
        </w:rPr>
      </w:pPr>
    </w:p>
    <w:p w14:paraId="515BD329" w14:textId="77777777" w:rsidR="004065F3" w:rsidRDefault="004065F3" w:rsidP="004065F3">
      <w:pPr>
        <w:bidi/>
        <w:spacing w:line="276" w:lineRule="auto"/>
        <w:jc w:val="left"/>
        <w:rPr>
          <w:sz w:val="32"/>
          <w:szCs w:val="32"/>
          <w:rtl/>
        </w:rPr>
      </w:pPr>
    </w:p>
    <w:p w14:paraId="5E26D200" w14:textId="77777777" w:rsidR="004065F3" w:rsidRDefault="004065F3" w:rsidP="004065F3">
      <w:pPr>
        <w:bidi/>
        <w:spacing w:line="276" w:lineRule="auto"/>
        <w:jc w:val="left"/>
        <w:rPr>
          <w:sz w:val="32"/>
          <w:szCs w:val="32"/>
          <w:rtl/>
        </w:rPr>
      </w:pPr>
    </w:p>
    <w:p w14:paraId="1A2585B2" w14:textId="77777777" w:rsidR="004065F3" w:rsidRDefault="004065F3" w:rsidP="004065F3">
      <w:pPr>
        <w:bidi/>
        <w:spacing w:line="276" w:lineRule="auto"/>
        <w:jc w:val="left"/>
        <w:rPr>
          <w:sz w:val="32"/>
          <w:szCs w:val="32"/>
          <w:rtl/>
        </w:rPr>
      </w:pPr>
    </w:p>
    <w:p w14:paraId="122E1D0F" w14:textId="77777777" w:rsidR="004065F3" w:rsidRPr="004065F3" w:rsidRDefault="004065F3" w:rsidP="004065F3">
      <w:pPr>
        <w:pStyle w:val="Heading1"/>
        <w:bidi/>
        <w:rPr>
          <w:b/>
          <w:bCs/>
          <w:sz w:val="32"/>
          <w:szCs w:val="32"/>
          <w:rtl/>
        </w:rPr>
      </w:pPr>
      <w:bookmarkStart w:id="39" w:name="_Toc192716052"/>
      <w:r w:rsidRPr="004065F3">
        <w:rPr>
          <w:rFonts w:hint="cs"/>
          <w:b/>
          <w:bCs/>
          <w:sz w:val="32"/>
          <w:szCs w:val="32"/>
          <w:rtl/>
        </w:rPr>
        <w:lastRenderedPageBreak/>
        <w:t>مراجع الأجنبية:</w:t>
      </w:r>
      <w:bookmarkEnd w:id="39"/>
    </w:p>
    <w:p w14:paraId="0D1706CF" w14:textId="509228A5" w:rsidR="004065F3" w:rsidRPr="004065F3" w:rsidRDefault="004065F3" w:rsidP="004065F3">
      <w:pPr>
        <w:spacing w:line="276" w:lineRule="auto"/>
        <w:ind w:left="720" w:hanging="720"/>
        <w:jc w:val="left"/>
        <w:rPr>
          <w:sz w:val="32"/>
          <w:szCs w:val="32"/>
        </w:rPr>
      </w:pPr>
      <w:r w:rsidRPr="004065F3">
        <w:rPr>
          <w:sz w:val="32"/>
          <w:szCs w:val="32"/>
        </w:rPr>
        <w:t>Begenau, J., &amp; Landvoigt, T. (2022). Financial regulation in a quantitative model of the modern banking system. The Review of Economic Studies, 89(4), 1748-1784.</w:t>
      </w:r>
    </w:p>
    <w:p w14:paraId="476CEC98" w14:textId="77777777" w:rsidR="004065F3" w:rsidRPr="004065F3" w:rsidRDefault="004065F3" w:rsidP="004065F3">
      <w:pPr>
        <w:spacing w:line="276" w:lineRule="auto"/>
        <w:ind w:left="720" w:hanging="720"/>
        <w:jc w:val="left"/>
        <w:rPr>
          <w:sz w:val="32"/>
          <w:szCs w:val="32"/>
        </w:rPr>
      </w:pPr>
      <w:r w:rsidRPr="004065F3">
        <w:rPr>
          <w:sz w:val="32"/>
          <w:szCs w:val="32"/>
        </w:rPr>
        <w:t>Calatayud, A., &amp; Ketterer, J. A. (2016). Integrated value chain risk management.</w:t>
      </w:r>
    </w:p>
    <w:p w14:paraId="54711111" w14:textId="77777777" w:rsidR="004065F3" w:rsidRPr="004065F3" w:rsidRDefault="004065F3" w:rsidP="004065F3">
      <w:pPr>
        <w:spacing w:line="276" w:lineRule="auto"/>
        <w:ind w:left="720" w:hanging="720"/>
        <w:jc w:val="left"/>
        <w:rPr>
          <w:sz w:val="32"/>
          <w:szCs w:val="32"/>
        </w:rPr>
      </w:pPr>
      <w:r w:rsidRPr="004065F3">
        <w:rPr>
          <w:sz w:val="32"/>
          <w:szCs w:val="32"/>
        </w:rPr>
        <w:t>Chatterjee, R. (2017). Practical methods of financial engineering and risk management: tools for modern financial professionals. Apress. Choudhry, M. (2013). An introduction to value-at-risk. John Wiley &amp; Sons.</w:t>
      </w:r>
    </w:p>
    <w:p w14:paraId="0664D987" w14:textId="77777777" w:rsidR="004065F3" w:rsidRPr="004065F3" w:rsidRDefault="004065F3" w:rsidP="004065F3">
      <w:pPr>
        <w:spacing w:line="276" w:lineRule="auto"/>
        <w:ind w:left="720" w:hanging="720"/>
        <w:jc w:val="left"/>
        <w:rPr>
          <w:sz w:val="32"/>
          <w:szCs w:val="32"/>
        </w:rPr>
      </w:pPr>
      <w:r w:rsidRPr="004065F3">
        <w:rPr>
          <w:sz w:val="32"/>
          <w:szCs w:val="32"/>
        </w:rPr>
        <w:t>Gasmi, A., Noor, S., Tippairote, T., Dadar, M., Menzel, A., &amp; Bjørklund, G. (2020). Individual risk management strategy and potential therapeutic options for the COVID-19 pandemic. Clinical immunology, 215, 108409.</w:t>
      </w:r>
    </w:p>
    <w:p w14:paraId="65F9B940" w14:textId="77777777" w:rsidR="004065F3" w:rsidRPr="004065F3" w:rsidRDefault="004065F3" w:rsidP="004065F3">
      <w:pPr>
        <w:spacing w:line="276" w:lineRule="auto"/>
        <w:ind w:left="720" w:hanging="720"/>
        <w:jc w:val="left"/>
        <w:rPr>
          <w:sz w:val="32"/>
          <w:szCs w:val="32"/>
        </w:rPr>
      </w:pPr>
      <w:r w:rsidRPr="004065F3">
        <w:rPr>
          <w:sz w:val="32"/>
          <w:szCs w:val="32"/>
        </w:rPr>
        <w:t>Guegan, D., Hassani, B., &amp; Li, K. (2017). Uncertainty in historical Value-at-Risk: an alternative quantile-based risk measure. In Mathematical and Statistical Methods for Actuarial Sciences and Finance (pp. 119-128). Springer, Cham.</w:t>
      </w:r>
    </w:p>
    <w:p w14:paraId="46ADFF18" w14:textId="30A1326A" w:rsidR="004065F3" w:rsidRPr="00FE74A6" w:rsidRDefault="004065F3" w:rsidP="004065F3">
      <w:pPr>
        <w:spacing w:line="276" w:lineRule="auto"/>
        <w:ind w:left="720" w:hanging="720"/>
        <w:jc w:val="left"/>
        <w:rPr>
          <w:sz w:val="32"/>
          <w:szCs w:val="32"/>
        </w:rPr>
      </w:pPr>
      <w:r w:rsidRPr="004065F3">
        <w:rPr>
          <w:sz w:val="32"/>
          <w:szCs w:val="32"/>
        </w:rPr>
        <w:t xml:space="preserve">Hachem, B., &amp; Sujud, H. (2018). Islamic Versus Conventional Banks in Lebanon: An Empirical Study of Credit Risk Management. International Journal of Economics and Finance, 10(8), 53-63 </w:t>
      </w:r>
    </w:p>
    <w:p w14:paraId="5FB823E2" w14:textId="77777777" w:rsidR="00FE74A6" w:rsidRDefault="00FE74A6" w:rsidP="00FE74A6">
      <w:pPr>
        <w:bidi/>
        <w:spacing w:line="276" w:lineRule="auto"/>
        <w:jc w:val="left"/>
        <w:rPr>
          <w:sz w:val="32"/>
          <w:szCs w:val="32"/>
          <w:rtl/>
        </w:rPr>
      </w:pPr>
    </w:p>
    <w:p w14:paraId="327A5793" w14:textId="77777777" w:rsidR="00F74E4A" w:rsidRPr="00F74E4A" w:rsidRDefault="00F74E4A" w:rsidP="00F74E4A">
      <w:pPr>
        <w:bidi/>
        <w:spacing w:line="276" w:lineRule="auto"/>
        <w:jc w:val="left"/>
        <w:rPr>
          <w:sz w:val="32"/>
          <w:szCs w:val="32"/>
        </w:rPr>
      </w:pPr>
    </w:p>
    <w:sectPr w:rsidR="00F74E4A" w:rsidRPr="00F74E4A" w:rsidSect="00FE74A6">
      <w:footerReference w:type="default" r:id="rId16"/>
      <w:pgSz w:w="11906" w:h="16838"/>
      <w:pgMar w:top="1440" w:right="1800" w:bottom="1440" w:left="1800" w:header="720" w:footer="720" w:gutter="0"/>
      <w:pgNumType w:start="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14E98" w14:textId="77777777" w:rsidR="00BD4200" w:rsidRDefault="00BD4200" w:rsidP="00FE74A6">
      <w:pPr>
        <w:spacing w:before="0" w:after="0" w:line="240" w:lineRule="auto"/>
      </w:pPr>
      <w:r>
        <w:separator/>
      </w:r>
    </w:p>
  </w:endnote>
  <w:endnote w:type="continuationSeparator" w:id="0">
    <w:p w14:paraId="0EEED88A" w14:textId="77777777" w:rsidR="00BD4200" w:rsidRDefault="00BD4200" w:rsidP="00FE74A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DecoType Thuluth">
    <w:altName w:val="Arial"/>
    <w:panose1 w:val="02010000000000000000"/>
    <w:charset w:val="B2"/>
    <w:family w:val="auto"/>
    <w:pitch w:val="variable"/>
    <w:sig w:usb0="00002001" w:usb1="80000000" w:usb2="00000008" w:usb3="00000000" w:csb0="00000040" w:csb1="00000000"/>
  </w:font>
  <w:font w:name="Andalus">
    <w:altName w:val="Arial"/>
    <w:panose1 w:val="02020603050405020304"/>
    <w:charset w:val="00"/>
    <w:family w:val="roman"/>
    <w:pitch w:val="variable"/>
    <w:sig w:usb0="00002003" w:usb1="80000000" w:usb2="00000008" w:usb3="00000000" w:csb0="00000041" w:csb1="00000000"/>
  </w:font>
  <w:font w:name="PT Bold Heading">
    <w:altName w:val="Arial"/>
    <w:panose1 w:val="0201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3881891"/>
      <w:docPartObj>
        <w:docPartGallery w:val="Page Numbers (Bottom of Page)"/>
        <w:docPartUnique/>
      </w:docPartObj>
    </w:sdtPr>
    <w:sdtContent>
      <w:p w14:paraId="605F4BA1" w14:textId="525750E3" w:rsidR="00FE74A6" w:rsidRDefault="00FE74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6EBC5C" w14:textId="77777777" w:rsidR="00FE74A6" w:rsidRDefault="00FE74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08372" w14:textId="77777777" w:rsidR="00BD4200" w:rsidRDefault="00BD4200" w:rsidP="00FE74A6">
      <w:pPr>
        <w:spacing w:before="0" w:after="0" w:line="240" w:lineRule="auto"/>
      </w:pPr>
      <w:r>
        <w:separator/>
      </w:r>
    </w:p>
  </w:footnote>
  <w:footnote w:type="continuationSeparator" w:id="0">
    <w:p w14:paraId="32DECA38" w14:textId="77777777" w:rsidR="00BD4200" w:rsidRDefault="00BD4200" w:rsidP="00FE74A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5827"/>
    <w:multiLevelType w:val="multilevel"/>
    <w:tmpl w:val="17B8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95E9A"/>
    <w:multiLevelType w:val="multilevel"/>
    <w:tmpl w:val="016AB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910B7"/>
    <w:multiLevelType w:val="multilevel"/>
    <w:tmpl w:val="C194F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4246FB"/>
    <w:multiLevelType w:val="multilevel"/>
    <w:tmpl w:val="8EB2A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0146FE"/>
    <w:multiLevelType w:val="multilevel"/>
    <w:tmpl w:val="7C0C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0B6365"/>
    <w:multiLevelType w:val="multilevel"/>
    <w:tmpl w:val="C1567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6730E2"/>
    <w:multiLevelType w:val="multilevel"/>
    <w:tmpl w:val="093CB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21BB1"/>
    <w:multiLevelType w:val="multilevel"/>
    <w:tmpl w:val="24E2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785BC3"/>
    <w:multiLevelType w:val="multilevel"/>
    <w:tmpl w:val="0F523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AD4BC8"/>
    <w:multiLevelType w:val="multilevel"/>
    <w:tmpl w:val="189C6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B47938"/>
    <w:multiLevelType w:val="hybridMultilevel"/>
    <w:tmpl w:val="68AE4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C41CE2"/>
    <w:multiLevelType w:val="multilevel"/>
    <w:tmpl w:val="5E8200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0E3D53"/>
    <w:multiLevelType w:val="hybridMultilevel"/>
    <w:tmpl w:val="6A162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F03CEF"/>
    <w:multiLevelType w:val="multilevel"/>
    <w:tmpl w:val="BE2C5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3D6919"/>
    <w:multiLevelType w:val="multilevel"/>
    <w:tmpl w:val="75AEF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131229"/>
    <w:multiLevelType w:val="multilevel"/>
    <w:tmpl w:val="B55AD9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EF53B5"/>
    <w:multiLevelType w:val="multilevel"/>
    <w:tmpl w:val="0B341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866FD9"/>
    <w:multiLevelType w:val="multilevel"/>
    <w:tmpl w:val="389AC3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5521C4"/>
    <w:multiLevelType w:val="hybridMultilevel"/>
    <w:tmpl w:val="32AEA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DE3D3E"/>
    <w:multiLevelType w:val="multilevel"/>
    <w:tmpl w:val="7E2E0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7970B1"/>
    <w:multiLevelType w:val="multilevel"/>
    <w:tmpl w:val="20D28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872186"/>
    <w:multiLevelType w:val="multilevel"/>
    <w:tmpl w:val="79006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0E7ADB"/>
    <w:multiLevelType w:val="multilevel"/>
    <w:tmpl w:val="057A5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9B226A"/>
    <w:multiLevelType w:val="multilevel"/>
    <w:tmpl w:val="FD74E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C50434"/>
    <w:multiLevelType w:val="multilevel"/>
    <w:tmpl w:val="D9BA3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0738F5"/>
    <w:multiLevelType w:val="multilevel"/>
    <w:tmpl w:val="C07AA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101721"/>
    <w:multiLevelType w:val="multilevel"/>
    <w:tmpl w:val="198676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486D56"/>
    <w:multiLevelType w:val="multilevel"/>
    <w:tmpl w:val="A236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A03042"/>
    <w:multiLevelType w:val="multilevel"/>
    <w:tmpl w:val="03226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412620"/>
    <w:multiLevelType w:val="multilevel"/>
    <w:tmpl w:val="C3FAE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1E4CE6"/>
    <w:multiLevelType w:val="hybridMultilevel"/>
    <w:tmpl w:val="9F26D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98750E"/>
    <w:multiLevelType w:val="hybridMultilevel"/>
    <w:tmpl w:val="B7188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5A7588"/>
    <w:multiLevelType w:val="multilevel"/>
    <w:tmpl w:val="6A407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EE22E5"/>
    <w:multiLevelType w:val="multilevel"/>
    <w:tmpl w:val="A2AE8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250A3D"/>
    <w:multiLevelType w:val="multilevel"/>
    <w:tmpl w:val="E6A4C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A15D98"/>
    <w:multiLevelType w:val="multilevel"/>
    <w:tmpl w:val="D5C4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350B33"/>
    <w:multiLevelType w:val="multilevel"/>
    <w:tmpl w:val="9D7C3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4A2A37"/>
    <w:multiLevelType w:val="multilevel"/>
    <w:tmpl w:val="53C66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AE444E"/>
    <w:multiLevelType w:val="multilevel"/>
    <w:tmpl w:val="636CB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EF431F"/>
    <w:multiLevelType w:val="multilevel"/>
    <w:tmpl w:val="7F323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F259F0"/>
    <w:multiLevelType w:val="hybridMultilevel"/>
    <w:tmpl w:val="250EC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0762047">
    <w:abstractNumId w:val="3"/>
  </w:num>
  <w:num w:numId="2" w16cid:durableId="231701928">
    <w:abstractNumId w:val="28"/>
  </w:num>
  <w:num w:numId="3" w16cid:durableId="529270104">
    <w:abstractNumId w:val="0"/>
  </w:num>
  <w:num w:numId="4" w16cid:durableId="672880359">
    <w:abstractNumId w:val="32"/>
  </w:num>
  <w:num w:numId="5" w16cid:durableId="1228682416">
    <w:abstractNumId w:val="37"/>
  </w:num>
  <w:num w:numId="6" w16cid:durableId="1417365029">
    <w:abstractNumId w:val="2"/>
  </w:num>
  <w:num w:numId="7" w16cid:durableId="2042121782">
    <w:abstractNumId w:val="23"/>
  </w:num>
  <w:num w:numId="8" w16cid:durableId="516429037">
    <w:abstractNumId w:val="9"/>
  </w:num>
  <w:num w:numId="9" w16cid:durableId="1118718260">
    <w:abstractNumId w:val="1"/>
  </w:num>
  <w:num w:numId="10" w16cid:durableId="1789742530">
    <w:abstractNumId w:val="6"/>
  </w:num>
  <w:num w:numId="11" w16cid:durableId="1754473845">
    <w:abstractNumId w:val="24"/>
  </w:num>
  <w:num w:numId="12" w16cid:durableId="16199021">
    <w:abstractNumId w:val="31"/>
  </w:num>
  <w:num w:numId="13" w16cid:durableId="1502892231">
    <w:abstractNumId w:val="12"/>
  </w:num>
  <w:num w:numId="14" w16cid:durableId="998577192">
    <w:abstractNumId w:val="40"/>
  </w:num>
  <w:num w:numId="15" w16cid:durableId="422994991">
    <w:abstractNumId w:val="35"/>
  </w:num>
  <w:num w:numId="16" w16cid:durableId="747388730">
    <w:abstractNumId w:val="14"/>
  </w:num>
  <w:num w:numId="17" w16cid:durableId="722366812">
    <w:abstractNumId w:val="21"/>
  </w:num>
  <w:num w:numId="18" w16cid:durableId="95902501">
    <w:abstractNumId w:val="8"/>
  </w:num>
  <w:num w:numId="19" w16cid:durableId="428625983">
    <w:abstractNumId w:val="38"/>
  </w:num>
  <w:num w:numId="20" w16cid:durableId="1445077510">
    <w:abstractNumId w:val="19"/>
  </w:num>
  <w:num w:numId="21" w16cid:durableId="1288198697">
    <w:abstractNumId w:val="29"/>
  </w:num>
  <w:num w:numId="22" w16cid:durableId="2031565108">
    <w:abstractNumId w:val="15"/>
  </w:num>
  <w:num w:numId="23" w16cid:durableId="812722575">
    <w:abstractNumId w:val="26"/>
  </w:num>
  <w:num w:numId="24" w16cid:durableId="2082020047">
    <w:abstractNumId w:val="20"/>
  </w:num>
  <w:num w:numId="25" w16cid:durableId="1404059618">
    <w:abstractNumId w:val="17"/>
  </w:num>
  <w:num w:numId="26" w16cid:durableId="1491483958">
    <w:abstractNumId w:val="16"/>
  </w:num>
  <w:num w:numId="27" w16cid:durableId="385687237">
    <w:abstractNumId w:val="10"/>
  </w:num>
  <w:num w:numId="28" w16cid:durableId="581644440">
    <w:abstractNumId w:val="11"/>
  </w:num>
  <w:num w:numId="29" w16cid:durableId="784429118">
    <w:abstractNumId w:val="36"/>
  </w:num>
  <w:num w:numId="30" w16cid:durableId="2116174727">
    <w:abstractNumId w:val="30"/>
  </w:num>
  <w:num w:numId="31" w16cid:durableId="1403134473">
    <w:abstractNumId w:val="27"/>
  </w:num>
  <w:num w:numId="32" w16cid:durableId="1605726746">
    <w:abstractNumId w:val="39"/>
  </w:num>
  <w:num w:numId="33" w16cid:durableId="1534492474">
    <w:abstractNumId w:val="4"/>
  </w:num>
  <w:num w:numId="34" w16cid:durableId="112329336">
    <w:abstractNumId w:val="13"/>
  </w:num>
  <w:num w:numId="35" w16cid:durableId="1056900776">
    <w:abstractNumId w:val="34"/>
  </w:num>
  <w:num w:numId="36" w16cid:durableId="446200284">
    <w:abstractNumId w:val="7"/>
  </w:num>
  <w:num w:numId="37" w16cid:durableId="298340252">
    <w:abstractNumId w:val="25"/>
  </w:num>
  <w:num w:numId="38" w16cid:durableId="1569461157">
    <w:abstractNumId w:val="22"/>
  </w:num>
  <w:num w:numId="39" w16cid:durableId="1356151815">
    <w:abstractNumId w:val="33"/>
  </w:num>
  <w:num w:numId="40" w16cid:durableId="289550801">
    <w:abstractNumId w:val="5"/>
  </w:num>
  <w:num w:numId="41" w16cid:durableId="27036346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E4A"/>
    <w:rsid w:val="00107E61"/>
    <w:rsid w:val="0012069D"/>
    <w:rsid w:val="00124D5E"/>
    <w:rsid w:val="00174CB3"/>
    <w:rsid w:val="001A17D0"/>
    <w:rsid w:val="00210DC6"/>
    <w:rsid w:val="00267E3A"/>
    <w:rsid w:val="002956A6"/>
    <w:rsid w:val="004065F3"/>
    <w:rsid w:val="004567EA"/>
    <w:rsid w:val="0057566E"/>
    <w:rsid w:val="00594703"/>
    <w:rsid w:val="005C7991"/>
    <w:rsid w:val="00651A03"/>
    <w:rsid w:val="00706FD5"/>
    <w:rsid w:val="007667C0"/>
    <w:rsid w:val="008E3120"/>
    <w:rsid w:val="00AA0E29"/>
    <w:rsid w:val="00B52B99"/>
    <w:rsid w:val="00B879E0"/>
    <w:rsid w:val="00BD4200"/>
    <w:rsid w:val="00CF2CE7"/>
    <w:rsid w:val="00D97259"/>
    <w:rsid w:val="00DB71D8"/>
    <w:rsid w:val="00F406F9"/>
    <w:rsid w:val="00F63DA0"/>
    <w:rsid w:val="00F74E4A"/>
    <w:rsid w:val="00FE74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AE512"/>
  <w15:chartTrackingRefBased/>
  <w15:docId w15:val="{95FF6554-1DD6-408B-993F-A8FF76832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before="120"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5F3"/>
  </w:style>
  <w:style w:type="paragraph" w:styleId="Heading1">
    <w:name w:val="heading 1"/>
    <w:basedOn w:val="Normal"/>
    <w:next w:val="Normal"/>
    <w:link w:val="Heading1Char"/>
    <w:uiPriority w:val="9"/>
    <w:qFormat/>
    <w:rsid w:val="00F74E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74E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4E4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4E4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4E4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4E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4E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4E4A"/>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4E4A"/>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E4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74E4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4E4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4E4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4E4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4E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4E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4E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4E4A"/>
    <w:rPr>
      <w:rFonts w:eastAsiaTheme="majorEastAsia" w:cstheme="majorBidi"/>
      <w:color w:val="272727" w:themeColor="text1" w:themeTint="D8"/>
    </w:rPr>
  </w:style>
  <w:style w:type="paragraph" w:styleId="Title">
    <w:name w:val="Title"/>
    <w:basedOn w:val="Normal"/>
    <w:next w:val="Normal"/>
    <w:link w:val="TitleChar"/>
    <w:uiPriority w:val="10"/>
    <w:qFormat/>
    <w:rsid w:val="00F74E4A"/>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4E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4E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4E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4E4A"/>
    <w:pPr>
      <w:spacing w:before="160"/>
      <w:jc w:val="center"/>
    </w:pPr>
    <w:rPr>
      <w:i/>
      <w:iCs/>
      <w:color w:val="404040" w:themeColor="text1" w:themeTint="BF"/>
    </w:rPr>
  </w:style>
  <w:style w:type="character" w:customStyle="1" w:styleId="QuoteChar">
    <w:name w:val="Quote Char"/>
    <w:basedOn w:val="DefaultParagraphFont"/>
    <w:link w:val="Quote"/>
    <w:uiPriority w:val="29"/>
    <w:rsid w:val="00F74E4A"/>
    <w:rPr>
      <w:i/>
      <w:iCs/>
      <w:color w:val="404040" w:themeColor="text1" w:themeTint="BF"/>
    </w:rPr>
  </w:style>
  <w:style w:type="paragraph" w:styleId="ListParagraph">
    <w:name w:val="List Paragraph"/>
    <w:basedOn w:val="Normal"/>
    <w:uiPriority w:val="34"/>
    <w:qFormat/>
    <w:rsid w:val="00F74E4A"/>
    <w:pPr>
      <w:ind w:left="720"/>
      <w:contextualSpacing/>
    </w:pPr>
  </w:style>
  <w:style w:type="character" w:styleId="IntenseEmphasis">
    <w:name w:val="Intense Emphasis"/>
    <w:basedOn w:val="DefaultParagraphFont"/>
    <w:uiPriority w:val="21"/>
    <w:qFormat/>
    <w:rsid w:val="00F74E4A"/>
    <w:rPr>
      <w:i/>
      <w:iCs/>
      <w:color w:val="2F5496" w:themeColor="accent1" w:themeShade="BF"/>
    </w:rPr>
  </w:style>
  <w:style w:type="paragraph" w:styleId="IntenseQuote">
    <w:name w:val="Intense Quote"/>
    <w:basedOn w:val="Normal"/>
    <w:next w:val="Normal"/>
    <w:link w:val="IntenseQuoteChar"/>
    <w:uiPriority w:val="30"/>
    <w:qFormat/>
    <w:rsid w:val="00F74E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4E4A"/>
    <w:rPr>
      <w:i/>
      <w:iCs/>
      <w:color w:val="2F5496" w:themeColor="accent1" w:themeShade="BF"/>
    </w:rPr>
  </w:style>
  <w:style w:type="character" w:styleId="IntenseReference">
    <w:name w:val="Intense Reference"/>
    <w:basedOn w:val="DefaultParagraphFont"/>
    <w:uiPriority w:val="32"/>
    <w:qFormat/>
    <w:rsid w:val="00F74E4A"/>
    <w:rPr>
      <w:b/>
      <w:bCs/>
      <w:smallCaps/>
      <w:color w:val="2F5496" w:themeColor="accent1" w:themeShade="BF"/>
      <w:spacing w:val="5"/>
    </w:rPr>
  </w:style>
  <w:style w:type="paragraph" w:styleId="Header">
    <w:name w:val="header"/>
    <w:basedOn w:val="Normal"/>
    <w:link w:val="HeaderChar"/>
    <w:uiPriority w:val="99"/>
    <w:unhideWhenUsed/>
    <w:rsid w:val="00FE74A6"/>
    <w:pPr>
      <w:tabs>
        <w:tab w:val="center" w:pos="4153"/>
        <w:tab w:val="right" w:pos="8306"/>
      </w:tabs>
      <w:spacing w:before="0" w:after="0" w:line="240" w:lineRule="auto"/>
    </w:pPr>
  </w:style>
  <w:style w:type="character" w:customStyle="1" w:styleId="HeaderChar">
    <w:name w:val="Header Char"/>
    <w:basedOn w:val="DefaultParagraphFont"/>
    <w:link w:val="Header"/>
    <w:uiPriority w:val="99"/>
    <w:rsid w:val="00FE74A6"/>
  </w:style>
  <w:style w:type="paragraph" w:styleId="Footer">
    <w:name w:val="footer"/>
    <w:basedOn w:val="Normal"/>
    <w:link w:val="FooterChar"/>
    <w:uiPriority w:val="99"/>
    <w:unhideWhenUsed/>
    <w:rsid w:val="00FE74A6"/>
    <w:pPr>
      <w:tabs>
        <w:tab w:val="center" w:pos="4153"/>
        <w:tab w:val="right" w:pos="8306"/>
      </w:tabs>
      <w:spacing w:before="0" w:after="0" w:line="240" w:lineRule="auto"/>
    </w:pPr>
  </w:style>
  <w:style w:type="character" w:customStyle="1" w:styleId="FooterChar">
    <w:name w:val="Footer Char"/>
    <w:basedOn w:val="DefaultParagraphFont"/>
    <w:link w:val="Footer"/>
    <w:uiPriority w:val="99"/>
    <w:rsid w:val="00FE74A6"/>
  </w:style>
  <w:style w:type="character" w:styleId="Hyperlink">
    <w:name w:val="Hyperlink"/>
    <w:basedOn w:val="DefaultParagraphFont"/>
    <w:uiPriority w:val="99"/>
    <w:unhideWhenUsed/>
    <w:rsid w:val="00D97259"/>
    <w:rPr>
      <w:color w:val="0563C1" w:themeColor="hyperlink"/>
      <w:u w:val="single"/>
    </w:rPr>
  </w:style>
  <w:style w:type="character" w:styleId="UnresolvedMention">
    <w:name w:val="Unresolved Mention"/>
    <w:basedOn w:val="DefaultParagraphFont"/>
    <w:uiPriority w:val="99"/>
    <w:semiHidden/>
    <w:unhideWhenUsed/>
    <w:rsid w:val="00D97259"/>
    <w:rPr>
      <w:color w:val="605E5C"/>
      <w:shd w:val="clear" w:color="auto" w:fill="E1DFDD"/>
    </w:rPr>
  </w:style>
  <w:style w:type="paragraph" w:styleId="TOCHeading">
    <w:name w:val="TOC Heading"/>
    <w:basedOn w:val="Heading1"/>
    <w:next w:val="Normal"/>
    <w:uiPriority w:val="39"/>
    <w:unhideWhenUsed/>
    <w:qFormat/>
    <w:rsid w:val="00F63DA0"/>
    <w:pPr>
      <w:spacing w:before="240" w:after="0" w:line="259" w:lineRule="auto"/>
      <w:jc w:val="left"/>
      <w:outlineLvl w:val="9"/>
    </w:pPr>
    <w:rPr>
      <w:kern w:val="0"/>
      <w:sz w:val="32"/>
      <w:szCs w:val="32"/>
      <w14:ligatures w14:val="none"/>
    </w:rPr>
  </w:style>
  <w:style w:type="paragraph" w:styleId="TOC1">
    <w:name w:val="toc 1"/>
    <w:basedOn w:val="Normal"/>
    <w:next w:val="Normal"/>
    <w:autoRedefine/>
    <w:uiPriority w:val="39"/>
    <w:unhideWhenUsed/>
    <w:rsid w:val="00F63DA0"/>
    <w:pPr>
      <w:spacing w:after="100"/>
    </w:pPr>
  </w:style>
  <w:style w:type="paragraph" w:styleId="TOC2">
    <w:name w:val="toc 2"/>
    <w:basedOn w:val="Normal"/>
    <w:next w:val="Normal"/>
    <w:autoRedefine/>
    <w:uiPriority w:val="39"/>
    <w:unhideWhenUsed/>
    <w:rsid w:val="00F63DA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65407">
      <w:bodyDiv w:val="1"/>
      <w:marLeft w:val="0"/>
      <w:marRight w:val="0"/>
      <w:marTop w:val="0"/>
      <w:marBottom w:val="0"/>
      <w:divBdr>
        <w:top w:val="none" w:sz="0" w:space="0" w:color="auto"/>
        <w:left w:val="none" w:sz="0" w:space="0" w:color="auto"/>
        <w:bottom w:val="none" w:sz="0" w:space="0" w:color="auto"/>
        <w:right w:val="none" w:sz="0" w:space="0" w:color="auto"/>
      </w:divBdr>
    </w:div>
    <w:div w:id="127675150">
      <w:bodyDiv w:val="1"/>
      <w:marLeft w:val="0"/>
      <w:marRight w:val="0"/>
      <w:marTop w:val="0"/>
      <w:marBottom w:val="0"/>
      <w:divBdr>
        <w:top w:val="none" w:sz="0" w:space="0" w:color="auto"/>
        <w:left w:val="none" w:sz="0" w:space="0" w:color="auto"/>
        <w:bottom w:val="none" w:sz="0" w:space="0" w:color="auto"/>
        <w:right w:val="none" w:sz="0" w:space="0" w:color="auto"/>
      </w:divBdr>
    </w:div>
    <w:div w:id="364447466">
      <w:bodyDiv w:val="1"/>
      <w:marLeft w:val="0"/>
      <w:marRight w:val="0"/>
      <w:marTop w:val="0"/>
      <w:marBottom w:val="0"/>
      <w:divBdr>
        <w:top w:val="none" w:sz="0" w:space="0" w:color="auto"/>
        <w:left w:val="none" w:sz="0" w:space="0" w:color="auto"/>
        <w:bottom w:val="none" w:sz="0" w:space="0" w:color="auto"/>
        <w:right w:val="none" w:sz="0" w:space="0" w:color="auto"/>
      </w:divBdr>
    </w:div>
    <w:div w:id="406540121">
      <w:bodyDiv w:val="1"/>
      <w:marLeft w:val="0"/>
      <w:marRight w:val="0"/>
      <w:marTop w:val="0"/>
      <w:marBottom w:val="0"/>
      <w:divBdr>
        <w:top w:val="none" w:sz="0" w:space="0" w:color="auto"/>
        <w:left w:val="none" w:sz="0" w:space="0" w:color="auto"/>
        <w:bottom w:val="none" w:sz="0" w:space="0" w:color="auto"/>
        <w:right w:val="none" w:sz="0" w:space="0" w:color="auto"/>
      </w:divBdr>
    </w:div>
    <w:div w:id="407767873">
      <w:bodyDiv w:val="1"/>
      <w:marLeft w:val="0"/>
      <w:marRight w:val="0"/>
      <w:marTop w:val="0"/>
      <w:marBottom w:val="0"/>
      <w:divBdr>
        <w:top w:val="none" w:sz="0" w:space="0" w:color="auto"/>
        <w:left w:val="none" w:sz="0" w:space="0" w:color="auto"/>
        <w:bottom w:val="none" w:sz="0" w:space="0" w:color="auto"/>
        <w:right w:val="none" w:sz="0" w:space="0" w:color="auto"/>
      </w:divBdr>
    </w:div>
    <w:div w:id="484976943">
      <w:bodyDiv w:val="1"/>
      <w:marLeft w:val="0"/>
      <w:marRight w:val="0"/>
      <w:marTop w:val="0"/>
      <w:marBottom w:val="0"/>
      <w:divBdr>
        <w:top w:val="none" w:sz="0" w:space="0" w:color="auto"/>
        <w:left w:val="none" w:sz="0" w:space="0" w:color="auto"/>
        <w:bottom w:val="none" w:sz="0" w:space="0" w:color="auto"/>
        <w:right w:val="none" w:sz="0" w:space="0" w:color="auto"/>
      </w:divBdr>
    </w:div>
    <w:div w:id="540704329">
      <w:bodyDiv w:val="1"/>
      <w:marLeft w:val="0"/>
      <w:marRight w:val="0"/>
      <w:marTop w:val="0"/>
      <w:marBottom w:val="0"/>
      <w:divBdr>
        <w:top w:val="none" w:sz="0" w:space="0" w:color="auto"/>
        <w:left w:val="none" w:sz="0" w:space="0" w:color="auto"/>
        <w:bottom w:val="none" w:sz="0" w:space="0" w:color="auto"/>
        <w:right w:val="none" w:sz="0" w:space="0" w:color="auto"/>
      </w:divBdr>
    </w:div>
    <w:div w:id="589586795">
      <w:bodyDiv w:val="1"/>
      <w:marLeft w:val="0"/>
      <w:marRight w:val="0"/>
      <w:marTop w:val="0"/>
      <w:marBottom w:val="0"/>
      <w:divBdr>
        <w:top w:val="none" w:sz="0" w:space="0" w:color="auto"/>
        <w:left w:val="none" w:sz="0" w:space="0" w:color="auto"/>
        <w:bottom w:val="none" w:sz="0" w:space="0" w:color="auto"/>
        <w:right w:val="none" w:sz="0" w:space="0" w:color="auto"/>
      </w:divBdr>
    </w:div>
    <w:div w:id="774789996">
      <w:bodyDiv w:val="1"/>
      <w:marLeft w:val="0"/>
      <w:marRight w:val="0"/>
      <w:marTop w:val="0"/>
      <w:marBottom w:val="0"/>
      <w:divBdr>
        <w:top w:val="none" w:sz="0" w:space="0" w:color="auto"/>
        <w:left w:val="none" w:sz="0" w:space="0" w:color="auto"/>
        <w:bottom w:val="none" w:sz="0" w:space="0" w:color="auto"/>
        <w:right w:val="none" w:sz="0" w:space="0" w:color="auto"/>
      </w:divBdr>
    </w:div>
    <w:div w:id="1121461921">
      <w:bodyDiv w:val="1"/>
      <w:marLeft w:val="0"/>
      <w:marRight w:val="0"/>
      <w:marTop w:val="0"/>
      <w:marBottom w:val="0"/>
      <w:divBdr>
        <w:top w:val="none" w:sz="0" w:space="0" w:color="auto"/>
        <w:left w:val="none" w:sz="0" w:space="0" w:color="auto"/>
        <w:bottom w:val="none" w:sz="0" w:space="0" w:color="auto"/>
        <w:right w:val="none" w:sz="0" w:space="0" w:color="auto"/>
      </w:divBdr>
    </w:div>
    <w:div w:id="1198588014">
      <w:bodyDiv w:val="1"/>
      <w:marLeft w:val="0"/>
      <w:marRight w:val="0"/>
      <w:marTop w:val="0"/>
      <w:marBottom w:val="0"/>
      <w:divBdr>
        <w:top w:val="none" w:sz="0" w:space="0" w:color="auto"/>
        <w:left w:val="none" w:sz="0" w:space="0" w:color="auto"/>
        <w:bottom w:val="none" w:sz="0" w:space="0" w:color="auto"/>
        <w:right w:val="none" w:sz="0" w:space="0" w:color="auto"/>
      </w:divBdr>
    </w:div>
    <w:div w:id="1242638561">
      <w:bodyDiv w:val="1"/>
      <w:marLeft w:val="0"/>
      <w:marRight w:val="0"/>
      <w:marTop w:val="0"/>
      <w:marBottom w:val="0"/>
      <w:divBdr>
        <w:top w:val="none" w:sz="0" w:space="0" w:color="auto"/>
        <w:left w:val="none" w:sz="0" w:space="0" w:color="auto"/>
        <w:bottom w:val="none" w:sz="0" w:space="0" w:color="auto"/>
        <w:right w:val="none" w:sz="0" w:space="0" w:color="auto"/>
      </w:divBdr>
    </w:div>
    <w:div w:id="1312830576">
      <w:bodyDiv w:val="1"/>
      <w:marLeft w:val="0"/>
      <w:marRight w:val="0"/>
      <w:marTop w:val="0"/>
      <w:marBottom w:val="0"/>
      <w:divBdr>
        <w:top w:val="none" w:sz="0" w:space="0" w:color="auto"/>
        <w:left w:val="none" w:sz="0" w:space="0" w:color="auto"/>
        <w:bottom w:val="none" w:sz="0" w:space="0" w:color="auto"/>
        <w:right w:val="none" w:sz="0" w:space="0" w:color="auto"/>
      </w:divBdr>
    </w:div>
    <w:div w:id="1464956800">
      <w:bodyDiv w:val="1"/>
      <w:marLeft w:val="0"/>
      <w:marRight w:val="0"/>
      <w:marTop w:val="0"/>
      <w:marBottom w:val="0"/>
      <w:divBdr>
        <w:top w:val="none" w:sz="0" w:space="0" w:color="auto"/>
        <w:left w:val="none" w:sz="0" w:space="0" w:color="auto"/>
        <w:bottom w:val="none" w:sz="0" w:space="0" w:color="auto"/>
        <w:right w:val="none" w:sz="0" w:space="0" w:color="auto"/>
      </w:divBdr>
    </w:div>
    <w:div w:id="1532258832">
      <w:bodyDiv w:val="1"/>
      <w:marLeft w:val="0"/>
      <w:marRight w:val="0"/>
      <w:marTop w:val="0"/>
      <w:marBottom w:val="0"/>
      <w:divBdr>
        <w:top w:val="none" w:sz="0" w:space="0" w:color="auto"/>
        <w:left w:val="none" w:sz="0" w:space="0" w:color="auto"/>
        <w:bottom w:val="none" w:sz="0" w:space="0" w:color="auto"/>
        <w:right w:val="none" w:sz="0" w:space="0" w:color="auto"/>
      </w:divBdr>
    </w:div>
    <w:div w:id="1810441936">
      <w:bodyDiv w:val="1"/>
      <w:marLeft w:val="0"/>
      <w:marRight w:val="0"/>
      <w:marTop w:val="0"/>
      <w:marBottom w:val="0"/>
      <w:divBdr>
        <w:top w:val="none" w:sz="0" w:space="0" w:color="auto"/>
        <w:left w:val="none" w:sz="0" w:space="0" w:color="auto"/>
        <w:bottom w:val="none" w:sz="0" w:space="0" w:color="auto"/>
        <w:right w:val="none" w:sz="0" w:space="0" w:color="auto"/>
      </w:divBdr>
    </w:div>
    <w:div w:id="1848713003">
      <w:bodyDiv w:val="1"/>
      <w:marLeft w:val="0"/>
      <w:marRight w:val="0"/>
      <w:marTop w:val="0"/>
      <w:marBottom w:val="0"/>
      <w:divBdr>
        <w:top w:val="none" w:sz="0" w:space="0" w:color="auto"/>
        <w:left w:val="none" w:sz="0" w:space="0" w:color="auto"/>
        <w:bottom w:val="none" w:sz="0" w:space="0" w:color="auto"/>
        <w:right w:val="none" w:sz="0" w:space="0" w:color="auto"/>
      </w:divBdr>
    </w:div>
    <w:div w:id="1902516438">
      <w:bodyDiv w:val="1"/>
      <w:marLeft w:val="0"/>
      <w:marRight w:val="0"/>
      <w:marTop w:val="0"/>
      <w:marBottom w:val="0"/>
      <w:divBdr>
        <w:top w:val="none" w:sz="0" w:space="0" w:color="auto"/>
        <w:left w:val="none" w:sz="0" w:space="0" w:color="auto"/>
        <w:bottom w:val="none" w:sz="0" w:space="0" w:color="auto"/>
        <w:right w:val="none" w:sz="0" w:space="0" w:color="auto"/>
      </w:divBdr>
    </w:div>
    <w:div w:id="1910731130">
      <w:bodyDiv w:val="1"/>
      <w:marLeft w:val="0"/>
      <w:marRight w:val="0"/>
      <w:marTop w:val="0"/>
      <w:marBottom w:val="0"/>
      <w:divBdr>
        <w:top w:val="none" w:sz="0" w:space="0" w:color="auto"/>
        <w:left w:val="none" w:sz="0" w:space="0" w:color="auto"/>
        <w:bottom w:val="none" w:sz="0" w:space="0" w:color="auto"/>
        <w:right w:val="none" w:sz="0" w:space="0" w:color="auto"/>
      </w:divBdr>
      <w:divsChild>
        <w:div w:id="1301113200">
          <w:marLeft w:val="0"/>
          <w:marRight w:val="0"/>
          <w:marTop w:val="0"/>
          <w:marBottom w:val="0"/>
          <w:divBdr>
            <w:top w:val="none" w:sz="0" w:space="0" w:color="auto"/>
            <w:left w:val="none" w:sz="0" w:space="0" w:color="auto"/>
            <w:bottom w:val="none" w:sz="0" w:space="0" w:color="auto"/>
            <w:right w:val="none" w:sz="0" w:space="0" w:color="auto"/>
          </w:divBdr>
          <w:divsChild>
            <w:div w:id="1500270286">
              <w:marLeft w:val="0"/>
              <w:marRight w:val="0"/>
              <w:marTop w:val="0"/>
              <w:marBottom w:val="0"/>
              <w:divBdr>
                <w:top w:val="none" w:sz="0" w:space="0" w:color="auto"/>
                <w:left w:val="none" w:sz="0" w:space="0" w:color="auto"/>
                <w:bottom w:val="none" w:sz="0" w:space="0" w:color="auto"/>
                <w:right w:val="none" w:sz="0" w:space="0" w:color="auto"/>
              </w:divBdr>
              <w:divsChild>
                <w:div w:id="405688458">
                  <w:marLeft w:val="0"/>
                  <w:marRight w:val="0"/>
                  <w:marTop w:val="0"/>
                  <w:marBottom w:val="0"/>
                  <w:divBdr>
                    <w:top w:val="none" w:sz="0" w:space="0" w:color="auto"/>
                    <w:left w:val="none" w:sz="0" w:space="0" w:color="auto"/>
                    <w:bottom w:val="none" w:sz="0" w:space="0" w:color="auto"/>
                    <w:right w:val="none" w:sz="0" w:space="0" w:color="auto"/>
                  </w:divBdr>
                  <w:divsChild>
                    <w:div w:id="2077431340">
                      <w:marLeft w:val="0"/>
                      <w:marRight w:val="0"/>
                      <w:marTop w:val="0"/>
                      <w:marBottom w:val="0"/>
                      <w:divBdr>
                        <w:top w:val="none" w:sz="0" w:space="0" w:color="auto"/>
                        <w:left w:val="none" w:sz="0" w:space="0" w:color="auto"/>
                        <w:bottom w:val="none" w:sz="0" w:space="0" w:color="auto"/>
                        <w:right w:val="none" w:sz="0" w:space="0" w:color="auto"/>
                      </w:divBdr>
                      <w:divsChild>
                        <w:div w:id="306249914">
                          <w:marLeft w:val="0"/>
                          <w:marRight w:val="0"/>
                          <w:marTop w:val="0"/>
                          <w:marBottom w:val="0"/>
                          <w:divBdr>
                            <w:top w:val="none" w:sz="0" w:space="0" w:color="auto"/>
                            <w:left w:val="none" w:sz="0" w:space="0" w:color="auto"/>
                            <w:bottom w:val="none" w:sz="0" w:space="0" w:color="auto"/>
                            <w:right w:val="none" w:sz="0" w:space="0" w:color="auto"/>
                          </w:divBdr>
                          <w:divsChild>
                            <w:div w:id="1919754369">
                              <w:marLeft w:val="0"/>
                              <w:marRight w:val="0"/>
                              <w:marTop w:val="0"/>
                              <w:marBottom w:val="0"/>
                              <w:divBdr>
                                <w:top w:val="none" w:sz="0" w:space="0" w:color="auto"/>
                                <w:left w:val="none" w:sz="0" w:space="0" w:color="auto"/>
                                <w:bottom w:val="none" w:sz="0" w:space="0" w:color="auto"/>
                                <w:right w:val="none" w:sz="0" w:space="0" w:color="auto"/>
                              </w:divBdr>
                              <w:divsChild>
                                <w:div w:id="824662072">
                                  <w:marLeft w:val="0"/>
                                  <w:marRight w:val="0"/>
                                  <w:marTop w:val="0"/>
                                  <w:marBottom w:val="0"/>
                                  <w:divBdr>
                                    <w:top w:val="none" w:sz="0" w:space="0" w:color="auto"/>
                                    <w:left w:val="none" w:sz="0" w:space="0" w:color="auto"/>
                                    <w:bottom w:val="none" w:sz="0" w:space="0" w:color="auto"/>
                                    <w:right w:val="none" w:sz="0" w:space="0" w:color="auto"/>
                                  </w:divBdr>
                                  <w:divsChild>
                                    <w:div w:id="22499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082935">
                          <w:marLeft w:val="0"/>
                          <w:marRight w:val="0"/>
                          <w:marTop w:val="0"/>
                          <w:marBottom w:val="0"/>
                          <w:divBdr>
                            <w:top w:val="none" w:sz="0" w:space="0" w:color="auto"/>
                            <w:left w:val="none" w:sz="0" w:space="0" w:color="auto"/>
                            <w:bottom w:val="none" w:sz="0" w:space="0" w:color="auto"/>
                            <w:right w:val="none" w:sz="0" w:space="0" w:color="auto"/>
                          </w:divBdr>
                          <w:divsChild>
                            <w:div w:id="1518158140">
                              <w:marLeft w:val="0"/>
                              <w:marRight w:val="0"/>
                              <w:marTop w:val="0"/>
                              <w:marBottom w:val="0"/>
                              <w:divBdr>
                                <w:top w:val="none" w:sz="0" w:space="0" w:color="auto"/>
                                <w:left w:val="none" w:sz="0" w:space="0" w:color="auto"/>
                                <w:bottom w:val="none" w:sz="0" w:space="0" w:color="auto"/>
                                <w:right w:val="none" w:sz="0" w:space="0" w:color="auto"/>
                              </w:divBdr>
                              <w:divsChild>
                                <w:div w:id="410741650">
                                  <w:marLeft w:val="0"/>
                                  <w:marRight w:val="0"/>
                                  <w:marTop w:val="0"/>
                                  <w:marBottom w:val="0"/>
                                  <w:divBdr>
                                    <w:top w:val="none" w:sz="0" w:space="0" w:color="auto"/>
                                    <w:left w:val="none" w:sz="0" w:space="0" w:color="auto"/>
                                    <w:bottom w:val="none" w:sz="0" w:space="0" w:color="auto"/>
                                    <w:right w:val="none" w:sz="0" w:space="0" w:color="auto"/>
                                  </w:divBdr>
                                  <w:divsChild>
                                    <w:div w:id="150320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3931779">
          <w:marLeft w:val="0"/>
          <w:marRight w:val="0"/>
          <w:marTop w:val="0"/>
          <w:marBottom w:val="0"/>
          <w:divBdr>
            <w:top w:val="none" w:sz="0" w:space="0" w:color="auto"/>
            <w:left w:val="none" w:sz="0" w:space="0" w:color="auto"/>
            <w:bottom w:val="none" w:sz="0" w:space="0" w:color="auto"/>
            <w:right w:val="none" w:sz="0" w:space="0" w:color="auto"/>
          </w:divBdr>
          <w:divsChild>
            <w:div w:id="2070107030">
              <w:marLeft w:val="0"/>
              <w:marRight w:val="0"/>
              <w:marTop w:val="0"/>
              <w:marBottom w:val="0"/>
              <w:divBdr>
                <w:top w:val="none" w:sz="0" w:space="0" w:color="auto"/>
                <w:left w:val="none" w:sz="0" w:space="0" w:color="auto"/>
                <w:bottom w:val="none" w:sz="0" w:space="0" w:color="auto"/>
                <w:right w:val="none" w:sz="0" w:space="0" w:color="auto"/>
              </w:divBdr>
              <w:divsChild>
                <w:div w:id="572814587">
                  <w:marLeft w:val="0"/>
                  <w:marRight w:val="0"/>
                  <w:marTop w:val="0"/>
                  <w:marBottom w:val="0"/>
                  <w:divBdr>
                    <w:top w:val="none" w:sz="0" w:space="0" w:color="auto"/>
                    <w:left w:val="none" w:sz="0" w:space="0" w:color="auto"/>
                    <w:bottom w:val="none" w:sz="0" w:space="0" w:color="auto"/>
                    <w:right w:val="none" w:sz="0" w:space="0" w:color="auto"/>
                  </w:divBdr>
                  <w:divsChild>
                    <w:div w:id="1842963250">
                      <w:marLeft w:val="0"/>
                      <w:marRight w:val="0"/>
                      <w:marTop w:val="0"/>
                      <w:marBottom w:val="0"/>
                      <w:divBdr>
                        <w:top w:val="none" w:sz="0" w:space="0" w:color="auto"/>
                        <w:left w:val="none" w:sz="0" w:space="0" w:color="auto"/>
                        <w:bottom w:val="none" w:sz="0" w:space="0" w:color="auto"/>
                        <w:right w:val="none" w:sz="0" w:space="0" w:color="auto"/>
                      </w:divBdr>
                      <w:divsChild>
                        <w:div w:id="1935283711">
                          <w:marLeft w:val="0"/>
                          <w:marRight w:val="0"/>
                          <w:marTop w:val="0"/>
                          <w:marBottom w:val="0"/>
                          <w:divBdr>
                            <w:top w:val="none" w:sz="0" w:space="0" w:color="auto"/>
                            <w:left w:val="none" w:sz="0" w:space="0" w:color="auto"/>
                            <w:bottom w:val="none" w:sz="0" w:space="0" w:color="auto"/>
                            <w:right w:val="none" w:sz="0" w:space="0" w:color="auto"/>
                          </w:divBdr>
                          <w:divsChild>
                            <w:div w:id="571431952">
                              <w:marLeft w:val="0"/>
                              <w:marRight w:val="0"/>
                              <w:marTop w:val="0"/>
                              <w:marBottom w:val="0"/>
                              <w:divBdr>
                                <w:top w:val="none" w:sz="0" w:space="0" w:color="auto"/>
                                <w:left w:val="none" w:sz="0" w:space="0" w:color="auto"/>
                                <w:bottom w:val="none" w:sz="0" w:space="0" w:color="auto"/>
                                <w:right w:val="none" w:sz="0" w:space="0" w:color="auto"/>
                              </w:divBdr>
                              <w:divsChild>
                                <w:div w:id="649015670">
                                  <w:marLeft w:val="0"/>
                                  <w:marRight w:val="0"/>
                                  <w:marTop w:val="0"/>
                                  <w:marBottom w:val="0"/>
                                  <w:divBdr>
                                    <w:top w:val="none" w:sz="0" w:space="0" w:color="auto"/>
                                    <w:left w:val="none" w:sz="0" w:space="0" w:color="auto"/>
                                    <w:bottom w:val="none" w:sz="0" w:space="0" w:color="auto"/>
                                    <w:right w:val="none" w:sz="0" w:space="0" w:color="auto"/>
                                  </w:divBdr>
                                  <w:divsChild>
                                    <w:div w:id="1186557036">
                                      <w:marLeft w:val="0"/>
                                      <w:marRight w:val="0"/>
                                      <w:marTop w:val="0"/>
                                      <w:marBottom w:val="0"/>
                                      <w:divBdr>
                                        <w:top w:val="none" w:sz="0" w:space="0" w:color="auto"/>
                                        <w:left w:val="none" w:sz="0" w:space="0" w:color="auto"/>
                                        <w:bottom w:val="none" w:sz="0" w:space="0" w:color="auto"/>
                                        <w:right w:val="none" w:sz="0" w:space="0" w:color="auto"/>
                                      </w:divBdr>
                                      <w:divsChild>
                                        <w:div w:id="8940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6294405">
          <w:marLeft w:val="0"/>
          <w:marRight w:val="0"/>
          <w:marTop w:val="0"/>
          <w:marBottom w:val="0"/>
          <w:divBdr>
            <w:top w:val="none" w:sz="0" w:space="0" w:color="auto"/>
            <w:left w:val="none" w:sz="0" w:space="0" w:color="auto"/>
            <w:bottom w:val="none" w:sz="0" w:space="0" w:color="auto"/>
            <w:right w:val="none" w:sz="0" w:space="0" w:color="auto"/>
          </w:divBdr>
          <w:divsChild>
            <w:div w:id="1311056683">
              <w:marLeft w:val="0"/>
              <w:marRight w:val="0"/>
              <w:marTop w:val="0"/>
              <w:marBottom w:val="0"/>
              <w:divBdr>
                <w:top w:val="none" w:sz="0" w:space="0" w:color="auto"/>
                <w:left w:val="none" w:sz="0" w:space="0" w:color="auto"/>
                <w:bottom w:val="none" w:sz="0" w:space="0" w:color="auto"/>
                <w:right w:val="none" w:sz="0" w:space="0" w:color="auto"/>
              </w:divBdr>
              <w:divsChild>
                <w:div w:id="243300733">
                  <w:marLeft w:val="0"/>
                  <w:marRight w:val="0"/>
                  <w:marTop w:val="0"/>
                  <w:marBottom w:val="0"/>
                  <w:divBdr>
                    <w:top w:val="none" w:sz="0" w:space="0" w:color="auto"/>
                    <w:left w:val="none" w:sz="0" w:space="0" w:color="auto"/>
                    <w:bottom w:val="none" w:sz="0" w:space="0" w:color="auto"/>
                    <w:right w:val="none" w:sz="0" w:space="0" w:color="auto"/>
                  </w:divBdr>
                  <w:divsChild>
                    <w:div w:id="2141459000">
                      <w:marLeft w:val="0"/>
                      <w:marRight w:val="0"/>
                      <w:marTop w:val="0"/>
                      <w:marBottom w:val="0"/>
                      <w:divBdr>
                        <w:top w:val="none" w:sz="0" w:space="0" w:color="auto"/>
                        <w:left w:val="none" w:sz="0" w:space="0" w:color="auto"/>
                        <w:bottom w:val="none" w:sz="0" w:space="0" w:color="auto"/>
                        <w:right w:val="none" w:sz="0" w:space="0" w:color="auto"/>
                      </w:divBdr>
                      <w:divsChild>
                        <w:div w:id="528881789">
                          <w:marLeft w:val="0"/>
                          <w:marRight w:val="0"/>
                          <w:marTop w:val="0"/>
                          <w:marBottom w:val="0"/>
                          <w:divBdr>
                            <w:top w:val="none" w:sz="0" w:space="0" w:color="auto"/>
                            <w:left w:val="none" w:sz="0" w:space="0" w:color="auto"/>
                            <w:bottom w:val="none" w:sz="0" w:space="0" w:color="auto"/>
                            <w:right w:val="none" w:sz="0" w:space="0" w:color="auto"/>
                          </w:divBdr>
                          <w:divsChild>
                            <w:div w:id="387534517">
                              <w:marLeft w:val="0"/>
                              <w:marRight w:val="0"/>
                              <w:marTop w:val="0"/>
                              <w:marBottom w:val="0"/>
                              <w:divBdr>
                                <w:top w:val="none" w:sz="0" w:space="0" w:color="auto"/>
                                <w:left w:val="none" w:sz="0" w:space="0" w:color="auto"/>
                                <w:bottom w:val="none" w:sz="0" w:space="0" w:color="auto"/>
                                <w:right w:val="none" w:sz="0" w:space="0" w:color="auto"/>
                              </w:divBdr>
                              <w:divsChild>
                                <w:div w:id="1472018546">
                                  <w:marLeft w:val="0"/>
                                  <w:marRight w:val="0"/>
                                  <w:marTop w:val="0"/>
                                  <w:marBottom w:val="0"/>
                                  <w:divBdr>
                                    <w:top w:val="none" w:sz="0" w:space="0" w:color="auto"/>
                                    <w:left w:val="none" w:sz="0" w:space="0" w:color="auto"/>
                                    <w:bottom w:val="none" w:sz="0" w:space="0" w:color="auto"/>
                                    <w:right w:val="none" w:sz="0" w:space="0" w:color="auto"/>
                                  </w:divBdr>
                                  <w:divsChild>
                                    <w:div w:id="92537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9281424">
          <w:marLeft w:val="0"/>
          <w:marRight w:val="0"/>
          <w:marTop w:val="0"/>
          <w:marBottom w:val="0"/>
          <w:divBdr>
            <w:top w:val="none" w:sz="0" w:space="0" w:color="auto"/>
            <w:left w:val="none" w:sz="0" w:space="0" w:color="auto"/>
            <w:bottom w:val="none" w:sz="0" w:space="0" w:color="auto"/>
            <w:right w:val="none" w:sz="0" w:space="0" w:color="auto"/>
          </w:divBdr>
          <w:divsChild>
            <w:div w:id="2127263044">
              <w:marLeft w:val="0"/>
              <w:marRight w:val="0"/>
              <w:marTop w:val="0"/>
              <w:marBottom w:val="0"/>
              <w:divBdr>
                <w:top w:val="none" w:sz="0" w:space="0" w:color="auto"/>
                <w:left w:val="none" w:sz="0" w:space="0" w:color="auto"/>
                <w:bottom w:val="none" w:sz="0" w:space="0" w:color="auto"/>
                <w:right w:val="none" w:sz="0" w:space="0" w:color="auto"/>
              </w:divBdr>
              <w:divsChild>
                <w:div w:id="596326507">
                  <w:marLeft w:val="0"/>
                  <w:marRight w:val="0"/>
                  <w:marTop w:val="0"/>
                  <w:marBottom w:val="0"/>
                  <w:divBdr>
                    <w:top w:val="none" w:sz="0" w:space="0" w:color="auto"/>
                    <w:left w:val="none" w:sz="0" w:space="0" w:color="auto"/>
                    <w:bottom w:val="none" w:sz="0" w:space="0" w:color="auto"/>
                    <w:right w:val="none" w:sz="0" w:space="0" w:color="auto"/>
                  </w:divBdr>
                  <w:divsChild>
                    <w:div w:id="614747556">
                      <w:marLeft w:val="0"/>
                      <w:marRight w:val="0"/>
                      <w:marTop w:val="0"/>
                      <w:marBottom w:val="0"/>
                      <w:divBdr>
                        <w:top w:val="none" w:sz="0" w:space="0" w:color="auto"/>
                        <w:left w:val="none" w:sz="0" w:space="0" w:color="auto"/>
                        <w:bottom w:val="none" w:sz="0" w:space="0" w:color="auto"/>
                        <w:right w:val="none" w:sz="0" w:space="0" w:color="auto"/>
                      </w:divBdr>
                      <w:divsChild>
                        <w:div w:id="866140696">
                          <w:marLeft w:val="0"/>
                          <w:marRight w:val="0"/>
                          <w:marTop w:val="0"/>
                          <w:marBottom w:val="0"/>
                          <w:divBdr>
                            <w:top w:val="none" w:sz="0" w:space="0" w:color="auto"/>
                            <w:left w:val="none" w:sz="0" w:space="0" w:color="auto"/>
                            <w:bottom w:val="none" w:sz="0" w:space="0" w:color="auto"/>
                            <w:right w:val="none" w:sz="0" w:space="0" w:color="auto"/>
                          </w:divBdr>
                          <w:divsChild>
                            <w:div w:id="645551955">
                              <w:marLeft w:val="0"/>
                              <w:marRight w:val="0"/>
                              <w:marTop w:val="0"/>
                              <w:marBottom w:val="0"/>
                              <w:divBdr>
                                <w:top w:val="none" w:sz="0" w:space="0" w:color="auto"/>
                                <w:left w:val="none" w:sz="0" w:space="0" w:color="auto"/>
                                <w:bottom w:val="none" w:sz="0" w:space="0" w:color="auto"/>
                                <w:right w:val="none" w:sz="0" w:space="0" w:color="auto"/>
                              </w:divBdr>
                              <w:divsChild>
                                <w:div w:id="979111114">
                                  <w:marLeft w:val="0"/>
                                  <w:marRight w:val="0"/>
                                  <w:marTop w:val="0"/>
                                  <w:marBottom w:val="0"/>
                                  <w:divBdr>
                                    <w:top w:val="none" w:sz="0" w:space="0" w:color="auto"/>
                                    <w:left w:val="none" w:sz="0" w:space="0" w:color="auto"/>
                                    <w:bottom w:val="none" w:sz="0" w:space="0" w:color="auto"/>
                                    <w:right w:val="none" w:sz="0" w:space="0" w:color="auto"/>
                                  </w:divBdr>
                                  <w:divsChild>
                                    <w:div w:id="2018996053">
                                      <w:marLeft w:val="0"/>
                                      <w:marRight w:val="0"/>
                                      <w:marTop w:val="0"/>
                                      <w:marBottom w:val="0"/>
                                      <w:divBdr>
                                        <w:top w:val="none" w:sz="0" w:space="0" w:color="auto"/>
                                        <w:left w:val="none" w:sz="0" w:space="0" w:color="auto"/>
                                        <w:bottom w:val="none" w:sz="0" w:space="0" w:color="auto"/>
                                        <w:right w:val="none" w:sz="0" w:space="0" w:color="auto"/>
                                      </w:divBdr>
                                      <w:divsChild>
                                        <w:div w:id="20390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391561">
          <w:marLeft w:val="0"/>
          <w:marRight w:val="0"/>
          <w:marTop w:val="0"/>
          <w:marBottom w:val="0"/>
          <w:divBdr>
            <w:top w:val="none" w:sz="0" w:space="0" w:color="auto"/>
            <w:left w:val="none" w:sz="0" w:space="0" w:color="auto"/>
            <w:bottom w:val="none" w:sz="0" w:space="0" w:color="auto"/>
            <w:right w:val="none" w:sz="0" w:space="0" w:color="auto"/>
          </w:divBdr>
          <w:divsChild>
            <w:div w:id="649870077">
              <w:marLeft w:val="0"/>
              <w:marRight w:val="0"/>
              <w:marTop w:val="0"/>
              <w:marBottom w:val="0"/>
              <w:divBdr>
                <w:top w:val="none" w:sz="0" w:space="0" w:color="auto"/>
                <w:left w:val="none" w:sz="0" w:space="0" w:color="auto"/>
                <w:bottom w:val="none" w:sz="0" w:space="0" w:color="auto"/>
                <w:right w:val="none" w:sz="0" w:space="0" w:color="auto"/>
              </w:divBdr>
              <w:divsChild>
                <w:div w:id="883057885">
                  <w:marLeft w:val="0"/>
                  <w:marRight w:val="0"/>
                  <w:marTop w:val="0"/>
                  <w:marBottom w:val="0"/>
                  <w:divBdr>
                    <w:top w:val="none" w:sz="0" w:space="0" w:color="auto"/>
                    <w:left w:val="none" w:sz="0" w:space="0" w:color="auto"/>
                    <w:bottom w:val="none" w:sz="0" w:space="0" w:color="auto"/>
                    <w:right w:val="none" w:sz="0" w:space="0" w:color="auto"/>
                  </w:divBdr>
                  <w:divsChild>
                    <w:div w:id="327902813">
                      <w:marLeft w:val="0"/>
                      <w:marRight w:val="0"/>
                      <w:marTop w:val="0"/>
                      <w:marBottom w:val="0"/>
                      <w:divBdr>
                        <w:top w:val="none" w:sz="0" w:space="0" w:color="auto"/>
                        <w:left w:val="none" w:sz="0" w:space="0" w:color="auto"/>
                        <w:bottom w:val="none" w:sz="0" w:space="0" w:color="auto"/>
                        <w:right w:val="none" w:sz="0" w:space="0" w:color="auto"/>
                      </w:divBdr>
                      <w:divsChild>
                        <w:div w:id="69348489">
                          <w:marLeft w:val="0"/>
                          <w:marRight w:val="0"/>
                          <w:marTop w:val="0"/>
                          <w:marBottom w:val="0"/>
                          <w:divBdr>
                            <w:top w:val="none" w:sz="0" w:space="0" w:color="auto"/>
                            <w:left w:val="none" w:sz="0" w:space="0" w:color="auto"/>
                            <w:bottom w:val="none" w:sz="0" w:space="0" w:color="auto"/>
                            <w:right w:val="none" w:sz="0" w:space="0" w:color="auto"/>
                          </w:divBdr>
                          <w:divsChild>
                            <w:div w:id="344140339">
                              <w:marLeft w:val="0"/>
                              <w:marRight w:val="0"/>
                              <w:marTop w:val="0"/>
                              <w:marBottom w:val="0"/>
                              <w:divBdr>
                                <w:top w:val="none" w:sz="0" w:space="0" w:color="auto"/>
                                <w:left w:val="none" w:sz="0" w:space="0" w:color="auto"/>
                                <w:bottom w:val="none" w:sz="0" w:space="0" w:color="auto"/>
                                <w:right w:val="none" w:sz="0" w:space="0" w:color="auto"/>
                              </w:divBdr>
                              <w:divsChild>
                                <w:div w:id="1564633479">
                                  <w:marLeft w:val="0"/>
                                  <w:marRight w:val="0"/>
                                  <w:marTop w:val="0"/>
                                  <w:marBottom w:val="0"/>
                                  <w:divBdr>
                                    <w:top w:val="none" w:sz="0" w:space="0" w:color="auto"/>
                                    <w:left w:val="none" w:sz="0" w:space="0" w:color="auto"/>
                                    <w:bottom w:val="none" w:sz="0" w:space="0" w:color="auto"/>
                                    <w:right w:val="none" w:sz="0" w:space="0" w:color="auto"/>
                                  </w:divBdr>
                                  <w:divsChild>
                                    <w:div w:id="11298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0600028">
          <w:marLeft w:val="0"/>
          <w:marRight w:val="0"/>
          <w:marTop w:val="0"/>
          <w:marBottom w:val="0"/>
          <w:divBdr>
            <w:top w:val="none" w:sz="0" w:space="0" w:color="auto"/>
            <w:left w:val="none" w:sz="0" w:space="0" w:color="auto"/>
            <w:bottom w:val="none" w:sz="0" w:space="0" w:color="auto"/>
            <w:right w:val="none" w:sz="0" w:space="0" w:color="auto"/>
          </w:divBdr>
          <w:divsChild>
            <w:div w:id="995717703">
              <w:marLeft w:val="0"/>
              <w:marRight w:val="0"/>
              <w:marTop w:val="0"/>
              <w:marBottom w:val="0"/>
              <w:divBdr>
                <w:top w:val="none" w:sz="0" w:space="0" w:color="auto"/>
                <w:left w:val="none" w:sz="0" w:space="0" w:color="auto"/>
                <w:bottom w:val="none" w:sz="0" w:space="0" w:color="auto"/>
                <w:right w:val="none" w:sz="0" w:space="0" w:color="auto"/>
              </w:divBdr>
              <w:divsChild>
                <w:div w:id="1374428333">
                  <w:marLeft w:val="0"/>
                  <w:marRight w:val="0"/>
                  <w:marTop w:val="0"/>
                  <w:marBottom w:val="0"/>
                  <w:divBdr>
                    <w:top w:val="none" w:sz="0" w:space="0" w:color="auto"/>
                    <w:left w:val="none" w:sz="0" w:space="0" w:color="auto"/>
                    <w:bottom w:val="none" w:sz="0" w:space="0" w:color="auto"/>
                    <w:right w:val="none" w:sz="0" w:space="0" w:color="auto"/>
                  </w:divBdr>
                  <w:divsChild>
                    <w:div w:id="64954115">
                      <w:marLeft w:val="0"/>
                      <w:marRight w:val="0"/>
                      <w:marTop w:val="0"/>
                      <w:marBottom w:val="0"/>
                      <w:divBdr>
                        <w:top w:val="none" w:sz="0" w:space="0" w:color="auto"/>
                        <w:left w:val="none" w:sz="0" w:space="0" w:color="auto"/>
                        <w:bottom w:val="none" w:sz="0" w:space="0" w:color="auto"/>
                        <w:right w:val="none" w:sz="0" w:space="0" w:color="auto"/>
                      </w:divBdr>
                      <w:divsChild>
                        <w:div w:id="309018982">
                          <w:marLeft w:val="0"/>
                          <w:marRight w:val="0"/>
                          <w:marTop w:val="0"/>
                          <w:marBottom w:val="0"/>
                          <w:divBdr>
                            <w:top w:val="none" w:sz="0" w:space="0" w:color="auto"/>
                            <w:left w:val="none" w:sz="0" w:space="0" w:color="auto"/>
                            <w:bottom w:val="none" w:sz="0" w:space="0" w:color="auto"/>
                            <w:right w:val="none" w:sz="0" w:space="0" w:color="auto"/>
                          </w:divBdr>
                          <w:divsChild>
                            <w:div w:id="386805987">
                              <w:marLeft w:val="0"/>
                              <w:marRight w:val="0"/>
                              <w:marTop w:val="0"/>
                              <w:marBottom w:val="0"/>
                              <w:divBdr>
                                <w:top w:val="none" w:sz="0" w:space="0" w:color="auto"/>
                                <w:left w:val="none" w:sz="0" w:space="0" w:color="auto"/>
                                <w:bottom w:val="none" w:sz="0" w:space="0" w:color="auto"/>
                                <w:right w:val="none" w:sz="0" w:space="0" w:color="auto"/>
                              </w:divBdr>
                              <w:divsChild>
                                <w:div w:id="2046440535">
                                  <w:marLeft w:val="0"/>
                                  <w:marRight w:val="0"/>
                                  <w:marTop w:val="0"/>
                                  <w:marBottom w:val="0"/>
                                  <w:divBdr>
                                    <w:top w:val="none" w:sz="0" w:space="0" w:color="auto"/>
                                    <w:left w:val="none" w:sz="0" w:space="0" w:color="auto"/>
                                    <w:bottom w:val="none" w:sz="0" w:space="0" w:color="auto"/>
                                    <w:right w:val="none" w:sz="0" w:space="0" w:color="auto"/>
                                  </w:divBdr>
                                  <w:divsChild>
                                    <w:div w:id="1337152141">
                                      <w:marLeft w:val="0"/>
                                      <w:marRight w:val="0"/>
                                      <w:marTop w:val="0"/>
                                      <w:marBottom w:val="0"/>
                                      <w:divBdr>
                                        <w:top w:val="none" w:sz="0" w:space="0" w:color="auto"/>
                                        <w:left w:val="none" w:sz="0" w:space="0" w:color="auto"/>
                                        <w:bottom w:val="none" w:sz="0" w:space="0" w:color="auto"/>
                                        <w:right w:val="none" w:sz="0" w:space="0" w:color="auto"/>
                                      </w:divBdr>
                                      <w:divsChild>
                                        <w:div w:id="29985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365109">
          <w:marLeft w:val="0"/>
          <w:marRight w:val="0"/>
          <w:marTop w:val="0"/>
          <w:marBottom w:val="0"/>
          <w:divBdr>
            <w:top w:val="none" w:sz="0" w:space="0" w:color="auto"/>
            <w:left w:val="none" w:sz="0" w:space="0" w:color="auto"/>
            <w:bottom w:val="none" w:sz="0" w:space="0" w:color="auto"/>
            <w:right w:val="none" w:sz="0" w:space="0" w:color="auto"/>
          </w:divBdr>
          <w:divsChild>
            <w:div w:id="277033991">
              <w:marLeft w:val="0"/>
              <w:marRight w:val="0"/>
              <w:marTop w:val="0"/>
              <w:marBottom w:val="0"/>
              <w:divBdr>
                <w:top w:val="none" w:sz="0" w:space="0" w:color="auto"/>
                <w:left w:val="none" w:sz="0" w:space="0" w:color="auto"/>
                <w:bottom w:val="none" w:sz="0" w:space="0" w:color="auto"/>
                <w:right w:val="none" w:sz="0" w:space="0" w:color="auto"/>
              </w:divBdr>
              <w:divsChild>
                <w:div w:id="691809137">
                  <w:marLeft w:val="0"/>
                  <w:marRight w:val="0"/>
                  <w:marTop w:val="0"/>
                  <w:marBottom w:val="0"/>
                  <w:divBdr>
                    <w:top w:val="none" w:sz="0" w:space="0" w:color="auto"/>
                    <w:left w:val="none" w:sz="0" w:space="0" w:color="auto"/>
                    <w:bottom w:val="none" w:sz="0" w:space="0" w:color="auto"/>
                    <w:right w:val="none" w:sz="0" w:space="0" w:color="auto"/>
                  </w:divBdr>
                  <w:divsChild>
                    <w:div w:id="336539359">
                      <w:marLeft w:val="0"/>
                      <w:marRight w:val="0"/>
                      <w:marTop w:val="0"/>
                      <w:marBottom w:val="0"/>
                      <w:divBdr>
                        <w:top w:val="none" w:sz="0" w:space="0" w:color="auto"/>
                        <w:left w:val="none" w:sz="0" w:space="0" w:color="auto"/>
                        <w:bottom w:val="none" w:sz="0" w:space="0" w:color="auto"/>
                        <w:right w:val="none" w:sz="0" w:space="0" w:color="auto"/>
                      </w:divBdr>
                      <w:divsChild>
                        <w:div w:id="1450203690">
                          <w:marLeft w:val="0"/>
                          <w:marRight w:val="0"/>
                          <w:marTop w:val="0"/>
                          <w:marBottom w:val="0"/>
                          <w:divBdr>
                            <w:top w:val="none" w:sz="0" w:space="0" w:color="auto"/>
                            <w:left w:val="none" w:sz="0" w:space="0" w:color="auto"/>
                            <w:bottom w:val="none" w:sz="0" w:space="0" w:color="auto"/>
                            <w:right w:val="none" w:sz="0" w:space="0" w:color="auto"/>
                          </w:divBdr>
                          <w:divsChild>
                            <w:div w:id="468328089">
                              <w:marLeft w:val="0"/>
                              <w:marRight w:val="0"/>
                              <w:marTop w:val="0"/>
                              <w:marBottom w:val="0"/>
                              <w:divBdr>
                                <w:top w:val="none" w:sz="0" w:space="0" w:color="auto"/>
                                <w:left w:val="none" w:sz="0" w:space="0" w:color="auto"/>
                                <w:bottom w:val="none" w:sz="0" w:space="0" w:color="auto"/>
                                <w:right w:val="none" w:sz="0" w:space="0" w:color="auto"/>
                              </w:divBdr>
                              <w:divsChild>
                                <w:div w:id="589048655">
                                  <w:marLeft w:val="0"/>
                                  <w:marRight w:val="0"/>
                                  <w:marTop w:val="0"/>
                                  <w:marBottom w:val="0"/>
                                  <w:divBdr>
                                    <w:top w:val="none" w:sz="0" w:space="0" w:color="auto"/>
                                    <w:left w:val="none" w:sz="0" w:space="0" w:color="auto"/>
                                    <w:bottom w:val="none" w:sz="0" w:space="0" w:color="auto"/>
                                    <w:right w:val="none" w:sz="0" w:space="0" w:color="auto"/>
                                  </w:divBdr>
                                  <w:divsChild>
                                    <w:div w:id="103723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2887734">
          <w:marLeft w:val="0"/>
          <w:marRight w:val="0"/>
          <w:marTop w:val="0"/>
          <w:marBottom w:val="0"/>
          <w:divBdr>
            <w:top w:val="none" w:sz="0" w:space="0" w:color="auto"/>
            <w:left w:val="none" w:sz="0" w:space="0" w:color="auto"/>
            <w:bottom w:val="none" w:sz="0" w:space="0" w:color="auto"/>
            <w:right w:val="none" w:sz="0" w:space="0" w:color="auto"/>
          </w:divBdr>
          <w:divsChild>
            <w:div w:id="1677465687">
              <w:marLeft w:val="0"/>
              <w:marRight w:val="0"/>
              <w:marTop w:val="0"/>
              <w:marBottom w:val="0"/>
              <w:divBdr>
                <w:top w:val="none" w:sz="0" w:space="0" w:color="auto"/>
                <w:left w:val="none" w:sz="0" w:space="0" w:color="auto"/>
                <w:bottom w:val="none" w:sz="0" w:space="0" w:color="auto"/>
                <w:right w:val="none" w:sz="0" w:space="0" w:color="auto"/>
              </w:divBdr>
              <w:divsChild>
                <w:div w:id="1963075196">
                  <w:marLeft w:val="0"/>
                  <w:marRight w:val="0"/>
                  <w:marTop w:val="0"/>
                  <w:marBottom w:val="0"/>
                  <w:divBdr>
                    <w:top w:val="none" w:sz="0" w:space="0" w:color="auto"/>
                    <w:left w:val="none" w:sz="0" w:space="0" w:color="auto"/>
                    <w:bottom w:val="none" w:sz="0" w:space="0" w:color="auto"/>
                    <w:right w:val="none" w:sz="0" w:space="0" w:color="auto"/>
                  </w:divBdr>
                  <w:divsChild>
                    <w:div w:id="685403420">
                      <w:marLeft w:val="0"/>
                      <w:marRight w:val="0"/>
                      <w:marTop w:val="0"/>
                      <w:marBottom w:val="0"/>
                      <w:divBdr>
                        <w:top w:val="none" w:sz="0" w:space="0" w:color="auto"/>
                        <w:left w:val="none" w:sz="0" w:space="0" w:color="auto"/>
                        <w:bottom w:val="none" w:sz="0" w:space="0" w:color="auto"/>
                        <w:right w:val="none" w:sz="0" w:space="0" w:color="auto"/>
                      </w:divBdr>
                      <w:divsChild>
                        <w:div w:id="848374624">
                          <w:marLeft w:val="0"/>
                          <w:marRight w:val="0"/>
                          <w:marTop w:val="0"/>
                          <w:marBottom w:val="0"/>
                          <w:divBdr>
                            <w:top w:val="none" w:sz="0" w:space="0" w:color="auto"/>
                            <w:left w:val="none" w:sz="0" w:space="0" w:color="auto"/>
                            <w:bottom w:val="none" w:sz="0" w:space="0" w:color="auto"/>
                            <w:right w:val="none" w:sz="0" w:space="0" w:color="auto"/>
                          </w:divBdr>
                          <w:divsChild>
                            <w:div w:id="67000891">
                              <w:marLeft w:val="0"/>
                              <w:marRight w:val="0"/>
                              <w:marTop w:val="0"/>
                              <w:marBottom w:val="0"/>
                              <w:divBdr>
                                <w:top w:val="none" w:sz="0" w:space="0" w:color="auto"/>
                                <w:left w:val="none" w:sz="0" w:space="0" w:color="auto"/>
                                <w:bottom w:val="none" w:sz="0" w:space="0" w:color="auto"/>
                                <w:right w:val="none" w:sz="0" w:space="0" w:color="auto"/>
                              </w:divBdr>
                              <w:divsChild>
                                <w:div w:id="493375193">
                                  <w:marLeft w:val="0"/>
                                  <w:marRight w:val="0"/>
                                  <w:marTop w:val="0"/>
                                  <w:marBottom w:val="0"/>
                                  <w:divBdr>
                                    <w:top w:val="none" w:sz="0" w:space="0" w:color="auto"/>
                                    <w:left w:val="none" w:sz="0" w:space="0" w:color="auto"/>
                                    <w:bottom w:val="none" w:sz="0" w:space="0" w:color="auto"/>
                                    <w:right w:val="none" w:sz="0" w:space="0" w:color="auto"/>
                                  </w:divBdr>
                                  <w:divsChild>
                                    <w:div w:id="1918397211">
                                      <w:marLeft w:val="0"/>
                                      <w:marRight w:val="0"/>
                                      <w:marTop w:val="0"/>
                                      <w:marBottom w:val="0"/>
                                      <w:divBdr>
                                        <w:top w:val="none" w:sz="0" w:space="0" w:color="auto"/>
                                        <w:left w:val="none" w:sz="0" w:space="0" w:color="auto"/>
                                        <w:bottom w:val="none" w:sz="0" w:space="0" w:color="auto"/>
                                        <w:right w:val="none" w:sz="0" w:space="0" w:color="auto"/>
                                      </w:divBdr>
                                      <w:divsChild>
                                        <w:div w:id="108973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5953336">
          <w:marLeft w:val="0"/>
          <w:marRight w:val="0"/>
          <w:marTop w:val="0"/>
          <w:marBottom w:val="0"/>
          <w:divBdr>
            <w:top w:val="none" w:sz="0" w:space="0" w:color="auto"/>
            <w:left w:val="none" w:sz="0" w:space="0" w:color="auto"/>
            <w:bottom w:val="none" w:sz="0" w:space="0" w:color="auto"/>
            <w:right w:val="none" w:sz="0" w:space="0" w:color="auto"/>
          </w:divBdr>
          <w:divsChild>
            <w:div w:id="1295482431">
              <w:marLeft w:val="0"/>
              <w:marRight w:val="0"/>
              <w:marTop w:val="0"/>
              <w:marBottom w:val="0"/>
              <w:divBdr>
                <w:top w:val="none" w:sz="0" w:space="0" w:color="auto"/>
                <w:left w:val="none" w:sz="0" w:space="0" w:color="auto"/>
                <w:bottom w:val="none" w:sz="0" w:space="0" w:color="auto"/>
                <w:right w:val="none" w:sz="0" w:space="0" w:color="auto"/>
              </w:divBdr>
              <w:divsChild>
                <w:div w:id="1015811872">
                  <w:marLeft w:val="0"/>
                  <w:marRight w:val="0"/>
                  <w:marTop w:val="0"/>
                  <w:marBottom w:val="0"/>
                  <w:divBdr>
                    <w:top w:val="none" w:sz="0" w:space="0" w:color="auto"/>
                    <w:left w:val="none" w:sz="0" w:space="0" w:color="auto"/>
                    <w:bottom w:val="none" w:sz="0" w:space="0" w:color="auto"/>
                    <w:right w:val="none" w:sz="0" w:space="0" w:color="auto"/>
                  </w:divBdr>
                  <w:divsChild>
                    <w:div w:id="990447004">
                      <w:marLeft w:val="0"/>
                      <w:marRight w:val="0"/>
                      <w:marTop w:val="0"/>
                      <w:marBottom w:val="0"/>
                      <w:divBdr>
                        <w:top w:val="none" w:sz="0" w:space="0" w:color="auto"/>
                        <w:left w:val="none" w:sz="0" w:space="0" w:color="auto"/>
                        <w:bottom w:val="none" w:sz="0" w:space="0" w:color="auto"/>
                        <w:right w:val="none" w:sz="0" w:space="0" w:color="auto"/>
                      </w:divBdr>
                      <w:divsChild>
                        <w:div w:id="641227213">
                          <w:marLeft w:val="0"/>
                          <w:marRight w:val="0"/>
                          <w:marTop w:val="0"/>
                          <w:marBottom w:val="0"/>
                          <w:divBdr>
                            <w:top w:val="none" w:sz="0" w:space="0" w:color="auto"/>
                            <w:left w:val="none" w:sz="0" w:space="0" w:color="auto"/>
                            <w:bottom w:val="none" w:sz="0" w:space="0" w:color="auto"/>
                            <w:right w:val="none" w:sz="0" w:space="0" w:color="auto"/>
                          </w:divBdr>
                          <w:divsChild>
                            <w:div w:id="1293945451">
                              <w:marLeft w:val="0"/>
                              <w:marRight w:val="0"/>
                              <w:marTop w:val="0"/>
                              <w:marBottom w:val="0"/>
                              <w:divBdr>
                                <w:top w:val="none" w:sz="0" w:space="0" w:color="auto"/>
                                <w:left w:val="none" w:sz="0" w:space="0" w:color="auto"/>
                                <w:bottom w:val="none" w:sz="0" w:space="0" w:color="auto"/>
                                <w:right w:val="none" w:sz="0" w:space="0" w:color="auto"/>
                              </w:divBdr>
                              <w:divsChild>
                                <w:div w:id="1866820187">
                                  <w:marLeft w:val="0"/>
                                  <w:marRight w:val="0"/>
                                  <w:marTop w:val="0"/>
                                  <w:marBottom w:val="0"/>
                                  <w:divBdr>
                                    <w:top w:val="none" w:sz="0" w:space="0" w:color="auto"/>
                                    <w:left w:val="none" w:sz="0" w:space="0" w:color="auto"/>
                                    <w:bottom w:val="none" w:sz="0" w:space="0" w:color="auto"/>
                                    <w:right w:val="none" w:sz="0" w:space="0" w:color="auto"/>
                                  </w:divBdr>
                                  <w:divsChild>
                                    <w:div w:id="5794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0473106">
          <w:marLeft w:val="0"/>
          <w:marRight w:val="0"/>
          <w:marTop w:val="0"/>
          <w:marBottom w:val="0"/>
          <w:divBdr>
            <w:top w:val="none" w:sz="0" w:space="0" w:color="auto"/>
            <w:left w:val="none" w:sz="0" w:space="0" w:color="auto"/>
            <w:bottom w:val="none" w:sz="0" w:space="0" w:color="auto"/>
            <w:right w:val="none" w:sz="0" w:space="0" w:color="auto"/>
          </w:divBdr>
          <w:divsChild>
            <w:div w:id="567543386">
              <w:marLeft w:val="0"/>
              <w:marRight w:val="0"/>
              <w:marTop w:val="0"/>
              <w:marBottom w:val="0"/>
              <w:divBdr>
                <w:top w:val="none" w:sz="0" w:space="0" w:color="auto"/>
                <w:left w:val="none" w:sz="0" w:space="0" w:color="auto"/>
                <w:bottom w:val="none" w:sz="0" w:space="0" w:color="auto"/>
                <w:right w:val="none" w:sz="0" w:space="0" w:color="auto"/>
              </w:divBdr>
              <w:divsChild>
                <w:div w:id="1859805518">
                  <w:marLeft w:val="0"/>
                  <w:marRight w:val="0"/>
                  <w:marTop w:val="0"/>
                  <w:marBottom w:val="0"/>
                  <w:divBdr>
                    <w:top w:val="none" w:sz="0" w:space="0" w:color="auto"/>
                    <w:left w:val="none" w:sz="0" w:space="0" w:color="auto"/>
                    <w:bottom w:val="none" w:sz="0" w:space="0" w:color="auto"/>
                    <w:right w:val="none" w:sz="0" w:space="0" w:color="auto"/>
                  </w:divBdr>
                  <w:divsChild>
                    <w:div w:id="1171918892">
                      <w:marLeft w:val="0"/>
                      <w:marRight w:val="0"/>
                      <w:marTop w:val="0"/>
                      <w:marBottom w:val="0"/>
                      <w:divBdr>
                        <w:top w:val="none" w:sz="0" w:space="0" w:color="auto"/>
                        <w:left w:val="none" w:sz="0" w:space="0" w:color="auto"/>
                        <w:bottom w:val="none" w:sz="0" w:space="0" w:color="auto"/>
                        <w:right w:val="none" w:sz="0" w:space="0" w:color="auto"/>
                      </w:divBdr>
                      <w:divsChild>
                        <w:div w:id="1458912936">
                          <w:marLeft w:val="0"/>
                          <w:marRight w:val="0"/>
                          <w:marTop w:val="0"/>
                          <w:marBottom w:val="0"/>
                          <w:divBdr>
                            <w:top w:val="none" w:sz="0" w:space="0" w:color="auto"/>
                            <w:left w:val="none" w:sz="0" w:space="0" w:color="auto"/>
                            <w:bottom w:val="none" w:sz="0" w:space="0" w:color="auto"/>
                            <w:right w:val="none" w:sz="0" w:space="0" w:color="auto"/>
                          </w:divBdr>
                          <w:divsChild>
                            <w:div w:id="1956980808">
                              <w:marLeft w:val="0"/>
                              <w:marRight w:val="0"/>
                              <w:marTop w:val="0"/>
                              <w:marBottom w:val="0"/>
                              <w:divBdr>
                                <w:top w:val="none" w:sz="0" w:space="0" w:color="auto"/>
                                <w:left w:val="none" w:sz="0" w:space="0" w:color="auto"/>
                                <w:bottom w:val="none" w:sz="0" w:space="0" w:color="auto"/>
                                <w:right w:val="none" w:sz="0" w:space="0" w:color="auto"/>
                              </w:divBdr>
                              <w:divsChild>
                                <w:div w:id="301694441">
                                  <w:marLeft w:val="0"/>
                                  <w:marRight w:val="0"/>
                                  <w:marTop w:val="0"/>
                                  <w:marBottom w:val="0"/>
                                  <w:divBdr>
                                    <w:top w:val="none" w:sz="0" w:space="0" w:color="auto"/>
                                    <w:left w:val="none" w:sz="0" w:space="0" w:color="auto"/>
                                    <w:bottom w:val="none" w:sz="0" w:space="0" w:color="auto"/>
                                    <w:right w:val="none" w:sz="0" w:space="0" w:color="auto"/>
                                  </w:divBdr>
                                  <w:divsChild>
                                    <w:div w:id="974336301">
                                      <w:marLeft w:val="0"/>
                                      <w:marRight w:val="0"/>
                                      <w:marTop w:val="0"/>
                                      <w:marBottom w:val="0"/>
                                      <w:divBdr>
                                        <w:top w:val="none" w:sz="0" w:space="0" w:color="auto"/>
                                        <w:left w:val="none" w:sz="0" w:space="0" w:color="auto"/>
                                        <w:bottom w:val="none" w:sz="0" w:space="0" w:color="auto"/>
                                        <w:right w:val="none" w:sz="0" w:space="0" w:color="auto"/>
                                      </w:divBdr>
                                      <w:divsChild>
                                        <w:div w:id="165559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9201265">
          <w:marLeft w:val="0"/>
          <w:marRight w:val="0"/>
          <w:marTop w:val="0"/>
          <w:marBottom w:val="0"/>
          <w:divBdr>
            <w:top w:val="none" w:sz="0" w:space="0" w:color="auto"/>
            <w:left w:val="none" w:sz="0" w:space="0" w:color="auto"/>
            <w:bottom w:val="none" w:sz="0" w:space="0" w:color="auto"/>
            <w:right w:val="none" w:sz="0" w:space="0" w:color="auto"/>
          </w:divBdr>
          <w:divsChild>
            <w:div w:id="1659993228">
              <w:marLeft w:val="0"/>
              <w:marRight w:val="0"/>
              <w:marTop w:val="0"/>
              <w:marBottom w:val="0"/>
              <w:divBdr>
                <w:top w:val="none" w:sz="0" w:space="0" w:color="auto"/>
                <w:left w:val="none" w:sz="0" w:space="0" w:color="auto"/>
                <w:bottom w:val="none" w:sz="0" w:space="0" w:color="auto"/>
                <w:right w:val="none" w:sz="0" w:space="0" w:color="auto"/>
              </w:divBdr>
              <w:divsChild>
                <w:div w:id="490802256">
                  <w:marLeft w:val="0"/>
                  <w:marRight w:val="0"/>
                  <w:marTop w:val="0"/>
                  <w:marBottom w:val="0"/>
                  <w:divBdr>
                    <w:top w:val="none" w:sz="0" w:space="0" w:color="auto"/>
                    <w:left w:val="none" w:sz="0" w:space="0" w:color="auto"/>
                    <w:bottom w:val="none" w:sz="0" w:space="0" w:color="auto"/>
                    <w:right w:val="none" w:sz="0" w:space="0" w:color="auto"/>
                  </w:divBdr>
                  <w:divsChild>
                    <w:div w:id="1175728382">
                      <w:marLeft w:val="0"/>
                      <w:marRight w:val="0"/>
                      <w:marTop w:val="0"/>
                      <w:marBottom w:val="0"/>
                      <w:divBdr>
                        <w:top w:val="none" w:sz="0" w:space="0" w:color="auto"/>
                        <w:left w:val="none" w:sz="0" w:space="0" w:color="auto"/>
                        <w:bottom w:val="none" w:sz="0" w:space="0" w:color="auto"/>
                        <w:right w:val="none" w:sz="0" w:space="0" w:color="auto"/>
                      </w:divBdr>
                      <w:divsChild>
                        <w:div w:id="151529630">
                          <w:marLeft w:val="0"/>
                          <w:marRight w:val="0"/>
                          <w:marTop w:val="0"/>
                          <w:marBottom w:val="0"/>
                          <w:divBdr>
                            <w:top w:val="none" w:sz="0" w:space="0" w:color="auto"/>
                            <w:left w:val="none" w:sz="0" w:space="0" w:color="auto"/>
                            <w:bottom w:val="none" w:sz="0" w:space="0" w:color="auto"/>
                            <w:right w:val="none" w:sz="0" w:space="0" w:color="auto"/>
                          </w:divBdr>
                          <w:divsChild>
                            <w:div w:id="1631204626">
                              <w:marLeft w:val="0"/>
                              <w:marRight w:val="0"/>
                              <w:marTop w:val="0"/>
                              <w:marBottom w:val="0"/>
                              <w:divBdr>
                                <w:top w:val="none" w:sz="0" w:space="0" w:color="auto"/>
                                <w:left w:val="none" w:sz="0" w:space="0" w:color="auto"/>
                                <w:bottom w:val="none" w:sz="0" w:space="0" w:color="auto"/>
                                <w:right w:val="none" w:sz="0" w:space="0" w:color="auto"/>
                              </w:divBdr>
                              <w:divsChild>
                                <w:div w:id="963778467">
                                  <w:marLeft w:val="0"/>
                                  <w:marRight w:val="0"/>
                                  <w:marTop w:val="0"/>
                                  <w:marBottom w:val="0"/>
                                  <w:divBdr>
                                    <w:top w:val="none" w:sz="0" w:space="0" w:color="auto"/>
                                    <w:left w:val="none" w:sz="0" w:space="0" w:color="auto"/>
                                    <w:bottom w:val="none" w:sz="0" w:space="0" w:color="auto"/>
                                    <w:right w:val="none" w:sz="0" w:space="0" w:color="auto"/>
                                  </w:divBdr>
                                  <w:divsChild>
                                    <w:div w:id="212488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F5738-E232-4E49-A192-B4046F32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9124</Words>
  <Characters>52011</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abid latki</dc:creator>
  <cp:keywords/>
  <dc:description/>
  <cp:lastModifiedBy>abid latki</cp:lastModifiedBy>
  <cp:revision>2</cp:revision>
  <cp:lastPrinted>2025-03-12T20:55:00Z</cp:lastPrinted>
  <dcterms:created xsi:type="dcterms:W3CDTF">2025-03-13T03:32:00Z</dcterms:created>
  <dcterms:modified xsi:type="dcterms:W3CDTF">2025-03-13T03:32:00Z</dcterms:modified>
</cp:coreProperties>
</file>