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6.0 -->
  <w:body>
    <w:p w:rsidR="00A75F64" w14:paraId="57653111" w14:textId="77777777">
      <w:pPr>
        <w:bidi/>
        <w:spacing w:after="120" w:line="360" w:lineRule="auto"/>
        <w:jc w:val="center"/>
        <w:sectPr>
          <w:headerReference w:type="default" r:id="rId5"/>
          <w:footerReference w:type="default" r:id="rId6"/>
          <w:pgSz w:w="12240" w:h="15840"/>
          <w:pgMar w:top="1417" w:right="1417" w:bottom="1417" w:left="1417" w:header="720" w:footer="720" w:gutter="0"/>
          <w:cols w:space="720"/>
          <w:titlePg/>
          <w:docGrid w:linePitch="360"/>
        </w:sectPr>
      </w:pPr>
      <w:r>
        <w:rPr>
          <w:rFonts w:cs="Arial"/>
          <w:noProof/>
        </w:rPr>
        <w:drawing>
          <wp:inline distT="0" distB="0" distL="0" distR="0">
            <wp:extent cx="1325880" cy="1229407"/>
            <wp:effectExtent l="0" t="0" r="0" b="0"/>
            <wp:docPr id="5" name="Picture 5" descr="Image: 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xmlns:r="http://schemas.openxmlformats.org/officeDocument/2006/relationships" r:embed="rId7"/>
                    <a:stretch>
                      <a:fillRect/>
                    </a:stretch>
                  </pic:blipFill>
                  <pic:spPr>
                    <a:xfrm>
                      <a:off x="0" y="0"/>
                      <a:ext cx="1325880" cy="1229407"/>
                    </a:xfrm>
                    <a:prstGeom prst="rect">
                      <a:avLst/>
                    </a:prstGeom>
                  </pic:spPr>
                </pic:pic>
              </a:graphicData>
            </a:graphic>
          </wp:inline>
        </w:drawing>
      </w:r>
      <w:r>
        <w:rPr>
          <w:rFonts w:cs="Arial"/>
        </w:rPr>
        <w:br/>
      </w:r>
      <w:r>
        <w:rPr>
          <w:rFonts w:cs="Arial"/>
          <w:b/>
          <w:bCs/>
          <w:rtl/>
        </w:rPr>
        <w:t>جامعة ميدأوشن</w:t>
      </w:r>
      <w:r>
        <w:rPr>
          <w:rFonts w:cs="Arial"/>
          <w:b/>
          <w:bCs/>
          <w:rtl/>
        </w:rPr>
        <w:br/>
        <w:t>كلية الإدارة</w:t>
      </w:r>
      <w:r>
        <w:rPr>
          <w:rFonts w:cs="Arial"/>
          <w:b/>
          <w:bCs/>
          <w:rtl/>
        </w:rPr>
        <w:br/>
        <w:t>برنامج ماجستير إدارة الأعمال (MBA)</w:t>
      </w:r>
      <w:r>
        <w:rPr>
          <w:rFonts w:cs="Arial"/>
          <w:b/>
          <w:bCs/>
          <w:rtl/>
        </w:rPr>
        <w:br/>
        <w:t>بحث المشروع النهائي</w:t>
      </w:r>
      <w:r>
        <w:rPr>
          <w:rFonts w:cs="Arial"/>
          <w:b/>
        </w:rPr>
        <w:br/>
      </w:r>
      <w:r>
        <w:rPr>
          <w:rFonts w:cs="Arial"/>
        </w:rPr>
        <w:br/>
      </w:r>
      <w:r>
        <w:rPr>
          <w:rFonts w:cs="Arial"/>
          <w:b/>
          <w:bCs/>
          <w:rtl/>
        </w:rPr>
        <w:t>أثر التحول الرقمي على تحسين الأداء التشغيلي والمالي في المؤسسات الصحية في المملكة العربية السعودية</w:t>
      </w:r>
      <w:r>
        <w:rPr>
          <w:rFonts w:cs="Arial"/>
          <w:b/>
        </w:rPr>
        <w:br/>
        <w:t>The Impact of Digital Transformation on Operational and Financial Performance in Healthcare Institutions in Saudi Arabia</w:t>
      </w:r>
      <w:r>
        <w:rPr>
          <w:rFonts w:cs="Arial"/>
          <w:b/>
        </w:rPr>
        <w:br/>
      </w:r>
      <w:r>
        <w:rPr>
          <w:rFonts w:cs="Arial"/>
        </w:rPr>
        <w:br/>
      </w:r>
      <w:r>
        <w:rPr>
          <w:rFonts w:cs="Arial"/>
          <w:b/>
          <w:bCs/>
          <w:rtl/>
        </w:rPr>
        <w:t>إعداد الطالب: أحمد سيد سعيد حسن</w:t>
      </w:r>
      <w:r>
        <w:rPr>
          <w:rFonts w:cs="Arial"/>
          <w:b/>
        </w:rPr>
        <w:br/>
      </w:r>
      <w:r>
        <w:rPr>
          <w:rFonts w:cs="Arial"/>
          <w:rtl/>
        </w:rPr>
        <w:t>الرقم الأكاديمي: 253001692</w:t>
      </w:r>
      <w:r>
        <w:rPr>
          <w:rFonts w:cs="Arial"/>
        </w:rPr>
        <w:br/>
      </w:r>
      <w:r>
        <w:rPr>
          <w:rFonts w:cs="Arial"/>
        </w:rPr>
        <w:br/>
      </w:r>
      <w:r>
        <w:rPr>
          <w:rFonts w:cs="Arial"/>
          <w:b/>
          <w:bCs/>
          <w:rtl/>
        </w:rPr>
        <w:t>إشراف</w:t>
      </w:r>
      <w:r>
        <w:rPr>
          <w:rFonts w:cs="Arial"/>
          <w:b/>
          <w:bCs/>
          <w:rtl/>
        </w:rPr>
        <w:br/>
        <w:t>د. الفيصل عبد الحميد محمد</w:t>
      </w:r>
      <w:r>
        <w:rPr>
          <w:rFonts w:cs="Arial"/>
          <w:b/>
        </w:rPr>
        <w:br/>
      </w:r>
      <w:r>
        <w:rPr>
          <w:rFonts w:cs="Arial"/>
        </w:rPr>
        <w:br/>
      </w:r>
      <w:r w:rsidR="002A5471">
        <w:rPr>
          <w:rFonts w:cs="Arial"/>
          <w:b/>
          <w:bCs/>
        </w:rPr>
        <w:t xml:space="preserve">                                          </w:t>
      </w:r>
      <w:r>
        <w:rPr>
          <w:rFonts w:cs="Arial"/>
          <w:b/>
          <w:bCs/>
          <w:rtl/>
        </w:rPr>
        <w:t>العام الدراسي: 2026</w:t>
      </w:r>
      <w:r>
        <w:rPr>
          <w:rFonts w:cs="Arial"/>
        </w:rPr>
        <w:br w:type="page"/>
      </w:r>
    </w:p>
    <w:p w:rsidR="00C8109A" w14:paraId="601834F6" w14:textId="77777777">
      <w:pPr>
        <w:bidi/>
        <w:spacing w:after="0" w:line="240" w:lineRule="auto"/>
        <w:jc w:val="center"/>
        <w:rPr>
          <w:rFonts w:cs="Arial"/>
          <w:b/>
          <w:bCs/>
          <w:color w:val="C9AE82"/>
          <w:sz w:val="60"/>
          <w:szCs w:val="60"/>
          <w:u w:val="single" w:color="C9AE82"/>
          <w:rtl/>
        </w:rPr>
        <w:sectPr>
          <w:headerReference w:type="default" r:id="rId8"/>
          <w:footerReference w:type="default" r:id="rId9"/>
          <w:pgSz w:w="12240" w:h="15840"/>
          <w:pgMar w:top="1417" w:right="1417" w:bottom="1417" w:left="1417" w:header="720" w:footer="720" w:gutter="0"/>
          <w:cols w:space="720"/>
          <w:vAlign w:val="center"/>
          <w:docGrid w:linePitch="360"/>
        </w:sectPr>
      </w:pPr>
      <w:r>
        <w:rPr>
          <w:rFonts w:cs="Arial"/>
          <w:b/>
          <w:bCs/>
          <w:color w:val="C9AE82"/>
          <w:sz w:val="60"/>
          <w:szCs w:val="60"/>
          <w:u w:val="single" w:color="C9AE82"/>
          <w:rtl/>
        </w:rPr>
        <w:t>الفصل الأول</w:t>
      </w:r>
    </w:p>
    <w:p w:rsidR="00A75F64" w14:paraId="1BB4AEC4" w14:textId="77777777">
      <w:pPr>
        <w:pStyle w:val="Heading1"/>
        <w:bidi/>
        <w:spacing w:after="100" w:line="324" w:lineRule="auto"/>
      </w:pPr>
      <w:bookmarkStart w:id="0" w:name="_Toc235127390"/>
      <w:r>
        <w:rPr>
          <w:rFonts w:ascii="Arial" w:eastAsia="Arial" w:hAnsi="Arial" w:cs="Arial"/>
          <w:sz w:val="24"/>
          <w:szCs w:val="24"/>
          <w:rtl/>
        </w:rPr>
        <w:t>الفصل الأول: الإطار العام للدراسة</w:t>
      </w:r>
      <w:bookmarkEnd w:id="0"/>
    </w:p>
    <w:p w:rsidR="00A75F64" w14:paraId="7DA1502B" w14:textId="77777777">
      <w:pPr>
        <w:pStyle w:val="Heading2"/>
        <w:bidi/>
        <w:spacing w:after="100" w:line="324" w:lineRule="auto"/>
      </w:pPr>
      <w:bookmarkStart w:id="1" w:name="_Toc235127391"/>
      <w:r>
        <w:rPr>
          <w:rFonts w:ascii="Arial" w:eastAsia="Arial" w:hAnsi="Arial" w:cs="Arial"/>
          <w:sz w:val="24"/>
          <w:szCs w:val="24"/>
          <w:rtl/>
        </w:rPr>
        <w:t>1.1 مقدمة</w:t>
      </w:r>
      <w:bookmarkEnd w:id="1"/>
    </w:p>
    <w:p w:rsidR="00A75F64" w14:paraId="308D7FF4" w14:textId="77777777">
      <w:pPr>
        <w:bidi/>
        <w:spacing w:after="120" w:line="360" w:lineRule="auto"/>
        <w:ind w:firstLine="360"/>
      </w:pPr>
      <w:r>
        <w:rPr>
          <w:rFonts w:cs="Arial"/>
          <w:rtl/>
        </w:rPr>
        <w:t>أصبح التحول الرقمي أحد المحركات الرئيسة لإعادة تصميم نماذج العمل والخدمات في المؤسسات المعاصرة. ولا يقتصر المفهوم على رقمنة النماذج أو إدخال أنظمة تقنية منفصلة، بل يشمل تغييرات مترابطة في الاستراتيجية والعمليات والقدرات التنظيمية والثقافة وآليات اتخاذ القرار. ويؤكد Vial (2019) أن التحول الرقمي يرتبط بإحداث تغيرات جوهرية في الكيانات التنظيمية من خلال الجمع بين التقنيات الرقمية والاستجابات الاستراتيجية والتنظيمية، بينما يوضح Verhoef et al. (2021) أن نتائجه تعتمد على تكامل التقنية مع نموذج العمل والهيكل التنظيمي وتجربة المستفيد.</w:t>
      </w:r>
    </w:p>
    <w:p w:rsidR="00A75F64" w14:paraId="3F7270B5" w14:textId="77777777">
      <w:pPr>
        <w:bidi/>
        <w:spacing w:after="120" w:line="360" w:lineRule="auto"/>
        <w:ind w:firstLine="360"/>
      </w:pPr>
      <w:r>
        <w:rPr>
          <w:rFonts w:cs="Arial"/>
          <w:rtl/>
        </w:rPr>
        <w:t>تتضاعف أهمية التحول الرقمي في الرعاية الصحية بسبب حساسية البيانات، وتعقيد رحلة المريض، وتعدد الأطراف المشاركة، وضرورة استمرارية الخدمة. وقد تبنت منظمة الصحة العالمية استراتيجية عالمية للصحة الرقمية تؤكد دور الحوكمة، والتشغيل البيني، والقدرات البشرية، والبيانات في تحسين النظم الصحية (World Health Organization, 2021). وفي السياق السعودي، يتسق التوسع في الخدمات الصحية الرقمية مع مستهدفات رؤية المملكة 2030 الرامية إلى تحسين جودة الحياة ورفع كفاءة الخدمات العامة.</w:t>
      </w:r>
    </w:p>
    <w:p w:rsidR="00A75F64" w14:paraId="245AAB05" w14:textId="77777777">
      <w:pPr>
        <w:bidi/>
        <w:spacing w:after="120" w:line="360" w:lineRule="auto"/>
        <w:ind w:firstLine="360"/>
      </w:pPr>
      <w:r>
        <w:rPr>
          <w:rFonts w:cs="Arial"/>
          <w:rtl/>
        </w:rPr>
        <w:t>تنطلق الدراسة من الحاجة إلى الانتقال من وصف مستوى استخدام التقنيات إلى قياس علاقتها بمخرجات إدارية قابلة للتقييم، وبخاصة الأداء التشغيلي والأداء المالي وجودة الخدمات الصحية، مع التعرف على التحديات التي قد تحد من تحقيق القيمة المتوقعة.</w:t>
      </w:r>
    </w:p>
    <w:p w:rsidR="00A75F64" w14:paraId="455F9B6F" w14:textId="77777777">
      <w:pPr>
        <w:pStyle w:val="Heading2"/>
        <w:bidi/>
        <w:spacing w:after="100" w:line="324" w:lineRule="auto"/>
      </w:pPr>
      <w:bookmarkStart w:id="2" w:name="_Toc235127392"/>
      <w:r>
        <w:rPr>
          <w:rFonts w:ascii="Arial" w:eastAsia="Arial" w:hAnsi="Arial" w:cs="Arial"/>
          <w:sz w:val="24"/>
          <w:szCs w:val="24"/>
          <w:rtl/>
        </w:rPr>
        <w:t>1.2 خلفية الدراسة</w:t>
      </w:r>
      <w:bookmarkEnd w:id="2"/>
    </w:p>
    <w:p w:rsidR="00A75F64" w14:paraId="7FDAC923" w14:textId="77777777">
      <w:pPr>
        <w:bidi/>
        <w:spacing w:after="120" w:line="360" w:lineRule="auto"/>
        <w:ind w:firstLine="360"/>
      </w:pPr>
      <w:r>
        <w:rPr>
          <w:rFonts w:cs="Arial"/>
          <w:rtl/>
        </w:rPr>
        <w:t>تستخدم المؤسسات الصحية أنظمة معلومات المستشفيات، والسجلات الطبية الإلكترونية، والتطبيقات المتنقلة، ومنصات الدفع، وأنظمة إدارة المطالبات، ولوحات ذكاء الأعمال لدعم العمليات السريرية والإدارية. إلا أن القيمة لا تتحقق تلقائيًا بمجرد توافر الأنظمة؛ إذ يتطلب الأمر تكاملًا بين التطبيقات، وجودة بيانات مناسبة، وتدريبًا للمستخدمين، وحوكمة واضحة، وربطًا بين المبادرات الرقمية ومؤشرات الأداء.</w:t>
      </w:r>
    </w:p>
    <w:p w:rsidR="00A75F64" w14:paraId="07633F6D" w14:textId="77777777">
      <w:pPr>
        <w:bidi/>
        <w:spacing w:after="120" w:line="360" w:lineRule="auto"/>
        <w:ind w:firstLine="360"/>
      </w:pPr>
      <w:r>
        <w:rPr>
          <w:rFonts w:cs="Arial"/>
          <w:rtl/>
        </w:rPr>
        <w:t>توضح الأدبيات الإدارية أن التحول الرقمي يتطلب خيارات استراتيجية واضحة وقدرات تنفيذية متكاملة (Hess et al., 2016; Westerman et al., 2014). ويصبح هذا الارتباط أكثر أهمية في المؤسسات الصحية متعددة الفروع، حيث يؤدي ضعف التكامل أو اختلاف الإجراءات إلى ازدواجية البيانات وتأخر القرارات وزيادة العبء التشغيلي.</w:t>
      </w:r>
    </w:p>
    <w:p w:rsidR="00A75F64" w14:paraId="0584E7E2" w14:textId="77777777">
      <w:pPr>
        <w:pStyle w:val="Heading2"/>
        <w:bidi/>
        <w:spacing w:after="100" w:line="324" w:lineRule="auto"/>
      </w:pPr>
      <w:bookmarkStart w:id="3" w:name="_Toc235127393"/>
      <w:r>
        <w:rPr>
          <w:rFonts w:ascii="Arial" w:eastAsia="Arial" w:hAnsi="Arial" w:cs="Arial"/>
          <w:sz w:val="24"/>
          <w:szCs w:val="24"/>
          <w:rtl/>
        </w:rPr>
        <w:t>1.3 مشكلة الدراسة</w:t>
      </w:r>
      <w:bookmarkEnd w:id="3"/>
    </w:p>
    <w:p w:rsidR="00A75F64" w14:paraId="56C06DD1" w14:textId="77777777">
      <w:pPr>
        <w:bidi/>
        <w:spacing w:after="120" w:line="360" w:lineRule="auto"/>
        <w:ind w:firstLine="360"/>
      </w:pPr>
      <w:r>
        <w:rPr>
          <w:rFonts w:cs="Arial"/>
          <w:rtl/>
        </w:rPr>
        <w:t>على الرغم من اتساع الاستثمار في الأنظمة الصحية الرقمية، لا تزال المؤسسات تواجه تحديًا في تحديد مدى انعكاس هذا الاستثمار على الأداء الفعلي. فقد تتحسن بعض مؤشرات السرعة أو تجربة المستخدم، بينما يظل الأثر المالي أقل وضوحًا أو يحتاج إلى فترة أطول للظهور. كما قد تؤدي مقاومة التغيير، ونقص المهارات، وضعف البنية التحتية، وعدم تكامل الأنظمة إلى تقليل العائد المتوقع.</w:t>
      </w:r>
    </w:p>
    <w:p w:rsidR="00A75F64" w14:paraId="2F41C4EA" w14:textId="77777777">
      <w:pPr>
        <w:bidi/>
        <w:spacing w:after="120" w:line="360" w:lineRule="auto"/>
        <w:ind w:firstLine="360"/>
        <w:rPr>
          <w:rFonts w:cs="Arial"/>
        </w:rPr>
      </w:pPr>
      <w:r>
        <w:rPr>
          <w:rFonts w:cs="Arial"/>
          <w:rtl/>
        </w:rPr>
        <w:t>وعليه تتمثل مشكلة الدراسة في الحاجة إلى قياس العلاقة بين مستوى تطبيق التحول الرقمي وبين الأداء التشغيلي والمالي وجودة الخدمات في المؤسسات الصحية السعودية، مع تحليل دور التحديات التقنية والتنظيمية والبشرية. وتدعم الدراسة تحليلها الكمي بدراسة حالة تطبيقية توفر سياقًا مهنيًا لفهم آليات التنفيذ دون اعتبارها دليلًا سببيًا مستقلًا.</w:t>
      </w:r>
    </w:p>
    <w:p w:rsidR="002A5471" w:rsidP="002A5471" w14:paraId="092C249F" w14:textId="77777777">
      <w:pPr>
        <w:bidi/>
        <w:spacing w:after="120" w:line="360" w:lineRule="auto"/>
        <w:ind w:firstLine="360"/>
        <w:rPr>
          <w:rFonts w:cs="Arial"/>
        </w:rPr>
      </w:pPr>
    </w:p>
    <w:p w:rsidR="002A5471" w:rsidP="002A5471" w14:paraId="7D85928B" w14:textId="77777777">
      <w:pPr>
        <w:bidi/>
        <w:spacing w:after="120" w:line="360" w:lineRule="auto"/>
        <w:ind w:firstLine="360"/>
      </w:pPr>
    </w:p>
    <w:p w:rsidR="00A75F64" w14:paraId="0853D3D6" w14:textId="77777777">
      <w:pPr>
        <w:pStyle w:val="Heading2"/>
        <w:bidi/>
        <w:spacing w:after="100" w:line="324" w:lineRule="auto"/>
      </w:pPr>
      <w:bookmarkStart w:id="4" w:name="_Toc235127394"/>
      <w:r>
        <w:rPr>
          <w:rFonts w:ascii="Arial" w:eastAsia="Arial" w:hAnsi="Arial" w:cs="Arial"/>
          <w:sz w:val="24"/>
          <w:szCs w:val="24"/>
          <w:rtl/>
        </w:rPr>
        <w:t>1.4 أسئلة الدراسة</w:t>
      </w:r>
      <w:bookmarkEnd w:id="4"/>
    </w:p>
    <w:p w:rsidR="00A75F64" w14:paraId="12F27D9B" w14:textId="77777777">
      <w:pPr>
        <w:bidi/>
        <w:spacing w:after="100" w:line="324" w:lineRule="auto"/>
      </w:pPr>
      <w:r>
        <w:rPr>
          <w:rFonts w:cs="Arial"/>
          <w:rtl/>
        </w:rPr>
        <w:t>•  ما مستوى تطبيق التحول الرقمي في المؤسسات الصحية محل الدراسة؟</w:t>
      </w:r>
    </w:p>
    <w:p w:rsidR="00A75F64" w14:paraId="7BC95402" w14:textId="77777777">
      <w:pPr>
        <w:bidi/>
        <w:spacing w:after="100" w:line="324" w:lineRule="auto"/>
      </w:pPr>
      <w:r>
        <w:rPr>
          <w:rFonts w:cs="Arial"/>
          <w:rtl/>
        </w:rPr>
        <w:t>•  ما طبيعة العلاقة بين التحول الرقمي والأداء التشغيلي؟</w:t>
      </w:r>
    </w:p>
    <w:p w:rsidR="00A75F64" w14:paraId="75A8D379" w14:textId="77777777">
      <w:pPr>
        <w:bidi/>
        <w:spacing w:after="100" w:line="324" w:lineRule="auto"/>
      </w:pPr>
      <w:r>
        <w:rPr>
          <w:rFonts w:cs="Arial"/>
          <w:rtl/>
        </w:rPr>
        <w:t>•  ما طبيعة العلاقة بين التحول الرقمي والأداء المالي؟</w:t>
      </w:r>
    </w:p>
    <w:p w:rsidR="00A75F64" w14:paraId="68C5C7CF" w14:textId="77777777">
      <w:pPr>
        <w:bidi/>
        <w:spacing w:after="100" w:line="324" w:lineRule="auto"/>
      </w:pPr>
      <w:r>
        <w:rPr>
          <w:rFonts w:cs="Arial"/>
          <w:rtl/>
        </w:rPr>
        <w:t>•  ما العلاقة بين استخدام السجلات الطبية الإلكترونية وجودة الخدمات الصحية؟</w:t>
      </w:r>
    </w:p>
    <w:p w:rsidR="00A75F64" w14:paraId="068F3DF9" w14:textId="77777777">
      <w:pPr>
        <w:bidi/>
        <w:spacing w:after="100" w:line="324" w:lineRule="auto"/>
      </w:pPr>
      <w:r>
        <w:rPr>
          <w:rFonts w:cs="Arial"/>
          <w:rtl/>
        </w:rPr>
        <w:t>•  ما أبرز التحديات التقنية والتنظيمية والبشرية المرتبطة بتطبيق التحول الرقمي؟</w:t>
      </w:r>
    </w:p>
    <w:p w:rsidR="00A75F64" w14:paraId="404930E7" w14:textId="77777777">
      <w:pPr>
        <w:pStyle w:val="Heading2"/>
        <w:bidi/>
        <w:spacing w:after="100" w:line="324" w:lineRule="auto"/>
      </w:pPr>
      <w:bookmarkStart w:id="5" w:name="_Toc235127395"/>
      <w:r>
        <w:rPr>
          <w:rFonts w:ascii="Arial" w:eastAsia="Arial" w:hAnsi="Arial" w:cs="Arial"/>
          <w:sz w:val="24"/>
          <w:szCs w:val="24"/>
          <w:rtl/>
        </w:rPr>
        <w:t>1.5 أهداف الدراسة</w:t>
      </w:r>
      <w:bookmarkEnd w:id="5"/>
    </w:p>
    <w:p w:rsidR="00A75F64" w14:paraId="52E5F7A4" w14:textId="77777777">
      <w:pPr>
        <w:bidi/>
        <w:spacing w:after="100" w:line="324" w:lineRule="auto"/>
      </w:pPr>
      <w:r>
        <w:rPr>
          <w:rFonts w:cs="Arial"/>
          <w:rtl/>
        </w:rPr>
        <w:t>•  قياس مستوى تطبيق التحول الرقمي في المؤسسات الصحية.</w:t>
      </w:r>
    </w:p>
    <w:p w:rsidR="00A75F64" w14:paraId="5B5A33BB" w14:textId="77777777">
      <w:pPr>
        <w:bidi/>
        <w:spacing w:after="100" w:line="324" w:lineRule="auto"/>
      </w:pPr>
      <w:r>
        <w:rPr>
          <w:rFonts w:cs="Arial"/>
          <w:rtl/>
        </w:rPr>
        <w:t>•  تحليل العلاقة بين التحول الرقمي والأداء التشغيلي.</w:t>
      </w:r>
    </w:p>
    <w:p w:rsidR="00A75F64" w14:paraId="2E7F6F04" w14:textId="77777777">
      <w:pPr>
        <w:bidi/>
        <w:spacing w:after="100" w:line="324" w:lineRule="auto"/>
      </w:pPr>
      <w:r>
        <w:rPr>
          <w:rFonts w:cs="Arial"/>
          <w:rtl/>
        </w:rPr>
        <w:t>•  تحليل العلاقة بين التحول الرقمي والأداء المالي.</w:t>
      </w:r>
    </w:p>
    <w:p w:rsidR="00A75F64" w14:paraId="69D2BD60" w14:textId="77777777">
      <w:pPr>
        <w:bidi/>
        <w:spacing w:after="100" w:line="324" w:lineRule="auto"/>
      </w:pPr>
      <w:r>
        <w:rPr>
          <w:rFonts w:cs="Arial"/>
          <w:rtl/>
        </w:rPr>
        <w:t>•  فحص العلاقة بين استخدام السجلات الطبية الإلكترونية وجودة الخدمات الصحية.</w:t>
      </w:r>
    </w:p>
    <w:p w:rsidR="00A75F64" w14:paraId="54B7EC4F" w14:textId="77777777">
      <w:pPr>
        <w:bidi/>
        <w:spacing w:after="100" w:line="324" w:lineRule="auto"/>
      </w:pPr>
      <w:r>
        <w:rPr>
          <w:rFonts w:cs="Arial"/>
          <w:rtl/>
        </w:rPr>
        <w:t>•  تحديد التحديات التي تؤثر في تطبيق التحول الرقمي.</w:t>
      </w:r>
    </w:p>
    <w:p w:rsidR="00A75F64" w14:paraId="2EF163C6" w14:textId="77777777">
      <w:pPr>
        <w:bidi/>
        <w:spacing w:after="100" w:line="324" w:lineRule="auto"/>
      </w:pPr>
      <w:r>
        <w:rPr>
          <w:rFonts w:cs="Arial"/>
          <w:rtl/>
        </w:rPr>
        <w:t>•  تقديم توصيات إدارية قابلة للتطبيق وربط النتائج الكمية بدراسة حالة داعمة.</w:t>
      </w:r>
    </w:p>
    <w:p w:rsidR="00A75F64" w14:paraId="7D8D6AEF" w14:textId="77777777">
      <w:pPr>
        <w:pStyle w:val="Heading2"/>
        <w:bidi/>
        <w:spacing w:after="100" w:line="324" w:lineRule="auto"/>
      </w:pPr>
      <w:bookmarkStart w:id="6" w:name="_Toc235127396"/>
      <w:r>
        <w:rPr>
          <w:rFonts w:ascii="Arial" w:eastAsia="Arial" w:hAnsi="Arial" w:cs="Arial"/>
          <w:sz w:val="24"/>
          <w:szCs w:val="24"/>
          <w:rtl/>
        </w:rPr>
        <w:t>1.6 فرضيات الدراسة</w:t>
      </w:r>
      <w:bookmarkEnd w:id="6"/>
    </w:p>
    <w:p w:rsidR="00A75F64" w14:paraId="354C4205" w14:textId="77777777">
      <w:pPr>
        <w:bidi/>
        <w:spacing w:after="100" w:line="324" w:lineRule="auto"/>
      </w:pPr>
      <w:r>
        <w:rPr>
          <w:rFonts w:cs="Arial"/>
          <w:rtl/>
        </w:rPr>
        <w:t>•  H1: توجد علاقة موجبة ذات دلالة إحصائية بين التحول الرقمي والأداء التشغيلي.</w:t>
      </w:r>
    </w:p>
    <w:p w:rsidR="00A75F64" w14:paraId="498D8292" w14:textId="77777777">
      <w:pPr>
        <w:bidi/>
        <w:spacing w:after="100" w:line="324" w:lineRule="auto"/>
      </w:pPr>
      <w:r>
        <w:rPr>
          <w:rFonts w:cs="Arial"/>
          <w:rtl/>
        </w:rPr>
        <w:t>•  H2: توجد علاقة موجبة ذات دلالة إحصائية بين التحول الرقمي والأداء المالي.</w:t>
      </w:r>
    </w:p>
    <w:p w:rsidR="00A75F64" w14:paraId="54D70330" w14:textId="77777777">
      <w:pPr>
        <w:bidi/>
        <w:spacing w:after="100" w:line="324" w:lineRule="auto"/>
      </w:pPr>
      <w:r>
        <w:rPr>
          <w:rFonts w:cs="Arial"/>
          <w:rtl/>
        </w:rPr>
        <w:t>•  H3: توجد علاقة موجبة ذات دلالة إحصائية بين استخدام السجلات الطبية الإلكترونية وجودة الخدمات الصحية.</w:t>
      </w:r>
    </w:p>
    <w:p w:rsidR="00A75F64" w14:paraId="57A234B5" w14:textId="77777777">
      <w:pPr>
        <w:bidi/>
        <w:spacing w:after="100" w:line="324" w:lineRule="auto"/>
      </w:pPr>
      <w:r>
        <w:rPr>
          <w:rFonts w:cs="Arial"/>
          <w:rtl/>
        </w:rPr>
        <w:t>•  H4: توجد علاقة سالبة ذات دلالة إحصائية بين تحديات التطبيق ومستوى التحول الرقمي.</w:t>
      </w:r>
    </w:p>
    <w:p w:rsidR="00A75F64" w14:paraId="04CCEFA8" w14:textId="77777777">
      <w:pPr>
        <w:bidi/>
        <w:spacing w:after="120" w:line="360" w:lineRule="auto"/>
      </w:pPr>
      <w:r>
        <w:rPr>
          <w:rFonts w:cs="Arial"/>
          <w:rtl/>
        </w:rPr>
        <w:t>صيغت الفروض بصورة مباشرة تربط كل متغير بالاختبار الإحصائي المستخدم في الدراسة.</w:t>
      </w:r>
    </w:p>
    <w:p w:rsidR="00A75F64" w14:paraId="4512A2B9" w14:textId="77777777">
      <w:pPr>
        <w:pStyle w:val="Heading2"/>
        <w:bidi/>
        <w:spacing w:after="100" w:line="324" w:lineRule="auto"/>
      </w:pPr>
      <w:bookmarkStart w:id="7" w:name="_Toc235127397"/>
      <w:r>
        <w:rPr>
          <w:rFonts w:ascii="Arial" w:eastAsia="Arial" w:hAnsi="Arial" w:cs="Arial"/>
          <w:sz w:val="24"/>
          <w:szCs w:val="24"/>
          <w:rtl/>
        </w:rPr>
        <w:t>1.7 أهمية الدراسة</w:t>
      </w:r>
      <w:bookmarkEnd w:id="7"/>
    </w:p>
    <w:p w:rsidR="00A75F64" w14:paraId="76F970DD" w14:textId="77777777">
      <w:pPr>
        <w:bidi/>
        <w:spacing w:after="120" w:line="360" w:lineRule="auto"/>
        <w:ind w:firstLine="360"/>
      </w:pPr>
      <w:r>
        <w:rPr>
          <w:rFonts w:cs="Arial"/>
          <w:rtl/>
        </w:rPr>
        <w:t>تنبع الأهمية العلمية من الجمع بين عدة مخرجات للأداء في إطار واحد، وتطبيقه في القطاع الصحي السعودي. أما الأهمية العملية فتتمثل في مساعدة القيادات الصحية على تحديد المجالات التي تحقق فيها المبادرات الرقمية قيمة ملموسة، والمجالات التي تحتاج إلى تحسين أو استثمار إضافي. كما تقدم دراسة الحالة تصورًا تطبيقيًا لقيادة التحول في مؤسسة صحية متعددة الفروع.</w:t>
      </w:r>
    </w:p>
    <w:p w:rsidR="00A75F64" w14:paraId="5A6BD06F" w14:textId="77777777">
      <w:pPr>
        <w:pStyle w:val="Heading2"/>
        <w:bidi/>
        <w:spacing w:after="100" w:line="324" w:lineRule="auto"/>
      </w:pPr>
      <w:bookmarkStart w:id="8" w:name="_Toc235127398"/>
      <w:r>
        <w:rPr>
          <w:rFonts w:ascii="Arial" w:eastAsia="Arial" w:hAnsi="Arial" w:cs="Arial"/>
          <w:sz w:val="24"/>
          <w:szCs w:val="24"/>
          <w:rtl/>
        </w:rPr>
        <w:t>1.8 النظرية العلمية المتبعة والنموذج المفاهيمي</w:t>
      </w:r>
      <w:bookmarkEnd w:id="8"/>
    </w:p>
    <w:p w:rsidR="00A75F64" w14:paraId="75281FCB" w14:textId="77777777">
      <w:pPr>
        <w:bidi/>
        <w:spacing w:after="120" w:line="360" w:lineRule="auto"/>
        <w:ind w:firstLine="360"/>
      </w:pPr>
      <w:r>
        <w:rPr>
          <w:rFonts w:cs="Arial"/>
          <w:rtl/>
        </w:rPr>
        <w:t xml:space="preserve">تستند الدراسة في بنائها النظري إلى منطق نظرية الموارد والقدرات الديناميكية؛ فالتقنية الرقمية مورد تنظيمي لا يولّد قيمة بذاته، وإنما تتحدد قيمته بقدرة المؤسسة على استشعار الفرص وإعادة تشكيل عملياتها ومواردها حوله (Warner &amp; Wäger, 2019; Westerman et al., 2014). ووفق هذا المنظور صيغ النموذج المفاهيمي للدراسة: يمثل التحول الرقمي المتغير المستقل، ويمثل </w:t>
      </w:r>
      <w:r>
        <w:rPr>
          <w:rFonts w:cs="Arial"/>
          <w:rtl/>
        </w:rPr>
        <w:t>الأداء التشغيلي والأداء المالي وجودة الخدمات الصحية المتغيرات التابعة، بينما تُعامل التحديات التقنية والتنظيمية والبشرية بوصفها عوامل يتوقع أن ترتبط سلبًا بمستوى التطبيق.</w:t>
      </w:r>
    </w:p>
    <w:p w:rsidR="00A75F64" w14:paraId="1F58970C" w14:textId="77777777">
      <w:pPr>
        <w:pStyle w:val="ArabicCaption"/>
        <w:bidi/>
        <w:spacing w:after="100" w:line="324" w:lineRule="auto"/>
      </w:pPr>
      <w:bookmarkStart w:id="9" w:name="_Toc235127496"/>
      <w:r>
        <w:rPr>
          <w:rFonts w:cs="Arial"/>
          <w:b w:val="0"/>
          <w:sz w:val="24"/>
          <w:szCs w:val="24"/>
          <w:rtl/>
        </w:rPr>
        <w:t>جدول (1): عناصر النموذج المفاهيمي للدراسة</w:t>
      </w:r>
      <w:bookmarkEnd w:id="9"/>
    </w:p>
    <w:tbl>
      <w:tblPr>
        <w:tblStyle w:val="TableGrid"/>
        <w:tblW w:w="0" w:type="auto"/>
        <w:jc w:val="center"/>
        <w:tblCellMar>
          <w:top w:w="40" w:type="dxa"/>
          <w:left w:w="100" w:type="dxa"/>
          <w:bottom w:w="40" w:type="dxa"/>
          <w:right w:w="100" w:type="dxa"/>
        </w:tblCellMar>
        <w:tblLook w:val="04A0"/>
      </w:tblPr>
      <w:tblGrid>
        <w:gridCol w:w="3199"/>
        <w:gridCol w:w="3204"/>
        <w:gridCol w:w="3203"/>
      </w:tblGrid>
      <w:tr w14:paraId="43928960" w14:textId="77777777">
        <w:tblPrEx>
          <w:tblW w:w="0" w:type="auto"/>
          <w:tblLook w:val="04A0"/>
        </w:tblPrEx>
        <w:trPr>
          <w:cantSplit/>
          <w:tblHeader/>
        </w:trPr>
        <w:tc>
          <w:tcPr>
            <w:tcW w:w="3312" w:type="dxa"/>
            <w:shd w:val="clear" w:color="auto" w:fill="D9EAF7"/>
            <w:vAlign w:val="center"/>
          </w:tcPr>
          <w:p w:rsidR="00A75F64" w14:paraId="24A77B35" w14:textId="77777777">
            <w:pPr>
              <w:bidi/>
              <w:spacing w:after="120" w:line="324" w:lineRule="auto"/>
              <w:jc w:val="center"/>
            </w:pPr>
            <w:r>
              <w:rPr>
                <w:rFonts w:cs="Arial"/>
                <w:b/>
                <w:bCs/>
                <w:sz w:val="19"/>
                <w:szCs w:val="19"/>
                <w:rtl/>
              </w:rPr>
              <w:t>أثره في البحث</w:t>
            </w:r>
          </w:p>
        </w:tc>
        <w:tc>
          <w:tcPr>
            <w:tcW w:w="3312" w:type="dxa"/>
            <w:shd w:val="clear" w:color="auto" w:fill="D9EAF7"/>
            <w:vAlign w:val="center"/>
          </w:tcPr>
          <w:p w:rsidR="00A75F64" w14:paraId="482E5D8C" w14:textId="77777777">
            <w:pPr>
              <w:bidi/>
              <w:spacing w:after="120" w:line="324" w:lineRule="auto"/>
              <w:jc w:val="center"/>
            </w:pPr>
            <w:r>
              <w:rPr>
                <w:rFonts w:cs="Arial"/>
                <w:b/>
                <w:bCs/>
                <w:sz w:val="19"/>
                <w:szCs w:val="19"/>
                <w:rtl/>
              </w:rPr>
              <w:t>الصياغة المختصرة</w:t>
            </w:r>
          </w:p>
        </w:tc>
        <w:tc>
          <w:tcPr>
            <w:tcW w:w="3312" w:type="dxa"/>
            <w:shd w:val="clear" w:color="auto" w:fill="D9EAF7"/>
            <w:vAlign w:val="center"/>
          </w:tcPr>
          <w:p w:rsidR="00A75F64" w14:paraId="35C78DAA" w14:textId="77777777">
            <w:pPr>
              <w:bidi/>
              <w:spacing w:after="120" w:line="324" w:lineRule="auto"/>
              <w:jc w:val="center"/>
            </w:pPr>
            <w:r>
              <w:rPr>
                <w:rFonts w:cs="Arial"/>
                <w:b/>
                <w:bCs/>
                <w:sz w:val="19"/>
                <w:szCs w:val="19"/>
                <w:rtl/>
              </w:rPr>
              <w:t>العنصر</w:t>
            </w:r>
          </w:p>
        </w:tc>
      </w:tr>
      <w:tr w14:paraId="5C2679D1" w14:textId="77777777">
        <w:tblPrEx>
          <w:tblW w:w="0" w:type="auto"/>
          <w:tblLook w:val="04A0"/>
        </w:tblPrEx>
        <w:trPr>
          <w:cantSplit/>
        </w:trPr>
        <w:tc>
          <w:tcPr>
            <w:tcW w:w="3312" w:type="dxa"/>
            <w:vAlign w:val="center"/>
          </w:tcPr>
          <w:p w:rsidR="00A75F64" w14:paraId="67AD00D0" w14:textId="77777777">
            <w:pPr>
              <w:bidi/>
              <w:spacing w:after="120" w:line="324" w:lineRule="auto"/>
              <w:jc w:val="right"/>
            </w:pPr>
            <w:r>
              <w:rPr>
                <w:rFonts w:cs="Arial"/>
                <w:sz w:val="19"/>
                <w:szCs w:val="19"/>
                <w:rtl/>
              </w:rPr>
              <w:t>يمثل أساس التأثير محل القياس</w:t>
            </w:r>
          </w:p>
        </w:tc>
        <w:tc>
          <w:tcPr>
            <w:tcW w:w="3312" w:type="dxa"/>
            <w:vAlign w:val="center"/>
          </w:tcPr>
          <w:p w:rsidR="00A75F64" w14:paraId="73051CB4" w14:textId="77777777">
            <w:pPr>
              <w:bidi/>
              <w:spacing w:after="120" w:line="324" w:lineRule="auto"/>
              <w:jc w:val="right"/>
            </w:pPr>
            <w:r>
              <w:rPr>
                <w:rFonts w:cs="Arial"/>
                <w:sz w:val="19"/>
                <w:szCs w:val="19"/>
                <w:rtl/>
              </w:rPr>
              <w:t>التحول الرقمي</w:t>
            </w:r>
          </w:p>
        </w:tc>
        <w:tc>
          <w:tcPr>
            <w:tcW w:w="3312" w:type="dxa"/>
            <w:vAlign w:val="center"/>
          </w:tcPr>
          <w:p w:rsidR="00A75F64" w14:paraId="262B09DF" w14:textId="77777777">
            <w:pPr>
              <w:bidi/>
              <w:spacing w:after="120" w:line="324" w:lineRule="auto"/>
              <w:jc w:val="right"/>
            </w:pPr>
            <w:r>
              <w:rPr>
                <w:rFonts w:cs="Arial"/>
                <w:sz w:val="19"/>
                <w:szCs w:val="19"/>
                <w:rtl/>
              </w:rPr>
              <w:t>المتغير المستقل</w:t>
            </w:r>
          </w:p>
        </w:tc>
      </w:tr>
      <w:tr w14:paraId="6B0D86B5" w14:textId="77777777">
        <w:tblPrEx>
          <w:tblW w:w="0" w:type="auto"/>
          <w:tblLook w:val="04A0"/>
        </w:tblPrEx>
        <w:trPr>
          <w:cantSplit/>
        </w:trPr>
        <w:tc>
          <w:tcPr>
            <w:tcW w:w="3312" w:type="dxa"/>
            <w:vAlign w:val="center"/>
          </w:tcPr>
          <w:p w:rsidR="00A75F64" w14:paraId="4B1C1D8B" w14:textId="77777777">
            <w:pPr>
              <w:bidi/>
              <w:spacing w:after="120" w:line="324" w:lineRule="auto"/>
              <w:jc w:val="right"/>
            </w:pPr>
            <w:r>
              <w:rPr>
                <w:rFonts w:cs="Arial"/>
                <w:sz w:val="19"/>
                <w:szCs w:val="19"/>
                <w:rtl/>
              </w:rPr>
              <w:t>تمثل نتائج التحول الرقمي المراد اختبارها</w:t>
            </w:r>
          </w:p>
        </w:tc>
        <w:tc>
          <w:tcPr>
            <w:tcW w:w="3312" w:type="dxa"/>
            <w:vAlign w:val="center"/>
          </w:tcPr>
          <w:p w:rsidR="00A75F64" w14:paraId="10A63670" w14:textId="77777777">
            <w:pPr>
              <w:bidi/>
              <w:spacing w:after="120" w:line="324" w:lineRule="auto"/>
              <w:jc w:val="right"/>
            </w:pPr>
            <w:r>
              <w:rPr>
                <w:rFonts w:cs="Arial"/>
                <w:sz w:val="19"/>
                <w:szCs w:val="19"/>
                <w:rtl/>
              </w:rPr>
              <w:t>الأداء التشغيلي والأداء المالي وجودة الخدمة</w:t>
            </w:r>
          </w:p>
        </w:tc>
        <w:tc>
          <w:tcPr>
            <w:tcW w:w="3312" w:type="dxa"/>
            <w:vAlign w:val="center"/>
          </w:tcPr>
          <w:p w:rsidR="00A75F64" w14:paraId="53833177" w14:textId="77777777">
            <w:pPr>
              <w:bidi/>
              <w:spacing w:after="120" w:line="324" w:lineRule="auto"/>
              <w:jc w:val="right"/>
            </w:pPr>
            <w:r>
              <w:rPr>
                <w:rFonts w:cs="Arial"/>
                <w:sz w:val="19"/>
                <w:szCs w:val="19"/>
                <w:rtl/>
              </w:rPr>
              <w:t>المتغيرات التابعة</w:t>
            </w:r>
          </w:p>
        </w:tc>
      </w:tr>
      <w:tr w14:paraId="5BB95954" w14:textId="77777777">
        <w:tblPrEx>
          <w:tblW w:w="0" w:type="auto"/>
          <w:tblLook w:val="04A0"/>
        </w:tblPrEx>
        <w:trPr>
          <w:cantSplit/>
        </w:trPr>
        <w:tc>
          <w:tcPr>
            <w:tcW w:w="3312" w:type="dxa"/>
            <w:vAlign w:val="center"/>
          </w:tcPr>
          <w:p w:rsidR="00A75F64" w14:paraId="00F5BDDA" w14:textId="77777777">
            <w:pPr>
              <w:bidi/>
              <w:spacing w:after="120" w:line="324" w:lineRule="auto"/>
              <w:jc w:val="right"/>
            </w:pPr>
            <w:r>
              <w:rPr>
                <w:rFonts w:cs="Arial"/>
                <w:sz w:val="19"/>
                <w:szCs w:val="19"/>
                <w:rtl/>
              </w:rPr>
              <w:t>تفسر عوامل إضعاف أو تعزيز التطبيق</w:t>
            </w:r>
          </w:p>
        </w:tc>
        <w:tc>
          <w:tcPr>
            <w:tcW w:w="3312" w:type="dxa"/>
            <w:vAlign w:val="center"/>
          </w:tcPr>
          <w:p w:rsidR="00A75F64" w14:paraId="6E80FD7A" w14:textId="77777777">
            <w:pPr>
              <w:bidi/>
              <w:spacing w:after="120" w:line="324" w:lineRule="auto"/>
              <w:jc w:val="right"/>
            </w:pPr>
            <w:r>
              <w:rPr>
                <w:rFonts w:cs="Arial"/>
                <w:sz w:val="19"/>
                <w:szCs w:val="19"/>
                <w:rtl/>
              </w:rPr>
              <w:t>التحديات التقنية والتنظيمية والبشرية</w:t>
            </w:r>
          </w:p>
        </w:tc>
        <w:tc>
          <w:tcPr>
            <w:tcW w:w="3312" w:type="dxa"/>
            <w:vAlign w:val="center"/>
          </w:tcPr>
          <w:p w:rsidR="00A75F64" w14:paraId="658934BE" w14:textId="77777777">
            <w:pPr>
              <w:bidi/>
              <w:spacing w:after="120" w:line="324" w:lineRule="auto"/>
              <w:jc w:val="right"/>
            </w:pPr>
            <w:r>
              <w:rPr>
                <w:rFonts w:cs="Arial"/>
                <w:sz w:val="19"/>
                <w:szCs w:val="19"/>
                <w:rtl/>
              </w:rPr>
              <w:t>العوامل المؤثرة</w:t>
            </w:r>
          </w:p>
        </w:tc>
      </w:tr>
      <w:tr w14:paraId="72C2E1CE" w14:textId="77777777">
        <w:tblPrEx>
          <w:tblW w:w="0" w:type="auto"/>
          <w:tblLook w:val="04A0"/>
        </w:tblPrEx>
        <w:trPr>
          <w:cantSplit/>
        </w:trPr>
        <w:tc>
          <w:tcPr>
            <w:tcW w:w="3312" w:type="dxa"/>
            <w:vAlign w:val="center"/>
          </w:tcPr>
          <w:p w:rsidR="00A75F64" w14:paraId="70A4D277" w14:textId="77777777">
            <w:pPr>
              <w:bidi/>
              <w:spacing w:after="120" w:line="324" w:lineRule="auto"/>
              <w:jc w:val="right"/>
            </w:pPr>
            <w:r>
              <w:rPr>
                <w:rFonts w:cs="Arial"/>
                <w:sz w:val="19"/>
                <w:szCs w:val="19"/>
                <w:rtl/>
              </w:rPr>
              <w:t>تترجم النموذج إلى عبارات قابلة للتحليل</w:t>
            </w:r>
          </w:p>
        </w:tc>
        <w:tc>
          <w:tcPr>
            <w:tcW w:w="3312" w:type="dxa"/>
            <w:vAlign w:val="center"/>
          </w:tcPr>
          <w:p w:rsidR="00A75F64" w14:paraId="7E2B0F18" w14:textId="77777777">
            <w:pPr>
              <w:bidi/>
              <w:spacing w:after="120" w:line="324" w:lineRule="auto"/>
              <w:jc w:val="right"/>
            </w:pPr>
            <w:r>
              <w:rPr>
                <w:rFonts w:cs="Arial"/>
                <w:sz w:val="19"/>
                <w:szCs w:val="19"/>
                <w:rtl/>
              </w:rPr>
              <w:t>الاستبانة</w:t>
            </w:r>
          </w:p>
        </w:tc>
        <w:tc>
          <w:tcPr>
            <w:tcW w:w="3312" w:type="dxa"/>
            <w:vAlign w:val="center"/>
          </w:tcPr>
          <w:p w:rsidR="00A75F64" w14:paraId="54EF1343" w14:textId="77777777">
            <w:pPr>
              <w:bidi/>
              <w:spacing w:after="120" w:line="324" w:lineRule="auto"/>
              <w:jc w:val="right"/>
            </w:pPr>
            <w:r>
              <w:rPr>
                <w:rFonts w:cs="Arial"/>
                <w:sz w:val="19"/>
                <w:szCs w:val="19"/>
                <w:rtl/>
              </w:rPr>
              <w:t>أداة القياس</w:t>
            </w:r>
          </w:p>
        </w:tc>
      </w:tr>
    </w:tbl>
    <w:p w:rsidR="00A75F64" w14:paraId="395D8E54" w14:textId="77777777">
      <w:pPr>
        <w:pStyle w:val="Heading2"/>
        <w:bidi/>
        <w:spacing w:after="100" w:line="324" w:lineRule="auto"/>
      </w:pPr>
      <w:bookmarkStart w:id="10" w:name="_Toc235127399"/>
      <w:r>
        <w:rPr>
          <w:rFonts w:ascii="Arial" w:eastAsia="Arial" w:hAnsi="Arial" w:cs="Arial"/>
          <w:sz w:val="24"/>
          <w:szCs w:val="24"/>
          <w:rtl/>
        </w:rPr>
        <w:t>1.9 التعريفات الإجرائية</w:t>
      </w:r>
      <w:bookmarkEnd w:id="10"/>
    </w:p>
    <w:tbl>
      <w:tblPr>
        <w:tblStyle w:val="TableGrid"/>
        <w:tblW w:w="0" w:type="auto"/>
        <w:jc w:val="center"/>
        <w:tblCellMar>
          <w:top w:w="40" w:type="dxa"/>
          <w:left w:w="100" w:type="dxa"/>
          <w:bottom w:w="40" w:type="dxa"/>
          <w:right w:w="100" w:type="dxa"/>
        </w:tblCellMar>
        <w:tblLook w:val="04A0"/>
      </w:tblPr>
      <w:tblGrid>
        <w:gridCol w:w="4805"/>
        <w:gridCol w:w="4801"/>
      </w:tblGrid>
      <w:tr w14:paraId="4F99C2B0" w14:textId="77777777">
        <w:tblPrEx>
          <w:tblW w:w="0" w:type="auto"/>
          <w:tblLook w:val="04A0"/>
        </w:tblPrEx>
        <w:trPr>
          <w:cantSplit/>
          <w:tblHeader/>
        </w:trPr>
        <w:tc>
          <w:tcPr>
            <w:tcW w:w="4968" w:type="dxa"/>
            <w:shd w:val="clear" w:color="auto" w:fill="D9EAF7"/>
            <w:vAlign w:val="center"/>
          </w:tcPr>
          <w:p w:rsidR="00A75F64" w14:paraId="5529F4F8" w14:textId="77777777">
            <w:pPr>
              <w:bidi/>
              <w:spacing w:after="120" w:line="324" w:lineRule="auto"/>
              <w:jc w:val="center"/>
            </w:pPr>
            <w:r>
              <w:rPr>
                <w:rFonts w:cs="Arial"/>
                <w:b/>
                <w:bCs/>
                <w:sz w:val="19"/>
                <w:szCs w:val="19"/>
                <w:rtl/>
              </w:rPr>
              <w:t>التعريف الإجرائي</w:t>
            </w:r>
          </w:p>
        </w:tc>
        <w:tc>
          <w:tcPr>
            <w:tcW w:w="4968" w:type="dxa"/>
            <w:shd w:val="clear" w:color="auto" w:fill="D9EAF7"/>
            <w:vAlign w:val="center"/>
          </w:tcPr>
          <w:p w:rsidR="00A75F64" w14:paraId="45A7C0BC" w14:textId="77777777">
            <w:pPr>
              <w:bidi/>
              <w:spacing w:after="120" w:line="324" w:lineRule="auto"/>
              <w:jc w:val="center"/>
            </w:pPr>
            <w:r>
              <w:rPr>
                <w:rFonts w:cs="Arial"/>
                <w:b/>
                <w:bCs/>
                <w:sz w:val="19"/>
                <w:szCs w:val="19"/>
                <w:rtl/>
              </w:rPr>
              <w:t>المصطلح</w:t>
            </w:r>
          </w:p>
        </w:tc>
      </w:tr>
      <w:tr w14:paraId="621C08F4" w14:textId="77777777">
        <w:tblPrEx>
          <w:tblW w:w="0" w:type="auto"/>
          <w:tblLook w:val="04A0"/>
        </w:tblPrEx>
        <w:trPr>
          <w:cantSplit/>
        </w:trPr>
        <w:tc>
          <w:tcPr>
            <w:tcW w:w="4968" w:type="dxa"/>
            <w:vAlign w:val="center"/>
          </w:tcPr>
          <w:p w:rsidR="00A75F64" w14:paraId="58CEC456" w14:textId="77777777">
            <w:pPr>
              <w:bidi/>
              <w:spacing w:after="120" w:line="324" w:lineRule="auto"/>
              <w:jc w:val="right"/>
            </w:pPr>
            <w:r>
              <w:rPr>
                <w:rFonts w:cs="Arial"/>
                <w:sz w:val="19"/>
                <w:szCs w:val="19"/>
                <w:rtl/>
              </w:rPr>
              <w:t>درجة استخدام المؤسسة للأنظمة والمنصات الرقمية وتكاملها في إدارة العمليات واتخاذ القرار، كما تقيسها عبارات محور التحول الرقمي.</w:t>
            </w:r>
          </w:p>
        </w:tc>
        <w:tc>
          <w:tcPr>
            <w:tcW w:w="4968" w:type="dxa"/>
            <w:vAlign w:val="center"/>
          </w:tcPr>
          <w:p w:rsidR="00A75F64" w14:paraId="0F4EEE63" w14:textId="77777777">
            <w:pPr>
              <w:bidi/>
              <w:spacing w:after="120" w:line="324" w:lineRule="auto"/>
              <w:jc w:val="right"/>
            </w:pPr>
            <w:r>
              <w:rPr>
                <w:rFonts w:cs="Arial"/>
                <w:sz w:val="19"/>
                <w:szCs w:val="19"/>
                <w:rtl/>
              </w:rPr>
              <w:t>التحول الرقمي</w:t>
            </w:r>
          </w:p>
        </w:tc>
      </w:tr>
      <w:tr w14:paraId="19484A90" w14:textId="77777777">
        <w:tblPrEx>
          <w:tblW w:w="0" w:type="auto"/>
          <w:tblLook w:val="04A0"/>
        </w:tblPrEx>
        <w:trPr>
          <w:cantSplit/>
        </w:trPr>
        <w:tc>
          <w:tcPr>
            <w:tcW w:w="4968" w:type="dxa"/>
            <w:vAlign w:val="center"/>
          </w:tcPr>
          <w:p w:rsidR="00A75F64" w14:paraId="6890734C" w14:textId="77777777">
            <w:pPr>
              <w:bidi/>
              <w:spacing w:after="120" w:line="324" w:lineRule="auto"/>
              <w:jc w:val="right"/>
            </w:pPr>
            <w:r>
              <w:rPr>
                <w:rFonts w:cs="Arial"/>
                <w:sz w:val="19"/>
                <w:szCs w:val="19"/>
                <w:rtl/>
              </w:rPr>
              <w:t>مستوى الكفاءة والسرعة والدقة والتنسيق وتقليل الأخطاء في العمليات، وفق استجابات المشاركين.</w:t>
            </w:r>
          </w:p>
        </w:tc>
        <w:tc>
          <w:tcPr>
            <w:tcW w:w="4968" w:type="dxa"/>
            <w:vAlign w:val="center"/>
          </w:tcPr>
          <w:p w:rsidR="00A75F64" w14:paraId="08A411B7" w14:textId="77777777">
            <w:pPr>
              <w:bidi/>
              <w:spacing w:after="120" w:line="324" w:lineRule="auto"/>
              <w:jc w:val="right"/>
            </w:pPr>
            <w:r>
              <w:rPr>
                <w:rFonts w:cs="Arial"/>
                <w:sz w:val="19"/>
                <w:szCs w:val="19"/>
                <w:rtl/>
              </w:rPr>
              <w:t>الأداء التشغيلي</w:t>
            </w:r>
          </w:p>
        </w:tc>
      </w:tr>
      <w:tr w14:paraId="511B1DE5" w14:textId="77777777">
        <w:tblPrEx>
          <w:tblW w:w="0" w:type="auto"/>
          <w:tblLook w:val="04A0"/>
        </w:tblPrEx>
        <w:trPr>
          <w:cantSplit/>
        </w:trPr>
        <w:tc>
          <w:tcPr>
            <w:tcW w:w="4968" w:type="dxa"/>
            <w:vAlign w:val="center"/>
          </w:tcPr>
          <w:p w:rsidR="00A75F64" w14:paraId="056128D1" w14:textId="77777777">
            <w:pPr>
              <w:bidi/>
              <w:spacing w:after="120" w:line="324" w:lineRule="auto"/>
              <w:jc w:val="right"/>
            </w:pPr>
            <w:r>
              <w:rPr>
                <w:rFonts w:cs="Arial"/>
                <w:sz w:val="19"/>
                <w:szCs w:val="19"/>
                <w:rtl/>
              </w:rPr>
              <w:t>تصورات المشاركين بشأن أثر الأنظمة الرقمية في التكاليف واستخدام الموارد ودورة الإيرادات والفوترة والتحصيل.</w:t>
            </w:r>
          </w:p>
        </w:tc>
        <w:tc>
          <w:tcPr>
            <w:tcW w:w="4968" w:type="dxa"/>
            <w:vAlign w:val="center"/>
          </w:tcPr>
          <w:p w:rsidR="00A75F64" w14:paraId="7B679DBC" w14:textId="77777777">
            <w:pPr>
              <w:bidi/>
              <w:spacing w:after="120" w:line="324" w:lineRule="auto"/>
              <w:jc w:val="right"/>
            </w:pPr>
            <w:r>
              <w:rPr>
                <w:rFonts w:cs="Arial"/>
                <w:sz w:val="19"/>
                <w:szCs w:val="19"/>
                <w:rtl/>
              </w:rPr>
              <w:t>الأداء المالي</w:t>
            </w:r>
          </w:p>
        </w:tc>
      </w:tr>
      <w:tr w14:paraId="371A973B" w14:textId="77777777">
        <w:tblPrEx>
          <w:tblW w:w="0" w:type="auto"/>
          <w:tblLook w:val="04A0"/>
        </w:tblPrEx>
        <w:trPr>
          <w:cantSplit/>
        </w:trPr>
        <w:tc>
          <w:tcPr>
            <w:tcW w:w="4968" w:type="dxa"/>
            <w:vAlign w:val="center"/>
          </w:tcPr>
          <w:p w:rsidR="00A75F64" w14:paraId="1856C9EA" w14:textId="77777777">
            <w:pPr>
              <w:bidi/>
              <w:spacing w:after="120" w:line="324" w:lineRule="auto"/>
              <w:jc w:val="right"/>
            </w:pPr>
            <w:r>
              <w:rPr>
                <w:rFonts w:cs="Arial"/>
                <w:sz w:val="19"/>
                <w:szCs w:val="19"/>
                <w:rtl/>
              </w:rPr>
              <w:t>تصورات المشاركين بشأن دقة المعلومات وسرعة الخدمة وتجربة المستفيد وجودة الرعاية المدعومة رقميًا.</w:t>
            </w:r>
          </w:p>
        </w:tc>
        <w:tc>
          <w:tcPr>
            <w:tcW w:w="4968" w:type="dxa"/>
            <w:vAlign w:val="center"/>
          </w:tcPr>
          <w:p w:rsidR="00A75F64" w14:paraId="548CC2D0" w14:textId="77777777">
            <w:pPr>
              <w:bidi/>
              <w:spacing w:after="120" w:line="324" w:lineRule="auto"/>
              <w:jc w:val="right"/>
            </w:pPr>
            <w:r>
              <w:rPr>
                <w:rFonts w:cs="Arial"/>
                <w:sz w:val="19"/>
                <w:szCs w:val="19"/>
                <w:rtl/>
              </w:rPr>
              <w:t>جودة الخدمات الصحية</w:t>
            </w:r>
          </w:p>
        </w:tc>
      </w:tr>
      <w:tr w14:paraId="0BEAD118" w14:textId="77777777">
        <w:tblPrEx>
          <w:tblW w:w="0" w:type="auto"/>
          <w:tblLook w:val="04A0"/>
        </w:tblPrEx>
        <w:trPr>
          <w:cantSplit/>
        </w:trPr>
        <w:tc>
          <w:tcPr>
            <w:tcW w:w="4968" w:type="dxa"/>
            <w:vAlign w:val="center"/>
          </w:tcPr>
          <w:p w:rsidR="00A75F64" w14:paraId="12287AF8" w14:textId="77777777">
            <w:pPr>
              <w:bidi/>
              <w:spacing w:after="120" w:line="324" w:lineRule="auto"/>
              <w:jc w:val="right"/>
            </w:pPr>
            <w:r>
              <w:rPr>
                <w:rFonts w:cs="Arial"/>
                <w:sz w:val="19"/>
                <w:szCs w:val="19"/>
                <w:rtl/>
              </w:rPr>
              <w:t>المعوقات التقنية والتنظيمية والبشرية التي قد تحد من التطبيق أو تقلل من قيمته.</w:t>
            </w:r>
          </w:p>
        </w:tc>
        <w:tc>
          <w:tcPr>
            <w:tcW w:w="4968" w:type="dxa"/>
            <w:vAlign w:val="center"/>
          </w:tcPr>
          <w:p w:rsidR="00A75F64" w14:paraId="360228FA" w14:textId="77777777">
            <w:pPr>
              <w:bidi/>
              <w:spacing w:after="120" w:line="324" w:lineRule="auto"/>
              <w:jc w:val="right"/>
            </w:pPr>
            <w:r>
              <w:rPr>
                <w:rFonts w:cs="Arial"/>
                <w:sz w:val="19"/>
                <w:szCs w:val="19"/>
                <w:rtl/>
              </w:rPr>
              <w:t>تحديات التحول الرقمي</w:t>
            </w:r>
          </w:p>
        </w:tc>
      </w:tr>
    </w:tbl>
    <w:p w:rsidR="00A75F64" w14:paraId="4A644A21" w14:textId="77777777">
      <w:pPr>
        <w:pStyle w:val="Heading2"/>
        <w:bidi/>
        <w:spacing w:after="100" w:line="324" w:lineRule="auto"/>
      </w:pPr>
      <w:bookmarkStart w:id="11" w:name="_Toc235127400"/>
      <w:r>
        <w:rPr>
          <w:rFonts w:ascii="Arial" w:eastAsia="Arial" w:hAnsi="Arial" w:cs="Arial"/>
          <w:sz w:val="24"/>
          <w:szCs w:val="24"/>
          <w:rtl/>
        </w:rPr>
        <w:t>1.10 حدود الدراسة</w:t>
      </w:r>
      <w:bookmarkEnd w:id="11"/>
    </w:p>
    <w:p w:rsidR="00A75F64" w14:paraId="047CA79D" w14:textId="77777777">
      <w:pPr>
        <w:bidi/>
        <w:spacing w:after="100" w:line="324" w:lineRule="auto"/>
      </w:pPr>
      <w:r>
        <w:rPr>
          <w:rFonts w:cs="Arial"/>
          <w:rtl/>
        </w:rPr>
        <w:t>•  حدود موضوعية: التحول الرقمي وعلاقته بالأداء التشغيلي والمالي وجودة الخدمات والتحديات.</w:t>
      </w:r>
    </w:p>
    <w:p w:rsidR="00A75F64" w14:paraId="3D36DA6C" w14:textId="77777777">
      <w:pPr>
        <w:bidi/>
        <w:spacing w:after="100" w:line="324" w:lineRule="auto"/>
      </w:pPr>
      <w:r>
        <w:rPr>
          <w:rFonts w:cs="Arial"/>
          <w:rtl/>
        </w:rPr>
        <w:t>•  حدود بشرية: العاملون في مؤسسات صحية ممن استجابوا للاستبانة.</w:t>
      </w:r>
    </w:p>
    <w:p w:rsidR="00A75F64" w14:paraId="7C663766" w14:textId="77777777">
      <w:pPr>
        <w:bidi/>
        <w:spacing w:after="100" w:line="324" w:lineRule="auto"/>
      </w:pPr>
      <w:r>
        <w:rPr>
          <w:rFonts w:cs="Arial"/>
          <w:rtl/>
        </w:rPr>
        <w:t>•  حدود مكانية: مؤسسات صحية في المملكة العربية السعودية.</w:t>
      </w:r>
    </w:p>
    <w:p w:rsidR="00A75F64" w14:paraId="78683FE8" w14:textId="77777777">
      <w:pPr>
        <w:bidi/>
        <w:spacing w:after="100" w:line="324" w:lineRule="auto"/>
      </w:pPr>
      <w:r>
        <w:rPr>
          <w:rFonts w:cs="Arial"/>
          <w:rtl/>
        </w:rPr>
        <w:t>•  حدود زمنية: البيانات التي جُمعت للدراسة، إضافة إلى مؤشرات دراسة الحالة للفترة المقارنة بين الربع الأول من 2025 والربع الأول من 2026.</w:t>
      </w:r>
    </w:p>
    <w:p w:rsidR="00A75F64" w14:paraId="5268B139" w14:textId="77777777">
      <w:pPr>
        <w:bidi/>
        <w:spacing w:after="100" w:line="324" w:lineRule="auto"/>
        <w:rPr>
          <w:rFonts w:cs="Arial"/>
        </w:rPr>
      </w:pPr>
      <w:r>
        <w:rPr>
          <w:rFonts w:cs="Arial"/>
          <w:rtl/>
        </w:rPr>
        <w:t>•  حدود منهجية: تعتمد النتائج الأساسية على بيانات إدراكية مقطعية، ولا تثبت السببية الزمنية بصورة قاطعة.</w:t>
      </w:r>
    </w:p>
    <w:p w:rsidR="002A5471" w:rsidP="002A5471" w14:paraId="1563C0FC" w14:textId="77777777">
      <w:pPr>
        <w:bidi/>
        <w:spacing w:after="100" w:line="324" w:lineRule="auto"/>
      </w:pPr>
    </w:p>
    <w:p w:rsidR="00A75F64" w14:paraId="2EEF3EE4" w14:textId="77777777">
      <w:pPr>
        <w:pStyle w:val="Heading2"/>
        <w:bidi/>
        <w:spacing w:after="100" w:line="324" w:lineRule="auto"/>
      </w:pPr>
      <w:bookmarkStart w:id="12" w:name="_Toc235127401"/>
      <w:r>
        <w:rPr>
          <w:rFonts w:ascii="Arial" w:eastAsia="Arial" w:hAnsi="Arial" w:cs="Arial"/>
          <w:sz w:val="24"/>
          <w:szCs w:val="24"/>
          <w:rtl/>
        </w:rPr>
        <w:t>1.11 خلاصة الفصل</w:t>
      </w:r>
      <w:bookmarkEnd w:id="12"/>
    </w:p>
    <w:p w:rsidR="00A75F64" w14:paraId="2B4C8546" w14:textId="77777777">
      <w:pPr>
        <w:bidi/>
        <w:spacing w:after="120" w:line="360" w:lineRule="auto"/>
        <w:ind w:firstLine="360"/>
      </w:pPr>
      <w:r>
        <w:rPr>
          <w:rFonts w:cs="Arial"/>
          <w:rtl/>
        </w:rPr>
        <w:t>حدد الفصل مشكلة الدراسة وأسئلتها وأهدافها وفرضياتها، وبيّن أهمية الربط بين التحول الرقمي ومخرجات الأداء. ويعرض الفصل التالي الأسس النظرية والأدلة السابقة التي تدعم النموذج المقترح.</w:t>
      </w:r>
    </w:p>
    <w:p w:rsidR="00A75F64" w14:paraId="31A19D1B" w14:textId="77777777">
      <w:pPr>
        <w:spacing w:after="100" w:line="312" w:lineRule="auto"/>
        <w:sectPr>
          <w:headerReference w:type="default" r:id="rId10"/>
          <w:footerReference w:type="default" r:id="rId11"/>
          <w:pgSz w:w="12240" w:h="15840"/>
          <w:pgMar w:top="1417" w:right="1417" w:bottom="1417" w:left="1417" w:header="720" w:footer="720" w:gutter="0"/>
          <w:cols w:space="720"/>
          <w:docGrid w:linePitch="360"/>
        </w:sectPr>
      </w:pPr>
    </w:p>
    <w:p w:rsidR="00C8109A" w14:paraId="2014E403" w14:textId="77777777">
      <w:pPr>
        <w:bidi/>
        <w:spacing w:after="0" w:line="240" w:lineRule="auto"/>
        <w:jc w:val="center"/>
        <w:rPr>
          <w:rFonts w:cs="Arial"/>
          <w:b/>
          <w:bCs/>
          <w:color w:val="C9AE82"/>
          <w:sz w:val="60"/>
          <w:szCs w:val="60"/>
          <w:u w:val="single" w:color="C9AE82"/>
          <w:rtl/>
        </w:rPr>
        <w:sectPr>
          <w:headerReference w:type="default" r:id="rId12"/>
          <w:footerReference w:type="default" r:id="rId13"/>
          <w:pgSz w:w="12240" w:h="15840"/>
          <w:pgMar w:top="1417" w:right="1417" w:bottom="1417" w:left="1417" w:header="720" w:footer="720" w:gutter="0"/>
          <w:cols w:space="720"/>
          <w:vAlign w:val="center"/>
          <w:docGrid w:linePitch="360"/>
        </w:sectPr>
      </w:pPr>
      <w:r>
        <w:rPr>
          <w:rFonts w:cs="Arial"/>
          <w:b/>
          <w:bCs/>
          <w:color w:val="C9AE82"/>
          <w:sz w:val="60"/>
          <w:szCs w:val="60"/>
          <w:u w:val="single" w:color="C9AE82"/>
          <w:rtl/>
        </w:rPr>
        <w:t>الفصل الثاني</w:t>
      </w:r>
    </w:p>
    <w:p w:rsidR="00A75F64" w14:paraId="5C7BFA57" w14:textId="77777777">
      <w:pPr>
        <w:pStyle w:val="Heading1"/>
        <w:bidi/>
        <w:spacing w:after="100" w:line="324" w:lineRule="auto"/>
      </w:pPr>
      <w:bookmarkStart w:id="13" w:name="_Toc235127402"/>
      <w:r>
        <w:rPr>
          <w:rFonts w:ascii="Arial" w:eastAsia="Arial" w:hAnsi="Arial" w:cs="Arial"/>
          <w:sz w:val="24"/>
          <w:szCs w:val="24"/>
          <w:rtl/>
        </w:rPr>
        <w:t>الفصل الثاني: الإطار النظري والدراسات السابقة</w:t>
      </w:r>
      <w:bookmarkEnd w:id="13"/>
    </w:p>
    <w:p w:rsidR="00A75F64" w14:paraId="1B3FBEBD" w14:textId="77777777">
      <w:pPr>
        <w:bidi/>
        <w:spacing w:after="120" w:line="360" w:lineRule="auto"/>
        <w:ind w:firstLine="360"/>
      </w:pPr>
      <w:r>
        <w:rPr>
          <w:rFonts w:cs="Arial"/>
          <w:rtl/>
        </w:rPr>
        <w:t>يستعرض هذا الفصل الأساس النظري للدراسة والأدبيات المتصلة بها. تتناول الأقسام الأولى مفهوم التحول الرقمي وأبعاده في السياق الصحي بوصفه المتغير المستقل للدراسة، ثم تناقش الأقسام التالية علاقته بالمتغيرات التابعة الثلاثة: الأداء التشغيلي، والأداء المالي، وجودة الخدمات الصحية، إضافة إلى تحديات التطبيق التي تُعامل بوصفها عاملًا معوقًا. ويُختتم الفصل بتحليل نقدي للدراسات السابقة، وتحديد الفجوة البحثية التي تعالجها الدراسة الحالية، وتطوير فروضها.</w:t>
      </w:r>
    </w:p>
    <w:p w:rsidR="00A75F64" w14:paraId="7785180C" w14:textId="77777777">
      <w:pPr>
        <w:pStyle w:val="Heading2"/>
        <w:bidi/>
        <w:spacing w:after="100" w:line="324" w:lineRule="auto"/>
      </w:pPr>
      <w:bookmarkStart w:id="14" w:name="_Toc235127403"/>
      <w:r>
        <w:rPr>
          <w:rFonts w:ascii="Arial" w:eastAsia="Arial" w:hAnsi="Arial" w:cs="Arial"/>
          <w:sz w:val="24"/>
          <w:szCs w:val="24"/>
          <w:rtl/>
        </w:rPr>
        <w:t>2.1 مفهوم التحول الرقمي</w:t>
      </w:r>
      <w:bookmarkEnd w:id="14"/>
    </w:p>
    <w:p w:rsidR="00A75F64" w14:paraId="47F877D3" w14:textId="77777777">
      <w:pPr>
        <w:bidi/>
        <w:spacing w:after="120" w:line="360" w:lineRule="auto"/>
        <w:ind w:firstLine="360"/>
      </w:pPr>
      <w:r>
        <w:rPr>
          <w:rFonts w:cs="Arial"/>
          <w:rtl/>
        </w:rPr>
        <w:t>يُفهم التحول الرقمي بوصفه تغييرًا تنظيميًا واستراتيجيًا تستخدم فيه التقنيات الرقمية لإعادة تشكيل العمليات والقيمة وتجربة المستفيد. ويميز هذا التعريف بين الرقمنة التقنية المحدودة وبين التحول الذي يغير كيفية عمل المؤسسة واتخاذها للقرارات (Vial, 2019). كما يشير Verhoef et al. (2021) إلى أن التحول يمر بمستويات تبدأ برقمنة المعلومات ثم رقمنة العمليات وصولًا إلى إعادة تصميم نموذج العمل.</w:t>
      </w:r>
    </w:p>
    <w:p w:rsidR="00A75F64" w14:paraId="2219B00C" w14:textId="77777777">
      <w:pPr>
        <w:pStyle w:val="Heading2"/>
        <w:bidi/>
        <w:spacing w:after="100" w:line="324" w:lineRule="auto"/>
      </w:pPr>
      <w:bookmarkStart w:id="15" w:name="_Toc235127404"/>
      <w:r>
        <w:rPr>
          <w:rFonts w:ascii="Arial" w:eastAsia="Arial" w:hAnsi="Arial" w:cs="Arial"/>
          <w:sz w:val="24"/>
          <w:szCs w:val="24"/>
          <w:rtl/>
        </w:rPr>
        <w:t>2.2 التحول الرقمي في الرعاية الصحية</w:t>
      </w:r>
      <w:bookmarkEnd w:id="15"/>
    </w:p>
    <w:p w:rsidR="00A75F64" w14:paraId="4E838065" w14:textId="77777777">
      <w:pPr>
        <w:bidi/>
        <w:spacing w:after="120" w:line="360" w:lineRule="auto"/>
        <w:ind w:firstLine="360"/>
      </w:pPr>
      <w:r>
        <w:rPr>
          <w:rFonts w:cs="Arial"/>
          <w:rtl/>
        </w:rPr>
        <w:t>يتضمن التحول في الرعاية الصحية أنظمة السجلات الطبية الإلكترونية، والتطبيب عن بعد، وتطبيقات المرضى، والتحليلات، والأتمتة، والمنصات المالية والتأمينية. غير أن طبيعة القطاع تفرض متطلبات إضافية تتعلق بالسلامة والخصوصية والتوافر والتشغيل البيني. وتؤكد استراتيجية منظمة الصحة العالمية ضرورة وجود قيادة وحوكمة ومعايير وقدرات بشرية لضمان أن تخدم التقنية احتياجات النظام الصحي بدل أن تصبح عبئًا إضافيًا (World Health Organization, 2021).</w:t>
      </w:r>
    </w:p>
    <w:p w:rsidR="00A75F64" w14:paraId="25E179D6" w14:textId="77777777">
      <w:pPr>
        <w:pStyle w:val="Heading2"/>
        <w:bidi/>
        <w:spacing w:after="100" w:line="324" w:lineRule="auto"/>
      </w:pPr>
      <w:bookmarkStart w:id="16" w:name="_Toc235127405"/>
      <w:r>
        <w:rPr>
          <w:rFonts w:ascii="Arial" w:eastAsia="Arial" w:hAnsi="Arial" w:cs="Arial"/>
          <w:sz w:val="24"/>
          <w:szCs w:val="24"/>
          <w:rtl/>
        </w:rPr>
        <w:t>2.3 الأبعاد التنظيمية للتحول</w:t>
      </w:r>
      <w:bookmarkEnd w:id="16"/>
    </w:p>
    <w:p w:rsidR="00A75F64" w14:paraId="560BC3BC" w14:textId="77777777">
      <w:pPr>
        <w:pStyle w:val="ArabicCaption"/>
        <w:bidi/>
        <w:spacing w:after="100" w:line="324" w:lineRule="auto"/>
      </w:pPr>
      <w:bookmarkStart w:id="17" w:name="_Toc235127497"/>
      <w:r>
        <w:rPr>
          <w:rFonts w:cs="Arial"/>
          <w:b w:val="0"/>
          <w:sz w:val="24"/>
          <w:szCs w:val="24"/>
          <w:rtl/>
        </w:rPr>
        <w:t>جدول (2): الأبعاد الرئيسة للتحول الرقمي في المؤسسات الصحية</w:t>
      </w:r>
      <w:bookmarkEnd w:id="17"/>
    </w:p>
    <w:tbl>
      <w:tblPr>
        <w:tblStyle w:val="TableGrid"/>
        <w:tblW w:w="0" w:type="auto"/>
        <w:jc w:val="center"/>
        <w:tblCellMar>
          <w:top w:w="40" w:type="dxa"/>
          <w:left w:w="100" w:type="dxa"/>
          <w:bottom w:w="40" w:type="dxa"/>
          <w:right w:w="100" w:type="dxa"/>
        </w:tblCellMar>
        <w:tblLook w:val="04A0"/>
      </w:tblPr>
      <w:tblGrid>
        <w:gridCol w:w="3209"/>
        <w:gridCol w:w="3201"/>
        <w:gridCol w:w="3196"/>
      </w:tblGrid>
      <w:tr w14:paraId="049EB648" w14:textId="77777777">
        <w:tblPrEx>
          <w:tblW w:w="0" w:type="auto"/>
          <w:tblLook w:val="04A0"/>
        </w:tblPrEx>
        <w:trPr>
          <w:cantSplit/>
          <w:tblHeader/>
        </w:trPr>
        <w:tc>
          <w:tcPr>
            <w:tcW w:w="3312" w:type="dxa"/>
            <w:shd w:val="clear" w:color="auto" w:fill="D9EAF7"/>
            <w:vAlign w:val="center"/>
          </w:tcPr>
          <w:p w:rsidR="00A75F64" w14:paraId="1C60D798" w14:textId="77777777">
            <w:pPr>
              <w:bidi/>
              <w:spacing w:after="120" w:line="324" w:lineRule="auto"/>
              <w:jc w:val="center"/>
            </w:pPr>
            <w:r>
              <w:rPr>
                <w:rFonts w:cs="Arial"/>
                <w:b/>
                <w:bCs/>
                <w:sz w:val="19"/>
                <w:szCs w:val="19"/>
                <w:rtl/>
              </w:rPr>
              <w:t>أمثلة تطبيقية</w:t>
            </w:r>
          </w:p>
        </w:tc>
        <w:tc>
          <w:tcPr>
            <w:tcW w:w="3312" w:type="dxa"/>
            <w:shd w:val="clear" w:color="auto" w:fill="D9EAF7"/>
            <w:vAlign w:val="center"/>
          </w:tcPr>
          <w:p w:rsidR="00A75F64" w14:paraId="4A3BA2F5" w14:textId="77777777">
            <w:pPr>
              <w:bidi/>
              <w:spacing w:after="120" w:line="324" w:lineRule="auto"/>
              <w:jc w:val="center"/>
            </w:pPr>
            <w:r>
              <w:rPr>
                <w:rFonts w:cs="Arial"/>
                <w:b/>
                <w:bCs/>
                <w:sz w:val="19"/>
                <w:szCs w:val="19"/>
                <w:rtl/>
              </w:rPr>
              <w:t>دوره في الدراسة</w:t>
            </w:r>
          </w:p>
        </w:tc>
        <w:tc>
          <w:tcPr>
            <w:tcW w:w="3312" w:type="dxa"/>
            <w:shd w:val="clear" w:color="auto" w:fill="D9EAF7"/>
            <w:vAlign w:val="center"/>
          </w:tcPr>
          <w:p w:rsidR="00A75F64" w14:paraId="6CE76871" w14:textId="77777777">
            <w:pPr>
              <w:bidi/>
              <w:spacing w:after="120" w:line="324" w:lineRule="auto"/>
              <w:jc w:val="center"/>
            </w:pPr>
            <w:r>
              <w:rPr>
                <w:rFonts w:cs="Arial"/>
                <w:b/>
                <w:bCs/>
                <w:sz w:val="19"/>
                <w:szCs w:val="19"/>
                <w:rtl/>
              </w:rPr>
              <w:t>البعد</w:t>
            </w:r>
          </w:p>
        </w:tc>
      </w:tr>
      <w:tr w14:paraId="12B0C260" w14:textId="77777777">
        <w:tblPrEx>
          <w:tblW w:w="0" w:type="auto"/>
          <w:tblLook w:val="04A0"/>
        </w:tblPrEx>
        <w:trPr>
          <w:cantSplit/>
        </w:trPr>
        <w:tc>
          <w:tcPr>
            <w:tcW w:w="3312" w:type="dxa"/>
            <w:vAlign w:val="center"/>
          </w:tcPr>
          <w:p w:rsidR="00A75F64" w14:paraId="57C3AC1D" w14:textId="77777777">
            <w:pPr>
              <w:bidi/>
              <w:spacing w:after="120" w:line="324" w:lineRule="auto"/>
              <w:jc w:val="right"/>
            </w:pPr>
            <w:r>
              <w:rPr>
                <w:rFonts w:cs="Arial"/>
                <w:sz w:val="19"/>
                <w:szCs w:val="19"/>
                <w:rtl/>
              </w:rPr>
              <w:t>السجلات الإلكترونية، التكامل، السحابة</w:t>
            </w:r>
          </w:p>
        </w:tc>
        <w:tc>
          <w:tcPr>
            <w:tcW w:w="3312" w:type="dxa"/>
            <w:vAlign w:val="center"/>
          </w:tcPr>
          <w:p w:rsidR="00A75F64" w14:paraId="08AECB13" w14:textId="77777777">
            <w:pPr>
              <w:bidi/>
              <w:spacing w:after="120" w:line="324" w:lineRule="auto"/>
              <w:jc w:val="right"/>
            </w:pPr>
            <w:r>
              <w:rPr>
                <w:rFonts w:cs="Arial"/>
                <w:sz w:val="19"/>
                <w:szCs w:val="19"/>
                <w:rtl/>
              </w:rPr>
              <w:t>يدعم البنية الرقمية</w:t>
            </w:r>
          </w:p>
        </w:tc>
        <w:tc>
          <w:tcPr>
            <w:tcW w:w="3312" w:type="dxa"/>
            <w:vAlign w:val="center"/>
          </w:tcPr>
          <w:p w:rsidR="00A75F64" w14:paraId="34B15904" w14:textId="77777777">
            <w:pPr>
              <w:bidi/>
              <w:spacing w:after="120" w:line="324" w:lineRule="auto"/>
              <w:jc w:val="right"/>
            </w:pPr>
            <w:r>
              <w:rPr>
                <w:rFonts w:cs="Arial"/>
                <w:sz w:val="19"/>
                <w:szCs w:val="19"/>
                <w:rtl/>
              </w:rPr>
              <w:t>تقني</w:t>
            </w:r>
          </w:p>
        </w:tc>
      </w:tr>
      <w:tr w14:paraId="2E7B8AC7" w14:textId="77777777">
        <w:tblPrEx>
          <w:tblW w:w="0" w:type="auto"/>
          <w:tblLook w:val="04A0"/>
        </w:tblPrEx>
        <w:trPr>
          <w:cantSplit/>
        </w:trPr>
        <w:tc>
          <w:tcPr>
            <w:tcW w:w="3312" w:type="dxa"/>
            <w:vAlign w:val="center"/>
          </w:tcPr>
          <w:p w:rsidR="00A75F64" w14:paraId="221DA123" w14:textId="77777777">
            <w:pPr>
              <w:bidi/>
              <w:spacing w:after="120" w:line="324" w:lineRule="auto"/>
              <w:jc w:val="right"/>
            </w:pPr>
            <w:r>
              <w:rPr>
                <w:rFonts w:cs="Arial"/>
                <w:sz w:val="19"/>
                <w:szCs w:val="19"/>
                <w:rtl/>
              </w:rPr>
              <w:t>السياسات، الصلاحيات، إدارة التغيير</w:t>
            </w:r>
          </w:p>
        </w:tc>
        <w:tc>
          <w:tcPr>
            <w:tcW w:w="3312" w:type="dxa"/>
            <w:vAlign w:val="center"/>
          </w:tcPr>
          <w:p w:rsidR="00A75F64" w14:paraId="65BB8165" w14:textId="77777777">
            <w:pPr>
              <w:bidi/>
              <w:spacing w:after="120" w:line="324" w:lineRule="auto"/>
              <w:jc w:val="right"/>
            </w:pPr>
            <w:r>
              <w:rPr>
                <w:rFonts w:cs="Arial"/>
                <w:sz w:val="19"/>
                <w:szCs w:val="19"/>
                <w:rtl/>
              </w:rPr>
              <w:t>ينظم الاستخدام والحوكمة</w:t>
            </w:r>
          </w:p>
        </w:tc>
        <w:tc>
          <w:tcPr>
            <w:tcW w:w="3312" w:type="dxa"/>
            <w:vAlign w:val="center"/>
          </w:tcPr>
          <w:p w:rsidR="00A75F64" w14:paraId="655FFD0B" w14:textId="77777777">
            <w:pPr>
              <w:bidi/>
              <w:spacing w:after="120" w:line="324" w:lineRule="auto"/>
              <w:jc w:val="right"/>
            </w:pPr>
            <w:r>
              <w:rPr>
                <w:rFonts w:cs="Arial"/>
                <w:sz w:val="19"/>
                <w:szCs w:val="19"/>
                <w:rtl/>
              </w:rPr>
              <w:t>تنظيمي</w:t>
            </w:r>
          </w:p>
        </w:tc>
      </w:tr>
      <w:tr w14:paraId="0AA019A4" w14:textId="77777777">
        <w:tblPrEx>
          <w:tblW w:w="0" w:type="auto"/>
          <w:tblLook w:val="04A0"/>
        </w:tblPrEx>
        <w:trPr>
          <w:cantSplit/>
        </w:trPr>
        <w:tc>
          <w:tcPr>
            <w:tcW w:w="3312" w:type="dxa"/>
            <w:vAlign w:val="center"/>
          </w:tcPr>
          <w:p w:rsidR="00A75F64" w14:paraId="5487D0D4" w14:textId="77777777">
            <w:pPr>
              <w:bidi/>
              <w:spacing w:after="120" w:line="324" w:lineRule="auto"/>
              <w:jc w:val="right"/>
            </w:pPr>
            <w:r>
              <w:rPr>
                <w:rFonts w:cs="Arial"/>
                <w:sz w:val="19"/>
                <w:szCs w:val="19"/>
                <w:rtl/>
              </w:rPr>
              <w:t>التدريب، مقاومة التغيير، المهارات</w:t>
            </w:r>
          </w:p>
        </w:tc>
        <w:tc>
          <w:tcPr>
            <w:tcW w:w="3312" w:type="dxa"/>
            <w:vAlign w:val="center"/>
          </w:tcPr>
          <w:p w:rsidR="00A75F64" w14:paraId="79633B5D" w14:textId="77777777">
            <w:pPr>
              <w:bidi/>
              <w:spacing w:after="120" w:line="324" w:lineRule="auto"/>
              <w:jc w:val="right"/>
            </w:pPr>
            <w:r>
              <w:rPr>
                <w:rFonts w:cs="Arial"/>
                <w:sz w:val="19"/>
                <w:szCs w:val="19"/>
                <w:rtl/>
              </w:rPr>
              <w:t>يرتبط بالقبول والكفاءة</w:t>
            </w:r>
          </w:p>
        </w:tc>
        <w:tc>
          <w:tcPr>
            <w:tcW w:w="3312" w:type="dxa"/>
            <w:vAlign w:val="center"/>
          </w:tcPr>
          <w:p w:rsidR="00A75F64" w14:paraId="6EE963A1" w14:textId="77777777">
            <w:pPr>
              <w:bidi/>
              <w:spacing w:after="120" w:line="324" w:lineRule="auto"/>
              <w:jc w:val="right"/>
            </w:pPr>
            <w:r>
              <w:rPr>
                <w:rFonts w:cs="Arial"/>
                <w:sz w:val="19"/>
                <w:szCs w:val="19"/>
                <w:rtl/>
              </w:rPr>
              <w:t>بشري</w:t>
            </w:r>
          </w:p>
        </w:tc>
      </w:tr>
      <w:tr w14:paraId="4CD20CFF" w14:textId="77777777">
        <w:tblPrEx>
          <w:tblW w:w="0" w:type="auto"/>
          <w:tblLook w:val="04A0"/>
        </w:tblPrEx>
        <w:trPr>
          <w:cantSplit/>
        </w:trPr>
        <w:tc>
          <w:tcPr>
            <w:tcW w:w="3312" w:type="dxa"/>
            <w:vAlign w:val="center"/>
          </w:tcPr>
          <w:p w:rsidR="00A75F64" w14:paraId="3B046FB0" w14:textId="77777777">
            <w:pPr>
              <w:bidi/>
              <w:spacing w:after="120" w:line="324" w:lineRule="auto"/>
              <w:jc w:val="right"/>
            </w:pPr>
            <w:r>
              <w:rPr>
                <w:rFonts w:cs="Arial"/>
                <w:sz w:val="19"/>
                <w:szCs w:val="19"/>
                <w:rtl/>
              </w:rPr>
              <w:t>التكلفة، الإيرادات، استخدام الموارد</w:t>
            </w:r>
          </w:p>
        </w:tc>
        <w:tc>
          <w:tcPr>
            <w:tcW w:w="3312" w:type="dxa"/>
            <w:vAlign w:val="center"/>
          </w:tcPr>
          <w:p w:rsidR="00A75F64" w14:paraId="343D74E0" w14:textId="77777777">
            <w:pPr>
              <w:bidi/>
              <w:spacing w:after="120" w:line="324" w:lineRule="auto"/>
              <w:jc w:val="right"/>
            </w:pPr>
            <w:r>
              <w:rPr>
                <w:rFonts w:cs="Arial"/>
                <w:sz w:val="19"/>
                <w:szCs w:val="19"/>
                <w:rtl/>
              </w:rPr>
              <w:t>يقيس أثر الكفاءة</w:t>
            </w:r>
          </w:p>
        </w:tc>
        <w:tc>
          <w:tcPr>
            <w:tcW w:w="3312" w:type="dxa"/>
            <w:vAlign w:val="center"/>
          </w:tcPr>
          <w:p w:rsidR="00A75F64" w14:paraId="34B98939" w14:textId="77777777">
            <w:pPr>
              <w:bidi/>
              <w:spacing w:after="120" w:line="324" w:lineRule="auto"/>
              <w:jc w:val="right"/>
            </w:pPr>
            <w:r>
              <w:rPr>
                <w:rFonts w:cs="Arial"/>
                <w:sz w:val="19"/>
                <w:szCs w:val="19"/>
                <w:rtl/>
              </w:rPr>
              <w:t>مالي</w:t>
            </w:r>
          </w:p>
        </w:tc>
      </w:tr>
    </w:tbl>
    <w:p w:rsidR="00A75F64" w14:paraId="314982CE" w14:textId="77777777">
      <w:pPr>
        <w:bidi/>
        <w:spacing w:after="120" w:line="360" w:lineRule="auto"/>
        <w:ind w:firstLine="360"/>
      </w:pPr>
      <w:r>
        <w:rPr>
          <w:rFonts w:cs="Arial"/>
          <w:rtl/>
        </w:rPr>
        <w:t>يوضح الجدول أن النضج الرقمي لا يُقاس بالبنية التقنية وحدها؛ إذ تتفاعل الجوانب التنظيمية والبشرية والمالية مع التقنية. وتدعم الأدبيات هذا المنظور من خلال التركيز على الاستراتيجية والقيادة وبناء القدرات وإدارة التغيير (Hess et al., 2016; Westerman et al., 2014).</w:t>
      </w:r>
    </w:p>
    <w:p w:rsidR="00A75F64" w14:paraId="6C2BEF73" w14:textId="77777777">
      <w:pPr>
        <w:pStyle w:val="Heading2"/>
        <w:bidi/>
        <w:spacing w:after="100" w:line="324" w:lineRule="auto"/>
      </w:pPr>
      <w:bookmarkStart w:id="18" w:name="_Toc235127406"/>
      <w:r>
        <w:rPr>
          <w:rFonts w:ascii="Arial" w:eastAsia="Arial" w:hAnsi="Arial" w:cs="Arial"/>
          <w:sz w:val="24"/>
          <w:szCs w:val="24"/>
          <w:rtl/>
        </w:rPr>
        <w:t>2.4 السجلات الطبية الإلكترونية وتكامل الأنظمة</w:t>
      </w:r>
      <w:bookmarkEnd w:id="18"/>
    </w:p>
    <w:p w:rsidR="00A75F64" w14:paraId="6C8E0E14" w14:textId="77777777">
      <w:pPr>
        <w:bidi/>
        <w:spacing w:after="120" w:line="360" w:lineRule="auto"/>
        <w:ind w:firstLine="360"/>
      </w:pPr>
      <w:r>
        <w:rPr>
          <w:rFonts w:cs="Arial"/>
          <w:rtl/>
        </w:rPr>
        <w:t xml:space="preserve">تمثل السجلات الطبية الإلكترونية قاعدة أساسية لتدفق المعلومات السريرية، لكنها تحقق قيمة أكبر عندما تكون متكاملة مع المختبر والأشعة والصيدلية والمواعيد والفوترة والتأمين. ويؤدي ضعف التشغيل البيني إلى تكرار الإدخال، وتأخر الوصول إلى المعلومات، </w:t>
      </w:r>
      <w:r>
        <w:rPr>
          <w:rFonts w:cs="Arial"/>
          <w:rtl/>
        </w:rPr>
        <w:t>وصعوبة بناء مؤشرات موحدة. لذلك يُعد التكامل وجودة البيانات من القدرات الأساسية للتحول وليس مجرد خصائص تقنية إضافية (Kruse et al., 2018; World Health Organization, 2021).</w:t>
      </w:r>
    </w:p>
    <w:p w:rsidR="00A75F64" w14:paraId="20BF067C" w14:textId="77777777">
      <w:pPr>
        <w:pStyle w:val="Heading2"/>
        <w:bidi/>
        <w:spacing w:after="100" w:line="324" w:lineRule="auto"/>
      </w:pPr>
      <w:bookmarkStart w:id="19" w:name="_Toc235127407"/>
      <w:r>
        <w:rPr>
          <w:rFonts w:ascii="Arial" w:eastAsia="Arial" w:hAnsi="Arial" w:cs="Arial"/>
          <w:sz w:val="24"/>
          <w:szCs w:val="24"/>
          <w:rtl/>
        </w:rPr>
        <w:t>2.5 التحول الرقمي والأداء التشغيلي</w:t>
      </w:r>
      <w:bookmarkEnd w:id="19"/>
    </w:p>
    <w:p w:rsidR="00A75F64" w14:paraId="5B688834" w14:textId="77777777">
      <w:pPr>
        <w:bidi/>
        <w:spacing w:after="120" w:line="360" w:lineRule="auto"/>
        <w:ind w:firstLine="360"/>
      </w:pPr>
      <w:r>
        <w:rPr>
          <w:rFonts w:cs="Arial"/>
          <w:rtl/>
        </w:rPr>
        <w:t>يمكن للتحول الرقمي دعم الأداء التشغيلي من خلال أتمتة المهام المتكررة، وتقليل الإدخال اليدوي، وتحسين انتقال المعلومات، وتسريع الإجراءات، وتوفير مؤشرات لحظية. إلا أن التأثير يعتمد على جودة تصميم سير العمل وتبني المستخدمين ومدى إزالة الخطوات غير الضرورية؛ فرقمَنة إجراء غير فعّال قد تنقل التعقيد إلى بيئة إلكترونية بدل معالجته (Agarwal et al., 2010; Vial, 2019).</w:t>
      </w:r>
    </w:p>
    <w:p w:rsidR="00A75F64" w14:paraId="543E25D4" w14:textId="77777777">
      <w:pPr>
        <w:pStyle w:val="Heading2"/>
        <w:bidi/>
        <w:spacing w:after="100" w:line="324" w:lineRule="auto"/>
      </w:pPr>
      <w:bookmarkStart w:id="20" w:name="_Toc235127408"/>
      <w:r>
        <w:rPr>
          <w:rFonts w:ascii="Arial" w:eastAsia="Arial" w:hAnsi="Arial" w:cs="Arial"/>
          <w:sz w:val="24"/>
          <w:szCs w:val="24"/>
          <w:rtl/>
        </w:rPr>
        <w:t>2.6 التحول الرقمي والأداء المالي</w:t>
      </w:r>
      <w:bookmarkEnd w:id="20"/>
    </w:p>
    <w:p w:rsidR="00A75F64" w14:paraId="6F3E2847" w14:textId="77777777">
      <w:pPr>
        <w:bidi/>
        <w:spacing w:after="120" w:line="360" w:lineRule="auto"/>
        <w:ind w:firstLine="360"/>
      </w:pPr>
      <w:r>
        <w:rPr>
          <w:rFonts w:cs="Arial"/>
          <w:rtl/>
        </w:rPr>
        <w:t>يرتبط الأثر المالي بمسارات متعددة، منها تحسين دقة الفوترة، وتقليل رفض المطالبات، وتسريع التحصيل، وتحسين إدارة المخزون والموارد، وتقليل الهدر. ويوضح OECD (2020) أن استخدام البيانات بصورة أفضل يمكن أن يدعم نظمًا صحية أقوى وأكثر كفاءة، إلا أن قياس العائد يحتاج إلى مؤشرات أساسية ومقارنات زمنية تراعي العوامل التشغيلية والسوقية الأخرى.</w:t>
      </w:r>
    </w:p>
    <w:p w:rsidR="00A75F64" w14:paraId="3E9C2C12" w14:textId="77777777">
      <w:pPr>
        <w:pStyle w:val="Heading2"/>
        <w:bidi/>
        <w:spacing w:after="100" w:line="324" w:lineRule="auto"/>
      </w:pPr>
      <w:bookmarkStart w:id="21" w:name="_Toc235127409"/>
      <w:r>
        <w:rPr>
          <w:rFonts w:ascii="Arial" w:eastAsia="Arial" w:hAnsi="Arial" w:cs="Arial"/>
          <w:sz w:val="24"/>
          <w:szCs w:val="24"/>
          <w:rtl/>
        </w:rPr>
        <w:t>2.7 جودة الخدمات وتجربة المريض</w:t>
      </w:r>
      <w:bookmarkEnd w:id="21"/>
    </w:p>
    <w:p w:rsidR="00A75F64" w14:paraId="0853872F" w14:textId="77777777">
      <w:pPr>
        <w:bidi/>
        <w:spacing w:after="120" w:line="360" w:lineRule="auto"/>
        <w:ind w:firstLine="360"/>
      </w:pPr>
      <w:r>
        <w:rPr>
          <w:rFonts w:cs="Arial"/>
          <w:rtl/>
        </w:rPr>
        <w:t>تتيح القنوات الرقمية للمريض الوصول إلى الحجز والدفع والنتائج والتواصل، ويمكن أن تقلل الجهد والزمن وتحسن الشفافية. غير أن جودة التجربة تتأثر بسهولة الاستخدام، وتوافر الخدمة، ودقة المعلومات، وقدرة القنوات الرقمية على التكامل مع الخدمة الحضورية. ولذلك يجب ألا تُقاس القيمة بعدد المستخدمين فقط، بل أيضًا بالرضا وإكمال الرحلة وتقليل الشكاوى والتأخير (World Health Organization, 2021).</w:t>
      </w:r>
    </w:p>
    <w:p w:rsidR="00A75F64" w14:paraId="0775C4FC" w14:textId="77777777">
      <w:pPr>
        <w:pStyle w:val="Heading2"/>
        <w:bidi/>
        <w:spacing w:after="100" w:line="324" w:lineRule="auto"/>
      </w:pPr>
      <w:bookmarkStart w:id="22" w:name="_Toc235127410"/>
      <w:r>
        <w:rPr>
          <w:rFonts w:ascii="Arial" w:eastAsia="Arial" w:hAnsi="Arial" w:cs="Arial"/>
          <w:sz w:val="24"/>
          <w:szCs w:val="24"/>
          <w:rtl/>
        </w:rPr>
        <w:t>2.8 ذكاء الأعمال واتخاذ القرار</w:t>
      </w:r>
      <w:bookmarkEnd w:id="22"/>
    </w:p>
    <w:p w:rsidR="00A75F64" w14:paraId="4C129FC8" w14:textId="77777777">
      <w:pPr>
        <w:bidi/>
        <w:spacing w:after="120" w:line="360" w:lineRule="auto"/>
        <w:ind w:firstLine="360"/>
      </w:pPr>
      <w:r>
        <w:rPr>
          <w:rFonts w:cs="Arial"/>
          <w:rtl/>
        </w:rPr>
        <w:t>تدعم لوحات ذكاء الأعمال الانتقال من التقارير المتأخرة إلى المتابعة المستمرة، وتساعد الإدارة على مقارنة الفروع وتحليل الاتجاهات واكتشاف الانحرافات. ويؤكد Davenport and Ronanki (2018) أهمية البدء بحالات استخدام محددة وقابلة للقياس عند توظيف التحليلات والذكاء الاصطناعي، بدل البدء بمشروعات واسعة دون قيمة تشغيلية واضحة.</w:t>
      </w:r>
    </w:p>
    <w:p w:rsidR="00A75F64" w14:paraId="0188AA41" w14:textId="77777777">
      <w:pPr>
        <w:pStyle w:val="Heading2"/>
        <w:bidi/>
        <w:spacing w:after="100" w:line="324" w:lineRule="auto"/>
      </w:pPr>
      <w:bookmarkStart w:id="23" w:name="_Toc235127411"/>
      <w:r>
        <w:rPr>
          <w:rFonts w:ascii="Arial" w:eastAsia="Arial" w:hAnsi="Arial" w:cs="Arial"/>
          <w:sz w:val="24"/>
          <w:szCs w:val="24"/>
          <w:rtl/>
        </w:rPr>
        <w:t>2.9 حوكمة البيانات والأمن السيبراني</w:t>
      </w:r>
      <w:bookmarkEnd w:id="23"/>
    </w:p>
    <w:p w:rsidR="00A75F64" w14:paraId="72F836FC" w14:textId="77777777">
      <w:pPr>
        <w:bidi/>
        <w:spacing w:after="120" w:line="360" w:lineRule="auto"/>
        <w:ind w:firstLine="360"/>
      </w:pPr>
      <w:r>
        <w:rPr>
          <w:rFonts w:cs="Arial"/>
          <w:rtl/>
        </w:rPr>
        <w:t>تعتمد القرارات الرقمية على جودة البيانات واتساق تعريفاتها وصلاحيات الوصول إليها. وتشمل الحوكمة تحديد الملكية، ومعايير الجودة، وفترات الاحتفاظ، والتصنيف، والخصوصية، وإدارة المخاطر. وفي القطاع الصحي يجب موازنة إتاحة البيانات اللازمة للرعاية والإدارة مع حماية السرية وضمان استمرارية الخدمات (الهيئة السعودية للبيانات والذكاء الاصطناعي، 2020؛ OECD, 2020).</w:t>
      </w:r>
    </w:p>
    <w:p w:rsidR="00A75F64" w14:paraId="3762444E" w14:textId="77777777">
      <w:pPr>
        <w:pStyle w:val="Heading2"/>
        <w:bidi/>
        <w:spacing w:after="100" w:line="324" w:lineRule="auto"/>
      </w:pPr>
      <w:bookmarkStart w:id="24" w:name="_Toc235127412"/>
      <w:r>
        <w:rPr>
          <w:rFonts w:ascii="Arial" w:eastAsia="Arial" w:hAnsi="Arial" w:cs="Arial"/>
          <w:sz w:val="24"/>
          <w:szCs w:val="24"/>
          <w:rtl/>
        </w:rPr>
        <w:t>2.10 تحديات التطبيق</w:t>
      </w:r>
      <w:bookmarkEnd w:id="24"/>
    </w:p>
    <w:p w:rsidR="00A75F64" w14:paraId="4FE332C9" w14:textId="77777777">
      <w:pPr>
        <w:bidi/>
        <w:spacing w:after="120" w:line="360" w:lineRule="auto"/>
        <w:ind w:firstLine="360"/>
      </w:pPr>
      <w:r>
        <w:rPr>
          <w:rFonts w:cs="Arial"/>
          <w:rtl/>
        </w:rPr>
        <w:t>يمكن تصنيف التحديات إلى تقنية، مثل ضعف البنية أو التكامل؛ وتنظيمية، مثل غياب الحوكمة أو تضارب الأولويات؛ وبشرية، مثل مقاومة التغيير ونقص المهارات. ويؤثر كل نوع في الآخر؛ فقد يؤدي ضعف التدريب إلى سوء استخدام النظام، ثم يُفسر ذلك بوصفه مشكلة تقنية، بينما يكون السبب الحقيقي تنظيميًا أو بشريًا (Kraus et al., 2021; Warner &amp; Wäger, 2019).</w:t>
      </w:r>
    </w:p>
    <w:p w:rsidR="00A75F64" w14:paraId="5A2029AD" w14:textId="77777777">
      <w:pPr>
        <w:pStyle w:val="Heading2"/>
        <w:bidi/>
        <w:spacing w:after="100" w:line="324" w:lineRule="auto"/>
      </w:pPr>
      <w:bookmarkStart w:id="25" w:name="_Toc235127413"/>
      <w:r>
        <w:rPr>
          <w:rFonts w:ascii="Arial" w:hAnsi="Arial" w:cs="Arial"/>
          <w:rtl/>
        </w:rPr>
        <w:t>2.11 الدراسات السابقة وتحليلها النقدي</w:t>
      </w:r>
      <w:bookmarkEnd w:id="25"/>
    </w:p>
    <w:p w:rsidR="00A75F64" w14:paraId="1EEBB7D4" w14:textId="77777777">
      <w:pPr>
        <w:bidi/>
        <w:spacing w:after="120" w:line="360" w:lineRule="auto"/>
        <w:ind w:firstLine="360"/>
      </w:pPr>
      <w:r>
        <w:rPr>
          <w:rFonts w:cs="Arial"/>
          <w:rtl/>
        </w:rPr>
        <w:t>قدمت الأدبيات العامة أطرًا شاملة لفهم التحول الرقمي (Vial, 2019; Verhoef et al., 2021)، كما تناولت دراسات القطاع الصحي حالة البحث واتجاهاته (Kraus et al., 2021). ومع ذلك تظل الحاجة قائمة إلى دراسات تطبيقية في السياق السعودي تربط بين مستوى التحول وعدة مخرجات للأداء، وتجمع بين تصورات العاملين والأدلة المؤسسية التطبيقية.</w:t>
      </w:r>
    </w:p>
    <w:p w:rsidR="00A75F64" w14:paraId="53F7FBA8" w14:textId="77777777">
      <w:pPr>
        <w:pStyle w:val="Heading2"/>
        <w:bidi/>
        <w:spacing w:after="100"/>
      </w:pPr>
      <w:bookmarkStart w:id="26" w:name="_Toc235127414"/>
      <w:r>
        <w:rPr>
          <w:rFonts w:ascii="Arial" w:hAnsi="Arial" w:cs="Arial"/>
          <w:rtl/>
        </w:rPr>
        <w:t>2.12 الفجوة البحثية وما يميز الدراسة الحالية</w:t>
      </w:r>
      <w:bookmarkEnd w:id="26"/>
    </w:p>
    <w:p w:rsidR="00A75F64" w14:paraId="6B7E4C59" w14:textId="77777777">
      <w:pPr>
        <w:bidi/>
        <w:spacing w:after="120" w:line="360" w:lineRule="auto"/>
        <w:ind w:firstLine="360"/>
      </w:pPr>
      <w:r>
        <w:rPr>
          <w:rFonts w:cs="Arial"/>
          <w:rtl/>
        </w:rPr>
        <w:t>تتمثل الفجوة التي تعالجها الدراسة في قياس العلاقات بين التحول الرقمي والأداء التشغيلي والمالي وجودة الخدمات في إطار موحد، مع تحليل التحديات، ثم استخدام دراسة حالة تنظيمية لتفسير الكيفية التي قد تتحول بها المبادرات الرقمية إلى نتائج عملية. ولا تُستخدم الحالة لإثبات السببية، بل لتقديم سياق تطبيقي يعزز الفهم.</w:t>
      </w:r>
    </w:p>
    <w:p w:rsidR="00A75F64" w14:paraId="6743D6E2" w14:textId="77777777">
      <w:pPr>
        <w:pStyle w:val="Heading2"/>
        <w:bidi/>
        <w:spacing w:after="100" w:line="324" w:lineRule="auto"/>
      </w:pPr>
      <w:bookmarkStart w:id="27" w:name="_Toc235127415"/>
      <w:r>
        <w:rPr>
          <w:rFonts w:ascii="Arial" w:hAnsi="Arial" w:cs="Arial"/>
          <w:rtl/>
        </w:rPr>
        <w:t>2.13 تطوير الفروض</w:t>
      </w:r>
      <w:bookmarkEnd w:id="27"/>
    </w:p>
    <w:p w:rsidR="00A75F64" w14:paraId="30979350" w14:textId="77777777">
      <w:pPr>
        <w:bidi/>
        <w:spacing w:after="120" w:line="360" w:lineRule="auto"/>
        <w:ind w:firstLine="360"/>
      </w:pPr>
      <w:r>
        <w:rPr>
          <w:rFonts w:cs="Arial"/>
          <w:rtl/>
        </w:rPr>
        <w:t>بناءً على الأدبيات، يُتوقع أن يرتبط ارتفاع مستوى التحول الرقمي بتحسن الكفاءة التشغيلية، وأن يظهر ارتباط إيجابي بالأداء المالي وجودة الخدمات. كما يُتوقع أن ترتبط التحديات بمستوى أقل من التطبيق. وقد جرى تحويل هذه التوقعات إلى الفروض الأربعة الواردة في الفصل الأول واختبارها باستخدام بيانات الاستبانة.</w:t>
      </w:r>
    </w:p>
    <w:p w:rsidR="00A75F64" w14:paraId="41FB3D87" w14:textId="77777777">
      <w:pPr>
        <w:pStyle w:val="Heading2"/>
        <w:bidi/>
      </w:pPr>
      <w:bookmarkStart w:id="28" w:name="_Toc235127416"/>
      <w:r>
        <w:rPr>
          <w:rtl/>
        </w:rPr>
        <w:t>2.14 التحول الرقمي بوصفه تحولاً تنظيمياً لا مشروعاً تقنياً</w:t>
      </w:r>
      <w:bookmarkEnd w:id="28"/>
    </w:p>
    <w:p w:rsidR="00A75F64" w14:paraId="5E74393C" w14:textId="77777777">
      <w:pPr>
        <w:bidi/>
        <w:spacing w:after="120" w:line="360" w:lineRule="auto"/>
      </w:pPr>
      <w:r>
        <w:rPr>
          <w:rtl/>
        </w:rPr>
        <w:t>تؤكد الأدبيات الحديثة أن التحول الرقمي لا يساوي رقمنة النماذج أو استبدال الورق بشاشات إلكترونية، بل يمثل إعادة ترتيب للعلاقة بين الاستراتيجية والعمليات والبيانات والقدرات البشرية. ويعرّف Vial (2019) التحول الرقمي بوصفه عملية تستهدف إحداث تغيرات جوهرية في خصائص المنظمة من خلال استخدام تقنيات المعلومات والحوسبة والاتصال والربط. ويعني ذلك أن القيمة لا تنتج من التقنية بذاتها، وإنما من قدرة المؤسسة على إعادة تصميم مسارات العمل، وتوزيع المسؤوليات، وقياس النتائج، وتعلم الأنماط الجديدة بصورة مستمرة.</w:t>
      </w:r>
    </w:p>
    <w:p w:rsidR="00A75F64" w14:paraId="2BC4A0CB" w14:textId="77777777">
      <w:pPr>
        <w:bidi/>
        <w:spacing w:after="120" w:line="360" w:lineRule="auto"/>
      </w:pPr>
      <w:r>
        <w:rPr>
          <w:rtl/>
        </w:rPr>
        <w:t>يضيف Verhoef et al. (2021) أن التحول الرقمي ظاهرة متعددة المستويات تشمل التحول في العمليات، وتجربة المستفيد، ونموذج العمل، والهيكل التنظيمي. وفي القطاع الصحي تزداد هذه الطبيعة تعقيداً لأن أي تغيير رقمي يتقاطع مع السلامة السريرية، وسرية البيانات، واستمرارية الخدمة، والتنسيق بين المهن الطبية والإدارية. لذلك فإن تقييم التحول يجب أن يتجاوز عدد الأنظمة المنفذة إلى مؤشرات الاستخدام الفعلي، وجودة التكامل، وسرعة القرار، وأثر التقنية في النتائج التشغيلية والمالية.</w:t>
      </w:r>
    </w:p>
    <w:p w:rsidR="00A75F64" w14:paraId="31595819" w14:textId="77777777">
      <w:pPr>
        <w:bidi/>
        <w:spacing w:after="120" w:line="360" w:lineRule="auto"/>
      </w:pPr>
      <w:r>
        <w:rPr>
          <w:rtl/>
        </w:rPr>
        <w:t>ترى دراسة Kraus et al. (2021) أن البحث في التحول الرقمي الصحي يجمع بين مناظير الإدارة والابتكار ونظم المعلومات والرعاية الصحية. ويكشف هذا التداخل أن مبادرات التحول لا تنجح من خلال إدارة تقنية منعزلة، بل تحتاج إلى رعاية تنفيذية، وملكية واضحة للعمليات، وتعاون بين المستخدمين السريريين والماليين والتقنيين. وعليه، تتبنى الدراسة الحالية منظوراً مؤسسياً يربط بين مستوى تطبيق التحول الرقمي وبين الأداء التشغيلي والمالي وجودة الخدمات، مع قياس التحديات التي قد تخفض العائد المتوقع.</w:t>
      </w:r>
    </w:p>
    <w:p w:rsidR="00A75F64" w14:paraId="4B959471" w14:textId="77777777">
      <w:pPr>
        <w:bidi/>
        <w:spacing w:after="120" w:line="360" w:lineRule="auto"/>
      </w:pPr>
      <w:r>
        <w:rPr>
          <w:rtl/>
        </w:rPr>
        <w:t>يميز Matt et al. (2015) بين الاستراتيجية الرقمية الجزئية واستراتيجية التحول الرقمي الشاملة. فالاستراتيجية الشاملة تحدد التقنيات المستهدفة، وتغيرات خلق القيمة، والتحولات الهيكلية، والجوانب المالية المرتبطة بالتنفيذ. وتظهر أهمية هذا المنظور في المستشفيات متعددة الفروع، حيث يمكن أن يؤدي تنفيذ حلول منفصلة دون معمارية تكامل إلى ازدواج البيانات، وتفاوت الإجراءات بين المواقع، وصعوبة مقارنة مؤشرات الأداء. ومن ثم ينبغي النظر إلى التكامل المؤسسي والحوكمة باعتبارهما شرطين لتحقيق قيمة قابلة للقياس.</w:t>
      </w:r>
    </w:p>
    <w:p w:rsidR="00A75F64" w14:paraId="446C9954" w14:textId="77777777">
      <w:pPr>
        <w:bidi/>
        <w:spacing w:after="120" w:line="360" w:lineRule="auto"/>
      </w:pPr>
      <w:r>
        <w:rPr>
          <w:rtl/>
        </w:rPr>
        <w:t>يوضح Warner and Wäger (2019) أن التحول الرقمي يتطلب قدرات ديناميكية تمكّن المنظمة من استشعار الفرص، واقتناصها، وإعادة تشكيل الموارد والعمليات. في البيئة الصحية، يمكن ترجمة هذه القدرات إلى قدرة المؤسسة على تحديد نقاط التعثر في رحلة المريض، واختيار الحل الرقمي المناسب، وإعادة توزيع الأدوار، ثم مراجعة النتائج والتعلم منها. ويعني ذلك أن التحول ليس مشروعاً ذا نهاية ثابتة، بل برنامج تحسين متدرج يتطور وفق البيانات وردود المستخدمين والمتطلبات التنظيمية.</w:t>
      </w:r>
    </w:p>
    <w:p w:rsidR="00A75F64" w14:paraId="15430309" w14:textId="77777777">
      <w:pPr>
        <w:bidi/>
        <w:spacing w:after="120" w:line="360" w:lineRule="auto"/>
      </w:pPr>
      <w:r>
        <w:rPr>
          <w:rtl/>
        </w:rPr>
        <w:t>تنسجم هذه الرؤية مع ما طرحه Westerman et al. (2014) بشأن الجمع بين القدرة الرقمية والقدرة القيادية. فالمنظمات التي تستثمر في التقنية دون حوكمة ورؤية وتنفيذ منضبط قد لا تحقق العائد المتوقع، بينما تستطيع المؤسسات التي تربط المبادرات الرقمية بأهداف تشغيلية محددة أن تحول التقنية إلى قيمة. وتستخدم الدراسة الحالية هذا المنطق عند تفسير الفروق بين ارتفاع المتوسط المدرك للتحول الرقمي وبين المستوى الأقل نسبياً للأداء المالي، إذ قد تسبق التغييرات التقنية ظهور الأثر المالي الكامل.</w:t>
      </w:r>
    </w:p>
    <w:p w:rsidR="00A75F64" w14:paraId="46D829BD" w14:textId="77777777">
      <w:pPr>
        <w:bidi/>
        <w:spacing w:after="120" w:line="360" w:lineRule="auto"/>
      </w:pPr>
      <w:r>
        <w:rPr>
          <w:rtl/>
        </w:rPr>
        <w:t>يقدم Hess et al. (2016) إطاراً عملياً لصياغة استراتيجية التحول الرقمي يتناول استخدام التقنيات، والتغير في خلق القيمة، والتغير الهيكلي، والجوانب المالية. ويساعد هذا الإطار في تفسير سبب اختلاف نتائج المبادرات بين المؤسسات الصحية: فالمؤسسة قد تمتلك نظاماً متقدماً، لكنها لا تحقق قيمة إذا لم تتغير العمليات أو لم يتبن المستخدمون النظام أو لم تتوافر مؤشرات تقيس الأثر. ولذلك تقيس الاستبانة الحالية عناصر تتصل باستخدام الأنظمة، والتكامل، ودعم الإدارة، والتحديث المستمر، واستخدام التقارير في اتخاذ القرار.</w:t>
      </w:r>
    </w:p>
    <w:p w:rsidR="00A75F64" w14:paraId="6DC61DB6" w14:textId="77777777">
      <w:pPr>
        <w:bidi/>
        <w:spacing w:after="120" w:line="360" w:lineRule="auto"/>
      </w:pPr>
      <w:r>
        <w:rPr>
          <w:rtl/>
        </w:rPr>
        <w:t>تُعد البيانات محوراً مركزياً في التحول الصحي؛ فالتقنيات السريرية والمالية لا تنتج قيمة ما لم تكن البيانات دقيقة ومتاحة ومترابطة. ويشير OECD (2020) إلى أن الأنظمة الصحية الأقوى تحتاج إلى تحويل البيانات إلى مورد قابل للاستخدام في تحسين الجودة والكفاءة والحوكمة. ومن هذا المنطلق، تبرز جودة البيانات، وتوحيد التعريفات، وإدارة الصلاحيات، ومتابعة دورة حياة البيانات كعناصر مؤثرة في موثوقية المؤشرات وفي قدرة الإدارة على اتخاذ قرارات قابلة للدفاع.</w:t>
      </w:r>
    </w:p>
    <w:p w:rsidR="00A75F64" w14:paraId="646EB817" w14:textId="77777777">
      <w:pPr>
        <w:bidi/>
        <w:spacing w:after="120" w:line="360" w:lineRule="auto"/>
      </w:pPr>
      <w:r>
        <w:rPr>
          <w:rtl/>
        </w:rPr>
        <w:t>تؤكد الاستراتيجية العالمية للصحة الرقمية أن التحول يجب أن يكون موجهاً نحو تحسين النتائج الصحية، وتعزيز النظم، وتوسيع الوصول، ودعم الاستخدام المسؤول للبيانات (World Health Organization, 2021). ولا يكفي بناء قنوات رقمية دون ضمان سهولة الاستخدام، والإنصاف، والأمن، والاستمرارية. لذلك تفسر الدراسة جودة الخدمات الصحية بوصفها ناتجاً مستقلاً مهماً، وليس مجرد امتداد للأداء التشغيلي، لأن التحسن في السرعة أو الكفاءة قد لا يتحول بالضرورة إلى تجربة أفضل ما لم تُصمم الخدمات حول احتياجات المستفيدين.</w:t>
      </w:r>
    </w:p>
    <w:p w:rsidR="00A75F64" w14:paraId="069936A1" w14:textId="77777777">
      <w:pPr>
        <w:bidi/>
        <w:spacing w:after="120" w:line="360" w:lineRule="auto"/>
      </w:pPr>
      <w:r>
        <w:rPr>
          <w:rtl/>
        </w:rPr>
        <w:t>يبرز الذكاء الاصطناعي وتحليلات البيانات بوصفهما امتداداً للتحول الرقمي، لكن Davenport and Ronanki (2018) يحذران من البدء بمشروعات واسعة غير محددة القيمة. ويقترحان التركيز على حالات استخدام واضحة وقابلة للقياس. وينطبق ذلك في القطاع الصحي على التنبؤ بالطلب، وتحليل دورة الإيرادات، ودعم القرار، واكتشاف الأنماط التشغيلية. وتستفيد دراسة الحالة من هذا المنطق عند تحليل دور لوحات ذكاء الأعمال في تحويل البيانات التشغيلية والمالية إلى مؤشرات متابعة للإدارة.</w:t>
      </w:r>
    </w:p>
    <w:p w:rsidR="00A75F64" w14:paraId="3ED18406" w14:textId="77777777">
      <w:pPr>
        <w:bidi/>
        <w:spacing w:after="120" w:line="360" w:lineRule="auto"/>
      </w:pPr>
      <w:r>
        <w:rPr>
          <w:rtl/>
        </w:rPr>
        <w:t>توضح مساهمة Fichman et al. (2014) أن الابتكار الرقمي يغير طبيعة المنتجات والخدمات والعمليات وليس فقط أدوات العمل. وفي المستشفى، قد يؤدي الربط بين السجل الطبي، والمواعيد، والتأمين، والدفع، والتطبيق المحمول إلى إعادة تشكيل رحلة المريض بالكامل. ومن ثم فإن التكامل بين المكونات أكثر أهمية من تقييم كل نظام بصورة منفصلة، لأن القيمة تظهر في الانتقال السلس للمعلومة وفي تقليل إعادة الإدخال والتأخير والتعارض بين الأقسام.</w:t>
      </w:r>
    </w:p>
    <w:p w:rsidR="00A75F64" w14:paraId="06C2A33D" w14:textId="77777777">
      <w:pPr>
        <w:bidi/>
        <w:spacing w:after="120" w:line="360" w:lineRule="auto"/>
      </w:pPr>
      <w:r>
        <w:rPr>
          <w:rtl/>
        </w:rPr>
        <w:t xml:space="preserve">تدعم السجلات الطبية الإلكترونية جودة الخدمة عندما تحسن إتاحة المعلومات واتساقها وتنسيق الرعاية، لكن مراجعة Kruse et al. (2018) تبين أن الفوائد تعتمد على التطبيق الفعلي وجودة البيانات وقدرة المستخدمين على الاستفادة من المعلومات. لذلك لا تتعامل </w:t>
      </w:r>
      <w:r>
        <w:rPr>
          <w:rtl/>
        </w:rPr>
        <w:t>الدراسة الحالية مع وجود السجل الإلكتروني باعتباره دليلاً كافياً على الجودة، بل تقيس تصورات العاملين بشأن أثره في دقة المعلومات وجودة الرعاية وسلامة المرضى والتواصل بين مقدمي الخدمة.</w:t>
      </w:r>
    </w:p>
    <w:p w:rsidR="00A75F64" w14:paraId="73FD1274" w14:textId="77777777">
      <w:pPr>
        <w:bidi/>
        <w:spacing w:after="120" w:line="360" w:lineRule="auto"/>
      </w:pPr>
      <w:r>
        <w:rPr>
          <w:rtl/>
        </w:rPr>
        <w:t>من منظور اقتصادي، قد يحقق التحول الرقمي وفورات من خلال تقليل العمل اليدوي والأخطاء والتأخير وتحسين استخدام الموارد، لكنه يتطلب أيضاً استثمارات في البنية التحتية والتراخيص والتكامل والتدريب والأمن. ولهذا لا يكون الأثر المالي فورياً أو خطياً. وتفسر الدراسة الحالية الأداء المالي من خلال مجموعة عبارات تشمل التكلفة والهدر ودقة الفوترة ومتابعة الإيرادات وكفاءة الإنفاق والاستدامة، بدلاً من اختزاله في مؤشر مالي واحد قد يتأثر بعوامل سوقية وتشغيلية متعددة (Matt et al., 2015; OECD, 2020).</w:t>
      </w:r>
    </w:p>
    <w:p w:rsidR="00A75F64" w14:paraId="4EB9EE4A" w14:textId="77777777">
      <w:pPr>
        <w:bidi/>
        <w:spacing w:after="120" w:line="360" w:lineRule="auto"/>
      </w:pPr>
      <w:r>
        <w:rPr>
          <w:rtl/>
        </w:rPr>
        <w:t>يرتبط نجاح التحول بقبول المستخدمين وقدرتهم على دمج النظام في العمل اليومي. ويؤدي التدريب غير الكافي أو مقاومة التغيير إلى استخدام جزئي أو موازٍ للأنظمة، بما يعيد إنتاج الإجراءات الورقية والازدواجية. ولذلك يتضمن محور التحديات عبارات مستقلة عن التدريب، والدعم الفني، ومقاومة التغيير، ونقص الكفاءات. ويسمح هذا التفصيل بتحديد الحواجز التي يمكن للإدارة التدخل فيها مباشرة، بدلاً من الاكتفاء بوصف عام لمشكلات التنفيذ (Warner &amp; Wäger, 2019; Westerman et al., 2014).</w:t>
      </w:r>
    </w:p>
    <w:p w:rsidR="00A75F64" w14:paraId="4DF77A5A" w14:textId="77777777">
      <w:pPr>
        <w:bidi/>
        <w:spacing w:after="120" w:line="360" w:lineRule="auto"/>
      </w:pPr>
      <w:r>
        <w:rPr>
          <w:rtl/>
        </w:rPr>
        <w:t>تتطلب حوكمة البيانات تحديداً واضحاً للملكية والمسؤولية والجودة والوصول والاحتفاظ والمشاركة. وفي الرعاية الصحية، ترتبط هذه الحوكمة مباشرة بخصوصية المريض وسلامة القرار واستمرارية الخدمة. وتكتسب الحوكمة أهمية إضافية في المؤسسات متعددة الفروع، حيث يمكن أن تختلف التعريفات والإجراءات ومصادر البيانات. لذلك يعالج إطار الدراسة وضوح السياسات الرقمية وجودة البيانات والتكامل والأمن السيبراني بوصفها عوامل مرتبطة بفاعلية التحول (الهيئة السعودية للبيانات والذكاء الاصطناعي، 2020؛ World Health Organization, 2021).</w:t>
      </w:r>
    </w:p>
    <w:p w:rsidR="00A75F64" w14:paraId="2A1DB6FF" w14:textId="77777777">
      <w:pPr>
        <w:bidi/>
        <w:spacing w:after="120" w:line="360" w:lineRule="auto"/>
      </w:pPr>
      <w:r>
        <w:rPr>
          <w:rtl/>
        </w:rPr>
        <w:t>يؤثر الأمن السيبراني في القيمة التنظيمية للتحول بطريقتين: الأولى حماية السرية والسلامة والتوافر، والثانية بناء الثقة لدى المستخدمين والمستفيدين. وقد يؤدي ضعف الضوابط أو تكرار الأعطال إلى مقاومة الاستخدام أو العودة إلى مسارات يدوية. لذلك لا ينبغي التعامل مع الأمن بوصفه وظيفة تقنية لاحقة، بل كجزء من تصميم الخدمة الرقمية وإدارة المخاطر واستمرارية الأعمال.</w:t>
      </w:r>
    </w:p>
    <w:p w:rsidR="00A75F64" w14:paraId="5102287B" w14:textId="77777777">
      <w:pPr>
        <w:bidi/>
        <w:spacing w:after="120" w:line="360" w:lineRule="auto"/>
      </w:pPr>
      <w:r>
        <w:rPr>
          <w:rtl/>
        </w:rPr>
        <w:t>من الناحية النظرية، يمكن فهم العلاقة بين التحول والأداء من خلال منطق الموارد والقدرات: التقنية مورد، لكن فائدتها تعتمد على قدرات التكامل والتحليل والقيادة والتعلم. ويشرح هذا المنطق لماذا قد تمتلك مؤسستان التقنية نفسها وتحققان نتائج مختلفة. فالفروق في جودة التنفيذ، وفي مشاركة المستخدمين، وفي إدارة البيانات، وفي متابعة المؤشرات يمكن أن تفسر تفاوت العائد التشغيلي والمالي (Warner &amp; Wäger, 2019).</w:t>
      </w:r>
    </w:p>
    <w:p w:rsidR="00A75F64" w14:paraId="5AD7DA56" w14:textId="77777777">
      <w:pPr>
        <w:bidi/>
        <w:spacing w:after="120" w:line="360" w:lineRule="auto"/>
      </w:pPr>
      <w:r>
        <w:rPr>
          <w:rtl/>
        </w:rPr>
        <w:t>تربط الدراسة الحالية بين خمسة مكونات: مستوى التحول الرقمي، والأداء التشغيلي، والأداء المالي، وجودة الخدمات، والتحديات. ويتيح هذا البناء تجنب النظرة الأحادية التي تساوي بين النجاح وبين تشغيل النظام. كما يسمح بفحص ما إذا كان الإدراك الإيجابي للتحول يرتبط بنتائج متعددة، وما إذا كانت الحواجز المدركة تتحرك في اتجاه معاكس. وتدعم هذه العلاقات فهماً أكثر توازناً لطبيعة التحول الصحي.</w:t>
      </w:r>
    </w:p>
    <w:p w:rsidR="00A75F64" w14:paraId="25E00569" w14:textId="77777777">
      <w:pPr>
        <w:bidi/>
        <w:spacing w:after="120" w:line="360" w:lineRule="auto"/>
      </w:pPr>
      <w:r>
        <w:rPr>
          <w:rtl/>
        </w:rPr>
        <w:t>تتسم الأدبيات بوجود فجوة بين الدراسات التي تركز على التبني التقني والدراسات التي تقيس النتائج التنظيمية. فكثير من البحوث يناقش التقنيات أو العوامل المؤثرة في القبول، بينما تقل الدراسات التي تجمع التشغيل والمال والجودة والتحديات في نموذج واحد داخل السياق الصحي السعودي. وتستجيب الدراسة الحالية لهذه الفجوة من خلال مسح العاملين وربطه بدراسة حالة تطبيقية دون دمج المصدرين بصورة توحي بالسببية.</w:t>
      </w:r>
    </w:p>
    <w:p w:rsidR="00A75F64" w14:paraId="1E3C63C4" w14:textId="77777777">
      <w:pPr>
        <w:bidi/>
        <w:spacing w:after="120" w:line="360" w:lineRule="auto"/>
      </w:pPr>
      <w:r>
        <w:rPr>
          <w:rtl/>
        </w:rPr>
        <w:t>تؤدي دراسة الحالة وظيفة تفسيرية؛ فهي توضح كيف يمكن أن تتحول المفاهيم النظرية إلى محفظة مبادرات في مؤسسة حقيقية. لكنها لا تحل محل التحليل الكمي ولا تثبت أن كل تغير مالي ناتج عن التقنية. وتُستخدم المؤشرات الداخلية لإظهار التزامن والسياق، مع الاعتراف بأن الأداء يتأثر بحجم النشاط والتسعير والتكاليف والقرارات الإدارية والظروف السوقية.</w:t>
      </w:r>
    </w:p>
    <w:p w:rsidR="00A75F64" w14:paraId="0DCC08C8" w14:textId="77777777">
      <w:pPr>
        <w:bidi/>
        <w:spacing w:after="120" w:line="360" w:lineRule="auto"/>
      </w:pPr>
      <w:r>
        <w:rPr>
          <w:rtl/>
        </w:rPr>
        <w:t>من المهم أيضاً التمييز بين الأداء المدرك والأداء الموضوعي. فالاستبانة تقيس تصورات العاملين، وهي مهمة لفهم الاستخدام والقبول والأثر الملحوظ، لكنها لا تمثل بديلاً كاملاً عن بيانات العمليات والسجلات المالية. ولذلك تقدم دراسة الحالة مؤشرات تنظيمية مساندة، مع إبقاء الاستنتاجات في حدود ما تسمح به كل أداة.</w:t>
      </w:r>
    </w:p>
    <w:p w:rsidR="00A75F64" w14:paraId="6779AB6F" w14:textId="77777777">
      <w:pPr>
        <w:bidi/>
        <w:spacing w:after="120" w:line="360" w:lineRule="auto"/>
      </w:pPr>
      <w:r>
        <w:rPr>
          <w:rtl/>
        </w:rPr>
        <w:t>تُظهر الأدبيات أن التحول الرقمي مسار تراكمي: تبدأ المؤسسة ببناء البنية والأنظمة، ثم تحسين التكامل والاستخدام، ثم تطوير التحليلات والابتكار. وتختلف النتائج المتوقعة في كل مرحلة. وقد يظهر أثر مبكر في الوصول والسرعة، بينما يحتاج الأثر المالي والاستراتيجي إلى فترة أطول واستقرار أكبر في العمليات. ويُستخدم هذا التسلسل في تفسير نتائج الدراسة وفي بناء خارطة الطريق المقترحة (Verhoef et al., 2021).</w:t>
      </w:r>
    </w:p>
    <w:p w:rsidR="00A75F64" w14:paraId="41B2A5CE" w14:textId="77777777">
      <w:pPr>
        <w:bidi/>
        <w:spacing w:after="120" w:line="360" w:lineRule="auto"/>
      </w:pPr>
      <w:r>
        <w:rPr>
          <w:rtl/>
        </w:rPr>
        <w:t>تؤكد المراجعة أن القياس جزء من التحول ذاته. فغياب خط أساس ومؤشرات محددة يجعل من الصعب تمييز التحسن الفعلي عن الانطباع العام. ولذلك تقترح الدراسة ربط كل مبادرة بمؤشرات قبل التنفيذ وبعده، تشمل زمن الخدمة، ونسبة المعاملات الرقمية، ودقة المطالبات، ومعدل الرفض، ووقت التحصيل، وتوافر الأنظمة، ورضا المستخدمين، وجودة البيانات (Hess et al., 2016; OECD, 2020).</w:t>
      </w:r>
    </w:p>
    <w:p w:rsidR="00A75F64" w14:paraId="7D8F9990" w14:textId="77777777">
      <w:pPr>
        <w:bidi/>
        <w:spacing w:after="120" w:line="360" w:lineRule="auto"/>
      </w:pPr>
      <w:r>
        <w:rPr>
          <w:rtl/>
        </w:rPr>
        <w:t>يمكن تلخيص الإطار النظري في أن التقنية تؤثر في الأداء عبر وسائط تنظيمية تشمل إعادة تصميم العمليات، والتكامل، والمهارات، والحوكمة، والتحليل. كما قد تقلل التحديات من قوة هذا الأثر أو تؤخر ظهوره. وعلى هذا الأساس، لا تفترض الدراسة علاقة ميكانيكية مباشرة، بل تختبر ارتباطات إدراكية وتناقشها ضمن سياق تنظيمي واقعي (Vial, 2019; Warner &amp; Wäger, 2019).</w:t>
      </w:r>
    </w:p>
    <w:p w:rsidR="00DD1DC7" w:rsidP="00DD1DC7" w14:paraId="09031F54" w14:textId="77777777">
      <w:pPr>
        <w:bidi/>
        <w:spacing w:after="120" w:line="360" w:lineRule="auto"/>
      </w:pPr>
    </w:p>
    <w:p w:rsidR="00DD1DC7" w:rsidP="00DD1DC7" w14:paraId="57D59049" w14:textId="77777777">
      <w:pPr>
        <w:bidi/>
        <w:spacing w:after="120" w:line="360" w:lineRule="auto"/>
      </w:pPr>
    </w:p>
    <w:p w:rsidR="00A75F64" w14:paraId="370D3841" w14:textId="77777777">
      <w:pPr>
        <w:pStyle w:val="Heading2"/>
        <w:bidi/>
      </w:pPr>
      <w:bookmarkStart w:id="29" w:name="_Toc235127417"/>
      <w:r>
        <w:rPr>
          <w:rtl/>
        </w:rPr>
        <w:t>2.15 مصفوفة التحليل النقدي للدراسات والمصادر الأساسية</w:t>
      </w:r>
      <w:bookmarkEnd w:id="29"/>
    </w:p>
    <w:tbl>
      <w:tblPr>
        <w:tblStyle w:val="TableGrid"/>
        <w:tblW w:w="0" w:type="auto"/>
        <w:jc w:val="center"/>
        <w:tblCellMar>
          <w:top w:w="40" w:type="dxa"/>
          <w:left w:w="100" w:type="dxa"/>
          <w:bottom w:w="40" w:type="dxa"/>
          <w:right w:w="100" w:type="dxa"/>
        </w:tblCellMar>
        <w:tblLook w:val="04A0"/>
      </w:tblPr>
      <w:tblGrid>
        <w:gridCol w:w="2160"/>
        <w:gridCol w:w="2160"/>
        <w:gridCol w:w="2160"/>
        <w:gridCol w:w="2160"/>
      </w:tblGrid>
      <w:tr w14:paraId="11C333D9" w14:textId="77777777">
        <w:tblPrEx>
          <w:tblW w:w="0" w:type="auto"/>
          <w:tblLook w:val="04A0"/>
        </w:tblPrEx>
        <w:trPr>
          <w:tblHeader/>
        </w:trPr>
        <w:tc>
          <w:tcPr>
            <w:tcW w:w="2160" w:type="dxa"/>
            <w:shd w:val="clear" w:color="auto" w:fill="D9EAF7"/>
            <w:vAlign w:val="center"/>
          </w:tcPr>
          <w:p w:rsidR="00A75F64" w14:paraId="1133F97F" w14:textId="77777777">
            <w:pPr>
              <w:bidi/>
              <w:jc w:val="center"/>
            </w:pPr>
            <w:r>
              <w:rPr>
                <w:b/>
                <w:bCs/>
                <w:sz w:val="18"/>
                <w:szCs w:val="18"/>
                <w:rtl/>
              </w:rPr>
              <w:t>استخدامه في الدراسة</w:t>
            </w:r>
          </w:p>
        </w:tc>
        <w:tc>
          <w:tcPr>
            <w:tcW w:w="2160" w:type="dxa"/>
            <w:shd w:val="clear" w:color="auto" w:fill="D9EAF7"/>
            <w:vAlign w:val="center"/>
          </w:tcPr>
          <w:p w:rsidR="00A75F64" w14:paraId="11F7357C" w14:textId="77777777">
            <w:pPr>
              <w:bidi/>
              <w:jc w:val="center"/>
            </w:pPr>
            <w:r>
              <w:rPr>
                <w:b/>
                <w:bCs/>
                <w:sz w:val="18"/>
                <w:szCs w:val="18"/>
                <w:rtl/>
              </w:rPr>
              <w:t>الإسهام الرئيس</w:t>
            </w:r>
          </w:p>
        </w:tc>
        <w:tc>
          <w:tcPr>
            <w:tcW w:w="2160" w:type="dxa"/>
            <w:shd w:val="clear" w:color="auto" w:fill="D9EAF7"/>
            <w:vAlign w:val="center"/>
          </w:tcPr>
          <w:p w:rsidR="00A75F64" w14:paraId="53CBA04D" w14:textId="77777777">
            <w:pPr>
              <w:bidi/>
              <w:jc w:val="center"/>
            </w:pPr>
            <w:r>
              <w:rPr>
                <w:b/>
                <w:bCs/>
                <w:sz w:val="18"/>
                <w:szCs w:val="18"/>
                <w:rtl/>
              </w:rPr>
              <w:t>نوع المصدر</w:t>
            </w:r>
          </w:p>
        </w:tc>
        <w:tc>
          <w:tcPr>
            <w:tcW w:w="2160" w:type="dxa"/>
            <w:shd w:val="clear" w:color="auto" w:fill="D9EAF7"/>
            <w:vAlign w:val="center"/>
          </w:tcPr>
          <w:p w:rsidR="00A75F64" w14:paraId="45D18409" w14:textId="77777777">
            <w:pPr>
              <w:bidi/>
              <w:jc w:val="center"/>
            </w:pPr>
            <w:r>
              <w:rPr>
                <w:b/>
                <w:bCs/>
                <w:sz w:val="18"/>
                <w:szCs w:val="18"/>
                <w:rtl/>
              </w:rPr>
              <w:t>المصدر</w:t>
            </w:r>
          </w:p>
        </w:tc>
      </w:tr>
      <w:tr w14:paraId="64B02805" w14:textId="77777777">
        <w:tblPrEx>
          <w:tblW w:w="0" w:type="auto"/>
          <w:tblLook w:val="04A0"/>
        </w:tblPrEx>
        <w:tc>
          <w:tcPr>
            <w:tcW w:w="2160" w:type="dxa"/>
            <w:shd w:val="clear" w:color="auto" w:fill="F2F7FB"/>
            <w:vAlign w:val="center"/>
          </w:tcPr>
          <w:p w:rsidR="00A75F64" w14:paraId="08A8D8DD" w14:textId="77777777">
            <w:pPr>
              <w:bidi/>
              <w:jc w:val="right"/>
            </w:pPr>
            <w:r>
              <w:rPr>
                <w:sz w:val="18"/>
                <w:szCs w:val="18"/>
                <w:rtl/>
              </w:rPr>
              <w:t>يدعم تعريف المتغير المستقل وحدود التفسير</w:t>
            </w:r>
          </w:p>
        </w:tc>
        <w:tc>
          <w:tcPr>
            <w:tcW w:w="2160" w:type="dxa"/>
            <w:shd w:val="clear" w:color="auto" w:fill="F2F7FB"/>
            <w:vAlign w:val="center"/>
          </w:tcPr>
          <w:p w:rsidR="00A75F64" w14:paraId="50943F45" w14:textId="77777777">
            <w:pPr>
              <w:bidi/>
              <w:jc w:val="right"/>
            </w:pPr>
            <w:r>
              <w:rPr>
                <w:sz w:val="18"/>
                <w:szCs w:val="18"/>
                <w:rtl/>
              </w:rPr>
              <w:t>تعريف التحول بوصفه تغيراً تنظيمياً مدفوعاً بالتقنيات</w:t>
            </w:r>
          </w:p>
        </w:tc>
        <w:tc>
          <w:tcPr>
            <w:tcW w:w="2160" w:type="dxa"/>
            <w:shd w:val="clear" w:color="auto" w:fill="F2F7FB"/>
            <w:vAlign w:val="center"/>
          </w:tcPr>
          <w:p w:rsidR="00A75F64" w14:paraId="624C219E" w14:textId="77777777">
            <w:pPr>
              <w:bidi/>
              <w:jc w:val="right"/>
            </w:pPr>
            <w:r>
              <w:rPr>
                <w:sz w:val="18"/>
                <w:szCs w:val="18"/>
                <w:rtl/>
              </w:rPr>
              <w:t>مراجعة نظرية</w:t>
            </w:r>
          </w:p>
        </w:tc>
        <w:tc>
          <w:tcPr>
            <w:tcW w:w="2160" w:type="dxa"/>
            <w:shd w:val="clear" w:color="auto" w:fill="F2F7FB"/>
            <w:vAlign w:val="center"/>
          </w:tcPr>
          <w:p w:rsidR="00A75F64" w14:paraId="1DB2854A" w14:textId="77777777">
            <w:pPr>
              <w:bidi/>
              <w:jc w:val="right"/>
            </w:pPr>
            <w:r>
              <w:rPr>
                <w:sz w:val="18"/>
              </w:rPr>
              <w:t>Vial (2019)</w:t>
            </w:r>
          </w:p>
        </w:tc>
      </w:tr>
      <w:tr w14:paraId="2887045E" w14:textId="77777777">
        <w:tblPrEx>
          <w:tblW w:w="0" w:type="auto"/>
          <w:tblLook w:val="04A0"/>
        </w:tblPrEx>
        <w:tc>
          <w:tcPr>
            <w:tcW w:w="2160" w:type="dxa"/>
            <w:vAlign w:val="center"/>
          </w:tcPr>
          <w:p w:rsidR="00A75F64" w14:paraId="54FC343D" w14:textId="77777777">
            <w:pPr>
              <w:bidi/>
              <w:jc w:val="right"/>
            </w:pPr>
            <w:r>
              <w:rPr>
                <w:sz w:val="18"/>
                <w:szCs w:val="18"/>
                <w:rtl/>
              </w:rPr>
              <w:t>يدعم الربط بين العمليات والخدمة والأداء</w:t>
            </w:r>
          </w:p>
        </w:tc>
        <w:tc>
          <w:tcPr>
            <w:tcW w:w="2160" w:type="dxa"/>
            <w:vAlign w:val="center"/>
          </w:tcPr>
          <w:p w:rsidR="00A75F64" w14:paraId="6A6CDBA1" w14:textId="77777777">
            <w:pPr>
              <w:bidi/>
              <w:jc w:val="right"/>
            </w:pPr>
            <w:r>
              <w:rPr>
                <w:sz w:val="18"/>
                <w:szCs w:val="18"/>
                <w:rtl/>
              </w:rPr>
              <w:t>مستويات التحول ومسارات خلق القيمة</w:t>
            </w:r>
          </w:p>
        </w:tc>
        <w:tc>
          <w:tcPr>
            <w:tcW w:w="2160" w:type="dxa"/>
            <w:vAlign w:val="center"/>
          </w:tcPr>
          <w:p w:rsidR="00A75F64" w14:paraId="6D3296A9" w14:textId="77777777">
            <w:pPr>
              <w:bidi/>
              <w:jc w:val="right"/>
            </w:pPr>
            <w:r>
              <w:rPr>
                <w:sz w:val="18"/>
                <w:szCs w:val="18"/>
                <w:rtl/>
              </w:rPr>
              <w:t>مراجعة متعددة التخصصات</w:t>
            </w:r>
          </w:p>
        </w:tc>
        <w:tc>
          <w:tcPr>
            <w:tcW w:w="2160" w:type="dxa"/>
            <w:vAlign w:val="center"/>
          </w:tcPr>
          <w:p w:rsidR="00A75F64" w14:paraId="48CAD62B" w14:textId="77777777">
            <w:pPr>
              <w:bidi/>
              <w:jc w:val="right"/>
            </w:pPr>
            <w:r>
              <w:rPr>
                <w:sz w:val="18"/>
              </w:rPr>
              <w:t>Verhoef et al. (2021)</w:t>
            </w:r>
          </w:p>
        </w:tc>
      </w:tr>
      <w:tr w14:paraId="365C999C" w14:textId="77777777">
        <w:tblPrEx>
          <w:tblW w:w="0" w:type="auto"/>
          <w:tblLook w:val="04A0"/>
        </w:tblPrEx>
        <w:tc>
          <w:tcPr>
            <w:tcW w:w="2160" w:type="dxa"/>
            <w:shd w:val="clear" w:color="auto" w:fill="F2F7FB"/>
            <w:vAlign w:val="center"/>
          </w:tcPr>
          <w:p w:rsidR="00A75F64" w14:paraId="5EBF4E55" w14:textId="77777777">
            <w:pPr>
              <w:bidi/>
              <w:jc w:val="right"/>
            </w:pPr>
            <w:r>
              <w:rPr>
                <w:sz w:val="18"/>
                <w:szCs w:val="18"/>
                <w:rtl/>
              </w:rPr>
              <w:t>يدعم خصوصية السياق الصحي</w:t>
            </w:r>
          </w:p>
        </w:tc>
        <w:tc>
          <w:tcPr>
            <w:tcW w:w="2160" w:type="dxa"/>
            <w:shd w:val="clear" w:color="auto" w:fill="F2F7FB"/>
            <w:vAlign w:val="center"/>
          </w:tcPr>
          <w:p w:rsidR="00A75F64" w14:paraId="6C2CF7F4" w14:textId="77777777">
            <w:pPr>
              <w:bidi/>
              <w:jc w:val="right"/>
            </w:pPr>
            <w:r>
              <w:rPr>
                <w:sz w:val="18"/>
                <w:szCs w:val="18"/>
                <w:rtl/>
              </w:rPr>
              <w:t>تعدد المناظير والحاجة إلى تكامل الإدارة والتقنية</w:t>
            </w:r>
          </w:p>
        </w:tc>
        <w:tc>
          <w:tcPr>
            <w:tcW w:w="2160" w:type="dxa"/>
            <w:shd w:val="clear" w:color="auto" w:fill="F2F7FB"/>
            <w:vAlign w:val="center"/>
          </w:tcPr>
          <w:p w:rsidR="00A75F64" w14:paraId="14314D1F" w14:textId="77777777">
            <w:pPr>
              <w:bidi/>
              <w:jc w:val="right"/>
            </w:pPr>
            <w:r>
              <w:rPr>
                <w:sz w:val="18"/>
                <w:szCs w:val="18"/>
                <w:rtl/>
              </w:rPr>
              <w:t>مراجعة في الرعاية الصحية</w:t>
            </w:r>
          </w:p>
        </w:tc>
        <w:tc>
          <w:tcPr>
            <w:tcW w:w="2160" w:type="dxa"/>
            <w:shd w:val="clear" w:color="auto" w:fill="F2F7FB"/>
            <w:vAlign w:val="center"/>
          </w:tcPr>
          <w:p w:rsidR="00A75F64" w14:paraId="42684CF1" w14:textId="77777777">
            <w:pPr>
              <w:bidi/>
              <w:jc w:val="right"/>
            </w:pPr>
            <w:r>
              <w:rPr>
                <w:sz w:val="18"/>
              </w:rPr>
              <w:t>Kraus et al. (2021)</w:t>
            </w:r>
          </w:p>
        </w:tc>
      </w:tr>
      <w:tr w14:paraId="386D89F8" w14:textId="77777777">
        <w:tblPrEx>
          <w:tblW w:w="0" w:type="auto"/>
          <w:tblLook w:val="04A0"/>
        </w:tblPrEx>
        <w:tc>
          <w:tcPr>
            <w:tcW w:w="2160" w:type="dxa"/>
            <w:vAlign w:val="center"/>
          </w:tcPr>
          <w:p w:rsidR="00A75F64" w14:paraId="197DCA45" w14:textId="77777777">
            <w:pPr>
              <w:bidi/>
              <w:jc w:val="right"/>
            </w:pPr>
            <w:r>
              <w:rPr>
                <w:sz w:val="18"/>
                <w:szCs w:val="18"/>
                <w:rtl/>
              </w:rPr>
              <w:t>يدعم الجودة والوصول والاستخدام المسؤول</w:t>
            </w:r>
          </w:p>
        </w:tc>
        <w:tc>
          <w:tcPr>
            <w:tcW w:w="2160" w:type="dxa"/>
            <w:vAlign w:val="center"/>
          </w:tcPr>
          <w:p w:rsidR="00A75F64" w14:paraId="09C56F51" w14:textId="77777777">
            <w:pPr>
              <w:bidi/>
              <w:jc w:val="right"/>
            </w:pPr>
            <w:r>
              <w:rPr>
                <w:sz w:val="18"/>
                <w:szCs w:val="18"/>
                <w:rtl/>
              </w:rPr>
              <w:t>ربط الصحة الرقمية بالنتائج والنظم والحوكمة</w:t>
            </w:r>
          </w:p>
        </w:tc>
        <w:tc>
          <w:tcPr>
            <w:tcW w:w="2160" w:type="dxa"/>
            <w:vAlign w:val="center"/>
          </w:tcPr>
          <w:p w:rsidR="00A75F64" w14:paraId="764C3D61" w14:textId="77777777">
            <w:pPr>
              <w:bidi/>
              <w:jc w:val="right"/>
            </w:pPr>
            <w:r>
              <w:rPr>
                <w:sz w:val="18"/>
                <w:szCs w:val="18"/>
                <w:rtl/>
              </w:rPr>
              <w:t>استراتيجية عالمية</w:t>
            </w:r>
          </w:p>
        </w:tc>
        <w:tc>
          <w:tcPr>
            <w:tcW w:w="2160" w:type="dxa"/>
            <w:vAlign w:val="center"/>
          </w:tcPr>
          <w:p w:rsidR="00A75F64" w14:paraId="65DBB2F7" w14:textId="77777777">
            <w:pPr>
              <w:bidi/>
              <w:jc w:val="right"/>
            </w:pPr>
            <w:r>
              <w:rPr>
                <w:sz w:val="18"/>
              </w:rPr>
              <w:t>WHO (2021)</w:t>
            </w:r>
          </w:p>
        </w:tc>
      </w:tr>
      <w:tr w14:paraId="4E560C2D" w14:textId="77777777">
        <w:tblPrEx>
          <w:tblW w:w="0" w:type="auto"/>
          <w:tblLook w:val="04A0"/>
        </w:tblPrEx>
        <w:tc>
          <w:tcPr>
            <w:tcW w:w="2160" w:type="dxa"/>
            <w:shd w:val="clear" w:color="auto" w:fill="F2F7FB"/>
            <w:vAlign w:val="center"/>
          </w:tcPr>
          <w:p w:rsidR="00A75F64" w14:paraId="5D52B992" w14:textId="77777777">
            <w:pPr>
              <w:bidi/>
              <w:jc w:val="right"/>
            </w:pPr>
            <w:r>
              <w:rPr>
                <w:sz w:val="18"/>
                <w:szCs w:val="18"/>
                <w:rtl/>
              </w:rPr>
              <w:t>يدعم محور البيانات والقرار</w:t>
            </w:r>
          </w:p>
        </w:tc>
        <w:tc>
          <w:tcPr>
            <w:tcW w:w="2160" w:type="dxa"/>
            <w:shd w:val="clear" w:color="auto" w:fill="F2F7FB"/>
            <w:vAlign w:val="center"/>
          </w:tcPr>
          <w:p w:rsidR="00A75F64" w14:paraId="49A60502" w14:textId="77777777">
            <w:pPr>
              <w:bidi/>
              <w:jc w:val="right"/>
            </w:pPr>
            <w:r>
              <w:rPr>
                <w:sz w:val="18"/>
                <w:szCs w:val="18"/>
                <w:rtl/>
              </w:rPr>
              <w:t>استخدام البيانات لبناء نظم صحية أقوى</w:t>
            </w:r>
          </w:p>
        </w:tc>
        <w:tc>
          <w:tcPr>
            <w:tcW w:w="2160" w:type="dxa"/>
            <w:shd w:val="clear" w:color="auto" w:fill="F2F7FB"/>
            <w:vAlign w:val="center"/>
          </w:tcPr>
          <w:p w:rsidR="00A75F64" w14:paraId="011AF7F2" w14:textId="77777777">
            <w:pPr>
              <w:bidi/>
              <w:jc w:val="right"/>
            </w:pPr>
            <w:r>
              <w:rPr>
                <w:sz w:val="18"/>
                <w:szCs w:val="18"/>
                <w:rtl/>
              </w:rPr>
              <w:t>تقرير سياسات</w:t>
            </w:r>
          </w:p>
        </w:tc>
        <w:tc>
          <w:tcPr>
            <w:tcW w:w="2160" w:type="dxa"/>
            <w:shd w:val="clear" w:color="auto" w:fill="F2F7FB"/>
            <w:vAlign w:val="center"/>
          </w:tcPr>
          <w:p w:rsidR="00A75F64" w14:paraId="02A6A6B4" w14:textId="77777777">
            <w:pPr>
              <w:bidi/>
              <w:jc w:val="right"/>
            </w:pPr>
            <w:r>
              <w:rPr>
                <w:sz w:val="18"/>
              </w:rPr>
              <w:t>OECD (2020)</w:t>
            </w:r>
          </w:p>
        </w:tc>
      </w:tr>
      <w:tr w14:paraId="02EDB8EA" w14:textId="77777777">
        <w:tblPrEx>
          <w:tblW w:w="0" w:type="auto"/>
          <w:tblLook w:val="04A0"/>
        </w:tblPrEx>
        <w:tc>
          <w:tcPr>
            <w:tcW w:w="2160" w:type="dxa"/>
            <w:vAlign w:val="center"/>
          </w:tcPr>
          <w:p w:rsidR="00A75F64" w14:paraId="561DF5F2" w14:textId="77777777">
            <w:pPr>
              <w:bidi/>
              <w:jc w:val="right"/>
            </w:pPr>
            <w:r>
              <w:rPr>
                <w:sz w:val="18"/>
                <w:szCs w:val="18"/>
                <w:rtl/>
              </w:rPr>
              <w:t>يدعم تحليل الاستراتيجية</w:t>
            </w:r>
          </w:p>
        </w:tc>
        <w:tc>
          <w:tcPr>
            <w:tcW w:w="2160" w:type="dxa"/>
            <w:vAlign w:val="center"/>
          </w:tcPr>
          <w:p w:rsidR="00A75F64" w14:paraId="56711D1B" w14:textId="77777777">
            <w:pPr>
              <w:bidi/>
              <w:jc w:val="right"/>
            </w:pPr>
            <w:r>
              <w:rPr>
                <w:sz w:val="18"/>
                <w:szCs w:val="18"/>
                <w:rtl/>
              </w:rPr>
              <w:t>التقنية وخلق القيمة والهياكل والتمويل</w:t>
            </w:r>
          </w:p>
        </w:tc>
        <w:tc>
          <w:tcPr>
            <w:tcW w:w="2160" w:type="dxa"/>
            <w:vAlign w:val="center"/>
          </w:tcPr>
          <w:p w:rsidR="00A75F64" w14:paraId="4C7666A1" w14:textId="77777777">
            <w:pPr>
              <w:bidi/>
              <w:jc w:val="right"/>
            </w:pPr>
            <w:r>
              <w:rPr>
                <w:sz w:val="18"/>
                <w:szCs w:val="18"/>
                <w:rtl/>
              </w:rPr>
              <w:t>إطار استراتيجي</w:t>
            </w:r>
          </w:p>
        </w:tc>
        <w:tc>
          <w:tcPr>
            <w:tcW w:w="2160" w:type="dxa"/>
            <w:vAlign w:val="center"/>
          </w:tcPr>
          <w:p w:rsidR="00A75F64" w14:paraId="754C15D0" w14:textId="77777777">
            <w:pPr>
              <w:bidi/>
              <w:jc w:val="right"/>
            </w:pPr>
            <w:r>
              <w:rPr>
                <w:sz w:val="18"/>
              </w:rPr>
              <w:t>Matt et al. (2015)</w:t>
            </w:r>
          </w:p>
        </w:tc>
      </w:tr>
      <w:tr w14:paraId="6F384950" w14:textId="77777777">
        <w:tblPrEx>
          <w:tblW w:w="0" w:type="auto"/>
          <w:tblLook w:val="04A0"/>
        </w:tblPrEx>
        <w:tc>
          <w:tcPr>
            <w:tcW w:w="2160" w:type="dxa"/>
            <w:shd w:val="clear" w:color="auto" w:fill="F2F7FB"/>
            <w:vAlign w:val="center"/>
          </w:tcPr>
          <w:p w:rsidR="00A75F64" w14:paraId="74DB8F4B" w14:textId="77777777">
            <w:pPr>
              <w:bidi/>
              <w:jc w:val="right"/>
            </w:pPr>
            <w:r>
              <w:rPr>
                <w:sz w:val="18"/>
                <w:szCs w:val="18"/>
                <w:rtl/>
              </w:rPr>
              <w:t>يدعم توصيات الحوكمة والمحفظة</w:t>
            </w:r>
          </w:p>
        </w:tc>
        <w:tc>
          <w:tcPr>
            <w:tcW w:w="2160" w:type="dxa"/>
            <w:shd w:val="clear" w:color="auto" w:fill="F2F7FB"/>
            <w:vAlign w:val="center"/>
          </w:tcPr>
          <w:p w:rsidR="00A75F64" w14:paraId="2615297C" w14:textId="77777777">
            <w:pPr>
              <w:bidi/>
              <w:jc w:val="right"/>
            </w:pPr>
            <w:r>
              <w:rPr>
                <w:sz w:val="18"/>
                <w:szCs w:val="18"/>
                <w:rtl/>
              </w:rPr>
              <w:t>صياغة استراتيجية تحول متكاملة</w:t>
            </w:r>
          </w:p>
        </w:tc>
        <w:tc>
          <w:tcPr>
            <w:tcW w:w="2160" w:type="dxa"/>
            <w:shd w:val="clear" w:color="auto" w:fill="F2F7FB"/>
            <w:vAlign w:val="center"/>
          </w:tcPr>
          <w:p w:rsidR="00A75F64" w14:paraId="14E5408F" w14:textId="77777777">
            <w:pPr>
              <w:bidi/>
              <w:jc w:val="right"/>
            </w:pPr>
            <w:r>
              <w:rPr>
                <w:sz w:val="18"/>
                <w:szCs w:val="18"/>
                <w:rtl/>
              </w:rPr>
              <w:t>إطار خيارات</w:t>
            </w:r>
          </w:p>
        </w:tc>
        <w:tc>
          <w:tcPr>
            <w:tcW w:w="2160" w:type="dxa"/>
            <w:shd w:val="clear" w:color="auto" w:fill="F2F7FB"/>
            <w:vAlign w:val="center"/>
          </w:tcPr>
          <w:p w:rsidR="00A75F64" w14:paraId="39EA5E81" w14:textId="77777777">
            <w:pPr>
              <w:bidi/>
              <w:jc w:val="right"/>
            </w:pPr>
            <w:r>
              <w:rPr>
                <w:sz w:val="18"/>
              </w:rPr>
              <w:t>Hess et al. (2016)</w:t>
            </w:r>
          </w:p>
        </w:tc>
      </w:tr>
      <w:tr w14:paraId="02F53604" w14:textId="77777777">
        <w:tblPrEx>
          <w:tblW w:w="0" w:type="auto"/>
          <w:tblLook w:val="04A0"/>
        </w:tblPrEx>
        <w:tc>
          <w:tcPr>
            <w:tcW w:w="2160" w:type="dxa"/>
            <w:vAlign w:val="center"/>
          </w:tcPr>
          <w:p w:rsidR="00A75F64" w14:paraId="5D6162B8" w14:textId="77777777">
            <w:pPr>
              <w:bidi/>
              <w:jc w:val="right"/>
            </w:pPr>
            <w:r>
              <w:rPr>
                <w:sz w:val="18"/>
                <w:szCs w:val="18"/>
                <w:rtl/>
              </w:rPr>
              <w:t>يدعم إدارة التغيير والتعلم</w:t>
            </w:r>
          </w:p>
        </w:tc>
        <w:tc>
          <w:tcPr>
            <w:tcW w:w="2160" w:type="dxa"/>
            <w:vAlign w:val="center"/>
          </w:tcPr>
          <w:p w:rsidR="00A75F64" w14:paraId="7C1512F8" w14:textId="77777777">
            <w:pPr>
              <w:bidi/>
              <w:jc w:val="right"/>
            </w:pPr>
            <w:r>
              <w:rPr>
                <w:sz w:val="18"/>
                <w:szCs w:val="18"/>
                <w:rtl/>
              </w:rPr>
              <w:t>الاستشعار والاقتناص وإعادة التشكيل</w:t>
            </w:r>
          </w:p>
        </w:tc>
        <w:tc>
          <w:tcPr>
            <w:tcW w:w="2160" w:type="dxa"/>
            <w:vAlign w:val="center"/>
          </w:tcPr>
          <w:p w:rsidR="00A75F64" w14:paraId="4F85A409" w14:textId="77777777">
            <w:pPr>
              <w:bidi/>
              <w:jc w:val="right"/>
            </w:pPr>
            <w:r>
              <w:rPr>
                <w:sz w:val="18"/>
                <w:szCs w:val="18"/>
                <w:rtl/>
              </w:rPr>
              <w:t>دراسة قدرات ديناميكية</w:t>
            </w:r>
          </w:p>
        </w:tc>
        <w:tc>
          <w:tcPr>
            <w:tcW w:w="2160" w:type="dxa"/>
            <w:vAlign w:val="center"/>
          </w:tcPr>
          <w:p w:rsidR="00A75F64" w14:paraId="54F2D57E" w14:textId="77777777">
            <w:pPr>
              <w:bidi/>
              <w:jc w:val="right"/>
            </w:pPr>
            <w:r>
              <w:rPr>
                <w:sz w:val="18"/>
              </w:rPr>
              <w:t xml:space="preserve">Warner &amp; </w:t>
            </w:r>
            <w:r>
              <w:rPr>
                <w:sz w:val="18"/>
              </w:rPr>
              <w:t>Wäger</w:t>
            </w:r>
            <w:r>
              <w:rPr>
                <w:sz w:val="18"/>
              </w:rPr>
              <w:t xml:space="preserve"> (2019)</w:t>
            </w:r>
          </w:p>
        </w:tc>
      </w:tr>
      <w:tr w14:paraId="08DC5413" w14:textId="77777777">
        <w:tblPrEx>
          <w:tblW w:w="0" w:type="auto"/>
          <w:tblLook w:val="04A0"/>
        </w:tblPrEx>
        <w:tc>
          <w:tcPr>
            <w:tcW w:w="2160" w:type="dxa"/>
            <w:shd w:val="clear" w:color="auto" w:fill="F2F7FB"/>
            <w:vAlign w:val="center"/>
          </w:tcPr>
          <w:p w:rsidR="00A75F64" w14:paraId="1425F8DE" w14:textId="77777777">
            <w:pPr>
              <w:bidi/>
              <w:jc w:val="right"/>
            </w:pPr>
            <w:r>
              <w:rPr>
                <w:sz w:val="18"/>
                <w:szCs w:val="18"/>
                <w:rtl/>
              </w:rPr>
              <w:t>يدعم تفسير اختلاف العائد</w:t>
            </w:r>
          </w:p>
        </w:tc>
        <w:tc>
          <w:tcPr>
            <w:tcW w:w="2160" w:type="dxa"/>
            <w:shd w:val="clear" w:color="auto" w:fill="F2F7FB"/>
            <w:vAlign w:val="center"/>
          </w:tcPr>
          <w:p w:rsidR="00A75F64" w14:paraId="0FC92615" w14:textId="77777777">
            <w:pPr>
              <w:bidi/>
              <w:jc w:val="right"/>
            </w:pPr>
            <w:r>
              <w:rPr>
                <w:sz w:val="18"/>
                <w:szCs w:val="18"/>
                <w:rtl/>
              </w:rPr>
              <w:t>التكامل بين القيادة والقدرات الرقمية</w:t>
            </w:r>
          </w:p>
        </w:tc>
        <w:tc>
          <w:tcPr>
            <w:tcW w:w="2160" w:type="dxa"/>
            <w:shd w:val="clear" w:color="auto" w:fill="F2F7FB"/>
            <w:vAlign w:val="center"/>
          </w:tcPr>
          <w:p w:rsidR="00A75F64" w14:paraId="32C6BE69" w14:textId="77777777">
            <w:pPr>
              <w:bidi/>
              <w:jc w:val="right"/>
            </w:pPr>
            <w:r>
              <w:rPr>
                <w:sz w:val="18"/>
                <w:szCs w:val="18"/>
                <w:rtl/>
              </w:rPr>
              <w:t>كتاب إداري</w:t>
            </w:r>
          </w:p>
        </w:tc>
        <w:tc>
          <w:tcPr>
            <w:tcW w:w="2160" w:type="dxa"/>
            <w:shd w:val="clear" w:color="auto" w:fill="F2F7FB"/>
            <w:vAlign w:val="center"/>
          </w:tcPr>
          <w:p w:rsidR="00A75F64" w14:paraId="0D838043" w14:textId="77777777">
            <w:pPr>
              <w:bidi/>
              <w:jc w:val="right"/>
            </w:pPr>
            <w:r>
              <w:rPr>
                <w:sz w:val="18"/>
              </w:rPr>
              <w:t>Westerman</w:t>
            </w:r>
            <w:r>
              <w:rPr>
                <w:sz w:val="18"/>
              </w:rPr>
              <w:t xml:space="preserve"> et al. (2014)</w:t>
            </w:r>
          </w:p>
        </w:tc>
      </w:tr>
      <w:tr w14:paraId="62584AB4" w14:textId="77777777">
        <w:tblPrEx>
          <w:tblW w:w="0" w:type="auto"/>
          <w:tblLook w:val="04A0"/>
        </w:tblPrEx>
        <w:tc>
          <w:tcPr>
            <w:tcW w:w="2160" w:type="dxa"/>
            <w:vAlign w:val="center"/>
          </w:tcPr>
          <w:p w:rsidR="00A75F64" w14:paraId="07920631" w14:textId="77777777">
            <w:pPr>
              <w:bidi/>
              <w:jc w:val="right"/>
            </w:pPr>
            <w:r>
              <w:rPr>
                <w:sz w:val="18"/>
                <w:szCs w:val="18"/>
                <w:rtl/>
              </w:rPr>
              <w:t>يدعم الخلفية الصحية</w:t>
            </w:r>
          </w:p>
        </w:tc>
        <w:tc>
          <w:tcPr>
            <w:tcW w:w="2160" w:type="dxa"/>
            <w:vAlign w:val="center"/>
          </w:tcPr>
          <w:p w:rsidR="00A75F64" w14:paraId="08043C81" w14:textId="77777777">
            <w:pPr>
              <w:bidi/>
              <w:jc w:val="right"/>
            </w:pPr>
            <w:r>
              <w:rPr>
                <w:sz w:val="18"/>
                <w:szCs w:val="18"/>
                <w:rtl/>
              </w:rPr>
              <w:t>تغير نماذج تقديم الخدمة والمعلومات</w:t>
            </w:r>
          </w:p>
        </w:tc>
        <w:tc>
          <w:tcPr>
            <w:tcW w:w="2160" w:type="dxa"/>
            <w:vAlign w:val="center"/>
          </w:tcPr>
          <w:p w:rsidR="00A75F64" w14:paraId="2591C4E8" w14:textId="77777777">
            <w:pPr>
              <w:bidi/>
              <w:jc w:val="right"/>
            </w:pPr>
            <w:r>
              <w:rPr>
                <w:sz w:val="18"/>
                <w:szCs w:val="18"/>
                <w:rtl/>
              </w:rPr>
              <w:t>تعليق بحثي صحي</w:t>
            </w:r>
          </w:p>
        </w:tc>
        <w:tc>
          <w:tcPr>
            <w:tcW w:w="2160" w:type="dxa"/>
            <w:vAlign w:val="center"/>
          </w:tcPr>
          <w:p w:rsidR="00A75F64" w14:paraId="643BB9EB" w14:textId="77777777">
            <w:pPr>
              <w:bidi/>
              <w:jc w:val="right"/>
            </w:pPr>
            <w:r>
              <w:rPr>
                <w:sz w:val="18"/>
              </w:rPr>
              <w:t>Agarwal et al. (2010)</w:t>
            </w:r>
          </w:p>
        </w:tc>
      </w:tr>
      <w:tr w14:paraId="1196CC48" w14:textId="77777777">
        <w:tblPrEx>
          <w:tblW w:w="0" w:type="auto"/>
          <w:tblLook w:val="04A0"/>
        </w:tblPrEx>
        <w:tc>
          <w:tcPr>
            <w:tcW w:w="2160" w:type="dxa"/>
            <w:shd w:val="clear" w:color="auto" w:fill="F2F7FB"/>
            <w:vAlign w:val="center"/>
          </w:tcPr>
          <w:p w:rsidR="00A75F64" w14:paraId="7036CF87" w14:textId="77777777">
            <w:pPr>
              <w:bidi/>
              <w:jc w:val="right"/>
            </w:pPr>
            <w:r>
              <w:rPr>
                <w:sz w:val="18"/>
                <w:szCs w:val="18"/>
                <w:rtl/>
              </w:rPr>
              <w:t>يدعم محور جودة الخدمات</w:t>
            </w:r>
          </w:p>
        </w:tc>
        <w:tc>
          <w:tcPr>
            <w:tcW w:w="2160" w:type="dxa"/>
            <w:shd w:val="clear" w:color="auto" w:fill="F2F7FB"/>
            <w:vAlign w:val="center"/>
          </w:tcPr>
          <w:p w:rsidR="00A75F64" w14:paraId="01C45CB7" w14:textId="77777777">
            <w:pPr>
              <w:bidi/>
              <w:jc w:val="right"/>
            </w:pPr>
            <w:r>
              <w:rPr>
                <w:sz w:val="18"/>
                <w:szCs w:val="18"/>
                <w:rtl/>
              </w:rPr>
              <w:t>فوائد السجلات تعتمد على التطبيق والاستخدام</w:t>
            </w:r>
          </w:p>
        </w:tc>
        <w:tc>
          <w:tcPr>
            <w:tcW w:w="2160" w:type="dxa"/>
            <w:shd w:val="clear" w:color="auto" w:fill="F2F7FB"/>
            <w:vAlign w:val="center"/>
          </w:tcPr>
          <w:p w:rsidR="00A75F64" w14:paraId="652596E5" w14:textId="77777777">
            <w:pPr>
              <w:bidi/>
              <w:jc w:val="right"/>
            </w:pPr>
            <w:r>
              <w:rPr>
                <w:sz w:val="18"/>
                <w:szCs w:val="18"/>
                <w:rtl/>
              </w:rPr>
              <w:t>مراجعة منهجية</w:t>
            </w:r>
          </w:p>
        </w:tc>
        <w:tc>
          <w:tcPr>
            <w:tcW w:w="2160" w:type="dxa"/>
            <w:shd w:val="clear" w:color="auto" w:fill="F2F7FB"/>
            <w:vAlign w:val="center"/>
          </w:tcPr>
          <w:p w:rsidR="00A75F64" w14:paraId="6E1AB4CB" w14:textId="77777777">
            <w:pPr>
              <w:bidi/>
              <w:jc w:val="right"/>
            </w:pPr>
            <w:r>
              <w:rPr>
                <w:sz w:val="18"/>
              </w:rPr>
              <w:t>Kruse et al. (2018)</w:t>
            </w:r>
          </w:p>
        </w:tc>
      </w:tr>
      <w:tr w14:paraId="2289CD4B" w14:textId="77777777">
        <w:tblPrEx>
          <w:tblW w:w="0" w:type="auto"/>
          <w:tblLook w:val="04A0"/>
        </w:tblPrEx>
        <w:tc>
          <w:tcPr>
            <w:tcW w:w="2160" w:type="dxa"/>
            <w:vAlign w:val="center"/>
          </w:tcPr>
          <w:p w:rsidR="00A75F64" w14:paraId="6127956F" w14:textId="77777777">
            <w:pPr>
              <w:bidi/>
              <w:jc w:val="right"/>
            </w:pPr>
            <w:r>
              <w:rPr>
                <w:sz w:val="18"/>
                <w:szCs w:val="18"/>
                <w:rtl/>
              </w:rPr>
              <w:t>يدعم ذكاء الأعمال والتحليلات</w:t>
            </w:r>
          </w:p>
        </w:tc>
        <w:tc>
          <w:tcPr>
            <w:tcW w:w="2160" w:type="dxa"/>
            <w:vAlign w:val="center"/>
          </w:tcPr>
          <w:p w:rsidR="00A75F64" w14:paraId="469CB4C4" w14:textId="77777777">
            <w:pPr>
              <w:bidi/>
              <w:jc w:val="right"/>
            </w:pPr>
            <w:r>
              <w:rPr>
                <w:sz w:val="18"/>
                <w:szCs w:val="18"/>
                <w:rtl/>
              </w:rPr>
              <w:t>البدء بقيمة واضحة وقابلة للقياس</w:t>
            </w:r>
          </w:p>
        </w:tc>
        <w:tc>
          <w:tcPr>
            <w:tcW w:w="2160" w:type="dxa"/>
            <w:vAlign w:val="center"/>
          </w:tcPr>
          <w:p w:rsidR="00A75F64" w14:paraId="04CF9D32" w14:textId="77777777">
            <w:pPr>
              <w:bidi/>
              <w:jc w:val="right"/>
            </w:pPr>
            <w:r>
              <w:rPr>
                <w:sz w:val="18"/>
                <w:szCs w:val="18"/>
                <w:rtl/>
              </w:rPr>
              <w:t>تحليل حالات استخدام</w:t>
            </w:r>
          </w:p>
        </w:tc>
        <w:tc>
          <w:tcPr>
            <w:tcW w:w="2160" w:type="dxa"/>
            <w:vAlign w:val="center"/>
          </w:tcPr>
          <w:p w:rsidR="00A75F64" w14:paraId="2BCE4069" w14:textId="77777777">
            <w:pPr>
              <w:bidi/>
              <w:jc w:val="right"/>
            </w:pPr>
            <w:r>
              <w:rPr>
                <w:sz w:val="18"/>
              </w:rPr>
              <w:t xml:space="preserve">Davenport &amp; </w:t>
            </w:r>
            <w:r>
              <w:rPr>
                <w:sz w:val="18"/>
              </w:rPr>
              <w:t>Ronanki</w:t>
            </w:r>
            <w:r>
              <w:rPr>
                <w:sz w:val="18"/>
              </w:rPr>
              <w:t xml:space="preserve"> </w:t>
            </w:r>
            <w:r>
              <w:rPr>
                <w:sz w:val="18"/>
              </w:rPr>
              <w:t>(2018)</w:t>
            </w:r>
          </w:p>
        </w:tc>
      </w:tr>
      <w:tr w14:paraId="2F0DCE28" w14:textId="77777777">
        <w:tblPrEx>
          <w:tblW w:w="0" w:type="auto"/>
          <w:tblLook w:val="04A0"/>
        </w:tblPrEx>
        <w:tc>
          <w:tcPr>
            <w:tcW w:w="2160" w:type="dxa"/>
            <w:shd w:val="clear" w:color="auto" w:fill="F2F7FB"/>
            <w:vAlign w:val="center"/>
          </w:tcPr>
          <w:p w:rsidR="00A75F64" w14:paraId="1B958539" w14:textId="77777777">
            <w:pPr>
              <w:bidi/>
              <w:jc w:val="right"/>
            </w:pPr>
            <w:r>
              <w:rPr>
                <w:sz w:val="18"/>
                <w:szCs w:val="18"/>
                <w:rtl/>
              </w:rPr>
              <w:t>يدعم التكامل ورحلة المريض</w:t>
            </w:r>
          </w:p>
        </w:tc>
        <w:tc>
          <w:tcPr>
            <w:tcW w:w="2160" w:type="dxa"/>
            <w:shd w:val="clear" w:color="auto" w:fill="F2F7FB"/>
            <w:vAlign w:val="center"/>
          </w:tcPr>
          <w:p w:rsidR="00A75F64" w14:paraId="5224A06A" w14:textId="77777777">
            <w:pPr>
              <w:bidi/>
              <w:jc w:val="right"/>
            </w:pPr>
            <w:r>
              <w:rPr>
                <w:sz w:val="18"/>
                <w:szCs w:val="18"/>
                <w:rtl/>
              </w:rPr>
              <w:t>الابتكار الرقمي يغير العمليات والخدمات</w:t>
            </w:r>
          </w:p>
        </w:tc>
        <w:tc>
          <w:tcPr>
            <w:tcW w:w="2160" w:type="dxa"/>
            <w:shd w:val="clear" w:color="auto" w:fill="F2F7FB"/>
            <w:vAlign w:val="center"/>
          </w:tcPr>
          <w:p w:rsidR="00A75F64" w14:paraId="622AF200" w14:textId="77777777">
            <w:pPr>
              <w:bidi/>
              <w:jc w:val="right"/>
            </w:pPr>
            <w:r>
              <w:rPr>
                <w:sz w:val="18"/>
                <w:szCs w:val="18"/>
                <w:rtl/>
              </w:rPr>
              <w:t>مقال مفاهيمي</w:t>
            </w:r>
          </w:p>
        </w:tc>
        <w:tc>
          <w:tcPr>
            <w:tcW w:w="2160" w:type="dxa"/>
            <w:shd w:val="clear" w:color="auto" w:fill="F2F7FB"/>
            <w:vAlign w:val="center"/>
          </w:tcPr>
          <w:p w:rsidR="00A75F64" w14:paraId="2492CEA1" w14:textId="77777777">
            <w:pPr>
              <w:bidi/>
              <w:jc w:val="right"/>
            </w:pPr>
            <w:r>
              <w:rPr>
                <w:sz w:val="18"/>
              </w:rPr>
              <w:t>Fichman et al. (2014)</w:t>
            </w:r>
          </w:p>
        </w:tc>
      </w:tr>
      <w:tr w14:paraId="4BA5EE7C" w14:textId="77777777">
        <w:tblPrEx>
          <w:tblW w:w="0" w:type="auto"/>
          <w:tblLook w:val="04A0"/>
        </w:tblPrEx>
        <w:tc>
          <w:tcPr>
            <w:tcW w:w="2160" w:type="dxa"/>
            <w:vAlign w:val="center"/>
          </w:tcPr>
          <w:p w:rsidR="00A75F64" w14:paraId="3FAA9BF0" w14:textId="77777777">
            <w:pPr>
              <w:bidi/>
              <w:jc w:val="right"/>
            </w:pPr>
            <w:r>
              <w:rPr>
                <w:sz w:val="18"/>
                <w:szCs w:val="18"/>
                <w:rtl/>
              </w:rPr>
              <w:t>يدعم الأهمية التطبيقية</w:t>
            </w:r>
          </w:p>
        </w:tc>
        <w:tc>
          <w:tcPr>
            <w:tcW w:w="2160" w:type="dxa"/>
            <w:vAlign w:val="center"/>
          </w:tcPr>
          <w:p w:rsidR="00A75F64" w14:paraId="0F2D2400" w14:textId="77777777">
            <w:pPr>
              <w:bidi/>
              <w:jc w:val="right"/>
            </w:pPr>
            <w:r>
              <w:rPr>
                <w:sz w:val="18"/>
                <w:szCs w:val="18"/>
                <w:rtl/>
              </w:rPr>
              <w:t>رفع الكفاءة وتطوير الخدمات والتحول المؤسسي</w:t>
            </w:r>
          </w:p>
        </w:tc>
        <w:tc>
          <w:tcPr>
            <w:tcW w:w="2160" w:type="dxa"/>
            <w:vAlign w:val="center"/>
          </w:tcPr>
          <w:p w:rsidR="00A75F64" w14:paraId="51CAD75C" w14:textId="77777777">
            <w:pPr>
              <w:bidi/>
              <w:jc w:val="right"/>
            </w:pPr>
            <w:r>
              <w:rPr>
                <w:sz w:val="18"/>
                <w:szCs w:val="18"/>
                <w:rtl/>
              </w:rPr>
              <w:t>وثيقة وطنية</w:t>
            </w:r>
          </w:p>
        </w:tc>
        <w:tc>
          <w:tcPr>
            <w:tcW w:w="2160" w:type="dxa"/>
            <w:vAlign w:val="center"/>
          </w:tcPr>
          <w:p w:rsidR="00A75F64" w14:paraId="6DB4C993" w14:textId="77777777">
            <w:pPr>
              <w:bidi/>
              <w:jc w:val="right"/>
            </w:pPr>
            <w:r>
              <w:rPr>
                <w:sz w:val="18"/>
                <w:szCs w:val="18"/>
                <w:rtl/>
              </w:rPr>
              <w:t>رؤية السعودية 2030 (2016)</w:t>
            </w:r>
          </w:p>
        </w:tc>
      </w:tr>
      <w:tr w14:paraId="19BD3BA2" w14:textId="77777777">
        <w:tblPrEx>
          <w:tblW w:w="0" w:type="auto"/>
          <w:tblLook w:val="04A0"/>
        </w:tblPrEx>
        <w:tc>
          <w:tcPr>
            <w:tcW w:w="2160" w:type="dxa"/>
            <w:shd w:val="clear" w:color="auto" w:fill="F2F7FB"/>
            <w:vAlign w:val="center"/>
          </w:tcPr>
          <w:p w:rsidR="00A75F64" w14:paraId="37BADC0C" w14:textId="77777777">
            <w:pPr>
              <w:bidi/>
              <w:jc w:val="right"/>
            </w:pPr>
            <w:r>
              <w:rPr>
                <w:sz w:val="18"/>
                <w:szCs w:val="18"/>
                <w:rtl/>
              </w:rPr>
              <w:t>يدعم محور الحوكمة وجودة البيانات</w:t>
            </w:r>
          </w:p>
        </w:tc>
        <w:tc>
          <w:tcPr>
            <w:tcW w:w="2160" w:type="dxa"/>
            <w:shd w:val="clear" w:color="auto" w:fill="F2F7FB"/>
            <w:vAlign w:val="center"/>
          </w:tcPr>
          <w:p w:rsidR="00A75F64" w14:paraId="16987966" w14:textId="77777777">
            <w:pPr>
              <w:bidi/>
              <w:jc w:val="right"/>
            </w:pPr>
            <w:r>
              <w:rPr>
                <w:sz w:val="18"/>
                <w:szCs w:val="18"/>
                <w:rtl/>
              </w:rPr>
              <w:t>حوكمة البيانات ومسؤوليات إدارتها</w:t>
            </w:r>
          </w:p>
        </w:tc>
        <w:tc>
          <w:tcPr>
            <w:tcW w:w="2160" w:type="dxa"/>
            <w:shd w:val="clear" w:color="auto" w:fill="F2F7FB"/>
            <w:vAlign w:val="center"/>
          </w:tcPr>
          <w:p w:rsidR="00A75F64" w14:paraId="72760B01" w14:textId="77777777">
            <w:pPr>
              <w:bidi/>
              <w:jc w:val="right"/>
            </w:pPr>
            <w:r>
              <w:rPr>
                <w:sz w:val="18"/>
                <w:szCs w:val="18"/>
                <w:rtl/>
              </w:rPr>
              <w:t>سياسات وطنية</w:t>
            </w:r>
          </w:p>
        </w:tc>
        <w:tc>
          <w:tcPr>
            <w:tcW w:w="2160" w:type="dxa"/>
            <w:shd w:val="clear" w:color="auto" w:fill="F2F7FB"/>
            <w:vAlign w:val="center"/>
          </w:tcPr>
          <w:p w:rsidR="00A75F64" w14:paraId="3591141C" w14:textId="77777777">
            <w:pPr>
              <w:bidi/>
              <w:jc w:val="right"/>
            </w:pPr>
            <w:r>
              <w:rPr>
                <w:sz w:val="18"/>
              </w:rPr>
              <w:t>SDAIA (2020)</w:t>
            </w:r>
          </w:p>
        </w:tc>
      </w:tr>
    </w:tbl>
    <w:p w:rsidR="00A75F64" w14:paraId="0BA577F1" w14:textId="77777777">
      <w:pPr>
        <w:pStyle w:val="Heading2"/>
        <w:bidi/>
      </w:pPr>
      <w:bookmarkStart w:id="30" w:name="_Toc235127418"/>
      <w:r>
        <w:rPr>
          <w:rtl/>
        </w:rPr>
        <w:t>2.16 الفجوة البحثية المشتقة من المراجعة</w:t>
      </w:r>
      <w:bookmarkEnd w:id="30"/>
    </w:p>
    <w:p w:rsidR="00A75F64" w14:paraId="65F713F8" w14:textId="77777777">
      <w:pPr>
        <w:bidi/>
        <w:spacing w:after="120" w:line="360" w:lineRule="auto"/>
      </w:pPr>
      <w:r>
        <w:rPr>
          <w:rtl/>
        </w:rPr>
        <w:t>تكشف المراجعة أن الأدبيات تقدم دعماً قوياً للعلاقة العامة بين التحول الرقمي والقيمة التنظيمية، لكنها لا تقدم نتيجة واحدة قابلة للتعميم على جميع المؤسسات الصحية. تختلف النتائج باختلاف مستوى النضج، ونطاق الأنظمة، وجودة البيانات، ودعم الإدارة، والبيئة التنظيمية. ومن هنا تركز الدراسة على قياس التصورات في مؤسسات صحية داخل المملكة بدلاً من نقل نتائج سياقات أخرى بصورة مباشرة.</w:t>
      </w:r>
    </w:p>
    <w:p w:rsidR="00A75F64" w14:paraId="52C5EC81" w14:textId="77777777">
      <w:pPr>
        <w:bidi/>
        <w:spacing w:after="120" w:line="360" w:lineRule="auto"/>
      </w:pPr>
      <w:r>
        <w:rPr>
          <w:rtl/>
        </w:rPr>
        <w:t>تتمثل الفجوة الثانية في قلة الدراسات التي تجمع الأداء التشغيلي والمالي وجودة الخدمات والتحديات في أداة واحدة. وقد يؤدي التركيز على بُعد واحد إلى تقييم ناقص؛ فالمبادرة قد تحسن السرعة دون أن تخفض التكلفة، أو قد تحسن التقارير دون أن تنعكس على تجربة المريض. ويقدم النموذج الحالي رؤية متوازنة تسمح بمقارنة قوة العلاقات بين الأبعاد.</w:t>
      </w:r>
    </w:p>
    <w:p w:rsidR="00A75F64" w14:paraId="0E0F01C9" w14:textId="77777777">
      <w:pPr>
        <w:bidi/>
        <w:spacing w:after="120" w:line="360" w:lineRule="auto"/>
      </w:pPr>
      <w:r>
        <w:rPr>
          <w:rtl/>
        </w:rPr>
        <w:t>تتمثل الفجوة الثالثة في الفصل المتكرر بين الدراسات الكمية والوصف التطبيقي للتحول. ولذلك تستخدم الدراسة مسحاً كمياً مع دراسة حالة داعمة. ولا يُعامل المصدران على أنهما دليل سببي واحد، بل تُستخدم الحالة لتفسير آليات التنفيذ والمبادرات والتحديات التي يمكن أن تساعد في فهم الأنماط الكمية.</w:t>
      </w:r>
    </w:p>
    <w:p w:rsidR="00A75F64" w14:paraId="70C4253A" w14:textId="77777777">
      <w:pPr>
        <w:bidi/>
        <w:spacing w:after="120" w:line="360" w:lineRule="auto"/>
      </w:pPr>
      <w:r>
        <w:rPr>
          <w:rtl/>
        </w:rPr>
        <w:t>تتمثل الفجوة الرابعة في الحاجة إلى قراءة سعودية تراعي التحول الصحي الوطني ومتطلبات الحوكمة والأمن والخصوصية. وتضيف الدراسة قيمة تطبيقية من خلال ربط النتائج بتوصيات قابلة للتنفيذ في بيئة صحية متعددة الفروع، مع المحافظة على حدود التعميم وعلى سرية المؤسسة محل الحالة.</w:t>
      </w:r>
    </w:p>
    <w:p w:rsidR="002A5471" w:rsidP="002A5471" w14:paraId="2FD51E87" w14:textId="77777777">
      <w:pPr>
        <w:bidi/>
        <w:spacing w:after="120" w:line="360" w:lineRule="auto"/>
      </w:pPr>
    </w:p>
    <w:p w:rsidR="002A5471" w:rsidP="002A5471" w14:paraId="1E00EFA5" w14:textId="77777777">
      <w:pPr>
        <w:bidi/>
        <w:spacing w:after="120" w:line="360" w:lineRule="auto"/>
      </w:pPr>
    </w:p>
    <w:p w:rsidR="002A5471" w:rsidP="002A5471" w14:paraId="24F6552D" w14:textId="77777777">
      <w:pPr>
        <w:bidi/>
        <w:spacing w:after="120" w:line="360" w:lineRule="auto"/>
      </w:pPr>
    </w:p>
    <w:p w:rsidR="00A75F64" w14:paraId="192E56B9" w14:textId="77777777">
      <w:pPr>
        <w:pStyle w:val="Heading2"/>
        <w:bidi/>
        <w:spacing w:after="100" w:line="324" w:lineRule="auto"/>
      </w:pPr>
      <w:bookmarkStart w:id="31" w:name="_Toc235127419"/>
      <w:r>
        <w:rPr>
          <w:rtl/>
        </w:rPr>
        <w:t>2.17 خلاصة الفصل</w:t>
      </w:r>
      <w:bookmarkEnd w:id="31"/>
    </w:p>
    <w:p w:rsidR="00A75F64" w14:paraId="21C1B39A" w14:textId="77777777">
      <w:pPr>
        <w:bidi/>
        <w:spacing w:after="120" w:line="360" w:lineRule="auto"/>
        <w:ind w:firstLine="360"/>
      </w:pPr>
      <w:r>
        <w:rPr>
          <w:rFonts w:cs="Arial"/>
          <w:rtl/>
        </w:rPr>
        <w:t>بيّن الفصل أن التحول الرقمي ظاهرة تنظيمية متعددة الأبعاد، وأن قيمته تتحدد من خلال التكامل والحوكمة والقدرات البشرية وربط التقنية بالمخرجات. وينتقل الفصل التالي إلى تصميم الدراسة وأداة القياس وخطة التحليل.</w:t>
      </w:r>
    </w:p>
    <w:p w:rsidR="00A75F64" w14:paraId="1F13DDDC" w14:textId="77777777">
      <w:pPr>
        <w:spacing w:after="100" w:line="312" w:lineRule="auto"/>
      </w:pPr>
    </w:p>
    <w:sectPr>
      <w:headerReference w:type="default" r:id="rId14"/>
      <w:footerReference w:type="default" r:id="rId15"/>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77DE2F1D" w14:textId="77777777">
    <w:pPr>
      <w:pStyle w:val="Footer"/>
      <w:bidi/>
      <w:jc w:val="center"/>
    </w:pPr>
    <w:r>
      <w:rPr>
        <w:rFonts w:cs="Arial"/>
        <w:color w:val="6E6E6E"/>
        <w:sz w:val="16"/>
        <w:szCs w:val="16"/>
        <w:rtl/>
      </w:rPr>
      <w:t xml:space="preserve">أحمد </w:t>
    </w:r>
    <w:r>
      <w:rPr>
        <w:rFonts w:cs="Arial"/>
        <w:color w:val="6E6E6E"/>
        <w:sz w:val="16"/>
        <w:szCs w:val="16"/>
        <w:rtl/>
      </w:rPr>
      <w:t xml:space="preserve">سيد سعيد حسن  |  </w:t>
    </w:r>
    <w:r>
      <w:rPr>
        <w:color w:val="6E6E6E"/>
        <w:sz w:val="16"/>
      </w:rPr>
      <w:fldChar w:fldCharType="begin"/>
    </w:r>
    <w:r>
      <w:rPr>
        <w:color w:val="6E6E6E"/>
        <w:sz w:val="16"/>
      </w:rPr>
      <w:instrText xml:space="preserve"> PAGE </w:instrText>
    </w:r>
    <w:r>
      <w:rPr>
        <w:color w:val="6E6E6E"/>
        <w:sz w:val="16"/>
      </w:rPr>
      <w:fldChar w:fldCharType="separate"/>
    </w:r>
    <w:r>
      <w:rPr>
        <w:noProof/>
        <w:color w:val="6E6E6E"/>
        <w:sz w:val="16"/>
        <w:rtl/>
      </w:rPr>
      <w:t>0</w:t>
    </w:r>
    <w:r>
      <w:rPr>
        <w:color w:val="6E6E6E"/>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109A" w14:paraId="7D0E23DB" w14:textId="77777777">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07AC31AE" w14:textId="64055783">
    <w:pPr>
      <w:pStyle w:val="Footer"/>
      <w:bidi/>
      <w:jc w:val="center"/>
    </w:pPr>
    <w:r>
      <w:rPr>
        <w:rFonts w:cs="Arial"/>
        <w:color w:val="6E6E6E"/>
        <w:sz w:val="16"/>
        <w:szCs w:val="16"/>
        <w:rtl/>
      </w:rPr>
      <w:t xml:space="preserve">|  </w:t>
    </w:r>
    <w:r>
      <w:rPr>
        <w:color w:val="6E6E6E"/>
        <w:sz w:val="16"/>
      </w:rPr>
      <w:fldChar w:fldCharType="begin"/>
    </w:r>
    <w:r>
      <w:rPr>
        <w:color w:val="6E6E6E"/>
        <w:sz w:val="16"/>
      </w:rPr>
      <w:instrText xml:space="preserve"> PAGE </w:instrText>
    </w:r>
    <w:r>
      <w:rPr>
        <w:color w:val="6E6E6E"/>
        <w:sz w:val="16"/>
      </w:rPr>
      <w:fldChar w:fldCharType="separate"/>
    </w:r>
    <w:r>
      <w:rPr>
        <w:noProof/>
        <w:color w:val="6E6E6E"/>
        <w:sz w:val="16"/>
        <w:rtl/>
      </w:rPr>
      <w:t>0</w:t>
    </w:r>
    <w:r>
      <w:rPr>
        <w:color w:val="6E6E6E"/>
        <w:sz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109A" w14:paraId="23FF0AB0" w14:textId="77777777">
    <w:pP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6D7E5371" w14:textId="103F3272">
    <w:pPr>
      <w:pStyle w:val="Footer"/>
      <w:bidi/>
      <w:jc w:val="center"/>
    </w:pPr>
    <w:r>
      <w:rPr>
        <w:rFonts w:cs="Arial"/>
        <w:color w:val="6E6E6E"/>
        <w:sz w:val="16"/>
        <w:szCs w:val="16"/>
        <w:rtl/>
      </w:rPr>
      <w:t xml:space="preserve">|  </w:t>
    </w:r>
    <w:r>
      <w:rPr>
        <w:color w:val="6E6E6E"/>
        <w:sz w:val="16"/>
      </w:rPr>
      <w:fldChar w:fldCharType="begin"/>
    </w:r>
    <w:r>
      <w:rPr>
        <w:color w:val="6E6E6E"/>
        <w:sz w:val="16"/>
      </w:rPr>
      <w:instrText xml:space="preserve"> PAGE </w:instrText>
    </w:r>
    <w:r>
      <w:rPr>
        <w:color w:val="6E6E6E"/>
        <w:sz w:val="16"/>
      </w:rPr>
      <w:fldChar w:fldCharType="separate"/>
    </w:r>
    <w:r>
      <w:rPr>
        <w:noProof/>
        <w:color w:val="6E6E6E"/>
        <w:sz w:val="16"/>
        <w:rtl/>
      </w:rPr>
      <w:t>0</w:t>
    </w:r>
    <w:r>
      <w:rPr>
        <w:color w:val="6E6E6E"/>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706C4635" w14:textId="77777777">
    <w:pPr>
      <w:pStyle w:val="Header"/>
      <w:bidi/>
      <w:jc w:val="center"/>
    </w:pPr>
    <w:r>
      <w:rPr>
        <w:rFonts w:cs="Arial"/>
        <w:color w:val="6E6E6E"/>
        <w:sz w:val="16"/>
        <w:szCs w:val="16"/>
        <w:rtl/>
      </w:rPr>
      <w:t>أثر التحول الرقمي على الأداء التشغيلي والمالي في المؤسسات الصحية السعودية</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109A" w14:paraId="38FFB6C1" w14:textId="77777777">
    <w:pPr>
      <w:spacing w:after="0" w:line="240" w:lineRule="auto"/>
    </w:pPr>
    <w:r>
      <w:pict>
        <v:rect id="divBg" o:spid="_x0000_s2049" style="width:612pt;height:11in;margin-top:0;margin-left:0;mso-position-horizontal-relative:page;mso-position-vertical-relative:page;position:absolute;z-index:-251658240" fillcolor="#262626" stroked="f"/>
      </w:pict>
    </w:r>
    <w:r>
      <w:pict>
        <v:rect id="divFrameOuter" o:spid="_x0000_s2050" style="width:568pt;height:748pt;margin-top:22pt;margin-left:22pt;mso-position-horizontal-relative:page;mso-position-vertical-relative:page;position:absolute;z-index:-251656192" filled="f" strokecolor="#8c8c8c" strokeweight="1pt"/>
      </w:pict>
    </w:r>
    <w:r>
      <w:pict>
        <v:rect id="divFrameInner" o:spid="_x0000_s2051" style="width:560pt;height:740pt;margin-top:26pt;margin-left:26pt;mso-position-horizontal-relative:page;mso-position-vertical-relative:page;position:absolute;z-index:-251654144" filled="f" strokecolor="#8c8c8c"/>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06AB3CA9" w14:textId="77777777">
    <w:pPr>
      <w:pStyle w:val="Header"/>
      <w:bidi/>
      <w:jc w:val="center"/>
    </w:pPr>
    <w:r>
      <w:rPr>
        <w:rFonts w:cs="Arial"/>
        <w:color w:val="6E6E6E"/>
        <w:sz w:val="16"/>
        <w:szCs w:val="16"/>
        <w:rtl/>
      </w:rPr>
      <w:t xml:space="preserve">أثر </w:t>
    </w:r>
    <w:r>
      <w:rPr>
        <w:rFonts w:cs="Arial"/>
        <w:color w:val="6E6E6E"/>
        <w:sz w:val="16"/>
        <w:szCs w:val="16"/>
        <w:rtl/>
      </w:rPr>
      <w:t>التحول الرقمي على الأداء التشغيلي والمالي في المؤسسات الصحية السعودية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109A" w14:paraId="6FB2D097" w14:textId="77777777">
    <w:pPr>
      <w:spacing w:after="0" w:line="240" w:lineRule="auto"/>
    </w:pPr>
    <w:r>
      <w:pict>
        <v:rect id="_x0000_s2052" style="width:612pt;height:11in;margin-top:0;margin-left:0;mso-position-horizontal-relative:page;mso-position-vertical-relative:page;position:absolute;z-index:-251657216" fillcolor="#262626" stroked="f"/>
      </w:pict>
    </w:r>
    <w:r>
      <w:pict>
        <v:rect id="_x0000_s2053" style="width:568pt;height:748pt;margin-top:22pt;margin-left:22pt;mso-position-horizontal-relative:page;mso-position-vertical-relative:page;position:absolute;z-index:-251655168" filled="f" strokecolor="#8c8c8c" strokeweight="1pt"/>
      </w:pict>
    </w:r>
    <w:r>
      <w:pict>
        <v:rect id="_x0000_s2054" style="width:560pt;height:740pt;margin-top:26pt;margin-left:26pt;mso-position-horizontal-relative:page;mso-position-vertical-relative:page;position:absolute;z-index:-251653120" filled="f" strokecolor="#8c8c8c"/>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75F64" w14:paraId="49768D08" w14:textId="77777777">
    <w:pPr>
      <w:pStyle w:val="Header"/>
      <w:bidi/>
      <w:jc w:val="center"/>
    </w:pPr>
    <w:r>
      <w:rPr>
        <w:rFonts w:cs="Arial"/>
        <w:color w:val="6E6E6E"/>
        <w:sz w:val="16"/>
        <w:szCs w:val="16"/>
        <w:rtl/>
      </w:rPr>
      <w:t xml:space="preserve">أثر </w:t>
    </w:r>
    <w:r>
      <w:rPr>
        <w:rFonts w:cs="Arial"/>
        <w:color w:val="6E6E6E"/>
        <w:sz w:val="16"/>
        <w:szCs w:val="16"/>
        <w:rtl/>
      </w:rPr>
      <w:t>التحول الرقمي على الأداء التشغيلي والمالي في المؤسسات الصحية السعودية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B47730"/>
    <w:rsid w:val="00034616"/>
    <w:rsid w:val="0006063C"/>
    <w:rsid w:val="00067C90"/>
    <w:rsid w:val="00070CE5"/>
    <w:rsid w:val="0010375B"/>
    <w:rsid w:val="00131A22"/>
    <w:rsid w:val="00134C64"/>
    <w:rsid w:val="0015074B"/>
    <w:rsid w:val="0019643B"/>
    <w:rsid w:val="00271409"/>
    <w:rsid w:val="0029639D"/>
    <w:rsid w:val="002A5471"/>
    <w:rsid w:val="00326F90"/>
    <w:rsid w:val="003A1284"/>
    <w:rsid w:val="004D1C13"/>
    <w:rsid w:val="00597A21"/>
    <w:rsid w:val="005C0C10"/>
    <w:rsid w:val="00603F11"/>
    <w:rsid w:val="00753A5D"/>
    <w:rsid w:val="00964111"/>
    <w:rsid w:val="00994591"/>
    <w:rsid w:val="00A75F64"/>
    <w:rsid w:val="00AA1D8D"/>
    <w:rsid w:val="00B47730"/>
    <w:rsid w:val="00BB1B33"/>
    <w:rsid w:val="00C76283"/>
    <w:rsid w:val="00C8109A"/>
    <w:rsid w:val="00CB0664"/>
    <w:rsid w:val="00D31D52"/>
    <w:rsid w:val="00DD0CD0"/>
    <w:rsid w:val="00DD1DC7"/>
    <w:rsid w:val="00FC693F"/>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efaultImageDpi w14:val="300"/>
  <w14:docId w14:val="648C1567"/>
  <w15:docId w15:val="{C7AA734F-548A-480A-94FA-E867EBCB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17365D"/>
      <w:sz w:val="34"/>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b/>
      <w:bCs/>
      <w:color w:val="2F5597"/>
      <w:sz w:val="28"/>
      <w:szCs w:val="26"/>
    </w:rPr>
  </w:style>
  <w:style w:type="paragraph" w:styleId="Heading3">
    <w:name w:val="heading 3"/>
    <w:basedOn w:val="Normal"/>
    <w:next w:val="Normal"/>
    <w:link w:val="Heading3Char"/>
    <w:uiPriority w:val="9"/>
    <w:unhideWhenUsed/>
    <w:qFormat/>
    <w:rsid w:val="00FC693F"/>
    <w:pPr>
      <w:keepNext/>
      <w:keepLines/>
      <w:spacing w:before="200" w:after="120"/>
      <w:outlineLvl w:val="2"/>
    </w:pPr>
    <w:rPr>
      <w:rFonts w:asciiTheme="majorHAnsi" w:eastAsiaTheme="majorEastAsia" w:hAnsiTheme="majorHAnsi" w:cstheme="majorBidi"/>
      <w:b/>
      <w:bCs/>
      <w:color w:val="44546A"/>
      <w:sz w:val="25"/>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20" w:line="240" w:lineRule="auto"/>
      <w:contextualSpacing/>
    </w:pPr>
    <w:rPr>
      <w:rFonts w:asciiTheme="majorHAnsi" w:eastAsiaTheme="majorEastAsia" w:hAnsiTheme="majorHAnsi" w:cstheme="majorBidi"/>
      <w:b/>
      <w:color w:val="17365D"/>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abicCaption">
    <w:name w:val="Arabic Caption"/>
    <w:rPr>
      <w:rFonts w:ascii="Arial" w:eastAsia="Arial" w:hAnsi="Arial"/>
      <w:b/>
      <w:sz w:val="20"/>
    </w:rPr>
  </w:style>
  <w:style w:type="paragraph" w:styleId="TOC1">
    <w:name w:val="toc 1"/>
    <w:basedOn w:val="Normal"/>
    <w:uiPriority w:val="39"/>
    <w:unhideWhenUsed/>
    <w:pPr>
      <w:bidi/>
      <w:spacing w:after="60"/>
    </w:pPr>
    <w:rPr>
      <w:rFonts w:cs="Arial"/>
      <w:b/>
      <w:bCs/>
      <w:sz w:val="21"/>
      <w:szCs w:val="21"/>
    </w:rPr>
  </w:style>
  <w:style w:type="paragraph" w:styleId="TOC2">
    <w:name w:val="toc 2"/>
    <w:basedOn w:val="Normal"/>
    <w:uiPriority w:val="39"/>
    <w:unhideWhenUsed/>
    <w:pPr>
      <w:bidi/>
      <w:spacing w:after="60"/>
      <w:ind w:right="403"/>
    </w:pPr>
    <w:rPr>
      <w:rFonts w:cs="Arial"/>
      <w:sz w:val="21"/>
      <w:szCs w:val="21"/>
    </w:rPr>
  </w:style>
  <w:style w:type="paragraph" w:customStyle="1" w:styleId="FigureCaptionAr">
    <w:name w:val="Figure Caption Ar"/>
    <w:basedOn w:val="ArabicCaption"/>
    <w:uiPriority w:val="35"/>
  </w:style>
  <w:style w:type="paragraph" w:styleId="TOC3">
    <w:name w:val="toc 3"/>
    <w:basedOn w:val="Normal"/>
    <w:next w:val="Normal"/>
    <w:autoRedefine/>
    <w:uiPriority w:val="39"/>
    <w:unhideWhenUsed/>
    <w:rsid w:val="00134C64"/>
    <w:pPr>
      <w:spacing w:after="100" w:line="259" w:lineRule="auto"/>
      <w:ind w:left="440"/>
    </w:pPr>
    <w:rPr>
      <w:rFonts w:asciiTheme="minorHAnsi" w:eastAsiaTheme="minorEastAsia" w:hAnsiTheme="minorHAnsi"/>
      <w:sz w:val="22"/>
    </w:rPr>
  </w:style>
  <w:style w:type="paragraph" w:styleId="TOC4">
    <w:name w:val="toc 4"/>
    <w:basedOn w:val="Normal"/>
    <w:next w:val="Normal"/>
    <w:autoRedefine/>
    <w:uiPriority w:val="39"/>
    <w:unhideWhenUsed/>
    <w:rsid w:val="00134C64"/>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134C64"/>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134C64"/>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134C64"/>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134C64"/>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134C64"/>
    <w:pPr>
      <w:spacing w:after="100" w:line="259" w:lineRule="auto"/>
      <w:ind w:left="1760"/>
    </w:pPr>
    <w:rPr>
      <w:rFonts w:asciiTheme="minorHAnsi" w:eastAsiaTheme="minorEastAsia" w:hAnsiTheme="minorHAnsi"/>
      <w:sz w:val="22"/>
    </w:rPr>
  </w:style>
  <w:style w:type="character" w:styleId="Hyperlink">
    <w:name w:val="Hyperlink"/>
    <w:basedOn w:val="DefaultParagraphFont"/>
    <w:uiPriority w:val="99"/>
    <w:unhideWhenUsed/>
    <w:rsid w:val="00134C64"/>
    <w:rPr>
      <w:color w:val="0000FF" w:themeColor="hyperlink"/>
      <w:u w:val="single"/>
    </w:rPr>
  </w:style>
  <w:style w:type="character" w:styleId="UnresolvedMention">
    <w:name w:val="Unresolved Mention"/>
    <w:basedOn w:val="DefaultParagraphFont"/>
    <w:uiPriority w:val="99"/>
    <w:semiHidden/>
    <w:unhideWhenUsed/>
    <w:rsid w:val="00134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image" Target="media/image1.png"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3911</Words>
  <Characters>22297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التحول الرقمي على تحسين الأداء التشغيلي والمالي في المؤسسات الصحية في المملكة العربية السعودية</dc:title>
  <dc:subject>مشروع بحث نهائي لبرنامج ماجستير إدارة الأعمال</dc:subject>
  <dc:creator>أحمد سيد سعيد حسن</dc:creator>
  <cp:keywords>التحول الرقمي، الأداء التشغيلي، الأداء المالي، الرعاية الصحية، المملكة العربية السعودية</cp:keywords>
  <dc:description>نسخة نهائية تمت مراجعتها وفق نموذج تقييم المشروع النهائي وبيانات الاستبانة الفعلية (N=152).</dc:description>
  <cp:lastModifiedBy>ahmed Saied</cp:lastModifiedBy>
  <cp:revision>17</cp:revision>
  <dcterms:created xsi:type="dcterms:W3CDTF">2026-07-16T08:31:00Z</dcterms:created>
  <dcterms:modified xsi:type="dcterms:W3CDTF">2026-07-16T21:02:23Z</dcterms:modified>
</cp:coreProperties>
</file>