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D6A0C" w14:textId="77777777" w:rsidR="00722437" w:rsidRPr="001902DB" w:rsidRDefault="00722437" w:rsidP="00722437">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14:paraId="074A0DAD" w14:textId="77777777" w:rsidR="00722437" w:rsidRPr="001902DB" w:rsidRDefault="00722437" w:rsidP="00722437">
      <w:pPr>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76108344" wp14:editId="7288D19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  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3EFB6BFB" w14:textId="77777777" w:rsidR="00722437" w:rsidRPr="009125CE" w:rsidRDefault="00722437" w:rsidP="00722437">
      <w:pPr>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تخصص إدارة الاعمال</w:t>
      </w:r>
    </w:p>
    <w:p w14:paraId="4E6A569F" w14:textId="77777777" w:rsidR="00722437" w:rsidRPr="009125CE" w:rsidRDefault="00722437" w:rsidP="00722437">
      <w:pPr>
        <w:rPr>
          <w:rFonts w:ascii="Sakkal Majalla" w:hAnsi="Sakkal Majalla" w:cs="Sakkal Majalla"/>
          <w:sz w:val="28"/>
          <w:szCs w:val="28"/>
          <w:rtl/>
          <w:lang w:bidi="ar-EG"/>
        </w:rPr>
      </w:pPr>
    </w:p>
    <w:p w14:paraId="6089F4D1" w14:textId="77777777" w:rsidR="00722437" w:rsidRPr="009125CE" w:rsidRDefault="00722437" w:rsidP="00722437">
      <w:pPr>
        <w:rPr>
          <w:rFonts w:ascii="Sakkal Majalla" w:hAnsi="Sakkal Majalla" w:cs="Sakkal Majalla"/>
          <w:sz w:val="28"/>
          <w:szCs w:val="28"/>
          <w:rtl/>
          <w:lang w:bidi="ar-EG"/>
        </w:rPr>
      </w:pPr>
    </w:p>
    <w:p w14:paraId="3ACA1B57" w14:textId="77777777" w:rsidR="00722437" w:rsidRPr="00F147B4" w:rsidRDefault="00722437" w:rsidP="00722437">
      <w:pPr>
        <w:rPr>
          <w:rFonts w:ascii="Simplified Arabic" w:hAnsi="Simplified Arabic" w:cs="Simplified Arabic"/>
          <w:b/>
          <w:bCs/>
          <w:sz w:val="28"/>
          <w:szCs w:val="28"/>
          <w:rtl/>
        </w:rPr>
      </w:pPr>
    </w:p>
    <w:p w14:paraId="7687AE8C" w14:textId="77777777" w:rsidR="00722437" w:rsidRPr="00F147B4" w:rsidRDefault="00722437" w:rsidP="00722437">
      <w:pPr>
        <w:jc w:val="center"/>
        <w:rPr>
          <w:rFonts w:ascii="Simplified Arabic" w:hAnsi="Simplified Arabic" w:cs="Simplified Arabic"/>
          <w:b/>
          <w:bCs/>
          <w:sz w:val="32"/>
          <w:szCs w:val="32"/>
          <w:rtl/>
        </w:rPr>
      </w:pPr>
      <w:r w:rsidRPr="00F147B4">
        <w:rPr>
          <w:rFonts w:ascii="Simplified Arabic" w:hAnsi="Simplified Arabic" w:cs="Simplified Arabic"/>
          <w:b/>
          <w:bCs/>
          <w:sz w:val="32"/>
          <w:szCs w:val="32"/>
          <w:rtl/>
        </w:rPr>
        <w:t>عنوان البحث</w:t>
      </w:r>
    </w:p>
    <w:p w14:paraId="4E4017CF" w14:textId="77777777" w:rsidR="00722437" w:rsidRPr="00F147B4" w:rsidRDefault="00722437" w:rsidP="00722437">
      <w:pPr>
        <w:jc w:val="center"/>
        <w:rPr>
          <w:rFonts w:ascii="Simplified Arabic" w:hAnsi="Simplified Arabic" w:cs="Simplified Arabic"/>
          <w:b/>
          <w:bCs/>
          <w:sz w:val="32"/>
          <w:szCs w:val="32"/>
        </w:rPr>
      </w:pPr>
      <w:r w:rsidRPr="00F147B4">
        <w:rPr>
          <w:rFonts w:ascii="Simplified Arabic" w:hAnsi="Simplified Arabic" w:cs="Simplified Arabic"/>
          <w:b/>
          <w:bCs/>
          <w:sz w:val="32"/>
          <w:szCs w:val="32"/>
          <w:rtl/>
        </w:rPr>
        <w:t>أثر استخدام التحول الذكي علي كفاءة الطاقة والاستدامة في إدارة المرافق</w:t>
      </w:r>
    </w:p>
    <w:p w14:paraId="0BDE5038" w14:textId="77777777" w:rsidR="00722437" w:rsidRPr="00F147B4" w:rsidRDefault="00722437" w:rsidP="00722437">
      <w:pPr>
        <w:jc w:val="center"/>
        <w:rPr>
          <w:rFonts w:ascii="Simplified Arabic" w:hAnsi="Simplified Arabic" w:cs="Simplified Arabic"/>
          <w:b/>
          <w:bCs/>
          <w:sz w:val="32"/>
          <w:szCs w:val="32"/>
          <w:rtl/>
        </w:rPr>
      </w:pPr>
      <w:r w:rsidRPr="00F147B4">
        <w:rPr>
          <w:rFonts w:ascii="Simplified Arabic" w:hAnsi="Simplified Arabic" w:cs="Simplified Arabic"/>
          <w:b/>
          <w:bCs/>
          <w:sz w:val="32"/>
          <w:szCs w:val="32"/>
          <w:rtl/>
        </w:rPr>
        <w:t>" دراسة تطبيقية علي جامعة الأميرة نورة بنت عبدالرحمن</w:t>
      </w:r>
    </w:p>
    <w:p w14:paraId="6AB83D06" w14:textId="77777777" w:rsidR="00722437" w:rsidRPr="00F147B4" w:rsidRDefault="00722437" w:rsidP="00722437">
      <w:pPr>
        <w:rPr>
          <w:rFonts w:ascii="Simplified Arabic" w:hAnsi="Simplified Arabic" w:cs="Simplified Arabic"/>
          <w:b/>
          <w:bCs/>
          <w:sz w:val="28"/>
          <w:szCs w:val="28"/>
          <w:rtl/>
        </w:rPr>
      </w:pPr>
    </w:p>
    <w:p w14:paraId="3909F05D" w14:textId="77777777" w:rsidR="00722437" w:rsidRPr="00536A7D" w:rsidRDefault="00722437" w:rsidP="00722437">
      <w:pPr>
        <w:jc w:val="center"/>
        <w:rPr>
          <w:rFonts w:ascii="Simplified Arabic" w:hAnsi="Simplified Arabic" w:cs="Simplified Arabic"/>
          <w:b/>
          <w:bCs/>
          <w:sz w:val="24"/>
          <w:szCs w:val="24"/>
          <w:rtl/>
        </w:rPr>
      </w:pPr>
      <w:r w:rsidRPr="00536A7D">
        <w:rPr>
          <w:rFonts w:ascii="Simplified Arabic" w:hAnsi="Simplified Arabic" w:cs="Simplified Arabic"/>
          <w:b/>
          <w:bCs/>
          <w:sz w:val="24"/>
          <w:szCs w:val="24"/>
          <w:rtl/>
        </w:rPr>
        <w:t>إعداد الطالب/</w:t>
      </w:r>
    </w:p>
    <w:p w14:paraId="4D56E9D0" w14:textId="77777777" w:rsidR="00722437" w:rsidRPr="00536A7D" w:rsidRDefault="00722437" w:rsidP="00722437">
      <w:pPr>
        <w:jc w:val="center"/>
        <w:rPr>
          <w:rFonts w:ascii="Simplified Arabic" w:hAnsi="Simplified Arabic" w:cs="Simplified Arabic"/>
          <w:b/>
          <w:bCs/>
          <w:sz w:val="24"/>
          <w:szCs w:val="24"/>
          <w:rtl/>
        </w:rPr>
      </w:pPr>
      <w:r w:rsidRPr="00536A7D">
        <w:rPr>
          <w:rFonts w:ascii="Simplified Arabic" w:hAnsi="Simplified Arabic" w:cs="Simplified Arabic"/>
          <w:b/>
          <w:bCs/>
          <w:sz w:val="24"/>
          <w:szCs w:val="24"/>
          <w:rtl/>
        </w:rPr>
        <w:t>حمدين عبيد حمدين</w:t>
      </w:r>
    </w:p>
    <w:p w14:paraId="1A54BC16" w14:textId="77777777" w:rsidR="00722437" w:rsidRPr="00F147B4" w:rsidRDefault="00722437" w:rsidP="00722437">
      <w:pPr>
        <w:jc w:val="center"/>
        <w:rPr>
          <w:rFonts w:ascii="Simplified Arabic" w:hAnsi="Simplified Arabic" w:cs="Simplified Arabic"/>
          <w:b/>
          <w:bCs/>
          <w:sz w:val="20"/>
          <w:szCs w:val="20"/>
        </w:rPr>
      </w:pPr>
    </w:p>
    <w:p w14:paraId="3FC06492" w14:textId="77777777" w:rsidR="00722437" w:rsidRPr="00F147B4" w:rsidRDefault="00722437" w:rsidP="00722437">
      <w:pPr>
        <w:jc w:val="center"/>
        <w:rPr>
          <w:rFonts w:ascii="Simplified Arabic" w:hAnsi="Simplified Arabic" w:cs="Simplified Arabic"/>
          <w:b/>
          <w:bCs/>
          <w:sz w:val="28"/>
          <w:szCs w:val="28"/>
          <w:rtl/>
        </w:rPr>
      </w:pPr>
      <w:hyperlink r:id="rId8" w:history="1">
        <w:r w:rsidRPr="00F147B4">
          <w:rPr>
            <w:rFonts w:ascii="Simplified Arabic" w:hAnsi="Simplified Arabic" w:cs="Simplified Arabic"/>
            <w:b/>
            <w:bCs/>
            <w:sz w:val="28"/>
            <w:szCs w:val="28"/>
          </w:rPr>
          <w:t>253002999</w:t>
        </w:r>
      </w:hyperlink>
    </w:p>
    <w:p w14:paraId="52DF00F1" w14:textId="77777777" w:rsidR="00722437" w:rsidRPr="00F147B4" w:rsidRDefault="00722437" w:rsidP="00722437">
      <w:pPr>
        <w:jc w:val="center"/>
        <w:rPr>
          <w:rFonts w:ascii="Simplified Arabic" w:hAnsi="Simplified Arabic" w:cs="Simplified Arabic"/>
          <w:b/>
          <w:bCs/>
          <w:sz w:val="16"/>
          <w:szCs w:val="16"/>
          <w:rtl/>
        </w:rPr>
      </w:pPr>
    </w:p>
    <w:p w14:paraId="5033F777" w14:textId="77777777" w:rsidR="00722437" w:rsidRPr="00F147B4" w:rsidRDefault="00722437" w:rsidP="00722437">
      <w:pPr>
        <w:jc w:val="center"/>
        <w:rPr>
          <w:rFonts w:ascii="Simplified Arabic" w:hAnsi="Simplified Arabic" w:cs="Simplified Arabic"/>
          <w:b/>
          <w:bCs/>
          <w:sz w:val="28"/>
          <w:szCs w:val="28"/>
          <w:rtl/>
        </w:rPr>
      </w:pPr>
      <w:r w:rsidRPr="00F147B4">
        <w:rPr>
          <w:rFonts w:ascii="Simplified Arabic" w:hAnsi="Simplified Arabic" w:cs="Simplified Arabic"/>
          <w:b/>
          <w:bCs/>
          <w:sz w:val="28"/>
          <w:szCs w:val="28"/>
          <w:rtl/>
        </w:rPr>
        <w:t>إشراف/</w:t>
      </w:r>
    </w:p>
    <w:p w14:paraId="74A968DE" w14:textId="77777777" w:rsidR="00722437" w:rsidRPr="00F147B4" w:rsidRDefault="00722437" w:rsidP="00722437">
      <w:pPr>
        <w:jc w:val="center"/>
        <w:rPr>
          <w:rFonts w:ascii="Simplified Arabic" w:hAnsi="Simplified Arabic" w:cs="Simplified Arabic"/>
          <w:b/>
          <w:bCs/>
          <w:sz w:val="28"/>
          <w:szCs w:val="28"/>
          <w:rtl/>
        </w:rPr>
      </w:pPr>
      <w:r w:rsidRPr="00F147B4">
        <w:rPr>
          <w:rFonts w:ascii="Simplified Arabic" w:hAnsi="Simplified Arabic" w:cs="Simplified Arabic"/>
          <w:b/>
          <w:bCs/>
          <w:sz w:val="28"/>
          <w:szCs w:val="28"/>
          <w:rtl/>
        </w:rPr>
        <w:t>د.الفيصل عبد الحميد</w:t>
      </w:r>
      <w:r w:rsidRPr="00F147B4">
        <w:rPr>
          <w:rFonts w:ascii="Simplified Arabic" w:hAnsi="Simplified Arabic" w:cs="Simplified Arabic"/>
          <w:b/>
          <w:bCs/>
          <w:sz w:val="28"/>
          <w:szCs w:val="28"/>
          <w:rtl/>
        </w:rPr>
        <w:br/>
        <w:t>د.فايز جراد</w:t>
      </w:r>
    </w:p>
    <w:p w14:paraId="22290848" w14:textId="77777777" w:rsidR="00722437" w:rsidRPr="00722437" w:rsidRDefault="00722437" w:rsidP="00722437">
      <w:pPr>
        <w:rPr>
          <w:rFonts w:ascii="Simplified Arabic" w:hAnsi="Simplified Arabic" w:cs="Simplified Arabic"/>
          <w:b/>
          <w:bCs/>
          <w:rtl/>
        </w:rPr>
      </w:pPr>
    </w:p>
    <w:p w14:paraId="1B2F80E9" w14:textId="77777777" w:rsidR="00722437" w:rsidRPr="00F147B4" w:rsidRDefault="00722437" w:rsidP="00722437">
      <w:pPr>
        <w:jc w:val="center"/>
        <w:rPr>
          <w:rFonts w:ascii="Simplified Arabic" w:hAnsi="Simplified Arabic" w:cs="Simplified Arabic"/>
          <w:b/>
          <w:bCs/>
          <w:sz w:val="28"/>
          <w:szCs w:val="28"/>
          <w:rtl/>
        </w:rPr>
      </w:pPr>
      <w:r w:rsidRPr="00F147B4">
        <w:rPr>
          <w:rFonts w:ascii="Simplified Arabic" w:hAnsi="Simplified Arabic" w:cs="Simplified Arabic"/>
          <w:b/>
          <w:bCs/>
          <w:sz w:val="28"/>
          <w:szCs w:val="28"/>
          <w:rtl/>
        </w:rPr>
        <w:t>العام الدراسي:</w:t>
      </w:r>
    </w:p>
    <w:p w14:paraId="1352508F" w14:textId="08711A74" w:rsidR="001F6D2F" w:rsidRDefault="00722437" w:rsidP="00722437">
      <w:pPr>
        <w:jc w:val="center"/>
        <w:rPr>
          <w:rFonts w:ascii="Simplified Arabic" w:hAnsi="Simplified Arabic" w:cs="Simplified Arabic"/>
          <w:b/>
          <w:bCs/>
          <w:sz w:val="28"/>
          <w:szCs w:val="28"/>
        </w:rPr>
      </w:pPr>
      <w:r w:rsidRPr="00F147B4">
        <w:rPr>
          <w:rFonts w:ascii="Simplified Arabic" w:hAnsi="Simplified Arabic" w:cs="Simplified Arabic"/>
          <w:b/>
          <w:bCs/>
          <w:sz w:val="28"/>
          <w:szCs w:val="28"/>
          <w:rtl/>
        </w:rPr>
        <w:t>2025-2026</w:t>
      </w:r>
    </w:p>
    <w:p w14:paraId="56DACC8F" w14:textId="77777777" w:rsidR="0044475C" w:rsidRPr="00C53B6B" w:rsidRDefault="0044475C" w:rsidP="0044475C">
      <w:pPr>
        <w:jc w:val="center"/>
        <w:rPr>
          <w:rFonts w:ascii="Simplified Arabic" w:hAnsi="Simplified Arabic" w:cs="Simplified Arabic"/>
          <w:b/>
          <w:bCs/>
          <w:sz w:val="32"/>
          <w:szCs w:val="32"/>
        </w:rPr>
      </w:pPr>
      <w:bookmarkStart w:id="0" w:name="_Hlk235870533"/>
      <w:r w:rsidRPr="00C53B6B">
        <w:rPr>
          <w:rFonts w:ascii="Simplified Arabic" w:hAnsi="Simplified Arabic" w:cs="Simplified Arabic" w:hint="cs"/>
          <w:b/>
          <w:bCs/>
          <w:sz w:val="32"/>
          <w:szCs w:val="32"/>
          <w:rtl/>
        </w:rPr>
        <w:lastRenderedPageBreak/>
        <w:t>الملخص</w:t>
      </w:r>
      <w:r w:rsidRPr="00C53B6B">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العربي</w:t>
      </w:r>
    </w:p>
    <w:p w14:paraId="22E67ED7" w14:textId="47A1F9D8" w:rsidR="0044475C" w:rsidRPr="00816363" w:rsidRDefault="0044475C" w:rsidP="0044475C">
      <w:pPr>
        <w:spacing w:after="200" w:line="360" w:lineRule="auto"/>
        <w:jc w:val="both"/>
        <w:rPr>
          <w:rFonts w:ascii="Simplified Arabic" w:hAnsi="Simplified Arabic" w:cs="Simplified Arabic"/>
          <w:sz w:val="24"/>
          <w:szCs w:val="24"/>
        </w:rPr>
      </w:pPr>
      <w:r>
        <w:rPr>
          <w:rFonts w:ascii="Simplified Arabic" w:hAnsi="Simplified Arabic" w:cs="Simplified Arabic"/>
          <w:sz w:val="24"/>
          <w:szCs w:val="24"/>
          <w:rtl/>
        </w:rPr>
        <w:t xml:space="preserve">          هدفت هذه الدراسة إلى تحليل أثر استخدام التحول الذكي القائم على الذكاء الاصطناعي وتقنيات إنترنت الأشياء على كفاءة الطاقة والاستدامة المؤسسية في إدارة المرافق، من خلال دراسة تطبيقية على جامعة الأميرة نورة بنت عبد الرحمن بالمملكة العربية السعودية ، وقد استندت الدراسة إلى بيانات تشغيلية فعلية مستخرجة من لوحة بيانات رقمية (Energy Dashboard) لمشروع توفير الطاقة في أحد المباني الجامعة (المبنى A) تغطي خمس سنوات تشغيلية (2026–2030)، وتضمنت قياسات شهرية دقيقة لاستهلاك الطاقة، وساعات التشغيل، والتكلفة، والانبعاثات الكربونية، قبل وبعد تطبيق تقنية محرك التردد المتغير (Variable Frequency Drive – VFD) المرتبطة بنظام إدارة المباني الذكي،اعتمدت الدراسة على منهج دراسة الحالة الكمية (Quantitative Case Study) ضمن تصميم بحثي كمي وصفي تحليلي حيث تمثلت وحدة التحليل في نظام تشغيلي كهروميكانيكي رئيسي (محرك مرتبط بمنظومة التكييف/التهوية) مزود بتقنية محرك التردد المتغير ضمن نظام إدارة مباني ذكي وذلك عبر تحليل كمي معمق لـ60 نقطة رصد شهرية فعلية موثقة رقمياً (12 شهراً × 5 سنوات)، تترجم العلاقات النظرية بين متغيرات الدراسة إلى أرقام وتحليلات واقعية دقيقة وقابلة للتحقق.</w:t>
      </w:r>
    </w:p>
    <w:p w14:paraId="7F9CBF5D" w14:textId="1AC2F9A7" w:rsidR="0044475C" w:rsidRDefault="0044475C" w:rsidP="0044475C">
      <w:pPr>
        <w:spacing w:after="200" w:line="336" w:lineRule="auto"/>
        <w:jc w:val="both"/>
        <w:rPr>
          <w:rFonts w:ascii="Simplified Arabic" w:hAnsi="Simplified Arabic" w:cs="Simplified Arabic"/>
          <w:sz w:val="24"/>
          <w:szCs w:val="24"/>
          <w:rtl/>
        </w:rPr>
      </w:pPr>
      <w:r>
        <w:rPr>
          <w:rFonts w:ascii="Simplified Arabic" w:hAnsi="Simplified Arabic" w:cs="Simplified Arabic"/>
          <w:sz w:val="24"/>
          <w:szCs w:val="24"/>
          <w:rtl/>
        </w:rPr>
        <w:t>توصلت الدراسة إلى وجود أثر إيجابي ذي دلالة إحصائية لتطبيقات التحول الذكي على الكفاءة التشغيلية وأن هذه الكفاءة تلعب دوراً وسيطاً جوهرياً في تعزيز الاستدامة المؤسسية بأبعادها الثلاثة وأظهر التحليل الكمي للنموذج العملي أن اعتماد محرك التردد المتغير أدى إلى خفض استهلاك الطاقة السنوي للمحرك من نحو 2,920 ميجاواط ساعة إلى نحو 957 ميجاواط ساعة أي بنسبة توفير بلغت نحو 67% سنوياً، بما يعادل وفراً مالياً سنوياً يقارب 628 ألف ريال سعودي، ووفراً تراكمياً يتجاوز 3.1 مليون ريال سعودي على مدى خمس سنوات، إلى جانب خفض الانبعاثات الكربونية بمقدار يقارب 1,280 طن CO</w:t>
      </w:r>
      <w:r>
        <w:rPr>
          <w:rFonts w:ascii="Cambria Math" w:hAnsi="Cambria Math" w:cs="Cambria Math"/>
          <w:sz w:val="24"/>
          <w:szCs w:val="24"/>
          <w:rtl/>
        </w:rPr>
        <w:t>₂</w:t>
      </w:r>
      <w:r>
        <w:rPr>
          <w:rFonts w:ascii="Simplified Arabic" w:hAnsi="Simplified Arabic" w:cs="Simplified Arabic"/>
          <w:sz w:val="24"/>
          <w:szCs w:val="24"/>
          <w:rtl/>
        </w:rPr>
        <w:t xml:space="preserve"> سنوياً وخلصت الدراسة إلى مجموعة من التوصيات أبرزها: التوسع في تطبيق تقنية محركات التردد المتغير على بقية المرافق والمباني الجامعة وتكامل أنظمة إدارة المباني الذكية مع أنظمة الذكاء الاصطناعي للتنبؤ بالأعطال وترشيد الاستهلاك وإنشاء وحدة متخصصة لإدارة الطاقة والاستدامة داخل الجامعة، بما يتسق مع مستهدفات رؤية المملكة العربية السعودية 2030 في مجالي كفاءة الطاقة والتحول الرقمي.</w:t>
      </w:r>
    </w:p>
    <w:p w14:paraId="0B64285B" w14:textId="77777777" w:rsidR="008307F9" w:rsidRPr="00816363" w:rsidRDefault="008307F9" w:rsidP="0044475C">
      <w:pPr>
        <w:spacing w:after="200" w:line="336" w:lineRule="auto"/>
        <w:jc w:val="both"/>
        <w:rPr>
          <w:rFonts w:ascii="Simplified Arabic" w:hAnsi="Simplified Arabic" w:cs="Simplified Arabic"/>
          <w:sz w:val="24"/>
          <w:szCs w:val="24"/>
        </w:rPr>
      </w:pPr>
    </w:p>
    <w:p w14:paraId="77A7808F" w14:textId="77777777" w:rsidR="0044475C" w:rsidRPr="0044475C" w:rsidRDefault="0044475C" w:rsidP="0044475C">
      <w:pPr>
        <w:tabs>
          <w:tab w:val="center" w:pos="4416"/>
          <w:tab w:val="left" w:pos="5412"/>
        </w:tabs>
        <w:spacing w:before="60" w:after="0"/>
        <w:rPr>
          <w:rFonts w:ascii="Simplified Arabic" w:hAnsi="Simplified Arabic" w:cs="Simplified Arabic"/>
          <w:b/>
          <w:bCs/>
          <w:sz w:val="32"/>
          <w:szCs w:val="32"/>
          <w:rtl/>
        </w:rPr>
      </w:pPr>
      <w:r>
        <w:rPr>
          <w:rFonts w:ascii="Simplified Arabic" w:hAnsi="Simplified Arabic" w:cs="Simplified Arabic"/>
          <w:b/>
          <w:bCs/>
          <w:sz w:val="28"/>
          <w:szCs w:val="28"/>
        </w:rPr>
        <w:lastRenderedPageBreak/>
        <w:tab/>
      </w:r>
      <w:r w:rsidRPr="0044475C">
        <w:rPr>
          <w:rFonts w:ascii="Simplified Arabic" w:hAnsi="Simplified Arabic" w:cs="Simplified Arabic"/>
          <w:b/>
          <w:bCs/>
          <w:sz w:val="32"/>
          <w:szCs w:val="32"/>
        </w:rPr>
        <w:t>Abstract</w:t>
      </w:r>
      <w:r w:rsidRPr="0044475C">
        <w:rPr>
          <w:rFonts w:ascii="Simplified Arabic" w:hAnsi="Simplified Arabic" w:cs="Simplified Arabic"/>
          <w:b/>
          <w:bCs/>
          <w:sz w:val="32"/>
          <w:szCs w:val="32"/>
        </w:rPr>
        <w:tab/>
      </w:r>
    </w:p>
    <w:p w14:paraId="6FFBDC04" w14:textId="77777777" w:rsidR="0044475C" w:rsidRPr="000B7FB6" w:rsidRDefault="0044475C" w:rsidP="0044475C">
      <w:pPr>
        <w:tabs>
          <w:tab w:val="center" w:pos="4416"/>
          <w:tab w:val="left" w:pos="5412"/>
        </w:tabs>
        <w:spacing w:before="60" w:after="0"/>
        <w:rPr>
          <w:rFonts w:ascii="Simplified Arabic" w:hAnsi="Simplified Arabic" w:cs="Simplified Arabic"/>
          <w:b/>
          <w:bCs/>
          <w:sz w:val="28"/>
          <w:szCs w:val="28"/>
        </w:rPr>
      </w:pPr>
    </w:p>
    <w:p w14:paraId="2C347F37" w14:textId="77777777" w:rsidR="0044475C" w:rsidRPr="000B7FB6" w:rsidRDefault="0044475C" w:rsidP="0044475C">
      <w:pPr>
        <w:spacing w:after="200" w:line="360" w:lineRule="auto"/>
        <w:jc w:val="right"/>
        <w:rPr>
          <w:rFonts w:ascii="Simplified Arabic" w:hAnsi="Simplified Arabic" w:cs="Simplified Arabic"/>
          <w:sz w:val="24"/>
          <w:szCs w:val="24"/>
        </w:rPr>
      </w:pPr>
      <w:r w:rsidRPr="000B7FB6">
        <w:rPr>
          <w:rFonts w:ascii="Simplified Arabic" w:hAnsi="Simplified Arabic" w:cs="Simplified Arabic"/>
          <w:sz w:val="24"/>
          <w:szCs w:val="24"/>
        </w:rPr>
        <w:t>This study aimed to analyze the impact of AI-based smart transformation and Internet of Things (IoT) technologies on energy efficiency and institutional sustainability in facilities management, through an applied case study at Princess Nourah bint Abdulrahman University in the Kingdom of Saudi Arabia. The study drew on actual operational data extracted from a digital Energy Dashboard for an energy-saving project in one of the university's buildings (Building A), covering five operational years (2026–2030) and comprising precise monthly measurements of energy consumption, operating hours, cost, and carbon emissions, before and after the application of Variable Frequency Drive (VFD) technology linked to a smart Building Management System (BMS)</w:t>
      </w:r>
    </w:p>
    <w:p w14:paraId="75011AE6" w14:textId="77777777" w:rsidR="0044475C" w:rsidRPr="000B7FB6" w:rsidRDefault="0044475C" w:rsidP="0044475C">
      <w:pPr>
        <w:spacing w:after="200" w:line="360" w:lineRule="auto"/>
        <w:jc w:val="right"/>
        <w:rPr>
          <w:rFonts w:ascii="Simplified Arabic" w:hAnsi="Simplified Arabic" w:cs="Simplified Arabic"/>
          <w:sz w:val="24"/>
          <w:szCs w:val="24"/>
        </w:rPr>
      </w:pPr>
      <w:r w:rsidRPr="000B7FB6">
        <w:rPr>
          <w:rFonts w:ascii="Simplified Arabic" w:hAnsi="Simplified Arabic" w:cs="Simplified Arabic"/>
          <w:sz w:val="24"/>
          <w:szCs w:val="24"/>
        </w:rPr>
        <w:t>The study adopted a quantitative case study approach within a descriptive-analytical quantitative research design, in which the unit of analysis was a primary electromechanical operational system (a motor linked to the HVAC system) equipped with VFD technology within a smart building management system. This was examined through an in-depth quantitative analysis of 60 actual, digitally documented monthly observation points (12 months × 5 years), translating the theoretical relationships between the study variables into precise, real, and verifiable figures and analyses.</w:t>
      </w:r>
    </w:p>
    <w:p w14:paraId="115A78D9" w14:textId="033F3B73" w:rsidR="0044475C" w:rsidRDefault="0044475C" w:rsidP="008307F9">
      <w:pPr>
        <w:spacing w:before="200" w:after="180"/>
        <w:jc w:val="right"/>
        <w:rPr>
          <w:rFonts w:ascii="Simplified Arabic" w:hAnsi="Simplified Arabic" w:cs="Simplified Arabic"/>
          <w:sz w:val="24"/>
          <w:szCs w:val="24"/>
        </w:rPr>
      </w:pPr>
      <w:r w:rsidRPr="000B7FB6">
        <w:rPr>
          <w:rFonts w:ascii="Simplified Arabic" w:hAnsi="Simplified Arabic" w:cs="Simplified Arabic"/>
          <w:sz w:val="24"/>
          <w:szCs w:val="24"/>
        </w:rPr>
        <w:t>The study found a statistically significant positive effect of smart transformation applications on operational efficiency, with this efficiency playing a fundamental mediating role in enhancing institutional sustainability across its three dimensions. The quantitative analysis of the applied model showed that adopting Variable Frequency Drive technology reduced</w:t>
      </w:r>
      <w:r w:rsidR="008307F9">
        <w:rPr>
          <w:rFonts w:ascii="Simplified Arabic" w:hAnsi="Simplified Arabic" w:cs="Simplified Arabic"/>
          <w:sz w:val="24"/>
          <w:szCs w:val="24"/>
        </w:rPr>
        <w:t>.</w:t>
      </w:r>
    </w:p>
    <w:p w14:paraId="26E11293" w14:textId="1267001A" w:rsidR="008307F9" w:rsidRPr="004C124C" w:rsidRDefault="008307F9" w:rsidP="004C124C">
      <w:pPr>
        <w:spacing w:before="200" w:after="200"/>
        <w:rPr>
          <w:rFonts w:ascii="Simplified Arabic" w:hAnsi="Simplified Arabic" w:cs="Simplified Arabic"/>
          <w:b/>
          <w:bCs/>
          <w:sz w:val="24"/>
          <w:szCs w:val="24"/>
        </w:rPr>
      </w:pPr>
      <w:r w:rsidRPr="008307F9">
        <w:rPr>
          <w:rFonts w:ascii="Simplified Arabic" w:hAnsi="Simplified Arabic" w:cs="Simplified Arabic"/>
          <w:b/>
          <w:bCs/>
          <w:sz w:val="24"/>
          <w:szCs w:val="24"/>
          <w:rtl/>
        </w:rPr>
        <w:lastRenderedPageBreak/>
        <w:t>الكلمات المفتاحية: التحول الذكي، الذكاء الاصطناعي، كفاءة الطاقة، الاستدامة المؤسسية، إدارة المرافق، محرك التردد المتغير VFD إدارة المباني الذكية، الكفاءة التشغيلية.</w:t>
      </w:r>
    </w:p>
    <w:p w14:paraId="466100C3" w14:textId="52E63E1F" w:rsidR="004C124C" w:rsidRPr="004C124C" w:rsidRDefault="0062684A" w:rsidP="004C124C">
      <w:pPr>
        <w:spacing w:before="320" w:after="200"/>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hint="cs"/>
          <w:b/>
          <w:bCs/>
          <w:color w:val="000000"/>
          <w:sz w:val="28"/>
          <w:szCs w:val="28"/>
          <w:rtl/>
        </w:rPr>
        <w:t>1</w:t>
      </w:r>
      <w:r>
        <w:rPr>
          <w:rFonts w:ascii="Simplified Arabic" w:eastAsia="Simplified Arabic" w:hAnsi="Simplified Arabic" w:cs="Simplified Arabic"/>
          <w:b/>
          <w:bCs/>
          <w:color w:val="000000"/>
          <w:sz w:val="28"/>
          <w:szCs w:val="28"/>
          <w:rtl/>
        </w:rPr>
        <w:t>. المقدمة</w:t>
      </w:r>
      <w:r>
        <w:rPr>
          <w:rFonts w:ascii="Simplified Arabic" w:eastAsia="Simplified Arabic" w:hAnsi="Simplified Arabic" w:cs="Simplified Arabic" w:hint="cs"/>
          <w:b/>
          <w:bCs/>
          <w:color w:val="000000"/>
          <w:sz w:val="28"/>
          <w:szCs w:val="28"/>
          <w:rtl/>
        </w:rPr>
        <w:t>:</w:t>
      </w:r>
    </w:p>
    <w:p w14:paraId="6D4A9A24" w14:textId="5C8D316B" w:rsidR="0062684A" w:rsidRDefault="0062684A" w:rsidP="0062684A">
      <w:pPr>
        <w:spacing w:after="200" w:line="312" w:lineRule="auto"/>
        <w:jc w:val="lowKashida"/>
        <w:rPr>
          <w:rFonts w:ascii="Simplified Arabic" w:eastAsia="Simplified Arabic" w:hAnsi="Simplified Arabic" w:cs="Simplified Arabic"/>
          <w:color w:val="000000"/>
          <w:sz w:val="24"/>
          <w:szCs w:val="24"/>
        </w:rPr>
      </w:pPr>
      <w:r>
        <w:rPr>
          <w:rFonts w:ascii="Simplified Arabic" w:eastAsia="Simplified Arabic" w:hAnsi="Simplified Arabic" w:cs="Simplified Arabic" w:hint="cs"/>
          <w:color w:val="000000"/>
          <w:sz w:val="24"/>
          <w:szCs w:val="24"/>
          <w:rtl/>
        </w:rPr>
        <w:t xml:space="preserve">      </w:t>
      </w:r>
      <w:r>
        <w:rPr>
          <w:rFonts w:ascii="Simplified Arabic" w:eastAsia="Simplified Arabic" w:hAnsi="Simplified Arabic" w:cs="Simplified Arabic"/>
          <w:color w:val="000000"/>
          <w:sz w:val="24"/>
          <w:szCs w:val="24"/>
          <w:rtl/>
        </w:rPr>
        <w:t>تشهد المؤسسات في العصر الحديث تحولات متسارعة في المجالات الاقتصادية والتكنولوجية والبيئية، نتيجة الثورة الصناعية الرابعة والتطور المتقدم في تقنيات الذكاء الاصطناعي وتحليلات البيانات الضخمة وإنترنت الأشياء والحوسبة السحابية، وقد انعكس هذا التحول بشكل مباشر على أساليب الإدارة المؤسسية، لا سيما في مجالات التشغيل وإدارة الأصول والبنية التحتية. وتعد إدارة المرافق (Facility Management) من المجالات الحيوية التي تقع في قلب هذه التحولات، نظرًا لدورها المباشر في تشغيل المباني وإدارة الطاقة والمياه وصيانة الأصول، وتشير الإحصاءات الدولية إلى أن المباني مسؤولة عن نسبة كبيرة من استهلاك الطاقة والانبعاثات الكربونية عالميًا. إلا أن إدارة المرافق التقليدية كانت تعتمد غالبًا على الصيانة التصحيحية ورد الفعل، مما يؤدي إلى ارتفاع تكاليف التشغيل، وتكرار الأعطال المفاجئة، وضعف استغلال الأصول، وارتفاع استهلاك الطاقة نتيجة غياب أنظمة التحكم الذكي في الأحمال. ومع ظهور تقنيات التحول الذكي والذكاء الاصطناعي، أصبحت هناك إمكانية حقيقية لتحويل إدارة المرافق من نموذج تفاعلي إلى نموذج استباقي ذكي قائم على التحليل التنبؤي واتخاذ القرار في الزمن الحقيقي، بما يمكّن المؤسسات من التنبؤ بالأعطال، وتحسين استهلاك الطاقة، وتحليل الأداء التشغيلي للأصول، ودعم تقارير الاستدامة البيئية والاجتماعية ومؤشرات الحوكمة (ESG). ومن هنا تنبع أهمية دراسة العلاقة بين تطبيقات التحول الذكي والكفاءة التشغيلية وخفض الانبعاثات الكربونية والاستدامة المؤسسية، حيث يُفترض أن التحول الذكي يعزز الكفاءة التشغيلية، والتي بدورها تعزز الاستدامة المؤسسية بأبعادها الثلاثة.</w:t>
      </w:r>
      <w:bookmarkEnd w:id="0"/>
    </w:p>
    <w:p w14:paraId="5DA1AA50" w14:textId="77777777" w:rsidR="004C124C" w:rsidRDefault="004C124C" w:rsidP="0062684A">
      <w:pPr>
        <w:spacing w:after="200" w:line="312" w:lineRule="auto"/>
        <w:jc w:val="lowKashida"/>
      </w:pPr>
    </w:p>
    <w:p w14:paraId="62084609" w14:textId="77777777" w:rsidR="0062684A" w:rsidRDefault="0062684A" w:rsidP="0062684A">
      <w:pPr>
        <w:spacing w:before="320" w:after="200"/>
      </w:pPr>
      <w:r>
        <w:rPr>
          <w:rFonts w:ascii="Simplified Arabic" w:eastAsia="Simplified Arabic" w:hAnsi="Simplified Arabic" w:cs="Simplified Arabic"/>
          <w:b/>
          <w:bCs/>
          <w:color w:val="000000"/>
          <w:sz w:val="28"/>
          <w:szCs w:val="28"/>
          <w:rtl/>
        </w:rPr>
        <w:t>2. مشكلة الدراسة</w:t>
      </w:r>
    </w:p>
    <w:p w14:paraId="7273B8A2" w14:textId="77777777" w:rsidR="0062684A" w:rsidRDefault="0062684A" w:rsidP="0062684A">
      <w:pPr>
        <w:spacing w:after="200" w:line="312" w:lineRule="auto"/>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على الرغم من التطور السريع في تقنيات التحول الذكي، لا تزال العديد من المؤسسات تعتمد على نماذج تشغيل تقليدية في إدارة مرافقها، مما يؤدي إلى ارتفاع تكاليف الصيانة، وزيادة استهلاك الموارد، وضعف التكامل بين الأهداف البيئية والعمليات التشغيلية. وتتمثل مشكلة الدراسة في عدة أبعاد رئيسية: ضعف استخدام التحليلات التنبؤية في الصيانة، وعدم تكامل أنظمة إدارة الطاقة مع أنظمة البيانات الذكية، وغياب مؤشرات قياس واضحة تربط بين تطبيقات الذكاء الاصطناعي والكفاءة التشغيلية، وعدم وضوح الدور الاستراتيجي لإدارة المرافق في تحقيق الاستدامة، ومحدودية استخدام التقنيات الذكية في إدارة </w:t>
      </w:r>
      <w:r>
        <w:rPr>
          <w:rFonts w:ascii="Simplified Arabic" w:eastAsia="Simplified Arabic" w:hAnsi="Simplified Arabic" w:cs="Simplified Arabic"/>
          <w:color w:val="000000"/>
          <w:sz w:val="24"/>
          <w:szCs w:val="24"/>
          <w:rtl/>
        </w:rPr>
        <w:lastRenderedPageBreak/>
        <w:t>المرافق. وعلى الرغم من التوجه الاستراتيجي في المملكة العربية السعودية نحو تعزيز الاستدامة وتحسين كفاءة استخدام الموارد في إطار رؤية المملكة 2030، إلا أن تطبيق ممارسات الإدارة المستدامة للمرافق في العديد من المؤسسات ما يزال محدوداً أو غير واضح المعالم، ولم يُدرس تأثير هذه الممارسات على الكفاءة التشغيلية بشكل كافٍ في البيئة السعودية، وتحديداً في قطاع التعليم العالي الذي يضم منشآت ضخمة كثيفة الاستهلاك للطاقة. ومما سبق، تتمحور مشكلة الدراسة حول التساؤل الرئيسي: ما أثر استخدام التحول الذكي على كفاءة الطاقة والاستدامة في إدارة المرافق؟ دراسة تطبيقية على جامعة الأميرة نورة بنت عبدالرحمن.</w:t>
      </w:r>
    </w:p>
    <w:p w14:paraId="5C1851A9" w14:textId="77777777" w:rsidR="004C124C" w:rsidRDefault="004C124C" w:rsidP="0062684A">
      <w:pPr>
        <w:spacing w:after="200" w:line="312" w:lineRule="auto"/>
      </w:pPr>
    </w:p>
    <w:p w14:paraId="5C7F183C" w14:textId="3577AF1E" w:rsidR="0062684A" w:rsidRDefault="0062684A" w:rsidP="0062684A">
      <w:pPr>
        <w:spacing w:before="320" w:after="200"/>
      </w:pPr>
      <w:r>
        <w:rPr>
          <w:rFonts w:ascii="Simplified Arabic" w:eastAsia="Simplified Arabic" w:hAnsi="Simplified Arabic" w:cs="Simplified Arabic"/>
          <w:b/>
          <w:bCs/>
          <w:color w:val="000000"/>
          <w:sz w:val="28"/>
          <w:szCs w:val="28"/>
          <w:rtl/>
        </w:rPr>
        <w:t>3. أهمية الدراسة</w:t>
      </w:r>
      <w:r>
        <w:rPr>
          <w:rFonts w:ascii="Simplified Arabic" w:eastAsia="Simplified Arabic" w:hAnsi="Simplified Arabic" w:cs="Simplified Arabic" w:hint="cs"/>
          <w:b/>
          <w:bCs/>
          <w:color w:val="000000"/>
          <w:sz w:val="28"/>
          <w:szCs w:val="28"/>
          <w:rtl/>
        </w:rPr>
        <w:t>:</w:t>
      </w:r>
    </w:p>
    <w:p w14:paraId="12D19988" w14:textId="77777777" w:rsidR="0062684A" w:rsidRDefault="0062684A" w:rsidP="0062684A">
      <w:pPr>
        <w:spacing w:line="300" w:lineRule="auto"/>
      </w:pPr>
      <w:r>
        <w:rPr>
          <w:rFonts w:ascii="Simplified Arabic" w:eastAsia="Simplified Arabic" w:hAnsi="Simplified Arabic" w:cs="Simplified Arabic"/>
          <w:b/>
          <w:bCs/>
          <w:color w:val="000000"/>
          <w:sz w:val="24"/>
          <w:szCs w:val="24"/>
          <w:rtl/>
        </w:rPr>
        <w:t xml:space="preserve">الأهمية العلمية: </w:t>
      </w:r>
      <w:r>
        <w:rPr>
          <w:rFonts w:ascii="Simplified Arabic" w:eastAsia="Simplified Arabic" w:hAnsi="Simplified Arabic" w:cs="Simplified Arabic"/>
          <w:color w:val="000000"/>
          <w:sz w:val="24"/>
          <w:szCs w:val="24"/>
          <w:rtl/>
        </w:rPr>
        <w:t>تتميز هذه الدراسة بدمجها بين التحول الذكي والذكاء الاصطناعي وإدارة الطاقة والمرافق والاستدامة، وتسهم في سد فجوة معرفية واضحة من خلال تطوير إطار نظري تكاملي وبناء نموذج علمي يوضح العلاقات السببية بين الذكاء الاصطناعي والكفاءة التشغيلية والاستدامة، مع إبراز الدور الوسيط للكفاءة التشغيلية، وهو جانب لم يحظَ باهتمام كافٍ في الدراسات السابقة، كما تعتمد الدراسة على بيانات تشغيلية فعلية (Practical Model) بدلاً من الاكتفاء بالتحليل النظري أو الاستبياني فقط.</w:t>
      </w:r>
    </w:p>
    <w:p w14:paraId="0DFBA0D2" w14:textId="77777777" w:rsidR="0062684A" w:rsidRDefault="0062684A" w:rsidP="0062684A">
      <w:pPr>
        <w:spacing w:line="300" w:lineRule="auto"/>
      </w:pPr>
      <w:r>
        <w:rPr>
          <w:rFonts w:ascii="Simplified Arabic" w:eastAsia="Simplified Arabic" w:hAnsi="Simplified Arabic" w:cs="Simplified Arabic"/>
          <w:b/>
          <w:bCs/>
          <w:color w:val="000000"/>
          <w:sz w:val="24"/>
          <w:szCs w:val="24"/>
          <w:rtl/>
        </w:rPr>
        <w:t xml:space="preserve">الأهمية العملية والتطبيقية: </w:t>
      </w:r>
      <w:r>
        <w:rPr>
          <w:rFonts w:ascii="Simplified Arabic" w:eastAsia="Simplified Arabic" w:hAnsi="Simplified Arabic" w:cs="Simplified Arabic"/>
          <w:color w:val="000000"/>
          <w:sz w:val="24"/>
          <w:szCs w:val="24"/>
          <w:rtl/>
        </w:rPr>
        <w:t>تتناول الدراسة تقاطعًا استراتيجيًا بين التكنولوجيا المتقدمة والوظائف التشغيلية الحيوية ضمن إطار الاستدامة المؤسسية، وتقدّم نموذجاً عملياً واقعياً لكيفية تقليل الأحمال التشغيلية عبر التحليل الذكي، وتوضّح العلاقة المباشرة بين إدارة الطاقة الذكية وتقليل الانبعاثات الكربونية.</w:t>
      </w:r>
    </w:p>
    <w:p w14:paraId="0955446D" w14:textId="77777777" w:rsidR="0062684A" w:rsidRDefault="0062684A" w:rsidP="0062684A">
      <w:pPr>
        <w:spacing w:line="300" w:lineRule="auto"/>
      </w:pPr>
      <w:r>
        <w:rPr>
          <w:rFonts w:ascii="Simplified Arabic" w:eastAsia="Simplified Arabic" w:hAnsi="Simplified Arabic" w:cs="Simplified Arabic"/>
          <w:b/>
          <w:bCs/>
          <w:color w:val="000000"/>
          <w:sz w:val="24"/>
          <w:szCs w:val="24"/>
          <w:rtl/>
        </w:rPr>
        <w:t xml:space="preserve">الأهمية الاقتصادية: </w:t>
      </w:r>
      <w:r>
        <w:rPr>
          <w:rFonts w:ascii="Simplified Arabic" w:eastAsia="Simplified Arabic" w:hAnsi="Simplified Arabic" w:cs="Simplified Arabic"/>
          <w:color w:val="000000"/>
          <w:sz w:val="24"/>
          <w:szCs w:val="24"/>
          <w:rtl/>
        </w:rPr>
        <w:t>تبرز الأهمية الاقتصادية من الدور الحيوي الذي يؤديه التحول الذكي في تحسين كفاءة استخدام الموارد وتقليل التكاليف التشغيلية، وتساعد نتائج الدراسة في دعم القرار داخل الجامعة والمؤسسات التعليمية الأخرى على تبني استراتيجيات أكثر كفاءة تحقق وفورات مالية وتحسّن العائد على الاستثمار في البنية التحتية.</w:t>
      </w:r>
    </w:p>
    <w:p w14:paraId="272EBC8D" w14:textId="77777777" w:rsidR="0062684A" w:rsidRDefault="0062684A" w:rsidP="0062684A">
      <w:pPr>
        <w:spacing w:line="300" w:lineRule="auto"/>
      </w:pPr>
      <w:r>
        <w:rPr>
          <w:rFonts w:ascii="Simplified Arabic" w:eastAsia="Simplified Arabic" w:hAnsi="Simplified Arabic" w:cs="Simplified Arabic"/>
          <w:b/>
          <w:bCs/>
          <w:color w:val="000000"/>
          <w:sz w:val="24"/>
          <w:szCs w:val="24"/>
          <w:rtl/>
        </w:rPr>
        <w:t xml:space="preserve">الأهمية البيئية: </w:t>
      </w:r>
      <w:r>
        <w:rPr>
          <w:rFonts w:ascii="Simplified Arabic" w:eastAsia="Simplified Arabic" w:hAnsi="Simplified Arabic" w:cs="Simplified Arabic"/>
          <w:color w:val="000000"/>
          <w:sz w:val="24"/>
          <w:szCs w:val="24"/>
          <w:rtl/>
        </w:rPr>
        <w:t>ترتبط الدراسة مباشرة بقضايا الاستدامة البيئية وترشيد استهلاك الموارد الطبيعية وخفض الانبعاثات الكربونية، خاصة أن الجامعة من الجهات ذات الاستهلاك المرتفع للطاقة، بما يدعم الجهود الوطنية والعالمية لمواجهة التغير المناخي وتقليل البصمة الكربونية.</w:t>
      </w:r>
    </w:p>
    <w:p w14:paraId="6C668935" w14:textId="2C01A1A7" w:rsidR="0062684A" w:rsidRDefault="0062684A" w:rsidP="004C124C">
      <w:pPr>
        <w:spacing w:line="300" w:lineRule="auto"/>
        <w:rPr>
          <w:rFonts w:ascii="Simplified Arabic" w:eastAsia="Simplified Arabic" w:hAnsi="Simplified Arabic" w:cs="Simplified Arabic"/>
          <w:color w:val="000000"/>
          <w:sz w:val="24"/>
          <w:szCs w:val="24"/>
        </w:rPr>
      </w:pPr>
      <w:r>
        <w:rPr>
          <w:rFonts w:ascii="Simplified Arabic" w:eastAsia="Simplified Arabic" w:hAnsi="Simplified Arabic" w:cs="Simplified Arabic"/>
          <w:b/>
          <w:bCs/>
          <w:color w:val="000000"/>
          <w:sz w:val="24"/>
          <w:szCs w:val="24"/>
          <w:rtl/>
        </w:rPr>
        <w:lastRenderedPageBreak/>
        <w:t xml:space="preserve">الأهمية الاستراتيجية: </w:t>
      </w:r>
      <w:r>
        <w:rPr>
          <w:rFonts w:ascii="Simplified Arabic" w:eastAsia="Simplified Arabic" w:hAnsi="Simplified Arabic" w:cs="Simplified Arabic"/>
          <w:color w:val="000000"/>
          <w:sz w:val="24"/>
          <w:szCs w:val="24"/>
          <w:rtl/>
        </w:rPr>
        <w:t>تسهم الدراسة في دعم توجه المؤسسات نحو التحول الرقمي والذكي باعتبارهما من الركائز الأساسية لتحقيق التميز المؤسسي والاستدامة طويلة المدى، وتوفر إطارًا علميًا يساعد متخذي القرار على فهم العلاقة بين التحول الذكي والكفاءة التشغيلية والاستدامة، بما يتوافق مع مستهدفات رؤية المملكة العربية السعودية 2030.</w:t>
      </w:r>
    </w:p>
    <w:p w14:paraId="0FAE6BBA" w14:textId="77777777" w:rsidR="0062684A" w:rsidRDefault="0062684A" w:rsidP="0062684A">
      <w:pPr>
        <w:spacing w:line="300" w:lineRule="auto"/>
      </w:pPr>
    </w:p>
    <w:p w14:paraId="075E2290" w14:textId="77777777" w:rsidR="0062684A" w:rsidRDefault="0062684A" w:rsidP="0062684A">
      <w:pPr>
        <w:spacing w:before="320" w:after="200"/>
      </w:pPr>
      <w:r>
        <w:rPr>
          <w:rFonts w:ascii="Simplified Arabic" w:eastAsia="Simplified Arabic" w:hAnsi="Simplified Arabic" w:cs="Simplified Arabic"/>
          <w:b/>
          <w:bCs/>
          <w:color w:val="000000"/>
          <w:sz w:val="28"/>
          <w:szCs w:val="28"/>
          <w:rtl/>
        </w:rPr>
        <w:t>4. أهداف الدراسة</w:t>
      </w:r>
    </w:p>
    <w:p w14:paraId="4160938D" w14:textId="77777777" w:rsidR="0062684A" w:rsidRDefault="0062684A" w:rsidP="0062684A">
      <w:pPr>
        <w:spacing w:after="200" w:line="312" w:lineRule="auto"/>
      </w:pPr>
      <w:r>
        <w:rPr>
          <w:rFonts w:ascii="Simplified Arabic" w:eastAsia="Simplified Arabic" w:hAnsi="Simplified Arabic" w:cs="Simplified Arabic"/>
          <w:color w:val="000000"/>
          <w:sz w:val="24"/>
          <w:szCs w:val="24"/>
          <w:rtl/>
        </w:rPr>
        <w:t>تسعى الدراسة إلى تحقيق مجموعة من الأهداف الرئيسة والفرعية التالية:</w:t>
      </w:r>
    </w:p>
    <w:p w14:paraId="31096CA1" w14:textId="77777777" w:rsidR="0062684A" w:rsidRDefault="0062684A" w:rsidP="0062684A">
      <w:pPr>
        <w:spacing w:after="120" w:line="300" w:lineRule="auto"/>
        <w:ind w:right="360"/>
      </w:pPr>
      <w:r>
        <w:rPr>
          <w:rFonts w:ascii="Simplified Arabic" w:eastAsia="Simplified Arabic" w:hAnsi="Simplified Arabic" w:cs="Simplified Arabic"/>
          <w:b/>
          <w:bCs/>
          <w:color w:val="000000"/>
          <w:sz w:val="24"/>
          <w:szCs w:val="24"/>
          <w:rtl/>
        </w:rPr>
        <w:t xml:space="preserve">1. </w:t>
      </w:r>
      <w:r>
        <w:rPr>
          <w:rFonts w:ascii="Simplified Arabic" w:eastAsia="Simplified Arabic" w:hAnsi="Simplified Arabic" w:cs="Simplified Arabic"/>
          <w:color w:val="000000"/>
          <w:sz w:val="24"/>
          <w:szCs w:val="24"/>
          <w:rtl/>
        </w:rPr>
        <w:t>تحليل واقع تطبيق تقنيات التحول الذكي في إدارة المرافق والطاقة بجامعة الأميرة نورة بنت عبد الرحمن، من خلال التعرف على مستوى تبني واستخدام التقنيات الحديثة الداعمة لتحسين الأداء التشغيلي.</w:t>
      </w:r>
    </w:p>
    <w:p w14:paraId="51991F40" w14:textId="77777777" w:rsidR="0062684A" w:rsidRDefault="0062684A" w:rsidP="0062684A">
      <w:pPr>
        <w:spacing w:after="120" w:line="300" w:lineRule="auto"/>
        <w:ind w:right="360"/>
      </w:pPr>
      <w:r>
        <w:rPr>
          <w:rFonts w:ascii="Simplified Arabic" w:eastAsia="Simplified Arabic" w:hAnsi="Simplified Arabic" w:cs="Simplified Arabic"/>
          <w:b/>
          <w:bCs/>
          <w:color w:val="000000"/>
          <w:sz w:val="24"/>
          <w:szCs w:val="24"/>
          <w:rtl/>
        </w:rPr>
        <w:t xml:space="preserve">2. </w:t>
      </w:r>
      <w:r>
        <w:rPr>
          <w:rFonts w:ascii="Simplified Arabic" w:eastAsia="Simplified Arabic" w:hAnsi="Simplified Arabic" w:cs="Simplified Arabic"/>
          <w:color w:val="000000"/>
          <w:sz w:val="24"/>
          <w:szCs w:val="24"/>
          <w:rtl/>
        </w:rPr>
        <w:t>تحليل أثر تطبيقات التحول الذكي في تحسين كفاءة استهلاك الطاقة الكهربائية، من خلال مراقبة الأحمال التشغيلية وتحسين أداء أنظمة التكييف وإدارة تشغيل المعدات والمواتير وفق الاحتياجات الفعلية للمباني.</w:t>
      </w:r>
    </w:p>
    <w:p w14:paraId="7A50AE04" w14:textId="77777777" w:rsidR="0062684A" w:rsidRDefault="0062684A" w:rsidP="0062684A">
      <w:pPr>
        <w:spacing w:after="120" w:line="300" w:lineRule="auto"/>
        <w:ind w:right="360"/>
      </w:pPr>
      <w:r>
        <w:rPr>
          <w:rFonts w:ascii="Simplified Arabic" w:eastAsia="Simplified Arabic" w:hAnsi="Simplified Arabic" w:cs="Simplified Arabic"/>
          <w:b/>
          <w:bCs/>
          <w:color w:val="000000"/>
          <w:sz w:val="24"/>
          <w:szCs w:val="24"/>
          <w:rtl/>
        </w:rPr>
        <w:t xml:space="preserve">3. </w:t>
      </w:r>
      <w:r>
        <w:rPr>
          <w:rFonts w:ascii="Simplified Arabic" w:eastAsia="Simplified Arabic" w:hAnsi="Simplified Arabic" w:cs="Simplified Arabic"/>
          <w:color w:val="000000"/>
          <w:sz w:val="24"/>
          <w:szCs w:val="24"/>
          <w:rtl/>
        </w:rPr>
        <w:t>اختبار الدور الوسيط للكفاءة التشغيلية في العلاقة بين التحول الذكي والاستدامة المؤسسية بأبعادها الثلاثة (الاقتصادية، البيئية، الاجتماعية).</w:t>
      </w:r>
    </w:p>
    <w:p w14:paraId="0430D282" w14:textId="77777777" w:rsidR="0062684A" w:rsidRDefault="0062684A" w:rsidP="0062684A">
      <w:pPr>
        <w:spacing w:after="120" w:line="300" w:lineRule="auto"/>
        <w:ind w:right="360"/>
      </w:pPr>
      <w:r>
        <w:rPr>
          <w:rFonts w:ascii="Simplified Arabic" w:eastAsia="Simplified Arabic" w:hAnsi="Simplified Arabic" w:cs="Simplified Arabic"/>
          <w:b/>
          <w:bCs/>
          <w:color w:val="000000"/>
          <w:sz w:val="24"/>
          <w:szCs w:val="24"/>
          <w:rtl/>
        </w:rPr>
        <w:t xml:space="preserve">4. </w:t>
      </w:r>
      <w:r>
        <w:rPr>
          <w:rFonts w:ascii="Simplified Arabic" w:eastAsia="Simplified Arabic" w:hAnsi="Simplified Arabic" w:cs="Simplified Arabic"/>
          <w:color w:val="000000"/>
          <w:sz w:val="24"/>
          <w:szCs w:val="24"/>
          <w:rtl/>
        </w:rPr>
        <w:t>تقديم نموذج عملي كمي قائم على بيانات تشغيلية فعلية يوضح حجم التوفير في الطاقة والتكلفة والانبعاثات الكربونية الناتج عن تطبيق تقنية محرك التردد المتغير (VFD).</w:t>
      </w:r>
    </w:p>
    <w:p w14:paraId="60086CDD" w14:textId="77777777" w:rsidR="0062684A" w:rsidRDefault="0062684A" w:rsidP="0062684A">
      <w:pPr>
        <w:spacing w:after="120" w:line="300" w:lineRule="auto"/>
        <w:ind w:right="360"/>
      </w:pPr>
      <w:r>
        <w:rPr>
          <w:rFonts w:ascii="Simplified Arabic" w:eastAsia="Simplified Arabic" w:hAnsi="Simplified Arabic" w:cs="Simplified Arabic"/>
          <w:b/>
          <w:bCs/>
          <w:color w:val="000000"/>
          <w:sz w:val="24"/>
          <w:szCs w:val="24"/>
          <w:rtl/>
        </w:rPr>
        <w:t xml:space="preserve">5. </w:t>
      </w:r>
      <w:r>
        <w:rPr>
          <w:rFonts w:ascii="Simplified Arabic" w:eastAsia="Simplified Arabic" w:hAnsi="Simplified Arabic" w:cs="Simplified Arabic"/>
          <w:color w:val="000000"/>
          <w:sz w:val="24"/>
          <w:szCs w:val="24"/>
          <w:rtl/>
        </w:rPr>
        <w:t>تحليل العلاقة بين العوامل المناخية (درجات التبريد والتدفئة التراكمية CDD/HDD) ومستوى استهلاك الطاقة الفعلي.</w:t>
      </w:r>
    </w:p>
    <w:p w14:paraId="3E45377F" w14:textId="77777777" w:rsidR="0062684A" w:rsidRDefault="0062684A" w:rsidP="0062684A">
      <w:pPr>
        <w:spacing w:after="120" w:line="300" w:lineRule="auto"/>
        <w:ind w:right="360"/>
      </w:pPr>
      <w:r>
        <w:rPr>
          <w:rFonts w:ascii="Simplified Arabic" w:eastAsia="Simplified Arabic" w:hAnsi="Simplified Arabic" w:cs="Simplified Arabic"/>
          <w:b/>
          <w:bCs/>
          <w:color w:val="000000"/>
          <w:sz w:val="24"/>
          <w:szCs w:val="24"/>
          <w:rtl/>
        </w:rPr>
        <w:t xml:space="preserve">6. </w:t>
      </w:r>
      <w:r>
        <w:rPr>
          <w:rFonts w:ascii="Simplified Arabic" w:eastAsia="Simplified Arabic" w:hAnsi="Simplified Arabic" w:cs="Simplified Arabic"/>
          <w:color w:val="000000"/>
          <w:sz w:val="24"/>
          <w:szCs w:val="24"/>
          <w:rtl/>
        </w:rPr>
        <w:t>تقييم العائد على الاستثمار (ROI) الناتج عن تطبيق التقنيات الرقمية ومدى مساهمتها في تحقيق وفورات مالية مستدامة.</w:t>
      </w:r>
    </w:p>
    <w:p w14:paraId="006EDB7B" w14:textId="77777777" w:rsidR="0062684A" w:rsidRDefault="0062684A" w:rsidP="0062684A">
      <w:pPr>
        <w:spacing w:after="120" w:line="300" w:lineRule="auto"/>
        <w:ind w:right="360"/>
        <w:rPr>
          <w:rFonts w:ascii="Simplified Arabic" w:eastAsia="Simplified Arabic" w:hAnsi="Simplified Arabic" w:cs="Simplified Arabic"/>
          <w:color w:val="000000"/>
          <w:sz w:val="24"/>
          <w:szCs w:val="24"/>
        </w:rPr>
      </w:pPr>
      <w:r>
        <w:rPr>
          <w:rFonts w:ascii="Simplified Arabic" w:eastAsia="Simplified Arabic" w:hAnsi="Simplified Arabic" w:cs="Simplified Arabic"/>
          <w:b/>
          <w:bCs/>
          <w:color w:val="000000"/>
          <w:sz w:val="24"/>
          <w:szCs w:val="24"/>
          <w:rtl/>
        </w:rPr>
        <w:t xml:space="preserve">7. </w:t>
      </w:r>
      <w:r>
        <w:rPr>
          <w:rFonts w:ascii="Simplified Arabic" w:eastAsia="Simplified Arabic" w:hAnsi="Simplified Arabic" w:cs="Simplified Arabic"/>
          <w:color w:val="000000"/>
          <w:sz w:val="24"/>
          <w:szCs w:val="24"/>
          <w:rtl/>
        </w:rPr>
        <w:t>صياغة مجموعة من التوصيات العملية القابلة للتطبيق لدعم متخذي القرار في جامعة الأميرة نورة، وللباحثين المهتمين بمواصلة البحث في هذا المجال.</w:t>
      </w:r>
    </w:p>
    <w:p w14:paraId="75F3E528" w14:textId="77777777" w:rsidR="004C124C" w:rsidRDefault="004C124C" w:rsidP="0062684A">
      <w:pPr>
        <w:spacing w:after="120" w:line="300" w:lineRule="auto"/>
        <w:ind w:right="360"/>
        <w:rPr>
          <w:rFonts w:ascii="Simplified Arabic" w:eastAsia="Simplified Arabic" w:hAnsi="Simplified Arabic" w:cs="Simplified Arabic"/>
          <w:color w:val="000000"/>
          <w:sz w:val="24"/>
          <w:szCs w:val="24"/>
        </w:rPr>
      </w:pPr>
    </w:p>
    <w:p w14:paraId="4864A74A" w14:textId="77777777" w:rsidR="004C124C" w:rsidRDefault="004C124C" w:rsidP="0062684A">
      <w:pPr>
        <w:spacing w:after="120" w:line="300" w:lineRule="auto"/>
        <w:ind w:right="360"/>
        <w:rPr>
          <w:rFonts w:ascii="Simplified Arabic" w:eastAsia="Simplified Arabic" w:hAnsi="Simplified Arabic" w:cs="Simplified Arabic"/>
          <w:color w:val="000000"/>
          <w:sz w:val="24"/>
          <w:szCs w:val="24"/>
        </w:rPr>
      </w:pPr>
    </w:p>
    <w:p w14:paraId="3DC4914A" w14:textId="77777777" w:rsidR="004C124C" w:rsidRDefault="004C124C" w:rsidP="0062684A">
      <w:pPr>
        <w:spacing w:after="120" w:line="300" w:lineRule="auto"/>
        <w:ind w:right="360"/>
      </w:pPr>
    </w:p>
    <w:p w14:paraId="37E6B714" w14:textId="77777777" w:rsidR="0062684A" w:rsidRDefault="0062684A" w:rsidP="0062684A">
      <w:pPr>
        <w:spacing w:before="320" w:after="200"/>
      </w:pPr>
      <w:r>
        <w:rPr>
          <w:rFonts w:ascii="Simplified Arabic" w:eastAsia="Simplified Arabic" w:hAnsi="Simplified Arabic" w:cs="Simplified Arabic"/>
          <w:b/>
          <w:bCs/>
          <w:color w:val="000000"/>
          <w:sz w:val="28"/>
          <w:szCs w:val="28"/>
          <w:rtl/>
        </w:rPr>
        <w:lastRenderedPageBreak/>
        <w:t>5. الأدب النظري للدراسة</w:t>
      </w:r>
    </w:p>
    <w:p w14:paraId="290A595A" w14:textId="77777777" w:rsidR="0062684A" w:rsidRDefault="0062684A" w:rsidP="0062684A">
      <w:pPr>
        <w:spacing w:after="200" w:line="312" w:lineRule="auto"/>
      </w:pPr>
      <w:r>
        <w:rPr>
          <w:rFonts w:ascii="Simplified Arabic" w:eastAsia="Simplified Arabic" w:hAnsi="Simplified Arabic" w:cs="Simplified Arabic"/>
          <w:color w:val="000000"/>
          <w:sz w:val="24"/>
          <w:szCs w:val="24"/>
          <w:rtl/>
        </w:rPr>
        <w:t>يعد التحول الذكي في إدارة المرافق (Smart Transformation in Facility Management) أحد أبرز التوجهات الحديثة التي أسهمت في إحداث نقلة نوعية في أساليب إدارة وتشغيل المرافق، حيث انتقلت المؤسسات من النماذج التقليدية المعتمدة على الصيانة التصحيحية إلى نماذج ذكية تعتمد على البيانات والتحليل التنبؤي والأتمتة واتخاذ القرار في الوقت الفعلي. ويعتمد التحول الذكي على تكامل مجموعة من التقنيات الحديثة أبرزها الذكاء الاصطناعي، وإنترنت الأشياء، وأنظمة إدارة المباني الذكية (BMS)، وتحليل البيانات التشغيلية، وإدارة الطاقة الذكية. ويمكن تفسير دور التحول الذكي في إدارة المرافق بالاستناد إلى عدد من الأطر النظرية، أبرزها نظرية الموارد والقدرات (Resource-Based View) التي ترى أن التقنيات الذكية تمثل موردًا استراتيجيًا يمنح المؤسسة ميزة تنافسية مستدامة، ونظرية القدرات الديناميكية (Dynamic Capabilities Theory)، إضافة إلى نظرية الخط الثلاثي للاستدامة (Triple Bottom Line Theory) التي تؤكد أهمية تحقيق التوازن بين الأبعاد الاقتصادية والبيئية والاجتماعية عند تقييم الأداء المؤسسي. ويقوم نموذج الدراسة على ثلاثة متغيرات رئيسية: المتغير المستقل (تطبيق التقنيات الذكية في إدارة المرافق)، والمتغير الوسيط (الكفاءة التشغيلية بأبعادها من خفض زمن التوقف وتحسين استهلاك الطاقة وخفض الانبعاثات)، والمتغير التابع (الاستدامة المؤسسية بأبعادها الاقتصادية والبيئية والاجتماعية).</w:t>
      </w:r>
    </w:p>
    <w:p w14:paraId="0D12A3E5" w14:textId="77777777" w:rsidR="0062684A" w:rsidRDefault="0062684A" w:rsidP="0062684A">
      <w:pPr>
        <w:spacing w:before="320" w:after="200"/>
      </w:pPr>
      <w:r>
        <w:rPr>
          <w:rFonts w:ascii="Simplified Arabic" w:eastAsia="Simplified Arabic" w:hAnsi="Simplified Arabic" w:cs="Simplified Arabic"/>
          <w:b/>
          <w:bCs/>
          <w:color w:val="000000"/>
          <w:sz w:val="28"/>
          <w:szCs w:val="28"/>
          <w:rtl/>
        </w:rPr>
        <w:t>6. مراجعة الدراسات السابقة</w:t>
      </w:r>
    </w:p>
    <w:p w14:paraId="1F2645A3" w14:textId="77777777" w:rsidR="0062684A" w:rsidRDefault="0062684A" w:rsidP="004C124C">
      <w:pPr>
        <w:pStyle w:val="ListParagraph"/>
        <w:numPr>
          <w:ilvl w:val="0"/>
          <w:numId w:val="6"/>
        </w:numPr>
        <w:spacing w:line="300" w:lineRule="auto"/>
      </w:pPr>
      <w:r w:rsidRPr="004C124C">
        <w:rPr>
          <w:rFonts w:ascii="Simplified Arabic" w:eastAsia="Simplified Arabic" w:hAnsi="Simplified Arabic" w:cs="Simplified Arabic"/>
          <w:b/>
          <w:bCs/>
          <w:color w:val="000000"/>
          <w:sz w:val="24"/>
          <w:szCs w:val="24"/>
          <w:rtl/>
        </w:rPr>
        <w:t xml:space="preserve">دراسة المركز السعودي لكفاءة الطاقة (SEEC, 2024): </w:t>
      </w:r>
      <w:r w:rsidRPr="004C124C">
        <w:rPr>
          <w:rFonts w:ascii="Simplified Arabic" w:eastAsia="Simplified Arabic" w:hAnsi="Simplified Arabic" w:cs="Simplified Arabic"/>
          <w:color w:val="000000"/>
          <w:sz w:val="24"/>
          <w:szCs w:val="24"/>
          <w:rtl/>
        </w:rPr>
        <w:t>أشارت إلى أن قطاع المباني يمثل نسبة كبيرة من استهلاك الطاقة في المملكة، خاصة بسبب أنظمة التبريد، مما يجعل إدارة الطاقة الذكية أولوية وطنية، مع الإشارة إلى محدودية الدراسات الأكاديمية المحلية التي تختبر أثر التحول الذكي في إدارة المرافق كمياً.</w:t>
      </w:r>
    </w:p>
    <w:p w14:paraId="1A4A2F98" w14:textId="77777777" w:rsidR="0062684A" w:rsidRDefault="0062684A" w:rsidP="004C124C">
      <w:pPr>
        <w:pStyle w:val="ListParagraph"/>
        <w:numPr>
          <w:ilvl w:val="0"/>
          <w:numId w:val="6"/>
        </w:numPr>
        <w:spacing w:line="300" w:lineRule="auto"/>
      </w:pPr>
      <w:r w:rsidRPr="004C124C">
        <w:rPr>
          <w:rFonts w:ascii="Simplified Arabic" w:eastAsia="Simplified Arabic" w:hAnsi="Simplified Arabic" w:cs="Simplified Arabic"/>
          <w:b/>
          <w:bCs/>
          <w:color w:val="000000"/>
          <w:sz w:val="24"/>
          <w:szCs w:val="24"/>
          <w:rtl/>
        </w:rPr>
        <w:t xml:space="preserve">دراسة دور إدارات الجامعات السعودية في التحول نحو الاستدامة (2019): </w:t>
      </w:r>
      <w:r w:rsidRPr="004C124C">
        <w:rPr>
          <w:rFonts w:ascii="Simplified Arabic" w:eastAsia="Simplified Arabic" w:hAnsi="Simplified Arabic" w:cs="Simplified Arabic"/>
          <w:color w:val="000000"/>
          <w:sz w:val="24"/>
          <w:szCs w:val="24"/>
          <w:rtl/>
        </w:rPr>
        <w:t>استخدمت المنهج الوصفي المسحي على خمس جامعات سعودية، وأظهرت أن مستوى إسهام إدارات الجامعات في التحول نحو الاستدامة جاء بدرجة متوسطة، وأوصت بإنشاء إدارات متخصصة بالاستدامة داخل الجامعات.</w:t>
      </w:r>
    </w:p>
    <w:p w14:paraId="2B10A898" w14:textId="77777777" w:rsidR="0062684A" w:rsidRDefault="0062684A" w:rsidP="004C124C">
      <w:pPr>
        <w:pStyle w:val="ListParagraph"/>
        <w:numPr>
          <w:ilvl w:val="0"/>
          <w:numId w:val="6"/>
        </w:numPr>
        <w:spacing w:line="300" w:lineRule="auto"/>
      </w:pPr>
      <w:r w:rsidRPr="004C124C">
        <w:rPr>
          <w:rFonts w:ascii="Simplified Arabic" w:eastAsia="Simplified Arabic" w:hAnsi="Simplified Arabic" w:cs="Simplified Arabic"/>
          <w:b/>
          <w:bCs/>
          <w:color w:val="000000"/>
          <w:sz w:val="24"/>
          <w:szCs w:val="24"/>
          <w:rtl/>
        </w:rPr>
        <w:t xml:space="preserve">دراسة إدارة الطاقة في مباني الجامعات السعودية: </w:t>
      </w:r>
      <w:r w:rsidRPr="004C124C">
        <w:rPr>
          <w:rFonts w:ascii="Simplified Arabic" w:eastAsia="Simplified Arabic" w:hAnsi="Simplified Arabic" w:cs="Simplified Arabic"/>
          <w:color w:val="000000"/>
          <w:sz w:val="24"/>
          <w:szCs w:val="24"/>
          <w:rtl/>
        </w:rPr>
        <w:t>أظهرت أن التوسع في المباني الجامعية أدى إلى زيادة الطلب على الطاقة، وأن استخدام أنظمة إدارة الطاقة (Energy Management Systems) يسهم بشكل كبير في تقليل استهلاك الكهرباء وتحسين كفاءة تشغيل المباني.</w:t>
      </w:r>
    </w:p>
    <w:p w14:paraId="3920A8E9" w14:textId="77777777" w:rsidR="0062684A" w:rsidRDefault="0062684A" w:rsidP="004C124C">
      <w:pPr>
        <w:pStyle w:val="ListParagraph"/>
        <w:numPr>
          <w:ilvl w:val="0"/>
          <w:numId w:val="6"/>
        </w:numPr>
        <w:spacing w:line="300" w:lineRule="auto"/>
      </w:pPr>
      <w:r w:rsidRPr="004C124C">
        <w:rPr>
          <w:rFonts w:ascii="Simplified Arabic" w:eastAsia="Simplified Arabic" w:hAnsi="Simplified Arabic" w:cs="Simplified Arabic"/>
          <w:b/>
          <w:bCs/>
          <w:color w:val="000000"/>
          <w:sz w:val="24"/>
          <w:szCs w:val="24"/>
          <w:rtl/>
        </w:rPr>
        <w:lastRenderedPageBreak/>
        <w:t xml:space="preserve">دراسة الاستدامة في الجامعات السعودية (2020): </w:t>
      </w:r>
      <w:r w:rsidRPr="004C124C">
        <w:rPr>
          <w:rFonts w:ascii="Simplified Arabic" w:eastAsia="Simplified Arabic" w:hAnsi="Simplified Arabic" w:cs="Simplified Arabic"/>
          <w:color w:val="000000"/>
          <w:sz w:val="24"/>
          <w:szCs w:val="24"/>
          <w:rtl/>
        </w:rPr>
        <w:t>استخدمت منهج تحليل المحتوى للوثائق المؤسسية، وكشفت عن فجوة بين الخطاب المؤسسي المعلن حول الاستدامة والممارسات التشغيلية الفعلية، وأوصت بتطوير مؤشرات أداء كمية قابلة للقياس.</w:t>
      </w:r>
    </w:p>
    <w:p w14:paraId="34FCB661" w14:textId="77777777" w:rsidR="0062684A" w:rsidRDefault="0062684A" w:rsidP="004C124C">
      <w:pPr>
        <w:pStyle w:val="ListParagraph"/>
        <w:numPr>
          <w:ilvl w:val="0"/>
          <w:numId w:val="6"/>
        </w:numPr>
        <w:spacing w:line="300" w:lineRule="auto"/>
      </w:pPr>
      <w:r w:rsidRPr="004C124C">
        <w:rPr>
          <w:rFonts w:ascii="Simplified Arabic" w:eastAsia="Simplified Arabic" w:hAnsi="Simplified Arabic" w:cs="Simplified Arabic"/>
          <w:b/>
          <w:bCs/>
          <w:color w:val="000000"/>
          <w:sz w:val="24"/>
          <w:szCs w:val="24"/>
          <w:rtl/>
        </w:rPr>
        <w:t xml:space="preserve">دراسة (Schneider Electric) وCapehart et al. (2017): </w:t>
      </w:r>
      <w:r w:rsidRPr="004C124C">
        <w:rPr>
          <w:rFonts w:ascii="Simplified Arabic" w:eastAsia="Simplified Arabic" w:hAnsi="Simplified Arabic" w:cs="Simplified Arabic"/>
          <w:color w:val="000000"/>
          <w:sz w:val="24"/>
          <w:szCs w:val="24"/>
          <w:rtl/>
        </w:rPr>
        <w:t>بينت أن أنظمة إدارة الطاقة المتكاملة (BMS) يمكن أن تخفض استهلاك الكهرباء بنسبة تتراوح بين 10–30% في المباني الذكية، وهو نطاق استُخدم كمرجع مقارن أساسي في الدراسة الحالية.</w:t>
      </w:r>
    </w:p>
    <w:p w14:paraId="5DED88DE" w14:textId="77777777" w:rsidR="0062684A" w:rsidRDefault="0062684A" w:rsidP="004C124C">
      <w:pPr>
        <w:pStyle w:val="ListParagraph"/>
        <w:numPr>
          <w:ilvl w:val="0"/>
          <w:numId w:val="6"/>
        </w:numPr>
        <w:spacing w:line="300" w:lineRule="auto"/>
      </w:pPr>
      <w:r w:rsidRPr="004C124C">
        <w:rPr>
          <w:rFonts w:ascii="Simplified Arabic" w:eastAsia="Simplified Arabic" w:hAnsi="Simplified Arabic" w:cs="Simplified Arabic"/>
          <w:b/>
          <w:bCs/>
          <w:color w:val="000000"/>
          <w:sz w:val="24"/>
          <w:szCs w:val="24"/>
          <w:rtl/>
        </w:rPr>
        <w:t xml:space="preserve">دراسة Malinowska (2025): </w:t>
      </w:r>
      <w:r w:rsidRPr="004C124C">
        <w:rPr>
          <w:rFonts w:ascii="Simplified Arabic" w:eastAsia="Simplified Arabic" w:hAnsi="Simplified Arabic" w:cs="Simplified Arabic"/>
          <w:color w:val="000000"/>
          <w:sz w:val="24"/>
          <w:szCs w:val="24"/>
          <w:rtl/>
        </w:rPr>
        <w:t>هدفت إلى تقييم أثر أنظمة المراقبة الذكية للطاقة على استدامة إدارة المرافق، وتوصلت إلى خفض استهلاك الطاقة بنسبة 18.6% وتقليل الانبعاثات الكربونية.</w:t>
      </w:r>
    </w:p>
    <w:p w14:paraId="7CA8A07C" w14:textId="77777777" w:rsidR="0062684A" w:rsidRDefault="0062684A" w:rsidP="004C124C">
      <w:pPr>
        <w:pStyle w:val="ListParagraph"/>
        <w:numPr>
          <w:ilvl w:val="0"/>
          <w:numId w:val="6"/>
        </w:numPr>
        <w:spacing w:line="300" w:lineRule="auto"/>
      </w:pPr>
      <w:r w:rsidRPr="004C124C">
        <w:rPr>
          <w:rFonts w:ascii="Simplified Arabic" w:eastAsia="Simplified Arabic" w:hAnsi="Simplified Arabic" w:cs="Simplified Arabic"/>
          <w:b/>
          <w:bCs/>
          <w:color w:val="000000"/>
          <w:sz w:val="24"/>
          <w:szCs w:val="24"/>
          <w:rtl/>
        </w:rPr>
        <w:t xml:space="preserve">دراسة Lee et al. (2014) حول الصناعة 4.0: </w:t>
      </w:r>
      <w:r w:rsidRPr="004C124C">
        <w:rPr>
          <w:rFonts w:ascii="Simplified Arabic" w:eastAsia="Simplified Arabic" w:hAnsi="Simplified Arabic" w:cs="Simplified Arabic"/>
          <w:color w:val="000000"/>
          <w:sz w:val="24"/>
          <w:szCs w:val="24"/>
          <w:rtl/>
        </w:rPr>
        <w:t>أشارت إلى أن التحول من الصيانة الوقائية التقليدية إلى الصيانة التنبؤية المعتمدة على تحليل البيانات الضخمة يقلل الأعطال غير المخططة ويزيد موثوقية الأصول التشغيلية.</w:t>
      </w:r>
    </w:p>
    <w:p w14:paraId="6C21AE34" w14:textId="77777777" w:rsidR="0062684A" w:rsidRDefault="0062684A" w:rsidP="004C124C">
      <w:pPr>
        <w:pStyle w:val="ListParagraph"/>
        <w:numPr>
          <w:ilvl w:val="0"/>
          <w:numId w:val="6"/>
        </w:numPr>
        <w:spacing w:line="300" w:lineRule="auto"/>
      </w:pPr>
      <w:r w:rsidRPr="004C124C">
        <w:rPr>
          <w:rFonts w:ascii="Simplified Arabic" w:eastAsia="Simplified Arabic" w:hAnsi="Simplified Arabic" w:cs="Simplified Arabic"/>
          <w:b/>
          <w:bCs/>
          <w:color w:val="000000"/>
          <w:sz w:val="24"/>
          <w:szCs w:val="24"/>
          <w:rtl/>
        </w:rPr>
        <w:t xml:space="preserve">دراسة Elkington (1994) - الخط الثلاثي للاستدامة: </w:t>
      </w:r>
      <w:r w:rsidRPr="004C124C">
        <w:rPr>
          <w:rFonts w:ascii="Simplified Arabic" w:eastAsia="Simplified Arabic" w:hAnsi="Simplified Arabic" w:cs="Simplified Arabic"/>
          <w:color w:val="000000"/>
          <w:sz w:val="24"/>
          <w:szCs w:val="24"/>
          <w:rtl/>
        </w:rPr>
        <w:t>خلصت إلى أن المؤسسات الناجحة هي التي توازن بين الأداء الاقتصادي والبيئي والاجتماعي، وأن تحسين الكفاءة التشغيلية يخلق قيمة اقتصادية واجتماعية مشتركة.</w:t>
      </w:r>
    </w:p>
    <w:p w14:paraId="23ED3995" w14:textId="63E051D6" w:rsidR="004C124C" w:rsidRDefault="0062684A" w:rsidP="004C124C">
      <w:pPr>
        <w:pStyle w:val="ListParagraph"/>
        <w:numPr>
          <w:ilvl w:val="0"/>
          <w:numId w:val="6"/>
        </w:numPr>
        <w:spacing w:after="200" w:line="312" w:lineRule="auto"/>
      </w:pPr>
      <w:r w:rsidRPr="004C124C">
        <w:rPr>
          <w:rFonts w:ascii="Simplified Arabic" w:eastAsia="Simplified Arabic" w:hAnsi="Simplified Arabic" w:cs="Simplified Arabic"/>
          <w:color w:val="000000"/>
          <w:sz w:val="24"/>
          <w:szCs w:val="24"/>
          <w:rtl/>
        </w:rPr>
        <w:t>من خلال استعراض الدراسات السابقة، يتضح أن أغلبها تناول متغيرات الدراسة (التحول الذكي، الكفاءة التشغيلية، الاستدامة) إما بشكل منفصل أو ضمن سياقات صناعية عامة بعيدة عن قطاع التعليم العالي السعودي، كما اعتمدت غالبيتها على أدوات وصفية مسحية (استبانات) دون دعمها ببيانات تشغيلية كمية فعلية. وتتمثل الفجوة البحثية التي تسعى هذه الدراسة لمعالجتها في: غياب نموذج تكاملي يربط بين التحول الذكي والكفاءة التشغيلية والاستدامة المؤسسية بأبعادها الثلاثة ضمن سياق جامعي سعودي محدد؛ ومحدودية الدراسات التي تختبر الدور الوسيط للكفاءة التشغيلية؛ وندرة الدراسات التي تدعم نتائجها ببيانات تشغيلية كمية فعلية (Practical Model) مستخرجة من لوحات معلومات طاقة حقيقية؛ وغياب التحليل الكمي الدقيق لتقنية محرك التردد المتغير (VFD) كحالة تطبيقية ضمن الدراسات الأكاديمية العربية في قطاع إدارة المرافق الجامعية.</w:t>
      </w:r>
    </w:p>
    <w:p w14:paraId="1C041A5A" w14:textId="77777777" w:rsidR="0062684A" w:rsidRDefault="0062684A" w:rsidP="0062684A">
      <w:pPr>
        <w:spacing w:before="320" w:after="200"/>
      </w:pPr>
      <w:r>
        <w:rPr>
          <w:rFonts w:ascii="Simplified Arabic" w:eastAsia="Simplified Arabic" w:hAnsi="Simplified Arabic" w:cs="Simplified Arabic"/>
          <w:b/>
          <w:bCs/>
          <w:color w:val="000000"/>
          <w:sz w:val="28"/>
          <w:szCs w:val="28"/>
          <w:rtl/>
        </w:rPr>
        <w:t>7. المنهجية</w:t>
      </w:r>
    </w:p>
    <w:p w14:paraId="64739C8D" w14:textId="207A7013" w:rsidR="0062684A" w:rsidRDefault="004C124C" w:rsidP="004C124C">
      <w:pPr>
        <w:spacing w:after="200" w:line="312" w:lineRule="auto"/>
        <w:jc w:val="lowKashida"/>
      </w:pPr>
      <w:r>
        <w:rPr>
          <w:rFonts w:ascii="Simplified Arabic" w:eastAsia="Simplified Arabic" w:hAnsi="Simplified Arabic" w:cs="Simplified Arabic"/>
          <w:color w:val="000000"/>
          <w:sz w:val="24"/>
          <w:szCs w:val="24"/>
        </w:rPr>
        <w:t xml:space="preserve">      </w:t>
      </w:r>
      <w:r w:rsidR="0062684A">
        <w:rPr>
          <w:rFonts w:ascii="Simplified Arabic" w:eastAsia="Simplified Arabic" w:hAnsi="Simplified Arabic" w:cs="Simplified Arabic"/>
          <w:color w:val="000000"/>
          <w:sz w:val="24"/>
          <w:szCs w:val="24"/>
          <w:rtl/>
        </w:rPr>
        <w:t xml:space="preserve">تعتمد هذه الدراسة على التصميم البحثي الكمي (Quantitative Research Design) في إطار منهج دراسة الحالة الكمية (Quantitative Case Study)، القائم على التحليل الوصفي التحليلي للبيانات التشغيلية الثانوية. وتتميز الدراسة </w:t>
      </w:r>
      <w:r w:rsidR="0062684A">
        <w:rPr>
          <w:rFonts w:ascii="Simplified Arabic" w:eastAsia="Simplified Arabic" w:hAnsi="Simplified Arabic" w:cs="Simplified Arabic"/>
          <w:color w:val="000000"/>
          <w:sz w:val="24"/>
          <w:szCs w:val="24"/>
          <w:rtl/>
        </w:rPr>
        <w:lastRenderedPageBreak/>
        <w:t>باعتمادها الحصري على مصدر بيانات واحد موضوعي وقابل للتحقق، يتمثل في لوحة معلومات الطاقة الإلكترونية (Energy Dashboard) الخاصة بالمبنى A داخل الجامعة، والتي تعد بحد ذاتها النموذج العملي (Practical Model) لهذه الدراسة. وتغطي بيانات هذه اللوحة خمس سنوات متعاقبة (2026–2030) من بيانات الاستهلاك والتكلفة والادخار والمتغيرات المناخية وبيانات المحرك الكهربائي، بواقع اثني عشر سجلًا شهريًا لكل سنة (60 سجلًا إجماليًا). ويتمثل تصميم البحث في مقارنة الحالة "قبل وبعد" (Before-After Design) لتطبيق تقنية محرك التردد المتغير (VFD)، مع تتبع زمني ممتد لخمس سنوات تشغيلية متتالية. ويتمثل مجتمع الدراسة في البيانات التشغيلية الفعلية لأنظمة إدارة المرافق والطاقة، ويشمل بيانات استهلاك الطاقة الكهربائية، وإدارة الأحمال، وأنظمة BMS، وسرعة المحركات (Hz)، ومعامل التحميل، ودرجات التبريد والتدفئة التراكمية (CDD/HDD)، والانبعاثات الكربونية، والوفر المالي. أما أداة جمع البيانات فتتمثل في الاستخراج المباشر من لوحة معلومات الطاقة الإلكترونية دون وسيط استبياني، بما يعزز الصدق الداخلي للنتائج. وللتحليل الإحصائي، استُخدم اختبار (t) للعينات المزدوجة (Paired-Samples t-Test) للمقارنة بين استهلاك الطاقة الشهري قبل تطبيق تقنية VFD وبعده عبر جميع نقاط الرصد الشهرية (ن = 60)، إضافة إلى معامل ارتباط بيرسون لفحص مدى استقرار نسبة التوفير المحققة في ظل تفاوت درجة الحمل المناخي (CDD) بين الأشهر والسنوات.</w:t>
      </w:r>
    </w:p>
    <w:p w14:paraId="4249AD5B" w14:textId="77777777" w:rsidR="0062684A" w:rsidRDefault="0062684A" w:rsidP="0062684A">
      <w:pPr>
        <w:spacing w:before="320" w:after="200"/>
      </w:pPr>
      <w:r>
        <w:rPr>
          <w:rFonts w:ascii="Simplified Arabic" w:eastAsia="Simplified Arabic" w:hAnsi="Simplified Arabic" w:cs="Simplified Arabic"/>
          <w:b/>
          <w:bCs/>
          <w:color w:val="000000"/>
          <w:sz w:val="28"/>
          <w:szCs w:val="28"/>
          <w:rtl/>
        </w:rPr>
        <w:t>8. النتائج</w:t>
      </w:r>
    </w:p>
    <w:p w14:paraId="1F8C57A0" w14:textId="77777777" w:rsidR="0062684A" w:rsidRDefault="0062684A" w:rsidP="0062684A">
      <w:pPr>
        <w:spacing w:after="200" w:line="312" w:lineRule="auto"/>
      </w:pPr>
      <w:r>
        <w:rPr>
          <w:rFonts w:ascii="Simplified Arabic" w:eastAsia="Simplified Arabic" w:hAnsi="Simplified Arabic" w:cs="Simplified Arabic"/>
          <w:color w:val="000000"/>
          <w:sz w:val="24"/>
          <w:szCs w:val="24"/>
          <w:rtl/>
        </w:rPr>
        <w:t>لاختبار الفرضية الرئيسية التي تنص على عدم وجود تأثير ذي دلالة إحصائية لتطبيقات التحول الذكي على الكفاءة التشغيلية (H0)، مقابل الفرض البديل (H1) بوجود تأثير إيجابي، استُخدم اختبار (t) للعينات المزدوجة عبر 60 نقطة رصد شهرية.</w:t>
      </w:r>
    </w:p>
    <w:p w14:paraId="660A4740" w14:textId="77777777" w:rsidR="0062684A" w:rsidRDefault="0062684A" w:rsidP="0062684A">
      <w:pPr>
        <w:spacing w:before="160" w:after="100"/>
      </w:pPr>
      <w:r>
        <w:rPr>
          <w:rFonts w:ascii="Simplified Arabic" w:eastAsia="Simplified Arabic" w:hAnsi="Simplified Arabic" w:cs="Simplified Arabic"/>
          <w:b/>
          <w:bCs/>
          <w:color w:val="000000"/>
          <w:sz w:val="20"/>
          <w:szCs w:val="20"/>
          <w:rtl/>
        </w:rPr>
        <w:t>الجدول (1): نتائج اختبار الفرضية الرئيسية ومعامل الارتباط</w:t>
      </w:r>
    </w:p>
    <w:tbl>
      <w:tblPr>
        <w:bidiVisual/>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000" w:firstRow="0" w:lastRow="0" w:firstColumn="0" w:lastColumn="0" w:noHBand="0" w:noVBand="0"/>
      </w:tblPr>
      <w:tblGrid>
        <w:gridCol w:w="4050"/>
        <w:gridCol w:w="5300"/>
      </w:tblGrid>
      <w:tr w:rsidR="0062684A" w14:paraId="30A952F6" w14:textId="77777777" w:rsidTr="00071204">
        <w:tblPrEx>
          <w:tblCellMar>
            <w:top w:w="0" w:type="dxa"/>
            <w:bottom w:w="0" w:type="dxa"/>
          </w:tblCellMar>
        </w:tblPrEx>
        <w:tc>
          <w:tcPr>
            <w:tcW w:w="0" w:type="auto"/>
            <w:shd w:val="clear" w:color="auto" w:fill="DCE3EA"/>
            <w:tcMar>
              <w:top w:w="80" w:type="dxa"/>
              <w:left w:w="100" w:type="dxa"/>
              <w:bottom w:w="80" w:type="dxa"/>
              <w:right w:w="100" w:type="dxa"/>
            </w:tcMar>
            <w:vAlign w:val="center"/>
          </w:tcPr>
          <w:p w14:paraId="335C4FF2" w14:textId="77777777" w:rsidR="0062684A" w:rsidRDefault="0062684A" w:rsidP="00071204">
            <w:r>
              <w:rPr>
                <w:rFonts w:ascii="Simplified Arabic" w:eastAsia="Simplified Arabic" w:hAnsi="Simplified Arabic" w:cs="Simplified Arabic"/>
                <w:b/>
                <w:bCs/>
                <w:color w:val="000000"/>
                <w:rtl/>
              </w:rPr>
              <w:t>البند</w:t>
            </w:r>
          </w:p>
        </w:tc>
        <w:tc>
          <w:tcPr>
            <w:tcW w:w="0" w:type="auto"/>
            <w:shd w:val="clear" w:color="auto" w:fill="DCE3EA"/>
            <w:tcMar>
              <w:top w:w="80" w:type="dxa"/>
              <w:left w:w="100" w:type="dxa"/>
              <w:bottom w:w="80" w:type="dxa"/>
              <w:right w:w="100" w:type="dxa"/>
            </w:tcMar>
            <w:vAlign w:val="center"/>
          </w:tcPr>
          <w:p w14:paraId="7773CDC1" w14:textId="77777777" w:rsidR="0062684A" w:rsidRDefault="0062684A" w:rsidP="00071204">
            <w:r>
              <w:rPr>
                <w:rFonts w:ascii="Simplified Arabic" w:eastAsia="Simplified Arabic" w:hAnsi="Simplified Arabic" w:cs="Simplified Arabic"/>
                <w:b/>
                <w:bCs/>
                <w:color w:val="000000"/>
                <w:rtl/>
              </w:rPr>
              <w:t>النتيجة</w:t>
            </w:r>
          </w:p>
        </w:tc>
      </w:tr>
      <w:tr w:rsidR="0062684A" w14:paraId="22EA9070" w14:textId="77777777" w:rsidTr="00071204">
        <w:tblPrEx>
          <w:tblCellMar>
            <w:top w:w="0" w:type="dxa"/>
            <w:bottom w:w="0" w:type="dxa"/>
          </w:tblCellMar>
        </w:tblPrEx>
        <w:tc>
          <w:tcPr>
            <w:tcW w:w="0" w:type="auto"/>
            <w:shd w:val="clear" w:color="auto" w:fill="FFFFFF"/>
            <w:tcMar>
              <w:top w:w="80" w:type="dxa"/>
              <w:left w:w="100" w:type="dxa"/>
              <w:bottom w:w="80" w:type="dxa"/>
              <w:right w:w="100" w:type="dxa"/>
            </w:tcMar>
            <w:vAlign w:val="center"/>
          </w:tcPr>
          <w:p w14:paraId="6AE065EE" w14:textId="77777777" w:rsidR="0062684A" w:rsidRDefault="0062684A" w:rsidP="00071204">
            <w:r>
              <w:rPr>
                <w:rFonts w:ascii="Simplified Arabic" w:eastAsia="Simplified Arabic" w:hAnsi="Simplified Arabic" w:cs="Simplified Arabic"/>
                <w:color w:val="000000"/>
                <w:rtl/>
              </w:rPr>
              <w:t>نوع الاختبار</w:t>
            </w:r>
          </w:p>
        </w:tc>
        <w:tc>
          <w:tcPr>
            <w:tcW w:w="0" w:type="auto"/>
            <w:shd w:val="clear" w:color="auto" w:fill="FFFFFF"/>
            <w:tcMar>
              <w:top w:w="80" w:type="dxa"/>
              <w:left w:w="100" w:type="dxa"/>
              <w:bottom w:w="80" w:type="dxa"/>
              <w:right w:w="100" w:type="dxa"/>
            </w:tcMar>
            <w:vAlign w:val="center"/>
          </w:tcPr>
          <w:p w14:paraId="3DB34F00" w14:textId="77777777" w:rsidR="0062684A" w:rsidRDefault="0062684A" w:rsidP="00071204">
            <w:r>
              <w:rPr>
                <w:rFonts w:ascii="Simplified Arabic" w:eastAsia="Simplified Arabic" w:hAnsi="Simplified Arabic" w:cs="Simplified Arabic"/>
                <w:color w:val="000000"/>
                <w:rtl/>
              </w:rPr>
              <w:t>اختبار (t) للعينات المزدوجة (Paired-Samples t-Test)</w:t>
            </w:r>
          </w:p>
        </w:tc>
      </w:tr>
      <w:tr w:rsidR="0062684A" w14:paraId="0A4DFD89" w14:textId="77777777" w:rsidTr="00071204">
        <w:tblPrEx>
          <w:tblCellMar>
            <w:top w:w="0" w:type="dxa"/>
            <w:bottom w:w="0" w:type="dxa"/>
          </w:tblCellMar>
        </w:tblPrEx>
        <w:tc>
          <w:tcPr>
            <w:tcW w:w="0" w:type="auto"/>
            <w:shd w:val="clear" w:color="auto" w:fill="F5F7F9"/>
            <w:tcMar>
              <w:top w:w="80" w:type="dxa"/>
              <w:left w:w="100" w:type="dxa"/>
              <w:bottom w:w="80" w:type="dxa"/>
              <w:right w:w="100" w:type="dxa"/>
            </w:tcMar>
            <w:vAlign w:val="center"/>
          </w:tcPr>
          <w:p w14:paraId="1BB3DF92" w14:textId="77777777" w:rsidR="0062684A" w:rsidRDefault="0062684A" w:rsidP="00071204">
            <w:r>
              <w:rPr>
                <w:rFonts w:ascii="Simplified Arabic" w:eastAsia="Simplified Arabic" w:hAnsi="Simplified Arabic" w:cs="Simplified Arabic"/>
                <w:color w:val="000000"/>
                <w:rtl/>
              </w:rPr>
              <w:t>حجم العينة (5 سنوات × 12 شهراً)</w:t>
            </w:r>
          </w:p>
        </w:tc>
        <w:tc>
          <w:tcPr>
            <w:tcW w:w="0" w:type="auto"/>
            <w:shd w:val="clear" w:color="auto" w:fill="F5F7F9"/>
            <w:tcMar>
              <w:top w:w="80" w:type="dxa"/>
              <w:left w:w="100" w:type="dxa"/>
              <w:bottom w:w="80" w:type="dxa"/>
              <w:right w:w="100" w:type="dxa"/>
            </w:tcMar>
            <w:vAlign w:val="center"/>
          </w:tcPr>
          <w:p w14:paraId="5E94B76F" w14:textId="77777777" w:rsidR="0062684A" w:rsidRDefault="0062684A" w:rsidP="00071204">
            <w:r>
              <w:rPr>
                <w:rFonts w:ascii="Simplified Arabic" w:eastAsia="Simplified Arabic" w:hAnsi="Simplified Arabic" w:cs="Simplified Arabic"/>
                <w:color w:val="000000"/>
                <w:rtl/>
              </w:rPr>
              <w:t>ن = 60</w:t>
            </w:r>
          </w:p>
        </w:tc>
      </w:tr>
      <w:tr w:rsidR="0062684A" w14:paraId="3AC080CE" w14:textId="77777777" w:rsidTr="00071204">
        <w:tblPrEx>
          <w:tblCellMar>
            <w:top w:w="0" w:type="dxa"/>
            <w:bottom w:w="0" w:type="dxa"/>
          </w:tblCellMar>
        </w:tblPrEx>
        <w:tc>
          <w:tcPr>
            <w:tcW w:w="0" w:type="auto"/>
            <w:shd w:val="clear" w:color="auto" w:fill="FFFFFF"/>
            <w:tcMar>
              <w:top w:w="80" w:type="dxa"/>
              <w:left w:w="100" w:type="dxa"/>
              <w:bottom w:w="80" w:type="dxa"/>
              <w:right w:w="100" w:type="dxa"/>
            </w:tcMar>
            <w:vAlign w:val="center"/>
          </w:tcPr>
          <w:p w14:paraId="6D042CEF" w14:textId="77777777" w:rsidR="0062684A" w:rsidRDefault="0062684A" w:rsidP="00071204">
            <w:r>
              <w:rPr>
                <w:rFonts w:ascii="Simplified Arabic" w:eastAsia="Simplified Arabic" w:hAnsi="Simplified Arabic" w:cs="Simplified Arabic"/>
                <w:color w:val="000000"/>
                <w:rtl/>
              </w:rPr>
              <w:t>متوسط الفرق (قبل − بعد)</w:t>
            </w:r>
          </w:p>
        </w:tc>
        <w:tc>
          <w:tcPr>
            <w:tcW w:w="0" w:type="auto"/>
            <w:shd w:val="clear" w:color="auto" w:fill="FFFFFF"/>
            <w:tcMar>
              <w:top w:w="80" w:type="dxa"/>
              <w:left w:w="100" w:type="dxa"/>
              <w:bottom w:w="80" w:type="dxa"/>
              <w:right w:w="100" w:type="dxa"/>
            </w:tcMar>
            <w:vAlign w:val="center"/>
          </w:tcPr>
          <w:p w14:paraId="543CC78E" w14:textId="77777777" w:rsidR="0062684A" w:rsidRDefault="0062684A" w:rsidP="00071204">
            <w:r>
              <w:rPr>
                <w:rFonts w:ascii="Simplified Arabic" w:eastAsia="Simplified Arabic" w:hAnsi="Simplified Arabic" w:cs="Simplified Arabic"/>
                <w:color w:val="000000"/>
                <w:rtl/>
              </w:rPr>
              <w:t>163.567 ميجاواط ساعة</w:t>
            </w:r>
          </w:p>
        </w:tc>
      </w:tr>
      <w:tr w:rsidR="0062684A" w14:paraId="4B90B8E2" w14:textId="77777777" w:rsidTr="00071204">
        <w:tblPrEx>
          <w:tblCellMar>
            <w:top w:w="0" w:type="dxa"/>
            <w:bottom w:w="0" w:type="dxa"/>
          </w:tblCellMar>
        </w:tblPrEx>
        <w:tc>
          <w:tcPr>
            <w:tcW w:w="0" w:type="auto"/>
            <w:shd w:val="clear" w:color="auto" w:fill="F5F7F9"/>
            <w:tcMar>
              <w:top w:w="80" w:type="dxa"/>
              <w:left w:w="100" w:type="dxa"/>
              <w:bottom w:w="80" w:type="dxa"/>
              <w:right w:w="100" w:type="dxa"/>
            </w:tcMar>
            <w:vAlign w:val="center"/>
          </w:tcPr>
          <w:p w14:paraId="061A4019" w14:textId="77777777" w:rsidR="0062684A" w:rsidRDefault="0062684A" w:rsidP="00071204">
            <w:r>
              <w:rPr>
                <w:rFonts w:ascii="Simplified Arabic" w:eastAsia="Simplified Arabic" w:hAnsi="Simplified Arabic" w:cs="Simplified Arabic"/>
                <w:color w:val="000000"/>
                <w:rtl/>
              </w:rPr>
              <w:t>الانحراف المعياري للفرق</w:t>
            </w:r>
          </w:p>
        </w:tc>
        <w:tc>
          <w:tcPr>
            <w:tcW w:w="0" w:type="auto"/>
            <w:shd w:val="clear" w:color="auto" w:fill="F5F7F9"/>
            <w:tcMar>
              <w:top w:w="80" w:type="dxa"/>
              <w:left w:w="100" w:type="dxa"/>
              <w:bottom w:w="80" w:type="dxa"/>
              <w:right w:w="100" w:type="dxa"/>
            </w:tcMar>
            <w:vAlign w:val="center"/>
          </w:tcPr>
          <w:p w14:paraId="3819A9B8" w14:textId="77777777" w:rsidR="0062684A" w:rsidRDefault="0062684A" w:rsidP="00071204">
            <w:r>
              <w:rPr>
                <w:rFonts w:ascii="Simplified Arabic" w:eastAsia="Simplified Arabic" w:hAnsi="Simplified Arabic" w:cs="Simplified Arabic"/>
                <w:color w:val="000000"/>
                <w:rtl/>
              </w:rPr>
              <w:t>6.052 ميجاواط ساعة</w:t>
            </w:r>
          </w:p>
        </w:tc>
      </w:tr>
      <w:tr w:rsidR="0062684A" w14:paraId="376358E7" w14:textId="77777777" w:rsidTr="00071204">
        <w:tblPrEx>
          <w:tblCellMar>
            <w:top w:w="0" w:type="dxa"/>
            <w:bottom w:w="0" w:type="dxa"/>
          </w:tblCellMar>
        </w:tblPrEx>
        <w:tc>
          <w:tcPr>
            <w:tcW w:w="0" w:type="auto"/>
            <w:shd w:val="clear" w:color="auto" w:fill="FFFFFF"/>
            <w:tcMar>
              <w:top w:w="80" w:type="dxa"/>
              <w:left w:w="100" w:type="dxa"/>
              <w:bottom w:w="80" w:type="dxa"/>
              <w:right w:w="100" w:type="dxa"/>
            </w:tcMar>
            <w:vAlign w:val="center"/>
          </w:tcPr>
          <w:p w14:paraId="0A11830E" w14:textId="77777777" w:rsidR="0062684A" w:rsidRDefault="0062684A" w:rsidP="00071204">
            <w:r>
              <w:rPr>
                <w:rFonts w:ascii="Simplified Arabic" w:eastAsia="Simplified Arabic" w:hAnsi="Simplified Arabic" w:cs="Simplified Arabic"/>
                <w:color w:val="000000"/>
                <w:rtl/>
              </w:rPr>
              <w:lastRenderedPageBreak/>
              <w:t>قيمة (t) المحسوبة</w:t>
            </w:r>
          </w:p>
        </w:tc>
        <w:tc>
          <w:tcPr>
            <w:tcW w:w="0" w:type="auto"/>
            <w:shd w:val="clear" w:color="auto" w:fill="FFFFFF"/>
            <w:tcMar>
              <w:top w:w="80" w:type="dxa"/>
              <w:left w:w="100" w:type="dxa"/>
              <w:bottom w:w="80" w:type="dxa"/>
              <w:right w:w="100" w:type="dxa"/>
            </w:tcMar>
            <w:vAlign w:val="center"/>
          </w:tcPr>
          <w:p w14:paraId="5CDD7877" w14:textId="77777777" w:rsidR="0062684A" w:rsidRDefault="0062684A" w:rsidP="00071204">
            <w:r>
              <w:rPr>
                <w:rFonts w:ascii="Simplified Arabic" w:eastAsia="Simplified Arabic" w:hAnsi="Simplified Arabic" w:cs="Simplified Arabic"/>
                <w:color w:val="000000"/>
                <w:rtl/>
              </w:rPr>
              <w:t>209.36</w:t>
            </w:r>
          </w:p>
        </w:tc>
      </w:tr>
      <w:tr w:rsidR="0062684A" w14:paraId="776C3F48" w14:textId="77777777" w:rsidTr="00071204">
        <w:tblPrEx>
          <w:tblCellMar>
            <w:top w:w="0" w:type="dxa"/>
            <w:bottom w:w="0" w:type="dxa"/>
          </w:tblCellMar>
        </w:tblPrEx>
        <w:tc>
          <w:tcPr>
            <w:tcW w:w="0" w:type="auto"/>
            <w:shd w:val="clear" w:color="auto" w:fill="F5F7F9"/>
            <w:tcMar>
              <w:top w:w="80" w:type="dxa"/>
              <w:left w:w="100" w:type="dxa"/>
              <w:bottom w:w="80" w:type="dxa"/>
              <w:right w:w="100" w:type="dxa"/>
            </w:tcMar>
            <w:vAlign w:val="center"/>
          </w:tcPr>
          <w:p w14:paraId="7956706E" w14:textId="77777777" w:rsidR="0062684A" w:rsidRDefault="0062684A" w:rsidP="00071204">
            <w:r>
              <w:rPr>
                <w:rFonts w:ascii="Simplified Arabic" w:eastAsia="Simplified Arabic" w:hAnsi="Simplified Arabic" w:cs="Simplified Arabic"/>
                <w:color w:val="000000"/>
                <w:rtl/>
              </w:rPr>
              <w:t>درجات الحرية (df)</w:t>
            </w:r>
          </w:p>
        </w:tc>
        <w:tc>
          <w:tcPr>
            <w:tcW w:w="0" w:type="auto"/>
            <w:shd w:val="clear" w:color="auto" w:fill="F5F7F9"/>
            <w:tcMar>
              <w:top w:w="80" w:type="dxa"/>
              <w:left w:w="100" w:type="dxa"/>
              <w:bottom w:w="80" w:type="dxa"/>
              <w:right w:w="100" w:type="dxa"/>
            </w:tcMar>
            <w:vAlign w:val="center"/>
          </w:tcPr>
          <w:p w14:paraId="042415FD" w14:textId="77777777" w:rsidR="0062684A" w:rsidRDefault="0062684A" w:rsidP="00071204">
            <w:r>
              <w:rPr>
                <w:rFonts w:ascii="Simplified Arabic" w:eastAsia="Simplified Arabic" w:hAnsi="Simplified Arabic" w:cs="Simplified Arabic"/>
                <w:color w:val="000000"/>
                <w:rtl/>
              </w:rPr>
              <w:t>59</w:t>
            </w:r>
          </w:p>
        </w:tc>
      </w:tr>
      <w:tr w:rsidR="0062684A" w14:paraId="733A4DB5" w14:textId="77777777" w:rsidTr="00071204">
        <w:tblPrEx>
          <w:tblCellMar>
            <w:top w:w="0" w:type="dxa"/>
            <w:bottom w:w="0" w:type="dxa"/>
          </w:tblCellMar>
        </w:tblPrEx>
        <w:tc>
          <w:tcPr>
            <w:tcW w:w="0" w:type="auto"/>
            <w:shd w:val="clear" w:color="auto" w:fill="FFFFFF"/>
            <w:tcMar>
              <w:top w:w="80" w:type="dxa"/>
              <w:left w:w="100" w:type="dxa"/>
              <w:bottom w:w="80" w:type="dxa"/>
              <w:right w:w="100" w:type="dxa"/>
            </w:tcMar>
            <w:vAlign w:val="center"/>
          </w:tcPr>
          <w:p w14:paraId="0EC4AC17" w14:textId="77777777" w:rsidR="0062684A" w:rsidRDefault="0062684A" w:rsidP="00071204">
            <w:r>
              <w:rPr>
                <w:rFonts w:ascii="Simplified Arabic" w:eastAsia="Simplified Arabic" w:hAnsi="Simplified Arabic" w:cs="Simplified Arabic"/>
                <w:color w:val="000000"/>
                <w:rtl/>
              </w:rPr>
              <w:t>المستوى الاحتمالي (p-value)</w:t>
            </w:r>
          </w:p>
        </w:tc>
        <w:tc>
          <w:tcPr>
            <w:tcW w:w="0" w:type="auto"/>
            <w:shd w:val="clear" w:color="auto" w:fill="FFFFFF"/>
            <w:tcMar>
              <w:top w:w="80" w:type="dxa"/>
              <w:left w:w="100" w:type="dxa"/>
              <w:bottom w:w="80" w:type="dxa"/>
              <w:right w:w="100" w:type="dxa"/>
            </w:tcMar>
            <w:vAlign w:val="center"/>
          </w:tcPr>
          <w:p w14:paraId="2A0A9672" w14:textId="77777777" w:rsidR="0062684A" w:rsidRDefault="0062684A" w:rsidP="00071204">
            <w:r>
              <w:rPr>
                <w:rFonts w:ascii="Simplified Arabic" w:eastAsia="Simplified Arabic" w:hAnsi="Simplified Arabic" w:cs="Simplified Arabic"/>
                <w:color w:val="000000"/>
                <w:rtl/>
              </w:rPr>
              <w:t>أقل من 0.001</w:t>
            </w:r>
          </w:p>
        </w:tc>
      </w:tr>
      <w:tr w:rsidR="0062684A" w14:paraId="67C22060" w14:textId="77777777" w:rsidTr="00071204">
        <w:tblPrEx>
          <w:tblCellMar>
            <w:top w:w="0" w:type="dxa"/>
            <w:bottom w:w="0" w:type="dxa"/>
          </w:tblCellMar>
        </w:tblPrEx>
        <w:tc>
          <w:tcPr>
            <w:tcW w:w="0" w:type="auto"/>
            <w:shd w:val="clear" w:color="auto" w:fill="F5F7F9"/>
            <w:tcMar>
              <w:top w:w="80" w:type="dxa"/>
              <w:left w:w="100" w:type="dxa"/>
              <w:bottom w:w="80" w:type="dxa"/>
              <w:right w:w="100" w:type="dxa"/>
            </w:tcMar>
            <w:vAlign w:val="center"/>
          </w:tcPr>
          <w:p w14:paraId="1EC3FEBC" w14:textId="77777777" w:rsidR="0062684A" w:rsidRDefault="0062684A" w:rsidP="00071204">
            <w:r>
              <w:rPr>
                <w:rFonts w:ascii="Simplified Arabic" w:eastAsia="Simplified Arabic" w:hAnsi="Simplified Arabic" w:cs="Simplified Arabic"/>
                <w:color w:val="000000"/>
                <w:rtl/>
              </w:rPr>
              <w:t>حجم الأثر (Cohen's d)</w:t>
            </w:r>
          </w:p>
        </w:tc>
        <w:tc>
          <w:tcPr>
            <w:tcW w:w="0" w:type="auto"/>
            <w:shd w:val="clear" w:color="auto" w:fill="F5F7F9"/>
            <w:tcMar>
              <w:top w:w="80" w:type="dxa"/>
              <w:left w:w="100" w:type="dxa"/>
              <w:bottom w:w="80" w:type="dxa"/>
              <w:right w:w="100" w:type="dxa"/>
            </w:tcMar>
            <w:vAlign w:val="center"/>
          </w:tcPr>
          <w:p w14:paraId="60102E03" w14:textId="77777777" w:rsidR="0062684A" w:rsidRDefault="0062684A" w:rsidP="00071204">
            <w:r>
              <w:rPr>
                <w:rFonts w:ascii="Simplified Arabic" w:eastAsia="Simplified Arabic" w:hAnsi="Simplified Arabic" w:cs="Simplified Arabic"/>
                <w:color w:val="000000"/>
                <w:rtl/>
              </w:rPr>
              <w:t>27.0 (أثر كبير جداً)</w:t>
            </w:r>
          </w:p>
        </w:tc>
      </w:tr>
      <w:tr w:rsidR="0062684A" w14:paraId="119259F0" w14:textId="77777777" w:rsidTr="00071204">
        <w:tblPrEx>
          <w:tblCellMar>
            <w:top w:w="0" w:type="dxa"/>
            <w:bottom w:w="0" w:type="dxa"/>
          </w:tblCellMar>
        </w:tblPrEx>
        <w:tc>
          <w:tcPr>
            <w:tcW w:w="0" w:type="auto"/>
            <w:shd w:val="clear" w:color="auto" w:fill="FFFFFF"/>
            <w:tcMar>
              <w:top w:w="80" w:type="dxa"/>
              <w:left w:w="100" w:type="dxa"/>
              <w:bottom w:w="80" w:type="dxa"/>
              <w:right w:w="100" w:type="dxa"/>
            </w:tcMar>
            <w:vAlign w:val="center"/>
          </w:tcPr>
          <w:p w14:paraId="1D60E34F" w14:textId="77777777" w:rsidR="0062684A" w:rsidRDefault="0062684A" w:rsidP="00071204">
            <w:r>
              <w:rPr>
                <w:rFonts w:ascii="Simplified Arabic" w:eastAsia="Simplified Arabic" w:hAnsi="Simplified Arabic" w:cs="Simplified Arabic"/>
                <w:color w:val="000000"/>
                <w:rtl/>
              </w:rPr>
              <w:t>القرار الإحصائي</w:t>
            </w:r>
          </w:p>
        </w:tc>
        <w:tc>
          <w:tcPr>
            <w:tcW w:w="0" w:type="auto"/>
            <w:shd w:val="clear" w:color="auto" w:fill="FFFFFF"/>
            <w:tcMar>
              <w:top w:w="80" w:type="dxa"/>
              <w:left w:w="100" w:type="dxa"/>
              <w:bottom w:w="80" w:type="dxa"/>
              <w:right w:w="100" w:type="dxa"/>
            </w:tcMar>
            <w:vAlign w:val="center"/>
          </w:tcPr>
          <w:p w14:paraId="28FD1EC6" w14:textId="77777777" w:rsidR="0062684A" w:rsidRDefault="0062684A" w:rsidP="00071204">
            <w:r>
              <w:rPr>
                <w:rFonts w:ascii="Simplified Arabic" w:eastAsia="Simplified Arabic" w:hAnsi="Simplified Arabic" w:cs="Simplified Arabic"/>
                <w:color w:val="000000"/>
                <w:rtl/>
              </w:rPr>
              <w:t>رفض H0 وقبول H1</w:t>
            </w:r>
          </w:p>
        </w:tc>
      </w:tr>
      <w:tr w:rsidR="0062684A" w14:paraId="10A7AE31" w14:textId="77777777" w:rsidTr="00071204">
        <w:tblPrEx>
          <w:tblCellMar>
            <w:top w:w="0" w:type="dxa"/>
            <w:bottom w:w="0" w:type="dxa"/>
          </w:tblCellMar>
        </w:tblPrEx>
        <w:tc>
          <w:tcPr>
            <w:tcW w:w="0" w:type="auto"/>
            <w:shd w:val="clear" w:color="auto" w:fill="F5F7F9"/>
            <w:tcMar>
              <w:top w:w="80" w:type="dxa"/>
              <w:left w:w="100" w:type="dxa"/>
              <w:bottom w:w="80" w:type="dxa"/>
              <w:right w:w="100" w:type="dxa"/>
            </w:tcMar>
            <w:vAlign w:val="center"/>
          </w:tcPr>
          <w:p w14:paraId="36911505" w14:textId="77777777" w:rsidR="0062684A" w:rsidRDefault="0062684A" w:rsidP="00071204">
            <w:r>
              <w:rPr>
                <w:rFonts w:ascii="Simplified Arabic" w:eastAsia="Simplified Arabic" w:hAnsi="Simplified Arabic" w:cs="Simplified Arabic"/>
                <w:color w:val="000000"/>
                <w:rtl/>
              </w:rPr>
              <w:t>معامل ارتباط بيرسون (CDD × نسبة التوفير)</w:t>
            </w:r>
          </w:p>
        </w:tc>
        <w:tc>
          <w:tcPr>
            <w:tcW w:w="0" w:type="auto"/>
            <w:shd w:val="clear" w:color="auto" w:fill="F5F7F9"/>
            <w:tcMar>
              <w:top w:w="80" w:type="dxa"/>
              <w:left w:w="100" w:type="dxa"/>
              <w:bottom w:w="80" w:type="dxa"/>
              <w:right w:w="100" w:type="dxa"/>
            </w:tcMar>
            <w:vAlign w:val="center"/>
          </w:tcPr>
          <w:p w14:paraId="76E02992" w14:textId="77777777" w:rsidR="0062684A" w:rsidRDefault="0062684A" w:rsidP="00071204">
            <w:r>
              <w:rPr>
                <w:rFonts w:ascii="Simplified Arabic" w:eastAsia="Simplified Arabic" w:hAnsi="Simplified Arabic" w:cs="Simplified Arabic"/>
                <w:color w:val="000000"/>
                <w:rtl/>
              </w:rPr>
              <w:t>r = 0.126 (p = 0.337، غير دالة إحصائياً)</w:t>
            </w:r>
          </w:p>
        </w:tc>
      </w:tr>
    </w:tbl>
    <w:p w14:paraId="0BD253DD" w14:textId="77777777" w:rsidR="0062684A" w:rsidRDefault="0062684A" w:rsidP="0062684A">
      <w:pPr>
        <w:spacing w:after="200"/>
      </w:pPr>
    </w:p>
    <w:p w14:paraId="1EE7F265" w14:textId="77777777" w:rsidR="0062684A" w:rsidRDefault="0062684A" w:rsidP="0062684A">
      <w:pPr>
        <w:spacing w:before="160" w:after="100"/>
      </w:pPr>
      <w:r>
        <w:rPr>
          <w:rFonts w:ascii="Simplified Arabic" w:eastAsia="Simplified Arabic" w:hAnsi="Simplified Arabic" w:cs="Simplified Arabic"/>
          <w:b/>
          <w:bCs/>
          <w:color w:val="000000"/>
          <w:sz w:val="20"/>
          <w:szCs w:val="20"/>
          <w:rtl/>
        </w:rPr>
        <w:t>الجدول (2): مقارنة متوسط استهلاك الطاقة قبل وبعد التطبيق</w:t>
      </w:r>
    </w:p>
    <w:tbl>
      <w:tblPr>
        <w:bidiVisual/>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000" w:firstRow="0" w:lastRow="0" w:firstColumn="0" w:lastColumn="0" w:noHBand="0" w:noVBand="0"/>
      </w:tblPr>
      <w:tblGrid>
        <w:gridCol w:w="4538"/>
        <w:gridCol w:w="4812"/>
      </w:tblGrid>
      <w:tr w:rsidR="0062684A" w14:paraId="3F6FCE2D" w14:textId="77777777" w:rsidTr="00071204">
        <w:tblPrEx>
          <w:tblCellMar>
            <w:top w:w="0" w:type="dxa"/>
            <w:bottom w:w="0" w:type="dxa"/>
          </w:tblCellMar>
        </w:tblPrEx>
        <w:tc>
          <w:tcPr>
            <w:tcW w:w="0" w:type="auto"/>
            <w:shd w:val="clear" w:color="auto" w:fill="DCE3EA"/>
            <w:tcMar>
              <w:top w:w="80" w:type="dxa"/>
              <w:left w:w="100" w:type="dxa"/>
              <w:bottom w:w="80" w:type="dxa"/>
              <w:right w:w="100" w:type="dxa"/>
            </w:tcMar>
            <w:vAlign w:val="center"/>
          </w:tcPr>
          <w:p w14:paraId="434ACD81" w14:textId="77777777" w:rsidR="0062684A" w:rsidRDefault="0062684A" w:rsidP="00071204">
            <w:r>
              <w:rPr>
                <w:rFonts w:ascii="Simplified Arabic" w:eastAsia="Simplified Arabic" w:hAnsi="Simplified Arabic" w:cs="Simplified Arabic"/>
                <w:b/>
                <w:bCs/>
                <w:color w:val="000000"/>
                <w:rtl/>
              </w:rPr>
              <w:t>المؤشر</w:t>
            </w:r>
          </w:p>
        </w:tc>
        <w:tc>
          <w:tcPr>
            <w:tcW w:w="0" w:type="auto"/>
            <w:shd w:val="clear" w:color="auto" w:fill="DCE3EA"/>
            <w:tcMar>
              <w:top w:w="80" w:type="dxa"/>
              <w:left w:w="100" w:type="dxa"/>
              <w:bottom w:w="80" w:type="dxa"/>
              <w:right w:w="100" w:type="dxa"/>
            </w:tcMar>
            <w:vAlign w:val="center"/>
          </w:tcPr>
          <w:p w14:paraId="27BAAC46" w14:textId="77777777" w:rsidR="0062684A" w:rsidRDefault="0062684A" w:rsidP="00071204">
            <w:r>
              <w:rPr>
                <w:rFonts w:ascii="Simplified Arabic" w:eastAsia="Simplified Arabic" w:hAnsi="Simplified Arabic" w:cs="Simplified Arabic"/>
                <w:b/>
                <w:bCs/>
                <w:color w:val="000000"/>
                <w:rtl/>
              </w:rPr>
              <w:t>القيمة</w:t>
            </w:r>
          </w:p>
        </w:tc>
      </w:tr>
      <w:tr w:rsidR="0062684A" w14:paraId="6E03F628" w14:textId="77777777" w:rsidTr="00071204">
        <w:tblPrEx>
          <w:tblCellMar>
            <w:top w:w="0" w:type="dxa"/>
            <w:bottom w:w="0" w:type="dxa"/>
          </w:tblCellMar>
        </w:tblPrEx>
        <w:tc>
          <w:tcPr>
            <w:tcW w:w="0" w:type="auto"/>
            <w:shd w:val="clear" w:color="auto" w:fill="FFFFFF"/>
            <w:tcMar>
              <w:top w:w="80" w:type="dxa"/>
              <w:left w:w="100" w:type="dxa"/>
              <w:bottom w:w="80" w:type="dxa"/>
              <w:right w:w="100" w:type="dxa"/>
            </w:tcMar>
            <w:vAlign w:val="center"/>
          </w:tcPr>
          <w:p w14:paraId="3F455888" w14:textId="77777777" w:rsidR="0062684A" w:rsidRDefault="0062684A" w:rsidP="00071204">
            <w:r>
              <w:rPr>
                <w:rFonts w:ascii="Simplified Arabic" w:eastAsia="Simplified Arabic" w:hAnsi="Simplified Arabic" w:cs="Simplified Arabic"/>
                <w:color w:val="000000"/>
                <w:rtl/>
              </w:rPr>
              <w:t>متوسط الاستهلاك قبل التطبيق</w:t>
            </w:r>
          </w:p>
        </w:tc>
        <w:tc>
          <w:tcPr>
            <w:tcW w:w="0" w:type="auto"/>
            <w:shd w:val="clear" w:color="auto" w:fill="FFFFFF"/>
            <w:tcMar>
              <w:top w:w="80" w:type="dxa"/>
              <w:left w:w="100" w:type="dxa"/>
              <w:bottom w:w="80" w:type="dxa"/>
              <w:right w:w="100" w:type="dxa"/>
            </w:tcMar>
            <w:vAlign w:val="center"/>
          </w:tcPr>
          <w:p w14:paraId="62623E7C" w14:textId="77777777" w:rsidR="0062684A" w:rsidRDefault="0062684A" w:rsidP="00071204">
            <w:r>
              <w:rPr>
                <w:rFonts w:ascii="Simplified Arabic" w:eastAsia="Simplified Arabic" w:hAnsi="Simplified Arabic" w:cs="Simplified Arabic"/>
                <w:color w:val="000000"/>
                <w:rtl/>
              </w:rPr>
              <w:t>243.31 ميجاواط ساعة/شهر</w:t>
            </w:r>
          </w:p>
        </w:tc>
      </w:tr>
      <w:tr w:rsidR="0062684A" w14:paraId="46BF8F5A" w14:textId="77777777" w:rsidTr="00071204">
        <w:tblPrEx>
          <w:tblCellMar>
            <w:top w:w="0" w:type="dxa"/>
            <w:bottom w:w="0" w:type="dxa"/>
          </w:tblCellMar>
        </w:tblPrEx>
        <w:tc>
          <w:tcPr>
            <w:tcW w:w="0" w:type="auto"/>
            <w:shd w:val="clear" w:color="auto" w:fill="F5F7F9"/>
            <w:tcMar>
              <w:top w:w="80" w:type="dxa"/>
              <w:left w:w="100" w:type="dxa"/>
              <w:bottom w:w="80" w:type="dxa"/>
              <w:right w:w="100" w:type="dxa"/>
            </w:tcMar>
            <w:vAlign w:val="center"/>
          </w:tcPr>
          <w:p w14:paraId="290757F1" w14:textId="77777777" w:rsidR="0062684A" w:rsidRDefault="0062684A" w:rsidP="00071204">
            <w:r>
              <w:rPr>
                <w:rFonts w:ascii="Simplified Arabic" w:eastAsia="Simplified Arabic" w:hAnsi="Simplified Arabic" w:cs="Simplified Arabic"/>
                <w:color w:val="000000"/>
                <w:rtl/>
              </w:rPr>
              <w:t>متوسط الاستهلاك بعد التطبيق</w:t>
            </w:r>
          </w:p>
        </w:tc>
        <w:tc>
          <w:tcPr>
            <w:tcW w:w="0" w:type="auto"/>
            <w:shd w:val="clear" w:color="auto" w:fill="F5F7F9"/>
            <w:tcMar>
              <w:top w:w="80" w:type="dxa"/>
              <w:left w:w="100" w:type="dxa"/>
              <w:bottom w:w="80" w:type="dxa"/>
              <w:right w:w="100" w:type="dxa"/>
            </w:tcMar>
            <w:vAlign w:val="center"/>
          </w:tcPr>
          <w:p w14:paraId="19C57253" w14:textId="77777777" w:rsidR="0062684A" w:rsidRDefault="0062684A" w:rsidP="00071204">
            <w:r>
              <w:rPr>
                <w:rFonts w:ascii="Simplified Arabic" w:eastAsia="Simplified Arabic" w:hAnsi="Simplified Arabic" w:cs="Simplified Arabic"/>
                <w:color w:val="000000"/>
                <w:rtl/>
              </w:rPr>
              <w:t>79.74 ميجاواط ساعة/شهر</w:t>
            </w:r>
          </w:p>
        </w:tc>
      </w:tr>
      <w:tr w:rsidR="0062684A" w14:paraId="721EFC68" w14:textId="77777777" w:rsidTr="00071204">
        <w:tblPrEx>
          <w:tblCellMar>
            <w:top w:w="0" w:type="dxa"/>
            <w:bottom w:w="0" w:type="dxa"/>
          </w:tblCellMar>
        </w:tblPrEx>
        <w:tc>
          <w:tcPr>
            <w:tcW w:w="0" w:type="auto"/>
            <w:shd w:val="clear" w:color="auto" w:fill="FFFFFF"/>
            <w:tcMar>
              <w:top w:w="80" w:type="dxa"/>
              <w:left w:w="100" w:type="dxa"/>
              <w:bottom w:w="80" w:type="dxa"/>
              <w:right w:w="100" w:type="dxa"/>
            </w:tcMar>
            <w:vAlign w:val="center"/>
          </w:tcPr>
          <w:p w14:paraId="3DEB4830" w14:textId="77777777" w:rsidR="0062684A" w:rsidRDefault="0062684A" w:rsidP="00071204">
            <w:r>
              <w:rPr>
                <w:rFonts w:ascii="Simplified Arabic" w:eastAsia="Simplified Arabic" w:hAnsi="Simplified Arabic" w:cs="Simplified Arabic"/>
                <w:color w:val="000000"/>
                <w:rtl/>
              </w:rPr>
              <w:t>نسبة الانخفاض</w:t>
            </w:r>
          </w:p>
        </w:tc>
        <w:tc>
          <w:tcPr>
            <w:tcW w:w="0" w:type="auto"/>
            <w:shd w:val="clear" w:color="auto" w:fill="FFFFFF"/>
            <w:tcMar>
              <w:top w:w="80" w:type="dxa"/>
              <w:left w:w="100" w:type="dxa"/>
              <w:bottom w:w="80" w:type="dxa"/>
              <w:right w:w="100" w:type="dxa"/>
            </w:tcMar>
            <w:vAlign w:val="center"/>
          </w:tcPr>
          <w:p w14:paraId="063D20C6" w14:textId="77777777" w:rsidR="0062684A" w:rsidRDefault="0062684A" w:rsidP="00071204">
            <w:r>
              <w:rPr>
                <w:rFonts w:ascii="Simplified Arabic" w:eastAsia="Simplified Arabic" w:hAnsi="Simplified Arabic" w:cs="Simplified Arabic"/>
                <w:color w:val="000000"/>
                <w:rtl/>
              </w:rPr>
              <w:t>67.2%</w:t>
            </w:r>
          </w:p>
        </w:tc>
      </w:tr>
      <w:tr w:rsidR="0062684A" w14:paraId="2722B044" w14:textId="77777777" w:rsidTr="00071204">
        <w:tblPrEx>
          <w:tblCellMar>
            <w:top w:w="0" w:type="dxa"/>
            <w:bottom w:w="0" w:type="dxa"/>
          </w:tblCellMar>
        </w:tblPrEx>
        <w:tc>
          <w:tcPr>
            <w:tcW w:w="0" w:type="auto"/>
            <w:shd w:val="clear" w:color="auto" w:fill="F5F7F9"/>
            <w:tcMar>
              <w:top w:w="80" w:type="dxa"/>
              <w:left w:w="100" w:type="dxa"/>
              <w:bottom w:w="80" w:type="dxa"/>
              <w:right w:w="100" w:type="dxa"/>
            </w:tcMar>
            <w:vAlign w:val="center"/>
          </w:tcPr>
          <w:p w14:paraId="29C60FA1" w14:textId="77777777" w:rsidR="0062684A" w:rsidRDefault="0062684A" w:rsidP="00071204">
            <w:r>
              <w:rPr>
                <w:rFonts w:ascii="Simplified Arabic" w:eastAsia="Simplified Arabic" w:hAnsi="Simplified Arabic" w:cs="Simplified Arabic"/>
                <w:color w:val="000000"/>
                <w:rtl/>
              </w:rPr>
              <w:t>الوفر المالي السنوي</w:t>
            </w:r>
          </w:p>
        </w:tc>
        <w:tc>
          <w:tcPr>
            <w:tcW w:w="0" w:type="auto"/>
            <w:shd w:val="clear" w:color="auto" w:fill="F5F7F9"/>
            <w:tcMar>
              <w:top w:w="80" w:type="dxa"/>
              <w:left w:w="100" w:type="dxa"/>
              <w:bottom w:w="80" w:type="dxa"/>
              <w:right w:w="100" w:type="dxa"/>
            </w:tcMar>
            <w:vAlign w:val="center"/>
          </w:tcPr>
          <w:p w14:paraId="2E52520E" w14:textId="77777777" w:rsidR="0062684A" w:rsidRDefault="0062684A" w:rsidP="00071204">
            <w:r>
              <w:rPr>
                <w:rFonts w:ascii="Simplified Arabic" w:eastAsia="Simplified Arabic" w:hAnsi="Simplified Arabic" w:cs="Simplified Arabic"/>
                <w:color w:val="000000"/>
                <w:rtl/>
              </w:rPr>
              <w:t>628,098 ريال سعودي</w:t>
            </w:r>
          </w:p>
        </w:tc>
      </w:tr>
      <w:tr w:rsidR="0062684A" w14:paraId="636A21F6" w14:textId="77777777" w:rsidTr="00071204">
        <w:tblPrEx>
          <w:tblCellMar>
            <w:top w:w="0" w:type="dxa"/>
            <w:bottom w:w="0" w:type="dxa"/>
          </w:tblCellMar>
        </w:tblPrEx>
        <w:tc>
          <w:tcPr>
            <w:tcW w:w="0" w:type="auto"/>
            <w:shd w:val="clear" w:color="auto" w:fill="FFFFFF"/>
            <w:tcMar>
              <w:top w:w="80" w:type="dxa"/>
              <w:left w:w="100" w:type="dxa"/>
              <w:bottom w:w="80" w:type="dxa"/>
              <w:right w:w="100" w:type="dxa"/>
            </w:tcMar>
            <w:vAlign w:val="center"/>
          </w:tcPr>
          <w:p w14:paraId="78D0D79F" w14:textId="77777777" w:rsidR="0062684A" w:rsidRDefault="0062684A" w:rsidP="00071204">
            <w:r>
              <w:rPr>
                <w:rFonts w:ascii="Simplified Arabic" w:eastAsia="Simplified Arabic" w:hAnsi="Simplified Arabic" w:cs="Simplified Arabic"/>
                <w:color w:val="000000"/>
                <w:rtl/>
              </w:rPr>
              <w:t>الوفر التراكمي (خمس سنوات)</w:t>
            </w:r>
          </w:p>
        </w:tc>
        <w:tc>
          <w:tcPr>
            <w:tcW w:w="0" w:type="auto"/>
            <w:shd w:val="clear" w:color="auto" w:fill="FFFFFF"/>
            <w:tcMar>
              <w:top w:w="80" w:type="dxa"/>
              <w:left w:w="100" w:type="dxa"/>
              <w:bottom w:w="80" w:type="dxa"/>
              <w:right w:w="100" w:type="dxa"/>
            </w:tcMar>
            <w:vAlign w:val="center"/>
          </w:tcPr>
          <w:p w14:paraId="7EECF46E" w14:textId="77777777" w:rsidR="0062684A" w:rsidRDefault="0062684A" w:rsidP="00071204">
            <w:r>
              <w:rPr>
                <w:rFonts w:ascii="Simplified Arabic" w:eastAsia="Simplified Arabic" w:hAnsi="Simplified Arabic" w:cs="Simplified Arabic"/>
                <w:color w:val="000000"/>
                <w:rtl/>
              </w:rPr>
              <w:t>أكثر من 3,140,490 ريال سعودي</w:t>
            </w:r>
          </w:p>
        </w:tc>
      </w:tr>
      <w:tr w:rsidR="0062684A" w14:paraId="686C9B53" w14:textId="77777777" w:rsidTr="00071204">
        <w:tblPrEx>
          <w:tblCellMar>
            <w:top w:w="0" w:type="dxa"/>
            <w:bottom w:w="0" w:type="dxa"/>
          </w:tblCellMar>
        </w:tblPrEx>
        <w:tc>
          <w:tcPr>
            <w:tcW w:w="0" w:type="auto"/>
            <w:shd w:val="clear" w:color="auto" w:fill="F5F7F9"/>
            <w:tcMar>
              <w:top w:w="80" w:type="dxa"/>
              <w:left w:w="100" w:type="dxa"/>
              <w:bottom w:w="80" w:type="dxa"/>
              <w:right w:w="100" w:type="dxa"/>
            </w:tcMar>
            <w:vAlign w:val="center"/>
          </w:tcPr>
          <w:p w14:paraId="79A5B9E6" w14:textId="77777777" w:rsidR="0062684A" w:rsidRDefault="0062684A" w:rsidP="00071204">
            <w:r>
              <w:rPr>
                <w:rFonts w:ascii="Simplified Arabic" w:eastAsia="Simplified Arabic" w:hAnsi="Simplified Arabic" w:cs="Simplified Arabic"/>
                <w:color w:val="000000"/>
                <w:rtl/>
              </w:rPr>
              <w:t>خفض الانبعاثات الكربونية السنوي</w:t>
            </w:r>
          </w:p>
        </w:tc>
        <w:tc>
          <w:tcPr>
            <w:tcW w:w="0" w:type="auto"/>
            <w:shd w:val="clear" w:color="auto" w:fill="F5F7F9"/>
            <w:tcMar>
              <w:top w:w="80" w:type="dxa"/>
              <w:left w:w="100" w:type="dxa"/>
              <w:bottom w:w="80" w:type="dxa"/>
              <w:right w:w="100" w:type="dxa"/>
            </w:tcMar>
            <w:vAlign w:val="center"/>
          </w:tcPr>
          <w:p w14:paraId="65D99D18" w14:textId="77777777" w:rsidR="0062684A" w:rsidRDefault="0062684A" w:rsidP="00071204">
            <w:r>
              <w:rPr>
                <w:rFonts w:ascii="Simplified Arabic" w:eastAsia="Simplified Arabic" w:hAnsi="Simplified Arabic" w:cs="Simplified Arabic"/>
                <w:color w:val="000000"/>
                <w:rtl/>
              </w:rPr>
              <w:t>نحو 1,280 طن CO₂</w:t>
            </w:r>
          </w:p>
        </w:tc>
      </w:tr>
    </w:tbl>
    <w:p w14:paraId="298FB7CA" w14:textId="77777777" w:rsidR="0062684A" w:rsidRDefault="0062684A" w:rsidP="0062684A"/>
    <w:p w14:paraId="098A84CC" w14:textId="77777777" w:rsidR="0062684A" w:rsidRDefault="0062684A" w:rsidP="004C124C">
      <w:pPr>
        <w:spacing w:after="200" w:line="312" w:lineRule="auto"/>
        <w:jc w:val="lowKashida"/>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تشير نتائج الجدول (1) إلى وجود فرق ذي دلالة إحصائية عالية جداً بين استهلاك الطاقة قبل تطبيق تقنية التحول الذكي وبعده (t(59)=209.36، p&lt;0.001)، بمتوسط فرق قدره 163.567 ميجاواط ساعة شهرياً لصالح الحالة بعد التطبيق، وهو ما يقود إلى رفض الفرضية الصفرية (H0) وقبول الفرضية البديلة (H1). أما معامل الارتباط بين درجات التبريد التراكمية الشهرية (CDD) ونسبة التوفير المئوية، فقد جاء ضعيفاً وغير دال إحصائياً (r=0.126، p=0.337)، وهي نتيجة إيجابية </w:t>
      </w:r>
      <w:r>
        <w:rPr>
          <w:rFonts w:ascii="Simplified Arabic" w:eastAsia="Simplified Arabic" w:hAnsi="Simplified Arabic" w:cs="Simplified Arabic"/>
          <w:color w:val="000000"/>
          <w:sz w:val="24"/>
          <w:szCs w:val="24"/>
          <w:rtl/>
        </w:rPr>
        <w:lastRenderedPageBreak/>
        <w:t>تعني أن نسبة التوفير لا تتأثر جوهرياً بشدة الحمل المناخي، إذ ظلت محصورة بين 65.99% و68.95% عبر جميع الأشهر. ويوضح الجدول (2) أن متوسط الاستهلاك الشهري انخفض من 243.31 إلى 79.74 ميجاواط ساعة، بنسبة انخفاض بلغت 67.2%. كما أظهر تحليل الفرضيات الفرعية السبع: علاقة طردية قوية بين درجة تطبيق VFD (سرعة المحرك) ومستوى الكفاءة التشغيلية؛ خفضاً دالاً في ساعات التشغيل من 8,760 إلى 2,871 ساعة سنوياً؛ خفضاً في الاستهلاك السنوي من 2,920 إلى 957 ميجاواط ساعة بوفر مالي سنوي 628,098 ريال؛ وأثراً اقتصادياً لأتمتة قرارات إدارة الطاقة بخفض التكلفة الشهرية بمتوسط 52,341 ريال. كما بلغ مؤشر التوافق مع مستهدفات رؤية المملكة العربية السعودية 2030 نسبة 88.5%، متجاوزاً الهدف الوطني لخفض استهلاك الطاقة (43%). وأظهر التوزيع الفصلي أن التوفير موزع بشكل متوازن نسبيًا بين الفصول الأربعة (شتاء 485.3، ربيع 494.0، صيف 494.0، خريف 489.6 ميجاواط ساعة)، بفارق لا يتجاوز 9 ميجاواط ساعة، بما يعكس استجابة تقنية VFD التلقائية للأحمال الحرارية الموسمية.</w:t>
      </w:r>
    </w:p>
    <w:p w14:paraId="46AC57F7" w14:textId="77777777" w:rsidR="002F63DA" w:rsidRPr="00F66DF3" w:rsidRDefault="002F63DA" w:rsidP="002F63DA">
      <w:pPr>
        <w:pStyle w:val="ListParagraph"/>
        <w:numPr>
          <w:ilvl w:val="0"/>
          <w:numId w:val="5"/>
        </w:numPr>
        <w:spacing w:after="200" w:line="360" w:lineRule="auto"/>
        <w:jc w:val="both"/>
        <w:rPr>
          <w:rFonts w:ascii="Simplified Arabic" w:hAnsi="Simplified Arabic" w:cs="Simplified Arabic"/>
          <w:sz w:val="24"/>
          <w:szCs w:val="24"/>
          <w:rtl/>
        </w:rPr>
      </w:pPr>
      <w:r w:rsidRPr="00F66DF3">
        <w:rPr>
          <w:rFonts w:ascii="Simplified Arabic" w:hAnsi="Simplified Arabic" w:cs="Simplified Arabic"/>
          <w:sz w:val="24"/>
          <w:szCs w:val="24"/>
          <w:rtl/>
        </w:rPr>
        <w:t>يوضح الجدول مدى توافق نتائج الدراسة مع مستهدفات رؤية المملكة العربية السعودية 2030،</w:t>
      </w:r>
      <w:r w:rsidRPr="00F66DF3">
        <w:rPr>
          <w:rFonts w:ascii="Simplified Arabic" w:hAnsi="Simplified Arabic" w:cs="Simplified Arabic"/>
          <w:sz w:val="24"/>
          <w:szCs w:val="24"/>
        </w:rPr>
        <w:t xml:space="preserve"> </w:t>
      </w:r>
      <w:r w:rsidRPr="00F66DF3">
        <w:rPr>
          <w:rFonts w:ascii="Simplified Arabic" w:hAnsi="Simplified Arabic" w:cs="Simplified Arabic"/>
          <w:sz w:val="24"/>
          <w:szCs w:val="24"/>
          <w:rtl/>
        </w:rPr>
        <w:t xml:space="preserve">فقد حقق المشروع انخفاضاً في استهلاك الطاقة بنسبة </w:t>
      </w:r>
      <w:r>
        <w:rPr>
          <w:rFonts w:ascii="Simplified Arabic" w:hAnsi="Simplified Arabic" w:cs="Simplified Arabic"/>
          <w:sz w:val="24"/>
          <w:szCs w:val="24"/>
        </w:rPr>
        <w:t xml:space="preserve"> </w:t>
      </w:r>
      <w:r w:rsidRPr="00F66DF3">
        <w:rPr>
          <w:rFonts w:ascii="Simplified Arabic" w:hAnsi="Simplified Arabic" w:cs="Simplified Arabic"/>
          <w:sz w:val="24"/>
          <w:szCs w:val="24"/>
        </w:rPr>
        <w:t xml:space="preserve">67.2% </w:t>
      </w:r>
      <w:r w:rsidRPr="00F66DF3">
        <w:rPr>
          <w:rFonts w:ascii="Simplified Arabic" w:hAnsi="Simplified Arabic" w:cs="Simplified Arabic"/>
          <w:sz w:val="24"/>
          <w:szCs w:val="24"/>
          <w:rtl/>
        </w:rPr>
        <w:t xml:space="preserve">متجاوزاً المستهدف الوطني البالغ </w:t>
      </w:r>
      <w:r>
        <w:rPr>
          <w:rFonts w:ascii="Simplified Arabic" w:hAnsi="Simplified Arabic" w:cs="Simplified Arabic"/>
          <w:sz w:val="24"/>
          <w:szCs w:val="24"/>
        </w:rPr>
        <w:t xml:space="preserve"> </w:t>
      </w:r>
      <w:r w:rsidRPr="00F66DF3">
        <w:rPr>
          <w:rFonts w:ascii="Simplified Arabic" w:hAnsi="Simplified Arabic" w:cs="Simplified Arabic"/>
          <w:sz w:val="24"/>
          <w:szCs w:val="24"/>
        </w:rPr>
        <w:t xml:space="preserve">43% </w:t>
      </w:r>
      <w:r w:rsidRPr="00F66DF3">
        <w:rPr>
          <w:rFonts w:ascii="Simplified Arabic" w:hAnsi="Simplified Arabic" w:cs="Simplified Arabic"/>
          <w:sz w:val="24"/>
          <w:szCs w:val="24"/>
          <w:rtl/>
        </w:rPr>
        <w:t xml:space="preserve">في محور كفاءة الطاقة، كما حقق تكاملاً كاملاً بين </w:t>
      </w:r>
      <w:r w:rsidRPr="00F66DF3">
        <w:rPr>
          <w:rFonts w:ascii="Simplified Arabic" w:hAnsi="Simplified Arabic" w:cs="Simplified Arabic"/>
          <w:sz w:val="24"/>
          <w:szCs w:val="24"/>
        </w:rPr>
        <w:t xml:space="preserve">VFD </w:t>
      </w:r>
      <w:r w:rsidRPr="00F66DF3">
        <w:rPr>
          <w:rFonts w:ascii="Simplified Arabic" w:hAnsi="Simplified Arabic" w:cs="Simplified Arabic"/>
          <w:sz w:val="24"/>
          <w:szCs w:val="24"/>
          <w:rtl/>
        </w:rPr>
        <w:t>و</w:t>
      </w:r>
      <w:r w:rsidRPr="00F66DF3">
        <w:rPr>
          <w:rFonts w:ascii="Simplified Arabic" w:hAnsi="Simplified Arabic" w:cs="Simplified Arabic"/>
          <w:sz w:val="24"/>
          <w:szCs w:val="24"/>
        </w:rPr>
        <w:t xml:space="preserve">BMS </w:t>
      </w:r>
      <w:r>
        <w:rPr>
          <w:rFonts w:ascii="Simplified Arabic" w:hAnsi="Simplified Arabic" w:cs="Simplified Arabic" w:hint="cs"/>
          <w:sz w:val="24"/>
          <w:szCs w:val="24"/>
          <w:rtl/>
        </w:rPr>
        <w:t xml:space="preserve">  </w:t>
      </w:r>
      <w:r w:rsidRPr="00F66DF3">
        <w:rPr>
          <w:rFonts w:ascii="Simplified Arabic" w:hAnsi="Simplified Arabic" w:cs="Simplified Arabic"/>
          <w:sz w:val="24"/>
          <w:szCs w:val="24"/>
          <w:rtl/>
        </w:rPr>
        <w:t>بما يدعم التحول الرقمي، إضافة إلى خفض الانبعاثات الكربونية بمقدار</w:t>
      </w:r>
      <w:r>
        <w:rPr>
          <w:rFonts w:ascii="Simplified Arabic" w:hAnsi="Simplified Arabic" w:cs="Simplified Arabic"/>
          <w:sz w:val="24"/>
          <w:szCs w:val="24"/>
        </w:rPr>
        <w:t xml:space="preserve"> </w:t>
      </w:r>
      <w:r w:rsidRPr="00F66DF3">
        <w:rPr>
          <w:rFonts w:ascii="Simplified Arabic" w:hAnsi="Simplified Arabic" w:cs="Simplified Arabic"/>
          <w:sz w:val="24"/>
          <w:szCs w:val="24"/>
        </w:rPr>
        <w:t xml:space="preserve">1280 </w:t>
      </w:r>
      <w:r w:rsidRPr="00F66DF3">
        <w:rPr>
          <w:rFonts w:ascii="Simplified Arabic" w:hAnsi="Simplified Arabic" w:cs="Simplified Arabic"/>
          <w:sz w:val="24"/>
          <w:szCs w:val="24"/>
          <w:rtl/>
        </w:rPr>
        <w:t>طن</w:t>
      </w:r>
      <w:r w:rsidRPr="00F66DF3">
        <w:rPr>
          <w:rFonts w:ascii="Simplified Arabic" w:hAnsi="Simplified Arabic" w:cs="Simplified Arabic"/>
          <w:sz w:val="24"/>
          <w:szCs w:val="24"/>
        </w:rPr>
        <w:t xml:space="preserve"> CO</w:t>
      </w:r>
      <w:r w:rsidRPr="00F66DF3">
        <w:rPr>
          <w:rFonts w:ascii="Cambria Math" w:hAnsi="Cambria Math" w:cs="Cambria Math"/>
          <w:sz w:val="24"/>
          <w:szCs w:val="24"/>
        </w:rPr>
        <w:t>₂</w:t>
      </w:r>
      <w:r w:rsidRPr="00F66DF3">
        <w:rPr>
          <w:rFonts w:ascii="Simplified Arabic" w:hAnsi="Simplified Arabic" w:cs="Simplified Arabic"/>
          <w:sz w:val="24"/>
          <w:szCs w:val="24"/>
        </w:rPr>
        <w:t xml:space="preserve"> </w:t>
      </w:r>
      <w:r w:rsidRPr="00F66DF3">
        <w:rPr>
          <w:rFonts w:ascii="Simplified Arabic" w:hAnsi="Simplified Arabic" w:cs="Simplified Arabic"/>
          <w:sz w:val="24"/>
          <w:szCs w:val="24"/>
          <w:rtl/>
        </w:rPr>
        <w:t>سنوياً، مما يعزز الاستدامة البيئية، وبناءً على ذلك، أظهرت الدراسة توافقاً مرتفعاً مع مستهدفات رؤية 2030، مع تفوق في بعض المؤشرات الرئيسة</w:t>
      </w:r>
      <w:r w:rsidRPr="00F66DF3">
        <w:rPr>
          <w:rFonts w:ascii="Simplified Arabic" w:hAnsi="Simplified Arabic" w:cs="Simplified Arabic"/>
          <w:sz w:val="24"/>
          <w:szCs w:val="24"/>
        </w:rPr>
        <w:t>.</w:t>
      </w:r>
    </w:p>
    <w:p w14:paraId="5CB77353" w14:textId="72ECAA0D" w:rsidR="002F63DA" w:rsidRPr="002F63DA" w:rsidRDefault="002F63DA" w:rsidP="002F63DA">
      <w:pPr>
        <w:pStyle w:val="ListParagraph"/>
        <w:numPr>
          <w:ilvl w:val="0"/>
          <w:numId w:val="5"/>
        </w:numPr>
        <w:spacing w:before="160" w:after="100"/>
        <w:rPr>
          <w:rFonts w:ascii="Simplified Arabic" w:eastAsia="Simplified Arabic" w:hAnsi="Simplified Arabic" w:cs="Simplified Arabic"/>
          <w:b/>
          <w:bCs/>
          <w:color w:val="000000"/>
          <w:sz w:val="20"/>
          <w:szCs w:val="20"/>
        </w:rPr>
      </w:pPr>
      <w:r w:rsidRPr="002F63DA">
        <w:rPr>
          <w:rFonts w:ascii="Simplified Arabic" w:eastAsia="Simplified Arabic" w:hAnsi="Simplified Arabic" w:cs="Simplified Arabic"/>
          <w:b/>
          <w:bCs/>
          <w:color w:val="000000"/>
          <w:sz w:val="20"/>
          <w:szCs w:val="20"/>
          <w:rtl/>
        </w:rPr>
        <w:t>الجدول (1): مدى توافق نتائج الدراسة مع مستهدفات رؤية المملكة العربية السعودية 2030</w:t>
      </w:r>
      <w:r>
        <w:rPr>
          <w:rFonts w:ascii="Simplified Arabic" w:eastAsia="Simplified Arabic" w:hAnsi="Simplified Arabic" w:cs="Simplified Arabic"/>
          <w:b/>
          <w:bCs/>
          <w:color w:val="000000"/>
          <w:sz w:val="20"/>
          <w:szCs w:val="20"/>
        </w:rPr>
        <w:t>.</w:t>
      </w:r>
    </w:p>
    <w:tbl>
      <w:tblPr>
        <w:tblW w:w="9026" w:type="dxa"/>
        <w:tblBorders>
          <w:top w:val="single" w:sz="4" w:space="0" w:color="C8A2C8"/>
          <w:left w:val="single" w:sz="4" w:space="0" w:color="C8A2C8"/>
          <w:bottom w:val="single" w:sz="4" w:space="0" w:color="C8A2C8"/>
          <w:right w:val="single" w:sz="4" w:space="0" w:color="C8A2C8"/>
          <w:insideH w:val="single" w:sz="4" w:space="0" w:color="C8A2C8"/>
          <w:insideV w:val="single" w:sz="4" w:space="0" w:color="C8A2C8"/>
        </w:tblBorders>
        <w:tblLook w:val="04A0" w:firstRow="1" w:lastRow="0" w:firstColumn="1" w:lastColumn="0" w:noHBand="0" w:noVBand="1"/>
      </w:tblPr>
      <w:tblGrid>
        <w:gridCol w:w="2200"/>
        <w:gridCol w:w="2385"/>
        <w:gridCol w:w="2520"/>
        <w:gridCol w:w="1921"/>
      </w:tblGrid>
      <w:tr w:rsidR="002F63DA" w14:paraId="290780B8" w14:textId="77777777" w:rsidTr="00071204">
        <w:tc>
          <w:tcPr>
            <w:tcW w:w="2200" w:type="dxa"/>
            <w:tcBorders>
              <w:top w:val="single" w:sz="4" w:space="0" w:color="C8A2C8"/>
              <w:left w:val="single" w:sz="4" w:space="0" w:color="C8A2C8"/>
              <w:bottom w:val="single" w:sz="4" w:space="0" w:color="C8A2C8"/>
              <w:right w:val="single" w:sz="4" w:space="0" w:color="C8A2C8"/>
            </w:tcBorders>
            <w:shd w:val="clear" w:color="auto" w:fill="4A235A"/>
            <w:vAlign w:val="center"/>
          </w:tcPr>
          <w:p w14:paraId="04D013C5" w14:textId="77777777" w:rsidR="002F63DA" w:rsidRPr="00641C3D" w:rsidRDefault="002F63DA" w:rsidP="00071204">
            <w:pPr>
              <w:spacing w:before="50" w:after="50"/>
              <w:jc w:val="center"/>
              <w:rPr>
                <w:rFonts w:ascii="Simplified Arabic" w:hAnsi="Simplified Arabic" w:cs="Simplified Arabic"/>
                <w:b/>
                <w:bCs/>
                <w:sz w:val="24"/>
                <w:szCs w:val="24"/>
              </w:rPr>
            </w:pPr>
            <w:r w:rsidRPr="00641C3D">
              <w:rPr>
                <w:rFonts w:ascii="Simplified Arabic" w:hAnsi="Simplified Arabic" w:cs="Simplified Arabic"/>
                <w:b/>
                <w:bCs/>
                <w:sz w:val="24"/>
                <w:szCs w:val="24"/>
              </w:rPr>
              <w:t>نسبة التوافق</w:t>
            </w:r>
          </w:p>
        </w:tc>
        <w:tc>
          <w:tcPr>
            <w:tcW w:w="2385" w:type="dxa"/>
            <w:tcBorders>
              <w:top w:val="single" w:sz="4" w:space="0" w:color="C8A2C8"/>
              <w:left w:val="single" w:sz="4" w:space="0" w:color="C8A2C8"/>
              <w:bottom w:val="single" w:sz="4" w:space="0" w:color="C8A2C8"/>
              <w:right w:val="single" w:sz="4" w:space="0" w:color="C8A2C8"/>
            </w:tcBorders>
            <w:shd w:val="clear" w:color="auto" w:fill="4A235A"/>
            <w:vAlign w:val="center"/>
          </w:tcPr>
          <w:p w14:paraId="3D930D29" w14:textId="77777777" w:rsidR="002F63DA" w:rsidRPr="00641C3D" w:rsidRDefault="002F63DA" w:rsidP="00071204">
            <w:pPr>
              <w:spacing w:before="50" w:after="50"/>
              <w:jc w:val="center"/>
              <w:rPr>
                <w:rFonts w:ascii="Simplified Arabic" w:hAnsi="Simplified Arabic" w:cs="Simplified Arabic"/>
                <w:b/>
                <w:bCs/>
                <w:sz w:val="24"/>
                <w:szCs w:val="24"/>
              </w:rPr>
            </w:pPr>
            <w:r w:rsidRPr="00641C3D">
              <w:rPr>
                <w:rFonts w:ascii="Simplified Arabic" w:hAnsi="Simplified Arabic" w:cs="Simplified Arabic"/>
                <w:b/>
                <w:bCs/>
                <w:sz w:val="24"/>
                <w:szCs w:val="24"/>
              </w:rPr>
              <w:t>ما حققته الدراسة</w:t>
            </w:r>
          </w:p>
        </w:tc>
        <w:tc>
          <w:tcPr>
            <w:tcW w:w="2520" w:type="dxa"/>
            <w:tcBorders>
              <w:top w:val="single" w:sz="4" w:space="0" w:color="C8A2C8"/>
              <w:left w:val="single" w:sz="4" w:space="0" w:color="C8A2C8"/>
              <w:bottom w:val="single" w:sz="4" w:space="0" w:color="C8A2C8"/>
              <w:right w:val="single" w:sz="4" w:space="0" w:color="C8A2C8"/>
            </w:tcBorders>
            <w:shd w:val="clear" w:color="auto" w:fill="4A235A"/>
            <w:vAlign w:val="center"/>
          </w:tcPr>
          <w:p w14:paraId="4D6CB842" w14:textId="77777777" w:rsidR="002F63DA" w:rsidRPr="00641C3D" w:rsidRDefault="002F63DA" w:rsidP="00071204">
            <w:pPr>
              <w:spacing w:before="50" w:after="50"/>
              <w:jc w:val="center"/>
              <w:rPr>
                <w:rFonts w:ascii="Simplified Arabic" w:hAnsi="Simplified Arabic" w:cs="Simplified Arabic"/>
                <w:b/>
                <w:bCs/>
                <w:sz w:val="24"/>
                <w:szCs w:val="24"/>
              </w:rPr>
            </w:pPr>
            <w:r w:rsidRPr="00641C3D">
              <w:rPr>
                <w:rFonts w:ascii="Simplified Arabic" w:hAnsi="Simplified Arabic" w:cs="Simplified Arabic"/>
                <w:b/>
                <w:bCs/>
                <w:sz w:val="24"/>
                <w:szCs w:val="24"/>
              </w:rPr>
              <w:t>مستهدف رؤية 2030</w:t>
            </w:r>
          </w:p>
        </w:tc>
        <w:tc>
          <w:tcPr>
            <w:tcW w:w="1921" w:type="dxa"/>
            <w:tcBorders>
              <w:top w:val="single" w:sz="4" w:space="0" w:color="C8A2C8"/>
              <w:left w:val="single" w:sz="4" w:space="0" w:color="C8A2C8"/>
              <w:bottom w:val="single" w:sz="4" w:space="0" w:color="C8A2C8"/>
              <w:right w:val="single" w:sz="4" w:space="0" w:color="C8A2C8"/>
            </w:tcBorders>
            <w:shd w:val="clear" w:color="auto" w:fill="4A235A"/>
            <w:vAlign w:val="center"/>
          </w:tcPr>
          <w:p w14:paraId="5EE59810" w14:textId="77777777" w:rsidR="002F63DA" w:rsidRPr="00641C3D" w:rsidRDefault="002F63DA" w:rsidP="00071204">
            <w:pPr>
              <w:spacing w:before="50" w:after="50"/>
              <w:jc w:val="center"/>
              <w:rPr>
                <w:rFonts w:ascii="Simplified Arabic" w:hAnsi="Simplified Arabic" w:cs="Simplified Arabic"/>
                <w:b/>
                <w:bCs/>
                <w:sz w:val="24"/>
                <w:szCs w:val="24"/>
              </w:rPr>
            </w:pPr>
            <w:r w:rsidRPr="00641C3D">
              <w:rPr>
                <w:rFonts w:ascii="Simplified Arabic" w:hAnsi="Simplified Arabic" w:cs="Simplified Arabic"/>
                <w:b/>
                <w:bCs/>
                <w:sz w:val="24"/>
                <w:szCs w:val="24"/>
              </w:rPr>
              <w:t>المحور الاستراتيجي</w:t>
            </w:r>
          </w:p>
        </w:tc>
      </w:tr>
      <w:tr w:rsidR="002F63DA" w14:paraId="47FBFE4A" w14:textId="77777777" w:rsidTr="00071204">
        <w:tc>
          <w:tcPr>
            <w:tcW w:w="2200" w:type="dxa"/>
            <w:tcBorders>
              <w:top w:val="single" w:sz="4" w:space="0" w:color="C8A2C8"/>
              <w:left w:val="single" w:sz="4" w:space="0" w:color="C8A2C8"/>
              <w:bottom w:val="single" w:sz="4" w:space="0" w:color="C8A2C8"/>
              <w:right w:val="single" w:sz="4" w:space="0" w:color="C8A2C8"/>
            </w:tcBorders>
            <w:shd w:val="clear" w:color="auto" w:fill="EDE1F5"/>
            <w:vAlign w:val="center"/>
          </w:tcPr>
          <w:p w14:paraId="1FE1E3B2" w14:textId="77777777" w:rsidR="002F63DA" w:rsidRPr="00641C3D" w:rsidRDefault="002F63DA" w:rsidP="00071204">
            <w:pPr>
              <w:spacing w:before="50" w:after="50"/>
              <w:jc w:val="center"/>
              <w:rPr>
                <w:rFonts w:ascii="Simplified Arabic" w:hAnsi="Simplified Arabic" w:cs="Simplified Arabic"/>
                <w:sz w:val="24"/>
                <w:szCs w:val="24"/>
              </w:rPr>
            </w:pPr>
            <w:r w:rsidRPr="00641C3D">
              <w:rPr>
                <w:rFonts w:ascii="Segoe UI Emoji" w:hAnsi="Segoe UI Emoji" w:cs="Segoe UI Emoji"/>
                <w:sz w:val="24"/>
                <w:szCs w:val="24"/>
              </w:rPr>
              <w:t>✅</w:t>
            </w:r>
            <w:r w:rsidRPr="00641C3D">
              <w:rPr>
                <w:rFonts w:ascii="Simplified Arabic" w:hAnsi="Simplified Arabic" w:cs="Simplified Arabic"/>
                <w:sz w:val="24"/>
                <w:szCs w:val="24"/>
              </w:rPr>
              <w:t xml:space="preserve"> يفوق المستهدف</w:t>
            </w:r>
          </w:p>
        </w:tc>
        <w:tc>
          <w:tcPr>
            <w:tcW w:w="2385" w:type="dxa"/>
            <w:tcBorders>
              <w:top w:val="single" w:sz="4" w:space="0" w:color="C8A2C8"/>
              <w:left w:val="single" w:sz="4" w:space="0" w:color="C8A2C8"/>
              <w:bottom w:val="single" w:sz="4" w:space="0" w:color="C8A2C8"/>
              <w:right w:val="single" w:sz="4" w:space="0" w:color="C8A2C8"/>
            </w:tcBorders>
            <w:shd w:val="clear" w:color="auto" w:fill="EDE1F5"/>
            <w:vAlign w:val="center"/>
          </w:tcPr>
          <w:p w14:paraId="37E8D6C4" w14:textId="77777777" w:rsidR="002F63DA" w:rsidRPr="00641C3D" w:rsidRDefault="002F63DA" w:rsidP="00071204">
            <w:pPr>
              <w:spacing w:before="50" w:after="50"/>
              <w:jc w:val="center"/>
              <w:rPr>
                <w:rFonts w:ascii="Simplified Arabic" w:hAnsi="Simplified Arabic" w:cs="Simplified Arabic"/>
                <w:sz w:val="24"/>
                <w:szCs w:val="24"/>
              </w:rPr>
            </w:pPr>
            <w:r w:rsidRPr="00641C3D">
              <w:rPr>
                <w:rFonts w:ascii="Simplified Arabic" w:hAnsi="Simplified Arabic" w:cs="Simplified Arabic"/>
                <w:sz w:val="24"/>
                <w:szCs w:val="24"/>
              </w:rPr>
              <w:t>خفض 67.2% في المبنى A</w:t>
            </w:r>
          </w:p>
        </w:tc>
        <w:tc>
          <w:tcPr>
            <w:tcW w:w="2520" w:type="dxa"/>
            <w:tcBorders>
              <w:top w:val="single" w:sz="4" w:space="0" w:color="C8A2C8"/>
              <w:left w:val="single" w:sz="4" w:space="0" w:color="C8A2C8"/>
              <w:bottom w:val="single" w:sz="4" w:space="0" w:color="C8A2C8"/>
              <w:right w:val="single" w:sz="4" w:space="0" w:color="C8A2C8"/>
            </w:tcBorders>
            <w:shd w:val="clear" w:color="auto" w:fill="EDE1F5"/>
            <w:vAlign w:val="center"/>
          </w:tcPr>
          <w:p w14:paraId="7A83F265" w14:textId="77777777" w:rsidR="002F63DA" w:rsidRPr="00641C3D" w:rsidRDefault="002F63DA" w:rsidP="00071204">
            <w:pPr>
              <w:spacing w:before="50" w:after="50"/>
              <w:jc w:val="center"/>
              <w:rPr>
                <w:rFonts w:ascii="Simplified Arabic" w:hAnsi="Simplified Arabic" w:cs="Simplified Arabic"/>
                <w:sz w:val="24"/>
                <w:szCs w:val="24"/>
              </w:rPr>
            </w:pPr>
            <w:r w:rsidRPr="00641C3D">
              <w:rPr>
                <w:rFonts w:ascii="Simplified Arabic" w:hAnsi="Simplified Arabic" w:cs="Simplified Arabic"/>
                <w:sz w:val="24"/>
                <w:szCs w:val="24"/>
              </w:rPr>
              <w:t>خفض الاستهلاك 43%</w:t>
            </w:r>
          </w:p>
        </w:tc>
        <w:tc>
          <w:tcPr>
            <w:tcW w:w="1921" w:type="dxa"/>
            <w:tcBorders>
              <w:top w:val="single" w:sz="4" w:space="0" w:color="C8A2C8"/>
              <w:left w:val="single" w:sz="4" w:space="0" w:color="C8A2C8"/>
              <w:bottom w:val="single" w:sz="4" w:space="0" w:color="C8A2C8"/>
              <w:right w:val="single" w:sz="4" w:space="0" w:color="C8A2C8"/>
            </w:tcBorders>
            <w:shd w:val="clear" w:color="auto" w:fill="EDE1F5"/>
            <w:vAlign w:val="center"/>
          </w:tcPr>
          <w:p w14:paraId="32F6FAB0" w14:textId="77777777" w:rsidR="002F63DA" w:rsidRPr="00641C3D" w:rsidRDefault="002F63DA" w:rsidP="00071204">
            <w:pPr>
              <w:spacing w:before="50" w:after="50"/>
              <w:jc w:val="center"/>
              <w:rPr>
                <w:rFonts w:ascii="Simplified Arabic" w:hAnsi="Simplified Arabic" w:cs="Simplified Arabic"/>
                <w:sz w:val="24"/>
                <w:szCs w:val="24"/>
              </w:rPr>
            </w:pPr>
            <w:r w:rsidRPr="00641C3D">
              <w:rPr>
                <w:rFonts w:ascii="Simplified Arabic" w:hAnsi="Simplified Arabic" w:cs="Simplified Arabic"/>
                <w:sz w:val="24"/>
                <w:szCs w:val="24"/>
              </w:rPr>
              <w:t>كفاءة الطاقة</w:t>
            </w:r>
          </w:p>
        </w:tc>
      </w:tr>
      <w:tr w:rsidR="002F63DA" w14:paraId="3AB3F514" w14:textId="77777777" w:rsidTr="00071204">
        <w:tc>
          <w:tcPr>
            <w:tcW w:w="2200" w:type="dxa"/>
            <w:tcBorders>
              <w:top w:val="single" w:sz="4" w:space="0" w:color="C8A2C8"/>
              <w:left w:val="single" w:sz="4" w:space="0" w:color="C8A2C8"/>
              <w:bottom w:val="single" w:sz="4" w:space="0" w:color="C8A2C8"/>
              <w:right w:val="single" w:sz="4" w:space="0" w:color="C8A2C8"/>
            </w:tcBorders>
            <w:shd w:val="clear" w:color="auto" w:fill="FFFFFF"/>
            <w:vAlign w:val="center"/>
          </w:tcPr>
          <w:p w14:paraId="29573A3F" w14:textId="77777777" w:rsidR="002F63DA" w:rsidRPr="00641C3D" w:rsidRDefault="002F63DA" w:rsidP="00071204">
            <w:pPr>
              <w:spacing w:before="50" w:after="50"/>
              <w:jc w:val="center"/>
              <w:rPr>
                <w:rFonts w:ascii="Simplified Arabic" w:hAnsi="Simplified Arabic" w:cs="Simplified Arabic"/>
                <w:sz w:val="24"/>
                <w:szCs w:val="24"/>
              </w:rPr>
            </w:pPr>
            <w:r w:rsidRPr="00641C3D">
              <w:rPr>
                <w:rFonts w:ascii="Segoe UI Emoji" w:hAnsi="Segoe UI Emoji" w:cs="Segoe UI Emoji"/>
                <w:sz w:val="24"/>
                <w:szCs w:val="24"/>
              </w:rPr>
              <w:t>✅</w:t>
            </w:r>
            <w:r w:rsidRPr="00641C3D">
              <w:rPr>
                <w:rFonts w:ascii="Simplified Arabic" w:hAnsi="Simplified Arabic" w:cs="Simplified Arabic"/>
                <w:sz w:val="24"/>
                <w:szCs w:val="24"/>
              </w:rPr>
              <w:t xml:space="preserve"> متحقق</w:t>
            </w:r>
          </w:p>
        </w:tc>
        <w:tc>
          <w:tcPr>
            <w:tcW w:w="2385" w:type="dxa"/>
            <w:tcBorders>
              <w:top w:val="single" w:sz="4" w:space="0" w:color="C8A2C8"/>
              <w:left w:val="single" w:sz="4" w:space="0" w:color="C8A2C8"/>
              <w:bottom w:val="single" w:sz="4" w:space="0" w:color="C8A2C8"/>
              <w:right w:val="single" w:sz="4" w:space="0" w:color="C8A2C8"/>
            </w:tcBorders>
            <w:shd w:val="clear" w:color="auto" w:fill="FFFFFF"/>
            <w:vAlign w:val="center"/>
          </w:tcPr>
          <w:p w14:paraId="126242CE" w14:textId="77777777" w:rsidR="002F63DA" w:rsidRPr="00641C3D" w:rsidRDefault="002F63DA" w:rsidP="00071204">
            <w:pPr>
              <w:spacing w:before="50" w:after="50"/>
              <w:jc w:val="center"/>
              <w:rPr>
                <w:rFonts w:ascii="Simplified Arabic" w:hAnsi="Simplified Arabic" w:cs="Simplified Arabic"/>
                <w:sz w:val="24"/>
                <w:szCs w:val="24"/>
              </w:rPr>
            </w:pPr>
            <w:r w:rsidRPr="00641C3D">
              <w:rPr>
                <w:rFonts w:ascii="Simplified Arabic" w:hAnsi="Simplified Arabic" w:cs="Simplified Arabic"/>
                <w:sz w:val="24"/>
                <w:szCs w:val="24"/>
              </w:rPr>
              <w:t>تكامل VFD مع BMS بالكامل</w:t>
            </w:r>
          </w:p>
        </w:tc>
        <w:tc>
          <w:tcPr>
            <w:tcW w:w="2520" w:type="dxa"/>
            <w:tcBorders>
              <w:top w:val="single" w:sz="4" w:space="0" w:color="C8A2C8"/>
              <w:left w:val="single" w:sz="4" w:space="0" w:color="C8A2C8"/>
              <w:bottom w:val="single" w:sz="4" w:space="0" w:color="C8A2C8"/>
              <w:right w:val="single" w:sz="4" w:space="0" w:color="C8A2C8"/>
            </w:tcBorders>
            <w:shd w:val="clear" w:color="auto" w:fill="FFFFFF"/>
            <w:vAlign w:val="center"/>
          </w:tcPr>
          <w:p w14:paraId="5EA989FD" w14:textId="77777777" w:rsidR="002F63DA" w:rsidRPr="00641C3D" w:rsidRDefault="002F63DA" w:rsidP="00071204">
            <w:pPr>
              <w:spacing w:before="50" w:after="50"/>
              <w:jc w:val="center"/>
              <w:rPr>
                <w:rFonts w:ascii="Simplified Arabic" w:hAnsi="Simplified Arabic" w:cs="Simplified Arabic"/>
                <w:sz w:val="24"/>
                <w:szCs w:val="24"/>
              </w:rPr>
            </w:pPr>
            <w:r w:rsidRPr="00641C3D">
              <w:rPr>
                <w:rFonts w:ascii="Simplified Arabic" w:hAnsi="Simplified Arabic" w:cs="Simplified Arabic"/>
                <w:sz w:val="24"/>
                <w:szCs w:val="24"/>
              </w:rPr>
              <w:t>تبني الأنظمة الذكية</w:t>
            </w:r>
          </w:p>
        </w:tc>
        <w:tc>
          <w:tcPr>
            <w:tcW w:w="1921" w:type="dxa"/>
            <w:tcBorders>
              <w:top w:val="single" w:sz="4" w:space="0" w:color="C8A2C8"/>
              <w:left w:val="single" w:sz="4" w:space="0" w:color="C8A2C8"/>
              <w:bottom w:val="single" w:sz="4" w:space="0" w:color="C8A2C8"/>
              <w:right w:val="single" w:sz="4" w:space="0" w:color="C8A2C8"/>
            </w:tcBorders>
            <w:shd w:val="clear" w:color="auto" w:fill="FFFFFF"/>
            <w:vAlign w:val="center"/>
          </w:tcPr>
          <w:p w14:paraId="291F8EBF" w14:textId="77777777" w:rsidR="002F63DA" w:rsidRPr="00641C3D" w:rsidRDefault="002F63DA" w:rsidP="00071204">
            <w:pPr>
              <w:spacing w:before="50" w:after="50"/>
              <w:jc w:val="center"/>
              <w:rPr>
                <w:rFonts w:ascii="Simplified Arabic" w:hAnsi="Simplified Arabic" w:cs="Simplified Arabic"/>
                <w:sz w:val="24"/>
                <w:szCs w:val="24"/>
              </w:rPr>
            </w:pPr>
            <w:r w:rsidRPr="00641C3D">
              <w:rPr>
                <w:rFonts w:ascii="Simplified Arabic" w:hAnsi="Simplified Arabic" w:cs="Simplified Arabic"/>
                <w:sz w:val="24"/>
                <w:szCs w:val="24"/>
              </w:rPr>
              <w:t>التحول الرقمي</w:t>
            </w:r>
          </w:p>
        </w:tc>
      </w:tr>
      <w:tr w:rsidR="002F63DA" w14:paraId="513F6F80" w14:textId="77777777" w:rsidTr="00071204">
        <w:tc>
          <w:tcPr>
            <w:tcW w:w="2200" w:type="dxa"/>
            <w:tcBorders>
              <w:top w:val="single" w:sz="4" w:space="0" w:color="C8A2C8"/>
              <w:left w:val="single" w:sz="4" w:space="0" w:color="C8A2C8"/>
              <w:bottom w:val="single" w:sz="4" w:space="0" w:color="C8A2C8"/>
              <w:right w:val="single" w:sz="4" w:space="0" w:color="C8A2C8"/>
            </w:tcBorders>
            <w:shd w:val="clear" w:color="auto" w:fill="EDE1F5"/>
            <w:vAlign w:val="center"/>
          </w:tcPr>
          <w:p w14:paraId="24CDC2E1" w14:textId="77777777" w:rsidR="002F63DA" w:rsidRPr="00641C3D" w:rsidRDefault="002F63DA" w:rsidP="00071204">
            <w:pPr>
              <w:spacing w:before="50" w:after="50"/>
              <w:jc w:val="center"/>
              <w:rPr>
                <w:rFonts w:ascii="Simplified Arabic" w:hAnsi="Simplified Arabic" w:cs="Simplified Arabic"/>
                <w:sz w:val="24"/>
                <w:szCs w:val="24"/>
              </w:rPr>
            </w:pPr>
            <w:r w:rsidRPr="00641C3D">
              <w:rPr>
                <w:rFonts w:ascii="Segoe UI Emoji" w:hAnsi="Segoe UI Emoji" w:cs="Segoe UI Emoji"/>
                <w:sz w:val="24"/>
                <w:szCs w:val="24"/>
              </w:rPr>
              <w:t>✅</w:t>
            </w:r>
            <w:r w:rsidRPr="00641C3D">
              <w:rPr>
                <w:rFonts w:ascii="Simplified Arabic" w:hAnsi="Simplified Arabic" w:cs="Simplified Arabic"/>
                <w:sz w:val="24"/>
                <w:szCs w:val="24"/>
              </w:rPr>
              <w:t xml:space="preserve"> متحقق</w:t>
            </w:r>
          </w:p>
        </w:tc>
        <w:tc>
          <w:tcPr>
            <w:tcW w:w="2385" w:type="dxa"/>
            <w:tcBorders>
              <w:top w:val="single" w:sz="4" w:space="0" w:color="C8A2C8"/>
              <w:left w:val="single" w:sz="4" w:space="0" w:color="C8A2C8"/>
              <w:bottom w:val="single" w:sz="4" w:space="0" w:color="C8A2C8"/>
              <w:right w:val="single" w:sz="4" w:space="0" w:color="C8A2C8"/>
            </w:tcBorders>
            <w:shd w:val="clear" w:color="auto" w:fill="EDE1F5"/>
            <w:vAlign w:val="center"/>
          </w:tcPr>
          <w:p w14:paraId="04B9F793" w14:textId="77777777" w:rsidR="002F63DA" w:rsidRPr="00641C3D" w:rsidRDefault="002F63DA" w:rsidP="00071204">
            <w:pPr>
              <w:spacing w:before="50" w:after="50"/>
              <w:jc w:val="center"/>
              <w:rPr>
                <w:rFonts w:ascii="Simplified Arabic" w:hAnsi="Simplified Arabic" w:cs="Simplified Arabic"/>
                <w:sz w:val="24"/>
                <w:szCs w:val="24"/>
              </w:rPr>
            </w:pPr>
            <w:r w:rsidRPr="00641C3D">
              <w:rPr>
                <w:rFonts w:ascii="Simplified Arabic" w:hAnsi="Simplified Arabic" w:cs="Simplified Arabic"/>
                <w:sz w:val="24"/>
                <w:szCs w:val="24"/>
              </w:rPr>
              <w:t>1280 طن CO</w:t>
            </w:r>
            <w:r w:rsidRPr="00641C3D">
              <w:rPr>
                <w:rFonts w:ascii="Cambria Math" w:hAnsi="Cambria Math" w:cs="Cambria Math"/>
                <w:sz w:val="24"/>
                <w:szCs w:val="24"/>
              </w:rPr>
              <w:t>₂</w:t>
            </w:r>
            <w:r w:rsidRPr="00641C3D">
              <w:rPr>
                <w:rFonts w:ascii="Simplified Arabic" w:hAnsi="Simplified Arabic" w:cs="Simplified Arabic"/>
                <w:sz w:val="24"/>
                <w:szCs w:val="24"/>
              </w:rPr>
              <w:t xml:space="preserve"> سنوياً</w:t>
            </w:r>
          </w:p>
        </w:tc>
        <w:tc>
          <w:tcPr>
            <w:tcW w:w="2520" w:type="dxa"/>
            <w:tcBorders>
              <w:top w:val="single" w:sz="4" w:space="0" w:color="C8A2C8"/>
              <w:left w:val="single" w:sz="4" w:space="0" w:color="C8A2C8"/>
              <w:bottom w:val="single" w:sz="4" w:space="0" w:color="C8A2C8"/>
              <w:right w:val="single" w:sz="4" w:space="0" w:color="C8A2C8"/>
            </w:tcBorders>
            <w:shd w:val="clear" w:color="auto" w:fill="EDE1F5"/>
            <w:vAlign w:val="center"/>
          </w:tcPr>
          <w:p w14:paraId="6D5B80F7" w14:textId="77777777" w:rsidR="002F63DA" w:rsidRPr="00641C3D" w:rsidRDefault="002F63DA" w:rsidP="00071204">
            <w:pPr>
              <w:spacing w:before="50" w:after="50"/>
              <w:jc w:val="center"/>
              <w:rPr>
                <w:rFonts w:ascii="Simplified Arabic" w:hAnsi="Simplified Arabic" w:cs="Simplified Arabic"/>
                <w:sz w:val="24"/>
                <w:szCs w:val="24"/>
              </w:rPr>
            </w:pPr>
            <w:r w:rsidRPr="00641C3D">
              <w:rPr>
                <w:rFonts w:ascii="Simplified Arabic" w:hAnsi="Simplified Arabic" w:cs="Simplified Arabic"/>
                <w:sz w:val="24"/>
                <w:szCs w:val="24"/>
              </w:rPr>
              <w:t>خفض الانبعاثات الكربونية</w:t>
            </w:r>
          </w:p>
        </w:tc>
        <w:tc>
          <w:tcPr>
            <w:tcW w:w="1921" w:type="dxa"/>
            <w:tcBorders>
              <w:top w:val="single" w:sz="4" w:space="0" w:color="C8A2C8"/>
              <w:left w:val="single" w:sz="4" w:space="0" w:color="C8A2C8"/>
              <w:bottom w:val="single" w:sz="4" w:space="0" w:color="C8A2C8"/>
              <w:right w:val="single" w:sz="4" w:space="0" w:color="C8A2C8"/>
            </w:tcBorders>
            <w:shd w:val="clear" w:color="auto" w:fill="EDE1F5"/>
            <w:vAlign w:val="center"/>
          </w:tcPr>
          <w:p w14:paraId="6A6F7745" w14:textId="77777777" w:rsidR="002F63DA" w:rsidRPr="00641C3D" w:rsidRDefault="002F63DA" w:rsidP="00071204">
            <w:pPr>
              <w:spacing w:before="50" w:after="50"/>
              <w:jc w:val="center"/>
              <w:rPr>
                <w:rFonts w:ascii="Simplified Arabic" w:hAnsi="Simplified Arabic" w:cs="Simplified Arabic"/>
                <w:sz w:val="24"/>
                <w:szCs w:val="24"/>
              </w:rPr>
            </w:pPr>
            <w:r w:rsidRPr="00641C3D">
              <w:rPr>
                <w:rFonts w:ascii="Simplified Arabic" w:hAnsi="Simplified Arabic" w:cs="Simplified Arabic"/>
                <w:sz w:val="24"/>
                <w:szCs w:val="24"/>
              </w:rPr>
              <w:t>الاستدامة البيئية</w:t>
            </w:r>
          </w:p>
        </w:tc>
      </w:tr>
      <w:tr w:rsidR="002F63DA" w14:paraId="7B2DC64B" w14:textId="77777777" w:rsidTr="00071204">
        <w:tc>
          <w:tcPr>
            <w:tcW w:w="2200" w:type="dxa"/>
            <w:tcBorders>
              <w:top w:val="single" w:sz="4" w:space="0" w:color="C8A2C8"/>
              <w:left w:val="single" w:sz="4" w:space="0" w:color="C8A2C8"/>
              <w:bottom w:val="single" w:sz="4" w:space="0" w:color="C8A2C8"/>
              <w:right w:val="single" w:sz="4" w:space="0" w:color="C8A2C8"/>
            </w:tcBorders>
            <w:shd w:val="clear" w:color="auto" w:fill="FFFFFF"/>
            <w:vAlign w:val="center"/>
          </w:tcPr>
          <w:p w14:paraId="09A56EC0" w14:textId="77777777" w:rsidR="002F63DA" w:rsidRPr="00641C3D" w:rsidRDefault="002F63DA" w:rsidP="00071204">
            <w:pPr>
              <w:spacing w:before="50" w:after="50"/>
              <w:jc w:val="center"/>
              <w:rPr>
                <w:rFonts w:ascii="Simplified Arabic" w:hAnsi="Simplified Arabic" w:cs="Simplified Arabic"/>
                <w:sz w:val="24"/>
                <w:szCs w:val="24"/>
              </w:rPr>
            </w:pPr>
            <w:r w:rsidRPr="00641C3D">
              <w:rPr>
                <w:rFonts w:ascii="Segoe UI Emoji" w:hAnsi="Segoe UI Emoji" w:cs="Segoe UI Emoji"/>
                <w:sz w:val="24"/>
                <w:szCs w:val="24"/>
              </w:rPr>
              <w:t>✅</w:t>
            </w:r>
            <w:r w:rsidRPr="00641C3D">
              <w:rPr>
                <w:rFonts w:ascii="Simplified Arabic" w:hAnsi="Simplified Arabic" w:cs="Simplified Arabic"/>
                <w:sz w:val="24"/>
                <w:szCs w:val="24"/>
              </w:rPr>
              <w:t xml:space="preserve"> يفوق المستهدف</w:t>
            </w:r>
          </w:p>
        </w:tc>
        <w:tc>
          <w:tcPr>
            <w:tcW w:w="2385" w:type="dxa"/>
            <w:tcBorders>
              <w:top w:val="single" w:sz="4" w:space="0" w:color="C8A2C8"/>
              <w:left w:val="single" w:sz="4" w:space="0" w:color="C8A2C8"/>
              <w:bottom w:val="single" w:sz="4" w:space="0" w:color="C8A2C8"/>
              <w:right w:val="single" w:sz="4" w:space="0" w:color="C8A2C8"/>
            </w:tcBorders>
            <w:shd w:val="clear" w:color="auto" w:fill="FFFFFF"/>
            <w:vAlign w:val="center"/>
          </w:tcPr>
          <w:p w14:paraId="2A9668C9" w14:textId="77777777" w:rsidR="002F63DA" w:rsidRPr="00641C3D" w:rsidRDefault="002F63DA" w:rsidP="00071204">
            <w:pPr>
              <w:spacing w:before="50" w:after="50"/>
              <w:jc w:val="center"/>
              <w:rPr>
                <w:rFonts w:ascii="Simplified Arabic" w:hAnsi="Simplified Arabic" w:cs="Simplified Arabic"/>
                <w:sz w:val="24"/>
                <w:szCs w:val="24"/>
              </w:rPr>
            </w:pPr>
            <w:r>
              <w:rPr>
                <w:rFonts w:ascii="Simplified Arabic" w:hAnsi="Simplified Arabic" w:cs="Simplified Arabic"/>
                <w:sz w:val="24"/>
                <w:szCs w:val="24"/>
              </w:rPr>
              <w:t>-</w:t>
            </w:r>
          </w:p>
        </w:tc>
        <w:tc>
          <w:tcPr>
            <w:tcW w:w="2520" w:type="dxa"/>
            <w:tcBorders>
              <w:top w:val="single" w:sz="4" w:space="0" w:color="C8A2C8"/>
              <w:left w:val="single" w:sz="4" w:space="0" w:color="C8A2C8"/>
              <w:bottom w:val="single" w:sz="4" w:space="0" w:color="C8A2C8"/>
              <w:right w:val="single" w:sz="4" w:space="0" w:color="C8A2C8"/>
            </w:tcBorders>
            <w:shd w:val="clear" w:color="auto" w:fill="FFFFFF"/>
            <w:vAlign w:val="center"/>
          </w:tcPr>
          <w:p w14:paraId="673EA0DD" w14:textId="77777777" w:rsidR="002F63DA" w:rsidRPr="00641C3D" w:rsidRDefault="002F63DA" w:rsidP="00071204">
            <w:pPr>
              <w:spacing w:before="50" w:after="50"/>
              <w:jc w:val="center"/>
              <w:rPr>
                <w:rFonts w:ascii="Simplified Arabic" w:hAnsi="Simplified Arabic" w:cs="Simplified Arabic"/>
                <w:sz w:val="24"/>
                <w:szCs w:val="24"/>
              </w:rPr>
            </w:pPr>
            <w:r>
              <w:rPr>
                <w:rFonts w:ascii="Simplified Arabic" w:hAnsi="Simplified Arabic" w:cs="Simplified Arabic" w:hint="cs"/>
                <w:sz w:val="24"/>
                <w:szCs w:val="24"/>
                <w:rtl/>
              </w:rPr>
              <w:t>-</w:t>
            </w:r>
          </w:p>
        </w:tc>
        <w:tc>
          <w:tcPr>
            <w:tcW w:w="1921" w:type="dxa"/>
            <w:tcBorders>
              <w:top w:val="single" w:sz="4" w:space="0" w:color="C8A2C8"/>
              <w:left w:val="single" w:sz="4" w:space="0" w:color="C8A2C8"/>
              <w:bottom w:val="single" w:sz="4" w:space="0" w:color="C8A2C8"/>
              <w:right w:val="single" w:sz="4" w:space="0" w:color="C8A2C8"/>
            </w:tcBorders>
            <w:shd w:val="clear" w:color="auto" w:fill="FFFFFF"/>
            <w:vAlign w:val="center"/>
          </w:tcPr>
          <w:p w14:paraId="68AE20D0" w14:textId="77777777" w:rsidR="002F63DA" w:rsidRPr="00641C3D" w:rsidRDefault="002F63DA" w:rsidP="00071204">
            <w:pPr>
              <w:spacing w:before="50" w:after="50"/>
              <w:jc w:val="center"/>
              <w:rPr>
                <w:rFonts w:ascii="Simplified Arabic" w:hAnsi="Simplified Arabic" w:cs="Simplified Arabic"/>
                <w:sz w:val="24"/>
                <w:szCs w:val="24"/>
              </w:rPr>
            </w:pPr>
            <w:r w:rsidRPr="00641C3D">
              <w:rPr>
                <w:rFonts w:ascii="Simplified Arabic" w:hAnsi="Simplified Arabic" w:cs="Simplified Arabic"/>
                <w:sz w:val="24"/>
                <w:szCs w:val="24"/>
              </w:rPr>
              <w:t>المؤشر الكلي للتوافق</w:t>
            </w:r>
          </w:p>
        </w:tc>
      </w:tr>
    </w:tbl>
    <w:p w14:paraId="20A6DFBA" w14:textId="77777777" w:rsidR="004C124C" w:rsidRDefault="004C124C" w:rsidP="0062684A">
      <w:pPr>
        <w:spacing w:after="200" w:line="312" w:lineRule="auto"/>
        <w:rPr>
          <w:rFonts w:ascii="Simplified Arabic" w:eastAsia="Simplified Arabic" w:hAnsi="Simplified Arabic" w:cs="Simplified Arabic"/>
          <w:color w:val="000000"/>
          <w:sz w:val="24"/>
          <w:szCs w:val="24"/>
        </w:rPr>
      </w:pPr>
    </w:p>
    <w:p w14:paraId="37B8BFD7" w14:textId="77777777" w:rsidR="004C124C" w:rsidRPr="004C124C" w:rsidRDefault="004C124C" w:rsidP="0062684A">
      <w:pPr>
        <w:spacing w:after="200" w:line="312" w:lineRule="auto"/>
        <w:rPr>
          <w:rFonts w:ascii="Simplified Arabic" w:eastAsia="Simplified Arabic" w:hAnsi="Simplified Arabic" w:cs="Simplified Arabic"/>
          <w:color w:val="000000"/>
          <w:sz w:val="16"/>
          <w:szCs w:val="16"/>
        </w:rPr>
      </w:pPr>
    </w:p>
    <w:p w14:paraId="0F84443D" w14:textId="1C934680" w:rsidR="002F63DA" w:rsidRPr="002F63DA" w:rsidRDefault="002F63DA" w:rsidP="002F63DA">
      <w:pPr>
        <w:spacing w:before="160" w:after="80"/>
        <w:rPr>
          <w:rFonts w:ascii="Simplified Arabic" w:eastAsia="Simplified Arabic" w:hAnsi="Simplified Arabic" w:cs="Simplified Arabic"/>
          <w:b/>
          <w:bCs/>
          <w:color w:val="000000"/>
          <w:sz w:val="20"/>
          <w:szCs w:val="20"/>
        </w:rPr>
      </w:pPr>
      <w:r w:rsidRPr="002F63DA">
        <w:rPr>
          <w:rFonts w:ascii="Simplified Arabic" w:eastAsia="Simplified Arabic" w:hAnsi="Simplified Arabic" w:cs="Simplified Arabic"/>
          <w:b/>
          <w:bCs/>
          <w:color w:val="000000"/>
          <w:sz w:val="20"/>
          <w:szCs w:val="20"/>
          <w:rtl/>
        </w:rPr>
        <w:lastRenderedPageBreak/>
        <w:t>جدول (1</w:t>
      </w:r>
      <w:r w:rsidRPr="002F63DA">
        <w:rPr>
          <w:rFonts w:ascii="Simplified Arabic" w:eastAsia="Simplified Arabic" w:hAnsi="Simplified Arabic" w:cs="Simplified Arabic" w:hint="cs"/>
          <w:b/>
          <w:bCs/>
          <w:color w:val="000000"/>
          <w:sz w:val="20"/>
          <w:szCs w:val="20"/>
          <w:rtl/>
        </w:rPr>
        <w:t>2</w:t>
      </w:r>
      <w:r w:rsidRPr="002F63DA">
        <w:rPr>
          <w:rFonts w:ascii="Simplified Arabic" w:eastAsia="Simplified Arabic" w:hAnsi="Simplified Arabic" w:cs="Simplified Arabic"/>
          <w:b/>
          <w:bCs/>
          <w:color w:val="000000"/>
          <w:sz w:val="20"/>
          <w:szCs w:val="20"/>
          <w:rtl/>
        </w:rPr>
        <w:t xml:space="preserve">): ملخص السنوات الخمس </w:t>
      </w:r>
      <w:r w:rsidRPr="002F63DA">
        <w:rPr>
          <w:rFonts w:ascii="Simplified Arabic" w:eastAsia="Simplified Arabic" w:hAnsi="Simplified Arabic" w:cs="Simplified Arabic" w:hint="cs"/>
          <w:b/>
          <w:bCs/>
          <w:color w:val="000000"/>
          <w:sz w:val="20"/>
          <w:szCs w:val="20"/>
          <w:rtl/>
        </w:rPr>
        <w:t>-</w:t>
      </w:r>
      <w:r w:rsidRPr="002F63DA">
        <w:rPr>
          <w:rFonts w:ascii="Simplified Arabic" w:eastAsia="Simplified Arabic" w:hAnsi="Simplified Arabic" w:cs="Simplified Arabic"/>
          <w:b/>
          <w:bCs/>
          <w:color w:val="000000"/>
          <w:sz w:val="20"/>
          <w:szCs w:val="20"/>
          <w:rtl/>
        </w:rPr>
        <w:t xml:space="preserve"> جميع المؤشرات المحورية للمبنى A (2026–2030)</w:t>
      </w:r>
    </w:p>
    <w:tbl>
      <w:tblPr>
        <w:bidiVisual/>
        <w:tblW w:w="8817" w:type="dxa"/>
        <w:tblBorders>
          <w:top w:val="single" w:sz="4" w:space="0" w:color="B8C4D0"/>
          <w:left w:val="single" w:sz="4" w:space="0" w:color="B8C4D0"/>
          <w:bottom w:val="single" w:sz="4" w:space="0" w:color="B8C4D0"/>
          <w:right w:val="single" w:sz="4" w:space="0" w:color="B8C4D0"/>
          <w:insideH w:val="single" w:sz="4" w:space="0" w:color="B8C4D0"/>
          <w:insideV w:val="single" w:sz="4" w:space="0" w:color="B8C4D0"/>
        </w:tblBorders>
        <w:tblCellMar>
          <w:left w:w="60" w:type="dxa"/>
          <w:right w:w="60" w:type="dxa"/>
        </w:tblCellMar>
        <w:tblLook w:val="0000" w:firstRow="0" w:lastRow="0" w:firstColumn="0" w:lastColumn="0" w:noHBand="0" w:noVBand="0"/>
      </w:tblPr>
      <w:tblGrid>
        <w:gridCol w:w="756"/>
        <w:gridCol w:w="1199"/>
        <w:gridCol w:w="1221"/>
        <w:gridCol w:w="933"/>
        <w:gridCol w:w="1341"/>
        <w:gridCol w:w="1322"/>
        <w:gridCol w:w="847"/>
        <w:gridCol w:w="1198"/>
      </w:tblGrid>
      <w:tr w:rsidR="002F63DA" w14:paraId="4F730B98" w14:textId="77777777" w:rsidTr="00071204">
        <w:trPr>
          <w:tblHeader/>
        </w:trPr>
        <w:tc>
          <w:tcPr>
            <w:tcW w:w="800" w:type="dxa"/>
            <w:shd w:val="clear" w:color="auto" w:fill="0A1E3D"/>
            <w:vAlign w:val="center"/>
          </w:tcPr>
          <w:p w14:paraId="603A820B" w14:textId="77777777" w:rsidR="002F63DA" w:rsidRPr="00EA03EC" w:rsidRDefault="002F63DA" w:rsidP="00071204">
            <w:pPr>
              <w:jc w:val="center"/>
              <w:rPr>
                <w:rFonts w:ascii="Simplified Arabic" w:hAnsi="Simplified Arabic" w:cs="Simplified Arabic"/>
                <w:b/>
                <w:bCs/>
                <w:color w:val="FFFFFF"/>
                <w:sz w:val="24"/>
                <w:szCs w:val="24"/>
              </w:rPr>
            </w:pPr>
            <w:r w:rsidRPr="00EA03EC">
              <w:rPr>
                <w:rFonts w:ascii="Simplified Arabic" w:hAnsi="Simplified Arabic" w:cs="Simplified Arabic"/>
                <w:b/>
                <w:bCs/>
                <w:color w:val="FFFFFF"/>
                <w:sz w:val="24"/>
                <w:szCs w:val="24"/>
                <w:rtl/>
              </w:rPr>
              <w:t>السنة</w:t>
            </w:r>
          </w:p>
        </w:tc>
        <w:tc>
          <w:tcPr>
            <w:tcW w:w="1350" w:type="dxa"/>
            <w:shd w:val="clear" w:color="auto" w:fill="0A1E3D"/>
            <w:vAlign w:val="center"/>
          </w:tcPr>
          <w:p w14:paraId="3F9BCE71" w14:textId="77777777" w:rsidR="002F63DA" w:rsidRPr="00EA03EC" w:rsidRDefault="002F63DA" w:rsidP="00071204">
            <w:pPr>
              <w:jc w:val="center"/>
              <w:rPr>
                <w:rFonts w:ascii="Simplified Arabic" w:hAnsi="Simplified Arabic" w:cs="Simplified Arabic"/>
                <w:b/>
                <w:bCs/>
                <w:color w:val="FFFFFF"/>
                <w:sz w:val="24"/>
                <w:szCs w:val="24"/>
              </w:rPr>
            </w:pPr>
            <w:r w:rsidRPr="00EA03EC">
              <w:rPr>
                <w:rFonts w:ascii="Simplified Arabic" w:hAnsi="Simplified Arabic" w:cs="Simplified Arabic"/>
                <w:b/>
                <w:bCs/>
                <w:color w:val="FFFFFF"/>
                <w:sz w:val="24"/>
                <w:szCs w:val="24"/>
                <w:rtl/>
              </w:rPr>
              <w:t>الاستهلاك بعد (MWh)</w:t>
            </w:r>
          </w:p>
        </w:tc>
        <w:tc>
          <w:tcPr>
            <w:tcW w:w="1350" w:type="dxa"/>
            <w:shd w:val="clear" w:color="auto" w:fill="0A1E3D"/>
            <w:vAlign w:val="center"/>
          </w:tcPr>
          <w:p w14:paraId="574B94D9" w14:textId="77777777" w:rsidR="002F63DA" w:rsidRPr="00EA03EC" w:rsidRDefault="002F63DA" w:rsidP="00071204">
            <w:pPr>
              <w:jc w:val="center"/>
              <w:rPr>
                <w:rFonts w:ascii="Simplified Arabic" w:hAnsi="Simplified Arabic" w:cs="Simplified Arabic"/>
                <w:b/>
                <w:bCs/>
                <w:color w:val="FFFFFF"/>
                <w:sz w:val="24"/>
                <w:szCs w:val="24"/>
              </w:rPr>
            </w:pPr>
            <w:r w:rsidRPr="00EA03EC">
              <w:rPr>
                <w:rFonts w:ascii="Simplified Arabic" w:hAnsi="Simplified Arabic" w:cs="Simplified Arabic"/>
                <w:b/>
                <w:bCs/>
                <w:color w:val="FFFFFF"/>
                <w:sz w:val="24"/>
                <w:szCs w:val="24"/>
                <w:rtl/>
              </w:rPr>
              <w:t>الطاقة الموفرة (MWh)</w:t>
            </w:r>
          </w:p>
        </w:tc>
        <w:tc>
          <w:tcPr>
            <w:tcW w:w="1000" w:type="dxa"/>
            <w:shd w:val="clear" w:color="auto" w:fill="0A1E3D"/>
            <w:vAlign w:val="center"/>
          </w:tcPr>
          <w:p w14:paraId="099A33D5" w14:textId="77777777" w:rsidR="002F63DA" w:rsidRPr="00EA03EC" w:rsidRDefault="002F63DA" w:rsidP="00071204">
            <w:pPr>
              <w:jc w:val="center"/>
              <w:rPr>
                <w:rFonts w:ascii="Simplified Arabic" w:hAnsi="Simplified Arabic" w:cs="Simplified Arabic"/>
                <w:b/>
                <w:bCs/>
                <w:color w:val="FFFFFF"/>
                <w:sz w:val="24"/>
                <w:szCs w:val="24"/>
              </w:rPr>
            </w:pPr>
            <w:r w:rsidRPr="00EA03EC">
              <w:rPr>
                <w:rFonts w:ascii="Simplified Arabic" w:hAnsi="Simplified Arabic" w:cs="Simplified Arabic"/>
                <w:b/>
                <w:bCs/>
                <w:color w:val="FFFFFF"/>
                <w:sz w:val="24"/>
                <w:szCs w:val="24"/>
                <w:rtl/>
              </w:rPr>
              <w:t>نسبة التوفير</w:t>
            </w:r>
          </w:p>
        </w:tc>
        <w:tc>
          <w:tcPr>
            <w:tcW w:w="1500" w:type="dxa"/>
            <w:shd w:val="clear" w:color="auto" w:fill="0A1E3D"/>
            <w:vAlign w:val="center"/>
          </w:tcPr>
          <w:p w14:paraId="7BC3348A" w14:textId="77777777" w:rsidR="002F63DA" w:rsidRPr="00EA03EC" w:rsidRDefault="002F63DA" w:rsidP="00071204">
            <w:pPr>
              <w:jc w:val="center"/>
              <w:rPr>
                <w:rFonts w:ascii="Simplified Arabic" w:hAnsi="Simplified Arabic" w:cs="Simplified Arabic"/>
                <w:b/>
                <w:bCs/>
                <w:color w:val="FFFFFF"/>
                <w:sz w:val="24"/>
                <w:szCs w:val="24"/>
              </w:rPr>
            </w:pPr>
            <w:r w:rsidRPr="00EA03EC">
              <w:rPr>
                <w:rFonts w:ascii="Simplified Arabic" w:hAnsi="Simplified Arabic" w:cs="Simplified Arabic"/>
                <w:b/>
                <w:bCs/>
                <w:color w:val="FFFFFF"/>
                <w:sz w:val="24"/>
                <w:szCs w:val="24"/>
                <w:rtl/>
              </w:rPr>
              <w:t>الوفر المالي (ريال)</w:t>
            </w:r>
          </w:p>
        </w:tc>
        <w:tc>
          <w:tcPr>
            <w:tcW w:w="1500" w:type="dxa"/>
            <w:shd w:val="clear" w:color="auto" w:fill="0A1E3D"/>
            <w:vAlign w:val="center"/>
          </w:tcPr>
          <w:p w14:paraId="0AC37AE3" w14:textId="77777777" w:rsidR="002F63DA" w:rsidRPr="00EA03EC" w:rsidRDefault="002F63DA" w:rsidP="00071204">
            <w:pPr>
              <w:jc w:val="center"/>
              <w:rPr>
                <w:rFonts w:ascii="Simplified Arabic" w:hAnsi="Simplified Arabic" w:cs="Simplified Arabic"/>
                <w:b/>
                <w:bCs/>
                <w:color w:val="FFFFFF"/>
                <w:sz w:val="24"/>
                <w:szCs w:val="24"/>
              </w:rPr>
            </w:pPr>
            <w:r w:rsidRPr="00EA03EC">
              <w:rPr>
                <w:rFonts w:ascii="Simplified Arabic" w:hAnsi="Simplified Arabic" w:cs="Simplified Arabic"/>
                <w:b/>
                <w:bCs/>
                <w:color w:val="FFFFFF"/>
                <w:sz w:val="24"/>
                <w:szCs w:val="24"/>
                <w:rtl/>
              </w:rPr>
              <w:t>الكربون المتجنب (طن CO</w:t>
            </w:r>
            <w:r w:rsidRPr="00EA03EC">
              <w:rPr>
                <w:rFonts w:ascii="Cambria Math" w:hAnsi="Cambria Math" w:cs="Cambria Math" w:hint="cs"/>
                <w:b/>
                <w:bCs/>
                <w:color w:val="FFFFFF"/>
                <w:sz w:val="24"/>
                <w:szCs w:val="24"/>
                <w:rtl/>
              </w:rPr>
              <w:t>₂</w:t>
            </w:r>
            <w:r w:rsidRPr="00EA03EC">
              <w:rPr>
                <w:rFonts w:ascii="Simplified Arabic" w:hAnsi="Simplified Arabic" w:cs="Simplified Arabic"/>
                <w:b/>
                <w:bCs/>
                <w:color w:val="FFFFFF"/>
                <w:sz w:val="24"/>
                <w:szCs w:val="24"/>
                <w:rtl/>
              </w:rPr>
              <w:t>)</w:t>
            </w:r>
          </w:p>
        </w:tc>
        <w:tc>
          <w:tcPr>
            <w:tcW w:w="900" w:type="dxa"/>
            <w:shd w:val="clear" w:color="auto" w:fill="0A1E3D"/>
            <w:vAlign w:val="center"/>
          </w:tcPr>
          <w:p w14:paraId="084E078C" w14:textId="77777777" w:rsidR="002F63DA" w:rsidRPr="00EA03EC" w:rsidRDefault="002F63DA" w:rsidP="00071204">
            <w:pPr>
              <w:jc w:val="center"/>
              <w:rPr>
                <w:rFonts w:ascii="Simplified Arabic" w:hAnsi="Simplified Arabic" w:cs="Simplified Arabic"/>
                <w:b/>
                <w:bCs/>
                <w:color w:val="FFFFFF"/>
                <w:sz w:val="24"/>
                <w:szCs w:val="24"/>
              </w:rPr>
            </w:pPr>
            <w:r w:rsidRPr="00EA03EC">
              <w:rPr>
                <w:rFonts w:ascii="Simplified Arabic" w:hAnsi="Simplified Arabic" w:cs="Simplified Arabic"/>
                <w:b/>
                <w:bCs/>
                <w:color w:val="FFFFFF"/>
                <w:sz w:val="24"/>
                <w:szCs w:val="24"/>
                <w:rtl/>
              </w:rPr>
              <w:t>CDD</w:t>
            </w:r>
          </w:p>
        </w:tc>
        <w:tc>
          <w:tcPr>
            <w:tcW w:w="1417" w:type="dxa"/>
            <w:shd w:val="clear" w:color="auto" w:fill="0A1E3D"/>
            <w:vAlign w:val="center"/>
          </w:tcPr>
          <w:p w14:paraId="3484385D" w14:textId="77777777" w:rsidR="002F63DA" w:rsidRPr="00EA03EC" w:rsidRDefault="002F63DA" w:rsidP="00071204">
            <w:pPr>
              <w:jc w:val="center"/>
              <w:rPr>
                <w:rFonts w:ascii="Simplified Arabic" w:hAnsi="Simplified Arabic" w:cs="Simplified Arabic"/>
                <w:b/>
                <w:bCs/>
                <w:color w:val="FFFFFF"/>
                <w:sz w:val="24"/>
                <w:szCs w:val="24"/>
              </w:rPr>
            </w:pPr>
            <w:r w:rsidRPr="00EA03EC">
              <w:rPr>
                <w:rFonts w:ascii="Simplified Arabic" w:hAnsi="Simplified Arabic" w:cs="Simplified Arabic"/>
                <w:b/>
                <w:bCs/>
                <w:color w:val="FFFFFF"/>
                <w:sz w:val="24"/>
                <w:szCs w:val="24"/>
                <w:rtl/>
              </w:rPr>
              <w:t>HDD</w:t>
            </w:r>
          </w:p>
        </w:tc>
      </w:tr>
      <w:tr w:rsidR="002F63DA" w14:paraId="70BFEC07" w14:textId="77777777" w:rsidTr="00071204">
        <w:tc>
          <w:tcPr>
            <w:tcW w:w="800" w:type="dxa"/>
            <w:shd w:val="clear" w:color="auto" w:fill="FFFFFF"/>
            <w:vAlign w:val="center"/>
          </w:tcPr>
          <w:p w14:paraId="0B90AED2"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2026</w:t>
            </w:r>
          </w:p>
        </w:tc>
        <w:tc>
          <w:tcPr>
            <w:tcW w:w="1350" w:type="dxa"/>
            <w:shd w:val="clear" w:color="auto" w:fill="FFFFFF"/>
            <w:vAlign w:val="center"/>
          </w:tcPr>
          <w:p w14:paraId="488F77A5"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956.9</w:t>
            </w:r>
          </w:p>
        </w:tc>
        <w:tc>
          <w:tcPr>
            <w:tcW w:w="1350" w:type="dxa"/>
            <w:shd w:val="clear" w:color="auto" w:fill="FFFFFF"/>
            <w:vAlign w:val="center"/>
          </w:tcPr>
          <w:p w14:paraId="42EDC81D"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1,962.8</w:t>
            </w:r>
          </w:p>
        </w:tc>
        <w:tc>
          <w:tcPr>
            <w:tcW w:w="1000" w:type="dxa"/>
            <w:shd w:val="clear" w:color="auto" w:fill="FFFFFF"/>
            <w:vAlign w:val="center"/>
          </w:tcPr>
          <w:p w14:paraId="3722CBD7"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%67.2</w:t>
            </w:r>
          </w:p>
        </w:tc>
        <w:tc>
          <w:tcPr>
            <w:tcW w:w="1500" w:type="dxa"/>
            <w:shd w:val="clear" w:color="auto" w:fill="FFFFFF"/>
            <w:vAlign w:val="center"/>
          </w:tcPr>
          <w:p w14:paraId="4CF2BFA3"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628,098</w:t>
            </w:r>
          </w:p>
        </w:tc>
        <w:tc>
          <w:tcPr>
            <w:tcW w:w="1500" w:type="dxa"/>
            <w:shd w:val="clear" w:color="auto" w:fill="FFFFFF"/>
            <w:vAlign w:val="center"/>
          </w:tcPr>
          <w:p w14:paraId="17AEA377"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1,279.7</w:t>
            </w:r>
          </w:p>
        </w:tc>
        <w:tc>
          <w:tcPr>
            <w:tcW w:w="900" w:type="dxa"/>
            <w:shd w:val="clear" w:color="auto" w:fill="FFFFFF"/>
            <w:vAlign w:val="center"/>
          </w:tcPr>
          <w:p w14:paraId="21C1B824"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3,601</w:t>
            </w:r>
          </w:p>
        </w:tc>
        <w:tc>
          <w:tcPr>
            <w:tcW w:w="1417" w:type="dxa"/>
            <w:shd w:val="clear" w:color="auto" w:fill="FFFFFF"/>
            <w:vAlign w:val="center"/>
          </w:tcPr>
          <w:p w14:paraId="1FC2017D"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155.0</w:t>
            </w:r>
          </w:p>
        </w:tc>
      </w:tr>
      <w:tr w:rsidR="002F63DA" w14:paraId="3739FF64" w14:textId="77777777" w:rsidTr="00071204">
        <w:tc>
          <w:tcPr>
            <w:tcW w:w="800" w:type="dxa"/>
            <w:shd w:val="clear" w:color="auto" w:fill="EEF2F7"/>
            <w:vAlign w:val="center"/>
          </w:tcPr>
          <w:p w14:paraId="0DCEBDA9"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2027</w:t>
            </w:r>
          </w:p>
        </w:tc>
        <w:tc>
          <w:tcPr>
            <w:tcW w:w="1350" w:type="dxa"/>
            <w:shd w:val="clear" w:color="auto" w:fill="EEF2F7"/>
            <w:vAlign w:val="center"/>
          </w:tcPr>
          <w:p w14:paraId="4F4EAC46"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956.9</w:t>
            </w:r>
          </w:p>
        </w:tc>
        <w:tc>
          <w:tcPr>
            <w:tcW w:w="1350" w:type="dxa"/>
            <w:shd w:val="clear" w:color="auto" w:fill="EEF2F7"/>
            <w:vAlign w:val="center"/>
          </w:tcPr>
          <w:p w14:paraId="1833D5E5"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1,962.8</w:t>
            </w:r>
          </w:p>
        </w:tc>
        <w:tc>
          <w:tcPr>
            <w:tcW w:w="1000" w:type="dxa"/>
            <w:shd w:val="clear" w:color="auto" w:fill="EEF2F7"/>
            <w:vAlign w:val="center"/>
          </w:tcPr>
          <w:p w14:paraId="17A16B37"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%67.2</w:t>
            </w:r>
          </w:p>
        </w:tc>
        <w:tc>
          <w:tcPr>
            <w:tcW w:w="1500" w:type="dxa"/>
            <w:shd w:val="clear" w:color="auto" w:fill="EEF2F7"/>
            <w:vAlign w:val="center"/>
          </w:tcPr>
          <w:p w14:paraId="269AD93A"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628,098</w:t>
            </w:r>
          </w:p>
        </w:tc>
        <w:tc>
          <w:tcPr>
            <w:tcW w:w="1500" w:type="dxa"/>
            <w:shd w:val="clear" w:color="auto" w:fill="EEF2F7"/>
            <w:vAlign w:val="center"/>
          </w:tcPr>
          <w:p w14:paraId="1D8C3B0C"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1,279.7</w:t>
            </w:r>
          </w:p>
        </w:tc>
        <w:tc>
          <w:tcPr>
            <w:tcW w:w="900" w:type="dxa"/>
            <w:shd w:val="clear" w:color="auto" w:fill="EEF2F7"/>
            <w:vAlign w:val="center"/>
          </w:tcPr>
          <w:p w14:paraId="27C1FEF2"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3,237</w:t>
            </w:r>
          </w:p>
        </w:tc>
        <w:tc>
          <w:tcPr>
            <w:tcW w:w="1417" w:type="dxa"/>
            <w:shd w:val="clear" w:color="auto" w:fill="EEF2F7"/>
            <w:vAlign w:val="center"/>
          </w:tcPr>
          <w:p w14:paraId="585E5D9C"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247.5</w:t>
            </w:r>
          </w:p>
        </w:tc>
      </w:tr>
      <w:tr w:rsidR="002F63DA" w14:paraId="5732C55D" w14:textId="77777777" w:rsidTr="00071204">
        <w:tc>
          <w:tcPr>
            <w:tcW w:w="800" w:type="dxa"/>
            <w:shd w:val="clear" w:color="auto" w:fill="FFFFFF"/>
            <w:vAlign w:val="center"/>
          </w:tcPr>
          <w:p w14:paraId="47077160"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2028</w:t>
            </w:r>
          </w:p>
        </w:tc>
        <w:tc>
          <w:tcPr>
            <w:tcW w:w="1350" w:type="dxa"/>
            <w:shd w:val="clear" w:color="auto" w:fill="FFFFFF"/>
            <w:vAlign w:val="center"/>
          </w:tcPr>
          <w:p w14:paraId="039545BF"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956.9</w:t>
            </w:r>
          </w:p>
        </w:tc>
        <w:tc>
          <w:tcPr>
            <w:tcW w:w="1350" w:type="dxa"/>
            <w:shd w:val="clear" w:color="auto" w:fill="FFFFFF"/>
            <w:vAlign w:val="center"/>
          </w:tcPr>
          <w:p w14:paraId="10A16A03"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1,962.8</w:t>
            </w:r>
          </w:p>
        </w:tc>
        <w:tc>
          <w:tcPr>
            <w:tcW w:w="1000" w:type="dxa"/>
            <w:shd w:val="clear" w:color="auto" w:fill="FFFFFF"/>
            <w:vAlign w:val="center"/>
          </w:tcPr>
          <w:p w14:paraId="1B6C9C5B"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%67.2</w:t>
            </w:r>
          </w:p>
        </w:tc>
        <w:tc>
          <w:tcPr>
            <w:tcW w:w="1500" w:type="dxa"/>
            <w:shd w:val="clear" w:color="auto" w:fill="FFFFFF"/>
            <w:vAlign w:val="center"/>
          </w:tcPr>
          <w:p w14:paraId="30B7096E"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628,098</w:t>
            </w:r>
          </w:p>
        </w:tc>
        <w:tc>
          <w:tcPr>
            <w:tcW w:w="1500" w:type="dxa"/>
            <w:shd w:val="clear" w:color="auto" w:fill="FFFFFF"/>
            <w:vAlign w:val="center"/>
          </w:tcPr>
          <w:p w14:paraId="78F1878A"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1,279.7</w:t>
            </w:r>
          </w:p>
        </w:tc>
        <w:tc>
          <w:tcPr>
            <w:tcW w:w="900" w:type="dxa"/>
            <w:shd w:val="clear" w:color="auto" w:fill="FFFFFF"/>
            <w:vAlign w:val="center"/>
          </w:tcPr>
          <w:p w14:paraId="64E9BD61"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2,657</w:t>
            </w:r>
          </w:p>
        </w:tc>
        <w:tc>
          <w:tcPr>
            <w:tcW w:w="1417" w:type="dxa"/>
            <w:shd w:val="clear" w:color="auto" w:fill="FFFFFF"/>
            <w:vAlign w:val="center"/>
          </w:tcPr>
          <w:p w14:paraId="76132301"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136.4</w:t>
            </w:r>
          </w:p>
        </w:tc>
      </w:tr>
      <w:tr w:rsidR="002F63DA" w14:paraId="38E9676C" w14:textId="77777777" w:rsidTr="00071204">
        <w:tc>
          <w:tcPr>
            <w:tcW w:w="800" w:type="dxa"/>
            <w:shd w:val="clear" w:color="auto" w:fill="EEF2F7"/>
            <w:vAlign w:val="center"/>
          </w:tcPr>
          <w:p w14:paraId="51CA5F1E"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2029</w:t>
            </w:r>
          </w:p>
        </w:tc>
        <w:tc>
          <w:tcPr>
            <w:tcW w:w="1350" w:type="dxa"/>
            <w:shd w:val="clear" w:color="auto" w:fill="EEF2F7"/>
            <w:vAlign w:val="center"/>
          </w:tcPr>
          <w:p w14:paraId="5BAFF609"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956.9</w:t>
            </w:r>
          </w:p>
        </w:tc>
        <w:tc>
          <w:tcPr>
            <w:tcW w:w="1350" w:type="dxa"/>
            <w:shd w:val="clear" w:color="auto" w:fill="EEF2F7"/>
            <w:vAlign w:val="center"/>
          </w:tcPr>
          <w:p w14:paraId="087EA5F1"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1,962.8</w:t>
            </w:r>
          </w:p>
        </w:tc>
        <w:tc>
          <w:tcPr>
            <w:tcW w:w="1000" w:type="dxa"/>
            <w:shd w:val="clear" w:color="auto" w:fill="EEF2F7"/>
            <w:vAlign w:val="center"/>
          </w:tcPr>
          <w:p w14:paraId="7DB0CCE3"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%67.2</w:t>
            </w:r>
          </w:p>
        </w:tc>
        <w:tc>
          <w:tcPr>
            <w:tcW w:w="1500" w:type="dxa"/>
            <w:shd w:val="clear" w:color="auto" w:fill="EEF2F7"/>
            <w:vAlign w:val="center"/>
          </w:tcPr>
          <w:p w14:paraId="02B12577"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628,098</w:t>
            </w:r>
          </w:p>
        </w:tc>
        <w:tc>
          <w:tcPr>
            <w:tcW w:w="1500" w:type="dxa"/>
            <w:shd w:val="clear" w:color="auto" w:fill="EEF2F7"/>
            <w:vAlign w:val="center"/>
          </w:tcPr>
          <w:p w14:paraId="60F70997"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1,279.7</w:t>
            </w:r>
          </w:p>
        </w:tc>
        <w:tc>
          <w:tcPr>
            <w:tcW w:w="900" w:type="dxa"/>
            <w:shd w:val="clear" w:color="auto" w:fill="EEF2F7"/>
            <w:vAlign w:val="center"/>
          </w:tcPr>
          <w:p w14:paraId="0037CB04"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3,497</w:t>
            </w:r>
          </w:p>
        </w:tc>
        <w:tc>
          <w:tcPr>
            <w:tcW w:w="1417" w:type="dxa"/>
            <w:shd w:val="clear" w:color="auto" w:fill="EEF2F7"/>
            <w:vAlign w:val="center"/>
          </w:tcPr>
          <w:p w14:paraId="777404CF"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184.5</w:t>
            </w:r>
          </w:p>
        </w:tc>
      </w:tr>
      <w:tr w:rsidR="002F63DA" w14:paraId="0203D12A" w14:textId="77777777" w:rsidTr="00071204">
        <w:tc>
          <w:tcPr>
            <w:tcW w:w="800" w:type="dxa"/>
            <w:shd w:val="clear" w:color="auto" w:fill="FFFFFF"/>
            <w:vAlign w:val="center"/>
          </w:tcPr>
          <w:p w14:paraId="6D316396"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2030</w:t>
            </w:r>
          </w:p>
        </w:tc>
        <w:tc>
          <w:tcPr>
            <w:tcW w:w="1350" w:type="dxa"/>
            <w:shd w:val="clear" w:color="auto" w:fill="FFFFFF"/>
            <w:vAlign w:val="center"/>
          </w:tcPr>
          <w:p w14:paraId="1AC66B07"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956.9</w:t>
            </w:r>
          </w:p>
        </w:tc>
        <w:tc>
          <w:tcPr>
            <w:tcW w:w="1350" w:type="dxa"/>
            <w:shd w:val="clear" w:color="auto" w:fill="FFFFFF"/>
            <w:vAlign w:val="center"/>
          </w:tcPr>
          <w:p w14:paraId="4904B6FF"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1,962.8</w:t>
            </w:r>
          </w:p>
        </w:tc>
        <w:tc>
          <w:tcPr>
            <w:tcW w:w="1000" w:type="dxa"/>
            <w:shd w:val="clear" w:color="auto" w:fill="FFFFFF"/>
            <w:vAlign w:val="center"/>
          </w:tcPr>
          <w:p w14:paraId="54ED2B1A"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%67.2</w:t>
            </w:r>
          </w:p>
        </w:tc>
        <w:tc>
          <w:tcPr>
            <w:tcW w:w="1500" w:type="dxa"/>
            <w:shd w:val="clear" w:color="auto" w:fill="FFFFFF"/>
            <w:vAlign w:val="center"/>
          </w:tcPr>
          <w:p w14:paraId="299B75D0"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628,098</w:t>
            </w:r>
          </w:p>
        </w:tc>
        <w:tc>
          <w:tcPr>
            <w:tcW w:w="1500" w:type="dxa"/>
            <w:shd w:val="clear" w:color="auto" w:fill="FFFFFF"/>
            <w:vAlign w:val="center"/>
          </w:tcPr>
          <w:p w14:paraId="4C037F95"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1,279.7</w:t>
            </w:r>
          </w:p>
        </w:tc>
        <w:tc>
          <w:tcPr>
            <w:tcW w:w="900" w:type="dxa"/>
            <w:shd w:val="clear" w:color="auto" w:fill="FFFFFF"/>
            <w:vAlign w:val="center"/>
          </w:tcPr>
          <w:p w14:paraId="3D425ADC"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3,617</w:t>
            </w:r>
          </w:p>
        </w:tc>
        <w:tc>
          <w:tcPr>
            <w:tcW w:w="1417" w:type="dxa"/>
            <w:shd w:val="clear" w:color="auto" w:fill="FFFFFF"/>
            <w:vAlign w:val="center"/>
          </w:tcPr>
          <w:p w14:paraId="35A47AB2" w14:textId="77777777" w:rsidR="002F63DA" w:rsidRPr="00CF03F5" w:rsidRDefault="002F63DA" w:rsidP="00071204">
            <w:pPr>
              <w:jc w:val="center"/>
              <w:rPr>
                <w:rFonts w:ascii="Simplified Arabic" w:hAnsi="Simplified Arabic" w:cs="Simplified Arabic"/>
                <w:b/>
                <w:bCs/>
                <w:sz w:val="24"/>
                <w:szCs w:val="24"/>
              </w:rPr>
            </w:pPr>
            <w:r w:rsidRPr="00CF03F5">
              <w:rPr>
                <w:rFonts w:ascii="Simplified Arabic" w:hAnsi="Simplified Arabic" w:cs="Simplified Arabic"/>
                <w:b/>
                <w:bCs/>
                <w:sz w:val="24"/>
                <w:szCs w:val="24"/>
                <w:rtl/>
              </w:rPr>
              <w:t>139.5</w:t>
            </w:r>
          </w:p>
        </w:tc>
      </w:tr>
    </w:tbl>
    <w:p w14:paraId="46274B08" w14:textId="77777777" w:rsidR="002F63DA" w:rsidRDefault="002F63DA" w:rsidP="0062684A">
      <w:pPr>
        <w:spacing w:after="200" w:line="312" w:lineRule="auto"/>
        <w:rPr>
          <w:rFonts w:ascii="Simplified Arabic" w:eastAsia="Simplified Arabic" w:hAnsi="Simplified Arabic" w:cs="Simplified Arabic"/>
          <w:color w:val="000000"/>
          <w:sz w:val="24"/>
          <w:szCs w:val="24"/>
          <w:rtl/>
        </w:rPr>
      </w:pPr>
    </w:p>
    <w:p w14:paraId="2B8C4D03" w14:textId="04C1094D" w:rsidR="006E4F2A" w:rsidRDefault="006E4F2A" w:rsidP="0062684A">
      <w:pPr>
        <w:spacing w:after="200" w:line="312" w:lineRule="auto"/>
        <w:rPr>
          <w:rtl/>
        </w:rPr>
      </w:pPr>
      <w:r>
        <w:rPr>
          <w:noProof/>
        </w:rPr>
        <w:lastRenderedPageBreak/>
        <w:drawing>
          <wp:inline distT="0" distB="0" distL="0" distR="0" wp14:anchorId="7C8E92C8" wp14:editId="1EECB44D">
            <wp:extent cx="5943273" cy="7757160"/>
            <wp:effectExtent l="0" t="0" r="635" b="0"/>
            <wp:docPr id="947180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0068" cy="7766029"/>
                    </a:xfrm>
                    <a:prstGeom prst="rect">
                      <a:avLst/>
                    </a:prstGeom>
                    <a:noFill/>
                    <a:ln>
                      <a:noFill/>
                    </a:ln>
                  </pic:spPr>
                </pic:pic>
              </a:graphicData>
            </a:graphic>
          </wp:inline>
        </w:drawing>
      </w:r>
    </w:p>
    <w:p w14:paraId="081DAF02" w14:textId="77777777" w:rsidR="006E4F2A" w:rsidRDefault="006E4F2A" w:rsidP="0062684A">
      <w:pPr>
        <w:spacing w:after="200" w:line="312" w:lineRule="auto"/>
      </w:pPr>
    </w:p>
    <w:p w14:paraId="2215335E" w14:textId="77777777" w:rsidR="0062684A" w:rsidRDefault="0062684A" w:rsidP="0062684A">
      <w:pPr>
        <w:spacing w:before="320" w:after="200"/>
      </w:pPr>
      <w:r>
        <w:rPr>
          <w:rFonts w:ascii="Simplified Arabic" w:eastAsia="Simplified Arabic" w:hAnsi="Simplified Arabic" w:cs="Simplified Arabic"/>
          <w:b/>
          <w:bCs/>
          <w:color w:val="000000"/>
          <w:sz w:val="28"/>
          <w:szCs w:val="28"/>
          <w:rtl/>
        </w:rPr>
        <w:lastRenderedPageBreak/>
        <w:t>9. الخاتمة ومناقشة النتائج</w:t>
      </w:r>
    </w:p>
    <w:p w14:paraId="22606BE6" w14:textId="77777777" w:rsidR="0062684A" w:rsidRDefault="0062684A" w:rsidP="0062684A">
      <w:pPr>
        <w:spacing w:after="200" w:line="312" w:lineRule="auto"/>
      </w:pPr>
      <w:r>
        <w:rPr>
          <w:rFonts w:ascii="Simplified Arabic" w:eastAsia="Simplified Arabic" w:hAnsi="Simplified Arabic" w:cs="Simplified Arabic"/>
          <w:color w:val="000000"/>
          <w:sz w:val="24"/>
          <w:szCs w:val="24"/>
          <w:rtl/>
        </w:rPr>
        <w:t>تتسق النتائج التي توصلت إليها هذه الدراسة مع غالبية الدراسات السابقة التي تناولت أثر التحول الذكي على كفاءة الطاقة، إذ تفوقت نسبة الوفر المحققة (67.2%) على النطاق المعتاد المشار إليه في دراسات Schneider Electric وCapehart et al. (10–30%)، وعلى نتيجة دراسة Malinowska (2025) التي سجلت خفضاً بنسبة 18.6%. ويعزى هذا التفوق إلى طبيعة التقنية المستخدمة (محرك التردد المتغير VFD) التي تتيح تحكماً مباشراً في سرعة التشغيل، بخلاف أنظمة المراقبة فقط دون تحكم فعلي في السرعة التشغيلية في كثير من الدراسات المقارنة. كما أكدت النتائج الدور الوسيط الجوهري للكفاءة التشغيلية بين التحول الذكي والاستدامة المؤسسية، إذ لم يكن التأثير على الاستدامة مباشراً فحسب، بل تحقق بصورة رئيسية عبر تحسن الكفاءة التشغيلية أولاً، وهو ما يدعم الإطار النظري القائم على نظرية الخط الثلاثي للاستدامة (TBL). وخلصت الدراسة إلى رفض الفرضية الصفرية الرئيسية وقبول الفرضية البديلة، مؤكدة وجود أثر إيجابي ذي دلالة إحصائية لتطبيقات التحول الذكي على الكفاءة التشغيلية، والتي تلعب بدورها دوراً وسيطاً في تعزيز الاستدامة المؤسسية بأبعادها الثلاثة.</w:t>
      </w:r>
    </w:p>
    <w:p w14:paraId="68182CB8" w14:textId="77777777" w:rsidR="0062684A" w:rsidRDefault="0062684A" w:rsidP="0062684A">
      <w:pPr>
        <w:spacing w:before="320" w:after="200"/>
      </w:pPr>
      <w:r>
        <w:rPr>
          <w:rFonts w:ascii="Simplified Arabic" w:eastAsia="Simplified Arabic" w:hAnsi="Simplified Arabic" w:cs="Simplified Arabic"/>
          <w:b/>
          <w:bCs/>
          <w:color w:val="000000"/>
          <w:sz w:val="28"/>
          <w:szCs w:val="28"/>
          <w:rtl/>
        </w:rPr>
        <w:t>10. التوصيات</w:t>
      </w:r>
    </w:p>
    <w:p w14:paraId="02788AB4" w14:textId="77777777" w:rsidR="0062684A" w:rsidRDefault="0062684A" w:rsidP="0062684A">
      <w:pPr>
        <w:spacing w:after="120" w:line="300" w:lineRule="auto"/>
        <w:ind w:right="360"/>
      </w:pPr>
      <w:r>
        <w:rPr>
          <w:rFonts w:ascii="Simplified Arabic" w:eastAsia="Simplified Arabic" w:hAnsi="Simplified Arabic" w:cs="Simplified Arabic"/>
          <w:b/>
          <w:bCs/>
          <w:color w:val="000000"/>
          <w:sz w:val="24"/>
          <w:szCs w:val="24"/>
          <w:rtl/>
        </w:rPr>
        <w:t xml:space="preserve">1. </w:t>
      </w:r>
      <w:r>
        <w:rPr>
          <w:rFonts w:ascii="Simplified Arabic" w:eastAsia="Simplified Arabic" w:hAnsi="Simplified Arabic" w:cs="Simplified Arabic"/>
          <w:color w:val="000000"/>
          <w:sz w:val="24"/>
          <w:szCs w:val="24"/>
          <w:rtl/>
        </w:rPr>
        <w:t>التوسع في تطبيق تقنية محرك التردد المتغير (VFD) على بقية المحركات والمراوح والمضخات في المباني والمرافق الجامعية الأخرى.</w:t>
      </w:r>
    </w:p>
    <w:p w14:paraId="656DD888" w14:textId="77777777" w:rsidR="0062684A" w:rsidRDefault="0062684A" w:rsidP="0062684A">
      <w:pPr>
        <w:spacing w:after="120" w:line="300" w:lineRule="auto"/>
        <w:ind w:right="360"/>
      </w:pPr>
      <w:r>
        <w:rPr>
          <w:rFonts w:ascii="Simplified Arabic" w:eastAsia="Simplified Arabic" w:hAnsi="Simplified Arabic" w:cs="Simplified Arabic"/>
          <w:b/>
          <w:bCs/>
          <w:color w:val="000000"/>
          <w:sz w:val="24"/>
          <w:szCs w:val="24"/>
          <w:rtl/>
        </w:rPr>
        <w:t xml:space="preserve">2. </w:t>
      </w:r>
      <w:r>
        <w:rPr>
          <w:rFonts w:ascii="Simplified Arabic" w:eastAsia="Simplified Arabic" w:hAnsi="Simplified Arabic" w:cs="Simplified Arabic"/>
          <w:color w:val="000000"/>
          <w:sz w:val="24"/>
          <w:szCs w:val="24"/>
          <w:rtl/>
        </w:rPr>
        <w:t>تكامل أنظمة إدارة المباني الذكية (BMS) مع خوارزميات الذكاء الاصطناعي للتنبؤ بالأعطال وترشيد الاستهلاك بصورة استباقية.</w:t>
      </w:r>
    </w:p>
    <w:p w14:paraId="4218BBA4" w14:textId="77777777" w:rsidR="0062684A" w:rsidRDefault="0062684A" w:rsidP="0062684A">
      <w:pPr>
        <w:spacing w:after="120" w:line="300" w:lineRule="auto"/>
        <w:ind w:right="360"/>
      </w:pPr>
      <w:r>
        <w:rPr>
          <w:rFonts w:ascii="Simplified Arabic" w:eastAsia="Simplified Arabic" w:hAnsi="Simplified Arabic" w:cs="Simplified Arabic"/>
          <w:b/>
          <w:bCs/>
          <w:color w:val="000000"/>
          <w:sz w:val="24"/>
          <w:szCs w:val="24"/>
          <w:rtl/>
        </w:rPr>
        <w:t xml:space="preserve">3. </w:t>
      </w:r>
      <w:r>
        <w:rPr>
          <w:rFonts w:ascii="Simplified Arabic" w:eastAsia="Simplified Arabic" w:hAnsi="Simplified Arabic" w:cs="Simplified Arabic"/>
          <w:color w:val="000000"/>
          <w:sz w:val="24"/>
          <w:szCs w:val="24"/>
          <w:rtl/>
        </w:rPr>
        <w:t>إنشاء وحدة تنظيمية متخصصة لإدارة الطاقة والاستدامة داخل الجامعة لمتابعة مؤشرات الأداء (KPIs) بصورة دورية.</w:t>
      </w:r>
    </w:p>
    <w:p w14:paraId="49E35214" w14:textId="77777777" w:rsidR="0062684A" w:rsidRDefault="0062684A" w:rsidP="0062684A">
      <w:pPr>
        <w:spacing w:after="120" w:line="300" w:lineRule="auto"/>
        <w:ind w:right="360"/>
      </w:pPr>
      <w:r>
        <w:rPr>
          <w:rFonts w:ascii="Simplified Arabic" w:eastAsia="Simplified Arabic" w:hAnsi="Simplified Arabic" w:cs="Simplified Arabic"/>
          <w:b/>
          <w:bCs/>
          <w:color w:val="000000"/>
          <w:sz w:val="24"/>
          <w:szCs w:val="24"/>
          <w:rtl/>
        </w:rPr>
        <w:t xml:space="preserve">4. </w:t>
      </w:r>
      <w:r>
        <w:rPr>
          <w:rFonts w:ascii="Simplified Arabic" w:eastAsia="Simplified Arabic" w:hAnsi="Simplified Arabic" w:cs="Simplified Arabic"/>
          <w:color w:val="000000"/>
          <w:sz w:val="24"/>
          <w:szCs w:val="24"/>
          <w:rtl/>
        </w:rPr>
        <w:t>تطوير البنية التحتية التقنية للمنشآت التي لا تزال تعتمد على أنظمة صيانة تقليدية.</w:t>
      </w:r>
    </w:p>
    <w:p w14:paraId="30D09864" w14:textId="77777777" w:rsidR="0062684A" w:rsidRDefault="0062684A" w:rsidP="0062684A">
      <w:pPr>
        <w:spacing w:after="120" w:line="300" w:lineRule="auto"/>
        <w:ind w:right="360"/>
      </w:pPr>
      <w:r>
        <w:rPr>
          <w:rFonts w:ascii="Simplified Arabic" w:eastAsia="Simplified Arabic" w:hAnsi="Simplified Arabic" w:cs="Simplified Arabic"/>
          <w:b/>
          <w:bCs/>
          <w:color w:val="000000"/>
          <w:sz w:val="24"/>
          <w:szCs w:val="24"/>
          <w:rtl/>
        </w:rPr>
        <w:t xml:space="preserve">5. </w:t>
      </w:r>
      <w:r>
        <w:rPr>
          <w:rFonts w:ascii="Simplified Arabic" w:eastAsia="Simplified Arabic" w:hAnsi="Simplified Arabic" w:cs="Simplified Arabic"/>
          <w:color w:val="000000"/>
          <w:sz w:val="24"/>
          <w:szCs w:val="24"/>
          <w:rtl/>
        </w:rPr>
        <w:t>دمج مؤشرات كفاءة الطاقة والانبعاثات الكربونية المتجنَّبة ضمن تقارير الحوكمة البيئية والاجتماعية (ESG) الخاصة بالجامعة.</w:t>
      </w:r>
    </w:p>
    <w:p w14:paraId="4D7306F9" w14:textId="77777777" w:rsidR="0062684A" w:rsidRDefault="0062684A" w:rsidP="0062684A">
      <w:pPr>
        <w:spacing w:after="120" w:line="300" w:lineRule="auto"/>
        <w:ind w:right="360"/>
        <w:rPr>
          <w:rFonts w:ascii="Simplified Arabic" w:eastAsia="Simplified Arabic" w:hAnsi="Simplified Arabic" w:cs="Simplified Arabic"/>
          <w:color w:val="000000"/>
          <w:sz w:val="24"/>
          <w:szCs w:val="24"/>
          <w:rtl/>
        </w:rPr>
      </w:pPr>
      <w:r>
        <w:rPr>
          <w:rFonts w:ascii="Simplified Arabic" w:eastAsia="Simplified Arabic" w:hAnsi="Simplified Arabic" w:cs="Simplified Arabic"/>
          <w:b/>
          <w:bCs/>
          <w:color w:val="000000"/>
          <w:sz w:val="24"/>
          <w:szCs w:val="24"/>
          <w:rtl/>
        </w:rPr>
        <w:t xml:space="preserve">6. </w:t>
      </w:r>
      <w:r>
        <w:rPr>
          <w:rFonts w:ascii="Simplified Arabic" w:eastAsia="Simplified Arabic" w:hAnsi="Simplified Arabic" w:cs="Simplified Arabic"/>
          <w:color w:val="000000"/>
          <w:sz w:val="24"/>
          <w:szCs w:val="24"/>
          <w:rtl/>
        </w:rPr>
        <w:t>إجراء دراسات مستقبلية تغطي مرافق ومباني إضافية للتحقق من قابلية تعميم نسب التوفير المتحققة، ودراسة الجدوى الاقتصادية التفصيلية للاستثمار في تقنيات VFD على مستوى الحرم الجامعي بالكامل.</w:t>
      </w:r>
    </w:p>
    <w:p w14:paraId="681EED13" w14:textId="77777777" w:rsidR="0062684A" w:rsidRDefault="0062684A" w:rsidP="0062684A">
      <w:pPr>
        <w:spacing w:after="120" w:line="300" w:lineRule="auto"/>
        <w:ind w:right="360"/>
      </w:pPr>
    </w:p>
    <w:p w14:paraId="50DF65B5" w14:textId="77777777" w:rsidR="0062684A" w:rsidRPr="0062684A" w:rsidRDefault="0062684A" w:rsidP="0062684A">
      <w:pPr>
        <w:spacing w:before="340" w:after="200"/>
        <w:jc w:val="center"/>
        <w:rPr>
          <w:sz w:val="32"/>
          <w:szCs w:val="32"/>
        </w:rPr>
      </w:pPr>
      <w:r w:rsidRPr="0062684A">
        <w:rPr>
          <w:rFonts w:ascii="Simplified Arabic" w:eastAsia="Simplified Arabic" w:hAnsi="Simplified Arabic" w:cs="Simplified Arabic"/>
          <w:b/>
          <w:bCs/>
          <w:color w:val="000000"/>
          <w:sz w:val="32"/>
          <w:szCs w:val="32"/>
          <w:rtl/>
        </w:rPr>
        <w:lastRenderedPageBreak/>
        <w:t>قائمة المصادر والمراجع</w:t>
      </w:r>
    </w:p>
    <w:p w14:paraId="254DB622" w14:textId="77777777" w:rsidR="0062684A" w:rsidRDefault="0062684A" w:rsidP="0062684A">
      <w:pPr>
        <w:spacing w:after="140"/>
        <w:rPr>
          <w:rFonts w:ascii="Simplified Arabic" w:eastAsia="Simplified Arabic" w:hAnsi="Simplified Arabic" w:cs="Simplified Arabic"/>
          <w:b/>
          <w:bCs/>
          <w:color w:val="000000"/>
          <w:sz w:val="28"/>
          <w:szCs w:val="28"/>
          <w:rtl/>
        </w:rPr>
      </w:pPr>
      <w:r w:rsidRPr="0062684A">
        <w:rPr>
          <w:rFonts w:ascii="Simplified Arabic" w:eastAsia="Simplified Arabic" w:hAnsi="Simplified Arabic" w:cs="Simplified Arabic"/>
          <w:b/>
          <w:bCs/>
          <w:color w:val="000000"/>
          <w:sz w:val="28"/>
          <w:szCs w:val="28"/>
          <w:rtl/>
        </w:rPr>
        <w:t>أولاً: المراجع العربية:</w:t>
      </w:r>
    </w:p>
    <w:p w14:paraId="75A4FB6A" w14:textId="77777777" w:rsidR="006E4F2A" w:rsidRPr="0062684A" w:rsidRDefault="006E4F2A" w:rsidP="0062684A">
      <w:pPr>
        <w:spacing w:after="140"/>
        <w:rPr>
          <w:sz w:val="28"/>
          <w:szCs w:val="28"/>
        </w:rPr>
      </w:pPr>
    </w:p>
    <w:p w14:paraId="315106FA" w14:textId="48B5F59B" w:rsidR="0062684A" w:rsidRPr="006E4F2A" w:rsidRDefault="0062684A" w:rsidP="006E4F2A">
      <w:pPr>
        <w:pStyle w:val="ListParagraph"/>
        <w:numPr>
          <w:ilvl w:val="0"/>
          <w:numId w:val="3"/>
        </w:numPr>
        <w:spacing w:after="120" w:line="288" w:lineRule="auto"/>
        <w:rPr>
          <w:sz w:val="24"/>
          <w:szCs w:val="24"/>
        </w:rPr>
      </w:pPr>
      <w:r w:rsidRPr="006E4F2A">
        <w:rPr>
          <w:rFonts w:ascii="Simplified Arabic" w:eastAsia="Simplified Arabic" w:hAnsi="Simplified Arabic" w:cs="Simplified Arabic"/>
          <w:color w:val="000000"/>
          <w:sz w:val="24"/>
          <w:szCs w:val="24"/>
          <w:rtl/>
        </w:rPr>
        <w:t>المركز السعودي لكفاءة الطاقة (SEEC). (2024). تقرير كفاءة الطاقة في قطاع المباني والصناعة بالمملكة العربية السعودية. الرياض: المركز السعودي لكفاءة الطاقة.</w:t>
      </w:r>
    </w:p>
    <w:p w14:paraId="0C856962" w14:textId="2A4ACC3E" w:rsidR="0062684A" w:rsidRPr="006E4F2A" w:rsidRDefault="0062684A" w:rsidP="006E4F2A">
      <w:pPr>
        <w:pStyle w:val="ListParagraph"/>
        <w:numPr>
          <w:ilvl w:val="0"/>
          <w:numId w:val="3"/>
        </w:numPr>
        <w:spacing w:after="120" w:line="288" w:lineRule="auto"/>
        <w:rPr>
          <w:sz w:val="24"/>
          <w:szCs w:val="24"/>
        </w:rPr>
      </w:pPr>
      <w:r w:rsidRPr="006E4F2A">
        <w:rPr>
          <w:rFonts w:ascii="Simplified Arabic" w:eastAsia="Simplified Arabic" w:hAnsi="Simplified Arabic" w:cs="Simplified Arabic"/>
          <w:color w:val="000000"/>
          <w:sz w:val="24"/>
          <w:szCs w:val="24"/>
          <w:rtl/>
        </w:rPr>
        <w:t>هيئة الحكومة الرقمية. (2023). مؤشر قياس التحول الرقمي للجهات الحكومية والتعليمية. الرياض: هيئة الحكومة الرقمية.</w:t>
      </w:r>
    </w:p>
    <w:p w14:paraId="75288FCB" w14:textId="31FFB112" w:rsidR="0062684A" w:rsidRPr="006E4F2A" w:rsidRDefault="0062684A" w:rsidP="006E4F2A">
      <w:pPr>
        <w:pStyle w:val="ListParagraph"/>
        <w:numPr>
          <w:ilvl w:val="0"/>
          <w:numId w:val="3"/>
        </w:numPr>
        <w:spacing w:after="120" w:line="288" w:lineRule="auto"/>
        <w:rPr>
          <w:sz w:val="24"/>
          <w:szCs w:val="24"/>
        </w:rPr>
      </w:pPr>
      <w:r w:rsidRPr="006E4F2A">
        <w:rPr>
          <w:rFonts w:ascii="Simplified Arabic" w:eastAsia="Simplified Arabic" w:hAnsi="Simplified Arabic" w:cs="Simplified Arabic"/>
          <w:color w:val="000000"/>
          <w:sz w:val="24"/>
          <w:szCs w:val="24"/>
          <w:rtl/>
        </w:rPr>
        <w:t>دراسة دور إدارات الجامعات السعودية في التحول نحو الاستدامة. (2019). مجلة الإدارة التربوية، المملكة العربية السعودية.</w:t>
      </w:r>
    </w:p>
    <w:p w14:paraId="30214B9E" w14:textId="5B87A249" w:rsidR="0062684A" w:rsidRPr="006E4F2A" w:rsidRDefault="0062684A" w:rsidP="006E4F2A">
      <w:pPr>
        <w:pStyle w:val="ListParagraph"/>
        <w:numPr>
          <w:ilvl w:val="0"/>
          <w:numId w:val="3"/>
        </w:numPr>
        <w:spacing w:after="120" w:line="288" w:lineRule="auto"/>
        <w:rPr>
          <w:sz w:val="24"/>
          <w:szCs w:val="24"/>
        </w:rPr>
      </w:pPr>
      <w:r w:rsidRPr="006E4F2A">
        <w:rPr>
          <w:rFonts w:ascii="Simplified Arabic" w:eastAsia="Simplified Arabic" w:hAnsi="Simplified Arabic" w:cs="Simplified Arabic"/>
          <w:color w:val="000000"/>
          <w:sz w:val="24"/>
          <w:szCs w:val="24"/>
          <w:rtl/>
        </w:rPr>
        <w:t>دراسة الاستدامة في الجامعات السعودية: تحليل محتوى الوثائق المؤسسية. (2020). مجلة دراسات تربوية وإدارية.</w:t>
      </w:r>
    </w:p>
    <w:p w14:paraId="085EC365" w14:textId="357F85BB" w:rsidR="0062684A" w:rsidRPr="006E4F2A" w:rsidRDefault="0062684A" w:rsidP="006E4F2A">
      <w:pPr>
        <w:pStyle w:val="ListParagraph"/>
        <w:numPr>
          <w:ilvl w:val="0"/>
          <w:numId w:val="3"/>
        </w:numPr>
        <w:spacing w:after="120" w:line="288" w:lineRule="auto"/>
        <w:rPr>
          <w:sz w:val="24"/>
          <w:szCs w:val="24"/>
        </w:rPr>
      </w:pPr>
      <w:r w:rsidRPr="006E4F2A">
        <w:rPr>
          <w:rFonts w:ascii="Simplified Arabic" w:eastAsia="Simplified Arabic" w:hAnsi="Simplified Arabic" w:cs="Simplified Arabic"/>
          <w:color w:val="000000"/>
          <w:sz w:val="24"/>
          <w:szCs w:val="24"/>
          <w:rtl/>
        </w:rPr>
        <w:t>وزارة الطاقة السعودية. (2023). تقرير الاستراتيجية الوطنية لكفاءة الطاقة ضمن رؤية المملكة 2030. الرياض: وزارة الطاقة.</w:t>
      </w:r>
    </w:p>
    <w:p w14:paraId="367AA8BF" w14:textId="29414A52" w:rsidR="0062684A" w:rsidRPr="006E4F2A" w:rsidRDefault="0062684A" w:rsidP="006E4F2A">
      <w:pPr>
        <w:pStyle w:val="ListParagraph"/>
        <w:numPr>
          <w:ilvl w:val="0"/>
          <w:numId w:val="3"/>
        </w:numPr>
        <w:spacing w:after="120" w:line="288" w:lineRule="auto"/>
        <w:rPr>
          <w:sz w:val="24"/>
          <w:szCs w:val="24"/>
        </w:rPr>
      </w:pPr>
      <w:r w:rsidRPr="006E4F2A">
        <w:rPr>
          <w:rFonts w:ascii="Simplified Arabic" w:eastAsia="Simplified Arabic" w:hAnsi="Simplified Arabic" w:cs="Simplified Arabic"/>
          <w:color w:val="000000"/>
          <w:sz w:val="24"/>
          <w:szCs w:val="24"/>
          <w:rtl/>
        </w:rPr>
        <w:t>جامعة الأميرة نورة بنت عبدالرحمن. (2026). الموقع الرسمي ومكتب إدارة المرافق والطاقة. الرياض: جامعة الأميرة نورة.</w:t>
      </w:r>
    </w:p>
    <w:p w14:paraId="1AA883ED" w14:textId="77777777" w:rsidR="0062684A" w:rsidRPr="0062684A" w:rsidRDefault="0062684A" w:rsidP="00C5118E">
      <w:pPr>
        <w:spacing w:before="200" w:after="140"/>
        <w:rPr>
          <w:sz w:val="28"/>
          <w:szCs w:val="28"/>
        </w:rPr>
      </w:pPr>
      <w:r w:rsidRPr="0062684A">
        <w:rPr>
          <w:rFonts w:ascii="Simplified Arabic" w:eastAsia="Simplified Arabic" w:hAnsi="Simplified Arabic" w:cs="Simplified Arabic"/>
          <w:b/>
          <w:bCs/>
          <w:color w:val="000000"/>
          <w:sz w:val="28"/>
          <w:szCs w:val="28"/>
          <w:rtl/>
        </w:rPr>
        <w:t>ثانياً: المراجع الأجنبية (References):</w:t>
      </w:r>
    </w:p>
    <w:p w14:paraId="4DD9DB16" w14:textId="77777777" w:rsidR="0062684A" w:rsidRDefault="0062684A" w:rsidP="006E4F2A">
      <w:pPr>
        <w:spacing w:after="120" w:line="288" w:lineRule="auto"/>
        <w:jc w:val="right"/>
      </w:pPr>
      <w:r>
        <w:rPr>
          <w:rFonts w:ascii="Times New Roman" w:eastAsia="Times New Roman" w:hAnsi="Times New Roman" w:cs="Times New Roman"/>
        </w:rPr>
        <w:t>• Elkington, J. (1994). Towards the sustainable corporation: Win-win-win business strategies for sustainable development. California Management Review, 36(2), 90–100.</w:t>
      </w:r>
    </w:p>
    <w:p w14:paraId="39B6B97A" w14:textId="77777777" w:rsidR="0062684A" w:rsidRDefault="0062684A" w:rsidP="006E4F2A">
      <w:pPr>
        <w:spacing w:after="120" w:line="288" w:lineRule="auto"/>
        <w:jc w:val="right"/>
      </w:pPr>
      <w:r>
        <w:rPr>
          <w:rFonts w:ascii="Times New Roman" w:eastAsia="Times New Roman" w:hAnsi="Times New Roman" w:cs="Times New Roman"/>
        </w:rPr>
        <w:t>• Porter, M. E. (1985). Competitive Advantage: Creating and Sustaining Superior Performance. New York: Free Press.</w:t>
      </w:r>
    </w:p>
    <w:p w14:paraId="31F65909" w14:textId="77777777" w:rsidR="0062684A" w:rsidRDefault="0062684A" w:rsidP="006E4F2A">
      <w:pPr>
        <w:spacing w:after="120" w:line="288" w:lineRule="auto"/>
        <w:jc w:val="right"/>
      </w:pPr>
      <w:r>
        <w:rPr>
          <w:rFonts w:ascii="Times New Roman" w:eastAsia="Times New Roman" w:hAnsi="Times New Roman" w:cs="Times New Roman"/>
        </w:rPr>
        <w:t>• Barney, J. (1991). Firm resources and sustained competitive advantage. Journal of Management, 17(1), 99–120.</w:t>
      </w:r>
    </w:p>
    <w:p w14:paraId="52C26E55" w14:textId="77777777" w:rsidR="0062684A" w:rsidRDefault="0062684A" w:rsidP="006E4F2A">
      <w:pPr>
        <w:spacing w:after="120" w:line="288" w:lineRule="auto"/>
        <w:jc w:val="right"/>
      </w:pPr>
      <w:r>
        <w:rPr>
          <w:rFonts w:ascii="Times New Roman" w:eastAsia="Times New Roman" w:hAnsi="Times New Roman" w:cs="Times New Roman"/>
        </w:rPr>
        <w:t>• McAfee, A., &amp; Brynjolfsson, E. (2014). The Second Machine Age: Work, Progress, and Prosperity in a Time of Brilliant Technologies. New York: W. W. Norton &amp; Company.</w:t>
      </w:r>
    </w:p>
    <w:p w14:paraId="080F9856" w14:textId="77777777" w:rsidR="0062684A" w:rsidRDefault="0062684A" w:rsidP="006E4F2A">
      <w:pPr>
        <w:spacing w:after="120" w:line="288" w:lineRule="auto"/>
        <w:jc w:val="right"/>
      </w:pPr>
      <w:r>
        <w:rPr>
          <w:rFonts w:ascii="Times New Roman" w:eastAsia="Times New Roman" w:hAnsi="Times New Roman" w:cs="Times New Roman"/>
        </w:rPr>
        <w:t>• Lee, J., Bagheri, B., &amp; Kao, H. A. (2014). A cyber-physical systems architecture for Industry 4.0-based manufacturing systems. Manufacturing Letters, 3, 18–23.</w:t>
      </w:r>
    </w:p>
    <w:p w14:paraId="5953CC78" w14:textId="77777777" w:rsidR="0062684A" w:rsidRDefault="0062684A" w:rsidP="006E4F2A">
      <w:pPr>
        <w:spacing w:after="120" w:line="288" w:lineRule="auto"/>
        <w:jc w:val="right"/>
      </w:pPr>
      <w:r>
        <w:rPr>
          <w:rFonts w:ascii="Times New Roman" w:eastAsia="Times New Roman" w:hAnsi="Times New Roman" w:cs="Times New Roman"/>
        </w:rPr>
        <w:t>• Capehart, B. L., Turner, W. C., &amp; Kennedy, W. J. (2017). Guide to Energy Management (9th ed.). CRC Press.</w:t>
      </w:r>
    </w:p>
    <w:p w14:paraId="7ED7FE64" w14:textId="77777777" w:rsidR="0062684A" w:rsidRDefault="0062684A" w:rsidP="006E4F2A">
      <w:pPr>
        <w:spacing w:after="120" w:line="288" w:lineRule="auto"/>
        <w:jc w:val="right"/>
      </w:pPr>
      <w:r>
        <w:rPr>
          <w:rFonts w:ascii="Times New Roman" w:eastAsia="Times New Roman" w:hAnsi="Times New Roman" w:cs="Times New Roman"/>
        </w:rPr>
        <w:t>• Malinowska, A. (2025). Impact of smart energy monitoring systems on facility management sustainability. Energy Informatics, 8(1).</w:t>
      </w:r>
    </w:p>
    <w:p w14:paraId="3F474AA0" w14:textId="77777777" w:rsidR="0062684A" w:rsidRDefault="0062684A" w:rsidP="006E4F2A">
      <w:pPr>
        <w:spacing w:after="120" w:line="288" w:lineRule="auto"/>
        <w:jc w:val="right"/>
      </w:pPr>
      <w:r>
        <w:rPr>
          <w:rFonts w:ascii="Times New Roman" w:eastAsia="Times New Roman" w:hAnsi="Times New Roman" w:cs="Times New Roman"/>
        </w:rPr>
        <w:lastRenderedPageBreak/>
        <w:t>• U.S. Green Building Council. (2023). LEED v4 Building Design and Construction Reference Guide. Washington, DC: USGBC.</w:t>
      </w:r>
    </w:p>
    <w:p w14:paraId="335C890E" w14:textId="77777777" w:rsidR="0044475C" w:rsidRDefault="0044475C" w:rsidP="006E4F2A">
      <w:pPr>
        <w:jc w:val="right"/>
      </w:pPr>
    </w:p>
    <w:p w14:paraId="6FEF7BAC" w14:textId="77777777" w:rsidR="002F63DA" w:rsidRDefault="002F63DA" w:rsidP="006E4F2A">
      <w:pPr>
        <w:jc w:val="right"/>
      </w:pPr>
    </w:p>
    <w:p w14:paraId="2BF6DB09" w14:textId="77777777" w:rsidR="002F63DA" w:rsidRDefault="002F63DA" w:rsidP="006E4F2A">
      <w:pPr>
        <w:jc w:val="right"/>
      </w:pPr>
    </w:p>
    <w:p w14:paraId="327DB2AB" w14:textId="77777777" w:rsidR="002F63DA" w:rsidRDefault="002F63DA" w:rsidP="006E4F2A">
      <w:pPr>
        <w:jc w:val="right"/>
      </w:pPr>
    </w:p>
    <w:p w14:paraId="691D7580" w14:textId="77777777" w:rsidR="002F63DA" w:rsidRDefault="002F63DA" w:rsidP="006E4F2A">
      <w:pPr>
        <w:jc w:val="right"/>
      </w:pPr>
    </w:p>
    <w:p w14:paraId="4BCD24FD" w14:textId="77777777" w:rsidR="002F63DA" w:rsidRDefault="002F63DA" w:rsidP="006E4F2A">
      <w:pPr>
        <w:jc w:val="right"/>
      </w:pPr>
    </w:p>
    <w:p w14:paraId="5B0BFD15" w14:textId="77777777" w:rsidR="002F63DA" w:rsidRDefault="002F63DA" w:rsidP="006E4F2A">
      <w:pPr>
        <w:jc w:val="right"/>
      </w:pPr>
    </w:p>
    <w:p w14:paraId="6A7F23CE" w14:textId="77777777" w:rsidR="002F63DA" w:rsidRDefault="002F63DA" w:rsidP="006E4F2A">
      <w:pPr>
        <w:jc w:val="right"/>
      </w:pPr>
    </w:p>
    <w:p w14:paraId="11D0B131" w14:textId="77777777" w:rsidR="002F63DA" w:rsidRDefault="002F63DA" w:rsidP="006E4F2A">
      <w:pPr>
        <w:jc w:val="right"/>
      </w:pPr>
    </w:p>
    <w:p w14:paraId="0A4CE4AD" w14:textId="77777777" w:rsidR="002F63DA" w:rsidRDefault="002F63DA" w:rsidP="006E4F2A">
      <w:pPr>
        <w:jc w:val="right"/>
      </w:pPr>
    </w:p>
    <w:p w14:paraId="28C2BAC7" w14:textId="77777777" w:rsidR="002F63DA" w:rsidRDefault="002F63DA" w:rsidP="006E4F2A">
      <w:pPr>
        <w:jc w:val="right"/>
      </w:pPr>
    </w:p>
    <w:p w14:paraId="55CF985F" w14:textId="77777777" w:rsidR="002F63DA" w:rsidRDefault="002F63DA" w:rsidP="006E4F2A">
      <w:pPr>
        <w:jc w:val="right"/>
      </w:pPr>
    </w:p>
    <w:p w14:paraId="07514301" w14:textId="77777777" w:rsidR="002F63DA" w:rsidRDefault="002F63DA" w:rsidP="006E4F2A">
      <w:pPr>
        <w:jc w:val="right"/>
      </w:pPr>
    </w:p>
    <w:p w14:paraId="12E4E7AD" w14:textId="77777777" w:rsidR="002F63DA" w:rsidRDefault="002F63DA" w:rsidP="006E4F2A">
      <w:pPr>
        <w:jc w:val="right"/>
      </w:pPr>
    </w:p>
    <w:p w14:paraId="60DB042F" w14:textId="77777777" w:rsidR="002F63DA" w:rsidRDefault="002F63DA" w:rsidP="006E4F2A">
      <w:pPr>
        <w:jc w:val="right"/>
      </w:pPr>
    </w:p>
    <w:p w14:paraId="23A9A6F4" w14:textId="77777777" w:rsidR="002F63DA" w:rsidRDefault="002F63DA" w:rsidP="006E4F2A">
      <w:pPr>
        <w:jc w:val="right"/>
      </w:pPr>
    </w:p>
    <w:p w14:paraId="65ED1946" w14:textId="77777777" w:rsidR="002F63DA" w:rsidRDefault="002F63DA" w:rsidP="006E4F2A">
      <w:pPr>
        <w:jc w:val="right"/>
      </w:pPr>
    </w:p>
    <w:p w14:paraId="285AA837" w14:textId="77777777" w:rsidR="002F63DA" w:rsidRDefault="002F63DA" w:rsidP="006E4F2A">
      <w:pPr>
        <w:jc w:val="right"/>
      </w:pPr>
    </w:p>
    <w:p w14:paraId="06D1DFD9" w14:textId="77777777" w:rsidR="002F63DA" w:rsidRDefault="002F63DA" w:rsidP="006E4F2A">
      <w:pPr>
        <w:jc w:val="right"/>
      </w:pPr>
    </w:p>
    <w:p w14:paraId="5C5E2D19" w14:textId="77777777" w:rsidR="002F63DA" w:rsidRDefault="002F63DA" w:rsidP="006E4F2A">
      <w:pPr>
        <w:jc w:val="right"/>
      </w:pPr>
    </w:p>
    <w:p w14:paraId="07257A15" w14:textId="77777777" w:rsidR="002F63DA" w:rsidRDefault="002F63DA" w:rsidP="006E4F2A">
      <w:pPr>
        <w:jc w:val="right"/>
      </w:pPr>
    </w:p>
    <w:p w14:paraId="17D7F8DD" w14:textId="77777777" w:rsidR="002F63DA" w:rsidRDefault="002F63DA" w:rsidP="006E4F2A">
      <w:pPr>
        <w:jc w:val="right"/>
      </w:pPr>
    </w:p>
    <w:p w14:paraId="7A61F0CD" w14:textId="77777777" w:rsidR="002F63DA" w:rsidRDefault="002F63DA" w:rsidP="006E4F2A">
      <w:pPr>
        <w:jc w:val="right"/>
      </w:pPr>
    </w:p>
    <w:p w14:paraId="6CCA0274" w14:textId="77777777" w:rsidR="002F63DA" w:rsidRDefault="002F63DA" w:rsidP="006E4F2A">
      <w:pPr>
        <w:jc w:val="right"/>
      </w:pPr>
    </w:p>
    <w:p w14:paraId="023B5F83" w14:textId="77777777" w:rsidR="002F63DA" w:rsidRDefault="002F63DA" w:rsidP="006E4F2A">
      <w:pPr>
        <w:jc w:val="right"/>
      </w:pPr>
    </w:p>
    <w:p w14:paraId="39917153" w14:textId="77777777" w:rsidR="002F63DA" w:rsidRDefault="002F63DA" w:rsidP="006E4F2A">
      <w:pPr>
        <w:jc w:val="right"/>
      </w:pPr>
    </w:p>
    <w:p w14:paraId="15DA2B54" w14:textId="77777777" w:rsidR="002F63DA" w:rsidRDefault="002F63DA" w:rsidP="006E4F2A">
      <w:pPr>
        <w:jc w:val="right"/>
      </w:pPr>
    </w:p>
    <w:p w14:paraId="2B038CB6" w14:textId="77777777" w:rsidR="002F63DA" w:rsidRDefault="002F63DA" w:rsidP="002F63DA">
      <w:pPr>
        <w:jc w:val="center"/>
        <w:rPr>
          <w:rFonts w:ascii="Sakkal Majalla" w:hAnsi="Sakkal Majalla" w:cs="Sakkal Majalla"/>
          <w:sz w:val="28"/>
          <w:szCs w:val="28"/>
          <w:u w:val="single"/>
          <w:rtl/>
        </w:rPr>
      </w:pPr>
    </w:p>
    <w:p w14:paraId="4239F9EF" w14:textId="77777777" w:rsidR="002F63DA" w:rsidRPr="00F147B4" w:rsidRDefault="002F63DA" w:rsidP="002F63DA">
      <w:pPr>
        <w:bidi w:val="0"/>
        <w:rPr>
          <w:rFonts w:ascii="Simplified Arabic" w:hAnsi="Simplified Arabic" w:cs="Simplified Arabic"/>
          <w:b/>
          <w:bCs/>
          <w:sz w:val="28"/>
          <w:szCs w:val="28"/>
        </w:rPr>
      </w:pPr>
      <w:r w:rsidRPr="00F147B4">
        <w:rPr>
          <w:rFonts w:ascii="Simplified Arabic" w:hAnsi="Simplified Arabic" w:cs="Simplified Arabic"/>
          <w:b/>
          <w:bCs/>
          <w:noProof/>
          <w:sz w:val="28"/>
          <w:szCs w:val="28"/>
        </w:rPr>
        <w:drawing>
          <wp:anchor distT="0" distB="0" distL="114300" distR="114300" simplePos="0" relativeHeight="251661312" behindDoc="0" locked="0" layoutInCell="1" allowOverlap="1" wp14:anchorId="01005144" wp14:editId="043A471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F147B4">
        <w:rPr>
          <w:rFonts w:ascii="Simplified Arabic" w:hAnsi="Simplified Arabic" w:cs="Simplified Arabic"/>
          <w:b/>
          <w:bCs/>
          <w:sz w:val="28"/>
          <w:szCs w:val="28"/>
        </w:rPr>
        <w:t xml:space="preserve">Midocean University </w:t>
      </w:r>
    </w:p>
    <w:p w14:paraId="45361B2B" w14:textId="77777777" w:rsidR="002F63DA" w:rsidRPr="00F147B4" w:rsidRDefault="002F63DA" w:rsidP="002F63DA">
      <w:pPr>
        <w:bidi w:val="0"/>
        <w:rPr>
          <w:rFonts w:ascii="Simplified Arabic" w:hAnsi="Simplified Arabic" w:cs="Simplified Arabic"/>
          <w:b/>
          <w:bCs/>
          <w:sz w:val="28"/>
          <w:szCs w:val="28"/>
        </w:rPr>
      </w:pPr>
      <w:r w:rsidRPr="00F147B4">
        <w:rPr>
          <w:rFonts w:ascii="Simplified Arabic" w:hAnsi="Simplified Arabic" w:cs="Simplified Arabic"/>
          <w:b/>
          <w:bCs/>
          <w:sz w:val="28"/>
          <w:szCs w:val="28"/>
        </w:rPr>
        <w:t>College of Management</w:t>
      </w:r>
    </w:p>
    <w:p w14:paraId="47BD1630" w14:textId="77777777" w:rsidR="002F63DA" w:rsidRPr="00F147B4" w:rsidRDefault="002F63DA" w:rsidP="002F63DA">
      <w:pPr>
        <w:bidi w:val="0"/>
        <w:rPr>
          <w:rFonts w:ascii="Simplified Arabic" w:hAnsi="Simplified Arabic" w:cs="Simplified Arabic"/>
          <w:b/>
          <w:bCs/>
          <w:sz w:val="28"/>
          <w:szCs w:val="28"/>
        </w:rPr>
      </w:pPr>
      <w:r w:rsidRPr="00F147B4">
        <w:rPr>
          <w:rFonts w:ascii="Simplified Arabic" w:hAnsi="Simplified Arabic" w:cs="Simplified Arabic"/>
          <w:b/>
          <w:bCs/>
          <w:sz w:val="28"/>
          <w:szCs w:val="28"/>
        </w:rPr>
        <w:t>Department of</w:t>
      </w:r>
      <w:r w:rsidRPr="00F147B4">
        <w:rPr>
          <w:rFonts w:ascii="Simplified Arabic" w:hAnsi="Simplified Arabic" w:cs="Simplified Arabic" w:hint="cs"/>
          <w:b/>
          <w:bCs/>
          <w:sz w:val="28"/>
          <w:szCs w:val="28"/>
          <w:rtl/>
        </w:rPr>
        <w:t xml:space="preserve"> </w:t>
      </w:r>
      <w:r w:rsidRPr="00F147B4">
        <w:rPr>
          <w:rFonts w:ascii="Simplified Arabic" w:hAnsi="Simplified Arabic" w:cs="Simplified Arabic"/>
          <w:b/>
          <w:bCs/>
          <w:sz w:val="28"/>
          <w:szCs w:val="28"/>
        </w:rPr>
        <w:t xml:space="preserve"> of Business Administration</w:t>
      </w:r>
    </w:p>
    <w:p w14:paraId="4433DDC1" w14:textId="3E6BD4FD" w:rsidR="002F63DA" w:rsidRPr="002F63DA" w:rsidRDefault="002F63DA" w:rsidP="002F63DA">
      <w:pPr>
        <w:tabs>
          <w:tab w:val="left" w:pos="942"/>
        </w:tabs>
        <w:rPr>
          <w:rFonts w:ascii="Sakkal Majalla" w:hAnsi="Sakkal Majalla" w:cs="Sakkal Majalla"/>
          <w:b/>
          <w:bCs/>
          <w:sz w:val="28"/>
          <w:szCs w:val="28"/>
        </w:rPr>
      </w:pPr>
      <w:r w:rsidRPr="009125CE">
        <w:rPr>
          <w:rFonts w:ascii="Sakkal Majalla" w:hAnsi="Sakkal Majalla" w:cs="Sakkal Majalla"/>
          <w:b/>
          <w:bCs/>
          <w:sz w:val="28"/>
          <w:szCs w:val="28"/>
          <w:rtl/>
        </w:rPr>
        <w:tab/>
      </w:r>
    </w:p>
    <w:p w14:paraId="14CF145A" w14:textId="77777777" w:rsidR="002F63DA" w:rsidRPr="00F147B4" w:rsidRDefault="002F63DA" w:rsidP="002F63DA">
      <w:pPr>
        <w:jc w:val="center"/>
        <w:rPr>
          <w:rFonts w:ascii="Simplified Arabic" w:hAnsi="Simplified Arabic" w:cs="Simplified Arabic"/>
          <w:sz w:val="32"/>
          <w:szCs w:val="32"/>
        </w:rPr>
      </w:pPr>
      <w:r w:rsidRPr="00F147B4">
        <w:rPr>
          <w:rFonts w:ascii="Simplified Arabic" w:hAnsi="Simplified Arabic" w:cs="Simplified Arabic"/>
          <w:b/>
          <w:bCs/>
          <w:sz w:val="32"/>
          <w:szCs w:val="32"/>
        </w:rPr>
        <w:t>The Impact of Smart Transformation on Energy Efficiency and Sustainability in Facilities Management " An Applied Study at Princess Nourah bint Abdulrahman University</w:t>
      </w:r>
    </w:p>
    <w:p w14:paraId="674C6F00" w14:textId="77777777" w:rsidR="002F63DA" w:rsidRDefault="002F63DA" w:rsidP="002F63DA">
      <w:pPr>
        <w:tabs>
          <w:tab w:val="left" w:pos="5562"/>
        </w:tabs>
        <w:rPr>
          <w:rFonts w:ascii="Sakkal Majalla" w:hAnsi="Sakkal Majalla" w:cs="Sakkal Majalla"/>
          <w:sz w:val="28"/>
          <w:szCs w:val="28"/>
        </w:rPr>
      </w:pPr>
    </w:p>
    <w:p w14:paraId="3279B4F7" w14:textId="58EAAFEC" w:rsidR="002F63DA" w:rsidRPr="00F147B4" w:rsidRDefault="002F63DA" w:rsidP="002F63DA">
      <w:pPr>
        <w:jc w:val="center"/>
        <w:rPr>
          <w:rFonts w:ascii="Simplified Arabic" w:hAnsi="Simplified Arabic" w:cs="Simplified Arabic"/>
          <w:b/>
          <w:bCs/>
          <w:sz w:val="24"/>
          <w:szCs w:val="24"/>
        </w:rPr>
      </w:pPr>
      <w:r w:rsidRPr="00F147B4">
        <w:rPr>
          <w:rFonts w:ascii="Simplified Arabic" w:hAnsi="Simplified Arabic" w:cs="Simplified Arabic"/>
          <w:b/>
          <w:bCs/>
          <w:sz w:val="28"/>
          <w:szCs w:val="28"/>
        </w:rPr>
        <w:t>Prepared by:</w:t>
      </w:r>
    </w:p>
    <w:p w14:paraId="02204279" w14:textId="77777777" w:rsidR="002F63DA" w:rsidRDefault="002F63DA" w:rsidP="002F63DA">
      <w:pPr>
        <w:jc w:val="center"/>
        <w:rPr>
          <w:rFonts w:ascii="Simplified Arabic" w:hAnsi="Simplified Arabic" w:cs="Simplified Arabic"/>
          <w:b/>
          <w:bCs/>
          <w:sz w:val="24"/>
          <w:szCs w:val="24"/>
        </w:rPr>
      </w:pPr>
      <w:r w:rsidRPr="00F147B4">
        <w:rPr>
          <w:rFonts w:ascii="Simplified Arabic" w:hAnsi="Simplified Arabic" w:cs="Simplified Arabic"/>
          <w:b/>
          <w:bCs/>
          <w:sz w:val="24"/>
          <w:szCs w:val="24"/>
        </w:rPr>
        <w:t>Hamadien Obied Hamadien</w:t>
      </w:r>
    </w:p>
    <w:p w14:paraId="2AA2CE29" w14:textId="77777777" w:rsidR="002F63DA" w:rsidRPr="002F63DA" w:rsidRDefault="002F63DA" w:rsidP="002F63DA">
      <w:pPr>
        <w:jc w:val="center"/>
        <w:rPr>
          <w:rFonts w:ascii="Simplified Arabic" w:hAnsi="Simplified Arabic" w:cs="Simplified Arabic"/>
          <w:b/>
          <w:bCs/>
          <w:sz w:val="20"/>
          <w:szCs w:val="20"/>
        </w:rPr>
      </w:pPr>
    </w:p>
    <w:p w14:paraId="1EF26CE4" w14:textId="49D6C919" w:rsidR="002F63DA" w:rsidRDefault="002F63DA" w:rsidP="002F63DA">
      <w:pPr>
        <w:jc w:val="center"/>
        <w:rPr>
          <w:rFonts w:ascii="Simplified Arabic" w:hAnsi="Simplified Arabic" w:cs="Simplified Arabic"/>
          <w:b/>
          <w:bCs/>
          <w:sz w:val="28"/>
          <w:szCs w:val="28"/>
        </w:rPr>
      </w:pPr>
      <w:hyperlink r:id="rId11" w:history="1">
        <w:r w:rsidRPr="00F147B4">
          <w:rPr>
            <w:rFonts w:ascii="Simplified Arabic" w:hAnsi="Simplified Arabic" w:cs="Simplified Arabic"/>
            <w:b/>
            <w:bCs/>
            <w:sz w:val="28"/>
            <w:szCs w:val="28"/>
          </w:rPr>
          <w:t>253002999</w:t>
        </w:r>
      </w:hyperlink>
    </w:p>
    <w:p w14:paraId="6A2394A7" w14:textId="77777777" w:rsidR="002F63DA" w:rsidRPr="002F63DA" w:rsidRDefault="002F63DA" w:rsidP="002F63DA">
      <w:pPr>
        <w:jc w:val="center"/>
        <w:rPr>
          <w:rFonts w:ascii="Simplified Arabic" w:hAnsi="Simplified Arabic" w:cs="Simplified Arabic" w:hint="cs"/>
          <w:b/>
          <w:bCs/>
          <w:sz w:val="24"/>
          <w:szCs w:val="24"/>
        </w:rPr>
      </w:pPr>
    </w:p>
    <w:p w14:paraId="5548259E" w14:textId="77777777" w:rsidR="002F63DA" w:rsidRPr="00F147B4" w:rsidRDefault="002F63DA" w:rsidP="002F63DA">
      <w:pPr>
        <w:jc w:val="center"/>
        <w:rPr>
          <w:rFonts w:ascii="Simplified Arabic" w:hAnsi="Simplified Arabic" w:cs="Simplified Arabic"/>
          <w:b/>
          <w:bCs/>
          <w:sz w:val="24"/>
          <w:szCs w:val="24"/>
        </w:rPr>
      </w:pPr>
      <w:r w:rsidRPr="00F147B4">
        <w:rPr>
          <w:rFonts w:ascii="Simplified Arabic" w:hAnsi="Simplified Arabic" w:cs="Simplified Arabic"/>
          <w:b/>
          <w:bCs/>
          <w:sz w:val="24"/>
          <w:szCs w:val="24"/>
        </w:rPr>
        <w:t>Supervised by:</w:t>
      </w:r>
    </w:p>
    <w:p w14:paraId="4BD8007B" w14:textId="77777777" w:rsidR="002F63DA" w:rsidRDefault="002F63DA" w:rsidP="002F63DA">
      <w:pPr>
        <w:jc w:val="center"/>
        <w:rPr>
          <w:rFonts w:ascii="Simplified Arabic" w:hAnsi="Simplified Arabic" w:cs="Simplified Arabic"/>
          <w:b/>
          <w:bCs/>
          <w:sz w:val="24"/>
          <w:szCs w:val="24"/>
        </w:rPr>
      </w:pPr>
      <w:r w:rsidRPr="000D1CA3">
        <w:rPr>
          <w:rFonts w:ascii="Simplified Arabic" w:hAnsi="Simplified Arabic" w:cs="Simplified Arabic"/>
          <w:b/>
          <w:bCs/>
          <w:sz w:val="24"/>
          <w:szCs w:val="24"/>
        </w:rPr>
        <w:t xml:space="preserve">Dr. Al-Faisal Abdul Hamid Muhammad Hassan </w:t>
      </w:r>
    </w:p>
    <w:p w14:paraId="38973F9B" w14:textId="77777777" w:rsidR="002F63DA" w:rsidRDefault="002F63DA" w:rsidP="002F63DA">
      <w:pPr>
        <w:jc w:val="center"/>
        <w:rPr>
          <w:rFonts w:ascii="Simplified Arabic" w:hAnsi="Simplified Arabic" w:cs="Simplified Arabic"/>
          <w:b/>
          <w:bCs/>
          <w:sz w:val="24"/>
          <w:szCs w:val="24"/>
        </w:rPr>
      </w:pPr>
      <w:r w:rsidRPr="000D1CA3">
        <w:rPr>
          <w:rFonts w:ascii="Simplified Arabic" w:hAnsi="Simplified Arabic" w:cs="Simplified Arabic"/>
          <w:b/>
          <w:bCs/>
          <w:sz w:val="24"/>
          <w:szCs w:val="24"/>
        </w:rPr>
        <w:t>Dr. Fayez Jarad</w:t>
      </w:r>
    </w:p>
    <w:p w14:paraId="1D6FFDBE" w14:textId="77777777" w:rsidR="002F63DA" w:rsidRPr="00F147B4" w:rsidRDefault="002F63DA" w:rsidP="002F63DA">
      <w:pPr>
        <w:jc w:val="center"/>
        <w:rPr>
          <w:rFonts w:ascii="Simplified Arabic" w:hAnsi="Simplified Arabic" w:cs="Simplified Arabic"/>
          <w:b/>
          <w:bCs/>
          <w:sz w:val="24"/>
          <w:szCs w:val="24"/>
        </w:rPr>
      </w:pPr>
    </w:p>
    <w:p w14:paraId="6C663318" w14:textId="77777777" w:rsidR="002F63DA" w:rsidRDefault="002F63DA" w:rsidP="002F63DA">
      <w:pPr>
        <w:jc w:val="center"/>
        <w:rPr>
          <w:rFonts w:ascii="Simplified Arabic" w:hAnsi="Simplified Arabic" w:cs="Simplified Arabic"/>
          <w:b/>
          <w:bCs/>
          <w:sz w:val="24"/>
          <w:szCs w:val="24"/>
        </w:rPr>
      </w:pPr>
      <w:r w:rsidRPr="00F147B4">
        <w:rPr>
          <w:rFonts w:ascii="Simplified Arabic" w:hAnsi="Simplified Arabic" w:cs="Simplified Arabic"/>
          <w:b/>
          <w:bCs/>
          <w:sz w:val="24"/>
          <w:szCs w:val="24"/>
        </w:rPr>
        <w:t>Year:</w:t>
      </w:r>
    </w:p>
    <w:p w14:paraId="27C30E17" w14:textId="77777777" w:rsidR="002F63DA" w:rsidRPr="00F147B4" w:rsidRDefault="002F63DA" w:rsidP="002F63DA">
      <w:pPr>
        <w:jc w:val="center"/>
        <w:rPr>
          <w:rFonts w:ascii="Simplified Arabic" w:hAnsi="Simplified Arabic" w:cs="Simplified Arabic"/>
          <w:b/>
          <w:bCs/>
          <w:sz w:val="24"/>
          <w:szCs w:val="24"/>
          <w:rtl/>
        </w:rPr>
      </w:pPr>
      <w:r w:rsidRPr="00F147B4">
        <w:rPr>
          <w:rFonts w:ascii="Simplified Arabic" w:hAnsi="Simplified Arabic" w:cs="Simplified Arabic"/>
          <w:b/>
          <w:bCs/>
          <w:sz w:val="24"/>
          <w:szCs w:val="24"/>
        </w:rPr>
        <w:t>202</w:t>
      </w:r>
      <w:r>
        <w:rPr>
          <w:rFonts w:ascii="Simplified Arabic" w:hAnsi="Simplified Arabic" w:cs="Simplified Arabic"/>
          <w:b/>
          <w:bCs/>
          <w:sz w:val="24"/>
          <w:szCs w:val="24"/>
        </w:rPr>
        <w:t>5-2026</w:t>
      </w:r>
    </w:p>
    <w:p w14:paraId="05CCCCB9" w14:textId="77777777" w:rsidR="002F63DA" w:rsidRDefault="002F63DA" w:rsidP="006E4F2A">
      <w:pPr>
        <w:jc w:val="right"/>
      </w:pPr>
    </w:p>
    <w:p w14:paraId="6B9D0662" w14:textId="77777777" w:rsidR="002F63DA" w:rsidRPr="0044475C" w:rsidRDefault="002F63DA" w:rsidP="006E4F2A">
      <w:pPr>
        <w:jc w:val="right"/>
      </w:pPr>
    </w:p>
    <w:sectPr w:rsidR="002F63DA" w:rsidRPr="0044475C">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CFBC9" w14:textId="77777777" w:rsidR="0035694F" w:rsidRDefault="0035694F" w:rsidP="0044475C">
      <w:pPr>
        <w:spacing w:after="0" w:line="240" w:lineRule="auto"/>
      </w:pPr>
      <w:r>
        <w:separator/>
      </w:r>
    </w:p>
  </w:endnote>
  <w:endnote w:type="continuationSeparator" w:id="0">
    <w:p w14:paraId="71B036DD" w14:textId="77777777" w:rsidR="0035694F" w:rsidRDefault="0035694F" w:rsidP="00444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94087666"/>
      <w:docPartObj>
        <w:docPartGallery w:val="Page Numbers (Bottom of Page)"/>
        <w:docPartUnique/>
      </w:docPartObj>
    </w:sdtPr>
    <w:sdtEndPr>
      <w:rPr>
        <w:noProof/>
      </w:rPr>
    </w:sdtEndPr>
    <w:sdtContent>
      <w:p w14:paraId="18E15638" w14:textId="273EF633" w:rsidR="0044475C" w:rsidRDefault="004447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BB0D1D" w14:textId="77777777" w:rsidR="0044475C" w:rsidRDefault="0044475C" w:rsidP="0044475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A50C1" w14:textId="77777777" w:rsidR="0035694F" w:rsidRDefault="0035694F" w:rsidP="0044475C">
      <w:pPr>
        <w:spacing w:after="0" w:line="240" w:lineRule="auto"/>
      </w:pPr>
      <w:r>
        <w:separator/>
      </w:r>
    </w:p>
  </w:footnote>
  <w:footnote w:type="continuationSeparator" w:id="0">
    <w:p w14:paraId="6D0A8D74" w14:textId="77777777" w:rsidR="0035694F" w:rsidRDefault="0035694F" w:rsidP="004447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C5AF0"/>
    <w:multiLevelType w:val="hybridMultilevel"/>
    <w:tmpl w:val="06042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6B24F6"/>
    <w:multiLevelType w:val="hybridMultilevel"/>
    <w:tmpl w:val="7BCE28F2"/>
    <w:lvl w:ilvl="0" w:tplc="4DD8B4F8">
      <w:start w:val="1"/>
      <w:numFmt w:val="decimal"/>
      <w:lvlText w:val="%1."/>
      <w:lvlJc w:val="left"/>
      <w:pPr>
        <w:ind w:left="360" w:hanging="360"/>
      </w:pPr>
      <w:rPr>
        <w:rFonts w:ascii="Simplified Arabic" w:eastAsia="Simplified Arabic" w:hAnsi="Simplified Arabic" w:cs="Simplified Arabic" w:hint="default"/>
        <w:b/>
        <w:color w:val="00000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2BB40B1"/>
    <w:multiLevelType w:val="hybridMultilevel"/>
    <w:tmpl w:val="2654D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8B005A"/>
    <w:multiLevelType w:val="hybridMultilevel"/>
    <w:tmpl w:val="E042C4D6"/>
    <w:lvl w:ilvl="0" w:tplc="B268C9EC">
      <w:start w:val="19"/>
      <w:numFmt w:val="bullet"/>
      <w:lvlText w:val="-"/>
      <w:lvlJc w:val="left"/>
      <w:pPr>
        <w:ind w:left="720" w:hanging="360"/>
      </w:pPr>
      <w:rPr>
        <w:rFonts w:ascii="Simplified Arabic" w:eastAsia="Simplified Arabic" w:hAnsi="Simplified Arabic" w:cs="Simplified Arabic"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B512ED"/>
    <w:multiLevelType w:val="hybridMultilevel"/>
    <w:tmpl w:val="9FB6A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817C4A"/>
    <w:multiLevelType w:val="hybridMultilevel"/>
    <w:tmpl w:val="7A0CA1B6"/>
    <w:lvl w:ilvl="0" w:tplc="19DA006C">
      <w:start w:val="1"/>
      <w:numFmt w:val="decimal"/>
      <w:lvlText w:val="%1-"/>
      <w:lvlJc w:val="left"/>
      <w:pPr>
        <w:ind w:left="720" w:hanging="360"/>
      </w:pPr>
      <w:rPr>
        <w:rFonts w:ascii="Simplified Arabic" w:eastAsia="Simplified Arabic" w:hAnsi="Simplified Arabic" w:cs="Simplified Arabic"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6317561">
    <w:abstractNumId w:val="5"/>
  </w:num>
  <w:num w:numId="2" w16cid:durableId="1837301834">
    <w:abstractNumId w:val="1"/>
  </w:num>
  <w:num w:numId="3" w16cid:durableId="439686263">
    <w:abstractNumId w:val="4"/>
  </w:num>
  <w:num w:numId="4" w16cid:durableId="1755740750">
    <w:abstractNumId w:val="3"/>
  </w:num>
  <w:num w:numId="5" w16cid:durableId="181434445">
    <w:abstractNumId w:val="0"/>
  </w:num>
  <w:num w:numId="6" w16cid:durableId="2482719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437"/>
    <w:rsid w:val="00070419"/>
    <w:rsid w:val="001F6D2F"/>
    <w:rsid w:val="002F63DA"/>
    <w:rsid w:val="0035694F"/>
    <w:rsid w:val="0044475C"/>
    <w:rsid w:val="004C124C"/>
    <w:rsid w:val="00536A7D"/>
    <w:rsid w:val="0062684A"/>
    <w:rsid w:val="006C6081"/>
    <w:rsid w:val="006E4F2A"/>
    <w:rsid w:val="00722437"/>
    <w:rsid w:val="008307F9"/>
    <w:rsid w:val="0085713A"/>
    <w:rsid w:val="00C5118E"/>
    <w:rsid w:val="00CF41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03A5D"/>
  <w15:chartTrackingRefBased/>
  <w15:docId w15:val="{5A2EEE0E-BDFF-4D35-BE3A-273097694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437"/>
    <w:pPr>
      <w:bidi/>
      <w:spacing w:line="259" w:lineRule="auto"/>
    </w:pPr>
    <w:rPr>
      <w:sz w:val="22"/>
      <w:szCs w:val="22"/>
    </w:rPr>
  </w:style>
  <w:style w:type="paragraph" w:styleId="Heading1">
    <w:name w:val="heading 1"/>
    <w:basedOn w:val="Normal"/>
    <w:next w:val="Normal"/>
    <w:link w:val="Heading1Char"/>
    <w:uiPriority w:val="9"/>
    <w:qFormat/>
    <w:rsid w:val="007224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224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24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24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224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224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4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4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4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4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224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224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224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224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224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4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4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437"/>
    <w:rPr>
      <w:rFonts w:eastAsiaTheme="majorEastAsia" w:cstheme="majorBidi"/>
      <w:color w:val="272727" w:themeColor="text1" w:themeTint="D8"/>
    </w:rPr>
  </w:style>
  <w:style w:type="paragraph" w:styleId="Title">
    <w:name w:val="Title"/>
    <w:basedOn w:val="Normal"/>
    <w:next w:val="Normal"/>
    <w:link w:val="TitleChar"/>
    <w:uiPriority w:val="10"/>
    <w:qFormat/>
    <w:rsid w:val="007224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4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4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4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437"/>
    <w:pPr>
      <w:spacing w:before="160"/>
      <w:jc w:val="center"/>
    </w:pPr>
    <w:rPr>
      <w:i/>
      <w:iCs/>
      <w:color w:val="404040" w:themeColor="text1" w:themeTint="BF"/>
    </w:rPr>
  </w:style>
  <w:style w:type="character" w:customStyle="1" w:styleId="QuoteChar">
    <w:name w:val="Quote Char"/>
    <w:basedOn w:val="DefaultParagraphFont"/>
    <w:link w:val="Quote"/>
    <w:uiPriority w:val="29"/>
    <w:rsid w:val="00722437"/>
    <w:rPr>
      <w:i/>
      <w:iCs/>
      <w:color w:val="404040" w:themeColor="text1" w:themeTint="BF"/>
    </w:rPr>
  </w:style>
  <w:style w:type="paragraph" w:styleId="ListParagraph">
    <w:name w:val="List Paragraph"/>
    <w:basedOn w:val="Normal"/>
    <w:qFormat/>
    <w:rsid w:val="00722437"/>
    <w:pPr>
      <w:ind w:left="720"/>
      <w:contextualSpacing/>
    </w:pPr>
  </w:style>
  <w:style w:type="character" w:styleId="IntenseEmphasis">
    <w:name w:val="Intense Emphasis"/>
    <w:basedOn w:val="DefaultParagraphFont"/>
    <w:uiPriority w:val="21"/>
    <w:qFormat/>
    <w:rsid w:val="00722437"/>
    <w:rPr>
      <w:i/>
      <w:iCs/>
      <w:color w:val="2F5496" w:themeColor="accent1" w:themeShade="BF"/>
    </w:rPr>
  </w:style>
  <w:style w:type="paragraph" w:styleId="IntenseQuote">
    <w:name w:val="Intense Quote"/>
    <w:basedOn w:val="Normal"/>
    <w:next w:val="Normal"/>
    <w:link w:val="IntenseQuoteChar"/>
    <w:uiPriority w:val="30"/>
    <w:qFormat/>
    <w:rsid w:val="007224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2437"/>
    <w:rPr>
      <w:i/>
      <w:iCs/>
      <w:color w:val="2F5496" w:themeColor="accent1" w:themeShade="BF"/>
    </w:rPr>
  </w:style>
  <w:style w:type="character" w:styleId="IntenseReference">
    <w:name w:val="Intense Reference"/>
    <w:basedOn w:val="DefaultParagraphFont"/>
    <w:uiPriority w:val="32"/>
    <w:qFormat/>
    <w:rsid w:val="00722437"/>
    <w:rPr>
      <w:b/>
      <w:bCs/>
      <w:smallCaps/>
      <w:color w:val="2F5496" w:themeColor="accent1" w:themeShade="BF"/>
      <w:spacing w:val="5"/>
    </w:rPr>
  </w:style>
  <w:style w:type="paragraph" w:styleId="Header">
    <w:name w:val="header"/>
    <w:basedOn w:val="Normal"/>
    <w:link w:val="HeaderChar"/>
    <w:uiPriority w:val="99"/>
    <w:unhideWhenUsed/>
    <w:rsid w:val="004447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475C"/>
    <w:rPr>
      <w:sz w:val="22"/>
      <w:szCs w:val="22"/>
    </w:rPr>
  </w:style>
  <w:style w:type="paragraph" w:styleId="Footer">
    <w:name w:val="footer"/>
    <w:basedOn w:val="Normal"/>
    <w:link w:val="FooterChar"/>
    <w:uiPriority w:val="99"/>
    <w:unhideWhenUsed/>
    <w:rsid w:val="004447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475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edu.km/publi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s.midocean.edu.km/public"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1040</TotalTime>
  <Pages>17</Pages>
  <Words>3432</Words>
  <Characters>19565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HAMADEIN OBIED</dc:creator>
  <cp:keywords/>
  <dc:description/>
  <cp:lastModifiedBy>HAMADEIN OBIED</cp:lastModifiedBy>
  <cp:revision>5</cp:revision>
  <dcterms:created xsi:type="dcterms:W3CDTF">2026-07-24T16:40:00Z</dcterms:created>
  <dcterms:modified xsi:type="dcterms:W3CDTF">2026-07-25T11:08:00Z</dcterms:modified>
</cp:coreProperties>
</file>