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66CD3" w14:textId="77777777" w:rsidR="004E1AC4" w:rsidRDefault="00000000">
      <w:pPr>
        <w:spacing w:after="200" w:line="240" w:lineRule="auto"/>
        <w:rPr>
          <w:rFonts w:ascii="Times New Roman" w:eastAsia="Times New Roman" w:hAnsi="Times New Roman" w:cs="Times New Roman"/>
          <w:color w:val="1C1C1C"/>
          <w:sz w:val="24"/>
          <w:szCs w:val="24"/>
        </w:rPr>
      </w:pPr>
      <w:r>
        <w:rPr>
          <w:noProof/>
        </w:rPr>
        <w:drawing>
          <wp:anchor distT="0" distB="0" distL="114300" distR="114300" simplePos="0" relativeHeight="251658240" behindDoc="0" locked="0" layoutInCell="1" hidden="0" allowOverlap="1" wp14:anchorId="19E07D71" wp14:editId="54391BEF">
            <wp:simplePos x="0" y="0"/>
            <wp:positionH relativeFrom="column">
              <wp:posOffset>-396236</wp:posOffset>
            </wp:positionH>
            <wp:positionV relativeFrom="paragraph">
              <wp:posOffset>271780</wp:posOffset>
            </wp:positionV>
            <wp:extent cx="2346248" cy="1108953"/>
            <wp:effectExtent l="0" t="0" r="0" b="0"/>
            <wp:wrapSquare wrapText="bothSides" distT="0" distB="0" distL="114300" distR="114300"/>
            <wp:docPr id="5" name="image1.jpg" descr="A close-up of a logo  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close-up of a logo  AI-generated content may be incorrect."/>
                    <pic:cNvPicPr preferRelativeResize="0"/>
                  </pic:nvPicPr>
                  <pic:blipFill>
                    <a:blip r:embed="rId5"/>
                    <a:srcRect/>
                    <a:stretch>
                      <a:fillRect/>
                    </a:stretch>
                  </pic:blipFill>
                  <pic:spPr>
                    <a:xfrm>
                      <a:off x="0" y="0"/>
                      <a:ext cx="2346248" cy="1108953"/>
                    </a:xfrm>
                    <a:prstGeom prst="rect">
                      <a:avLst/>
                    </a:prstGeom>
                    <a:ln/>
                  </pic:spPr>
                </pic:pic>
              </a:graphicData>
            </a:graphic>
          </wp:anchor>
        </w:drawing>
      </w:r>
    </w:p>
    <w:p w14:paraId="3EC997F2" w14:textId="77777777" w:rsidR="004E1AC4" w:rsidRDefault="00000000">
      <w:pPr>
        <w:spacing w:after="200" w:line="276" w:lineRule="auto"/>
        <w:rPr>
          <w:rFonts w:ascii="Times New Roman" w:eastAsia="Times New Roman" w:hAnsi="Times New Roman" w:cs="Times New Roman"/>
          <w:color w:val="1C1C1C"/>
          <w:sz w:val="24"/>
          <w:szCs w:val="24"/>
        </w:rPr>
      </w:pPr>
      <w:r>
        <w:rPr>
          <w:noProof/>
        </w:rPr>
        <mc:AlternateContent>
          <mc:Choice Requires="wps">
            <w:drawing>
              <wp:anchor distT="0" distB="0" distL="114300" distR="114300" simplePos="0" relativeHeight="251659264" behindDoc="0" locked="0" layoutInCell="1" hidden="0" allowOverlap="1" wp14:anchorId="2DF18F65" wp14:editId="2716DAED">
                <wp:simplePos x="0" y="0"/>
                <wp:positionH relativeFrom="column">
                  <wp:posOffset>4201160</wp:posOffset>
                </wp:positionH>
                <wp:positionV relativeFrom="paragraph">
                  <wp:posOffset>133985</wp:posOffset>
                </wp:positionV>
                <wp:extent cx="1496060" cy="952500"/>
                <wp:effectExtent l="0" t="0" r="0" b="0"/>
                <wp:wrapNone/>
                <wp:docPr id="1" name="مستطيل 1"/>
                <wp:cNvGraphicFramePr/>
                <a:graphic xmlns:a="http://schemas.openxmlformats.org/drawingml/2006/main">
                  <a:graphicData uri="http://schemas.microsoft.com/office/word/2010/wordprocessingShape">
                    <wps:wsp>
                      <wps:cNvSpPr/>
                      <wps:spPr>
                        <a:xfrm>
                          <a:off x="4617020" y="3322800"/>
                          <a:ext cx="1457960" cy="914400"/>
                        </a:xfrm>
                        <a:prstGeom prst="rect">
                          <a:avLst/>
                        </a:prstGeom>
                        <a:solidFill>
                          <a:srgbClr val="FFFFFF"/>
                        </a:solidFill>
                        <a:ln w="12700" cap="flat" cmpd="sng">
                          <a:solidFill>
                            <a:srgbClr val="FFFFFF"/>
                          </a:solidFill>
                          <a:prstDash val="solid"/>
                          <a:miter lim="0"/>
                          <a:headEnd type="none" w="sm" len="sm"/>
                          <a:tailEnd type="none" w="sm" len="sm"/>
                        </a:ln>
                      </wps:spPr>
                      <wps:txbx>
                        <w:txbxContent>
                          <w:p w14:paraId="16456359" w14:textId="77777777" w:rsidR="004E1AC4" w:rsidRDefault="00000000">
                            <w:pPr>
                              <w:spacing w:line="258" w:lineRule="auto"/>
                              <w:jc w:val="center"/>
                              <w:textDirection w:val="btLr"/>
                            </w:pPr>
                            <w:proofErr w:type="spellStart"/>
                            <w:r>
                              <w:rPr>
                                <w:b/>
                                <w:color w:val="000000"/>
                                <w:sz w:val="28"/>
                              </w:rPr>
                              <w:t>جامعة</w:t>
                            </w:r>
                            <w:proofErr w:type="spellEnd"/>
                            <w:r>
                              <w:rPr>
                                <w:b/>
                                <w:color w:val="000000"/>
                                <w:sz w:val="28"/>
                              </w:rPr>
                              <w:t xml:space="preserve"> </w:t>
                            </w:r>
                            <w:proofErr w:type="spellStart"/>
                            <w:r>
                              <w:rPr>
                                <w:b/>
                                <w:color w:val="000000"/>
                                <w:sz w:val="28"/>
                              </w:rPr>
                              <w:t>ميد</w:t>
                            </w:r>
                            <w:proofErr w:type="spellEnd"/>
                            <w:r>
                              <w:rPr>
                                <w:b/>
                                <w:color w:val="000000"/>
                                <w:sz w:val="28"/>
                              </w:rPr>
                              <w:t xml:space="preserve"> </w:t>
                            </w:r>
                            <w:proofErr w:type="spellStart"/>
                            <w:r>
                              <w:rPr>
                                <w:b/>
                                <w:color w:val="000000"/>
                                <w:sz w:val="28"/>
                              </w:rPr>
                              <w:t>اوشن</w:t>
                            </w:r>
                            <w:proofErr w:type="spellEnd"/>
                            <w:r>
                              <w:rPr>
                                <w:b/>
                                <w:color w:val="000000"/>
                                <w:sz w:val="28"/>
                              </w:rPr>
                              <w:t xml:space="preserve"> </w:t>
                            </w:r>
                          </w:p>
                          <w:p w14:paraId="7F010500" w14:textId="77777777" w:rsidR="004E1AC4" w:rsidRDefault="00000000">
                            <w:pPr>
                              <w:spacing w:line="258" w:lineRule="auto"/>
                              <w:jc w:val="center"/>
                              <w:textDirection w:val="btLr"/>
                            </w:pPr>
                            <w:proofErr w:type="spellStart"/>
                            <w:r>
                              <w:rPr>
                                <w:b/>
                                <w:color w:val="000000"/>
                                <w:sz w:val="28"/>
                              </w:rPr>
                              <w:t>برنامج</w:t>
                            </w:r>
                            <w:proofErr w:type="spellEnd"/>
                            <w:r>
                              <w:rPr>
                                <w:b/>
                                <w:color w:val="000000"/>
                                <w:sz w:val="28"/>
                              </w:rPr>
                              <w:t xml:space="preserve"> </w:t>
                            </w:r>
                            <w:proofErr w:type="spellStart"/>
                            <w:r>
                              <w:rPr>
                                <w:b/>
                                <w:color w:val="000000"/>
                                <w:sz w:val="28"/>
                              </w:rPr>
                              <w:t>الدكتوراة</w:t>
                            </w:r>
                            <w:proofErr w:type="spellEnd"/>
                            <w:r>
                              <w:rPr>
                                <w:color w:val="000000"/>
                                <w:sz w:val="28"/>
                              </w:rPr>
                              <w:t xml:space="preserve"> </w:t>
                            </w:r>
                          </w:p>
                        </w:txbxContent>
                      </wps:txbx>
                      <wps:bodyPr spcFirstLastPara="1" wrap="square" lIns="91425" tIns="45700" rIns="91425" bIns="45700" anchor="ctr" anchorCtr="0">
                        <a:noAutofit/>
                      </wps:bodyPr>
                    </wps:wsp>
                  </a:graphicData>
                </a:graphic>
              </wp:anchor>
            </w:drawing>
          </mc:Choice>
          <mc:Fallback>
            <w:pict>
              <v:rect w14:anchorId="2DF18F65" id="مستطيل 1" o:spid="_x0000_s1026" style="position:absolute;margin-left:330.8pt;margin-top:10.55pt;width:117.8pt;height: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" strokecolor="white" strokeweight="1pt">
                <v:stroke startarrowwidth="narrow" startarrowlength="short" endarrowwidth="narrow" endarrowlength="short" miterlimit="0"/>
                <v:textbox inset="2.53958mm,1.2694mm,2.53958mm,1.2694mm">
                  <w:txbxContent>
                    <w:p w14:paraId="16456359" w14:textId="77777777" w:rsidR="004E1AC4" w:rsidRDefault="00000000">
                      <w:pPr>
                        <w:spacing w:line="258" w:lineRule="auto"/>
                        <w:jc w:val="center"/>
                        <w:textDirection w:val="btLr"/>
                      </w:pPr>
                      <w:proofErr w:type="spellStart"/>
                      <w:r>
                        <w:rPr>
                          <w:b/>
                          <w:color w:val="000000"/>
                          <w:sz w:val="28"/>
                        </w:rPr>
                        <w:t>جامعة</w:t>
                      </w:r>
                      <w:proofErr w:type="spellEnd"/>
                      <w:r>
                        <w:rPr>
                          <w:b/>
                          <w:color w:val="000000"/>
                          <w:sz w:val="28"/>
                        </w:rPr>
                        <w:t xml:space="preserve"> </w:t>
                      </w:r>
                      <w:proofErr w:type="spellStart"/>
                      <w:r>
                        <w:rPr>
                          <w:b/>
                          <w:color w:val="000000"/>
                          <w:sz w:val="28"/>
                        </w:rPr>
                        <w:t>ميد</w:t>
                      </w:r>
                      <w:proofErr w:type="spellEnd"/>
                      <w:r>
                        <w:rPr>
                          <w:b/>
                          <w:color w:val="000000"/>
                          <w:sz w:val="28"/>
                        </w:rPr>
                        <w:t xml:space="preserve"> </w:t>
                      </w:r>
                      <w:proofErr w:type="spellStart"/>
                      <w:r>
                        <w:rPr>
                          <w:b/>
                          <w:color w:val="000000"/>
                          <w:sz w:val="28"/>
                        </w:rPr>
                        <w:t>اوشن</w:t>
                      </w:r>
                      <w:proofErr w:type="spellEnd"/>
                      <w:r>
                        <w:rPr>
                          <w:b/>
                          <w:color w:val="000000"/>
                          <w:sz w:val="28"/>
                        </w:rPr>
                        <w:t xml:space="preserve"> </w:t>
                      </w:r>
                    </w:p>
                    <w:p w14:paraId="7F010500" w14:textId="77777777" w:rsidR="004E1AC4" w:rsidRDefault="00000000">
                      <w:pPr>
                        <w:spacing w:line="258" w:lineRule="auto"/>
                        <w:jc w:val="center"/>
                        <w:textDirection w:val="btLr"/>
                      </w:pPr>
                      <w:proofErr w:type="spellStart"/>
                      <w:r>
                        <w:rPr>
                          <w:b/>
                          <w:color w:val="000000"/>
                          <w:sz w:val="28"/>
                        </w:rPr>
                        <w:t>برنامج</w:t>
                      </w:r>
                      <w:proofErr w:type="spellEnd"/>
                      <w:r>
                        <w:rPr>
                          <w:b/>
                          <w:color w:val="000000"/>
                          <w:sz w:val="28"/>
                        </w:rPr>
                        <w:t xml:space="preserve"> </w:t>
                      </w:r>
                      <w:proofErr w:type="spellStart"/>
                      <w:r>
                        <w:rPr>
                          <w:b/>
                          <w:color w:val="000000"/>
                          <w:sz w:val="28"/>
                        </w:rPr>
                        <w:t>الدكتوراة</w:t>
                      </w:r>
                      <w:proofErr w:type="spellEnd"/>
                      <w:r>
                        <w:rPr>
                          <w:color w:val="000000"/>
                          <w:sz w:val="28"/>
                        </w:rPr>
                        <w:t xml:space="preserve"> </w:t>
                      </w:r>
                    </w:p>
                  </w:txbxContent>
                </v:textbox>
              </v:rect>
            </w:pict>
          </mc:Fallback>
        </mc:AlternateContent>
      </w:r>
    </w:p>
    <w:p w14:paraId="56D6F438" w14:textId="77777777" w:rsidR="004E1AC4" w:rsidRDefault="004E1AC4">
      <w:pPr>
        <w:spacing w:after="200" w:line="276" w:lineRule="auto"/>
        <w:jc w:val="right"/>
        <w:rPr>
          <w:rFonts w:ascii="Times New Roman" w:eastAsia="Times New Roman" w:hAnsi="Times New Roman" w:cs="Times New Roman"/>
          <w:sz w:val="24"/>
          <w:szCs w:val="24"/>
        </w:rPr>
      </w:pPr>
    </w:p>
    <w:tbl>
      <w:tblPr>
        <w:tblStyle w:val="a5"/>
        <w:tblW w:w="86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66"/>
      </w:tblGrid>
      <w:tr w:rsidR="004E1AC4" w14:paraId="1C619787" w14:textId="77777777">
        <w:tc>
          <w:tcPr>
            <w:tcW w:w="8666" w:type="dxa"/>
            <w:tcBorders>
              <w:top w:val="nil"/>
              <w:left w:val="nil"/>
              <w:bottom w:val="nil"/>
              <w:right w:val="nil"/>
            </w:tcBorders>
            <w:tcMar>
              <w:top w:w="0" w:type="dxa"/>
              <w:left w:w="0" w:type="dxa"/>
              <w:bottom w:w="0" w:type="dxa"/>
              <w:right w:w="0" w:type="dxa"/>
            </w:tcMar>
          </w:tcPr>
          <w:p w14:paraId="0F63EDA6" w14:textId="77777777" w:rsidR="004E1AC4" w:rsidRDefault="004E1AC4">
            <w:pPr>
              <w:spacing w:after="0" w:line="240" w:lineRule="auto"/>
              <w:jc w:val="center"/>
              <w:rPr>
                <w:rFonts w:ascii="Times New Roman" w:eastAsia="Times New Roman" w:hAnsi="Times New Roman" w:cs="Times New Roman"/>
                <w:color w:val="1C1C1C"/>
                <w:sz w:val="24"/>
                <w:szCs w:val="24"/>
              </w:rPr>
            </w:pPr>
          </w:p>
          <w:p w14:paraId="07A0C2F7" w14:textId="77777777" w:rsidR="004E1AC4" w:rsidRDefault="004E1AC4">
            <w:pPr>
              <w:spacing w:after="0" w:line="240" w:lineRule="auto"/>
              <w:jc w:val="center"/>
              <w:rPr>
                <w:rFonts w:ascii="Times New Roman" w:eastAsia="Times New Roman" w:hAnsi="Times New Roman" w:cs="Times New Roman"/>
                <w:color w:val="1C1C1C"/>
                <w:sz w:val="24"/>
                <w:szCs w:val="24"/>
              </w:rPr>
            </w:pPr>
          </w:p>
          <w:p w14:paraId="3D64200C" w14:textId="77777777" w:rsidR="004E1AC4" w:rsidRDefault="004E1AC4">
            <w:pPr>
              <w:spacing w:after="0" w:line="240" w:lineRule="auto"/>
              <w:jc w:val="right"/>
              <w:rPr>
                <w:rFonts w:ascii="Times New Roman" w:eastAsia="Times New Roman" w:hAnsi="Times New Roman" w:cs="Times New Roman"/>
                <w:color w:val="1C1C1C"/>
                <w:sz w:val="24"/>
                <w:szCs w:val="24"/>
              </w:rPr>
            </w:pPr>
          </w:p>
          <w:p w14:paraId="452E4D8B" w14:textId="77777777" w:rsidR="004E1AC4" w:rsidRDefault="004E1AC4">
            <w:pPr>
              <w:spacing w:before="60" w:after="0" w:line="240" w:lineRule="auto"/>
              <w:jc w:val="right"/>
              <w:rPr>
                <w:rFonts w:ascii="Times New Roman" w:eastAsia="Times New Roman" w:hAnsi="Times New Roman" w:cs="Times New Roman"/>
                <w:color w:val="1C1C1C"/>
                <w:sz w:val="24"/>
                <w:szCs w:val="24"/>
              </w:rPr>
            </w:pPr>
          </w:p>
        </w:tc>
      </w:tr>
    </w:tbl>
    <w:p w14:paraId="66FEDB33" w14:textId="77777777" w:rsidR="004E1AC4" w:rsidRDefault="00000000">
      <w:pPr>
        <w:keepNext/>
        <w:pBdr>
          <w:top w:val="nil"/>
          <w:left w:val="nil"/>
          <w:bottom w:val="nil"/>
          <w:right w:val="nil"/>
          <w:between w:val="nil"/>
        </w:pBdr>
        <w:bidi/>
        <w:spacing w:before="50" w:after="50" w:line="360" w:lineRule="auto"/>
        <w:ind w:left="432" w:right="432"/>
        <w:jc w:val="center"/>
        <w:rPr>
          <w:rFonts w:ascii="Times New Roman" w:eastAsia="Times New Roman" w:hAnsi="Times New Roman" w:cs="Times New Roman"/>
          <w:color w:val="0070C0"/>
          <w:sz w:val="36"/>
          <w:szCs w:val="36"/>
        </w:rPr>
      </w:pPr>
      <w:r>
        <w:rPr>
          <w:rFonts w:ascii="Times New Roman" w:eastAsia="Times New Roman" w:hAnsi="Times New Roman" w:cs="Times New Roman"/>
          <w:b/>
          <w:bCs/>
          <w:sz w:val="36"/>
          <w:szCs w:val="36"/>
          <w:rtl/>
        </w:rPr>
        <w:t>تأثير أبعاد الابتكار المرتبط بالاتصال التسويقي المتكامل في تنمية سوق الفنون البصرية بالمملكة العربية السعودية</w:t>
      </w:r>
    </w:p>
    <w:p w14:paraId="5A2C2677" w14:textId="77777777" w:rsidR="004E1AC4" w:rsidRDefault="004E1AC4">
      <w:pPr>
        <w:spacing w:after="80" w:line="240" w:lineRule="auto"/>
        <w:jc w:val="center"/>
        <w:rPr>
          <w:rFonts w:ascii="Times New Roman" w:eastAsia="Times New Roman" w:hAnsi="Times New Roman" w:cs="Times New Roman"/>
          <w:b/>
          <w:bCs/>
          <w:color w:val="1C1C1C"/>
          <w:sz w:val="32"/>
          <w:szCs w:val="32"/>
        </w:rPr>
      </w:pPr>
    </w:p>
    <w:p w14:paraId="6ACC957E" w14:textId="77777777" w:rsidR="004E1AC4" w:rsidRDefault="004E1AC4">
      <w:pPr>
        <w:spacing w:after="80" w:line="240" w:lineRule="auto"/>
        <w:jc w:val="center"/>
        <w:rPr>
          <w:rFonts w:ascii="Times New Roman" w:eastAsia="Times New Roman" w:hAnsi="Times New Roman" w:cs="Times New Roman"/>
          <w:b/>
          <w:bCs/>
          <w:color w:val="1C1C1C"/>
          <w:sz w:val="32"/>
          <w:szCs w:val="32"/>
        </w:rPr>
      </w:pPr>
    </w:p>
    <w:p w14:paraId="4590030D" w14:textId="77777777" w:rsidR="004E1AC4" w:rsidRDefault="004E1AC4">
      <w:pPr>
        <w:spacing w:after="80" w:line="240" w:lineRule="auto"/>
        <w:jc w:val="center"/>
        <w:rPr>
          <w:rFonts w:ascii="Times New Roman" w:eastAsia="Times New Roman" w:hAnsi="Times New Roman" w:cs="Times New Roman"/>
          <w:color w:val="1C1C1C"/>
          <w:sz w:val="28"/>
          <w:szCs w:val="28"/>
        </w:rPr>
      </w:pPr>
    </w:p>
    <w:p w14:paraId="40D1E25D" w14:textId="77777777" w:rsidR="004E1AC4" w:rsidRDefault="004E1AC4">
      <w:pPr>
        <w:spacing w:after="80" w:line="240" w:lineRule="auto"/>
        <w:jc w:val="center"/>
        <w:rPr>
          <w:rFonts w:ascii="Times New Roman" w:eastAsia="Times New Roman" w:hAnsi="Times New Roman" w:cs="Times New Roman"/>
          <w:color w:val="1C1C1C"/>
          <w:sz w:val="32"/>
          <w:szCs w:val="32"/>
        </w:rPr>
      </w:pPr>
    </w:p>
    <w:p w14:paraId="4EE5DF0E" w14:textId="77777777" w:rsidR="004E1AC4" w:rsidRDefault="00000000">
      <w:pPr>
        <w:spacing w:after="80" w:line="360" w:lineRule="auto"/>
        <w:jc w:val="center"/>
        <w:rPr>
          <w:rFonts w:ascii="Times New Roman" w:eastAsia="Times New Roman" w:hAnsi="Times New Roman" w:cs="Times New Roman"/>
          <w:color w:val="1C1C1C"/>
          <w:sz w:val="32"/>
          <w:szCs w:val="32"/>
        </w:rPr>
      </w:pPr>
      <w:r>
        <w:rPr>
          <w:rFonts w:ascii="Times New Roman" w:eastAsia="Times New Roman" w:hAnsi="Times New Roman" w:cs="Times New Roman"/>
          <w:color w:val="1C1C1C"/>
          <w:sz w:val="32"/>
          <w:szCs w:val="32"/>
          <w:rtl/>
        </w:rPr>
        <w:t>إعداد</w:t>
      </w:r>
    </w:p>
    <w:p w14:paraId="63AAEAAF" w14:textId="77777777" w:rsidR="004E1AC4" w:rsidRDefault="00000000">
      <w:pPr>
        <w:pBdr>
          <w:top w:val="nil"/>
          <w:left w:val="nil"/>
          <w:bottom w:val="nil"/>
          <w:right w:val="nil"/>
          <w:between w:val="nil"/>
        </w:pBdr>
        <w:bidi/>
        <w:spacing w:before="50" w:after="50" w:line="360" w:lineRule="auto"/>
        <w:ind w:left="432" w:right="432"/>
        <w:jc w:val="center"/>
        <w:rPr>
          <w:rFonts w:ascii="Simplified Arabic" w:eastAsia="Simplified Arabic" w:hAnsi="Simplified Arabic" w:cs="Simplified Arabic"/>
          <w:b/>
          <w:bCs/>
          <w:color w:val="000000"/>
          <w:sz w:val="32"/>
          <w:szCs w:val="32"/>
        </w:rPr>
      </w:pPr>
      <w:r>
        <w:rPr>
          <w:rFonts w:ascii="Simplified Arabic" w:eastAsia="Simplified Arabic" w:hAnsi="Simplified Arabic" w:cs="Simplified Arabic"/>
          <w:b/>
          <w:bCs/>
          <w:sz w:val="32"/>
          <w:szCs w:val="32"/>
          <w:rtl/>
        </w:rPr>
        <w:t>محمد عبد العزيز عبد الرحيم بنتن</w:t>
      </w:r>
    </w:p>
    <w:p w14:paraId="2EFA2A2B" w14:textId="77777777" w:rsidR="004E1AC4" w:rsidRDefault="004E1AC4">
      <w:pPr>
        <w:spacing w:after="60" w:line="360" w:lineRule="auto"/>
        <w:rPr>
          <w:rFonts w:ascii="Times New Roman" w:eastAsia="Times New Roman" w:hAnsi="Times New Roman" w:cs="Times New Roman"/>
          <w:color w:val="1C1C1C"/>
          <w:sz w:val="28"/>
          <w:szCs w:val="28"/>
        </w:rPr>
      </w:pPr>
    </w:p>
    <w:p w14:paraId="4E30915B" w14:textId="77777777" w:rsidR="004E1AC4" w:rsidRDefault="004E1AC4">
      <w:pPr>
        <w:spacing w:after="60" w:line="240" w:lineRule="auto"/>
        <w:rPr>
          <w:rFonts w:ascii="Times New Roman" w:eastAsia="Times New Roman" w:hAnsi="Times New Roman" w:cs="Times New Roman"/>
          <w:color w:val="1C1C1C"/>
          <w:sz w:val="28"/>
          <w:szCs w:val="28"/>
        </w:rPr>
      </w:pPr>
    </w:p>
    <w:p w14:paraId="384532D1" w14:textId="77777777" w:rsidR="004E1AC4" w:rsidRDefault="004E1AC4">
      <w:pPr>
        <w:spacing w:after="60" w:line="276" w:lineRule="auto"/>
        <w:rPr>
          <w:rFonts w:ascii="Times New Roman" w:eastAsia="Times New Roman" w:hAnsi="Times New Roman" w:cs="Times New Roman"/>
          <w:color w:val="1C1C1C"/>
          <w:sz w:val="28"/>
          <w:szCs w:val="28"/>
        </w:rPr>
      </w:pPr>
    </w:p>
    <w:p w14:paraId="51BB3ED6" w14:textId="77777777" w:rsidR="004E1AC4" w:rsidRDefault="00000000">
      <w:pPr>
        <w:bidi/>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tl/>
        </w:rPr>
        <w:t>رسالة مقدمة إلى برنامج الدكتوراة</w:t>
      </w:r>
    </w:p>
    <w:p w14:paraId="17667974" w14:textId="77777777" w:rsidR="004E1AC4" w:rsidRDefault="00000000">
      <w:pPr>
        <w:bidi/>
        <w:spacing w:after="0" w:line="276"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tl/>
        </w:rPr>
        <w:t>كجزء من متطلبات نيل درجة دكتوراه الفلسفة في (التسويق)</w:t>
      </w:r>
    </w:p>
    <w:p w14:paraId="514E0539" w14:textId="77777777" w:rsidR="004E1AC4" w:rsidRDefault="004E1AC4">
      <w:pPr>
        <w:bidi/>
        <w:spacing w:after="0" w:line="276" w:lineRule="auto"/>
        <w:jc w:val="center"/>
        <w:rPr>
          <w:rFonts w:ascii="Times New Roman" w:eastAsia="Times New Roman" w:hAnsi="Times New Roman" w:cs="Times New Roman"/>
          <w:color w:val="1C1C1C"/>
          <w:sz w:val="28"/>
          <w:szCs w:val="28"/>
        </w:rPr>
      </w:pPr>
    </w:p>
    <w:p w14:paraId="392B2A62" w14:textId="77777777" w:rsidR="004E1AC4" w:rsidRDefault="004E1AC4">
      <w:pPr>
        <w:bidi/>
        <w:spacing w:after="0" w:line="276" w:lineRule="auto"/>
        <w:jc w:val="center"/>
        <w:rPr>
          <w:rFonts w:ascii="Times New Roman" w:eastAsia="Times New Roman" w:hAnsi="Times New Roman" w:cs="Times New Roman"/>
          <w:color w:val="1C1C1C"/>
          <w:sz w:val="28"/>
          <w:szCs w:val="28"/>
        </w:rPr>
      </w:pPr>
    </w:p>
    <w:p w14:paraId="4805C0CD" w14:textId="77777777" w:rsidR="004E1AC4" w:rsidRDefault="004E1AC4">
      <w:pPr>
        <w:bidi/>
        <w:spacing w:after="0" w:line="276" w:lineRule="auto"/>
        <w:jc w:val="center"/>
        <w:rPr>
          <w:rFonts w:ascii="Times New Roman" w:eastAsia="Times New Roman" w:hAnsi="Times New Roman" w:cs="Times New Roman"/>
          <w:color w:val="1C1C1C"/>
          <w:sz w:val="28"/>
          <w:szCs w:val="28"/>
        </w:rPr>
      </w:pPr>
    </w:p>
    <w:p w14:paraId="1FC25217" w14:textId="77777777" w:rsidR="004E1AC4" w:rsidRDefault="00000000">
      <w:pPr>
        <w:tabs>
          <w:tab w:val="left" w:pos="3666"/>
        </w:tabs>
        <w:bidi/>
        <w:spacing w:after="0" w:line="360" w:lineRule="auto"/>
        <w:jc w:val="center"/>
        <w:rPr>
          <w:rFonts w:ascii="Traditional Arabic" w:eastAsia="Traditional Arabic" w:hAnsi="Traditional Arabic" w:cs="Traditional Arabic"/>
          <w:b/>
          <w:bCs/>
          <w:sz w:val="28"/>
          <w:szCs w:val="28"/>
        </w:rPr>
      </w:pPr>
      <w:r>
        <w:rPr>
          <w:rFonts w:ascii="Times New Roman" w:eastAsia="Times New Roman" w:hAnsi="Times New Roman" w:cs="Times New Roman"/>
          <w:color w:val="1C1C1C"/>
          <w:sz w:val="28"/>
          <w:szCs w:val="28"/>
          <w:rtl/>
        </w:rPr>
        <w:t>العام الجامعي2026 م</w:t>
      </w:r>
      <w:r>
        <w:rPr>
          <w:rFonts w:ascii="Times New Roman" w:eastAsia="Times New Roman" w:hAnsi="Times New Roman" w:cs="Times New Roman"/>
          <w:b/>
          <w:bCs/>
          <w:color w:val="1C1C1C"/>
          <w:sz w:val="28"/>
          <w:szCs w:val="28"/>
        </w:rPr>
        <w:t> </w:t>
      </w:r>
      <w:r>
        <w:rPr>
          <w:rFonts w:ascii="Times New Roman" w:eastAsia="Times New Roman" w:hAnsi="Times New Roman" w:cs="Times New Roman"/>
          <w:b/>
          <w:bCs/>
          <w:color w:val="1C1C1C"/>
          <w:sz w:val="28"/>
          <w:szCs w:val="28"/>
        </w:rPr>
        <w:br/>
      </w:r>
      <w:r>
        <w:rPr>
          <w:rFonts w:ascii="Traditional Arabic" w:eastAsia="Traditional Arabic" w:hAnsi="Traditional Arabic" w:cs="Traditional Arabic"/>
          <w:b/>
          <w:bCs/>
          <w:sz w:val="28"/>
          <w:szCs w:val="28"/>
          <w:rtl/>
        </w:rPr>
        <w:t>1447ه‍ - 1448ه</w:t>
      </w:r>
    </w:p>
    <w:p w14:paraId="7CD3F91E" w14:textId="77777777" w:rsidR="004E1AC4" w:rsidRDefault="004E1AC4">
      <w:pPr>
        <w:tabs>
          <w:tab w:val="left" w:pos="3666"/>
        </w:tabs>
        <w:bidi/>
        <w:spacing w:after="0" w:line="360" w:lineRule="auto"/>
        <w:jc w:val="center"/>
        <w:rPr>
          <w:rFonts w:ascii="Traditional Arabic" w:eastAsia="Traditional Arabic" w:hAnsi="Traditional Arabic" w:cs="Traditional Arabic"/>
          <w:b/>
          <w:bCs/>
          <w:sz w:val="28"/>
          <w:szCs w:val="28"/>
        </w:rPr>
      </w:pPr>
    </w:p>
    <w:p w14:paraId="6B090003" w14:textId="77777777" w:rsidR="004E1AC4" w:rsidRDefault="00000000">
      <w:pPr>
        <w:spacing w:after="0" w:line="240" w:lineRule="auto"/>
        <w:rPr>
          <w:rFonts w:ascii="Times New Roman" w:eastAsia="Times New Roman" w:hAnsi="Times New Roman" w:cs="Times New Roman"/>
          <w:color w:val="1C1C1C"/>
          <w:sz w:val="24"/>
          <w:szCs w:val="24"/>
        </w:rPr>
      </w:pPr>
      <w:r>
        <w:rPr>
          <w:noProof/>
        </w:rPr>
        <w:lastRenderedPageBreak/>
        <mc:AlternateContent>
          <mc:Choice Requires="wps">
            <w:drawing>
              <wp:anchor distT="0" distB="0" distL="114300" distR="114300" simplePos="0" relativeHeight="251660288" behindDoc="0" locked="0" layoutInCell="1" hidden="0" allowOverlap="1" wp14:anchorId="32D989A5" wp14:editId="5E8246B9">
                <wp:simplePos x="0" y="0"/>
                <wp:positionH relativeFrom="column">
                  <wp:posOffset>4415790</wp:posOffset>
                </wp:positionH>
                <wp:positionV relativeFrom="paragraph">
                  <wp:posOffset>194310</wp:posOffset>
                </wp:positionV>
                <wp:extent cx="1920240" cy="967740"/>
                <wp:effectExtent l="0" t="0" r="0" b="0"/>
                <wp:wrapSquare wrapText="bothSides" distT="0" distB="0" distL="114300" distR="114300"/>
                <wp:docPr id="2" name="مستطيل 2"/>
                <wp:cNvGraphicFramePr/>
                <a:graphic xmlns:a="http://schemas.openxmlformats.org/drawingml/2006/main">
                  <a:graphicData uri="http://schemas.microsoft.com/office/word/2010/wordprocessingShape">
                    <wps:wsp>
                      <wps:cNvSpPr/>
                      <wps:spPr>
                        <a:xfrm>
                          <a:off x="4404930" y="3315180"/>
                          <a:ext cx="1882140" cy="929640"/>
                        </a:xfrm>
                        <a:prstGeom prst="rect">
                          <a:avLst/>
                        </a:prstGeom>
                        <a:solidFill>
                          <a:srgbClr val="FFFFFF"/>
                        </a:solidFill>
                        <a:ln w="12700" cap="flat" cmpd="sng">
                          <a:solidFill>
                            <a:srgbClr val="FFFFFF"/>
                          </a:solidFill>
                          <a:prstDash val="solid"/>
                          <a:miter lim="0"/>
                          <a:headEnd type="none" w="sm" len="sm"/>
                          <a:tailEnd type="none" w="sm" len="sm"/>
                        </a:ln>
                      </wps:spPr>
                      <wps:txbx>
                        <w:txbxContent>
                          <w:p w14:paraId="100F2C48" w14:textId="77777777" w:rsidR="004E1AC4" w:rsidRDefault="00000000">
                            <w:pPr>
                              <w:spacing w:line="258" w:lineRule="auto"/>
                              <w:textDirection w:val="btLr"/>
                            </w:pPr>
                            <w:r>
                              <w:rPr>
                                <w:b/>
                                <w:color w:val="000000"/>
                                <w:sz w:val="28"/>
                              </w:rPr>
                              <w:t>Midocean University</w:t>
                            </w:r>
                          </w:p>
                          <w:p w14:paraId="31228300" w14:textId="77777777" w:rsidR="004E1AC4" w:rsidRDefault="00000000">
                            <w:pPr>
                              <w:spacing w:line="258" w:lineRule="auto"/>
                              <w:textDirection w:val="btLr"/>
                            </w:pPr>
                            <w:r>
                              <w:rPr>
                                <w:b/>
                                <w:color w:val="000000"/>
                                <w:sz w:val="28"/>
                              </w:rPr>
                              <w:t xml:space="preserve">    Ph.D. program</w:t>
                            </w:r>
                          </w:p>
                        </w:txbxContent>
                      </wps:txbx>
                      <wps:bodyPr spcFirstLastPara="1" wrap="square" lIns="91425" tIns="45700" rIns="91425" bIns="45700" anchor="ctr" anchorCtr="0">
                        <a:noAutofit/>
                      </wps:bodyPr>
                    </wps:wsp>
                  </a:graphicData>
                </a:graphic>
              </wp:anchor>
            </w:drawing>
          </mc:Choice>
          <mc:Fallback>
            <w:pict>
              <v:rect w14:anchorId="32D989A5" id="مستطيل 2" o:spid="_x0000_s1027" style="position:absolute;margin-left:347.7pt;margin-top:15.3pt;width:151.2pt;height:76.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" strokecolor="white" strokeweight="1pt">
                <v:stroke startarrowwidth="narrow" startarrowlength="short" endarrowwidth="narrow" endarrowlength="short" miterlimit="0"/>
                <v:textbox inset="2.53958mm,1.2694mm,2.53958mm,1.2694mm">
                  <w:txbxContent>
                    <w:p w14:paraId="100F2C48" w14:textId="77777777" w:rsidR="004E1AC4" w:rsidRDefault="00000000">
                      <w:pPr>
                        <w:spacing w:line="258" w:lineRule="auto"/>
                        <w:textDirection w:val="btLr"/>
                      </w:pPr>
                      <w:r>
                        <w:rPr>
                          <w:b/>
                          <w:color w:val="000000"/>
                          <w:sz w:val="28"/>
                        </w:rPr>
                        <w:t>Midocean University</w:t>
                      </w:r>
                    </w:p>
                    <w:p w14:paraId="31228300" w14:textId="77777777" w:rsidR="004E1AC4" w:rsidRDefault="00000000">
                      <w:pPr>
                        <w:spacing w:line="258" w:lineRule="auto"/>
                        <w:textDirection w:val="btLr"/>
                      </w:pPr>
                      <w:r>
                        <w:rPr>
                          <w:b/>
                          <w:color w:val="000000"/>
                          <w:sz w:val="28"/>
                        </w:rPr>
                        <w:t xml:space="preserve">    Ph.D. program</w:t>
                      </w:r>
                    </w:p>
                  </w:txbxContent>
                </v:textbox>
                <w10:wrap type="square"/>
              </v:rect>
            </w:pict>
          </mc:Fallback>
        </mc:AlternateContent>
      </w:r>
      <w:r>
        <w:rPr>
          <w:noProof/>
        </w:rPr>
        <w:drawing>
          <wp:anchor distT="0" distB="0" distL="114300" distR="114300" simplePos="0" relativeHeight="251661312" behindDoc="0" locked="0" layoutInCell="1" hidden="0" allowOverlap="1" wp14:anchorId="46E0017F" wp14:editId="1AA63A42">
            <wp:simplePos x="0" y="0"/>
            <wp:positionH relativeFrom="column">
              <wp:posOffset>-167637</wp:posOffset>
            </wp:positionH>
            <wp:positionV relativeFrom="paragraph">
              <wp:posOffset>83820</wp:posOffset>
            </wp:positionV>
            <wp:extent cx="2346248" cy="1108953"/>
            <wp:effectExtent l="0" t="0" r="0" b="0"/>
            <wp:wrapSquare wrapText="bothSides" distT="0" distB="0" distL="114300" distR="114300"/>
            <wp:docPr id="4" name="image1.jpg" descr="A close-up of a logo  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close-up of a logo  AI-generated content may be incorrect."/>
                    <pic:cNvPicPr preferRelativeResize="0"/>
                  </pic:nvPicPr>
                  <pic:blipFill>
                    <a:blip r:embed="rId5"/>
                    <a:srcRect/>
                    <a:stretch>
                      <a:fillRect/>
                    </a:stretch>
                  </pic:blipFill>
                  <pic:spPr>
                    <a:xfrm>
                      <a:off x="0" y="0"/>
                      <a:ext cx="2346248" cy="1108953"/>
                    </a:xfrm>
                    <a:prstGeom prst="rect">
                      <a:avLst/>
                    </a:prstGeom>
                    <a:ln/>
                  </pic:spPr>
                </pic:pic>
              </a:graphicData>
            </a:graphic>
          </wp:anchor>
        </w:drawing>
      </w:r>
    </w:p>
    <w:tbl>
      <w:tblPr>
        <w:tblStyle w:val="a6"/>
        <w:tblW w:w="86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66"/>
      </w:tblGrid>
      <w:tr w:rsidR="004E1AC4" w14:paraId="29463B7D" w14:textId="77777777">
        <w:tc>
          <w:tcPr>
            <w:tcW w:w="8666" w:type="dxa"/>
            <w:tcBorders>
              <w:top w:val="nil"/>
              <w:left w:val="nil"/>
              <w:bottom w:val="nil"/>
              <w:right w:val="nil"/>
            </w:tcBorders>
            <w:tcMar>
              <w:top w:w="0" w:type="dxa"/>
              <w:left w:w="0" w:type="dxa"/>
              <w:bottom w:w="0" w:type="dxa"/>
              <w:right w:w="0" w:type="dxa"/>
            </w:tcMar>
          </w:tcPr>
          <w:p w14:paraId="5352668E" w14:textId="77777777" w:rsidR="004E1AC4" w:rsidRDefault="004E1AC4">
            <w:pPr>
              <w:spacing w:after="0" w:line="240" w:lineRule="auto"/>
              <w:jc w:val="center"/>
              <w:rPr>
                <w:rFonts w:ascii="Times New Roman" w:eastAsia="Times New Roman" w:hAnsi="Times New Roman" w:cs="Times New Roman"/>
                <w:color w:val="1C1C1C"/>
                <w:sz w:val="24"/>
                <w:szCs w:val="24"/>
              </w:rPr>
            </w:pPr>
          </w:p>
          <w:p w14:paraId="1B352BFB" w14:textId="77777777" w:rsidR="004E1AC4" w:rsidRDefault="004E1AC4">
            <w:pPr>
              <w:spacing w:after="0" w:line="240" w:lineRule="auto"/>
              <w:jc w:val="center"/>
              <w:rPr>
                <w:rFonts w:ascii="Times New Roman" w:eastAsia="Times New Roman" w:hAnsi="Times New Roman" w:cs="Times New Roman"/>
                <w:color w:val="1C1C1C"/>
                <w:sz w:val="24"/>
                <w:szCs w:val="24"/>
              </w:rPr>
            </w:pPr>
          </w:p>
          <w:p w14:paraId="61E50037" w14:textId="77777777" w:rsidR="004E1AC4" w:rsidRDefault="004E1AC4">
            <w:pPr>
              <w:spacing w:before="60" w:after="0" w:line="240" w:lineRule="auto"/>
              <w:jc w:val="right"/>
              <w:rPr>
                <w:rFonts w:ascii="Times New Roman" w:eastAsia="Times New Roman" w:hAnsi="Times New Roman" w:cs="Times New Roman"/>
                <w:color w:val="1C1C1C"/>
                <w:sz w:val="24"/>
                <w:szCs w:val="24"/>
              </w:rPr>
            </w:pPr>
          </w:p>
        </w:tc>
      </w:tr>
    </w:tbl>
    <w:p w14:paraId="0664E768" w14:textId="77777777" w:rsidR="004E1AC4" w:rsidRDefault="00000000">
      <w:pPr>
        <w:spacing w:after="80" w:line="360" w:lineRule="auto"/>
        <w:jc w:val="center"/>
        <w:rPr>
          <w:rFonts w:ascii="Times New Roman" w:eastAsia="Times New Roman" w:hAnsi="Times New Roman" w:cs="Times New Roman"/>
          <w:b/>
          <w:bCs/>
          <w:color w:val="1C1C1C"/>
          <w:sz w:val="32"/>
          <w:szCs w:val="32"/>
        </w:rPr>
      </w:pPr>
      <w:r>
        <w:rPr>
          <w:rFonts w:ascii="Times New Roman" w:eastAsia="Times New Roman" w:hAnsi="Times New Roman" w:cs="Times New Roman"/>
          <w:b/>
          <w:bCs/>
          <w:color w:val="1C1C1C"/>
          <w:sz w:val="32"/>
          <w:szCs w:val="32"/>
        </w:rPr>
        <w:t>THE IMPACT OF INNOVATION DIMENSIONS RELATED TO INTEGRATED MARKETING COMMUNICATION ON THE DEVELOPMENT OF THE VISUAL ARTS MARKET IN THE KINGDOM OF SAUDI ARABIA</w:t>
      </w:r>
    </w:p>
    <w:p w14:paraId="680E2EB6" w14:textId="77777777" w:rsidR="004E1AC4" w:rsidRDefault="004E1AC4">
      <w:pPr>
        <w:spacing w:after="80" w:line="240" w:lineRule="auto"/>
        <w:jc w:val="center"/>
        <w:rPr>
          <w:rFonts w:ascii="Times New Roman" w:eastAsia="Times New Roman" w:hAnsi="Times New Roman" w:cs="Times New Roman"/>
          <w:color w:val="1C1C1C"/>
          <w:sz w:val="28"/>
          <w:szCs w:val="28"/>
        </w:rPr>
      </w:pPr>
    </w:p>
    <w:p w14:paraId="0322E339" w14:textId="77777777" w:rsidR="004E1AC4" w:rsidRDefault="004E1AC4">
      <w:pPr>
        <w:spacing w:after="80" w:line="240" w:lineRule="auto"/>
        <w:jc w:val="center"/>
        <w:rPr>
          <w:rFonts w:ascii="Times New Roman" w:eastAsia="Times New Roman" w:hAnsi="Times New Roman" w:cs="Times New Roman"/>
          <w:color w:val="1C1C1C"/>
          <w:sz w:val="28"/>
          <w:szCs w:val="28"/>
        </w:rPr>
      </w:pPr>
    </w:p>
    <w:p w14:paraId="6C73B2C8" w14:textId="77777777" w:rsidR="004E1AC4" w:rsidRDefault="00000000">
      <w:pPr>
        <w:spacing w:after="80" w:line="36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Prepared by</w:t>
      </w:r>
    </w:p>
    <w:p w14:paraId="2D9EA1E3" w14:textId="77777777" w:rsidR="004E1AC4" w:rsidRDefault="00000000">
      <w:pPr>
        <w:spacing w:after="0" w:line="360"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Pr>
        <w:t>Mohammed Abdulaziz Abdulraheem Bantan</w:t>
      </w:r>
    </w:p>
    <w:p w14:paraId="39B55C34" w14:textId="77777777" w:rsidR="004E1AC4" w:rsidRDefault="00000000">
      <w:pPr>
        <w:spacing w:after="300" w:line="36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 xml:space="preserve"> </w:t>
      </w:r>
    </w:p>
    <w:p w14:paraId="7D9F0F74" w14:textId="77777777" w:rsidR="004E1AC4" w:rsidRDefault="004E1AC4">
      <w:pPr>
        <w:spacing w:after="60" w:line="240" w:lineRule="auto"/>
        <w:rPr>
          <w:rFonts w:ascii="Times New Roman" w:eastAsia="Times New Roman" w:hAnsi="Times New Roman" w:cs="Times New Roman"/>
          <w:color w:val="1C1C1C"/>
          <w:sz w:val="24"/>
          <w:szCs w:val="24"/>
        </w:rPr>
      </w:pPr>
    </w:p>
    <w:p w14:paraId="5A20C9CD" w14:textId="77777777" w:rsidR="004E1AC4" w:rsidRDefault="004E1AC4">
      <w:pPr>
        <w:spacing w:after="60" w:line="240" w:lineRule="auto"/>
        <w:rPr>
          <w:rFonts w:ascii="Times New Roman" w:eastAsia="Times New Roman" w:hAnsi="Times New Roman" w:cs="Times New Roman"/>
          <w:color w:val="1C1C1C"/>
          <w:sz w:val="24"/>
          <w:szCs w:val="24"/>
        </w:rPr>
      </w:pPr>
    </w:p>
    <w:p w14:paraId="36EAB6A2" w14:textId="77777777" w:rsidR="004E1AC4" w:rsidRDefault="004E1AC4">
      <w:pPr>
        <w:spacing w:after="60" w:line="276" w:lineRule="auto"/>
        <w:jc w:val="center"/>
        <w:rPr>
          <w:rFonts w:ascii="Times New Roman" w:eastAsia="Times New Roman" w:hAnsi="Times New Roman" w:cs="Times New Roman"/>
          <w:color w:val="1C1C1C"/>
          <w:sz w:val="24"/>
          <w:szCs w:val="24"/>
        </w:rPr>
      </w:pPr>
    </w:p>
    <w:p w14:paraId="656D33AD" w14:textId="77777777" w:rsidR="004E1AC4" w:rsidRDefault="00000000">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A Dissertation submitted to Doctorate Program</w:t>
      </w:r>
    </w:p>
    <w:p w14:paraId="296450FC" w14:textId="77777777" w:rsidR="004E1AC4" w:rsidRDefault="00000000">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In partial fulfillment of the requirements for the Degree of</w:t>
      </w:r>
    </w:p>
    <w:p w14:paraId="0883A4EC" w14:textId="77777777" w:rsidR="004E1AC4" w:rsidRDefault="00000000">
      <w:pPr>
        <w:spacing w:line="276" w:lineRule="auto"/>
        <w:jc w:val="center"/>
        <w:rPr>
          <w:rFonts w:ascii="Times New Roman" w:eastAsia="Times New Roman" w:hAnsi="Times New Roman" w:cs="Times New Roman"/>
          <w:b/>
          <w:bCs/>
          <w:color w:val="1C1C1C"/>
          <w:sz w:val="24"/>
          <w:szCs w:val="24"/>
        </w:rPr>
      </w:pPr>
      <w:bookmarkStart w:id="0" w:name="_ws06r7zcbys7" w:colFirst="0" w:colLast="0"/>
      <w:bookmarkEnd w:id="0"/>
      <w:r>
        <w:rPr>
          <w:rFonts w:ascii="Times New Roman" w:eastAsia="Times New Roman" w:hAnsi="Times New Roman" w:cs="Times New Roman"/>
          <w:b/>
          <w:bCs/>
          <w:color w:val="1C1C1C"/>
          <w:sz w:val="24"/>
          <w:szCs w:val="24"/>
        </w:rPr>
        <w:t>Doctor of Philosophy (PhD) In (Marketing)</w:t>
      </w:r>
    </w:p>
    <w:p w14:paraId="3D5AAF40" w14:textId="77777777" w:rsidR="004E1AC4" w:rsidRDefault="004E1AC4">
      <w:pPr>
        <w:spacing w:after="0" w:line="276" w:lineRule="auto"/>
        <w:jc w:val="center"/>
        <w:rPr>
          <w:rFonts w:ascii="Times New Roman" w:eastAsia="Times New Roman" w:hAnsi="Times New Roman" w:cs="Times New Roman"/>
          <w:b/>
          <w:bCs/>
          <w:color w:val="1C1C1C"/>
          <w:sz w:val="24"/>
          <w:szCs w:val="24"/>
        </w:rPr>
      </w:pPr>
    </w:p>
    <w:p w14:paraId="5B0208F5" w14:textId="77777777" w:rsidR="004E1AC4" w:rsidRDefault="004E1AC4">
      <w:pPr>
        <w:spacing w:after="0" w:line="276" w:lineRule="auto"/>
        <w:jc w:val="center"/>
        <w:rPr>
          <w:rFonts w:ascii="Times New Roman" w:eastAsia="Times New Roman" w:hAnsi="Times New Roman" w:cs="Times New Roman"/>
          <w:color w:val="1C1C1C"/>
          <w:sz w:val="24"/>
          <w:szCs w:val="24"/>
        </w:rPr>
      </w:pPr>
    </w:p>
    <w:p w14:paraId="781E8F9E" w14:textId="77777777" w:rsidR="004E1AC4" w:rsidRDefault="004E1AC4">
      <w:pPr>
        <w:spacing w:after="0" w:line="276" w:lineRule="auto"/>
        <w:jc w:val="center"/>
        <w:rPr>
          <w:rFonts w:ascii="Times New Roman" w:eastAsia="Times New Roman" w:hAnsi="Times New Roman" w:cs="Times New Roman"/>
          <w:color w:val="1C1C1C"/>
          <w:sz w:val="24"/>
          <w:szCs w:val="24"/>
        </w:rPr>
      </w:pPr>
    </w:p>
    <w:p w14:paraId="4778A0D3" w14:textId="77777777" w:rsidR="004E1AC4" w:rsidRDefault="004E1AC4">
      <w:pPr>
        <w:spacing w:after="0" w:line="276" w:lineRule="auto"/>
        <w:jc w:val="center"/>
        <w:rPr>
          <w:rFonts w:ascii="Times New Roman" w:eastAsia="Times New Roman" w:hAnsi="Times New Roman" w:cs="Times New Roman"/>
          <w:color w:val="1C1C1C"/>
          <w:sz w:val="24"/>
          <w:szCs w:val="24"/>
        </w:rPr>
      </w:pPr>
    </w:p>
    <w:p w14:paraId="79BEA53A" w14:textId="77777777" w:rsidR="004E1AC4" w:rsidRDefault="00000000">
      <w:pPr>
        <w:pBdr>
          <w:top w:val="nil"/>
          <w:left w:val="nil"/>
          <w:bottom w:val="nil"/>
          <w:right w:val="nil"/>
          <w:between w:val="nil"/>
        </w:pBdr>
        <w:bidi/>
        <w:spacing w:before="50" w:after="50" w:line="240" w:lineRule="auto"/>
        <w:ind w:left="-398" w:right="432"/>
        <w:jc w:val="center"/>
        <w:rPr>
          <w:rFonts w:ascii="Simplified Arabic" w:eastAsia="Simplified Arabic" w:hAnsi="Simplified Arabic" w:cs="Simplified Arabic"/>
          <w:b/>
          <w:bCs/>
          <w:color w:val="000000"/>
          <w:sz w:val="28"/>
          <w:szCs w:val="28"/>
        </w:rPr>
      </w:pPr>
      <w:r>
        <w:rPr>
          <w:rFonts w:ascii="Times New Roman" w:eastAsia="Times New Roman" w:hAnsi="Times New Roman" w:cs="Times New Roman"/>
          <w:color w:val="1C1C1C"/>
          <w:sz w:val="24"/>
          <w:szCs w:val="24"/>
        </w:rPr>
        <w:t>Academic Year: 2026 AD</w:t>
      </w:r>
      <w:r>
        <w:rPr>
          <w:rFonts w:ascii="Times New Roman" w:eastAsia="Times New Roman" w:hAnsi="Times New Roman" w:cs="Times New Roman"/>
          <w:b/>
          <w:bCs/>
          <w:color w:val="1C1C1C"/>
          <w:sz w:val="24"/>
          <w:szCs w:val="24"/>
        </w:rPr>
        <w:t> </w:t>
      </w:r>
      <w:r>
        <w:rPr>
          <w:rFonts w:ascii="Times New Roman" w:eastAsia="Times New Roman" w:hAnsi="Times New Roman" w:cs="Times New Roman"/>
          <w:b/>
          <w:bCs/>
          <w:color w:val="1C1C1C"/>
          <w:sz w:val="24"/>
          <w:szCs w:val="24"/>
        </w:rPr>
        <w:br/>
      </w:r>
      <w:r>
        <w:rPr>
          <w:rFonts w:ascii="Times New Roman" w:eastAsia="Times New Roman" w:hAnsi="Times New Roman" w:cs="Times New Roman"/>
          <w:color w:val="1C1C1C"/>
          <w:sz w:val="24"/>
          <w:szCs w:val="24"/>
        </w:rPr>
        <w:t>1447–1448 AH</w:t>
      </w:r>
    </w:p>
    <w:p w14:paraId="21D59576" w14:textId="77777777" w:rsidR="004E1AC4" w:rsidRDefault="004E1AC4">
      <w:pPr>
        <w:tabs>
          <w:tab w:val="left" w:pos="3666"/>
        </w:tabs>
        <w:bidi/>
        <w:spacing w:after="0" w:line="360" w:lineRule="auto"/>
        <w:jc w:val="center"/>
        <w:rPr>
          <w:rFonts w:ascii="Traditional Arabic" w:eastAsia="Traditional Arabic" w:hAnsi="Traditional Arabic" w:cs="Traditional Arabic"/>
          <w:b/>
          <w:bCs/>
          <w:sz w:val="28"/>
          <w:szCs w:val="28"/>
        </w:rPr>
      </w:pPr>
    </w:p>
    <w:p w14:paraId="19D39F38" w14:textId="77777777" w:rsidR="004E1AC4" w:rsidRDefault="004E1AC4">
      <w:pPr>
        <w:bidi/>
        <w:spacing w:line="360" w:lineRule="auto"/>
        <w:rPr>
          <w:sz w:val="28"/>
          <w:szCs w:val="28"/>
        </w:rPr>
      </w:pPr>
    </w:p>
    <w:p w14:paraId="668FE888" w14:textId="77777777" w:rsidR="004E1AC4" w:rsidRDefault="00000000">
      <w:pPr>
        <w:pStyle w:val="1"/>
        <w:keepNext w:val="0"/>
        <w:keepLines w:val="0"/>
        <w:bidi/>
        <w:spacing w:line="360" w:lineRule="auto"/>
        <w:jc w:val="center"/>
        <w:rPr>
          <w:rFonts w:ascii="Traditional Arabic" w:eastAsia="Traditional Arabic" w:hAnsi="Traditional Arabic" w:cs="Traditional Arabic"/>
          <w:sz w:val="36"/>
          <w:szCs w:val="36"/>
        </w:rPr>
      </w:pPr>
      <w:bookmarkStart w:id="1" w:name="_d5i49heumr1n" w:colFirst="0" w:colLast="0"/>
      <w:bookmarkEnd w:id="1"/>
      <w:r>
        <w:rPr>
          <w:rFonts w:ascii="Traditional Arabic" w:eastAsia="Traditional Arabic" w:hAnsi="Traditional Arabic" w:cs="Traditional Arabic"/>
          <w:sz w:val="36"/>
          <w:szCs w:val="36"/>
          <w:rtl/>
        </w:rPr>
        <w:lastRenderedPageBreak/>
        <w:t>الفصل الأول: الإطار المنهجي للدراسة</w:t>
      </w:r>
    </w:p>
    <w:p w14:paraId="39D8844C" w14:textId="77777777" w:rsidR="004E1AC4" w:rsidRDefault="00000000">
      <w:pPr>
        <w:pStyle w:val="2"/>
        <w:keepNext w:val="0"/>
        <w:keepLines w:val="0"/>
        <w:bidi/>
        <w:spacing w:line="360" w:lineRule="auto"/>
        <w:rPr>
          <w:rFonts w:ascii="Traditional Arabic" w:eastAsia="Traditional Arabic" w:hAnsi="Traditional Arabic" w:cs="Traditional Arabic"/>
          <w:b w:val="0"/>
          <w:bCs w:val="0"/>
          <w:sz w:val="32"/>
          <w:szCs w:val="32"/>
        </w:rPr>
      </w:pPr>
      <w:bookmarkStart w:id="2" w:name="_tvnjaqjm7krs" w:colFirst="0" w:colLast="0"/>
      <w:bookmarkEnd w:id="2"/>
      <w:r>
        <w:rPr>
          <w:rFonts w:ascii="Traditional Arabic" w:eastAsia="Traditional Arabic" w:hAnsi="Traditional Arabic" w:cs="Traditional Arabic"/>
          <w:sz w:val="32"/>
          <w:szCs w:val="32"/>
          <w:rtl/>
        </w:rPr>
        <w:t xml:space="preserve">أولًا: مقدمة الدراسة </w:t>
      </w:r>
    </w:p>
    <w:p w14:paraId="425817C0" w14:textId="74B7522B" w:rsidR="004E1AC4" w:rsidRDefault="00000000">
      <w:pPr>
        <w:bidi/>
        <w:spacing w:before="240" w:after="240" w:line="360" w:lineRule="auto"/>
        <w:rPr>
          <w:rFonts w:ascii="Traditional Arabic" w:eastAsia="Traditional Arabic" w:hAnsi="Traditional Arabic" w:cs="Traditional Arabic" w:hint="cs"/>
          <w:sz w:val="24"/>
          <w:szCs w:val="24"/>
          <w:highlight w:val="red"/>
          <w:rtl/>
        </w:rPr>
      </w:pPr>
      <w:r>
        <w:rPr>
          <w:rFonts w:ascii="Traditional Arabic" w:eastAsia="Traditional Arabic" w:hAnsi="Traditional Arabic" w:cs="Traditional Arabic"/>
          <w:sz w:val="24"/>
          <w:szCs w:val="24"/>
          <w:rtl/>
        </w:rPr>
        <w:t xml:space="preserve">يشهد الاقتصاد العالمي تحولاً واضحاً من الاعتماد على الموارد الطبيعية والصناعات التحويلية إلى ما يُعرف بـ "الاقتصاد الإبداعي"، الذي يعتمد على المعرفة ورأس المال الفكري لإنتاج قيم رمزية واقتصادية. وفي هذا السياق، لم تعد الفنون البصرية تُنظر إليها كنشاط جمالي فقط، بل أصبحت قطاعاً إنتاجياً يجمع بين البعد الجمالي والتقنيات الرقمية والاستثمار المالي </w:t>
      </w:r>
      <w:r w:rsidRPr="009A193B">
        <w:rPr>
          <w:rFonts w:ascii="Traditional Arabic" w:eastAsia="Traditional Arabic" w:hAnsi="Traditional Arabic" w:cs="Traditional Arabic"/>
          <w:b/>
          <w:bCs/>
          <w:sz w:val="24"/>
          <w:szCs w:val="24"/>
        </w:rPr>
        <w:t>(</w:t>
      </w:r>
      <w:r w:rsidRPr="009A193B">
        <w:rPr>
          <w:rFonts w:asciiTheme="majorBidi" w:eastAsia="Traditional Arabic" w:hAnsiTheme="majorBidi" w:cstheme="majorBidi"/>
          <w:sz w:val="24"/>
          <w:szCs w:val="24"/>
        </w:rPr>
        <w:t>UNESCO, 2022</w:t>
      </w:r>
      <w:r w:rsidRPr="009A193B">
        <w:rPr>
          <w:rFonts w:ascii="Traditional Arabic" w:eastAsia="Traditional Arabic" w:hAnsi="Traditional Arabic" w:cs="Traditional Arabic"/>
          <w:b/>
          <w:bCs/>
          <w:sz w:val="24"/>
          <w:szCs w:val="24"/>
        </w:rPr>
        <w:t>)</w:t>
      </w:r>
      <w:r w:rsidR="009A193B" w:rsidRPr="009A193B">
        <w:rPr>
          <w:rFonts w:ascii="Traditional Arabic" w:eastAsia="Traditional Arabic" w:hAnsi="Traditional Arabic" w:cs="Traditional Arabic" w:hint="cs"/>
          <w:sz w:val="24"/>
          <w:szCs w:val="24"/>
          <w:rtl/>
        </w:rPr>
        <w:t>.</w:t>
      </w:r>
    </w:p>
    <w:p w14:paraId="4893E6CF" w14:textId="02032F1E"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 xml:space="preserve">وتأكد المؤشرات العالمية هذا التحول </w:t>
      </w:r>
      <w:r w:rsidRPr="009A193B">
        <w:rPr>
          <w:rFonts w:ascii="Traditional Arabic" w:eastAsia="Traditional Arabic" w:hAnsi="Traditional Arabic" w:cs="Traditional Arabic"/>
          <w:sz w:val="24"/>
          <w:szCs w:val="24"/>
          <w:rtl/>
        </w:rPr>
        <w:t xml:space="preserve">إذ أشار تقرير آرت بازل ويو بي إس </w:t>
      </w:r>
      <w:r w:rsidRPr="009A193B">
        <w:rPr>
          <w:rFonts w:ascii="Traditional Arabic" w:eastAsia="Traditional Arabic" w:hAnsi="Traditional Arabic" w:cs="Traditional Arabic"/>
          <w:b/>
          <w:bCs/>
          <w:sz w:val="24"/>
          <w:szCs w:val="24"/>
        </w:rPr>
        <w:t>(</w:t>
      </w:r>
      <w:r w:rsidRPr="009A193B">
        <w:rPr>
          <w:rFonts w:asciiTheme="majorBidi" w:eastAsia="Traditional Arabic" w:hAnsiTheme="majorBidi" w:cstheme="majorBidi"/>
          <w:sz w:val="24"/>
          <w:szCs w:val="24"/>
        </w:rPr>
        <w:t>McAndrew, 2026</w:t>
      </w:r>
      <w:r w:rsidRPr="009A193B">
        <w:rPr>
          <w:rFonts w:ascii="Traditional Arabic" w:eastAsia="Traditional Arabic" w:hAnsi="Traditional Arabic" w:cs="Traditional Arabic"/>
          <w:b/>
          <w:bCs/>
          <w:sz w:val="24"/>
          <w:szCs w:val="24"/>
        </w:rPr>
        <w:t>)</w:t>
      </w:r>
      <w:r w:rsidRPr="009A193B">
        <w:rPr>
          <w:rFonts w:ascii="Traditional Arabic" w:eastAsia="Traditional Arabic" w:hAnsi="Traditional Arabic" w:cs="Traditional Arabic"/>
          <w:sz w:val="24"/>
          <w:szCs w:val="24"/>
          <w:rtl/>
        </w:rPr>
        <w:t xml:space="preserve">، إلى أن التدفقات المالية المباشرة لسوق الفن العالمي تجاوزت </w:t>
      </w:r>
      <w:r w:rsidRPr="009A193B">
        <w:rPr>
          <w:rFonts w:ascii="Traditional Arabic" w:eastAsia="Traditional Arabic" w:hAnsi="Traditional Arabic" w:cs="Traditional Arabic"/>
          <w:b/>
          <w:bCs/>
          <w:sz w:val="24"/>
          <w:szCs w:val="24"/>
          <w:rtl/>
        </w:rPr>
        <w:t>65 مليار دولار أمريكي</w:t>
      </w:r>
      <w:r w:rsidRPr="009A193B">
        <w:rPr>
          <w:rFonts w:ascii="Traditional Arabic" w:eastAsia="Traditional Arabic" w:hAnsi="Traditional Arabic" w:cs="Traditional Arabic"/>
          <w:sz w:val="24"/>
          <w:szCs w:val="24"/>
          <w:rtl/>
        </w:rPr>
        <w:t xml:space="preserve"> في أوج نشاطها، ما يعكس نضجه كأصل استثماري بديل. ويؤكد تقرير ديلويت </w:t>
      </w:r>
      <w:r w:rsidRPr="009A193B">
        <w:rPr>
          <w:rFonts w:ascii="Traditional Arabic" w:eastAsia="Traditional Arabic" w:hAnsi="Traditional Arabic" w:cs="Traditional Arabic"/>
          <w:b/>
          <w:bCs/>
          <w:sz w:val="24"/>
          <w:szCs w:val="24"/>
        </w:rPr>
        <w:t>(</w:t>
      </w:r>
      <w:r w:rsidRPr="009A193B">
        <w:rPr>
          <w:rFonts w:asciiTheme="majorBidi" w:eastAsia="Traditional Arabic" w:hAnsiTheme="majorBidi" w:cstheme="majorBidi"/>
          <w:sz w:val="24"/>
          <w:szCs w:val="24"/>
        </w:rPr>
        <w:t xml:space="preserve">Deloitte Private </w:t>
      </w:r>
      <w:r w:rsidR="009A193B" w:rsidRPr="009A193B">
        <w:rPr>
          <w:rFonts w:asciiTheme="majorBidi" w:eastAsia="Traditional Arabic" w:hAnsiTheme="majorBidi" w:cstheme="majorBidi"/>
          <w:sz w:val="24"/>
          <w:szCs w:val="24"/>
        </w:rPr>
        <w:t>&amp;</w:t>
      </w:r>
      <w:r w:rsidR="009A193B" w:rsidRPr="009A193B">
        <w:rPr>
          <w:rFonts w:ascii="Traditional Arabic" w:eastAsia="Traditional Arabic" w:hAnsi="Traditional Arabic" w:cs="Traditional Arabic"/>
          <w:b/>
          <w:bCs/>
          <w:sz w:val="24"/>
          <w:szCs w:val="24"/>
        </w:rPr>
        <w:t xml:space="preserve"> </w:t>
      </w:r>
      <w:r w:rsidR="009A193B">
        <w:rPr>
          <w:rFonts w:asciiTheme="majorBidi" w:eastAsia="Traditional Arabic" w:hAnsiTheme="majorBidi" w:cstheme="majorBidi" w:hint="cs"/>
          <w:sz w:val="24"/>
          <w:szCs w:val="24"/>
        </w:rPr>
        <w:t>ArtTactic</w:t>
      </w:r>
      <w:r w:rsidRPr="009A193B">
        <w:rPr>
          <w:rFonts w:asciiTheme="majorBidi" w:eastAsia="Traditional Arabic" w:hAnsiTheme="majorBidi" w:cstheme="majorBidi"/>
          <w:sz w:val="24"/>
          <w:szCs w:val="24"/>
        </w:rPr>
        <w:t>, 2025</w:t>
      </w:r>
      <w:r w:rsidR="009A193B" w:rsidRPr="009A193B">
        <w:rPr>
          <w:rFonts w:ascii="Traditional Arabic" w:eastAsia="Traditional Arabic" w:hAnsi="Traditional Arabic" w:cs="Traditional Arabic"/>
          <w:b/>
          <w:bCs/>
          <w:sz w:val="24"/>
          <w:szCs w:val="24"/>
        </w:rPr>
        <w:t>)</w:t>
      </w:r>
      <w:r w:rsidR="009A193B">
        <w:rPr>
          <w:rFonts w:ascii="Traditional Arabic" w:eastAsia="Traditional Arabic" w:hAnsi="Traditional Arabic" w:cs="Traditional Arabic" w:hint="cs"/>
          <w:b/>
          <w:bCs/>
          <w:sz w:val="24"/>
          <w:szCs w:val="24"/>
          <w:rtl/>
        </w:rPr>
        <w:t xml:space="preserve"> </w:t>
      </w:r>
      <w:r w:rsidR="009A193B" w:rsidRPr="009A193B">
        <w:rPr>
          <w:rFonts w:ascii="Traditional Arabic" w:eastAsia="Traditional Arabic" w:hAnsi="Traditional Arabic" w:cs="Traditional Arabic"/>
          <w:sz w:val="24"/>
          <w:szCs w:val="24"/>
          <w:rtl/>
        </w:rPr>
        <w:t>أن</w:t>
      </w:r>
      <w:r w:rsidRPr="009A193B">
        <w:rPr>
          <w:rFonts w:ascii="Traditional Arabic" w:eastAsia="Traditional Arabic" w:hAnsi="Traditional Arabic" w:cs="Traditional Arabic"/>
          <w:sz w:val="24"/>
          <w:szCs w:val="24"/>
          <w:rtl/>
        </w:rPr>
        <w:t xml:space="preserve"> المص</w:t>
      </w:r>
      <w:r>
        <w:rPr>
          <w:rFonts w:ascii="Traditional Arabic" w:eastAsia="Traditional Arabic" w:hAnsi="Traditional Arabic" w:cs="Traditional Arabic"/>
          <w:sz w:val="24"/>
          <w:szCs w:val="24"/>
          <w:rtl/>
        </w:rPr>
        <w:t>ارف الاستثمارية العالمية باتت تتعامل مع الأعمال الفنية كأصول مالية معترف بها، وتمنح مقابلها تمويلاً ائتمانياً يتراوح بين 40% و60% من قيمتها التقديرية.</w:t>
      </w:r>
    </w:p>
    <w:p w14:paraId="6D0A66AB" w14:textId="77777777" w:rsidR="004E1AC4" w:rsidRDefault="00000000">
      <w:pPr>
        <w:bidi/>
        <w:spacing w:before="240" w:after="240" w:line="360" w:lineRule="auto"/>
        <w:rPr>
          <w:rFonts w:ascii="Traditional Arabic" w:eastAsia="Traditional Arabic" w:hAnsi="Traditional Arabic" w:cs="Traditional Arabic"/>
          <w:sz w:val="24"/>
          <w:szCs w:val="24"/>
          <w:highlight w:val="red"/>
        </w:rPr>
      </w:pPr>
      <w:r>
        <w:rPr>
          <w:rFonts w:ascii="Traditional Arabic" w:eastAsia="Traditional Arabic" w:hAnsi="Traditional Arabic" w:cs="Traditional Arabic"/>
          <w:sz w:val="24"/>
          <w:szCs w:val="24"/>
          <w:rtl/>
        </w:rPr>
        <w:t xml:space="preserve">وفي إطار رؤية المملكة 2030، أدرجت المملكة العربية السعودية قطاع الصناعات الثقافية والإبداعية ضمن استراتيجيتها لتنويع الاقتصاد الوطني بعيداً عن النفط، وتستهدف وزارة الثقافة رفع مساهمة القطاع الثقافي إلى 3% من الناتج المحلي الإجمالي بحلول عام 2030، وهو ما يتطلب تحويل قطاع الفنون البصرية من نشاط فردي غير منظم إلى صناعة ناضجة تحكمها أطر تنظيمية واضحة تحمي حقوق الفنانين والوسطاء والمستثمرين، كما دعمت هيئة الفنون البصرية رعاية المواهب الوطنية وتطوير بنية القطاع، عبر فعاليات كبرى مثل بينالي الدرعية ومبادرة نور الرياض. وفي المقابل، برز جيل جديد من المقتنين السعوديين الشباب الذين يعتمدون على المنصات الرقمية في اقتناء الأعمال الفنية، ويبحثون عن ضمانات تحد من المخاطر النفسية والمالية المرتبطة بالاستثمار في هذا النوع من </w:t>
      </w:r>
      <w:r w:rsidRPr="009A193B">
        <w:rPr>
          <w:rFonts w:ascii="Traditional Arabic" w:eastAsia="Traditional Arabic" w:hAnsi="Traditional Arabic" w:cs="Traditional Arabic"/>
          <w:sz w:val="24"/>
          <w:szCs w:val="24"/>
          <w:rtl/>
        </w:rPr>
        <w:t>الأصول</w:t>
      </w:r>
      <w:r w:rsidRPr="009A193B">
        <w:rPr>
          <w:rFonts w:ascii="Traditional Arabic" w:eastAsia="Traditional Arabic" w:hAnsi="Traditional Arabic" w:cs="Traditional Arabic"/>
          <w:sz w:val="24"/>
          <w:szCs w:val="24"/>
        </w:rPr>
        <w:t xml:space="preserve"> </w:t>
      </w:r>
      <w:r w:rsidRPr="009A193B">
        <w:rPr>
          <w:rFonts w:ascii="Traditional Arabic" w:eastAsia="Traditional Arabic" w:hAnsi="Traditional Arabic" w:cs="Traditional Arabic"/>
          <w:sz w:val="24"/>
          <w:szCs w:val="24"/>
          <w:rtl/>
        </w:rPr>
        <w:t>(وزارة الثقافة، 2021، 2025؛ هيئة الفنون البصرية، 2021)</w:t>
      </w:r>
      <w:r w:rsidRPr="009A193B">
        <w:rPr>
          <w:rFonts w:ascii="Traditional Arabic" w:eastAsia="Traditional Arabic" w:hAnsi="Traditional Arabic" w:cs="Traditional Arabic"/>
          <w:sz w:val="24"/>
          <w:szCs w:val="24"/>
        </w:rPr>
        <w:t>.</w:t>
      </w:r>
    </w:p>
    <w:p w14:paraId="4311954C"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انطلاقا من هذه التحولات العالمية والمحلية، برز اهتمام متزايد في الأدبيات العلمية بدراسة دور الابتكار والاتصال التسويقي في تطوير الأسواق الثقافية والإبداعية، إلا أن تطور سوق الفنون البصرية لا يرتبط فقط بتوسيع المعارض أو زيادة الفعاليات الثقافية، وإنما يتطلب بناء منظومة اتصال تسويقي متكامل قادرة على توحيد الرسائل التسويقية والرمزية، وتعزيز الثقة، وتحفيز الاستثمار، إلى جانب توظيف أبعاد الابتكار بوصفها محركا لتطوير كفاءة السوق، ورفع مستوى نضجه المؤسسي والتنظيمي. ومن هذا المنطلق؛ تتخذ هذه الرسالة نظرية الاتصال التسويقي المتكامل إطار نظريا رئيسيا لتفسير العلاقات بين متغيراتها مع توظيف ابعاد الابتكار الخمسة بوصفها مدخلا لتطوير سوق الفنون البصرية في المملكة العربية السعودية.</w:t>
      </w:r>
    </w:p>
    <w:p w14:paraId="14996319"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lastRenderedPageBreak/>
        <w:t>وعلى الرغم من تعدد الدراسات التي تناولت الابتكار أو الاتصال التسويقي أو سوق الفنون بصورة منفصلة، إلا أن الأدبيات العربية لا تزال تفتقر إلى نموذج علمي متكامل يفسر أثر أبعاد الابتكار المرتبط بالاتصال التسويقي المتكامل في تنمية سوق الفنون البصرية بالمملكة العربية السعودية وهو ما يمثل الفجوة البحثية التي تسعى هذه الدراسة إلى معالجتها.</w:t>
      </w:r>
    </w:p>
    <w:p w14:paraId="5B7B6B6E"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وبناء على ذلك تبنت الدراسة نموذج مفاهيمي يقوم على اختبار أثر أبعاد الابتكار المرتبط بالاتصال التسويقي المتكامل بوصفها المتغير المستقل، والذي يتكون من خمسة أبعاد هي: الابتكار التسويقي، والابتكار النفسي، والابتكار التقني، والابتكار الاقتصادي، والابتكار المؤسسي، في حين تتمثل التنمية سوق الفنون البصرية في المملكة العربية السعودية في المتغير التابع، وذلك بهدف اختبار أثر هذه الأبعاد في تعزيز كفاءة السوق واستدامته.</w:t>
      </w:r>
    </w:p>
    <w:p w14:paraId="28D54164"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وتكتسب هذه الدراسة أهميتها من كونها تسهم في سد الفجوة في الادبيات العربية من خلال الربيط بين علوم الاتصال والتسويق وإدارة الفنون البصرية في إطار علمي واحد. كما تقدّم نموذجاً عملياً يمكن للمؤسسات الثقافية، وصالات العرض، وصناع القرار، الاستفادة منه في تطوير سياسات تسويقية واتصالية أكثر تكاملا، تدعم جذب الاستثمارات وتعزيز تنافسية الاقتصاد الثقافي السعودي، تماشياً مع رؤية المملكة 2030. ومن ثم تسع الدراسة إلى تقديم إطار علمي وتطبيقي يفسر العلاقات بين متغيراتها ويسهم في تطوير سوق الفنون البصرية السعودي من منظور تسويق واتصالي يدعم استدامته ونموه المستقبلي.</w:t>
      </w:r>
    </w:p>
    <w:p w14:paraId="183A586C" w14:textId="77777777" w:rsidR="004E1AC4" w:rsidRDefault="00000000">
      <w:pPr>
        <w:bidi/>
        <w:spacing w:before="240" w:after="240" w:line="360" w:lineRule="auto"/>
        <w:rPr>
          <w:rFonts w:ascii="Traditional Arabic" w:eastAsia="Traditional Arabic" w:hAnsi="Traditional Arabic" w:cs="Traditional Arabic"/>
          <w:i/>
          <w:iCs/>
          <w:color w:val="EE0000"/>
          <w:sz w:val="28"/>
          <w:szCs w:val="28"/>
        </w:rPr>
      </w:pPr>
      <w:r>
        <w:rPr>
          <w:rFonts w:ascii="Traditional Arabic" w:eastAsia="Traditional Arabic" w:hAnsi="Traditional Arabic" w:cs="Traditional Arabic"/>
          <w:b/>
          <w:bCs/>
          <w:sz w:val="28"/>
          <w:szCs w:val="28"/>
          <w:rtl/>
        </w:rPr>
        <w:t xml:space="preserve">ثانياً: مشكلة الدراسة    </w:t>
      </w:r>
    </w:p>
    <w:p w14:paraId="115ED877" w14:textId="77777777" w:rsidR="004E1AC4" w:rsidRPr="009A193B"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 xml:space="preserve">تكمن مشكلة الدراسة في الفجوة بين هدف المملكة رفع مساهمة قطاع الصناعات الثقافية والإبداعية إلى 3% من الناتج المحلي الإجمالي بحلول عام 2030، وبين واقع سوق الفنون البصرية المحلي الذي لا يزال يعتمد على آليات تداول تقليدية وغير موحدة، ويفتقر إلى قواعد واضحة لتسعير الأعمال الفنية وتثمينها. ويؤدي ذلك إلى عدم تماثل في المعلومات وغياب سجلات موثقة للمبيعات، ويتعمق هذا الخلل بسبب نموذج "الوساطة أحادية القطب"، حيث تجمع صالة العرض الواحدة بين الإنتاج والترويج والتسعير والبيع، وهو ما يخل بمبدأ الشفافية ويؤدي إلى تضارب المصالح وضعف السوق الثانوية لإعادة بيع الأعمال </w:t>
      </w:r>
      <w:r w:rsidRPr="009A193B">
        <w:rPr>
          <w:rFonts w:ascii="Traditional Arabic" w:eastAsia="Traditional Arabic" w:hAnsi="Traditional Arabic" w:cs="Traditional Arabic"/>
          <w:sz w:val="24"/>
          <w:szCs w:val="24"/>
          <w:rtl/>
        </w:rPr>
        <w:t>الفنية (وزارة الثقافة، 2022 هيئة الفنون البصرية، 2021)</w:t>
      </w:r>
      <w:r w:rsidRPr="009A193B">
        <w:rPr>
          <w:rFonts w:ascii="Traditional Arabic" w:eastAsia="Traditional Arabic" w:hAnsi="Traditional Arabic" w:cs="Traditional Arabic"/>
          <w:sz w:val="24"/>
          <w:szCs w:val="24"/>
        </w:rPr>
        <w:t>.</w:t>
      </w:r>
    </w:p>
    <w:p w14:paraId="7EA30DAA" w14:textId="6812685E" w:rsidR="004E1AC4" w:rsidRPr="009A193B" w:rsidRDefault="00000000">
      <w:pPr>
        <w:bidi/>
        <w:spacing w:before="240" w:after="240" w:line="360" w:lineRule="auto"/>
        <w:rPr>
          <w:rFonts w:asciiTheme="majorBidi" w:eastAsia="Traditional Arabic" w:hAnsiTheme="majorBidi" w:cstheme="majorBidi"/>
          <w:sz w:val="24"/>
          <w:szCs w:val="24"/>
        </w:rPr>
      </w:pPr>
      <w:r>
        <w:rPr>
          <w:rFonts w:ascii="Traditional Arabic" w:eastAsia="Traditional Arabic" w:hAnsi="Traditional Arabic" w:cs="Traditional Arabic"/>
          <w:sz w:val="24"/>
          <w:szCs w:val="24"/>
          <w:rtl/>
        </w:rPr>
        <w:t>أما على الجانب الاتصالي، فتعتمد صالات العرض على حملات ترويجية مجزأة ومرتبطة بمعارض موسمية، دون استراتيجية اتصال تسويقي متكامل، وتركز رسائلها على اللغة الفنية النخبوية وتُغفل احتياجات المقتنين المعلوماتية والاستثمارية، ويزيد من حدة المشكلة وجود فجوة بين جيل المقتنين الشباب، الذي يعتمد على التجربة الرقمية في الاقتناء، وبين الآليات التقليدية لصالات العرض، ما يجعله عرضة للفقاعات السعرية دون ضمانات تحمي استثمارات</w:t>
      </w:r>
      <w:r w:rsidRPr="009A193B">
        <w:rPr>
          <w:rFonts w:ascii="Traditional Arabic" w:eastAsia="Traditional Arabic" w:hAnsi="Traditional Arabic" w:cs="Traditional Arabic"/>
          <w:sz w:val="24"/>
          <w:szCs w:val="24"/>
          <w:rtl/>
        </w:rPr>
        <w:t>ه</w:t>
      </w:r>
      <w:r w:rsidRPr="009A193B">
        <w:rPr>
          <w:rFonts w:ascii="Traditional Arabic" w:eastAsia="Traditional Arabic" w:hAnsi="Traditional Arabic" w:cs="Traditional Arabic"/>
          <w:sz w:val="24"/>
          <w:szCs w:val="24"/>
        </w:rPr>
        <w:t xml:space="preserve"> </w:t>
      </w:r>
      <w:r w:rsidRPr="009A193B">
        <w:rPr>
          <w:rFonts w:asciiTheme="majorBidi" w:eastAsia="Traditional Arabic" w:hAnsiTheme="majorBidi" w:cstheme="majorBidi"/>
          <w:sz w:val="24"/>
          <w:szCs w:val="24"/>
        </w:rPr>
        <w:t>(McAndrew, 2026; Knight Frank, 2024)</w:t>
      </w:r>
      <w:r w:rsidR="009A193B">
        <w:rPr>
          <w:rFonts w:asciiTheme="majorBidi" w:eastAsia="Traditional Arabic" w:hAnsiTheme="majorBidi" w:cstheme="majorBidi" w:hint="cs"/>
          <w:sz w:val="24"/>
          <w:szCs w:val="24"/>
          <w:rtl/>
        </w:rPr>
        <w:t>.</w:t>
      </w:r>
    </w:p>
    <w:p w14:paraId="50503B0D"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lastRenderedPageBreak/>
        <w:t>ويضاف إلى ذلك القصور التقني، حيث يفتقر السوق المحلي إلى أدوات الثورة الصناعية الرابعة، كالذكاء الاصطناعي والبيانات الضخمة والتوثيق الرقمي المشفّر لحماية أصالة الأعمال، ما يجعل قرارات التسعير قائمة على التخمين الفردي بدلاً من البيانات</w:t>
      </w:r>
      <w:r w:rsidRPr="009A193B">
        <w:rPr>
          <w:rFonts w:asciiTheme="majorBidi" w:eastAsia="Traditional Arabic" w:hAnsiTheme="majorBidi" w:cstheme="majorBidi"/>
          <w:sz w:val="24"/>
          <w:szCs w:val="24"/>
        </w:rPr>
        <w:t xml:space="preserve"> (Deloitte Private &amp; ArtTactic, 2025)</w:t>
      </w:r>
      <w:r w:rsidRPr="009A193B">
        <w:rPr>
          <w:rFonts w:asciiTheme="majorBidi" w:eastAsia="Traditional Arabic" w:hAnsiTheme="majorBidi" w:cstheme="majorBidi"/>
          <w:sz w:val="24"/>
          <w:szCs w:val="24"/>
          <w:rtl/>
        </w:rPr>
        <w:t>.</w:t>
      </w:r>
      <w:r w:rsidRPr="009A193B">
        <w:rPr>
          <w:rFonts w:ascii="Traditional Arabic" w:eastAsia="Traditional Arabic" w:hAnsi="Traditional Arabic" w:cs="Traditional Arabic"/>
          <w:sz w:val="24"/>
          <w:szCs w:val="24"/>
          <w:rtl/>
        </w:rPr>
        <w:t xml:space="preserve"> كما يغيب عن السوق أطر تشريعية وميثاق مهني ملزم يفصل بين</w:t>
      </w:r>
      <w:r>
        <w:rPr>
          <w:rFonts w:ascii="Traditional Arabic" w:eastAsia="Traditional Arabic" w:hAnsi="Traditional Arabic" w:cs="Traditional Arabic"/>
          <w:sz w:val="24"/>
          <w:szCs w:val="24"/>
          <w:rtl/>
        </w:rPr>
        <w:t xml:space="preserve"> جهات الإنتاج والتقييم المالي، بما يتوافق مع أفضل الممارسات الدولية.</w:t>
      </w:r>
    </w:p>
    <w:p w14:paraId="30F64B26"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وعلى الرغم من تناول الدراسات السابقة موضوعات الاتصال التسويقي أو التحول الرقمي أو الحوكمة بصورة منفصلة إلا أنه لا يوجد نموذج علمي يدمج استراتيجيات الاتصال التسويقي المتكامل مع أبعاد الابتكار لتفسير أثرها في تنمية سوق الفنون البصرية بالمملكة العربية السعودية.</w:t>
      </w:r>
    </w:p>
    <w:p w14:paraId="73ADBA15"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وبناءً على ما سبق، تتحدد مشكلة الدراسة في غياب إطار نظري وتطبيقي يجمع بين استراتيجيات الاتصال التسويقي المتكامل وأبعاد الابتكار الخمسة (التسويقي، والنفسي، والتقني، والاقتصادي، والمؤسسي) لمعالجة هذه الإشكاليات بشكل موحّد. ومن هنا يطرح الباحث التساؤل الرئيسي التالي:</w:t>
      </w:r>
    </w:p>
    <w:p w14:paraId="6AC8AA31"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"كيف يمكن تفعيل استراتيجيات الاتصال التسويقي المتكامل بأبعاد الابتكار الخمسة لتنمية سوق الفنون البصرية في المملكة العربية السعودية، وتحقيق نضجها الهيكلي والمؤسسي تماشياً مع مستهدفات رؤية المملكة 2030؟"</w:t>
      </w:r>
    </w:p>
    <w:p w14:paraId="2F360FAA" w14:textId="77777777" w:rsidR="004E1AC4" w:rsidRDefault="00000000">
      <w:pPr>
        <w:bidi/>
        <w:spacing w:before="240" w:after="240" w:line="360" w:lineRule="auto"/>
        <w:rPr>
          <w:rFonts w:ascii="Traditional Arabic" w:eastAsia="Traditional Arabic" w:hAnsi="Traditional Arabic" w:cs="Traditional Arabic"/>
          <w:i/>
          <w:iCs/>
          <w:sz w:val="28"/>
          <w:szCs w:val="28"/>
        </w:rPr>
      </w:pPr>
      <w:r>
        <w:rPr>
          <w:rFonts w:ascii="Traditional Arabic" w:eastAsia="Traditional Arabic" w:hAnsi="Traditional Arabic" w:cs="Traditional Arabic"/>
          <w:b/>
          <w:bCs/>
          <w:sz w:val="28"/>
          <w:szCs w:val="28"/>
          <w:rtl/>
        </w:rPr>
        <w:t>ثالثاً: تساؤلات الدراسة</w:t>
      </w:r>
    </w:p>
    <w:p w14:paraId="4803BBF5"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تنطلق هذه الدراسة من تساؤل رئيسي، تتفرع منه مجموعة من التساؤلات الفرعية، لتبحث في الأبعاد الهيكلية والاتصالية والتقنية والتنظيمية التي تحكم واقع سوق الفنون البصرية في البيئة المحلية. وتتحدد هذه التساؤلات على النحو الآتي:</w:t>
      </w:r>
    </w:p>
    <w:p w14:paraId="524E7F9E"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التساؤل الرئيسي للدراسة:</w:t>
      </w:r>
    </w:p>
    <w:p w14:paraId="2882B388"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كيف يؤثر الابتكار المرتبط بالاتصال التسويقي المتكامل بأبعاده المختلفة في تنمية سوق الفنون البصرية في المملكة العربية السعودية وكيف يمكن توظيف هذا الأثر لبناء نموذج تطبيقي يدعم نضج السوق واستدامته؟</w:t>
      </w:r>
    </w:p>
    <w:p w14:paraId="392E27CC"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التساؤلات الفرعية:</w:t>
      </w:r>
    </w:p>
    <w:p w14:paraId="3AB98A36" w14:textId="77777777" w:rsidR="004E1AC4" w:rsidRDefault="00000000">
      <w:pPr>
        <w:numPr>
          <w:ilvl w:val="0"/>
          <w:numId w:val="12"/>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ما واقع سوق الفنون البصرية في المملكة العربية السعودية وما أبرز التحديات التسويقية التي تحد من نمو واستدامته؟</w:t>
      </w:r>
    </w:p>
    <w:p w14:paraId="7AF80FEE" w14:textId="77777777" w:rsidR="004E1AC4" w:rsidRDefault="00000000">
      <w:pPr>
        <w:numPr>
          <w:ilvl w:val="0"/>
          <w:numId w:val="12"/>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ما أثر أبعاد الابتكار المرتبط بالاتصال التسويقي المتكامل في تنمية سوق الفنون البصرية في المملكة العربية السعودية؟</w:t>
      </w:r>
    </w:p>
    <w:p w14:paraId="19882742" w14:textId="77777777" w:rsidR="004E1AC4" w:rsidRDefault="00000000">
      <w:pPr>
        <w:numPr>
          <w:ilvl w:val="0"/>
          <w:numId w:val="12"/>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ما أثر كل من الأبعاد الابتكارية (التسويقي، النفسي والسلوكي، التقني، الاقتصادي، والمؤسسي) في تنمية سوق الفنون البصرية؟</w:t>
      </w:r>
    </w:p>
    <w:p w14:paraId="1756C3F4" w14:textId="77777777" w:rsidR="004E1AC4" w:rsidRDefault="00000000">
      <w:pPr>
        <w:numPr>
          <w:ilvl w:val="0"/>
          <w:numId w:val="12"/>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ما الأبعاد الابتكارية الأكثر تأثيرا في تنمية سوق الفنون البصرية في المملكة العربية السعودية؟</w:t>
      </w:r>
    </w:p>
    <w:p w14:paraId="76A82B39" w14:textId="77777777" w:rsidR="004E1AC4" w:rsidRDefault="00000000">
      <w:pPr>
        <w:numPr>
          <w:ilvl w:val="0"/>
          <w:numId w:val="12"/>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lastRenderedPageBreak/>
        <w:t>هل توجد فروق ذات دلالة إحصائية في اتجاهات أفراد ال الدراسة نحو متغيرات الدراسة تعزى إلى الخصائص الديموغرافية؟</w:t>
      </w:r>
    </w:p>
    <w:p w14:paraId="2C8F23C4" w14:textId="77777777" w:rsidR="004E1AC4" w:rsidRDefault="00000000">
      <w:pPr>
        <w:numPr>
          <w:ilvl w:val="0"/>
          <w:numId w:val="12"/>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كيف يمكن بناء نموذج تطبيقي يفعل أبعاد الابتكار المرتبط بالاتصال التسويقي المتكامل بما يسهم في تنمية سوق الفنون البصرية وتحقيق مستهدفات رؤية المملكة 2030؟</w:t>
      </w:r>
    </w:p>
    <w:p w14:paraId="0A5BEC00" w14:textId="77777777" w:rsidR="004E1AC4" w:rsidRDefault="00000000">
      <w:pPr>
        <w:bidi/>
        <w:spacing w:before="240" w:after="240" w:line="360" w:lineRule="auto"/>
        <w:rPr>
          <w:rFonts w:ascii="Traditional Arabic" w:eastAsia="Traditional Arabic" w:hAnsi="Traditional Arabic" w:cs="Traditional Arabic"/>
          <w:i/>
          <w:iCs/>
          <w:sz w:val="28"/>
          <w:szCs w:val="28"/>
        </w:rPr>
      </w:pPr>
      <w:r>
        <w:rPr>
          <w:rFonts w:ascii="Traditional Arabic" w:eastAsia="Traditional Arabic" w:hAnsi="Traditional Arabic" w:cs="Traditional Arabic"/>
          <w:b/>
          <w:bCs/>
          <w:sz w:val="28"/>
          <w:szCs w:val="28"/>
          <w:rtl/>
        </w:rPr>
        <w:t xml:space="preserve"> رابعاً: أهمية الدراسة</w:t>
      </w:r>
    </w:p>
    <w:p w14:paraId="03796EA8" w14:textId="77777777" w:rsidR="004E1AC4" w:rsidRDefault="00000000">
      <w:pPr>
        <w:bidi/>
        <w:spacing w:before="240" w:after="240" w:line="360" w:lineRule="auto"/>
        <w:rPr>
          <w:rFonts w:ascii="Traditional Arabic" w:eastAsia="Traditional Arabic" w:hAnsi="Traditional Arabic" w:cs="Traditional Arabic"/>
          <w:sz w:val="24"/>
          <w:szCs w:val="24"/>
        </w:rPr>
      </w:pPr>
      <w:bookmarkStart w:id="3" w:name="3aya01is4qvb" w:colFirst="0" w:colLast="0"/>
      <w:bookmarkEnd w:id="3"/>
      <w:r>
        <w:rPr>
          <w:rFonts w:ascii="Traditional Arabic" w:eastAsia="Traditional Arabic" w:hAnsi="Traditional Arabic" w:cs="Traditional Arabic"/>
          <w:sz w:val="24"/>
          <w:szCs w:val="24"/>
          <w:rtl/>
        </w:rPr>
        <w:t>تكمن الأهمية الجوهرية للرسالة لأنها تسعى إلى بناء نموذج علمي يثبت أن تكامل الاتصال التسويقي مع ابتكار أبعاد الابتكار الخمسة يؤدي إلى بناء الثقة لدى المقتني الجديد وخفض المخاطر المدركة مما يعيد تنمية سوق الفنون البصرية بالمملكة ويقوده إلى النضج المؤسسي. وتتحدد أهمية هذه الدراسة في مسارين رئيسيين:</w:t>
      </w:r>
    </w:p>
    <w:p w14:paraId="6496CE6A"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 xml:space="preserve">1. الأهمية العلمية (النظرية) </w:t>
      </w:r>
    </w:p>
    <w:p w14:paraId="087998DF" w14:textId="77777777" w:rsidR="004E1AC4" w:rsidRDefault="00000000">
      <w:pPr>
        <w:numPr>
          <w:ilvl w:val="0"/>
          <w:numId w:val="13"/>
        </w:numPr>
        <w:bidi/>
        <w:spacing w:after="80" w:line="360" w:lineRule="auto"/>
      </w:pPr>
      <w:r>
        <w:rPr>
          <w:rFonts w:ascii="Traditional Arabic" w:eastAsia="Traditional Arabic" w:hAnsi="Traditional Arabic" w:cs="Traditional Arabic"/>
          <w:sz w:val="24"/>
          <w:szCs w:val="24"/>
          <w:rtl/>
        </w:rPr>
        <w:t>تأصيل إطار نظري مبتكر: تسعى الدراسة إلى دمج مفاهيم "الابتكار التسويقي" و"التسويق المتكامل" ضمن سياق الفنون البصرية، وهو ما يمثل إضافة نوعية في ظل ندرة البحوث العربية التي تزاوج بين النظريات الإدارية الحديثة والخصوصية الثقافية للمنتج الفني.</w:t>
      </w:r>
    </w:p>
    <w:p w14:paraId="3BEA46C1" w14:textId="77777777" w:rsidR="004E1AC4" w:rsidRDefault="00000000">
      <w:pPr>
        <w:numPr>
          <w:ilvl w:val="0"/>
          <w:numId w:val="13"/>
        </w:numPr>
        <w:bidi/>
        <w:spacing w:after="80" w:line="360" w:lineRule="auto"/>
      </w:pPr>
      <w:r>
        <w:rPr>
          <w:rFonts w:ascii="Traditional Arabic" w:eastAsia="Traditional Arabic" w:hAnsi="Traditional Arabic" w:cs="Traditional Arabic"/>
          <w:sz w:val="24"/>
          <w:szCs w:val="24"/>
          <w:rtl/>
        </w:rPr>
        <w:t>الشمولية التحليلية: تبرز أهمية البحث في قدرته على تحليل التفاعل المعقد بين الأبعاد المؤسسية والتقنية والنفسية كمنظومة واحدة، بدلاً من دراستها كعناصر منفصلة، مما يساهم في بناء "نظرية وسيطة" لتفسير نمو الأسواق الإبداعية الناشئة.</w:t>
      </w:r>
    </w:p>
    <w:p w14:paraId="25A9263E" w14:textId="77777777" w:rsidR="004E1AC4" w:rsidRDefault="00000000">
      <w:pPr>
        <w:numPr>
          <w:ilvl w:val="0"/>
          <w:numId w:val="13"/>
        </w:numPr>
        <w:bidi/>
        <w:spacing w:after="80" w:line="360" w:lineRule="auto"/>
      </w:pPr>
      <w:r>
        <w:rPr>
          <w:rFonts w:ascii="Traditional Arabic" w:eastAsia="Traditional Arabic" w:hAnsi="Traditional Arabic" w:cs="Traditional Arabic"/>
          <w:sz w:val="24"/>
          <w:szCs w:val="24"/>
          <w:rtl/>
        </w:rPr>
        <w:t>تطوير نموذج قياس: تقدم الدراسة نموذجاً تحليلياً يربط بين المتغيرات المستقلة (الابتكار والتكامل) والتابعة (تنمية السوق)، مما يفتح آفاقاً جديدة للباحثين في مجالات إدارة الابتكار وتسويق المحتوى الثقافي.</w:t>
      </w:r>
    </w:p>
    <w:p w14:paraId="652CE0FA"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2. الأهمية العملية (التطبيقية)</w:t>
      </w:r>
    </w:p>
    <w:p w14:paraId="05BFC977" w14:textId="77777777" w:rsidR="004E1AC4" w:rsidRDefault="00000000">
      <w:pPr>
        <w:numPr>
          <w:ilvl w:val="0"/>
          <w:numId w:val="14"/>
        </w:numPr>
        <w:bidi/>
        <w:spacing w:after="80" w:line="360" w:lineRule="auto"/>
      </w:pPr>
      <w:r>
        <w:rPr>
          <w:rFonts w:ascii="Traditional Arabic" w:eastAsia="Traditional Arabic" w:hAnsi="Traditional Arabic" w:cs="Traditional Arabic"/>
          <w:sz w:val="24"/>
          <w:szCs w:val="24"/>
          <w:rtl/>
        </w:rPr>
        <w:t>دعم صناع القرار: توفير رؤى تحليلية ومؤشرات واقعية تساعد الجهات التنظيمية، مثل وزارة الثقافة وهيئة الفنون البصرية، في صياغة سياسات تسويقية قائمة على أسس علمية تدعم "الابتكار المؤسسي" في القطاع الثقافي.</w:t>
      </w:r>
    </w:p>
    <w:p w14:paraId="29A08A43" w14:textId="77777777" w:rsidR="004E1AC4" w:rsidRDefault="00000000">
      <w:pPr>
        <w:numPr>
          <w:ilvl w:val="0"/>
          <w:numId w:val="14"/>
        </w:numPr>
        <w:bidi/>
        <w:spacing w:after="80" w:line="360" w:lineRule="auto"/>
      </w:pPr>
      <w:r>
        <w:rPr>
          <w:rFonts w:ascii="Traditional Arabic" w:eastAsia="Traditional Arabic" w:hAnsi="Traditional Arabic" w:cs="Traditional Arabic"/>
          <w:sz w:val="24"/>
          <w:szCs w:val="24"/>
          <w:rtl/>
        </w:rPr>
        <w:t>تمكين الشركاء في الميدان: تزويد الفنانين وأصحاب صالات العرض (</w:t>
      </w:r>
      <w:r w:rsidRPr="009A193B">
        <w:rPr>
          <w:rFonts w:asciiTheme="majorBidi" w:hAnsiTheme="majorBidi" w:cstheme="majorBidi"/>
          <w:sz w:val="24"/>
          <w:szCs w:val="24"/>
        </w:rPr>
        <w:t>Galleries</w:t>
      </w:r>
      <w:r>
        <w:rPr>
          <w:rFonts w:ascii="Traditional Arabic" w:eastAsia="Traditional Arabic" w:hAnsi="Traditional Arabic" w:cs="Traditional Arabic"/>
          <w:sz w:val="24"/>
          <w:szCs w:val="24"/>
          <w:rtl/>
        </w:rPr>
        <w:t>) بأدوات عملية لفهم ديناميكيات السوق، وكيفية بناء "القيمة المدركة" للأعمال الفنية، واستثمار التقنيات الابتكارية لتعزيز الثقة مع المقتنين المحليين والدوليين.</w:t>
      </w:r>
    </w:p>
    <w:p w14:paraId="0EE4F061" w14:textId="5CB64BBC" w:rsidR="004E1AC4" w:rsidRPr="001B7B48" w:rsidRDefault="00000000">
      <w:pPr>
        <w:numPr>
          <w:ilvl w:val="0"/>
          <w:numId w:val="14"/>
        </w:numPr>
        <w:bidi/>
        <w:spacing w:after="80" w:line="360" w:lineRule="auto"/>
        <w:rPr>
          <w:rFonts w:ascii="Traditional Arabic" w:hAnsi="Traditional Arabic" w:cs="Traditional Arabic" w:hint="cs"/>
        </w:rPr>
      </w:pPr>
      <w:r w:rsidRPr="001B7B48">
        <w:rPr>
          <w:rFonts w:ascii="Traditional Arabic" w:eastAsia="Traditional Arabic" w:hAnsi="Traditional Arabic" w:cs="Traditional Arabic" w:hint="cs"/>
          <w:sz w:val="24"/>
          <w:szCs w:val="24"/>
          <w:rtl/>
        </w:rPr>
        <w:lastRenderedPageBreak/>
        <w:t xml:space="preserve">تحقيق مستهدفات رؤية </w:t>
      </w:r>
      <w:r w:rsidR="001B7B48" w:rsidRPr="001B7B48">
        <w:rPr>
          <w:rFonts w:ascii="Traditional Arabic" w:hAnsi="Traditional Arabic" w:cs="Traditional Arabic" w:hint="cs"/>
          <w:sz w:val="24"/>
          <w:szCs w:val="24"/>
          <w:rtl/>
        </w:rPr>
        <w:t>٢٠٣٠</w:t>
      </w:r>
      <w:r w:rsidRPr="001B7B48">
        <w:rPr>
          <w:rFonts w:ascii="Traditional Arabic" w:eastAsia="Traditional Arabic" w:hAnsi="Traditional Arabic" w:cs="Traditional Arabic" w:hint="cs"/>
          <w:sz w:val="24"/>
          <w:szCs w:val="24"/>
          <w:rtl/>
        </w:rPr>
        <w:t>: تسهم النتائج في تحويل قطاع الفنون البصرية من حيز "الإنتاج الجمالي" إلى "رافد اقتصادي" مستدام، مما يدعم جهود المملكة في تنويع مصادر الدخل القومي وتعزيز الميزة التنافسية للاقتصاد الإبداعي السعودي عالمياً.</w:t>
      </w:r>
    </w:p>
    <w:p w14:paraId="7FE66A03" w14:textId="77777777" w:rsidR="004E1AC4" w:rsidRPr="001B7B48" w:rsidRDefault="00000000">
      <w:pPr>
        <w:bidi/>
        <w:spacing w:before="240" w:after="240" w:line="360" w:lineRule="auto"/>
        <w:rPr>
          <w:rFonts w:ascii="Traditional Arabic" w:eastAsia="Traditional Arabic" w:hAnsi="Traditional Arabic" w:cs="Traditional Arabic" w:hint="cs"/>
          <w:sz w:val="24"/>
          <w:szCs w:val="24"/>
        </w:rPr>
      </w:pPr>
      <w:r w:rsidRPr="001B7B48">
        <w:rPr>
          <w:rFonts w:ascii="Traditional Arabic" w:eastAsia="Traditional Arabic" w:hAnsi="Traditional Arabic" w:cs="Traditional Arabic" w:hint="cs"/>
          <w:sz w:val="24"/>
          <w:szCs w:val="24"/>
          <w:rtl/>
        </w:rPr>
        <w:t>بناءً على ما سبق، تقدّم هذه الدراسة إطاراً يجمع بين الجانبين النظري والتطبيقي، ويسهم في دعم تطور الاقتصاد الإبداعي في المملكة العربية السعودية بما يتماشى مع رؤية المملكة 2030.</w:t>
      </w:r>
    </w:p>
    <w:p w14:paraId="457DFECF" w14:textId="77777777" w:rsidR="004E1AC4" w:rsidRDefault="004E1AC4">
      <w:pPr>
        <w:bidi/>
        <w:spacing w:before="240" w:after="240" w:line="276" w:lineRule="auto"/>
        <w:rPr>
          <w:rFonts w:ascii="Arial" w:eastAsia="Arial" w:hAnsi="Arial" w:cs="Arial"/>
          <w:b/>
          <w:bCs/>
          <w:sz w:val="28"/>
          <w:szCs w:val="28"/>
        </w:rPr>
      </w:pPr>
    </w:p>
    <w:p w14:paraId="0DA51F7F" w14:textId="77777777" w:rsidR="004E1AC4" w:rsidRDefault="00000000">
      <w:pPr>
        <w:bidi/>
        <w:spacing w:before="240" w:after="240" w:line="360" w:lineRule="auto"/>
        <w:rPr>
          <w:rFonts w:ascii="Traditional Arabic" w:eastAsia="Traditional Arabic" w:hAnsi="Traditional Arabic" w:cs="Traditional Arabic"/>
          <w:i/>
          <w:iCs/>
          <w:sz w:val="28"/>
          <w:szCs w:val="28"/>
        </w:rPr>
      </w:pPr>
      <w:r>
        <w:rPr>
          <w:rFonts w:ascii="Traditional Arabic" w:eastAsia="Traditional Arabic" w:hAnsi="Traditional Arabic" w:cs="Traditional Arabic"/>
          <w:b/>
          <w:bCs/>
          <w:sz w:val="28"/>
          <w:szCs w:val="28"/>
          <w:rtl/>
        </w:rPr>
        <w:t>خامساً: أهداف الدراسة</w:t>
      </w:r>
    </w:p>
    <w:p w14:paraId="12B60BE1"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تسعى هذه الدراسة إلى تحقيق مجموعة من الأهداف الإجرائية المحددة، تتمثل فيما يلي:</w:t>
      </w:r>
    </w:p>
    <w:p w14:paraId="6CF267D0"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الهدف الرئيسي العام للدراسة:</w:t>
      </w:r>
    </w:p>
    <w:p w14:paraId="2A8595CB" w14:textId="66B4C209" w:rsidR="004E1AC4" w:rsidRDefault="00000000">
      <w:pPr>
        <w:bidi/>
        <w:spacing w:before="240" w:after="240" w:line="360" w:lineRule="auto"/>
        <w:ind w:left="600" w:right="600"/>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 xml:space="preserve">بناء واختبار نموذج ابتكاري قائم على أبعاد الابتكار المرتبط بالاتصال التسويقي المتكامل لقياس أثره في تنمية سوق الفنون البصرية في المملكة العربية السعودية وصولا إلى تقديم إطار تطبيقي يدعم نضج السوق واستدامته بما يتوافق مع مستهدفات </w:t>
      </w:r>
      <w:r w:rsidRPr="001B7B48">
        <w:rPr>
          <w:rFonts w:ascii="Traditional Arabic" w:eastAsia="Traditional Arabic" w:hAnsi="Traditional Arabic" w:cs="Traditional Arabic" w:hint="cs"/>
          <w:sz w:val="24"/>
          <w:szCs w:val="24"/>
          <w:rtl/>
        </w:rPr>
        <w:t xml:space="preserve">رؤية المملكة </w:t>
      </w:r>
      <w:r w:rsidR="001B7B48" w:rsidRPr="001B7B48">
        <w:rPr>
          <w:rFonts w:ascii="Traditional Arabic" w:hAnsi="Traditional Arabic" w:cs="Traditional Arabic" w:hint="cs"/>
          <w:sz w:val="24"/>
          <w:szCs w:val="24"/>
          <w:rtl/>
        </w:rPr>
        <w:t>٢٠٣٠</w:t>
      </w:r>
      <w:r w:rsidR="009A193B">
        <w:rPr>
          <w:rFonts w:ascii="Traditional Arabic" w:eastAsia="Traditional Arabic" w:hAnsi="Traditional Arabic" w:cs="Traditional Arabic" w:hint="cs"/>
          <w:sz w:val="24"/>
          <w:szCs w:val="24"/>
          <w:rtl/>
        </w:rPr>
        <w:t>.</w:t>
      </w:r>
    </w:p>
    <w:p w14:paraId="61D0508E"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الأهداف الفرعية:</w:t>
      </w:r>
    </w:p>
    <w:p w14:paraId="0FAF4030" w14:textId="77777777" w:rsidR="004E1AC4" w:rsidRDefault="00000000">
      <w:pPr>
        <w:numPr>
          <w:ilvl w:val="0"/>
          <w:numId w:val="11"/>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تشخيص واقع سوق الفنون البصرية في المملكة العربية السعودية وتحديد أبرز التحديات التسويقية التي تحد من نموه واستدامته.</w:t>
      </w:r>
    </w:p>
    <w:p w14:paraId="513E3ACB" w14:textId="77777777" w:rsidR="004E1AC4" w:rsidRDefault="00000000">
      <w:pPr>
        <w:numPr>
          <w:ilvl w:val="0"/>
          <w:numId w:val="11"/>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قياس أثر أبعاد الابتكار المرتبط بالاتصال التسويقي المتكامل في تنمية سوق الفنون البصرية بالمملكة العربية السعودية.</w:t>
      </w:r>
    </w:p>
    <w:p w14:paraId="5B6250EA" w14:textId="77777777" w:rsidR="004E1AC4" w:rsidRDefault="00000000">
      <w:pPr>
        <w:numPr>
          <w:ilvl w:val="0"/>
          <w:numId w:val="11"/>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تحليل دور كل من الأبعاد الابتكارية (التسويقي، النفسي والسلوكي، التقني، الاقتصادي، المؤسسي) في تعزيز تنمية سوق الفنون البصرية.</w:t>
      </w:r>
    </w:p>
    <w:p w14:paraId="65C712AC" w14:textId="77777777" w:rsidR="004E1AC4" w:rsidRDefault="00000000">
      <w:pPr>
        <w:numPr>
          <w:ilvl w:val="0"/>
          <w:numId w:val="11"/>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تحديد الأبعاد الابتكارية الأكثر تأثيرا في تنمية سوق الفنون البصرية من خلال اختبار العلاقات السببية بين متغيرات الدراسة.</w:t>
      </w:r>
    </w:p>
    <w:p w14:paraId="21243F61" w14:textId="77777777" w:rsidR="004E1AC4" w:rsidRDefault="00000000">
      <w:pPr>
        <w:numPr>
          <w:ilvl w:val="0"/>
          <w:numId w:val="11"/>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الكشف عن الفروق في اتجاهات أفراد الدراسة نحو متغيرات البحث وفقا للخصائص الديموقراطية للعينة.</w:t>
      </w:r>
    </w:p>
    <w:p w14:paraId="06A03F7D" w14:textId="77777777" w:rsidR="004E1AC4" w:rsidRDefault="00000000">
      <w:pPr>
        <w:numPr>
          <w:ilvl w:val="0"/>
          <w:numId w:val="11"/>
        </w:numPr>
        <w:bidi/>
        <w:spacing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بناء نموذج تطبيقي وتقديم توصيات عملية لتفعيل أبعاد الابتكار المرتبط بالاتصال التسويقي المتكامل بما يسهم في تنمية سوق الفنون البصرية وتحقيق مستهدفات رؤية المملكة 2030.</w:t>
      </w:r>
    </w:p>
    <w:p w14:paraId="4CB04A51" w14:textId="77777777" w:rsidR="004E1AC4" w:rsidRDefault="004E1AC4">
      <w:pPr>
        <w:bidi/>
        <w:spacing w:after="240" w:line="360" w:lineRule="auto"/>
        <w:ind w:left="720"/>
        <w:rPr>
          <w:rFonts w:ascii="Traditional Arabic" w:eastAsia="Traditional Arabic" w:hAnsi="Traditional Arabic" w:cs="Traditional Arabic"/>
          <w:sz w:val="24"/>
          <w:szCs w:val="24"/>
        </w:rPr>
      </w:pPr>
    </w:p>
    <w:p w14:paraId="221FF033" w14:textId="77777777" w:rsidR="004E1AC4" w:rsidRDefault="004E1AC4">
      <w:pPr>
        <w:bidi/>
        <w:spacing w:after="240" w:line="360" w:lineRule="auto"/>
        <w:ind w:left="720"/>
        <w:rPr>
          <w:rFonts w:ascii="Traditional Arabic" w:eastAsia="Traditional Arabic" w:hAnsi="Traditional Arabic" w:cs="Traditional Arabic"/>
          <w:sz w:val="24"/>
          <w:szCs w:val="24"/>
        </w:rPr>
      </w:pPr>
    </w:p>
    <w:p w14:paraId="3E4EA826" w14:textId="77777777" w:rsidR="004E1AC4" w:rsidRDefault="00000000">
      <w:pPr>
        <w:bidi/>
        <w:spacing w:before="240" w:after="240" w:line="360" w:lineRule="auto"/>
        <w:rPr>
          <w:rFonts w:ascii="Traditional Arabic" w:eastAsia="Traditional Arabic" w:hAnsi="Traditional Arabic" w:cs="Traditional Arabic"/>
          <w:i/>
          <w:iCs/>
          <w:sz w:val="28"/>
          <w:szCs w:val="28"/>
        </w:rPr>
      </w:pPr>
      <w:r>
        <w:rPr>
          <w:rFonts w:ascii="Traditional Arabic" w:eastAsia="Traditional Arabic" w:hAnsi="Traditional Arabic" w:cs="Traditional Arabic"/>
          <w:b/>
          <w:bCs/>
          <w:sz w:val="28"/>
          <w:szCs w:val="28"/>
          <w:rtl/>
        </w:rPr>
        <w:lastRenderedPageBreak/>
        <w:t>سادساً: فروض الدراسة</w:t>
      </w:r>
    </w:p>
    <w:p w14:paraId="6A95888D" w14:textId="77777777" w:rsidR="004E1AC4" w:rsidRDefault="00000000">
      <w:pPr>
        <w:bidi/>
        <w:spacing w:before="240" w:after="240" w:line="360" w:lineRule="auto"/>
        <w:rPr>
          <w:rFonts w:ascii="Traditional Arabic" w:eastAsia="Traditional Arabic" w:hAnsi="Traditional Arabic" w:cs="Traditional Arabic"/>
          <w:b/>
          <w:bCs/>
          <w:sz w:val="24"/>
          <w:szCs w:val="24"/>
        </w:rPr>
      </w:pPr>
      <w:bookmarkStart w:id="4" w:name="yv6ptvi0309t" w:colFirst="0" w:colLast="0"/>
      <w:bookmarkEnd w:id="4"/>
      <w:r>
        <w:rPr>
          <w:rFonts w:ascii="Traditional Arabic" w:eastAsia="Traditional Arabic" w:hAnsi="Traditional Arabic" w:cs="Traditional Arabic"/>
          <w:b/>
          <w:bCs/>
          <w:sz w:val="24"/>
          <w:szCs w:val="24"/>
          <w:rtl/>
        </w:rPr>
        <w:t xml:space="preserve">الفرضية الرئيسية: </w:t>
      </w:r>
    </w:p>
    <w:p w14:paraId="05A485C2" w14:textId="77777777" w:rsidR="004E1AC4" w:rsidRDefault="00000000">
      <w:pPr>
        <w:bidi/>
        <w:spacing w:before="240" w:after="240" w:line="360" w:lineRule="auto"/>
        <w:ind w:left="600" w:right="600"/>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توجد علاقة ذات دلالة إحصائية بين أبعاد الابتكار المرتبط بالاتصال التسويقي المتكامل وتنمية سوق الفنون البصرية في المملكة العربية السعودية.</w:t>
      </w:r>
    </w:p>
    <w:p w14:paraId="13AC129C"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الفرضيات الفرعية:</w:t>
      </w:r>
    </w:p>
    <w:p w14:paraId="4B52A7D0" w14:textId="77777777" w:rsidR="004E1AC4" w:rsidRDefault="00000000">
      <w:pPr>
        <w:numPr>
          <w:ilvl w:val="0"/>
          <w:numId w:val="15"/>
        </w:numPr>
        <w:bidi/>
        <w:spacing w:before="240" w:after="0" w:line="24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توجد علاقة ذات دلالة إحصائية بين البعد الابتكاري التسويقي وتنمية سوق الفنون البصرية في المملكة العربية السعودية.</w:t>
      </w:r>
    </w:p>
    <w:p w14:paraId="3CFCB8CB" w14:textId="77777777" w:rsidR="004E1AC4" w:rsidRDefault="00000000">
      <w:pPr>
        <w:numPr>
          <w:ilvl w:val="0"/>
          <w:numId w:val="15"/>
        </w:numPr>
        <w:bidi/>
        <w:spacing w:before="240" w:after="0" w:line="24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توجد علاقة ذات دلالة إحصائية بين البعد الابتكاري النفسي والسلوكي والتنمية سوق الفنون البصرية في المملكة العربية السعودية.</w:t>
      </w:r>
    </w:p>
    <w:p w14:paraId="464A229B" w14:textId="77777777" w:rsidR="004E1AC4" w:rsidRDefault="00000000">
      <w:pPr>
        <w:numPr>
          <w:ilvl w:val="0"/>
          <w:numId w:val="15"/>
        </w:numPr>
        <w:bidi/>
        <w:spacing w:before="240" w:after="0" w:line="24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توجد علاقة ذات دلالة إحصائية بين البعد الابتكاري التقني وتنمية سوق الفنون البصرية في المملكة العربية السعودية.</w:t>
      </w:r>
    </w:p>
    <w:p w14:paraId="251E6C80" w14:textId="77777777" w:rsidR="004E1AC4" w:rsidRDefault="00000000">
      <w:pPr>
        <w:numPr>
          <w:ilvl w:val="0"/>
          <w:numId w:val="15"/>
        </w:numPr>
        <w:bidi/>
        <w:spacing w:before="240" w:after="0" w:line="24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توجد علاقة ذات دلالة إحصائية بين البعد الابتكاري الاقتصادي وتنمية سوق الفنون البصرية في المملكة العربية السعودية.</w:t>
      </w:r>
    </w:p>
    <w:p w14:paraId="1B353C53" w14:textId="77777777" w:rsidR="004E1AC4" w:rsidRDefault="00000000">
      <w:pPr>
        <w:numPr>
          <w:ilvl w:val="0"/>
          <w:numId w:val="15"/>
        </w:numPr>
        <w:bidi/>
        <w:spacing w:before="240" w:after="0" w:line="24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توجد علاقة ذات دلال إحصائية بين البعد الابتكاري المؤسسي والتنظيمي وتنمية سوق الفنون البصرية في المملكة العربية السعودية.</w:t>
      </w:r>
    </w:p>
    <w:p w14:paraId="6457FD1D" w14:textId="77777777" w:rsidR="004E1AC4" w:rsidRDefault="00000000">
      <w:pPr>
        <w:numPr>
          <w:ilvl w:val="0"/>
          <w:numId w:val="15"/>
        </w:numPr>
        <w:bidi/>
        <w:spacing w:before="240" w:after="0" w:line="24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توجد فروق ذات دلالة إحصائية في اتجاهات أفراد الدراسة نحو المتغيرات الدراسة تعزى إلى الخصائص الديمغرافية.</w:t>
      </w:r>
    </w:p>
    <w:p w14:paraId="1E962DE2" w14:textId="77777777" w:rsidR="004E1AC4" w:rsidRDefault="004E1AC4">
      <w:pPr>
        <w:bidi/>
        <w:spacing w:before="240" w:after="0" w:line="240" w:lineRule="auto"/>
        <w:ind w:left="720"/>
        <w:rPr>
          <w:rFonts w:ascii="Traditional Arabic" w:eastAsia="Traditional Arabic" w:hAnsi="Traditional Arabic" w:cs="Traditional Arabic"/>
          <w:sz w:val="24"/>
          <w:szCs w:val="24"/>
        </w:rPr>
      </w:pPr>
    </w:p>
    <w:p w14:paraId="026B039C" w14:textId="77777777" w:rsidR="004E1AC4" w:rsidRDefault="00000000">
      <w:pPr>
        <w:bidi/>
        <w:spacing w:before="240" w:after="240" w:line="360" w:lineRule="auto"/>
        <w:ind w:left="4"/>
        <w:jc w:val="both"/>
        <w:rPr>
          <w:rFonts w:ascii="Traditional Arabic" w:eastAsia="Traditional Arabic" w:hAnsi="Traditional Arabic" w:cs="Traditional Arabic"/>
          <w:b/>
          <w:bCs/>
          <w:sz w:val="28"/>
          <w:szCs w:val="28"/>
        </w:rPr>
      </w:pPr>
      <w:r>
        <w:rPr>
          <w:rFonts w:ascii="Traditional Arabic" w:eastAsia="Traditional Arabic" w:hAnsi="Traditional Arabic" w:cs="Traditional Arabic"/>
          <w:b/>
          <w:bCs/>
          <w:sz w:val="28"/>
          <w:szCs w:val="28"/>
          <w:rtl/>
        </w:rPr>
        <w:t xml:space="preserve">سابعاً: </w:t>
      </w:r>
      <w:bookmarkStart w:id="5" w:name="7ryqkoev9036" w:colFirst="0" w:colLast="0"/>
      <w:bookmarkEnd w:id="5"/>
      <w:r>
        <w:rPr>
          <w:rFonts w:ascii="Traditional Arabic" w:eastAsia="Traditional Arabic" w:hAnsi="Traditional Arabic" w:cs="Traditional Arabic"/>
          <w:b/>
          <w:bCs/>
          <w:sz w:val="28"/>
          <w:szCs w:val="28"/>
          <w:rtl/>
        </w:rPr>
        <w:t>مفاهيم الدراسة</w:t>
      </w:r>
      <w:bookmarkStart w:id="6" w:name="6xx3ki7wewkp" w:colFirst="0" w:colLast="0"/>
      <w:bookmarkEnd w:id="6"/>
    </w:p>
    <w:p w14:paraId="5E76163E"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 xml:space="preserve">1- الابتكار: </w:t>
      </w:r>
      <w:r>
        <w:rPr>
          <w:rFonts w:ascii="Traditional Arabic" w:eastAsia="Traditional Arabic" w:hAnsi="Traditional Arabic" w:cs="Traditional Arabic"/>
          <w:b/>
          <w:bCs/>
          <w:sz w:val="24"/>
          <w:szCs w:val="24"/>
        </w:rPr>
        <w:t>Innovation</w:t>
      </w:r>
    </w:p>
    <w:p w14:paraId="7340268F" w14:textId="34848E10" w:rsidR="004E1AC4" w:rsidRDefault="00000000">
      <w:pPr>
        <w:numPr>
          <w:ilvl w:val="0"/>
          <w:numId w:val="16"/>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يُعرف الابتكار بأنه عملية تطوير، أو تطبيق أفكار، أو منتجات، أو خدمات، أو عمليات، أو نماذج أعمال جديدة، أو محسنة بصورة تحقق قيمة مضافة للمنظمة، أو العملاء، أو المجتمع، والقدرة على تحويل الأفكار الجديدة إلى قيمة اقتصادية أو اجتماعية من خلال تطوير المنتجات، أو العمليات، أو النظم، أو نماذج الأعمال </w:t>
      </w:r>
      <w:r w:rsidRPr="009A193B">
        <w:rPr>
          <w:rFonts w:asciiTheme="majorBidi" w:eastAsia="Traditional Arabic" w:hAnsiTheme="majorBidi" w:cstheme="majorBidi"/>
          <w:sz w:val="24"/>
          <w:szCs w:val="24"/>
        </w:rPr>
        <w:t>(UNESCO, 2022; PwC Strategy&amp;, 2023)</w:t>
      </w:r>
      <w:r w:rsidR="009A193B">
        <w:rPr>
          <w:rFonts w:asciiTheme="majorBidi" w:eastAsia="Traditional Arabic" w:hAnsiTheme="majorBidi" w:cstheme="majorBidi" w:hint="cs"/>
          <w:sz w:val="24"/>
          <w:szCs w:val="24"/>
          <w:rtl/>
        </w:rPr>
        <w:t>.</w:t>
      </w:r>
    </w:p>
    <w:p w14:paraId="7F142B37" w14:textId="77777777" w:rsidR="004E1AC4" w:rsidRDefault="00000000">
      <w:pPr>
        <w:numPr>
          <w:ilvl w:val="0"/>
          <w:numId w:val="16"/>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ويقصد بالابتكار في هذه الدراسة مجموعة الممارسات الابتكارية المرتبطة بالاتصال التسويقي المتكامل، والتي تشمل الأبعاد التسويقية، والنفسية والسلوكية، والتقنية، والاقتصادية، والمؤسسية، بهدف تنمية سوق الفنون البصرية بالمملكة العربية السعودية.</w:t>
      </w:r>
    </w:p>
    <w:p w14:paraId="43CAD324"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lastRenderedPageBreak/>
        <w:t>2- أبعاد الابتكار:</w:t>
      </w:r>
      <w:r>
        <w:rPr>
          <w:rFonts w:ascii="Traditional Arabic" w:eastAsia="Traditional Arabic" w:hAnsi="Traditional Arabic" w:cs="Traditional Arabic"/>
          <w:sz w:val="24"/>
          <w:szCs w:val="24"/>
          <w:rtl/>
        </w:rPr>
        <w:t xml:space="preserve"> يقصد بها حزمة الحلول المقترحة لإعادة تنظيم سوق الفن السعودي، بما يتجاوز المفهوم التقليدي للابتكار التكنولوجي، ويُقاس من خلال خمسة أبعاد:</w:t>
      </w:r>
    </w:p>
    <w:p w14:paraId="5712F726" w14:textId="6B880B2C" w:rsidR="004E1AC4" w:rsidRPr="009A193B" w:rsidRDefault="00000000">
      <w:pPr>
        <w:numPr>
          <w:ilvl w:val="0"/>
          <w:numId w:val="5"/>
        </w:numPr>
        <w:bidi/>
        <w:spacing w:before="240"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الابتكار التسويقي:</w:t>
      </w:r>
      <w:r w:rsidRPr="009A193B">
        <w:rPr>
          <w:rFonts w:ascii="Traditional Arabic" w:eastAsia="Traditional Arabic" w:hAnsi="Traditional Arabic" w:cs="Traditional Arabic"/>
          <w:sz w:val="24"/>
          <w:szCs w:val="24"/>
          <w:rtl/>
        </w:rPr>
        <w:t xml:space="preserve"> ويعني كسر احتكار منصات العرض التقليدية عبر قنوات هجينة وشفافية سعرية </w:t>
      </w:r>
      <w:r w:rsidRPr="009A193B">
        <w:rPr>
          <w:rFonts w:asciiTheme="majorBidi" w:eastAsia="Traditional Arabic" w:hAnsiTheme="majorBidi" w:cstheme="majorBidi"/>
          <w:sz w:val="24"/>
          <w:szCs w:val="24"/>
        </w:rPr>
        <w:t>(PwC Strategy&amp;, 2023)</w:t>
      </w:r>
      <w:r w:rsidR="009A193B">
        <w:rPr>
          <w:rFonts w:asciiTheme="majorBidi" w:eastAsia="Traditional Arabic" w:hAnsiTheme="majorBidi" w:cstheme="majorBidi" w:hint="cs"/>
          <w:sz w:val="24"/>
          <w:szCs w:val="24"/>
          <w:rtl/>
        </w:rPr>
        <w:t>.</w:t>
      </w:r>
    </w:p>
    <w:p w14:paraId="0DA05C4D" w14:textId="6DFBB030" w:rsidR="004E1AC4" w:rsidRPr="009A193B" w:rsidRDefault="00000000">
      <w:pPr>
        <w:numPr>
          <w:ilvl w:val="0"/>
          <w:numId w:val="5"/>
        </w:numPr>
        <w:bidi/>
        <w:spacing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والابتكار النفسي والسلوكي:</w:t>
      </w:r>
      <w:r w:rsidRPr="009A193B">
        <w:rPr>
          <w:rFonts w:ascii="Traditional Arabic" w:eastAsia="Traditional Arabic" w:hAnsi="Traditional Arabic" w:cs="Traditional Arabic"/>
          <w:sz w:val="24"/>
          <w:szCs w:val="24"/>
          <w:rtl/>
        </w:rPr>
        <w:t xml:space="preserve"> ويعني كفاءة برامج بناء الثقة لدى المقتنين</w:t>
      </w:r>
      <w:r w:rsidRPr="009A193B">
        <w:rPr>
          <w:rFonts w:asciiTheme="majorBidi" w:eastAsia="Traditional Arabic" w:hAnsiTheme="majorBidi" w:cstheme="majorBidi"/>
          <w:sz w:val="24"/>
          <w:szCs w:val="24"/>
        </w:rPr>
        <w:t xml:space="preserve"> (McAndrew, 2026; Knight Frank, 2024)</w:t>
      </w:r>
      <w:r w:rsidR="009A193B">
        <w:rPr>
          <w:rFonts w:asciiTheme="majorBidi" w:eastAsia="Traditional Arabic" w:hAnsiTheme="majorBidi" w:cstheme="majorBidi" w:hint="cs"/>
          <w:sz w:val="24"/>
          <w:szCs w:val="24"/>
          <w:rtl/>
        </w:rPr>
        <w:t>.</w:t>
      </w:r>
    </w:p>
    <w:p w14:paraId="5C01B43D" w14:textId="3DB9E301" w:rsidR="004E1AC4" w:rsidRPr="009A193B" w:rsidRDefault="00000000">
      <w:pPr>
        <w:numPr>
          <w:ilvl w:val="0"/>
          <w:numId w:val="5"/>
        </w:numPr>
        <w:bidi/>
        <w:spacing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والابتكار التقني:</w:t>
      </w:r>
      <w:r w:rsidRPr="009A193B">
        <w:rPr>
          <w:rFonts w:ascii="Traditional Arabic" w:eastAsia="Traditional Arabic" w:hAnsi="Traditional Arabic" w:cs="Traditional Arabic"/>
          <w:sz w:val="24"/>
          <w:szCs w:val="24"/>
          <w:rtl/>
        </w:rPr>
        <w:t xml:space="preserve"> ويعني توظيف تقنيات مثل سلسلة الكتل (</w:t>
      </w:r>
      <w:r w:rsidRPr="009A193B">
        <w:rPr>
          <w:rFonts w:ascii="Traditional Arabic" w:eastAsia="Traditional Arabic" w:hAnsi="Traditional Arabic" w:cs="Traditional Arabic"/>
          <w:sz w:val="24"/>
          <w:szCs w:val="24"/>
        </w:rPr>
        <w:t>Blockchain</w:t>
      </w:r>
      <w:r w:rsidRPr="009A193B">
        <w:rPr>
          <w:rFonts w:ascii="Traditional Arabic" w:eastAsia="Traditional Arabic" w:hAnsi="Traditional Arabic" w:cs="Traditional Arabic"/>
          <w:sz w:val="24"/>
          <w:szCs w:val="24"/>
          <w:rtl/>
        </w:rPr>
        <w:t>) والعقود الذكية لتوثيق الأعمال وحماية أصالتها</w:t>
      </w:r>
      <w:r w:rsidRPr="009A193B">
        <w:rPr>
          <w:rFonts w:ascii="Traditional Arabic" w:eastAsia="Traditional Arabic" w:hAnsi="Traditional Arabic" w:cs="Traditional Arabic"/>
          <w:sz w:val="24"/>
          <w:szCs w:val="24"/>
        </w:rPr>
        <w:t xml:space="preserve"> </w:t>
      </w:r>
      <w:r w:rsidRPr="009A193B">
        <w:rPr>
          <w:rFonts w:ascii="Traditional Arabic" w:eastAsia="Traditional Arabic" w:hAnsi="Traditional Arabic" w:cs="Traditional Arabic"/>
          <w:b/>
          <w:bCs/>
          <w:sz w:val="24"/>
          <w:szCs w:val="24"/>
        </w:rPr>
        <w:t>(</w:t>
      </w:r>
      <w:r w:rsidRPr="009A193B">
        <w:rPr>
          <w:rFonts w:asciiTheme="majorBidi" w:eastAsia="Traditional Arabic" w:hAnsiTheme="majorBidi" w:cstheme="majorBidi"/>
          <w:sz w:val="24"/>
          <w:szCs w:val="24"/>
        </w:rPr>
        <w:t>Deloitte</w:t>
      </w:r>
      <w:r w:rsidRPr="009A193B">
        <w:rPr>
          <w:rFonts w:ascii="Traditional Arabic" w:eastAsia="Traditional Arabic" w:hAnsi="Traditional Arabic" w:cs="Traditional Arabic"/>
          <w:b/>
          <w:bCs/>
          <w:sz w:val="24"/>
          <w:szCs w:val="24"/>
        </w:rPr>
        <w:t xml:space="preserve"> </w:t>
      </w:r>
      <w:r w:rsidRPr="009A193B">
        <w:rPr>
          <w:rFonts w:asciiTheme="majorBidi" w:eastAsia="Traditional Arabic" w:hAnsiTheme="majorBidi" w:cstheme="majorBidi"/>
          <w:sz w:val="24"/>
          <w:szCs w:val="24"/>
        </w:rPr>
        <w:t>Private &amp; ArtTactic, 2025)</w:t>
      </w:r>
      <w:r w:rsidR="009A193B">
        <w:rPr>
          <w:rFonts w:asciiTheme="majorBidi" w:eastAsia="Traditional Arabic" w:hAnsiTheme="majorBidi" w:cstheme="majorBidi" w:hint="cs"/>
          <w:sz w:val="24"/>
          <w:szCs w:val="24"/>
          <w:rtl/>
        </w:rPr>
        <w:t>.</w:t>
      </w:r>
    </w:p>
    <w:p w14:paraId="486C5FD3" w14:textId="77777777" w:rsidR="004E1AC4" w:rsidRPr="009A193B" w:rsidRDefault="00000000">
      <w:pPr>
        <w:numPr>
          <w:ilvl w:val="0"/>
          <w:numId w:val="5"/>
        </w:numPr>
        <w:bidi/>
        <w:spacing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والابتكار الاقتصادي:</w:t>
      </w:r>
      <w:r w:rsidRPr="009A193B">
        <w:rPr>
          <w:rFonts w:ascii="Traditional Arabic" w:eastAsia="Traditional Arabic" w:hAnsi="Traditional Arabic" w:cs="Traditional Arabic"/>
          <w:sz w:val="24"/>
          <w:szCs w:val="24"/>
          <w:rtl/>
        </w:rPr>
        <w:t xml:space="preserve"> ويعني توافر آليات تمويل مشترك وتجزئة تشاركية للأصول الفنية لضمان سيولتها </w:t>
      </w:r>
      <w:r w:rsidRPr="009A193B">
        <w:rPr>
          <w:rFonts w:asciiTheme="majorBidi" w:eastAsia="Traditional Arabic" w:hAnsiTheme="majorBidi" w:cstheme="majorBidi"/>
          <w:sz w:val="24"/>
          <w:szCs w:val="24"/>
        </w:rPr>
        <w:t>(Deloitte Private &amp;</w:t>
      </w:r>
      <w:r w:rsidRPr="009A193B">
        <w:rPr>
          <w:rFonts w:ascii="Traditional Arabic" w:eastAsia="Traditional Arabic" w:hAnsi="Traditional Arabic" w:cs="Traditional Arabic"/>
          <w:b/>
          <w:bCs/>
          <w:sz w:val="24"/>
          <w:szCs w:val="24"/>
        </w:rPr>
        <w:t xml:space="preserve"> </w:t>
      </w:r>
      <w:r w:rsidRPr="009A193B">
        <w:rPr>
          <w:rFonts w:asciiTheme="majorBidi" w:eastAsia="Traditional Arabic" w:hAnsiTheme="majorBidi" w:cstheme="majorBidi"/>
          <w:sz w:val="24"/>
          <w:szCs w:val="24"/>
        </w:rPr>
        <w:t>ArtTactic, 2023; Knight Frank, 2024).</w:t>
      </w:r>
    </w:p>
    <w:p w14:paraId="00A50F6D" w14:textId="77777777" w:rsidR="004E1AC4" w:rsidRPr="009A193B" w:rsidRDefault="00000000">
      <w:pPr>
        <w:numPr>
          <w:ilvl w:val="0"/>
          <w:numId w:val="5"/>
        </w:numPr>
        <w:bidi/>
        <w:spacing w:after="24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والابتكار المؤسسي والتنظيمي:</w:t>
      </w:r>
      <w:r w:rsidRPr="009A193B">
        <w:rPr>
          <w:rFonts w:ascii="Traditional Arabic" w:eastAsia="Traditional Arabic" w:hAnsi="Traditional Arabic" w:cs="Traditional Arabic"/>
          <w:sz w:val="24"/>
          <w:szCs w:val="24"/>
          <w:rtl/>
        </w:rPr>
        <w:t xml:space="preserve"> ويعني وجود لوائح صارمة تحكم أدوار الوسطاء والمثمنين ومراكز تحكيم مستقلة لفض النزاعات (هيئة الفنون البصرية، 2021؛ وزارة الثقافة، 2024)</w:t>
      </w:r>
      <w:r w:rsidRPr="009A193B">
        <w:rPr>
          <w:rFonts w:ascii="Traditional Arabic" w:eastAsia="Traditional Arabic" w:hAnsi="Traditional Arabic" w:cs="Traditional Arabic"/>
          <w:sz w:val="24"/>
          <w:szCs w:val="24"/>
        </w:rPr>
        <w:t>.</w:t>
      </w:r>
    </w:p>
    <w:p w14:paraId="574D800B"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3- أبعاد الابتكار المرتبط بالاتصال التسويقي المتكامل:</w:t>
      </w:r>
    </w:p>
    <w:p w14:paraId="53360FB8" w14:textId="77777777" w:rsidR="004E1AC4" w:rsidRPr="009A193B" w:rsidRDefault="00000000">
      <w:pPr>
        <w:numPr>
          <w:ilvl w:val="0"/>
          <w:numId w:val="9"/>
        </w:numPr>
        <w:bidi/>
        <w:spacing w:before="240"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الابتكار التسويقي:</w:t>
      </w:r>
      <w:r w:rsidRPr="009A193B">
        <w:rPr>
          <w:rFonts w:ascii="Traditional Arabic" w:eastAsia="Traditional Arabic" w:hAnsi="Traditional Arabic" w:cs="Traditional Arabic"/>
          <w:sz w:val="24"/>
          <w:szCs w:val="24"/>
          <w:rtl/>
        </w:rPr>
        <w:t xml:space="preserve"> تطوير أساليب جديدة في تصميم المنتج، أو التسعير، أو الترويج، أو التوزيع، بما يحقق قيمة أكبر للعملاء ويعزز القدرة التنافسية.</w:t>
      </w:r>
    </w:p>
    <w:p w14:paraId="5C05F676" w14:textId="77777777" w:rsidR="004E1AC4" w:rsidRPr="009A193B" w:rsidRDefault="00000000">
      <w:pPr>
        <w:numPr>
          <w:ilvl w:val="0"/>
          <w:numId w:val="9"/>
        </w:numPr>
        <w:bidi/>
        <w:spacing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الابتكار النفسي والسلوكي:</w:t>
      </w:r>
      <w:r w:rsidRPr="009A193B">
        <w:rPr>
          <w:rFonts w:ascii="Traditional Arabic" w:eastAsia="Traditional Arabic" w:hAnsi="Traditional Arabic" w:cs="Traditional Arabic"/>
          <w:sz w:val="24"/>
          <w:szCs w:val="24"/>
          <w:rtl/>
        </w:rPr>
        <w:t xml:space="preserve"> استخدام الأساليب الاتصالية التي تؤثر في إدراك العملاء واتجاهاتهم وسلوكهم الشراعي مما يسهم في بناء الثقة وتعزيز نية الشراء.</w:t>
      </w:r>
    </w:p>
    <w:p w14:paraId="6BCCE6EE" w14:textId="77777777" w:rsidR="004E1AC4" w:rsidRPr="009A193B" w:rsidRDefault="00000000">
      <w:pPr>
        <w:numPr>
          <w:ilvl w:val="0"/>
          <w:numId w:val="9"/>
        </w:numPr>
        <w:bidi/>
        <w:spacing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الابتكار التقني:</w:t>
      </w:r>
      <w:r w:rsidRPr="009A193B">
        <w:rPr>
          <w:rFonts w:ascii="Traditional Arabic" w:eastAsia="Traditional Arabic" w:hAnsi="Traditional Arabic" w:cs="Traditional Arabic"/>
          <w:sz w:val="24"/>
          <w:szCs w:val="24"/>
          <w:rtl/>
        </w:rPr>
        <w:t xml:space="preserve"> توظيف التقنيات الرقمية والذكاء الاصطناعي والمنصات الإلكترونية والتقنيات الحديثة في تحسين العمليات التسويقية وتعزيز تجربة العميل.</w:t>
      </w:r>
    </w:p>
    <w:p w14:paraId="2EC41F0A" w14:textId="77777777" w:rsidR="004E1AC4" w:rsidRPr="009A193B" w:rsidRDefault="00000000">
      <w:pPr>
        <w:numPr>
          <w:ilvl w:val="0"/>
          <w:numId w:val="9"/>
        </w:numPr>
        <w:bidi/>
        <w:spacing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الابتكار الاقتصادي:</w:t>
      </w:r>
      <w:r w:rsidRPr="009A193B">
        <w:rPr>
          <w:rFonts w:ascii="Traditional Arabic" w:eastAsia="Traditional Arabic" w:hAnsi="Traditional Arabic" w:cs="Traditional Arabic"/>
          <w:sz w:val="24"/>
          <w:szCs w:val="24"/>
          <w:rtl/>
        </w:rPr>
        <w:t xml:space="preserve"> ابتكار نماذج اقتصادية واستثمارية وآليات تسعير جديدة تسهم في زيادة القيمة الاقتصادية وتعزيز استدامة السوق.</w:t>
      </w:r>
    </w:p>
    <w:p w14:paraId="34E78FBC" w14:textId="77777777" w:rsidR="004E1AC4" w:rsidRDefault="00000000">
      <w:pPr>
        <w:numPr>
          <w:ilvl w:val="0"/>
          <w:numId w:val="9"/>
        </w:numPr>
        <w:bidi/>
        <w:spacing w:after="24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الابتكار المؤسسي والتنظيمي:</w:t>
      </w:r>
      <w:r w:rsidRPr="009A193B">
        <w:rPr>
          <w:rFonts w:ascii="Traditional Arabic" w:eastAsia="Traditional Arabic" w:hAnsi="Traditional Arabic" w:cs="Traditional Arabic"/>
          <w:sz w:val="24"/>
          <w:szCs w:val="24"/>
          <w:rtl/>
        </w:rPr>
        <w:t xml:space="preserve"> هو تطوير الهياكل التنظيمية والسياسات والحوكمة والإجراءات بما يدعم الابتكار ويرفع كفاءة الأداء المؤسسي.</w:t>
      </w:r>
    </w:p>
    <w:p w14:paraId="50B96368" w14:textId="77777777" w:rsidR="009A193B" w:rsidRDefault="009A193B" w:rsidP="009A193B">
      <w:pPr>
        <w:bidi/>
        <w:spacing w:after="240" w:line="360" w:lineRule="auto"/>
        <w:rPr>
          <w:rFonts w:ascii="Traditional Arabic" w:eastAsia="Traditional Arabic" w:hAnsi="Traditional Arabic" w:cs="Traditional Arabic"/>
          <w:sz w:val="24"/>
          <w:szCs w:val="24"/>
          <w:rtl/>
        </w:rPr>
      </w:pPr>
    </w:p>
    <w:p w14:paraId="4D028C1E" w14:textId="77777777" w:rsidR="009A193B" w:rsidRPr="009A193B" w:rsidRDefault="009A193B" w:rsidP="009A193B">
      <w:pPr>
        <w:bidi/>
        <w:spacing w:after="240" w:line="360" w:lineRule="auto"/>
        <w:rPr>
          <w:rFonts w:ascii="Traditional Arabic" w:eastAsia="Traditional Arabic" w:hAnsi="Traditional Arabic" w:cs="Traditional Arabic"/>
          <w:sz w:val="24"/>
          <w:szCs w:val="24"/>
        </w:rPr>
      </w:pPr>
    </w:p>
    <w:p w14:paraId="3281F59E"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lastRenderedPageBreak/>
        <w:t>4- الابتكار المرتبط بالاتصال التسويقي المتكامل:</w:t>
      </w:r>
    </w:p>
    <w:p w14:paraId="3EB86B77" w14:textId="6F41AD34" w:rsidR="004E1AC4" w:rsidRPr="009A193B" w:rsidRDefault="00000000">
      <w:pPr>
        <w:numPr>
          <w:ilvl w:val="0"/>
          <w:numId w:val="8"/>
        </w:numPr>
        <w:bidi/>
        <w:spacing w:before="240" w:after="0" w:line="360" w:lineRule="auto"/>
        <w:rPr>
          <w:rFonts w:asciiTheme="majorBidi" w:eastAsia="Traditional Arabic" w:hAnsiTheme="majorBidi" w:cstheme="majorBidi"/>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توظيف الممارسات الابتكارية في التخطيط وتنفيذ وتطوير استراتيجيات الاتصال التسويقي المتكامل بما يسهم في تحسين كفاءة الرسائل والقنوات والتجربة التسويقية وتحقيق قيمة أعلى للعملاء وأصحاب </w:t>
      </w:r>
      <w:r w:rsidRPr="009A193B">
        <w:rPr>
          <w:rFonts w:ascii="Traditional Arabic" w:eastAsia="Traditional Arabic" w:hAnsi="Traditional Arabic" w:cs="Traditional Arabic"/>
          <w:sz w:val="24"/>
          <w:szCs w:val="24"/>
          <w:rtl/>
        </w:rPr>
        <w:t>المصلحة</w:t>
      </w:r>
      <w:r w:rsidRPr="009A193B">
        <w:rPr>
          <w:rFonts w:ascii="Traditional Arabic" w:eastAsia="Traditional Arabic" w:hAnsi="Traditional Arabic" w:cs="Traditional Arabic"/>
          <w:sz w:val="24"/>
          <w:szCs w:val="24"/>
        </w:rPr>
        <w:t xml:space="preserve"> </w:t>
      </w:r>
      <w:r w:rsidRPr="009A193B">
        <w:rPr>
          <w:rFonts w:asciiTheme="majorBidi" w:eastAsia="Traditional Arabic" w:hAnsiTheme="majorBidi" w:cstheme="majorBidi"/>
          <w:sz w:val="24"/>
          <w:szCs w:val="24"/>
        </w:rPr>
        <w:t>(</w:t>
      </w:r>
      <w:r w:rsidRPr="009A193B">
        <w:rPr>
          <w:rFonts w:asciiTheme="majorBidi" w:hAnsiTheme="majorBidi" w:cstheme="majorBidi"/>
          <w:sz w:val="24"/>
          <w:szCs w:val="24"/>
        </w:rPr>
        <w:t>Wijnberg &amp; Gemser, 2000</w:t>
      </w:r>
      <w:r w:rsidRPr="009A193B">
        <w:rPr>
          <w:rFonts w:asciiTheme="majorBidi" w:eastAsia="Traditional Arabic" w:hAnsiTheme="majorBidi" w:cstheme="majorBidi"/>
          <w:sz w:val="24"/>
          <w:szCs w:val="24"/>
        </w:rPr>
        <w:t>; PwC Strategy&amp;, 2023)</w:t>
      </w:r>
      <w:r w:rsidR="009A193B">
        <w:rPr>
          <w:rFonts w:asciiTheme="majorBidi" w:eastAsia="Traditional Arabic" w:hAnsiTheme="majorBidi" w:cstheme="majorBidi" w:hint="cs"/>
          <w:sz w:val="24"/>
          <w:szCs w:val="24"/>
          <w:rtl/>
        </w:rPr>
        <w:t>.</w:t>
      </w:r>
    </w:p>
    <w:p w14:paraId="43FF8F7E" w14:textId="77777777" w:rsidR="004E1AC4" w:rsidRDefault="00000000">
      <w:pPr>
        <w:numPr>
          <w:ilvl w:val="0"/>
          <w:numId w:val="8"/>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يقصد به في هذه الرسالة تطبيق الأبعاد الخمسة للابتكار ضمن منظومة الاتصال التسويقي المتكامل لقياس أثرها لتنمية سوق الفنون البصرية في المملكة العربية السعودية.</w:t>
      </w:r>
    </w:p>
    <w:p w14:paraId="3E30B7C1"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 xml:space="preserve">5- الاتصال التسويقي المتكامل: </w:t>
      </w:r>
      <w:r>
        <w:rPr>
          <w:rFonts w:ascii="Traditional Arabic" w:eastAsia="Traditional Arabic" w:hAnsi="Traditional Arabic" w:cs="Traditional Arabic"/>
          <w:b/>
          <w:bCs/>
          <w:sz w:val="24"/>
          <w:szCs w:val="24"/>
        </w:rPr>
        <w:t>Integrated Marketing Communication</w:t>
      </w:r>
    </w:p>
    <w:p w14:paraId="6E063EED" w14:textId="56984D84" w:rsidR="004E1AC4" w:rsidRDefault="00000000">
      <w:pPr>
        <w:numPr>
          <w:ilvl w:val="0"/>
          <w:numId w:val="6"/>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عملية تخطيط وتنفيذ وتنسيق جميع الرسائل الاتصالية؛ بما يحقق الاتساق والتكامل في بناء علاقات مع أصحاب المصلحة، ويعرف بأنه مفهوم استراتيجي يهدف إلى توحيد جميع أدوات الاتصال التسويقي، لتقديم رسالة موحدة ومتسقة، تحقق أقصى تأثير على الجمهور المستهدف</w:t>
      </w:r>
      <w:r w:rsidRPr="009A193B">
        <w:rPr>
          <w:rFonts w:asciiTheme="majorBidi" w:eastAsia="Traditional Arabic" w:hAnsiTheme="majorBidi" w:cstheme="majorBidi"/>
          <w:sz w:val="24"/>
          <w:szCs w:val="24"/>
        </w:rPr>
        <w:t xml:space="preserve"> (PwC Strategy&amp;, 2023; UNESCO, 2022)</w:t>
      </w:r>
      <w:r w:rsidR="009A193B">
        <w:rPr>
          <w:rFonts w:asciiTheme="majorBidi" w:eastAsia="Traditional Arabic" w:hAnsiTheme="majorBidi" w:cstheme="majorBidi" w:hint="cs"/>
          <w:sz w:val="24"/>
          <w:szCs w:val="24"/>
          <w:rtl/>
        </w:rPr>
        <w:t>.</w:t>
      </w:r>
    </w:p>
    <w:p w14:paraId="00A905CF" w14:textId="77777777" w:rsidR="004E1AC4" w:rsidRDefault="00000000">
      <w:pPr>
        <w:numPr>
          <w:ilvl w:val="0"/>
          <w:numId w:val="6"/>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ويقصد به في هذه الدراسة الاستراتيجية التي يتم من خلالها توظيف مختلف أدوات وقنوات الاتصال التسويقي بصورة متكاملة لدعم تطبيق أبعاد الابتكار وتعزيز تنمية سوق الفنون البصرية.</w:t>
      </w:r>
    </w:p>
    <w:p w14:paraId="6F50857A" w14:textId="0D068202" w:rsidR="004E1AC4" w:rsidRPr="009A193B" w:rsidRDefault="00000000">
      <w:pPr>
        <w:bidi/>
        <w:spacing w:before="240" w:after="24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6- استراتيجيات الاتصال التسويقي المتكامل:</w:t>
      </w:r>
      <w:r w:rsidRPr="009A193B">
        <w:rPr>
          <w:rFonts w:ascii="Traditional Arabic" w:eastAsia="Traditional Arabic" w:hAnsi="Traditional Arabic" w:cs="Traditional Arabic"/>
          <w:sz w:val="24"/>
          <w:szCs w:val="24"/>
          <w:rtl/>
        </w:rPr>
        <w:t xml:space="preserve"> ويُقصد به توحيد جميع الرسائل والقنوات الترويجية الصادرة عن المؤسسة الثقافية في خطاب متسق يوجَّه للجمهور بهدف تعظيم الإقناع وخفض التشويش، ويُقاس من خلال أربعة أبعاد: الاتساق الرسالي بين الخطاب النقدي والاستثماري، وتكامل القنوات بين المعارض الافتراضية والواقعية، وبناء الهوية الرمزية للمعارض كعلامة تجارية ثقافية، والتسويق التجريبي الذي يُشرك المقتني في التجربة الإبداعية. وتُجمع بياناته عبر استمارة </w:t>
      </w:r>
      <w:r w:rsidR="009A193B" w:rsidRPr="009A193B">
        <w:rPr>
          <w:rFonts w:ascii="Traditional Arabic" w:eastAsia="Traditional Arabic" w:hAnsi="Traditional Arabic" w:cs="Traditional Arabic" w:hint="cs"/>
          <w:sz w:val="24"/>
          <w:szCs w:val="24"/>
          <w:rtl/>
        </w:rPr>
        <w:t>تحليل</w:t>
      </w:r>
      <w:r w:rsidRPr="009A193B">
        <w:rPr>
          <w:rFonts w:ascii="Traditional Arabic" w:eastAsia="Traditional Arabic" w:hAnsi="Traditional Arabic" w:cs="Traditional Arabic"/>
          <w:sz w:val="24"/>
          <w:szCs w:val="24"/>
          <w:rtl/>
        </w:rPr>
        <w:t xml:space="preserve"> المضمون واستبيان المقتنين</w:t>
      </w:r>
      <w:r w:rsidR="009A193B">
        <w:rPr>
          <w:rFonts w:ascii="Traditional Arabic" w:eastAsia="Traditional Arabic" w:hAnsi="Traditional Arabic" w:cs="Traditional Arabic" w:hint="cs"/>
          <w:sz w:val="24"/>
          <w:szCs w:val="24"/>
          <w:rtl/>
        </w:rPr>
        <w:t>(</w:t>
      </w:r>
      <w:r w:rsidRPr="009A193B">
        <w:rPr>
          <w:rFonts w:asciiTheme="majorBidi" w:eastAsia="Traditional Arabic" w:hAnsiTheme="majorBidi" w:cstheme="majorBidi"/>
          <w:sz w:val="24"/>
          <w:szCs w:val="24"/>
        </w:rPr>
        <w:t>McAndrew, 2026; PwC Strategy</w:t>
      </w:r>
      <w:r w:rsidRPr="009A193B">
        <w:rPr>
          <w:rFonts w:asciiTheme="majorBidi" w:eastAsia="Traditional Arabic" w:hAnsiTheme="majorBidi" w:cstheme="majorBidi"/>
          <w:sz w:val="24"/>
          <w:szCs w:val="24"/>
          <w:rtl/>
        </w:rPr>
        <w:t>&amp;,</w:t>
      </w:r>
      <w:r w:rsidRPr="009A193B">
        <w:rPr>
          <w:rFonts w:ascii="Traditional Arabic" w:eastAsia="Traditional Arabic" w:hAnsi="Traditional Arabic" w:cs="Traditional Arabic"/>
          <w:sz w:val="24"/>
          <w:szCs w:val="24"/>
          <w:rtl/>
        </w:rPr>
        <w:t xml:space="preserve"> 2023; وزارة الثقافة، 2025)</w:t>
      </w:r>
      <w:r w:rsidRPr="009A193B">
        <w:rPr>
          <w:rFonts w:ascii="Traditional Arabic" w:eastAsia="Traditional Arabic" w:hAnsi="Traditional Arabic" w:cs="Traditional Arabic"/>
          <w:sz w:val="24"/>
          <w:szCs w:val="24"/>
        </w:rPr>
        <w:t>.</w:t>
      </w:r>
    </w:p>
    <w:p w14:paraId="7F1D8AC2"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sz w:val="24"/>
          <w:szCs w:val="24"/>
        </w:rPr>
        <w:br/>
      </w:r>
      <w:r>
        <w:rPr>
          <w:rFonts w:ascii="Traditional Arabic" w:eastAsia="Traditional Arabic" w:hAnsi="Traditional Arabic" w:cs="Traditional Arabic"/>
          <w:b/>
          <w:bCs/>
          <w:sz w:val="24"/>
          <w:szCs w:val="24"/>
          <w:rtl/>
        </w:rPr>
        <w:t>1- استراتيجية الاتساق الرسالي:</w:t>
      </w:r>
    </w:p>
    <w:p w14:paraId="2B61405F" w14:textId="0A4A1D61" w:rsidR="004E1AC4" w:rsidRPr="009A193B" w:rsidRDefault="00000000">
      <w:pPr>
        <w:numPr>
          <w:ilvl w:val="0"/>
          <w:numId w:val="21"/>
        </w:numPr>
        <w:bidi/>
        <w:spacing w:before="240" w:after="0" w:line="360" w:lineRule="auto"/>
        <w:rPr>
          <w:rFonts w:asciiTheme="majorBidi" w:eastAsia="Traditional Arabic" w:hAnsiTheme="majorBidi" w:cstheme="majorBidi"/>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الحفاظ على وحدة الرسائل الاتصالية التي تقدمها المنظمة عبر جميع وسائل الاتصال، حيث تعكس المضمون والهوية والقيم الموحدة، مما يعزز وضوح الصورة الذهنية ويزيد من المصداقية لدى الجمهور </w:t>
      </w:r>
      <w:r w:rsidRPr="009A193B">
        <w:rPr>
          <w:rFonts w:asciiTheme="majorBidi" w:eastAsia="Traditional Arabic" w:hAnsiTheme="majorBidi" w:cstheme="majorBidi"/>
          <w:sz w:val="24"/>
          <w:szCs w:val="24"/>
        </w:rPr>
        <w:t>(PwC Strategy&amp;, 2023; UNESCO, 2022)</w:t>
      </w:r>
      <w:r w:rsidR="009A193B">
        <w:rPr>
          <w:rFonts w:asciiTheme="majorBidi" w:eastAsia="Traditional Arabic" w:hAnsiTheme="majorBidi" w:cstheme="majorBidi" w:hint="cs"/>
          <w:sz w:val="24"/>
          <w:szCs w:val="24"/>
          <w:rtl/>
        </w:rPr>
        <w:t>.</w:t>
      </w:r>
    </w:p>
    <w:p w14:paraId="4CEF34C8" w14:textId="77777777" w:rsidR="004E1AC4" w:rsidRDefault="00000000">
      <w:pPr>
        <w:numPr>
          <w:ilvl w:val="0"/>
          <w:numId w:val="21"/>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lastRenderedPageBreak/>
        <w:t>التعريف الإجرائي:</w:t>
      </w:r>
      <w:r>
        <w:rPr>
          <w:rFonts w:ascii="Traditional Arabic" w:eastAsia="Traditional Arabic" w:hAnsi="Traditional Arabic" w:cs="Traditional Arabic"/>
          <w:sz w:val="24"/>
          <w:szCs w:val="24"/>
          <w:rtl/>
        </w:rPr>
        <w:t xml:space="preserve"> توحيد الرسائل المتعلقة بالأعمال الفنية والفنانين والقيمة الاستثمارية للفنون عبر جميع وسائل التواصل بما يسهم في تعزيز ثقة المقتنين وتنمية سوق الفنون البصرية.</w:t>
      </w:r>
    </w:p>
    <w:p w14:paraId="0FC8C64F"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2- استراتيجية تكامل القنوات:</w:t>
      </w:r>
    </w:p>
    <w:p w14:paraId="246C7C86" w14:textId="532169D6" w:rsidR="004E1AC4" w:rsidRPr="009A193B" w:rsidRDefault="00000000">
      <w:pPr>
        <w:numPr>
          <w:ilvl w:val="0"/>
          <w:numId w:val="22"/>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يشير إلى التنسيق بين جميع قنوات الاتصال التقليدية والرقمية لتجربة اتصال متجانسة تضمن انتقال الجمهور بين القنوات المختلفة دون انقطاع أو تشتت في الرسائل </w:t>
      </w:r>
      <w:r w:rsidRPr="009A193B">
        <w:rPr>
          <w:rFonts w:asciiTheme="majorBidi" w:eastAsia="Traditional Arabic" w:hAnsiTheme="majorBidi" w:cstheme="majorBidi"/>
          <w:sz w:val="24"/>
          <w:szCs w:val="24"/>
        </w:rPr>
        <w:t>(McAndrew, 2026; PwC Strategy&amp;, 2023)</w:t>
      </w:r>
      <w:r w:rsidR="009A193B">
        <w:rPr>
          <w:rFonts w:asciiTheme="majorBidi" w:eastAsia="Traditional Arabic" w:hAnsiTheme="majorBidi" w:cstheme="majorBidi" w:hint="cs"/>
          <w:sz w:val="24"/>
          <w:szCs w:val="24"/>
          <w:rtl/>
        </w:rPr>
        <w:t>.</w:t>
      </w:r>
    </w:p>
    <w:p w14:paraId="70F1E084" w14:textId="77777777" w:rsidR="004E1AC4" w:rsidRDefault="00000000">
      <w:pPr>
        <w:numPr>
          <w:ilvl w:val="0"/>
          <w:numId w:val="22"/>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تكامل المعارض الفنية والمنصات الرقمية ووسائل التواصل الاجتماعي والمواقع الإلكترونية وغيرها من القنوات لتوفير تجربة اتصال موحدة تدعم تنمية سوق الفنون البصرية.</w:t>
      </w:r>
    </w:p>
    <w:p w14:paraId="0A3F1EDE"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3- استراتيجية بناء الهوية والرمزية:</w:t>
      </w:r>
    </w:p>
    <w:p w14:paraId="328FE851" w14:textId="77777777" w:rsidR="004E1AC4" w:rsidRDefault="00000000">
      <w:pPr>
        <w:numPr>
          <w:ilvl w:val="0"/>
          <w:numId w:val="4"/>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توظيف الرموز والقيم الثقافية والسرد البصري والعناصر المعنوية في تكوين هوية مميزة للعلامة أو المنتج بما يعزز القيمة المدركة والارتباط العاطفي لدى الجمهو</w:t>
      </w:r>
      <w:r w:rsidRPr="009A193B">
        <w:rPr>
          <w:rFonts w:ascii="Traditional Arabic" w:eastAsia="Traditional Arabic" w:hAnsi="Traditional Arabic" w:cs="Traditional Arabic"/>
          <w:sz w:val="24"/>
          <w:szCs w:val="24"/>
          <w:rtl/>
        </w:rPr>
        <w:t>ر</w:t>
      </w:r>
      <w:r w:rsidRPr="009A193B">
        <w:rPr>
          <w:rFonts w:ascii="Traditional Arabic" w:eastAsia="Traditional Arabic" w:hAnsi="Traditional Arabic" w:cs="Traditional Arabic"/>
          <w:sz w:val="24"/>
          <w:szCs w:val="24"/>
        </w:rPr>
        <w:t xml:space="preserve"> </w:t>
      </w:r>
      <w:r w:rsidRPr="009A193B">
        <w:rPr>
          <w:rFonts w:ascii="Traditional Arabic" w:eastAsia="Traditional Arabic" w:hAnsi="Traditional Arabic" w:cs="Traditional Arabic"/>
          <w:sz w:val="24"/>
          <w:szCs w:val="24"/>
          <w:rtl/>
        </w:rPr>
        <w:t>(وزارة الثقافة، 2025؛ هيئة الفنون البصرية، 2021)</w:t>
      </w:r>
      <w:r w:rsidRPr="009A193B">
        <w:rPr>
          <w:rFonts w:ascii="Traditional Arabic" w:eastAsia="Traditional Arabic" w:hAnsi="Traditional Arabic" w:cs="Traditional Arabic"/>
          <w:sz w:val="24"/>
          <w:szCs w:val="24"/>
        </w:rPr>
        <w:t>.</w:t>
      </w:r>
    </w:p>
    <w:p w14:paraId="55D031B5" w14:textId="77777777" w:rsidR="004E1AC4" w:rsidRDefault="00000000">
      <w:pPr>
        <w:numPr>
          <w:ilvl w:val="0"/>
          <w:numId w:val="4"/>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تعزيز الهوية الثقافية والرمزية للفنون البصرية السعودية من خلال الرسائل الاتصالية بما يزيد من إدراك قيمتها الثقافية والاستثمارية لدى المقتنيين.</w:t>
      </w:r>
    </w:p>
    <w:p w14:paraId="2F0FD521"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4- استراتيجية التسويق التجريبي:</w:t>
      </w:r>
    </w:p>
    <w:p w14:paraId="0D702DCE" w14:textId="65575C92" w:rsidR="004E1AC4" w:rsidRDefault="00000000">
      <w:pPr>
        <w:numPr>
          <w:ilvl w:val="0"/>
          <w:numId w:val="3"/>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استراتيجية تركز على تصميم تجارب حسية وعاطفية ومعرفية وسلوكية ثرية تمكن العملاء من التفاعل المباشر مع المنتج أو العلامة بما يعزز القيمة المدركة والارتباط طويل الأم</w:t>
      </w:r>
      <w:r w:rsidR="009A193B">
        <w:rPr>
          <w:rFonts w:ascii="Traditional Arabic" w:eastAsia="Traditional Arabic" w:hAnsi="Traditional Arabic" w:cs="Traditional Arabic" w:hint="cs"/>
          <w:sz w:val="24"/>
          <w:szCs w:val="24"/>
          <w:rtl/>
        </w:rPr>
        <w:t xml:space="preserve">د </w:t>
      </w:r>
      <w:r w:rsidRPr="009A193B">
        <w:rPr>
          <w:rFonts w:asciiTheme="majorBidi" w:eastAsia="Traditional Arabic" w:hAnsiTheme="majorBidi" w:cstheme="majorBidi"/>
          <w:sz w:val="24"/>
          <w:szCs w:val="24"/>
        </w:rPr>
        <w:t xml:space="preserve"> (Knight Frank, 2024; McAndrew, 2026)</w:t>
      </w:r>
      <w:r w:rsidR="009A193B">
        <w:rPr>
          <w:rFonts w:asciiTheme="majorBidi" w:eastAsia="Traditional Arabic" w:hAnsiTheme="majorBidi" w:cstheme="majorBidi" w:hint="cs"/>
          <w:sz w:val="24"/>
          <w:szCs w:val="24"/>
          <w:rtl/>
        </w:rPr>
        <w:t>.</w:t>
      </w:r>
    </w:p>
    <w:p w14:paraId="2399F102" w14:textId="77777777" w:rsidR="004E1AC4" w:rsidRDefault="00000000">
      <w:pPr>
        <w:numPr>
          <w:ilvl w:val="0"/>
          <w:numId w:val="3"/>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تصميم تجارب فنية تفاعلية داخل المعارض والمنصات الرقمية والفعاليات الثقافية تمكن المقتني من معايشة العمل الفني بما يعزز رغبته في الاقتناء ويسهم في تنمية سوق الفنون البصرية.</w:t>
      </w:r>
    </w:p>
    <w:p w14:paraId="63BFA3E7" w14:textId="7D7232FF" w:rsidR="004E1AC4" w:rsidRDefault="00000000">
      <w:pPr>
        <w:bidi/>
        <w:spacing w:before="240" w:after="240" w:line="360" w:lineRule="auto"/>
        <w:rPr>
          <w:rFonts w:ascii="Traditional Arabic" w:eastAsia="Traditional Arabic" w:hAnsi="Traditional Arabic" w:cs="Traditional Arabic"/>
          <w:sz w:val="24"/>
          <w:szCs w:val="24"/>
          <w:highlight w:val="red"/>
        </w:rPr>
      </w:pPr>
      <w:r>
        <w:rPr>
          <w:rFonts w:ascii="Traditional Arabic" w:eastAsia="Traditional Arabic" w:hAnsi="Traditional Arabic" w:cs="Traditional Arabic"/>
          <w:b/>
          <w:bCs/>
          <w:sz w:val="24"/>
          <w:szCs w:val="24"/>
          <w:rtl/>
        </w:rPr>
        <w:t>7- سيكولوجية المقتني الجديد:</w:t>
      </w:r>
      <w:r>
        <w:rPr>
          <w:rFonts w:ascii="Traditional Arabic" w:eastAsia="Traditional Arabic" w:hAnsi="Traditional Arabic" w:cs="Traditional Arabic"/>
          <w:sz w:val="24"/>
          <w:szCs w:val="24"/>
          <w:rtl/>
        </w:rPr>
        <w:t xml:space="preserve"> في النموذج، وهو الجيل الجديد من مقتني الأعمال الفنية الذين يعتمدون على البيئات الرقمية في تشكيل قراراتهم الشرائية، ويجمعون بين الشغف الجمالي والحذر الاستثماري، ويُقاس عبر محورين: مستوى الثقة الإدراكية لديه، ومستوى انخفاض المخاطر النفسية والمالية المدركة</w:t>
      </w:r>
      <w:r w:rsidR="009A193B">
        <w:rPr>
          <w:rFonts w:ascii="Traditional Arabic" w:eastAsia="Traditional Arabic" w:hAnsi="Traditional Arabic" w:cs="Traditional Arabic" w:hint="cs"/>
          <w:sz w:val="24"/>
          <w:szCs w:val="24"/>
          <w:rtl/>
        </w:rPr>
        <w:t>؛</w:t>
      </w:r>
      <w:r>
        <w:rPr>
          <w:rFonts w:ascii="Traditional Arabic" w:eastAsia="Traditional Arabic" w:hAnsi="Traditional Arabic" w:cs="Traditional Arabic"/>
          <w:sz w:val="24"/>
          <w:szCs w:val="24"/>
          <w:rtl/>
        </w:rPr>
        <w:t xml:space="preserve"> كالخوف من ضعف السيولة أو شراء أعمال مزيف</w:t>
      </w:r>
      <w:r w:rsidR="009A193B">
        <w:rPr>
          <w:rFonts w:ascii="Traditional Arabic" w:eastAsia="Traditional Arabic" w:hAnsi="Traditional Arabic" w:cs="Traditional Arabic" w:hint="cs"/>
          <w:sz w:val="24"/>
          <w:szCs w:val="24"/>
          <w:rtl/>
        </w:rPr>
        <w:t xml:space="preserve">ة </w:t>
      </w:r>
      <w:r w:rsidRPr="009A193B">
        <w:rPr>
          <w:rFonts w:ascii="Traditional Arabic" w:eastAsia="Traditional Arabic" w:hAnsi="Traditional Arabic" w:cs="Traditional Arabic"/>
          <w:sz w:val="24"/>
          <w:szCs w:val="24"/>
        </w:rPr>
        <w:t xml:space="preserve"> </w:t>
      </w:r>
      <w:r w:rsidRPr="009A193B">
        <w:rPr>
          <w:rFonts w:asciiTheme="majorBidi" w:eastAsia="Traditional Arabic" w:hAnsiTheme="majorBidi" w:cstheme="majorBidi"/>
          <w:sz w:val="24"/>
          <w:szCs w:val="24"/>
        </w:rPr>
        <w:t>(McAndrew, 2026; Knight Frank, 2024)</w:t>
      </w:r>
      <w:r w:rsidR="009A193B">
        <w:rPr>
          <w:rFonts w:asciiTheme="majorBidi" w:eastAsia="Traditional Arabic" w:hAnsiTheme="majorBidi" w:cstheme="majorBidi" w:hint="cs"/>
          <w:sz w:val="24"/>
          <w:szCs w:val="24"/>
          <w:rtl/>
        </w:rPr>
        <w:t>.</w:t>
      </w:r>
    </w:p>
    <w:p w14:paraId="49FFCE60"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lastRenderedPageBreak/>
        <w:t>1- الثقة في السوق:</w:t>
      </w:r>
    </w:p>
    <w:p w14:paraId="759D2392" w14:textId="3BD0DEBD" w:rsidR="004E1AC4" w:rsidRDefault="00000000">
      <w:pPr>
        <w:bidi/>
        <w:spacing w:before="240" w:after="240" w:line="360" w:lineRule="auto"/>
        <w:ind w:left="720"/>
        <w:rPr>
          <w:rFonts w:ascii="Traditional Arabic" w:eastAsia="Traditional Arabic" w:hAnsi="Traditional Arabic" w:cs="Traditional Arabic"/>
          <w:sz w:val="24"/>
          <w:szCs w:val="24"/>
          <w:highlight w:val="red"/>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اعتقاد الأفراد بأن الجهات الفاعلة في السوق تتصرف بدرجة من المصداقية والشفافية والكفاءة مما يقلل حالة عدم اليقين ويعزز الاستعداد للتعامل وإثبات عمليات الشراء أو الاستثمار، كما إن الثقة تمثل الركيزة الأساسية لبناء العلاقات طويلة الأجل بين المستهلك والسوق أو العلامة </w:t>
      </w:r>
      <w:r w:rsidR="009A193B">
        <w:rPr>
          <w:rFonts w:ascii="Traditional Arabic" w:eastAsia="Traditional Arabic" w:hAnsi="Traditional Arabic" w:cs="Traditional Arabic" w:hint="cs"/>
          <w:sz w:val="24"/>
          <w:szCs w:val="24"/>
          <w:rtl/>
        </w:rPr>
        <w:t xml:space="preserve">التجارية </w:t>
      </w:r>
      <w:r w:rsidR="009A193B" w:rsidRPr="009A193B">
        <w:rPr>
          <w:rFonts w:asciiTheme="majorBidi" w:eastAsia="Traditional Arabic" w:hAnsiTheme="majorBidi" w:cstheme="majorBidi"/>
          <w:sz w:val="24"/>
          <w:szCs w:val="24"/>
        </w:rPr>
        <w:t>(</w:t>
      </w:r>
      <w:r w:rsidRPr="009A193B">
        <w:rPr>
          <w:rFonts w:asciiTheme="majorBidi" w:eastAsia="Traditional Arabic" w:hAnsiTheme="majorBidi" w:cstheme="majorBidi"/>
          <w:sz w:val="24"/>
          <w:szCs w:val="24"/>
        </w:rPr>
        <w:t>Deloitte Private &amp; ArtTactic, 2025; PwC Strategy&amp;, 2023)</w:t>
      </w:r>
    </w:p>
    <w:p w14:paraId="286A8B0E" w14:textId="77777777" w:rsidR="004E1AC4" w:rsidRDefault="00000000">
      <w:pPr>
        <w:bidi/>
        <w:spacing w:before="240" w:after="240" w:line="360" w:lineRule="auto"/>
        <w:ind w:left="720"/>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درجة ثقة المقتني الجديد في شفافية ومصداقية وكفاءة سوق الفنون البصرية السعودي بما يشجعه على دخول السوق والتعامل فيه بثقة.</w:t>
      </w:r>
    </w:p>
    <w:p w14:paraId="1A656B09"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2- خفض المخاطر المدركة:</w:t>
      </w:r>
    </w:p>
    <w:p w14:paraId="3FC7EEAB" w14:textId="559B04BB" w:rsidR="004E1AC4" w:rsidRPr="009A193B" w:rsidRDefault="00000000">
      <w:pPr>
        <w:bidi/>
        <w:spacing w:before="240" w:after="240" w:line="360" w:lineRule="auto"/>
        <w:ind w:left="720"/>
        <w:rPr>
          <w:rFonts w:asciiTheme="majorBidi" w:eastAsia="Traditional Arabic" w:hAnsiTheme="majorBidi" w:cstheme="majorBidi"/>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انخفاض مستوى عدم التأكد الذي يشعر به المستهلك تجاه النتائج المحتملة لقرار الشراء، نتيجة توافر المعلومات، والضمانات، والاتصال الفعال، والثقة في السوق، وتوقع المستهلك احتمال التعرض خسائر مالية، أو وظيفية، أو نفسية، أو اجتماعية، عند اتخاذ قرار الش</w:t>
      </w:r>
      <w:r w:rsidRPr="009A193B">
        <w:rPr>
          <w:rFonts w:ascii="Traditional Arabic" w:eastAsia="Traditional Arabic" w:hAnsi="Traditional Arabic" w:cs="Traditional Arabic"/>
          <w:sz w:val="24"/>
          <w:szCs w:val="24"/>
          <w:rtl/>
        </w:rPr>
        <w:t>راء</w:t>
      </w:r>
      <w:r w:rsidRPr="009A193B">
        <w:rPr>
          <w:rFonts w:ascii="Traditional Arabic" w:eastAsia="Traditional Arabic" w:hAnsi="Traditional Arabic" w:cs="Traditional Arabic"/>
          <w:sz w:val="24"/>
          <w:szCs w:val="24"/>
        </w:rPr>
        <w:t xml:space="preserve"> </w:t>
      </w:r>
      <w:r w:rsidRPr="009A193B">
        <w:rPr>
          <w:rFonts w:asciiTheme="majorBidi" w:eastAsia="Traditional Arabic" w:hAnsiTheme="majorBidi" w:cstheme="majorBidi"/>
          <w:sz w:val="24"/>
          <w:szCs w:val="24"/>
        </w:rPr>
        <w:t>(Deloitte Private &amp; ArtTactic, 2023; McAndrew, 2025)</w:t>
      </w:r>
      <w:r w:rsidR="009A193B">
        <w:rPr>
          <w:rFonts w:asciiTheme="majorBidi" w:eastAsia="Traditional Arabic" w:hAnsiTheme="majorBidi" w:cstheme="majorBidi" w:hint="cs"/>
          <w:sz w:val="24"/>
          <w:szCs w:val="24"/>
          <w:rtl/>
        </w:rPr>
        <w:t>.</w:t>
      </w:r>
    </w:p>
    <w:p w14:paraId="741BEB03" w14:textId="77777777" w:rsidR="004E1AC4" w:rsidRDefault="00000000">
      <w:pPr>
        <w:bidi/>
        <w:spacing w:before="240" w:after="240" w:line="360" w:lineRule="auto"/>
        <w:ind w:left="720"/>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تقليل المخاوف المالية والنفسية والمعلوماتية التي تواجه المقتني الجديد عند شراء الأعمال الفنية من خلال تطبيق استراتيجيات الاتصال التسويقي المتكامل.</w:t>
      </w:r>
    </w:p>
    <w:p w14:paraId="6E13CA92"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4- نية الاقتناء:</w:t>
      </w:r>
    </w:p>
    <w:p w14:paraId="084F463E" w14:textId="5D01B3A9" w:rsidR="004E1AC4" w:rsidRDefault="00000000">
      <w:pPr>
        <w:bidi/>
        <w:spacing w:before="240" w:after="240" w:line="360" w:lineRule="auto"/>
        <w:ind w:left="720"/>
        <w:rPr>
          <w:rFonts w:ascii="Traditional Arabic" w:eastAsia="Traditional Arabic" w:hAnsi="Traditional Arabic" w:cs="Traditional Arabic"/>
          <w:sz w:val="24"/>
          <w:szCs w:val="24"/>
          <w:highlight w:val="red"/>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الاستعداد أو الرغبة الواعية لدى المستهلك للقيام بعملية شراء مستقبلية، وتعد من أقوى المتغيرات المتنبئة بالسلوك الفعلي للشراء </w:t>
      </w:r>
      <w:r w:rsidRPr="009A193B">
        <w:rPr>
          <w:rFonts w:asciiTheme="majorBidi" w:eastAsia="Traditional Arabic" w:hAnsiTheme="majorBidi" w:cstheme="majorBidi"/>
          <w:sz w:val="24"/>
          <w:szCs w:val="24"/>
        </w:rPr>
        <w:t>(McAndrew, 2026; Knight Frank, 2024)</w:t>
      </w:r>
      <w:r w:rsidR="009A193B">
        <w:rPr>
          <w:rFonts w:asciiTheme="majorBidi" w:eastAsia="Traditional Arabic" w:hAnsiTheme="majorBidi" w:cstheme="majorBidi" w:hint="cs"/>
          <w:sz w:val="24"/>
          <w:szCs w:val="24"/>
          <w:rtl/>
        </w:rPr>
        <w:t>.</w:t>
      </w:r>
    </w:p>
    <w:p w14:paraId="64466E18" w14:textId="77777777" w:rsidR="004E1AC4" w:rsidRDefault="00000000">
      <w:pPr>
        <w:bidi/>
        <w:spacing w:before="240" w:after="240" w:line="360" w:lineRule="auto"/>
        <w:ind w:left="720"/>
        <w:rPr>
          <w:rFonts w:ascii="Traditional Arabic" w:eastAsia="Traditional Arabic" w:hAnsi="Traditional Arabic" w:cs="Traditional Arabic"/>
          <w:sz w:val="24"/>
          <w:szCs w:val="24"/>
          <w:rtl/>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مدى استعداد المقتني الجديد لاقتناء الأعمال الفنية نتيجة تحسن ثقته بالسوق وانخفاض المخاطر المدركة من خلال الاتصال التسويقي المتكامل.</w:t>
      </w:r>
    </w:p>
    <w:p w14:paraId="7B3DA401" w14:textId="77777777" w:rsidR="009A193B" w:rsidRDefault="009A193B" w:rsidP="009A193B">
      <w:pPr>
        <w:bidi/>
        <w:spacing w:before="240" w:after="240" w:line="360" w:lineRule="auto"/>
        <w:ind w:left="720"/>
        <w:rPr>
          <w:rFonts w:ascii="Traditional Arabic" w:eastAsia="Traditional Arabic" w:hAnsi="Traditional Arabic" w:cs="Traditional Arabic"/>
          <w:sz w:val="24"/>
          <w:szCs w:val="24"/>
        </w:rPr>
      </w:pPr>
    </w:p>
    <w:p w14:paraId="78EC00FE" w14:textId="77777777" w:rsidR="009A193B" w:rsidRDefault="009A193B" w:rsidP="009A193B">
      <w:pPr>
        <w:bidi/>
        <w:spacing w:before="240" w:after="240" w:line="360" w:lineRule="auto"/>
        <w:ind w:left="720"/>
        <w:rPr>
          <w:rFonts w:ascii="Traditional Arabic" w:eastAsia="Traditional Arabic" w:hAnsi="Traditional Arabic" w:cs="Traditional Arabic"/>
          <w:sz w:val="24"/>
          <w:szCs w:val="24"/>
        </w:rPr>
      </w:pPr>
    </w:p>
    <w:p w14:paraId="7CFA8A0C"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lastRenderedPageBreak/>
        <w:t>5- الاستثمار المنظم:</w:t>
      </w:r>
    </w:p>
    <w:p w14:paraId="5DAA1466" w14:textId="7AE07171" w:rsidR="009A193B" w:rsidRPr="009A193B" w:rsidRDefault="00000000" w:rsidP="009A193B">
      <w:pPr>
        <w:bidi/>
        <w:spacing w:before="240" w:after="240" w:line="360" w:lineRule="auto"/>
        <w:ind w:left="720"/>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هو الاستثمار الذي يتم في إطار بيئة سوقية تتسم بالشفافية ووضوح المعلومات ووجود قواعد تنظيمية وآليات حوكمة تقلل من المخاطر وتعزز كفاءة اتخاذ القرار الاستثماري، والاستثمار في الأعمال الفنية يأتي ضمن سوق منظم، يعتمد على معلومات موثقة وتقييمات احترافية وتشريعات واضحة بما يعزز استدامة السوق وجاذبيته </w:t>
      </w:r>
      <w:r w:rsidRPr="009A193B">
        <w:rPr>
          <w:rFonts w:ascii="Traditional Arabic" w:eastAsia="Traditional Arabic" w:hAnsi="Traditional Arabic" w:cs="Traditional Arabic"/>
          <w:sz w:val="24"/>
          <w:szCs w:val="24"/>
          <w:rtl/>
        </w:rPr>
        <w:t>للمستثمرين</w:t>
      </w:r>
      <w:r w:rsidR="009A193B" w:rsidRPr="009A193B">
        <w:rPr>
          <w:rFonts w:ascii="Traditional Arabic" w:eastAsia="Traditional Arabic" w:hAnsi="Traditional Arabic" w:cs="Traditional Arabic" w:hint="cs"/>
          <w:sz w:val="24"/>
          <w:szCs w:val="24"/>
          <w:rtl/>
        </w:rPr>
        <w:t xml:space="preserve"> </w:t>
      </w:r>
      <w:r w:rsidR="009A193B" w:rsidRPr="009A193B">
        <w:rPr>
          <w:rFonts w:asciiTheme="majorBidi" w:eastAsia="Traditional Arabic" w:hAnsiTheme="majorBidi" w:cstheme="majorBidi"/>
          <w:sz w:val="24"/>
          <w:szCs w:val="24"/>
        </w:rPr>
        <w:t>Deloitte Private &amp; ArtTactic, 2025</w:t>
      </w:r>
      <w:r w:rsidR="009A193B" w:rsidRPr="009A193B">
        <w:rPr>
          <w:rFonts w:asciiTheme="majorBidi" w:eastAsia="Traditional Arabic" w:hAnsiTheme="majorBidi" w:cstheme="majorBidi"/>
          <w:sz w:val="24"/>
          <w:szCs w:val="24"/>
        </w:rPr>
        <w:t>)</w:t>
      </w:r>
      <w:r w:rsidR="009A193B" w:rsidRPr="009A193B">
        <w:rPr>
          <w:rFonts w:ascii="Traditional Arabic" w:eastAsia="Traditional Arabic" w:hAnsi="Traditional Arabic" w:cs="Traditional Arabic" w:hint="cs"/>
          <w:sz w:val="24"/>
          <w:szCs w:val="24"/>
          <w:rtl/>
        </w:rPr>
        <w:t>؛</w:t>
      </w:r>
      <w:r w:rsidR="009A193B" w:rsidRPr="009A193B">
        <w:rPr>
          <w:rFonts w:ascii="Traditional Arabic" w:eastAsia="Traditional Arabic" w:hAnsi="Traditional Arabic" w:cs="Traditional Arabic"/>
          <w:sz w:val="24"/>
          <w:szCs w:val="24"/>
          <w:rtl/>
        </w:rPr>
        <w:t xml:space="preserve"> هيئة الفنون البصرية، 2021)</w:t>
      </w:r>
      <w:r w:rsidR="009A193B" w:rsidRPr="009A193B">
        <w:rPr>
          <w:rFonts w:ascii="Traditional Arabic" w:eastAsia="Traditional Arabic" w:hAnsi="Traditional Arabic" w:cs="Traditional Arabic"/>
          <w:sz w:val="24"/>
          <w:szCs w:val="24"/>
        </w:rPr>
        <w:t>.</w:t>
      </w:r>
    </w:p>
    <w:p w14:paraId="4404E8C6" w14:textId="0F6D0579" w:rsidR="004E1AC4" w:rsidRDefault="00000000" w:rsidP="009A193B">
      <w:pPr>
        <w:bidi/>
        <w:spacing w:before="240" w:after="240" w:line="360" w:lineRule="auto"/>
        <w:ind w:left="720"/>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اتجاه المقتني الجديد نحو اعتبار الأعمال الفنية أصلاً استثمارياً يمكن الاستثمار فيه ضمن سوق يتميز بالشفافية والتنظيم والثقة.</w:t>
      </w:r>
    </w:p>
    <w:p w14:paraId="0B62CAA0"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٨- تنمية سوق الفنون البصرية:</w:t>
      </w:r>
    </w:p>
    <w:p w14:paraId="680415AB" w14:textId="68749B37" w:rsidR="004E1AC4" w:rsidRDefault="00000000" w:rsidP="009A193B">
      <w:pPr>
        <w:bidi/>
        <w:spacing w:before="240" w:after="0" w:line="360" w:lineRule="auto"/>
        <w:ind w:left="720"/>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يُقصد بتنمية سوق الفنون البصرية التحسين المستمر في كفاءة السوق من خلال زيادة حجم التداول، واتساع قاعدة المقتنين، ورفع مستويات الشفافية، وتحسين البيئة الاستثمارية، وتعزيز الاستدامة الاقتصادية للقطاع </w:t>
      </w:r>
      <w:r w:rsidRPr="009A193B">
        <w:rPr>
          <w:rFonts w:ascii="Traditional Arabic" w:eastAsia="Traditional Arabic" w:hAnsi="Traditional Arabic" w:cs="Traditional Arabic"/>
          <w:sz w:val="24"/>
          <w:szCs w:val="24"/>
          <w:rtl/>
        </w:rPr>
        <w:t>الفني</w:t>
      </w:r>
      <w:r w:rsidR="009A193B" w:rsidRPr="009A193B">
        <w:rPr>
          <w:rFonts w:ascii="Traditional Arabic" w:eastAsia="Traditional Arabic" w:hAnsi="Traditional Arabic" w:cs="Traditional Arabic" w:hint="cs"/>
          <w:sz w:val="24"/>
          <w:szCs w:val="24"/>
          <w:rtl/>
        </w:rPr>
        <w:t xml:space="preserve"> </w:t>
      </w:r>
      <w:r w:rsidR="009A193B" w:rsidRPr="009A193B">
        <w:rPr>
          <w:rFonts w:ascii="Traditional Arabic" w:eastAsia="Traditional Arabic" w:hAnsi="Traditional Arabic" w:cs="Traditional Arabic"/>
          <w:sz w:val="24"/>
          <w:szCs w:val="24"/>
          <w:rtl/>
        </w:rPr>
        <w:t xml:space="preserve">(هيئة الفنون البصرية، 2021؛ وزارة الثقافة، 2024؛ </w:t>
      </w:r>
      <w:r w:rsidR="009A193B" w:rsidRPr="009A193B">
        <w:rPr>
          <w:rFonts w:ascii="Traditional Arabic" w:eastAsia="Traditional Arabic" w:hAnsi="Traditional Arabic" w:cs="Traditional Arabic"/>
          <w:sz w:val="24"/>
          <w:szCs w:val="24"/>
        </w:rPr>
        <w:t>PwC Strategy&amp;, 2023</w:t>
      </w:r>
      <w:r w:rsidR="009A193B" w:rsidRPr="009A193B">
        <w:rPr>
          <w:rFonts w:ascii="Traditional Arabic" w:eastAsia="Traditional Arabic" w:hAnsi="Traditional Arabic" w:cs="Traditional Arabic" w:hint="cs"/>
          <w:sz w:val="24"/>
          <w:szCs w:val="24"/>
          <w:rtl/>
        </w:rPr>
        <w:t>)</w:t>
      </w:r>
      <w:r w:rsidR="009A193B">
        <w:rPr>
          <w:rFonts w:ascii="Traditional Arabic" w:eastAsia="Traditional Arabic" w:hAnsi="Traditional Arabic" w:cs="Traditional Arabic" w:hint="cs"/>
          <w:sz w:val="24"/>
          <w:szCs w:val="24"/>
          <w:rtl/>
        </w:rPr>
        <w:t>.</w:t>
      </w:r>
    </w:p>
    <w:p w14:paraId="7FC02E23" w14:textId="77777777" w:rsidR="004E1AC4" w:rsidRDefault="00000000">
      <w:pPr>
        <w:numPr>
          <w:ilvl w:val="0"/>
          <w:numId w:val="7"/>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ويُقصد به إعادة تنظيم العمليات والروابط الهيكلية الحاكمة لتداول الأعمال الفنية، للانتقال من العفوية إلى الاستقرار والتنافسية. ويُقاس إجرائياً بمدى التحول من نموذج الوساطة الأحادية، الذي يجمع فيه الوسيط بين الإنتاج والترويج والتسعير والبيع، إلى نموذج يفصل بين هذه الأدوار: الفنان كجهة إنتاج، ومعارض الفنون كجهة ترويج، وجهات تقييم مستقلة، ودور مزادات وسوق ثانوية لإعادة البيع. ويُقاس عبر تحليل استجابات عينة البحث.</w:t>
      </w:r>
    </w:p>
    <w:p w14:paraId="0AB6FFEF"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1- زيادة قاعدة المقتنين:</w:t>
      </w:r>
    </w:p>
    <w:p w14:paraId="29853A09" w14:textId="2A9D2F28" w:rsidR="004E1AC4" w:rsidRPr="009A193B" w:rsidRDefault="00000000">
      <w:pPr>
        <w:numPr>
          <w:ilvl w:val="0"/>
          <w:numId w:val="10"/>
        </w:numPr>
        <w:bidi/>
        <w:spacing w:before="240"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b/>
          <w:bCs/>
          <w:sz w:val="24"/>
          <w:szCs w:val="24"/>
          <w:rtl/>
        </w:rPr>
        <w:t>التعريف العلمي:</w:t>
      </w:r>
      <w:r w:rsidRPr="009A193B">
        <w:rPr>
          <w:rFonts w:ascii="Traditional Arabic" w:eastAsia="Traditional Arabic" w:hAnsi="Traditional Arabic" w:cs="Traditional Arabic"/>
          <w:sz w:val="24"/>
          <w:szCs w:val="24"/>
          <w:rtl/>
        </w:rPr>
        <w:t xml:space="preserve"> اتساع عدد الأفراد أو المؤسسات المشاركة في شراء واقتناء الأعمال الفنية، بما يسهم في زيادة الطلب، وتنويع شرائح المشترين، وتحسين سيولة السوق واستدامته </w:t>
      </w:r>
      <w:r w:rsidRPr="009A193B">
        <w:rPr>
          <w:rFonts w:asciiTheme="majorBidi" w:eastAsia="Traditional Arabic" w:hAnsiTheme="majorBidi" w:cstheme="majorBidi"/>
          <w:sz w:val="24"/>
          <w:szCs w:val="24"/>
        </w:rPr>
        <w:t>(McAndrew, 2026; Knight Frank, 2024)</w:t>
      </w:r>
      <w:r w:rsidR="009A193B" w:rsidRPr="009A193B">
        <w:rPr>
          <w:rFonts w:asciiTheme="majorBidi" w:eastAsia="Traditional Arabic" w:hAnsiTheme="majorBidi" w:cstheme="majorBidi" w:hint="cs"/>
          <w:sz w:val="24"/>
          <w:szCs w:val="24"/>
          <w:rtl/>
        </w:rPr>
        <w:t>.</w:t>
      </w:r>
    </w:p>
    <w:p w14:paraId="7710264F" w14:textId="77777777" w:rsidR="004E1AC4" w:rsidRDefault="00000000">
      <w:pPr>
        <w:numPr>
          <w:ilvl w:val="0"/>
          <w:numId w:val="10"/>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ارتفاع عدد المقتنين الجدد، واستمرار دخول شرائح جديدة إلى سوق الفنون البصرية السعودي نتيجة تطبيق استراتيجيات الاتصال التسويقي المتكامل والابتكار.</w:t>
      </w:r>
    </w:p>
    <w:p w14:paraId="4B045C84" w14:textId="77777777" w:rsidR="009A193B" w:rsidRDefault="009A193B" w:rsidP="009A193B">
      <w:pPr>
        <w:bidi/>
        <w:spacing w:after="240" w:line="360" w:lineRule="auto"/>
        <w:rPr>
          <w:rFonts w:ascii="Traditional Arabic" w:eastAsia="Traditional Arabic" w:hAnsi="Traditional Arabic" w:cs="Traditional Arabic"/>
          <w:sz w:val="24"/>
          <w:szCs w:val="24"/>
        </w:rPr>
      </w:pPr>
    </w:p>
    <w:p w14:paraId="419AA9FF"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lastRenderedPageBreak/>
        <w:t>2- رفع كفاءة التسعير:</w:t>
      </w:r>
    </w:p>
    <w:p w14:paraId="65787ADE" w14:textId="1204623F" w:rsidR="004E1AC4" w:rsidRPr="009A193B" w:rsidRDefault="00000000">
      <w:pPr>
        <w:numPr>
          <w:ilvl w:val="0"/>
          <w:numId w:val="19"/>
        </w:numPr>
        <w:bidi/>
        <w:spacing w:before="240" w:after="0" w:line="360" w:lineRule="auto"/>
        <w:rPr>
          <w:rFonts w:asciiTheme="majorBidi" w:eastAsia="Traditional Arabic" w:hAnsiTheme="majorBidi" w:cstheme="majorBidi"/>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قدرة السوق على تحديد أسعار تعكس القيمة الحقيقية للأصول أو المنتجات استناداً إلى المعلومات المتاحة ومستوى العرض والطلب بما يقلل من التشوهات السعرية، ويزيد من كفاءة تخصيص الموارد في سوق الفن، وتحديد أسعار الأعمال الفنية وفق معايير موضوعية تشمل الجودة، والندرة، والسمعة الفنية، والسجل السوقي ومستوى الطلب </w:t>
      </w:r>
      <w:r w:rsidRPr="009A193B">
        <w:rPr>
          <w:rFonts w:asciiTheme="majorBidi" w:eastAsia="Traditional Arabic" w:hAnsiTheme="majorBidi" w:cstheme="majorBidi"/>
          <w:sz w:val="24"/>
          <w:szCs w:val="24"/>
        </w:rPr>
        <w:t>(Deloitte Private &amp; ArtTactic, 2025; McAndrew, 2026)</w:t>
      </w:r>
      <w:r w:rsidR="009A193B">
        <w:rPr>
          <w:rFonts w:asciiTheme="majorBidi" w:eastAsia="Traditional Arabic" w:hAnsiTheme="majorBidi" w:cstheme="majorBidi" w:hint="cs"/>
          <w:sz w:val="24"/>
          <w:szCs w:val="24"/>
          <w:rtl/>
        </w:rPr>
        <w:t>.</w:t>
      </w:r>
    </w:p>
    <w:p w14:paraId="5A0E91AE" w14:textId="77777777" w:rsidR="004E1AC4" w:rsidRDefault="00000000">
      <w:pPr>
        <w:numPr>
          <w:ilvl w:val="0"/>
          <w:numId w:val="19"/>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تحسين آليات تسعير الأعمال الفنية من خلال زيادة الشفافية، ووضوح معايير التقييم، وتقليل التفاوت غير المبرر في الأسعار.</w:t>
      </w:r>
    </w:p>
    <w:p w14:paraId="7BF7A3CA"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3- جذب الاستثمارات:</w:t>
      </w:r>
    </w:p>
    <w:p w14:paraId="66536595" w14:textId="5DA2609C" w:rsidR="004E1AC4" w:rsidRDefault="00000000">
      <w:pPr>
        <w:numPr>
          <w:ilvl w:val="0"/>
          <w:numId w:val="17"/>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قدرة السوق على استقطاب رؤوس الأموال والمستثمرين من خلال توفير بيئة تتسم بالشفافية، والاستقرار، والعائد المتوقع، وكفاءة التنظيم. وفي سوق الفنون؛ يشير إلى زيادة توجه المستثمرين نحو اقتناء الأعمال الفنية باعتبارها أصلاً استثمارياً، يحقق قيمة اقتصادية وثقافية طويلة </w:t>
      </w:r>
      <w:r w:rsidRPr="009A193B">
        <w:rPr>
          <w:rFonts w:ascii="Traditional Arabic" w:eastAsia="Traditional Arabic" w:hAnsi="Traditional Arabic" w:cs="Traditional Arabic"/>
          <w:sz w:val="24"/>
          <w:szCs w:val="24"/>
          <w:rtl/>
        </w:rPr>
        <w:t>الأجل</w:t>
      </w:r>
      <w:r w:rsidRPr="009A193B">
        <w:rPr>
          <w:rFonts w:ascii="Traditional Arabic" w:eastAsia="Traditional Arabic" w:hAnsi="Traditional Arabic" w:cs="Traditional Arabic"/>
          <w:sz w:val="24"/>
          <w:szCs w:val="24"/>
        </w:rPr>
        <w:t xml:space="preserve"> </w:t>
      </w:r>
      <w:r w:rsidRPr="009A193B">
        <w:rPr>
          <w:rFonts w:ascii="Traditional Arabic" w:eastAsia="Traditional Arabic" w:hAnsi="Traditional Arabic" w:cs="Traditional Arabic"/>
          <w:sz w:val="24"/>
          <w:szCs w:val="24"/>
          <w:rtl/>
        </w:rPr>
        <w:t xml:space="preserve">(وزارة الثقافة، 2024؛ </w:t>
      </w:r>
      <w:r w:rsidRPr="009A193B">
        <w:rPr>
          <w:rFonts w:asciiTheme="majorBidi" w:eastAsia="Traditional Arabic" w:hAnsiTheme="majorBidi" w:cstheme="majorBidi"/>
          <w:sz w:val="24"/>
          <w:szCs w:val="24"/>
        </w:rPr>
        <w:t>Deloitte Private &amp; ArtTactic, 2025</w:t>
      </w:r>
      <w:r w:rsidR="009A193B" w:rsidRPr="009A193B">
        <w:rPr>
          <w:rFonts w:asciiTheme="majorBidi" w:eastAsia="Traditional Arabic" w:hAnsiTheme="majorBidi" w:cstheme="majorBidi"/>
          <w:sz w:val="24"/>
          <w:szCs w:val="24"/>
          <w:rtl/>
        </w:rPr>
        <w:t>)</w:t>
      </w:r>
    </w:p>
    <w:p w14:paraId="286CDFDE" w14:textId="77777777" w:rsidR="004E1AC4" w:rsidRDefault="00000000">
      <w:pPr>
        <w:numPr>
          <w:ilvl w:val="0"/>
          <w:numId w:val="17"/>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تعزيز جاذبية سوق الفنون البصرية السعودي للمستثمرين والمقتنين من خلال رفع مستوى الثقة وتقليل المخاطر وتحسين البيئة التنظيمية والسوقية.</w:t>
      </w:r>
    </w:p>
    <w:p w14:paraId="73D52036"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4- النضج الهيكلي:</w:t>
      </w:r>
    </w:p>
    <w:p w14:paraId="5241AC48" w14:textId="42C36E25" w:rsidR="004E1AC4" w:rsidRPr="009A193B" w:rsidRDefault="00000000">
      <w:pPr>
        <w:numPr>
          <w:ilvl w:val="0"/>
          <w:numId w:val="1"/>
        </w:numPr>
        <w:bidi/>
        <w:spacing w:before="240" w:after="0" w:line="360" w:lineRule="auto"/>
        <w:rPr>
          <w:rFonts w:ascii="Traditional Arabic" w:eastAsia="Traditional Arabic" w:hAnsi="Traditional Arabic" w:cs="Traditional Arabic"/>
          <w:sz w:val="24"/>
          <w:szCs w:val="24"/>
        </w:rPr>
      </w:pPr>
      <w:r w:rsidRPr="009A193B">
        <w:rPr>
          <w:rFonts w:ascii="Traditional Arabic" w:eastAsia="Traditional Arabic" w:hAnsi="Traditional Arabic" w:cs="Traditional Arabic"/>
          <w:sz w:val="24"/>
          <w:szCs w:val="24"/>
          <w:rtl/>
        </w:rPr>
        <w:t xml:space="preserve">التعريف العلمي: وصول السوق إلى مستوى متقدم من التنظيم المؤسسي ووضوح الأدوار بين الأطراف الفاعلة، وتكامل البنية التحتية، وارتفاع كفاءة العمليات السوقية، بما يعزز الاستقرار والنمو (هيئة الفنون البصرية، 2021؛ </w:t>
      </w:r>
      <w:r w:rsidRPr="009A193B">
        <w:rPr>
          <w:rFonts w:asciiTheme="majorBidi" w:eastAsia="Traditional Arabic" w:hAnsiTheme="majorBidi" w:cstheme="majorBidi"/>
          <w:sz w:val="24"/>
          <w:szCs w:val="24"/>
        </w:rPr>
        <w:t>PwC Strategy&amp;, 2023</w:t>
      </w:r>
      <w:r w:rsidR="009A193B" w:rsidRPr="009A193B">
        <w:rPr>
          <w:rFonts w:ascii="Traditional Arabic" w:eastAsia="Traditional Arabic" w:hAnsi="Traditional Arabic" w:cs="Traditional Arabic" w:hint="cs"/>
          <w:sz w:val="24"/>
          <w:szCs w:val="24"/>
          <w:rtl/>
        </w:rPr>
        <w:t>)</w:t>
      </w:r>
      <w:r w:rsidR="009A193B">
        <w:rPr>
          <w:rFonts w:ascii="Traditional Arabic" w:eastAsia="Traditional Arabic" w:hAnsi="Traditional Arabic" w:cs="Traditional Arabic" w:hint="cs"/>
          <w:sz w:val="24"/>
          <w:szCs w:val="24"/>
          <w:rtl/>
        </w:rPr>
        <w:t>.</w:t>
      </w:r>
    </w:p>
    <w:p w14:paraId="3C7B18F4" w14:textId="77777777" w:rsidR="004E1AC4" w:rsidRDefault="00000000">
      <w:pPr>
        <w:numPr>
          <w:ilvl w:val="0"/>
          <w:numId w:val="1"/>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الإجرائي:</w:t>
      </w:r>
      <w:r>
        <w:rPr>
          <w:rFonts w:ascii="Traditional Arabic" w:eastAsia="Traditional Arabic" w:hAnsi="Traditional Arabic" w:cs="Traditional Arabic"/>
          <w:sz w:val="24"/>
          <w:szCs w:val="24"/>
          <w:rtl/>
        </w:rPr>
        <w:t xml:space="preserve"> تطور البنية التنظيمية لسوق الفنون البصرية السعودي من حيث الحوكمة والتشريعات وتكامل المؤسسات وشفافية العمليات وكفاءة الخدمات الداعمة للسوق.</w:t>
      </w:r>
    </w:p>
    <w:p w14:paraId="59791777"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5- استدامة السوق:</w:t>
      </w:r>
    </w:p>
    <w:p w14:paraId="15860D5F" w14:textId="6F778154" w:rsidR="004E1AC4" w:rsidRDefault="00000000">
      <w:pPr>
        <w:numPr>
          <w:ilvl w:val="0"/>
          <w:numId w:val="20"/>
        </w:numPr>
        <w:bidi/>
        <w:spacing w:before="240" w:after="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t>التعريف العلمي:</w:t>
      </w:r>
      <w:r>
        <w:rPr>
          <w:rFonts w:ascii="Traditional Arabic" w:eastAsia="Traditional Arabic" w:hAnsi="Traditional Arabic" w:cs="Traditional Arabic"/>
          <w:sz w:val="24"/>
          <w:szCs w:val="24"/>
          <w:rtl/>
        </w:rPr>
        <w:t xml:space="preserve"> قدرة السوق على تحقيق النمو، والاستمرار على المدى الطويل، من خلال تحقيق التوازن بين الأبعاد الاقتصادية، والاجتماعية، والثقافية، مما يضمن استمرارية النشاط، وخلق قيمة لجميع الأطراف المعنية، وفي سوق الفنون يعني استمرار حركة الإنتاج، والاقتناء، والتداول، والاستثمار في الأعمال الفنية بصورة مستقرة وقابلة للنمو عبر الزمن</w:t>
      </w:r>
      <w:r w:rsidRPr="009A193B">
        <w:rPr>
          <w:rFonts w:ascii="Traditional Arabic" w:eastAsia="Traditional Arabic" w:hAnsi="Traditional Arabic" w:cs="Traditional Arabic"/>
          <w:sz w:val="24"/>
          <w:szCs w:val="24"/>
        </w:rPr>
        <w:t xml:space="preserve"> </w:t>
      </w:r>
      <w:r w:rsidRPr="009A193B">
        <w:rPr>
          <w:rFonts w:ascii="Traditional Arabic" w:eastAsia="Traditional Arabic" w:hAnsi="Traditional Arabic" w:cs="Traditional Arabic"/>
          <w:sz w:val="24"/>
          <w:szCs w:val="24"/>
          <w:rtl/>
        </w:rPr>
        <w:t xml:space="preserve">(وزارة الثقافة، 2025؛ </w:t>
      </w:r>
      <w:r w:rsidRPr="009A193B">
        <w:rPr>
          <w:rFonts w:asciiTheme="majorBidi" w:eastAsia="Traditional Arabic" w:hAnsiTheme="majorBidi" w:cstheme="majorBidi"/>
          <w:sz w:val="24"/>
          <w:szCs w:val="24"/>
        </w:rPr>
        <w:t>UNESCO, 2022</w:t>
      </w:r>
      <w:r w:rsidR="009A193B" w:rsidRPr="009A193B">
        <w:rPr>
          <w:rFonts w:ascii="Traditional Arabic" w:eastAsia="Traditional Arabic" w:hAnsi="Traditional Arabic" w:cs="Traditional Arabic" w:hint="cs"/>
          <w:sz w:val="24"/>
          <w:szCs w:val="24"/>
          <w:rtl/>
        </w:rPr>
        <w:t>)</w:t>
      </w:r>
    </w:p>
    <w:p w14:paraId="52BBA085" w14:textId="77777777" w:rsidR="004E1AC4" w:rsidRDefault="00000000">
      <w:pPr>
        <w:numPr>
          <w:ilvl w:val="0"/>
          <w:numId w:val="20"/>
        </w:numPr>
        <w:bidi/>
        <w:spacing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b/>
          <w:bCs/>
          <w:sz w:val="24"/>
          <w:szCs w:val="24"/>
          <w:rtl/>
        </w:rPr>
        <w:lastRenderedPageBreak/>
        <w:t>التعريف الإجرائي:</w:t>
      </w:r>
      <w:r>
        <w:rPr>
          <w:rFonts w:ascii="Traditional Arabic" w:eastAsia="Traditional Arabic" w:hAnsi="Traditional Arabic" w:cs="Traditional Arabic"/>
          <w:sz w:val="24"/>
          <w:szCs w:val="24"/>
          <w:rtl/>
        </w:rPr>
        <w:t xml:space="preserve"> قدرة سوق الفنون البصرية السعودي على تحقيق نمو مستدام بحجم التداول، وعدد المقتنين، والاستثمارات، واستمرارية النشاط الفني، بما يتوافق مع مستهدفات رؤية المملكة 2030.</w:t>
      </w:r>
    </w:p>
    <w:p w14:paraId="0309F233" w14:textId="77777777" w:rsidR="004E1AC4" w:rsidRDefault="00000000">
      <w:pPr>
        <w:bidi/>
        <w:spacing w:before="240" w:after="240" w:line="360" w:lineRule="auto"/>
        <w:rPr>
          <w:rFonts w:ascii="Traditional Arabic" w:eastAsia="Traditional Arabic" w:hAnsi="Traditional Arabic" w:cs="Traditional Arabic"/>
          <w:b/>
          <w:bCs/>
          <w:sz w:val="28"/>
          <w:szCs w:val="28"/>
        </w:rPr>
      </w:pPr>
      <w:r>
        <w:rPr>
          <w:rFonts w:ascii="Traditional Arabic" w:eastAsia="Traditional Arabic" w:hAnsi="Traditional Arabic" w:cs="Traditional Arabic"/>
          <w:b/>
          <w:bCs/>
          <w:sz w:val="28"/>
          <w:szCs w:val="28"/>
          <w:rtl/>
        </w:rPr>
        <w:t>ثامناً: حدود الدراسة</w:t>
      </w:r>
    </w:p>
    <w:p w14:paraId="2F9D46E0" w14:textId="77777777" w:rsidR="004E1AC4" w:rsidRDefault="00000000">
      <w:pPr>
        <w:tabs>
          <w:tab w:val="left" w:pos="3900"/>
        </w:tabs>
        <w:bidi/>
        <w:spacing w:before="240" w:after="240" w:line="360" w:lineRule="auto"/>
        <w:rPr>
          <w:rFonts w:ascii="Traditional Arabic" w:eastAsia="Traditional Arabic" w:hAnsi="Traditional Arabic" w:cs="Traditional Arabic"/>
          <w:sz w:val="24"/>
          <w:szCs w:val="24"/>
        </w:rPr>
      </w:pPr>
      <w:bookmarkStart w:id="7" w:name="pxsvejnbwp5s" w:colFirst="0" w:colLast="0"/>
      <w:bookmarkEnd w:id="7"/>
      <w:r>
        <w:rPr>
          <w:rFonts w:ascii="Traditional Arabic" w:eastAsia="Traditional Arabic" w:hAnsi="Traditional Arabic" w:cs="Traditional Arabic"/>
          <w:sz w:val="24"/>
          <w:szCs w:val="24"/>
          <w:rtl/>
        </w:rPr>
        <w:t>تُمثّل حدود الدراسة المعالم الهيكلية الحاكمة لقرارات البحث، والضوابط المنهجية التي تضمن توجيه الجهد التحليلي نحو قضايا البحث الجوهرية، منعاً لتشتت المتغيرات وضماناً للصدق الداخلي لأدوات القياس. وتتحدد نطاقات هذه الدراسة إجرائياً عبر أربعة أبعاد تكاملية وموجّهة بالكامل نحو تحقيق أهداف النموذج المقترح:</w:t>
      </w:r>
    </w:p>
    <w:p w14:paraId="3FB4C9A2"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 الحدود الموضوعية</w:t>
      </w:r>
    </w:p>
    <w:p w14:paraId="15A8168F"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تقتصر الدراسة قياس أثر الاتصال التسويقي المتكامل بأبعاده الأربعة (الاتساق الرسالي، والتعددية القنوية، وبناء الهوية الرمزية، والتسويق التجريبي)، وأبعاد الابتكار الخمسة (التسويقي، والنفسي، والتقني، والاقتصادي، والمؤسسي والتنظيمي)، في تنمية سوق الفنون البصرية وتحقيق نضجها الهيكلي والمؤسسي، مع اختبار الدور الوسيط لسلوك وإدراك المقتني الجديد، من خلال مستوى الثقة لديه، ومستوى المخاطر النفسية والمالية المدركة، وتقتصر الدراسة على الفنون البصرية المعاصرة، ولا تشمل الفنون الحرفية أو الأدائية أو الموسيقية، نظراً لاختلاف الهياكل الاقتصادية والتنظيمية الحاكمة لتلك القطاعات.</w:t>
      </w:r>
    </w:p>
    <w:p w14:paraId="6C762318"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 الحدود المكانية</w:t>
      </w:r>
    </w:p>
    <w:p w14:paraId="0B2D43F0" w14:textId="77777777" w:rsidR="004E1AC4" w:rsidRDefault="00000000">
      <w:pPr>
        <w:tabs>
          <w:tab w:val="left" w:pos="3900"/>
        </w:tabs>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 xml:space="preserve">تُجرى هذه الدراسة داخل المملكة العربية السعودية، مع التركيز على المدن الرئيسية والمراكز الإبداعية الكبرى التي تشكل الأقطاب الأساسية للحراك المالي والمؤسسي المتسارع في المملكة، وهي: (العاصمة الرياض، ومحافظة جدة، والمنطقة الشرقية وتحديداً الظهران والخبر). </w:t>
      </w:r>
    </w:p>
    <w:p w14:paraId="6293F72C" w14:textId="77777777" w:rsidR="004E1AC4" w:rsidRDefault="00000000">
      <w:pPr>
        <w:tabs>
          <w:tab w:val="left" w:pos="3900"/>
        </w:tabs>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ويعود اختيار هذه النطاقات تحديداً إلى كونها الحاضنة الرئيسة لأكبر صالات العرض التجارية، والمقر التنفيذي للمبادرات الثقافية والمتاحف الوطنية الكبرى الشاهدة على ديناميكيات التحول الهيكلي والتقني المستهدف بالدراسة.</w:t>
      </w:r>
    </w:p>
    <w:p w14:paraId="617E3A89"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Pr>
        <w:t xml:space="preserve">- </w:t>
      </w:r>
      <w:bookmarkStart w:id="8" w:name="3btwxgkpbag7" w:colFirst="0" w:colLast="0"/>
      <w:bookmarkEnd w:id="8"/>
      <w:r>
        <w:rPr>
          <w:rFonts w:ascii="Traditional Arabic" w:eastAsia="Traditional Arabic" w:hAnsi="Traditional Arabic" w:cs="Traditional Arabic"/>
          <w:b/>
          <w:bCs/>
          <w:sz w:val="24"/>
          <w:szCs w:val="24"/>
          <w:rtl/>
        </w:rPr>
        <w:t>الحدود الزمانية</w:t>
      </w:r>
    </w:p>
    <w:p w14:paraId="429874A8"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تقتصر الدراسة على الفترة (2027-2026م) لكونها تمثل مرحلة نضج الاستراتيجية الوطنية للثقافة المنبثقة عن رؤية المملكة 2030، استقرار السلوك الرقمي لدى المقتني، الأجانب بدء التطبيق الفعلي لتقنيات حديثة مثل (</w:t>
      </w:r>
      <w:r w:rsidRPr="009A193B">
        <w:rPr>
          <w:rFonts w:asciiTheme="majorBidi" w:hAnsiTheme="majorBidi" w:cstheme="majorBidi"/>
          <w:sz w:val="24"/>
          <w:szCs w:val="24"/>
        </w:rPr>
        <w:t>Blockchain</w:t>
      </w:r>
      <w:r>
        <w:rPr>
          <w:rFonts w:ascii="Traditional Arabic" w:eastAsia="Traditional Arabic" w:hAnsi="Traditional Arabic" w:cs="Traditional Arabic"/>
          <w:sz w:val="24"/>
          <w:szCs w:val="24"/>
          <w:rtl/>
        </w:rPr>
        <w:t>) والعقود الذكية في توثيق الأعمال الفنية وحماية الملكية الفكرية.</w:t>
      </w:r>
    </w:p>
    <w:p w14:paraId="0539C091"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lastRenderedPageBreak/>
        <w:t>- الحدود البشرية وحدود العيّنة</w:t>
      </w:r>
    </w:p>
    <w:p w14:paraId="139D1C19" w14:textId="1BC9EAFE"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 xml:space="preserve">تقتصر الدراسة على الفاعلين الرئيسيين في سوق الفنون البصرية بالمملكة العربية السعودية وهم الفنانون </w:t>
      </w:r>
      <w:r w:rsidR="009A193B">
        <w:rPr>
          <w:rFonts w:ascii="Traditional Arabic" w:eastAsia="Traditional Arabic" w:hAnsi="Traditional Arabic" w:cs="Traditional Arabic" w:hint="cs"/>
          <w:sz w:val="24"/>
          <w:szCs w:val="24"/>
          <w:rtl/>
        </w:rPr>
        <w:t>التشكيليون،</w:t>
      </w:r>
      <w:r>
        <w:rPr>
          <w:rFonts w:ascii="Traditional Arabic" w:eastAsia="Traditional Arabic" w:hAnsi="Traditional Arabic" w:cs="Traditional Arabic"/>
          <w:sz w:val="24"/>
          <w:szCs w:val="24"/>
          <w:rtl/>
        </w:rPr>
        <w:t xml:space="preserve"> وأصحاب ومديرو صالات العرض والمعارض الفنية، ومقتنو الاعمال الفنية، والمهت</w:t>
      </w:r>
      <w:r w:rsidR="009A193B">
        <w:rPr>
          <w:rFonts w:ascii="Traditional Arabic" w:eastAsia="Traditional Arabic" w:hAnsi="Traditional Arabic" w:cs="Traditional Arabic" w:hint="cs"/>
          <w:sz w:val="24"/>
          <w:szCs w:val="24"/>
          <w:rtl/>
        </w:rPr>
        <w:t>مو</w:t>
      </w:r>
      <w:r>
        <w:rPr>
          <w:rFonts w:ascii="Traditional Arabic" w:eastAsia="Traditional Arabic" w:hAnsi="Traditional Arabic" w:cs="Traditional Arabic"/>
          <w:sz w:val="24"/>
          <w:szCs w:val="24"/>
          <w:rtl/>
        </w:rPr>
        <w:t>ن والمتخصصون في مجال الفنون البصرية، باعتبارهم الأطراف الأكثر ارتباطا بواقع السوق وتطبيقات الاتصال التسويقي المتكامل وابعاد الابتكار .</w:t>
      </w:r>
    </w:p>
    <w:p w14:paraId="2C922F28" w14:textId="0C9A8CB8" w:rsidR="004E1AC4" w:rsidRDefault="00000000" w:rsidP="009A193B">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واقتصرت الدراسة على عينة مكونة من ٣٥٥ مفردة تم اختيارها من مجتمع الدراسة البالغ 4610 مفردة وذلك وفق معادل</w:t>
      </w:r>
      <w:r w:rsidR="00611FC2">
        <w:rPr>
          <w:rFonts w:ascii="Traditional Arabic" w:eastAsia="Traditional Arabic" w:hAnsi="Traditional Arabic" w:cs="Traditional Arabic" w:hint="cs"/>
          <w:sz w:val="24"/>
          <w:szCs w:val="24"/>
          <w:rtl/>
        </w:rPr>
        <w:t>ة</w:t>
      </w:r>
      <w:r>
        <w:rPr>
          <w:rFonts w:ascii="Traditional Arabic" w:eastAsia="Traditional Arabic" w:hAnsi="Traditional Arabic" w:cs="Traditional Arabic"/>
          <w:sz w:val="24"/>
          <w:szCs w:val="24"/>
          <w:rtl/>
        </w:rPr>
        <w:t xml:space="preserve"> ستيفن تومسن لتحديد حجم العين عند مستوى ثقة 95% وهامش خطأ 5% مع تمثيل الفئات الرئيسية في سوق الفنون البصرية </w:t>
      </w:r>
    </w:p>
    <w:p w14:paraId="7F27DD4D" w14:textId="77777777" w:rsidR="004E1AC4" w:rsidRDefault="00000000">
      <w:pPr>
        <w:bidi/>
        <w:spacing w:before="240" w:after="240" w:line="360" w:lineRule="auto"/>
        <w:rPr>
          <w:rFonts w:ascii="Traditional Arabic" w:eastAsia="Traditional Arabic" w:hAnsi="Traditional Arabic" w:cs="Traditional Arabic"/>
          <w:i/>
          <w:iCs/>
          <w:sz w:val="28"/>
          <w:szCs w:val="28"/>
        </w:rPr>
      </w:pPr>
      <w:r>
        <w:rPr>
          <w:rFonts w:ascii="Traditional Arabic" w:eastAsia="Traditional Arabic" w:hAnsi="Traditional Arabic" w:cs="Traditional Arabic"/>
          <w:b/>
          <w:bCs/>
          <w:sz w:val="28"/>
          <w:szCs w:val="28"/>
          <w:rtl/>
        </w:rPr>
        <w:t>تاسعاً: إجراءات ومنهجية الدراسة</w:t>
      </w:r>
    </w:p>
    <w:p w14:paraId="3761BD7C" w14:textId="77777777" w:rsidR="004E1AC4" w:rsidRDefault="00000000">
      <w:pPr>
        <w:bidi/>
        <w:spacing w:after="240" w:line="360" w:lineRule="auto"/>
        <w:ind w:left="360"/>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 xml:space="preserve">تحديد مجتمع وعينة الدراسة اعتمدت الدراسة على تصميم بحثي متعدد المصادر؛ لبناء نموذج تفسيري يجمع بين تحليل الخطاب الاتصالي لمعارض الفنون وقياس استجابات المقتنين الجدد، ولذلك اشتمل </w:t>
      </w:r>
      <w:r>
        <w:rPr>
          <w:rFonts w:ascii="Traditional Arabic" w:eastAsia="Traditional Arabic" w:hAnsi="Traditional Arabic" w:cs="Traditional Arabic"/>
          <w:b/>
          <w:bCs/>
          <w:sz w:val="24"/>
          <w:szCs w:val="24"/>
          <w:rtl/>
        </w:rPr>
        <w:t>مجتمع الدراسة على</w:t>
      </w:r>
      <w:r>
        <w:rPr>
          <w:rFonts w:ascii="Traditional Arabic" w:eastAsia="Traditional Arabic" w:hAnsi="Traditional Arabic" w:cs="Traditional Arabic"/>
          <w:sz w:val="24"/>
          <w:szCs w:val="24"/>
        </w:rPr>
        <w:t>:</w:t>
      </w:r>
    </w:p>
    <w:p w14:paraId="3BAF0C7F" w14:textId="77777777" w:rsidR="004E1AC4" w:rsidRDefault="00000000" w:rsidP="009A193B">
      <w:pPr>
        <w:bidi/>
        <w:spacing w:after="60" w:line="360" w:lineRule="auto"/>
        <w:ind w:left="4"/>
        <w:rPr>
          <w:rFonts w:ascii="Traditional Arabic" w:eastAsia="Traditional Arabic" w:hAnsi="Traditional Arabic" w:cs="Traditional Arabic"/>
          <w:color w:val="000000"/>
          <w:sz w:val="24"/>
          <w:szCs w:val="24"/>
        </w:rPr>
      </w:pPr>
      <w:r>
        <w:rPr>
          <w:rFonts w:ascii="Traditional Arabic" w:eastAsia="Traditional Arabic" w:hAnsi="Traditional Arabic" w:cs="Traditional Arabic"/>
          <w:color w:val="000000"/>
          <w:sz w:val="24"/>
          <w:szCs w:val="24"/>
          <w:rtl/>
        </w:rPr>
        <w:t>مجتمع الدراسة:</w:t>
      </w:r>
    </w:p>
    <w:p w14:paraId="457F44CB" w14:textId="77777777" w:rsidR="004E1AC4" w:rsidRDefault="00000000" w:rsidP="009A193B">
      <w:pPr>
        <w:bidi/>
        <w:spacing w:after="60" w:line="360" w:lineRule="auto"/>
        <w:ind w:left="4"/>
        <w:rPr>
          <w:rFonts w:ascii="Traditional Arabic" w:eastAsia="Traditional Arabic" w:hAnsi="Traditional Arabic" w:cs="Traditional Arabic"/>
          <w:color w:val="000000"/>
          <w:sz w:val="24"/>
          <w:szCs w:val="24"/>
        </w:rPr>
      </w:pPr>
      <w:r>
        <w:rPr>
          <w:rFonts w:ascii="Traditional Arabic" w:eastAsia="Traditional Arabic" w:hAnsi="Traditional Arabic" w:cs="Traditional Arabic"/>
          <w:color w:val="000000"/>
          <w:sz w:val="24"/>
          <w:szCs w:val="24"/>
          <w:rtl/>
        </w:rPr>
        <w:t>يتكون مجتمع الدراسة من الفاعلين الرئيسيين في سوق الفنون البصرية في المملكة العربية السعودية، والبالغ عددهم الإجمالي تقديرياً (4610) مفردة. وتتوزع هذه الإحصائية وفق البيانات الرسمية الموثقةبجانب كل فئة كالآتي:</w:t>
      </w:r>
    </w:p>
    <w:p w14:paraId="24EBA607" w14:textId="77777777" w:rsidR="009A193B" w:rsidRDefault="00000000" w:rsidP="009A193B">
      <w:pPr>
        <w:bidi/>
        <w:spacing w:after="0" w:line="360" w:lineRule="auto"/>
        <w:ind w:left="4"/>
        <w:rPr>
          <w:rFonts w:ascii="Traditional Arabic" w:eastAsia="Traditional Arabic" w:hAnsi="Traditional Arabic" w:cs="Traditional Arabic"/>
          <w:color w:val="000000"/>
          <w:sz w:val="24"/>
          <w:szCs w:val="24"/>
          <w:rtl/>
        </w:rPr>
      </w:pPr>
      <w:r>
        <w:rPr>
          <w:rFonts w:ascii="Traditional Arabic" w:eastAsia="Traditional Arabic" w:hAnsi="Traditional Arabic" w:cs="Traditional Arabic"/>
          <w:color w:val="000000"/>
          <w:sz w:val="24"/>
          <w:szCs w:val="24"/>
          <w:rtl/>
        </w:rPr>
        <w:t> الفنانون التشكيليون: تشير بيانات الجمعية السعودية للفنون التشكيلية (جسفت) إلىأن عدد الفنانين المسجلين في الجمعية وفروعها المختلفة في المملكة </w:t>
      </w:r>
    </w:p>
    <w:p w14:paraId="3E7F05B9" w14:textId="27453414" w:rsidR="004E1AC4" w:rsidRDefault="00000000" w:rsidP="009A193B">
      <w:pPr>
        <w:bidi/>
        <w:spacing w:after="0" w:line="360" w:lineRule="auto"/>
        <w:ind w:left="4"/>
        <w:rPr>
          <w:rFonts w:ascii="Traditional Arabic" w:eastAsia="Traditional Arabic" w:hAnsi="Traditional Arabic" w:cs="Traditional Arabic"/>
          <w:color w:val="000000"/>
          <w:sz w:val="24"/>
          <w:szCs w:val="24"/>
        </w:rPr>
      </w:pPr>
      <w:r>
        <w:rPr>
          <w:rFonts w:ascii="Traditional Arabic" w:eastAsia="Traditional Arabic" w:hAnsi="Traditional Arabic" w:cs="Traditional Arabic"/>
          <w:color w:val="000000"/>
          <w:sz w:val="24"/>
          <w:szCs w:val="24"/>
          <w:rtl/>
        </w:rPr>
        <w:t>يتجاوز(3000) فنان وفنانة (الجمعية السعودية للفنون التشكيلية، 2022).</w:t>
      </w:r>
    </w:p>
    <w:p w14:paraId="2A0B6C37" w14:textId="77777777" w:rsidR="004E1AC4" w:rsidRDefault="00000000" w:rsidP="009A193B">
      <w:pPr>
        <w:bidi/>
        <w:spacing w:after="0" w:line="360" w:lineRule="auto"/>
        <w:ind w:left="4"/>
        <w:rPr>
          <w:rFonts w:ascii="Traditional Arabic" w:eastAsia="Traditional Arabic" w:hAnsi="Traditional Arabic" w:cs="Traditional Arabic"/>
          <w:color w:val="000000"/>
          <w:sz w:val="24"/>
          <w:szCs w:val="24"/>
        </w:rPr>
      </w:pPr>
      <w:r>
        <w:rPr>
          <w:rFonts w:ascii="Traditional Arabic" w:eastAsia="Traditional Arabic" w:hAnsi="Traditional Arabic" w:cs="Traditional Arabic"/>
          <w:color w:val="000000"/>
          <w:sz w:val="24"/>
          <w:szCs w:val="24"/>
          <w:rtl/>
        </w:rPr>
        <w:t> صالات العرض الفنية: تشير تقارير قطاع الفنون البصرية الصادرة عن وزارة الثقافةالسعودية إلى وجود ما يزيد على (110) صالة عرض فنية ومعرض خاص (وزارةالثقافة السعودية، 2024).</w:t>
      </w:r>
    </w:p>
    <w:p w14:paraId="134343F0" w14:textId="0BD1049D" w:rsidR="004E1AC4" w:rsidRDefault="00000000" w:rsidP="009A193B">
      <w:pPr>
        <w:bidi/>
        <w:spacing w:after="0" w:line="360" w:lineRule="auto"/>
        <w:ind w:left="4"/>
        <w:rPr>
          <w:rFonts w:ascii="Traditional Arabic" w:eastAsia="Traditional Arabic" w:hAnsi="Traditional Arabic" w:cs="Traditional Arabic" w:hint="cs"/>
          <w:color w:val="000000"/>
          <w:sz w:val="24"/>
          <w:szCs w:val="24"/>
          <w:rtl/>
        </w:rPr>
      </w:pPr>
      <w:r>
        <w:rPr>
          <w:rFonts w:ascii="Traditional Arabic" w:eastAsia="Traditional Arabic" w:hAnsi="Traditional Arabic" w:cs="Traditional Arabic"/>
          <w:color w:val="000000"/>
          <w:sz w:val="24"/>
          <w:szCs w:val="24"/>
          <w:rtl/>
        </w:rPr>
        <w:t> مقتنو الأعمال الفنية: يقدر عدد مقتني الأعمال الفنية النشطين في السوق السعوديبحوالي (1500) مقتنٍ، وذلك استناداً إلى تقارير نمو سوق الفن المحلي وتزايد القوةالشرائية في القطاع الثقافي</w:t>
      </w:r>
      <w:r w:rsidR="009A193B">
        <w:rPr>
          <w:rFonts w:ascii="Traditional Arabic" w:eastAsia="Traditional Arabic" w:hAnsi="Traditional Arabic" w:cs="Traditional Arabic"/>
          <w:color w:val="000000"/>
          <w:sz w:val="24"/>
          <w:szCs w:val="24"/>
          <w:rtl/>
        </w:rPr>
        <w:t xml:space="preserve"> </w:t>
      </w:r>
      <w:r>
        <w:rPr>
          <w:rFonts w:ascii="Traditional Arabic" w:eastAsia="Traditional Arabic" w:hAnsi="Traditional Arabic" w:cs="Traditional Arabic"/>
          <w:color w:val="000000"/>
          <w:sz w:val="24"/>
          <w:szCs w:val="24"/>
          <w:rtl/>
        </w:rPr>
        <w:t>(</w:t>
      </w:r>
      <w:r w:rsidR="009A193B">
        <w:rPr>
          <w:rFonts w:ascii="Traditional Arabic" w:eastAsia="Traditional Arabic" w:hAnsi="Traditional Arabic" w:cs="Traditional Arabic"/>
          <w:color w:val="000000"/>
          <w:sz w:val="24"/>
          <w:szCs w:val="24"/>
        </w:rPr>
        <w:t>McAndrew</w:t>
      </w:r>
      <w:r w:rsidR="009A193B">
        <w:rPr>
          <w:rFonts w:ascii="Traditional Arabic" w:eastAsia="Traditional Arabic" w:hAnsi="Traditional Arabic" w:cs="Traditional Arabic"/>
          <w:color w:val="000000"/>
          <w:sz w:val="24"/>
          <w:szCs w:val="24"/>
        </w:rPr>
        <w:t>, 2025</w:t>
      </w:r>
      <w:r>
        <w:rPr>
          <w:rFonts w:ascii="Traditional Arabic" w:eastAsia="Traditional Arabic" w:hAnsi="Traditional Arabic" w:cs="Traditional Arabic"/>
          <w:color w:val="000000"/>
          <w:sz w:val="24"/>
          <w:szCs w:val="24"/>
          <w:rtl/>
        </w:rPr>
        <w:t>)</w:t>
      </w:r>
      <w:r w:rsidR="009A193B">
        <w:rPr>
          <w:rFonts w:ascii="Traditional Arabic" w:eastAsia="Traditional Arabic" w:hAnsi="Traditional Arabic" w:cs="Traditional Arabic" w:hint="cs"/>
          <w:color w:val="000000"/>
          <w:sz w:val="24"/>
          <w:szCs w:val="24"/>
          <w:rtl/>
        </w:rPr>
        <w:t>.</w:t>
      </w:r>
    </w:p>
    <w:p w14:paraId="16920C61" w14:textId="77777777" w:rsidR="004E1AC4" w:rsidRDefault="00000000" w:rsidP="009A193B">
      <w:pPr>
        <w:bidi/>
        <w:spacing w:after="60" w:line="360" w:lineRule="auto"/>
        <w:ind w:left="4"/>
        <w:rPr>
          <w:rFonts w:ascii="Traditional Arabic" w:eastAsia="Traditional Arabic" w:hAnsi="Traditional Arabic" w:cs="Traditional Arabic"/>
          <w:color w:val="000000"/>
          <w:sz w:val="24"/>
          <w:szCs w:val="24"/>
          <w:rtl/>
        </w:rPr>
      </w:pPr>
      <w:r>
        <w:rPr>
          <w:rFonts w:ascii="Traditional Arabic" w:eastAsia="Traditional Arabic" w:hAnsi="Traditional Arabic" w:cs="Traditional Arabic"/>
          <w:color w:val="000000"/>
          <w:sz w:val="24"/>
          <w:szCs w:val="24"/>
          <w:rtl/>
        </w:rPr>
        <w:t>إلى جانب هذا المجتمع البشري، تعتمد الدراسة على "المجتمع الوثائقي" المتمثل في الذاكرةالإحصائية للسوق، والتي تشمل التقارير السنوية والمسوحات الوطنية الصادرة عن وزارة الثقافة، لضمان دعم النتائج الميدانية بمؤشرات واقعية.</w:t>
      </w:r>
    </w:p>
    <w:p w14:paraId="6D0C5134" w14:textId="77777777" w:rsidR="009A193B" w:rsidRDefault="009A193B" w:rsidP="009A193B">
      <w:pPr>
        <w:bidi/>
        <w:spacing w:after="60" w:line="360" w:lineRule="auto"/>
        <w:ind w:left="4"/>
        <w:rPr>
          <w:rFonts w:ascii="Traditional Arabic" w:eastAsia="Traditional Arabic" w:hAnsi="Traditional Arabic" w:cs="Traditional Arabic"/>
          <w:color w:val="000000"/>
          <w:sz w:val="24"/>
          <w:szCs w:val="24"/>
        </w:rPr>
      </w:pPr>
    </w:p>
    <w:p w14:paraId="7BF1B5EF" w14:textId="77777777" w:rsidR="004E1AC4" w:rsidRDefault="00000000" w:rsidP="009A193B">
      <w:pPr>
        <w:bidi/>
        <w:spacing w:after="60" w:line="360" w:lineRule="auto"/>
        <w:ind w:left="4"/>
        <w:rPr>
          <w:rFonts w:ascii="Traditional Arabic" w:eastAsia="Traditional Arabic" w:hAnsi="Traditional Arabic" w:cs="Traditional Arabic"/>
          <w:color w:val="000000"/>
          <w:sz w:val="24"/>
          <w:szCs w:val="24"/>
        </w:rPr>
      </w:pPr>
      <w:r>
        <w:rPr>
          <w:rFonts w:ascii="Traditional Arabic" w:eastAsia="Traditional Arabic" w:hAnsi="Traditional Arabic" w:cs="Traditional Arabic"/>
          <w:color w:val="000000"/>
          <w:sz w:val="24"/>
          <w:szCs w:val="24"/>
          <w:rtl/>
        </w:rPr>
        <w:lastRenderedPageBreak/>
        <w:t>2. عينة الدراسة:</w:t>
      </w:r>
    </w:p>
    <w:p w14:paraId="02DD83B8" w14:textId="2D4441F3" w:rsidR="004E1AC4" w:rsidRDefault="00000000">
      <w:pPr>
        <w:bidi/>
        <w:spacing w:after="60" w:line="360" w:lineRule="auto"/>
        <w:rPr>
          <w:rFonts w:ascii="Traditional Arabic" w:eastAsia="Traditional Arabic" w:hAnsi="Traditional Arabic" w:cs="Traditional Arabic"/>
          <w:color w:val="000000"/>
          <w:sz w:val="24"/>
          <w:szCs w:val="24"/>
        </w:rPr>
      </w:pPr>
      <w:r>
        <w:rPr>
          <w:rFonts w:ascii="Traditional Arabic" w:eastAsia="Traditional Arabic" w:hAnsi="Traditional Arabic" w:cs="Traditional Arabic"/>
          <w:color w:val="000000"/>
          <w:sz w:val="24"/>
          <w:szCs w:val="24"/>
          <w:rtl/>
        </w:rPr>
        <w:t>نظراً لطبيعة مجتمع الدراسة المحدد إحصائياً بـ (4610) مفردة، تم اختيار "عينة قصدية" لضمانتمثيل كافة الفئات المؤثرة في سوق الفن. وبالاستناد إلى معادلة "ستيفن ثامبسون" لحساب حجمالعينة في المجتمعات المحدودة، وعند مستوى ثقة 95% وهامش خطأ 5%، تم تحديد الحجم الأمثل للعينة بـ (355) مفردة </w:t>
      </w:r>
      <w:r w:rsidR="009A193B">
        <w:rPr>
          <w:rFonts w:ascii="Traditional Arabic" w:eastAsia="Traditional Arabic" w:hAnsi="Traditional Arabic" w:cs="Traditional Arabic" w:hint="cs"/>
          <w:color w:val="000000"/>
          <w:sz w:val="24"/>
          <w:szCs w:val="24"/>
          <w:rtl/>
        </w:rPr>
        <w:t>مشاركة.</w:t>
      </w:r>
    </w:p>
    <w:p w14:paraId="0712E0EB" w14:textId="77777777" w:rsidR="004E1AC4" w:rsidRDefault="00000000">
      <w:pPr>
        <w:bidi/>
        <w:spacing w:after="60" w:line="240" w:lineRule="auto"/>
        <w:rPr>
          <w:rFonts w:ascii="Traditional Arabic" w:eastAsia="Traditional Arabic" w:hAnsi="Traditional Arabic" w:cs="Traditional Arabic"/>
          <w:color w:val="000000"/>
          <w:sz w:val="24"/>
          <w:szCs w:val="24"/>
        </w:rPr>
      </w:pPr>
      <w:r>
        <w:rPr>
          <w:rFonts w:ascii="Traditional Arabic" w:eastAsia="Traditional Arabic" w:hAnsi="Traditional Arabic" w:cs="Traditional Arabic"/>
          <w:color w:val="000000"/>
          <w:sz w:val="24"/>
          <w:szCs w:val="24"/>
          <w:rtl/>
        </w:rPr>
        <w:t>ويُعد هذا الحجم (355) هو الحد الأدنى المقبول إحصائياً لضمان درجة عالية من المصداقية والقدرة على تعميم النتائج على المجتمع الأصلي، مما يسهم في بناء "النموذج التطبيقي الابتكاري" المقترح في الدراسة بأسس علمية متينة.</w:t>
      </w:r>
    </w:p>
    <w:p w14:paraId="7A4B5E41" w14:textId="77777777" w:rsidR="004E1AC4" w:rsidRDefault="004E1AC4">
      <w:pPr>
        <w:bidi/>
        <w:spacing w:after="240" w:line="360" w:lineRule="auto"/>
        <w:ind w:left="360"/>
        <w:rPr>
          <w:rFonts w:ascii="Traditional Arabic" w:eastAsia="Traditional Arabic" w:hAnsi="Traditional Arabic" w:cs="Traditional Arabic"/>
          <w:sz w:val="24"/>
          <w:szCs w:val="24"/>
        </w:rPr>
      </w:pPr>
    </w:p>
    <w:p w14:paraId="386BCE01" w14:textId="77777777" w:rsidR="004E1AC4" w:rsidRDefault="00000000" w:rsidP="009A193B">
      <w:pPr>
        <w:bidi/>
        <w:spacing w:after="240" w:line="360" w:lineRule="auto"/>
        <w:ind w:left="4"/>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تحديد أدوات ومقاييس الدراسة:</w:t>
      </w:r>
    </w:p>
    <w:p w14:paraId="1ACAC439" w14:textId="77777777" w:rsidR="004E1AC4" w:rsidRDefault="00000000" w:rsidP="009A193B">
      <w:pPr>
        <w:bidi/>
        <w:spacing w:after="240" w:line="360" w:lineRule="auto"/>
        <w:ind w:left="4"/>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اعتمدت الدراسة على أداة رئيسية لجمع البيانات:</w:t>
      </w:r>
    </w:p>
    <w:p w14:paraId="6FD67999"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 xml:space="preserve"> الاستبانة :</w:t>
      </w:r>
    </w:p>
    <w:p w14:paraId="1203D9F2"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بُني الاستبيان ليكون الأداة الرئيسية لجمع البيانات من عينة قصدية تمثل ، وذلك بهدف اختبار العلاقات بين متغيرات الدراسة وقياس أثر الاتصال التسويقي المتكامل، وأبعاد الابتكار في تنمية سوق الفنون البصرية، واعتمد الاستبيان على مقياس ليكرت الخماسي وتضمن خمسة محاور رئيسية شملت البيانات الديمغرافية والسلوكية للمستجيبين، وتقييم الاتصال التسويقي المتكامل، وقياس أبعاد الابتكار الخمسة إضافة إلى قياس المتغير الوسيط المتمثل في الثقة وخفض المخاطر المدركة، وصولا إلى قياس المتغير التابع المتمثل في تنمية سوق الفنون البصرية ونضجها الهيكلي والمؤسسي.</w:t>
      </w:r>
    </w:p>
    <w:p w14:paraId="25D51277" w14:textId="34182DC5" w:rsidR="004E1AC4" w:rsidRPr="009A193B" w:rsidRDefault="00000000" w:rsidP="009A193B">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وبالتحقق من جودة الأداة، عرضت على مجموعة من المحكمين، ثم طبقت على عينة استطلاعية، وأجريت اختبارات الصدق البنائي والتحليل العاملي الاستكشافي، إضافة إلى قياس الثبات باستخدام معامل ألفا كرونباخ الذي بلغ (0,91) لكامل الاستبيان.</w:t>
      </w:r>
    </w:p>
    <w:p w14:paraId="7A32237D" w14:textId="77777777" w:rsidR="004E1AC4" w:rsidRDefault="00000000">
      <w:pPr>
        <w:bidi/>
        <w:spacing w:before="240" w:after="240" w:line="360" w:lineRule="auto"/>
        <w:rPr>
          <w:rFonts w:ascii="Traditional Arabic" w:eastAsia="Traditional Arabic" w:hAnsi="Traditional Arabic" w:cs="Traditional Arabic"/>
          <w:b/>
          <w:bCs/>
          <w:sz w:val="24"/>
          <w:szCs w:val="24"/>
        </w:rPr>
      </w:pPr>
      <w:r>
        <w:rPr>
          <w:rFonts w:ascii="Traditional Arabic" w:eastAsia="Traditional Arabic" w:hAnsi="Traditional Arabic" w:cs="Traditional Arabic"/>
          <w:b/>
          <w:bCs/>
          <w:sz w:val="24"/>
          <w:szCs w:val="24"/>
          <w:rtl/>
        </w:rPr>
        <w:t>الأساليب الإحصائية المستخدمة في تحليل النتائج:</w:t>
      </w:r>
    </w:p>
    <w:p w14:paraId="70885E74" w14:textId="77777777" w:rsidR="004E1AC4" w:rsidRDefault="00000000">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tl/>
        </w:rPr>
        <w:t xml:space="preserve">اعتمدت الدراسة على مجموعة من الأساليب الإحصائية المناسبة لطبيعة بياناتها وأهدافها، حيث تم استخدام الإحصاء الوصفي لحساب التكرارات، والنسب المئوية، والمتوسطات الحسابية، والانحرافات المعيارية، واختبار الصدق والثبات والتحليل العام للاستكشافي للتحقق من صلاحية أدوات القياس. كما استخدمت الاختبارات الاستدلالية، وتحليل الانحدار الخطي المتعدد لقياس التأثيرات المباشرة بين المتغيرات، واختبار كاي تربيع لتحليل بيانات استمارة تحليل </w:t>
      </w:r>
      <w:r>
        <w:rPr>
          <w:rFonts w:ascii="Traditional Arabic" w:eastAsia="Traditional Arabic" w:hAnsi="Traditional Arabic" w:cs="Traditional Arabic"/>
          <w:sz w:val="24"/>
          <w:szCs w:val="24"/>
          <w:rtl/>
        </w:rPr>
        <w:lastRenderedPageBreak/>
        <w:t>المضمون، وحساب معامل التحديد (</w:t>
      </w:r>
      <w:r w:rsidRPr="009A193B">
        <w:rPr>
          <w:rFonts w:asciiTheme="majorBidi" w:hAnsiTheme="majorBidi" w:cstheme="majorBidi"/>
          <w:sz w:val="24"/>
          <w:szCs w:val="24"/>
        </w:rPr>
        <w:t>R</w:t>
      </w:r>
      <w:r w:rsidRPr="009A193B">
        <w:rPr>
          <w:rFonts w:asciiTheme="majorBidi" w:hAnsiTheme="majorBidi" w:cstheme="majorBidi"/>
          <w:sz w:val="24"/>
          <w:szCs w:val="24"/>
          <w:vertAlign w:val="superscript"/>
        </w:rPr>
        <w:t>2</w:t>
      </w:r>
      <w:r>
        <w:rPr>
          <w:rFonts w:ascii="Traditional Arabic" w:eastAsia="Traditional Arabic" w:hAnsi="Traditional Arabic" w:cs="Traditional Arabic"/>
          <w:sz w:val="24"/>
          <w:szCs w:val="24"/>
          <w:rtl/>
        </w:rPr>
        <w:t xml:space="preserve">) لقياس القدرة التفسيرية للنموذج، بالإضافة إلى تحليل الوساطة والتعديل للتحقق من معنويات التأثيرات غير المباشرة باستخدام برنامج </w:t>
      </w:r>
      <w:r w:rsidRPr="009A193B">
        <w:rPr>
          <w:rFonts w:asciiTheme="majorBidi" w:hAnsiTheme="majorBidi" w:cstheme="majorBidi"/>
          <w:b/>
          <w:bCs/>
          <w:sz w:val="24"/>
          <w:szCs w:val="24"/>
        </w:rPr>
        <w:t>SPSS</w:t>
      </w:r>
      <w:r>
        <w:rPr>
          <w:rFonts w:ascii="Traditional Arabic" w:eastAsia="Traditional Arabic" w:hAnsi="Traditional Arabic" w:cs="Traditional Arabic"/>
          <w:sz w:val="24"/>
          <w:szCs w:val="24"/>
          <w:rtl/>
        </w:rPr>
        <w:t xml:space="preserve"> لاختبار فرضيات الدراسة وبناء النموذج السببي المقترح. </w:t>
      </w:r>
    </w:p>
    <w:p w14:paraId="3A9C857F" w14:textId="77777777" w:rsidR="004E1AC4" w:rsidRDefault="00000000">
      <w:pPr>
        <w:bidi/>
        <w:spacing w:before="240" w:after="240" w:line="360" w:lineRule="auto"/>
        <w:rPr>
          <w:rFonts w:ascii="Traditional Arabic" w:eastAsia="Traditional Arabic" w:hAnsi="Traditional Arabic" w:cs="Traditional Arabic"/>
          <w:b/>
          <w:bCs/>
          <w:sz w:val="28"/>
          <w:szCs w:val="28"/>
        </w:rPr>
      </w:pPr>
      <w:r>
        <w:rPr>
          <w:rFonts w:ascii="Traditional Arabic" w:eastAsia="Traditional Arabic" w:hAnsi="Traditional Arabic" w:cs="Traditional Arabic"/>
          <w:b/>
          <w:bCs/>
          <w:sz w:val="28"/>
          <w:szCs w:val="28"/>
          <w:rtl/>
        </w:rPr>
        <w:t>عاشراً: نموذج الدراسة</w:t>
      </w:r>
    </w:p>
    <w:p w14:paraId="21BA2EA2" w14:textId="769CB8FB" w:rsidR="004E1AC4" w:rsidRDefault="00F15358">
      <w:pPr>
        <w:bidi/>
        <w:spacing w:before="240" w:after="240" w:line="360" w:lineRule="auto"/>
        <w:rPr>
          <w:rFonts w:ascii="Traditional Arabic" w:eastAsia="Traditional Arabic" w:hAnsi="Traditional Arabic" w:cs="Traditional Arabic"/>
          <w:sz w:val="24"/>
          <w:szCs w:val="24"/>
        </w:rPr>
      </w:pPr>
      <w:r>
        <w:rPr>
          <w:rFonts w:ascii="Traditional Arabic" w:eastAsia="Traditional Arabic" w:hAnsi="Traditional Arabic" w:cs="Traditional Arabic"/>
          <w:noProof/>
          <w:sz w:val="24"/>
          <w:szCs w:val="24"/>
        </w:rPr>
        <mc:AlternateContent>
          <mc:Choice Requires="wpg">
            <w:drawing>
              <wp:anchor distT="0" distB="0" distL="114300" distR="114300" simplePos="0" relativeHeight="251662336" behindDoc="0" locked="0" layoutInCell="1" allowOverlap="1" wp14:anchorId="3BA2D963" wp14:editId="3A1BB3D7">
                <wp:simplePos x="0" y="0"/>
                <wp:positionH relativeFrom="column">
                  <wp:posOffset>173355</wp:posOffset>
                </wp:positionH>
                <wp:positionV relativeFrom="paragraph">
                  <wp:posOffset>1520190</wp:posOffset>
                </wp:positionV>
                <wp:extent cx="5762625" cy="3315970"/>
                <wp:effectExtent l="0" t="0" r="3175" b="11430"/>
                <wp:wrapSquare wrapText="bothSides"/>
                <wp:docPr id="3" name="مجموعة 3"/>
                <wp:cNvGraphicFramePr/>
                <a:graphic xmlns:a="http://schemas.openxmlformats.org/drawingml/2006/main">
                  <a:graphicData uri="http://schemas.microsoft.com/office/word/2010/wordprocessingGroup">
                    <wpg:wgp>
                      <wpg:cNvGrpSpPr/>
                      <wpg:grpSpPr>
                        <a:xfrm>
                          <a:off x="0" y="0"/>
                          <a:ext cx="5762625" cy="3315970"/>
                          <a:chOff x="2459675" y="2117200"/>
                          <a:chExt cx="5772650" cy="3325600"/>
                        </a:xfrm>
                      </wpg:grpSpPr>
                      <wpg:grpSp>
                        <wpg:cNvPr id="1949329922" name="مجموعة 1949329922"/>
                        <wpg:cNvGrpSpPr/>
                        <wpg:grpSpPr>
                          <a:xfrm>
                            <a:off x="2464457" y="2121976"/>
                            <a:ext cx="5763087" cy="3316049"/>
                            <a:chOff x="0" y="0"/>
                            <a:chExt cx="5994803" cy="3415107"/>
                          </a:xfrm>
                        </wpg:grpSpPr>
                        <wps:wsp>
                          <wps:cNvPr id="849032063" name="مستطيل 849032063"/>
                          <wps:cNvSpPr/>
                          <wps:spPr>
                            <a:xfrm>
                              <a:off x="0" y="0"/>
                              <a:ext cx="5994800" cy="3415100"/>
                            </a:xfrm>
                            <a:prstGeom prst="rect">
                              <a:avLst/>
                            </a:prstGeom>
                            <a:noFill/>
                            <a:ln>
                              <a:noFill/>
                            </a:ln>
                          </wps:spPr>
                          <wps:txbx>
                            <w:txbxContent>
                              <w:p w14:paraId="082686C1" w14:textId="77777777" w:rsidR="009A193B" w:rsidRDefault="009A193B" w:rsidP="009A193B">
                                <w:pPr>
                                  <w:spacing w:after="0" w:line="240" w:lineRule="auto"/>
                                  <w:textDirection w:val="btLr"/>
                                </w:pPr>
                              </w:p>
                            </w:txbxContent>
                          </wps:txbx>
                          <wps:bodyPr spcFirstLastPara="1" wrap="square" lIns="91425" tIns="91425" rIns="91425" bIns="91425" anchor="ctr" anchorCtr="0">
                            <a:noAutofit/>
                          </wps:bodyPr>
                        </wps:wsp>
                        <wpg:grpSp>
                          <wpg:cNvPr id="1489884436" name="مجموعة 1489884436"/>
                          <wpg:cNvGrpSpPr/>
                          <wpg:grpSpPr>
                            <a:xfrm>
                              <a:off x="0" y="60623"/>
                              <a:ext cx="1609725" cy="2025825"/>
                              <a:chOff x="0" y="0"/>
                              <a:chExt cx="1610236" cy="1975624"/>
                            </a:xfrm>
                          </wpg:grpSpPr>
                          <wps:wsp>
                            <wps:cNvPr id="1950723392" name="مستطيل 1950723392"/>
                            <wps:cNvSpPr/>
                            <wps:spPr>
                              <a:xfrm>
                                <a:off x="0" y="0"/>
                                <a:ext cx="1610236" cy="1975624"/>
                              </a:xfrm>
                              <a:prstGeom prst="rect">
                                <a:avLst/>
                              </a:prstGeom>
                              <a:solidFill>
                                <a:srgbClr val="8CB3E3"/>
                              </a:solidFill>
                              <a:ln w="9525" cap="flat" cmpd="sng">
                                <a:solidFill>
                                  <a:srgbClr val="000000"/>
                                </a:solidFill>
                                <a:prstDash val="solid"/>
                                <a:round/>
                                <a:headEnd type="none" w="sm" len="sm"/>
                                <a:tailEnd type="none" w="sm" len="sm"/>
                              </a:ln>
                            </wps:spPr>
                            <wps:txbx>
                              <w:txbxContent>
                                <w:p w14:paraId="490C4E1D"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rPr>
                                    <w:t>استراتيجيات</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الاتصال</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التسويقي</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المتكامل</w:t>
                                  </w:r>
                                  <w:proofErr w:type="spellEnd"/>
                                </w:p>
                                <w:p w14:paraId="781D8A9E" w14:textId="77777777" w:rsidR="009A193B" w:rsidRDefault="009A193B" w:rsidP="009A193B">
                                  <w:pPr>
                                    <w:bidi/>
                                    <w:spacing w:after="0" w:line="240" w:lineRule="auto"/>
                                    <w:jc w:val="center"/>
                                    <w:textDirection w:val="tbRl"/>
                                  </w:pPr>
                                  <w:r>
                                    <w:rPr>
                                      <w:rFonts w:ascii="Traditional Arabic" w:eastAsia="Traditional Arabic" w:hAnsi="Traditional Arabic" w:cs="Traditional Arabic"/>
                                      <w:color w:val="000000"/>
                                    </w:rPr>
                                    <w:t>(</w:t>
                                  </w:r>
                                  <w:proofErr w:type="spellStart"/>
                                  <w:r>
                                    <w:rPr>
                                      <w:rFonts w:ascii="Traditional Arabic" w:eastAsia="Traditional Arabic" w:hAnsi="Traditional Arabic" w:cs="Traditional Arabic"/>
                                      <w:color w:val="000000"/>
                                    </w:rPr>
                                    <w:t>المتغير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المستقل</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الأول</w:t>
                                  </w:r>
                                  <w:proofErr w:type="spellEnd"/>
                                  <w:r>
                                    <w:rPr>
                                      <w:rFonts w:ascii="Traditional Arabic" w:eastAsia="Traditional Arabic" w:hAnsi="Traditional Arabic" w:cs="Traditional Arabic"/>
                                      <w:color w:val="000000"/>
                                    </w:rPr>
                                    <w:t>)</w:t>
                                  </w:r>
                                </w:p>
                                <w:p w14:paraId="205BD8AB" w14:textId="77777777" w:rsidR="009A193B" w:rsidRDefault="009A193B" w:rsidP="009A193B">
                                  <w:pPr>
                                    <w:spacing w:line="258" w:lineRule="auto"/>
                                    <w:textDirection w:val="btLr"/>
                                  </w:pPr>
                                </w:p>
                              </w:txbxContent>
                            </wps:txbx>
                            <wps:bodyPr spcFirstLastPara="1" wrap="square" lIns="91425" tIns="45700" rIns="91425" bIns="45700" anchor="t" anchorCtr="0">
                              <a:noAutofit/>
                            </wps:bodyPr>
                          </wps:wsp>
                          <wps:wsp>
                            <wps:cNvPr id="2136704015" name="مستطيل 2136704015"/>
                            <wps:cNvSpPr/>
                            <wps:spPr>
                              <a:xfrm>
                                <a:off x="358687" y="505193"/>
                                <a:ext cx="925830"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7E93E8F7"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الاتساق</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الرسالي</w:t>
                                  </w:r>
                                  <w:proofErr w:type="spellEnd"/>
                                </w:p>
                              </w:txbxContent>
                            </wps:txbx>
                            <wps:bodyPr spcFirstLastPara="1" wrap="square" lIns="91425" tIns="45700" rIns="91425" bIns="45700" anchor="t" anchorCtr="0">
                              <a:noAutofit/>
                            </wps:bodyPr>
                          </wps:wsp>
                          <wps:wsp>
                            <wps:cNvPr id="2100336868" name="مستطيل 2100336868"/>
                            <wps:cNvSpPr/>
                            <wps:spPr>
                              <a:xfrm>
                                <a:off x="358687" y="843673"/>
                                <a:ext cx="925830"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0B5D4B90"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تكامل</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القنوات</w:t>
                                  </w:r>
                                  <w:proofErr w:type="spellEnd"/>
                                </w:p>
                              </w:txbxContent>
                            </wps:txbx>
                            <wps:bodyPr spcFirstLastPara="1" wrap="square" lIns="91425" tIns="45700" rIns="91425" bIns="45700" anchor="t" anchorCtr="0">
                              <a:noAutofit/>
                            </wps:bodyPr>
                          </wps:wsp>
                          <wps:wsp>
                            <wps:cNvPr id="1437559740" name="مستطيل 1437559740"/>
                            <wps:cNvSpPr/>
                            <wps:spPr>
                              <a:xfrm>
                                <a:off x="358687" y="1177101"/>
                                <a:ext cx="916305"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15288225"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بناء</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الهوية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الرمزية</w:t>
                                  </w:r>
                                  <w:proofErr w:type="spellEnd"/>
                                </w:p>
                              </w:txbxContent>
                            </wps:txbx>
                            <wps:bodyPr spcFirstLastPara="1" wrap="square" lIns="91425" tIns="45700" rIns="91425" bIns="45700" anchor="t" anchorCtr="0">
                              <a:noAutofit/>
                            </wps:bodyPr>
                          </wps:wsp>
                          <wps:wsp>
                            <wps:cNvPr id="1696361855" name="مستطيل 1696361855"/>
                            <wps:cNvSpPr/>
                            <wps:spPr>
                              <a:xfrm>
                                <a:off x="358687" y="1515580"/>
                                <a:ext cx="916305"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4E158D13"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التسويق</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التجريبي</w:t>
                                  </w:r>
                                  <w:proofErr w:type="spellEnd"/>
                                </w:p>
                              </w:txbxContent>
                            </wps:txbx>
                            <wps:bodyPr spcFirstLastPara="1" wrap="square" lIns="91425" tIns="45700" rIns="91425" bIns="45700" anchor="t" anchorCtr="0">
                              <a:noAutofit/>
                            </wps:bodyPr>
                          </wps:wsp>
                        </wpg:grpSp>
                        <wpg:grpSp>
                          <wpg:cNvPr id="91479680" name="مجموعة 91479680"/>
                          <wpg:cNvGrpSpPr/>
                          <wpg:grpSpPr>
                            <a:xfrm>
                              <a:off x="4385078" y="0"/>
                              <a:ext cx="1609725" cy="2121812"/>
                              <a:chOff x="0" y="0"/>
                              <a:chExt cx="1609725" cy="2182435"/>
                            </a:xfrm>
                          </wpg:grpSpPr>
                          <wps:wsp>
                            <wps:cNvPr id="2138095832" name="مستطيل 2138095832"/>
                            <wps:cNvSpPr/>
                            <wps:spPr>
                              <a:xfrm>
                                <a:off x="0" y="0"/>
                                <a:ext cx="1609725" cy="2182435"/>
                              </a:xfrm>
                              <a:prstGeom prst="rect">
                                <a:avLst/>
                              </a:prstGeom>
                              <a:solidFill>
                                <a:srgbClr val="B7CCE4"/>
                              </a:solidFill>
                              <a:ln w="9525" cap="flat" cmpd="sng">
                                <a:solidFill>
                                  <a:srgbClr val="000000"/>
                                </a:solidFill>
                                <a:prstDash val="solid"/>
                                <a:round/>
                                <a:headEnd type="none" w="sm" len="sm"/>
                                <a:tailEnd type="none" w="sm" len="sm"/>
                              </a:ln>
                            </wps:spPr>
                            <wps:txbx>
                              <w:txbxContent>
                                <w:p w14:paraId="2BD1DE41"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sz w:val="24"/>
                                    </w:rPr>
                                    <w:t>أبعاد</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الابتكار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الخمسة</w:t>
                                  </w:r>
                                  <w:proofErr w:type="spellEnd"/>
                                </w:p>
                                <w:p w14:paraId="2D4840FA" w14:textId="77777777" w:rsidR="009A193B" w:rsidRDefault="009A193B" w:rsidP="009A193B">
                                  <w:pPr>
                                    <w:spacing w:after="0" w:line="240" w:lineRule="auto"/>
                                    <w:jc w:val="center"/>
                                    <w:textDirection w:val="btLr"/>
                                  </w:pPr>
                                  <w:r>
                                    <w:rPr>
                                      <w:rFonts w:ascii="Traditional Arabic" w:eastAsia="Traditional Arabic" w:hAnsi="Traditional Arabic" w:cs="Traditional Arabic"/>
                                      <w:color w:val="000000"/>
                                      <w:sz w:val="24"/>
                                    </w:rPr>
                                    <w:t>(</w:t>
                                  </w:r>
                                  <w:proofErr w:type="spellStart"/>
                                  <w:r>
                                    <w:rPr>
                                      <w:rFonts w:ascii="Traditional Arabic" w:eastAsia="Traditional Arabic" w:hAnsi="Traditional Arabic" w:cs="Traditional Arabic"/>
                                      <w:color w:val="000000"/>
                                      <w:sz w:val="24"/>
                                    </w:rPr>
                                    <w:t>المتغير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المستقل</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الثاني</w:t>
                                  </w:r>
                                  <w:proofErr w:type="spellEnd"/>
                                  <w:r>
                                    <w:rPr>
                                      <w:rFonts w:ascii="Traditional Arabic" w:eastAsia="Traditional Arabic" w:hAnsi="Traditional Arabic" w:cs="Traditional Arabic"/>
                                      <w:color w:val="000000"/>
                                      <w:sz w:val="24"/>
                                    </w:rPr>
                                    <w:t>)</w:t>
                                  </w:r>
                                </w:p>
                                <w:p w14:paraId="47F176BC" w14:textId="77777777" w:rsidR="009A193B" w:rsidRDefault="009A193B" w:rsidP="009A193B">
                                  <w:pPr>
                                    <w:bidi/>
                                    <w:spacing w:line="258" w:lineRule="auto"/>
                                    <w:jc w:val="right"/>
                                    <w:textDirection w:val="tbRl"/>
                                  </w:pPr>
                                </w:p>
                              </w:txbxContent>
                            </wps:txbx>
                            <wps:bodyPr spcFirstLastPara="1" wrap="square" lIns="91425" tIns="45700" rIns="91425" bIns="45700" anchor="t" anchorCtr="0">
                              <a:noAutofit/>
                            </wps:bodyPr>
                          </wps:wsp>
                          <wps:wsp>
                            <wps:cNvPr id="718134421" name="مستطيل 718134421"/>
                            <wps:cNvSpPr/>
                            <wps:spPr>
                              <a:xfrm>
                                <a:off x="227337" y="495089"/>
                                <a:ext cx="1146007" cy="274320"/>
                              </a:xfrm>
                              <a:prstGeom prst="rect">
                                <a:avLst/>
                              </a:prstGeom>
                              <a:solidFill>
                                <a:schemeClr val="lt1"/>
                              </a:solidFill>
                              <a:ln w="9525" cap="flat" cmpd="sng">
                                <a:solidFill>
                                  <a:srgbClr val="000000"/>
                                </a:solidFill>
                                <a:prstDash val="solid"/>
                                <a:round/>
                                <a:headEnd type="none" w="sm" len="sm"/>
                                <a:tailEnd type="none" w="sm" len="sm"/>
                              </a:ln>
                            </wps:spPr>
                            <wps:txbx>
                              <w:txbxContent>
                                <w:p w14:paraId="1564E1D1" w14:textId="77777777" w:rsidR="009A193B" w:rsidRDefault="009A193B" w:rsidP="009A193B">
                                  <w:pPr>
                                    <w:bidi/>
                                    <w:spacing w:after="0" w:line="258" w:lineRule="auto"/>
                                    <w:jc w:val="center"/>
                                    <w:textDirection w:val="tbRl"/>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التسويقي</w:t>
                                  </w:r>
                                  <w:proofErr w:type="spellEnd"/>
                                </w:p>
                              </w:txbxContent>
                            </wps:txbx>
                            <wps:bodyPr spcFirstLastPara="1" wrap="square" lIns="91425" tIns="45700" rIns="91425" bIns="45700" anchor="t" anchorCtr="0">
                              <a:noAutofit/>
                            </wps:bodyPr>
                          </wps:wsp>
                          <wps:wsp>
                            <wps:cNvPr id="512201187" name="مستطيل 512201187"/>
                            <wps:cNvSpPr/>
                            <wps:spPr>
                              <a:xfrm>
                                <a:off x="227337" y="798205"/>
                                <a:ext cx="1151059"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5A37C865"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النفسي</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والسلوكي</w:t>
                                  </w:r>
                                  <w:proofErr w:type="spellEnd"/>
                                </w:p>
                              </w:txbxContent>
                            </wps:txbx>
                            <wps:bodyPr spcFirstLastPara="1" wrap="square" lIns="91425" tIns="45700" rIns="91425" bIns="45700" anchor="t" anchorCtr="0">
                              <a:noAutofit/>
                            </wps:bodyPr>
                          </wps:wsp>
                          <wps:wsp>
                            <wps:cNvPr id="1705499562" name="مستطيل 1705499562"/>
                            <wps:cNvSpPr/>
                            <wps:spPr>
                              <a:xfrm>
                                <a:off x="227337" y="1126581"/>
                                <a:ext cx="1146007"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290FB0BF"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التقني</w:t>
                                  </w:r>
                                  <w:proofErr w:type="spellEnd"/>
                                </w:p>
                              </w:txbxContent>
                            </wps:txbx>
                            <wps:bodyPr spcFirstLastPara="1" wrap="square" lIns="91425" tIns="45700" rIns="91425" bIns="45700" anchor="t" anchorCtr="0">
                              <a:noAutofit/>
                            </wps:bodyPr>
                          </wps:wsp>
                          <wps:wsp>
                            <wps:cNvPr id="406540704" name="مستطيل 406540704"/>
                            <wps:cNvSpPr/>
                            <wps:spPr>
                              <a:xfrm>
                                <a:off x="227337" y="1454957"/>
                                <a:ext cx="1137780"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59FC51FF"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الاقتصادي</w:t>
                                  </w:r>
                                  <w:proofErr w:type="spellEnd"/>
                                </w:p>
                              </w:txbxContent>
                            </wps:txbx>
                            <wps:bodyPr spcFirstLastPara="1" wrap="square" lIns="91425" tIns="45700" rIns="91425" bIns="45700" anchor="t" anchorCtr="0">
                              <a:noAutofit/>
                            </wps:bodyPr>
                          </wps:wsp>
                          <wps:wsp>
                            <wps:cNvPr id="727899521" name="مستطيل 727899521"/>
                            <wps:cNvSpPr/>
                            <wps:spPr>
                              <a:xfrm>
                                <a:off x="227337" y="1783333"/>
                                <a:ext cx="1145540"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3FE28FD5" w14:textId="77777777" w:rsidR="009A193B" w:rsidRDefault="009A193B" w:rsidP="009A193B">
                                  <w:pPr>
                                    <w:bidi/>
                                    <w:spacing w:line="258" w:lineRule="auto"/>
                                    <w:jc w:val="right"/>
                                    <w:textDirection w:val="tbRl"/>
                                  </w:pPr>
                                  <w:proofErr w:type="spellStart"/>
                                  <w:r>
                                    <w:rPr>
                                      <w:rFonts w:ascii="Traditional Arabic" w:eastAsia="Traditional Arabic" w:hAnsi="Traditional Arabic" w:cs="Traditional Arabic"/>
                                      <w:color w:val="000000"/>
                                      <w:sz w:val="21"/>
                                    </w:rPr>
                                    <w:t>الابتكار</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المؤسسي</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والتنظيمي</w:t>
                                  </w:r>
                                  <w:proofErr w:type="spellEnd"/>
                                </w:p>
                              </w:txbxContent>
                            </wps:txbx>
                            <wps:bodyPr spcFirstLastPara="1" wrap="square" lIns="91425" tIns="45700" rIns="91425" bIns="45700" anchor="t" anchorCtr="0">
                              <a:noAutofit/>
                            </wps:bodyPr>
                          </wps:wsp>
                        </wpg:grpSp>
                        <wpg:grpSp>
                          <wpg:cNvPr id="334245514" name="مجموعة 334245514"/>
                          <wpg:cNvGrpSpPr/>
                          <wpg:grpSpPr>
                            <a:xfrm>
                              <a:off x="2212747" y="227337"/>
                              <a:ext cx="1565275" cy="1424646"/>
                              <a:chOff x="0" y="0"/>
                              <a:chExt cx="1565275" cy="1424646"/>
                            </a:xfrm>
                          </wpg:grpSpPr>
                          <wps:wsp>
                            <wps:cNvPr id="1674195636" name="مستطيل 1674195636"/>
                            <wps:cNvSpPr/>
                            <wps:spPr>
                              <a:xfrm>
                                <a:off x="0" y="0"/>
                                <a:ext cx="1565275" cy="1424646"/>
                              </a:xfrm>
                              <a:prstGeom prst="rect">
                                <a:avLst/>
                              </a:prstGeom>
                              <a:solidFill>
                                <a:srgbClr val="D6E3BC"/>
                              </a:solidFill>
                              <a:ln w="9525" cap="flat" cmpd="sng">
                                <a:solidFill>
                                  <a:srgbClr val="000000"/>
                                </a:solidFill>
                                <a:prstDash val="solid"/>
                                <a:round/>
                                <a:headEnd type="none" w="sm" len="sm"/>
                                <a:tailEnd type="none" w="sm" len="sm"/>
                              </a:ln>
                            </wps:spPr>
                            <wps:txbx>
                              <w:txbxContent>
                                <w:p w14:paraId="71B4C34E"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sz w:val="24"/>
                                    </w:rPr>
                                    <w:t>سيكولوجية</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المقتني</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الجديد</w:t>
                                  </w:r>
                                  <w:proofErr w:type="spellEnd"/>
                                </w:p>
                                <w:p w14:paraId="3EB57AE0" w14:textId="77777777" w:rsidR="009A193B" w:rsidRDefault="009A193B" w:rsidP="009A193B">
                                  <w:pPr>
                                    <w:bidi/>
                                    <w:spacing w:after="0" w:line="240" w:lineRule="auto"/>
                                    <w:jc w:val="center"/>
                                    <w:textDirection w:val="tbRl"/>
                                  </w:pPr>
                                  <w:r>
                                    <w:rPr>
                                      <w:rFonts w:ascii="Traditional Arabic" w:eastAsia="Traditional Arabic" w:hAnsi="Traditional Arabic" w:cs="Traditional Arabic"/>
                                      <w:color w:val="000000"/>
                                      <w:sz w:val="24"/>
                                    </w:rPr>
                                    <w:t>(</w:t>
                                  </w:r>
                                  <w:proofErr w:type="spellStart"/>
                                  <w:r>
                                    <w:rPr>
                                      <w:rFonts w:ascii="Traditional Arabic" w:eastAsia="Traditional Arabic" w:hAnsi="Traditional Arabic" w:cs="Traditional Arabic"/>
                                      <w:color w:val="000000"/>
                                      <w:sz w:val="24"/>
                                    </w:rPr>
                                    <w:t>المتغير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الوسيط</w:t>
                                  </w:r>
                                  <w:proofErr w:type="spellEnd"/>
                                  <w:r>
                                    <w:rPr>
                                      <w:rFonts w:ascii="Traditional Arabic" w:eastAsia="Traditional Arabic" w:hAnsi="Traditional Arabic" w:cs="Traditional Arabic"/>
                                      <w:color w:val="000000"/>
                                      <w:sz w:val="24"/>
                                    </w:rPr>
                                    <w:t>)</w:t>
                                  </w:r>
                                </w:p>
                                <w:p w14:paraId="5337C0A9" w14:textId="77777777" w:rsidR="009A193B" w:rsidRDefault="009A193B" w:rsidP="009A193B">
                                  <w:pPr>
                                    <w:spacing w:after="0" w:line="240" w:lineRule="auto"/>
                                    <w:textDirection w:val="btLr"/>
                                  </w:pPr>
                                </w:p>
                              </w:txbxContent>
                            </wps:txbx>
                            <wps:bodyPr spcFirstLastPara="1" wrap="square" lIns="91425" tIns="45700" rIns="91425" bIns="45700" anchor="t" anchorCtr="0">
                              <a:noAutofit/>
                            </wps:bodyPr>
                          </wps:wsp>
                          <wps:wsp>
                            <wps:cNvPr id="444740759" name="مستطيل 444740759"/>
                            <wps:cNvSpPr/>
                            <wps:spPr>
                              <a:xfrm>
                                <a:off x="197025" y="495090"/>
                                <a:ext cx="1186422" cy="274320"/>
                              </a:xfrm>
                              <a:prstGeom prst="rect">
                                <a:avLst/>
                              </a:prstGeom>
                              <a:solidFill>
                                <a:schemeClr val="lt1"/>
                              </a:solidFill>
                              <a:ln w="9525" cap="flat" cmpd="sng">
                                <a:solidFill>
                                  <a:srgbClr val="000000"/>
                                </a:solidFill>
                                <a:prstDash val="solid"/>
                                <a:round/>
                                <a:headEnd type="none" w="sm" len="sm"/>
                                <a:tailEnd type="none" w="sm" len="sm"/>
                              </a:ln>
                            </wps:spPr>
                            <wps:txbx>
                              <w:txbxContent>
                                <w:p w14:paraId="1CE6F2B5" w14:textId="77777777" w:rsidR="009A193B" w:rsidRDefault="009A193B" w:rsidP="009A193B">
                                  <w:pPr>
                                    <w:bidi/>
                                    <w:spacing w:line="258" w:lineRule="auto"/>
                                    <w:jc w:val="center"/>
                                    <w:textDirection w:val="tbRl"/>
                                  </w:pPr>
                                  <w:proofErr w:type="spellStart"/>
                                  <w:r>
                                    <w:rPr>
                                      <w:rFonts w:ascii="Traditional Arabic" w:eastAsia="Traditional Arabic" w:hAnsi="Traditional Arabic" w:cs="Traditional Arabic"/>
                                      <w:color w:val="000000"/>
                                    </w:rPr>
                                    <w:t>الثقة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في</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السوق</w:t>
                                  </w:r>
                                  <w:proofErr w:type="spellEnd"/>
                                </w:p>
                              </w:txbxContent>
                            </wps:txbx>
                            <wps:bodyPr spcFirstLastPara="1" wrap="square" lIns="91425" tIns="45700" rIns="91425" bIns="45700" anchor="t" anchorCtr="0">
                              <a:noAutofit/>
                            </wps:bodyPr>
                          </wps:wsp>
                          <wps:wsp>
                            <wps:cNvPr id="186151818" name="مستطيل 186151818"/>
                            <wps:cNvSpPr/>
                            <wps:spPr>
                              <a:xfrm>
                                <a:off x="197025" y="798206"/>
                                <a:ext cx="1191474" cy="274320"/>
                              </a:xfrm>
                              <a:prstGeom prst="rect">
                                <a:avLst/>
                              </a:prstGeom>
                              <a:solidFill>
                                <a:schemeClr val="lt1"/>
                              </a:solidFill>
                              <a:ln w="9525" cap="flat" cmpd="sng">
                                <a:solidFill>
                                  <a:srgbClr val="000000"/>
                                </a:solidFill>
                                <a:prstDash val="solid"/>
                                <a:round/>
                                <a:headEnd type="none" w="sm" len="sm"/>
                                <a:tailEnd type="none" w="sm" len="sm"/>
                              </a:ln>
                            </wps:spPr>
                            <wps:txbx>
                              <w:txbxContent>
                                <w:p w14:paraId="62F9BF07"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خفض</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المخاطر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المدركة</w:t>
                                  </w:r>
                                  <w:proofErr w:type="spellEnd"/>
                                </w:p>
                              </w:txbxContent>
                            </wps:txbx>
                            <wps:bodyPr spcFirstLastPara="1" wrap="square" lIns="91425" tIns="45700" rIns="91425" bIns="45700" anchor="t" anchorCtr="0">
                              <a:noAutofit/>
                            </wps:bodyPr>
                          </wps:wsp>
                          <wps:wsp>
                            <wps:cNvPr id="1099273971" name="مستطيل 1099273971"/>
                            <wps:cNvSpPr/>
                            <wps:spPr>
                              <a:xfrm>
                                <a:off x="197025" y="1101322"/>
                                <a:ext cx="1196200" cy="274320"/>
                              </a:xfrm>
                              <a:prstGeom prst="rect">
                                <a:avLst/>
                              </a:prstGeom>
                              <a:solidFill>
                                <a:schemeClr val="lt1"/>
                              </a:solidFill>
                              <a:ln w="9525" cap="flat" cmpd="sng">
                                <a:solidFill>
                                  <a:srgbClr val="000000"/>
                                </a:solidFill>
                                <a:prstDash val="solid"/>
                                <a:round/>
                                <a:headEnd type="none" w="sm" len="sm"/>
                                <a:tailEnd type="none" w="sm" len="sm"/>
                              </a:ln>
                            </wps:spPr>
                            <wps:txbx>
                              <w:txbxContent>
                                <w:p w14:paraId="22224F01" w14:textId="77777777" w:rsidR="009A193B" w:rsidRDefault="009A193B" w:rsidP="009A193B">
                                  <w:pPr>
                                    <w:bidi/>
                                    <w:spacing w:line="258" w:lineRule="auto"/>
                                    <w:jc w:val="right"/>
                                    <w:textDirection w:val="tbRl"/>
                                  </w:pPr>
                                  <w:proofErr w:type="spellStart"/>
                                  <w:r>
                                    <w:rPr>
                                      <w:rFonts w:ascii="Traditional Arabic" w:eastAsia="Traditional Arabic" w:hAnsi="Traditional Arabic" w:cs="Traditional Arabic"/>
                                      <w:color w:val="000000"/>
                                      <w:sz w:val="21"/>
                                    </w:rPr>
                                    <w:t>نية</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الاقتناء</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والاستثمار</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المنتظم</w:t>
                                  </w:r>
                                  <w:proofErr w:type="spellEnd"/>
                                </w:p>
                              </w:txbxContent>
                            </wps:txbx>
                            <wps:bodyPr spcFirstLastPara="1" wrap="square" lIns="91425" tIns="45700" rIns="91425" bIns="45700" anchor="t" anchorCtr="0">
                              <a:noAutofit/>
                            </wps:bodyPr>
                          </wps:wsp>
                        </wpg:grpSp>
                        <wpg:grpSp>
                          <wpg:cNvPr id="943675078" name="مجموعة 943675078"/>
                          <wpg:cNvGrpSpPr/>
                          <wpg:grpSpPr>
                            <a:xfrm>
                              <a:off x="414258" y="2485551"/>
                              <a:ext cx="4852820" cy="929556"/>
                              <a:chOff x="0" y="0"/>
                              <a:chExt cx="4852820" cy="929556"/>
                            </a:xfrm>
                          </wpg:grpSpPr>
                          <wps:wsp>
                            <wps:cNvPr id="548305188" name="مستطيل 548305188"/>
                            <wps:cNvSpPr/>
                            <wps:spPr>
                              <a:xfrm>
                                <a:off x="0" y="0"/>
                                <a:ext cx="4852820" cy="929556"/>
                              </a:xfrm>
                              <a:prstGeom prst="rect">
                                <a:avLst/>
                              </a:prstGeom>
                              <a:solidFill>
                                <a:srgbClr val="FBD4B4"/>
                              </a:solidFill>
                              <a:ln w="9525" cap="flat" cmpd="sng">
                                <a:solidFill>
                                  <a:srgbClr val="000000"/>
                                </a:solidFill>
                                <a:prstDash val="solid"/>
                                <a:round/>
                                <a:headEnd type="none" w="sm" len="sm"/>
                                <a:tailEnd type="none" w="sm" len="sm"/>
                              </a:ln>
                            </wps:spPr>
                            <wps:txbx>
                              <w:txbxContent>
                                <w:p w14:paraId="193D9C94"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sz w:val="24"/>
                                    </w:rPr>
                                    <w:t>تنمية</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سوق</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الفنون</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البصرية</w:t>
                                  </w:r>
                                  <w:proofErr w:type="spellEnd"/>
                                </w:p>
                                <w:p w14:paraId="6BAC8A9E" w14:textId="77777777" w:rsidR="009A193B" w:rsidRDefault="009A193B" w:rsidP="009A193B">
                                  <w:pPr>
                                    <w:bidi/>
                                    <w:spacing w:line="240" w:lineRule="auto"/>
                                    <w:jc w:val="center"/>
                                    <w:textDirection w:val="tbRl"/>
                                  </w:pPr>
                                  <w:r>
                                    <w:rPr>
                                      <w:rFonts w:ascii="Traditional Arabic" w:eastAsia="Traditional Arabic" w:hAnsi="Traditional Arabic" w:cs="Traditional Arabic"/>
                                      <w:color w:val="000000"/>
                                      <w:sz w:val="24"/>
                                    </w:rPr>
                                    <w:t>(</w:t>
                                  </w:r>
                                  <w:proofErr w:type="spellStart"/>
                                  <w:r>
                                    <w:rPr>
                                      <w:rFonts w:ascii="Traditional Arabic" w:eastAsia="Traditional Arabic" w:hAnsi="Traditional Arabic" w:cs="Traditional Arabic"/>
                                      <w:color w:val="000000"/>
                                      <w:sz w:val="24"/>
                                    </w:rPr>
                                    <w:t>المتغير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التابع</w:t>
                                  </w:r>
                                  <w:proofErr w:type="spellEnd"/>
                                  <w:r>
                                    <w:rPr>
                                      <w:rFonts w:ascii="Traditional Arabic" w:eastAsia="Traditional Arabic" w:hAnsi="Traditional Arabic" w:cs="Traditional Arabic"/>
                                      <w:color w:val="000000"/>
                                      <w:sz w:val="24"/>
                                    </w:rPr>
                                    <w:t>)</w:t>
                                  </w:r>
                                </w:p>
                                <w:p w14:paraId="554EB9B9" w14:textId="77777777" w:rsidR="009A193B" w:rsidRDefault="009A193B" w:rsidP="009A193B">
                                  <w:pPr>
                                    <w:spacing w:line="258" w:lineRule="auto"/>
                                    <w:textDirection w:val="btLr"/>
                                  </w:pPr>
                                </w:p>
                              </w:txbxContent>
                            </wps:txbx>
                            <wps:bodyPr spcFirstLastPara="1" wrap="square" lIns="91425" tIns="45700" rIns="91425" bIns="45700" anchor="t" anchorCtr="0">
                              <a:noAutofit/>
                            </wps:bodyPr>
                          </wps:wsp>
                          <wps:wsp>
                            <wps:cNvPr id="1296058740" name="مستطيل 1296058740"/>
                            <wps:cNvSpPr/>
                            <wps:spPr>
                              <a:xfrm>
                                <a:off x="3879885" y="510246"/>
                                <a:ext cx="925967" cy="300045"/>
                              </a:xfrm>
                              <a:prstGeom prst="rect">
                                <a:avLst/>
                              </a:prstGeom>
                              <a:solidFill>
                                <a:schemeClr val="lt1"/>
                              </a:solidFill>
                              <a:ln w="9525" cap="flat" cmpd="sng">
                                <a:solidFill>
                                  <a:srgbClr val="000000"/>
                                </a:solidFill>
                                <a:prstDash val="solid"/>
                                <a:round/>
                                <a:headEnd type="none" w="sm" len="sm"/>
                                <a:tailEnd type="none" w="sm" len="sm"/>
                              </a:ln>
                            </wps:spPr>
                            <wps:txbx>
                              <w:txbxContent>
                                <w:p w14:paraId="4837BE74"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زيادة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قاعدة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المقتنين</w:t>
                                  </w:r>
                                  <w:proofErr w:type="spellEnd"/>
                                </w:p>
                              </w:txbxContent>
                            </wps:txbx>
                            <wps:bodyPr spcFirstLastPara="1" wrap="square" lIns="91425" tIns="45700" rIns="91425" bIns="45700" anchor="t" anchorCtr="0">
                              <a:noAutofit/>
                            </wps:bodyPr>
                          </wps:wsp>
                          <wps:wsp>
                            <wps:cNvPr id="1376681346" name="مستطيل 1376681346"/>
                            <wps:cNvSpPr/>
                            <wps:spPr>
                              <a:xfrm>
                                <a:off x="2925069" y="510246"/>
                                <a:ext cx="925830"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1D925696"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رفع</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كفاءة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التسعير</w:t>
                                  </w:r>
                                  <w:proofErr w:type="spellEnd"/>
                                </w:p>
                              </w:txbxContent>
                            </wps:txbx>
                            <wps:bodyPr spcFirstLastPara="1" wrap="square" lIns="91425" tIns="45700" rIns="91425" bIns="45700" anchor="t" anchorCtr="0">
                              <a:noAutofit/>
                            </wps:bodyPr>
                          </wps:wsp>
                          <wps:wsp>
                            <wps:cNvPr id="2026785780" name="مستطيل 2026785780"/>
                            <wps:cNvSpPr/>
                            <wps:spPr>
                              <a:xfrm>
                                <a:off x="1000282" y="510246"/>
                                <a:ext cx="925830"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1210884B"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النضج</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الهيكلي</w:t>
                                  </w:r>
                                  <w:proofErr w:type="spellEnd"/>
                                </w:p>
                              </w:txbxContent>
                            </wps:txbx>
                            <wps:bodyPr spcFirstLastPara="1" wrap="square" lIns="91425" tIns="45700" rIns="91425" bIns="45700" anchor="t" anchorCtr="0">
                              <a:noAutofit/>
                            </wps:bodyPr>
                          </wps:wsp>
                          <wps:wsp>
                            <wps:cNvPr id="1247227381" name="مستطيل 1247227381"/>
                            <wps:cNvSpPr/>
                            <wps:spPr>
                              <a:xfrm>
                                <a:off x="1960150" y="510246"/>
                                <a:ext cx="925830" cy="299720"/>
                              </a:xfrm>
                              <a:prstGeom prst="rect">
                                <a:avLst/>
                              </a:prstGeom>
                              <a:solidFill>
                                <a:schemeClr val="lt1"/>
                              </a:solidFill>
                              <a:ln w="9525" cap="flat" cmpd="sng">
                                <a:solidFill>
                                  <a:srgbClr val="000000"/>
                                </a:solidFill>
                                <a:prstDash val="solid"/>
                                <a:round/>
                                <a:headEnd type="none" w="sm" len="sm"/>
                                <a:tailEnd type="none" w="sm" len="sm"/>
                              </a:ln>
                            </wps:spPr>
                            <wps:txbx>
                              <w:txbxContent>
                                <w:p w14:paraId="1F4969E2"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جذب</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الاستثمارات</w:t>
                                  </w:r>
                                  <w:proofErr w:type="spellEnd"/>
                                </w:p>
                              </w:txbxContent>
                            </wps:txbx>
                            <wps:bodyPr spcFirstLastPara="1" wrap="square" lIns="91425" tIns="45700" rIns="91425" bIns="45700" anchor="t" anchorCtr="0">
                              <a:noAutofit/>
                            </wps:bodyPr>
                          </wps:wsp>
                          <wps:wsp>
                            <wps:cNvPr id="1724918149" name="مستطيل 1724918149"/>
                            <wps:cNvSpPr/>
                            <wps:spPr>
                              <a:xfrm>
                                <a:off x="45467" y="510246"/>
                                <a:ext cx="925967" cy="300045"/>
                              </a:xfrm>
                              <a:prstGeom prst="rect">
                                <a:avLst/>
                              </a:prstGeom>
                              <a:solidFill>
                                <a:schemeClr val="lt1"/>
                              </a:solidFill>
                              <a:ln w="9525" cap="flat" cmpd="sng">
                                <a:solidFill>
                                  <a:srgbClr val="000000"/>
                                </a:solidFill>
                                <a:prstDash val="solid"/>
                                <a:round/>
                                <a:headEnd type="none" w="sm" len="sm"/>
                                <a:tailEnd type="none" w="sm" len="sm"/>
                              </a:ln>
                            </wps:spPr>
                            <wps:txbx>
                              <w:txbxContent>
                                <w:p w14:paraId="5E6FC543"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استدامة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السوق</w:t>
                                  </w:r>
                                  <w:proofErr w:type="spellEnd"/>
                                </w:p>
                              </w:txbxContent>
                            </wps:txbx>
                            <wps:bodyPr spcFirstLastPara="1" wrap="square" lIns="91425" tIns="45700" rIns="91425" bIns="45700" anchor="t" anchorCtr="0">
                              <a:noAutofit/>
                            </wps:bodyPr>
                          </wps:wsp>
                        </wpg:grpSp>
                        <wps:wsp>
                          <wps:cNvPr id="852392407" name="رابط كسهم مستقيم 852392407"/>
                          <wps:cNvCnPr/>
                          <wps:spPr>
                            <a:xfrm>
                              <a:off x="1611567" y="998108"/>
                              <a:ext cx="603022" cy="0"/>
                            </a:xfrm>
                            <a:prstGeom prst="straightConnector1">
                              <a:avLst/>
                            </a:prstGeom>
                            <a:noFill/>
                            <a:ln w="9525" cap="flat" cmpd="sng">
                              <a:solidFill>
                                <a:schemeClr val="dk1"/>
                              </a:solidFill>
                              <a:prstDash val="solid"/>
                              <a:round/>
                              <a:headEnd type="none" w="sm" len="sm"/>
                              <a:tailEnd type="triangle" w="med" len="med"/>
                            </a:ln>
                          </wps:spPr>
                          <wps:bodyPr/>
                        </wps:wsp>
                        <wps:wsp>
                          <wps:cNvPr id="303192358" name="رابط كسهم مستقيم 303192358"/>
                          <wps:cNvCnPr/>
                          <wps:spPr>
                            <a:xfrm rot="10800000">
                              <a:off x="3778846" y="1020069"/>
                              <a:ext cx="603022" cy="0"/>
                            </a:xfrm>
                            <a:prstGeom prst="straightConnector1">
                              <a:avLst/>
                            </a:prstGeom>
                            <a:noFill/>
                            <a:ln w="9525" cap="flat" cmpd="sng">
                              <a:solidFill>
                                <a:schemeClr val="dk1"/>
                              </a:solidFill>
                              <a:prstDash val="solid"/>
                              <a:round/>
                              <a:headEnd type="none" w="sm" len="sm"/>
                              <a:tailEnd type="triangle" w="med" len="med"/>
                            </a:ln>
                          </wps:spPr>
                          <wps:bodyPr/>
                        </wps:wsp>
                        <wpg:grpSp>
                          <wpg:cNvPr id="67264724" name="مجموعة 67264724"/>
                          <wpg:cNvGrpSpPr/>
                          <wpg:grpSpPr>
                            <a:xfrm>
                              <a:off x="4072139" y="2116760"/>
                              <a:ext cx="684530" cy="353376"/>
                              <a:chOff x="0" y="0"/>
                              <a:chExt cx="684530" cy="353376"/>
                            </a:xfrm>
                          </wpg:grpSpPr>
                          <wps:wsp>
                            <wps:cNvPr id="1336673654" name="سهم منحني إلى الأعلى 1336673654"/>
                            <wps:cNvSpPr/>
                            <wps:spPr>
                              <a:xfrm rot="10800000">
                                <a:off x="0" y="197166"/>
                                <a:ext cx="684530" cy="156210"/>
                              </a:xfrm>
                              <a:prstGeom prst="bentUpArrow">
                                <a:avLst>
                                  <a:gd name="adj1" fmla="val 0"/>
                                  <a:gd name="adj2" fmla="val 25000"/>
                                  <a:gd name="adj3" fmla="val 25000"/>
                                </a:avLst>
                              </a:prstGeom>
                              <a:solidFill>
                                <a:schemeClr val="dk1"/>
                              </a:solidFill>
                              <a:ln w="9525" cap="flat" cmpd="sng">
                                <a:solidFill>
                                  <a:schemeClr val="dk1"/>
                                </a:solidFill>
                                <a:prstDash val="solid"/>
                                <a:round/>
                                <a:headEnd type="none" w="sm" len="sm"/>
                                <a:tailEnd type="none" w="sm" len="sm"/>
                              </a:ln>
                            </wps:spPr>
                            <wps:txbx>
                              <w:txbxContent>
                                <w:p w14:paraId="00EF8418" w14:textId="77777777" w:rsidR="009A193B" w:rsidRDefault="009A193B" w:rsidP="009A193B">
                                  <w:pPr>
                                    <w:spacing w:after="0" w:line="240" w:lineRule="auto"/>
                                    <w:textDirection w:val="btLr"/>
                                  </w:pPr>
                                </w:p>
                              </w:txbxContent>
                            </wps:txbx>
                            <wps:bodyPr spcFirstLastPara="1" wrap="square" lIns="91425" tIns="91425" rIns="91425" bIns="91425" anchor="ctr" anchorCtr="0">
                              <a:noAutofit/>
                            </wps:bodyPr>
                          </wps:wsp>
                          <wps:wsp>
                            <wps:cNvPr id="117358155" name="رابط كسهم مستقيم 117358155"/>
                            <wps:cNvCnPr/>
                            <wps:spPr>
                              <a:xfrm>
                                <a:off x="681730" y="0"/>
                                <a:ext cx="0" cy="196850"/>
                              </a:xfrm>
                              <a:prstGeom prst="straightConnector1">
                                <a:avLst/>
                              </a:prstGeom>
                              <a:noFill/>
                              <a:ln w="9525" cap="flat" cmpd="sng">
                                <a:solidFill>
                                  <a:schemeClr val="dk1"/>
                                </a:solidFill>
                                <a:prstDash val="solid"/>
                                <a:round/>
                                <a:headEnd type="none" w="sm" len="sm"/>
                                <a:tailEnd type="none" w="sm" len="sm"/>
                              </a:ln>
                            </wps:spPr>
                            <wps:bodyPr/>
                          </wps:wsp>
                        </wpg:grpSp>
                        <wpg:grpSp>
                          <wpg:cNvPr id="1035509533" name="مجموعة 1035509533"/>
                          <wpg:cNvGrpSpPr/>
                          <wpg:grpSpPr>
                            <a:xfrm>
                              <a:off x="1184889" y="2086448"/>
                              <a:ext cx="813362" cy="383884"/>
                              <a:chOff x="0" y="0"/>
                              <a:chExt cx="813362" cy="383884"/>
                            </a:xfrm>
                          </wpg:grpSpPr>
                          <wps:wsp>
                            <wps:cNvPr id="83303047" name="سهم منحني إلى الأعلى 83303047"/>
                            <wps:cNvSpPr/>
                            <wps:spPr>
                              <a:xfrm rot="10800000" flipH="1">
                                <a:off x="2737" y="192114"/>
                                <a:ext cx="810625" cy="191770"/>
                              </a:xfrm>
                              <a:prstGeom prst="bentUpArrow">
                                <a:avLst>
                                  <a:gd name="adj1" fmla="val 0"/>
                                  <a:gd name="adj2" fmla="val 25000"/>
                                  <a:gd name="adj3" fmla="val 25000"/>
                                </a:avLst>
                              </a:prstGeom>
                              <a:solidFill>
                                <a:schemeClr val="dk1"/>
                              </a:solidFill>
                              <a:ln w="9525" cap="flat" cmpd="sng">
                                <a:solidFill>
                                  <a:schemeClr val="dk1"/>
                                </a:solidFill>
                                <a:prstDash val="solid"/>
                                <a:round/>
                                <a:headEnd type="none" w="sm" len="sm"/>
                                <a:tailEnd type="none" w="sm" len="sm"/>
                              </a:ln>
                            </wps:spPr>
                            <wps:txbx>
                              <w:txbxContent>
                                <w:p w14:paraId="7FAB3DA5" w14:textId="77777777" w:rsidR="009A193B" w:rsidRDefault="009A193B" w:rsidP="009A193B">
                                  <w:pPr>
                                    <w:spacing w:after="0" w:line="240" w:lineRule="auto"/>
                                    <w:textDirection w:val="btLr"/>
                                  </w:pPr>
                                </w:p>
                              </w:txbxContent>
                            </wps:txbx>
                            <wps:bodyPr spcFirstLastPara="1" wrap="square" lIns="91425" tIns="91425" rIns="91425" bIns="91425" anchor="ctr" anchorCtr="0">
                              <a:noAutofit/>
                            </wps:bodyPr>
                          </wps:wsp>
                          <wps:wsp>
                            <wps:cNvPr id="839652380" name="رابط كسهم مستقيم 839652380"/>
                            <wps:cNvCnPr/>
                            <wps:spPr>
                              <a:xfrm>
                                <a:off x="0" y="0"/>
                                <a:ext cx="0" cy="197442"/>
                              </a:xfrm>
                              <a:prstGeom prst="straightConnector1">
                                <a:avLst/>
                              </a:prstGeom>
                              <a:noFill/>
                              <a:ln w="9525" cap="flat" cmpd="sng">
                                <a:solidFill>
                                  <a:schemeClr val="dk1"/>
                                </a:solidFill>
                                <a:prstDash val="solid"/>
                                <a:round/>
                                <a:headEnd type="none" w="sm" len="sm"/>
                                <a:tailEnd type="none" w="sm" len="sm"/>
                              </a:ln>
                            </wps:spPr>
                            <wps:bodyPr/>
                          </wps:wsp>
                        </wpg:grpSp>
                        <wps:wsp>
                          <wps:cNvPr id="2135835387" name="رابط كسهم مستقيم 2135835387"/>
                          <wps:cNvCnPr/>
                          <wps:spPr>
                            <a:xfrm>
                              <a:off x="2973414" y="1651982"/>
                              <a:ext cx="0" cy="833909"/>
                            </a:xfrm>
                            <a:prstGeom prst="straightConnector1">
                              <a:avLst/>
                            </a:prstGeom>
                            <a:noFill/>
                            <a:ln w="9525" cap="flat" cmpd="sng">
                              <a:solidFill>
                                <a:schemeClr val="dk1"/>
                              </a:solidFill>
                              <a:prstDash val="solid"/>
                              <a:round/>
                              <a:headEnd type="none" w="sm" len="sm"/>
                              <a:tailEnd type="triangle" w="med" len="med"/>
                            </a:ln>
                          </wps:spPr>
                          <wps:bodyPr/>
                        </wps:wsp>
                      </wpg:grpSp>
                    </wpg:wgp>
                  </a:graphicData>
                </a:graphic>
                <wp14:sizeRelH relativeFrom="page">
                  <wp14:pctWidth>0</wp14:pctWidth>
                </wp14:sizeRelH>
                <wp14:sizeRelV relativeFrom="page">
                  <wp14:pctHeight>0</wp14:pctHeight>
                </wp14:sizeRelV>
              </wp:anchor>
            </w:drawing>
          </mc:Choice>
          <mc:Fallback>
            <w:pict>
              <v:group w14:anchorId="3BA2D963" id="مجموعة 3" o:spid="_x0000_s1028" style="position:absolute;left:0;text-align:left;margin-left:13.65pt;margin-top:119.7pt;width:453.75pt;height:261.1pt;z-index:251662336" coordorigin="24596,21172" coordsize="57726,332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">
                <v:group id="مجموعة 1949329922" o:spid="_x0000_s1029" style="position:absolute;left:24644;top:21219;width:57631;height:33161" coordsize="59948,341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">
                  <v:rect id="مستطيل 849032063" o:spid="_x0000_s1030" style="position:absolute;width:59948;height:341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" filled="f" stroked="f">
                    <v:textbox inset="2.53958mm,2.53958mm,2.53958mm,2.53958mm">
                      <w:txbxContent>
                        <w:p w14:paraId="082686C1" w14:textId="77777777" w:rsidR="009A193B" w:rsidRDefault="009A193B" w:rsidP="009A193B">
                          <w:pPr>
                            <w:spacing w:after="0" w:line="240" w:lineRule="auto"/>
                            <w:textDirection w:val="btLr"/>
                          </w:pPr>
                        </w:p>
                      </w:txbxContent>
                    </v:textbox>
                  </v:rect>
                  <v:group id="مجموعة 1489884436" o:spid="_x0000_s1031" style="position:absolute;top:606;width:16097;height:20258" coordsize="16102,197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">
                    <v:rect id="مستطيل 1950723392" o:spid="_x0000_s1032" style="position:absolute;width:16102;height:197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" fillcolor="#8cb3e3">
                      <v:stroke startarrowwidth="narrow" startarrowlength="short" endarrowwidth="narrow" endarrowlength="short" joinstyle="round"/>
                      <v:textbox inset="2.53958mm,1.2694mm,2.53958mm,1.2694mm">
                        <w:txbxContent>
                          <w:p w14:paraId="490C4E1D"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rPr>
                              <w:t>استراتيجيات</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الاتصال</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التسويقي</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المتكامل</w:t>
                            </w:r>
                            <w:proofErr w:type="spellEnd"/>
                          </w:p>
                          <w:p w14:paraId="781D8A9E" w14:textId="77777777" w:rsidR="009A193B" w:rsidRDefault="009A193B" w:rsidP="009A193B">
                            <w:pPr>
                              <w:bidi/>
                              <w:spacing w:after="0" w:line="240" w:lineRule="auto"/>
                              <w:jc w:val="center"/>
                              <w:textDirection w:val="tbRl"/>
                            </w:pPr>
                            <w:r>
                              <w:rPr>
                                <w:rFonts w:ascii="Traditional Arabic" w:eastAsia="Traditional Arabic" w:hAnsi="Traditional Arabic" w:cs="Traditional Arabic"/>
                                <w:color w:val="000000"/>
                              </w:rPr>
                              <w:t>(</w:t>
                            </w:r>
                            <w:proofErr w:type="spellStart"/>
                            <w:r>
                              <w:rPr>
                                <w:rFonts w:ascii="Traditional Arabic" w:eastAsia="Traditional Arabic" w:hAnsi="Traditional Arabic" w:cs="Traditional Arabic"/>
                                <w:color w:val="000000"/>
                              </w:rPr>
                              <w:t>المتغير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المستقل</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الأول</w:t>
                            </w:r>
                            <w:proofErr w:type="spellEnd"/>
                            <w:r>
                              <w:rPr>
                                <w:rFonts w:ascii="Traditional Arabic" w:eastAsia="Traditional Arabic" w:hAnsi="Traditional Arabic" w:cs="Traditional Arabic"/>
                                <w:color w:val="000000"/>
                              </w:rPr>
                              <w:t>)</w:t>
                            </w:r>
                          </w:p>
                          <w:p w14:paraId="205BD8AB" w14:textId="77777777" w:rsidR="009A193B" w:rsidRDefault="009A193B" w:rsidP="009A193B">
                            <w:pPr>
                              <w:spacing w:line="258" w:lineRule="auto"/>
                              <w:textDirection w:val="btLr"/>
                            </w:pPr>
                          </w:p>
                        </w:txbxContent>
                      </v:textbox>
                    </v:rect>
                    <v:rect id="مستطيل 2136704015" o:spid="_x0000_s1033" style="position:absolute;left:3586;top:5051;width:9259;height:29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7E93E8F7"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الاتساق</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الرسالي</w:t>
                            </w:r>
                            <w:proofErr w:type="spellEnd"/>
                          </w:p>
                        </w:txbxContent>
                      </v:textbox>
                    </v:rect>
                    <v:rect id="مستطيل 2100336868" o:spid="_x0000_s1034" style="position:absolute;left:3586;top:8436;width:9259;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" fillcolor="white [3201]">
                      <v:stroke startarrowwidth="narrow" startarrowlength="short" endarrowwidth="narrow" endarrowlength="short" joinstyle="round"/>
                      <v:textbox inset="2.53958mm,1.2694mm,2.53958mm,1.2694mm">
                        <w:txbxContent>
                          <w:p w14:paraId="0B5D4B90"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تكامل</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القنوات</w:t>
                            </w:r>
                            <w:proofErr w:type="spellEnd"/>
                          </w:p>
                        </w:txbxContent>
                      </v:textbox>
                    </v:rect>
                    <v:rect id="مستطيل 1437559740" o:spid="_x0000_s1035" style="position:absolute;left:3586;top:11771;width:9163;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" fillcolor="white [3201]">
                      <v:stroke startarrowwidth="narrow" startarrowlength="short" endarrowwidth="narrow" endarrowlength="short" joinstyle="round"/>
                      <v:textbox inset="2.53958mm,1.2694mm,2.53958mm,1.2694mm">
                        <w:txbxContent>
                          <w:p w14:paraId="15288225"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بناء</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الهوية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الرمزية</w:t>
                            </w:r>
                            <w:proofErr w:type="spellEnd"/>
                          </w:p>
                        </w:txbxContent>
                      </v:textbox>
                    </v:rect>
                    <v:rect id="مستطيل 1696361855" o:spid="_x0000_s1036" style="position:absolute;left:3586;top:15155;width:9163;height:29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4E158D13"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التسويق</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التجريبي</w:t>
                            </w:r>
                            <w:proofErr w:type="spellEnd"/>
                          </w:p>
                        </w:txbxContent>
                      </v:textbox>
                    </v:rect>
                  </v:group>
                  <v:group id="مجموعة 91479680" o:spid="_x0000_s1037" style="position:absolute;left:43850;width:16098;height:21218" coordsize="16097,218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">
                    <v:rect id="مستطيل 2138095832" o:spid="_x0000_s1038" style="position:absolute;width:16097;height:218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" fillcolor="#b7cce4">
                      <v:stroke startarrowwidth="narrow" startarrowlength="short" endarrowwidth="narrow" endarrowlength="short" joinstyle="round"/>
                      <v:textbox inset="2.53958mm,1.2694mm,2.53958mm,1.2694mm">
                        <w:txbxContent>
                          <w:p w14:paraId="2BD1DE41"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sz w:val="24"/>
                              </w:rPr>
                              <w:t>أبعاد</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الابتكار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الخمسة</w:t>
                            </w:r>
                            <w:proofErr w:type="spellEnd"/>
                          </w:p>
                          <w:p w14:paraId="2D4840FA" w14:textId="77777777" w:rsidR="009A193B" w:rsidRDefault="009A193B" w:rsidP="009A193B">
                            <w:pPr>
                              <w:spacing w:after="0" w:line="240" w:lineRule="auto"/>
                              <w:jc w:val="center"/>
                              <w:textDirection w:val="btLr"/>
                            </w:pPr>
                            <w:r>
                              <w:rPr>
                                <w:rFonts w:ascii="Traditional Arabic" w:eastAsia="Traditional Arabic" w:hAnsi="Traditional Arabic" w:cs="Traditional Arabic"/>
                                <w:color w:val="000000"/>
                                <w:sz w:val="24"/>
                              </w:rPr>
                              <w:t>(</w:t>
                            </w:r>
                            <w:proofErr w:type="spellStart"/>
                            <w:r>
                              <w:rPr>
                                <w:rFonts w:ascii="Traditional Arabic" w:eastAsia="Traditional Arabic" w:hAnsi="Traditional Arabic" w:cs="Traditional Arabic"/>
                                <w:color w:val="000000"/>
                                <w:sz w:val="24"/>
                              </w:rPr>
                              <w:t>المتغير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المستقل</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الثاني</w:t>
                            </w:r>
                            <w:proofErr w:type="spellEnd"/>
                            <w:r>
                              <w:rPr>
                                <w:rFonts w:ascii="Traditional Arabic" w:eastAsia="Traditional Arabic" w:hAnsi="Traditional Arabic" w:cs="Traditional Arabic"/>
                                <w:color w:val="000000"/>
                                <w:sz w:val="24"/>
                              </w:rPr>
                              <w:t>)</w:t>
                            </w:r>
                          </w:p>
                          <w:p w14:paraId="47F176BC" w14:textId="77777777" w:rsidR="009A193B" w:rsidRDefault="009A193B" w:rsidP="009A193B">
                            <w:pPr>
                              <w:bidi/>
                              <w:spacing w:line="258" w:lineRule="auto"/>
                              <w:jc w:val="right"/>
                              <w:textDirection w:val="tbRl"/>
                            </w:pPr>
                          </w:p>
                        </w:txbxContent>
                      </v:textbox>
                    </v:rect>
                    <v:rect id="مستطيل 718134421" o:spid="_x0000_s1039" style="position:absolute;left:2273;top:4950;width:11460;height:2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" fillcolor="white [3201]">
                      <v:stroke startarrowwidth="narrow" startarrowlength="short" endarrowwidth="narrow" endarrowlength="short" joinstyle="round"/>
                      <v:textbox inset="2.53958mm,1.2694mm,2.53958mm,1.2694mm">
                        <w:txbxContent>
                          <w:p w14:paraId="1564E1D1" w14:textId="77777777" w:rsidR="009A193B" w:rsidRDefault="009A193B" w:rsidP="009A193B">
                            <w:pPr>
                              <w:bidi/>
                              <w:spacing w:after="0" w:line="258" w:lineRule="auto"/>
                              <w:jc w:val="center"/>
                              <w:textDirection w:val="tbRl"/>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التسويقي</w:t>
                            </w:r>
                            <w:proofErr w:type="spellEnd"/>
                          </w:p>
                        </w:txbxContent>
                      </v:textbox>
                    </v:rect>
                    <v:rect id="مستطيل 512201187" o:spid="_x0000_s1040" style="position:absolute;left:2273;top:7982;width:11510;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" fillcolor="white [3201]">
                      <v:stroke startarrowwidth="narrow" startarrowlength="short" endarrowwidth="narrow" endarrowlength="short" joinstyle="round"/>
                      <v:textbox inset="2.53958mm,1.2694mm,2.53958mm,1.2694mm">
                        <w:txbxContent>
                          <w:p w14:paraId="5A37C865"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النفسي</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والسلوكي</w:t>
                            </w:r>
                            <w:proofErr w:type="spellEnd"/>
                          </w:p>
                        </w:txbxContent>
                      </v:textbox>
                    </v:rect>
                    <v:rect id="مستطيل 1705499562" o:spid="_x0000_s1041" style="position:absolute;left:2273;top:11265;width:11460;height:29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290FB0BF"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التقني</w:t>
                            </w:r>
                            <w:proofErr w:type="spellEnd"/>
                          </w:p>
                        </w:txbxContent>
                      </v:textbox>
                    </v:rect>
                    <v:rect id="مستطيل 406540704" o:spid="_x0000_s1042" style="position:absolute;left:2273;top:14549;width:11378;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" fillcolor="white [3201]">
                      <v:stroke startarrowwidth="narrow" startarrowlength="short" endarrowwidth="narrow" endarrowlength="short" joinstyle="round"/>
                      <v:textbox inset="2.53958mm,1.2694mm,2.53958mm,1.2694mm">
                        <w:txbxContent>
                          <w:p w14:paraId="59FC51FF"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الابتكار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الاقتصادي</w:t>
                            </w:r>
                            <w:proofErr w:type="spellEnd"/>
                          </w:p>
                        </w:txbxContent>
                      </v:textbox>
                    </v:rect>
                    <v:rect id="مستطيل 727899521" o:spid="_x0000_s1043" style="position:absolute;left:2273;top:17833;width:11455;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" fillcolor="white [3201]">
                      <v:stroke startarrowwidth="narrow" startarrowlength="short" endarrowwidth="narrow" endarrowlength="short" joinstyle="round"/>
                      <v:textbox inset="2.53958mm,1.2694mm,2.53958mm,1.2694mm">
                        <w:txbxContent>
                          <w:p w14:paraId="3FE28FD5" w14:textId="77777777" w:rsidR="009A193B" w:rsidRDefault="009A193B" w:rsidP="009A193B">
                            <w:pPr>
                              <w:bidi/>
                              <w:spacing w:line="258" w:lineRule="auto"/>
                              <w:jc w:val="right"/>
                              <w:textDirection w:val="tbRl"/>
                            </w:pPr>
                            <w:proofErr w:type="spellStart"/>
                            <w:r>
                              <w:rPr>
                                <w:rFonts w:ascii="Traditional Arabic" w:eastAsia="Traditional Arabic" w:hAnsi="Traditional Arabic" w:cs="Traditional Arabic"/>
                                <w:color w:val="000000"/>
                                <w:sz w:val="21"/>
                              </w:rPr>
                              <w:t>الابتكار</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المؤسسي</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والتنظيمي</w:t>
                            </w:r>
                            <w:proofErr w:type="spellEnd"/>
                          </w:p>
                        </w:txbxContent>
                      </v:textbox>
                    </v:rect>
                  </v:group>
                  <v:group id="مجموعة 334245514" o:spid="_x0000_s1044" style="position:absolute;left:22127;top:2273;width:15653;height:14246" coordsize="15652,142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">
                    <v:rect id="مستطيل 1674195636" o:spid="_x0000_s1045" style="position:absolute;width:15652;height:142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" fillcolor="#d6e3bc">
                      <v:stroke startarrowwidth="narrow" startarrowlength="short" endarrowwidth="narrow" endarrowlength="short" joinstyle="round"/>
                      <v:textbox inset="2.53958mm,1.2694mm,2.53958mm,1.2694mm">
                        <w:txbxContent>
                          <w:p w14:paraId="71B4C34E"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sz w:val="24"/>
                              </w:rPr>
                              <w:t>سيكولوجية</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المقتني</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الجديد</w:t>
                            </w:r>
                            <w:proofErr w:type="spellEnd"/>
                          </w:p>
                          <w:p w14:paraId="3EB57AE0" w14:textId="77777777" w:rsidR="009A193B" w:rsidRDefault="009A193B" w:rsidP="009A193B">
                            <w:pPr>
                              <w:bidi/>
                              <w:spacing w:after="0" w:line="240" w:lineRule="auto"/>
                              <w:jc w:val="center"/>
                              <w:textDirection w:val="tbRl"/>
                            </w:pPr>
                            <w:r>
                              <w:rPr>
                                <w:rFonts w:ascii="Traditional Arabic" w:eastAsia="Traditional Arabic" w:hAnsi="Traditional Arabic" w:cs="Traditional Arabic"/>
                                <w:color w:val="000000"/>
                                <w:sz w:val="24"/>
                              </w:rPr>
                              <w:t>(</w:t>
                            </w:r>
                            <w:proofErr w:type="spellStart"/>
                            <w:r>
                              <w:rPr>
                                <w:rFonts w:ascii="Traditional Arabic" w:eastAsia="Traditional Arabic" w:hAnsi="Traditional Arabic" w:cs="Traditional Arabic"/>
                                <w:color w:val="000000"/>
                                <w:sz w:val="24"/>
                              </w:rPr>
                              <w:t>المتغير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الوسيط</w:t>
                            </w:r>
                            <w:proofErr w:type="spellEnd"/>
                            <w:r>
                              <w:rPr>
                                <w:rFonts w:ascii="Traditional Arabic" w:eastAsia="Traditional Arabic" w:hAnsi="Traditional Arabic" w:cs="Traditional Arabic"/>
                                <w:color w:val="000000"/>
                                <w:sz w:val="24"/>
                              </w:rPr>
                              <w:t>)</w:t>
                            </w:r>
                          </w:p>
                          <w:p w14:paraId="5337C0A9" w14:textId="77777777" w:rsidR="009A193B" w:rsidRDefault="009A193B" w:rsidP="009A193B">
                            <w:pPr>
                              <w:spacing w:after="0" w:line="240" w:lineRule="auto"/>
                              <w:textDirection w:val="btLr"/>
                            </w:pPr>
                          </w:p>
                        </w:txbxContent>
                      </v:textbox>
                    </v:rect>
                    <v:rect id="مستطيل 444740759" o:spid="_x0000_s1046" style="position:absolute;left:1970;top:4950;width:11864;height:2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" fillcolor="white [3201]">
                      <v:stroke startarrowwidth="narrow" startarrowlength="short" endarrowwidth="narrow" endarrowlength="short" joinstyle="round"/>
                      <v:textbox inset="2.53958mm,1.2694mm,2.53958mm,1.2694mm">
                        <w:txbxContent>
                          <w:p w14:paraId="1CE6F2B5" w14:textId="77777777" w:rsidR="009A193B" w:rsidRDefault="009A193B" w:rsidP="009A193B">
                            <w:pPr>
                              <w:bidi/>
                              <w:spacing w:line="258" w:lineRule="auto"/>
                              <w:jc w:val="center"/>
                              <w:textDirection w:val="tbRl"/>
                            </w:pPr>
                            <w:proofErr w:type="spellStart"/>
                            <w:r>
                              <w:rPr>
                                <w:rFonts w:ascii="Traditional Arabic" w:eastAsia="Traditional Arabic" w:hAnsi="Traditional Arabic" w:cs="Traditional Arabic"/>
                                <w:color w:val="000000"/>
                              </w:rPr>
                              <w:t>الثقة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في</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السوق</w:t>
                            </w:r>
                            <w:proofErr w:type="spellEnd"/>
                          </w:p>
                        </w:txbxContent>
                      </v:textbox>
                    </v:rect>
                    <v:rect id="مستطيل 186151818" o:spid="_x0000_s1047" style="position:absolute;left:1970;top:7982;width:11914;height:2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" fillcolor="white [3201]">
                      <v:stroke startarrowwidth="narrow" startarrowlength="short" endarrowwidth="narrow" endarrowlength="short" joinstyle="round"/>
                      <v:textbox inset="2.53958mm,1.2694mm,2.53958mm,1.2694mm">
                        <w:txbxContent>
                          <w:p w14:paraId="62F9BF07"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خفض</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المخاطر</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المدركة</w:t>
                            </w:r>
                            <w:proofErr w:type="spellEnd"/>
                          </w:p>
                        </w:txbxContent>
                      </v:textbox>
                    </v:rect>
                    <v:rect id="مستطيل 1099273971" o:spid="_x0000_s1048" style="position:absolute;left:1970;top:11013;width:11962;height:2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22224F01" w14:textId="77777777" w:rsidR="009A193B" w:rsidRDefault="009A193B" w:rsidP="009A193B">
                            <w:pPr>
                              <w:bidi/>
                              <w:spacing w:line="258" w:lineRule="auto"/>
                              <w:jc w:val="right"/>
                              <w:textDirection w:val="tbRl"/>
                            </w:pPr>
                            <w:proofErr w:type="spellStart"/>
                            <w:r>
                              <w:rPr>
                                <w:rFonts w:ascii="Traditional Arabic" w:eastAsia="Traditional Arabic" w:hAnsi="Traditional Arabic" w:cs="Traditional Arabic"/>
                                <w:color w:val="000000"/>
                                <w:sz w:val="21"/>
                              </w:rPr>
                              <w:t>نية</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الاقتناء</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والاستثمار</w:t>
                            </w:r>
                            <w:proofErr w:type="spellEnd"/>
                            <w:r>
                              <w:rPr>
                                <w:rFonts w:ascii="Traditional Arabic" w:eastAsia="Traditional Arabic" w:hAnsi="Traditional Arabic" w:cs="Traditional Arabic"/>
                                <w:color w:val="000000"/>
                                <w:sz w:val="21"/>
                              </w:rPr>
                              <w:t xml:space="preserve"> </w:t>
                            </w:r>
                            <w:proofErr w:type="spellStart"/>
                            <w:r>
                              <w:rPr>
                                <w:rFonts w:ascii="Traditional Arabic" w:eastAsia="Traditional Arabic" w:hAnsi="Traditional Arabic" w:cs="Traditional Arabic"/>
                                <w:color w:val="000000"/>
                                <w:sz w:val="21"/>
                              </w:rPr>
                              <w:t>المنتظم</w:t>
                            </w:r>
                            <w:proofErr w:type="spellEnd"/>
                          </w:p>
                        </w:txbxContent>
                      </v:textbox>
                    </v:rect>
                  </v:group>
                  <v:group id="مجموعة 943675078" o:spid="_x0000_s1049" style="position:absolute;left:4142;top:24855;width:48528;height:9296" coordsize="48528,92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">
                    <v:rect id="مستطيل 548305188" o:spid="_x0000_s1050" style="position:absolute;width:48528;height:92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" fillcolor="#fbd4b4">
                      <v:stroke startarrowwidth="narrow" startarrowlength="short" endarrowwidth="narrow" endarrowlength="short" joinstyle="round"/>
                      <v:textbox inset="2.53958mm,1.2694mm,2.53958mm,1.2694mm">
                        <w:txbxContent>
                          <w:p w14:paraId="193D9C94" w14:textId="77777777" w:rsidR="009A193B" w:rsidRDefault="009A193B" w:rsidP="009A193B">
                            <w:pPr>
                              <w:bidi/>
                              <w:spacing w:after="0" w:line="240" w:lineRule="auto"/>
                              <w:jc w:val="center"/>
                              <w:textDirection w:val="tbRl"/>
                            </w:pPr>
                            <w:proofErr w:type="spellStart"/>
                            <w:r>
                              <w:rPr>
                                <w:rFonts w:ascii="Traditional Arabic" w:eastAsia="Traditional Arabic" w:hAnsi="Traditional Arabic" w:cs="Traditional Arabic"/>
                                <w:color w:val="000000"/>
                                <w:sz w:val="24"/>
                              </w:rPr>
                              <w:t>تنمية</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سوق</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الفنون</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البصرية</w:t>
                            </w:r>
                            <w:proofErr w:type="spellEnd"/>
                          </w:p>
                          <w:p w14:paraId="6BAC8A9E" w14:textId="77777777" w:rsidR="009A193B" w:rsidRDefault="009A193B" w:rsidP="009A193B">
                            <w:pPr>
                              <w:bidi/>
                              <w:spacing w:line="240" w:lineRule="auto"/>
                              <w:jc w:val="center"/>
                              <w:textDirection w:val="tbRl"/>
                            </w:pPr>
                            <w:r>
                              <w:rPr>
                                <w:rFonts w:ascii="Traditional Arabic" w:eastAsia="Traditional Arabic" w:hAnsi="Traditional Arabic" w:cs="Traditional Arabic"/>
                                <w:color w:val="000000"/>
                                <w:sz w:val="24"/>
                              </w:rPr>
                              <w:t>(</w:t>
                            </w:r>
                            <w:proofErr w:type="spellStart"/>
                            <w:r>
                              <w:rPr>
                                <w:rFonts w:ascii="Traditional Arabic" w:eastAsia="Traditional Arabic" w:hAnsi="Traditional Arabic" w:cs="Traditional Arabic"/>
                                <w:color w:val="000000"/>
                                <w:sz w:val="24"/>
                              </w:rPr>
                              <w:t>المتغير</w:t>
                            </w:r>
                            <w:proofErr w:type="spellEnd"/>
                            <w:r>
                              <w:rPr>
                                <w:rFonts w:ascii="Traditional Arabic" w:eastAsia="Traditional Arabic" w:hAnsi="Traditional Arabic" w:cs="Traditional Arabic"/>
                                <w:color w:val="000000"/>
                                <w:sz w:val="24"/>
                              </w:rPr>
                              <w:t xml:space="preserve"> </w:t>
                            </w:r>
                            <w:proofErr w:type="spellStart"/>
                            <w:r>
                              <w:rPr>
                                <w:rFonts w:ascii="Traditional Arabic" w:eastAsia="Traditional Arabic" w:hAnsi="Traditional Arabic" w:cs="Traditional Arabic"/>
                                <w:color w:val="000000"/>
                                <w:sz w:val="24"/>
                              </w:rPr>
                              <w:t>التابع</w:t>
                            </w:r>
                            <w:proofErr w:type="spellEnd"/>
                            <w:r>
                              <w:rPr>
                                <w:rFonts w:ascii="Traditional Arabic" w:eastAsia="Traditional Arabic" w:hAnsi="Traditional Arabic" w:cs="Traditional Arabic"/>
                                <w:color w:val="000000"/>
                                <w:sz w:val="24"/>
                              </w:rPr>
                              <w:t>)</w:t>
                            </w:r>
                          </w:p>
                          <w:p w14:paraId="554EB9B9" w14:textId="77777777" w:rsidR="009A193B" w:rsidRDefault="009A193B" w:rsidP="009A193B">
                            <w:pPr>
                              <w:spacing w:line="258" w:lineRule="auto"/>
                              <w:textDirection w:val="btLr"/>
                            </w:pPr>
                          </w:p>
                        </w:txbxContent>
                      </v:textbox>
                    </v:rect>
                    <v:rect id="مستطيل 1296058740" o:spid="_x0000_s1051" style="position:absolute;left:38798;top:5102;width:9260;height:30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" fillcolor="white [3201]">
                      <v:stroke startarrowwidth="narrow" startarrowlength="short" endarrowwidth="narrow" endarrowlength="short" joinstyle="round"/>
                      <v:textbox inset="2.53958mm,1.2694mm,2.53958mm,1.2694mm">
                        <w:txbxContent>
                          <w:p w14:paraId="4837BE74"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زيادة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قاعدة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المقتنين</w:t>
                            </w:r>
                            <w:proofErr w:type="spellEnd"/>
                          </w:p>
                        </w:txbxContent>
                      </v:textbox>
                    </v:rect>
                    <v:rect id="مستطيل 1376681346" o:spid="_x0000_s1052" style="position:absolute;left:29250;top:5102;width:9258;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1D925696"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رفع</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كفاءة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التسعير</w:t>
                            </w:r>
                            <w:proofErr w:type="spellEnd"/>
                          </w:p>
                        </w:txbxContent>
                      </v:textbox>
                    </v:rect>
                    <v:rect id="مستطيل 2026785780" o:spid="_x0000_s1053" style="position:absolute;left:10002;top:5102;width:9259;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1210884B"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النضج</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الهيكلي</w:t>
                            </w:r>
                            <w:proofErr w:type="spellEnd"/>
                          </w:p>
                        </w:txbxContent>
                      </v:textbox>
                    </v:rect>
                    <v:rect id="مستطيل 1247227381" o:spid="_x0000_s1054" style="position:absolute;left:19601;top:5102;width:9258;height:29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1F4969E2"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جذب</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الاستثمارات</w:t>
                            </w:r>
                            <w:proofErr w:type="spellEnd"/>
                          </w:p>
                        </w:txbxContent>
                      </v:textbox>
                    </v:rect>
                    <v:rect id="مستطيل 1724918149" o:spid="_x0000_s1055" style="position:absolute;left:454;top:5102;width:9260;height:30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" fillcolor="white [3201]">
                      <v:stroke startarrowwidth="narrow" startarrowlength="short" endarrowwidth="narrow" endarrowlength="short" joinstyle="round"/>
                      <v:textbox inset="2.53958mm,1.2694mm,2.53958mm,1.2694mm">
                        <w:txbxContent>
                          <w:p w14:paraId="5E6FC543" w14:textId="77777777" w:rsidR="009A193B" w:rsidRDefault="009A193B" w:rsidP="009A193B">
                            <w:pPr>
                              <w:spacing w:line="258" w:lineRule="auto"/>
                              <w:jc w:val="center"/>
                              <w:textDirection w:val="btLr"/>
                            </w:pPr>
                            <w:proofErr w:type="spellStart"/>
                            <w:r>
                              <w:rPr>
                                <w:rFonts w:ascii="Traditional Arabic" w:eastAsia="Traditional Arabic" w:hAnsi="Traditional Arabic" w:cs="Traditional Arabic"/>
                                <w:color w:val="000000"/>
                              </w:rPr>
                              <w:t>استدامة</w:t>
                            </w:r>
                            <w:proofErr w:type="spellEnd"/>
                            <w:r>
                              <w:rPr>
                                <w:rFonts w:ascii="Traditional Arabic" w:eastAsia="Traditional Arabic" w:hAnsi="Traditional Arabic" w:cs="Traditional Arabic"/>
                                <w:color w:val="000000"/>
                              </w:rPr>
                              <w:t xml:space="preserve"> </w:t>
                            </w:r>
                            <w:proofErr w:type="spellStart"/>
                            <w:r>
                              <w:rPr>
                                <w:rFonts w:ascii="Traditional Arabic" w:eastAsia="Traditional Arabic" w:hAnsi="Traditional Arabic" w:cs="Traditional Arabic"/>
                                <w:color w:val="000000"/>
                              </w:rPr>
                              <w:t>السوق</w:t>
                            </w:r>
                            <w:proofErr w:type="spellEnd"/>
                          </w:p>
                        </w:txbxContent>
                      </v:textbox>
                    </v:rect>
                  </v:group>
                  <v:shapetype id="_x0000_t32" coordsize="21600,21600" o:spt="32" o:oned="t" path="m,l21600,21600e" filled="f">
                    <v:path arrowok="t" fillok="f" o:connecttype="none"/>
                    <o:lock v:ext="edit" shapetype="t"/>
                  </v:shapetype>
                  <v:shape id="رابط كسهم مستقيم 852392407" o:spid="_x0000_s1056" type="#_x0000_t32" style="position:absolute;left:16115;top:9981;width:603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" strokecolor="black [3200]">
                    <v:stroke startarrowwidth="narrow" startarrowlength="short" endarrow="block"/>
                  </v:shape>
                  <v:shape id="رابط كسهم مستقيم 303192358" o:spid="_x0000_s1057" type="#_x0000_t32" style="position:absolute;left:37788;top:10200;width:6030;height:0;rotation:1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" strokecolor="black [3200]">
                    <v:stroke startarrowwidth="narrow" startarrowlength="short" endarrow="block"/>
                  </v:shape>
                  <v:group id="مجموعة 67264724" o:spid="_x0000_s1058" style="position:absolute;left:40721;top:21167;width:6845;height:3534" coordsize="6845,35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">
                    <v:shape id="سهم منحني إلى الأعلى 1336673654" o:spid="_x0000_s1059" style="position:absolute;top:1971;width:6845;height:1562;rotation:180;visibility:visible;mso-wrap-style:square;v-text-anchor:middle" coordsize="684530,15621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" adj="-11796480,,5400" path="m,156210r645478,l645478,39053r-39053,l645478,r39052,39053l645478,39053r,117157l,156210xe" fillcolor="black [3200]" strokecolor="black [3200]">
                      <v:stroke startarrowwidth="narrow" startarrowlength="short" endarrowwidth="narrow" endarrowlength="short" joinstyle="round"/>
                      <v:formulas/>
                      <v:path arrowok="t" o:connecttype="custom" o:connectlocs="0,156210;645478,156210;645478,39053;606425,39053;645478,0;684530,39053;645478,39053;645478,156210;0,156210" o:connectangles="0,0,0,0,0,0,0,0,0" textboxrect="0,0,684530,156210"/>
                      <v:textbox inset="2.53958mm,2.53958mm,2.53958mm,2.53958mm">
                        <w:txbxContent>
                          <w:p w14:paraId="00EF8418" w14:textId="77777777" w:rsidR="009A193B" w:rsidRDefault="009A193B" w:rsidP="009A193B">
                            <w:pPr>
                              <w:spacing w:after="0" w:line="240" w:lineRule="auto"/>
                              <w:textDirection w:val="btLr"/>
                            </w:pPr>
                          </w:p>
                        </w:txbxContent>
                      </v:textbox>
                    </v:shape>
                    <v:shape id="رابط كسهم مستقيم 117358155" o:spid="_x0000_s1060" type="#_x0000_t32" style="position:absolute;left:6817;width:0;height:196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" strokecolor="black [3200]">
                      <v:stroke startarrowwidth="narrow" startarrowlength="short" endarrowwidth="narrow" endarrowlength="short"/>
                    </v:shape>
                  </v:group>
                  <v:group id="مجموعة 1035509533" o:spid="_x0000_s1061" style="position:absolute;left:11848;top:20864;width:8134;height:3839" coordsize="8133,38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">
                    <v:shape id="سهم منحني إلى الأعلى 83303047" o:spid="_x0000_s1062" style="position:absolute;left:27;top:1921;width:8106;height:1917;rotation:180;flip:x;visibility:visible;mso-wrap-style:square;v-text-anchor:middle" coordsize="810625,19177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" adj="-11796480,,5400" path="m,191770r762683,l762683,47943r-47943,l762683,r47942,47943l762683,47943r,143827l,191770xe" fillcolor="black [3200]" strokecolor="black [3200]">
                      <v:stroke startarrowwidth="narrow" startarrowlength="short" endarrowwidth="narrow" endarrowlength="short" joinstyle="round"/>
                      <v:formulas/>
                      <v:path arrowok="t" o:connecttype="custom" o:connectlocs="0,191770;762683,191770;762683,47943;714740,47943;762683,0;810625,47943;762683,47943;762683,191770;0,191770" o:connectangles="0,0,0,0,0,0,0,0,0" textboxrect="0,0,810625,191770"/>
                      <v:textbox inset="2.53958mm,2.53958mm,2.53958mm,2.53958mm">
                        <w:txbxContent>
                          <w:p w14:paraId="7FAB3DA5" w14:textId="77777777" w:rsidR="009A193B" w:rsidRDefault="009A193B" w:rsidP="009A193B">
                            <w:pPr>
                              <w:spacing w:after="0" w:line="240" w:lineRule="auto"/>
                              <w:textDirection w:val="btLr"/>
                            </w:pPr>
                          </w:p>
                        </w:txbxContent>
                      </v:textbox>
                    </v:shape>
                    <v:shape id="رابط كسهم مستقيم 839652380" o:spid="_x0000_s1063" type="#_x0000_t32" style="position:absolute;width:0;height:197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" strokecolor="black [3200]">
                      <v:stroke startarrowwidth="narrow" startarrowlength="short" endarrowwidth="narrow" endarrowlength="short"/>
                    </v:shape>
                  </v:group>
                  <v:shape id="رابط كسهم مستقيم 2135835387" o:spid="_x0000_s1064" type="#_x0000_t32" style="position:absolute;left:29734;top:16519;width:0;height:833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" strokecolor="black [3200]">
                    <v:stroke startarrowwidth="narrow" startarrowlength="short" endarrow="block"/>
                  </v:shape>
                </v:group>
                <w10:wrap type="square"/>
              </v:group>
            </w:pict>
          </mc:Fallback>
        </mc:AlternateContent>
      </w:r>
      <w:r w:rsidR="00000000">
        <w:rPr>
          <w:rFonts w:ascii="Traditional Arabic" w:eastAsia="Traditional Arabic" w:hAnsi="Traditional Arabic" w:cs="Traditional Arabic"/>
          <w:sz w:val="24"/>
          <w:szCs w:val="24"/>
          <w:rtl/>
        </w:rPr>
        <w:t>يقوم نموذج الدراسة على افتراض وجود علاقات مباشرة وغير مباشرة بين المتغيرات. إذ يفترض وجود تأثير مباشر لاستراتيجيات الاتصال التسويقي المتكامل، وأبعاد الابتكار الخمسة، كما يفترض وجود تأثير غير مباشر يمر عبر سلوك وإدراك المقتني الجديد كمتغير وسيط، حيث تسهم استراتيجيات الاتصال والابتكار في خفض</w:t>
      </w:r>
      <w:r w:rsidR="009A193B">
        <w:rPr>
          <w:rFonts w:ascii="Traditional Arabic" w:eastAsia="Traditional Arabic" w:hAnsi="Traditional Arabic" w:cs="Traditional Arabic" w:hint="cs"/>
          <w:sz w:val="24"/>
          <w:szCs w:val="24"/>
          <w:rtl/>
        </w:rPr>
        <w:t xml:space="preserve"> </w:t>
      </w:r>
      <w:r w:rsidR="009A193B">
        <w:rPr>
          <w:rFonts w:ascii="Traditional Arabic" w:eastAsia="Traditional Arabic" w:hAnsi="Traditional Arabic" w:cs="Traditional Arabic"/>
          <w:sz w:val="24"/>
          <w:szCs w:val="24"/>
          <w:rtl/>
        </w:rPr>
        <w:t>المخاطر المدركة وبناء الثقة، بتحويل سلوك المقتني من الاقتناء العفوي إلى الاستثمار المنتظم، وهو ما يقود إلى النضج الهيكلي والمؤسسي لسوق الفنون البصرية</w:t>
      </w:r>
      <w:r>
        <w:rPr>
          <w:rFonts w:ascii="Traditional Arabic" w:eastAsia="Traditional Arabic" w:hAnsi="Traditional Arabic" w:cs="Traditional Arabic" w:hint="cs"/>
          <w:noProof/>
          <w:sz w:val="24"/>
          <w:szCs w:val="24"/>
          <w:rtl/>
        </w:rPr>
        <w:t>.</w:t>
      </w:r>
      <w:r w:rsidR="009A193B">
        <w:rPr>
          <w:rFonts w:ascii="Traditional Arabic" w:eastAsia="Traditional Arabic" w:hAnsi="Traditional Arabic" w:cs="Traditional Arabic"/>
          <w:noProof/>
          <w:sz w:val="24"/>
          <w:szCs w:val="24"/>
        </w:rPr>
        <w:t xml:space="preserve"> </w:t>
      </w:r>
    </w:p>
    <w:p w14:paraId="1A5583DF" w14:textId="77777777" w:rsidR="00F15358" w:rsidRDefault="00F15358">
      <w:pPr>
        <w:bidi/>
        <w:spacing w:before="240" w:after="240" w:line="360" w:lineRule="auto"/>
        <w:jc w:val="center"/>
        <w:rPr>
          <w:rFonts w:ascii="Traditional Arabic" w:eastAsia="Traditional Arabic" w:hAnsi="Traditional Arabic" w:cs="Traditional Arabic"/>
          <w:rtl/>
        </w:rPr>
      </w:pPr>
    </w:p>
    <w:p w14:paraId="7E9BB9FD" w14:textId="757165A6" w:rsidR="004E1AC4" w:rsidRDefault="00000000" w:rsidP="00F15358">
      <w:pPr>
        <w:bidi/>
        <w:spacing w:before="240" w:after="240" w:line="360" w:lineRule="auto"/>
        <w:jc w:val="center"/>
        <w:rPr>
          <w:rFonts w:ascii="Traditional Arabic" w:eastAsia="Traditional Arabic" w:hAnsi="Traditional Arabic" w:cs="Traditional Arabic"/>
          <w:rtl/>
        </w:rPr>
      </w:pPr>
      <w:r>
        <w:rPr>
          <w:rFonts w:ascii="Traditional Arabic" w:eastAsia="Traditional Arabic" w:hAnsi="Traditional Arabic" w:cs="Traditional Arabic"/>
          <w:rtl/>
        </w:rPr>
        <w:t>شكل (1)</w:t>
      </w:r>
    </w:p>
    <w:p w14:paraId="264B7B33" w14:textId="77777777" w:rsidR="00F15358" w:rsidRDefault="00F15358" w:rsidP="00F15358">
      <w:pPr>
        <w:bidi/>
        <w:spacing w:before="240" w:after="240" w:line="360" w:lineRule="auto"/>
        <w:jc w:val="center"/>
        <w:rPr>
          <w:rFonts w:ascii="Traditional Arabic" w:eastAsia="Traditional Arabic" w:hAnsi="Traditional Arabic" w:cs="Traditional Arabic"/>
          <w:rtl/>
        </w:rPr>
      </w:pPr>
    </w:p>
    <w:p w14:paraId="0AFD3037" w14:textId="77777777" w:rsidR="00F15358" w:rsidRDefault="00F15358" w:rsidP="00F15358">
      <w:pPr>
        <w:bidi/>
        <w:spacing w:before="240" w:after="240" w:line="360" w:lineRule="auto"/>
        <w:jc w:val="center"/>
        <w:rPr>
          <w:rFonts w:ascii="Traditional Arabic" w:eastAsia="Traditional Arabic" w:hAnsi="Traditional Arabic" w:cs="Traditional Arabic"/>
          <w:rtl/>
        </w:rPr>
      </w:pPr>
    </w:p>
    <w:p w14:paraId="373B2781" w14:textId="77777777" w:rsidR="004E1AC4" w:rsidRPr="00F15358" w:rsidRDefault="00000000" w:rsidP="00F15358">
      <w:pPr>
        <w:bidi/>
        <w:spacing w:before="240" w:after="240" w:line="360" w:lineRule="auto"/>
        <w:ind w:left="360"/>
        <w:rPr>
          <w:rFonts w:ascii="Traditional Arabic" w:eastAsia="Traditional Arabic" w:hAnsi="Traditional Arabic" w:cs="Traditional Arabic"/>
          <w:b/>
          <w:bCs/>
          <w:sz w:val="32"/>
          <w:szCs w:val="32"/>
        </w:rPr>
      </w:pPr>
      <w:r w:rsidRPr="00F15358">
        <w:rPr>
          <w:rFonts w:ascii="Traditional Arabic" w:eastAsia="Traditional Arabic" w:hAnsi="Traditional Arabic" w:cs="Traditional Arabic"/>
          <w:b/>
          <w:bCs/>
          <w:sz w:val="32"/>
          <w:szCs w:val="32"/>
          <w:rtl/>
        </w:rPr>
        <w:lastRenderedPageBreak/>
        <w:t xml:space="preserve">المراجع </w:t>
      </w:r>
    </w:p>
    <w:p w14:paraId="73675ECB" w14:textId="08AB45AD" w:rsidR="004E1AC4" w:rsidRPr="00F15358" w:rsidRDefault="00000000" w:rsidP="00F15358">
      <w:pPr>
        <w:pStyle w:val="3"/>
        <w:keepNext w:val="0"/>
        <w:keepLines w:val="0"/>
        <w:bidi/>
        <w:spacing w:line="360" w:lineRule="auto"/>
        <w:ind w:left="360"/>
        <w:rPr>
          <w:rFonts w:ascii="Traditional Arabic" w:eastAsia="Traditional Arabic" w:hAnsi="Traditional Arabic" w:cs="Traditional Arabic"/>
        </w:rPr>
      </w:pPr>
      <w:bookmarkStart w:id="9" w:name="_6rl9sie8m8qd" w:colFirst="0" w:colLast="0"/>
      <w:bookmarkEnd w:id="9"/>
      <w:r w:rsidRPr="00F15358">
        <w:rPr>
          <w:rFonts w:ascii="Traditional Arabic" w:eastAsia="Traditional Arabic" w:hAnsi="Traditional Arabic" w:cs="Traditional Arabic"/>
          <w:rtl/>
        </w:rPr>
        <w:t xml:space="preserve">أولاً: المراجع العربية </w:t>
      </w:r>
    </w:p>
    <w:p w14:paraId="5FAC9744" w14:textId="77777777" w:rsidR="004E1AC4" w:rsidRPr="00F15358" w:rsidRDefault="00000000" w:rsidP="00F15358">
      <w:pPr>
        <w:pStyle w:val="a7"/>
        <w:numPr>
          <w:ilvl w:val="0"/>
          <w:numId w:val="24"/>
        </w:numPr>
        <w:bidi/>
        <w:spacing w:before="240" w:after="0" w:line="360" w:lineRule="auto"/>
        <w:rPr>
          <w:rFonts w:ascii="Traditional Arabic" w:eastAsia="Traditional Arabic" w:hAnsi="Traditional Arabic" w:cs="Traditional Arabic"/>
          <w:sz w:val="24"/>
          <w:szCs w:val="24"/>
        </w:rPr>
      </w:pPr>
      <w:r w:rsidRPr="00F15358">
        <w:rPr>
          <w:rFonts w:ascii="Traditional Arabic" w:eastAsia="Traditional Arabic" w:hAnsi="Traditional Arabic" w:cs="Traditional Arabic"/>
          <w:sz w:val="24"/>
          <w:szCs w:val="24"/>
          <w:rtl/>
        </w:rPr>
        <w:t xml:space="preserve">الجمعية السعودية للفنون التشكيلية. (2022). </w:t>
      </w:r>
      <w:r w:rsidRPr="00F15358">
        <w:rPr>
          <w:rFonts w:ascii="Traditional Arabic" w:eastAsia="Traditional Arabic" w:hAnsi="Traditional Arabic" w:cs="Traditional Arabic"/>
          <w:i/>
          <w:iCs/>
          <w:sz w:val="24"/>
          <w:szCs w:val="24"/>
          <w:rtl/>
        </w:rPr>
        <w:t>التقرير السنوي لإحصاءات الفنانين المسجلين والفروع في المملكة العربية السعودية</w:t>
      </w:r>
      <w:r w:rsidRPr="00F15358">
        <w:rPr>
          <w:rFonts w:ascii="Traditional Arabic" w:eastAsia="Traditional Arabic" w:hAnsi="Traditional Arabic" w:cs="Traditional Arabic"/>
          <w:sz w:val="24"/>
          <w:szCs w:val="24"/>
        </w:rPr>
        <w:t>.</w:t>
      </w:r>
    </w:p>
    <w:p w14:paraId="7B33FFC4" w14:textId="77777777" w:rsidR="004E1AC4" w:rsidRPr="00F15358" w:rsidRDefault="00000000" w:rsidP="00F15358">
      <w:pPr>
        <w:pStyle w:val="a7"/>
        <w:numPr>
          <w:ilvl w:val="0"/>
          <w:numId w:val="24"/>
        </w:numPr>
        <w:bidi/>
        <w:spacing w:after="0" w:line="360" w:lineRule="auto"/>
        <w:rPr>
          <w:rFonts w:ascii="Traditional Arabic" w:eastAsia="Traditional Arabic" w:hAnsi="Traditional Arabic" w:cs="Traditional Arabic"/>
          <w:sz w:val="24"/>
          <w:szCs w:val="24"/>
        </w:rPr>
      </w:pPr>
      <w:r w:rsidRPr="00F15358">
        <w:rPr>
          <w:rFonts w:ascii="Traditional Arabic" w:eastAsia="Traditional Arabic" w:hAnsi="Traditional Arabic" w:cs="Traditional Arabic"/>
          <w:sz w:val="24"/>
          <w:szCs w:val="24"/>
          <w:rtl/>
        </w:rPr>
        <w:t xml:space="preserve">وزارة الثقافة. (2021). </w:t>
      </w:r>
      <w:r w:rsidRPr="00F15358">
        <w:rPr>
          <w:rFonts w:ascii="Traditional Arabic" w:eastAsia="Traditional Arabic" w:hAnsi="Traditional Arabic" w:cs="Traditional Arabic"/>
          <w:i/>
          <w:iCs/>
          <w:sz w:val="24"/>
          <w:szCs w:val="24"/>
          <w:rtl/>
        </w:rPr>
        <w:t xml:space="preserve">تقرير الحالة الثقافية في المملكة العربية السعودية 2020: </w:t>
      </w:r>
      <w:proofErr w:type="spellStart"/>
      <w:r w:rsidRPr="00F15358">
        <w:rPr>
          <w:rFonts w:ascii="Traditional Arabic" w:eastAsia="Traditional Arabic" w:hAnsi="Traditional Arabic" w:cs="Traditional Arabic"/>
          <w:i/>
          <w:iCs/>
          <w:sz w:val="24"/>
          <w:szCs w:val="24"/>
          <w:rtl/>
        </w:rPr>
        <w:t>رقمنة</w:t>
      </w:r>
      <w:proofErr w:type="spellEnd"/>
      <w:r w:rsidRPr="00F15358">
        <w:rPr>
          <w:rFonts w:ascii="Traditional Arabic" w:eastAsia="Traditional Arabic" w:hAnsi="Traditional Arabic" w:cs="Traditional Arabic"/>
          <w:i/>
          <w:iCs/>
          <w:sz w:val="24"/>
          <w:szCs w:val="24"/>
          <w:rtl/>
        </w:rPr>
        <w:t xml:space="preserve"> الثقافة</w:t>
      </w:r>
      <w:r w:rsidRPr="00F15358">
        <w:rPr>
          <w:rFonts w:ascii="Traditional Arabic" w:eastAsia="Traditional Arabic" w:hAnsi="Traditional Arabic" w:cs="Traditional Arabic"/>
          <w:sz w:val="24"/>
          <w:szCs w:val="24"/>
        </w:rPr>
        <w:t>.</w:t>
      </w:r>
    </w:p>
    <w:p w14:paraId="14E7E9E8" w14:textId="77777777" w:rsidR="004E1AC4" w:rsidRPr="00F15358" w:rsidRDefault="00000000" w:rsidP="00F15358">
      <w:pPr>
        <w:pStyle w:val="a7"/>
        <w:numPr>
          <w:ilvl w:val="0"/>
          <w:numId w:val="24"/>
        </w:numPr>
        <w:bidi/>
        <w:spacing w:after="0" w:line="360" w:lineRule="auto"/>
        <w:rPr>
          <w:rFonts w:ascii="Traditional Arabic" w:eastAsia="Traditional Arabic" w:hAnsi="Traditional Arabic" w:cs="Traditional Arabic"/>
          <w:sz w:val="24"/>
          <w:szCs w:val="24"/>
        </w:rPr>
      </w:pPr>
      <w:r w:rsidRPr="00F15358">
        <w:rPr>
          <w:rFonts w:ascii="Traditional Arabic" w:eastAsia="Traditional Arabic" w:hAnsi="Traditional Arabic" w:cs="Traditional Arabic"/>
          <w:sz w:val="24"/>
          <w:szCs w:val="24"/>
          <w:rtl/>
        </w:rPr>
        <w:t xml:space="preserve">وزارة الثقافة. (2022). </w:t>
      </w:r>
      <w:r w:rsidRPr="00F15358">
        <w:rPr>
          <w:rFonts w:ascii="Traditional Arabic" w:eastAsia="Traditional Arabic" w:hAnsi="Traditional Arabic" w:cs="Traditional Arabic"/>
          <w:i/>
          <w:iCs/>
          <w:sz w:val="24"/>
          <w:szCs w:val="24"/>
          <w:rtl/>
        </w:rPr>
        <w:t>تقرير الحالة الثقافية في المملكة العربية السعودية 2022: الاستثمار في القطاع الثقافي</w:t>
      </w:r>
      <w:r w:rsidRPr="00F15358">
        <w:rPr>
          <w:rFonts w:ascii="Traditional Arabic" w:eastAsia="Traditional Arabic" w:hAnsi="Traditional Arabic" w:cs="Traditional Arabic"/>
          <w:sz w:val="24"/>
          <w:szCs w:val="24"/>
        </w:rPr>
        <w:t>.</w:t>
      </w:r>
    </w:p>
    <w:p w14:paraId="20052BBF" w14:textId="77777777" w:rsidR="004E1AC4" w:rsidRPr="00F15358" w:rsidRDefault="00000000" w:rsidP="00F15358">
      <w:pPr>
        <w:pStyle w:val="a7"/>
        <w:numPr>
          <w:ilvl w:val="0"/>
          <w:numId w:val="24"/>
        </w:numPr>
        <w:bidi/>
        <w:spacing w:after="0" w:line="360" w:lineRule="auto"/>
        <w:rPr>
          <w:rFonts w:ascii="Traditional Arabic" w:eastAsia="Traditional Arabic" w:hAnsi="Traditional Arabic" w:cs="Traditional Arabic"/>
          <w:sz w:val="24"/>
          <w:szCs w:val="24"/>
        </w:rPr>
      </w:pPr>
      <w:r w:rsidRPr="00F15358">
        <w:rPr>
          <w:rFonts w:ascii="Traditional Arabic" w:eastAsia="Traditional Arabic" w:hAnsi="Traditional Arabic" w:cs="Traditional Arabic"/>
          <w:sz w:val="24"/>
          <w:szCs w:val="24"/>
          <w:rtl/>
        </w:rPr>
        <w:t xml:space="preserve">وزارة الثقافة. (2024). </w:t>
      </w:r>
      <w:r w:rsidRPr="00F15358">
        <w:rPr>
          <w:rFonts w:ascii="Traditional Arabic" w:eastAsia="Traditional Arabic" w:hAnsi="Traditional Arabic" w:cs="Traditional Arabic"/>
          <w:i/>
          <w:iCs/>
          <w:sz w:val="24"/>
          <w:szCs w:val="24"/>
          <w:rtl/>
        </w:rPr>
        <w:t>تقرير الحالة الثقافية في المملكة العربية السعودية 2023: الاستدامة في القطاع الثقافي</w:t>
      </w:r>
      <w:r w:rsidRPr="00F15358">
        <w:rPr>
          <w:rFonts w:ascii="Traditional Arabic" w:eastAsia="Traditional Arabic" w:hAnsi="Traditional Arabic" w:cs="Traditional Arabic"/>
          <w:sz w:val="24"/>
          <w:szCs w:val="24"/>
        </w:rPr>
        <w:t>.</w:t>
      </w:r>
    </w:p>
    <w:p w14:paraId="016BF64A" w14:textId="77777777" w:rsidR="004E1AC4" w:rsidRPr="00F15358" w:rsidRDefault="00000000" w:rsidP="00F15358">
      <w:pPr>
        <w:pStyle w:val="a7"/>
        <w:numPr>
          <w:ilvl w:val="0"/>
          <w:numId w:val="24"/>
        </w:numPr>
        <w:bidi/>
        <w:spacing w:after="0" w:line="360" w:lineRule="auto"/>
        <w:rPr>
          <w:rFonts w:ascii="Traditional Arabic" w:eastAsia="Traditional Arabic" w:hAnsi="Traditional Arabic" w:cs="Traditional Arabic"/>
          <w:sz w:val="24"/>
          <w:szCs w:val="24"/>
        </w:rPr>
      </w:pPr>
      <w:r w:rsidRPr="00F15358">
        <w:rPr>
          <w:rFonts w:ascii="Traditional Arabic" w:eastAsia="Traditional Arabic" w:hAnsi="Traditional Arabic" w:cs="Traditional Arabic"/>
          <w:sz w:val="24"/>
          <w:szCs w:val="24"/>
          <w:rtl/>
        </w:rPr>
        <w:t xml:space="preserve">وزارة الثقافة. (2025). </w:t>
      </w:r>
      <w:r w:rsidRPr="00F15358">
        <w:rPr>
          <w:rFonts w:ascii="Traditional Arabic" w:eastAsia="Traditional Arabic" w:hAnsi="Traditional Arabic" w:cs="Traditional Arabic"/>
          <w:i/>
          <w:iCs/>
          <w:sz w:val="24"/>
          <w:szCs w:val="24"/>
          <w:rtl/>
        </w:rPr>
        <w:t>تقرير الحالة الثقافية في المملكة العربية السعودية 2024: الأثر الثقافي</w:t>
      </w:r>
      <w:r w:rsidRPr="00F15358">
        <w:rPr>
          <w:rFonts w:ascii="Traditional Arabic" w:eastAsia="Traditional Arabic" w:hAnsi="Traditional Arabic" w:cs="Traditional Arabic"/>
          <w:sz w:val="24"/>
          <w:szCs w:val="24"/>
        </w:rPr>
        <w:t>.</w:t>
      </w:r>
    </w:p>
    <w:p w14:paraId="25D41554" w14:textId="77777777" w:rsidR="004E1AC4" w:rsidRPr="00F15358" w:rsidRDefault="00000000" w:rsidP="00F15358">
      <w:pPr>
        <w:pStyle w:val="a7"/>
        <w:numPr>
          <w:ilvl w:val="0"/>
          <w:numId w:val="24"/>
        </w:numPr>
        <w:bidi/>
        <w:spacing w:after="240" w:line="360" w:lineRule="auto"/>
        <w:rPr>
          <w:rFonts w:ascii="Traditional Arabic" w:eastAsia="Traditional Arabic" w:hAnsi="Traditional Arabic" w:cs="Traditional Arabic"/>
          <w:sz w:val="24"/>
          <w:szCs w:val="24"/>
        </w:rPr>
      </w:pPr>
      <w:r w:rsidRPr="00F15358">
        <w:rPr>
          <w:rFonts w:ascii="Traditional Arabic" w:eastAsia="Traditional Arabic" w:hAnsi="Traditional Arabic" w:cs="Traditional Arabic"/>
          <w:sz w:val="24"/>
          <w:szCs w:val="24"/>
          <w:rtl/>
        </w:rPr>
        <w:t xml:space="preserve">هيئة الفنون البصرية. (2021). </w:t>
      </w:r>
      <w:r w:rsidRPr="00F15358">
        <w:rPr>
          <w:rFonts w:ascii="Traditional Arabic" w:eastAsia="Traditional Arabic" w:hAnsi="Traditional Arabic" w:cs="Traditional Arabic"/>
          <w:i/>
          <w:iCs/>
          <w:sz w:val="24"/>
          <w:szCs w:val="24"/>
          <w:rtl/>
        </w:rPr>
        <w:t>الاستراتيجية الشاملة لتطوير قطاع الفنون البصرية في المملكة العربية السعودية</w:t>
      </w:r>
      <w:r w:rsidRPr="00F15358">
        <w:rPr>
          <w:rFonts w:ascii="Traditional Arabic" w:eastAsia="Traditional Arabic" w:hAnsi="Traditional Arabic" w:cs="Traditional Arabic"/>
          <w:sz w:val="24"/>
          <w:szCs w:val="24"/>
        </w:rPr>
        <w:t>.</w:t>
      </w:r>
    </w:p>
    <w:p w14:paraId="544303F1" w14:textId="77777777" w:rsidR="004E1AC4" w:rsidRPr="00F15358" w:rsidRDefault="00000000">
      <w:pPr>
        <w:pStyle w:val="3"/>
        <w:keepNext w:val="0"/>
        <w:keepLines w:val="0"/>
        <w:bidi/>
        <w:spacing w:line="360" w:lineRule="auto"/>
        <w:rPr>
          <w:rFonts w:ascii="Traditional Arabic" w:eastAsia="Traditional Arabic" w:hAnsi="Traditional Arabic" w:cs="Traditional Arabic"/>
        </w:rPr>
      </w:pPr>
      <w:bookmarkStart w:id="10" w:name="_tlihl8wvebb8" w:colFirst="0" w:colLast="0"/>
      <w:bookmarkEnd w:id="10"/>
      <w:r w:rsidRPr="00F15358">
        <w:rPr>
          <w:rFonts w:ascii="Traditional Arabic" w:eastAsia="Traditional Arabic" w:hAnsi="Traditional Arabic" w:cs="Traditional Arabic"/>
          <w:rtl/>
        </w:rPr>
        <w:t xml:space="preserve">ثانياً: المراجع الأجنبية </w:t>
      </w:r>
    </w:p>
    <w:p w14:paraId="29FB2462" w14:textId="77777777" w:rsidR="004E1AC4" w:rsidRPr="00F15358" w:rsidRDefault="00000000" w:rsidP="00F15358">
      <w:pPr>
        <w:numPr>
          <w:ilvl w:val="0"/>
          <w:numId w:val="25"/>
        </w:numPr>
        <w:spacing w:before="240" w:after="0" w:line="360" w:lineRule="auto"/>
        <w:ind w:left="284" w:hanging="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Deloitte Private, &amp; ArtTactic. (2023). </w:t>
      </w:r>
      <w:r w:rsidRPr="00F15358">
        <w:rPr>
          <w:rFonts w:asciiTheme="majorBidi" w:eastAsia="Traditional Arabic" w:hAnsiTheme="majorBidi" w:cstheme="majorBidi"/>
          <w:i/>
          <w:iCs/>
          <w:sz w:val="24"/>
          <w:szCs w:val="24"/>
        </w:rPr>
        <w:t>Art &amp; finance report 2023</w:t>
      </w:r>
      <w:r w:rsidRPr="00F15358">
        <w:rPr>
          <w:rFonts w:asciiTheme="majorBidi" w:eastAsia="Traditional Arabic" w:hAnsiTheme="majorBidi" w:cstheme="majorBidi"/>
          <w:sz w:val="24"/>
          <w:szCs w:val="24"/>
        </w:rPr>
        <w:t xml:space="preserve"> (8th ed.). Deloitte Luxembourg.</w:t>
      </w:r>
    </w:p>
    <w:p w14:paraId="22AF8E15" w14:textId="77777777" w:rsidR="004E1AC4" w:rsidRPr="00F15358" w:rsidRDefault="00000000" w:rsidP="00F15358">
      <w:pPr>
        <w:numPr>
          <w:ilvl w:val="0"/>
          <w:numId w:val="25"/>
        </w:numPr>
        <w:spacing w:after="0" w:line="360" w:lineRule="auto"/>
        <w:ind w:left="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Deloitte Private, &amp; ArtTactic. (2025). </w:t>
      </w:r>
      <w:r w:rsidRPr="00F15358">
        <w:rPr>
          <w:rFonts w:asciiTheme="majorBidi" w:eastAsia="Traditional Arabic" w:hAnsiTheme="majorBidi" w:cstheme="majorBidi"/>
          <w:i/>
          <w:iCs/>
          <w:sz w:val="24"/>
          <w:szCs w:val="24"/>
        </w:rPr>
        <w:t>Art &amp; finance report 2025: Shifting collector values and global wealth transfer</w:t>
      </w:r>
      <w:r w:rsidRPr="00F15358">
        <w:rPr>
          <w:rFonts w:asciiTheme="majorBidi" w:eastAsia="Traditional Arabic" w:hAnsiTheme="majorBidi" w:cstheme="majorBidi"/>
          <w:sz w:val="24"/>
          <w:szCs w:val="24"/>
        </w:rPr>
        <w:t xml:space="preserve"> (9th ed.). Deloitte Luxembourg.</w:t>
      </w:r>
    </w:p>
    <w:p w14:paraId="43EA843C" w14:textId="77777777" w:rsidR="004E1AC4" w:rsidRPr="00F15358" w:rsidRDefault="00000000" w:rsidP="00F15358">
      <w:pPr>
        <w:numPr>
          <w:ilvl w:val="0"/>
          <w:numId w:val="25"/>
        </w:numPr>
        <w:spacing w:after="0" w:line="360" w:lineRule="auto"/>
        <w:ind w:left="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Knight Frank. (2024). </w:t>
      </w:r>
      <w:r w:rsidRPr="00F15358">
        <w:rPr>
          <w:rFonts w:asciiTheme="majorBidi" w:eastAsia="Traditional Arabic" w:hAnsiTheme="majorBidi" w:cstheme="majorBidi"/>
          <w:i/>
          <w:iCs/>
          <w:sz w:val="24"/>
          <w:szCs w:val="24"/>
        </w:rPr>
        <w:t>The wealth report 2024</w:t>
      </w:r>
      <w:r w:rsidRPr="00F15358">
        <w:rPr>
          <w:rFonts w:asciiTheme="majorBidi" w:eastAsia="Traditional Arabic" w:hAnsiTheme="majorBidi" w:cstheme="majorBidi"/>
          <w:sz w:val="24"/>
          <w:szCs w:val="24"/>
        </w:rPr>
        <w:t xml:space="preserve"> (18th ed.). Knight Frank LLP.</w:t>
      </w:r>
    </w:p>
    <w:p w14:paraId="16DFCC03" w14:textId="77777777" w:rsidR="004E1AC4" w:rsidRPr="00F15358" w:rsidRDefault="00000000" w:rsidP="00F15358">
      <w:pPr>
        <w:numPr>
          <w:ilvl w:val="0"/>
          <w:numId w:val="25"/>
        </w:numPr>
        <w:spacing w:after="0" w:line="360" w:lineRule="auto"/>
        <w:ind w:left="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McAndrew, C. (2025). </w:t>
      </w:r>
      <w:r w:rsidRPr="00F15358">
        <w:rPr>
          <w:rFonts w:asciiTheme="majorBidi" w:eastAsia="Traditional Arabic" w:hAnsiTheme="majorBidi" w:cstheme="majorBidi"/>
          <w:i/>
          <w:iCs/>
          <w:sz w:val="24"/>
          <w:szCs w:val="24"/>
        </w:rPr>
        <w:t>The Art Basel and UBS global art market report 2025</w:t>
      </w:r>
      <w:r w:rsidRPr="00F15358">
        <w:rPr>
          <w:rFonts w:asciiTheme="majorBidi" w:eastAsia="Traditional Arabic" w:hAnsiTheme="majorBidi" w:cstheme="majorBidi"/>
          <w:sz w:val="24"/>
          <w:szCs w:val="24"/>
        </w:rPr>
        <w:t xml:space="preserve"> (9th ed.). Arts Economics.</w:t>
      </w:r>
    </w:p>
    <w:p w14:paraId="22A25D3E" w14:textId="77777777" w:rsidR="004E1AC4" w:rsidRPr="00F15358" w:rsidRDefault="00000000" w:rsidP="00F15358">
      <w:pPr>
        <w:numPr>
          <w:ilvl w:val="0"/>
          <w:numId w:val="25"/>
        </w:numPr>
        <w:spacing w:after="0" w:line="360" w:lineRule="auto"/>
        <w:ind w:left="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McAndrew, C. (2026). </w:t>
      </w:r>
      <w:r w:rsidRPr="00F15358">
        <w:rPr>
          <w:rFonts w:asciiTheme="majorBidi" w:eastAsia="Traditional Arabic" w:hAnsiTheme="majorBidi" w:cstheme="majorBidi"/>
          <w:i/>
          <w:iCs/>
          <w:sz w:val="24"/>
          <w:szCs w:val="24"/>
        </w:rPr>
        <w:t>The Art Basel and UBS global art market report 2026</w:t>
      </w:r>
      <w:r w:rsidRPr="00F15358">
        <w:rPr>
          <w:rFonts w:asciiTheme="majorBidi" w:eastAsia="Traditional Arabic" w:hAnsiTheme="majorBidi" w:cstheme="majorBidi"/>
          <w:sz w:val="24"/>
          <w:szCs w:val="24"/>
        </w:rPr>
        <w:t xml:space="preserve"> (10th ed.). Arts Economics.</w:t>
      </w:r>
    </w:p>
    <w:p w14:paraId="49DFD84F" w14:textId="77777777" w:rsidR="004E1AC4" w:rsidRPr="00F15358" w:rsidRDefault="00000000" w:rsidP="00F15358">
      <w:pPr>
        <w:numPr>
          <w:ilvl w:val="0"/>
          <w:numId w:val="25"/>
        </w:numPr>
        <w:spacing w:after="0" w:line="360" w:lineRule="auto"/>
        <w:ind w:left="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PwC Strategy&amp;. (2023). </w:t>
      </w:r>
      <w:r w:rsidRPr="00F15358">
        <w:rPr>
          <w:rFonts w:asciiTheme="majorBidi" w:eastAsia="Traditional Arabic" w:hAnsiTheme="majorBidi" w:cstheme="majorBidi"/>
          <w:i/>
          <w:iCs/>
          <w:sz w:val="24"/>
          <w:szCs w:val="24"/>
        </w:rPr>
        <w:t>Unlocking the potential of cultural and creative industries in the GCC</w:t>
      </w:r>
      <w:r w:rsidRPr="00F15358">
        <w:rPr>
          <w:rFonts w:asciiTheme="majorBidi" w:eastAsia="Traditional Arabic" w:hAnsiTheme="majorBidi" w:cstheme="majorBidi"/>
          <w:sz w:val="24"/>
          <w:szCs w:val="24"/>
        </w:rPr>
        <w:t>. PwC Middle East.</w:t>
      </w:r>
    </w:p>
    <w:p w14:paraId="2B7A1ECD" w14:textId="77777777" w:rsidR="004E1AC4" w:rsidRPr="00F15358" w:rsidRDefault="00000000" w:rsidP="00F15358">
      <w:pPr>
        <w:numPr>
          <w:ilvl w:val="0"/>
          <w:numId w:val="25"/>
        </w:numPr>
        <w:spacing w:after="0" w:line="360" w:lineRule="auto"/>
        <w:ind w:left="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UNESCO. (2022). </w:t>
      </w:r>
      <w:r w:rsidRPr="00F15358">
        <w:rPr>
          <w:rFonts w:asciiTheme="majorBidi" w:eastAsia="Traditional Arabic" w:hAnsiTheme="majorBidi" w:cstheme="majorBidi"/>
          <w:i/>
          <w:iCs/>
          <w:sz w:val="24"/>
          <w:szCs w:val="24"/>
        </w:rPr>
        <w:t>Re|shaping policies for creativity: Addressing culture as a global public good</w:t>
      </w:r>
      <w:r w:rsidRPr="00F15358">
        <w:rPr>
          <w:rFonts w:asciiTheme="majorBidi" w:eastAsia="Traditional Arabic" w:hAnsiTheme="majorBidi" w:cstheme="majorBidi"/>
          <w:sz w:val="24"/>
          <w:szCs w:val="24"/>
        </w:rPr>
        <w:t>. UNESCO Publishing.</w:t>
      </w:r>
    </w:p>
    <w:p w14:paraId="06FC589F" w14:textId="77777777" w:rsidR="004E1AC4" w:rsidRPr="00F15358" w:rsidRDefault="00000000" w:rsidP="00F15358">
      <w:pPr>
        <w:numPr>
          <w:ilvl w:val="0"/>
          <w:numId w:val="25"/>
        </w:numPr>
        <w:spacing w:after="240" w:line="360" w:lineRule="auto"/>
        <w:ind w:left="284"/>
        <w:rPr>
          <w:rFonts w:asciiTheme="majorBidi" w:eastAsia="Traditional Arabic" w:hAnsiTheme="majorBidi" w:cstheme="majorBidi"/>
          <w:sz w:val="24"/>
          <w:szCs w:val="24"/>
        </w:rPr>
      </w:pPr>
      <w:r w:rsidRPr="00F15358">
        <w:rPr>
          <w:rFonts w:asciiTheme="majorBidi" w:eastAsia="Traditional Arabic" w:hAnsiTheme="majorBidi" w:cstheme="majorBidi"/>
          <w:sz w:val="24"/>
          <w:szCs w:val="24"/>
        </w:rPr>
        <w:t xml:space="preserve">Wijnberg, N. M., &amp; Gemser, G. (2000). Adding value to valuation: Innovation and selection in the cultural industries. </w:t>
      </w:r>
      <w:r w:rsidRPr="00F15358">
        <w:rPr>
          <w:rFonts w:asciiTheme="majorBidi" w:eastAsia="Traditional Arabic" w:hAnsiTheme="majorBidi" w:cstheme="majorBidi"/>
          <w:i/>
          <w:iCs/>
          <w:sz w:val="24"/>
          <w:szCs w:val="24"/>
        </w:rPr>
        <w:t>Organization Studies</w:t>
      </w:r>
      <w:r w:rsidRPr="00F15358">
        <w:rPr>
          <w:rFonts w:asciiTheme="majorBidi" w:eastAsia="Traditional Arabic" w:hAnsiTheme="majorBidi" w:cstheme="majorBidi"/>
          <w:sz w:val="24"/>
          <w:szCs w:val="24"/>
        </w:rPr>
        <w:t xml:space="preserve">, </w:t>
      </w:r>
      <w:r w:rsidRPr="00F15358">
        <w:rPr>
          <w:rFonts w:asciiTheme="majorBidi" w:eastAsia="Traditional Arabic" w:hAnsiTheme="majorBidi" w:cstheme="majorBidi"/>
          <w:i/>
          <w:iCs/>
          <w:sz w:val="24"/>
          <w:szCs w:val="24"/>
        </w:rPr>
        <w:t>21</w:t>
      </w:r>
      <w:r w:rsidRPr="00F15358">
        <w:rPr>
          <w:rFonts w:asciiTheme="majorBidi" w:eastAsia="Traditional Arabic" w:hAnsiTheme="majorBidi" w:cstheme="majorBidi"/>
          <w:sz w:val="24"/>
          <w:szCs w:val="24"/>
        </w:rPr>
        <w:t>(1), 323–329.</w:t>
      </w:r>
    </w:p>
    <w:sectPr w:rsidR="004E1AC4" w:rsidRPr="00F1535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2EB69E9-0BCB-1347-8F54-A29D15AF09D6}"/>
    <w:embedBold r:id="rId2" w:fontKey="{30693B04-5969-4F49-A121-D6DEC5D4BF9B}"/>
    <w:embedItalic r:id="rId3" w:fontKey="{60EEE58F-3249-3D49-A956-4880279537D7}"/>
  </w:font>
  <w:font w:name="Noto Sans Symbols">
    <w:altName w:val="Calibri"/>
    <w:panose1 w:val="020B0604020202020204"/>
    <w:charset w:val="00"/>
    <w:family w:val="auto"/>
    <w:pitch w:val="default"/>
    <w:embedRegular r:id="rId4" w:fontKey="{EAA2FC3D-6A32-2446-B3EC-536E9EFD3F37}"/>
  </w:font>
  <w:font w:name="Courier New">
    <w:panose1 w:val="02070309020205020404"/>
    <w:charset w:val="00"/>
    <w:family w:val="modern"/>
    <w:pitch w:val="fixed"/>
    <w:sig w:usb0="E0002EFF" w:usb1="C0007843" w:usb2="00000009" w:usb3="00000000" w:csb0="000001FF" w:csb1="00000000"/>
    <w:embedRegular r:id="rId5" w:fontKey="{97AEAF4A-78A4-A248-B3D5-38DC4EB62143}"/>
  </w:font>
  <w:font w:name="Calibri">
    <w:panose1 w:val="020F0502020204030204"/>
    <w:charset w:val="00"/>
    <w:family w:val="swiss"/>
    <w:pitch w:val="variable"/>
    <w:sig w:usb0="E0002AFF" w:usb1="C000247B" w:usb2="00000009" w:usb3="00000000" w:csb0="000001FF" w:csb1="00000000"/>
    <w:embedRegular r:id="rId6" w:fontKey="{7CEF1F06-599E-B946-AE08-A8E5506BA85C}"/>
    <w:embedBold r:id="rId7" w:fontKey="{F25C6EEF-84E0-D643-A8AF-C91E4A5E4498}"/>
  </w:font>
  <w:font w:name="Georgia">
    <w:panose1 w:val="02040502050405020303"/>
    <w:charset w:val="00"/>
    <w:family w:val="roman"/>
    <w:pitch w:val="variable"/>
    <w:sig w:usb0="00000287" w:usb1="00000000" w:usb2="00000000" w:usb3="00000000" w:csb0="0000009F" w:csb1="00000000"/>
    <w:embedItalic r:id="rId8" w:fontKey="{2103F971-EC14-714B-861D-9C45726884C3}"/>
  </w:font>
  <w:font w:name="Simplified Arabic">
    <w:panose1 w:val="02020603050405020304"/>
    <w:charset w:val="B2"/>
    <w:family w:val="roman"/>
    <w:pitch w:val="variable"/>
    <w:sig w:usb0="00002003" w:usb1="80000000" w:usb2="00000008" w:usb3="00000000" w:csb0="00000041" w:csb1="00000000"/>
    <w:embedBold r:id="rId9" w:fontKey="{C4050A6B-4A2C-384D-B935-49BB46C7008D}"/>
  </w:font>
  <w:font w:name="Traditional Arabic">
    <w:panose1 w:val="02020603050405020304"/>
    <w:charset w:val="B2"/>
    <w:family w:val="roman"/>
    <w:pitch w:val="variable"/>
    <w:sig w:usb0="00002003" w:usb1="80000000" w:usb2="00000008" w:usb3="00000000" w:csb0="00000041" w:csb1="00000000"/>
    <w:embedRegular r:id="rId10" w:fontKey="{21AE5A9D-86BA-0142-AB01-7C5BA4A2A918}"/>
    <w:embedBold r:id="rId11" w:fontKey="{5E1CDFA3-86F4-4148-861F-AE55131FE928}"/>
    <w:embedItalic r:id="rId12" w:fontKey="{ABBD3E4A-7031-B04C-A96F-AD268621A1A8}"/>
  </w:font>
  <w:font w:name="Arial">
    <w:panose1 w:val="020B0604020202020204"/>
    <w:charset w:val="00"/>
    <w:family w:val="swiss"/>
    <w:pitch w:val="variable"/>
    <w:sig w:usb0="E0002AFF" w:usb1="C0007843" w:usb2="00000009" w:usb3="00000000" w:csb0="000001FF" w:csb1="00000000"/>
    <w:embedRegular r:id="rId13" w:fontKey="{5687533D-875D-BE4A-AA43-6F1BEA5E52CD}"/>
    <w:embedBold r:id="rId14" w:fontKey="{5A0168B9-EE59-AB49-A2E5-80284F272AC2}"/>
  </w:font>
  <w:font w:name="Cambria">
    <w:panose1 w:val="02040503050406030204"/>
    <w:charset w:val="00"/>
    <w:family w:val="roman"/>
    <w:pitch w:val="variable"/>
    <w:sig w:usb0="E00002FF" w:usb1="400004FF" w:usb2="00000000" w:usb3="00000000" w:csb0="0000019F" w:csb1="00000000"/>
    <w:embedRegular r:id="rId15" w:fontKey="{F7D0D5DF-99A0-D846-A945-BDDD0D6CE9C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5BC"/>
    <w:multiLevelType w:val="multilevel"/>
    <w:tmpl w:val="71765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612271"/>
    <w:multiLevelType w:val="multilevel"/>
    <w:tmpl w:val="1AB05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BA1C73"/>
    <w:multiLevelType w:val="multilevel"/>
    <w:tmpl w:val="26389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334297"/>
    <w:multiLevelType w:val="multilevel"/>
    <w:tmpl w:val="D2D6E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7A6307"/>
    <w:multiLevelType w:val="multilevel"/>
    <w:tmpl w:val="A7A4C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291A92"/>
    <w:multiLevelType w:val="multilevel"/>
    <w:tmpl w:val="DFB4A040"/>
    <w:lvl w:ilvl="0">
      <w:start w:val="1"/>
      <w:numFmt w:val="decimal"/>
      <w:lvlText w:val="%1."/>
      <w:lvlJc w:val="left"/>
      <w:pPr>
        <w:ind w:left="108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545EEA"/>
    <w:multiLevelType w:val="multilevel"/>
    <w:tmpl w:val="EAB00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2C4C4A"/>
    <w:multiLevelType w:val="multilevel"/>
    <w:tmpl w:val="13BC6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D63CF4"/>
    <w:multiLevelType w:val="multilevel"/>
    <w:tmpl w:val="200CF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F412512"/>
    <w:multiLevelType w:val="multilevel"/>
    <w:tmpl w:val="C1A45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416552"/>
    <w:multiLevelType w:val="multilevel"/>
    <w:tmpl w:val="80EEA6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B1030FA"/>
    <w:multiLevelType w:val="multilevel"/>
    <w:tmpl w:val="4CF0F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E73A76"/>
    <w:multiLevelType w:val="multilevel"/>
    <w:tmpl w:val="E7206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1221A5F"/>
    <w:multiLevelType w:val="multilevel"/>
    <w:tmpl w:val="C688E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2BA3EE2"/>
    <w:multiLevelType w:val="multilevel"/>
    <w:tmpl w:val="391A17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A3E20CB"/>
    <w:multiLevelType w:val="multilevel"/>
    <w:tmpl w:val="7818A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1800AA0"/>
    <w:multiLevelType w:val="multilevel"/>
    <w:tmpl w:val="963C1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A5F710D"/>
    <w:multiLevelType w:val="multilevel"/>
    <w:tmpl w:val="BA64FC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E7222FF"/>
    <w:multiLevelType w:val="multilevel"/>
    <w:tmpl w:val="8A7ACA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4F512118"/>
    <w:multiLevelType w:val="hybridMultilevel"/>
    <w:tmpl w:val="B8FC4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3C2D5F"/>
    <w:multiLevelType w:val="hybridMultilevel"/>
    <w:tmpl w:val="A89E68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952652A"/>
    <w:multiLevelType w:val="multilevel"/>
    <w:tmpl w:val="ABD6A2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BF51266"/>
    <w:multiLevelType w:val="multilevel"/>
    <w:tmpl w:val="F806B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185043B"/>
    <w:multiLevelType w:val="multilevel"/>
    <w:tmpl w:val="0CA2E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6923F74"/>
    <w:multiLevelType w:val="multilevel"/>
    <w:tmpl w:val="0C72E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3674217">
    <w:abstractNumId w:val="15"/>
  </w:num>
  <w:num w:numId="2" w16cid:durableId="1210800702">
    <w:abstractNumId w:val="1"/>
  </w:num>
  <w:num w:numId="3" w16cid:durableId="234122696">
    <w:abstractNumId w:val="3"/>
  </w:num>
  <w:num w:numId="4" w16cid:durableId="1809586372">
    <w:abstractNumId w:val="2"/>
  </w:num>
  <w:num w:numId="5" w16cid:durableId="1194420945">
    <w:abstractNumId w:val="24"/>
  </w:num>
  <w:num w:numId="6" w16cid:durableId="1849438526">
    <w:abstractNumId w:val="12"/>
  </w:num>
  <w:num w:numId="7" w16cid:durableId="114644392">
    <w:abstractNumId w:val="23"/>
  </w:num>
  <w:num w:numId="8" w16cid:durableId="373695322">
    <w:abstractNumId w:val="4"/>
  </w:num>
  <w:num w:numId="9" w16cid:durableId="149904825">
    <w:abstractNumId w:val="10"/>
  </w:num>
  <w:num w:numId="10" w16cid:durableId="850533726">
    <w:abstractNumId w:val="0"/>
  </w:num>
  <w:num w:numId="11" w16cid:durableId="1442526438">
    <w:abstractNumId w:val="14"/>
  </w:num>
  <w:num w:numId="12" w16cid:durableId="667905819">
    <w:abstractNumId w:val="18"/>
  </w:num>
  <w:num w:numId="13" w16cid:durableId="1907564552">
    <w:abstractNumId w:val="21"/>
  </w:num>
  <w:num w:numId="14" w16cid:durableId="253513192">
    <w:abstractNumId w:val="17"/>
  </w:num>
  <w:num w:numId="15" w16cid:durableId="1669942649">
    <w:abstractNumId w:val="8"/>
  </w:num>
  <w:num w:numId="16" w16cid:durableId="1356998460">
    <w:abstractNumId w:val="13"/>
  </w:num>
  <w:num w:numId="17" w16cid:durableId="1944220457">
    <w:abstractNumId w:val="22"/>
  </w:num>
  <w:num w:numId="18" w16cid:durableId="1177188170">
    <w:abstractNumId w:val="11"/>
  </w:num>
  <w:num w:numId="19" w16cid:durableId="1548713051">
    <w:abstractNumId w:val="6"/>
  </w:num>
  <w:num w:numId="20" w16cid:durableId="1490832016">
    <w:abstractNumId w:val="7"/>
  </w:num>
  <w:num w:numId="21" w16cid:durableId="1720670218">
    <w:abstractNumId w:val="16"/>
  </w:num>
  <w:num w:numId="22" w16cid:durableId="452404480">
    <w:abstractNumId w:val="9"/>
  </w:num>
  <w:num w:numId="23" w16cid:durableId="546064000">
    <w:abstractNumId w:val="19"/>
  </w:num>
  <w:num w:numId="24" w16cid:durableId="715659150">
    <w:abstractNumId w:val="20"/>
  </w:num>
  <w:num w:numId="25" w16cid:durableId="3198945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AC4"/>
    <w:rsid w:val="001B7B48"/>
    <w:rsid w:val="004E1AC4"/>
    <w:rsid w:val="00611FC2"/>
    <w:rsid w:val="009A193B"/>
    <w:rsid w:val="00AF2009"/>
    <w:rsid w:val="00F153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4B62F"/>
  <w15:docId w15:val="{D5D8A0EA-2CD8-0D4C-ADF3-253BB880E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unhideWhenUsed/>
    <w:qFormat/>
    <w:pPr>
      <w:keepNext/>
      <w:keepLines/>
      <w:spacing w:before="360" w:after="80"/>
      <w:outlineLvl w:val="1"/>
    </w:pPr>
    <w:rPr>
      <w:b/>
      <w:bCs/>
      <w:sz w:val="36"/>
      <w:szCs w:val="36"/>
    </w:rPr>
  </w:style>
  <w:style w:type="paragraph" w:styleId="3">
    <w:name w:val="heading 3"/>
    <w:basedOn w:val="a"/>
    <w:next w:val="a"/>
    <w:uiPriority w:val="9"/>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 w:type="dxa"/>
        <w:bottom w:w="0" w:type="dxa"/>
        <w:right w:w="10" w:type="dxa"/>
      </w:tblCellMar>
    </w:tblPr>
  </w:style>
  <w:style w:type="table" w:customStyle="1" w:styleId="a6">
    <w:basedOn w:val="TableNormal"/>
    <w:tblPr>
      <w:tblStyleRowBandSize w:val="1"/>
      <w:tblStyleColBandSize w:val="1"/>
      <w:tblCellMar>
        <w:top w:w="0" w:type="dxa"/>
        <w:left w:w="10" w:type="dxa"/>
        <w:bottom w:w="0" w:type="dxa"/>
        <w:right w:w="10" w:type="dxa"/>
      </w:tblCellMar>
    </w:tblPr>
  </w:style>
  <w:style w:type="paragraph" w:styleId="a7">
    <w:name w:val="List Paragraph"/>
    <w:basedOn w:val="a"/>
    <w:uiPriority w:val="34"/>
    <w:qFormat/>
    <w:rsid w:val="00F153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19</Pages>
  <Words>4503</Words>
  <Characters>25671</Characters>
  <Application>Microsoft Office Word</Application>
  <DocSecurity>0</DocSecurity>
  <Lines>213</Lines>
  <Paragraphs>60</Paragraphs>
  <ScaleCrop>false</ScaleCrop>
  <Company/>
  <LinksUpToDate>false</LinksUpToDate>
  <CharactersWithSpaces>30114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محمد</cp:lastModifiedBy>
  <cp:revision>2</cp:revision>
  <dcterms:created xsi:type="dcterms:W3CDTF">2026-08-10T03:24:00Z</dcterms:created>
  <dcterms:modified xsi:type="dcterms:W3CDTF">2026-08-10T03:24:00Z</dcterms:modified>
</cp:coreProperties>
</file>