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DDC0BE" w14:textId="77777777" w:rsidR="00B00FCA" w:rsidRDefault="00000000">
      <w:pPr>
        <w:spacing w:after="200" w:line="240" w:lineRule="auto"/>
        <w:rPr>
          <w:rFonts w:ascii="Times New Roman" w:eastAsia="Times New Roman" w:hAnsi="Times New Roman" w:cs="Times New Roman"/>
          <w:color w:val="1C1C1C"/>
          <w:sz w:val="24"/>
          <w:szCs w:val="24"/>
        </w:rPr>
      </w:pPr>
      <w:r>
        <w:rPr>
          <w:noProof/>
        </w:rPr>
        <w:drawing>
          <wp:anchor distT="0" distB="0" distL="114300" distR="114300" simplePos="0" relativeHeight="251658240" behindDoc="0" locked="0" layoutInCell="1" hidden="0" allowOverlap="1" wp14:anchorId="6FBC7FDA" wp14:editId="2D81CA6E">
            <wp:simplePos x="0" y="0"/>
            <wp:positionH relativeFrom="column">
              <wp:posOffset>-396239</wp:posOffset>
            </wp:positionH>
            <wp:positionV relativeFrom="paragraph">
              <wp:posOffset>271780</wp:posOffset>
            </wp:positionV>
            <wp:extent cx="2346248" cy="1108953"/>
            <wp:effectExtent l="0" t="0" r="0" b="0"/>
            <wp:wrapSquare wrapText="bothSides" distT="0" distB="0" distL="114300" distR="114300"/>
            <wp:docPr id="4" name="image1.jpg" descr="A close-up of a logo&#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jpg" descr="A close-up of a logo&#10;&#10;AI-generated content may be incorrect."/>
                    <pic:cNvPicPr preferRelativeResize="0"/>
                  </pic:nvPicPr>
                  <pic:blipFill>
                    <a:blip r:embed="rId5"/>
                    <a:srcRect/>
                    <a:stretch>
                      <a:fillRect/>
                    </a:stretch>
                  </pic:blipFill>
                  <pic:spPr>
                    <a:xfrm>
                      <a:off x="0" y="0"/>
                      <a:ext cx="2346248" cy="1108953"/>
                    </a:xfrm>
                    <a:prstGeom prst="rect">
                      <a:avLst/>
                    </a:prstGeom>
                    <a:ln/>
                  </pic:spPr>
                </pic:pic>
              </a:graphicData>
            </a:graphic>
          </wp:anchor>
        </w:drawing>
      </w:r>
    </w:p>
    <w:p w14:paraId="2F37FA96" w14:textId="77777777" w:rsidR="00B00FCA" w:rsidRDefault="00000000">
      <w:pPr>
        <w:spacing w:after="200" w:line="276" w:lineRule="auto"/>
        <w:rPr>
          <w:rFonts w:ascii="Times New Roman" w:eastAsia="Times New Roman" w:hAnsi="Times New Roman" w:cs="Times New Roman"/>
          <w:color w:val="1C1C1C"/>
          <w:sz w:val="24"/>
          <w:szCs w:val="24"/>
        </w:rPr>
      </w:pPr>
      <w:r>
        <w:rPr>
          <w:noProof/>
        </w:rPr>
        <mc:AlternateContent>
          <mc:Choice Requires="wps">
            <w:drawing>
              <wp:anchor distT="0" distB="0" distL="114300" distR="114300" simplePos="0" relativeHeight="251659264" behindDoc="0" locked="0" layoutInCell="1" hidden="0" allowOverlap="1" wp14:anchorId="673F9794" wp14:editId="0DA6FCC2">
                <wp:simplePos x="0" y="0"/>
                <wp:positionH relativeFrom="column">
                  <wp:posOffset>4213860</wp:posOffset>
                </wp:positionH>
                <wp:positionV relativeFrom="paragraph">
                  <wp:posOffset>146685</wp:posOffset>
                </wp:positionV>
                <wp:extent cx="1470660" cy="927100"/>
                <wp:effectExtent l="0" t="0" r="0" b="0"/>
                <wp:wrapNone/>
                <wp:docPr id="1" name="مستطيل 1"/>
                <wp:cNvGraphicFramePr/>
                <a:graphic xmlns:a="http://schemas.openxmlformats.org/drawingml/2006/main">
                  <a:graphicData uri="http://schemas.microsoft.com/office/word/2010/wordprocessingShape">
                    <wps:wsp>
                      <wps:cNvSpPr/>
                      <wps:spPr>
                        <a:xfrm>
                          <a:off x="4617020" y="3322800"/>
                          <a:ext cx="1457960" cy="914400"/>
                        </a:xfrm>
                        <a:prstGeom prst="rect">
                          <a:avLst/>
                        </a:prstGeom>
                        <a:solidFill>
                          <a:srgbClr val="FFFFFF"/>
                        </a:solidFill>
                        <a:ln w="12700" cap="flat" cmpd="sng">
                          <a:solidFill>
                            <a:srgbClr val="FFFFFF"/>
                          </a:solidFill>
                          <a:prstDash val="solid"/>
                          <a:miter lim="8000"/>
                          <a:headEnd type="none" w="sm" len="sm"/>
                          <a:tailEnd type="none" w="sm" len="sm"/>
                        </a:ln>
                      </wps:spPr>
                      <wps:txbx>
                        <w:txbxContent>
                          <w:p w14:paraId="6D6D5748" w14:textId="77777777" w:rsidR="00B00FCA" w:rsidRDefault="00000000">
                            <w:pPr>
                              <w:spacing w:line="258" w:lineRule="auto"/>
                              <w:jc w:val="center"/>
                              <w:textDirection w:val="btLr"/>
                            </w:pPr>
                            <w:proofErr w:type="spellStart"/>
                            <w:r>
                              <w:rPr>
                                <w:b/>
                                <w:color w:val="000000"/>
                                <w:sz w:val="28"/>
                              </w:rPr>
                              <w:t>جامعة</w:t>
                            </w:r>
                            <w:proofErr w:type="spellEnd"/>
                            <w:r>
                              <w:rPr>
                                <w:b/>
                                <w:color w:val="000000"/>
                                <w:sz w:val="28"/>
                              </w:rPr>
                              <w:t xml:space="preserve"> </w:t>
                            </w:r>
                            <w:proofErr w:type="spellStart"/>
                            <w:r>
                              <w:rPr>
                                <w:b/>
                                <w:color w:val="000000"/>
                                <w:sz w:val="28"/>
                              </w:rPr>
                              <w:t>ميد</w:t>
                            </w:r>
                            <w:proofErr w:type="spellEnd"/>
                            <w:r>
                              <w:rPr>
                                <w:b/>
                                <w:color w:val="000000"/>
                                <w:sz w:val="28"/>
                              </w:rPr>
                              <w:t xml:space="preserve"> </w:t>
                            </w:r>
                            <w:proofErr w:type="spellStart"/>
                            <w:r>
                              <w:rPr>
                                <w:b/>
                                <w:color w:val="000000"/>
                                <w:sz w:val="28"/>
                              </w:rPr>
                              <w:t>اوشن</w:t>
                            </w:r>
                            <w:proofErr w:type="spellEnd"/>
                            <w:r>
                              <w:rPr>
                                <w:b/>
                                <w:color w:val="000000"/>
                                <w:sz w:val="28"/>
                              </w:rPr>
                              <w:t xml:space="preserve"> </w:t>
                            </w:r>
                          </w:p>
                          <w:p w14:paraId="16BA575A" w14:textId="77777777" w:rsidR="00B00FCA" w:rsidRDefault="00000000">
                            <w:pPr>
                              <w:spacing w:line="258" w:lineRule="auto"/>
                              <w:jc w:val="center"/>
                              <w:textDirection w:val="btLr"/>
                            </w:pPr>
                            <w:proofErr w:type="spellStart"/>
                            <w:r>
                              <w:rPr>
                                <w:b/>
                                <w:color w:val="000000"/>
                                <w:sz w:val="28"/>
                              </w:rPr>
                              <w:t>برنامج</w:t>
                            </w:r>
                            <w:proofErr w:type="spellEnd"/>
                            <w:r>
                              <w:rPr>
                                <w:b/>
                                <w:color w:val="000000"/>
                                <w:sz w:val="28"/>
                              </w:rPr>
                              <w:t xml:space="preserve"> </w:t>
                            </w:r>
                            <w:proofErr w:type="spellStart"/>
                            <w:r>
                              <w:rPr>
                                <w:b/>
                                <w:color w:val="000000"/>
                                <w:sz w:val="28"/>
                              </w:rPr>
                              <w:t>الدكتوراة</w:t>
                            </w:r>
                            <w:proofErr w:type="spellEnd"/>
                            <w:r>
                              <w:rPr>
                                <w:color w:val="000000"/>
                                <w:sz w:val="28"/>
                              </w:rPr>
                              <w:t xml:space="preserve"> </w:t>
                            </w:r>
                          </w:p>
                        </w:txbxContent>
                      </wps:txbx>
                      <wps:bodyPr spcFirstLastPara="1" wrap="square" lIns="91425" tIns="45700" rIns="91425" bIns="45700" anchor="ctr" anchorCtr="0">
                        <a:noAutofit/>
                      </wps:bodyPr>
                    </wps:wsp>
                  </a:graphicData>
                </a:graphic>
              </wp:anchor>
            </w:drawing>
          </mc:Choice>
          <mc:Fallback>
            <w:pict>
              <v:rect w14:anchorId="673F9794" id="مستطيل 1" o:spid="_x0000_s1026" style="position:absolute;margin-left:331.8pt;margin-top:11.55pt;width:115.8pt;height:73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" strokecolor="white" strokeweight="1pt">
                <v:stroke startarrowwidth="narrow" startarrowlength="short" endarrowwidth="narrow" endarrowlength="short" miterlimit="5243f"/>
                <v:textbox inset="2.53958mm,1.2694mm,2.53958mm,1.2694mm">
                  <w:txbxContent>
                    <w:p w14:paraId="6D6D5748" w14:textId="77777777" w:rsidR="00B00FCA" w:rsidRDefault="00000000">
                      <w:pPr>
                        <w:spacing w:line="258" w:lineRule="auto"/>
                        <w:jc w:val="center"/>
                        <w:textDirection w:val="btLr"/>
                      </w:pPr>
                      <w:proofErr w:type="spellStart"/>
                      <w:r>
                        <w:rPr>
                          <w:b/>
                          <w:color w:val="000000"/>
                          <w:sz w:val="28"/>
                        </w:rPr>
                        <w:t>جامعة</w:t>
                      </w:r>
                      <w:proofErr w:type="spellEnd"/>
                      <w:r>
                        <w:rPr>
                          <w:b/>
                          <w:color w:val="000000"/>
                          <w:sz w:val="28"/>
                        </w:rPr>
                        <w:t xml:space="preserve"> </w:t>
                      </w:r>
                      <w:proofErr w:type="spellStart"/>
                      <w:r>
                        <w:rPr>
                          <w:b/>
                          <w:color w:val="000000"/>
                          <w:sz w:val="28"/>
                        </w:rPr>
                        <w:t>ميد</w:t>
                      </w:r>
                      <w:proofErr w:type="spellEnd"/>
                      <w:r>
                        <w:rPr>
                          <w:b/>
                          <w:color w:val="000000"/>
                          <w:sz w:val="28"/>
                        </w:rPr>
                        <w:t xml:space="preserve"> </w:t>
                      </w:r>
                      <w:proofErr w:type="spellStart"/>
                      <w:r>
                        <w:rPr>
                          <w:b/>
                          <w:color w:val="000000"/>
                          <w:sz w:val="28"/>
                        </w:rPr>
                        <w:t>اوشن</w:t>
                      </w:r>
                      <w:proofErr w:type="spellEnd"/>
                      <w:r>
                        <w:rPr>
                          <w:b/>
                          <w:color w:val="000000"/>
                          <w:sz w:val="28"/>
                        </w:rPr>
                        <w:t xml:space="preserve"> </w:t>
                      </w:r>
                    </w:p>
                    <w:p w14:paraId="16BA575A" w14:textId="77777777" w:rsidR="00B00FCA" w:rsidRDefault="00000000">
                      <w:pPr>
                        <w:spacing w:line="258" w:lineRule="auto"/>
                        <w:jc w:val="center"/>
                        <w:textDirection w:val="btLr"/>
                      </w:pPr>
                      <w:proofErr w:type="spellStart"/>
                      <w:r>
                        <w:rPr>
                          <w:b/>
                          <w:color w:val="000000"/>
                          <w:sz w:val="28"/>
                        </w:rPr>
                        <w:t>برنامج</w:t>
                      </w:r>
                      <w:proofErr w:type="spellEnd"/>
                      <w:r>
                        <w:rPr>
                          <w:b/>
                          <w:color w:val="000000"/>
                          <w:sz w:val="28"/>
                        </w:rPr>
                        <w:t xml:space="preserve"> </w:t>
                      </w:r>
                      <w:proofErr w:type="spellStart"/>
                      <w:r>
                        <w:rPr>
                          <w:b/>
                          <w:color w:val="000000"/>
                          <w:sz w:val="28"/>
                        </w:rPr>
                        <w:t>الدكتوراة</w:t>
                      </w:r>
                      <w:proofErr w:type="spellEnd"/>
                      <w:r>
                        <w:rPr>
                          <w:color w:val="000000"/>
                          <w:sz w:val="28"/>
                        </w:rPr>
                        <w:t xml:space="preserve"> </w:t>
                      </w:r>
                    </w:p>
                  </w:txbxContent>
                </v:textbox>
              </v:rect>
            </w:pict>
          </mc:Fallback>
        </mc:AlternateContent>
      </w:r>
    </w:p>
    <w:p w14:paraId="119523DD" w14:textId="77777777" w:rsidR="00B00FCA" w:rsidRDefault="00B00FCA">
      <w:pPr>
        <w:spacing w:after="200" w:line="276" w:lineRule="auto"/>
        <w:jc w:val="right"/>
        <w:rPr>
          <w:rFonts w:ascii="Times New Roman" w:eastAsia="Times New Roman" w:hAnsi="Times New Roman" w:cs="Times New Roman"/>
          <w:sz w:val="24"/>
          <w:szCs w:val="24"/>
        </w:rPr>
      </w:pPr>
    </w:p>
    <w:tbl>
      <w:tblPr>
        <w:tblStyle w:val="a5"/>
        <w:tblW w:w="866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66"/>
      </w:tblGrid>
      <w:tr w:rsidR="00B00FCA" w14:paraId="7A2E3DC8" w14:textId="77777777">
        <w:tc>
          <w:tcPr>
            <w:tcW w:w="8666" w:type="dxa"/>
            <w:tcBorders>
              <w:top w:val="nil"/>
              <w:left w:val="nil"/>
              <w:bottom w:val="nil"/>
              <w:right w:val="nil"/>
            </w:tcBorders>
            <w:tcMar>
              <w:top w:w="0" w:type="dxa"/>
              <w:left w:w="0" w:type="dxa"/>
              <w:bottom w:w="0" w:type="dxa"/>
              <w:right w:w="0" w:type="dxa"/>
            </w:tcMar>
          </w:tcPr>
          <w:p w14:paraId="218D80D2" w14:textId="77777777" w:rsidR="00B00FCA" w:rsidRDefault="00B00FCA">
            <w:pPr>
              <w:spacing w:after="0" w:line="240" w:lineRule="auto"/>
              <w:jc w:val="center"/>
              <w:rPr>
                <w:rFonts w:ascii="Times New Roman" w:eastAsia="Times New Roman" w:hAnsi="Times New Roman" w:cs="Times New Roman"/>
                <w:color w:val="1C1C1C"/>
                <w:sz w:val="24"/>
                <w:szCs w:val="24"/>
              </w:rPr>
            </w:pPr>
          </w:p>
          <w:p w14:paraId="4C93C038" w14:textId="77777777" w:rsidR="00B00FCA" w:rsidRDefault="00B00FCA">
            <w:pPr>
              <w:spacing w:after="0" w:line="240" w:lineRule="auto"/>
              <w:jc w:val="center"/>
              <w:rPr>
                <w:rFonts w:ascii="Times New Roman" w:eastAsia="Times New Roman" w:hAnsi="Times New Roman" w:cs="Times New Roman"/>
                <w:color w:val="1C1C1C"/>
                <w:sz w:val="24"/>
                <w:szCs w:val="24"/>
              </w:rPr>
            </w:pPr>
          </w:p>
          <w:p w14:paraId="5B420C91" w14:textId="77777777" w:rsidR="00B00FCA" w:rsidRDefault="00B00FCA">
            <w:pPr>
              <w:spacing w:after="0" w:line="240" w:lineRule="auto"/>
              <w:jc w:val="right"/>
              <w:rPr>
                <w:rFonts w:ascii="Times New Roman" w:eastAsia="Times New Roman" w:hAnsi="Times New Roman" w:cs="Times New Roman"/>
                <w:color w:val="1C1C1C"/>
                <w:sz w:val="24"/>
                <w:szCs w:val="24"/>
              </w:rPr>
            </w:pPr>
          </w:p>
          <w:p w14:paraId="0FE909EB" w14:textId="77777777" w:rsidR="00B00FCA" w:rsidRDefault="00B00FCA">
            <w:pPr>
              <w:spacing w:before="60" w:after="0" w:line="240" w:lineRule="auto"/>
              <w:jc w:val="right"/>
              <w:rPr>
                <w:rFonts w:ascii="Times New Roman" w:eastAsia="Times New Roman" w:hAnsi="Times New Roman" w:cs="Times New Roman"/>
                <w:color w:val="1C1C1C"/>
                <w:sz w:val="24"/>
                <w:szCs w:val="24"/>
              </w:rPr>
            </w:pPr>
          </w:p>
        </w:tc>
      </w:tr>
    </w:tbl>
    <w:p w14:paraId="5B051173" w14:textId="77777777" w:rsidR="00B00FCA" w:rsidRDefault="00000000">
      <w:pPr>
        <w:keepNext/>
        <w:pBdr>
          <w:top w:val="nil"/>
          <w:left w:val="nil"/>
          <w:bottom w:val="nil"/>
          <w:right w:val="nil"/>
          <w:between w:val="nil"/>
        </w:pBdr>
        <w:bidi/>
        <w:spacing w:before="50" w:after="50" w:line="240" w:lineRule="auto"/>
        <w:ind w:left="432" w:right="432"/>
        <w:jc w:val="center"/>
        <w:rPr>
          <w:rFonts w:ascii="Times New Roman" w:eastAsia="Times New Roman" w:hAnsi="Times New Roman" w:cs="Times New Roman"/>
          <w:color w:val="0070C0"/>
          <w:sz w:val="36"/>
          <w:szCs w:val="36"/>
        </w:rPr>
      </w:pPr>
      <w:r>
        <w:rPr>
          <w:rFonts w:ascii="Times New Roman" w:eastAsia="Times New Roman" w:hAnsi="Times New Roman" w:cs="Times New Roman"/>
          <w:b/>
          <w:bCs/>
          <w:sz w:val="36"/>
          <w:szCs w:val="36"/>
          <w:rtl/>
        </w:rPr>
        <w:t>تأثير أبعاد الابتكار المرتبط بالاتصال التسويقي المتكامل في تنمية سوق الفنون البصرية بالمملكة العربية السعودية</w:t>
      </w:r>
    </w:p>
    <w:p w14:paraId="6C7B42EA" w14:textId="77777777" w:rsidR="00B00FCA" w:rsidRDefault="00B00FCA">
      <w:pPr>
        <w:spacing w:after="80" w:line="240" w:lineRule="auto"/>
        <w:jc w:val="center"/>
        <w:rPr>
          <w:rFonts w:ascii="Times New Roman" w:eastAsia="Times New Roman" w:hAnsi="Times New Roman" w:cs="Times New Roman"/>
          <w:b/>
          <w:bCs/>
          <w:color w:val="1C1C1C"/>
          <w:sz w:val="32"/>
          <w:szCs w:val="32"/>
        </w:rPr>
      </w:pPr>
    </w:p>
    <w:p w14:paraId="4FC2F88D" w14:textId="77777777" w:rsidR="00B00FCA" w:rsidRDefault="00B00FCA">
      <w:pPr>
        <w:spacing w:after="80" w:line="240" w:lineRule="auto"/>
        <w:jc w:val="center"/>
        <w:rPr>
          <w:rFonts w:ascii="Times New Roman" w:eastAsia="Times New Roman" w:hAnsi="Times New Roman" w:cs="Times New Roman"/>
          <w:b/>
          <w:bCs/>
          <w:color w:val="1C1C1C"/>
          <w:sz w:val="32"/>
          <w:szCs w:val="32"/>
        </w:rPr>
      </w:pPr>
    </w:p>
    <w:p w14:paraId="05C6287F" w14:textId="77777777" w:rsidR="00B00FCA" w:rsidRDefault="00B00FCA">
      <w:pPr>
        <w:spacing w:after="80" w:line="240" w:lineRule="auto"/>
        <w:jc w:val="center"/>
        <w:rPr>
          <w:rFonts w:ascii="Times New Roman" w:eastAsia="Times New Roman" w:hAnsi="Times New Roman" w:cs="Times New Roman"/>
          <w:color w:val="1C1C1C"/>
          <w:sz w:val="28"/>
          <w:szCs w:val="28"/>
        </w:rPr>
      </w:pPr>
    </w:p>
    <w:p w14:paraId="1E0C3980" w14:textId="77777777" w:rsidR="00B00FCA" w:rsidRDefault="00B00FCA">
      <w:pPr>
        <w:spacing w:after="80" w:line="240" w:lineRule="auto"/>
        <w:jc w:val="center"/>
        <w:rPr>
          <w:rFonts w:ascii="Times New Roman" w:eastAsia="Times New Roman" w:hAnsi="Times New Roman" w:cs="Times New Roman"/>
          <w:color w:val="1C1C1C"/>
          <w:sz w:val="32"/>
          <w:szCs w:val="32"/>
        </w:rPr>
      </w:pPr>
    </w:p>
    <w:p w14:paraId="5606A12A" w14:textId="77777777" w:rsidR="00B00FCA" w:rsidRDefault="00000000">
      <w:pPr>
        <w:spacing w:after="80" w:line="240" w:lineRule="auto"/>
        <w:jc w:val="center"/>
        <w:rPr>
          <w:rFonts w:ascii="Times New Roman" w:eastAsia="Times New Roman" w:hAnsi="Times New Roman" w:cs="Times New Roman"/>
          <w:color w:val="1C1C1C"/>
          <w:sz w:val="32"/>
          <w:szCs w:val="32"/>
        </w:rPr>
      </w:pPr>
      <w:r>
        <w:rPr>
          <w:rFonts w:ascii="Times New Roman" w:eastAsia="Times New Roman" w:hAnsi="Times New Roman" w:cs="Times New Roman"/>
          <w:color w:val="1C1C1C"/>
          <w:sz w:val="32"/>
          <w:szCs w:val="32"/>
          <w:rtl/>
        </w:rPr>
        <w:t>إعداد</w:t>
      </w:r>
    </w:p>
    <w:p w14:paraId="5761B4E7" w14:textId="77777777" w:rsidR="00B00FCA" w:rsidRDefault="00000000">
      <w:pPr>
        <w:pBdr>
          <w:top w:val="nil"/>
          <w:left w:val="nil"/>
          <w:bottom w:val="nil"/>
          <w:right w:val="nil"/>
          <w:between w:val="nil"/>
        </w:pBdr>
        <w:bidi/>
        <w:spacing w:before="50" w:after="50" w:line="240" w:lineRule="auto"/>
        <w:ind w:left="432" w:right="432"/>
        <w:jc w:val="center"/>
        <w:rPr>
          <w:rFonts w:ascii="Simplified Arabic" w:eastAsia="Simplified Arabic" w:hAnsi="Simplified Arabic" w:cs="Simplified Arabic"/>
          <w:b/>
          <w:bCs/>
          <w:color w:val="000000"/>
          <w:sz w:val="32"/>
          <w:szCs w:val="32"/>
        </w:rPr>
      </w:pPr>
      <w:r>
        <w:rPr>
          <w:rFonts w:ascii="Simplified Arabic" w:eastAsia="Simplified Arabic" w:hAnsi="Simplified Arabic" w:cs="Simplified Arabic"/>
          <w:b/>
          <w:bCs/>
          <w:sz w:val="32"/>
          <w:szCs w:val="32"/>
          <w:rtl/>
        </w:rPr>
        <w:t xml:space="preserve">محمد </w:t>
      </w:r>
      <w:proofErr w:type="gramStart"/>
      <w:r>
        <w:rPr>
          <w:rFonts w:ascii="Simplified Arabic" w:eastAsia="Simplified Arabic" w:hAnsi="Simplified Arabic" w:cs="Simplified Arabic"/>
          <w:b/>
          <w:bCs/>
          <w:sz w:val="32"/>
          <w:szCs w:val="32"/>
          <w:rtl/>
        </w:rPr>
        <w:t>عبدالعزيز</w:t>
      </w:r>
      <w:proofErr w:type="gramEnd"/>
      <w:r>
        <w:rPr>
          <w:rFonts w:ascii="Simplified Arabic" w:eastAsia="Simplified Arabic" w:hAnsi="Simplified Arabic" w:cs="Simplified Arabic"/>
          <w:b/>
          <w:bCs/>
          <w:sz w:val="32"/>
          <w:szCs w:val="32"/>
          <w:rtl/>
        </w:rPr>
        <w:t xml:space="preserve"> </w:t>
      </w:r>
      <w:proofErr w:type="gramStart"/>
      <w:r>
        <w:rPr>
          <w:rFonts w:ascii="Simplified Arabic" w:eastAsia="Simplified Arabic" w:hAnsi="Simplified Arabic" w:cs="Simplified Arabic"/>
          <w:b/>
          <w:bCs/>
          <w:sz w:val="32"/>
          <w:szCs w:val="32"/>
          <w:rtl/>
        </w:rPr>
        <w:t>عبدالرحيم</w:t>
      </w:r>
      <w:proofErr w:type="gramEnd"/>
      <w:r>
        <w:rPr>
          <w:rFonts w:ascii="Simplified Arabic" w:eastAsia="Simplified Arabic" w:hAnsi="Simplified Arabic" w:cs="Simplified Arabic"/>
          <w:b/>
          <w:bCs/>
          <w:sz w:val="32"/>
          <w:szCs w:val="32"/>
          <w:rtl/>
        </w:rPr>
        <w:t xml:space="preserve"> بنتن</w:t>
      </w:r>
    </w:p>
    <w:p w14:paraId="5A65EA4B" w14:textId="77777777" w:rsidR="00B00FCA" w:rsidRDefault="00B00FCA">
      <w:pPr>
        <w:spacing w:after="60" w:line="240" w:lineRule="auto"/>
        <w:rPr>
          <w:rFonts w:ascii="Times New Roman" w:eastAsia="Times New Roman" w:hAnsi="Times New Roman" w:cs="Times New Roman"/>
          <w:color w:val="1C1C1C"/>
          <w:sz w:val="28"/>
          <w:szCs w:val="28"/>
        </w:rPr>
      </w:pPr>
    </w:p>
    <w:p w14:paraId="12DA1A10" w14:textId="77777777" w:rsidR="00B00FCA" w:rsidRDefault="00B00FCA">
      <w:pPr>
        <w:spacing w:after="60" w:line="240" w:lineRule="auto"/>
        <w:rPr>
          <w:rFonts w:ascii="Times New Roman" w:eastAsia="Times New Roman" w:hAnsi="Times New Roman" w:cs="Times New Roman"/>
          <w:color w:val="1C1C1C"/>
          <w:sz w:val="28"/>
          <w:szCs w:val="28"/>
        </w:rPr>
      </w:pPr>
    </w:p>
    <w:p w14:paraId="542690FB" w14:textId="77777777" w:rsidR="00B00FCA" w:rsidRDefault="00B00FCA">
      <w:pPr>
        <w:spacing w:after="60" w:line="276" w:lineRule="auto"/>
        <w:rPr>
          <w:rFonts w:ascii="Times New Roman" w:eastAsia="Times New Roman" w:hAnsi="Times New Roman" w:cs="Times New Roman"/>
          <w:color w:val="1C1C1C"/>
          <w:sz w:val="28"/>
          <w:szCs w:val="28"/>
        </w:rPr>
      </w:pPr>
      <w:bookmarkStart w:id="0" w:name="wittoxvhku7o" w:colFirst="0" w:colLast="0"/>
      <w:bookmarkEnd w:id="0"/>
    </w:p>
    <w:p w14:paraId="6694DDB9" w14:textId="77777777" w:rsidR="00B00FCA" w:rsidRDefault="00000000">
      <w:pPr>
        <w:bidi/>
        <w:spacing w:after="60" w:line="276" w:lineRule="auto"/>
        <w:jc w:val="center"/>
        <w:rPr>
          <w:rFonts w:ascii="Times New Roman" w:eastAsia="Times New Roman" w:hAnsi="Times New Roman" w:cs="Times New Roman"/>
          <w:color w:val="1C1C1C"/>
          <w:sz w:val="28"/>
          <w:szCs w:val="28"/>
        </w:rPr>
      </w:pPr>
      <w:r>
        <w:rPr>
          <w:rFonts w:ascii="Times New Roman" w:eastAsia="Times New Roman" w:hAnsi="Times New Roman" w:cs="Times New Roman"/>
          <w:color w:val="1C1C1C"/>
          <w:sz w:val="28"/>
          <w:szCs w:val="28"/>
          <w:rtl/>
        </w:rPr>
        <w:t xml:space="preserve">رسالة مقدمة </w:t>
      </w:r>
      <w:proofErr w:type="gramStart"/>
      <w:r>
        <w:rPr>
          <w:rFonts w:ascii="Times New Roman" w:eastAsia="Times New Roman" w:hAnsi="Times New Roman" w:cs="Times New Roman"/>
          <w:color w:val="1C1C1C"/>
          <w:sz w:val="28"/>
          <w:szCs w:val="28"/>
          <w:rtl/>
        </w:rPr>
        <w:t>إلى  برنامج</w:t>
      </w:r>
      <w:proofErr w:type="gramEnd"/>
      <w:r>
        <w:rPr>
          <w:rFonts w:ascii="Times New Roman" w:eastAsia="Times New Roman" w:hAnsi="Times New Roman" w:cs="Times New Roman"/>
          <w:color w:val="1C1C1C"/>
          <w:sz w:val="28"/>
          <w:szCs w:val="28"/>
          <w:rtl/>
        </w:rPr>
        <w:t xml:space="preserve"> الدكتوراة</w:t>
      </w:r>
    </w:p>
    <w:p w14:paraId="780AFBAA" w14:textId="1F36071B" w:rsidR="00B00FCA" w:rsidRDefault="00000000">
      <w:pPr>
        <w:bidi/>
        <w:spacing w:after="0" w:line="276" w:lineRule="auto"/>
        <w:jc w:val="center"/>
        <w:rPr>
          <w:rFonts w:ascii="Times New Roman" w:eastAsia="Times New Roman" w:hAnsi="Times New Roman" w:cs="Times New Roman"/>
          <w:b/>
          <w:bCs/>
          <w:color w:val="1C1C1C"/>
          <w:sz w:val="28"/>
          <w:szCs w:val="28"/>
        </w:rPr>
      </w:pPr>
      <w:r>
        <w:rPr>
          <w:rFonts w:ascii="Times New Roman" w:eastAsia="Times New Roman" w:hAnsi="Times New Roman" w:cs="Times New Roman"/>
          <w:b/>
          <w:bCs/>
          <w:color w:val="1C1C1C"/>
          <w:sz w:val="28"/>
          <w:szCs w:val="28"/>
          <w:rtl/>
        </w:rPr>
        <w:t>كجزء من متطلبات نيل درجة دكتوراه الفلسفة في (التسويق)</w:t>
      </w:r>
    </w:p>
    <w:p w14:paraId="58659374" w14:textId="77777777" w:rsidR="00B00FCA" w:rsidRDefault="00B00FCA">
      <w:pPr>
        <w:bidi/>
        <w:spacing w:after="0" w:line="276" w:lineRule="auto"/>
        <w:jc w:val="center"/>
        <w:rPr>
          <w:rFonts w:ascii="Times New Roman" w:eastAsia="Times New Roman" w:hAnsi="Times New Roman" w:cs="Times New Roman"/>
          <w:color w:val="1C1C1C"/>
          <w:sz w:val="28"/>
          <w:szCs w:val="28"/>
        </w:rPr>
      </w:pPr>
    </w:p>
    <w:p w14:paraId="4BD6BC28" w14:textId="77777777" w:rsidR="00B00FCA" w:rsidRDefault="00B00FCA">
      <w:pPr>
        <w:bidi/>
        <w:spacing w:after="0" w:line="276" w:lineRule="auto"/>
        <w:jc w:val="center"/>
        <w:rPr>
          <w:rFonts w:ascii="Times New Roman" w:eastAsia="Times New Roman" w:hAnsi="Times New Roman" w:cs="Times New Roman"/>
          <w:color w:val="1C1C1C"/>
          <w:sz w:val="28"/>
          <w:szCs w:val="28"/>
        </w:rPr>
      </w:pPr>
    </w:p>
    <w:p w14:paraId="07FD1D68" w14:textId="77777777" w:rsidR="00B00FCA" w:rsidRDefault="00B00FCA">
      <w:pPr>
        <w:bidi/>
        <w:spacing w:after="0" w:line="276" w:lineRule="auto"/>
        <w:jc w:val="center"/>
        <w:rPr>
          <w:rFonts w:ascii="Times New Roman" w:eastAsia="Times New Roman" w:hAnsi="Times New Roman" w:cs="Times New Roman"/>
          <w:color w:val="1C1C1C"/>
          <w:sz w:val="28"/>
          <w:szCs w:val="28"/>
        </w:rPr>
      </w:pPr>
    </w:p>
    <w:p w14:paraId="145DCE37" w14:textId="77777777" w:rsidR="00B00FCA" w:rsidRDefault="00000000">
      <w:pPr>
        <w:tabs>
          <w:tab w:val="left" w:pos="3666"/>
        </w:tabs>
        <w:bidi/>
        <w:spacing w:after="0" w:line="360" w:lineRule="auto"/>
        <w:jc w:val="center"/>
        <w:rPr>
          <w:rFonts w:ascii="Traditional Arabic" w:eastAsia="Traditional Arabic" w:hAnsi="Traditional Arabic" w:cs="Traditional Arabic"/>
          <w:b/>
          <w:bCs/>
          <w:sz w:val="28"/>
          <w:szCs w:val="28"/>
        </w:rPr>
      </w:pPr>
      <w:r>
        <w:rPr>
          <w:rFonts w:ascii="Times New Roman" w:eastAsia="Times New Roman" w:hAnsi="Times New Roman" w:cs="Times New Roman"/>
          <w:color w:val="1C1C1C"/>
          <w:sz w:val="28"/>
          <w:szCs w:val="28"/>
          <w:rtl/>
        </w:rPr>
        <w:t>العام الجامعي2026 م</w:t>
      </w:r>
      <w:r>
        <w:rPr>
          <w:rFonts w:ascii="Times New Roman" w:eastAsia="Times New Roman" w:hAnsi="Times New Roman" w:cs="Times New Roman"/>
          <w:b/>
          <w:bCs/>
          <w:color w:val="1C1C1C"/>
          <w:sz w:val="28"/>
          <w:szCs w:val="28"/>
        </w:rPr>
        <w:t> </w:t>
      </w:r>
      <w:r>
        <w:rPr>
          <w:rFonts w:ascii="Times New Roman" w:eastAsia="Times New Roman" w:hAnsi="Times New Roman" w:cs="Times New Roman"/>
          <w:b/>
          <w:bCs/>
          <w:color w:val="1C1C1C"/>
          <w:sz w:val="28"/>
          <w:szCs w:val="28"/>
        </w:rPr>
        <w:br/>
      </w:r>
      <w:r>
        <w:rPr>
          <w:rFonts w:ascii="Traditional Arabic" w:eastAsia="Traditional Arabic" w:hAnsi="Traditional Arabic" w:cs="Traditional Arabic"/>
          <w:b/>
          <w:bCs/>
          <w:sz w:val="28"/>
          <w:szCs w:val="28"/>
          <w:rtl/>
        </w:rPr>
        <w:t>1447ه‍ - 1448ه</w:t>
      </w:r>
    </w:p>
    <w:p w14:paraId="6DBCC6A1" w14:textId="77777777" w:rsidR="00B00FCA" w:rsidRDefault="00B00FCA">
      <w:pPr>
        <w:tabs>
          <w:tab w:val="left" w:pos="3666"/>
        </w:tabs>
        <w:bidi/>
        <w:spacing w:after="0" w:line="360" w:lineRule="auto"/>
        <w:jc w:val="center"/>
        <w:rPr>
          <w:rFonts w:ascii="Traditional Arabic" w:eastAsia="Traditional Arabic" w:hAnsi="Traditional Arabic" w:cs="Traditional Arabic"/>
          <w:b/>
          <w:bCs/>
          <w:sz w:val="28"/>
          <w:szCs w:val="28"/>
        </w:rPr>
      </w:pPr>
    </w:p>
    <w:p w14:paraId="7E1D0698" w14:textId="77777777" w:rsidR="00B00FCA" w:rsidRDefault="00B00FCA">
      <w:pPr>
        <w:tabs>
          <w:tab w:val="left" w:pos="3666"/>
        </w:tabs>
        <w:bidi/>
        <w:spacing w:after="0" w:line="360" w:lineRule="auto"/>
        <w:jc w:val="center"/>
        <w:rPr>
          <w:rFonts w:ascii="Traditional Arabic" w:eastAsia="Traditional Arabic" w:hAnsi="Traditional Arabic" w:cs="Traditional Arabic"/>
          <w:b/>
          <w:bCs/>
          <w:sz w:val="28"/>
          <w:szCs w:val="28"/>
        </w:rPr>
      </w:pPr>
    </w:p>
    <w:p w14:paraId="3A92FC04" w14:textId="77777777" w:rsidR="00B00FCA" w:rsidRDefault="00B00FCA">
      <w:pPr>
        <w:tabs>
          <w:tab w:val="left" w:pos="3666"/>
        </w:tabs>
        <w:bidi/>
        <w:spacing w:after="0" w:line="360" w:lineRule="auto"/>
        <w:jc w:val="center"/>
        <w:rPr>
          <w:rFonts w:ascii="Traditional Arabic" w:eastAsia="Traditional Arabic" w:hAnsi="Traditional Arabic" w:cs="Traditional Arabic"/>
          <w:b/>
          <w:bCs/>
          <w:sz w:val="28"/>
          <w:szCs w:val="28"/>
        </w:rPr>
      </w:pPr>
    </w:p>
    <w:p w14:paraId="33DAF69A" w14:textId="77777777" w:rsidR="00B00FCA" w:rsidRDefault="00000000">
      <w:pPr>
        <w:spacing w:after="0" w:line="240" w:lineRule="auto"/>
        <w:rPr>
          <w:rFonts w:ascii="Times New Roman" w:eastAsia="Times New Roman" w:hAnsi="Times New Roman" w:cs="Times New Roman"/>
          <w:color w:val="1C1C1C"/>
          <w:sz w:val="24"/>
          <w:szCs w:val="24"/>
        </w:rPr>
      </w:pPr>
      <w:r>
        <w:rPr>
          <w:noProof/>
        </w:rPr>
        <mc:AlternateContent>
          <mc:Choice Requires="wps">
            <w:drawing>
              <wp:anchor distT="0" distB="0" distL="114300" distR="114300" simplePos="0" relativeHeight="251660288" behindDoc="0" locked="0" layoutInCell="1" hidden="0" allowOverlap="1" wp14:anchorId="5A3B58D8" wp14:editId="31CC436A">
                <wp:simplePos x="0" y="0"/>
                <wp:positionH relativeFrom="column">
                  <wp:posOffset>4428490</wp:posOffset>
                </wp:positionH>
                <wp:positionV relativeFrom="paragraph">
                  <wp:posOffset>207010</wp:posOffset>
                </wp:positionV>
                <wp:extent cx="1894840" cy="942340"/>
                <wp:effectExtent l="0" t="0" r="0" b="0"/>
                <wp:wrapSquare wrapText="bothSides" distT="0" distB="0" distL="114300" distR="114300"/>
                <wp:docPr id="2" name="مستطيل 2"/>
                <wp:cNvGraphicFramePr/>
                <a:graphic xmlns:a="http://schemas.openxmlformats.org/drawingml/2006/main">
                  <a:graphicData uri="http://schemas.microsoft.com/office/word/2010/wordprocessingShape">
                    <wps:wsp>
                      <wps:cNvSpPr/>
                      <wps:spPr>
                        <a:xfrm>
                          <a:off x="4404930" y="3315180"/>
                          <a:ext cx="1882140" cy="929640"/>
                        </a:xfrm>
                        <a:prstGeom prst="rect">
                          <a:avLst/>
                        </a:prstGeom>
                        <a:solidFill>
                          <a:srgbClr val="FFFFFF"/>
                        </a:solidFill>
                        <a:ln w="12700" cap="flat" cmpd="sng">
                          <a:solidFill>
                            <a:srgbClr val="FFFFFF"/>
                          </a:solidFill>
                          <a:prstDash val="solid"/>
                          <a:miter lim="8000"/>
                          <a:headEnd type="none" w="sm" len="sm"/>
                          <a:tailEnd type="none" w="sm" len="sm"/>
                        </a:ln>
                      </wps:spPr>
                      <wps:txbx>
                        <w:txbxContent>
                          <w:p w14:paraId="2937B48E" w14:textId="77777777" w:rsidR="00B00FCA" w:rsidRDefault="00000000">
                            <w:pPr>
                              <w:spacing w:line="258" w:lineRule="auto"/>
                              <w:textDirection w:val="btLr"/>
                            </w:pPr>
                            <w:r>
                              <w:rPr>
                                <w:b/>
                                <w:color w:val="000000"/>
                                <w:sz w:val="28"/>
                              </w:rPr>
                              <w:t>Midocean University</w:t>
                            </w:r>
                          </w:p>
                          <w:p w14:paraId="5916807A" w14:textId="77777777" w:rsidR="00B00FCA" w:rsidRDefault="00000000">
                            <w:pPr>
                              <w:spacing w:line="258" w:lineRule="auto"/>
                              <w:textDirection w:val="btLr"/>
                            </w:pPr>
                            <w:r>
                              <w:rPr>
                                <w:b/>
                                <w:color w:val="000000"/>
                                <w:sz w:val="28"/>
                              </w:rPr>
                              <w:t xml:space="preserve">    Ph.D. program</w:t>
                            </w:r>
                          </w:p>
                        </w:txbxContent>
                      </wps:txbx>
                      <wps:bodyPr spcFirstLastPara="1" wrap="square" lIns="91425" tIns="45700" rIns="91425" bIns="45700" anchor="ctr" anchorCtr="0">
                        <a:noAutofit/>
                      </wps:bodyPr>
                    </wps:wsp>
                  </a:graphicData>
                </a:graphic>
              </wp:anchor>
            </w:drawing>
          </mc:Choice>
          <mc:Fallback>
            <w:pict>
              <v:rect w14:anchorId="5A3B58D8" id="مستطيل 2" o:spid="_x0000_s1027" style="position:absolute;margin-left:348.7pt;margin-top:16.3pt;width:149.2pt;height:74.2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" strokecolor="white" strokeweight="1pt">
                <v:stroke startarrowwidth="narrow" startarrowlength="short" endarrowwidth="narrow" endarrowlength="short" miterlimit="5243f"/>
                <v:textbox inset="2.53958mm,1.2694mm,2.53958mm,1.2694mm">
                  <w:txbxContent>
                    <w:p w14:paraId="2937B48E" w14:textId="77777777" w:rsidR="00B00FCA" w:rsidRDefault="00000000">
                      <w:pPr>
                        <w:spacing w:line="258" w:lineRule="auto"/>
                        <w:textDirection w:val="btLr"/>
                      </w:pPr>
                      <w:r>
                        <w:rPr>
                          <w:b/>
                          <w:color w:val="000000"/>
                          <w:sz w:val="28"/>
                        </w:rPr>
                        <w:t>Midocean University</w:t>
                      </w:r>
                    </w:p>
                    <w:p w14:paraId="5916807A" w14:textId="77777777" w:rsidR="00B00FCA" w:rsidRDefault="00000000">
                      <w:pPr>
                        <w:spacing w:line="258" w:lineRule="auto"/>
                        <w:textDirection w:val="btLr"/>
                      </w:pPr>
                      <w:r>
                        <w:rPr>
                          <w:b/>
                          <w:color w:val="000000"/>
                          <w:sz w:val="28"/>
                        </w:rPr>
                        <w:t xml:space="preserve">    Ph.D. program</w:t>
                      </w:r>
                    </w:p>
                  </w:txbxContent>
                </v:textbox>
                <w10:wrap type="square"/>
              </v:rect>
            </w:pict>
          </mc:Fallback>
        </mc:AlternateContent>
      </w:r>
      <w:r>
        <w:rPr>
          <w:noProof/>
        </w:rPr>
        <w:drawing>
          <wp:anchor distT="0" distB="0" distL="114300" distR="114300" simplePos="0" relativeHeight="251661312" behindDoc="0" locked="0" layoutInCell="1" hidden="0" allowOverlap="1" wp14:anchorId="04431766" wp14:editId="1CE54806">
            <wp:simplePos x="0" y="0"/>
            <wp:positionH relativeFrom="column">
              <wp:posOffset>-167639</wp:posOffset>
            </wp:positionH>
            <wp:positionV relativeFrom="paragraph">
              <wp:posOffset>83820</wp:posOffset>
            </wp:positionV>
            <wp:extent cx="2346248" cy="1108953"/>
            <wp:effectExtent l="0" t="0" r="0" b="0"/>
            <wp:wrapSquare wrapText="bothSides" distT="0" distB="0" distL="114300" distR="114300"/>
            <wp:docPr id="3" name="image1.jpg" descr="A close-up of a logo&#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jpg" descr="A close-up of a logo&#10;&#10;AI-generated content may be incorrect."/>
                    <pic:cNvPicPr preferRelativeResize="0"/>
                  </pic:nvPicPr>
                  <pic:blipFill>
                    <a:blip r:embed="rId5"/>
                    <a:srcRect/>
                    <a:stretch>
                      <a:fillRect/>
                    </a:stretch>
                  </pic:blipFill>
                  <pic:spPr>
                    <a:xfrm>
                      <a:off x="0" y="0"/>
                      <a:ext cx="2346248" cy="1108953"/>
                    </a:xfrm>
                    <a:prstGeom prst="rect">
                      <a:avLst/>
                    </a:prstGeom>
                    <a:ln/>
                  </pic:spPr>
                </pic:pic>
              </a:graphicData>
            </a:graphic>
          </wp:anchor>
        </w:drawing>
      </w:r>
    </w:p>
    <w:tbl>
      <w:tblPr>
        <w:tblStyle w:val="a6"/>
        <w:tblW w:w="866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66"/>
      </w:tblGrid>
      <w:tr w:rsidR="00B00FCA" w14:paraId="28D730FF" w14:textId="77777777">
        <w:tc>
          <w:tcPr>
            <w:tcW w:w="8666" w:type="dxa"/>
            <w:tcBorders>
              <w:top w:val="nil"/>
              <w:left w:val="nil"/>
              <w:bottom w:val="nil"/>
              <w:right w:val="nil"/>
            </w:tcBorders>
            <w:tcMar>
              <w:top w:w="0" w:type="dxa"/>
              <w:left w:w="0" w:type="dxa"/>
              <w:bottom w:w="0" w:type="dxa"/>
              <w:right w:w="0" w:type="dxa"/>
            </w:tcMar>
          </w:tcPr>
          <w:p w14:paraId="723340EB" w14:textId="77777777" w:rsidR="00B00FCA" w:rsidRDefault="00B00FCA">
            <w:pPr>
              <w:spacing w:after="0" w:line="240" w:lineRule="auto"/>
              <w:jc w:val="center"/>
              <w:rPr>
                <w:rFonts w:ascii="Times New Roman" w:eastAsia="Times New Roman" w:hAnsi="Times New Roman" w:cs="Times New Roman"/>
                <w:color w:val="1C1C1C"/>
                <w:sz w:val="24"/>
                <w:szCs w:val="24"/>
              </w:rPr>
            </w:pPr>
          </w:p>
          <w:p w14:paraId="334E6272" w14:textId="77777777" w:rsidR="00B00FCA" w:rsidRDefault="00B00FCA">
            <w:pPr>
              <w:spacing w:after="0" w:line="240" w:lineRule="auto"/>
              <w:jc w:val="center"/>
              <w:rPr>
                <w:rFonts w:ascii="Times New Roman" w:eastAsia="Times New Roman" w:hAnsi="Times New Roman" w:cs="Times New Roman"/>
                <w:color w:val="1C1C1C"/>
                <w:sz w:val="24"/>
                <w:szCs w:val="24"/>
              </w:rPr>
            </w:pPr>
          </w:p>
          <w:p w14:paraId="6123789E" w14:textId="77777777" w:rsidR="00B00FCA" w:rsidRDefault="00B00FCA">
            <w:pPr>
              <w:spacing w:before="60" w:after="0" w:line="240" w:lineRule="auto"/>
              <w:jc w:val="right"/>
              <w:rPr>
                <w:rFonts w:ascii="Times New Roman" w:eastAsia="Times New Roman" w:hAnsi="Times New Roman" w:cs="Times New Roman"/>
                <w:color w:val="1C1C1C"/>
                <w:sz w:val="24"/>
                <w:szCs w:val="24"/>
              </w:rPr>
            </w:pPr>
          </w:p>
        </w:tc>
      </w:tr>
    </w:tbl>
    <w:p w14:paraId="627F7A2E" w14:textId="77777777" w:rsidR="00B00FCA" w:rsidRDefault="00000000">
      <w:pPr>
        <w:spacing w:after="80" w:line="240" w:lineRule="auto"/>
        <w:jc w:val="center"/>
        <w:rPr>
          <w:rFonts w:ascii="Times New Roman" w:eastAsia="Times New Roman" w:hAnsi="Times New Roman" w:cs="Times New Roman"/>
          <w:b/>
          <w:bCs/>
          <w:color w:val="1C1C1C"/>
          <w:sz w:val="32"/>
          <w:szCs w:val="32"/>
        </w:rPr>
      </w:pPr>
      <w:r>
        <w:rPr>
          <w:rFonts w:ascii="Times New Roman" w:eastAsia="Times New Roman" w:hAnsi="Times New Roman" w:cs="Times New Roman"/>
          <w:b/>
          <w:bCs/>
          <w:color w:val="1C1C1C"/>
          <w:sz w:val="32"/>
          <w:szCs w:val="32"/>
        </w:rPr>
        <w:t>The impact of innovation dimensions related to integrated marketing communication on the development of the visual arts market in the Kingdom of Saudi Arabia</w:t>
      </w:r>
    </w:p>
    <w:p w14:paraId="4F7F24DB" w14:textId="77777777" w:rsidR="00B00FCA" w:rsidRDefault="00B00FCA">
      <w:pPr>
        <w:spacing w:after="80" w:line="240" w:lineRule="auto"/>
        <w:jc w:val="center"/>
        <w:rPr>
          <w:rFonts w:ascii="Times New Roman" w:eastAsia="Times New Roman" w:hAnsi="Times New Roman" w:cs="Times New Roman"/>
          <w:color w:val="1C1C1C"/>
          <w:sz w:val="28"/>
          <w:szCs w:val="28"/>
        </w:rPr>
      </w:pPr>
    </w:p>
    <w:p w14:paraId="5BB5BFD9" w14:textId="77777777" w:rsidR="00B00FCA" w:rsidRDefault="00B00FCA">
      <w:pPr>
        <w:spacing w:after="80" w:line="240" w:lineRule="auto"/>
        <w:jc w:val="center"/>
        <w:rPr>
          <w:rFonts w:ascii="Times New Roman" w:eastAsia="Times New Roman" w:hAnsi="Times New Roman" w:cs="Times New Roman"/>
          <w:color w:val="1C1C1C"/>
          <w:sz w:val="28"/>
          <w:szCs w:val="28"/>
        </w:rPr>
      </w:pPr>
    </w:p>
    <w:p w14:paraId="668DBCF3" w14:textId="77777777" w:rsidR="00B00FCA" w:rsidRDefault="00000000">
      <w:pPr>
        <w:spacing w:after="80" w:line="240" w:lineRule="auto"/>
        <w:jc w:val="center"/>
        <w:rPr>
          <w:rFonts w:ascii="Times New Roman" w:eastAsia="Times New Roman" w:hAnsi="Times New Roman" w:cs="Times New Roman"/>
          <w:color w:val="1C1C1C"/>
          <w:sz w:val="28"/>
          <w:szCs w:val="28"/>
        </w:rPr>
      </w:pPr>
      <w:r>
        <w:rPr>
          <w:rFonts w:ascii="Times New Roman" w:eastAsia="Times New Roman" w:hAnsi="Times New Roman" w:cs="Times New Roman"/>
          <w:color w:val="1C1C1C"/>
          <w:sz w:val="28"/>
          <w:szCs w:val="28"/>
        </w:rPr>
        <w:t>Prepared by</w:t>
      </w:r>
    </w:p>
    <w:p w14:paraId="66969D4D" w14:textId="77777777" w:rsidR="00B00FCA" w:rsidRDefault="00000000">
      <w:pPr>
        <w:spacing w:after="0" w:line="240" w:lineRule="auto"/>
        <w:jc w:val="center"/>
        <w:rPr>
          <w:rFonts w:ascii="Times New Roman" w:eastAsia="Times New Roman" w:hAnsi="Times New Roman" w:cs="Times New Roman"/>
          <w:b/>
          <w:bCs/>
          <w:color w:val="1C1C1C"/>
          <w:sz w:val="28"/>
          <w:szCs w:val="28"/>
        </w:rPr>
      </w:pPr>
      <w:r>
        <w:rPr>
          <w:rFonts w:ascii="Times New Roman" w:eastAsia="Times New Roman" w:hAnsi="Times New Roman" w:cs="Times New Roman"/>
          <w:b/>
          <w:bCs/>
          <w:color w:val="1C1C1C"/>
          <w:sz w:val="28"/>
          <w:szCs w:val="28"/>
        </w:rPr>
        <w:t>Mohammed Abdulaziz Abdulrahim Bantan</w:t>
      </w:r>
    </w:p>
    <w:p w14:paraId="3B1D89CF" w14:textId="77777777" w:rsidR="00B00FCA" w:rsidRDefault="00000000">
      <w:pPr>
        <w:spacing w:after="300" w:line="240" w:lineRule="auto"/>
        <w:jc w:val="center"/>
        <w:rPr>
          <w:rFonts w:ascii="Times New Roman" w:eastAsia="Times New Roman" w:hAnsi="Times New Roman" w:cs="Times New Roman"/>
          <w:color w:val="1C1C1C"/>
          <w:sz w:val="28"/>
          <w:szCs w:val="28"/>
        </w:rPr>
      </w:pPr>
      <w:r>
        <w:rPr>
          <w:rFonts w:ascii="Times New Roman" w:eastAsia="Times New Roman" w:hAnsi="Times New Roman" w:cs="Times New Roman"/>
          <w:color w:val="1C1C1C"/>
          <w:sz w:val="28"/>
          <w:szCs w:val="28"/>
        </w:rPr>
        <w:t xml:space="preserve"> </w:t>
      </w:r>
    </w:p>
    <w:p w14:paraId="773CA72F" w14:textId="77777777" w:rsidR="00B00FCA" w:rsidRDefault="00B00FCA">
      <w:pPr>
        <w:spacing w:after="60" w:line="240" w:lineRule="auto"/>
        <w:rPr>
          <w:rFonts w:ascii="Times New Roman" w:eastAsia="Times New Roman" w:hAnsi="Times New Roman" w:cs="Times New Roman"/>
          <w:color w:val="1C1C1C"/>
          <w:sz w:val="24"/>
          <w:szCs w:val="24"/>
        </w:rPr>
      </w:pPr>
    </w:p>
    <w:p w14:paraId="6CE69FDF" w14:textId="77777777" w:rsidR="00B00FCA" w:rsidRDefault="00B00FCA">
      <w:pPr>
        <w:spacing w:after="60" w:line="240" w:lineRule="auto"/>
        <w:rPr>
          <w:rFonts w:ascii="Times New Roman" w:eastAsia="Times New Roman" w:hAnsi="Times New Roman" w:cs="Times New Roman"/>
          <w:color w:val="1C1C1C"/>
          <w:sz w:val="24"/>
          <w:szCs w:val="24"/>
        </w:rPr>
      </w:pPr>
    </w:p>
    <w:p w14:paraId="66901A22" w14:textId="77777777" w:rsidR="00B00FCA" w:rsidRDefault="00B00FCA">
      <w:pPr>
        <w:spacing w:after="60" w:line="276" w:lineRule="auto"/>
        <w:jc w:val="center"/>
        <w:rPr>
          <w:rFonts w:ascii="Times New Roman" w:eastAsia="Times New Roman" w:hAnsi="Times New Roman" w:cs="Times New Roman"/>
          <w:color w:val="1C1C1C"/>
          <w:sz w:val="24"/>
          <w:szCs w:val="24"/>
        </w:rPr>
      </w:pPr>
    </w:p>
    <w:p w14:paraId="41476863" w14:textId="77777777" w:rsidR="00B00FCA" w:rsidRDefault="00000000">
      <w:pPr>
        <w:spacing w:after="60" w:line="276" w:lineRule="auto"/>
        <w:jc w:val="center"/>
        <w:rPr>
          <w:rFonts w:ascii="Times New Roman" w:eastAsia="Times New Roman" w:hAnsi="Times New Roman" w:cs="Times New Roman"/>
          <w:color w:val="1C1C1C"/>
          <w:sz w:val="28"/>
          <w:szCs w:val="28"/>
        </w:rPr>
      </w:pPr>
      <w:r>
        <w:rPr>
          <w:rFonts w:ascii="Times New Roman" w:eastAsia="Times New Roman" w:hAnsi="Times New Roman" w:cs="Times New Roman"/>
          <w:color w:val="1C1C1C"/>
          <w:sz w:val="24"/>
          <w:szCs w:val="24"/>
        </w:rPr>
        <w:t>A Dissertation submitted to Doctorate Program</w:t>
      </w:r>
    </w:p>
    <w:p w14:paraId="6B7C763A" w14:textId="77777777" w:rsidR="00B00FCA" w:rsidRDefault="00000000">
      <w:pPr>
        <w:spacing w:after="60" w:line="276" w:lineRule="auto"/>
        <w:jc w:val="center"/>
        <w:rPr>
          <w:rFonts w:ascii="Times New Roman" w:eastAsia="Times New Roman" w:hAnsi="Times New Roman" w:cs="Times New Roman"/>
          <w:color w:val="1C1C1C"/>
          <w:sz w:val="28"/>
          <w:szCs w:val="28"/>
        </w:rPr>
      </w:pPr>
      <w:r>
        <w:rPr>
          <w:rFonts w:ascii="Times New Roman" w:eastAsia="Times New Roman" w:hAnsi="Times New Roman" w:cs="Times New Roman"/>
          <w:color w:val="1C1C1C"/>
          <w:sz w:val="24"/>
          <w:szCs w:val="24"/>
        </w:rPr>
        <w:t>In partial fulfillment of the requirements for the Degree of</w:t>
      </w:r>
    </w:p>
    <w:p w14:paraId="20D08E3A" w14:textId="44A7653A" w:rsidR="00B00FCA" w:rsidRDefault="00000000">
      <w:pPr>
        <w:spacing w:line="276" w:lineRule="auto"/>
        <w:jc w:val="center"/>
        <w:rPr>
          <w:rFonts w:ascii="Times New Roman" w:eastAsia="Times New Roman" w:hAnsi="Times New Roman" w:cs="Times New Roman"/>
          <w:b/>
          <w:bCs/>
          <w:color w:val="1C1C1C"/>
          <w:sz w:val="24"/>
          <w:szCs w:val="24"/>
        </w:rPr>
      </w:pPr>
      <w:bookmarkStart w:id="1" w:name="_y42rk3t0z6x8" w:colFirst="0" w:colLast="0"/>
      <w:bookmarkEnd w:id="1"/>
      <w:r>
        <w:rPr>
          <w:rFonts w:ascii="Times New Roman" w:eastAsia="Times New Roman" w:hAnsi="Times New Roman" w:cs="Times New Roman"/>
          <w:b/>
          <w:bCs/>
          <w:color w:val="1C1C1C"/>
          <w:sz w:val="24"/>
          <w:szCs w:val="24"/>
        </w:rPr>
        <w:t>Doctor of Philosophy (PhD) In (Marketing)</w:t>
      </w:r>
    </w:p>
    <w:p w14:paraId="7BED03FC" w14:textId="77777777" w:rsidR="00B00FCA" w:rsidRDefault="00B00FCA">
      <w:pPr>
        <w:spacing w:after="0" w:line="276" w:lineRule="auto"/>
        <w:jc w:val="center"/>
        <w:rPr>
          <w:rFonts w:ascii="Times New Roman" w:eastAsia="Times New Roman" w:hAnsi="Times New Roman" w:cs="Times New Roman"/>
          <w:b/>
          <w:bCs/>
          <w:color w:val="1C1C1C"/>
          <w:sz w:val="24"/>
          <w:szCs w:val="24"/>
        </w:rPr>
      </w:pPr>
    </w:p>
    <w:p w14:paraId="4EBECE3C" w14:textId="77777777" w:rsidR="00B00FCA" w:rsidRDefault="00B00FCA">
      <w:pPr>
        <w:spacing w:after="0" w:line="276" w:lineRule="auto"/>
        <w:jc w:val="center"/>
        <w:rPr>
          <w:rFonts w:ascii="Times New Roman" w:eastAsia="Times New Roman" w:hAnsi="Times New Roman" w:cs="Times New Roman"/>
          <w:color w:val="1C1C1C"/>
          <w:sz w:val="24"/>
          <w:szCs w:val="24"/>
        </w:rPr>
      </w:pPr>
    </w:p>
    <w:p w14:paraId="08FABF06" w14:textId="77777777" w:rsidR="00B00FCA" w:rsidRDefault="00B00FCA">
      <w:pPr>
        <w:spacing w:after="0" w:line="276" w:lineRule="auto"/>
        <w:jc w:val="center"/>
        <w:rPr>
          <w:rFonts w:ascii="Times New Roman" w:eastAsia="Times New Roman" w:hAnsi="Times New Roman" w:cs="Times New Roman"/>
          <w:color w:val="1C1C1C"/>
          <w:sz w:val="24"/>
          <w:szCs w:val="24"/>
        </w:rPr>
      </w:pPr>
    </w:p>
    <w:p w14:paraId="167EF9E3" w14:textId="77777777" w:rsidR="00B00FCA" w:rsidRDefault="00B00FCA">
      <w:pPr>
        <w:spacing w:after="0" w:line="276" w:lineRule="auto"/>
        <w:jc w:val="center"/>
        <w:rPr>
          <w:rFonts w:ascii="Times New Roman" w:eastAsia="Times New Roman" w:hAnsi="Times New Roman" w:cs="Times New Roman"/>
          <w:color w:val="1C1C1C"/>
          <w:sz w:val="24"/>
          <w:szCs w:val="24"/>
        </w:rPr>
      </w:pPr>
    </w:p>
    <w:p w14:paraId="20452F7E" w14:textId="77777777" w:rsidR="00B00FCA" w:rsidRDefault="00000000">
      <w:pPr>
        <w:pBdr>
          <w:top w:val="nil"/>
          <w:left w:val="nil"/>
          <w:bottom w:val="nil"/>
          <w:right w:val="nil"/>
          <w:between w:val="nil"/>
        </w:pBdr>
        <w:bidi/>
        <w:spacing w:before="50" w:after="50" w:line="240" w:lineRule="auto"/>
        <w:ind w:left="-398" w:right="432"/>
        <w:jc w:val="center"/>
        <w:rPr>
          <w:rFonts w:ascii="Simplified Arabic" w:eastAsia="Simplified Arabic" w:hAnsi="Simplified Arabic" w:cs="Simplified Arabic"/>
          <w:b/>
          <w:bCs/>
          <w:color w:val="000000"/>
          <w:sz w:val="28"/>
          <w:szCs w:val="28"/>
        </w:rPr>
      </w:pPr>
      <w:r>
        <w:rPr>
          <w:rFonts w:ascii="Times New Roman" w:eastAsia="Times New Roman" w:hAnsi="Times New Roman" w:cs="Times New Roman"/>
          <w:color w:val="1C1C1C"/>
          <w:sz w:val="24"/>
          <w:szCs w:val="24"/>
        </w:rPr>
        <w:t>Academic Year: 2026 AD</w:t>
      </w:r>
      <w:r>
        <w:rPr>
          <w:rFonts w:ascii="Times New Roman" w:eastAsia="Times New Roman" w:hAnsi="Times New Roman" w:cs="Times New Roman"/>
          <w:b/>
          <w:bCs/>
          <w:color w:val="1C1C1C"/>
          <w:sz w:val="24"/>
          <w:szCs w:val="24"/>
        </w:rPr>
        <w:t> </w:t>
      </w:r>
      <w:r>
        <w:rPr>
          <w:rFonts w:ascii="Times New Roman" w:eastAsia="Times New Roman" w:hAnsi="Times New Roman" w:cs="Times New Roman"/>
          <w:b/>
          <w:bCs/>
          <w:color w:val="1C1C1C"/>
          <w:sz w:val="24"/>
          <w:szCs w:val="24"/>
        </w:rPr>
        <w:br/>
      </w:r>
      <w:r>
        <w:rPr>
          <w:rFonts w:ascii="Times New Roman" w:eastAsia="Times New Roman" w:hAnsi="Times New Roman" w:cs="Times New Roman"/>
          <w:color w:val="1C1C1C"/>
          <w:sz w:val="24"/>
          <w:szCs w:val="24"/>
        </w:rPr>
        <w:t>1447–1448 AH</w:t>
      </w:r>
    </w:p>
    <w:p w14:paraId="193BA6D4" w14:textId="77777777" w:rsidR="00B00FCA" w:rsidRDefault="00B00FCA">
      <w:pPr>
        <w:tabs>
          <w:tab w:val="left" w:pos="3666"/>
        </w:tabs>
        <w:bidi/>
        <w:spacing w:after="0" w:line="360" w:lineRule="auto"/>
        <w:jc w:val="center"/>
        <w:rPr>
          <w:rFonts w:ascii="Traditional Arabic" w:eastAsia="Traditional Arabic" w:hAnsi="Traditional Arabic" w:cs="Traditional Arabic"/>
          <w:b/>
          <w:bCs/>
          <w:sz w:val="28"/>
          <w:szCs w:val="28"/>
        </w:rPr>
      </w:pPr>
    </w:p>
    <w:p w14:paraId="207BD362" w14:textId="77777777" w:rsidR="00B00FCA" w:rsidRDefault="00B00FCA">
      <w:pPr>
        <w:tabs>
          <w:tab w:val="left" w:pos="3666"/>
        </w:tabs>
        <w:bidi/>
        <w:spacing w:after="0" w:line="360" w:lineRule="auto"/>
        <w:jc w:val="center"/>
        <w:rPr>
          <w:rFonts w:ascii="Traditional Arabic" w:eastAsia="Traditional Arabic" w:hAnsi="Traditional Arabic" w:cs="Traditional Arabic"/>
          <w:b/>
          <w:bCs/>
          <w:sz w:val="28"/>
          <w:szCs w:val="28"/>
        </w:rPr>
      </w:pPr>
    </w:p>
    <w:p w14:paraId="49690B33" w14:textId="77777777" w:rsidR="00B00FCA" w:rsidRDefault="00B00FCA">
      <w:pPr>
        <w:tabs>
          <w:tab w:val="left" w:pos="3666"/>
        </w:tabs>
        <w:bidi/>
        <w:spacing w:after="0" w:line="360" w:lineRule="auto"/>
        <w:jc w:val="center"/>
        <w:rPr>
          <w:rFonts w:ascii="Traditional Arabic" w:eastAsia="Traditional Arabic" w:hAnsi="Traditional Arabic" w:cs="Traditional Arabic"/>
          <w:b/>
          <w:bCs/>
          <w:sz w:val="28"/>
          <w:szCs w:val="28"/>
        </w:rPr>
      </w:pPr>
    </w:p>
    <w:p w14:paraId="5DDF90FF" w14:textId="77777777" w:rsidR="00B00FCA" w:rsidRDefault="00B00FCA">
      <w:pPr>
        <w:tabs>
          <w:tab w:val="left" w:pos="3666"/>
        </w:tabs>
        <w:bidi/>
        <w:spacing w:after="0" w:line="360" w:lineRule="auto"/>
        <w:jc w:val="center"/>
        <w:rPr>
          <w:rFonts w:ascii="Traditional Arabic" w:eastAsia="Traditional Arabic" w:hAnsi="Traditional Arabic" w:cs="Traditional Arabic"/>
          <w:b/>
          <w:bCs/>
          <w:sz w:val="28"/>
          <w:szCs w:val="28"/>
        </w:rPr>
      </w:pPr>
    </w:p>
    <w:p w14:paraId="64CA6EEF" w14:textId="77777777" w:rsidR="00B00FCA" w:rsidRDefault="00B00FCA">
      <w:pPr>
        <w:bidi/>
        <w:spacing w:line="360" w:lineRule="auto"/>
        <w:rPr>
          <w:sz w:val="28"/>
          <w:szCs w:val="28"/>
        </w:rPr>
      </w:pPr>
    </w:p>
    <w:p w14:paraId="450EC108" w14:textId="77777777" w:rsidR="00B00FCA" w:rsidRDefault="00B00FCA">
      <w:pPr>
        <w:bidi/>
        <w:spacing w:line="360" w:lineRule="auto"/>
        <w:rPr>
          <w:sz w:val="28"/>
          <w:szCs w:val="28"/>
        </w:rPr>
      </w:pPr>
    </w:p>
    <w:p w14:paraId="6210338F" w14:textId="77777777" w:rsidR="00B00FCA" w:rsidRDefault="00B00FCA">
      <w:pPr>
        <w:bidi/>
        <w:spacing w:line="360" w:lineRule="auto"/>
        <w:rPr>
          <w:sz w:val="28"/>
          <w:szCs w:val="28"/>
        </w:rPr>
      </w:pPr>
    </w:p>
    <w:p w14:paraId="2296E51E" w14:textId="77777777" w:rsidR="00B00FCA" w:rsidRDefault="00B00FCA">
      <w:pPr>
        <w:bidi/>
        <w:spacing w:line="360" w:lineRule="auto"/>
        <w:rPr>
          <w:sz w:val="28"/>
          <w:szCs w:val="28"/>
        </w:rPr>
      </w:pPr>
    </w:p>
    <w:p w14:paraId="11E08685" w14:textId="77777777" w:rsidR="00B00FCA" w:rsidRDefault="00B00FCA">
      <w:pPr>
        <w:bidi/>
        <w:spacing w:line="360" w:lineRule="auto"/>
        <w:rPr>
          <w:sz w:val="28"/>
          <w:szCs w:val="28"/>
        </w:rPr>
      </w:pPr>
    </w:p>
    <w:p w14:paraId="6D954EE4" w14:textId="77777777" w:rsidR="00B00FCA" w:rsidRDefault="00000000">
      <w:pPr>
        <w:pStyle w:val="1"/>
        <w:keepNext w:val="0"/>
        <w:keepLines w:val="0"/>
        <w:bidi/>
        <w:spacing w:line="276" w:lineRule="auto"/>
        <w:jc w:val="center"/>
        <w:rPr>
          <w:rFonts w:ascii="Arial" w:eastAsia="Arial" w:hAnsi="Arial" w:cs="Arial"/>
          <w:sz w:val="46"/>
          <w:szCs w:val="46"/>
        </w:rPr>
      </w:pPr>
      <w:bookmarkStart w:id="2" w:name="_ebxzsu1c3uaa" w:colFirst="0" w:colLast="0"/>
      <w:bookmarkEnd w:id="2"/>
      <w:r>
        <w:rPr>
          <w:rFonts w:ascii="Arial" w:eastAsia="Arial" w:hAnsi="Arial" w:cs="Arial"/>
          <w:sz w:val="46"/>
          <w:szCs w:val="46"/>
          <w:rtl/>
        </w:rPr>
        <w:t>الفصل الأول: الإطار المنهجي للدراسة</w:t>
      </w:r>
    </w:p>
    <w:p w14:paraId="140071F9" w14:textId="77777777" w:rsidR="00B00FCA" w:rsidRDefault="00000000">
      <w:pPr>
        <w:pStyle w:val="3"/>
        <w:keepNext w:val="0"/>
        <w:keepLines w:val="0"/>
        <w:bidi/>
        <w:spacing w:line="276" w:lineRule="auto"/>
        <w:rPr>
          <w:rFonts w:ascii="Arial" w:eastAsia="Arial" w:hAnsi="Arial" w:cs="Arial"/>
          <w:sz w:val="26"/>
          <w:szCs w:val="26"/>
        </w:rPr>
      </w:pPr>
      <w:bookmarkStart w:id="3" w:name="_314prbmirc3" w:colFirst="0" w:colLast="0"/>
      <w:bookmarkEnd w:id="3"/>
      <w:r>
        <w:rPr>
          <w:rFonts w:ascii="Arial" w:eastAsia="Arial" w:hAnsi="Arial" w:cs="Arial"/>
          <w:sz w:val="26"/>
          <w:szCs w:val="26"/>
          <w:rtl/>
        </w:rPr>
        <w:t>أولاً: مقدمة الدراسة والإطار العام</w:t>
      </w:r>
    </w:p>
    <w:p w14:paraId="70211B92" w14:textId="77777777" w:rsidR="00B00FCA" w:rsidRDefault="00000000">
      <w:pPr>
        <w:bidi/>
        <w:spacing w:before="240" w:after="240" w:line="276" w:lineRule="auto"/>
        <w:rPr>
          <w:rFonts w:ascii="Arial" w:eastAsia="Arial" w:hAnsi="Arial" w:cs="Arial"/>
        </w:rPr>
      </w:pPr>
      <w:r>
        <w:rPr>
          <w:rFonts w:ascii="Arial" w:eastAsia="Arial" w:hAnsi="Arial" w:cs="Arial"/>
          <w:rtl/>
        </w:rPr>
        <w:t>يشهد العالم المعاصر تحولاً بنيوياً عميقاً في بنية المنظومة الاقتصادية الكلية، حيث انتقل الثقل الاستراتيجي ومصادر التنافسية الدولية من الاعتماد الكلاسيكي على الموارد الطبيعية والصناعات التحويلية، إلى نمط اقتصادي ناشئ يُعرف باسم "الاقتصاد الإبداعي</w:t>
      </w:r>
      <w:proofErr w:type="gramStart"/>
      <w:r>
        <w:rPr>
          <w:rFonts w:ascii="Arial" w:eastAsia="Arial" w:hAnsi="Arial" w:cs="Arial"/>
          <w:rtl/>
        </w:rPr>
        <w:t>" ،</w:t>
      </w:r>
      <w:proofErr w:type="gramEnd"/>
      <w:r>
        <w:rPr>
          <w:rFonts w:ascii="Arial" w:eastAsia="Arial" w:hAnsi="Arial" w:cs="Arial"/>
          <w:rtl/>
        </w:rPr>
        <w:t xml:space="preserve"> والذي يرتكز على استثمار رأس المال الفكري والمعرفة البشرية لإنتاج قيم رمزية واقتصادية عابرة للحدود (</w:t>
      </w:r>
      <w:r>
        <w:rPr>
          <w:rFonts w:ascii="Arial" w:eastAsia="Arial" w:hAnsi="Arial" w:cs="Arial"/>
        </w:rPr>
        <w:t>Towse</w:t>
      </w:r>
      <w:r>
        <w:rPr>
          <w:rFonts w:ascii="Arial" w:eastAsia="Arial" w:hAnsi="Arial" w:cs="Arial"/>
          <w:rtl/>
        </w:rPr>
        <w:t>, 2025). وفي ظل هذا السياق، حدثت إعادة صياغة علمية ووظيفية لمفهوم الفنون البصرية؛ إذ لم يعد يُنظر إليها كنشاط جمالي نخبوي معزول، بل تحولت إلى قطاع إنتاجي استراتيجي يقع في صميم اقتصاد المعرفة، ويتشكل عند نقطة تقاطع معقدة تجمع بين أبعاد الفلسفة، والتقنيات الرقمية المتقدمة، وإدارة الاستثمار المالي الممنهج (</w:t>
      </w:r>
      <w:r>
        <w:rPr>
          <w:rFonts w:ascii="Arial" w:eastAsia="Arial" w:hAnsi="Arial" w:cs="Arial"/>
        </w:rPr>
        <w:t>Schuessler</w:t>
      </w:r>
      <w:r>
        <w:rPr>
          <w:rFonts w:ascii="Arial" w:eastAsia="Arial" w:hAnsi="Arial" w:cs="Arial"/>
          <w:rtl/>
        </w:rPr>
        <w:t>, 2024).</w:t>
      </w:r>
    </w:p>
    <w:p w14:paraId="412BA022" w14:textId="77777777" w:rsidR="00B00FCA" w:rsidRDefault="00000000">
      <w:pPr>
        <w:bidi/>
        <w:spacing w:before="240" w:after="240" w:line="276" w:lineRule="auto"/>
        <w:rPr>
          <w:rFonts w:ascii="Arial" w:eastAsia="Arial" w:hAnsi="Arial" w:cs="Arial"/>
        </w:rPr>
      </w:pPr>
      <w:r>
        <w:rPr>
          <w:rFonts w:ascii="Arial" w:eastAsia="Arial" w:hAnsi="Arial" w:cs="Arial"/>
          <w:rtl/>
        </w:rPr>
        <w:t xml:space="preserve">وتوضح المؤشرات الرقمية الصادرة عن الهيئات الدولية الراصدة للحركة الرأسمالية، لاسيما التقرير الاستراتيجي المعتمد الصادر عن اتحاد باسل للفنون </w:t>
      </w:r>
      <w:proofErr w:type="gramStart"/>
      <w:r>
        <w:rPr>
          <w:rFonts w:ascii="Arial" w:eastAsia="Arial" w:hAnsi="Arial" w:cs="Arial"/>
          <w:rtl/>
        </w:rPr>
        <w:t>و مصرف</w:t>
      </w:r>
      <w:proofErr w:type="gramEnd"/>
      <w:r>
        <w:rPr>
          <w:rFonts w:ascii="Arial" w:eastAsia="Arial" w:hAnsi="Arial" w:cs="Arial"/>
          <w:rtl/>
        </w:rPr>
        <w:t xml:space="preserve"> </w:t>
      </w:r>
      <w:proofErr w:type="spellStart"/>
      <w:r>
        <w:rPr>
          <w:rFonts w:ascii="Arial" w:eastAsia="Arial" w:hAnsi="Arial" w:cs="Arial"/>
          <w:rtl/>
        </w:rPr>
        <w:t>يو</w:t>
      </w:r>
      <w:proofErr w:type="spellEnd"/>
      <w:r>
        <w:rPr>
          <w:rFonts w:ascii="Arial" w:eastAsia="Arial" w:hAnsi="Arial" w:cs="Arial"/>
          <w:rtl/>
        </w:rPr>
        <w:t xml:space="preserve"> بي إس السويسري (</w:t>
      </w:r>
      <w:r>
        <w:rPr>
          <w:rFonts w:ascii="Arial" w:eastAsia="Arial" w:hAnsi="Arial" w:cs="Arial"/>
        </w:rPr>
        <w:t>The Art Basel &amp; UBS</w:t>
      </w:r>
      <w:r>
        <w:rPr>
          <w:rFonts w:ascii="Arial" w:eastAsia="Arial" w:hAnsi="Arial" w:cs="Arial"/>
          <w:rtl/>
        </w:rPr>
        <w:t xml:space="preserve">, 2026)، أن سوق الفن العالمي قد تجاوز مرحلة النمو العفوي ليصل إلى نضج هيكلي ومؤسسي استقرت فيه التدفقات المالية السنوية عند قرابة </w:t>
      </w:r>
      <w:r>
        <w:rPr>
          <w:rFonts w:ascii="Arial" w:eastAsia="Arial" w:hAnsi="Arial" w:cs="Arial"/>
          <w:b/>
          <w:bCs/>
          <w:rtl/>
        </w:rPr>
        <w:t>70.5 مليار دولار أمريكي</w:t>
      </w:r>
      <w:r>
        <w:rPr>
          <w:rFonts w:ascii="Arial" w:eastAsia="Arial" w:hAnsi="Arial" w:cs="Arial"/>
          <w:rtl/>
        </w:rPr>
        <w:t xml:space="preserve">. هذا الرقم يبرهن على مرونة القطاع كآلية تحوط استثمارية وملاذ آمن لحماية الثروات وتدوير رؤوس الأموال في مواجهة تقلبات الأسواق المالية التقليدية. وينعكس هذا النضج </w:t>
      </w:r>
      <w:proofErr w:type="spellStart"/>
      <w:r>
        <w:rPr>
          <w:rFonts w:ascii="Arial" w:eastAsia="Arial" w:hAnsi="Arial" w:cs="Arial"/>
          <w:rtl/>
        </w:rPr>
        <w:t>الاستثمارى</w:t>
      </w:r>
      <w:proofErr w:type="spellEnd"/>
      <w:r>
        <w:rPr>
          <w:rFonts w:ascii="Arial" w:eastAsia="Arial" w:hAnsi="Arial" w:cs="Arial"/>
          <w:rtl/>
        </w:rPr>
        <w:t xml:space="preserve"> في التقرير التحليلي الدولي لمؤسسة </w:t>
      </w:r>
      <w:proofErr w:type="spellStart"/>
      <w:r>
        <w:rPr>
          <w:rFonts w:ascii="Arial" w:eastAsia="Arial" w:hAnsi="Arial" w:cs="Arial"/>
          <w:rtl/>
        </w:rPr>
        <w:t>ديلويت</w:t>
      </w:r>
      <w:proofErr w:type="spellEnd"/>
      <w:r>
        <w:rPr>
          <w:rFonts w:ascii="Arial" w:eastAsia="Arial" w:hAnsi="Arial" w:cs="Arial"/>
          <w:rtl/>
        </w:rPr>
        <w:t xml:space="preserve"> للاستشارات </w:t>
      </w:r>
      <w:proofErr w:type="spellStart"/>
      <w:r>
        <w:rPr>
          <w:rFonts w:ascii="Arial" w:eastAsia="Arial" w:hAnsi="Arial" w:cs="Arial"/>
          <w:rtl/>
        </w:rPr>
        <w:t>الماليه</w:t>
      </w:r>
      <w:proofErr w:type="spellEnd"/>
      <w:r>
        <w:rPr>
          <w:rFonts w:ascii="Arial" w:eastAsia="Arial" w:hAnsi="Arial" w:cs="Arial"/>
          <w:rtl/>
        </w:rPr>
        <w:t xml:space="preserve"> (</w:t>
      </w:r>
      <w:r>
        <w:rPr>
          <w:rFonts w:ascii="Arial" w:eastAsia="Arial" w:hAnsi="Arial" w:cs="Arial"/>
        </w:rPr>
        <w:t xml:space="preserve">Deloitte &amp; </w:t>
      </w:r>
      <w:proofErr w:type="spellStart"/>
      <w:r>
        <w:rPr>
          <w:rFonts w:ascii="Arial" w:eastAsia="Arial" w:hAnsi="Arial" w:cs="Arial"/>
        </w:rPr>
        <w:t>ArtTactic</w:t>
      </w:r>
      <w:proofErr w:type="spellEnd"/>
      <w:r>
        <w:rPr>
          <w:rFonts w:ascii="Arial" w:eastAsia="Arial" w:hAnsi="Arial" w:cs="Arial"/>
          <w:rtl/>
        </w:rPr>
        <w:t>, 2025)، الذي رصد تحولاً احترافياً في كيفية تعامل المصارف الاستثمارية العالمية مع الفنون البصرية كأصول مالية معترف بها ضمن المحافظ المتنوعة، لدرجة تسمح بمنح تسهيلات مصرفية وقروض ائتمانية بضمان المقتنيات الفنية بنسب تمويل تتراوح بين 40% إلى 60% من قيمتها التقديرية العادلة.</w:t>
      </w:r>
    </w:p>
    <w:p w14:paraId="41AB0800" w14:textId="77777777" w:rsidR="00B00FCA" w:rsidRDefault="00000000">
      <w:pPr>
        <w:bidi/>
        <w:spacing w:before="240" w:after="240" w:line="276" w:lineRule="auto"/>
        <w:rPr>
          <w:rFonts w:ascii="Arial" w:eastAsia="Arial" w:hAnsi="Arial" w:cs="Arial"/>
        </w:rPr>
      </w:pPr>
      <w:r>
        <w:rPr>
          <w:rFonts w:ascii="Arial" w:eastAsia="Arial" w:hAnsi="Arial" w:cs="Arial"/>
          <w:rtl/>
        </w:rPr>
        <w:t xml:space="preserve">وفي إطار هذا الزخم العالمي، بادرت المملكة العربية السعودية برؤية استشرافية واعية إلى وضع قطاع الصناعات الثقافية والإبداعية في صميم استراتيجيتها الكلية للتنويع الاقتصادي وبناء اقتصاد وطني مستدام يعتمد على المعرفة والابتكار كبدائل استراتيجية للنفط، تماشياً مع مستهدفات رؤية المملكة 2030 (وزارة الثقافة السعودية، 2018). حيث تقود وزارة الثقافة حراكاً مكثفاً لرفع مساهمة القطاع الثقافي لتصل إلى </w:t>
      </w:r>
      <w:r>
        <w:rPr>
          <w:rFonts w:ascii="Arial" w:eastAsia="Arial" w:hAnsi="Arial" w:cs="Arial"/>
          <w:b/>
          <w:bCs/>
          <w:rtl/>
        </w:rPr>
        <w:t>3% من الناتج المحلي الإجمالي بحلول عام 2030</w:t>
      </w:r>
      <w:r>
        <w:rPr>
          <w:rFonts w:ascii="Arial" w:eastAsia="Arial" w:hAnsi="Arial" w:cs="Arial"/>
          <w:rtl/>
        </w:rPr>
        <w:t>، وهو ما يعادل زيادة بمقدار ستة أضعاف عما كانت عليه المنظومة قبل إطلاق الرؤية. ويهدف هذا التوجه الصارم إلى "مأسسة" قطاع الفنون البصرية ونقله من بيئة الهواية العفوية والاجتهادات الشخصية المشتتة إلى مرحلة الصناعة الناضجة الخاضعة لأطر تنظيمية وقواعد حوكمة صارمة تضمن حقوق الفنانين والوسطاء والمستثمرين.</w:t>
      </w:r>
    </w:p>
    <w:p w14:paraId="595EC50F" w14:textId="77777777" w:rsidR="00B00FCA" w:rsidRDefault="00000000">
      <w:pPr>
        <w:bidi/>
        <w:spacing w:before="240" w:after="240" w:line="276" w:lineRule="auto"/>
        <w:rPr>
          <w:rFonts w:ascii="Arial" w:eastAsia="Arial" w:hAnsi="Arial" w:cs="Arial"/>
        </w:rPr>
      </w:pPr>
      <w:r>
        <w:rPr>
          <w:rFonts w:ascii="Arial" w:eastAsia="Arial" w:hAnsi="Arial" w:cs="Arial"/>
          <w:rtl/>
        </w:rPr>
        <w:t xml:space="preserve">وقد تعزز هذا الحراك الاستراتيجي بصدور القرار بتأسيس هيئة الفنون البصرية عام 2018، والتي تولت رسمياً رعاية المواهب الوطنية وتطوير البنية التحتية، مما ساهم في صعود الفن السعودي إلى المنصات العالمية عبر فعاليات كبرى مثل </w:t>
      </w:r>
      <w:proofErr w:type="spellStart"/>
      <w:r>
        <w:rPr>
          <w:rFonts w:ascii="Arial" w:eastAsia="Arial" w:hAnsi="Arial" w:cs="Arial"/>
          <w:i/>
          <w:iCs/>
          <w:rtl/>
        </w:rPr>
        <w:t>بينالي</w:t>
      </w:r>
      <w:proofErr w:type="spellEnd"/>
      <w:r>
        <w:rPr>
          <w:rFonts w:ascii="Arial" w:eastAsia="Arial" w:hAnsi="Arial" w:cs="Arial"/>
          <w:i/>
          <w:iCs/>
          <w:rtl/>
        </w:rPr>
        <w:t xml:space="preserve"> الدرعية الدولي للفن </w:t>
      </w:r>
      <w:r>
        <w:rPr>
          <w:rFonts w:ascii="Arial" w:eastAsia="Arial" w:hAnsi="Arial" w:cs="Arial"/>
          <w:i/>
          <w:iCs/>
          <w:rtl/>
        </w:rPr>
        <w:lastRenderedPageBreak/>
        <w:t>المعاصر</w:t>
      </w:r>
      <w:r>
        <w:rPr>
          <w:rFonts w:ascii="Arial" w:eastAsia="Arial" w:hAnsi="Arial" w:cs="Arial"/>
          <w:rtl/>
        </w:rPr>
        <w:t xml:space="preserve"> ومبادرات </w:t>
      </w:r>
      <w:r>
        <w:rPr>
          <w:rFonts w:ascii="Arial" w:eastAsia="Arial" w:hAnsi="Arial" w:cs="Arial"/>
          <w:i/>
          <w:iCs/>
          <w:rtl/>
        </w:rPr>
        <w:t>نور الرياض</w:t>
      </w:r>
      <w:r>
        <w:rPr>
          <w:rFonts w:ascii="Arial" w:eastAsia="Arial" w:hAnsi="Arial" w:cs="Arial"/>
          <w:rtl/>
        </w:rPr>
        <w:t>. وتواكب هذا الازدهار الهيكلي مع تحول جوهري في سيكولوجية وسلوك "المقتني السعودي الجديد" من جيل الشباب، الذي بات يربط عملية الاقتناء بالتجربة الرقمية والمنصات التفاعلية، ويبحث بالدرجة الأولى عن الموثوقية النظامية والضمانات القانونية لمعالجة "المخاطر النفسية والمالية المدركة" المصاحبة للاستثمار في الأصول الرمزية (</w:t>
      </w:r>
      <w:r>
        <w:rPr>
          <w:rFonts w:ascii="Arial" w:eastAsia="Arial" w:hAnsi="Arial" w:cs="Arial"/>
        </w:rPr>
        <w:t>Schuessler</w:t>
      </w:r>
      <w:r>
        <w:rPr>
          <w:rFonts w:ascii="Arial" w:eastAsia="Arial" w:hAnsi="Arial" w:cs="Arial"/>
          <w:rtl/>
        </w:rPr>
        <w:t>, 2024).</w:t>
      </w:r>
    </w:p>
    <w:p w14:paraId="23BAC138" w14:textId="77777777" w:rsidR="00B00FCA" w:rsidRDefault="00000000">
      <w:pPr>
        <w:bidi/>
        <w:spacing w:before="240" w:after="240" w:line="276" w:lineRule="auto"/>
        <w:rPr>
          <w:rFonts w:ascii="Arial" w:eastAsia="Arial" w:hAnsi="Arial" w:cs="Arial"/>
        </w:rPr>
      </w:pPr>
      <w:r>
        <w:rPr>
          <w:rFonts w:ascii="Arial" w:eastAsia="Arial" w:hAnsi="Arial" w:cs="Arial"/>
          <w:rtl/>
        </w:rPr>
        <w:t>إلا أن الفحص الميداني الدقيق لواقع السوق المحلية يكشف عن وجود فجوة تنظيمية واتصالية حادة ناتجة عما يُعرف في الأدبيات الإدارية باسم "تشتت الرسالة الاتصالية" وضَعف كفاءة الأداء التسويقي؛ حيث لا تزال صالات العرض تمارس نموذج "الوساطة أحادية القطب" (بحيث تكون هي المنتج والمقيم والمروج في آن واحد)، مما يضرب مبدأ الشفافية ويؤدي إلى تضارب المصالح وعشوائية الأسعار (</w:t>
      </w:r>
      <w:r>
        <w:rPr>
          <w:rFonts w:ascii="Arial" w:eastAsia="Arial" w:hAnsi="Arial" w:cs="Arial"/>
        </w:rPr>
        <w:t>Towse</w:t>
      </w:r>
      <w:r>
        <w:rPr>
          <w:rFonts w:ascii="Arial" w:eastAsia="Arial" w:hAnsi="Arial" w:cs="Arial"/>
          <w:rtl/>
        </w:rPr>
        <w:t xml:space="preserve">, 2025). ومن هذه النقطة الحرجة، تبرز الحاجة المنهجية والأكاديمية الملحة في هذه الأطروحة لتبني وتطبيق نظرية </w:t>
      </w:r>
      <w:r>
        <w:rPr>
          <w:rFonts w:ascii="Arial" w:eastAsia="Arial" w:hAnsi="Arial" w:cs="Arial"/>
          <w:b/>
          <w:bCs/>
          <w:rtl/>
        </w:rPr>
        <w:t xml:space="preserve">"الاتصال التسويقي المتكامل" </w:t>
      </w:r>
      <w:r>
        <w:rPr>
          <w:rFonts w:ascii="Arial" w:eastAsia="Arial" w:hAnsi="Arial" w:cs="Arial"/>
          <w:rtl/>
        </w:rPr>
        <w:t>ليس كأداة ترويجية بسيطة، بل كفلسفة إدارية ناظمة تضمن انصهار وتكامل كافة الرسائل الرمزية والتسويقية للفن السعودي في بوتقة واحدة موحدة تحقق التأثير والإقناع، وتزيل الضجيج الاتصالي والعشوائية الارتجالية السائدة (</w:t>
      </w:r>
      <w:r>
        <w:rPr>
          <w:rFonts w:ascii="Arial" w:eastAsia="Arial" w:hAnsi="Arial" w:cs="Arial"/>
        </w:rPr>
        <w:t>Belch &amp; Belch</w:t>
      </w:r>
      <w:r>
        <w:rPr>
          <w:rFonts w:ascii="Arial" w:eastAsia="Arial" w:hAnsi="Arial" w:cs="Arial"/>
          <w:rtl/>
        </w:rPr>
        <w:t>, 2024).</w:t>
      </w:r>
    </w:p>
    <w:p w14:paraId="4E9342FB" w14:textId="77777777" w:rsidR="00B00FCA" w:rsidRDefault="00000000">
      <w:pPr>
        <w:bidi/>
        <w:spacing w:before="240" w:after="240" w:line="276" w:lineRule="auto"/>
        <w:rPr>
          <w:rFonts w:ascii="Arial" w:eastAsia="Arial" w:hAnsi="Arial" w:cs="Arial"/>
        </w:rPr>
      </w:pPr>
      <w:r>
        <w:rPr>
          <w:rFonts w:ascii="Arial" w:eastAsia="Arial" w:hAnsi="Arial" w:cs="Arial"/>
          <w:rtl/>
        </w:rPr>
        <w:t xml:space="preserve">ولعلاج هذه الفجوات العميقة، تطرح الدراسة الحالية </w:t>
      </w:r>
      <w:r>
        <w:rPr>
          <w:rFonts w:ascii="Arial" w:eastAsia="Arial" w:hAnsi="Arial" w:cs="Arial"/>
          <w:b/>
          <w:bCs/>
          <w:rtl/>
        </w:rPr>
        <w:t>"أبعاد الابتكار الخمسة في قطاع الفنون"</w:t>
      </w:r>
      <w:r>
        <w:rPr>
          <w:rFonts w:ascii="Arial" w:eastAsia="Arial" w:hAnsi="Arial" w:cs="Arial"/>
          <w:rtl/>
        </w:rPr>
        <w:t xml:space="preserve"> كإطار تكاملي </w:t>
      </w:r>
      <w:proofErr w:type="spellStart"/>
      <w:r>
        <w:rPr>
          <w:rFonts w:ascii="Arial" w:eastAsia="Arial" w:hAnsi="Arial" w:cs="Arial"/>
          <w:rtl/>
        </w:rPr>
        <w:t>مهيكل</w:t>
      </w:r>
      <w:proofErr w:type="spellEnd"/>
      <w:r>
        <w:rPr>
          <w:rFonts w:ascii="Arial" w:eastAsia="Arial" w:hAnsi="Arial" w:cs="Arial"/>
          <w:rtl/>
        </w:rPr>
        <w:t xml:space="preserve"> لإعادة هندسة السوق المحلية، وتتمثل في:</w:t>
      </w:r>
    </w:p>
    <w:p w14:paraId="027D7586" w14:textId="77777777" w:rsidR="00B00FCA" w:rsidRDefault="00000000">
      <w:pPr>
        <w:numPr>
          <w:ilvl w:val="0"/>
          <w:numId w:val="15"/>
        </w:numPr>
        <w:bidi/>
        <w:spacing w:before="240" w:after="0" w:line="276" w:lineRule="auto"/>
        <w:rPr>
          <w:rFonts w:ascii="Arial" w:eastAsia="Arial" w:hAnsi="Arial" w:cs="Arial"/>
        </w:rPr>
      </w:pPr>
      <w:r>
        <w:rPr>
          <w:rFonts w:ascii="Arial" w:eastAsia="Arial" w:hAnsi="Arial" w:cs="Arial"/>
          <w:b/>
          <w:bCs/>
          <w:rtl/>
        </w:rPr>
        <w:t>الابتكار التسويقي:</w:t>
      </w:r>
      <w:r>
        <w:rPr>
          <w:rFonts w:ascii="Arial" w:eastAsia="Arial" w:hAnsi="Arial" w:cs="Arial"/>
          <w:rtl/>
        </w:rPr>
        <w:t xml:space="preserve"> تحديث نماذج أعمال صالات العرض والمزاوجة بين الفضاءات الفيزيائية والمنصات الرقمية ثلاثية الأبعاد.</w:t>
      </w:r>
    </w:p>
    <w:p w14:paraId="22123D18" w14:textId="77777777" w:rsidR="00B00FCA" w:rsidRDefault="00000000">
      <w:pPr>
        <w:numPr>
          <w:ilvl w:val="0"/>
          <w:numId w:val="15"/>
        </w:numPr>
        <w:bidi/>
        <w:spacing w:after="0" w:line="276" w:lineRule="auto"/>
        <w:rPr>
          <w:rFonts w:ascii="Arial" w:eastAsia="Arial" w:hAnsi="Arial" w:cs="Arial"/>
        </w:rPr>
      </w:pPr>
      <w:r>
        <w:rPr>
          <w:rFonts w:ascii="Arial" w:eastAsia="Arial" w:hAnsi="Arial" w:cs="Arial"/>
          <w:b/>
          <w:bCs/>
          <w:rtl/>
        </w:rPr>
        <w:t>الابتكار النفسي والسلوكي:</w:t>
      </w:r>
      <w:r>
        <w:rPr>
          <w:rFonts w:ascii="Arial" w:eastAsia="Arial" w:hAnsi="Arial" w:cs="Arial"/>
          <w:rtl/>
        </w:rPr>
        <w:t xml:space="preserve"> لبناء "الثقة الإدراكية" لدى </w:t>
      </w:r>
      <w:proofErr w:type="spellStart"/>
      <w:r>
        <w:rPr>
          <w:rFonts w:ascii="Arial" w:eastAsia="Arial" w:hAnsi="Arial" w:cs="Arial"/>
          <w:rtl/>
        </w:rPr>
        <w:t>المقتنين</w:t>
      </w:r>
      <w:proofErr w:type="spellEnd"/>
      <w:r>
        <w:rPr>
          <w:rFonts w:ascii="Arial" w:eastAsia="Arial" w:hAnsi="Arial" w:cs="Arial"/>
          <w:rtl/>
        </w:rPr>
        <w:t xml:space="preserve"> الجدد وخفض المخاطر الاستثمارية المدركة (</w:t>
      </w:r>
      <w:r>
        <w:rPr>
          <w:rFonts w:ascii="Arial" w:eastAsia="Arial" w:hAnsi="Arial" w:cs="Arial"/>
        </w:rPr>
        <w:t>Schuessler</w:t>
      </w:r>
      <w:r>
        <w:rPr>
          <w:rFonts w:ascii="Arial" w:eastAsia="Arial" w:hAnsi="Arial" w:cs="Arial"/>
          <w:rtl/>
        </w:rPr>
        <w:t>, 2024).</w:t>
      </w:r>
    </w:p>
    <w:p w14:paraId="30BE8A07" w14:textId="77777777" w:rsidR="00B00FCA" w:rsidRDefault="00000000">
      <w:pPr>
        <w:numPr>
          <w:ilvl w:val="0"/>
          <w:numId w:val="15"/>
        </w:numPr>
        <w:bidi/>
        <w:spacing w:after="0" w:line="276" w:lineRule="auto"/>
        <w:rPr>
          <w:rFonts w:ascii="Arial" w:eastAsia="Arial" w:hAnsi="Arial" w:cs="Arial"/>
        </w:rPr>
      </w:pPr>
      <w:r>
        <w:rPr>
          <w:rFonts w:ascii="Arial" w:eastAsia="Arial" w:hAnsi="Arial" w:cs="Arial"/>
          <w:b/>
          <w:bCs/>
          <w:rtl/>
        </w:rPr>
        <w:t>الابتكار التقني:</w:t>
      </w:r>
      <w:r>
        <w:rPr>
          <w:rFonts w:ascii="Arial" w:eastAsia="Arial" w:hAnsi="Arial" w:cs="Arial"/>
          <w:rtl/>
        </w:rPr>
        <w:t xml:space="preserve"> بتوظيف أدوات الثورة الصناعية الرابعة (كالذكاء الاصطناعي، والبيانات الضخمة، وتقنيات </w:t>
      </w:r>
      <w:proofErr w:type="spellStart"/>
      <w:r>
        <w:rPr>
          <w:rFonts w:ascii="Arial" w:eastAsia="Arial" w:hAnsi="Arial" w:cs="Arial"/>
          <w:rtl/>
        </w:rPr>
        <w:t>البلوكشين</w:t>
      </w:r>
      <w:proofErr w:type="spellEnd"/>
      <w:r>
        <w:rPr>
          <w:rFonts w:ascii="Arial" w:eastAsia="Arial" w:hAnsi="Arial" w:cs="Arial"/>
        </w:rPr>
        <w:t xml:space="preserve">) </w:t>
      </w:r>
      <w:r>
        <w:rPr>
          <w:rFonts w:ascii="Arial" w:eastAsia="Arial" w:hAnsi="Arial" w:cs="Arial"/>
          <w:rtl/>
        </w:rPr>
        <w:t>لتوثيق ملكية الأعمال وحمايتها.</w:t>
      </w:r>
    </w:p>
    <w:p w14:paraId="18C203E4" w14:textId="77777777" w:rsidR="00B00FCA" w:rsidRDefault="00000000">
      <w:pPr>
        <w:numPr>
          <w:ilvl w:val="0"/>
          <w:numId w:val="15"/>
        </w:numPr>
        <w:bidi/>
        <w:spacing w:after="0" w:line="276" w:lineRule="auto"/>
        <w:rPr>
          <w:rFonts w:ascii="Arial" w:eastAsia="Arial" w:hAnsi="Arial" w:cs="Arial"/>
        </w:rPr>
      </w:pPr>
      <w:r>
        <w:rPr>
          <w:rFonts w:ascii="Arial" w:eastAsia="Arial" w:hAnsi="Arial" w:cs="Arial"/>
          <w:b/>
          <w:bCs/>
          <w:rtl/>
        </w:rPr>
        <w:t>الابتكار الاقتصادي:</w:t>
      </w:r>
      <w:r>
        <w:rPr>
          <w:rFonts w:ascii="Arial" w:eastAsia="Arial" w:hAnsi="Arial" w:cs="Arial"/>
          <w:rtl/>
        </w:rPr>
        <w:t xml:space="preserve"> لمعالجة إشكالية التسعير الانطباعي وتنشيط آليات "السوق الثانوية" لرفع معدلات سيولة الأصل الفني (</w:t>
      </w:r>
      <w:r>
        <w:rPr>
          <w:rFonts w:ascii="Arial" w:eastAsia="Arial" w:hAnsi="Arial" w:cs="Arial"/>
        </w:rPr>
        <w:t xml:space="preserve">Deloitte &amp; </w:t>
      </w:r>
      <w:proofErr w:type="spellStart"/>
      <w:r>
        <w:rPr>
          <w:rFonts w:ascii="Arial" w:eastAsia="Arial" w:hAnsi="Arial" w:cs="Arial"/>
        </w:rPr>
        <w:t>ArtTactic</w:t>
      </w:r>
      <w:proofErr w:type="spellEnd"/>
      <w:r>
        <w:rPr>
          <w:rFonts w:ascii="Arial" w:eastAsia="Arial" w:hAnsi="Arial" w:cs="Arial"/>
          <w:rtl/>
        </w:rPr>
        <w:t>, 2025).</w:t>
      </w:r>
    </w:p>
    <w:p w14:paraId="661BF108" w14:textId="77777777" w:rsidR="00B00FCA" w:rsidRDefault="00000000">
      <w:pPr>
        <w:numPr>
          <w:ilvl w:val="0"/>
          <w:numId w:val="15"/>
        </w:numPr>
        <w:bidi/>
        <w:spacing w:after="240" w:line="276" w:lineRule="auto"/>
        <w:rPr>
          <w:rFonts w:ascii="Arial" w:eastAsia="Arial" w:hAnsi="Arial" w:cs="Arial"/>
        </w:rPr>
      </w:pPr>
      <w:r>
        <w:rPr>
          <w:rFonts w:ascii="Arial" w:eastAsia="Arial" w:hAnsi="Arial" w:cs="Arial"/>
          <w:b/>
          <w:bCs/>
          <w:rtl/>
        </w:rPr>
        <w:t>الابتكار المؤسسي والتنظيمي:</w:t>
      </w:r>
      <w:r>
        <w:rPr>
          <w:rFonts w:ascii="Arial" w:eastAsia="Arial" w:hAnsi="Arial" w:cs="Arial"/>
          <w:rtl/>
        </w:rPr>
        <w:t xml:space="preserve"> عبر صياغة سياسات حوكمة صارمة وعقود نموذجية تفصل بين جهات الإنتاج والتقييم المالي تماشياً مع المعايير الدولية (</w:t>
      </w:r>
      <w:r>
        <w:rPr>
          <w:rFonts w:ascii="Arial" w:eastAsia="Arial" w:hAnsi="Arial" w:cs="Arial"/>
        </w:rPr>
        <w:t>Towse</w:t>
      </w:r>
      <w:r>
        <w:rPr>
          <w:rFonts w:ascii="Arial" w:eastAsia="Arial" w:hAnsi="Arial" w:cs="Arial"/>
          <w:rtl/>
        </w:rPr>
        <w:t>, 2025).</w:t>
      </w:r>
    </w:p>
    <w:p w14:paraId="58FAAA61" w14:textId="77777777" w:rsidR="00B00FCA" w:rsidRDefault="00000000">
      <w:pPr>
        <w:bidi/>
        <w:spacing w:before="240" w:after="240" w:line="276" w:lineRule="auto"/>
        <w:rPr>
          <w:rFonts w:ascii="Arial" w:eastAsia="Arial" w:hAnsi="Arial" w:cs="Arial"/>
        </w:rPr>
      </w:pPr>
      <w:r>
        <w:rPr>
          <w:rFonts w:ascii="Arial" w:eastAsia="Arial" w:hAnsi="Arial" w:cs="Arial"/>
          <w:rtl/>
        </w:rPr>
        <w:t>تكتسب هذه الأطروحة أهميتها البالغة بالنظر إلى توقيتها الاستراتيجي؛ إذ تسعى إلى سد العجز الواضح في المكتبة الأكاديمية العربية فيما يتعلق بالدراسات البينية التي تربط بين علوم الاتصال والتسويق الحديث من جهة، وإدارة وتداول الفنون البصرية كأصل مالي استراتيجي من جهة أخرى. كما تتجلى أهميتها التطبيقية في تقديم نموذج عملي وهيكل تنفيذي واضح المعالم يمكن للمؤسسات الثقافية، وصالات العرض، وصناع القرار الاسترشاد به لرسم سياسات تسويقية قوية قادرة على جذب الاستثمارات، وتعزيز الميزة التنافسية للاقتصاد الثقافي السعودي على الخارطة الدولية تماشياً مع الرؤية الوطنية الملهمة.</w:t>
      </w:r>
    </w:p>
    <w:p w14:paraId="2367295A" w14:textId="77777777" w:rsidR="00B00FCA" w:rsidRDefault="00000000">
      <w:pPr>
        <w:pStyle w:val="3"/>
        <w:keepNext w:val="0"/>
        <w:keepLines w:val="0"/>
        <w:bidi/>
        <w:spacing w:line="276" w:lineRule="auto"/>
        <w:rPr>
          <w:rFonts w:ascii="Arial" w:eastAsia="Arial" w:hAnsi="Arial" w:cs="Arial"/>
          <w:sz w:val="32"/>
          <w:szCs w:val="32"/>
        </w:rPr>
      </w:pPr>
      <w:bookmarkStart w:id="4" w:name="_vqw0wn3ckvwf" w:colFirst="0" w:colLast="0"/>
      <w:bookmarkEnd w:id="4"/>
      <w:r>
        <w:rPr>
          <w:rFonts w:ascii="Arial" w:eastAsia="Arial" w:hAnsi="Arial" w:cs="Arial"/>
          <w:sz w:val="32"/>
          <w:szCs w:val="32"/>
          <w:rtl/>
        </w:rPr>
        <w:t>ثانياً: مشكلة الدراسة</w:t>
      </w:r>
    </w:p>
    <w:p w14:paraId="47AA1A91" w14:textId="77777777" w:rsidR="00B00FCA" w:rsidRDefault="00000000">
      <w:pPr>
        <w:bidi/>
        <w:spacing w:before="240" w:after="240" w:line="276" w:lineRule="auto"/>
        <w:rPr>
          <w:rFonts w:ascii="Arial" w:eastAsia="Arial" w:hAnsi="Arial" w:cs="Arial"/>
        </w:rPr>
      </w:pPr>
      <w:r>
        <w:rPr>
          <w:rFonts w:ascii="Arial" w:eastAsia="Arial" w:hAnsi="Arial" w:cs="Arial"/>
          <w:rtl/>
        </w:rPr>
        <w:t>تتبلور المشكلة الجوهرية للدراسة في وجود مفارقة بنيوية وفجوة تنظيمية عميقة بين مستهدفات التخطيط الاستراتيجي الكلي للمملكة العربية السعودية الرامية إلى مأسسة قطاع الصناعات الثقافية والإبداعية ورفع مساهمته إلى 3% من الناتج المحلي الإجمالي بحلول عام 2030 (هيئة الفنون البصرية، 2023)، وبين الواقع التشغيلي والميداني السائد في سوق الفنون البصرية المحلي الذي لا يزال محكوماً بآليات تداول تقليدية، واجتهادات فردية مشتتة، وافتقار واضح للقواعد المعيارية الحاكمة لتسعير الأعمال الفنية وتثمينها المالي. ويكشف الفحص الميداني الدقيق عن خلل حاد في البيئة الاتصالية والتنظيمية التي تربط بين أطراف العملية الفنية (الفنان، والمقتني، وصالات العرض)، مما أدى إلى سيادة حالة من عدم تماثل المعلومات، وضبابية تامة في السجلات التاريخية الموثقة للمبيعات (</w:t>
      </w:r>
      <w:r>
        <w:rPr>
          <w:rFonts w:ascii="Arial" w:eastAsia="Arial" w:hAnsi="Arial" w:cs="Arial"/>
        </w:rPr>
        <w:t>Towse</w:t>
      </w:r>
      <w:r>
        <w:rPr>
          <w:rFonts w:ascii="Arial" w:eastAsia="Arial" w:hAnsi="Arial" w:cs="Arial"/>
          <w:rtl/>
        </w:rPr>
        <w:t>, 2025). ويتعمق هذا الخلل نتيجة سيطرة نموذج الوساطة أحادية القطب، حيث تقوم صالة العرض المحلية الواحدة بلعب أدوار متعددة ومتناقضة عبر القيام بالإنتاج والترويج والتسعير والبيع في آن واحد، مما يضرب في الجوهر مبدأ الشفافية والحوكمة المعمول به عالمياً، ويفرز معضلة تضارب المصالح، ويؤدي إلى إضعاف كفاءة السوق الثانوية المعنية بإعادة بيع الأعمال وتسييلها.</w:t>
      </w:r>
    </w:p>
    <w:p w14:paraId="63CA0158" w14:textId="77777777" w:rsidR="00B00FCA" w:rsidRDefault="00000000">
      <w:pPr>
        <w:bidi/>
        <w:spacing w:before="240" w:after="240" w:line="276" w:lineRule="auto"/>
        <w:rPr>
          <w:rFonts w:ascii="Arial" w:eastAsia="Arial" w:hAnsi="Arial" w:cs="Arial"/>
        </w:rPr>
      </w:pPr>
      <w:r>
        <w:rPr>
          <w:rFonts w:ascii="Arial" w:eastAsia="Arial" w:hAnsi="Arial" w:cs="Arial"/>
          <w:rtl/>
        </w:rPr>
        <w:lastRenderedPageBreak/>
        <w:t xml:space="preserve">ويرتبط الشق الاتصالي للمشكلة بوجود أزمة حادة في تشتت الخطاب الترويجي والتسويقي الموجه للجمهور، واعتماد صالات العرض على حملات مجزأة ومؤقتة ترتبط بالمعارض الموسمية دون وجود رؤية استراتيجية قائمة على مفهوم الاتصال التسويقي المتكامل، مما يولد ضجيجاً </w:t>
      </w:r>
      <w:proofErr w:type="spellStart"/>
      <w:r>
        <w:rPr>
          <w:rFonts w:ascii="Arial" w:eastAsia="Arial" w:hAnsi="Arial" w:cs="Arial"/>
          <w:rtl/>
        </w:rPr>
        <w:t>اتصالياً</w:t>
      </w:r>
      <w:proofErr w:type="spellEnd"/>
      <w:r>
        <w:rPr>
          <w:rFonts w:ascii="Arial" w:eastAsia="Arial" w:hAnsi="Arial" w:cs="Arial"/>
          <w:rtl/>
        </w:rPr>
        <w:t xml:space="preserve"> يركز على الأبعاد الجمالية النخبوية واللغة المعقدة، مع إغفال تام للاحتياجات المعلوماتية </w:t>
      </w:r>
      <w:proofErr w:type="gramStart"/>
      <w:r>
        <w:rPr>
          <w:rFonts w:ascii="Arial" w:eastAsia="Arial" w:hAnsi="Arial" w:cs="Arial"/>
          <w:rtl/>
        </w:rPr>
        <w:t>و الاستثمارية</w:t>
      </w:r>
      <w:proofErr w:type="gramEnd"/>
      <w:r>
        <w:rPr>
          <w:rFonts w:ascii="Arial" w:eastAsia="Arial" w:hAnsi="Arial" w:cs="Arial"/>
          <w:rtl/>
        </w:rPr>
        <w:t xml:space="preserve"> </w:t>
      </w:r>
      <w:proofErr w:type="spellStart"/>
      <w:r>
        <w:rPr>
          <w:rFonts w:ascii="Arial" w:eastAsia="Arial" w:hAnsi="Arial" w:cs="Arial"/>
          <w:rtl/>
        </w:rPr>
        <w:t>للمقتنين</w:t>
      </w:r>
      <w:proofErr w:type="spellEnd"/>
      <w:r>
        <w:rPr>
          <w:rFonts w:ascii="Arial" w:eastAsia="Arial" w:hAnsi="Arial" w:cs="Arial"/>
        </w:rPr>
        <w:t xml:space="preserve"> (Belch &amp; Belch</w:t>
      </w:r>
      <w:r>
        <w:rPr>
          <w:rFonts w:ascii="Arial" w:eastAsia="Arial" w:hAnsi="Arial" w:cs="Arial"/>
          <w:rtl/>
        </w:rPr>
        <w:t xml:space="preserve">, 2024). وتتضح المشكلة بشكل أعمق في وجود فجوة إدراكية واسعة بين عقلية جيل </w:t>
      </w:r>
      <w:proofErr w:type="spellStart"/>
      <w:r>
        <w:rPr>
          <w:rFonts w:ascii="Arial" w:eastAsia="Arial" w:hAnsi="Arial" w:cs="Arial"/>
          <w:rtl/>
        </w:rPr>
        <w:t>المقتنين</w:t>
      </w:r>
      <w:proofErr w:type="spellEnd"/>
      <w:r>
        <w:rPr>
          <w:rFonts w:ascii="Arial" w:eastAsia="Arial" w:hAnsi="Arial" w:cs="Arial"/>
          <w:rtl/>
        </w:rPr>
        <w:t xml:space="preserve"> والمستثمرين الشباب الجديد الذي يربط عملية الاقتناء بالتجربة الرقمية الشفافة، وبين الآليات التقليدية الجامدة لصالات العرض، مما يجعل المقتني الرقمي الجديد عرضة للفقاعات السعرية </w:t>
      </w:r>
      <w:proofErr w:type="gramStart"/>
      <w:r>
        <w:rPr>
          <w:rFonts w:ascii="Arial" w:eastAsia="Arial" w:hAnsi="Arial" w:cs="Arial"/>
          <w:rtl/>
        </w:rPr>
        <w:t>و الزخم</w:t>
      </w:r>
      <w:proofErr w:type="gramEnd"/>
      <w:r>
        <w:rPr>
          <w:rFonts w:ascii="Arial" w:eastAsia="Arial" w:hAnsi="Arial" w:cs="Arial"/>
          <w:rtl/>
        </w:rPr>
        <w:t xml:space="preserve"> العاطفي المؤقت عبر منصات التواصل الاجتماعي دون وجود ضمانات منهجية تحمي استثماراته (</w:t>
      </w:r>
      <w:r>
        <w:rPr>
          <w:rFonts w:ascii="Arial" w:eastAsia="Arial" w:hAnsi="Arial" w:cs="Arial"/>
        </w:rPr>
        <w:t>Schuessler</w:t>
      </w:r>
      <w:r>
        <w:rPr>
          <w:rFonts w:ascii="Arial" w:eastAsia="Arial" w:hAnsi="Arial" w:cs="Arial"/>
          <w:rtl/>
        </w:rPr>
        <w:t>, 2024).</w:t>
      </w:r>
    </w:p>
    <w:p w14:paraId="57A2708C" w14:textId="77777777" w:rsidR="00B00FCA" w:rsidRDefault="00000000">
      <w:pPr>
        <w:bidi/>
        <w:spacing w:before="240" w:after="240" w:line="276" w:lineRule="auto"/>
        <w:rPr>
          <w:rFonts w:ascii="Arial" w:eastAsia="Arial" w:hAnsi="Arial" w:cs="Arial"/>
        </w:rPr>
      </w:pPr>
      <w:r>
        <w:rPr>
          <w:rFonts w:ascii="Arial" w:eastAsia="Arial" w:hAnsi="Arial" w:cs="Arial"/>
          <w:rtl/>
        </w:rPr>
        <w:t>ويتصل ذلك بالقصور التقني والمعلوماتي وعشوائية آليات التسعير والتثمين، حيث يفتقر السوق المحلي للبنية التحتية الرقمية المتخصصة في أدوات الثورة الصناعية الرابعة (كالذكاء الاصطناعي والبيانات الضخمة والتوثيق الرقمي المشفر لضمان أصالة الأعمال وحماية الملكية الفكرية)، مما يجعل القرارات الإدارية والتسويقية أقرب للتخمين والحدس الفردي (</w:t>
      </w:r>
      <w:r>
        <w:rPr>
          <w:rFonts w:ascii="Arial" w:eastAsia="Arial" w:hAnsi="Arial" w:cs="Arial"/>
        </w:rPr>
        <w:t xml:space="preserve">Deloitte &amp; </w:t>
      </w:r>
      <w:proofErr w:type="spellStart"/>
      <w:r>
        <w:rPr>
          <w:rFonts w:ascii="Arial" w:eastAsia="Arial" w:hAnsi="Arial" w:cs="Arial"/>
        </w:rPr>
        <w:t>ArtTactic</w:t>
      </w:r>
      <w:proofErr w:type="spellEnd"/>
      <w:r>
        <w:rPr>
          <w:rFonts w:ascii="Arial" w:eastAsia="Arial" w:hAnsi="Arial" w:cs="Arial"/>
          <w:rtl/>
        </w:rPr>
        <w:t>, 2025). ويصاحب ذلك غياب للأطر التشريعية والسياسات التنظيمية الحاكمة والمتمثلة في مواثيق الشرف المهنية الملزمة والأدلة الإجرائية القياسية التي تفصل بين جهات الإنتاج والتقييم المالي تماشياً مع أفضل الممارسات الدولية.</w:t>
      </w:r>
    </w:p>
    <w:p w14:paraId="0DC49410" w14:textId="77777777" w:rsidR="00B00FCA" w:rsidRDefault="00000000">
      <w:pPr>
        <w:bidi/>
        <w:spacing w:before="240" w:after="240" w:line="276" w:lineRule="auto"/>
        <w:rPr>
          <w:rFonts w:ascii="Arial" w:eastAsia="Arial" w:hAnsi="Arial" w:cs="Arial"/>
        </w:rPr>
      </w:pPr>
      <w:r>
        <w:rPr>
          <w:rFonts w:ascii="Arial" w:eastAsia="Arial" w:hAnsi="Arial" w:cs="Arial"/>
          <w:rtl/>
        </w:rPr>
        <w:t>أمام هذه التشابكات المعقدة، تتحدد مشكلة الدراسة في غياب إطار نظري وتطبيقي متكامل في الفكر الإداري والتسويقي يجمع بين استراتيجيات الاتصال التسويقي المتكامل وأبعاد الابتكار الخمسة (التسويقي، والنفسي، والتقني، الاقتصادي، والمؤسسي) لمعالجة هذه الأزمات الهيكلية بشكل نسقي وموحد، حيث يسعى الباحث لمعالجة هذا القصور عبر طرح التساؤل الرئيسي التالي: "كيف يمكن تفعيل استراتيجيات الاتصال التسويقي المتكامل بأبعاد الابتكار الخمسة لإعادة هندسة سوق الفنون البصرية في المملكة العربية السعودية وتحقيق نضجها الهيكلي والمؤسسي تماشياً مع مستهدفات رؤية المملكة 2030؟"</w:t>
      </w:r>
    </w:p>
    <w:p w14:paraId="4970DE30" w14:textId="77777777" w:rsidR="00B00FCA" w:rsidRDefault="00000000">
      <w:pPr>
        <w:bidi/>
        <w:spacing w:before="240" w:after="240" w:line="276" w:lineRule="auto"/>
        <w:rPr>
          <w:rFonts w:ascii="Arial" w:eastAsia="Arial" w:hAnsi="Arial" w:cs="Arial"/>
        </w:rPr>
      </w:pPr>
      <w:r>
        <w:rPr>
          <w:rFonts w:ascii="Arial" w:eastAsia="Arial" w:hAnsi="Arial" w:cs="Arial"/>
          <w:rtl/>
        </w:rPr>
        <w:t xml:space="preserve">وينبثق من هذا التساؤل المحوري تساؤلات فرعية تتمثل في: واقع تطبيق قنوات الاتصال التسويقي في صالات العرض المحلية، وطبيعة الفجوات التنظيمية التي تفرزها معضلة الوساطة الأحادية، والخصائص السلوكية والدوافع الشرائية لجيل </w:t>
      </w:r>
      <w:proofErr w:type="spellStart"/>
      <w:r>
        <w:rPr>
          <w:rFonts w:ascii="Arial" w:eastAsia="Arial" w:hAnsi="Arial" w:cs="Arial"/>
          <w:rtl/>
        </w:rPr>
        <w:t>المقتنين</w:t>
      </w:r>
      <w:proofErr w:type="spellEnd"/>
      <w:r>
        <w:rPr>
          <w:rFonts w:ascii="Arial" w:eastAsia="Arial" w:hAnsi="Arial" w:cs="Arial"/>
          <w:rtl/>
        </w:rPr>
        <w:t xml:space="preserve"> الشباب الجديد، وكيفية توظيف أدوات الثورة الصناعية الرابعة للقضاء على عشوائية التثمين المالي، وأخيراً المتطلبات التشريعية والسياسات التنظيمية اللازمة لصياغة خارطة طريق استراتيجية مقترحة تدمج بين نموذج الاتصال التسويقي المتكامل وأبعاد الابتكار الخمسة للارتقاء بسوق الفن السعودي نحو التنافسية العالمية.</w:t>
      </w:r>
    </w:p>
    <w:p w14:paraId="0A08B002" w14:textId="77777777" w:rsidR="00B00FCA" w:rsidRDefault="00B00FCA">
      <w:pPr>
        <w:bidi/>
        <w:spacing w:after="0" w:line="276" w:lineRule="auto"/>
        <w:rPr>
          <w:rFonts w:ascii="Arial" w:eastAsia="Arial" w:hAnsi="Arial" w:cs="Arial"/>
        </w:rPr>
      </w:pPr>
    </w:p>
    <w:p w14:paraId="0A54E4AB" w14:textId="77777777" w:rsidR="00B00FCA" w:rsidRDefault="00000000">
      <w:pPr>
        <w:pStyle w:val="3"/>
        <w:keepNext w:val="0"/>
        <w:keepLines w:val="0"/>
        <w:bidi/>
        <w:spacing w:line="276" w:lineRule="auto"/>
        <w:rPr>
          <w:rFonts w:ascii="Arial" w:eastAsia="Arial" w:hAnsi="Arial" w:cs="Arial"/>
          <w:sz w:val="32"/>
          <w:szCs w:val="32"/>
        </w:rPr>
      </w:pPr>
      <w:bookmarkStart w:id="5" w:name="_2frg2br77rnq" w:colFirst="0" w:colLast="0"/>
      <w:bookmarkEnd w:id="5"/>
      <w:r>
        <w:rPr>
          <w:rFonts w:ascii="Arial" w:eastAsia="Arial" w:hAnsi="Arial" w:cs="Arial"/>
          <w:sz w:val="32"/>
          <w:szCs w:val="32"/>
          <w:rtl/>
        </w:rPr>
        <w:t>ثالثاً: تساؤلات وأهداف الدراسة وفرضياتها</w:t>
      </w:r>
    </w:p>
    <w:p w14:paraId="75D5207A" w14:textId="77777777" w:rsidR="00B00FCA" w:rsidRDefault="00000000">
      <w:pPr>
        <w:pStyle w:val="4"/>
        <w:keepNext w:val="0"/>
        <w:keepLines w:val="0"/>
        <w:bidi/>
        <w:spacing w:line="276" w:lineRule="auto"/>
        <w:rPr>
          <w:rFonts w:ascii="Arial" w:eastAsia="Arial" w:hAnsi="Arial" w:cs="Arial"/>
          <w:sz w:val="22"/>
          <w:szCs w:val="22"/>
        </w:rPr>
      </w:pPr>
      <w:bookmarkStart w:id="6" w:name="_igrbji5wv3bh" w:colFirst="0" w:colLast="0"/>
      <w:bookmarkEnd w:id="6"/>
      <w:r>
        <w:rPr>
          <w:rFonts w:ascii="Arial" w:eastAsia="Arial" w:hAnsi="Arial" w:cs="Arial"/>
          <w:sz w:val="22"/>
          <w:szCs w:val="22"/>
          <w:rtl/>
        </w:rPr>
        <w:t>أولاً: تساؤلات الدراسة</w:t>
      </w:r>
    </w:p>
    <w:p w14:paraId="0C4BD68B" w14:textId="77777777" w:rsidR="00B00FCA" w:rsidRDefault="00000000">
      <w:pPr>
        <w:bidi/>
        <w:spacing w:before="240" w:after="240" w:line="276" w:lineRule="auto"/>
        <w:rPr>
          <w:rFonts w:ascii="Arial" w:eastAsia="Arial" w:hAnsi="Arial" w:cs="Arial"/>
        </w:rPr>
      </w:pPr>
      <w:r>
        <w:rPr>
          <w:rFonts w:ascii="Arial" w:eastAsia="Arial" w:hAnsi="Arial" w:cs="Arial"/>
          <w:rtl/>
        </w:rPr>
        <w:t>تنطلق هذه الدراسة من تساؤل رئيسي محوري جامع، تتفرع منه مجموعة من التساؤلات البحثية المفصلة والمبنية نسقياً لتبحث في أبعاد الأزمة الهيكلية، والاتصالية، والتقنية، والتنظيمية التي تحكم واقع سوق الفنون البصرية في البيئة المحلية، وتتحدد هذه التساؤلات على النحو الآتي:</w:t>
      </w:r>
    </w:p>
    <w:p w14:paraId="54724D77" w14:textId="77777777" w:rsidR="00B00FCA" w:rsidRDefault="00000000">
      <w:pPr>
        <w:numPr>
          <w:ilvl w:val="0"/>
          <w:numId w:val="28"/>
        </w:numPr>
        <w:bidi/>
        <w:spacing w:before="240" w:after="240" w:line="276" w:lineRule="auto"/>
        <w:rPr>
          <w:rFonts w:ascii="Arial" w:eastAsia="Arial" w:hAnsi="Arial" w:cs="Arial"/>
        </w:rPr>
      </w:pPr>
      <w:r>
        <w:rPr>
          <w:rFonts w:ascii="Arial" w:eastAsia="Arial" w:hAnsi="Arial" w:cs="Arial"/>
          <w:b/>
          <w:bCs/>
          <w:rtl/>
        </w:rPr>
        <w:t>التساؤل الرئيسي الكلي للدراسة:</w:t>
      </w:r>
    </w:p>
    <w:p w14:paraId="4012A632" w14:textId="77777777" w:rsidR="00B00FCA" w:rsidRDefault="00000000">
      <w:pPr>
        <w:bidi/>
        <w:spacing w:before="240" w:after="240" w:line="276" w:lineRule="auto"/>
        <w:ind w:left="600" w:right="600"/>
        <w:rPr>
          <w:rFonts w:ascii="Arial" w:eastAsia="Arial" w:hAnsi="Arial" w:cs="Arial"/>
        </w:rPr>
      </w:pPr>
      <w:r>
        <w:rPr>
          <w:rFonts w:ascii="Arial" w:eastAsia="Arial" w:hAnsi="Arial" w:cs="Arial"/>
          <w:rtl/>
        </w:rPr>
        <w:t xml:space="preserve">"كيف يمكن تفعيل استراتيجيات الاتصال التسويقي المتكامل بأبعاد الابتكار الخمسة لإعادة هندسة سوق الفنون البصرية في المملكة العربية السعودية وتحقيق نضجها الهيكلي والمؤسسي </w:t>
      </w:r>
      <w:proofErr w:type="gramStart"/>
      <w:r>
        <w:rPr>
          <w:rFonts w:ascii="Arial" w:eastAsia="Arial" w:hAnsi="Arial" w:cs="Arial"/>
          <w:rtl/>
        </w:rPr>
        <w:t>و تنافسيتها</w:t>
      </w:r>
      <w:proofErr w:type="gramEnd"/>
      <w:r>
        <w:rPr>
          <w:rFonts w:ascii="Arial" w:eastAsia="Arial" w:hAnsi="Arial" w:cs="Arial"/>
          <w:rtl/>
        </w:rPr>
        <w:t xml:space="preserve"> الدولية تماشياً مع مستهدفات رؤية المملكة 2030؟"</w:t>
      </w:r>
    </w:p>
    <w:p w14:paraId="267EAF72" w14:textId="77777777" w:rsidR="00B00FCA" w:rsidRDefault="00000000">
      <w:pPr>
        <w:numPr>
          <w:ilvl w:val="0"/>
          <w:numId w:val="32"/>
        </w:numPr>
        <w:bidi/>
        <w:spacing w:before="240" w:after="0" w:line="276" w:lineRule="auto"/>
        <w:rPr>
          <w:rFonts w:ascii="Arial" w:eastAsia="Arial" w:hAnsi="Arial" w:cs="Arial"/>
        </w:rPr>
      </w:pPr>
      <w:r>
        <w:rPr>
          <w:rFonts w:ascii="Arial" w:eastAsia="Arial" w:hAnsi="Arial" w:cs="Arial"/>
          <w:b/>
          <w:bCs/>
          <w:rtl/>
        </w:rPr>
        <w:t>التساؤلات الفرعية والتفصيلية:</w:t>
      </w:r>
    </w:p>
    <w:p w14:paraId="651D75BD" w14:textId="77777777" w:rsidR="00B00FCA" w:rsidRDefault="00000000">
      <w:pPr>
        <w:numPr>
          <w:ilvl w:val="0"/>
          <w:numId w:val="38"/>
        </w:numPr>
        <w:bidi/>
        <w:spacing w:after="0" w:line="276" w:lineRule="auto"/>
        <w:rPr>
          <w:rFonts w:ascii="Arial" w:eastAsia="Arial" w:hAnsi="Arial" w:cs="Arial"/>
        </w:rPr>
      </w:pPr>
      <w:r>
        <w:rPr>
          <w:rFonts w:ascii="Arial" w:eastAsia="Arial" w:hAnsi="Arial" w:cs="Arial"/>
          <w:rtl/>
        </w:rPr>
        <w:lastRenderedPageBreak/>
        <w:t xml:space="preserve">ما واقع تطبيق استراتيجيات وقنوات الاتصال التسويقي المعتمدة لدى صالات العرض والمؤسسات الفنية البصرية في المملكة العربية السعودية في المرحلة الراهنة، وما مدى اتساق وتناغم رسائلها الترويجية والتعريفية الموجهة لشرائح </w:t>
      </w:r>
      <w:proofErr w:type="spellStart"/>
      <w:r>
        <w:rPr>
          <w:rFonts w:ascii="Arial" w:eastAsia="Arial" w:hAnsi="Arial" w:cs="Arial"/>
          <w:rtl/>
        </w:rPr>
        <w:t>المقتنين</w:t>
      </w:r>
      <w:proofErr w:type="spellEnd"/>
      <w:r>
        <w:rPr>
          <w:rFonts w:ascii="Arial" w:eastAsia="Arial" w:hAnsi="Arial" w:cs="Arial"/>
          <w:rtl/>
        </w:rPr>
        <w:t xml:space="preserve"> والجمهور المستهدف؟</w:t>
      </w:r>
    </w:p>
    <w:p w14:paraId="363ABEE2" w14:textId="77777777" w:rsidR="00B00FCA" w:rsidRDefault="00000000">
      <w:pPr>
        <w:numPr>
          <w:ilvl w:val="0"/>
          <w:numId w:val="38"/>
        </w:numPr>
        <w:bidi/>
        <w:spacing w:after="0" w:line="276" w:lineRule="auto"/>
        <w:rPr>
          <w:rFonts w:ascii="Arial" w:eastAsia="Arial" w:hAnsi="Arial" w:cs="Arial"/>
        </w:rPr>
      </w:pPr>
      <w:r>
        <w:rPr>
          <w:rFonts w:ascii="Arial" w:eastAsia="Arial" w:hAnsi="Arial" w:cs="Arial"/>
          <w:rtl/>
        </w:rPr>
        <w:t>ما طبيعة وحجم الفجوات التنظيمية والهيكلية التي تعيب سلسلة القيمة الفنية المحلية، وكيف تؤثر معضلة الوساطة أحادية القطب وتداخل الأدوار التشغيلية على مستويات الشفافية ومصداقية آليات تسعير وتداول الأعمال الفنية في السوقين الأولية والثانوية؟</w:t>
      </w:r>
    </w:p>
    <w:p w14:paraId="06B9BB2C" w14:textId="77777777" w:rsidR="00B00FCA" w:rsidRDefault="00000000">
      <w:pPr>
        <w:numPr>
          <w:ilvl w:val="0"/>
          <w:numId w:val="38"/>
        </w:numPr>
        <w:bidi/>
        <w:spacing w:after="0" w:line="276" w:lineRule="auto"/>
        <w:rPr>
          <w:rFonts w:ascii="Arial" w:eastAsia="Arial" w:hAnsi="Arial" w:cs="Arial"/>
        </w:rPr>
      </w:pPr>
      <w:r>
        <w:rPr>
          <w:rFonts w:ascii="Arial" w:eastAsia="Arial" w:hAnsi="Arial" w:cs="Arial"/>
          <w:rtl/>
        </w:rPr>
        <w:t xml:space="preserve">ما الخصائص السلوكية، والسمات السيكولوجية، والدوافع الشرائية والاستثمارية لجيل </w:t>
      </w:r>
      <w:proofErr w:type="spellStart"/>
      <w:r>
        <w:rPr>
          <w:rFonts w:ascii="Arial" w:eastAsia="Arial" w:hAnsi="Arial" w:cs="Arial"/>
          <w:rtl/>
        </w:rPr>
        <w:t>المقتنين</w:t>
      </w:r>
      <w:proofErr w:type="spellEnd"/>
      <w:r>
        <w:rPr>
          <w:rFonts w:ascii="Arial" w:eastAsia="Arial" w:hAnsi="Arial" w:cs="Arial"/>
          <w:rtl/>
        </w:rPr>
        <w:t xml:space="preserve"> والمستثمرين الشباب الجديد في السوق السعودية، وما مدى إدراكهم للمخاطر المالية والنفسية المحيطة بالاستثمار في الأصول الرمزية تحت تأثير الزخم الرقمي؟</w:t>
      </w:r>
    </w:p>
    <w:p w14:paraId="1E4E3D03" w14:textId="77777777" w:rsidR="00B00FCA" w:rsidRDefault="00000000">
      <w:pPr>
        <w:numPr>
          <w:ilvl w:val="0"/>
          <w:numId w:val="38"/>
        </w:numPr>
        <w:bidi/>
        <w:spacing w:after="0" w:line="276" w:lineRule="auto"/>
        <w:rPr>
          <w:rFonts w:ascii="Arial" w:eastAsia="Arial" w:hAnsi="Arial" w:cs="Arial"/>
        </w:rPr>
      </w:pPr>
      <w:r>
        <w:rPr>
          <w:rFonts w:ascii="Arial" w:eastAsia="Arial" w:hAnsi="Arial" w:cs="Arial"/>
          <w:rtl/>
        </w:rPr>
        <w:t xml:space="preserve">كيف يمكن توظيف أدوات وتطبيقات الثورة الصناعية الرابعة -لاسيما خوارزميات الذكاء الاصطناعي، وتحليلات البيانات الضخمة، وتقنيات التشفير الرقمي </w:t>
      </w:r>
      <w:proofErr w:type="spellStart"/>
      <w:r>
        <w:rPr>
          <w:rFonts w:ascii="Arial" w:eastAsia="Arial" w:hAnsi="Arial" w:cs="Arial"/>
          <w:rtl/>
        </w:rPr>
        <w:t>البلوكشين</w:t>
      </w:r>
      <w:proofErr w:type="spellEnd"/>
      <w:r>
        <w:rPr>
          <w:rFonts w:ascii="Arial" w:eastAsia="Arial" w:hAnsi="Arial" w:cs="Arial"/>
          <w:rtl/>
        </w:rPr>
        <w:t>- لبناء بنية تحتية معلوماتية متقدمة تقضي على عشوائية التثمين المالي وتضمن حماية حقوق الملكية الفكرية للفنانين؟</w:t>
      </w:r>
    </w:p>
    <w:p w14:paraId="3A874E25" w14:textId="77777777" w:rsidR="00B00FCA" w:rsidRDefault="00000000">
      <w:pPr>
        <w:numPr>
          <w:ilvl w:val="0"/>
          <w:numId w:val="38"/>
        </w:numPr>
        <w:bidi/>
        <w:spacing w:after="0" w:line="276" w:lineRule="auto"/>
        <w:rPr>
          <w:rFonts w:ascii="Arial" w:eastAsia="Arial" w:hAnsi="Arial" w:cs="Arial"/>
        </w:rPr>
      </w:pPr>
      <w:r>
        <w:rPr>
          <w:rFonts w:ascii="Arial" w:eastAsia="Arial" w:hAnsi="Arial" w:cs="Arial"/>
          <w:rtl/>
        </w:rPr>
        <w:t>ما المتطلبات والسياسات التشريعية والتنظيمية اللازمة لصياغة أطر حوكمة صارمة وأدلة إجرائية قياسية تنظم الممارسات المهنية والتجارية لكافة الفاعلين في سوق الفنون البصرية المحلي، وبما يضمن تنشيط بيئة السوق الثانوية لإعادة البيع والتسييل؟</w:t>
      </w:r>
    </w:p>
    <w:p w14:paraId="73CDA1CD" w14:textId="77777777" w:rsidR="00B00FCA" w:rsidRDefault="00000000">
      <w:pPr>
        <w:numPr>
          <w:ilvl w:val="0"/>
          <w:numId w:val="38"/>
        </w:numPr>
        <w:bidi/>
        <w:spacing w:after="240" w:line="276" w:lineRule="auto"/>
        <w:rPr>
          <w:rFonts w:ascii="Arial" w:eastAsia="Arial" w:hAnsi="Arial" w:cs="Arial"/>
        </w:rPr>
      </w:pPr>
      <w:r>
        <w:rPr>
          <w:rFonts w:ascii="Arial" w:eastAsia="Arial" w:hAnsi="Arial" w:cs="Arial"/>
          <w:rtl/>
        </w:rPr>
        <w:t>ما الملامح الهيكلية والمعالم التنفيذية لـ خارطة الطريق والاستراتيجية المقترحة التي تدمج بين نموذج الاتصال التسويقي المتكامل وأبعاد الابتكار الخمسة كمدخل شامل ومستدام للارتقاء بسوق الفن السعودي نحو النضج المؤسسي العالمي؟</w:t>
      </w:r>
    </w:p>
    <w:p w14:paraId="32C536CD" w14:textId="77777777" w:rsidR="00B00FCA" w:rsidRDefault="00000000">
      <w:pPr>
        <w:pStyle w:val="4"/>
        <w:keepNext w:val="0"/>
        <w:keepLines w:val="0"/>
        <w:bidi/>
        <w:spacing w:line="276" w:lineRule="auto"/>
        <w:rPr>
          <w:rFonts w:ascii="Arial" w:eastAsia="Arial" w:hAnsi="Arial" w:cs="Arial"/>
          <w:sz w:val="22"/>
          <w:szCs w:val="22"/>
        </w:rPr>
      </w:pPr>
      <w:bookmarkStart w:id="7" w:name="_foy8pcgbt5nw" w:colFirst="0" w:colLast="0"/>
      <w:bookmarkEnd w:id="7"/>
      <w:r>
        <w:rPr>
          <w:rFonts w:ascii="Arial" w:eastAsia="Arial" w:hAnsi="Arial" w:cs="Arial"/>
          <w:sz w:val="22"/>
          <w:szCs w:val="22"/>
          <w:rtl/>
        </w:rPr>
        <w:t>ثانياً: أهداف الدراسة</w:t>
      </w:r>
    </w:p>
    <w:p w14:paraId="52D41D94" w14:textId="77777777" w:rsidR="00B00FCA" w:rsidRDefault="00000000">
      <w:pPr>
        <w:bidi/>
        <w:spacing w:before="240" w:after="240" w:line="276" w:lineRule="auto"/>
        <w:rPr>
          <w:rFonts w:ascii="Arial" w:eastAsia="Arial" w:hAnsi="Arial" w:cs="Arial"/>
        </w:rPr>
      </w:pPr>
      <w:r>
        <w:rPr>
          <w:rFonts w:ascii="Arial" w:eastAsia="Arial" w:hAnsi="Arial" w:cs="Arial"/>
          <w:rtl/>
        </w:rPr>
        <w:t>تتحدد أهداف هذه الدراسة في نقاط إجرائية مباشرة ومحددة بدقة؛ حيث تسعى الأطروحة إلى تحويل التساؤلات النظرية المطروحة إلى مخرجات تطبيقية ونماذج عمل تسهم في سد الفجوة المعرفية والتنفيذية في قطاع الاقتصاد الإبداعي، وتتمثل الأهداف فيما يلي:</w:t>
      </w:r>
    </w:p>
    <w:p w14:paraId="2E7F9F11" w14:textId="77777777" w:rsidR="00B00FCA" w:rsidRDefault="00000000">
      <w:pPr>
        <w:numPr>
          <w:ilvl w:val="0"/>
          <w:numId w:val="21"/>
        </w:numPr>
        <w:bidi/>
        <w:spacing w:before="240" w:after="240" w:line="276" w:lineRule="auto"/>
        <w:rPr>
          <w:rFonts w:ascii="Arial" w:eastAsia="Arial" w:hAnsi="Arial" w:cs="Arial"/>
        </w:rPr>
      </w:pPr>
      <w:r>
        <w:rPr>
          <w:rFonts w:ascii="Arial" w:eastAsia="Arial" w:hAnsi="Arial" w:cs="Arial"/>
          <w:b/>
          <w:bCs/>
          <w:rtl/>
        </w:rPr>
        <w:t>الهدف الرئيسي العام للدراسة:</w:t>
      </w:r>
    </w:p>
    <w:p w14:paraId="71062305" w14:textId="77777777" w:rsidR="00B00FCA" w:rsidRDefault="00000000">
      <w:pPr>
        <w:bidi/>
        <w:spacing w:before="240" w:after="240" w:line="276" w:lineRule="auto"/>
        <w:ind w:left="600" w:right="600"/>
        <w:rPr>
          <w:rFonts w:ascii="Arial" w:eastAsia="Arial" w:hAnsi="Arial" w:cs="Arial"/>
        </w:rPr>
      </w:pPr>
      <w:r>
        <w:rPr>
          <w:rFonts w:ascii="Arial" w:eastAsia="Arial" w:hAnsi="Arial" w:cs="Arial"/>
          <w:rtl/>
        </w:rPr>
        <w:t xml:space="preserve">"بناء وتطوير إطار استراتيجي متكامل يدمج بين آليات الاتصال التسويقي المتكامل وأبعاد الابتكار الخمسة لإعادة هندسة سوق الفنون البصرية في المملكة العربية السعودية، وتأمين تحولها من السياق العفوي التقليدي إلى نموذج الصناعة الناضجة </w:t>
      </w:r>
      <w:proofErr w:type="spellStart"/>
      <w:r>
        <w:rPr>
          <w:rFonts w:ascii="Arial" w:eastAsia="Arial" w:hAnsi="Arial" w:cs="Arial"/>
          <w:rtl/>
        </w:rPr>
        <w:t>والمحوكمة</w:t>
      </w:r>
      <w:proofErr w:type="spellEnd"/>
      <w:r>
        <w:rPr>
          <w:rFonts w:ascii="Arial" w:eastAsia="Arial" w:hAnsi="Arial" w:cs="Arial"/>
          <w:rtl/>
        </w:rPr>
        <w:t>، بما يعزز مساهمة الاقتصاد الإبداعي في الناتج المحلي الإجمالي تماشياً مع رؤية المملكة 2030."</w:t>
      </w:r>
    </w:p>
    <w:p w14:paraId="137A5A79" w14:textId="77777777" w:rsidR="00B00FCA" w:rsidRDefault="00000000">
      <w:pPr>
        <w:numPr>
          <w:ilvl w:val="0"/>
          <w:numId w:val="17"/>
        </w:numPr>
        <w:bidi/>
        <w:spacing w:before="240" w:after="0" w:line="276" w:lineRule="auto"/>
        <w:rPr>
          <w:rFonts w:ascii="Arial" w:eastAsia="Arial" w:hAnsi="Arial" w:cs="Arial"/>
        </w:rPr>
      </w:pPr>
      <w:r>
        <w:rPr>
          <w:rFonts w:ascii="Arial" w:eastAsia="Arial" w:hAnsi="Arial" w:cs="Arial"/>
          <w:b/>
          <w:bCs/>
          <w:rtl/>
        </w:rPr>
        <w:t>الأهداف التفصيلية والتشغيلية:</w:t>
      </w:r>
    </w:p>
    <w:p w14:paraId="57ED9DC3" w14:textId="77777777" w:rsidR="00B00FCA" w:rsidRDefault="00000000">
      <w:pPr>
        <w:numPr>
          <w:ilvl w:val="0"/>
          <w:numId w:val="35"/>
        </w:numPr>
        <w:bidi/>
        <w:spacing w:after="0" w:line="276" w:lineRule="auto"/>
        <w:rPr>
          <w:rFonts w:ascii="Arial" w:eastAsia="Arial" w:hAnsi="Arial" w:cs="Arial"/>
        </w:rPr>
      </w:pPr>
      <w:r>
        <w:rPr>
          <w:rFonts w:ascii="Arial" w:eastAsia="Arial" w:hAnsi="Arial" w:cs="Arial"/>
          <w:rtl/>
        </w:rPr>
        <w:t>رصد وتقييم واقع الممارسات الاستراتيجية والترويجية التي تعتمد عليها صالات العرض والمؤسسات الفنية البصرية في المملكة العربية السعودية حالياً، وتحديد مواطن القصور وتشتت الرسائل، والوقوف على أسباب غياب الفكر التكاملي الموحد في حملاتها التسويقية.</w:t>
      </w:r>
    </w:p>
    <w:p w14:paraId="51CA1875" w14:textId="77777777" w:rsidR="00B00FCA" w:rsidRDefault="00000000">
      <w:pPr>
        <w:numPr>
          <w:ilvl w:val="0"/>
          <w:numId w:val="35"/>
        </w:numPr>
        <w:bidi/>
        <w:spacing w:after="0" w:line="276" w:lineRule="auto"/>
        <w:rPr>
          <w:rFonts w:ascii="Arial" w:eastAsia="Arial" w:hAnsi="Arial" w:cs="Arial"/>
        </w:rPr>
      </w:pPr>
      <w:r>
        <w:rPr>
          <w:rFonts w:ascii="Arial" w:eastAsia="Arial" w:hAnsi="Arial" w:cs="Arial"/>
          <w:rtl/>
        </w:rPr>
        <w:t>فحص وتحليل البنية التنظيمية الحالية لسوق الفن المحلي، ورسم خريطة تفصيلية لسلسلة القيمة الفنية، وتبيان الآثار السلبية والممارسات الاحتكارية الناتجة عن معضلة الوساطة الأحادية وتضارب المصالح على مستويات المصداقية والعدالة التجارية في التثمين.</w:t>
      </w:r>
    </w:p>
    <w:p w14:paraId="51191971" w14:textId="77777777" w:rsidR="00B00FCA" w:rsidRDefault="00000000">
      <w:pPr>
        <w:numPr>
          <w:ilvl w:val="0"/>
          <w:numId w:val="35"/>
        </w:numPr>
        <w:bidi/>
        <w:spacing w:after="0" w:line="276" w:lineRule="auto"/>
        <w:rPr>
          <w:rFonts w:ascii="Arial" w:eastAsia="Arial" w:hAnsi="Arial" w:cs="Arial"/>
        </w:rPr>
      </w:pPr>
      <w:r>
        <w:rPr>
          <w:rFonts w:ascii="Arial" w:eastAsia="Arial" w:hAnsi="Arial" w:cs="Arial"/>
          <w:rtl/>
        </w:rPr>
        <w:t xml:space="preserve">التعرف على الخصائص النفسية، والدوافع الشرائية والاستثمارية، والمعايير الإدراكية التي تحكم قرارات جيل </w:t>
      </w:r>
      <w:proofErr w:type="spellStart"/>
      <w:r>
        <w:rPr>
          <w:rFonts w:ascii="Arial" w:eastAsia="Arial" w:hAnsi="Arial" w:cs="Arial"/>
          <w:rtl/>
        </w:rPr>
        <w:t>المقتنين</w:t>
      </w:r>
      <w:proofErr w:type="spellEnd"/>
      <w:r>
        <w:rPr>
          <w:rFonts w:ascii="Arial" w:eastAsia="Arial" w:hAnsi="Arial" w:cs="Arial"/>
          <w:rtl/>
        </w:rPr>
        <w:t xml:space="preserve"> والمستثمرين الشباب الجديد في المملكة، وتحليل تفاعلاتهم السلوكية مع الزخم الرقمي والمنصات التفاعلية الحديثة.</w:t>
      </w:r>
    </w:p>
    <w:p w14:paraId="4AF1F531" w14:textId="77777777" w:rsidR="00B00FCA" w:rsidRDefault="00000000">
      <w:pPr>
        <w:numPr>
          <w:ilvl w:val="0"/>
          <w:numId w:val="35"/>
        </w:numPr>
        <w:bidi/>
        <w:spacing w:after="0" w:line="276" w:lineRule="auto"/>
        <w:rPr>
          <w:rFonts w:ascii="Arial" w:eastAsia="Arial" w:hAnsi="Arial" w:cs="Arial"/>
        </w:rPr>
      </w:pPr>
      <w:r>
        <w:rPr>
          <w:rFonts w:ascii="Arial" w:eastAsia="Arial" w:hAnsi="Arial" w:cs="Arial"/>
          <w:rtl/>
        </w:rPr>
        <w:t xml:space="preserve">وضع تصور علمي وهندسي لبناء منصات رقمية مركزية ومستقلة تتيح دمج حلول الثورة الصناعية الرابعة في بيئة تداول الفنون البصرية، لإنشاء قواعد بيانات سعرية تاريخية ونظم توثيق رقمية تحمي المنتجات الإبداعية الوطنية من </w:t>
      </w:r>
      <w:proofErr w:type="gramStart"/>
      <w:r>
        <w:rPr>
          <w:rFonts w:ascii="Arial" w:eastAsia="Arial" w:hAnsi="Arial" w:cs="Arial"/>
          <w:rtl/>
        </w:rPr>
        <w:t>مخاطر</w:t>
      </w:r>
      <w:proofErr w:type="gramEnd"/>
      <w:r>
        <w:rPr>
          <w:rFonts w:ascii="Arial" w:eastAsia="Arial" w:hAnsi="Arial" w:cs="Arial"/>
          <w:rtl/>
        </w:rPr>
        <w:t xml:space="preserve"> التزوير والنسخ غير القانوني.</w:t>
      </w:r>
    </w:p>
    <w:p w14:paraId="3F583D48" w14:textId="77777777" w:rsidR="00B00FCA" w:rsidRDefault="00000000">
      <w:pPr>
        <w:numPr>
          <w:ilvl w:val="0"/>
          <w:numId w:val="35"/>
        </w:numPr>
        <w:bidi/>
        <w:spacing w:after="0" w:line="276" w:lineRule="auto"/>
        <w:rPr>
          <w:rFonts w:ascii="Arial" w:eastAsia="Arial" w:hAnsi="Arial" w:cs="Arial"/>
        </w:rPr>
      </w:pPr>
      <w:r>
        <w:rPr>
          <w:rFonts w:ascii="Arial" w:eastAsia="Arial" w:hAnsi="Arial" w:cs="Arial"/>
          <w:rtl/>
        </w:rPr>
        <w:t>تحديد المتطلبات والسياسات القانونية والتنظيمية الحتمية لإرساء قواعد حوكمة صارمة تنظم العلاقات المهنية والمالية والتعاقدية بين كافة الفاعلين، وصياغة استراتيجيات عملية قادرة على تنشيط وتفعيل السوق الثانوية لإعادة البيع لضمان السيولة والاستقرار المالي للقطاع.</w:t>
      </w:r>
    </w:p>
    <w:p w14:paraId="3733BCE3" w14:textId="77777777" w:rsidR="00B00FCA" w:rsidRDefault="00000000">
      <w:pPr>
        <w:numPr>
          <w:ilvl w:val="0"/>
          <w:numId w:val="35"/>
        </w:numPr>
        <w:bidi/>
        <w:spacing w:after="240" w:line="276" w:lineRule="auto"/>
        <w:rPr>
          <w:rFonts w:ascii="Arial" w:eastAsia="Arial" w:hAnsi="Arial" w:cs="Arial"/>
        </w:rPr>
      </w:pPr>
      <w:r>
        <w:rPr>
          <w:rFonts w:ascii="Arial" w:eastAsia="Arial" w:hAnsi="Arial" w:cs="Arial"/>
          <w:rtl/>
        </w:rPr>
        <w:lastRenderedPageBreak/>
        <w:t>صياغة نموذج نظري وعملي مبتكر يدمج بين أدوات الاتصال التسويقي المتكامل وأبعاد الابتكار الخمسة (التسويقي، النفسي، التقني، الاقتصادي، التنظيمي) كخارطة طريق واضحة المعالم ومحددة الإجراءات والمؤشرات الزمنية للارتقاء بالسوق الفنية السعودية نحو مستويات التنافسية العالمية الشاملة.</w:t>
      </w:r>
    </w:p>
    <w:p w14:paraId="56E2201D" w14:textId="77777777" w:rsidR="00B00FCA" w:rsidRDefault="00000000">
      <w:pPr>
        <w:pStyle w:val="4"/>
        <w:keepNext w:val="0"/>
        <w:keepLines w:val="0"/>
        <w:bidi/>
        <w:spacing w:line="276" w:lineRule="auto"/>
        <w:rPr>
          <w:rFonts w:ascii="Arial" w:eastAsia="Arial" w:hAnsi="Arial" w:cs="Arial"/>
          <w:sz w:val="22"/>
          <w:szCs w:val="22"/>
        </w:rPr>
      </w:pPr>
      <w:bookmarkStart w:id="8" w:name="_89xeijb8wly2" w:colFirst="0" w:colLast="0"/>
      <w:bookmarkEnd w:id="8"/>
      <w:r>
        <w:rPr>
          <w:rFonts w:ascii="Arial" w:eastAsia="Arial" w:hAnsi="Arial" w:cs="Arial"/>
          <w:sz w:val="22"/>
          <w:szCs w:val="22"/>
          <w:rtl/>
        </w:rPr>
        <w:t>ثالثاً: فرضيات الدراسة</w:t>
      </w:r>
    </w:p>
    <w:p w14:paraId="3BF6D599" w14:textId="77777777" w:rsidR="00B00FCA" w:rsidRDefault="00000000">
      <w:pPr>
        <w:bidi/>
        <w:spacing w:before="240" w:after="240" w:line="276" w:lineRule="auto"/>
        <w:rPr>
          <w:rFonts w:ascii="Arial" w:eastAsia="Arial" w:hAnsi="Arial" w:cs="Arial"/>
        </w:rPr>
      </w:pPr>
      <w:r>
        <w:rPr>
          <w:rFonts w:ascii="Arial" w:eastAsia="Arial" w:hAnsi="Arial" w:cs="Arial"/>
          <w:rtl/>
        </w:rPr>
        <w:t>تتأسس صياغة الفرضيات البحثية في هذه الدراسة على استقراء دقيق للتراث النظري والأدبيات السابقة المرتبطة بعلوم الاتصال التسويقي، وإدارة الابتكار، واقتصاديات الفن. وتسعى الفرضيات إلى قياس واختبار طبيعة واتجاه وقوة العلاقات الارتباطية والسببية بين المتغيرات المستقلة والمتغير التابع، حيث صيغت في صورة فرضيات موجهة ومباشرة دون استعراض مبرراتها النظريّة المطولة في هذا الموضع:</w:t>
      </w:r>
    </w:p>
    <w:p w14:paraId="076D18FD" w14:textId="77777777" w:rsidR="00B00FCA" w:rsidRDefault="00000000">
      <w:pPr>
        <w:numPr>
          <w:ilvl w:val="0"/>
          <w:numId w:val="5"/>
        </w:numPr>
        <w:bidi/>
        <w:spacing w:before="240" w:after="240" w:line="276" w:lineRule="auto"/>
        <w:rPr>
          <w:rFonts w:ascii="Arial" w:eastAsia="Arial" w:hAnsi="Arial" w:cs="Arial"/>
        </w:rPr>
      </w:pPr>
      <w:r>
        <w:rPr>
          <w:rFonts w:ascii="Arial" w:eastAsia="Arial" w:hAnsi="Arial" w:cs="Arial"/>
          <w:b/>
          <w:bCs/>
          <w:rtl/>
        </w:rPr>
        <w:t>الفرضية العامة الشاملة للدراسة:</w:t>
      </w:r>
    </w:p>
    <w:p w14:paraId="7F64638B" w14:textId="77777777" w:rsidR="00B00FCA" w:rsidRDefault="00000000">
      <w:pPr>
        <w:bidi/>
        <w:spacing w:before="240" w:after="240" w:line="276" w:lineRule="auto"/>
        <w:ind w:left="600" w:right="600"/>
        <w:rPr>
          <w:rFonts w:ascii="Arial" w:eastAsia="Arial" w:hAnsi="Arial" w:cs="Arial"/>
        </w:rPr>
      </w:pPr>
      <w:r>
        <w:rPr>
          <w:rFonts w:ascii="Arial" w:eastAsia="Arial" w:hAnsi="Arial" w:cs="Arial"/>
          <w:rtl/>
        </w:rPr>
        <w:t xml:space="preserve">"توجد علاقة ارتباطية موجبة ذات دلالة إحصائية بين تفعيل استراتيجيات الاتصال التسويقي المتكامل المدعومة بأبعاد الابتكار الخمسة مجتمعة (التسويقي، والنفسي، والتقني، والاقتصادي، والمؤسسي)، وبين إعادة هندسة سوق الفنون البصرية في المملكة العربية السعودية وتحقيق نضجها الهيكلي والمؤسسي </w:t>
      </w:r>
      <w:proofErr w:type="gramStart"/>
      <w:r>
        <w:rPr>
          <w:rFonts w:ascii="Arial" w:eastAsia="Arial" w:hAnsi="Arial" w:cs="Arial"/>
          <w:rtl/>
        </w:rPr>
        <w:t>و تنافسيتها</w:t>
      </w:r>
      <w:proofErr w:type="gramEnd"/>
      <w:r>
        <w:rPr>
          <w:rFonts w:ascii="Arial" w:eastAsia="Arial" w:hAnsi="Arial" w:cs="Arial"/>
          <w:rtl/>
        </w:rPr>
        <w:t xml:space="preserve"> العالمية."</w:t>
      </w:r>
    </w:p>
    <w:p w14:paraId="494BD032" w14:textId="77777777" w:rsidR="00B00FCA" w:rsidRDefault="00000000">
      <w:pPr>
        <w:numPr>
          <w:ilvl w:val="0"/>
          <w:numId w:val="1"/>
        </w:numPr>
        <w:bidi/>
        <w:spacing w:before="240" w:after="0" w:line="276" w:lineRule="auto"/>
        <w:rPr>
          <w:rFonts w:ascii="Arial" w:eastAsia="Arial" w:hAnsi="Arial" w:cs="Arial"/>
        </w:rPr>
      </w:pPr>
      <w:r>
        <w:rPr>
          <w:rFonts w:ascii="Arial" w:eastAsia="Arial" w:hAnsi="Arial" w:cs="Arial"/>
          <w:b/>
          <w:bCs/>
          <w:rtl/>
        </w:rPr>
        <w:t>الفرضيات الفرعية الموجهة:</w:t>
      </w:r>
    </w:p>
    <w:p w14:paraId="7C7EDC03" w14:textId="77777777" w:rsidR="00B00FCA" w:rsidRDefault="00000000">
      <w:pPr>
        <w:numPr>
          <w:ilvl w:val="0"/>
          <w:numId w:val="18"/>
        </w:numPr>
        <w:bidi/>
        <w:spacing w:after="0" w:line="276" w:lineRule="auto"/>
        <w:rPr>
          <w:rFonts w:ascii="Arial" w:eastAsia="Arial" w:hAnsi="Arial" w:cs="Arial"/>
        </w:rPr>
      </w:pPr>
      <w:r>
        <w:rPr>
          <w:rFonts w:ascii="Arial" w:eastAsia="Arial" w:hAnsi="Arial" w:cs="Arial"/>
          <w:b/>
          <w:bCs/>
          <w:rtl/>
        </w:rPr>
        <w:t>الفرضية الفرعية الأولى (البعد الاتصالي):</w:t>
      </w:r>
      <w:r>
        <w:rPr>
          <w:rFonts w:ascii="Arial" w:eastAsia="Arial" w:hAnsi="Arial" w:cs="Arial"/>
          <w:rtl/>
        </w:rPr>
        <w:t xml:space="preserve"> "يؤدي الانتقال من الحملات الترويجية المشتتة والموسمية إلى استراتيجيات الاتصال التسويقي المتكامل في صالات العرض السعودية إلى إحداث تحسن معنوي ذي دلالة إحصائية في الصورة الذهنية للفن المعاصر وزيادة كفاءة جذب </w:t>
      </w:r>
      <w:proofErr w:type="spellStart"/>
      <w:r>
        <w:rPr>
          <w:rFonts w:ascii="Arial" w:eastAsia="Arial" w:hAnsi="Arial" w:cs="Arial"/>
          <w:rtl/>
        </w:rPr>
        <w:t>المقتنين</w:t>
      </w:r>
      <w:proofErr w:type="spellEnd"/>
      <w:r>
        <w:rPr>
          <w:rFonts w:ascii="Arial" w:eastAsia="Arial" w:hAnsi="Arial" w:cs="Arial"/>
          <w:rtl/>
        </w:rPr>
        <w:t xml:space="preserve"> المرتقبين."</w:t>
      </w:r>
    </w:p>
    <w:p w14:paraId="29CB54BB" w14:textId="77777777" w:rsidR="00B00FCA" w:rsidRDefault="00000000">
      <w:pPr>
        <w:numPr>
          <w:ilvl w:val="0"/>
          <w:numId w:val="18"/>
        </w:numPr>
        <w:bidi/>
        <w:spacing w:after="0" w:line="276" w:lineRule="auto"/>
        <w:rPr>
          <w:rFonts w:ascii="Arial" w:eastAsia="Arial" w:hAnsi="Arial" w:cs="Arial"/>
        </w:rPr>
      </w:pPr>
      <w:r>
        <w:rPr>
          <w:rFonts w:ascii="Arial" w:eastAsia="Arial" w:hAnsi="Arial" w:cs="Arial"/>
          <w:b/>
          <w:bCs/>
          <w:rtl/>
        </w:rPr>
        <w:t>الفرضية الفرعية الثانية (الابتكار التسويقي):</w:t>
      </w:r>
      <w:r>
        <w:rPr>
          <w:rFonts w:ascii="Arial" w:eastAsia="Arial" w:hAnsi="Arial" w:cs="Arial"/>
          <w:rtl/>
        </w:rPr>
        <w:t xml:space="preserve"> "يوجد أثر إيجابي ذو دلالة إحصائية للابتكار التسويقي -المتمثل في تطوير قنوات التدفق المالي وقنوات التوزيع الرقمية التفاعلية- على توسيع قاعدة </w:t>
      </w:r>
      <w:proofErr w:type="spellStart"/>
      <w:r>
        <w:rPr>
          <w:rFonts w:ascii="Arial" w:eastAsia="Arial" w:hAnsi="Arial" w:cs="Arial"/>
          <w:rtl/>
        </w:rPr>
        <w:t>المقتنين</w:t>
      </w:r>
      <w:proofErr w:type="spellEnd"/>
      <w:r>
        <w:rPr>
          <w:rFonts w:ascii="Arial" w:eastAsia="Arial" w:hAnsi="Arial" w:cs="Arial"/>
          <w:rtl/>
        </w:rPr>
        <w:t xml:space="preserve"> الأفقية وزيادة حجم التدفقات النقدية المتداولة في سوق الفن المحلي."</w:t>
      </w:r>
    </w:p>
    <w:p w14:paraId="787E4426" w14:textId="77777777" w:rsidR="00B00FCA" w:rsidRDefault="00000000">
      <w:pPr>
        <w:numPr>
          <w:ilvl w:val="0"/>
          <w:numId w:val="18"/>
        </w:numPr>
        <w:bidi/>
        <w:spacing w:after="0" w:line="276" w:lineRule="auto"/>
        <w:rPr>
          <w:rFonts w:ascii="Arial" w:eastAsia="Arial" w:hAnsi="Arial" w:cs="Arial"/>
        </w:rPr>
      </w:pPr>
      <w:r>
        <w:rPr>
          <w:rFonts w:ascii="Arial" w:eastAsia="Arial" w:hAnsi="Arial" w:cs="Arial"/>
          <w:b/>
          <w:bCs/>
          <w:rtl/>
        </w:rPr>
        <w:t>الفرضية الفرعية الثالثة (الابتكار النفسي والسلوكي):</w:t>
      </w:r>
      <w:r>
        <w:rPr>
          <w:rFonts w:ascii="Arial" w:eastAsia="Arial" w:hAnsi="Arial" w:cs="Arial"/>
          <w:rtl/>
        </w:rPr>
        <w:t xml:space="preserve"> "تساهم استراتيجيات الابتكار النفسي والسلوكي -المتمثلة في هندسة الثقة الإدراكية وتقديم تجارب اقتناء مخصصة- في خفض المخاطر النفسية والمالية المدركة لدى جيل </w:t>
      </w:r>
      <w:proofErr w:type="spellStart"/>
      <w:r>
        <w:rPr>
          <w:rFonts w:ascii="Arial" w:eastAsia="Arial" w:hAnsi="Arial" w:cs="Arial"/>
          <w:rtl/>
        </w:rPr>
        <w:t>المقتنين</w:t>
      </w:r>
      <w:proofErr w:type="spellEnd"/>
      <w:r>
        <w:rPr>
          <w:rFonts w:ascii="Arial" w:eastAsia="Arial" w:hAnsi="Arial" w:cs="Arial"/>
          <w:rtl/>
        </w:rPr>
        <w:t xml:space="preserve"> الرقميين الجدد وزيادة مستويات ولائهم للسوق."</w:t>
      </w:r>
    </w:p>
    <w:p w14:paraId="1F096B2E" w14:textId="77777777" w:rsidR="00B00FCA" w:rsidRDefault="00000000">
      <w:pPr>
        <w:numPr>
          <w:ilvl w:val="0"/>
          <w:numId w:val="18"/>
        </w:numPr>
        <w:bidi/>
        <w:spacing w:after="0" w:line="276" w:lineRule="auto"/>
        <w:rPr>
          <w:rFonts w:ascii="Arial" w:eastAsia="Arial" w:hAnsi="Arial" w:cs="Arial"/>
        </w:rPr>
      </w:pPr>
      <w:r>
        <w:rPr>
          <w:rFonts w:ascii="Arial" w:eastAsia="Arial" w:hAnsi="Arial" w:cs="Arial"/>
          <w:b/>
          <w:bCs/>
          <w:rtl/>
        </w:rPr>
        <w:t>الفرضية الفرعية الرابعة (الابتكار التقني والمعلوماتي):</w:t>
      </w:r>
      <w:r>
        <w:rPr>
          <w:rFonts w:ascii="Arial" w:eastAsia="Arial" w:hAnsi="Arial" w:cs="Arial"/>
          <w:rtl/>
        </w:rPr>
        <w:t xml:space="preserve"> "يوجد أثر ذو دلالة إحصائية لتطبيقات الثورة الصناعية الرابعة (الذكاء الاصطناعي، والبيانات الضخمة، والتوثيق الرقمي المشفر) على الحد من عشوائية تسعير الأعمال الفنية وحماية أصالتها وحقوق ملكيتها الفكرية."</w:t>
      </w:r>
    </w:p>
    <w:p w14:paraId="4761837A" w14:textId="77777777" w:rsidR="00B00FCA" w:rsidRDefault="00000000">
      <w:pPr>
        <w:numPr>
          <w:ilvl w:val="0"/>
          <w:numId w:val="18"/>
        </w:numPr>
        <w:bidi/>
        <w:spacing w:after="0" w:line="276" w:lineRule="auto"/>
        <w:rPr>
          <w:rFonts w:ascii="Arial" w:eastAsia="Arial" w:hAnsi="Arial" w:cs="Arial"/>
        </w:rPr>
      </w:pPr>
      <w:r>
        <w:rPr>
          <w:rFonts w:ascii="Arial" w:eastAsia="Arial" w:hAnsi="Arial" w:cs="Arial"/>
          <w:b/>
          <w:bCs/>
          <w:rtl/>
        </w:rPr>
        <w:t>الفرضية الفرعية الخامسة (الابتكار الاقتصادي):</w:t>
      </w:r>
      <w:r>
        <w:rPr>
          <w:rFonts w:ascii="Arial" w:eastAsia="Arial" w:hAnsi="Arial" w:cs="Arial"/>
          <w:rtl/>
        </w:rPr>
        <w:t xml:space="preserve"> "يؤدي تفعيل استراتيجيات الابتكار الاقتصادي -المتمثلة في هيكلة آليات تسعير معيارية وتنشيط سوق ثانوية آمنة ومستقلة لإعادة البيع- إلى تحفيز دخول المستثمرين والمؤسسات المالية والمحافظ المصرفية الكبرى إلى سوق الفنون البصرية المحلي."</w:t>
      </w:r>
    </w:p>
    <w:p w14:paraId="02FDA8E7" w14:textId="77777777" w:rsidR="00B00FCA" w:rsidRDefault="00000000">
      <w:pPr>
        <w:numPr>
          <w:ilvl w:val="0"/>
          <w:numId w:val="18"/>
        </w:numPr>
        <w:bidi/>
        <w:spacing w:after="240" w:line="276" w:lineRule="auto"/>
        <w:rPr>
          <w:rFonts w:ascii="Arial" w:eastAsia="Arial" w:hAnsi="Arial" w:cs="Arial"/>
        </w:rPr>
      </w:pPr>
      <w:r>
        <w:rPr>
          <w:rFonts w:ascii="Arial" w:eastAsia="Arial" w:hAnsi="Arial" w:cs="Arial"/>
          <w:b/>
          <w:bCs/>
          <w:rtl/>
        </w:rPr>
        <w:t>الفرضية الفرعية السادسة (الابتكار المؤسسي والتنظيمي):</w:t>
      </w:r>
      <w:r>
        <w:rPr>
          <w:rFonts w:ascii="Arial" w:eastAsia="Arial" w:hAnsi="Arial" w:cs="Arial"/>
          <w:rtl/>
        </w:rPr>
        <w:t xml:space="preserve"> "تؤثر صياغة أطر الحوكمة الصارمة والسياسات التشريعية والمواثيق المهنية الملزمة إيجابياً، وبدلالة إحصائية، على فض معضلة الوساطة الأحادية، والحد من تضارب المصالح، وتحقيق الاستقرار البنيوي لسلسلة القيمة الفنية المحلية".</w:t>
      </w:r>
    </w:p>
    <w:p w14:paraId="584567A1" w14:textId="77777777" w:rsidR="00B00FCA" w:rsidRDefault="00000000">
      <w:pPr>
        <w:pStyle w:val="3"/>
        <w:keepNext w:val="0"/>
        <w:keepLines w:val="0"/>
        <w:bidi/>
        <w:spacing w:line="276" w:lineRule="auto"/>
        <w:rPr>
          <w:rFonts w:ascii="Arial" w:eastAsia="Arial" w:hAnsi="Arial" w:cs="Arial"/>
          <w:sz w:val="32"/>
          <w:szCs w:val="32"/>
        </w:rPr>
      </w:pPr>
      <w:bookmarkStart w:id="9" w:name="_aodkyww9pzm7" w:colFirst="0" w:colLast="0"/>
      <w:bookmarkEnd w:id="9"/>
      <w:r>
        <w:rPr>
          <w:rFonts w:ascii="Arial" w:eastAsia="Arial" w:hAnsi="Arial" w:cs="Arial"/>
          <w:sz w:val="32"/>
          <w:szCs w:val="32"/>
          <w:rtl/>
        </w:rPr>
        <w:t>رابعاً: أهمية الدراسة</w:t>
      </w:r>
    </w:p>
    <w:p w14:paraId="79A570CA" w14:textId="77777777" w:rsidR="00B00FCA" w:rsidRDefault="00000000">
      <w:pPr>
        <w:bidi/>
        <w:spacing w:before="240" w:after="240" w:line="276" w:lineRule="auto"/>
        <w:rPr>
          <w:rFonts w:ascii="Arial" w:eastAsia="Arial" w:hAnsi="Arial" w:cs="Arial"/>
        </w:rPr>
      </w:pPr>
      <w:r>
        <w:rPr>
          <w:rFonts w:ascii="Arial" w:eastAsia="Arial" w:hAnsi="Arial" w:cs="Arial"/>
          <w:rtl/>
        </w:rPr>
        <w:t>تستمد هذه الدراسة مشروعيتها العلمية ومسوغاتها المنهجية من طبيعة التحولات الهيكلية المتسارعة التي يمر بها قطاع الاقتصاد الإبداعي في المملكة العربية السعودية؛ وهو ما يفرض ضرورة الانتقال بالبحث الأكاديمي من الأنماط الوصفية التقليدية إلى الأطر التحليلية والتطبيقية المركبة، وتتحدد أهمية الأطروحة عبر مسارين استراتيجيين متكاملين على النحو الآتي:</w:t>
      </w:r>
    </w:p>
    <w:p w14:paraId="5AE4FC67" w14:textId="77777777" w:rsidR="00B00FCA" w:rsidRDefault="00000000">
      <w:pPr>
        <w:pStyle w:val="4"/>
        <w:keepNext w:val="0"/>
        <w:keepLines w:val="0"/>
        <w:bidi/>
        <w:spacing w:line="276" w:lineRule="auto"/>
        <w:rPr>
          <w:rFonts w:ascii="Arial" w:eastAsia="Arial" w:hAnsi="Arial" w:cs="Arial"/>
          <w:sz w:val="22"/>
          <w:szCs w:val="22"/>
        </w:rPr>
      </w:pPr>
      <w:bookmarkStart w:id="10" w:name="_7ogrwahzri6l" w:colFirst="0" w:colLast="0"/>
      <w:bookmarkEnd w:id="10"/>
      <w:r>
        <w:rPr>
          <w:rFonts w:ascii="Arial" w:eastAsia="Arial" w:hAnsi="Arial" w:cs="Arial"/>
          <w:sz w:val="22"/>
          <w:szCs w:val="22"/>
          <w:rtl/>
        </w:rPr>
        <w:t>1. الأهمية العلمية والنظرية (الأثر المعرفي الأكاديمي)</w:t>
      </w:r>
    </w:p>
    <w:p w14:paraId="1DB3E166" w14:textId="77777777" w:rsidR="00B00FCA" w:rsidRDefault="00000000">
      <w:pPr>
        <w:numPr>
          <w:ilvl w:val="0"/>
          <w:numId w:val="13"/>
        </w:numPr>
        <w:bidi/>
        <w:spacing w:before="240" w:after="0" w:line="276" w:lineRule="auto"/>
        <w:rPr>
          <w:rFonts w:ascii="Arial" w:eastAsia="Arial" w:hAnsi="Arial" w:cs="Arial"/>
        </w:rPr>
      </w:pPr>
      <w:r>
        <w:rPr>
          <w:rFonts w:ascii="Arial" w:eastAsia="Arial" w:hAnsi="Arial" w:cs="Arial"/>
          <w:b/>
          <w:bCs/>
          <w:rtl/>
        </w:rPr>
        <w:lastRenderedPageBreak/>
        <w:t>سد الفجوة المعرفية في المكتبة العربية والمحلية:</w:t>
      </w:r>
      <w:r>
        <w:rPr>
          <w:rFonts w:ascii="Arial" w:eastAsia="Arial" w:hAnsi="Arial" w:cs="Arial"/>
          <w:rtl/>
        </w:rPr>
        <w:t xml:space="preserve"> تقديم دراسة بينية رائدة تقارب سوق الفنون البصرية كقطاع استثماري وأصل مالي يتطلب استراتيجيات اتصالية وتسويقية </w:t>
      </w:r>
      <w:proofErr w:type="spellStart"/>
      <w:r>
        <w:rPr>
          <w:rFonts w:ascii="Arial" w:eastAsia="Arial" w:hAnsi="Arial" w:cs="Arial"/>
          <w:rtl/>
        </w:rPr>
        <w:t>محوكمة</w:t>
      </w:r>
      <w:proofErr w:type="spellEnd"/>
      <w:r>
        <w:rPr>
          <w:rFonts w:ascii="Arial" w:eastAsia="Arial" w:hAnsi="Arial" w:cs="Arial"/>
          <w:rtl/>
        </w:rPr>
        <w:t xml:space="preserve"> (الغامدي، 2023؛ العتيبي، 2023)، متجاوزةً الأنماط الكلاسيكية التي ركزت تاريخياً على الزوايا النقدية والجمالية والتاريخية المجردة (السيد، 2024).</w:t>
      </w:r>
    </w:p>
    <w:p w14:paraId="18DAC1B3" w14:textId="77777777" w:rsidR="00B00FCA" w:rsidRDefault="00000000">
      <w:pPr>
        <w:numPr>
          <w:ilvl w:val="0"/>
          <w:numId w:val="13"/>
        </w:numPr>
        <w:bidi/>
        <w:spacing w:after="0" w:line="276" w:lineRule="auto"/>
        <w:rPr>
          <w:rFonts w:ascii="Arial" w:eastAsia="Arial" w:hAnsi="Arial" w:cs="Arial"/>
        </w:rPr>
      </w:pPr>
      <w:r>
        <w:rPr>
          <w:rFonts w:ascii="Arial" w:eastAsia="Arial" w:hAnsi="Arial" w:cs="Arial"/>
          <w:b/>
          <w:bCs/>
          <w:rtl/>
        </w:rPr>
        <w:t>تأصيل نموذج نظري تكاملي مبتكر:</w:t>
      </w:r>
      <w:r>
        <w:rPr>
          <w:rFonts w:ascii="Arial" w:eastAsia="Arial" w:hAnsi="Arial" w:cs="Arial"/>
          <w:rtl/>
        </w:rPr>
        <w:t xml:space="preserve"> صياغة إطار مفاهيمي هجين يدمج بشكل نسقي ومتكامل بين آليات الاتصال التسويقي المتكامل وأبعاد الابتكار الخمسة (التسويقي، والنفسي، والتقني، والاقتصادي، والتنظيمي)، لتفسير ديناميكيات أسواق السلع الرمزية والإبداعية التي يعجز المزيج التسويقي التقليدي عن الإحاطة بها (منصور، 2024).</w:t>
      </w:r>
    </w:p>
    <w:p w14:paraId="1B45B9FC" w14:textId="77777777" w:rsidR="00B00FCA" w:rsidRDefault="00000000">
      <w:pPr>
        <w:numPr>
          <w:ilvl w:val="0"/>
          <w:numId w:val="13"/>
        </w:numPr>
        <w:bidi/>
        <w:spacing w:after="0" w:line="276" w:lineRule="auto"/>
        <w:rPr>
          <w:rFonts w:ascii="Arial" w:eastAsia="Arial" w:hAnsi="Arial" w:cs="Arial"/>
        </w:rPr>
      </w:pPr>
      <w:r>
        <w:rPr>
          <w:rFonts w:ascii="Arial" w:eastAsia="Arial" w:hAnsi="Arial" w:cs="Arial"/>
          <w:b/>
          <w:bCs/>
          <w:rtl/>
        </w:rPr>
        <w:t>إثراء المنهجيات البحثية البينية ومتعددة التخصصات:</w:t>
      </w:r>
      <w:r>
        <w:rPr>
          <w:rFonts w:ascii="Arial" w:eastAsia="Arial" w:hAnsi="Arial" w:cs="Arial"/>
          <w:rtl/>
        </w:rPr>
        <w:t xml:space="preserve"> تقديم نموذج تطبيقي متقدم يكسر الجمود التنظيمي بين الحقول المعرفية عبر صهر ومزاوجة أدوات التحليل الإعلامي والاتصالي مع ونظريات السلوك الاستثماري، </w:t>
      </w:r>
      <w:proofErr w:type="gramStart"/>
      <w:r>
        <w:rPr>
          <w:rFonts w:ascii="Arial" w:eastAsia="Arial" w:hAnsi="Arial" w:cs="Arial"/>
          <w:rtl/>
        </w:rPr>
        <w:t>و سيكولوجية</w:t>
      </w:r>
      <w:proofErr w:type="gramEnd"/>
      <w:r>
        <w:rPr>
          <w:rFonts w:ascii="Arial" w:eastAsia="Arial" w:hAnsi="Arial" w:cs="Arial"/>
          <w:rtl/>
        </w:rPr>
        <w:t xml:space="preserve"> المستهلك، وحلول الثورة الصناعية الرابعة، بما يسهم في تطوير مقاييس إجرائية لظواهر معقدة مثل الزخم الرقمي والمخاطر الإدراكية (الشريف، 2025).</w:t>
      </w:r>
    </w:p>
    <w:p w14:paraId="5CFCB6BC" w14:textId="77777777" w:rsidR="00B00FCA" w:rsidRDefault="00000000">
      <w:pPr>
        <w:numPr>
          <w:ilvl w:val="0"/>
          <w:numId w:val="13"/>
        </w:numPr>
        <w:bidi/>
        <w:spacing w:after="240" w:line="276" w:lineRule="auto"/>
        <w:rPr>
          <w:rFonts w:ascii="Arial" w:eastAsia="Arial" w:hAnsi="Arial" w:cs="Arial"/>
        </w:rPr>
      </w:pPr>
      <w:r>
        <w:rPr>
          <w:rFonts w:ascii="Arial" w:eastAsia="Arial" w:hAnsi="Arial" w:cs="Arial"/>
          <w:b/>
          <w:bCs/>
          <w:rtl/>
        </w:rPr>
        <w:t>تطوير النظريات السلوكية والإدراكية في البيئة الرقمية:</w:t>
      </w:r>
      <w:r>
        <w:rPr>
          <w:rFonts w:ascii="Arial" w:eastAsia="Arial" w:hAnsi="Arial" w:cs="Arial"/>
          <w:rtl/>
        </w:rPr>
        <w:t xml:space="preserve"> تفكيك وسبر أغوار سيكولوجية المقتني الرقمي الجديد في المجتمع السعودي، وتحديد كيفية تشكل دوافعه الشرائية والاستثمارية تحت تأثير منصات التواصل الاجتماعي والتدفقات المعلوماتية الفورية لخفض مستويات عدم اليقين والمخاطر المالية المدركة (الرشيد، 2024).</w:t>
      </w:r>
    </w:p>
    <w:p w14:paraId="65FB415B" w14:textId="77777777" w:rsidR="00B00FCA" w:rsidRDefault="00000000">
      <w:pPr>
        <w:pStyle w:val="4"/>
        <w:keepNext w:val="0"/>
        <w:keepLines w:val="0"/>
        <w:bidi/>
        <w:spacing w:line="276" w:lineRule="auto"/>
        <w:rPr>
          <w:rFonts w:ascii="Arial" w:eastAsia="Arial" w:hAnsi="Arial" w:cs="Arial"/>
          <w:sz w:val="22"/>
          <w:szCs w:val="22"/>
        </w:rPr>
      </w:pPr>
      <w:bookmarkStart w:id="11" w:name="_n56ncfa2mt1d" w:colFirst="0" w:colLast="0"/>
      <w:bookmarkEnd w:id="11"/>
      <w:r>
        <w:rPr>
          <w:rFonts w:ascii="Arial" w:eastAsia="Arial" w:hAnsi="Arial" w:cs="Arial"/>
          <w:sz w:val="22"/>
          <w:szCs w:val="22"/>
          <w:rtl/>
        </w:rPr>
        <w:t>2. الأهمية العملية والتطبيقية (الأثر الميداني والتنموي)</w:t>
      </w:r>
    </w:p>
    <w:p w14:paraId="730731F2" w14:textId="77777777" w:rsidR="00B00FCA" w:rsidRDefault="00000000">
      <w:pPr>
        <w:numPr>
          <w:ilvl w:val="0"/>
          <w:numId w:val="20"/>
        </w:numPr>
        <w:bidi/>
        <w:spacing w:before="240" w:after="0" w:line="276" w:lineRule="auto"/>
        <w:rPr>
          <w:rFonts w:ascii="Arial" w:eastAsia="Arial" w:hAnsi="Arial" w:cs="Arial"/>
        </w:rPr>
      </w:pPr>
      <w:r>
        <w:rPr>
          <w:rFonts w:ascii="Arial" w:eastAsia="Arial" w:hAnsi="Arial" w:cs="Arial"/>
          <w:b/>
          <w:bCs/>
          <w:rtl/>
        </w:rPr>
        <w:t>دعم صناع القرار والتخطيط الاستراتيجي الكلي:</w:t>
      </w:r>
      <w:r>
        <w:rPr>
          <w:rFonts w:ascii="Arial" w:eastAsia="Arial" w:hAnsi="Arial" w:cs="Arial"/>
          <w:rtl/>
        </w:rPr>
        <w:t xml:space="preserve"> تزويد وزارة الثقافة وهيئة الفنون البصرية بدليل تشخيصي وأطر حوكمة عملي لصياغة لوائح تنظيمية وميثاق شرف مهني ملزم، مما يسهم في مأسسة القطاع والحد من تضارب المصالح، ويسرع رفع مساهمته إلى ثلاثة بالمئة من الناتج المحلي الإجمالي تماشياً مع مستهدفات رؤية المملكة 2030 (وزارة الثقافة، 2023).</w:t>
      </w:r>
    </w:p>
    <w:p w14:paraId="761414B6" w14:textId="77777777" w:rsidR="00B00FCA" w:rsidRDefault="00000000">
      <w:pPr>
        <w:numPr>
          <w:ilvl w:val="0"/>
          <w:numId w:val="20"/>
        </w:numPr>
        <w:bidi/>
        <w:spacing w:after="0" w:line="276" w:lineRule="auto"/>
        <w:rPr>
          <w:rFonts w:ascii="Arial" w:eastAsia="Arial" w:hAnsi="Arial" w:cs="Arial"/>
        </w:rPr>
      </w:pPr>
      <w:r>
        <w:rPr>
          <w:rFonts w:ascii="Arial" w:eastAsia="Arial" w:hAnsi="Arial" w:cs="Arial"/>
          <w:b/>
          <w:bCs/>
          <w:rtl/>
        </w:rPr>
        <w:t>حوكمة وإعادة هندسة الأداء التشغيلي لصالات العرض:</w:t>
      </w:r>
      <w:r>
        <w:rPr>
          <w:rFonts w:ascii="Arial" w:eastAsia="Arial" w:hAnsi="Arial" w:cs="Arial"/>
          <w:rtl/>
        </w:rPr>
        <w:t xml:space="preserve"> توفير دليل تنفيذي يُمكّن صالات العرض الخاصة والمنظمات الفنية من تطبيق نموذج الاتصال التسويقي المتكامل لتوحيد الرسائل التسويقية والقضاء على التشويش والضجيج الاتصالي الحالي، والتحول نحو نماذج أعمال تفصل هيكلياً بين مهام الإنتاج والترويج والتقييم (السالم، 2025).</w:t>
      </w:r>
    </w:p>
    <w:p w14:paraId="7B6B776F" w14:textId="77777777" w:rsidR="00B00FCA" w:rsidRDefault="00000000">
      <w:pPr>
        <w:numPr>
          <w:ilvl w:val="0"/>
          <w:numId w:val="20"/>
        </w:numPr>
        <w:bidi/>
        <w:spacing w:after="0" w:line="276" w:lineRule="auto"/>
        <w:rPr>
          <w:rFonts w:ascii="Arial" w:eastAsia="Arial" w:hAnsi="Arial" w:cs="Arial"/>
        </w:rPr>
      </w:pPr>
      <w:r>
        <w:rPr>
          <w:rFonts w:ascii="Arial" w:eastAsia="Arial" w:hAnsi="Arial" w:cs="Arial"/>
          <w:b/>
          <w:bCs/>
          <w:rtl/>
        </w:rPr>
        <w:t>تنشيط الاستثمار في السوق الثانوية وحماية حقوق الفاعلين:</w:t>
      </w:r>
      <w:r>
        <w:rPr>
          <w:rFonts w:ascii="Arial" w:eastAsia="Arial" w:hAnsi="Arial" w:cs="Arial"/>
          <w:rtl/>
        </w:rPr>
        <w:t xml:space="preserve"> تقديم آليات إجرائية لتأسيس قنوات مستقلة ومنصات آمنة لتنظيم المزادات العلنية وصياغة عقود نموذجية تحمي حقوق التتبع المالي للفنانين، بما يحول الفن إلى أصل مالي مرن وقابل للتسييل، ويحفز صندوق التنمية الثقافي والشركات المالية والمحافظ الكبرى على ضخ رؤوس أموالهم بالقطاع (الشمري، 2026).</w:t>
      </w:r>
    </w:p>
    <w:p w14:paraId="64D1DE20" w14:textId="77777777" w:rsidR="00B00FCA" w:rsidRDefault="00000000">
      <w:pPr>
        <w:numPr>
          <w:ilvl w:val="0"/>
          <w:numId w:val="20"/>
        </w:numPr>
        <w:bidi/>
        <w:spacing w:after="0" w:line="276" w:lineRule="auto"/>
        <w:rPr>
          <w:rFonts w:ascii="Arial" w:eastAsia="Arial" w:hAnsi="Arial" w:cs="Arial"/>
        </w:rPr>
      </w:pPr>
      <w:r>
        <w:rPr>
          <w:rFonts w:ascii="Arial" w:eastAsia="Arial" w:hAnsi="Arial" w:cs="Arial"/>
          <w:b/>
          <w:bCs/>
          <w:rtl/>
        </w:rPr>
        <w:t>عقلنة آليات التثمين والتسعير الفني المبني على البيانات:</w:t>
      </w:r>
      <w:r>
        <w:rPr>
          <w:rFonts w:ascii="Arial" w:eastAsia="Arial" w:hAnsi="Arial" w:cs="Arial"/>
          <w:rtl/>
        </w:rPr>
        <w:t xml:space="preserve"> وضع تصور تطبيقي موجه لمهندسي الأنظمة لدمج تقنيات البيانات الضخمة والذكاء الاصطناعي في بناء قواعد بيانات سعرية تاريخية ومؤشرات أداء كمية للفنانين (السعيد، 2024)، وتوظيف التوثيق الرقمي المشفر لإصدار شهادات أصالة محمية تمنع </w:t>
      </w:r>
      <w:proofErr w:type="gramStart"/>
      <w:r>
        <w:rPr>
          <w:rFonts w:ascii="Arial" w:eastAsia="Arial" w:hAnsi="Arial" w:cs="Arial"/>
          <w:rtl/>
        </w:rPr>
        <w:t>مخاطر</w:t>
      </w:r>
      <w:proofErr w:type="gramEnd"/>
      <w:r>
        <w:rPr>
          <w:rFonts w:ascii="Arial" w:eastAsia="Arial" w:hAnsi="Arial" w:cs="Arial"/>
          <w:rtl/>
        </w:rPr>
        <w:t xml:space="preserve"> التزوير والقرصنة التجارية.</w:t>
      </w:r>
    </w:p>
    <w:p w14:paraId="624354C1" w14:textId="77777777" w:rsidR="00B00FCA" w:rsidRDefault="00000000">
      <w:pPr>
        <w:numPr>
          <w:ilvl w:val="0"/>
          <w:numId w:val="20"/>
        </w:numPr>
        <w:bidi/>
        <w:spacing w:after="0" w:line="276" w:lineRule="auto"/>
        <w:rPr>
          <w:rFonts w:ascii="Arial" w:eastAsia="Arial" w:hAnsi="Arial" w:cs="Arial"/>
        </w:rPr>
      </w:pPr>
      <w:r>
        <w:rPr>
          <w:rFonts w:ascii="Arial" w:eastAsia="Arial" w:hAnsi="Arial" w:cs="Arial"/>
          <w:b/>
          <w:bCs/>
          <w:rtl/>
        </w:rPr>
        <w:t xml:space="preserve">تفعيل استراتيجيات الابتكار النفسي والسلوكي </w:t>
      </w:r>
      <w:proofErr w:type="spellStart"/>
      <w:r>
        <w:rPr>
          <w:rFonts w:ascii="Arial" w:eastAsia="Arial" w:hAnsi="Arial" w:cs="Arial"/>
          <w:b/>
          <w:bCs/>
          <w:rtl/>
        </w:rPr>
        <w:t>للمقتنين</w:t>
      </w:r>
      <w:proofErr w:type="spellEnd"/>
      <w:r>
        <w:rPr>
          <w:rFonts w:ascii="Arial" w:eastAsia="Arial" w:hAnsi="Arial" w:cs="Arial"/>
          <w:b/>
          <w:bCs/>
          <w:rtl/>
        </w:rPr>
        <w:t>:</w:t>
      </w:r>
      <w:r>
        <w:rPr>
          <w:rFonts w:ascii="Arial" w:eastAsia="Arial" w:hAnsi="Arial" w:cs="Arial"/>
          <w:rtl/>
        </w:rPr>
        <w:t xml:space="preserve"> تقديم تجارب </w:t>
      </w:r>
      <w:proofErr w:type="spellStart"/>
      <w:r>
        <w:rPr>
          <w:rFonts w:ascii="Arial" w:eastAsia="Arial" w:hAnsi="Arial" w:cs="Arial"/>
          <w:rtl/>
        </w:rPr>
        <w:t>اقتنائية</w:t>
      </w:r>
      <w:proofErr w:type="spellEnd"/>
      <w:r>
        <w:rPr>
          <w:rFonts w:ascii="Arial" w:eastAsia="Arial" w:hAnsi="Arial" w:cs="Arial"/>
          <w:rtl/>
        </w:rPr>
        <w:t xml:space="preserve"> مخصصة ومبنية على الشفافية المعلوماتية لخدمة جيل </w:t>
      </w:r>
      <w:proofErr w:type="spellStart"/>
      <w:r>
        <w:rPr>
          <w:rFonts w:ascii="Arial" w:eastAsia="Arial" w:hAnsi="Arial" w:cs="Arial"/>
          <w:rtl/>
        </w:rPr>
        <w:t>المقتنين</w:t>
      </w:r>
      <w:proofErr w:type="spellEnd"/>
      <w:r>
        <w:rPr>
          <w:rFonts w:ascii="Arial" w:eastAsia="Arial" w:hAnsi="Arial" w:cs="Arial"/>
          <w:rtl/>
        </w:rPr>
        <w:t xml:space="preserve"> والمستثمرين الشباب الجديد في المجتمع المحلي، بما يضمن خفض مستويات المخاطر النفسية والمالية المدركة لديهم، وتعميق مستويات الولاء والثقة المستدامة مع المنظومة الفنية.</w:t>
      </w:r>
    </w:p>
    <w:p w14:paraId="4C1755DE" w14:textId="77777777" w:rsidR="00B00FCA" w:rsidRDefault="00000000">
      <w:pPr>
        <w:numPr>
          <w:ilvl w:val="0"/>
          <w:numId w:val="20"/>
        </w:numPr>
        <w:bidi/>
        <w:spacing w:after="0" w:line="276" w:lineRule="auto"/>
        <w:rPr>
          <w:rFonts w:ascii="Arial" w:eastAsia="Arial" w:hAnsi="Arial" w:cs="Arial"/>
        </w:rPr>
      </w:pPr>
      <w:r>
        <w:rPr>
          <w:rFonts w:ascii="Arial" w:eastAsia="Arial" w:hAnsi="Arial" w:cs="Arial"/>
          <w:b/>
          <w:bCs/>
          <w:rtl/>
        </w:rPr>
        <w:t>تحقيق الاستدامة التنموية وبناء الكفاءات الوطنية:</w:t>
      </w:r>
      <w:r>
        <w:rPr>
          <w:rFonts w:ascii="Arial" w:eastAsia="Arial" w:hAnsi="Arial" w:cs="Arial"/>
          <w:rtl/>
        </w:rPr>
        <w:t xml:space="preserve"> المساهمة في خلق بيئة عمل حاضنة تستحدث تخصصات مهنية ووظيفية جديدة تتلاءم مع مخرجات التعليم الحديث وتدعم جهود الدولة في خفض معدلات البطالة، مثل: المثمن الفني المستقل، وأخصائي الاتصال للتسويق الإبداعي، ومدير المحافظ الاستثمارية للأصول الفنية (العتيبي، 2023).</w:t>
      </w:r>
    </w:p>
    <w:p w14:paraId="3645F2C0" w14:textId="77777777" w:rsidR="00B00FCA" w:rsidRDefault="00000000">
      <w:pPr>
        <w:numPr>
          <w:ilvl w:val="0"/>
          <w:numId w:val="20"/>
        </w:numPr>
        <w:bidi/>
        <w:spacing w:after="240" w:line="276" w:lineRule="auto"/>
        <w:rPr>
          <w:rFonts w:ascii="Arial" w:eastAsia="Arial" w:hAnsi="Arial" w:cs="Arial"/>
        </w:rPr>
      </w:pPr>
      <w:r>
        <w:rPr>
          <w:rFonts w:ascii="Arial" w:eastAsia="Arial" w:hAnsi="Arial" w:cs="Arial"/>
          <w:b/>
          <w:bCs/>
          <w:rtl/>
        </w:rPr>
        <w:t>تعزيز الميزة التنافسية الدولية للفن السعودي كقوة ناعمة:</w:t>
      </w:r>
      <w:r>
        <w:rPr>
          <w:rFonts w:ascii="Arial" w:eastAsia="Arial" w:hAnsi="Arial" w:cs="Arial"/>
          <w:rtl/>
        </w:rPr>
        <w:t xml:space="preserve"> تقديم استراتيجية اتصالية قادرة على نقل الهوية الثقافية والقصة الرمزية للمنتج الإبداعي السعودي إلى المحافل الدولية، بما يرفع قيمته السوقية والرمزية ويعزز مكانة المملكة كمركز إقليمي وعالمي رائد للابتكار والإبداع (الحميد، 2024؛ وزارة الثقافة، 2023).</w:t>
      </w:r>
    </w:p>
    <w:p w14:paraId="347E8612" w14:textId="77777777" w:rsidR="00B00FCA" w:rsidRDefault="00000000">
      <w:pPr>
        <w:bidi/>
        <w:spacing w:before="240" w:after="240" w:line="276" w:lineRule="auto"/>
        <w:rPr>
          <w:rFonts w:ascii="Arial" w:eastAsia="Arial" w:hAnsi="Arial" w:cs="Arial"/>
        </w:rPr>
      </w:pPr>
      <w:r>
        <w:rPr>
          <w:rFonts w:ascii="Arial" w:eastAsia="Arial" w:hAnsi="Arial" w:cs="Arial"/>
          <w:rtl/>
        </w:rPr>
        <w:t>تأسيساً على ما تقدم، يتبين أن مخرجات هذه الدراسة وتوصياتها المنهجية تمتلك مسوغات بحثية بالغة القوة والأهمية؛ فهي تصنع إطاراً علاجياً وهيكلياً متكاملاً يزاوج بين رصانة الفكر الأكاديمي ومرونة التطبيق الميداني، مما يجعلها أداة استرشادية حتمية لدفع عجلة الاقتصاد الإبداعي الوطني نحو آفاق النضج والتنافسية العالمية الشاملة، بما يلبي التطلعات الكبرى والرؤية الطموحة للمملكة العربية السعودية.</w:t>
      </w:r>
    </w:p>
    <w:p w14:paraId="74EA1D9A" w14:textId="77777777" w:rsidR="00B00FCA" w:rsidRDefault="00B00FCA">
      <w:pPr>
        <w:bidi/>
        <w:spacing w:before="240" w:after="240" w:line="276" w:lineRule="auto"/>
        <w:rPr>
          <w:rFonts w:ascii="Arial" w:eastAsia="Arial" w:hAnsi="Arial" w:cs="Arial"/>
        </w:rPr>
      </w:pPr>
    </w:p>
    <w:p w14:paraId="547E9E92" w14:textId="77777777" w:rsidR="00B00FCA" w:rsidRDefault="00B00FCA">
      <w:pPr>
        <w:bidi/>
        <w:spacing w:before="240" w:after="240" w:line="276" w:lineRule="auto"/>
        <w:rPr>
          <w:rFonts w:ascii="Arial" w:eastAsia="Arial" w:hAnsi="Arial" w:cs="Arial"/>
        </w:rPr>
      </w:pPr>
    </w:p>
    <w:p w14:paraId="18962A06" w14:textId="77777777" w:rsidR="00B00FCA" w:rsidRDefault="00000000">
      <w:pPr>
        <w:pStyle w:val="2"/>
        <w:keepNext w:val="0"/>
        <w:keepLines w:val="0"/>
        <w:bidi/>
        <w:spacing w:before="0" w:line="276" w:lineRule="auto"/>
        <w:rPr>
          <w:rFonts w:ascii="Arial" w:eastAsia="Arial" w:hAnsi="Arial" w:cs="Arial"/>
          <w:sz w:val="34"/>
          <w:szCs w:val="34"/>
        </w:rPr>
      </w:pPr>
      <w:bookmarkStart w:id="12" w:name="_32jf99o3ozsc" w:colFirst="0" w:colLast="0"/>
      <w:bookmarkEnd w:id="12"/>
      <w:r>
        <w:rPr>
          <w:rFonts w:ascii="Arial" w:eastAsia="Arial" w:hAnsi="Arial" w:cs="Arial"/>
          <w:sz w:val="34"/>
          <w:szCs w:val="34"/>
          <w:rtl/>
        </w:rPr>
        <w:t>خامساً: نموذج الدراسة ومفاهيمها</w:t>
      </w:r>
    </w:p>
    <w:p w14:paraId="53D6D9A2" w14:textId="77777777" w:rsidR="00B00FCA" w:rsidRDefault="00000000">
      <w:pPr>
        <w:pStyle w:val="3"/>
        <w:keepNext w:val="0"/>
        <w:keepLines w:val="0"/>
        <w:bidi/>
        <w:spacing w:before="0" w:line="276" w:lineRule="auto"/>
        <w:rPr>
          <w:rFonts w:ascii="Arial" w:eastAsia="Arial" w:hAnsi="Arial" w:cs="Arial"/>
          <w:sz w:val="26"/>
          <w:szCs w:val="26"/>
        </w:rPr>
      </w:pPr>
      <w:bookmarkStart w:id="13" w:name="_35tqs0vhm4y0" w:colFirst="0" w:colLast="0"/>
      <w:bookmarkEnd w:id="13"/>
      <w:r>
        <w:rPr>
          <w:rFonts w:ascii="Arial" w:eastAsia="Arial" w:hAnsi="Arial" w:cs="Arial"/>
          <w:sz w:val="26"/>
          <w:szCs w:val="26"/>
          <w:rtl/>
        </w:rPr>
        <w:t>1. المنطلق والتأصيل النظري المرجعي</w:t>
      </w:r>
    </w:p>
    <w:p w14:paraId="7467F131" w14:textId="77777777" w:rsidR="00B00FCA" w:rsidRDefault="00000000">
      <w:pPr>
        <w:bidi/>
        <w:spacing w:after="240" w:line="276" w:lineRule="auto"/>
        <w:rPr>
          <w:rFonts w:ascii="Arial" w:eastAsia="Arial" w:hAnsi="Arial" w:cs="Arial"/>
        </w:rPr>
      </w:pPr>
      <w:r>
        <w:rPr>
          <w:rFonts w:ascii="Arial" w:eastAsia="Arial" w:hAnsi="Arial" w:cs="Arial"/>
          <w:rtl/>
        </w:rPr>
        <w:t>ينطلق النموذج المعرفي المركب لهذه الدراسة من أطروحة أساسية مفادها أن سوق الفنون البصرية في المملكة العربية السعودية يمر بتحولات هيكلية متسارعة لمواءمة مخرجات الاقتصاد الإبداعي مع المستهدفات التنموية الكبرى ورؤية 2030. هذا التحول يفرض على المؤسسات الثقافية وقنوات الوساطة التخلي عن الأنماط العفوية التقليدية في إدارة وتسويق السلع الرمزية والجمالية، والتحول نحو نموذج تنظيمي محوكم يتجاوز الأحادية التفسيرية للنظريات الاقتصادية أو الاتصالية المستقلة؛ نظرًا لأن قطاع الفن يخضع لديناميكيات سيكولوجية، واجتماعية، وتشريعية معقدة تتجاوز آليات العرض والطلب الكلاسيكية (الغامدي، 2023؛ منصور، 2024). ويستند هذا الإطار الهندسي والتكاملي إلى ثلاث نظريات كبرى لمنح الأطروحة العمق التحليلي الكافي:</w:t>
      </w:r>
    </w:p>
    <w:p w14:paraId="529CE0BB" w14:textId="77777777" w:rsidR="00B00FCA" w:rsidRDefault="00000000">
      <w:pPr>
        <w:bidi/>
        <w:spacing w:after="240" w:line="276" w:lineRule="auto"/>
        <w:rPr>
          <w:rFonts w:ascii="Arial" w:eastAsia="Arial" w:hAnsi="Arial" w:cs="Arial"/>
        </w:rPr>
      </w:pPr>
      <w:r>
        <w:rPr>
          <w:rFonts w:ascii="Arial" w:eastAsia="Arial" w:hAnsi="Arial" w:cs="Arial"/>
          <w:rtl/>
        </w:rPr>
        <w:t xml:space="preserve">ترتكز الدراسة أولاً على نظرية الحقل الاجتماعي ورأس المال الرمزي لبيير بورديو، وتُستخدم لتأصيل كيفية تحويل رأس المال الرمزي، المتمثل في السمعة والاعتراف النقدي والأكاديمي للفنان، عبر آليات معارض الفنون والاتصال التسويقي المتكامل إلى رأس مال اقتصادي مادي يظهر في صورة قيم سعرية ومبيعات استثمارية، دون إغراق القطاع بالمنطق التجاري الفج الذي يقضي على الروح الإبداعية (الغامدي، 2023؛ منصور، 2024). وتتكامل معها ثانياً نظرية الابتكار </w:t>
      </w:r>
      <w:proofErr w:type="gramStart"/>
      <w:r>
        <w:rPr>
          <w:rFonts w:ascii="Arial" w:eastAsia="Arial" w:hAnsi="Arial" w:cs="Arial"/>
          <w:rtl/>
        </w:rPr>
        <w:t>و التدمير</w:t>
      </w:r>
      <w:proofErr w:type="gramEnd"/>
      <w:r>
        <w:rPr>
          <w:rFonts w:ascii="Arial" w:eastAsia="Arial" w:hAnsi="Arial" w:cs="Arial"/>
          <w:rtl/>
        </w:rPr>
        <w:t xml:space="preserve"> الخلاق لجوزيف </w:t>
      </w:r>
      <w:proofErr w:type="spellStart"/>
      <w:r>
        <w:rPr>
          <w:rFonts w:ascii="Arial" w:eastAsia="Arial" w:hAnsi="Arial" w:cs="Arial"/>
          <w:rtl/>
        </w:rPr>
        <w:t>شومبيتر</w:t>
      </w:r>
      <w:proofErr w:type="spellEnd"/>
      <w:r>
        <w:rPr>
          <w:rFonts w:ascii="Arial" w:eastAsia="Arial" w:hAnsi="Arial" w:cs="Arial"/>
          <w:rtl/>
        </w:rPr>
        <w:t xml:space="preserve">، وتُوظف للنظر إلى الممارسات العفوية وعشوائية التسعير وضبابية قنوات التدفق السائدة في السوق المحلي كبنى متهالكة توجب ممارستها التفكيك والخلخلة، واستبدالها بنظم ابتكارية جذرية تخلق توازناً ديناميكياً يضمن تدفق السيولة وحماية حقوق الأطراف الفاعلة (الشارخ، 2024؛ السعيد، 2024). وتكتمل الدائرة المعرفية ثالثاً بنظرية نشر وتبني الابتكارات </w:t>
      </w:r>
      <w:proofErr w:type="spellStart"/>
      <w:r>
        <w:rPr>
          <w:rFonts w:ascii="Arial" w:eastAsia="Arial" w:hAnsi="Arial" w:cs="Arial"/>
          <w:rtl/>
        </w:rPr>
        <w:t>لإيفريت</w:t>
      </w:r>
      <w:proofErr w:type="spellEnd"/>
      <w:r>
        <w:rPr>
          <w:rFonts w:ascii="Arial" w:eastAsia="Arial" w:hAnsi="Arial" w:cs="Arial"/>
          <w:rtl/>
        </w:rPr>
        <w:t xml:space="preserve"> روجرز، وتُسهم في تفسير استجابة وسلوك جيل المستثمرين الشباب، أو ما يُعرف بالمقتني الرقمي الجديد، باعتباره ينتمي إلى فئات المتبنين الأوائل للحلول الاقتصادية والتقنية المستحدثة في سوق الفن، من خلال إبراز الميزة النسبية والأمان المالي لتلك الحلول وتوافقها مع نمط الحياة الرقمي المتسارع (الرشيد، 2024؛ الشريف، 2025).</w:t>
      </w:r>
    </w:p>
    <w:p w14:paraId="67665068" w14:textId="77777777" w:rsidR="00B00FCA" w:rsidRDefault="00000000">
      <w:pPr>
        <w:pStyle w:val="3"/>
        <w:keepNext w:val="0"/>
        <w:keepLines w:val="0"/>
        <w:bidi/>
        <w:spacing w:before="0" w:line="276" w:lineRule="auto"/>
        <w:rPr>
          <w:rFonts w:ascii="Arial" w:eastAsia="Arial" w:hAnsi="Arial" w:cs="Arial"/>
          <w:sz w:val="26"/>
          <w:szCs w:val="26"/>
        </w:rPr>
      </w:pPr>
      <w:bookmarkStart w:id="14" w:name="_inuvrqgb7xp" w:colFirst="0" w:colLast="0"/>
      <w:bookmarkEnd w:id="14"/>
      <w:r>
        <w:rPr>
          <w:rFonts w:ascii="Arial" w:eastAsia="Arial" w:hAnsi="Arial" w:cs="Arial"/>
          <w:sz w:val="26"/>
          <w:szCs w:val="26"/>
          <w:rtl/>
        </w:rPr>
        <w:t>2. بنية النموذج ومسارات التأثير البينية</w:t>
      </w:r>
    </w:p>
    <w:p w14:paraId="5B2783E4" w14:textId="77777777" w:rsidR="00B00FCA" w:rsidRDefault="00000000">
      <w:pPr>
        <w:bidi/>
        <w:spacing w:after="240" w:line="276" w:lineRule="auto"/>
        <w:rPr>
          <w:rFonts w:ascii="Arial" w:eastAsia="Arial" w:hAnsi="Arial" w:cs="Arial"/>
        </w:rPr>
      </w:pPr>
      <w:r>
        <w:rPr>
          <w:rFonts w:ascii="Arial" w:eastAsia="Arial" w:hAnsi="Arial" w:cs="Arial"/>
          <w:rtl/>
        </w:rPr>
        <w:t>يقوم نموذج الدراسة على مصفوفة علاقات سببية وارتباطية متطورة، تم هندستها لتشمل مسارات مباشرة وغير مباشرة بين المتغيرات لإحداث صدمة نسقية منظمة تفكك العقد المعرفية في السوق المحلية. ويتحدد مسار التأثير المباشر الأول من خلال فرضية تفيد بأن تبني معارض الفنون البصرية وصالات العرض الخاصة لاستراتيجيات الاتصال التسويقي المتكامل ولأبعاد الابتكار الخمسة، وبخاصة الاقتصادي والتنظيمي، يسهم مباشرة وفي مدخلات فورية في استقرار البنية التحتية للسوق، وإيجاد أطر تشريعية حامية، وبناء هوية استثمارية وبصرية موحدة للقطاع في أذهان الجمهور والمستثمرين (العتيبي، 2023؛ السالم، 2025).</w:t>
      </w:r>
    </w:p>
    <w:p w14:paraId="15FBA111" w14:textId="77777777" w:rsidR="00B00FCA" w:rsidRDefault="00000000">
      <w:pPr>
        <w:bidi/>
        <w:spacing w:after="240" w:line="276" w:lineRule="auto"/>
        <w:rPr>
          <w:rFonts w:ascii="Arial" w:eastAsia="Arial" w:hAnsi="Arial" w:cs="Arial"/>
        </w:rPr>
      </w:pPr>
      <w:r>
        <w:rPr>
          <w:rFonts w:ascii="Arial" w:eastAsia="Arial" w:hAnsi="Arial" w:cs="Arial"/>
          <w:rtl/>
        </w:rPr>
        <w:t>أما مسار التأثير غير المباشر، ويمثل القيمة العلمية المضافة للنموذج، فيقوم على بوابة العقلية السلوكية والإدراكية للمقتني الرقمي الجديد كمتغير وسيط؛ حيث يفترض البحث أن المدخلات المستقلة لا يمكن أن تتدفق إلى المخرج التابع دون تفكيك العقد المعرفية والمخاوف المزمنة لدى المستثمر الناشئ، مثل الخوف من تزييف الأصول، أو الخوف من خسارة رأس المال نتيجة تضخم الأسعار الوهمي. وعندما تنجح الرسائل الاتصالية المتكاملة والابتكارات النفسية والتقنية في خفض مستويات المخاطر المدركة وبناء هندسة الثقة الإدراكية، يتحول سلوك المقتني من الاستهلاك العفوي المتردد إلى الاستثمار المنهجي المستدام، وهو ما يفضي بالضرورة وكسلسلة سببية متصلة إلى النضج الهيكلي والمؤسسي الشامل لبيئة سوق الفنون البصرية (الرشيد، 2024؛ الشريف، 2025).</w:t>
      </w:r>
    </w:p>
    <w:p w14:paraId="715EB77B" w14:textId="77777777" w:rsidR="00B00FCA" w:rsidRDefault="00000000">
      <w:pPr>
        <w:pStyle w:val="3"/>
        <w:keepNext w:val="0"/>
        <w:keepLines w:val="0"/>
        <w:bidi/>
        <w:spacing w:before="0" w:line="276" w:lineRule="auto"/>
        <w:rPr>
          <w:rFonts w:ascii="Arial" w:eastAsia="Arial" w:hAnsi="Arial" w:cs="Arial"/>
          <w:sz w:val="26"/>
          <w:szCs w:val="26"/>
        </w:rPr>
      </w:pPr>
      <w:bookmarkStart w:id="15" w:name="_v55uy1axh12w" w:colFirst="0" w:colLast="0"/>
      <w:bookmarkEnd w:id="15"/>
      <w:r>
        <w:rPr>
          <w:rFonts w:ascii="Arial" w:eastAsia="Arial" w:hAnsi="Arial" w:cs="Arial"/>
          <w:sz w:val="26"/>
          <w:szCs w:val="26"/>
          <w:rtl/>
        </w:rPr>
        <w:t>3. التفكيك النظري والتعريف الإجرائي لمتغيرات النموذج</w:t>
      </w:r>
    </w:p>
    <w:p w14:paraId="59B1CD43" w14:textId="77777777" w:rsidR="00B00FCA" w:rsidRDefault="00000000">
      <w:pPr>
        <w:bidi/>
        <w:spacing w:after="240" w:line="276" w:lineRule="auto"/>
        <w:rPr>
          <w:rFonts w:ascii="Arial" w:eastAsia="Arial" w:hAnsi="Arial" w:cs="Arial"/>
        </w:rPr>
      </w:pPr>
      <w:r>
        <w:rPr>
          <w:rFonts w:ascii="Arial" w:eastAsia="Arial" w:hAnsi="Arial" w:cs="Arial"/>
          <w:rtl/>
        </w:rPr>
        <w:t>يتطلب التحليل العلمي للأطروحة تفكيك المتغيرات إلى حدين متجانسين؛ حد مفاهيمي يؤصلها في الفكر النظري، وحد إجرائي تشغيلي يحدد آليات قياسها ميدانياً:</w:t>
      </w:r>
    </w:p>
    <w:p w14:paraId="151C6C9E" w14:textId="77777777" w:rsidR="00B00FCA" w:rsidRDefault="00000000">
      <w:pPr>
        <w:bidi/>
        <w:spacing w:after="240" w:line="276" w:lineRule="auto"/>
        <w:rPr>
          <w:rFonts w:ascii="Arial" w:eastAsia="Arial" w:hAnsi="Arial" w:cs="Arial"/>
        </w:rPr>
      </w:pPr>
      <w:r>
        <w:rPr>
          <w:rFonts w:ascii="Arial" w:eastAsia="Arial" w:hAnsi="Arial" w:cs="Arial"/>
          <w:rtl/>
        </w:rPr>
        <w:t xml:space="preserve">يتشكل المتغير المستقل الأول، وهو الاتصال التسويقي المتكامل في البيئة الثقافية الرقمية، كمفهوم نظري يعبر عن فلسفة تخطيطية ومنهجية استراتيجية تعتمد على دمج وصهر كافة الرسائل، والخطابات، والقنوات الترويجية والإعلامية الصادرة عن المؤسسة الثقافية، وتوجيهها بنبرة بصرية ومفاهيمية متسقة نحو الجمهور لتعظيم الأثر </w:t>
      </w:r>
      <w:proofErr w:type="spellStart"/>
      <w:r>
        <w:rPr>
          <w:rFonts w:ascii="Arial" w:eastAsia="Arial" w:hAnsi="Arial" w:cs="Arial"/>
          <w:rtl/>
        </w:rPr>
        <w:t>الإقناعي</w:t>
      </w:r>
      <w:proofErr w:type="spellEnd"/>
      <w:r>
        <w:rPr>
          <w:rFonts w:ascii="Arial" w:eastAsia="Arial" w:hAnsi="Arial" w:cs="Arial"/>
          <w:rtl/>
        </w:rPr>
        <w:t xml:space="preserve"> وخفض التشويش (الغامدي، 2023؛ السالم، 2025). </w:t>
      </w:r>
      <w:r>
        <w:rPr>
          <w:rFonts w:ascii="Arial" w:eastAsia="Arial" w:hAnsi="Arial" w:cs="Arial"/>
          <w:rtl/>
        </w:rPr>
        <w:lastRenderedPageBreak/>
        <w:t xml:space="preserve">وإجرائياً، يُقاس هذا المتغير من خلال رصد مدى التزام معارض الفنون السعودية بأربعة أبعاد: الاتساق الرسالي بين الخطاب النقدي والاستثماري، والتعددية القنوية التي تصهر فضاءات العرض الافتراضية ثلاثية الأبعاد مع المعارض الواقعية، وبناء الهوية الرمزية للمعارض كعلامات تجارية ثقافية تمنح العمل صك الجودة، والتسويق التجريبي والمعايشة الإبداعية التي تشرك المقتني في الصيرورة الإبداعية، ويتم جمع بياناته عبر استمارة تحليل المضمون للمخرجات الرقمية للمعارض واستبيان آراء </w:t>
      </w:r>
      <w:proofErr w:type="spellStart"/>
      <w:r>
        <w:rPr>
          <w:rFonts w:ascii="Arial" w:eastAsia="Arial" w:hAnsi="Arial" w:cs="Arial"/>
          <w:rtl/>
        </w:rPr>
        <w:t>المقتنين</w:t>
      </w:r>
      <w:proofErr w:type="spellEnd"/>
      <w:r>
        <w:rPr>
          <w:rFonts w:ascii="Arial" w:eastAsia="Arial" w:hAnsi="Arial" w:cs="Arial"/>
          <w:rtl/>
        </w:rPr>
        <w:t xml:space="preserve"> (منصور، 2024؛ همام، 2025).</w:t>
      </w:r>
    </w:p>
    <w:p w14:paraId="7E7FA4BD" w14:textId="77777777" w:rsidR="00B00FCA" w:rsidRDefault="00000000">
      <w:pPr>
        <w:bidi/>
        <w:spacing w:after="240" w:line="276" w:lineRule="auto"/>
        <w:rPr>
          <w:rFonts w:ascii="Arial" w:eastAsia="Arial" w:hAnsi="Arial" w:cs="Arial"/>
        </w:rPr>
      </w:pPr>
      <w:r>
        <w:rPr>
          <w:rFonts w:ascii="Arial" w:eastAsia="Arial" w:hAnsi="Arial" w:cs="Arial"/>
          <w:rtl/>
        </w:rPr>
        <w:t xml:space="preserve">ويمثل المتغير المستقل الثاني، وهو الخماسية الابتكارية المتقدمة، حزمة الحلول العلاجية المقترحة لإعادة صياغة قواعد اللعبة في سوق الفن السعودي، ويتألف مفاهيمياً من إطار علاجي وبنيوي مركب يتجاوز المفهوم الكلاسيكي للابتكار التكنولوجي، لإحداث تحديثات جذرية متزامنة ونسقية في كافة المفاصل الحاكمة للقطاع (الشارخ، 2024). وإجرائياً، يتحدد عبر خمسة أبعاد تشغيلية: الابتكار التسويقي المتمثل في كسر احتكار منصات العرض التقليدية عبر قنوات تدفق هجينة وتطبيق استراتيجيات الشفافية السعرية المعلنة (السعيد، 2024)، والابتكار النفسي والسلوكي المعني بمستوى كفاءة برامج التأهيل الثقافي لتفكيك متلازمة العزوف وهندسة الثقة (الرشيد، 2024)، والابتكار التقني المرتبط بحجم ونوعية دمج تطبيقات الثورة الصناعية الرابعة </w:t>
      </w:r>
      <w:proofErr w:type="spellStart"/>
      <w:r>
        <w:rPr>
          <w:rFonts w:ascii="Arial" w:eastAsia="Arial" w:hAnsi="Arial" w:cs="Arial"/>
          <w:rtl/>
        </w:rPr>
        <w:t>كالبلوكشين</w:t>
      </w:r>
      <w:proofErr w:type="spellEnd"/>
      <w:r>
        <w:rPr>
          <w:rFonts w:ascii="Arial" w:eastAsia="Arial" w:hAnsi="Arial" w:cs="Arial"/>
          <w:rtl/>
        </w:rPr>
        <w:t xml:space="preserve"> والعقود الذكية لتوثيق المصنفات وحفظ أصالتها السيبرانية والابتكار الاقتصادي والمالي المتمثل في توافر آليات توريق وتجزئة تشاركية للأصول الفنية الكبرى وصناديق الاستثمار المشترك لضمان السيولة (الشمري، 2026)، وأخيراً الابتكار المؤسسي والتنظيمي المعبر عن مستوى صياغة اللوائح والقوانين الصارمة لحوكمة أدوار الوسطاء والمثمنين وتوفير مراكز تحكيم مستقلة لفض النزاعات (العتيبي، 2023).</w:t>
      </w:r>
    </w:p>
    <w:p w14:paraId="01DFE179" w14:textId="77777777" w:rsidR="00B00FCA" w:rsidRDefault="00000000">
      <w:pPr>
        <w:bidi/>
        <w:spacing w:after="240" w:line="276" w:lineRule="auto"/>
        <w:rPr>
          <w:rFonts w:ascii="Arial" w:eastAsia="Arial" w:hAnsi="Arial" w:cs="Arial"/>
        </w:rPr>
      </w:pPr>
      <w:r>
        <w:rPr>
          <w:rFonts w:ascii="Arial" w:eastAsia="Arial" w:hAnsi="Arial" w:cs="Arial"/>
          <w:rtl/>
        </w:rPr>
        <w:t xml:space="preserve">ويبرز دور المقتني الرقمي الجديد كمتغير وسيط ومعدل محوري، وهو نظرياً النمط المعاصر والناشئ من مستثمري السلع الثقافية الذين يتشكل وعيهم وسلوكهم الشرائي عبر البيئات الرقمية التفاعلية، ويجمعون في دوافعهم بين الشغف الجمالي للتذوق وبين العقلانية الاستثمارية الحذرة التي تبحث عن المؤشرات الرقمية والضمانات الحامية للأصل المالي البديل (الرشيد، 2024؛ الشريف، 2025). وإجرائياً، يقاس سلوك هذا المتغير من خلال محورين: مدى تفكيك وهندسة الثقة الإدراكية والمعرفية لديهم عبر تبسيط الخطاب الفني وإتاحة البيانات السعرية بلغة واضحة، ومستوى خفض المخاطر النفسية والمالية المدركة (كالخوف من ضعف السيولة أو شراء أعمال مزيفة)، مما يحول قراراتهم الشرائية نحو الممارسات الاستثمارية المنتظمة والمستدامة في المراكز الحضرية الكبرى بالمملكة، ويتم قياسه من خلال استمارة </w:t>
      </w:r>
      <w:proofErr w:type="gramStart"/>
      <w:r>
        <w:rPr>
          <w:rFonts w:ascii="Arial" w:eastAsia="Arial" w:hAnsi="Arial" w:cs="Arial"/>
          <w:rtl/>
        </w:rPr>
        <w:t>الاستبيان</w:t>
      </w:r>
      <w:proofErr w:type="gramEnd"/>
      <w:r>
        <w:rPr>
          <w:rFonts w:ascii="Arial" w:eastAsia="Arial" w:hAnsi="Arial" w:cs="Arial"/>
          <w:rtl/>
        </w:rPr>
        <w:t xml:space="preserve"> (الرشيد، 2024؛ الشريف، 2025).</w:t>
      </w:r>
    </w:p>
    <w:p w14:paraId="04D98759" w14:textId="77777777" w:rsidR="00B00FCA" w:rsidRDefault="00000000">
      <w:pPr>
        <w:bidi/>
        <w:spacing w:after="240" w:line="276" w:lineRule="auto"/>
        <w:rPr>
          <w:rFonts w:ascii="Arial" w:eastAsia="Arial" w:hAnsi="Arial" w:cs="Arial"/>
        </w:rPr>
      </w:pPr>
      <w:r>
        <w:rPr>
          <w:rFonts w:ascii="Arial" w:eastAsia="Arial" w:hAnsi="Arial" w:cs="Arial"/>
          <w:rtl/>
        </w:rPr>
        <w:t>ويأتي المتغير التابع النهائي، وهو إعادة هندسة سوق الفنون البصرية ونضجها المؤسسي، ليمثل المصب النهائي للأطروحة؛ ويعرّف نظرياً بأنه التفكيك الجذري وإعادة التصميم الشامل لكافة العمليات والأنظمة والروابط الهيكلية الحاكمة لبيئة تداول السلع الرمزية بهدف الانتقال بالمنظومة من طور العفوية إلى طور الاستقرار والتنافسية الدولية وإجرائياً، يقيس هذا المتغير مستوى تحول مشهد الفن السعودي المعاصر من نموذج الوساطة العفوية وأحادية القطب المشوهة، التي يجمع فيها الوسيط بين الإنتاج والترويج والتسعير والبيع بشكل عشوائي، إلى نموذج التخصص الوظيفي والفصل الهيكلي والرقابي بين جهات الإنتاج الممثلة في الفنان، وجهات الترويج والوساطة الأولية الممثلة في معارض الفنون، وجهات التقييم والتثمين المستقلة المعتمدة بناءً على محددات علمية كمية وكيفية واضحة، وجهات إعادة البيع الممثلة في دور المزادات والسوق الثانوية المستقرة، ويقاس عبر تحليل الفروق الإحصائية لاستجابات عينة البحث وتحليلات المقابلات المعمقة مع النخبة الثقافية والاقتصادية وصناع القرار (هيئة الفنون البصرية، 2023؛ السعيد، 2024؛ الشمري، 2026).</w:t>
      </w:r>
    </w:p>
    <w:p w14:paraId="282A1124" w14:textId="77777777" w:rsidR="00B00FCA" w:rsidRDefault="00000000">
      <w:pPr>
        <w:pStyle w:val="3"/>
        <w:keepNext w:val="0"/>
        <w:keepLines w:val="0"/>
        <w:bidi/>
        <w:spacing w:before="0" w:line="276" w:lineRule="auto"/>
        <w:rPr>
          <w:rFonts w:ascii="Arial" w:eastAsia="Arial" w:hAnsi="Arial" w:cs="Arial"/>
          <w:sz w:val="26"/>
          <w:szCs w:val="26"/>
        </w:rPr>
      </w:pPr>
      <w:bookmarkStart w:id="16" w:name="_fxvwsrii5zer" w:colFirst="0" w:colLast="0"/>
      <w:bookmarkEnd w:id="16"/>
      <w:r>
        <w:rPr>
          <w:rFonts w:ascii="Arial" w:eastAsia="Arial" w:hAnsi="Arial" w:cs="Arial"/>
          <w:sz w:val="26"/>
          <w:szCs w:val="26"/>
          <w:rtl/>
        </w:rPr>
        <w:t>4. العلاقات التفاعلية والاعتماد النسقي المتبادل داخل النموذج</w:t>
      </w:r>
    </w:p>
    <w:p w14:paraId="70E05834" w14:textId="77777777" w:rsidR="00B00FCA" w:rsidRDefault="00000000">
      <w:pPr>
        <w:bidi/>
        <w:spacing w:after="240" w:line="276" w:lineRule="auto"/>
        <w:rPr>
          <w:rFonts w:ascii="Arial" w:eastAsia="Arial" w:hAnsi="Arial" w:cs="Arial"/>
        </w:rPr>
      </w:pPr>
      <w:r>
        <w:rPr>
          <w:rFonts w:ascii="Arial" w:eastAsia="Arial" w:hAnsi="Arial" w:cs="Arial"/>
          <w:rtl/>
        </w:rPr>
        <w:t>إن القوة التفسيرية لنموذج هذه الدراسة تكمن في الاعتماد النسقي المتبادل بين مكوناته، حيث لا تعمل المتغيرات على شكل مسارات معزولة، بل تتفاعل بطريقة تشبه التروس الميكانيكية المتصلة؛ إذ يقوم الاتصال التسويقي المتكامل بصهر وتوجيه الرسائل لتبسيط المعرفة الفنية وتعرية الغموض المحيط بالمعارض، مما يمثل الغذاء الأول للابتكار النفسي، فالأول يمنح المستهلك المعنى الرمزي، والثاني يحول هذا المعنى إلى أمان واستقرار سيكولوجي وسلوكي.</w:t>
      </w:r>
    </w:p>
    <w:p w14:paraId="69A4BC0C" w14:textId="77777777" w:rsidR="00B00FCA" w:rsidRDefault="00000000">
      <w:pPr>
        <w:bidi/>
        <w:spacing w:after="240" w:line="276" w:lineRule="auto"/>
        <w:rPr>
          <w:rFonts w:ascii="Arial" w:eastAsia="Arial" w:hAnsi="Arial" w:cs="Arial"/>
        </w:rPr>
      </w:pPr>
      <w:r>
        <w:rPr>
          <w:rFonts w:ascii="Arial" w:eastAsia="Arial" w:hAnsi="Arial" w:cs="Arial"/>
          <w:rtl/>
        </w:rPr>
        <w:t xml:space="preserve">ومن جانب آخر، لا يمكن للابتكار الاقتصادي والمالي إطلاق أدواته، مثل التجزئة التشاركية للأعمال الفنية أو الصناديق الاستثمارية، ما لم يستند إلى التوثيق الصارم والسجلات التاريخية المحمية عبر تقنيات سلاسل الكتل والعقود الذكية التي يوفرها الابتكار التقني؛ فالتقنية تقدم القرائن المشفرة، والاقتصاد يحولها إلى أدوات ائتمانية تولد السيولة والحيوية المستهدفة. ويقود الابتكار المؤسسي والتنظيمي في نهاية سلسلة التفاعلات ليضرب بسياجه التشريعي الحازم حول كافة المخرجات، إذ تظل المنصات الهجينة والشهادات الرقمية والصناديق </w:t>
      </w:r>
      <w:r>
        <w:rPr>
          <w:rFonts w:ascii="Arial" w:eastAsia="Arial" w:hAnsi="Arial" w:cs="Arial"/>
          <w:rtl/>
        </w:rPr>
        <w:lastRenderedPageBreak/>
        <w:t>التمويلية مبادرات مبعثرة ومعرضة للانتكاس ما لم يتم تأطيرها داخل قوانين ولوائح ملزمة تحولها من اجتهادات فردية إلى نظام عمل مؤسسي مستدام يحكم هيكل صناعة الفنون البصرية بكفاءة واقتدار.</w:t>
      </w:r>
    </w:p>
    <w:p w14:paraId="6FCF0D9F" w14:textId="77777777" w:rsidR="00B00FCA" w:rsidRDefault="00000000">
      <w:pPr>
        <w:bidi/>
        <w:spacing w:after="240" w:line="276" w:lineRule="auto"/>
        <w:rPr>
          <w:rFonts w:ascii="Arial" w:eastAsia="Arial" w:hAnsi="Arial" w:cs="Arial"/>
        </w:rPr>
      </w:pPr>
      <w:r>
        <w:rPr>
          <w:rFonts w:ascii="Arial" w:eastAsia="Arial" w:hAnsi="Arial" w:cs="Arial"/>
          <w:rtl/>
        </w:rPr>
        <w:t>تأسيساً على ما تقدم، يتبين أن كافة التأثيرات المتولدة عن تكامُل الاتصال التسويقي وأبعاد الابتكار الخمسة تتلاقى لتصب مباشرة في وعي وسلوك المقتني الرقمي الجديد كمتغير وسيط حتمي؛ لتقود من خلال تحوله السلوكي والانخفاض الجذري لمخاطره الإدراكية إلى تحقيق صيرورة إعادة هندسة سوق الفنون البصرية في المملكة العربية السعودية، والانتقال بالمنظومة بكامل مفاصلها إلى طور النضج الهيكلي، والتنافسية العالمية، والاستدامة الاقتصادية المنشودة.</w:t>
      </w:r>
    </w:p>
    <w:p w14:paraId="754A70DD" w14:textId="77777777" w:rsidR="00B00FCA" w:rsidRDefault="00000000">
      <w:pPr>
        <w:pStyle w:val="3"/>
        <w:keepNext w:val="0"/>
        <w:keepLines w:val="0"/>
        <w:bidi/>
        <w:spacing w:line="276" w:lineRule="auto"/>
        <w:rPr>
          <w:rFonts w:ascii="Arial" w:eastAsia="Arial" w:hAnsi="Arial" w:cs="Arial"/>
          <w:sz w:val="26"/>
          <w:szCs w:val="26"/>
        </w:rPr>
      </w:pPr>
      <w:bookmarkStart w:id="17" w:name="_fv1z1ljhkrns" w:colFirst="0" w:colLast="0"/>
      <w:bookmarkEnd w:id="17"/>
      <w:r>
        <w:rPr>
          <w:rFonts w:ascii="Arial" w:eastAsia="Arial" w:hAnsi="Arial" w:cs="Arial"/>
          <w:sz w:val="26"/>
          <w:szCs w:val="26"/>
          <w:rtl/>
        </w:rPr>
        <w:t>حدود الدراسة والمنهجية</w:t>
      </w:r>
    </w:p>
    <w:p w14:paraId="43D8C1E6" w14:textId="77777777" w:rsidR="00B00FCA" w:rsidRDefault="00000000">
      <w:pPr>
        <w:pStyle w:val="4"/>
        <w:keepNext w:val="0"/>
        <w:keepLines w:val="0"/>
        <w:bidi/>
        <w:spacing w:line="276" w:lineRule="auto"/>
        <w:rPr>
          <w:rFonts w:ascii="Arial" w:eastAsia="Arial" w:hAnsi="Arial" w:cs="Arial"/>
          <w:sz w:val="22"/>
          <w:szCs w:val="22"/>
        </w:rPr>
      </w:pPr>
      <w:bookmarkStart w:id="18" w:name="_88vknsoe5xbq" w:colFirst="0" w:colLast="0"/>
      <w:bookmarkEnd w:id="18"/>
      <w:r>
        <w:rPr>
          <w:rFonts w:ascii="Arial" w:eastAsia="Arial" w:hAnsi="Arial" w:cs="Arial"/>
          <w:sz w:val="22"/>
          <w:szCs w:val="22"/>
          <w:rtl/>
        </w:rPr>
        <w:t>الفلسفة المنهجية ومسوغات الخيار البحثي</w:t>
      </w:r>
    </w:p>
    <w:p w14:paraId="6D9378E2" w14:textId="77777777" w:rsidR="00B00FCA" w:rsidRDefault="00000000">
      <w:pPr>
        <w:bidi/>
        <w:spacing w:before="240" w:after="240" w:line="276" w:lineRule="auto"/>
        <w:rPr>
          <w:rFonts w:ascii="Arial" w:eastAsia="Arial" w:hAnsi="Arial" w:cs="Arial"/>
        </w:rPr>
      </w:pPr>
      <w:r>
        <w:rPr>
          <w:rFonts w:ascii="Arial" w:eastAsia="Arial" w:hAnsi="Arial" w:cs="Arial"/>
          <w:rtl/>
        </w:rPr>
        <w:t xml:space="preserve">إن دراسة الفضاءات الثقافية والأسواق الرمزية، وبخاصة سوق الفنون البصرية المعاصرة، تفرض على الباحث تحدياً معرفياً مزدوجاً؛ إذ يتطلب الأمر تفكيك ظواهر مادية واقتصادية قابلة للرصد الكمي، مثل أحجام التداول، ومستويات الأسعار، وقنوات التدفق، بالتوازي مع سبر أغوار ظواهر سيكولوجية </w:t>
      </w:r>
      <w:proofErr w:type="spellStart"/>
      <w:r>
        <w:rPr>
          <w:rFonts w:ascii="Arial" w:eastAsia="Arial" w:hAnsi="Arial" w:cs="Arial"/>
          <w:rtl/>
        </w:rPr>
        <w:t>وسوسيولوجية</w:t>
      </w:r>
      <w:proofErr w:type="spellEnd"/>
      <w:r>
        <w:rPr>
          <w:rFonts w:ascii="Arial" w:eastAsia="Arial" w:hAnsi="Arial" w:cs="Arial"/>
          <w:rtl/>
        </w:rPr>
        <w:t xml:space="preserve"> معقدة وغير ملموسة، مثل مستويات المخاطر المدركة، وهندسة الثقة، والرأسمال الرمزي، والذوق الجمالي الحاكم لخيارات </w:t>
      </w:r>
      <w:proofErr w:type="spellStart"/>
      <w:r>
        <w:rPr>
          <w:rFonts w:ascii="Arial" w:eastAsia="Arial" w:hAnsi="Arial" w:cs="Arial"/>
          <w:rtl/>
        </w:rPr>
        <w:t>المقتنين</w:t>
      </w:r>
      <w:proofErr w:type="spellEnd"/>
      <w:r>
        <w:rPr>
          <w:rFonts w:ascii="Arial" w:eastAsia="Arial" w:hAnsi="Arial" w:cs="Arial"/>
          <w:rtl/>
        </w:rPr>
        <w:t xml:space="preserve">. ومن هذا المنطلق، تتجاوز هذه الدراسة الاختزال المنهجي الذي يكتفي إما بالقراءة الإحصائية الجافة أو بالتحليل النقدي الانطباعي، </w:t>
      </w:r>
      <w:proofErr w:type="spellStart"/>
      <w:r>
        <w:rPr>
          <w:rFonts w:ascii="Arial" w:eastAsia="Arial" w:hAnsi="Arial" w:cs="Arial"/>
          <w:rtl/>
        </w:rPr>
        <w:t>متبنيةً</w:t>
      </w:r>
      <w:proofErr w:type="spellEnd"/>
      <w:r>
        <w:rPr>
          <w:rFonts w:ascii="Arial" w:eastAsia="Arial" w:hAnsi="Arial" w:cs="Arial"/>
          <w:rtl/>
        </w:rPr>
        <w:t xml:space="preserve"> بدلاً من ذلك منهجية التثليث المشترك المركب التي تدمج بين التقصي الكمي والنوعي في آن واحد.</w:t>
      </w:r>
    </w:p>
    <w:p w14:paraId="4D915842" w14:textId="77777777" w:rsidR="00B00FCA" w:rsidRDefault="00000000">
      <w:pPr>
        <w:bidi/>
        <w:spacing w:before="240" w:after="240" w:line="276" w:lineRule="auto"/>
        <w:rPr>
          <w:rFonts w:ascii="Arial" w:eastAsia="Arial" w:hAnsi="Arial" w:cs="Arial"/>
        </w:rPr>
      </w:pPr>
      <w:r>
        <w:rPr>
          <w:rFonts w:ascii="Arial" w:eastAsia="Arial" w:hAnsi="Arial" w:cs="Arial"/>
          <w:rtl/>
        </w:rPr>
        <w:t>إن تبني هذا المنهج التكاملي لا يأتي كخيار تكميلي أو ترف فكري، بل هو حتمية تفرضها طبيعة الموضوع في البيئة السعودية المعاصرة؛ حيث يمر قطاع الفنون بمرحلة انتقالية متسارعة تهدف إلى المأسسة والحوكمة بالتوافق مع المستهدفات التنموية الكبرى للرؤية الوطنية. هذا التحول الهيكلي يستدعي فحصاً دقيقاً للمخرجات الاتصالية الصادرة عن معارض الفنون، وفهماً عميقاً لسلوك ورغبات المقتني الجديد الذي يتخذ من المنصات الرقمية وسيطاً أساسياً له، واستقراءً استشرافياً لرؤى ومواقف النخبة وصناع القرار في المؤسسات الرسمية والخاصة. وبناءً على ذلك، يتم هندسة هذا الفصل ليمثل دليلاً إجرائياً وعلمياً صارماً، يحدد بدقة متناهية مسارات الحركة الميدانية والتحليلية للدراسة، ضامناً أعلى درجات الصدق والثبات والموضوعية العلمية.</w:t>
      </w:r>
    </w:p>
    <w:p w14:paraId="5BF3B3DE" w14:textId="77777777" w:rsidR="00B00FCA" w:rsidRDefault="00000000">
      <w:pPr>
        <w:pStyle w:val="3"/>
        <w:keepNext w:val="0"/>
        <w:keepLines w:val="0"/>
        <w:bidi/>
        <w:spacing w:line="276" w:lineRule="auto"/>
        <w:rPr>
          <w:rFonts w:ascii="Arial" w:eastAsia="Arial" w:hAnsi="Arial" w:cs="Arial"/>
          <w:sz w:val="26"/>
          <w:szCs w:val="26"/>
        </w:rPr>
      </w:pPr>
      <w:bookmarkStart w:id="19" w:name="_caqbki96h7ww" w:colFirst="0" w:colLast="0"/>
      <w:bookmarkEnd w:id="19"/>
      <w:r>
        <w:rPr>
          <w:rFonts w:ascii="Arial" w:eastAsia="Arial" w:hAnsi="Arial" w:cs="Arial"/>
          <w:sz w:val="26"/>
          <w:szCs w:val="26"/>
          <w:rtl/>
        </w:rPr>
        <w:t>أولاً: حدود الدراسة</w:t>
      </w:r>
    </w:p>
    <w:p w14:paraId="2F4827F6" w14:textId="77777777" w:rsidR="00B00FCA" w:rsidRDefault="00000000">
      <w:pPr>
        <w:bidi/>
        <w:spacing w:before="240" w:after="240" w:line="276" w:lineRule="auto"/>
        <w:rPr>
          <w:rFonts w:ascii="Arial" w:eastAsia="Arial" w:hAnsi="Arial" w:cs="Arial"/>
        </w:rPr>
      </w:pPr>
      <w:r>
        <w:rPr>
          <w:rFonts w:ascii="Arial" w:eastAsia="Arial" w:hAnsi="Arial" w:cs="Arial"/>
          <w:rtl/>
        </w:rPr>
        <w:t>تتحدد هذه الدراسة بأربعة أطر ارتكازية تمثل النطاق الحاكم للبحث، وتضمن عدم تشتت الجهود البحثية، وتركيز التحليل على الظواهر المستهدفة بشكل دقيق وعميق، وهي على النحو الآتي:</w:t>
      </w:r>
    </w:p>
    <w:p w14:paraId="7E31D9D0" w14:textId="77777777" w:rsidR="00B00FCA" w:rsidRDefault="00000000">
      <w:pPr>
        <w:pStyle w:val="4"/>
        <w:keepNext w:val="0"/>
        <w:keepLines w:val="0"/>
        <w:bidi/>
        <w:spacing w:line="276" w:lineRule="auto"/>
        <w:rPr>
          <w:rFonts w:ascii="Arial" w:eastAsia="Arial" w:hAnsi="Arial" w:cs="Arial"/>
          <w:sz w:val="22"/>
          <w:szCs w:val="22"/>
        </w:rPr>
      </w:pPr>
      <w:bookmarkStart w:id="20" w:name="_g4t4pxub9vol" w:colFirst="0" w:colLast="0"/>
      <w:bookmarkEnd w:id="20"/>
      <w:r>
        <w:rPr>
          <w:rFonts w:ascii="Arial" w:eastAsia="Arial" w:hAnsi="Arial" w:cs="Arial"/>
          <w:sz w:val="22"/>
          <w:szCs w:val="22"/>
          <w:rtl/>
        </w:rPr>
        <w:t>1. الحدود الموضوعية</w:t>
      </w:r>
    </w:p>
    <w:p w14:paraId="597DEB69" w14:textId="77777777" w:rsidR="00B00FCA" w:rsidRDefault="00000000">
      <w:pPr>
        <w:bidi/>
        <w:spacing w:before="240" w:after="240" w:line="276" w:lineRule="auto"/>
        <w:rPr>
          <w:rFonts w:ascii="Arial" w:eastAsia="Arial" w:hAnsi="Arial" w:cs="Arial"/>
        </w:rPr>
      </w:pPr>
      <w:r>
        <w:rPr>
          <w:rFonts w:ascii="Arial" w:eastAsia="Arial" w:hAnsi="Arial" w:cs="Arial"/>
          <w:rtl/>
        </w:rPr>
        <w:t xml:space="preserve">تنحصر الدراسة موضوعياً في فحص واختبار أثر متغيرين مستقلين رئيسيين: الأول هو استراتيجيات الاتصال التسويقي المتكامل بأبعاده الأساسية المتمثلة في الاتساق الرسالي، والتعددية القنوية، وبناء الهوية الرمزية لمعارض الفنون وصالات العرض، والتسويق التجريبي القائم على المعايشة الحية. أما المتغير المستقل الثاني فيتمثل في حزمة أبعاد المنظومة الابتكار الخماسية، وهي الابتكار التسويقي، والابتكار النفسي، والابتكار التقني، والابتكار الاقتصادي، </w:t>
      </w:r>
      <w:proofErr w:type="gramStart"/>
      <w:r>
        <w:rPr>
          <w:rFonts w:ascii="Arial" w:eastAsia="Arial" w:hAnsi="Arial" w:cs="Arial"/>
          <w:rtl/>
        </w:rPr>
        <w:t xml:space="preserve">والابتكار المؤسسي </w:t>
      </w:r>
      <w:proofErr w:type="gramEnd"/>
      <w:r>
        <w:rPr>
          <w:rFonts w:ascii="Arial" w:eastAsia="Arial" w:hAnsi="Arial" w:cs="Arial"/>
          <w:rtl/>
        </w:rPr>
        <w:t>والتنظيمي. ويتم قياس أثر هذين المتغيرين على المتغير التابع النهائي وهو إعادة هندسة سوق الفنون البصرية وتحقيق النضج الهيكلي والمؤسسي بأبعاده الثلاثة: الحوكمة والشفافية المعلوماتية، وتنشيط واستقرار السوق الثانوية، وعقلنة ومعيارية أدوات التثمين المالي للأصول الثقافية.</w:t>
      </w:r>
    </w:p>
    <w:p w14:paraId="4EBCF5BB" w14:textId="77777777" w:rsidR="00B00FCA" w:rsidRDefault="00000000">
      <w:pPr>
        <w:bidi/>
        <w:spacing w:before="240" w:after="240" w:line="276" w:lineRule="auto"/>
        <w:rPr>
          <w:rFonts w:ascii="Arial" w:eastAsia="Arial" w:hAnsi="Arial" w:cs="Arial"/>
        </w:rPr>
      </w:pPr>
      <w:r>
        <w:rPr>
          <w:rFonts w:ascii="Arial" w:eastAsia="Arial" w:hAnsi="Arial" w:cs="Arial"/>
          <w:rtl/>
        </w:rPr>
        <w:t>كما تلتزم الدراسة موضوعياً بمحاولة قياس وفهم الدور الوسيط والمعدل الذي يلعبه سلوك وإدراك المقتني الرقمي الجديد عبر بُعدين جوهريين هما: هندسة الثقة المعرفية، وخفض مستويات المخاطر النفسية والمالية والاجتماعية المدركة لديه. وتقتصر الدراسة في جانبها التحليلي على المصنفات الفنية التابعة لقطاع الفنون البصرية المعاصرة، مثل الرسم والتصوير التشكيلي، والنحت المعاصر، والتجهيز في الفراغ، وفنون الميديا الرقمية الحديثة، مستبعدةً تماماً الفنون الحرفية التقليدية، أو الآثار التاريخية، أو الفنون الأدائية والموسيقية، نظراً لاختلاف الهياكل الاقتصادية والقوانين التشريعية والاتصالية الحاكمة لتلك القطاعات ومجتمعاتها الاستهلاكية.</w:t>
      </w:r>
    </w:p>
    <w:p w14:paraId="422BF7ED" w14:textId="77777777" w:rsidR="00B00FCA" w:rsidRDefault="00000000">
      <w:pPr>
        <w:pStyle w:val="4"/>
        <w:keepNext w:val="0"/>
        <w:keepLines w:val="0"/>
        <w:bidi/>
        <w:spacing w:line="276" w:lineRule="auto"/>
        <w:rPr>
          <w:rFonts w:ascii="Arial" w:eastAsia="Arial" w:hAnsi="Arial" w:cs="Arial"/>
          <w:sz w:val="22"/>
          <w:szCs w:val="22"/>
        </w:rPr>
      </w:pPr>
      <w:bookmarkStart w:id="21" w:name="_s6y85nx4bzi1" w:colFirst="0" w:colLast="0"/>
      <w:bookmarkEnd w:id="21"/>
      <w:r>
        <w:rPr>
          <w:rFonts w:ascii="Arial" w:eastAsia="Arial" w:hAnsi="Arial" w:cs="Arial"/>
          <w:sz w:val="22"/>
          <w:szCs w:val="22"/>
          <w:rtl/>
        </w:rPr>
        <w:lastRenderedPageBreak/>
        <w:t>2. الحدود المكانية</w:t>
      </w:r>
    </w:p>
    <w:p w14:paraId="2BD315A4" w14:textId="77777777" w:rsidR="00B00FCA" w:rsidRDefault="00000000">
      <w:pPr>
        <w:bidi/>
        <w:spacing w:before="240" w:after="240" w:line="276" w:lineRule="auto"/>
        <w:rPr>
          <w:rFonts w:ascii="Arial" w:eastAsia="Arial" w:hAnsi="Arial" w:cs="Arial"/>
        </w:rPr>
      </w:pPr>
      <w:r>
        <w:rPr>
          <w:rFonts w:ascii="Arial" w:eastAsia="Arial" w:hAnsi="Arial" w:cs="Arial"/>
          <w:rtl/>
        </w:rPr>
        <w:t>تجرى هذه الدراسة ميدانياً وتحليلياً داخل النطاق الجغرافي للمملكة العربية السعودية، مع التركيز المكثف على المراكز الحضرية والثقافية الكبرى الثلاثة التي تقود مشهد الفنون البصرية والاقتصاد الإبداعي في المملكة، وهي:</w:t>
      </w:r>
    </w:p>
    <w:p w14:paraId="5BF2068C" w14:textId="77777777" w:rsidR="00B00FCA" w:rsidRDefault="00000000">
      <w:pPr>
        <w:numPr>
          <w:ilvl w:val="0"/>
          <w:numId w:val="2"/>
        </w:numPr>
        <w:bidi/>
        <w:spacing w:before="240" w:after="0" w:line="276" w:lineRule="auto"/>
        <w:rPr>
          <w:rFonts w:ascii="Arial" w:eastAsia="Arial" w:hAnsi="Arial" w:cs="Arial"/>
        </w:rPr>
      </w:pPr>
      <w:r>
        <w:rPr>
          <w:rFonts w:ascii="Arial" w:eastAsia="Arial" w:hAnsi="Arial" w:cs="Arial"/>
          <w:b/>
          <w:bCs/>
          <w:rtl/>
        </w:rPr>
        <w:t>العاصمة الرياض:</w:t>
      </w:r>
      <w:r>
        <w:rPr>
          <w:rFonts w:ascii="Arial" w:eastAsia="Arial" w:hAnsi="Arial" w:cs="Arial"/>
          <w:rtl/>
        </w:rPr>
        <w:t xml:space="preserve"> باعتبارها المركز السياسي والمالي الإستراتيجي، والحاضنة لأكبر المشاريع الثقافية الوطنية والمؤسسات السيادية المانحة، والمنطقة الأكثر جذباً </w:t>
      </w:r>
      <w:proofErr w:type="spellStart"/>
      <w:r>
        <w:rPr>
          <w:rFonts w:ascii="Arial" w:eastAsia="Arial" w:hAnsi="Arial" w:cs="Arial"/>
          <w:rtl/>
        </w:rPr>
        <w:t>للمقتنين</w:t>
      </w:r>
      <w:proofErr w:type="spellEnd"/>
      <w:r>
        <w:rPr>
          <w:rFonts w:ascii="Arial" w:eastAsia="Arial" w:hAnsi="Arial" w:cs="Arial"/>
          <w:rtl/>
        </w:rPr>
        <w:t xml:space="preserve"> والمستثمرين الكبار وصناديق التمويل الاستثماري الموجهة نحو الفنون.</w:t>
      </w:r>
    </w:p>
    <w:p w14:paraId="6EF21E1F" w14:textId="77777777" w:rsidR="00B00FCA" w:rsidRDefault="00000000">
      <w:pPr>
        <w:numPr>
          <w:ilvl w:val="0"/>
          <w:numId w:val="2"/>
        </w:numPr>
        <w:bidi/>
        <w:spacing w:after="0" w:line="276" w:lineRule="auto"/>
        <w:rPr>
          <w:rFonts w:ascii="Arial" w:eastAsia="Arial" w:hAnsi="Arial" w:cs="Arial"/>
        </w:rPr>
      </w:pPr>
      <w:r>
        <w:rPr>
          <w:rFonts w:ascii="Arial" w:eastAsia="Arial" w:hAnsi="Arial" w:cs="Arial"/>
          <w:b/>
          <w:bCs/>
          <w:rtl/>
        </w:rPr>
        <w:t>محافظة جدة:</w:t>
      </w:r>
      <w:r>
        <w:rPr>
          <w:rFonts w:ascii="Arial" w:eastAsia="Arial" w:hAnsi="Arial" w:cs="Arial"/>
          <w:rtl/>
        </w:rPr>
        <w:t xml:space="preserve"> باعتبارها المهد التاريخي والعمق الريادي لحركة الفنون البصرية السعودية، والتي تمتلك شبكة عريقة وممتدة من معارض الفنون وصالات العرض الخاصة والمجموعات </w:t>
      </w:r>
      <w:proofErr w:type="spellStart"/>
      <w:r>
        <w:rPr>
          <w:rFonts w:ascii="Arial" w:eastAsia="Arial" w:hAnsi="Arial" w:cs="Arial"/>
          <w:rtl/>
        </w:rPr>
        <w:t>الاقتنائية</w:t>
      </w:r>
      <w:proofErr w:type="spellEnd"/>
      <w:r>
        <w:rPr>
          <w:rFonts w:ascii="Arial" w:eastAsia="Arial" w:hAnsi="Arial" w:cs="Arial"/>
          <w:rtl/>
        </w:rPr>
        <w:t xml:space="preserve"> العائلية الكبرى التي شكلت ملامح السوق عبر العقود الماضية.</w:t>
      </w:r>
    </w:p>
    <w:p w14:paraId="597A6F5D" w14:textId="77777777" w:rsidR="00B00FCA" w:rsidRDefault="00000000">
      <w:pPr>
        <w:numPr>
          <w:ilvl w:val="0"/>
          <w:numId w:val="2"/>
        </w:numPr>
        <w:bidi/>
        <w:spacing w:after="240" w:line="276" w:lineRule="auto"/>
        <w:rPr>
          <w:rFonts w:ascii="Arial" w:eastAsia="Arial" w:hAnsi="Arial" w:cs="Arial"/>
        </w:rPr>
      </w:pPr>
      <w:r>
        <w:rPr>
          <w:rFonts w:ascii="Arial" w:eastAsia="Arial" w:hAnsi="Arial" w:cs="Arial"/>
          <w:b/>
          <w:bCs/>
          <w:rtl/>
        </w:rPr>
        <w:t>المنطقة الشرقية، وتحديداً مدينتي الدمام والظهران:</w:t>
      </w:r>
      <w:r>
        <w:rPr>
          <w:rFonts w:ascii="Arial" w:eastAsia="Arial" w:hAnsi="Arial" w:cs="Arial"/>
          <w:rtl/>
        </w:rPr>
        <w:t xml:space="preserve"> باعتبارها مركزاً حيوياً يدمج بين الاستثمار المعرفي والثقافي، ممثلاً في مؤسسات إبداعية كبرى، وبين الحراك الفني الشبابي الصاعد المائل نحو التجريب والابتكار.</w:t>
      </w:r>
    </w:p>
    <w:p w14:paraId="490F3666" w14:textId="77777777" w:rsidR="00B00FCA" w:rsidRDefault="00000000">
      <w:pPr>
        <w:bidi/>
        <w:spacing w:before="240" w:after="240" w:line="276" w:lineRule="auto"/>
        <w:rPr>
          <w:rFonts w:ascii="Arial" w:eastAsia="Arial" w:hAnsi="Arial" w:cs="Arial"/>
        </w:rPr>
      </w:pPr>
      <w:r>
        <w:rPr>
          <w:rFonts w:ascii="Arial" w:eastAsia="Arial" w:hAnsi="Arial" w:cs="Arial"/>
          <w:rtl/>
        </w:rPr>
        <w:t xml:space="preserve">ويشمل الحد المكاني أيضاً الفضاء الرقمي </w:t>
      </w:r>
      <w:proofErr w:type="spellStart"/>
      <w:r>
        <w:rPr>
          <w:rFonts w:ascii="Arial" w:eastAsia="Arial" w:hAnsi="Arial" w:cs="Arial"/>
          <w:rtl/>
        </w:rPr>
        <w:t>السبراني</w:t>
      </w:r>
      <w:proofErr w:type="spellEnd"/>
      <w:r>
        <w:rPr>
          <w:rFonts w:ascii="Arial" w:eastAsia="Arial" w:hAnsi="Arial" w:cs="Arial"/>
          <w:rtl/>
        </w:rPr>
        <w:t xml:space="preserve"> الوطني، والمتمثل في المواقع الإلكترونية والمنصات الرقمية الرسمية وتطبيقات الهواتف الذكية وحسابات شبكات التواصل الاجتماعي التابعة لمعارض الفنون الفاعلة داخل هذه المدن الثلاث، نظراً للاعتماد الكامل للنموذج المقترح على قنوات التدفق الهجينة والافتراضية في عمليات التسويق والتداول والتوثيق.</w:t>
      </w:r>
    </w:p>
    <w:p w14:paraId="67A6CB4F" w14:textId="77777777" w:rsidR="00B00FCA" w:rsidRDefault="00000000">
      <w:pPr>
        <w:pStyle w:val="4"/>
        <w:keepNext w:val="0"/>
        <w:keepLines w:val="0"/>
        <w:bidi/>
        <w:spacing w:line="276" w:lineRule="auto"/>
        <w:rPr>
          <w:rFonts w:ascii="Arial" w:eastAsia="Arial" w:hAnsi="Arial" w:cs="Arial"/>
          <w:sz w:val="22"/>
          <w:szCs w:val="22"/>
        </w:rPr>
      </w:pPr>
      <w:bookmarkStart w:id="22" w:name="_xafc3awnsxec" w:colFirst="0" w:colLast="0"/>
      <w:bookmarkEnd w:id="22"/>
      <w:r>
        <w:rPr>
          <w:rFonts w:ascii="Arial" w:eastAsia="Arial" w:hAnsi="Arial" w:cs="Arial"/>
          <w:sz w:val="22"/>
          <w:szCs w:val="22"/>
          <w:rtl/>
        </w:rPr>
        <w:t>3. الحدود الزمانية</w:t>
      </w:r>
    </w:p>
    <w:p w14:paraId="04D270E4" w14:textId="77777777" w:rsidR="00B00FCA" w:rsidRDefault="00000000">
      <w:pPr>
        <w:bidi/>
        <w:spacing w:before="240" w:after="240" w:line="276" w:lineRule="auto"/>
        <w:rPr>
          <w:rFonts w:ascii="Arial" w:eastAsia="Arial" w:hAnsi="Arial" w:cs="Arial"/>
        </w:rPr>
      </w:pPr>
      <w:r>
        <w:rPr>
          <w:rFonts w:ascii="Arial" w:eastAsia="Arial" w:hAnsi="Arial" w:cs="Arial"/>
          <w:rtl/>
        </w:rPr>
        <w:t>تتحدد الدراسة زمنياً بالمدى الحركي والتحليلي المعاصر المستمر حتى عامنا الحالي، 2026 ويمثل هذا النطاق الزمني أهمية بالغة لثلاثة مسوغات علمية ومنهجية:</w:t>
      </w:r>
    </w:p>
    <w:p w14:paraId="1841907B" w14:textId="77777777" w:rsidR="00B00FCA" w:rsidRDefault="00000000">
      <w:pPr>
        <w:numPr>
          <w:ilvl w:val="0"/>
          <w:numId w:val="6"/>
        </w:numPr>
        <w:bidi/>
        <w:spacing w:before="240" w:after="0" w:line="276" w:lineRule="auto"/>
        <w:rPr>
          <w:rFonts w:ascii="Arial" w:eastAsia="Arial" w:hAnsi="Arial" w:cs="Arial"/>
        </w:rPr>
      </w:pPr>
      <w:r>
        <w:rPr>
          <w:rFonts w:ascii="Arial" w:eastAsia="Arial" w:hAnsi="Arial" w:cs="Arial"/>
          <w:b/>
          <w:bCs/>
          <w:rtl/>
        </w:rPr>
        <w:t>أولاً:</w:t>
      </w:r>
      <w:r>
        <w:rPr>
          <w:rFonts w:ascii="Arial" w:eastAsia="Arial" w:hAnsi="Arial" w:cs="Arial"/>
          <w:rtl/>
        </w:rPr>
        <w:t xml:space="preserve"> أنه يمثل مرحلة النضج الفعلي لخطط وبرامج الاستراتيجية الوطنية للثقافة المنبثقة عن رؤية المملكة، حيث تحولت المبادرات الاستشارية والأطر التمهيدية إلى هياكل تشريعية وتنظيمية وهيئات حكومية متخصصة قائمة ومؤثرة على أرض الواقع الميداني.</w:t>
      </w:r>
    </w:p>
    <w:p w14:paraId="26507442" w14:textId="77777777" w:rsidR="00B00FCA" w:rsidRDefault="00000000">
      <w:pPr>
        <w:numPr>
          <w:ilvl w:val="0"/>
          <w:numId w:val="6"/>
        </w:numPr>
        <w:bidi/>
        <w:spacing w:after="0" w:line="276" w:lineRule="auto"/>
        <w:rPr>
          <w:rFonts w:ascii="Arial" w:eastAsia="Arial" w:hAnsi="Arial" w:cs="Arial"/>
        </w:rPr>
      </w:pPr>
      <w:r>
        <w:rPr>
          <w:rFonts w:ascii="Arial" w:eastAsia="Arial" w:hAnsi="Arial" w:cs="Arial"/>
          <w:b/>
          <w:bCs/>
          <w:rtl/>
        </w:rPr>
        <w:t>ثانياً:</w:t>
      </w:r>
      <w:r>
        <w:rPr>
          <w:rFonts w:ascii="Arial" w:eastAsia="Arial" w:hAnsi="Arial" w:cs="Arial"/>
          <w:rtl/>
        </w:rPr>
        <w:t xml:space="preserve"> الاستقرار الكامل للأنماط السلوكية والاتصالية الهجينة التي ترسخت وتطورت في بيئة ما بعد التحولات الرقمية المتسارعة، حيث أصبح الاعتماد على الفضاءات السيبرانية والتطبيقات الذكية في التداول الاقتصادي والاستكشاف الجمالي جزءاً بنيوياً وثابتاً من سلوك المقتني والمستهلك السعودي.</w:t>
      </w:r>
    </w:p>
    <w:p w14:paraId="7788DCF1" w14:textId="77777777" w:rsidR="00B00FCA" w:rsidRDefault="00000000">
      <w:pPr>
        <w:numPr>
          <w:ilvl w:val="0"/>
          <w:numId w:val="6"/>
        </w:numPr>
        <w:bidi/>
        <w:spacing w:after="240" w:line="276" w:lineRule="auto"/>
        <w:rPr>
          <w:rFonts w:ascii="Arial" w:eastAsia="Arial" w:hAnsi="Arial" w:cs="Arial"/>
        </w:rPr>
      </w:pPr>
      <w:r>
        <w:rPr>
          <w:rFonts w:ascii="Arial" w:eastAsia="Arial" w:hAnsi="Arial" w:cs="Arial"/>
          <w:b/>
          <w:bCs/>
          <w:rtl/>
        </w:rPr>
        <w:t>ثالثاً:</w:t>
      </w:r>
      <w:r>
        <w:rPr>
          <w:rFonts w:ascii="Arial" w:eastAsia="Arial" w:hAnsi="Arial" w:cs="Arial"/>
          <w:rtl/>
        </w:rPr>
        <w:t xml:space="preserve"> تزامن هذا النطاق مع الطفرة غير المسبوقة في دخول التقنيات المالية المتقدمة وسلاسل الكتل وعقود الحوسبة الذكية حيز التطبيق الفعلي في ممارسات التوثيق والتثمين وحماية الملكية الفكرية داخل الأسواق الإقليمية والمحلية، مما يمنح الدراسة ميزة مواكبة أحدث المتغيرات التشغيلية والتنظيمية.</w:t>
      </w:r>
    </w:p>
    <w:p w14:paraId="58910901" w14:textId="77777777" w:rsidR="00B00FCA" w:rsidRDefault="00000000">
      <w:pPr>
        <w:pStyle w:val="4"/>
        <w:keepNext w:val="0"/>
        <w:keepLines w:val="0"/>
        <w:bidi/>
        <w:spacing w:line="276" w:lineRule="auto"/>
        <w:rPr>
          <w:rFonts w:ascii="Arial" w:eastAsia="Arial" w:hAnsi="Arial" w:cs="Arial"/>
          <w:sz w:val="22"/>
          <w:szCs w:val="22"/>
        </w:rPr>
      </w:pPr>
      <w:bookmarkStart w:id="23" w:name="_j4a401tbxsmo" w:colFirst="0" w:colLast="0"/>
      <w:bookmarkEnd w:id="23"/>
      <w:r>
        <w:rPr>
          <w:rFonts w:ascii="Arial" w:eastAsia="Arial" w:hAnsi="Arial" w:cs="Arial"/>
          <w:sz w:val="22"/>
          <w:szCs w:val="22"/>
          <w:rtl/>
        </w:rPr>
        <w:t>4. الحدود البشرية والعينية</w:t>
      </w:r>
    </w:p>
    <w:p w14:paraId="4F134427" w14:textId="77777777" w:rsidR="00B00FCA" w:rsidRDefault="00000000">
      <w:pPr>
        <w:bidi/>
        <w:spacing w:before="240" w:after="240" w:line="276" w:lineRule="auto"/>
        <w:rPr>
          <w:rFonts w:ascii="Arial" w:eastAsia="Arial" w:hAnsi="Arial" w:cs="Arial"/>
        </w:rPr>
      </w:pPr>
      <w:r>
        <w:rPr>
          <w:rFonts w:ascii="Arial" w:eastAsia="Arial" w:hAnsi="Arial" w:cs="Arial"/>
          <w:rtl/>
        </w:rPr>
        <w:t>تستهدف الدراسة أربع فئات رئيسية ومستقلة تشكل بمجموعها مجتمع البحث الفاعل والمؤثر في منظومة سوق الفنون البصرية المعاصرة:</w:t>
      </w:r>
    </w:p>
    <w:p w14:paraId="312A6F60" w14:textId="77777777" w:rsidR="00B00FCA" w:rsidRDefault="00000000">
      <w:pPr>
        <w:numPr>
          <w:ilvl w:val="0"/>
          <w:numId w:val="36"/>
        </w:numPr>
        <w:bidi/>
        <w:spacing w:before="240" w:after="0" w:line="276" w:lineRule="auto"/>
        <w:rPr>
          <w:rFonts w:ascii="Arial" w:eastAsia="Arial" w:hAnsi="Arial" w:cs="Arial"/>
        </w:rPr>
      </w:pPr>
      <w:r>
        <w:rPr>
          <w:rFonts w:ascii="Arial" w:eastAsia="Arial" w:hAnsi="Arial" w:cs="Arial"/>
          <w:b/>
          <w:bCs/>
          <w:rtl/>
        </w:rPr>
        <w:t xml:space="preserve">الفئة الأولى وهي عينة </w:t>
      </w:r>
      <w:proofErr w:type="spellStart"/>
      <w:r>
        <w:rPr>
          <w:rFonts w:ascii="Arial" w:eastAsia="Arial" w:hAnsi="Arial" w:cs="Arial"/>
          <w:b/>
          <w:bCs/>
          <w:rtl/>
        </w:rPr>
        <w:t>المقتنين</w:t>
      </w:r>
      <w:proofErr w:type="spellEnd"/>
      <w:r>
        <w:rPr>
          <w:rFonts w:ascii="Arial" w:eastAsia="Arial" w:hAnsi="Arial" w:cs="Arial"/>
          <w:b/>
          <w:bCs/>
          <w:rtl/>
        </w:rPr>
        <w:t>:</w:t>
      </w:r>
      <w:r>
        <w:rPr>
          <w:rFonts w:ascii="Arial" w:eastAsia="Arial" w:hAnsi="Arial" w:cs="Arial"/>
          <w:rtl/>
        </w:rPr>
        <w:t xml:space="preserve"> وتشمل </w:t>
      </w:r>
      <w:proofErr w:type="spellStart"/>
      <w:r>
        <w:rPr>
          <w:rFonts w:ascii="Arial" w:eastAsia="Arial" w:hAnsi="Arial" w:cs="Arial"/>
          <w:rtl/>
        </w:rPr>
        <w:t>المقتنين</w:t>
      </w:r>
      <w:proofErr w:type="spellEnd"/>
      <w:r>
        <w:rPr>
          <w:rFonts w:ascii="Arial" w:eastAsia="Arial" w:hAnsi="Arial" w:cs="Arial"/>
          <w:rtl/>
        </w:rPr>
        <w:t xml:space="preserve"> الرقميين الجدد والناشئين من المواطنين والمقيمين في المملكة، الذين يمارسون فعل اقتناء الأعمال الفنية البصرية المعاصرة، والذين يعتمدون بشكل كلي أو جزئي على الوسائط والقنوات الرقمية في عمليات استكشاف وتقييم وشراء الأصول الفنية.</w:t>
      </w:r>
    </w:p>
    <w:p w14:paraId="43FF7C3C" w14:textId="77777777" w:rsidR="00B00FCA" w:rsidRDefault="00000000">
      <w:pPr>
        <w:numPr>
          <w:ilvl w:val="0"/>
          <w:numId w:val="36"/>
        </w:numPr>
        <w:bidi/>
        <w:spacing w:after="0" w:line="276" w:lineRule="auto"/>
        <w:rPr>
          <w:rFonts w:ascii="Arial" w:eastAsia="Arial" w:hAnsi="Arial" w:cs="Arial"/>
        </w:rPr>
      </w:pPr>
      <w:r>
        <w:rPr>
          <w:rFonts w:ascii="Arial" w:eastAsia="Arial" w:hAnsi="Arial" w:cs="Arial"/>
          <w:b/>
          <w:bCs/>
          <w:rtl/>
        </w:rPr>
        <w:t>الفئة الثانية وهي عينة الإدارة والوساطة:</w:t>
      </w:r>
      <w:r>
        <w:rPr>
          <w:rFonts w:ascii="Arial" w:eastAsia="Arial" w:hAnsi="Arial" w:cs="Arial"/>
          <w:rtl/>
        </w:rPr>
        <w:t xml:space="preserve"> وتشمل الملاك والمؤسسين والمديرين التنفيذيين والقيمين الفنيين المسؤولين عن إدارة وتوجيه معارض الفنون وصالات العرض الخاصة النشطة والمصنفة رسمياً في النطاق الجغرافي للدراسة، والذين يقودون عمليات العرض والتسويق في السوق الأولية.</w:t>
      </w:r>
    </w:p>
    <w:p w14:paraId="3B4DD2C7" w14:textId="77777777" w:rsidR="00B00FCA" w:rsidRDefault="00000000">
      <w:pPr>
        <w:numPr>
          <w:ilvl w:val="0"/>
          <w:numId w:val="36"/>
        </w:numPr>
        <w:bidi/>
        <w:spacing w:after="0" w:line="276" w:lineRule="auto"/>
        <w:rPr>
          <w:rFonts w:ascii="Arial" w:eastAsia="Arial" w:hAnsi="Arial" w:cs="Arial"/>
        </w:rPr>
      </w:pPr>
      <w:r>
        <w:rPr>
          <w:rFonts w:ascii="Arial" w:eastAsia="Arial" w:hAnsi="Arial" w:cs="Arial"/>
          <w:b/>
          <w:bCs/>
          <w:rtl/>
        </w:rPr>
        <w:t>الفئة الثالثة وهي عينة الخبراء والنخبة:</w:t>
      </w:r>
      <w:r>
        <w:rPr>
          <w:rFonts w:ascii="Arial" w:eastAsia="Arial" w:hAnsi="Arial" w:cs="Arial"/>
          <w:rtl/>
        </w:rPr>
        <w:t xml:space="preserve"> وتشمل المستشارين الفنيين المستقلين، النقاد الأكاديميين المتخصصين، المثمنين الماليين المعتمدين للأصول الثقافية، والمسؤولين وصناع القرار في وزارة الثقافة والهيئات التابعة لها المعنية بقطاع الفنون البصرية وحوكمتها.</w:t>
      </w:r>
    </w:p>
    <w:p w14:paraId="339BF2FC" w14:textId="77777777" w:rsidR="00B00FCA" w:rsidRDefault="00000000">
      <w:pPr>
        <w:numPr>
          <w:ilvl w:val="0"/>
          <w:numId w:val="36"/>
        </w:numPr>
        <w:bidi/>
        <w:spacing w:after="240" w:line="276" w:lineRule="auto"/>
        <w:rPr>
          <w:rFonts w:ascii="Arial" w:eastAsia="Arial" w:hAnsi="Arial" w:cs="Arial"/>
        </w:rPr>
      </w:pPr>
      <w:r>
        <w:rPr>
          <w:rFonts w:ascii="Arial" w:eastAsia="Arial" w:hAnsi="Arial" w:cs="Arial"/>
          <w:b/>
          <w:bCs/>
          <w:rtl/>
        </w:rPr>
        <w:lastRenderedPageBreak/>
        <w:t>الفئة الرابعة وهي المادة الإعلامية والاتصالية:</w:t>
      </w:r>
      <w:r>
        <w:rPr>
          <w:rFonts w:ascii="Arial" w:eastAsia="Arial" w:hAnsi="Arial" w:cs="Arial"/>
          <w:rtl/>
        </w:rPr>
        <w:t xml:space="preserve"> وتشمل كامل المحتوى والخطاب الاتصالي والتسويقي المنشور والمبثوث عبر القنوات الرقمية الرسمية لمعارض الفنون عينة الدراسة، بما يتضمنه من نصوص نقدية، وتغريدات تفاعلية، وكتالوجات رقمية، وبيانات سعرية ومعلوماتية موجهة للجمهور.</w:t>
      </w:r>
    </w:p>
    <w:p w14:paraId="00C58D76" w14:textId="77777777" w:rsidR="00B00FCA" w:rsidRDefault="00000000">
      <w:pPr>
        <w:pStyle w:val="3"/>
        <w:keepNext w:val="0"/>
        <w:keepLines w:val="0"/>
        <w:bidi/>
        <w:spacing w:line="276" w:lineRule="auto"/>
        <w:rPr>
          <w:rFonts w:ascii="Arial" w:eastAsia="Arial" w:hAnsi="Arial" w:cs="Arial"/>
          <w:sz w:val="26"/>
          <w:szCs w:val="26"/>
        </w:rPr>
      </w:pPr>
      <w:bookmarkStart w:id="24" w:name="_rimsn6o07q8" w:colFirst="0" w:colLast="0"/>
      <w:bookmarkEnd w:id="24"/>
      <w:r>
        <w:rPr>
          <w:rFonts w:ascii="Arial" w:eastAsia="Arial" w:hAnsi="Arial" w:cs="Arial"/>
          <w:sz w:val="26"/>
          <w:szCs w:val="26"/>
          <w:rtl/>
        </w:rPr>
        <w:t>ثانياً: منهجية الدراسة</w:t>
      </w:r>
    </w:p>
    <w:p w14:paraId="35D0882A" w14:textId="77777777" w:rsidR="00B00FCA" w:rsidRDefault="00000000">
      <w:pPr>
        <w:bidi/>
        <w:spacing w:before="240" w:after="240" w:line="276" w:lineRule="auto"/>
        <w:rPr>
          <w:rFonts w:ascii="Arial" w:eastAsia="Arial" w:hAnsi="Arial" w:cs="Arial"/>
        </w:rPr>
      </w:pPr>
      <w:r>
        <w:rPr>
          <w:rFonts w:ascii="Arial" w:eastAsia="Arial" w:hAnsi="Arial" w:cs="Arial"/>
          <w:rtl/>
        </w:rPr>
        <w:t xml:space="preserve">تحقيقاً لمبدأ التثليث المنهجي وضماناً للإحاطة بكافة جوانب الظاهرة المدروسة، تعتمد الدراسة على تصميم منهجي هجين يمزج بمرونة وتكامل بين ثلاثة مناهج رئيسية: المنهج الوصفي التحليلي، والمنهج الكمي الارتباطي السببي، والمنهج الكيفي السبر استكشافي، وذلك عبر </w:t>
      </w:r>
      <w:proofErr w:type="gramStart"/>
      <w:r>
        <w:rPr>
          <w:rFonts w:ascii="Arial" w:eastAsia="Arial" w:hAnsi="Arial" w:cs="Arial"/>
          <w:rtl/>
        </w:rPr>
        <w:t>ثلاثة</w:t>
      </w:r>
      <w:proofErr w:type="gramEnd"/>
      <w:r>
        <w:rPr>
          <w:rFonts w:ascii="Arial" w:eastAsia="Arial" w:hAnsi="Arial" w:cs="Arial"/>
          <w:rtl/>
        </w:rPr>
        <w:t xml:space="preserve"> مسارات حركية متزامنة ومتفاعلة:</w:t>
      </w:r>
    </w:p>
    <w:p w14:paraId="1C0471C0" w14:textId="77777777" w:rsidR="00B00FCA" w:rsidRDefault="00000000">
      <w:pPr>
        <w:numPr>
          <w:ilvl w:val="0"/>
          <w:numId w:val="23"/>
        </w:numPr>
        <w:bidi/>
        <w:spacing w:before="240" w:after="0" w:line="276" w:lineRule="auto"/>
        <w:rPr>
          <w:rFonts w:ascii="Arial" w:eastAsia="Arial" w:hAnsi="Arial" w:cs="Arial"/>
        </w:rPr>
      </w:pPr>
      <w:r>
        <w:rPr>
          <w:rFonts w:ascii="Arial" w:eastAsia="Arial" w:hAnsi="Arial" w:cs="Arial"/>
          <w:b/>
          <w:bCs/>
          <w:rtl/>
        </w:rPr>
        <w:t>المسار الأول وهو المسار الوصفي التحليلي:</w:t>
      </w:r>
      <w:r>
        <w:rPr>
          <w:rFonts w:ascii="Arial" w:eastAsia="Arial" w:hAnsi="Arial" w:cs="Arial"/>
          <w:rtl/>
        </w:rPr>
        <w:t xml:space="preserve"> ويستخدم هذا المسار لرصد وتوصيف الواقع الفعلي للمخرجات الاتصالية الصادرة عن معارض الفنون السعودية، وتفكيك بنية ومكونات الخطاب التسويقي المتكامل من خلال أداة استمارة تحليل المضمون الرقمي، مما يتيح فهم كيفية تقديم الفن وتداوله معلوماتياً في الفضاء السيبراني.</w:t>
      </w:r>
    </w:p>
    <w:p w14:paraId="718CA46B" w14:textId="77777777" w:rsidR="00B00FCA" w:rsidRDefault="00000000">
      <w:pPr>
        <w:numPr>
          <w:ilvl w:val="0"/>
          <w:numId w:val="23"/>
        </w:numPr>
        <w:bidi/>
        <w:spacing w:after="0" w:line="276" w:lineRule="auto"/>
        <w:rPr>
          <w:rFonts w:ascii="Arial" w:eastAsia="Arial" w:hAnsi="Arial" w:cs="Arial"/>
        </w:rPr>
      </w:pPr>
      <w:r>
        <w:rPr>
          <w:rFonts w:ascii="Arial" w:eastAsia="Arial" w:hAnsi="Arial" w:cs="Arial"/>
          <w:b/>
          <w:bCs/>
          <w:rtl/>
        </w:rPr>
        <w:t>المسار الثاني وهو المسار الكمي السببي:</w:t>
      </w:r>
      <w:r>
        <w:rPr>
          <w:rFonts w:ascii="Arial" w:eastAsia="Arial" w:hAnsi="Arial" w:cs="Arial"/>
          <w:rtl/>
        </w:rPr>
        <w:t xml:space="preserve"> ويستهدف هذا المسار اختبار العلاقات الارتباطية والسببية المكونة لهيكل النموذج المعرفي المقترح، وقياس حجم وأوزان التأثيرات المباشرة وغير المباشرة للمتغيرات المستقلة والوسيطة على المتغير التابع، وذلك بالاعتماد على </w:t>
      </w:r>
      <w:proofErr w:type="gramStart"/>
      <w:r>
        <w:rPr>
          <w:rFonts w:ascii="Arial" w:eastAsia="Arial" w:hAnsi="Arial" w:cs="Arial"/>
          <w:rtl/>
        </w:rPr>
        <w:t>استبيان</w:t>
      </w:r>
      <w:proofErr w:type="gramEnd"/>
      <w:r>
        <w:rPr>
          <w:rFonts w:ascii="Arial" w:eastAsia="Arial" w:hAnsi="Arial" w:cs="Arial"/>
          <w:rtl/>
        </w:rPr>
        <w:t xml:space="preserve"> موجه لعينة </w:t>
      </w:r>
      <w:proofErr w:type="spellStart"/>
      <w:r>
        <w:rPr>
          <w:rFonts w:ascii="Arial" w:eastAsia="Arial" w:hAnsi="Arial" w:cs="Arial"/>
          <w:rtl/>
        </w:rPr>
        <w:t>المقتنين</w:t>
      </w:r>
      <w:proofErr w:type="spellEnd"/>
      <w:r>
        <w:rPr>
          <w:rFonts w:ascii="Arial" w:eastAsia="Arial" w:hAnsi="Arial" w:cs="Arial"/>
          <w:rtl/>
        </w:rPr>
        <w:t xml:space="preserve"> الرقميين الجدد، والذي يخضع لاحقاً للتحليل الإحصائي المتقدم عبر نمذجة المعادلات الهيكلية.</w:t>
      </w:r>
    </w:p>
    <w:p w14:paraId="3B8C9CA0" w14:textId="77777777" w:rsidR="00B00FCA" w:rsidRDefault="00000000">
      <w:pPr>
        <w:numPr>
          <w:ilvl w:val="0"/>
          <w:numId w:val="23"/>
        </w:numPr>
        <w:bidi/>
        <w:spacing w:after="240" w:line="276" w:lineRule="auto"/>
        <w:rPr>
          <w:rFonts w:ascii="Arial" w:eastAsia="Arial" w:hAnsi="Arial" w:cs="Arial"/>
        </w:rPr>
      </w:pPr>
      <w:r>
        <w:rPr>
          <w:rFonts w:ascii="Arial" w:eastAsia="Arial" w:hAnsi="Arial" w:cs="Arial"/>
          <w:b/>
          <w:bCs/>
          <w:rtl/>
        </w:rPr>
        <w:t>المسار الثالث وهو المسار الكيفي الاستكشافي:</w:t>
      </w:r>
      <w:r>
        <w:rPr>
          <w:rFonts w:ascii="Arial" w:eastAsia="Arial" w:hAnsi="Arial" w:cs="Arial"/>
          <w:rtl/>
        </w:rPr>
        <w:t xml:space="preserve"> ويستهدف هذا المسار سبر أغوار الرؤى العميقة وفحص </w:t>
      </w:r>
      <w:proofErr w:type="spellStart"/>
      <w:r>
        <w:rPr>
          <w:rFonts w:ascii="Arial" w:eastAsia="Arial" w:hAnsi="Arial" w:cs="Arial"/>
          <w:rtl/>
        </w:rPr>
        <w:t>الميكانزمات</w:t>
      </w:r>
      <w:proofErr w:type="spellEnd"/>
      <w:r>
        <w:rPr>
          <w:rFonts w:ascii="Arial" w:eastAsia="Arial" w:hAnsi="Arial" w:cs="Arial"/>
          <w:rtl/>
        </w:rPr>
        <w:t xml:space="preserve"> التشغيلية والتشريعية المعقدة المرتبطة بحوكمة القطاع، وآليات التثمين المالي، ومتطلبات تنشيط السوق الثانوية، وذلك من خلال إجراء المقابلات المعمقة مع النخبة وصناع القرار والخبراء، مما يمنح النتائج الكمية عمقاً تفسيرياً </w:t>
      </w:r>
      <w:proofErr w:type="spellStart"/>
      <w:r>
        <w:rPr>
          <w:rFonts w:ascii="Arial" w:eastAsia="Arial" w:hAnsi="Arial" w:cs="Arial"/>
          <w:rtl/>
        </w:rPr>
        <w:t>وسياقياً</w:t>
      </w:r>
      <w:proofErr w:type="spellEnd"/>
      <w:r>
        <w:rPr>
          <w:rFonts w:ascii="Arial" w:eastAsia="Arial" w:hAnsi="Arial" w:cs="Arial"/>
          <w:rtl/>
        </w:rPr>
        <w:t xml:space="preserve"> سوسيولوجياً متكاملاً.</w:t>
      </w:r>
    </w:p>
    <w:p w14:paraId="1C61746D" w14:textId="77777777" w:rsidR="00B00FCA" w:rsidRDefault="00B00FCA">
      <w:pPr>
        <w:bidi/>
        <w:spacing w:before="240" w:after="240" w:line="276" w:lineRule="auto"/>
        <w:rPr>
          <w:rFonts w:ascii="Arial" w:eastAsia="Arial" w:hAnsi="Arial" w:cs="Arial"/>
        </w:rPr>
      </w:pPr>
    </w:p>
    <w:p w14:paraId="61BC4C51" w14:textId="77777777" w:rsidR="00B00FCA" w:rsidRDefault="00B00FCA">
      <w:pPr>
        <w:bidi/>
        <w:spacing w:before="240" w:after="240" w:line="276" w:lineRule="auto"/>
        <w:rPr>
          <w:rFonts w:ascii="Arial" w:eastAsia="Arial" w:hAnsi="Arial" w:cs="Arial"/>
        </w:rPr>
      </w:pPr>
    </w:p>
    <w:p w14:paraId="0FC8ADA6" w14:textId="77777777" w:rsidR="00B00FCA" w:rsidRDefault="00000000">
      <w:pPr>
        <w:pStyle w:val="3"/>
        <w:keepNext w:val="0"/>
        <w:keepLines w:val="0"/>
        <w:bidi/>
        <w:spacing w:line="276" w:lineRule="auto"/>
        <w:rPr>
          <w:rFonts w:ascii="Arial" w:eastAsia="Arial" w:hAnsi="Arial" w:cs="Arial"/>
          <w:sz w:val="26"/>
          <w:szCs w:val="26"/>
        </w:rPr>
      </w:pPr>
      <w:bookmarkStart w:id="25" w:name="_fmfz1ek25jd1" w:colFirst="0" w:colLast="0"/>
      <w:bookmarkEnd w:id="25"/>
      <w:r>
        <w:rPr>
          <w:rFonts w:ascii="Arial" w:eastAsia="Arial" w:hAnsi="Arial" w:cs="Arial"/>
          <w:sz w:val="26"/>
          <w:szCs w:val="26"/>
          <w:rtl/>
        </w:rPr>
        <w:t>ثالثاً: مجتمع الدراسة وعينات البحث</w:t>
      </w:r>
    </w:p>
    <w:p w14:paraId="20BA7433" w14:textId="77777777" w:rsidR="00B00FCA" w:rsidRDefault="00000000">
      <w:pPr>
        <w:bidi/>
        <w:spacing w:before="240" w:after="240" w:line="276" w:lineRule="auto"/>
        <w:rPr>
          <w:rFonts w:ascii="Arial" w:eastAsia="Arial" w:hAnsi="Arial" w:cs="Arial"/>
        </w:rPr>
      </w:pPr>
      <w:r>
        <w:rPr>
          <w:rFonts w:ascii="Arial" w:eastAsia="Arial" w:hAnsi="Arial" w:cs="Arial"/>
          <w:rtl/>
        </w:rPr>
        <w:t>نظراً لتشعب أطراف سوق الفنون البصرية وتعدد القنوات الفاعلة فيه، تم تقسيم مجتمع الدراسة وتصميم العينات الخاصة بكل مسار بدقة متناهية لضمان التمثيل العلمي والتمكين الإحصائي، وفق التفصيل الآتي:</w:t>
      </w:r>
    </w:p>
    <w:p w14:paraId="2C089987" w14:textId="77777777" w:rsidR="00B00FCA" w:rsidRDefault="00000000">
      <w:pPr>
        <w:pStyle w:val="4"/>
        <w:keepNext w:val="0"/>
        <w:keepLines w:val="0"/>
        <w:bidi/>
        <w:spacing w:line="276" w:lineRule="auto"/>
        <w:rPr>
          <w:rFonts w:ascii="Arial" w:eastAsia="Arial" w:hAnsi="Arial" w:cs="Arial"/>
          <w:sz w:val="22"/>
          <w:szCs w:val="22"/>
        </w:rPr>
      </w:pPr>
      <w:bookmarkStart w:id="26" w:name="_xvwfsukzl3px" w:colFirst="0" w:colLast="0"/>
      <w:bookmarkEnd w:id="26"/>
      <w:r>
        <w:rPr>
          <w:rFonts w:ascii="Arial" w:eastAsia="Arial" w:hAnsi="Arial" w:cs="Arial"/>
          <w:sz w:val="22"/>
          <w:szCs w:val="22"/>
          <w:rtl/>
        </w:rPr>
        <w:t>1. عينة معارض الفنون وصالات العرض الخاصة والمادة الاتصالية</w:t>
      </w:r>
    </w:p>
    <w:p w14:paraId="60F69114" w14:textId="77777777" w:rsidR="00B00FCA" w:rsidRDefault="00000000">
      <w:pPr>
        <w:numPr>
          <w:ilvl w:val="0"/>
          <w:numId w:val="4"/>
        </w:numPr>
        <w:bidi/>
        <w:spacing w:before="240" w:after="0" w:line="276" w:lineRule="auto"/>
        <w:rPr>
          <w:rFonts w:ascii="Arial" w:eastAsia="Arial" w:hAnsi="Arial" w:cs="Arial"/>
        </w:rPr>
      </w:pPr>
      <w:r>
        <w:rPr>
          <w:rFonts w:ascii="Arial" w:eastAsia="Arial" w:hAnsi="Arial" w:cs="Arial"/>
          <w:b/>
          <w:bCs/>
          <w:rtl/>
        </w:rPr>
        <w:t>مجتمع البحث:</w:t>
      </w:r>
      <w:r>
        <w:rPr>
          <w:rFonts w:ascii="Arial" w:eastAsia="Arial" w:hAnsi="Arial" w:cs="Arial"/>
          <w:rtl/>
        </w:rPr>
        <w:t xml:space="preserve"> يضم كافة معارض الفنون وصالات العرض الفنية الخاصة المرخصة والمستقرة التي تمتلك مقرات فيزيائية ونشاطاً رقمياً مستمراً في مدن الرياض، وجدة، والمنطقة الشرقية، وتلعب دور الوسيط المالي والرمزي بين الفنان والمقتني.</w:t>
      </w:r>
    </w:p>
    <w:p w14:paraId="6E289F94" w14:textId="77777777" w:rsidR="00B00FCA" w:rsidRDefault="00000000">
      <w:pPr>
        <w:numPr>
          <w:ilvl w:val="0"/>
          <w:numId w:val="4"/>
        </w:numPr>
        <w:bidi/>
        <w:spacing w:after="0" w:line="276" w:lineRule="auto"/>
        <w:rPr>
          <w:rFonts w:ascii="Arial" w:eastAsia="Arial" w:hAnsi="Arial" w:cs="Arial"/>
        </w:rPr>
      </w:pPr>
      <w:r>
        <w:rPr>
          <w:rFonts w:ascii="Arial" w:eastAsia="Arial" w:hAnsi="Arial" w:cs="Arial"/>
          <w:b/>
          <w:bCs/>
          <w:rtl/>
        </w:rPr>
        <w:t>نوع العينة وحجمها:</w:t>
      </w:r>
      <w:r>
        <w:rPr>
          <w:rFonts w:ascii="Arial" w:eastAsia="Arial" w:hAnsi="Arial" w:cs="Arial"/>
          <w:rtl/>
        </w:rPr>
        <w:t xml:space="preserve"> تم استخدام أسلوب الحصر الشامل للمعارض وصالات العرض الكبرى والأكثر تأثيراً ونشاطاً </w:t>
      </w:r>
      <w:proofErr w:type="spellStart"/>
      <w:r>
        <w:rPr>
          <w:rFonts w:ascii="Arial" w:eastAsia="Arial" w:hAnsi="Arial" w:cs="Arial"/>
          <w:rtl/>
        </w:rPr>
        <w:t>اتصلياً</w:t>
      </w:r>
      <w:proofErr w:type="spellEnd"/>
      <w:r>
        <w:rPr>
          <w:rFonts w:ascii="Arial" w:eastAsia="Arial" w:hAnsi="Arial" w:cs="Arial"/>
          <w:rtl/>
        </w:rPr>
        <w:t xml:space="preserve"> </w:t>
      </w:r>
      <w:proofErr w:type="spellStart"/>
      <w:r>
        <w:rPr>
          <w:rFonts w:ascii="Arial" w:eastAsia="Arial" w:hAnsi="Arial" w:cs="Arial"/>
          <w:rtl/>
        </w:rPr>
        <w:t>وتداولياً</w:t>
      </w:r>
      <w:proofErr w:type="spellEnd"/>
      <w:r>
        <w:rPr>
          <w:rFonts w:ascii="Arial" w:eastAsia="Arial" w:hAnsi="Arial" w:cs="Arial"/>
          <w:rtl/>
        </w:rPr>
        <w:t>، والتي تشكل الهيكل الأساسي للسوق الأولية في المملكة. وبلغ عدد المعارض الخاضعة للحصر الشامل ثمانية عشر معرضاً وصالة عرض فنية خاصة، موزعة جغرافيّاً بواقع ثمانية معارض في مدينة الرياض، وسبعة معارض في محافظة جدة، وثلاثة معارض في المنطقة الشرقية.</w:t>
      </w:r>
    </w:p>
    <w:p w14:paraId="277EDF83" w14:textId="77777777" w:rsidR="00B00FCA" w:rsidRDefault="00000000">
      <w:pPr>
        <w:numPr>
          <w:ilvl w:val="0"/>
          <w:numId w:val="4"/>
        </w:numPr>
        <w:bidi/>
        <w:spacing w:after="240" w:line="276" w:lineRule="auto"/>
        <w:rPr>
          <w:rFonts w:ascii="Arial" w:eastAsia="Arial" w:hAnsi="Arial" w:cs="Arial"/>
        </w:rPr>
      </w:pPr>
      <w:r>
        <w:rPr>
          <w:rFonts w:ascii="Arial" w:eastAsia="Arial" w:hAnsi="Arial" w:cs="Arial"/>
          <w:b/>
          <w:bCs/>
          <w:rtl/>
        </w:rPr>
        <w:t>عينة المحتوى والخطاب:</w:t>
      </w:r>
      <w:r>
        <w:rPr>
          <w:rFonts w:ascii="Arial" w:eastAsia="Arial" w:hAnsi="Arial" w:cs="Arial"/>
          <w:rtl/>
        </w:rPr>
        <w:t xml:space="preserve"> تم سحب عينة زمنية وموضوعية شاملة لكافة الرسائل، والمنشورات، والبيانات، والكتالوجات الرقمية، والخطابات الترويجية والنقدية المبثوثة عبر المواقع الرسمية وحسابات التواصل الاجتماعي، وتحديداً منصات إكس وإنستغرام ولينكد إن، التابعة لهذه المعارض الثمانية عشر، وامتد النطاق الزمني لجمع المادة التحليلية لفترة مكثفة تسمح برصد الاستقرار والاتساق الرسالي والاتصالي.</w:t>
      </w:r>
    </w:p>
    <w:p w14:paraId="495169E6" w14:textId="77777777" w:rsidR="00B00FCA" w:rsidRDefault="00000000">
      <w:pPr>
        <w:pStyle w:val="4"/>
        <w:keepNext w:val="0"/>
        <w:keepLines w:val="0"/>
        <w:bidi/>
        <w:spacing w:line="276" w:lineRule="auto"/>
        <w:rPr>
          <w:rFonts w:ascii="Arial" w:eastAsia="Arial" w:hAnsi="Arial" w:cs="Arial"/>
          <w:sz w:val="22"/>
          <w:szCs w:val="22"/>
        </w:rPr>
      </w:pPr>
      <w:bookmarkStart w:id="27" w:name="_r1g9oslj4g43" w:colFirst="0" w:colLast="0"/>
      <w:bookmarkEnd w:id="27"/>
      <w:r>
        <w:rPr>
          <w:rFonts w:ascii="Arial" w:eastAsia="Arial" w:hAnsi="Arial" w:cs="Arial"/>
          <w:sz w:val="22"/>
          <w:szCs w:val="22"/>
          <w:rtl/>
        </w:rPr>
        <w:t>2. عينة المقتني الرقمي الجديد</w:t>
      </w:r>
    </w:p>
    <w:p w14:paraId="53587711" w14:textId="77777777" w:rsidR="00B00FCA" w:rsidRDefault="00000000">
      <w:pPr>
        <w:numPr>
          <w:ilvl w:val="0"/>
          <w:numId w:val="34"/>
        </w:numPr>
        <w:bidi/>
        <w:spacing w:before="240" w:after="0" w:line="276" w:lineRule="auto"/>
        <w:rPr>
          <w:rFonts w:ascii="Arial" w:eastAsia="Arial" w:hAnsi="Arial" w:cs="Arial"/>
        </w:rPr>
      </w:pPr>
      <w:r>
        <w:rPr>
          <w:rFonts w:ascii="Arial" w:eastAsia="Arial" w:hAnsi="Arial" w:cs="Arial"/>
          <w:b/>
          <w:bCs/>
          <w:rtl/>
        </w:rPr>
        <w:lastRenderedPageBreak/>
        <w:t>مجتمع البحث:</w:t>
      </w:r>
      <w:r>
        <w:rPr>
          <w:rFonts w:ascii="Arial" w:eastAsia="Arial" w:hAnsi="Arial" w:cs="Arial"/>
          <w:rtl/>
        </w:rPr>
        <w:t xml:space="preserve"> يتكون من جميع الأفراد من المواطنين والمقيمين داخل المملكة العربية السعودية الذين قاموا باقتناء عمل فني بصري معاصر واحد على الأقل عبر أو بمساعدة قنوات رقمية، وينتمون ديموغرافياً وسلوكياً لجيل </w:t>
      </w:r>
      <w:proofErr w:type="spellStart"/>
      <w:r>
        <w:rPr>
          <w:rFonts w:ascii="Arial" w:eastAsia="Arial" w:hAnsi="Arial" w:cs="Arial"/>
          <w:rtl/>
        </w:rPr>
        <w:t>المقتنين</w:t>
      </w:r>
      <w:proofErr w:type="spellEnd"/>
      <w:r>
        <w:rPr>
          <w:rFonts w:ascii="Arial" w:eastAsia="Arial" w:hAnsi="Arial" w:cs="Arial"/>
          <w:rtl/>
        </w:rPr>
        <w:t xml:space="preserve"> الجدد والناشئين. وحيث إن هذا المجتمع يعد من المجتمعات الهلامية أو غير المحددة بدقة لغياب السجلات الرسمية العامة لأسماء </w:t>
      </w:r>
      <w:proofErr w:type="spellStart"/>
      <w:r>
        <w:rPr>
          <w:rFonts w:ascii="Arial" w:eastAsia="Arial" w:hAnsi="Arial" w:cs="Arial"/>
          <w:rtl/>
        </w:rPr>
        <w:t>المقتنين</w:t>
      </w:r>
      <w:proofErr w:type="spellEnd"/>
      <w:r>
        <w:rPr>
          <w:rFonts w:ascii="Arial" w:eastAsia="Arial" w:hAnsi="Arial" w:cs="Arial"/>
          <w:rtl/>
        </w:rPr>
        <w:t xml:space="preserve"> الأفراد، نظراً لخصوصية وسرية </w:t>
      </w:r>
      <w:proofErr w:type="spellStart"/>
      <w:r>
        <w:rPr>
          <w:rFonts w:ascii="Arial" w:eastAsia="Arial" w:hAnsi="Arial" w:cs="Arial"/>
          <w:rtl/>
        </w:rPr>
        <w:t>البيوعات</w:t>
      </w:r>
      <w:proofErr w:type="spellEnd"/>
      <w:r>
        <w:rPr>
          <w:rFonts w:ascii="Arial" w:eastAsia="Arial" w:hAnsi="Arial" w:cs="Arial"/>
          <w:rtl/>
        </w:rPr>
        <w:t xml:space="preserve"> الفنية، فقد تم التعامل معه وفق المعايير والآليات الإحصائية الحاكمة للمجتمعات غير المحدودة.</w:t>
      </w:r>
    </w:p>
    <w:p w14:paraId="03DCB134" w14:textId="77777777" w:rsidR="00B00FCA" w:rsidRDefault="00000000">
      <w:pPr>
        <w:numPr>
          <w:ilvl w:val="0"/>
          <w:numId w:val="34"/>
        </w:numPr>
        <w:bidi/>
        <w:spacing w:after="0" w:line="276" w:lineRule="auto"/>
        <w:rPr>
          <w:rFonts w:ascii="Arial" w:eastAsia="Arial" w:hAnsi="Arial" w:cs="Arial"/>
        </w:rPr>
      </w:pPr>
      <w:r>
        <w:rPr>
          <w:rFonts w:ascii="Arial" w:eastAsia="Arial" w:hAnsi="Arial" w:cs="Arial"/>
          <w:b/>
          <w:bCs/>
          <w:rtl/>
        </w:rPr>
        <w:t>نوع العينة وحجمها:</w:t>
      </w:r>
      <w:r>
        <w:rPr>
          <w:rFonts w:ascii="Arial" w:eastAsia="Arial" w:hAnsi="Arial" w:cs="Arial"/>
          <w:rtl/>
        </w:rPr>
        <w:t xml:space="preserve"> اعتُمد على العينة غير الاحتمالية المتضاعفة بأسلوب "كرة الثلج" بالتكامل مع "العينة القصدية"، نظراً لخصوصية مجتمع الدراسة وصعوبة الوصول لفئة </w:t>
      </w:r>
      <w:proofErr w:type="spellStart"/>
      <w:r>
        <w:rPr>
          <w:rFonts w:ascii="Arial" w:eastAsia="Arial" w:hAnsi="Arial" w:cs="Arial"/>
          <w:rtl/>
        </w:rPr>
        <w:t>المقتنين</w:t>
      </w:r>
      <w:proofErr w:type="spellEnd"/>
      <w:r>
        <w:rPr>
          <w:rFonts w:ascii="Arial" w:eastAsia="Arial" w:hAnsi="Arial" w:cs="Arial"/>
          <w:rtl/>
        </w:rPr>
        <w:t xml:space="preserve">. واستهدف الباحث حجماً محتملاً يتراوح بين </w:t>
      </w:r>
      <w:r>
        <w:rPr>
          <w:rFonts w:ascii="Arial" w:eastAsia="Arial" w:hAnsi="Arial" w:cs="Arial"/>
          <w:b/>
          <w:bCs/>
          <w:rtl/>
        </w:rPr>
        <w:t>(100 إلى 150) مقتناً ونشطاً</w:t>
      </w:r>
      <w:r>
        <w:rPr>
          <w:rFonts w:ascii="Arial" w:eastAsia="Arial" w:hAnsi="Arial" w:cs="Arial"/>
          <w:rtl/>
        </w:rPr>
        <w:t xml:space="preserve">، وهو حجم يحقق الكفاية الإحصائية والميدانية المقبولة في دراسة الأسواق الفنية والسلع الرمزية. وبدأت العملية بالوصول إلى النواة الأولى من </w:t>
      </w:r>
      <w:proofErr w:type="spellStart"/>
      <w:r>
        <w:rPr>
          <w:rFonts w:ascii="Arial" w:eastAsia="Arial" w:hAnsi="Arial" w:cs="Arial"/>
          <w:rtl/>
        </w:rPr>
        <w:t>المقتنين</w:t>
      </w:r>
      <w:proofErr w:type="spellEnd"/>
      <w:r>
        <w:rPr>
          <w:rFonts w:ascii="Arial" w:eastAsia="Arial" w:hAnsi="Arial" w:cs="Arial"/>
          <w:rtl/>
        </w:rPr>
        <w:t xml:space="preserve"> عبر سجلات المبيعات والزوار للمعارض الكبرى والمنصات الرقمية المهتمة، ومِن ثمَّ قام هؤلاء بتوجيه الباحث إلى </w:t>
      </w:r>
      <w:proofErr w:type="spellStart"/>
      <w:r>
        <w:rPr>
          <w:rFonts w:ascii="Arial" w:eastAsia="Arial" w:hAnsi="Arial" w:cs="Arial"/>
          <w:rtl/>
        </w:rPr>
        <w:t>مقتنين</w:t>
      </w:r>
      <w:proofErr w:type="spellEnd"/>
      <w:r>
        <w:rPr>
          <w:rFonts w:ascii="Arial" w:eastAsia="Arial" w:hAnsi="Arial" w:cs="Arial"/>
          <w:rtl/>
        </w:rPr>
        <w:t xml:space="preserve"> ومستثمرين آخرين في محيطهم الشبكي والثقافي حتى الوصول إلى مرحلة التشبع واستقرار الاستجابات.</w:t>
      </w:r>
    </w:p>
    <w:p w14:paraId="4486CC31" w14:textId="77777777" w:rsidR="00B00FCA" w:rsidRDefault="00000000">
      <w:pPr>
        <w:numPr>
          <w:ilvl w:val="0"/>
          <w:numId w:val="34"/>
        </w:numPr>
        <w:bidi/>
        <w:spacing w:after="240" w:line="276" w:lineRule="auto"/>
        <w:rPr>
          <w:rFonts w:ascii="Arial" w:eastAsia="Arial" w:hAnsi="Arial" w:cs="Arial"/>
        </w:rPr>
      </w:pPr>
      <w:r>
        <w:rPr>
          <w:rFonts w:ascii="Arial" w:eastAsia="Arial" w:hAnsi="Arial" w:cs="Arial"/>
          <w:b/>
          <w:bCs/>
          <w:rtl/>
        </w:rPr>
        <w:t>حجم العينة الفعلي:</w:t>
      </w:r>
      <w:r>
        <w:rPr>
          <w:rFonts w:ascii="Arial" w:eastAsia="Arial" w:hAnsi="Arial" w:cs="Arial"/>
          <w:rtl/>
        </w:rPr>
        <w:t xml:space="preserve"> تم استمرار تطبيق الأداة ونشرها حتى الوصول إلى مرحلة التشبع </w:t>
      </w:r>
      <w:proofErr w:type="spellStart"/>
      <w:r>
        <w:rPr>
          <w:rFonts w:ascii="Arial" w:eastAsia="Arial" w:hAnsi="Arial" w:cs="Arial"/>
          <w:rtl/>
        </w:rPr>
        <w:t>البياناتي</w:t>
      </w:r>
      <w:proofErr w:type="spellEnd"/>
      <w:r>
        <w:rPr>
          <w:rFonts w:ascii="Arial" w:eastAsia="Arial" w:hAnsi="Arial" w:cs="Arial"/>
          <w:rtl/>
        </w:rPr>
        <w:t xml:space="preserve"> والاستقرار الإحصائي في مصفوفة الارتباطات، حيث بلغ عدد الاستجابات الكاملة والصحيحة والخاضعة للتحليل الإحصائي النهائي أربعمائة واثنتي عشرة استجابة من </w:t>
      </w:r>
      <w:proofErr w:type="spellStart"/>
      <w:r>
        <w:rPr>
          <w:rFonts w:ascii="Arial" w:eastAsia="Arial" w:hAnsi="Arial" w:cs="Arial"/>
          <w:rtl/>
        </w:rPr>
        <w:t>مقتنين</w:t>
      </w:r>
      <w:proofErr w:type="spellEnd"/>
      <w:r>
        <w:rPr>
          <w:rFonts w:ascii="Arial" w:eastAsia="Arial" w:hAnsi="Arial" w:cs="Arial"/>
          <w:rtl/>
        </w:rPr>
        <w:t xml:space="preserve"> رقمين جدد، وهو حجم يتجاوز الحد الأدنى المطلوب إحصائياً للمجتمعات غير المحدودة، ويمنح كفاءة تمثيلية عالية صالحة لإجراء اختبارات نمذجة المعادلات الهيكلية المتقدمة.</w:t>
      </w:r>
    </w:p>
    <w:p w14:paraId="02544567" w14:textId="77777777" w:rsidR="00B00FCA" w:rsidRDefault="00000000">
      <w:pPr>
        <w:pStyle w:val="4"/>
        <w:keepNext w:val="0"/>
        <w:keepLines w:val="0"/>
        <w:bidi/>
        <w:spacing w:line="276" w:lineRule="auto"/>
        <w:rPr>
          <w:rFonts w:ascii="Arial" w:eastAsia="Arial" w:hAnsi="Arial" w:cs="Arial"/>
          <w:sz w:val="22"/>
          <w:szCs w:val="22"/>
        </w:rPr>
      </w:pPr>
      <w:bookmarkStart w:id="28" w:name="_r6q32cogdue9" w:colFirst="0" w:colLast="0"/>
      <w:bookmarkEnd w:id="28"/>
      <w:r>
        <w:rPr>
          <w:rFonts w:ascii="Arial" w:eastAsia="Arial" w:hAnsi="Arial" w:cs="Arial"/>
          <w:sz w:val="22"/>
          <w:szCs w:val="22"/>
          <w:rtl/>
        </w:rPr>
        <w:t>3. عينة النخبة والخبراء وصناع القرار</w:t>
      </w:r>
    </w:p>
    <w:p w14:paraId="75F72C79" w14:textId="77777777" w:rsidR="00B00FCA" w:rsidRDefault="00000000">
      <w:pPr>
        <w:numPr>
          <w:ilvl w:val="0"/>
          <w:numId w:val="9"/>
        </w:numPr>
        <w:bidi/>
        <w:spacing w:before="240" w:after="0" w:line="276" w:lineRule="auto"/>
        <w:rPr>
          <w:rFonts w:ascii="Arial" w:eastAsia="Arial" w:hAnsi="Arial" w:cs="Arial"/>
        </w:rPr>
      </w:pPr>
      <w:r>
        <w:rPr>
          <w:rFonts w:ascii="Arial" w:eastAsia="Arial" w:hAnsi="Arial" w:cs="Arial"/>
          <w:b/>
          <w:bCs/>
          <w:rtl/>
        </w:rPr>
        <w:t>مجتمع البحث:</w:t>
      </w:r>
      <w:r>
        <w:rPr>
          <w:rFonts w:ascii="Arial" w:eastAsia="Arial" w:hAnsi="Arial" w:cs="Arial"/>
          <w:rtl/>
        </w:rPr>
        <w:t xml:space="preserve"> يضم الشخصيات القيادية والمرجعية المهنية والأكاديمية الفاعلة والمؤثرة في صياغة السياسات الثقافية والتشريعات المالية والتأمينية والنقدية لقطاع الفنون البصرية في المملكة العربية السعودية.</w:t>
      </w:r>
    </w:p>
    <w:p w14:paraId="267216AC" w14:textId="77777777" w:rsidR="00B00FCA" w:rsidRDefault="00000000">
      <w:pPr>
        <w:numPr>
          <w:ilvl w:val="0"/>
          <w:numId w:val="9"/>
        </w:numPr>
        <w:bidi/>
        <w:spacing w:after="0" w:line="276" w:lineRule="auto"/>
        <w:rPr>
          <w:rFonts w:ascii="Arial" w:eastAsia="Arial" w:hAnsi="Arial" w:cs="Arial"/>
        </w:rPr>
      </w:pPr>
      <w:r>
        <w:rPr>
          <w:rFonts w:ascii="Arial" w:eastAsia="Arial" w:hAnsi="Arial" w:cs="Arial"/>
          <w:b/>
          <w:bCs/>
          <w:rtl/>
        </w:rPr>
        <w:t>نوع العينة وحجمها:</w:t>
      </w:r>
      <w:r>
        <w:rPr>
          <w:rFonts w:ascii="Arial" w:eastAsia="Arial" w:hAnsi="Arial" w:cs="Arial"/>
          <w:rtl/>
        </w:rPr>
        <w:t xml:space="preserve"> تم استخدام العينة القصدية العمدية الخبيرة لضمان اختيار شخصيات تمتلك خبرة نوعية وتراكمية عميقة تمكنها من الإجابة على التساؤلات البنيوية المعقدة للدراسة. وبلغ حجم العينة خمسة عشر خبيراً ومسؤولاً، تم تصنيفهم وظيفياً وتخصصياً لضمان التوازن الفكري </w:t>
      </w:r>
      <w:proofErr w:type="gramStart"/>
      <w:r>
        <w:rPr>
          <w:rFonts w:ascii="Arial" w:eastAsia="Arial" w:hAnsi="Arial" w:cs="Arial"/>
          <w:rtl/>
        </w:rPr>
        <w:t>و الاقتصادي</w:t>
      </w:r>
      <w:proofErr w:type="gramEnd"/>
      <w:r>
        <w:rPr>
          <w:rFonts w:ascii="Arial" w:eastAsia="Arial" w:hAnsi="Arial" w:cs="Arial"/>
          <w:rtl/>
        </w:rPr>
        <w:t xml:space="preserve"> للآراء على النحو التالي:</w:t>
      </w:r>
    </w:p>
    <w:p w14:paraId="01DC8082" w14:textId="77777777" w:rsidR="00B00FCA" w:rsidRDefault="00000000">
      <w:pPr>
        <w:numPr>
          <w:ilvl w:val="1"/>
          <w:numId w:val="9"/>
        </w:numPr>
        <w:bidi/>
        <w:spacing w:after="0" w:line="276" w:lineRule="auto"/>
        <w:rPr>
          <w:rFonts w:ascii="Arial" w:eastAsia="Arial" w:hAnsi="Arial" w:cs="Arial"/>
        </w:rPr>
      </w:pPr>
      <w:r>
        <w:rPr>
          <w:rFonts w:ascii="Arial" w:eastAsia="Arial" w:hAnsi="Arial" w:cs="Arial"/>
          <w:rtl/>
        </w:rPr>
        <w:t xml:space="preserve">أربعة مسؤولين وصناع سياسات من وزارة الثقافة وهيئة الفنون البصرية المعنيين </w:t>
      </w:r>
      <w:proofErr w:type="gramStart"/>
      <w:r>
        <w:rPr>
          <w:rFonts w:ascii="Arial" w:eastAsia="Arial" w:hAnsi="Arial" w:cs="Arial"/>
          <w:rtl/>
        </w:rPr>
        <w:t>بالحوكمة</w:t>
      </w:r>
      <w:proofErr w:type="gramEnd"/>
      <w:r>
        <w:rPr>
          <w:rFonts w:ascii="Arial" w:eastAsia="Arial" w:hAnsi="Arial" w:cs="Arial"/>
          <w:rtl/>
        </w:rPr>
        <w:t xml:space="preserve"> والأنظمة واللوائح والتشريعات.</w:t>
      </w:r>
    </w:p>
    <w:p w14:paraId="033A9B4D" w14:textId="77777777" w:rsidR="00B00FCA" w:rsidRDefault="00000000">
      <w:pPr>
        <w:numPr>
          <w:ilvl w:val="1"/>
          <w:numId w:val="9"/>
        </w:numPr>
        <w:bidi/>
        <w:spacing w:after="0" w:line="276" w:lineRule="auto"/>
        <w:rPr>
          <w:rFonts w:ascii="Arial" w:eastAsia="Arial" w:hAnsi="Arial" w:cs="Arial"/>
        </w:rPr>
      </w:pPr>
      <w:r>
        <w:rPr>
          <w:rFonts w:ascii="Arial" w:eastAsia="Arial" w:hAnsi="Arial" w:cs="Arial"/>
          <w:rtl/>
        </w:rPr>
        <w:t>ثلاثة خبراء ومثمنين ماليين معتمدين للأصول الثقافية والفنية يعملون في بنوك ومكاتب استشارية ومؤسسات تقييم كبرى.</w:t>
      </w:r>
    </w:p>
    <w:p w14:paraId="7A64828F" w14:textId="77777777" w:rsidR="00B00FCA" w:rsidRDefault="00000000">
      <w:pPr>
        <w:numPr>
          <w:ilvl w:val="1"/>
          <w:numId w:val="9"/>
        </w:numPr>
        <w:bidi/>
        <w:spacing w:after="0" w:line="276" w:lineRule="auto"/>
        <w:rPr>
          <w:rFonts w:ascii="Arial" w:eastAsia="Arial" w:hAnsi="Arial" w:cs="Arial"/>
        </w:rPr>
      </w:pPr>
      <w:r>
        <w:rPr>
          <w:rFonts w:ascii="Arial" w:eastAsia="Arial" w:hAnsi="Arial" w:cs="Arial"/>
          <w:rtl/>
        </w:rPr>
        <w:t>أربعة من رواد وملاك معارض الفنون وصالات العرض الخاصة الذين عاصروا تحولات السوق وتطورها الهيكلي عبر السنوات الماضية.</w:t>
      </w:r>
    </w:p>
    <w:p w14:paraId="7CF19184" w14:textId="77777777" w:rsidR="00B00FCA" w:rsidRDefault="00000000">
      <w:pPr>
        <w:numPr>
          <w:ilvl w:val="1"/>
          <w:numId w:val="9"/>
        </w:numPr>
        <w:bidi/>
        <w:spacing w:after="240" w:line="276" w:lineRule="auto"/>
        <w:rPr>
          <w:rFonts w:ascii="Arial" w:eastAsia="Arial" w:hAnsi="Arial" w:cs="Arial"/>
        </w:rPr>
      </w:pPr>
      <w:r>
        <w:rPr>
          <w:rFonts w:ascii="Arial" w:eastAsia="Arial" w:hAnsi="Arial" w:cs="Arial"/>
          <w:rtl/>
        </w:rPr>
        <w:t>أربعة نقاد أكاديميين ومستشارين فنيين مستقلين معنيين بتقييم وتوثيق القيمة الرمزية والجمالية والمفاهيمية للمصنفات الفنية المعاصرة.</w:t>
      </w:r>
    </w:p>
    <w:p w14:paraId="5A686AF7" w14:textId="77777777" w:rsidR="00B00FCA" w:rsidRDefault="00000000">
      <w:pPr>
        <w:pStyle w:val="2"/>
        <w:keepNext w:val="0"/>
        <w:keepLines w:val="0"/>
        <w:bidi/>
        <w:spacing w:line="276" w:lineRule="auto"/>
        <w:rPr>
          <w:rFonts w:ascii="Arial" w:eastAsia="Arial" w:hAnsi="Arial" w:cs="Arial"/>
          <w:sz w:val="34"/>
          <w:szCs w:val="34"/>
        </w:rPr>
      </w:pPr>
      <w:bookmarkStart w:id="29" w:name="_pz4mn722x7o7" w:colFirst="0" w:colLast="0"/>
      <w:bookmarkEnd w:id="29"/>
      <w:r>
        <w:rPr>
          <w:rFonts w:ascii="Arial" w:eastAsia="Arial" w:hAnsi="Arial" w:cs="Arial"/>
          <w:sz w:val="34"/>
          <w:szCs w:val="34"/>
          <w:rtl/>
        </w:rPr>
        <w:t>رابعاً: أدوات الدراسة وصلاحيتها العلمية</w:t>
      </w:r>
    </w:p>
    <w:p w14:paraId="72DC62DD" w14:textId="77777777" w:rsidR="00B00FCA" w:rsidRDefault="00000000">
      <w:pPr>
        <w:pStyle w:val="3"/>
        <w:keepNext w:val="0"/>
        <w:keepLines w:val="0"/>
        <w:bidi/>
        <w:spacing w:line="276" w:lineRule="auto"/>
        <w:rPr>
          <w:rFonts w:ascii="Arial" w:eastAsia="Arial" w:hAnsi="Arial" w:cs="Arial"/>
          <w:sz w:val="26"/>
          <w:szCs w:val="26"/>
        </w:rPr>
      </w:pPr>
      <w:bookmarkStart w:id="30" w:name="_bp7rpua9ukaf" w:colFirst="0" w:colLast="0"/>
      <w:bookmarkEnd w:id="30"/>
      <w:r>
        <w:rPr>
          <w:rFonts w:ascii="Arial" w:eastAsia="Arial" w:hAnsi="Arial" w:cs="Arial"/>
          <w:sz w:val="26"/>
          <w:szCs w:val="26"/>
          <w:rtl/>
        </w:rPr>
        <w:t>الأداة الأولى: استمارة تحليل المضمون الرقمي</w:t>
      </w:r>
    </w:p>
    <w:p w14:paraId="0BC9B006" w14:textId="77777777" w:rsidR="00B00FCA" w:rsidRDefault="00000000">
      <w:pPr>
        <w:pStyle w:val="4"/>
        <w:keepNext w:val="0"/>
        <w:keepLines w:val="0"/>
        <w:bidi/>
        <w:spacing w:line="276" w:lineRule="auto"/>
        <w:rPr>
          <w:rFonts w:ascii="Arial" w:eastAsia="Arial" w:hAnsi="Arial" w:cs="Arial"/>
          <w:sz w:val="22"/>
          <w:szCs w:val="22"/>
        </w:rPr>
      </w:pPr>
      <w:bookmarkStart w:id="31" w:name="_rcz857cc18vy" w:colFirst="0" w:colLast="0"/>
      <w:bookmarkEnd w:id="31"/>
      <w:r>
        <w:rPr>
          <w:rFonts w:ascii="Arial" w:eastAsia="Arial" w:hAnsi="Arial" w:cs="Arial"/>
          <w:sz w:val="22"/>
          <w:szCs w:val="22"/>
          <w:rtl/>
        </w:rPr>
        <w:t>1. فئات المضمون المرتبطة بطبيعة الرسالة</w:t>
      </w:r>
    </w:p>
    <w:p w14:paraId="537293B2" w14:textId="77777777" w:rsidR="00B00FCA" w:rsidRDefault="00000000">
      <w:pPr>
        <w:numPr>
          <w:ilvl w:val="0"/>
          <w:numId w:val="26"/>
        </w:numPr>
        <w:bidi/>
        <w:spacing w:before="240" w:after="0" w:line="276" w:lineRule="auto"/>
        <w:rPr>
          <w:rFonts w:ascii="Arial" w:eastAsia="Arial" w:hAnsi="Arial" w:cs="Arial"/>
        </w:rPr>
      </w:pPr>
      <w:r>
        <w:rPr>
          <w:rFonts w:ascii="Arial" w:eastAsia="Arial" w:hAnsi="Arial" w:cs="Arial"/>
          <w:b/>
          <w:bCs/>
          <w:rtl/>
        </w:rPr>
        <w:t>فئة الخطاب الرمزي والجمالي النقدي:</w:t>
      </w:r>
      <w:r>
        <w:rPr>
          <w:rFonts w:ascii="Arial" w:eastAsia="Arial" w:hAnsi="Arial" w:cs="Arial"/>
          <w:rtl/>
        </w:rPr>
        <w:t xml:space="preserve"> وتُعنى برصد حجم ونوعية النصوص النقدية المصاحبة للأعمال، السير الذاتية للفنانين، الفلسفة المفاهيمية للمعارض، ومستويات تبسيط المصطلحات الفنية المعاصرة وشرحها للجمهور العام لتقريب المسافة المعرفية (السيد، 2024).</w:t>
      </w:r>
    </w:p>
    <w:p w14:paraId="6D98F25F" w14:textId="77777777" w:rsidR="00B00FCA" w:rsidRDefault="00000000">
      <w:pPr>
        <w:numPr>
          <w:ilvl w:val="0"/>
          <w:numId w:val="26"/>
        </w:numPr>
        <w:bidi/>
        <w:spacing w:after="0" w:line="276" w:lineRule="auto"/>
        <w:rPr>
          <w:rFonts w:ascii="Arial" w:eastAsia="Arial" w:hAnsi="Arial" w:cs="Arial"/>
        </w:rPr>
      </w:pPr>
      <w:r>
        <w:rPr>
          <w:rFonts w:ascii="Arial" w:eastAsia="Arial" w:hAnsi="Arial" w:cs="Arial"/>
          <w:b/>
          <w:bCs/>
          <w:rtl/>
        </w:rPr>
        <w:t>فئة الخطاب الاقتصادي والاستثماري:</w:t>
      </w:r>
      <w:r>
        <w:rPr>
          <w:rFonts w:ascii="Arial" w:eastAsia="Arial" w:hAnsi="Arial" w:cs="Arial"/>
          <w:rtl/>
        </w:rPr>
        <w:t xml:space="preserve"> وتُعنى بقياس مدى توافر البيانات السعرية المعلنة للأعمال الفنية، سجلات المبيعات التاريخية، المؤشرات التحليلية لنمو قيمة أعمال الفنانين، والرسائل الاتصالية التي توائم بين الأصل الفني كقيمة جمالية وكأصل مالي بديل ومستدام (السعيد، 2024).</w:t>
      </w:r>
    </w:p>
    <w:p w14:paraId="1F971722" w14:textId="77777777" w:rsidR="00B00FCA" w:rsidRDefault="00000000">
      <w:pPr>
        <w:numPr>
          <w:ilvl w:val="0"/>
          <w:numId w:val="26"/>
        </w:numPr>
        <w:bidi/>
        <w:spacing w:after="240" w:line="276" w:lineRule="auto"/>
        <w:rPr>
          <w:rFonts w:ascii="Arial" w:eastAsia="Arial" w:hAnsi="Arial" w:cs="Arial"/>
        </w:rPr>
      </w:pPr>
      <w:r>
        <w:rPr>
          <w:rFonts w:ascii="Arial" w:eastAsia="Arial" w:hAnsi="Arial" w:cs="Arial"/>
          <w:b/>
          <w:bCs/>
          <w:rtl/>
        </w:rPr>
        <w:lastRenderedPageBreak/>
        <w:t>فئة التوجيه الوطني والحضاري:</w:t>
      </w:r>
      <w:r>
        <w:rPr>
          <w:rFonts w:ascii="Arial" w:eastAsia="Arial" w:hAnsi="Arial" w:cs="Arial"/>
          <w:rtl/>
        </w:rPr>
        <w:t xml:space="preserve"> وتهتم برصد الرسائل التي تربط فعل الاقتناء بالمساهمة في بناء الهوية الثقافية المعاصرة للمملكة، ودعم المستهدفات الوطنية الكبرى المتعلقة بالاقتصاد الإبداعي والإنتاج الثقافي المحلي (وزارة الثقافة، 2023).</w:t>
      </w:r>
    </w:p>
    <w:p w14:paraId="025F2722" w14:textId="77777777" w:rsidR="00B00FCA" w:rsidRDefault="00000000">
      <w:pPr>
        <w:pStyle w:val="4"/>
        <w:keepNext w:val="0"/>
        <w:keepLines w:val="0"/>
        <w:bidi/>
        <w:spacing w:line="276" w:lineRule="auto"/>
        <w:rPr>
          <w:rFonts w:ascii="Arial" w:eastAsia="Arial" w:hAnsi="Arial" w:cs="Arial"/>
          <w:sz w:val="22"/>
          <w:szCs w:val="22"/>
        </w:rPr>
      </w:pPr>
      <w:bookmarkStart w:id="32" w:name="_22j7a6b876fx" w:colFirst="0" w:colLast="0"/>
      <w:bookmarkEnd w:id="32"/>
      <w:r>
        <w:rPr>
          <w:rFonts w:ascii="Arial" w:eastAsia="Arial" w:hAnsi="Arial" w:cs="Arial"/>
          <w:sz w:val="22"/>
          <w:szCs w:val="22"/>
          <w:rtl/>
        </w:rPr>
        <w:t>2. فئات الشكل والوسيلة المرتبطة بقنوات وآليات البث</w:t>
      </w:r>
    </w:p>
    <w:p w14:paraId="176CE42C" w14:textId="77777777" w:rsidR="00B00FCA" w:rsidRDefault="00000000">
      <w:pPr>
        <w:numPr>
          <w:ilvl w:val="0"/>
          <w:numId w:val="11"/>
        </w:numPr>
        <w:bidi/>
        <w:spacing w:before="240" w:after="0" w:line="276" w:lineRule="auto"/>
        <w:rPr>
          <w:rFonts w:ascii="Arial" w:eastAsia="Arial" w:hAnsi="Arial" w:cs="Arial"/>
        </w:rPr>
      </w:pPr>
      <w:r>
        <w:rPr>
          <w:rFonts w:ascii="Arial" w:eastAsia="Arial" w:hAnsi="Arial" w:cs="Arial"/>
          <w:b/>
          <w:bCs/>
          <w:rtl/>
        </w:rPr>
        <w:t>فئة التكامل والتعددية القنوية:</w:t>
      </w:r>
      <w:r>
        <w:rPr>
          <w:rFonts w:ascii="Arial" w:eastAsia="Arial" w:hAnsi="Arial" w:cs="Arial"/>
          <w:rtl/>
        </w:rPr>
        <w:t xml:space="preserve"> وتهتم برصد روابط الاتصال الفني والتشغيلي بين المنصات المختلفة التابعة للمعرض، والآليات التقنية المستخدمة لتوجيه المتصفح بسلاسة من شبكات التواصل الاجتماعي إلى صالة العرض الافتراضية أو الفيزيائية (السالم، 2025).</w:t>
      </w:r>
    </w:p>
    <w:p w14:paraId="477A34E4" w14:textId="77777777" w:rsidR="00B00FCA" w:rsidRDefault="00000000">
      <w:pPr>
        <w:numPr>
          <w:ilvl w:val="0"/>
          <w:numId w:val="11"/>
        </w:numPr>
        <w:bidi/>
        <w:spacing w:after="0" w:line="276" w:lineRule="auto"/>
        <w:rPr>
          <w:rFonts w:ascii="Arial" w:eastAsia="Arial" w:hAnsi="Arial" w:cs="Arial"/>
        </w:rPr>
      </w:pPr>
      <w:r>
        <w:rPr>
          <w:rFonts w:ascii="Arial" w:eastAsia="Arial" w:hAnsi="Arial" w:cs="Arial"/>
          <w:b/>
          <w:bCs/>
          <w:rtl/>
        </w:rPr>
        <w:t>فئة الابتكار والتقنيات التفاعلية:</w:t>
      </w:r>
      <w:r>
        <w:rPr>
          <w:rFonts w:ascii="Arial" w:eastAsia="Arial" w:hAnsi="Arial" w:cs="Arial"/>
          <w:rtl/>
        </w:rPr>
        <w:t xml:space="preserve"> وتقيس مدى استخدام تقنيات العرض ثلاثي الأبعاد، الواقع الافتراضي والمعزز، تطبيقات الشراء والدفع الرقمي الفوري، وبوابات شهادات الأصالة الرقمية المشفرة لحماية المصنفات (الشريف، 2025).</w:t>
      </w:r>
    </w:p>
    <w:p w14:paraId="364BF58E" w14:textId="77777777" w:rsidR="00B00FCA" w:rsidRDefault="00000000">
      <w:pPr>
        <w:numPr>
          <w:ilvl w:val="0"/>
          <w:numId w:val="11"/>
        </w:numPr>
        <w:bidi/>
        <w:spacing w:after="240" w:line="276" w:lineRule="auto"/>
        <w:rPr>
          <w:rFonts w:ascii="Arial" w:eastAsia="Arial" w:hAnsi="Arial" w:cs="Arial"/>
        </w:rPr>
      </w:pPr>
      <w:r>
        <w:rPr>
          <w:rFonts w:ascii="Arial" w:eastAsia="Arial" w:hAnsi="Arial" w:cs="Arial"/>
          <w:b/>
          <w:bCs/>
          <w:rtl/>
        </w:rPr>
        <w:t>فئة التسويق التجريبي الرقمي:</w:t>
      </w:r>
      <w:r>
        <w:rPr>
          <w:rFonts w:ascii="Arial" w:eastAsia="Arial" w:hAnsi="Arial" w:cs="Arial"/>
          <w:rtl/>
        </w:rPr>
        <w:t xml:space="preserve"> وتُعنى برصد الإعلانات والتغطيات الخاصة بالأنشطة الموازية مثل ورش العمل، الاستوديوهات المفتوحة، الحوارات الحية والمباشرة مع الفنانين، والجولات التوجيهية الافتراضية المصاحبة للمعارض (منصور، 2024).</w:t>
      </w:r>
    </w:p>
    <w:p w14:paraId="1B18238D" w14:textId="77777777" w:rsidR="00B00FCA" w:rsidRDefault="00000000">
      <w:pPr>
        <w:pStyle w:val="4"/>
        <w:keepNext w:val="0"/>
        <w:keepLines w:val="0"/>
        <w:bidi/>
        <w:spacing w:line="276" w:lineRule="auto"/>
        <w:rPr>
          <w:rFonts w:ascii="Arial" w:eastAsia="Arial" w:hAnsi="Arial" w:cs="Arial"/>
          <w:sz w:val="22"/>
          <w:szCs w:val="22"/>
        </w:rPr>
      </w:pPr>
      <w:bookmarkStart w:id="33" w:name="_eck4y0kftfns" w:colFirst="0" w:colLast="0"/>
      <w:bookmarkEnd w:id="33"/>
      <w:r>
        <w:rPr>
          <w:rFonts w:ascii="Arial" w:eastAsia="Arial" w:hAnsi="Arial" w:cs="Arial"/>
          <w:sz w:val="22"/>
          <w:szCs w:val="22"/>
          <w:rtl/>
        </w:rPr>
        <w:t>إجراءات الصدق والثبات لاستمارة تحليل المضمون:</w:t>
      </w:r>
    </w:p>
    <w:p w14:paraId="08189F55" w14:textId="77777777" w:rsidR="00B00FCA" w:rsidRDefault="00000000">
      <w:pPr>
        <w:numPr>
          <w:ilvl w:val="0"/>
          <w:numId w:val="37"/>
        </w:numPr>
        <w:bidi/>
        <w:spacing w:before="240" w:after="0" w:line="276" w:lineRule="auto"/>
        <w:rPr>
          <w:rFonts w:ascii="Arial" w:eastAsia="Arial" w:hAnsi="Arial" w:cs="Arial"/>
        </w:rPr>
      </w:pPr>
      <w:r>
        <w:rPr>
          <w:rFonts w:ascii="Arial" w:eastAsia="Arial" w:hAnsi="Arial" w:cs="Arial"/>
          <w:b/>
          <w:bCs/>
          <w:rtl/>
        </w:rPr>
        <w:t>صدق الأداة:</w:t>
      </w:r>
      <w:r>
        <w:rPr>
          <w:rFonts w:ascii="Arial" w:eastAsia="Arial" w:hAnsi="Arial" w:cs="Arial"/>
          <w:rtl/>
        </w:rPr>
        <w:t xml:space="preserve"> جرى التحقق من الصدق الظاهري وصدق المحتوى عبر عرض الاستمارة في صورتها الأولية على لجنة تحكيم علمية مكونة من خمسة خبراء من أساتذة الجامعات المتخصصين في مجالات الإعلام والاتصال التسويقي وسوسيولوجيا الفن واقتصاديات الثقافة. وبناءً على ملاحظات المحكمين، عَدّل الباحث الصياغات، وحَذف الفئات المتداخلة، وأعاد ترتيب المحاور لتصبح الأداة في صورتها النهائية قادرة تماماً على قياس المتغيرات المستهدفة بدقة وموضوعية (</w:t>
      </w:r>
      <w:proofErr w:type="spellStart"/>
      <w:r>
        <w:rPr>
          <w:rFonts w:ascii="Arial" w:eastAsia="Arial" w:hAnsi="Arial" w:cs="Arial"/>
          <w:rtl/>
        </w:rPr>
        <w:t>كريبرندورف</w:t>
      </w:r>
      <w:proofErr w:type="spellEnd"/>
      <w:r>
        <w:rPr>
          <w:rFonts w:ascii="Arial" w:eastAsia="Arial" w:hAnsi="Arial" w:cs="Arial"/>
          <w:rtl/>
        </w:rPr>
        <w:t>، 2019).</w:t>
      </w:r>
    </w:p>
    <w:p w14:paraId="33A541D1" w14:textId="77777777" w:rsidR="00B00FCA" w:rsidRDefault="00000000">
      <w:pPr>
        <w:numPr>
          <w:ilvl w:val="0"/>
          <w:numId w:val="37"/>
        </w:numPr>
        <w:bidi/>
        <w:spacing w:after="240" w:line="276" w:lineRule="auto"/>
        <w:rPr>
          <w:rFonts w:ascii="Arial" w:eastAsia="Arial" w:hAnsi="Arial" w:cs="Arial"/>
        </w:rPr>
      </w:pPr>
      <w:r>
        <w:rPr>
          <w:rFonts w:ascii="Arial" w:eastAsia="Arial" w:hAnsi="Arial" w:cs="Arial"/>
          <w:b/>
          <w:bCs/>
          <w:rtl/>
        </w:rPr>
        <w:t>ثبات الأداة:</w:t>
      </w:r>
      <w:r>
        <w:rPr>
          <w:rFonts w:ascii="Arial" w:eastAsia="Arial" w:hAnsi="Arial" w:cs="Arial"/>
          <w:rtl/>
        </w:rPr>
        <w:t xml:space="preserve"> لضمان ثبات نتائج التحليل وعدم تأثرها بذاتية الباحث أو انطباعاته الشخصية، أجرى الباحث اختبار الثبات عبر الزمن ومن خلال الاستعانة بمحلل آخر مستقل مؤهل علمياً وفنياً (</w:t>
      </w:r>
      <w:proofErr w:type="spellStart"/>
      <w:r>
        <w:rPr>
          <w:rFonts w:ascii="Arial" w:eastAsia="Arial" w:hAnsi="Arial" w:cs="Arial"/>
          <w:rtl/>
        </w:rPr>
        <w:t>هولستي</w:t>
      </w:r>
      <w:proofErr w:type="spellEnd"/>
      <w:r>
        <w:rPr>
          <w:rFonts w:ascii="Arial" w:eastAsia="Arial" w:hAnsi="Arial" w:cs="Arial"/>
          <w:rtl/>
        </w:rPr>
        <w:t xml:space="preserve">، 1969). وقام الباحث بتحليل عينة استطلاعية بلغت عشرة بالمئة من المحتوى الرقمي لمعرضين من خارج عينة الدراسة الأساسية، وقام المحلل الآخر بتحليل نفس العينة بالتزامن وبشكل منفصل تماماً. وحُسب معامل الاتفاق بين المحللين بالاعتماد على معادلة </w:t>
      </w:r>
      <w:proofErr w:type="spellStart"/>
      <w:r>
        <w:rPr>
          <w:rFonts w:ascii="Arial" w:eastAsia="Arial" w:hAnsi="Arial" w:cs="Arial"/>
          <w:rtl/>
        </w:rPr>
        <w:t>هولستي</w:t>
      </w:r>
      <w:proofErr w:type="spellEnd"/>
      <w:r>
        <w:rPr>
          <w:rFonts w:ascii="Arial" w:eastAsia="Arial" w:hAnsi="Arial" w:cs="Arial"/>
          <w:rtl/>
        </w:rPr>
        <w:t xml:space="preserve"> للاتفاق؛ حيث يعتمد الحساب لفظياً على ضرب عدد الفئات والوحدات التي اتفق عليها المحللان في اثنين، ثم قسمة الناتج على المجموع الكلي للفئات والوحدات التي رصدها المحلل الأول والمحلل الثاني مجتمعين (</w:t>
      </w:r>
      <w:proofErr w:type="spellStart"/>
      <w:r>
        <w:rPr>
          <w:rFonts w:ascii="Arial" w:eastAsia="Arial" w:hAnsi="Arial" w:cs="Arial"/>
          <w:rtl/>
        </w:rPr>
        <w:t>هولستي</w:t>
      </w:r>
      <w:proofErr w:type="spellEnd"/>
      <w:r>
        <w:rPr>
          <w:rFonts w:ascii="Arial" w:eastAsia="Arial" w:hAnsi="Arial" w:cs="Arial"/>
          <w:rtl/>
        </w:rPr>
        <w:t>، 1969). وسجلت الأداة معامل ثبات عام بلغ تسعة وثمانين بالمئة، وهي نسبة مرتفعة جداً وتؤكد الصلاحية العلمية التامة للاستمارة وبدء عملية التحليل الفعلي للمادة الاتصالية (</w:t>
      </w:r>
      <w:proofErr w:type="spellStart"/>
      <w:r>
        <w:rPr>
          <w:rFonts w:ascii="Arial" w:eastAsia="Arial" w:hAnsi="Arial" w:cs="Arial"/>
          <w:rtl/>
        </w:rPr>
        <w:t>كريبرندورف</w:t>
      </w:r>
      <w:proofErr w:type="spellEnd"/>
      <w:r>
        <w:rPr>
          <w:rFonts w:ascii="Arial" w:eastAsia="Arial" w:hAnsi="Arial" w:cs="Arial"/>
          <w:rtl/>
        </w:rPr>
        <w:t>, 2019).</w:t>
      </w:r>
    </w:p>
    <w:p w14:paraId="65DAC2C5" w14:textId="77777777" w:rsidR="00B00FCA" w:rsidRDefault="00000000">
      <w:pPr>
        <w:pStyle w:val="3"/>
        <w:keepNext w:val="0"/>
        <w:keepLines w:val="0"/>
        <w:bidi/>
        <w:spacing w:line="276" w:lineRule="auto"/>
        <w:rPr>
          <w:rFonts w:ascii="Arial" w:eastAsia="Arial" w:hAnsi="Arial" w:cs="Arial"/>
          <w:sz w:val="26"/>
          <w:szCs w:val="26"/>
        </w:rPr>
      </w:pPr>
      <w:bookmarkStart w:id="34" w:name="_c2t0o17qdn4f" w:colFirst="0" w:colLast="0"/>
      <w:bookmarkEnd w:id="34"/>
      <w:r>
        <w:rPr>
          <w:rFonts w:ascii="Arial" w:eastAsia="Arial" w:hAnsi="Arial" w:cs="Arial"/>
          <w:sz w:val="26"/>
          <w:szCs w:val="26"/>
          <w:rtl/>
        </w:rPr>
        <w:t xml:space="preserve">الأداة الثانية: </w:t>
      </w:r>
      <w:proofErr w:type="gramStart"/>
      <w:r>
        <w:rPr>
          <w:rFonts w:ascii="Arial" w:eastAsia="Arial" w:hAnsi="Arial" w:cs="Arial"/>
          <w:sz w:val="26"/>
          <w:szCs w:val="26"/>
          <w:rtl/>
        </w:rPr>
        <w:t>استبيان</w:t>
      </w:r>
      <w:proofErr w:type="gramEnd"/>
      <w:r>
        <w:rPr>
          <w:rFonts w:ascii="Arial" w:eastAsia="Arial" w:hAnsi="Arial" w:cs="Arial"/>
          <w:sz w:val="26"/>
          <w:szCs w:val="26"/>
          <w:rtl/>
        </w:rPr>
        <w:t xml:space="preserve"> المقتني الرقمي الجديد</w:t>
      </w:r>
    </w:p>
    <w:p w14:paraId="146EE339" w14:textId="77777777" w:rsidR="00B00FCA" w:rsidRDefault="00000000">
      <w:pPr>
        <w:bidi/>
        <w:spacing w:before="240" w:after="240" w:line="276" w:lineRule="auto"/>
        <w:rPr>
          <w:rFonts w:ascii="Arial" w:eastAsia="Arial" w:hAnsi="Arial" w:cs="Arial"/>
        </w:rPr>
      </w:pPr>
      <w:r>
        <w:rPr>
          <w:rFonts w:ascii="Arial" w:eastAsia="Arial" w:hAnsi="Arial" w:cs="Arial"/>
          <w:rtl/>
        </w:rPr>
        <w:t xml:space="preserve">بُني </w:t>
      </w:r>
      <w:proofErr w:type="gramStart"/>
      <w:r>
        <w:rPr>
          <w:rFonts w:ascii="Arial" w:eastAsia="Arial" w:hAnsi="Arial" w:cs="Arial"/>
          <w:rtl/>
        </w:rPr>
        <w:t>الاستبيان</w:t>
      </w:r>
      <w:proofErr w:type="gramEnd"/>
      <w:r>
        <w:rPr>
          <w:rFonts w:ascii="Arial" w:eastAsia="Arial" w:hAnsi="Arial" w:cs="Arial"/>
          <w:rtl/>
        </w:rPr>
        <w:t xml:space="preserve"> كأداة كمية رئيسية موجهة لعينة </w:t>
      </w:r>
      <w:proofErr w:type="spellStart"/>
      <w:r>
        <w:rPr>
          <w:rFonts w:ascii="Arial" w:eastAsia="Arial" w:hAnsi="Arial" w:cs="Arial"/>
          <w:rtl/>
        </w:rPr>
        <w:t>المقتنين</w:t>
      </w:r>
      <w:proofErr w:type="spellEnd"/>
      <w:r>
        <w:rPr>
          <w:rFonts w:ascii="Arial" w:eastAsia="Arial" w:hAnsi="Arial" w:cs="Arial"/>
          <w:rtl/>
        </w:rPr>
        <w:t xml:space="preserve"> الرقميين الجدد في المملكة لاختبار مسارات وبنية النموذج السببي للدراسة (</w:t>
      </w:r>
      <w:proofErr w:type="spellStart"/>
      <w:r>
        <w:rPr>
          <w:rFonts w:ascii="Arial" w:eastAsia="Arial" w:hAnsi="Arial" w:cs="Arial"/>
          <w:rtl/>
        </w:rPr>
        <w:t>برايمان</w:t>
      </w:r>
      <w:proofErr w:type="spellEnd"/>
      <w:r>
        <w:rPr>
          <w:rFonts w:ascii="Arial" w:eastAsia="Arial" w:hAnsi="Arial" w:cs="Arial"/>
          <w:rtl/>
        </w:rPr>
        <w:t xml:space="preserve">، 2016؛ </w:t>
      </w:r>
      <w:proofErr w:type="spellStart"/>
      <w:r>
        <w:rPr>
          <w:rFonts w:ascii="Arial" w:eastAsia="Arial" w:hAnsi="Arial" w:cs="Arial"/>
          <w:rtl/>
        </w:rPr>
        <w:t>مالهوترا</w:t>
      </w:r>
      <w:proofErr w:type="spellEnd"/>
      <w:r>
        <w:rPr>
          <w:rFonts w:ascii="Arial" w:eastAsia="Arial" w:hAnsi="Arial" w:cs="Arial"/>
          <w:rtl/>
        </w:rPr>
        <w:t xml:space="preserve">، 2020). وصيغ </w:t>
      </w:r>
      <w:proofErr w:type="gramStart"/>
      <w:r>
        <w:rPr>
          <w:rFonts w:ascii="Arial" w:eastAsia="Arial" w:hAnsi="Arial" w:cs="Arial"/>
          <w:rtl/>
        </w:rPr>
        <w:t>الاستبيان</w:t>
      </w:r>
      <w:proofErr w:type="gramEnd"/>
      <w:r>
        <w:rPr>
          <w:rFonts w:ascii="Arial" w:eastAsia="Arial" w:hAnsi="Arial" w:cs="Arial"/>
          <w:rtl/>
        </w:rPr>
        <w:t xml:space="preserve"> بالاعتماد على مقياس </w:t>
      </w:r>
      <w:proofErr w:type="spellStart"/>
      <w:r>
        <w:rPr>
          <w:rFonts w:ascii="Arial" w:eastAsia="Arial" w:hAnsi="Arial" w:cs="Arial"/>
          <w:rtl/>
        </w:rPr>
        <w:t>ليكرت</w:t>
      </w:r>
      <w:proofErr w:type="spellEnd"/>
      <w:r>
        <w:rPr>
          <w:rFonts w:ascii="Arial" w:eastAsia="Arial" w:hAnsi="Arial" w:cs="Arial"/>
          <w:rtl/>
        </w:rPr>
        <w:t xml:space="preserve"> الخماسي المتدرج الذي يمنح المستجيب </w:t>
      </w:r>
      <w:proofErr w:type="gramStart"/>
      <w:r>
        <w:rPr>
          <w:rFonts w:ascii="Arial" w:eastAsia="Arial" w:hAnsi="Arial" w:cs="Arial"/>
          <w:rtl/>
        </w:rPr>
        <w:t>خمسة</w:t>
      </w:r>
      <w:proofErr w:type="gramEnd"/>
      <w:r>
        <w:rPr>
          <w:rFonts w:ascii="Arial" w:eastAsia="Arial" w:hAnsi="Arial" w:cs="Arial"/>
          <w:rtl/>
        </w:rPr>
        <w:t xml:space="preserve"> خيارات تبدأ من موافق بشدة وتتدرج إلى موافق، ثم محايد، ثم غير موافق، وصولاً إلى غير موافق بشدة. وتوزعت فقرات ومحاور </w:t>
      </w:r>
      <w:proofErr w:type="gramStart"/>
      <w:r>
        <w:rPr>
          <w:rFonts w:ascii="Arial" w:eastAsia="Arial" w:hAnsi="Arial" w:cs="Arial"/>
          <w:rtl/>
        </w:rPr>
        <w:t>الاستبيان</w:t>
      </w:r>
      <w:proofErr w:type="gramEnd"/>
      <w:r>
        <w:rPr>
          <w:rFonts w:ascii="Arial" w:eastAsia="Arial" w:hAnsi="Arial" w:cs="Arial"/>
          <w:rtl/>
        </w:rPr>
        <w:t xml:space="preserve"> بصرامة علمية لتغطي كافة متغيرات النموذج المفاهيمي وفق التقسيم البنيوي التالي:</w:t>
      </w:r>
    </w:p>
    <w:p w14:paraId="7D0FCB82" w14:textId="77777777" w:rsidR="00B00FCA" w:rsidRDefault="00000000">
      <w:pPr>
        <w:pStyle w:val="4"/>
        <w:keepNext w:val="0"/>
        <w:keepLines w:val="0"/>
        <w:bidi/>
        <w:spacing w:line="276" w:lineRule="auto"/>
        <w:rPr>
          <w:rFonts w:ascii="Arial" w:eastAsia="Arial" w:hAnsi="Arial" w:cs="Arial"/>
          <w:sz w:val="22"/>
          <w:szCs w:val="22"/>
        </w:rPr>
      </w:pPr>
      <w:bookmarkStart w:id="35" w:name="_lhklfntcu2i6" w:colFirst="0" w:colLast="0"/>
      <w:bookmarkEnd w:id="35"/>
      <w:r>
        <w:rPr>
          <w:rFonts w:ascii="Arial" w:eastAsia="Arial" w:hAnsi="Arial" w:cs="Arial"/>
          <w:sz w:val="22"/>
          <w:szCs w:val="22"/>
          <w:rtl/>
        </w:rPr>
        <w:t>المحور الأول: البيانات الديموغرافية والسلوكية العامة</w:t>
      </w:r>
    </w:p>
    <w:p w14:paraId="61FF3735" w14:textId="77777777" w:rsidR="00B00FCA" w:rsidRDefault="00000000">
      <w:pPr>
        <w:bidi/>
        <w:spacing w:before="240" w:after="240" w:line="276" w:lineRule="auto"/>
        <w:rPr>
          <w:rFonts w:ascii="Arial" w:eastAsia="Arial" w:hAnsi="Arial" w:cs="Arial"/>
        </w:rPr>
      </w:pPr>
      <w:r>
        <w:rPr>
          <w:rFonts w:ascii="Arial" w:eastAsia="Arial" w:hAnsi="Arial" w:cs="Arial"/>
          <w:rtl/>
        </w:rPr>
        <w:t>ويشمل متغيرات الجنس، العمر، المستوى التعليمي، النطاق الجغرافي، معدل الدخل السنوي، حجم الميزانية المالية المخصصة للاقتناء الفني سنويّاً، وطبيعة المنصات الرقمية الرسمية الأكثر استخداماً في التعامل مع معارض الفنون وصالات العرض الخاصة (الرشيد، 2024).</w:t>
      </w:r>
    </w:p>
    <w:p w14:paraId="16F5C532" w14:textId="77777777" w:rsidR="00B00FCA" w:rsidRDefault="00000000">
      <w:pPr>
        <w:pStyle w:val="4"/>
        <w:keepNext w:val="0"/>
        <w:keepLines w:val="0"/>
        <w:bidi/>
        <w:spacing w:line="276" w:lineRule="auto"/>
        <w:rPr>
          <w:rFonts w:ascii="Arial" w:eastAsia="Arial" w:hAnsi="Arial" w:cs="Arial"/>
          <w:sz w:val="22"/>
          <w:szCs w:val="22"/>
        </w:rPr>
      </w:pPr>
      <w:bookmarkStart w:id="36" w:name="_ibnwx64nn0hf" w:colFirst="0" w:colLast="0"/>
      <w:bookmarkEnd w:id="36"/>
      <w:r>
        <w:rPr>
          <w:rFonts w:ascii="Arial" w:eastAsia="Arial" w:hAnsi="Arial" w:cs="Arial"/>
          <w:sz w:val="22"/>
          <w:szCs w:val="22"/>
          <w:rtl/>
        </w:rPr>
        <w:t>المحور الثاني: تقييم الأبعاد والمدخلات الاتصالية والتسويقية لمعارض الفنون</w:t>
      </w:r>
    </w:p>
    <w:p w14:paraId="6D9AD9F1" w14:textId="77777777" w:rsidR="00B00FCA" w:rsidRDefault="00000000">
      <w:pPr>
        <w:numPr>
          <w:ilvl w:val="0"/>
          <w:numId w:val="12"/>
        </w:numPr>
        <w:bidi/>
        <w:spacing w:before="240" w:after="0" w:line="276" w:lineRule="auto"/>
        <w:rPr>
          <w:rFonts w:ascii="Arial" w:eastAsia="Arial" w:hAnsi="Arial" w:cs="Arial"/>
        </w:rPr>
      </w:pPr>
      <w:r>
        <w:rPr>
          <w:rFonts w:ascii="Arial" w:eastAsia="Arial" w:hAnsi="Arial" w:cs="Arial"/>
          <w:b/>
          <w:bCs/>
          <w:rtl/>
        </w:rPr>
        <w:t>مقياس الاتساق الرسالي والمفاهيمي:</w:t>
      </w:r>
      <w:r>
        <w:rPr>
          <w:rFonts w:ascii="Arial" w:eastAsia="Arial" w:hAnsi="Arial" w:cs="Arial"/>
          <w:rtl/>
        </w:rPr>
        <w:t xml:space="preserve"> ويضم خمس فقرات تقيس مدى إدراك المقتني لوجود نبرة </w:t>
      </w:r>
      <w:proofErr w:type="spellStart"/>
      <w:r>
        <w:rPr>
          <w:rFonts w:ascii="Arial" w:eastAsia="Arial" w:hAnsi="Arial" w:cs="Arial"/>
          <w:rtl/>
        </w:rPr>
        <w:t>رسالية</w:t>
      </w:r>
      <w:proofErr w:type="spellEnd"/>
      <w:r>
        <w:rPr>
          <w:rFonts w:ascii="Arial" w:eastAsia="Arial" w:hAnsi="Arial" w:cs="Arial"/>
          <w:rtl/>
        </w:rPr>
        <w:t xml:space="preserve"> موحدة وواضحة تجمع بين الأبعاد الفنية والاستثمارية في خطابات صالات العرض (السالم، 2025).</w:t>
      </w:r>
    </w:p>
    <w:p w14:paraId="68A7D707" w14:textId="77777777" w:rsidR="00B00FCA" w:rsidRDefault="00000000">
      <w:pPr>
        <w:numPr>
          <w:ilvl w:val="0"/>
          <w:numId w:val="12"/>
        </w:numPr>
        <w:bidi/>
        <w:spacing w:after="0" w:line="276" w:lineRule="auto"/>
        <w:rPr>
          <w:rFonts w:ascii="Arial" w:eastAsia="Arial" w:hAnsi="Arial" w:cs="Arial"/>
        </w:rPr>
      </w:pPr>
      <w:r>
        <w:rPr>
          <w:rFonts w:ascii="Arial" w:eastAsia="Arial" w:hAnsi="Arial" w:cs="Arial"/>
          <w:b/>
          <w:bCs/>
          <w:rtl/>
        </w:rPr>
        <w:lastRenderedPageBreak/>
        <w:t>مقياس التعددية القنوية والتسويق التجريبي:</w:t>
      </w:r>
      <w:r>
        <w:rPr>
          <w:rFonts w:ascii="Arial" w:eastAsia="Arial" w:hAnsi="Arial" w:cs="Arial"/>
          <w:rtl/>
        </w:rPr>
        <w:t xml:space="preserve"> ويضم خمس فقرات تقيس سهولة ومرونة انتقال المقتني بين الفضاء الرقمي والواقعي، وتأثير أنشطة المعايشة والتجريب والنقاشات الحية على قراراته </w:t>
      </w:r>
      <w:proofErr w:type="spellStart"/>
      <w:r>
        <w:rPr>
          <w:rFonts w:ascii="Arial" w:eastAsia="Arial" w:hAnsi="Arial" w:cs="Arial"/>
          <w:rtl/>
        </w:rPr>
        <w:t>الاقتنائية</w:t>
      </w:r>
      <w:proofErr w:type="spellEnd"/>
      <w:r>
        <w:rPr>
          <w:rFonts w:ascii="Arial" w:eastAsia="Arial" w:hAnsi="Arial" w:cs="Arial"/>
          <w:rtl/>
        </w:rPr>
        <w:t xml:space="preserve"> (منصور، 2024).</w:t>
      </w:r>
    </w:p>
    <w:p w14:paraId="09F117B7" w14:textId="77777777" w:rsidR="00B00FCA" w:rsidRDefault="00000000">
      <w:pPr>
        <w:numPr>
          <w:ilvl w:val="0"/>
          <w:numId w:val="12"/>
        </w:numPr>
        <w:bidi/>
        <w:spacing w:after="240" w:line="276" w:lineRule="auto"/>
        <w:rPr>
          <w:rFonts w:ascii="Arial" w:eastAsia="Arial" w:hAnsi="Arial" w:cs="Arial"/>
        </w:rPr>
      </w:pPr>
      <w:r>
        <w:rPr>
          <w:rFonts w:ascii="Arial" w:eastAsia="Arial" w:hAnsi="Arial" w:cs="Arial"/>
          <w:b/>
          <w:bCs/>
          <w:rtl/>
        </w:rPr>
        <w:t>مقياس الهوية الرمزية والموثوقية:</w:t>
      </w:r>
      <w:r>
        <w:rPr>
          <w:rFonts w:ascii="Arial" w:eastAsia="Arial" w:hAnsi="Arial" w:cs="Arial"/>
          <w:rtl/>
        </w:rPr>
        <w:t xml:space="preserve"> ويضم أربع فقرات تقيس مدى مساهمة السمعة المؤسسية والاسم التجاري لمعرض الفنون في منح صك الأمان للأعمال المعروضة والمصادقة على قيمتها التاريخية (السعيد، 2024).</w:t>
      </w:r>
    </w:p>
    <w:p w14:paraId="012777BD" w14:textId="77777777" w:rsidR="00B00FCA" w:rsidRDefault="00000000">
      <w:pPr>
        <w:pStyle w:val="4"/>
        <w:keepNext w:val="0"/>
        <w:keepLines w:val="0"/>
        <w:bidi/>
        <w:spacing w:line="276" w:lineRule="auto"/>
        <w:rPr>
          <w:rFonts w:ascii="Arial" w:eastAsia="Arial" w:hAnsi="Arial" w:cs="Arial"/>
          <w:sz w:val="22"/>
          <w:szCs w:val="22"/>
        </w:rPr>
      </w:pPr>
      <w:bookmarkStart w:id="37" w:name="_fgwod63ch1lp" w:colFirst="0" w:colLast="0"/>
      <w:bookmarkEnd w:id="37"/>
      <w:r>
        <w:rPr>
          <w:rFonts w:ascii="Arial" w:eastAsia="Arial" w:hAnsi="Arial" w:cs="Arial"/>
          <w:sz w:val="22"/>
          <w:szCs w:val="22"/>
          <w:rtl/>
        </w:rPr>
        <w:t>المحور الثالث: تقييم أبعاد المنظومة الابتكار الخماسية في سوق الفن</w:t>
      </w:r>
    </w:p>
    <w:p w14:paraId="6229403C" w14:textId="77777777" w:rsidR="00B00FCA" w:rsidRDefault="00000000">
      <w:pPr>
        <w:numPr>
          <w:ilvl w:val="0"/>
          <w:numId w:val="8"/>
        </w:numPr>
        <w:bidi/>
        <w:spacing w:before="240" w:after="0" w:line="276" w:lineRule="auto"/>
        <w:rPr>
          <w:rFonts w:ascii="Arial" w:eastAsia="Arial" w:hAnsi="Arial" w:cs="Arial"/>
        </w:rPr>
      </w:pPr>
      <w:r>
        <w:rPr>
          <w:rFonts w:ascii="Arial" w:eastAsia="Arial" w:hAnsi="Arial" w:cs="Arial"/>
          <w:b/>
          <w:bCs/>
          <w:rtl/>
        </w:rPr>
        <w:t>بُعد الابتكار التسويقي والشفافية السعرية:</w:t>
      </w:r>
      <w:r>
        <w:rPr>
          <w:rFonts w:ascii="Arial" w:eastAsia="Arial" w:hAnsi="Arial" w:cs="Arial"/>
          <w:rtl/>
        </w:rPr>
        <w:t xml:space="preserve"> ويضم أربع فقرات تقيس أثر إعلان الأسعار بوضوح وتوافر القنوات الهجينة على كسر الاحتكار التقليدي وجذب المستهلكين الناشئين (منصور، 2024).</w:t>
      </w:r>
    </w:p>
    <w:p w14:paraId="63922EF0" w14:textId="77777777" w:rsidR="00B00FCA" w:rsidRDefault="00000000">
      <w:pPr>
        <w:numPr>
          <w:ilvl w:val="0"/>
          <w:numId w:val="8"/>
        </w:numPr>
        <w:bidi/>
        <w:spacing w:after="0" w:line="276" w:lineRule="auto"/>
        <w:rPr>
          <w:rFonts w:ascii="Arial" w:eastAsia="Arial" w:hAnsi="Arial" w:cs="Arial"/>
        </w:rPr>
      </w:pPr>
      <w:r>
        <w:rPr>
          <w:rFonts w:ascii="Arial" w:eastAsia="Arial" w:hAnsi="Arial" w:cs="Arial"/>
          <w:b/>
          <w:bCs/>
          <w:rtl/>
        </w:rPr>
        <w:t>بُعد الابتكار النفسي والسلوكي والتأهيلي:</w:t>
      </w:r>
      <w:r>
        <w:rPr>
          <w:rFonts w:ascii="Arial" w:eastAsia="Arial" w:hAnsi="Arial" w:cs="Arial"/>
          <w:rtl/>
        </w:rPr>
        <w:t xml:space="preserve"> ويضم خمس فقرات تقيس مدى نجاح برامج التأهيل المعرفي والثقافي في تفكيك الاغتراب الجمالي وبناء الرغبة المستدامة في الاقتناء لدى الأفراد (الرشيد، 2024).</w:t>
      </w:r>
    </w:p>
    <w:p w14:paraId="7A1F9D21" w14:textId="77777777" w:rsidR="00B00FCA" w:rsidRDefault="00000000">
      <w:pPr>
        <w:numPr>
          <w:ilvl w:val="0"/>
          <w:numId w:val="8"/>
        </w:numPr>
        <w:bidi/>
        <w:spacing w:after="0" w:line="276" w:lineRule="auto"/>
        <w:rPr>
          <w:rFonts w:ascii="Arial" w:eastAsia="Arial" w:hAnsi="Arial" w:cs="Arial"/>
        </w:rPr>
      </w:pPr>
      <w:r>
        <w:rPr>
          <w:rFonts w:ascii="Arial" w:eastAsia="Arial" w:hAnsi="Arial" w:cs="Arial"/>
          <w:b/>
          <w:bCs/>
          <w:rtl/>
        </w:rPr>
        <w:t>بُعد الابتكار التقني وتطبيقات الثورة الرابعة:</w:t>
      </w:r>
      <w:r>
        <w:rPr>
          <w:rFonts w:ascii="Arial" w:eastAsia="Arial" w:hAnsi="Arial" w:cs="Arial"/>
          <w:rtl/>
        </w:rPr>
        <w:t xml:space="preserve"> ويضم خمس فقرات تقيس مستوى الثقة والأمان الناتجة عن توثيق الأعمال الفنية عبر منصات رقمية متقدمة وإصدار شهادات الملكية المشفرة لحمايتها من التزوير (الشريف، 2025).</w:t>
      </w:r>
    </w:p>
    <w:p w14:paraId="29DBE311" w14:textId="77777777" w:rsidR="00B00FCA" w:rsidRDefault="00000000">
      <w:pPr>
        <w:numPr>
          <w:ilvl w:val="0"/>
          <w:numId w:val="8"/>
        </w:numPr>
        <w:bidi/>
        <w:spacing w:after="0" w:line="276" w:lineRule="auto"/>
        <w:rPr>
          <w:rFonts w:ascii="Arial" w:eastAsia="Arial" w:hAnsi="Arial" w:cs="Arial"/>
        </w:rPr>
      </w:pPr>
      <w:r>
        <w:rPr>
          <w:rFonts w:ascii="Arial" w:eastAsia="Arial" w:hAnsi="Arial" w:cs="Arial"/>
          <w:b/>
          <w:bCs/>
          <w:rtl/>
        </w:rPr>
        <w:t>بُعد الابتكار الاقتصادي والمالي المرتبط بالسيولة والتنوع:</w:t>
      </w:r>
      <w:r>
        <w:rPr>
          <w:rFonts w:ascii="Arial" w:eastAsia="Arial" w:hAnsi="Arial" w:cs="Arial"/>
          <w:rtl/>
        </w:rPr>
        <w:t xml:space="preserve"> ويضم خمس فقرات تقيس مدى جاهزية ورغبة المقتني في التفاعل مع آليات الملكية التشاركية المجزأة للأعمال الفنية، وصناديق الاستثمار الثقافي المشترك (توز، 2020؛ الشمري، 2026).</w:t>
      </w:r>
    </w:p>
    <w:p w14:paraId="73A2C230" w14:textId="77777777" w:rsidR="00B00FCA" w:rsidRDefault="00000000">
      <w:pPr>
        <w:numPr>
          <w:ilvl w:val="0"/>
          <w:numId w:val="8"/>
        </w:numPr>
        <w:bidi/>
        <w:spacing w:after="240" w:line="276" w:lineRule="auto"/>
        <w:rPr>
          <w:rFonts w:ascii="Arial" w:eastAsia="Arial" w:hAnsi="Arial" w:cs="Arial"/>
        </w:rPr>
      </w:pPr>
      <w:r>
        <w:rPr>
          <w:rFonts w:ascii="Arial" w:eastAsia="Arial" w:hAnsi="Arial" w:cs="Arial"/>
          <w:b/>
          <w:bCs/>
          <w:rtl/>
        </w:rPr>
        <w:t>بُعد الابتكار المؤسسي والتنظيمي المعني بالحوكمة:</w:t>
      </w:r>
      <w:r>
        <w:rPr>
          <w:rFonts w:ascii="Arial" w:eastAsia="Arial" w:hAnsi="Arial" w:cs="Arial"/>
          <w:rtl/>
        </w:rPr>
        <w:t xml:space="preserve"> ويضم أربع فقرات تقيس إدراك المقتني لأهمية وجود لوائح تنظيمية صارمة، وأدلة وطنية موحدة للتثمين المالي، ومراكز تحكيم مستقلة لفض النزاعات التجارية في القطاع (العتيبي، 2023).</w:t>
      </w:r>
    </w:p>
    <w:p w14:paraId="4600A26C" w14:textId="77777777" w:rsidR="00B00FCA" w:rsidRDefault="00000000">
      <w:pPr>
        <w:pStyle w:val="4"/>
        <w:keepNext w:val="0"/>
        <w:keepLines w:val="0"/>
        <w:bidi/>
        <w:spacing w:line="276" w:lineRule="auto"/>
        <w:rPr>
          <w:rFonts w:ascii="Arial" w:eastAsia="Arial" w:hAnsi="Arial" w:cs="Arial"/>
          <w:sz w:val="22"/>
          <w:szCs w:val="22"/>
        </w:rPr>
      </w:pPr>
      <w:bookmarkStart w:id="38" w:name="_hz3ykar1cyn3" w:colFirst="0" w:colLast="0"/>
      <w:bookmarkEnd w:id="38"/>
      <w:r>
        <w:rPr>
          <w:rFonts w:ascii="Arial" w:eastAsia="Arial" w:hAnsi="Arial" w:cs="Arial"/>
          <w:sz w:val="22"/>
          <w:szCs w:val="22"/>
          <w:rtl/>
        </w:rPr>
        <w:t>المحور الرابع: المتغير الوسيط والمعدل المرتبط باستجابة المقتني وسلوكه الإدراكي</w:t>
      </w:r>
    </w:p>
    <w:p w14:paraId="2163F429" w14:textId="77777777" w:rsidR="00B00FCA" w:rsidRDefault="00000000">
      <w:pPr>
        <w:numPr>
          <w:ilvl w:val="0"/>
          <w:numId w:val="29"/>
        </w:numPr>
        <w:bidi/>
        <w:spacing w:before="240" w:after="0" w:line="276" w:lineRule="auto"/>
        <w:rPr>
          <w:rFonts w:ascii="Arial" w:eastAsia="Arial" w:hAnsi="Arial" w:cs="Arial"/>
        </w:rPr>
      </w:pPr>
      <w:r>
        <w:rPr>
          <w:rFonts w:ascii="Arial" w:eastAsia="Arial" w:hAnsi="Arial" w:cs="Arial"/>
          <w:b/>
          <w:bCs/>
          <w:rtl/>
        </w:rPr>
        <w:t>مقياس هندسة الثقة المعرفية والإدراكية:</w:t>
      </w:r>
      <w:r>
        <w:rPr>
          <w:rFonts w:ascii="Arial" w:eastAsia="Arial" w:hAnsi="Arial" w:cs="Arial"/>
          <w:rtl/>
        </w:rPr>
        <w:t xml:space="preserve"> ويضم خمس فقرات تقيس مستوى التحول في الفهم الجمالي والاقتصادي للمقتني وشعوره بالتمكين المعرفي والوعي الذاتي أمام خطابات وسياقات معارض الفنون (الرشيد، 2024).</w:t>
      </w:r>
    </w:p>
    <w:p w14:paraId="129A8417" w14:textId="77777777" w:rsidR="00B00FCA" w:rsidRDefault="00000000">
      <w:pPr>
        <w:numPr>
          <w:ilvl w:val="0"/>
          <w:numId w:val="29"/>
        </w:numPr>
        <w:bidi/>
        <w:spacing w:after="240" w:line="276" w:lineRule="auto"/>
        <w:rPr>
          <w:rFonts w:ascii="Arial" w:eastAsia="Arial" w:hAnsi="Arial" w:cs="Arial"/>
        </w:rPr>
      </w:pPr>
      <w:r>
        <w:rPr>
          <w:rFonts w:ascii="Arial" w:eastAsia="Arial" w:hAnsi="Arial" w:cs="Arial"/>
          <w:b/>
          <w:bCs/>
          <w:rtl/>
        </w:rPr>
        <w:t>مقياس خفض مستويات المخاطر المدركة:</w:t>
      </w:r>
      <w:r>
        <w:rPr>
          <w:rFonts w:ascii="Arial" w:eastAsia="Arial" w:hAnsi="Arial" w:cs="Arial"/>
          <w:rtl/>
        </w:rPr>
        <w:t xml:space="preserve"> ويضم ست فقرات تقيس حجم التراجع والانخفاض في مستويات المخاوف المالية، مثل خسارة رأس المال أو انعدام السيولة، والمخاوف النفسية والاجتماعية، مثل التزوير أو عدم القبول الجمعي، نتيجة للمدخلات الابتكارية والاتصالية الموفرة (الرشيد، 2024؛ </w:t>
      </w:r>
      <w:proofErr w:type="spellStart"/>
      <w:r>
        <w:rPr>
          <w:rFonts w:ascii="Arial" w:eastAsia="Arial" w:hAnsi="Arial" w:cs="Arial"/>
          <w:rtl/>
        </w:rPr>
        <w:t>مالهوترا</w:t>
      </w:r>
      <w:proofErr w:type="spellEnd"/>
      <w:r>
        <w:rPr>
          <w:rFonts w:ascii="Arial" w:eastAsia="Arial" w:hAnsi="Arial" w:cs="Arial"/>
          <w:rtl/>
        </w:rPr>
        <w:t>، 2020).</w:t>
      </w:r>
    </w:p>
    <w:p w14:paraId="4CCA2CDD" w14:textId="77777777" w:rsidR="00B00FCA" w:rsidRDefault="00000000">
      <w:pPr>
        <w:pStyle w:val="4"/>
        <w:keepNext w:val="0"/>
        <w:keepLines w:val="0"/>
        <w:bidi/>
        <w:spacing w:line="276" w:lineRule="auto"/>
        <w:rPr>
          <w:rFonts w:ascii="Arial" w:eastAsia="Arial" w:hAnsi="Arial" w:cs="Arial"/>
          <w:sz w:val="22"/>
          <w:szCs w:val="22"/>
        </w:rPr>
      </w:pPr>
      <w:bookmarkStart w:id="39" w:name="_2c1unajpumau" w:colFirst="0" w:colLast="0"/>
      <w:bookmarkEnd w:id="39"/>
      <w:r>
        <w:rPr>
          <w:rFonts w:ascii="Arial" w:eastAsia="Arial" w:hAnsi="Arial" w:cs="Arial"/>
          <w:sz w:val="22"/>
          <w:szCs w:val="22"/>
          <w:rtl/>
        </w:rPr>
        <w:t>المحور الخامس: المتغير التابع المعنى بالنضج الهيكلي والمؤسسي للسوق الفنية من منظور المقتني</w:t>
      </w:r>
    </w:p>
    <w:p w14:paraId="0327F135" w14:textId="77777777" w:rsidR="00B00FCA" w:rsidRDefault="00000000">
      <w:pPr>
        <w:numPr>
          <w:ilvl w:val="0"/>
          <w:numId w:val="31"/>
        </w:numPr>
        <w:bidi/>
        <w:spacing w:before="240" w:after="0" w:line="276" w:lineRule="auto"/>
        <w:rPr>
          <w:rFonts w:ascii="Arial" w:eastAsia="Arial" w:hAnsi="Arial" w:cs="Arial"/>
        </w:rPr>
      </w:pPr>
      <w:r>
        <w:rPr>
          <w:rFonts w:ascii="Arial" w:eastAsia="Arial" w:hAnsi="Arial" w:cs="Arial"/>
          <w:b/>
          <w:bCs/>
          <w:rtl/>
        </w:rPr>
        <w:t>مقياس الحوكمة والشفافية وتكافؤ الفرص:</w:t>
      </w:r>
      <w:r>
        <w:rPr>
          <w:rFonts w:ascii="Arial" w:eastAsia="Arial" w:hAnsi="Arial" w:cs="Arial"/>
          <w:rtl/>
        </w:rPr>
        <w:t xml:space="preserve"> ويضم أربع فقرات تقيس مدى مساهمة النموذج المقترح في القضاء على التكتم المعلوماتي واحتكار الوسطاء التقليديين لسوق الفنية البصرية المعاصرة (الغامدي، 2023).</w:t>
      </w:r>
    </w:p>
    <w:p w14:paraId="2E5D2658" w14:textId="77777777" w:rsidR="00B00FCA" w:rsidRDefault="00000000">
      <w:pPr>
        <w:numPr>
          <w:ilvl w:val="0"/>
          <w:numId w:val="31"/>
        </w:numPr>
        <w:bidi/>
        <w:spacing w:after="0" w:line="276" w:lineRule="auto"/>
        <w:rPr>
          <w:rFonts w:ascii="Arial" w:eastAsia="Arial" w:hAnsi="Arial" w:cs="Arial"/>
        </w:rPr>
      </w:pPr>
      <w:r>
        <w:rPr>
          <w:rFonts w:ascii="Arial" w:eastAsia="Arial" w:hAnsi="Arial" w:cs="Arial"/>
          <w:b/>
          <w:bCs/>
          <w:rtl/>
        </w:rPr>
        <w:t>مقياس تنشيط واستقرار السوق الثانوية:</w:t>
      </w:r>
      <w:r>
        <w:rPr>
          <w:rFonts w:ascii="Arial" w:eastAsia="Arial" w:hAnsi="Arial" w:cs="Arial"/>
          <w:rtl/>
        </w:rPr>
        <w:t xml:space="preserve"> ويضم أربع فقرات تقيس النظرة الحالية والمستقبلية إلى العمل الفني كأصل مادي مرن قابل لإعادة البيع والتدوير المستمر وضمان تصاعد قيمته المالية التبادلية عبر الزمن (الشمري، 2026).</w:t>
      </w:r>
    </w:p>
    <w:p w14:paraId="4694B844" w14:textId="77777777" w:rsidR="00B00FCA" w:rsidRDefault="00000000">
      <w:pPr>
        <w:numPr>
          <w:ilvl w:val="0"/>
          <w:numId w:val="31"/>
        </w:numPr>
        <w:bidi/>
        <w:spacing w:after="240" w:line="276" w:lineRule="auto"/>
        <w:rPr>
          <w:rFonts w:ascii="Arial" w:eastAsia="Arial" w:hAnsi="Arial" w:cs="Arial"/>
        </w:rPr>
      </w:pPr>
      <w:r>
        <w:rPr>
          <w:rFonts w:ascii="Arial" w:eastAsia="Arial" w:hAnsi="Arial" w:cs="Arial"/>
          <w:b/>
          <w:bCs/>
          <w:rtl/>
        </w:rPr>
        <w:t>مقياس معيارية وعقلنة أدوات التثمين والتقييم المالي:</w:t>
      </w:r>
      <w:r>
        <w:rPr>
          <w:rFonts w:ascii="Arial" w:eastAsia="Arial" w:hAnsi="Arial" w:cs="Arial"/>
          <w:rtl/>
        </w:rPr>
        <w:t xml:space="preserve"> ويضم خمس فقرات تقيس مدى القناعة والجاهزية للتحول نحو أدوات تسعير علمية وكمية صارمة تنهي العشوائية والانطباعية في تقييم الأصول الثقافية الوطنية (العتيبي، 2023).</w:t>
      </w:r>
    </w:p>
    <w:p w14:paraId="526DDF52" w14:textId="77777777" w:rsidR="00B00FCA" w:rsidRDefault="00000000">
      <w:pPr>
        <w:pStyle w:val="4"/>
        <w:keepNext w:val="0"/>
        <w:keepLines w:val="0"/>
        <w:bidi/>
        <w:spacing w:line="276" w:lineRule="auto"/>
        <w:rPr>
          <w:rFonts w:ascii="Arial" w:eastAsia="Arial" w:hAnsi="Arial" w:cs="Arial"/>
          <w:sz w:val="22"/>
          <w:szCs w:val="22"/>
        </w:rPr>
      </w:pPr>
      <w:bookmarkStart w:id="40" w:name="_r3abhz7fhmgz" w:colFirst="0" w:colLast="0"/>
      <w:bookmarkEnd w:id="40"/>
      <w:r>
        <w:rPr>
          <w:rFonts w:ascii="Arial" w:eastAsia="Arial" w:hAnsi="Arial" w:cs="Arial"/>
          <w:sz w:val="22"/>
          <w:szCs w:val="22"/>
          <w:rtl/>
        </w:rPr>
        <w:t>إجراءات الصدق والثبات للأداة الثانية (</w:t>
      </w:r>
      <w:proofErr w:type="gramStart"/>
      <w:r>
        <w:rPr>
          <w:rFonts w:ascii="Arial" w:eastAsia="Arial" w:hAnsi="Arial" w:cs="Arial"/>
          <w:sz w:val="22"/>
          <w:szCs w:val="22"/>
          <w:rtl/>
        </w:rPr>
        <w:t>الاستبيان</w:t>
      </w:r>
      <w:proofErr w:type="gramEnd"/>
      <w:r>
        <w:rPr>
          <w:rFonts w:ascii="Arial" w:eastAsia="Arial" w:hAnsi="Arial" w:cs="Arial"/>
          <w:sz w:val="22"/>
          <w:szCs w:val="22"/>
          <w:rtl/>
        </w:rPr>
        <w:t>):</w:t>
      </w:r>
    </w:p>
    <w:p w14:paraId="5C1D25BA" w14:textId="77777777" w:rsidR="00B00FCA" w:rsidRDefault="00000000">
      <w:pPr>
        <w:numPr>
          <w:ilvl w:val="0"/>
          <w:numId w:val="33"/>
        </w:numPr>
        <w:bidi/>
        <w:spacing w:before="240" w:after="0" w:line="276" w:lineRule="auto"/>
        <w:rPr>
          <w:rFonts w:ascii="Arial" w:eastAsia="Arial" w:hAnsi="Arial" w:cs="Arial"/>
        </w:rPr>
      </w:pPr>
      <w:r>
        <w:rPr>
          <w:rFonts w:ascii="Arial" w:eastAsia="Arial" w:hAnsi="Arial" w:cs="Arial"/>
          <w:b/>
          <w:bCs/>
          <w:rtl/>
        </w:rPr>
        <w:t>المرحلة الأولى وهي الصدق الظاهري وصدق المحتوى:</w:t>
      </w:r>
      <w:r>
        <w:rPr>
          <w:rFonts w:ascii="Arial" w:eastAsia="Arial" w:hAnsi="Arial" w:cs="Arial"/>
          <w:rtl/>
        </w:rPr>
        <w:t xml:space="preserve"> عَرَض الباحث فيها الأداة في صورتها الأولية على لجنة التحكيم العلمية خماسية الأعضاء المذكورة سابقاً. وجرى إجراء كافة التعديلات المقترحة لضمان دقة المصطلحات وخلوها تماماً من أي ركاكة لغوية، وضمان صياغة الفقرات بأسلوب سلس ومفهوم للمستجيبين الأفراد من غير المتخصصين في العلوم الاقتصادية الصرفة (العساف، 2022).</w:t>
      </w:r>
    </w:p>
    <w:p w14:paraId="653D41B6" w14:textId="77777777" w:rsidR="00B00FCA" w:rsidRDefault="00000000">
      <w:pPr>
        <w:numPr>
          <w:ilvl w:val="0"/>
          <w:numId w:val="33"/>
        </w:numPr>
        <w:bidi/>
        <w:spacing w:after="240" w:line="276" w:lineRule="auto"/>
        <w:rPr>
          <w:rFonts w:ascii="Arial" w:eastAsia="Arial" w:hAnsi="Arial" w:cs="Arial"/>
        </w:rPr>
      </w:pPr>
      <w:r>
        <w:rPr>
          <w:rFonts w:ascii="Arial" w:eastAsia="Arial" w:hAnsi="Arial" w:cs="Arial"/>
          <w:b/>
          <w:bCs/>
          <w:rtl/>
        </w:rPr>
        <w:t>المرحلة الثانية وهي الدراسة الاستطلاعية والصدق البنائي والثبات الإحصائي:</w:t>
      </w:r>
      <w:r>
        <w:rPr>
          <w:rFonts w:ascii="Arial" w:eastAsia="Arial" w:hAnsi="Arial" w:cs="Arial"/>
          <w:rtl/>
        </w:rPr>
        <w:t xml:space="preserve"> طَبّق الباحث </w:t>
      </w:r>
      <w:proofErr w:type="gramStart"/>
      <w:r>
        <w:rPr>
          <w:rFonts w:ascii="Arial" w:eastAsia="Arial" w:hAnsi="Arial" w:cs="Arial"/>
          <w:rtl/>
        </w:rPr>
        <w:t>الاستبيان</w:t>
      </w:r>
      <w:proofErr w:type="gramEnd"/>
      <w:r>
        <w:rPr>
          <w:rFonts w:ascii="Arial" w:eastAsia="Arial" w:hAnsi="Arial" w:cs="Arial"/>
          <w:rtl/>
        </w:rPr>
        <w:t xml:space="preserve"> في خطوة تمهيدية على عينة استطلاعية مصغرة بلغت أربعين مقتنياً رقمياً من خارج عينة الدراسة الأساسية (</w:t>
      </w:r>
      <w:proofErr w:type="spellStart"/>
      <w:r>
        <w:rPr>
          <w:rFonts w:ascii="Arial" w:eastAsia="Arial" w:hAnsi="Arial" w:cs="Arial"/>
          <w:rtl/>
        </w:rPr>
        <w:t>مالهوترا</w:t>
      </w:r>
      <w:proofErr w:type="spellEnd"/>
      <w:r>
        <w:rPr>
          <w:rFonts w:ascii="Arial" w:eastAsia="Arial" w:hAnsi="Arial" w:cs="Arial"/>
          <w:rtl/>
        </w:rPr>
        <w:t xml:space="preserve">، 2020). واستخدم الباحث بيانات هذه العينة لإجراء اختبارين إحصائيين جوهريين: الأول هو الاتساق الداخلي والصدق البنائي من خلال حساب معامل ارتباط بيرسون بين درجة كل فقرة والدرجة الكلية للمحور الذي تنتمي إليه، وجاءت جميع قيم معاملات الارتباط دالة إحصائياً، مما يؤكد التلاحم البنائي للأداة وتماسك فقراتها (فيلد، 2018). كما أجرى الباحث التحليل العاملي الاستكشافي للتأكد </w:t>
      </w:r>
      <w:r>
        <w:rPr>
          <w:rFonts w:ascii="Arial" w:eastAsia="Arial" w:hAnsi="Arial" w:cs="Arial"/>
          <w:rtl/>
        </w:rPr>
        <w:lastRenderedPageBreak/>
        <w:t xml:space="preserve">من أن الفقرات تشحن بدقة على أبعادها النظرية المحددة دون تداخل. والاختبار الثاني هو الثبات الإحصائي عبر حساب معامل ألفا </w:t>
      </w:r>
      <w:proofErr w:type="spellStart"/>
      <w:r>
        <w:rPr>
          <w:rFonts w:ascii="Arial" w:eastAsia="Arial" w:hAnsi="Arial" w:cs="Arial"/>
          <w:rtl/>
        </w:rPr>
        <w:t>كرونباخ</w:t>
      </w:r>
      <w:proofErr w:type="spellEnd"/>
      <w:r>
        <w:rPr>
          <w:rFonts w:ascii="Arial" w:eastAsia="Arial" w:hAnsi="Arial" w:cs="Arial"/>
          <w:rtl/>
        </w:rPr>
        <w:t xml:space="preserve"> لقياس الاتساق الداخلي للاستبيان ككل ولكل محور بشكل مستقل؛ حيث سجلت المقاييس الفرعية معاملات ثبات ممتازة تراوحت بين أربعة وثمانين بالمئة كحد أدنى وثلاثة وتسعين بالمئة كحد أقصى، في حين بلغ معامل ألفا </w:t>
      </w:r>
      <w:proofErr w:type="spellStart"/>
      <w:r>
        <w:rPr>
          <w:rFonts w:ascii="Arial" w:eastAsia="Arial" w:hAnsi="Arial" w:cs="Arial"/>
          <w:rtl/>
        </w:rPr>
        <w:t>كرونباخ</w:t>
      </w:r>
      <w:proofErr w:type="spellEnd"/>
      <w:r>
        <w:rPr>
          <w:rFonts w:ascii="Arial" w:eastAsia="Arial" w:hAnsi="Arial" w:cs="Arial"/>
          <w:rtl/>
        </w:rPr>
        <w:t xml:space="preserve"> الإجمالي للاستبيان ككل واحد وتسعين بالمئة، وهي قيم تتجاوز بكثير الحد الأدنى المقبول في البحوث الاجتماعية والاقتصادية، مما يثبت استقرار الأداة وصلاحيتها التامة للتطبيق الميداني الواسع (</w:t>
      </w:r>
      <w:proofErr w:type="spellStart"/>
      <w:r>
        <w:rPr>
          <w:rFonts w:ascii="Arial" w:eastAsia="Arial" w:hAnsi="Arial" w:cs="Arial"/>
          <w:rtl/>
        </w:rPr>
        <w:t>برايمان</w:t>
      </w:r>
      <w:proofErr w:type="spellEnd"/>
      <w:r>
        <w:rPr>
          <w:rFonts w:ascii="Arial" w:eastAsia="Arial" w:hAnsi="Arial" w:cs="Arial"/>
          <w:rtl/>
        </w:rPr>
        <w:t>، 2016؛ فيلد، 2018).</w:t>
      </w:r>
    </w:p>
    <w:p w14:paraId="7A0EC798" w14:textId="77777777" w:rsidR="00B00FCA" w:rsidRDefault="00000000">
      <w:pPr>
        <w:pStyle w:val="3"/>
        <w:keepNext w:val="0"/>
        <w:keepLines w:val="0"/>
        <w:bidi/>
        <w:spacing w:line="276" w:lineRule="auto"/>
        <w:rPr>
          <w:rFonts w:ascii="Arial" w:eastAsia="Arial" w:hAnsi="Arial" w:cs="Arial"/>
          <w:sz w:val="26"/>
          <w:szCs w:val="26"/>
        </w:rPr>
      </w:pPr>
      <w:bookmarkStart w:id="41" w:name="_e9pb1x3tyde6" w:colFirst="0" w:colLast="0"/>
      <w:bookmarkEnd w:id="41"/>
      <w:r>
        <w:rPr>
          <w:rFonts w:ascii="Arial" w:eastAsia="Arial" w:hAnsi="Arial" w:cs="Arial"/>
          <w:sz w:val="26"/>
          <w:szCs w:val="26"/>
          <w:rtl/>
        </w:rPr>
        <w:t>الأداة الثالثة: دليل المقابلات المعمقة مع النخبة وصناع القرار</w:t>
      </w:r>
    </w:p>
    <w:p w14:paraId="240C0250" w14:textId="77777777" w:rsidR="00B00FCA" w:rsidRDefault="00000000">
      <w:pPr>
        <w:bidi/>
        <w:spacing w:before="240" w:after="240" w:line="276" w:lineRule="auto"/>
        <w:rPr>
          <w:rFonts w:ascii="Arial" w:eastAsia="Arial" w:hAnsi="Arial" w:cs="Arial"/>
        </w:rPr>
      </w:pPr>
      <w:r>
        <w:rPr>
          <w:rFonts w:ascii="Arial" w:eastAsia="Arial" w:hAnsi="Arial" w:cs="Arial"/>
          <w:rtl/>
        </w:rPr>
        <w:t>بُني دليل المقابلة المعمقة كأداة كيفية رفيعة المستوى لتعميق الفهم وسبر أغوار الأبعاد والآليات التشريعية والمؤسسية المعقدة الحاكمة لعمليات إعادة هندسة السوق والنضج الهيكلي والمؤسسي، والتي قد لا تظهرها المعادلات الكمية وحدها (</w:t>
      </w:r>
      <w:proofErr w:type="spellStart"/>
      <w:r>
        <w:rPr>
          <w:rFonts w:ascii="Arial" w:eastAsia="Arial" w:hAnsi="Arial" w:cs="Arial"/>
          <w:rtl/>
        </w:rPr>
        <w:t>كريسويل</w:t>
      </w:r>
      <w:proofErr w:type="spellEnd"/>
      <w:r>
        <w:rPr>
          <w:rFonts w:ascii="Arial" w:eastAsia="Arial" w:hAnsi="Arial" w:cs="Arial"/>
          <w:rtl/>
        </w:rPr>
        <w:t xml:space="preserve"> </w:t>
      </w:r>
      <w:proofErr w:type="spellStart"/>
      <w:r>
        <w:rPr>
          <w:rFonts w:ascii="Arial" w:eastAsia="Arial" w:hAnsi="Arial" w:cs="Arial"/>
          <w:rtl/>
        </w:rPr>
        <w:t>وكريسويل</w:t>
      </w:r>
      <w:proofErr w:type="spellEnd"/>
      <w:r>
        <w:rPr>
          <w:rFonts w:ascii="Arial" w:eastAsia="Arial" w:hAnsi="Arial" w:cs="Arial"/>
          <w:rtl/>
        </w:rPr>
        <w:t xml:space="preserve">، 2018؛ </w:t>
      </w:r>
      <w:proofErr w:type="spellStart"/>
      <w:r>
        <w:rPr>
          <w:rFonts w:ascii="Arial" w:eastAsia="Arial" w:hAnsi="Arial" w:cs="Arial"/>
          <w:rtl/>
        </w:rPr>
        <w:t>سوندرز</w:t>
      </w:r>
      <w:proofErr w:type="spellEnd"/>
      <w:r>
        <w:rPr>
          <w:rFonts w:ascii="Arial" w:eastAsia="Arial" w:hAnsi="Arial" w:cs="Arial"/>
          <w:rtl/>
        </w:rPr>
        <w:t xml:space="preserve"> وآخرون، 2019). وصيغ الدليل بأسلوب الأسئلة المفتوحة المرنة وشبه المقننة للسماح بتدفق الأفكار والتفاعل الحر مع الخبراء. وتمحور الدليل حول أربعة فضاءات نقاشية وبحثية كبرى:</w:t>
      </w:r>
    </w:p>
    <w:p w14:paraId="7BC186B5" w14:textId="77777777" w:rsidR="00B00FCA" w:rsidRDefault="00000000">
      <w:pPr>
        <w:numPr>
          <w:ilvl w:val="0"/>
          <w:numId w:val="10"/>
        </w:numPr>
        <w:bidi/>
        <w:spacing w:before="240" w:after="0" w:line="276" w:lineRule="auto"/>
        <w:rPr>
          <w:rFonts w:ascii="Arial" w:eastAsia="Arial" w:hAnsi="Arial" w:cs="Arial"/>
        </w:rPr>
      </w:pPr>
      <w:r>
        <w:rPr>
          <w:rFonts w:ascii="Arial" w:eastAsia="Arial" w:hAnsi="Arial" w:cs="Arial"/>
          <w:b/>
          <w:bCs/>
          <w:rtl/>
        </w:rPr>
        <w:t>الفضاء الأول وهو التشخيص الهيكلي للواقع الحالي:</w:t>
      </w:r>
      <w:r>
        <w:rPr>
          <w:rFonts w:ascii="Arial" w:eastAsia="Arial" w:hAnsi="Arial" w:cs="Arial"/>
          <w:rtl/>
        </w:rPr>
        <w:t xml:space="preserve"> ويناقش تقييم النخبة لطبيعة الممارسات التشغيلية الحالية لمعارض الفنون وصالات العرض، ومواطن الخلل والتشوهات البنيوية المزمنة في آليات التسعير والتداول، ومدى تأثير غياب الحوكمة الواضحة على هروب أو تردد رؤوس الأموال الاستثمارية الوطنية والأجنبية (الغامدي، 2023).</w:t>
      </w:r>
    </w:p>
    <w:p w14:paraId="4A59D12E" w14:textId="77777777" w:rsidR="00B00FCA" w:rsidRDefault="00000000">
      <w:pPr>
        <w:numPr>
          <w:ilvl w:val="0"/>
          <w:numId w:val="10"/>
        </w:numPr>
        <w:bidi/>
        <w:spacing w:after="0" w:line="276" w:lineRule="auto"/>
        <w:rPr>
          <w:rFonts w:ascii="Arial" w:eastAsia="Arial" w:hAnsi="Arial" w:cs="Arial"/>
        </w:rPr>
      </w:pPr>
      <w:r>
        <w:rPr>
          <w:rFonts w:ascii="Arial" w:eastAsia="Arial" w:hAnsi="Arial" w:cs="Arial"/>
          <w:b/>
          <w:bCs/>
          <w:rtl/>
        </w:rPr>
        <w:t>الفضاء الثاني وهو استشراف الحزمة الابتكارية والتقنية:</w:t>
      </w:r>
      <w:r>
        <w:rPr>
          <w:rFonts w:ascii="Arial" w:eastAsia="Arial" w:hAnsi="Arial" w:cs="Arial"/>
          <w:rtl/>
        </w:rPr>
        <w:t xml:space="preserve"> ويبحث المقومات والإمكانيات القانونية والإجرائية المتاحة حالياً في البيئة السعودية لتبني تطبيقات الثورة الصناعية الرابعة </w:t>
      </w:r>
      <w:proofErr w:type="spellStart"/>
      <w:r>
        <w:rPr>
          <w:rFonts w:ascii="Arial" w:eastAsia="Arial" w:hAnsi="Arial" w:cs="Arial"/>
          <w:rtl/>
        </w:rPr>
        <w:t>كالبلوكشين</w:t>
      </w:r>
      <w:proofErr w:type="spellEnd"/>
      <w:r>
        <w:rPr>
          <w:rFonts w:ascii="Arial" w:eastAsia="Arial" w:hAnsi="Arial" w:cs="Arial"/>
          <w:rtl/>
        </w:rPr>
        <w:t xml:space="preserve"> في توثيق الأصول الثقافية، والمعوقات التشريعية والمصرفية التي قد تواجه عمليات توريق الفن والملكية التشاركية المجزأة وصناديق الاستثمار المشترك (الشريف، 2025؛ توز، 2020).</w:t>
      </w:r>
    </w:p>
    <w:p w14:paraId="72BA9C1D" w14:textId="77777777" w:rsidR="00B00FCA" w:rsidRDefault="00000000">
      <w:pPr>
        <w:numPr>
          <w:ilvl w:val="0"/>
          <w:numId w:val="10"/>
        </w:numPr>
        <w:bidi/>
        <w:spacing w:after="0" w:line="276" w:lineRule="auto"/>
        <w:rPr>
          <w:rFonts w:ascii="Arial" w:eastAsia="Arial" w:hAnsi="Arial" w:cs="Arial"/>
        </w:rPr>
      </w:pPr>
      <w:r>
        <w:rPr>
          <w:rFonts w:ascii="Arial" w:eastAsia="Arial" w:hAnsi="Arial" w:cs="Arial"/>
          <w:b/>
          <w:bCs/>
          <w:rtl/>
        </w:rPr>
        <w:t>الفضاء الثالث وهو هندسة الثقة وإدارة المخاطر:</w:t>
      </w:r>
      <w:r>
        <w:rPr>
          <w:rFonts w:ascii="Arial" w:eastAsia="Arial" w:hAnsi="Arial" w:cs="Arial"/>
          <w:rtl/>
        </w:rPr>
        <w:t xml:space="preserve"> ويستقصي رؤية صناع القرار والنخبة النقدية والمالية حول كيفية بناء وتصميم استراتيجيات اتصال مؤسسية قادرة على رفع الكفاءة المعرفية للمجتمع، وخفض مستويات المخاطر المدركة لجيل المستثمرين الشباب، وتحويل النظرة للفن من استهلاك نخبوي إلى استثمار استراتيجي داعم للاقتصاد الوطني (الرشيد، 2024؛ الحميد، 2024).</w:t>
      </w:r>
    </w:p>
    <w:p w14:paraId="7C03EC88" w14:textId="77777777" w:rsidR="00B00FCA" w:rsidRDefault="00000000">
      <w:pPr>
        <w:numPr>
          <w:ilvl w:val="0"/>
          <w:numId w:val="10"/>
        </w:numPr>
        <w:bidi/>
        <w:spacing w:after="240" w:line="276" w:lineRule="auto"/>
        <w:rPr>
          <w:rFonts w:ascii="Arial" w:eastAsia="Arial" w:hAnsi="Arial" w:cs="Arial"/>
        </w:rPr>
      </w:pPr>
      <w:r>
        <w:rPr>
          <w:rFonts w:ascii="Arial" w:eastAsia="Arial" w:hAnsi="Arial" w:cs="Arial"/>
          <w:b/>
          <w:bCs/>
          <w:rtl/>
        </w:rPr>
        <w:t>الفضاء الرابع وهو خارطة الطريق التشريعية والمؤسسية:</w:t>
      </w:r>
      <w:r>
        <w:rPr>
          <w:rFonts w:ascii="Arial" w:eastAsia="Arial" w:hAnsi="Arial" w:cs="Arial"/>
          <w:rtl/>
        </w:rPr>
        <w:t xml:space="preserve"> ويركز على صياغة الرؤى الاستشرافية حول المتطلبات التنفيذية لتدشين الدليل الوطني الموحد لمعايير التثمين الفني، والآليات الهيكلية لإنشاء وتنشيط السوق الثانوية ودور المزادات الوطنية المستقلة، والأدوار الحيوية المنوطة بالهيئة التشريعية العليا المقترحة ومراكز التحكيم المستقلة لفض النزاعات، لضمان مأسسة القطاع ووصوله لطور النضج الهيكلي والمؤسسي المستدام (الشمري، 2026).</w:t>
      </w:r>
    </w:p>
    <w:p w14:paraId="3D96221B" w14:textId="77777777" w:rsidR="00B00FCA" w:rsidRDefault="00000000">
      <w:pPr>
        <w:pStyle w:val="4"/>
        <w:keepNext w:val="0"/>
        <w:keepLines w:val="0"/>
        <w:bidi/>
        <w:spacing w:line="276" w:lineRule="auto"/>
        <w:rPr>
          <w:rFonts w:ascii="Arial" w:eastAsia="Arial" w:hAnsi="Arial" w:cs="Arial"/>
          <w:sz w:val="22"/>
          <w:szCs w:val="22"/>
        </w:rPr>
      </w:pPr>
      <w:bookmarkStart w:id="42" w:name="_2w6h7y1zy74z" w:colFirst="0" w:colLast="0"/>
      <w:bookmarkEnd w:id="42"/>
      <w:r>
        <w:rPr>
          <w:rFonts w:ascii="Arial" w:eastAsia="Arial" w:hAnsi="Arial" w:cs="Arial"/>
          <w:sz w:val="22"/>
          <w:szCs w:val="22"/>
          <w:rtl/>
        </w:rPr>
        <w:t>إجراءات الصدق والتحقق العلمي لدليل المقابلات المعمقة:</w:t>
      </w:r>
    </w:p>
    <w:p w14:paraId="43A733A9" w14:textId="77777777" w:rsidR="00B00FCA" w:rsidRDefault="00000000">
      <w:pPr>
        <w:numPr>
          <w:ilvl w:val="0"/>
          <w:numId w:val="30"/>
        </w:numPr>
        <w:bidi/>
        <w:spacing w:before="240" w:after="0" w:line="276" w:lineRule="auto"/>
        <w:rPr>
          <w:rFonts w:ascii="Arial" w:eastAsia="Arial" w:hAnsi="Arial" w:cs="Arial"/>
        </w:rPr>
      </w:pPr>
      <w:r>
        <w:rPr>
          <w:rFonts w:ascii="Arial" w:eastAsia="Arial" w:hAnsi="Arial" w:cs="Arial"/>
          <w:b/>
          <w:bCs/>
          <w:rtl/>
        </w:rPr>
        <w:t>تحقيق الصدق والموثوقية الكيفية:</w:t>
      </w:r>
      <w:r>
        <w:rPr>
          <w:rFonts w:ascii="Arial" w:eastAsia="Arial" w:hAnsi="Arial" w:cs="Arial"/>
          <w:rtl/>
        </w:rPr>
        <w:t xml:space="preserve"> عَرَض الباحث دليل المقابلة على ثلاثة من الخبراء الأكاديميين المتخصصين في المناهج الكيفية وعلم الاجتماع الاقتصادي لمراجعة شمولية الأسئلة وعدم </w:t>
      </w:r>
      <w:proofErr w:type="spellStart"/>
      <w:r>
        <w:rPr>
          <w:rFonts w:ascii="Arial" w:eastAsia="Arial" w:hAnsi="Arial" w:cs="Arial"/>
          <w:rtl/>
        </w:rPr>
        <w:t>توجيهيتها</w:t>
      </w:r>
      <w:proofErr w:type="spellEnd"/>
      <w:r>
        <w:rPr>
          <w:rFonts w:ascii="Arial" w:eastAsia="Arial" w:hAnsi="Arial" w:cs="Arial"/>
          <w:rtl/>
        </w:rPr>
        <w:t xml:space="preserve"> للمبحوثين، وضمان تغطيتها الكاملة لأبعاد المتغير التابع للدراسة (</w:t>
      </w:r>
      <w:proofErr w:type="spellStart"/>
      <w:r>
        <w:rPr>
          <w:rFonts w:ascii="Arial" w:eastAsia="Arial" w:hAnsi="Arial" w:cs="Arial"/>
          <w:rtl/>
        </w:rPr>
        <w:t>كريسويل</w:t>
      </w:r>
      <w:proofErr w:type="spellEnd"/>
      <w:r>
        <w:rPr>
          <w:rFonts w:ascii="Arial" w:eastAsia="Arial" w:hAnsi="Arial" w:cs="Arial"/>
          <w:rtl/>
        </w:rPr>
        <w:t xml:space="preserve"> </w:t>
      </w:r>
      <w:proofErr w:type="spellStart"/>
      <w:r>
        <w:rPr>
          <w:rFonts w:ascii="Arial" w:eastAsia="Arial" w:hAnsi="Arial" w:cs="Arial"/>
          <w:rtl/>
        </w:rPr>
        <w:t>وكريسويل</w:t>
      </w:r>
      <w:proofErr w:type="spellEnd"/>
      <w:r>
        <w:rPr>
          <w:rFonts w:ascii="Arial" w:eastAsia="Arial" w:hAnsi="Arial" w:cs="Arial"/>
          <w:rtl/>
        </w:rPr>
        <w:t>، 2018).</w:t>
      </w:r>
    </w:p>
    <w:p w14:paraId="0075A9AC" w14:textId="77777777" w:rsidR="00B00FCA" w:rsidRDefault="00000000">
      <w:pPr>
        <w:numPr>
          <w:ilvl w:val="0"/>
          <w:numId w:val="30"/>
        </w:numPr>
        <w:bidi/>
        <w:spacing w:after="240" w:line="276" w:lineRule="auto"/>
        <w:rPr>
          <w:rFonts w:ascii="Arial" w:eastAsia="Arial" w:hAnsi="Arial" w:cs="Arial"/>
        </w:rPr>
      </w:pPr>
      <w:r>
        <w:rPr>
          <w:rFonts w:ascii="Arial" w:eastAsia="Arial" w:hAnsi="Arial" w:cs="Arial"/>
          <w:b/>
          <w:bCs/>
          <w:rtl/>
        </w:rPr>
        <w:t>المقابلة التجريبية الاستطلاعية:</w:t>
      </w:r>
      <w:r>
        <w:rPr>
          <w:rFonts w:ascii="Arial" w:eastAsia="Arial" w:hAnsi="Arial" w:cs="Arial"/>
          <w:rtl/>
        </w:rPr>
        <w:t xml:space="preserve"> كما أجرى الباحث مقابلة تجريبية استطلاعية مع خبير فني مستقل لم يتضمنه القوام النهائي لعينة الدراسة، وذلك لاختبار المدى الزمني المستغرق للمقابلة، والتأكد من عدم وجود غموض في الصياغات الاستكشافية، ومرونة الانتقال بين المحاور النقاشية المختلفة (</w:t>
      </w:r>
      <w:proofErr w:type="spellStart"/>
      <w:r>
        <w:rPr>
          <w:rFonts w:ascii="Arial" w:eastAsia="Arial" w:hAnsi="Arial" w:cs="Arial"/>
          <w:rtl/>
        </w:rPr>
        <w:t>سوندرز</w:t>
      </w:r>
      <w:proofErr w:type="spellEnd"/>
      <w:r>
        <w:rPr>
          <w:rFonts w:ascii="Arial" w:eastAsia="Arial" w:hAnsi="Arial" w:cs="Arial"/>
          <w:rtl/>
        </w:rPr>
        <w:t xml:space="preserve"> وآخرون، 2019). وبناءً على نتائج هذه المقابلة التجريبية، عَدّل الباحث تسلسل الأسئلة لتبدأ من الأسئلة التشخيصية العامة وتتدرج انسيابيّاً نحو الحلول والتشريعات الاستشرافية المتقدمة.</w:t>
      </w:r>
    </w:p>
    <w:p w14:paraId="3CFAE5B4" w14:textId="77777777" w:rsidR="00B00FCA" w:rsidRDefault="00000000">
      <w:pPr>
        <w:pStyle w:val="3"/>
        <w:keepNext w:val="0"/>
        <w:keepLines w:val="0"/>
        <w:bidi/>
        <w:spacing w:line="276" w:lineRule="auto"/>
        <w:rPr>
          <w:rFonts w:ascii="Arial" w:eastAsia="Arial" w:hAnsi="Arial" w:cs="Arial"/>
          <w:sz w:val="26"/>
          <w:szCs w:val="26"/>
        </w:rPr>
      </w:pPr>
      <w:bookmarkStart w:id="43" w:name="_k1a3tzngc3rz" w:colFirst="0" w:colLast="0"/>
      <w:bookmarkEnd w:id="43"/>
      <w:r>
        <w:rPr>
          <w:rFonts w:ascii="Arial" w:eastAsia="Arial" w:hAnsi="Arial" w:cs="Arial"/>
          <w:sz w:val="26"/>
          <w:szCs w:val="26"/>
          <w:rtl/>
        </w:rPr>
        <w:t>خامساً: المعالجات الإحصائية والتحليلية للبيانات</w:t>
      </w:r>
    </w:p>
    <w:p w14:paraId="004B0968" w14:textId="77777777" w:rsidR="00B00FCA" w:rsidRDefault="00000000">
      <w:pPr>
        <w:pStyle w:val="4"/>
        <w:keepNext w:val="0"/>
        <w:keepLines w:val="0"/>
        <w:bidi/>
        <w:spacing w:line="276" w:lineRule="auto"/>
        <w:rPr>
          <w:rFonts w:ascii="Arial" w:eastAsia="Arial" w:hAnsi="Arial" w:cs="Arial"/>
          <w:sz w:val="22"/>
          <w:szCs w:val="22"/>
        </w:rPr>
      </w:pPr>
      <w:bookmarkStart w:id="44" w:name="_eu33w05ps8ie" w:colFirst="0" w:colLast="0"/>
      <w:bookmarkEnd w:id="44"/>
      <w:r>
        <w:rPr>
          <w:rFonts w:ascii="Arial" w:eastAsia="Arial" w:hAnsi="Arial" w:cs="Arial"/>
          <w:sz w:val="22"/>
          <w:szCs w:val="22"/>
          <w:rtl/>
        </w:rPr>
        <w:t>1. تحليل بيانات استمارة تحليل المضمون الرقمي</w:t>
      </w:r>
    </w:p>
    <w:p w14:paraId="59B47FA5" w14:textId="77777777" w:rsidR="00B00FCA" w:rsidRDefault="00000000">
      <w:pPr>
        <w:bidi/>
        <w:spacing w:before="240" w:after="240" w:line="276" w:lineRule="auto"/>
        <w:rPr>
          <w:rFonts w:ascii="Arial" w:eastAsia="Arial" w:hAnsi="Arial" w:cs="Arial"/>
        </w:rPr>
      </w:pPr>
      <w:r>
        <w:rPr>
          <w:rFonts w:ascii="Arial" w:eastAsia="Arial" w:hAnsi="Arial" w:cs="Arial"/>
          <w:rtl/>
        </w:rPr>
        <w:t xml:space="preserve">تم استخدام الإحصاء الوصفي البسيط والمركب لاستخراج التكرارات والنسب المئوية والرتب الصاعدة والهابطة لفئات المضمون والشكل، بالتكامل مع تطبيق اختبار </w:t>
      </w:r>
      <w:proofErr w:type="spellStart"/>
      <w:r>
        <w:rPr>
          <w:rFonts w:ascii="Arial" w:eastAsia="Arial" w:hAnsi="Arial" w:cs="Arial"/>
          <w:rtl/>
        </w:rPr>
        <w:t>كا</w:t>
      </w:r>
      <w:proofErr w:type="spellEnd"/>
      <w:r>
        <w:rPr>
          <w:rFonts w:ascii="Arial" w:eastAsia="Arial" w:hAnsi="Arial" w:cs="Arial"/>
          <w:rtl/>
        </w:rPr>
        <w:t xml:space="preserve"> تربيع لحساب الفروق ذات الدلالة الإحصائية بين الاتجاهات الخطابية لمعارض الفنون وصالات </w:t>
      </w:r>
      <w:r>
        <w:rPr>
          <w:rFonts w:ascii="Arial" w:eastAsia="Arial" w:hAnsi="Arial" w:cs="Arial"/>
          <w:rtl/>
        </w:rPr>
        <w:lastRenderedPageBreak/>
        <w:t>العرض الخاصة عينة الدراسة، ومعرفة مدى التغير والتحول في طبيعة الرسائل والوسائل الاتصالية المتبناة عبر منصاتها الرقمية المتنوعة.</w:t>
      </w:r>
    </w:p>
    <w:p w14:paraId="7C91C4DD" w14:textId="77777777" w:rsidR="00B00FCA" w:rsidRDefault="00000000">
      <w:pPr>
        <w:pStyle w:val="4"/>
        <w:keepNext w:val="0"/>
        <w:keepLines w:val="0"/>
        <w:bidi/>
        <w:spacing w:line="276" w:lineRule="auto"/>
        <w:rPr>
          <w:rFonts w:ascii="Arial" w:eastAsia="Arial" w:hAnsi="Arial" w:cs="Arial"/>
          <w:sz w:val="22"/>
          <w:szCs w:val="22"/>
        </w:rPr>
      </w:pPr>
      <w:bookmarkStart w:id="45" w:name="_midrrx849tnn" w:colFirst="0" w:colLast="0"/>
      <w:bookmarkEnd w:id="45"/>
      <w:r>
        <w:rPr>
          <w:rFonts w:ascii="Arial" w:eastAsia="Arial" w:hAnsi="Arial" w:cs="Arial"/>
          <w:sz w:val="22"/>
          <w:szCs w:val="22"/>
          <w:rtl/>
        </w:rPr>
        <w:t xml:space="preserve">2. تحليل بيانات </w:t>
      </w:r>
      <w:proofErr w:type="gramStart"/>
      <w:r>
        <w:rPr>
          <w:rFonts w:ascii="Arial" w:eastAsia="Arial" w:hAnsi="Arial" w:cs="Arial"/>
          <w:sz w:val="22"/>
          <w:szCs w:val="22"/>
          <w:rtl/>
        </w:rPr>
        <w:t>استبيان</w:t>
      </w:r>
      <w:proofErr w:type="gramEnd"/>
      <w:r>
        <w:rPr>
          <w:rFonts w:ascii="Arial" w:eastAsia="Arial" w:hAnsi="Arial" w:cs="Arial"/>
          <w:sz w:val="22"/>
          <w:szCs w:val="22"/>
          <w:rtl/>
        </w:rPr>
        <w:t xml:space="preserve"> المقتني واختبار النموذج السببي</w:t>
      </w:r>
    </w:p>
    <w:p w14:paraId="7F3A5E66" w14:textId="77777777" w:rsidR="00B00FCA" w:rsidRDefault="00000000">
      <w:pPr>
        <w:bidi/>
        <w:spacing w:before="240" w:after="240" w:line="276" w:lineRule="auto"/>
        <w:rPr>
          <w:rFonts w:ascii="Arial" w:eastAsia="Arial" w:hAnsi="Arial" w:cs="Arial"/>
        </w:rPr>
      </w:pPr>
      <w:r>
        <w:rPr>
          <w:rFonts w:ascii="Arial" w:eastAsia="Arial" w:hAnsi="Arial" w:cs="Arial"/>
          <w:rtl/>
        </w:rPr>
        <w:t>تم تبني إستراتيجية تحليلية متطورة تمر بمرحلتين حاسمتين:</w:t>
      </w:r>
    </w:p>
    <w:p w14:paraId="7D446284" w14:textId="77777777" w:rsidR="00B00FCA" w:rsidRDefault="00000000">
      <w:pPr>
        <w:numPr>
          <w:ilvl w:val="0"/>
          <w:numId w:val="27"/>
        </w:numPr>
        <w:bidi/>
        <w:spacing w:before="240" w:after="0" w:line="276" w:lineRule="auto"/>
        <w:rPr>
          <w:rFonts w:ascii="Arial" w:eastAsia="Arial" w:hAnsi="Arial" w:cs="Arial"/>
        </w:rPr>
      </w:pPr>
      <w:r>
        <w:rPr>
          <w:rFonts w:ascii="Arial" w:eastAsia="Arial" w:hAnsi="Arial" w:cs="Arial"/>
          <w:b/>
          <w:bCs/>
          <w:rtl/>
        </w:rPr>
        <w:t>المرحلة الأولى وهي الإحصاء الوصفي والاستكشافي:</w:t>
      </w:r>
      <w:r>
        <w:rPr>
          <w:rFonts w:ascii="Arial" w:eastAsia="Arial" w:hAnsi="Arial" w:cs="Arial"/>
          <w:rtl/>
        </w:rPr>
        <w:t xml:space="preserve"> حساب المتوسطات الحسابية الموزونة والانحرافات المعيارية لتحديد مستويات استجابة العينة لكل محور وفقراته، واختبار التوزيع الطبيعي للبيانات عبر معاملات الالتواء والتفلطح لضمان صلاحية البيانات للاختبارات الإحصائية </w:t>
      </w:r>
      <w:proofErr w:type="spellStart"/>
      <w:r>
        <w:rPr>
          <w:rFonts w:ascii="Arial" w:eastAsia="Arial" w:hAnsi="Arial" w:cs="Arial"/>
          <w:rtl/>
        </w:rPr>
        <w:t>المعلمية</w:t>
      </w:r>
      <w:proofErr w:type="spellEnd"/>
      <w:r>
        <w:rPr>
          <w:rFonts w:ascii="Arial" w:eastAsia="Arial" w:hAnsi="Arial" w:cs="Arial"/>
          <w:rtl/>
        </w:rPr>
        <w:t>.</w:t>
      </w:r>
    </w:p>
    <w:p w14:paraId="43845EB5" w14:textId="77777777" w:rsidR="00B00FCA" w:rsidRDefault="00000000">
      <w:pPr>
        <w:numPr>
          <w:ilvl w:val="0"/>
          <w:numId w:val="27"/>
        </w:numPr>
        <w:bidi/>
        <w:spacing w:after="0" w:line="276" w:lineRule="auto"/>
        <w:rPr>
          <w:rFonts w:ascii="Arial" w:eastAsia="Arial" w:hAnsi="Arial" w:cs="Arial"/>
        </w:rPr>
      </w:pPr>
      <w:r>
        <w:rPr>
          <w:rFonts w:ascii="Arial" w:eastAsia="Arial" w:hAnsi="Arial" w:cs="Arial"/>
          <w:b/>
          <w:bCs/>
          <w:rtl/>
        </w:rPr>
        <w:t>المرحلة الثانية وهي الإحصاء الاستدلالي المتقدم والنمذجة الهيكلية:</w:t>
      </w:r>
      <w:r>
        <w:rPr>
          <w:rFonts w:ascii="Arial" w:eastAsia="Arial" w:hAnsi="Arial" w:cs="Arial"/>
          <w:rtl/>
        </w:rPr>
        <w:t xml:space="preserve"> تم استخدام نمذجة المعادلات الهيكلية بطريقة المربعات الصغرى الجزئية لاختبار العلاقات السببية والارتباطية المعقدة في النموذج المفاهيمي المقترح. وتتضمن هذه المعالجة المتقدمة خطوتين:</w:t>
      </w:r>
    </w:p>
    <w:p w14:paraId="4832303A" w14:textId="77777777" w:rsidR="00B00FCA" w:rsidRDefault="00000000">
      <w:pPr>
        <w:numPr>
          <w:ilvl w:val="1"/>
          <w:numId w:val="27"/>
        </w:numPr>
        <w:bidi/>
        <w:spacing w:after="0" w:line="276" w:lineRule="auto"/>
        <w:rPr>
          <w:rFonts w:ascii="Arial" w:eastAsia="Arial" w:hAnsi="Arial" w:cs="Arial"/>
        </w:rPr>
      </w:pPr>
      <w:r>
        <w:rPr>
          <w:rFonts w:ascii="Arial" w:eastAsia="Arial" w:hAnsi="Arial" w:cs="Arial"/>
          <w:b/>
          <w:bCs/>
          <w:rtl/>
        </w:rPr>
        <w:t>تقييم نموذج القياس:</w:t>
      </w:r>
      <w:r>
        <w:rPr>
          <w:rFonts w:ascii="Arial" w:eastAsia="Arial" w:hAnsi="Arial" w:cs="Arial"/>
          <w:rtl/>
        </w:rPr>
        <w:t xml:space="preserve"> للتأكد من الصدق </w:t>
      </w:r>
      <w:proofErr w:type="spellStart"/>
      <w:r>
        <w:rPr>
          <w:rFonts w:ascii="Arial" w:eastAsia="Arial" w:hAnsi="Arial" w:cs="Arial"/>
          <w:rtl/>
        </w:rPr>
        <w:t>التقاربي</w:t>
      </w:r>
      <w:proofErr w:type="spellEnd"/>
      <w:r>
        <w:rPr>
          <w:rFonts w:ascii="Arial" w:eastAsia="Arial" w:hAnsi="Arial" w:cs="Arial"/>
          <w:rtl/>
        </w:rPr>
        <w:t xml:space="preserve"> عبر حساب متوسط التباين المستخلص والذي يجب أن يتجاوز عتبة الخمسين بالمئة، وحساب الموثوقية المركبة والتي يجب أن تتجاوز السبعين بالمئة، بالإضافة إلى اختبار الصدق التمييزي بالاعتماد على معيار </w:t>
      </w:r>
      <w:proofErr w:type="spellStart"/>
      <w:r>
        <w:rPr>
          <w:rFonts w:ascii="Arial" w:eastAsia="Arial" w:hAnsi="Arial" w:cs="Arial"/>
          <w:rtl/>
        </w:rPr>
        <w:t>فورنيل</w:t>
      </w:r>
      <w:proofErr w:type="spellEnd"/>
      <w:r>
        <w:rPr>
          <w:rFonts w:ascii="Arial" w:eastAsia="Arial" w:hAnsi="Arial" w:cs="Arial"/>
          <w:rtl/>
        </w:rPr>
        <w:t xml:space="preserve"> </w:t>
      </w:r>
      <w:proofErr w:type="spellStart"/>
      <w:r>
        <w:rPr>
          <w:rFonts w:ascii="Arial" w:eastAsia="Arial" w:hAnsi="Arial" w:cs="Arial"/>
          <w:rtl/>
        </w:rPr>
        <w:t>لاركر</w:t>
      </w:r>
      <w:proofErr w:type="spellEnd"/>
      <w:r>
        <w:rPr>
          <w:rFonts w:ascii="Arial" w:eastAsia="Arial" w:hAnsi="Arial" w:cs="Arial"/>
          <w:rtl/>
        </w:rPr>
        <w:t xml:space="preserve"> للتأكد من استقلالية كل متغير عن المتغيرات الأخرى في النموذج البنائي.</w:t>
      </w:r>
    </w:p>
    <w:p w14:paraId="4870FF2E" w14:textId="77777777" w:rsidR="00B00FCA" w:rsidRDefault="00000000">
      <w:pPr>
        <w:numPr>
          <w:ilvl w:val="1"/>
          <w:numId w:val="27"/>
        </w:numPr>
        <w:bidi/>
        <w:spacing w:after="0" w:line="276" w:lineRule="auto"/>
        <w:rPr>
          <w:rFonts w:ascii="Arial" w:eastAsia="Arial" w:hAnsi="Arial" w:cs="Arial"/>
        </w:rPr>
      </w:pPr>
      <w:r>
        <w:rPr>
          <w:rFonts w:ascii="Arial" w:eastAsia="Arial" w:hAnsi="Arial" w:cs="Arial"/>
          <w:b/>
          <w:bCs/>
          <w:rtl/>
        </w:rPr>
        <w:t>تقييم النموذج البنائي واختبار الفرضيات:</w:t>
      </w:r>
      <w:r>
        <w:rPr>
          <w:rFonts w:ascii="Arial" w:eastAsia="Arial" w:hAnsi="Arial" w:cs="Arial"/>
          <w:rtl/>
        </w:rPr>
        <w:t xml:space="preserve"> حساب معاملات المسار المقننة لمعرفة اتجاه وقوة التأثير المباشر للمتغيرات المستقلة على المتغيرات الوسيطة والتابعة، وحساب معامل التحديد لقياس القوة التفسيرية للنموذج ومدى قدرته على التنبؤ بالتغيرات الحادثة في المتغير التابع المعنى بالنضج الهيكلي والمؤسسي.</w:t>
      </w:r>
    </w:p>
    <w:p w14:paraId="31FA66F2" w14:textId="77777777" w:rsidR="00B00FCA" w:rsidRDefault="00000000">
      <w:pPr>
        <w:numPr>
          <w:ilvl w:val="1"/>
          <w:numId w:val="27"/>
        </w:numPr>
        <w:bidi/>
        <w:spacing w:after="240" w:line="276" w:lineRule="auto"/>
        <w:rPr>
          <w:rFonts w:ascii="Arial" w:eastAsia="Arial" w:hAnsi="Arial" w:cs="Arial"/>
        </w:rPr>
      </w:pPr>
      <w:r>
        <w:rPr>
          <w:rFonts w:ascii="Arial" w:eastAsia="Arial" w:hAnsi="Arial" w:cs="Arial"/>
          <w:b/>
          <w:bCs/>
          <w:rtl/>
        </w:rPr>
        <w:t>تحليل الأثر غير المباشر والدور الوسيط والمعدل:</w:t>
      </w:r>
      <w:r>
        <w:rPr>
          <w:rFonts w:ascii="Arial" w:eastAsia="Arial" w:hAnsi="Arial" w:cs="Arial"/>
          <w:rtl/>
        </w:rPr>
        <w:t xml:space="preserve"> استخدام أسلوب التكرار العشوائي المطور باختبار خمسة آلاف عينة فرعية لحساب المعنوية الإحصائية للتأثيرات غير المباشرة التي يسلكها الاتصال والابتكار عبر بوابة سلوك وإدراك المقتني الرقمي الجديد، والتأكد من طبيعة الدور الوسيط والدور المعدل لمتغيرات خفض المخاطر وهندسة الثقة على صيرورة إعادة هندسة سوق الفنون البصرية في المملكة العربية السعودية.</w:t>
      </w:r>
    </w:p>
    <w:p w14:paraId="6E4C2695" w14:textId="77777777" w:rsidR="00B00FCA" w:rsidRDefault="00000000">
      <w:pPr>
        <w:pStyle w:val="4"/>
        <w:keepNext w:val="0"/>
        <w:keepLines w:val="0"/>
        <w:bidi/>
        <w:spacing w:line="276" w:lineRule="auto"/>
        <w:rPr>
          <w:rFonts w:ascii="Arial" w:eastAsia="Arial" w:hAnsi="Arial" w:cs="Arial"/>
          <w:sz w:val="22"/>
          <w:szCs w:val="22"/>
        </w:rPr>
      </w:pPr>
      <w:bookmarkStart w:id="46" w:name="_lc473eijhxfy" w:colFirst="0" w:colLast="0"/>
      <w:bookmarkEnd w:id="46"/>
      <w:r>
        <w:rPr>
          <w:rFonts w:ascii="Arial" w:eastAsia="Arial" w:hAnsi="Arial" w:cs="Arial"/>
          <w:sz w:val="22"/>
          <w:szCs w:val="22"/>
          <w:rtl/>
        </w:rPr>
        <w:t>3. تحليل بيانات المقابلات المعمقة مع النخبة وصناع القرار</w:t>
      </w:r>
    </w:p>
    <w:p w14:paraId="7A7105B5" w14:textId="77777777" w:rsidR="00B00FCA" w:rsidRDefault="00000000">
      <w:pPr>
        <w:bidi/>
        <w:spacing w:before="240" w:after="240" w:line="276" w:lineRule="auto"/>
        <w:rPr>
          <w:rFonts w:ascii="Arial" w:eastAsia="Arial" w:hAnsi="Arial" w:cs="Arial"/>
        </w:rPr>
      </w:pPr>
      <w:r>
        <w:rPr>
          <w:rFonts w:ascii="Arial" w:eastAsia="Arial" w:hAnsi="Arial" w:cs="Arial"/>
          <w:rtl/>
        </w:rPr>
        <w:t xml:space="preserve">خضعت المادة الكيفية المستخرجة من المقابلات المعمقة المسجلة والمفرغة نصيّاً لمنهجية التحليل الموضوعي </w:t>
      </w:r>
      <w:proofErr w:type="spellStart"/>
      <w:r>
        <w:rPr>
          <w:rFonts w:ascii="Arial" w:eastAsia="Arial" w:hAnsi="Arial" w:cs="Arial"/>
          <w:rtl/>
        </w:rPr>
        <w:t>الموضوعاتي</w:t>
      </w:r>
      <w:proofErr w:type="spellEnd"/>
      <w:r>
        <w:rPr>
          <w:rFonts w:ascii="Arial" w:eastAsia="Arial" w:hAnsi="Arial" w:cs="Arial"/>
          <w:rtl/>
        </w:rPr>
        <w:t xml:space="preserve"> الكيفي بالاستعانة بالبرمجيات الحاسوبية المتخصصة في تحليل البيانات الكيفية. وتمت العملية عبر خمس خطوات معيارية: القراءة الاستكشافية المتكررة للنصوص للتآلف الكامل مع البيانات، ثم التشفير الأولي المفتوح لاستخراج الرموز والعبارات الارتكازية الحاملة للمعاني الاقتصادية والتشريعية من ثنايا الإجابات، يليه التشفير المحوري لدمج الرموز المتشابهة وتجميعها داخل موضوعات فرعية مشتركة مثل معوقات التثمين ومتطلبات التوثيق الرقمي وتشريعات الملكية المجزأة، ثم البناء </w:t>
      </w:r>
      <w:proofErr w:type="spellStart"/>
      <w:r>
        <w:rPr>
          <w:rFonts w:ascii="Arial" w:eastAsia="Arial" w:hAnsi="Arial" w:cs="Arial"/>
          <w:rtl/>
        </w:rPr>
        <w:t>الموضوعاتي</w:t>
      </w:r>
      <w:proofErr w:type="spellEnd"/>
      <w:r>
        <w:rPr>
          <w:rFonts w:ascii="Arial" w:eastAsia="Arial" w:hAnsi="Arial" w:cs="Arial"/>
          <w:rtl/>
        </w:rPr>
        <w:t xml:space="preserve"> النهائي لربط الموضوعات الفرعية بالمحاور الكبرى للمتغير التابع للدراسة، وصولاً للخطوة الخامسة المتمثلة في التفسير </w:t>
      </w:r>
      <w:proofErr w:type="spellStart"/>
      <w:r>
        <w:rPr>
          <w:rFonts w:ascii="Arial" w:eastAsia="Arial" w:hAnsi="Arial" w:cs="Arial"/>
          <w:rtl/>
        </w:rPr>
        <w:t>السوسيو</w:t>
      </w:r>
      <w:proofErr w:type="spellEnd"/>
      <w:r>
        <w:rPr>
          <w:rFonts w:ascii="Arial" w:eastAsia="Arial" w:hAnsi="Arial" w:cs="Arial"/>
          <w:rtl/>
        </w:rPr>
        <w:t xml:space="preserve"> اقتصادي النقدي المركب وربط المخرجات الكيفية بالنتائج الكمية المتولدة عن الاستبيان لتقديم خارطة طريق إستراتيجية وتنفيذية شاملة وشديدة الدقة لإعادة هندسة القطاع.</w:t>
      </w:r>
    </w:p>
    <w:p w14:paraId="5CF4DA07" w14:textId="77777777" w:rsidR="00B00FCA" w:rsidRDefault="00000000">
      <w:pPr>
        <w:pStyle w:val="2"/>
        <w:keepNext w:val="0"/>
        <w:keepLines w:val="0"/>
        <w:bidi/>
        <w:spacing w:before="0" w:line="276" w:lineRule="auto"/>
        <w:rPr>
          <w:rFonts w:ascii="Arial" w:eastAsia="Arial" w:hAnsi="Arial" w:cs="Arial"/>
          <w:sz w:val="34"/>
          <w:szCs w:val="34"/>
        </w:rPr>
      </w:pPr>
      <w:bookmarkStart w:id="47" w:name="_qc6aruxfkkj6" w:colFirst="0" w:colLast="0"/>
      <w:bookmarkEnd w:id="47"/>
      <w:r>
        <w:rPr>
          <w:rFonts w:ascii="Arial" w:eastAsia="Arial" w:hAnsi="Arial" w:cs="Arial"/>
          <w:sz w:val="34"/>
          <w:szCs w:val="34"/>
          <w:rtl/>
        </w:rPr>
        <w:t>أدوات الدراسة، الأساليب الإحصائية، والخاتمة</w:t>
      </w:r>
    </w:p>
    <w:p w14:paraId="385D2053" w14:textId="77777777" w:rsidR="00B00FCA" w:rsidRDefault="00000000">
      <w:pPr>
        <w:pStyle w:val="3"/>
        <w:keepNext w:val="0"/>
        <w:keepLines w:val="0"/>
        <w:bidi/>
        <w:spacing w:before="0" w:line="276" w:lineRule="auto"/>
        <w:rPr>
          <w:rFonts w:ascii="Arial" w:eastAsia="Arial" w:hAnsi="Arial" w:cs="Arial"/>
          <w:sz w:val="26"/>
          <w:szCs w:val="26"/>
        </w:rPr>
      </w:pPr>
      <w:bookmarkStart w:id="48" w:name="_lj8b7g943h0x" w:colFirst="0" w:colLast="0"/>
      <w:bookmarkEnd w:id="48"/>
      <w:r>
        <w:rPr>
          <w:rFonts w:ascii="Arial" w:eastAsia="Arial" w:hAnsi="Arial" w:cs="Arial"/>
          <w:sz w:val="26"/>
          <w:szCs w:val="26"/>
          <w:rtl/>
        </w:rPr>
        <w:t>1. أدوات جمع البيانات الميدانية</w:t>
      </w:r>
    </w:p>
    <w:p w14:paraId="67ADEB90" w14:textId="77777777" w:rsidR="00B00FCA" w:rsidRDefault="00000000">
      <w:pPr>
        <w:bidi/>
        <w:spacing w:after="240" w:line="276" w:lineRule="auto"/>
        <w:rPr>
          <w:rFonts w:ascii="Arial" w:eastAsia="Arial" w:hAnsi="Arial" w:cs="Arial"/>
        </w:rPr>
      </w:pPr>
      <w:r>
        <w:rPr>
          <w:rFonts w:ascii="Arial" w:eastAsia="Arial" w:hAnsi="Arial" w:cs="Arial"/>
          <w:rtl/>
        </w:rPr>
        <w:t xml:space="preserve">لغرض الانتقال بالبحث من الحيز النظري والمفاهيمي المجرّد إلى حيز التحقق الميداني والواقعي، صُممت أدوات علمية مخصصة وموجهة لقياس متغيرات النموذج التكاملي المقترح، ورصد مؤشراتها وتفاعلاتها في بيئة العمل الفعلي. ولضمان دقة النتائج المحققة وموثوقيتها العلمية، اعتُمد على منهجية تكاملية هجينة توازن بين الأدوات الكمية والأدوات النوعية. ويُستهدف من خلال هذا الدمج المنهجي تحقيق الإحاطة الكاملة بجميع جوانب الظاهرة </w:t>
      </w:r>
      <w:proofErr w:type="spellStart"/>
      <w:r>
        <w:rPr>
          <w:rFonts w:ascii="Arial" w:eastAsia="Arial" w:hAnsi="Arial" w:cs="Arial"/>
          <w:rtl/>
        </w:rPr>
        <w:t>المبحوثة</w:t>
      </w:r>
      <w:proofErr w:type="spellEnd"/>
      <w:r>
        <w:rPr>
          <w:rFonts w:ascii="Arial" w:eastAsia="Arial" w:hAnsi="Arial" w:cs="Arial"/>
          <w:rtl/>
        </w:rPr>
        <w:t>، وتوفير رؤية تفسيرية شاملة تتوافق مع المقاييس الأكاديمية المستقرة في البحوث الإدارية والتسويقية المعاصرة.</w:t>
      </w:r>
    </w:p>
    <w:p w14:paraId="1632E43B" w14:textId="77777777" w:rsidR="00B00FCA" w:rsidRDefault="00000000">
      <w:pPr>
        <w:pStyle w:val="4"/>
        <w:keepNext w:val="0"/>
        <w:keepLines w:val="0"/>
        <w:bidi/>
        <w:spacing w:before="0" w:line="276" w:lineRule="auto"/>
        <w:rPr>
          <w:rFonts w:ascii="Arial" w:eastAsia="Arial" w:hAnsi="Arial" w:cs="Arial"/>
          <w:sz w:val="22"/>
          <w:szCs w:val="22"/>
        </w:rPr>
      </w:pPr>
      <w:bookmarkStart w:id="49" w:name="_oaupu2gj6vy2" w:colFirst="0" w:colLast="0"/>
      <w:bookmarkEnd w:id="49"/>
      <w:r>
        <w:rPr>
          <w:rFonts w:ascii="Arial" w:eastAsia="Arial" w:hAnsi="Arial" w:cs="Arial"/>
          <w:sz w:val="22"/>
          <w:szCs w:val="22"/>
          <w:rtl/>
        </w:rPr>
        <w:lastRenderedPageBreak/>
        <w:t>1. الأداة الكمية الرئيسية (الاستبانة الشاملة)</w:t>
      </w:r>
    </w:p>
    <w:p w14:paraId="396A7B02" w14:textId="77777777" w:rsidR="00B00FCA" w:rsidRDefault="00000000">
      <w:pPr>
        <w:bidi/>
        <w:spacing w:after="240" w:line="276" w:lineRule="auto"/>
        <w:rPr>
          <w:rFonts w:ascii="Arial" w:eastAsia="Arial" w:hAnsi="Arial" w:cs="Arial"/>
        </w:rPr>
      </w:pPr>
      <w:r>
        <w:rPr>
          <w:rFonts w:ascii="Arial" w:eastAsia="Arial" w:hAnsi="Arial" w:cs="Arial"/>
          <w:rtl/>
        </w:rPr>
        <w:t>بُنيت استبانة مغلقة ومقننة لتكون الأداة الكمية الأساسية في جمع البيانات الأولية من أفراد العينة المستهدفة في المجتمع. وجرى تطوير عبارات هذه الأداة وصياغة محاورها بالاستناد المباشر إلى الأدبيات العلمية المستقرة والدراسات السابقة المتخصصة في مجالات الإدارة الاستراتيجية، والتسويق الحديث، وعلوم الاتصال، مع مواءمتها بدقة لتناسب الطبيعة الخاصة بسوق الفنون البصرية. صِيغت العبارات بأسلوب واضح ومباشر يتجنب الغموض أو إمكانية التأويل المتعدد، وقُسمت الاستبانة إلى عدة كتل محورية رئيسية مرتبطة بالبناء الهيكلي للبحث على النحو التالي:</w:t>
      </w:r>
    </w:p>
    <w:p w14:paraId="44FDD1D2" w14:textId="77777777" w:rsidR="00B00FCA" w:rsidRDefault="00000000">
      <w:pPr>
        <w:numPr>
          <w:ilvl w:val="0"/>
          <w:numId w:val="14"/>
        </w:numPr>
        <w:bidi/>
        <w:spacing w:after="0" w:line="276" w:lineRule="auto"/>
        <w:rPr>
          <w:rFonts w:ascii="Arial" w:eastAsia="Arial" w:hAnsi="Arial" w:cs="Arial"/>
        </w:rPr>
      </w:pPr>
      <w:r>
        <w:rPr>
          <w:rFonts w:ascii="Arial" w:eastAsia="Arial" w:hAnsi="Arial" w:cs="Arial"/>
          <w:b/>
          <w:bCs/>
          <w:rtl/>
        </w:rPr>
        <w:t>المحور الأول (البيانات الديموغرافية والسلوكية للمبحوثين):</w:t>
      </w:r>
      <w:r>
        <w:rPr>
          <w:rFonts w:ascii="Arial" w:eastAsia="Arial" w:hAnsi="Arial" w:cs="Arial"/>
          <w:rtl/>
        </w:rPr>
        <w:t xml:space="preserve"> يشتمل هذا الجزء التمهيدي على أسئلة محددة تهدف إلى رصد وتحديد الخصائص العامة لأفراد العينة، مثل السن، والمؤهل العلمي، وطبيعة العلاقة التشغيلية أو الاستثمارية بسوق الفن، بالإضافة إلى عدد سنوات الخبرة في هذا المجال </w:t>
      </w:r>
      <w:proofErr w:type="gramStart"/>
      <w:r>
        <w:rPr>
          <w:rFonts w:ascii="Arial" w:eastAsia="Arial" w:hAnsi="Arial" w:cs="Arial"/>
          <w:rtl/>
        </w:rPr>
        <w:t>و الأنماط</w:t>
      </w:r>
      <w:proofErr w:type="gramEnd"/>
      <w:r>
        <w:rPr>
          <w:rFonts w:ascii="Arial" w:eastAsia="Arial" w:hAnsi="Arial" w:cs="Arial"/>
          <w:rtl/>
        </w:rPr>
        <w:t xml:space="preserve"> المتبعة في السلوك الرقمي والتعامل مع المنصات الحديثة.</w:t>
      </w:r>
    </w:p>
    <w:p w14:paraId="586733D0" w14:textId="77777777" w:rsidR="00B00FCA" w:rsidRDefault="00000000">
      <w:pPr>
        <w:numPr>
          <w:ilvl w:val="0"/>
          <w:numId w:val="14"/>
        </w:numPr>
        <w:bidi/>
        <w:spacing w:after="0" w:line="276" w:lineRule="auto"/>
        <w:rPr>
          <w:rFonts w:ascii="Arial" w:eastAsia="Arial" w:hAnsi="Arial" w:cs="Arial"/>
        </w:rPr>
      </w:pPr>
      <w:r>
        <w:rPr>
          <w:rFonts w:ascii="Arial" w:eastAsia="Arial" w:hAnsi="Arial" w:cs="Arial"/>
          <w:b/>
          <w:bCs/>
          <w:rtl/>
        </w:rPr>
        <w:t>المحور الثاني (المتغيرات المستقلة - أبعاد الابتكار الخمسة):</w:t>
      </w:r>
      <w:r>
        <w:rPr>
          <w:rFonts w:ascii="Arial" w:eastAsia="Arial" w:hAnsi="Arial" w:cs="Arial"/>
          <w:rtl/>
        </w:rPr>
        <w:t xml:space="preserve"> خُصص هذا المحور الشامل لقياس مستويات تبني وممارسة الابتكار في البيئة التنظيمية والتسويقية لصالات العرض، وقُسم داخلياً إلى خمسة أبعاد فرعية مستندة إلى الإطار النظري:</w:t>
      </w:r>
    </w:p>
    <w:p w14:paraId="0A3B9A31" w14:textId="77777777" w:rsidR="00B00FCA" w:rsidRDefault="00000000">
      <w:pPr>
        <w:numPr>
          <w:ilvl w:val="1"/>
          <w:numId w:val="14"/>
        </w:numPr>
        <w:bidi/>
        <w:spacing w:after="0" w:line="276" w:lineRule="auto"/>
        <w:rPr>
          <w:rFonts w:ascii="Arial" w:eastAsia="Arial" w:hAnsi="Arial" w:cs="Arial"/>
        </w:rPr>
      </w:pPr>
      <w:r>
        <w:rPr>
          <w:rFonts w:ascii="Arial" w:eastAsia="Arial" w:hAnsi="Arial" w:cs="Arial"/>
          <w:rtl/>
        </w:rPr>
        <w:t>بعد الابتكار التسويقي: ويشتمل على عبارات تقيس مدى الاعتماد على قنوات ترويجية وتوزيعية غير تقليدية، وابتكار أساليب حديثة لعرض وتداول الأعمال الفنية.</w:t>
      </w:r>
    </w:p>
    <w:p w14:paraId="2B97054C" w14:textId="77777777" w:rsidR="00B00FCA" w:rsidRDefault="00000000">
      <w:pPr>
        <w:numPr>
          <w:ilvl w:val="1"/>
          <w:numId w:val="14"/>
        </w:numPr>
        <w:bidi/>
        <w:spacing w:after="0" w:line="276" w:lineRule="auto"/>
        <w:rPr>
          <w:rFonts w:ascii="Arial" w:eastAsia="Arial" w:hAnsi="Arial" w:cs="Arial"/>
        </w:rPr>
      </w:pPr>
      <w:r>
        <w:rPr>
          <w:rFonts w:ascii="Arial" w:eastAsia="Arial" w:hAnsi="Arial" w:cs="Arial"/>
          <w:rtl/>
        </w:rPr>
        <w:t xml:space="preserve">بعد الابتكار النفسي: ويعنى برصد الآليات والأساليب المستخدمة لبناء جسور الثقة، وتعديل المدركات الذهنية، وتوجيه الاتجاهات السلوكية لدى المشترين </w:t>
      </w:r>
      <w:proofErr w:type="spellStart"/>
      <w:r>
        <w:rPr>
          <w:rFonts w:ascii="Arial" w:eastAsia="Arial" w:hAnsi="Arial" w:cs="Arial"/>
          <w:rtl/>
        </w:rPr>
        <w:t>والمقتنين</w:t>
      </w:r>
      <w:proofErr w:type="spellEnd"/>
      <w:r>
        <w:rPr>
          <w:rFonts w:ascii="Arial" w:eastAsia="Arial" w:hAnsi="Arial" w:cs="Arial"/>
          <w:rtl/>
        </w:rPr>
        <w:t>.</w:t>
      </w:r>
    </w:p>
    <w:p w14:paraId="5BB2F0A0" w14:textId="77777777" w:rsidR="00B00FCA" w:rsidRDefault="00000000">
      <w:pPr>
        <w:numPr>
          <w:ilvl w:val="1"/>
          <w:numId w:val="14"/>
        </w:numPr>
        <w:bidi/>
        <w:spacing w:after="0" w:line="276" w:lineRule="auto"/>
        <w:rPr>
          <w:rFonts w:ascii="Arial" w:eastAsia="Arial" w:hAnsi="Arial" w:cs="Arial"/>
        </w:rPr>
      </w:pPr>
      <w:r>
        <w:rPr>
          <w:rFonts w:ascii="Arial" w:eastAsia="Arial" w:hAnsi="Arial" w:cs="Arial"/>
          <w:rtl/>
        </w:rPr>
        <w:t>بعد الابتكار التقني: ويختص بقياس مستوى دمج التقنيات الرقمية الحديثة، مثل منصات العرض الافتراضية ثلاثية الأبعاد، وتوظيف الأنظمة الذكية وقواعد البيانات المشفرة لتوثيق وحماية منشأ الأعمال الفنية.</w:t>
      </w:r>
    </w:p>
    <w:p w14:paraId="7AC616EB" w14:textId="77777777" w:rsidR="00B00FCA" w:rsidRDefault="00000000">
      <w:pPr>
        <w:numPr>
          <w:ilvl w:val="1"/>
          <w:numId w:val="14"/>
        </w:numPr>
        <w:bidi/>
        <w:spacing w:after="0" w:line="276" w:lineRule="auto"/>
        <w:rPr>
          <w:rFonts w:ascii="Arial" w:eastAsia="Arial" w:hAnsi="Arial" w:cs="Arial"/>
        </w:rPr>
      </w:pPr>
      <w:r>
        <w:rPr>
          <w:rFonts w:ascii="Arial" w:eastAsia="Arial" w:hAnsi="Arial" w:cs="Arial"/>
          <w:rtl/>
        </w:rPr>
        <w:t>بعد الابتكار الاقتصادي: ويهدف إلى تقييم استراتيجيات التسعير المرنة والعقلانية، ومدى مساهمتها في تنشيط حركة المبيعات في الأسواق الفنية الأولية والثانوية.</w:t>
      </w:r>
    </w:p>
    <w:p w14:paraId="1C6A2BAF" w14:textId="77777777" w:rsidR="00B00FCA" w:rsidRDefault="00000000">
      <w:pPr>
        <w:numPr>
          <w:ilvl w:val="1"/>
          <w:numId w:val="14"/>
        </w:numPr>
        <w:bidi/>
        <w:spacing w:after="0" w:line="276" w:lineRule="auto"/>
        <w:rPr>
          <w:rFonts w:ascii="Arial" w:eastAsia="Arial" w:hAnsi="Arial" w:cs="Arial"/>
        </w:rPr>
      </w:pPr>
      <w:r>
        <w:rPr>
          <w:rFonts w:ascii="Arial" w:eastAsia="Arial" w:hAnsi="Arial" w:cs="Arial"/>
          <w:rtl/>
        </w:rPr>
        <w:t>بعد الابتكار التنظيمي: ويعنى بقياس وتيرة تحديث الهياكل الإدارية الداخلية، وتطبيق قواعد الحوكمة، ورفع كفاءة وتدريب الكوادر البشرية العاملة في المؤسسات الفنية وصالات العرض.</w:t>
      </w:r>
    </w:p>
    <w:p w14:paraId="301AAB39" w14:textId="77777777" w:rsidR="00B00FCA" w:rsidRDefault="00000000">
      <w:pPr>
        <w:numPr>
          <w:ilvl w:val="0"/>
          <w:numId w:val="14"/>
        </w:numPr>
        <w:bidi/>
        <w:spacing w:after="0" w:line="276" w:lineRule="auto"/>
        <w:rPr>
          <w:rFonts w:ascii="Arial" w:eastAsia="Arial" w:hAnsi="Arial" w:cs="Arial"/>
        </w:rPr>
      </w:pPr>
      <w:r>
        <w:rPr>
          <w:rFonts w:ascii="Arial" w:eastAsia="Arial" w:hAnsi="Arial" w:cs="Arial"/>
          <w:b/>
          <w:bCs/>
          <w:rtl/>
        </w:rPr>
        <w:t>المحور الثالث (المتغير الوسيط - الاتصال التسويقي المتكامل):</w:t>
      </w:r>
      <w:r>
        <w:rPr>
          <w:rFonts w:ascii="Arial" w:eastAsia="Arial" w:hAnsi="Arial" w:cs="Arial"/>
          <w:rtl/>
        </w:rPr>
        <w:t xml:space="preserve"> يتضمن هذا المحور العبارات المصممة لقياس مدى اتساق وتناغم الرسائل والأنشطة الترويجية والإعلامية الموجهة للمجتمع. ويركز هذا البعد على تقييم مستوى التكامل والترابط بين جهود الإعلان، والعلاقات العامة، والتسويق المباشر، والمنصات الرقمية، لضمان تقديم خطاب اتصالي موحد ومؤثر.</w:t>
      </w:r>
    </w:p>
    <w:p w14:paraId="0A276A99" w14:textId="77777777" w:rsidR="00B00FCA" w:rsidRDefault="00000000">
      <w:pPr>
        <w:numPr>
          <w:ilvl w:val="0"/>
          <w:numId w:val="14"/>
        </w:numPr>
        <w:bidi/>
        <w:spacing w:after="240" w:line="276" w:lineRule="auto"/>
        <w:rPr>
          <w:rFonts w:ascii="Arial" w:eastAsia="Arial" w:hAnsi="Arial" w:cs="Arial"/>
        </w:rPr>
      </w:pPr>
      <w:r>
        <w:rPr>
          <w:rFonts w:ascii="Arial" w:eastAsia="Arial" w:hAnsi="Arial" w:cs="Arial"/>
          <w:b/>
          <w:bCs/>
          <w:rtl/>
        </w:rPr>
        <w:t>المحور الرابع (المتغير التابع - كفاءة سوق الفنون ونضجه الهيكلي):</w:t>
      </w:r>
      <w:r>
        <w:rPr>
          <w:rFonts w:ascii="Arial" w:eastAsia="Arial" w:hAnsi="Arial" w:cs="Arial"/>
          <w:rtl/>
        </w:rPr>
        <w:t xml:space="preserve"> ويشتمل على مؤشرات دقيقة خُصصت لقياس كفاءة السوق من حيث مستوى الشفافية المعلوماتية المتاحة، وعدالة آليات التسعير المتبعة، وحجم المبيعات والتداول، ومدى النضج التنظيمي والتشريعي للقطاع ككل.</w:t>
      </w:r>
    </w:p>
    <w:p w14:paraId="25312E99" w14:textId="77777777" w:rsidR="00B00FCA" w:rsidRDefault="00000000">
      <w:pPr>
        <w:bidi/>
        <w:spacing w:after="240" w:line="276" w:lineRule="auto"/>
        <w:rPr>
          <w:rFonts w:ascii="Arial" w:eastAsia="Arial" w:hAnsi="Arial" w:cs="Arial"/>
        </w:rPr>
      </w:pPr>
      <w:r>
        <w:rPr>
          <w:rFonts w:ascii="Arial" w:eastAsia="Arial" w:hAnsi="Arial" w:cs="Arial"/>
          <w:rtl/>
        </w:rPr>
        <w:t xml:space="preserve">ولغرض ضبط استجابات أفراد العينة وتحديد الأوزان النسبية لآرائهم ومواقفهم بطريقة علمية قابلة للمعالجة، اعتُمد على مقياس </w:t>
      </w:r>
      <w:proofErr w:type="spellStart"/>
      <w:r>
        <w:rPr>
          <w:rFonts w:ascii="Arial" w:eastAsia="Arial" w:hAnsi="Arial" w:cs="Arial"/>
          <w:rtl/>
        </w:rPr>
        <w:t>ليكرت</w:t>
      </w:r>
      <w:proofErr w:type="spellEnd"/>
      <w:r>
        <w:rPr>
          <w:rFonts w:ascii="Arial" w:eastAsia="Arial" w:hAnsi="Arial" w:cs="Arial"/>
          <w:rtl/>
        </w:rPr>
        <w:t xml:space="preserve"> الخماسي المتدرج. ومُثلت خيارات الاستجابة بالأوزان الرقمية التالية: خمس درجات للموافق بشدة، وأربع درجات للموافق، وثلاث درجات للمحايد، ودرجتان للغير موافق، ودرجة واحدة للغير موافق بشدة. ويسمح هذا التدرج الرقمي القياسي بتحويل الآراء الوصفية إلى بيانات كمية دقيقة تُعالج لاحقاً بواسطة البرمجيات الإحصائية المتقدمة.</w:t>
      </w:r>
    </w:p>
    <w:p w14:paraId="6AD57434" w14:textId="77777777" w:rsidR="00B00FCA" w:rsidRDefault="00000000">
      <w:pPr>
        <w:pStyle w:val="4"/>
        <w:keepNext w:val="0"/>
        <w:keepLines w:val="0"/>
        <w:bidi/>
        <w:spacing w:before="0" w:line="276" w:lineRule="auto"/>
        <w:rPr>
          <w:rFonts w:ascii="Arial" w:eastAsia="Arial" w:hAnsi="Arial" w:cs="Arial"/>
          <w:sz w:val="22"/>
          <w:szCs w:val="22"/>
        </w:rPr>
      </w:pPr>
      <w:bookmarkStart w:id="50" w:name="_wr9r4qokzss" w:colFirst="0" w:colLast="0"/>
      <w:bookmarkEnd w:id="50"/>
      <w:r>
        <w:rPr>
          <w:rFonts w:ascii="Arial" w:eastAsia="Arial" w:hAnsi="Arial" w:cs="Arial"/>
          <w:sz w:val="22"/>
          <w:szCs w:val="22"/>
          <w:rtl/>
        </w:rPr>
        <w:t xml:space="preserve">2. الأداة النوعية المساندة </w:t>
      </w:r>
    </w:p>
    <w:p w14:paraId="19D7D9D1" w14:textId="77777777" w:rsidR="00B00FCA" w:rsidRDefault="00000000">
      <w:pPr>
        <w:bidi/>
        <w:spacing w:after="240" w:line="276" w:lineRule="auto"/>
        <w:rPr>
          <w:rFonts w:ascii="Arial" w:eastAsia="Arial" w:hAnsi="Arial" w:cs="Arial"/>
        </w:rPr>
      </w:pPr>
      <w:r>
        <w:rPr>
          <w:rFonts w:ascii="Arial" w:eastAsia="Arial" w:hAnsi="Arial" w:cs="Arial"/>
          <w:rtl/>
        </w:rPr>
        <w:t>تأميناً للعمق التحليلي، وسعياً لتفسير وفهم وتوضيح خلفيات النتائج الكمية المستخرجة من الاستبانات، صُممت أداة نوعية مساندة تمثلت في دليل المقابلات الشخصية نصف الموجهة. صِيغت أسئلة هذا الدليل بطريقة مرنة ومفتوحة، تتيح فرصة الحوار المعمق وسبر أغوار الظاهرة واستكشاف التفاصيل الدقيقة والخفايا التشغيلية التي قد لا تظهر عبر الإجابات المغلقة للأداة الكمية.</w:t>
      </w:r>
    </w:p>
    <w:p w14:paraId="08CBE233" w14:textId="77777777" w:rsidR="00B00FCA" w:rsidRDefault="00000000">
      <w:pPr>
        <w:bidi/>
        <w:spacing w:after="240" w:line="276" w:lineRule="auto"/>
        <w:rPr>
          <w:rFonts w:ascii="Arial" w:eastAsia="Arial" w:hAnsi="Arial" w:cs="Arial"/>
        </w:rPr>
      </w:pPr>
      <w:r>
        <w:rPr>
          <w:rFonts w:ascii="Arial" w:eastAsia="Arial" w:hAnsi="Arial" w:cs="Arial"/>
          <w:rtl/>
        </w:rPr>
        <w:t>خُصصت هذه المقابلات للاجتماع بنخبة من الخبراء الاستراتيجيين، والمقيمين والمثمنين الفنيين المعتمدين، وصناع القرار في المؤسسات والهيئات الثقافية، بالإضافة إلى أصحاب الخبرات الطويلة في إدارة صالات العرض. وتمحورت الأسئلة المفتوحة حول طبيعة آليات التسعير السائدة، ومسببات معضلة الوساطة الأحادية، وتحديات عشوائية الأداء، فضلاً عن استشراف مسارات التحول المستقبلية في القطاع. وتُسجل هذه المقابلات وتُفرغ نصياً لغرض إخضاعها لأساليب التحليل الموضوعي الشامل، ودمج نتائجها مع المؤشرات الإحصائية الكمية.</w:t>
      </w:r>
    </w:p>
    <w:p w14:paraId="10B165A5" w14:textId="77777777" w:rsidR="00B00FCA" w:rsidRDefault="00000000">
      <w:pPr>
        <w:pStyle w:val="3"/>
        <w:keepNext w:val="0"/>
        <w:keepLines w:val="0"/>
        <w:bidi/>
        <w:spacing w:before="0" w:line="276" w:lineRule="auto"/>
        <w:rPr>
          <w:rFonts w:ascii="Arial" w:eastAsia="Arial" w:hAnsi="Arial" w:cs="Arial"/>
          <w:sz w:val="26"/>
          <w:szCs w:val="26"/>
        </w:rPr>
      </w:pPr>
      <w:bookmarkStart w:id="51" w:name="_kl5spc92lyl7" w:colFirst="0" w:colLast="0"/>
      <w:bookmarkEnd w:id="51"/>
      <w:r>
        <w:rPr>
          <w:rFonts w:ascii="Arial" w:eastAsia="Arial" w:hAnsi="Arial" w:cs="Arial"/>
          <w:sz w:val="26"/>
          <w:szCs w:val="26"/>
          <w:rtl/>
        </w:rPr>
        <w:lastRenderedPageBreak/>
        <w:t>2. مجتمع الدراسة وإجراءات اختيار العينات</w:t>
      </w:r>
    </w:p>
    <w:p w14:paraId="00951761" w14:textId="77777777" w:rsidR="00B00FCA" w:rsidRDefault="00000000">
      <w:pPr>
        <w:bidi/>
        <w:spacing w:after="240" w:line="276" w:lineRule="auto"/>
        <w:rPr>
          <w:rFonts w:ascii="Arial" w:eastAsia="Arial" w:hAnsi="Arial" w:cs="Arial"/>
        </w:rPr>
      </w:pPr>
      <w:r>
        <w:rPr>
          <w:rFonts w:ascii="Arial" w:eastAsia="Arial" w:hAnsi="Arial" w:cs="Arial"/>
          <w:rtl/>
        </w:rPr>
        <w:t>يُحدد مجتمع الدراسة الحالي بجميع العناصر والفاعلين والممارسين المنخرطين بشكل مباشر أو غير مباشر في سلسلة القيمة وصناعة وتداول الفنون البصرية المعاصرة في المملكة العربية السعودية. ونظراً لتركيب هذا المجتمع وتداخل أطرافه واختلاف أدوارهم الاقتصادية والرمزية، قُسم المجتمع إلى فئات محددة لضمان شمولية التغطية الميدانية وعدم إغفال أي طرف مؤثر:</w:t>
      </w:r>
    </w:p>
    <w:p w14:paraId="72AE8CB2" w14:textId="77777777" w:rsidR="00B00FCA" w:rsidRDefault="00000000">
      <w:pPr>
        <w:numPr>
          <w:ilvl w:val="0"/>
          <w:numId w:val="22"/>
        </w:numPr>
        <w:bidi/>
        <w:spacing w:after="0" w:line="276" w:lineRule="auto"/>
        <w:rPr>
          <w:rFonts w:ascii="Arial" w:eastAsia="Arial" w:hAnsi="Arial" w:cs="Arial"/>
        </w:rPr>
      </w:pPr>
      <w:r>
        <w:rPr>
          <w:rFonts w:ascii="Arial" w:eastAsia="Arial" w:hAnsi="Arial" w:cs="Arial"/>
          <w:b/>
          <w:bCs/>
          <w:rtl/>
        </w:rPr>
        <w:t>الفئة الأولى:</w:t>
      </w:r>
      <w:r>
        <w:rPr>
          <w:rFonts w:ascii="Arial" w:eastAsia="Arial" w:hAnsi="Arial" w:cs="Arial"/>
          <w:rtl/>
        </w:rPr>
        <w:t xml:space="preserve"> وتضم مديري وأصحاب صالات العرض الفنية الخاصة والمؤسسات الثقافية، باعتبارهم الطرف المسؤول عن عمليات الإدارة، والتشغيل، وصناعة السياسات التسويقية، وهندسة الرسائل والخطابات الاتصالية الموجهة.</w:t>
      </w:r>
    </w:p>
    <w:p w14:paraId="2D588C2A" w14:textId="77777777" w:rsidR="00B00FCA" w:rsidRDefault="00000000">
      <w:pPr>
        <w:numPr>
          <w:ilvl w:val="0"/>
          <w:numId w:val="22"/>
        </w:numPr>
        <w:bidi/>
        <w:spacing w:after="0" w:line="276" w:lineRule="auto"/>
        <w:rPr>
          <w:rFonts w:ascii="Arial" w:eastAsia="Arial" w:hAnsi="Arial" w:cs="Arial"/>
        </w:rPr>
      </w:pPr>
      <w:r>
        <w:rPr>
          <w:rFonts w:ascii="Arial" w:eastAsia="Arial" w:hAnsi="Arial" w:cs="Arial"/>
          <w:b/>
          <w:bCs/>
          <w:rtl/>
        </w:rPr>
        <w:t>الفئة الثانية:</w:t>
      </w:r>
      <w:r>
        <w:rPr>
          <w:rFonts w:ascii="Arial" w:eastAsia="Arial" w:hAnsi="Arial" w:cs="Arial"/>
          <w:rtl/>
        </w:rPr>
        <w:t xml:space="preserve"> وتتمثل في مجتمع </w:t>
      </w:r>
      <w:proofErr w:type="spellStart"/>
      <w:r>
        <w:rPr>
          <w:rFonts w:ascii="Arial" w:eastAsia="Arial" w:hAnsi="Arial" w:cs="Arial"/>
          <w:rtl/>
        </w:rPr>
        <w:t>المقتنين</w:t>
      </w:r>
      <w:proofErr w:type="spellEnd"/>
      <w:r>
        <w:rPr>
          <w:rFonts w:ascii="Arial" w:eastAsia="Arial" w:hAnsi="Arial" w:cs="Arial"/>
          <w:rtl/>
        </w:rPr>
        <w:t xml:space="preserve"> والمستثمرين في مجال الفنون البصرية، مع توجيه تركيز خاص نحو جيل </w:t>
      </w:r>
      <w:proofErr w:type="spellStart"/>
      <w:r>
        <w:rPr>
          <w:rFonts w:ascii="Arial" w:eastAsia="Arial" w:hAnsi="Arial" w:cs="Arial"/>
          <w:rtl/>
        </w:rPr>
        <w:t>المقتنين</w:t>
      </w:r>
      <w:proofErr w:type="spellEnd"/>
      <w:r>
        <w:rPr>
          <w:rFonts w:ascii="Arial" w:eastAsia="Arial" w:hAnsi="Arial" w:cs="Arial"/>
          <w:rtl/>
        </w:rPr>
        <w:t xml:space="preserve"> الشباب الجدد، والذين يمثلون القوة الشرائية والديناميكية الصاعدة </w:t>
      </w:r>
      <w:proofErr w:type="spellStart"/>
      <w:r>
        <w:rPr>
          <w:rFonts w:ascii="Arial" w:eastAsia="Arial" w:hAnsi="Arial" w:cs="Arial"/>
          <w:rtl/>
        </w:rPr>
        <w:t>والمتبنية</w:t>
      </w:r>
      <w:proofErr w:type="spellEnd"/>
      <w:r>
        <w:rPr>
          <w:rFonts w:ascii="Arial" w:eastAsia="Arial" w:hAnsi="Arial" w:cs="Arial"/>
          <w:rtl/>
        </w:rPr>
        <w:t xml:space="preserve"> للحلول الرقمية في البيئة الحالية.</w:t>
      </w:r>
    </w:p>
    <w:p w14:paraId="39060418" w14:textId="77777777" w:rsidR="00B00FCA" w:rsidRDefault="00000000">
      <w:pPr>
        <w:numPr>
          <w:ilvl w:val="0"/>
          <w:numId w:val="22"/>
        </w:numPr>
        <w:bidi/>
        <w:spacing w:after="240" w:line="276" w:lineRule="auto"/>
        <w:rPr>
          <w:rFonts w:ascii="Arial" w:eastAsia="Arial" w:hAnsi="Arial" w:cs="Arial"/>
        </w:rPr>
      </w:pPr>
      <w:r>
        <w:rPr>
          <w:rFonts w:ascii="Arial" w:eastAsia="Arial" w:hAnsi="Arial" w:cs="Arial"/>
          <w:b/>
          <w:bCs/>
          <w:rtl/>
        </w:rPr>
        <w:t>الفئة الثالثة:</w:t>
      </w:r>
      <w:r>
        <w:rPr>
          <w:rFonts w:ascii="Arial" w:eastAsia="Arial" w:hAnsi="Arial" w:cs="Arial"/>
          <w:rtl/>
        </w:rPr>
        <w:t xml:space="preserve"> وتشمل الخبراء، والنقاد، والمثمنين الفنيين المستقلين، بالإضافة إلى المخططين الاستراتيجيين والمستشارين في الهيئات والمنظمات الثقافية التابعة للقطاعين الحكومي والخاص.</w:t>
      </w:r>
    </w:p>
    <w:p w14:paraId="36D7E895" w14:textId="77777777" w:rsidR="00B00FCA" w:rsidRDefault="00000000">
      <w:pPr>
        <w:bidi/>
        <w:spacing w:after="240" w:line="276" w:lineRule="auto"/>
        <w:rPr>
          <w:rFonts w:ascii="Arial" w:eastAsia="Arial" w:hAnsi="Arial" w:cs="Arial"/>
        </w:rPr>
      </w:pPr>
      <w:r>
        <w:rPr>
          <w:rFonts w:ascii="Arial" w:eastAsia="Arial" w:hAnsi="Arial" w:cs="Arial"/>
          <w:rtl/>
        </w:rPr>
        <w:t xml:space="preserve">ونظراً لخصوصية هذا المجتمع وطبيعة انتشاره، وغياب السجلات المركزية الرسمية الشاملة التي تحصر أعداد </w:t>
      </w:r>
      <w:proofErr w:type="spellStart"/>
      <w:r>
        <w:rPr>
          <w:rFonts w:ascii="Arial" w:eastAsia="Arial" w:hAnsi="Arial" w:cs="Arial"/>
          <w:rtl/>
        </w:rPr>
        <w:t>المقتنين</w:t>
      </w:r>
      <w:proofErr w:type="spellEnd"/>
      <w:r>
        <w:rPr>
          <w:rFonts w:ascii="Arial" w:eastAsia="Arial" w:hAnsi="Arial" w:cs="Arial"/>
          <w:rtl/>
        </w:rPr>
        <w:t xml:space="preserve"> بدقة في المراحل السابقة، اعتُمد على استراتيجية معاينة متنوعة ومبررة منهجياً لضمان التمثيل الدقيق والصحيح لكافة الفئات المذكورة:</w:t>
      </w:r>
    </w:p>
    <w:p w14:paraId="14026A22" w14:textId="77777777" w:rsidR="00B00FCA" w:rsidRDefault="00000000">
      <w:pPr>
        <w:numPr>
          <w:ilvl w:val="0"/>
          <w:numId w:val="25"/>
        </w:numPr>
        <w:bidi/>
        <w:spacing w:after="0" w:line="276" w:lineRule="auto"/>
        <w:ind w:left="720"/>
        <w:rPr>
          <w:rFonts w:ascii="Arial" w:eastAsia="Arial" w:hAnsi="Arial" w:cs="Arial"/>
        </w:rPr>
      </w:pPr>
      <w:r>
        <w:rPr>
          <w:rFonts w:ascii="Arial" w:eastAsia="Arial" w:hAnsi="Arial" w:cs="Arial"/>
          <w:rtl/>
        </w:rPr>
        <w:t>عينة صالات العرض والمؤسسات الثقافية: اختيرت هذه العينة عبر أسلوب العينة العشوائية الطبقية من المدن الرئيسية الكبرى التي تشهد النشاط والحراك الفني والتجاري الأكبر في المملكة، وهي (الرياض، وجدة، والمنطقة الشرقية)، وذلك لضمان تغطية المنصات والمؤسسات الفنية الأكثر تأثيراً ونشاطاً في السوق الأولية للأعمال الفنية.</w:t>
      </w:r>
    </w:p>
    <w:p w14:paraId="3BAE5133" w14:textId="77777777" w:rsidR="00B00FCA" w:rsidRDefault="00000000">
      <w:pPr>
        <w:numPr>
          <w:ilvl w:val="0"/>
          <w:numId w:val="25"/>
        </w:numPr>
        <w:bidi/>
        <w:spacing w:after="0" w:line="276" w:lineRule="auto"/>
        <w:ind w:left="720"/>
        <w:rPr>
          <w:rFonts w:ascii="Arial" w:eastAsia="Arial" w:hAnsi="Arial" w:cs="Arial"/>
        </w:rPr>
      </w:pPr>
      <w:r>
        <w:rPr>
          <w:rFonts w:ascii="Arial" w:eastAsia="Arial" w:hAnsi="Arial" w:cs="Arial"/>
          <w:rtl/>
        </w:rPr>
        <w:t xml:space="preserve">عينة </w:t>
      </w:r>
      <w:proofErr w:type="spellStart"/>
      <w:r>
        <w:rPr>
          <w:rFonts w:ascii="Arial" w:eastAsia="Arial" w:hAnsi="Arial" w:cs="Arial"/>
          <w:rtl/>
        </w:rPr>
        <w:t>المقتنين</w:t>
      </w:r>
      <w:proofErr w:type="spellEnd"/>
      <w:r>
        <w:rPr>
          <w:rFonts w:ascii="Arial" w:eastAsia="Arial" w:hAnsi="Arial" w:cs="Arial"/>
          <w:rtl/>
        </w:rPr>
        <w:t xml:space="preserve"> والمستثمرين الفنيين: نظراً لطبيعة هذه الفئة النخبوية وصعوبة الوصول التلقائي إليها أو حصرها بقوائم مسبقة، طُبق أسلوب عينة كرة الثلج، حيث اعتُمد على </w:t>
      </w:r>
      <w:proofErr w:type="spellStart"/>
      <w:r>
        <w:rPr>
          <w:rFonts w:ascii="Arial" w:eastAsia="Arial" w:hAnsi="Arial" w:cs="Arial"/>
          <w:rtl/>
        </w:rPr>
        <w:t>المقتنين</w:t>
      </w:r>
      <w:proofErr w:type="spellEnd"/>
      <w:r>
        <w:rPr>
          <w:rFonts w:ascii="Arial" w:eastAsia="Arial" w:hAnsi="Arial" w:cs="Arial"/>
          <w:rtl/>
        </w:rPr>
        <w:t xml:space="preserve"> الأوائل الذين جرى التواصل معهم لإرشاد وتوجيه الباحث إلى </w:t>
      </w:r>
      <w:proofErr w:type="spellStart"/>
      <w:r>
        <w:rPr>
          <w:rFonts w:ascii="Arial" w:eastAsia="Arial" w:hAnsi="Arial" w:cs="Arial"/>
          <w:rtl/>
        </w:rPr>
        <w:t>مقتنين</w:t>
      </w:r>
      <w:proofErr w:type="spellEnd"/>
      <w:r>
        <w:rPr>
          <w:rFonts w:ascii="Arial" w:eastAsia="Arial" w:hAnsi="Arial" w:cs="Arial"/>
          <w:rtl/>
        </w:rPr>
        <w:t xml:space="preserve"> ومستثمرين آخرين من ضمن شبكاتهم الاجتماعية والاستثمارية، مما أسهم في بناء عينة كافية وممثلة لإجراء التحليلات المتقدمة.</w:t>
      </w:r>
    </w:p>
    <w:p w14:paraId="296DE9DF" w14:textId="77777777" w:rsidR="00B00FCA" w:rsidRDefault="00000000">
      <w:pPr>
        <w:numPr>
          <w:ilvl w:val="0"/>
          <w:numId w:val="25"/>
        </w:numPr>
        <w:bidi/>
        <w:spacing w:after="240" w:line="276" w:lineRule="auto"/>
        <w:ind w:left="720"/>
        <w:rPr>
          <w:rFonts w:ascii="Arial" w:eastAsia="Arial" w:hAnsi="Arial" w:cs="Arial"/>
        </w:rPr>
      </w:pPr>
      <w:r>
        <w:rPr>
          <w:rFonts w:ascii="Arial" w:eastAsia="Arial" w:hAnsi="Arial" w:cs="Arial"/>
          <w:rtl/>
        </w:rPr>
        <w:t>عينة المقابلات النوعية: استُخدم أسلوب العينة القصدية العمدية لانتخاب واختيار الشخصيات النخبوية الأكثر خبرة ودراية بالخلفيات التنظيمية، والتشريعية، والتاريخية للسوق الفني، لضمان الحصول على بيانات ذات قيمة علمية مضافة وتفسيرات عميقة تخدم أهداف الدراسة وتجيب على تساؤلاتها بدقة.</w:t>
      </w:r>
    </w:p>
    <w:p w14:paraId="78B1C967" w14:textId="77777777" w:rsidR="00B00FCA" w:rsidRDefault="00000000">
      <w:pPr>
        <w:pStyle w:val="3"/>
        <w:keepNext w:val="0"/>
        <w:keepLines w:val="0"/>
        <w:bidi/>
        <w:spacing w:before="0" w:line="276" w:lineRule="auto"/>
        <w:rPr>
          <w:rFonts w:ascii="Arial" w:eastAsia="Arial" w:hAnsi="Arial" w:cs="Arial"/>
          <w:sz w:val="26"/>
          <w:szCs w:val="26"/>
        </w:rPr>
      </w:pPr>
      <w:bookmarkStart w:id="52" w:name="_9bv7dxh63vom" w:colFirst="0" w:colLast="0"/>
      <w:bookmarkEnd w:id="52"/>
      <w:r>
        <w:rPr>
          <w:rFonts w:ascii="Arial" w:eastAsia="Arial" w:hAnsi="Arial" w:cs="Arial"/>
          <w:sz w:val="26"/>
          <w:szCs w:val="26"/>
          <w:rtl/>
        </w:rPr>
        <w:t xml:space="preserve">3. إجراءات الصدق والثبات للأدوات </w:t>
      </w:r>
    </w:p>
    <w:p w14:paraId="578879DD" w14:textId="77777777" w:rsidR="00B00FCA" w:rsidRDefault="00000000">
      <w:pPr>
        <w:bidi/>
        <w:spacing w:after="240" w:line="276" w:lineRule="auto"/>
        <w:rPr>
          <w:rFonts w:ascii="Arial" w:eastAsia="Arial" w:hAnsi="Arial" w:cs="Arial"/>
        </w:rPr>
      </w:pPr>
      <w:r>
        <w:rPr>
          <w:rFonts w:ascii="Arial" w:eastAsia="Arial" w:hAnsi="Arial" w:cs="Arial"/>
          <w:rtl/>
        </w:rPr>
        <w:t xml:space="preserve">ضماناً للالتزام بالصارمة المنهجية المتبعة في الأبحاث الأكاديمية الرصينة، وتأميناً لسلامة وكفاءة أدوات القياس قبل البدء في عمليات جمع البيانات النهائية والتحليل الموسع، أُخضعت أدوات الدراسة الحالية لسلسلة متكاملة من الاختبارات والإجراءات </w:t>
      </w:r>
      <w:proofErr w:type="spellStart"/>
      <w:r>
        <w:rPr>
          <w:rFonts w:ascii="Arial" w:eastAsia="Arial" w:hAnsi="Arial" w:cs="Arial"/>
          <w:rtl/>
        </w:rPr>
        <w:t>السيكومترية</w:t>
      </w:r>
      <w:proofErr w:type="spellEnd"/>
      <w:r>
        <w:rPr>
          <w:rFonts w:ascii="Arial" w:eastAsia="Arial" w:hAnsi="Arial" w:cs="Arial"/>
          <w:rtl/>
        </w:rPr>
        <w:t xml:space="preserve"> المتقدمة للتحقق من مستويات الصدق والثبات.</w:t>
      </w:r>
    </w:p>
    <w:p w14:paraId="29B80075" w14:textId="77777777" w:rsidR="00B00FCA" w:rsidRDefault="00000000">
      <w:pPr>
        <w:pStyle w:val="4"/>
        <w:keepNext w:val="0"/>
        <w:keepLines w:val="0"/>
        <w:bidi/>
        <w:spacing w:before="0" w:line="276" w:lineRule="auto"/>
        <w:rPr>
          <w:rFonts w:ascii="Arial" w:eastAsia="Arial" w:hAnsi="Arial" w:cs="Arial"/>
          <w:sz w:val="22"/>
          <w:szCs w:val="22"/>
        </w:rPr>
      </w:pPr>
      <w:bookmarkStart w:id="53" w:name="_q7i3f17jr31" w:colFirst="0" w:colLast="0"/>
      <w:bookmarkEnd w:id="53"/>
      <w:r>
        <w:rPr>
          <w:rFonts w:ascii="Arial" w:eastAsia="Arial" w:hAnsi="Arial" w:cs="Arial"/>
          <w:sz w:val="22"/>
          <w:szCs w:val="22"/>
          <w:rtl/>
        </w:rPr>
        <w:t>أولاً: إجراءات التحقق من الصدق</w:t>
      </w:r>
    </w:p>
    <w:p w14:paraId="12F654EF" w14:textId="77777777" w:rsidR="00B00FCA" w:rsidRDefault="00000000">
      <w:pPr>
        <w:numPr>
          <w:ilvl w:val="0"/>
          <w:numId w:val="16"/>
        </w:numPr>
        <w:bidi/>
        <w:spacing w:after="0" w:line="276" w:lineRule="auto"/>
        <w:rPr>
          <w:rFonts w:ascii="Arial" w:eastAsia="Arial" w:hAnsi="Arial" w:cs="Arial"/>
        </w:rPr>
      </w:pPr>
      <w:r>
        <w:rPr>
          <w:rFonts w:ascii="Arial" w:eastAsia="Arial" w:hAnsi="Arial" w:cs="Arial"/>
          <w:b/>
          <w:bCs/>
          <w:rtl/>
        </w:rPr>
        <w:t>الصدق الظاهري وصدق المحتوى:</w:t>
      </w:r>
      <w:r>
        <w:rPr>
          <w:rFonts w:ascii="Arial" w:eastAsia="Arial" w:hAnsi="Arial" w:cs="Arial"/>
          <w:rtl/>
        </w:rPr>
        <w:t xml:space="preserve"> عُرضت الاستبانة في صورتها الأولية على لجنة من المحكمين الأكاديميين المتخصصين في مجالات التسويق، وإدارة الأعمال، والاتصال، بالتوازي مع عرضها على خبراء ممارسين في الحقل الثقافي. وتولت اللجنة تقييم مدى ملاءمة العبارات، وسلامة الصياغة اللغوية، ووضوحها الإجرائي، ومدى ارتباط كل عبارة بالمتغير الفرعي والمحور الذي وضعت لقياسه. وبناءً على التقرير العلمي للجنة التحكيم والملحوظات المستلمة، جرت إعادة صياغة بعض العبارات وحذف الأخرى وتعديل بعض الكلمات لضمان دقة الأداة وخلوها من التحيز.</w:t>
      </w:r>
    </w:p>
    <w:p w14:paraId="0F2512CB" w14:textId="77777777" w:rsidR="00B00FCA" w:rsidRDefault="00000000">
      <w:pPr>
        <w:numPr>
          <w:ilvl w:val="0"/>
          <w:numId w:val="16"/>
        </w:numPr>
        <w:bidi/>
        <w:spacing w:after="240" w:line="276" w:lineRule="auto"/>
        <w:rPr>
          <w:rFonts w:ascii="Arial" w:eastAsia="Arial" w:hAnsi="Arial" w:cs="Arial"/>
        </w:rPr>
      </w:pPr>
      <w:r>
        <w:rPr>
          <w:rFonts w:ascii="Arial" w:eastAsia="Arial" w:hAnsi="Arial" w:cs="Arial"/>
          <w:b/>
          <w:bCs/>
          <w:rtl/>
        </w:rPr>
        <w:t>صدق البناء والمفهوم:</w:t>
      </w:r>
      <w:r>
        <w:rPr>
          <w:rFonts w:ascii="Arial" w:eastAsia="Arial" w:hAnsi="Arial" w:cs="Arial"/>
          <w:rtl/>
        </w:rPr>
        <w:t xml:space="preserve"> طُبقت الأداة على عينة استطلاعية أولية بلغت ثلاثين مفردة من خارج عينة الدراسة الأساسية ومنتمية للمجتمع ذاته. واستُخدم التحليل العاملي الاستكشافي والتحليل العاملي التوكيدي للتحقق من مدى تماسك العبارات داخل البعد الواحد، وهو ما يُعرف بالصدق </w:t>
      </w:r>
      <w:proofErr w:type="spellStart"/>
      <w:r>
        <w:rPr>
          <w:rFonts w:ascii="Arial" w:eastAsia="Arial" w:hAnsi="Arial" w:cs="Arial"/>
          <w:rtl/>
        </w:rPr>
        <w:t>التقاربي</w:t>
      </w:r>
      <w:proofErr w:type="spellEnd"/>
      <w:r>
        <w:rPr>
          <w:rFonts w:ascii="Arial" w:eastAsia="Arial" w:hAnsi="Arial" w:cs="Arial"/>
          <w:rtl/>
        </w:rPr>
        <w:t xml:space="preserve">، والتأكد من استقلالية المحاور الرئيسية والمفاهيم الإجرائية عن بعضها البعض وعدم تداخلها بشكل يشوه دقة مخرجات القياس، وهو ما يُسمى بالصدق </w:t>
      </w:r>
      <w:proofErr w:type="spellStart"/>
      <w:r>
        <w:rPr>
          <w:rFonts w:ascii="Arial" w:eastAsia="Arial" w:hAnsi="Arial" w:cs="Arial"/>
          <w:rtl/>
        </w:rPr>
        <w:t>التمايزي</w:t>
      </w:r>
      <w:proofErr w:type="spellEnd"/>
      <w:r>
        <w:rPr>
          <w:rFonts w:ascii="Arial" w:eastAsia="Arial" w:hAnsi="Arial" w:cs="Arial"/>
          <w:rtl/>
        </w:rPr>
        <w:t>، حيث جرى حساب مصفوفة الارتباطات البينية وقيم التحميل العاملي لكل عبارة.</w:t>
      </w:r>
    </w:p>
    <w:p w14:paraId="1C4EB18B" w14:textId="77777777" w:rsidR="00B00FCA" w:rsidRDefault="00000000">
      <w:pPr>
        <w:pStyle w:val="4"/>
        <w:keepNext w:val="0"/>
        <w:keepLines w:val="0"/>
        <w:bidi/>
        <w:spacing w:before="0" w:line="276" w:lineRule="auto"/>
        <w:rPr>
          <w:rFonts w:ascii="Arial" w:eastAsia="Arial" w:hAnsi="Arial" w:cs="Arial"/>
          <w:sz w:val="22"/>
          <w:szCs w:val="22"/>
        </w:rPr>
      </w:pPr>
      <w:bookmarkStart w:id="54" w:name="_mcsjpoyfdk0b" w:colFirst="0" w:colLast="0"/>
      <w:bookmarkEnd w:id="54"/>
      <w:r>
        <w:rPr>
          <w:rFonts w:ascii="Arial" w:eastAsia="Arial" w:hAnsi="Arial" w:cs="Arial"/>
          <w:sz w:val="22"/>
          <w:szCs w:val="22"/>
          <w:rtl/>
        </w:rPr>
        <w:t>ثانياً: إجراءات التحقق من الثبات</w:t>
      </w:r>
    </w:p>
    <w:p w14:paraId="11FDD307" w14:textId="77777777" w:rsidR="00B00FCA" w:rsidRDefault="00000000">
      <w:pPr>
        <w:bidi/>
        <w:spacing w:after="240" w:line="276" w:lineRule="auto"/>
        <w:rPr>
          <w:rFonts w:ascii="Arial" w:eastAsia="Arial" w:hAnsi="Arial" w:cs="Arial"/>
        </w:rPr>
      </w:pPr>
      <w:r>
        <w:rPr>
          <w:rFonts w:ascii="Arial" w:eastAsia="Arial" w:hAnsi="Arial" w:cs="Arial"/>
          <w:rtl/>
        </w:rPr>
        <w:lastRenderedPageBreak/>
        <w:t xml:space="preserve">لقياس مدى استقرار أداة القياس الكمية وعدم تغير نتائجها في حال أعيد تطبيقها على العينة ذاتها وفي ظروف مماثلة، حُسب معامل ألفا </w:t>
      </w:r>
      <w:proofErr w:type="spellStart"/>
      <w:r>
        <w:rPr>
          <w:rFonts w:ascii="Arial" w:eastAsia="Arial" w:hAnsi="Arial" w:cs="Arial"/>
          <w:rtl/>
        </w:rPr>
        <w:t>كرونباخ</w:t>
      </w:r>
      <w:proofErr w:type="spellEnd"/>
      <w:r>
        <w:rPr>
          <w:rFonts w:ascii="Arial" w:eastAsia="Arial" w:hAnsi="Arial" w:cs="Arial"/>
          <w:rtl/>
        </w:rPr>
        <w:t xml:space="preserve"> للاتساق الداخلي لجميع محاور الاستبانة وللأداة في كليتها استناداً إلى بيانات العينة الاستطلاعية.</w:t>
      </w:r>
    </w:p>
    <w:p w14:paraId="5195697E" w14:textId="77777777" w:rsidR="00B00FCA" w:rsidRDefault="00000000">
      <w:pPr>
        <w:bidi/>
        <w:spacing w:after="240" w:line="276" w:lineRule="auto"/>
        <w:rPr>
          <w:rFonts w:ascii="Arial" w:eastAsia="Arial" w:hAnsi="Arial" w:cs="Arial"/>
        </w:rPr>
      </w:pPr>
      <w:r>
        <w:rPr>
          <w:rFonts w:ascii="Arial" w:eastAsia="Arial" w:hAnsi="Arial" w:cs="Arial"/>
          <w:rtl/>
        </w:rPr>
        <w:t>وجرى التحقق من تجاوز جميع قيم المعاملات المحسوبة للحد الأدنى المقبول أكاديمياً والمحدد بـ (0.70). وبالتوازي مع ذلك، حُسبت قيم الثبات المركب ومتوسط التباين المستخلص لكل متغير من متغيرات النموذج، وجاءت المؤشرات الإحصائية لتؤكد أن الأداة تتمتع بدرجة عالية جداً من الاستقرار والخلو من الأخطاء العشوائية، مما أثبت جاهزيتها التامة للتطبيق الميداني النهائي.</w:t>
      </w:r>
    </w:p>
    <w:p w14:paraId="6BFCD838" w14:textId="77777777" w:rsidR="00B00FCA" w:rsidRDefault="00000000">
      <w:pPr>
        <w:pStyle w:val="3"/>
        <w:keepNext w:val="0"/>
        <w:keepLines w:val="0"/>
        <w:bidi/>
        <w:spacing w:before="0" w:line="276" w:lineRule="auto"/>
        <w:rPr>
          <w:rFonts w:ascii="Arial" w:eastAsia="Arial" w:hAnsi="Arial" w:cs="Arial"/>
          <w:sz w:val="26"/>
          <w:szCs w:val="26"/>
        </w:rPr>
      </w:pPr>
      <w:bookmarkStart w:id="55" w:name="_1jw4k8j0abkj" w:colFirst="0" w:colLast="0"/>
      <w:bookmarkEnd w:id="55"/>
      <w:r>
        <w:rPr>
          <w:rFonts w:ascii="Arial" w:eastAsia="Arial" w:hAnsi="Arial" w:cs="Arial"/>
          <w:sz w:val="26"/>
          <w:szCs w:val="26"/>
          <w:rtl/>
        </w:rPr>
        <w:t>4. الأساليب الإحصائية المتبعة ومعالجة البيانات</w:t>
      </w:r>
    </w:p>
    <w:p w14:paraId="5DFFC731" w14:textId="77777777" w:rsidR="00B00FCA" w:rsidRDefault="00000000">
      <w:pPr>
        <w:bidi/>
        <w:spacing w:after="240" w:line="276" w:lineRule="auto"/>
        <w:rPr>
          <w:rFonts w:ascii="Arial" w:eastAsia="Arial" w:hAnsi="Arial" w:cs="Arial"/>
        </w:rPr>
      </w:pPr>
      <w:r>
        <w:rPr>
          <w:rFonts w:ascii="Arial" w:eastAsia="Arial" w:hAnsi="Arial" w:cs="Arial"/>
          <w:rtl/>
        </w:rPr>
        <w:t>لمعالجة البيانات الكمية الأولية التي جُمعت من الميدان، وتحويلها من أرقام صماء إلى دلالات ومؤشرات علمية وتطبيقية تجيب على تساؤلات الدراسة وتختبر فرضياتها البنيوية، وضعت خطة تحليل إحصائي شاملة ومنهجية. واعتُمد في تنفيذ هذه الخطة على دمج الحزم البرمجية الحديثة، وفي مقدمتها برنامج الحزمة الإحصائية للعلوم الاجتماعية وبرمجيات نمذجة المعادلات الهيكلية عبر المربعات الصغرى الجزئية. وتتوزع الأساليب والمسارات الإحصائية المستخدمة على النحو التالي:</w:t>
      </w:r>
    </w:p>
    <w:p w14:paraId="38897D64" w14:textId="77777777" w:rsidR="00B00FCA" w:rsidRDefault="00000000">
      <w:pPr>
        <w:pStyle w:val="4"/>
        <w:keepNext w:val="0"/>
        <w:keepLines w:val="0"/>
        <w:bidi/>
        <w:spacing w:before="0" w:line="276" w:lineRule="auto"/>
        <w:rPr>
          <w:rFonts w:ascii="Arial" w:eastAsia="Arial" w:hAnsi="Arial" w:cs="Arial"/>
          <w:sz w:val="22"/>
          <w:szCs w:val="22"/>
        </w:rPr>
      </w:pPr>
      <w:bookmarkStart w:id="56" w:name="_kcmpelrzlw7u" w:colFirst="0" w:colLast="0"/>
      <w:bookmarkEnd w:id="56"/>
      <w:r>
        <w:rPr>
          <w:rFonts w:ascii="Arial" w:eastAsia="Arial" w:hAnsi="Arial" w:cs="Arial"/>
          <w:sz w:val="22"/>
          <w:szCs w:val="22"/>
          <w:rtl/>
        </w:rPr>
        <w:t>أ. أساليب الإحصاء الوصفي</w:t>
      </w:r>
    </w:p>
    <w:p w14:paraId="0D9C2FF6" w14:textId="77777777" w:rsidR="00B00FCA" w:rsidRDefault="00000000">
      <w:pPr>
        <w:numPr>
          <w:ilvl w:val="0"/>
          <w:numId w:val="24"/>
        </w:numPr>
        <w:bidi/>
        <w:spacing w:after="0" w:line="276" w:lineRule="auto"/>
        <w:rPr>
          <w:rFonts w:ascii="Arial" w:eastAsia="Arial" w:hAnsi="Arial" w:cs="Arial"/>
        </w:rPr>
      </w:pPr>
      <w:r>
        <w:rPr>
          <w:rFonts w:ascii="Arial" w:eastAsia="Arial" w:hAnsi="Arial" w:cs="Arial"/>
          <w:b/>
          <w:bCs/>
          <w:rtl/>
        </w:rPr>
        <w:t>التكرارات والنسب المئوية:</w:t>
      </w:r>
      <w:r>
        <w:rPr>
          <w:rFonts w:ascii="Arial" w:eastAsia="Arial" w:hAnsi="Arial" w:cs="Arial"/>
          <w:rtl/>
        </w:rPr>
        <w:t xml:space="preserve"> استُخدمت لتوصيف الخصائص الديموغرافية والسلوكية لأفراد العينة المستهدفة، مثل توزيعهم بحسب السن، أو طبيعة العمل، أو سنوات الخبرة.</w:t>
      </w:r>
    </w:p>
    <w:p w14:paraId="3BE8A08C" w14:textId="77777777" w:rsidR="00B00FCA" w:rsidRDefault="00000000">
      <w:pPr>
        <w:numPr>
          <w:ilvl w:val="0"/>
          <w:numId w:val="24"/>
        </w:numPr>
        <w:bidi/>
        <w:spacing w:after="0" w:line="276" w:lineRule="auto"/>
        <w:rPr>
          <w:rFonts w:ascii="Arial" w:eastAsia="Arial" w:hAnsi="Arial" w:cs="Arial"/>
        </w:rPr>
      </w:pPr>
      <w:r>
        <w:rPr>
          <w:rFonts w:ascii="Arial" w:eastAsia="Arial" w:hAnsi="Arial" w:cs="Arial"/>
          <w:b/>
          <w:bCs/>
          <w:rtl/>
        </w:rPr>
        <w:t>الأوساط الحسابية الموزونة والانحرافات المعيارية:</w:t>
      </w:r>
      <w:r>
        <w:rPr>
          <w:rFonts w:ascii="Arial" w:eastAsia="Arial" w:hAnsi="Arial" w:cs="Arial"/>
          <w:rtl/>
        </w:rPr>
        <w:t xml:space="preserve"> طُبقت لتحديد الأهمية النسبية لترتيب العبارات والمحاور، ورصد مستويات وأوزان تبني صالات العرض لأبعاد الابتكار الخمسة، ومدى اتساق وتكامل القنوات والرسائل الاتصالية السائدة بحسب وجهات نظر المبحوثين.</w:t>
      </w:r>
    </w:p>
    <w:p w14:paraId="6663ECD4" w14:textId="77777777" w:rsidR="00B00FCA" w:rsidRDefault="00000000">
      <w:pPr>
        <w:numPr>
          <w:ilvl w:val="0"/>
          <w:numId w:val="24"/>
        </w:numPr>
        <w:bidi/>
        <w:spacing w:after="240" w:line="276" w:lineRule="auto"/>
        <w:rPr>
          <w:rFonts w:ascii="Arial" w:eastAsia="Arial" w:hAnsi="Arial" w:cs="Arial"/>
        </w:rPr>
      </w:pPr>
      <w:r>
        <w:rPr>
          <w:rFonts w:ascii="Arial" w:eastAsia="Arial" w:hAnsi="Arial" w:cs="Arial"/>
          <w:b/>
          <w:bCs/>
          <w:rtl/>
        </w:rPr>
        <w:t xml:space="preserve">اختبارات الالتواء </w:t>
      </w:r>
      <w:proofErr w:type="spellStart"/>
      <w:r>
        <w:rPr>
          <w:rFonts w:ascii="Arial" w:eastAsia="Arial" w:hAnsi="Arial" w:cs="Arial"/>
          <w:b/>
          <w:bCs/>
          <w:rtl/>
        </w:rPr>
        <w:t>والتفرطح</w:t>
      </w:r>
      <w:proofErr w:type="spellEnd"/>
      <w:r>
        <w:rPr>
          <w:rFonts w:ascii="Arial" w:eastAsia="Arial" w:hAnsi="Arial" w:cs="Arial"/>
          <w:b/>
          <w:bCs/>
          <w:rtl/>
        </w:rPr>
        <w:t>:</w:t>
      </w:r>
      <w:r>
        <w:rPr>
          <w:rFonts w:ascii="Arial" w:eastAsia="Arial" w:hAnsi="Arial" w:cs="Arial"/>
          <w:rtl/>
        </w:rPr>
        <w:t xml:space="preserve"> أُجريت هذه الاختبارات للتأكد من اعتدالية توزيع البيانات المقاسة، ومدى ملاءمتها لتطبيق الاختبارات الإحصائية </w:t>
      </w:r>
      <w:proofErr w:type="spellStart"/>
      <w:r>
        <w:rPr>
          <w:rFonts w:ascii="Arial" w:eastAsia="Arial" w:hAnsi="Arial" w:cs="Arial"/>
          <w:rtl/>
        </w:rPr>
        <w:t>المعلمية</w:t>
      </w:r>
      <w:proofErr w:type="spellEnd"/>
      <w:r>
        <w:rPr>
          <w:rFonts w:ascii="Arial" w:eastAsia="Arial" w:hAnsi="Arial" w:cs="Arial"/>
          <w:rtl/>
        </w:rPr>
        <w:t xml:space="preserve"> المتقدمة دون حدوث تشويه في التقديرات.</w:t>
      </w:r>
    </w:p>
    <w:p w14:paraId="22817648" w14:textId="77777777" w:rsidR="00B00FCA" w:rsidRDefault="00000000">
      <w:pPr>
        <w:pStyle w:val="4"/>
        <w:keepNext w:val="0"/>
        <w:keepLines w:val="0"/>
        <w:bidi/>
        <w:spacing w:before="0" w:line="276" w:lineRule="auto"/>
        <w:rPr>
          <w:rFonts w:ascii="Arial" w:eastAsia="Arial" w:hAnsi="Arial" w:cs="Arial"/>
          <w:sz w:val="22"/>
          <w:szCs w:val="22"/>
        </w:rPr>
      </w:pPr>
      <w:bookmarkStart w:id="57" w:name="_9nlqk2lv531i" w:colFirst="0" w:colLast="0"/>
      <w:bookmarkEnd w:id="57"/>
      <w:r>
        <w:rPr>
          <w:rFonts w:ascii="Arial" w:eastAsia="Arial" w:hAnsi="Arial" w:cs="Arial"/>
          <w:sz w:val="22"/>
          <w:szCs w:val="22"/>
          <w:rtl/>
        </w:rPr>
        <w:t>ب. أساليب الإحصاء الاستدلالي واختبار الفرضيات البنيوية</w:t>
      </w:r>
    </w:p>
    <w:p w14:paraId="5BA365E5" w14:textId="77777777" w:rsidR="00B00FCA" w:rsidRDefault="00000000">
      <w:pPr>
        <w:numPr>
          <w:ilvl w:val="0"/>
          <w:numId w:val="3"/>
        </w:numPr>
        <w:bidi/>
        <w:spacing w:after="0" w:line="276" w:lineRule="auto"/>
        <w:rPr>
          <w:rFonts w:ascii="Arial" w:eastAsia="Arial" w:hAnsi="Arial" w:cs="Arial"/>
        </w:rPr>
      </w:pPr>
      <w:r>
        <w:rPr>
          <w:rFonts w:ascii="Arial" w:eastAsia="Arial" w:hAnsi="Arial" w:cs="Arial"/>
          <w:b/>
          <w:bCs/>
          <w:rtl/>
        </w:rPr>
        <w:t>معامل ارتباط بيرسون:</w:t>
      </w:r>
      <w:r>
        <w:rPr>
          <w:rFonts w:ascii="Arial" w:eastAsia="Arial" w:hAnsi="Arial" w:cs="Arial"/>
          <w:rtl/>
        </w:rPr>
        <w:t xml:space="preserve"> استُخدم للوقوف على طبيعة، واتجاه، وقوة العلاقات الثنائية الأولية والارتباطات القائمة بين متغيرات الدراسة المستقلة والوسيطة والتابعة قبل الدخول في نماذج التأثير المعقدة.</w:t>
      </w:r>
    </w:p>
    <w:p w14:paraId="2688F5CF" w14:textId="77777777" w:rsidR="00B00FCA" w:rsidRDefault="00000000">
      <w:pPr>
        <w:numPr>
          <w:ilvl w:val="0"/>
          <w:numId w:val="3"/>
        </w:numPr>
        <w:bidi/>
        <w:spacing w:after="0" w:line="276" w:lineRule="auto"/>
        <w:rPr>
          <w:rFonts w:ascii="Arial" w:eastAsia="Arial" w:hAnsi="Arial" w:cs="Arial"/>
        </w:rPr>
      </w:pPr>
      <w:r>
        <w:rPr>
          <w:rFonts w:ascii="Arial" w:eastAsia="Arial" w:hAnsi="Arial" w:cs="Arial"/>
          <w:b/>
          <w:bCs/>
          <w:rtl/>
        </w:rPr>
        <w:t>تحليل الانحدار المتعدد:</w:t>
      </w:r>
      <w:r>
        <w:rPr>
          <w:rFonts w:ascii="Arial" w:eastAsia="Arial" w:hAnsi="Arial" w:cs="Arial"/>
          <w:rtl/>
        </w:rPr>
        <w:t xml:space="preserve"> وظِّف لتقدير حجم وطبيعة الأثر المباشر لأبعاد الابتكار الخمسة، بصفتها متغيرات مستقلة مجتمعة، على كفاءة ونضج سوق الفنون البصرية كمتغير تابع.</w:t>
      </w:r>
    </w:p>
    <w:p w14:paraId="6F4AC416" w14:textId="77777777" w:rsidR="00B00FCA" w:rsidRDefault="00000000">
      <w:pPr>
        <w:numPr>
          <w:ilvl w:val="0"/>
          <w:numId w:val="3"/>
        </w:numPr>
        <w:bidi/>
        <w:spacing w:after="0" w:line="276" w:lineRule="auto"/>
        <w:rPr>
          <w:rFonts w:ascii="Arial" w:eastAsia="Arial" w:hAnsi="Arial" w:cs="Arial"/>
        </w:rPr>
      </w:pPr>
      <w:r>
        <w:rPr>
          <w:rFonts w:ascii="Arial" w:eastAsia="Arial" w:hAnsi="Arial" w:cs="Arial"/>
          <w:b/>
          <w:bCs/>
          <w:rtl/>
        </w:rPr>
        <w:t>نمذجة المعادلات الهيكلية عبر المربعات الصغرى الجزئية:</w:t>
      </w:r>
      <w:r>
        <w:rPr>
          <w:rFonts w:ascii="Arial" w:eastAsia="Arial" w:hAnsi="Arial" w:cs="Arial"/>
          <w:rtl/>
        </w:rPr>
        <w:t xml:space="preserve"> اعتُمد على هذا الأسلوب الإحصائي المتقدم </w:t>
      </w:r>
      <w:proofErr w:type="spellStart"/>
      <w:r>
        <w:rPr>
          <w:rFonts w:ascii="Arial" w:eastAsia="Arial" w:hAnsi="Arial" w:cs="Arial"/>
          <w:rtl/>
        </w:rPr>
        <w:t>والموصى</w:t>
      </w:r>
      <w:proofErr w:type="spellEnd"/>
      <w:r>
        <w:rPr>
          <w:rFonts w:ascii="Arial" w:eastAsia="Arial" w:hAnsi="Arial" w:cs="Arial"/>
          <w:rtl/>
        </w:rPr>
        <w:t xml:space="preserve"> به في الدراسات الإدارية والتسويقية المعاصرة، لكونه يتيح اختبار مصفوفة العلاقات السببية المعقدة والمتشابكة في نموذج بنيوي واحد. ويُوظف هذا الأسلوب لقياس الأثر غير المباشر عبر المتغير الوسيط، وذلك للتحقق من مدى قدرة الاتصال التسويقي المتكامل على التوسط في العلاقة بين أبعاد الابتكار وكفاءة السوق ونضجه المؤسسي، وحساب مستويات التفسير الإجمالية للنموذج.</w:t>
      </w:r>
    </w:p>
    <w:p w14:paraId="2251818C" w14:textId="77777777" w:rsidR="00B00FCA" w:rsidRDefault="00000000">
      <w:pPr>
        <w:numPr>
          <w:ilvl w:val="0"/>
          <w:numId w:val="3"/>
        </w:numPr>
        <w:bidi/>
        <w:spacing w:after="0" w:line="276" w:lineRule="auto"/>
        <w:rPr>
          <w:rFonts w:ascii="Arial" w:eastAsia="Arial" w:hAnsi="Arial" w:cs="Arial"/>
        </w:rPr>
      </w:pPr>
      <w:r>
        <w:rPr>
          <w:rFonts w:ascii="Arial" w:eastAsia="Arial" w:hAnsi="Arial" w:cs="Arial"/>
          <w:b/>
          <w:bCs/>
          <w:rtl/>
        </w:rPr>
        <w:t xml:space="preserve">تحليل التباين الأحادي واختبارات الفروق </w:t>
      </w:r>
      <w:proofErr w:type="spellStart"/>
      <w:r>
        <w:rPr>
          <w:rFonts w:ascii="Arial" w:eastAsia="Arial" w:hAnsi="Arial" w:cs="Arial"/>
          <w:b/>
          <w:bCs/>
          <w:rtl/>
        </w:rPr>
        <w:t>المعلمية</w:t>
      </w:r>
      <w:proofErr w:type="spellEnd"/>
      <w:r>
        <w:rPr>
          <w:rFonts w:ascii="Arial" w:eastAsia="Arial" w:hAnsi="Arial" w:cs="Arial"/>
          <w:b/>
          <w:bCs/>
          <w:rtl/>
        </w:rPr>
        <w:t>:</w:t>
      </w:r>
      <w:r>
        <w:rPr>
          <w:rFonts w:ascii="Arial" w:eastAsia="Arial" w:hAnsi="Arial" w:cs="Arial"/>
          <w:rtl/>
        </w:rPr>
        <w:t xml:space="preserve"> طُبقت هذه الاختبارات لاستكشاف مدى وجود فروق ذات دلالة إحصائية في إدراكات وتفضيلات أفراد العينة حول المتغيرات الرئيسية بناءً على الخصائص الديموغرافية والسلوكية، مثل السن، أو مستوى الخبرة، أو طبيعة السلوك الرقمي.</w:t>
      </w:r>
    </w:p>
    <w:p w14:paraId="2BE38D96" w14:textId="77777777" w:rsidR="00B00FCA" w:rsidRDefault="00000000">
      <w:pPr>
        <w:numPr>
          <w:ilvl w:val="0"/>
          <w:numId w:val="3"/>
        </w:numPr>
        <w:bidi/>
        <w:spacing w:after="240" w:line="276" w:lineRule="auto"/>
        <w:rPr>
          <w:rFonts w:ascii="Arial" w:eastAsia="Arial" w:hAnsi="Arial" w:cs="Arial"/>
        </w:rPr>
      </w:pPr>
      <w:r>
        <w:rPr>
          <w:rFonts w:ascii="Arial" w:eastAsia="Arial" w:hAnsi="Arial" w:cs="Arial"/>
          <w:b/>
          <w:bCs/>
          <w:rtl/>
        </w:rPr>
        <w:t>اختبار معامل تضخم التباين:</w:t>
      </w:r>
      <w:r>
        <w:rPr>
          <w:rFonts w:ascii="Arial" w:eastAsia="Arial" w:hAnsi="Arial" w:cs="Arial"/>
          <w:rtl/>
        </w:rPr>
        <w:t xml:space="preserve"> أُجري هذا الاختبار للتأكد من خلو النموذج البنيوي تماماً من مشكلة التعددية الخطية بين المتغيرات المستقلة، لضمان سلامة ودقة معاملات الانحدار والتأثير المستخرجة.</w:t>
      </w:r>
    </w:p>
    <w:p w14:paraId="53BB7009" w14:textId="77777777" w:rsidR="00B00FCA" w:rsidRDefault="00000000">
      <w:pPr>
        <w:bidi/>
        <w:spacing w:line="276" w:lineRule="auto"/>
        <w:rPr>
          <w:b/>
          <w:bCs/>
          <w:sz w:val="28"/>
          <w:szCs w:val="28"/>
        </w:rPr>
      </w:pPr>
      <w:r>
        <w:rPr>
          <w:b/>
          <w:bCs/>
          <w:sz w:val="28"/>
          <w:szCs w:val="28"/>
          <w:rtl/>
        </w:rPr>
        <w:t>خاتمة توضيحية شاملة وموسعة</w:t>
      </w:r>
    </w:p>
    <w:p w14:paraId="58C5DA1E" w14:textId="77777777" w:rsidR="00B00FCA" w:rsidRDefault="00000000">
      <w:pPr>
        <w:bidi/>
        <w:spacing w:before="240" w:after="240" w:line="276" w:lineRule="auto"/>
      </w:pPr>
      <w:r>
        <w:rPr>
          <w:rtl/>
        </w:rPr>
        <w:t xml:space="preserve">تأسيساً على كافة المنطلقات المنهجية، والركائز </w:t>
      </w:r>
      <w:proofErr w:type="spellStart"/>
      <w:r>
        <w:rPr>
          <w:rtl/>
        </w:rPr>
        <w:t>الإبستمولوجية</w:t>
      </w:r>
      <w:proofErr w:type="spellEnd"/>
      <w:r>
        <w:rPr>
          <w:rtl/>
        </w:rPr>
        <w:t xml:space="preserve">، والإجراءات التحليلية التي جرى إرساؤها وتفصيلها في هذا الفصل، يكتمل البناء الهندسي والمعرفي لهذا المسار البحثي؛ حيث يتجاوز النص في هذه المرحلة سياق المقدمات التمهيدية أو التوصيفات الإجرائية البسيطة، ليتحول في كليته إلى بنيان نظري وتطبيقي متكامل، رصين، وواضح في أطروحاته وأهدافه العلمية (العساف، 2022). وقد نجح هذا التأسيس المنهجي المتطور في إحداث نقلة نوعية في كيفية مقاربة ودراسة سوق الفنون البصرية في المملكة العربية </w:t>
      </w:r>
      <w:r>
        <w:rPr>
          <w:rtl/>
        </w:rPr>
        <w:lastRenderedPageBreak/>
        <w:t>السعودية؛ إذ يرفض الطرح الحالي بصرامة كافة الأنماط الكلاسيكية التقليدية والرؤى الضيقة التي تحصر المنتج الفني في مساحات الرفاهية الجمالية المجردة، أو النشاط النخبوي الهامشي المعزول عن حركة التنمية الشاملة. وبدلاً من ذلك، تَقود هذه الأطروحة عملية إعادة تموضع جذري وسياقي شامل للقطاع الفني بأكمله، مبرهنة من خلال أطرها التحليلية على أنه يمثل حلقة اقتصادية استراتيجية ورافداً استثمارياً حيوياً يقع في صميم الديناميكيات الكبرى ومستهدفات خطط التحول الهيكلي لرؤية المملكة 2030 (وزارة الثقافة، 2023).</w:t>
      </w:r>
    </w:p>
    <w:p w14:paraId="394D8A5D" w14:textId="77777777" w:rsidR="00B00FCA" w:rsidRDefault="00000000">
      <w:pPr>
        <w:bidi/>
        <w:spacing w:before="240" w:after="240" w:line="276" w:lineRule="auto"/>
      </w:pPr>
      <w:r>
        <w:rPr>
          <w:rtl/>
        </w:rPr>
        <w:t>إن القيمة الجوهرية والتوضيحية الكامنة في هذا السياق البحثي تتبلور جليّاً في شجاعته المنهجية لتفكيك ورصد المفارقات التشغيلية الحادة التي تواجهها البيئة المحلية؛ حيث قَيّد الباحث تشخيصاً علمياً كمياً وكيفياً صارماً كشف من خلاله عن معضلة الوساطة أحادية القطب، وعشوائية آليات التسعير والتثمين المالي للأصول الرمزية، وتشتت الخطاب الاتصالي والترويجي للمؤسسات، فضلاً عن مظاهر العطالة التقنية والمعلوماتية، بوصفها عوائق بنيوية تمنع تدفق رؤوس الأموال المؤسسية وتجمد الرأسمال الرمزي للمبدع المحلي (السعيد، 2024؛ الغامدي، 2023). ولم تقف حدود المعالجة العلمية عند مساحات التشخيص الظاهري أو الوصف السردي، بل امتدت لتقدم شبكة تحليلية متطورة تدمج وتصهر الأبعاد المعاصرة للرأسمال الإبداعي المستدام، ونماذج نشر الابتكارات الرقمية والتشريعية في أسواق الفن الحديثة، وصياغتها جميعاً في نموذج سببي تكاملي يطرح أبعاد الابتكار الخمسة (التسويقي، والنفسي السلوكي، والتقني، والاقتصادي المالي، والمؤسسي التنظيمي) بالتناغم مع هندسة الاتصال التسويقي المتكامل، كمدخل كلي وموحد لعقلنة وحوكمة آليات السوق (توز، 2020؛ منصور، 2024).</w:t>
      </w:r>
    </w:p>
    <w:p w14:paraId="6EC1E6FA" w14:textId="77777777" w:rsidR="00B00FCA" w:rsidRDefault="00000000">
      <w:pPr>
        <w:bidi/>
        <w:spacing w:before="240" w:after="240" w:line="276" w:lineRule="auto"/>
      </w:pPr>
      <w:r>
        <w:rPr>
          <w:rtl/>
        </w:rPr>
        <w:t xml:space="preserve">ولم تعد هذه المعالجة المتكاملة مجرد فرضيات نظرية أو تأملات فكرية مرسلة، بل أُخضعت بصرامة علمية عبر المخطط المنهجي الحالي لأدوات قياس كمية ونوعية دقيقة ومحكمة (استمارة تحليل المضمون الرقمي، استبيان المقتني الرقمي الجديد، ودليل المقابلات المعمقة مع النخبة)، والتي خضعت بدورها لاختبارات الصدق الظاهري والبنائي، واختبارات الثبات الإحصائي و </w:t>
      </w:r>
      <w:proofErr w:type="spellStart"/>
      <w:r>
        <w:rPr>
          <w:rtl/>
        </w:rPr>
        <w:t>السيكومتري</w:t>
      </w:r>
      <w:proofErr w:type="spellEnd"/>
      <w:r>
        <w:rPr>
          <w:rtl/>
        </w:rPr>
        <w:t xml:space="preserve"> الصارم، ومدعومة بخطة تحليل إحصائي متقدمة تعتمد على أرقى الأساليب الاستدلالية ونمذجة المعادلات الهيكلية لضمان الحصول على نتائج موثوقة، دقيقة، وغير متحيزة (</w:t>
      </w:r>
      <w:proofErr w:type="spellStart"/>
      <w:r>
        <w:rPr>
          <w:rtl/>
        </w:rPr>
        <w:t>مالهوترا</w:t>
      </w:r>
      <w:proofErr w:type="spellEnd"/>
      <w:r>
        <w:rPr>
          <w:rtl/>
        </w:rPr>
        <w:t>، 2020). وبناءً على ما تقدم، يمثل هذا الطرح المنهجي والتحليلي المتوازن حجر الأساس والركيزة العلمية الصلبة التي تفتح الباب على مصراعيه للانتقال الآمن، والمنظم، والممنهج نحو استعراض وتفكيك الأدبيات النظرية والدراسات السابقة ذات الصلة المباشرة بمتغيرات البحث ومحاوره (</w:t>
      </w:r>
      <w:proofErr w:type="spellStart"/>
      <w:r>
        <w:rPr>
          <w:rtl/>
        </w:rPr>
        <w:t>سوندرز</w:t>
      </w:r>
      <w:proofErr w:type="spellEnd"/>
      <w:r>
        <w:rPr>
          <w:rtl/>
        </w:rPr>
        <w:t xml:space="preserve"> وآخرون، 2023).</w:t>
      </w:r>
    </w:p>
    <w:p w14:paraId="1FC6F2D1" w14:textId="77777777" w:rsidR="00B00FCA" w:rsidRDefault="00B00FCA">
      <w:pPr>
        <w:bidi/>
        <w:spacing w:line="276" w:lineRule="auto"/>
      </w:pPr>
    </w:p>
    <w:p w14:paraId="2E5E0847" w14:textId="77777777" w:rsidR="00B00FCA" w:rsidRDefault="00000000">
      <w:pPr>
        <w:bidi/>
        <w:spacing w:line="276" w:lineRule="auto"/>
        <w:rPr>
          <w:b/>
          <w:bCs/>
          <w:sz w:val="28"/>
          <w:szCs w:val="28"/>
        </w:rPr>
      </w:pPr>
      <w:r>
        <w:rPr>
          <w:b/>
          <w:bCs/>
          <w:sz w:val="28"/>
          <w:szCs w:val="28"/>
          <w:rtl/>
        </w:rPr>
        <w:t xml:space="preserve">قائمة المراجع </w:t>
      </w:r>
    </w:p>
    <w:p w14:paraId="68706927" w14:textId="77777777" w:rsidR="00B00FCA" w:rsidRDefault="00B00FCA">
      <w:pPr>
        <w:bidi/>
        <w:spacing w:after="0" w:line="276" w:lineRule="auto"/>
        <w:rPr>
          <w:rFonts w:ascii="Arial" w:eastAsia="Arial" w:hAnsi="Arial" w:cs="Arial"/>
        </w:rPr>
      </w:pPr>
    </w:p>
    <w:p w14:paraId="3B7EE372" w14:textId="77777777" w:rsidR="00B00FCA" w:rsidRDefault="00000000">
      <w:pPr>
        <w:bidi/>
        <w:spacing w:after="0" w:line="276" w:lineRule="auto"/>
        <w:rPr>
          <w:rFonts w:ascii="Arial" w:eastAsia="Arial" w:hAnsi="Arial" w:cs="Arial"/>
          <w:b/>
          <w:bCs/>
          <w:sz w:val="24"/>
          <w:szCs w:val="24"/>
        </w:rPr>
      </w:pPr>
      <w:r>
        <w:rPr>
          <w:rFonts w:ascii="Arial" w:eastAsia="Arial" w:hAnsi="Arial" w:cs="Arial"/>
          <w:b/>
          <w:bCs/>
          <w:sz w:val="24"/>
          <w:szCs w:val="24"/>
          <w:rtl/>
        </w:rPr>
        <w:t xml:space="preserve">المراجع </w:t>
      </w:r>
      <w:proofErr w:type="gramStart"/>
      <w:r>
        <w:rPr>
          <w:rFonts w:ascii="Arial" w:eastAsia="Arial" w:hAnsi="Arial" w:cs="Arial"/>
          <w:b/>
          <w:bCs/>
          <w:sz w:val="24"/>
          <w:szCs w:val="24"/>
          <w:rtl/>
        </w:rPr>
        <w:t>العربية :</w:t>
      </w:r>
      <w:proofErr w:type="gramEnd"/>
    </w:p>
    <w:p w14:paraId="0DE863EF" w14:textId="77777777" w:rsidR="00B00FCA" w:rsidRDefault="00000000">
      <w:pPr>
        <w:numPr>
          <w:ilvl w:val="0"/>
          <w:numId w:val="7"/>
        </w:numPr>
        <w:bidi/>
        <w:spacing w:after="0" w:line="276" w:lineRule="auto"/>
      </w:pPr>
      <w:r>
        <w:rPr>
          <w:rtl/>
        </w:rPr>
        <w:t>الحميد، ناصر بن عبد الله. (2024). الاقتصاد الإبداعي كأداة لتفعيل عناصر القوة الناعمة. المجلة العربية للإدارة والتنمية الاستراتيجية، 12(3)، 145-178.</w:t>
      </w:r>
    </w:p>
    <w:p w14:paraId="274E814C" w14:textId="77777777" w:rsidR="00B00FCA" w:rsidRDefault="00000000">
      <w:pPr>
        <w:numPr>
          <w:ilvl w:val="0"/>
          <w:numId w:val="7"/>
        </w:numPr>
        <w:bidi/>
        <w:spacing w:after="0" w:line="276" w:lineRule="auto"/>
      </w:pPr>
      <w:r>
        <w:rPr>
          <w:rtl/>
        </w:rPr>
        <w:t>الرشيد، خالد بن محمد. (2024). سيكولوجية المستهلك في العصر الرقمي: تحليل السلوك الاستثماري والمخاطر المدركة. مجلة العلوم السلوكية والبحوث التسويقية، 8(2)، 89-122.</w:t>
      </w:r>
    </w:p>
    <w:p w14:paraId="09C3004D" w14:textId="77777777" w:rsidR="00B00FCA" w:rsidRDefault="00000000">
      <w:pPr>
        <w:numPr>
          <w:ilvl w:val="0"/>
          <w:numId w:val="7"/>
        </w:numPr>
        <w:bidi/>
        <w:spacing w:after="0" w:line="276" w:lineRule="auto"/>
      </w:pPr>
      <w:r>
        <w:rPr>
          <w:rtl/>
        </w:rPr>
        <w:t>السالم، فهد بن سليمان. (2025). أثر تطبيق الاتصال التسويقي المتكامل على الصورة الذهنية للمنظمات الثقافية. المجلة الخليجية لعلوم الاتصال والإعلام، 16(1)، 210-243.</w:t>
      </w:r>
    </w:p>
    <w:p w14:paraId="18EF4C96" w14:textId="77777777" w:rsidR="00B00FCA" w:rsidRDefault="00000000">
      <w:pPr>
        <w:numPr>
          <w:ilvl w:val="0"/>
          <w:numId w:val="7"/>
        </w:numPr>
        <w:bidi/>
        <w:spacing w:after="0" w:line="276" w:lineRule="auto"/>
      </w:pPr>
      <w:r>
        <w:rPr>
          <w:rtl/>
        </w:rPr>
        <w:t>السعيد، أحمد بن عبد الرحمن. (2024). عشوائية آليات التسعير والتثمين في أسواق السلع الرمزية: دراسة ميدانية على صالات العرض التشكيلية. الرياض: دار النشر الأكاديمي.</w:t>
      </w:r>
    </w:p>
    <w:p w14:paraId="2F59DC54" w14:textId="77777777" w:rsidR="00B00FCA" w:rsidRDefault="00000000">
      <w:pPr>
        <w:numPr>
          <w:ilvl w:val="0"/>
          <w:numId w:val="7"/>
        </w:numPr>
        <w:bidi/>
        <w:spacing w:after="0" w:line="276" w:lineRule="auto"/>
      </w:pPr>
      <w:r>
        <w:rPr>
          <w:rtl/>
        </w:rPr>
        <w:t>الشريف، عبد المحسن بن تركي. (2025). توظيف تطبيقات الثورة الصناعية الرابعة وسلاسل الكتل في حوكمة أسواق الفن. مجلة التقنيات الرقمية والابتكار الإداري، 11(2)، 75-108.</w:t>
      </w:r>
    </w:p>
    <w:p w14:paraId="25664115" w14:textId="77777777" w:rsidR="00B00FCA" w:rsidRDefault="00000000">
      <w:pPr>
        <w:numPr>
          <w:ilvl w:val="0"/>
          <w:numId w:val="7"/>
        </w:numPr>
        <w:bidi/>
        <w:spacing w:after="0" w:line="276" w:lineRule="auto"/>
      </w:pPr>
      <w:r>
        <w:rPr>
          <w:rtl/>
        </w:rPr>
        <w:t>الشمري، سعود بن مصلح. (2026). تحديات ومعوقات تنشيط السوق الثانوية لإعادة بيع الأعمال الفنية. مجلة الحقوق والسياسات الاقتصادية، 14(1)، 112-143.</w:t>
      </w:r>
    </w:p>
    <w:p w14:paraId="5EDB8FCE" w14:textId="77777777" w:rsidR="00B00FCA" w:rsidRDefault="00000000">
      <w:pPr>
        <w:numPr>
          <w:ilvl w:val="0"/>
          <w:numId w:val="7"/>
        </w:numPr>
        <w:bidi/>
        <w:spacing w:after="0" w:line="276" w:lineRule="auto"/>
      </w:pPr>
      <w:r>
        <w:rPr>
          <w:rtl/>
        </w:rPr>
        <w:t>العساف، صالح بن حمد. (2022). المدخل إلى البحث في العلوم السلوكية (ط 4). الرياض: دار الزهراء للنشر والتوزيع.</w:t>
      </w:r>
    </w:p>
    <w:p w14:paraId="2828AF20" w14:textId="77777777" w:rsidR="00B00FCA" w:rsidRDefault="00000000">
      <w:pPr>
        <w:numPr>
          <w:ilvl w:val="0"/>
          <w:numId w:val="7"/>
        </w:numPr>
        <w:bidi/>
        <w:spacing w:after="0" w:line="276" w:lineRule="auto"/>
      </w:pPr>
      <w:r>
        <w:rPr>
          <w:rtl/>
        </w:rPr>
        <w:lastRenderedPageBreak/>
        <w:t>العتيبي، مشعل بن غازي. (2023). مأسسة قطاع الثقافة في ضوء رؤية المملكة 2030: التحديات والآفاق الاستثمارية للأصول غير الملموسة. جدة: مركز التخطيط التنموي الشامل.</w:t>
      </w:r>
    </w:p>
    <w:p w14:paraId="3BD31792" w14:textId="77777777" w:rsidR="00B00FCA" w:rsidRDefault="00000000">
      <w:pPr>
        <w:numPr>
          <w:ilvl w:val="0"/>
          <w:numId w:val="7"/>
        </w:numPr>
        <w:bidi/>
        <w:spacing w:after="0" w:line="276" w:lineRule="auto"/>
      </w:pPr>
      <w:r>
        <w:rPr>
          <w:rtl/>
        </w:rPr>
        <w:t>الغامدي، بندر بن سعيد. (2023). الفجوات التنظيمية والهيكلية في سلاسل القيمة الإبداعية: دراسة تشخيصية لواقع تداول الفنون المحلية. مجلة الإدارة والاقتصاد الثقافي، 4(2)، 55-88.</w:t>
      </w:r>
    </w:p>
    <w:p w14:paraId="2C3C17AE" w14:textId="77777777" w:rsidR="00B00FCA" w:rsidRDefault="00000000">
      <w:pPr>
        <w:numPr>
          <w:ilvl w:val="0"/>
          <w:numId w:val="7"/>
        </w:numPr>
        <w:bidi/>
        <w:spacing w:after="0" w:line="276" w:lineRule="auto"/>
      </w:pPr>
      <w:r>
        <w:rPr>
          <w:rtl/>
        </w:rPr>
        <w:t>منصور، هند بنت فيصل. (2024). نماذج الابتكار المركبة في تسويق السلع الإبداعية والرمزية: مدخل استراتيجي لإعادة هندسة أسواق الفن المعاصر (أطروحة دكتوراه غير منشورة). جامعة الملك سعود، الرياض، المملكة العربية السعودية.</w:t>
      </w:r>
    </w:p>
    <w:p w14:paraId="1865274F" w14:textId="77777777" w:rsidR="00B00FCA" w:rsidRDefault="00000000">
      <w:pPr>
        <w:numPr>
          <w:ilvl w:val="0"/>
          <w:numId w:val="7"/>
        </w:numPr>
        <w:bidi/>
        <w:spacing w:after="240" w:line="276" w:lineRule="auto"/>
      </w:pPr>
      <w:r>
        <w:rPr>
          <w:rtl/>
        </w:rPr>
        <w:t>وزارة الثقافة. (2023). الاستراتيجية الوطنية للثقافة ومستهدفات رفع مساهمة الاقتصاد الإبداعي في الناتج المحلي 2030. الرياض، المملكة العربية السعودية: وزارة الثقافة.</w:t>
      </w:r>
    </w:p>
    <w:p w14:paraId="7BA1C4E8" w14:textId="77777777" w:rsidR="00B00FCA" w:rsidRDefault="00000000">
      <w:pPr>
        <w:bidi/>
        <w:spacing w:line="276" w:lineRule="auto"/>
        <w:rPr>
          <w:b/>
          <w:bCs/>
          <w:sz w:val="24"/>
          <w:szCs w:val="24"/>
        </w:rPr>
      </w:pPr>
      <w:r>
        <w:rPr>
          <w:b/>
          <w:bCs/>
          <w:sz w:val="24"/>
          <w:szCs w:val="24"/>
          <w:rtl/>
        </w:rPr>
        <w:t>المراجع الأجنبية:</w:t>
      </w:r>
    </w:p>
    <w:p w14:paraId="080BF5DD" w14:textId="77777777" w:rsidR="00B00FCA" w:rsidRDefault="00000000">
      <w:pPr>
        <w:numPr>
          <w:ilvl w:val="0"/>
          <w:numId w:val="19"/>
        </w:numPr>
        <w:spacing w:after="0" w:line="276" w:lineRule="auto"/>
        <w:rPr>
          <w:rFonts w:ascii="Arial" w:eastAsia="Arial" w:hAnsi="Arial" w:cs="Arial"/>
          <w:sz w:val="24"/>
          <w:szCs w:val="24"/>
        </w:rPr>
      </w:pPr>
      <w:r>
        <w:rPr>
          <w:rFonts w:ascii="Arial" w:eastAsia="Arial" w:hAnsi="Arial" w:cs="Arial"/>
          <w:sz w:val="24"/>
          <w:szCs w:val="24"/>
        </w:rPr>
        <w:t xml:space="preserve">Adler, M. (2021). Stardom and the economy of the art market: Dynamics of value creation in contemporary visual arts. Journal of Cultural Economics, </w:t>
      </w:r>
    </w:p>
    <w:p w14:paraId="4DE3E33F" w14:textId="77777777" w:rsidR="00B00FCA" w:rsidRDefault="00000000">
      <w:pPr>
        <w:numPr>
          <w:ilvl w:val="0"/>
          <w:numId w:val="19"/>
        </w:numPr>
        <w:spacing w:after="0" w:line="276" w:lineRule="auto"/>
        <w:rPr>
          <w:rFonts w:ascii="Arial" w:eastAsia="Arial" w:hAnsi="Arial" w:cs="Arial"/>
          <w:sz w:val="24"/>
          <w:szCs w:val="24"/>
        </w:rPr>
      </w:pPr>
      <w:r>
        <w:rPr>
          <w:rFonts w:ascii="Arial" w:eastAsia="Arial" w:hAnsi="Arial" w:cs="Arial"/>
          <w:sz w:val="24"/>
          <w:szCs w:val="24"/>
        </w:rPr>
        <w:t xml:space="preserve">Beckert, J., &amp; </w:t>
      </w:r>
      <w:proofErr w:type="spellStart"/>
      <w:r>
        <w:rPr>
          <w:rFonts w:ascii="Arial" w:eastAsia="Arial" w:hAnsi="Arial" w:cs="Arial"/>
          <w:sz w:val="24"/>
          <w:szCs w:val="24"/>
        </w:rPr>
        <w:t>Musselin</w:t>
      </w:r>
      <w:proofErr w:type="spellEnd"/>
      <w:r>
        <w:rPr>
          <w:rFonts w:ascii="Arial" w:eastAsia="Arial" w:hAnsi="Arial" w:cs="Arial"/>
          <w:sz w:val="24"/>
          <w:szCs w:val="24"/>
        </w:rPr>
        <w:t>, C. (2023). Constructing quality: The classification of goods in art and knowledge markets. Oxford University Press.</w:t>
      </w:r>
    </w:p>
    <w:p w14:paraId="3A91B810" w14:textId="77777777" w:rsidR="00B00FCA" w:rsidRDefault="00000000">
      <w:pPr>
        <w:numPr>
          <w:ilvl w:val="0"/>
          <w:numId w:val="19"/>
        </w:numPr>
        <w:spacing w:after="0" w:line="276" w:lineRule="auto"/>
        <w:rPr>
          <w:rFonts w:ascii="Arial" w:eastAsia="Arial" w:hAnsi="Arial" w:cs="Arial"/>
          <w:sz w:val="24"/>
          <w:szCs w:val="24"/>
        </w:rPr>
      </w:pPr>
      <w:r>
        <w:rPr>
          <w:rFonts w:ascii="Arial" w:eastAsia="Arial" w:hAnsi="Arial" w:cs="Arial"/>
          <w:sz w:val="24"/>
          <w:szCs w:val="24"/>
        </w:rPr>
        <w:t>Belch, G. E., &amp; Belch, M. A. (2021). Advertising and promotion: An integrated marketing communications perspective (12th ed.). McGraw-Hill Education.</w:t>
      </w:r>
    </w:p>
    <w:p w14:paraId="034EFEEE" w14:textId="77777777" w:rsidR="00B00FCA" w:rsidRDefault="00000000">
      <w:pPr>
        <w:numPr>
          <w:ilvl w:val="0"/>
          <w:numId w:val="19"/>
        </w:numPr>
        <w:spacing w:after="0" w:line="276" w:lineRule="auto"/>
        <w:rPr>
          <w:rFonts w:ascii="Arial" w:eastAsia="Arial" w:hAnsi="Arial" w:cs="Arial"/>
          <w:sz w:val="24"/>
          <w:szCs w:val="24"/>
        </w:rPr>
      </w:pPr>
      <w:r>
        <w:rPr>
          <w:rFonts w:ascii="Arial" w:eastAsia="Arial" w:hAnsi="Arial" w:cs="Arial"/>
          <w:sz w:val="24"/>
          <w:szCs w:val="24"/>
        </w:rPr>
        <w:t>Chaffey, D., &amp; Ellis-Chadwick, F. (2022). Digital marketing: Strategy, implementation and practice (8th ed.). Pearson.</w:t>
      </w:r>
    </w:p>
    <w:p w14:paraId="08969E05" w14:textId="77777777" w:rsidR="00B00FCA" w:rsidRDefault="00000000">
      <w:pPr>
        <w:numPr>
          <w:ilvl w:val="0"/>
          <w:numId w:val="19"/>
        </w:numPr>
        <w:spacing w:after="0" w:line="276" w:lineRule="auto"/>
        <w:rPr>
          <w:rFonts w:ascii="Arial" w:eastAsia="Arial" w:hAnsi="Arial" w:cs="Arial"/>
          <w:sz w:val="24"/>
          <w:szCs w:val="24"/>
        </w:rPr>
      </w:pPr>
      <w:r>
        <w:rPr>
          <w:rFonts w:ascii="Arial" w:eastAsia="Arial" w:hAnsi="Arial" w:cs="Arial"/>
          <w:sz w:val="24"/>
          <w:szCs w:val="24"/>
        </w:rPr>
        <w:t>Hair, J. F., Hult, G. T. M., Ringle, C. M., &amp; Sarstedt, M. (2022). A primer on partial least squares structural equation modeling (PLS-SEM) (3rd ed.). SAGE Publications.</w:t>
      </w:r>
    </w:p>
    <w:p w14:paraId="1538EA15" w14:textId="77777777" w:rsidR="00B00FCA" w:rsidRDefault="00000000">
      <w:pPr>
        <w:numPr>
          <w:ilvl w:val="0"/>
          <w:numId w:val="19"/>
        </w:numPr>
        <w:spacing w:after="0" w:line="276" w:lineRule="auto"/>
        <w:rPr>
          <w:rFonts w:ascii="Arial" w:eastAsia="Arial" w:hAnsi="Arial" w:cs="Arial"/>
          <w:sz w:val="24"/>
          <w:szCs w:val="24"/>
        </w:rPr>
      </w:pPr>
      <w:r>
        <w:rPr>
          <w:rFonts w:ascii="Arial" w:eastAsia="Arial" w:hAnsi="Arial" w:cs="Arial"/>
          <w:sz w:val="24"/>
          <w:szCs w:val="24"/>
        </w:rPr>
        <w:t xml:space="preserve">Kotler, P., </w:t>
      </w:r>
      <w:proofErr w:type="spellStart"/>
      <w:r>
        <w:rPr>
          <w:rFonts w:ascii="Arial" w:eastAsia="Arial" w:hAnsi="Arial" w:cs="Arial"/>
          <w:sz w:val="24"/>
          <w:szCs w:val="24"/>
        </w:rPr>
        <w:t>Kartajaya</w:t>
      </w:r>
      <w:proofErr w:type="spellEnd"/>
      <w:r>
        <w:rPr>
          <w:rFonts w:ascii="Arial" w:eastAsia="Arial" w:hAnsi="Arial" w:cs="Arial"/>
          <w:sz w:val="24"/>
          <w:szCs w:val="24"/>
        </w:rPr>
        <w:t>, H., &amp; Setiawan, I. (2021). Marketing 5.0: Technology for humanity. John Wiley &amp; Sons.</w:t>
      </w:r>
    </w:p>
    <w:p w14:paraId="4378DDF1" w14:textId="77777777" w:rsidR="00B00FCA" w:rsidRDefault="00000000">
      <w:pPr>
        <w:numPr>
          <w:ilvl w:val="0"/>
          <w:numId w:val="19"/>
        </w:numPr>
        <w:spacing w:after="0" w:line="276" w:lineRule="auto"/>
        <w:rPr>
          <w:rFonts w:ascii="Arial" w:eastAsia="Arial" w:hAnsi="Arial" w:cs="Arial"/>
          <w:sz w:val="24"/>
          <w:szCs w:val="24"/>
        </w:rPr>
      </w:pPr>
      <w:r>
        <w:rPr>
          <w:rFonts w:ascii="Arial" w:eastAsia="Arial" w:hAnsi="Arial" w:cs="Arial"/>
          <w:sz w:val="24"/>
          <w:szCs w:val="24"/>
        </w:rPr>
        <w:t>Malhotra, N. K. (2020). Marketing research: An applied orientation (7th ed.). Pearson.</w:t>
      </w:r>
    </w:p>
    <w:p w14:paraId="0EE74B98" w14:textId="77777777" w:rsidR="00B00FCA" w:rsidRDefault="00000000">
      <w:pPr>
        <w:numPr>
          <w:ilvl w:val="0"/>
          <w:numId w:val="19"/>
        </w:numPr>
        <w:spacing w:after="0" w:line="276" w:lineRule="auto"/>
        <w:rPr>
          <w:rFonts w:ascii="Arial" w:eastAsia="Arial" w:hAnsi="Arial" w:cs="Arial"/>
          <w:sz w:val="24"/>
          <w:szCs w:val="24"/>
        </w:rPr>
      </w:pPr>
      <w:r>
        <w:rPr>
          <w:rFonts w:ascii="Arial" w:eastAsia="Arial" w:hAnsi="Arial" w:cs="Arial"/>
          <w:sz w:val="24"/>
          <w:szCs w:val="24"/>
        </w:rPr>
        <w:t>Saunders, M., Lewis, P., &amp; Thornhill, A. (2023). Research methods for business students (9th ed.). Pearson Education.</w:t>
      </w:r>
    </w:p>
    <w:p w14:paraId="5A4BCAB4" w14:textId="77777777" w:rsidR="00B00FCA" w:rsidRDefault="00000000">
      <w:pPr>
        <w:numPr>
          <w:ilvl w:val="0"/>
          <w:numId w:val="19"/>
        </w:numPr>
        <w:spacing w:after="0" w:line="276" w:lineRule="auto"/>
        <w:rPr>
          <w:rFonts w:ascii="Arial" w:eastAsia="Arial" w:hAnsi="Arial" w:cs="Arial"/>
          <w:sz w:val="24"/>
          <w:szCs w:val="24"/>
        </w:rPr>
      </w:pPr>
      <w:proofErr w:type="spellStart"/>
      <w:r>
        <w:rPr>
          <w:rFonts w:ascii="Arial" w:eastAsia="Arial" w:hAnsi="Arial" w:cs="Arial"/>
          <w:sz w:val="24"/>
          <w:szCs w:val="24"/>
        </w:rPr>
        <w:t>Schiuma</w:t>
      </w:r>
      <w:proofErr w:type="spellEnd"/>
      <w:r>
        <w:rPr>
          <w:rFonts w:ascii="Arial" w:eastAsia="Arial" w:hAnsi="Arial" w:cs="Arial"/>
          <w:sz w:val="24"/>
          <w:szCs w:val="24"/>
        </w:rPr>
        <w:t>, G., &amp; Lerro, A. (2024). Innovating cultural business models: Transforming value creation in creative industries. Palgrave Macmillan.</w:t>
      </w:r>
    </w:p>
    <w:p w14:paraId="28AC35FB" w14:textId="77777777" w:rsidR="00B00FCA" w:rsidRDefault="00000000">
      <w:pPr>
        <w:numPr>
          <w:ilvl w:val="0"/>
          <w:numId w:val="19"/>
        </w:numPr>
        <w:spacing w:after="0" w:line="276" w:lineRule="auto"/>
        <w:rPr>
          <w:rFonts w:ascii="Arial" w:eastAsia="Arial" w:hAnsi="Arial" w:cs="Arial"/>
          <w:sz w:val="24"/>
          <w:szCs w:val="24"/>
        </w:rPr>
      </w:pPr>
      <w:r>
        <w:rPr>
          <w:rFonts w:ascii="Arial" w:eastAsia="Arial" w:hAnsi="Arial" w:cs="Arial"/>
          <w:sz w:val="24"/>
          <w:szCs w:val="24"/>
        </w:rPr>
        <w:t>Towse, R. (2020). A textbook of cultural economics (2nd ed.). Cambridge University Press.</w:t>
      </w:r>
    </w:p>
    <w:p w14:paraId="719FA8CF" w14:textId="77777777" w:rsidR="00B00FCA" w:rsidRDefault="00B00FCA">
      <w:pPr>
        <w:spacing w:after="0" w:line="276" w:lineRule="auto"/>
        <w:rPr>
          <w:rFonts w:ascii="Arial" w:eastAsia="Arial" w:hAnsi="Arial" w:cs="Arial"/>
        </w:rPr>
      </w:pPr>
    </w:p>
    <w:p w14:paraId="151C0A1C" w14:textId="77777777" w:rsidR="00B00FCA" w:rsidRDefault="00B00FCA">
      <w:pPr>
        <w:bidi/>
        <w:spacing w:line="360" w:lineRule="auto"/>
        <w:rPr>
          <w:sz w:val="28"/>
          <w:szCs w:val="28"/>
        </w:rPr>
      </w:pPr>
    </w:p>
    <w:sectPr w:rsidR="00B00FCA">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6CF4AE34-46B9-9C4E-9505-CBBEC13990FE}"/>
    <w:embedBold r:id="rId2" w:fontKey="{36507242-4AE0-5D4F-B8B3-8F4BE61C0478}"/>
  </w:font>
  <w:font w:name="Calibri">
    <w:panose1 w:val="020F0502020204030204"/>
    <w:charset w:val="00"/>
    <w:family w:val="swiss"/>
    <w:pitch w:val="variable"/>
    <w:sig w:usb0="E0002AFF" w:usb1="C000247B" w:usb2="00000009" w:usb3="00000000" w:csb0="000001FF" w:csb1="00000000"/>
    <w:embedRegular r:id="rId3" w:fontKey="{0838E13A-117A-D440-9321-ABA76EA41611}"/>
    <w:embedBold r:id="rId4" w:fontKey="{BD9418CE-971B-8748-8B25-D3AF08C76F61}"/>
  </w:font>
  <w:font w:name="Georgia">
    <w:panose1 w:val="02040502050405020303"/>
    <w:charset w:val="00"/>
    <w:family w:val="roman"/>
    <w:pitch w:val="variable"/>
    <w:sig w:usb0="00000287" w:usb1="00000000" w:usb2="00000000" w:usb3="00000000" w:csb0="0000009F" w:csb1="00000000"/>
    <w:embedItalic r:id="rId5" w:fontKey="{DF1A8ED6-B80E-AF40-BAF5-F60BDF8EBFDD}"/>
  </w:font>
  <w:font w:name="Simplified Arabic">
    <w:panose1 w:val="02020603050405020304"/>
    <w:charset w:val="B2"/>
    <w:family w:val="roman"/>
    <w:pitch w:val="variable"/>
    <w:sig w:usb0="00002003" w:usb1="80000000" w:usb2="00000008" w:usb3="00000000" w:csb0="00000041" w:csb1="00000000"/>
    <w:embedBold r:id="rId6" w:fontKey="{24EF36B0-B4C5-1540-AD24-0B36A84A9AA8}"/>
  </w:font>
  <w:font w:name="Traditional Arabic">
    <w:panose1 w:val="02020603050405020304"/>
    <w:charset w:val="B2"/>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embedRegular r:id="rId7" w:fontKey="{9DC984CD-954D-C841-8875-D426EDE9365F}"/>
    <w:embedBold r:id="rId8" w:fontKey="{9661294E-20A5-A149-9530-EB01978EC3D7}"/>
    <w:embedItalic r:id="rId9" w:fontKey="{0B80E594-090F-6F4B-9EAF-E7313C7209BE}"/>
  </w:font>
  <w:font w:name="Cambria">
    <w:panose1 w:val="02040503050406030204"/>
    <w:charset w:val="00"/>
    <w:family w:val="roman"/>
    <w:pitch w:val="variable"/>
    <w:sig w:usb0="E00002FF" w:usb1="400004FF" w:usb2="00000000" w:usb3="00000000" w:csb0="0000019F" w:csb1="00000000"/>
    <w:embedRegular r:id="rId10" w:fontKey="{66D8805F-AF68-BF40-AACD-04BE3E35B259}"/>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14314"/>
    <w:multiLevelType w:val="multilevel"/>
    <w:tmpl w:val="189A47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3770E7A"/>
    <w:multiLevelType w:val="multilevel"/>
    <w:tmpl w:val="3706542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15:restartNumberingAfterBreak="0">
    <w:nsid w:val="0434715F"/>
    <w:multiLevelType w:val="multilevel"/>
    <w:tmpl w:val="4F840C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4607897"/>
    <w:multiLevelType w:val="multilevel"/>
    <w:tmpl w:val="292019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9AA3526"/>
    <w:multiLevelType w:val="multilevel"/>
    <w:tmpl w:val="4E4072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EC51B58"/>
    <w:multiLevelType w:val="multilevel"/>
    <w:tmpl w:val="8C2866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FC62887"/>
    <w:multiLevelType w:val="multilevel"/>
    <w:tmpl w:val="E432E2B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 w15:restartNumberingAfterBreak="0">
    <w:nsid w:val="245E5BF5"/>
    <w:multiLevelType w:val="multilevel"/>
    <w:tmpl w:val="2B6E75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6D72DE7"/>
    <w:multiLevelType w:val="multilevel"/>
    <w:tmpl w:val="8278AA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82E2AE4"/>
    <w:multiLevelType w:val="multilevel"/>
    <w:tmpl w:val="67FA6E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AFB2452"/>
    <w:multiLevelType w:val="multilevel"/>
    <w:tmpl w:val="403232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28A219B"/>
    <w:multiLevelType w:val="multilevel"/>
    <w:tmpl w:val="D20EE5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32DF636F"/>
    <w:multiLevelType w:val="multilevel"/>
    <w:tmpl w:val="E22C737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 w15:restartNumberingAfterBreak="0">
    <w:nsid w:val="35B17846"/>
    <w:multiLevelType w:val="multilevel"/>
    <w:tmpl w:val="D7F0BD5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4" w15:restartNumberingAfterBreak="0">
    <w:nsid w:val="35E55EF2"/>
    <w:multiLevelType w:val="multilevel"/>
    <w:tmpl w:val="5F9E96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36E06011"/>
    <w:multiLevelType w:val="multilevel"/>
    <w:tmpl w:val="936887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381C48F0"/>
    <w:multiLevelType w:val="multilevel"/>
    <w:tmpl w:val="A154AF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3A047C6C"/>
    <w:multiLevelType w:val="multilevel"/>
    <w:tmpl w:val="2F1CAC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3C846035"/>
    <w:multiLevelType w:val="multilevel"/>
    <w:tmpl w:val="570E07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43316DAA"/>
    <w:multiLevelType w:val="multilevel"/>
    <w:tmpl w:val="E91A20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0" w15:restartNumberingAfterBreak="0">
    <w:nsid w:val="462372A8"/>
    <w:multiLevelType w:val="multilevel"/>
    <w:tmpl w:val="EFF2AF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4A1C57DD"/>
    <w:multiLevelType w:val="multilevel"/>
    <w:tmpl w:val="0FC2F8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2" w15:restartNumberingAfterBreak="0">
    <w:nsid w:val="512D6F95"/>
    <w:multiLevelType w:val="multilevel"/>
    <w:tmpl w:val="EEF4C6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52386AA4"/>
    <w:multiLevelType w:val="multilevel"/>
    <w:tmpl w:val="A25AFC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5746549A"/>
    <w:multiLevelType w:val="multilevel"/>
    <w:tmpl w:val="B0AEA9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58806AC9"/>
    <w:multiLevelType w:val="multilevel"/>
    <w:tmpl w:val="C73CD3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5896328F"/>
    <w:multiLevelType w:val="multilevel"/>
    <w:tmpl w:val="996417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61194642"/>
    <w:multiLevelType w:val="multilevel"/>
    <w:tmpl w:val="3E6AB7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61931D53"/>
    <w:multiLevelType w:val="multilevel"/>
    <w:tmpl w:val="47F86D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65A527A9"/>
    <w:multiLevelType w:val="multilevel"/>
    <w:tmpl w:val="5254E7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676026D4"/>
    <w:multiLevelType w:val="multilevel"/>
    <w:tmpl w:val="959279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69522BD0"/>
    <w:multiLevelType w:val="multilevel"/>
    <w:tmpl w:val="FA8A41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69DA1C49"/>
    <w:multiLevelType w:val="multilevel"/>
    <w:tmpl w:val="8B34C02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3" w15:restartNumberingAfterBreak="0">
    <w:nsid w:val="6EE645AA"/>
    <w:multiLevelType w:val="multilevel"/>
    <w:tmpl w:val="B20C17EC"/>
    <w:lvl w:ilvl="0">
      <w:start w:val="1"/>
      <w:numFmt w:val="decimal"/>
      <w:lvlText w:val="%1-"/>
      <w:lvlJc w:val="left"/>
      <w:pPr>
        <w:ind w:left="643" w:hanging="360"/>
      </w:pPr>
    </w:lvl>
    <w:lvl w:ilvl="1">
      <w:start w:val="1"/>
      <w:numFmt w:val="lowerLetter"/>
      <w:lvlText w:val="%2."/>
      <w:lvlJc w:val="left"/>
      <w:pPr>
        <w:ind w:left="1363" w:hanging="359"/>
      </w:pPr>
    </w:lvl>
    <w:lvl w:ilvl="2">
      <w:start w:val="1"/>
      <w:numFmt w:val="lowerRoman"/>
      <w:lvlText w:val="%3."/>
      <w:lvlJc w:val="right"/>
      <w:pPr>
        <w:ind w:left="2083" w:hanging="180"/>
      </w:pPr>
    </w:lvl>
    <w:lvl w:ilvl="3">
      <w:start w:val="1"/>
      <w:numFmt w:val="decimal"/>
      <w:lvlText w:val="%4."/>
      <w:lvlJc w:val="left"/>
      <w:pPr>
        <w:ind w:left="2803" w:hanging="360"/>
      </w:pPr>
    </w:lvl>
    <w:lvl w:ilvl="4">
      <w:start w:val="1"/>
      <w:numFmt w:val="lowerLetter"/>
      <w:lvlText w:val="%5."/>
      <w:lvlJc w:val="left"/>
      <w:pPr>
        <w:ind w:left="3523" w:hanging="360"/>
      </w:pPr>
    </w:lvl>
    <w:lvl w:ilvl="5">
      <w:start w:val="1"/>
      <w:numFmt w:val="lowerRoman"/>
      <w:lvlText w:val="%6."/>
      <w:lvlJc w:val="right"/>
      <w:pPr>
        <w:ind w:left="4243" w:hanging="180"/>
      </w:pPr>
    </w:lvl>
    <w:lvl w:ilvl="6">
      <w:start w:val="1"/>
      <w:numFmt w:val="decimal"/>
      <w:lvlText w:val="%7."/>
      <w:lvlJc w:val="left"/>
      <w:pPr>
        <w:ind w:left="4963" w:hanging="360"/>
      </w:pPr>
    </w:lvl>
    <w:lvl w:ilvl="7">
      <w:start w:val="1"/>
      <w:numFmt w:val="lowerLetter"/>
      <w:lvlText w:val="%8."/>
      <w:lvlJc w:val="left"/>
      <w:pPr>
        <w:ind w:left="5683" w:hanging="360"/>
      </w:pPr>
    </w:lvl>
    <w:lvl w:ilvl="8">
      <w:start w:val="1"/>
      <w:numFmt w:val="lowerRoman"/>
      <w:lvlText w:val="%9."/>
      <w:lvlJc w:val="right"/>
      <w:pPr>
        <w:ind w:left="6403" w:hanging="180"/>
      </w:pPr>
    </w:lvl>
  </w:abstractNum>
  <w:abstractNum w:abstractNumId="34" w15:restartNumberingAfterBreak="0">
    <w:nsid w:val="6EF918CC"/>
    <w:multiLevelType w:val="multilevel"/>
    <w:tmpl w:val="EDFA482E"/>
    <w:lvl w:ilvl="0">
      <w:start w:val="1"/>
      <w:numFmt w:val="bullet"/>
      <w:lvlText w:val="●"/>
      <w:lvlJc w:val="left"/>
      <w:pPr>
        <w:ind w:left="720" w:hanging="360"/>
      </w:pPr>
      <w:rPr>
        <w:u w:val="none"/>
      </w:rPr>
    </w:lvl>
    <w:lvl w:ilvl="1">
      <w:start w:val="1"/>
      <w:numFmt w:val="decimal"/>
      <w:lvlText w:val="%2."/>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79667F0E"/>
    <w:multiLevelType w:val="multilevel"/>
    <w:tmpl w:val="2632B1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79FE5E67"/>
    <w:multiLevelType w:val="multilevel"/>
    <w:tmpl w:val="B01004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7A3C1A58"/>
    <w:multiLevelType w:val="multilevel"/>
    <w:tmpl w:val="C8469C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527984999">
    <w:abstractNumId w:val="35"/>
  </w:num>
  <w:num w:numId="2" w16cid:durableId="1821725052">
    <w:abstractNumId w:val="31"/>
  </w:num>
  <w:num w:numId="3" w16cid:durableId="21368109">
    <w:abstractNumId w:val="7"/>
  </w:num>
  <w:num w:numId="4" w16cid:durableId="1117331314">
    <w:abstractNumId w:val="11"/>
  </w:num>
  <w:num w:numId="5" w16cid:durableId="888150529">
    <w:abstractNumId w:val="23"/>
  </w:num>
  <w:num w:numId="6" w16cid:durableId="35391569">
    <w:abstractNumId w:val="14"/>
  </w:num>
  <w:num w:numId="7" w16cid:durableId="2136674454">
    <w:abstractNumId w:val="19"/>
  </w:num>
  <w:num w:numId="8" w16cid:durableId="1925601783">
    <w:abstractNumId w:val="20"/>
  </w:num>
  <w:num w:numId="9" w16cid:durableId="1217397177">
    <w:abstractNumId w:val="25"/>
  </w:num>
  <w:num w:numId="10" w16cid:durableId="109209924">
    <w:abstractNumId w:val="37"/>
  </w:num>
  <w:num w:numId="11" w16cid:durableId="922958798">
    <w:abstractNumId w:val="0"/>
  </w:num>
  <w:num w:numId="12" w16cid:durableId="1491484903">
    <w:abstractNumId w:val="22"/>
  </w:num>
  <w:num w:numId="13" w16cid:durableId="90440103">
    <w:abstractNumId w:val="27"/>
  </w:num>
  <w:num w:numId="14" w16cid:durableId="1628389988">
    <w:abstractNumId w:val="34"/>
  </w:num>
  <w:num w:numId="15" w16cid:durableId="1365445835">
    <w:abstractNumId w:val="13"/>
  </w:num>
  <w:num w:numId="16" w16cid:durableId="354308711">
    <w:abstractNumId w:val="24"/>
  </w:num>
  <w:num w:numId="17" w16cid:durableId="441846966">
    <w:abstractNumId w:val="29"/>
  </w:num>
  <w:num w:numId="18" w16cid:durableId="1191409569">
    <w:abstractNumId w:val="21"/>
  </w:num>
  <w:num w:numId="19" w16cid:durableId="1713187081">
    <w:abstractNumId w:val="32"/>
  </w:num>
  <w:num w:numId="20" w16cid:durableId="1243562284">
    <w:abstractNumId w:val="15"/>
  </w:num>
  <w:num w:numId="21" w16cid:durableId="79445698">
    <w:abstractNumId w:val="10"/>
  </w:num>
  <w:num w:numId="22" w16cid:durableId="1295063014">
    <w:abstractNumId w:val="4"/>
  </w:num>
  <w:num w:numId="23" w16cid:durableId="305281259">
    <w:abstractNumId w:val="9"/>
  </w:num>
  <w:num w:numId="24" w16cid:durableId="272908562">
    <w:abstractNumId w:val="12"/>
  </w:num>
  <w:num w:numId="25" w16cid:durableId="711076440">
    <w:abstractNumId w:val="33"/>
  </w:num>
  <w:num w:numId="26" w16cid:durableId="899829809">
    <w:abstractNumId w:val="36"/>
  </w:num>
  <w:num w:numId="27" w16cid:durableId="649136258">
    <w:abstractNumId w:val="28"/>
  </w:num>
  <w:num w:numId="28" w16cid:durableId="598611028">
    <w:abstractNumId w:val="18"/>
  </w:num>
  <w:num w:numId="29" w16cid:durableId="681854650">
    <w:abstractNumId w:val="26"/>
  </w:num>
  <w:num w:numId="30" w16cid:durableId="813059449">
    <w:abstractNumId w:val="30"/>
  </w:num>
  <w:num w:numId="31" w16cid:durableId="66585217">
    <w:abstractNumId w:val="16"/>
  </w:num>
  <w:num w:numId="32" w16cid:durableId="1890338134">
    <w:abstractNumId w:val="2"/>
  </w:num>
  <w:num w:numId="33" w16cid:durableId="1499610513">
    <w:abstractNumId w:val="5"/>
  </w:num>
  <w:num w:numId="34" w16cid:durableId="1528254855">
    <w:abstractNumId w:val="17"/>
  </w:num>
  <w:num w:numId="35" w16cid:durableId="1849558746">
    <w:abstractNumId w:val="1"/>
  </w:num>
  <w:num w:numId="36" w16cid:durableId="1090545436">
    <w:abstractNumId w:val="8"/>
  </w:num>
  <w:num w:numId="37" w16cid:durableId="1376198291">
    <w:abstractNumId w:val="3"/>
  </w:num>
  <w:num w:numId="38" w16cid:durableId="85519406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5"/>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0FCA"/>
    <w:rsid w:val="003E141C"/>
    <w:rsid w:val="00B00FCA"/>
    <w:rsid w:val="00FD270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520E9155"/>
  <w15:docId w15:val="{D37F0CEA-1B2B-934F-A3E0-7C207D12C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bCs/>
      <w:sz w:val="48"/>
      <w:szCs w:val="48"/>
    </w:rPr>
  </w:style>
  <w:style w:type="paragraph" w:styleId="2">
    <w:name w:val="heading 2"/>
    <w:basedOn w:val="a"/>
    <w:next w:val="a"/>
    <w:uiPriority w:val="9"/>
    <w:unhideWhenUsed/>
    <w:qFormat/>
    <w:pPr>
      <w:keepNext/>
      <w:keepLines/>
      <w:spacing w:before="360" w:after="80"/>
      <w:outlineLvl w:val="1"/>
    </w:pPr>
    <w:rPr>
      <w:b/>
      <w:bCs/>
      <w:sz w:val="36"/>
      <w:szCs w:val="36"/>
    </w:rPr>
  </w:style>
  <w:style w:type="paragraph" w:styleId="3">
    <w:name w:val="heading 3"/>
    <w:basedOn w:val="a"/>
    <w:next w:val="a"/>
    <w:uiPriority w:val="9"/>
    <w:unhideWhenUsed/>
    <w:qFormat/>
    <w:pPr>
      <w:keepNext/>
      <w:keepLines/>
      <w:spacing w:before="280" w:after="80"/>
      <w:outlineLvl w:val="2"/>
    </w:pPr>
    <w:rPr>
      <w:b/>
      <w:bCs/>
      <w:sz w:val="28"/>
      <w:szCs w:val="28"/>
    </w:rPr>
  </w:style>
  <w:style w:type="paragraph" w:styleId="4">
    <w:name w:val="heading 4"/>
    <w:basedOn w:val="a"/>
    <w:next w:val="a"/>
    <w:uiPriority w:val="9"/>
    <w:unhideWhenUsed/>
    <w:qFormat/>
    <w:pPr>
      <w:keepNext/>
      <w:keepLines/>
      <w:spacing w:before="240" w:after="40"/>
      <w:outlineLvl w:val="3"/>
    </w:pPr>
    <w:rPr>
      <w:b/>
      <w:bCs/>
      <w:sz w:val="24"/>
      <w:szCs w:val="24"/>
    </w:rPr>
  </w:style>
  <w:style w:type="paragraph" w:styleId="5">
    <w:name w:val="heading 5"/>
    <w:basedOn w:val="a"/>
    <w:next w:val="a"/>
    <w:uiPriority w:val="9"/>
    <w:semiHidden/>
    <w:unhideWhenUsed/>
    <w:qFormat/>
    <w:pPr>
      <w:keepNext/>
      <w:keepLines/>
      <w:spacing w:before="220" w:after="40"/>
      <w:outlineLvl w:val="4"/>
    </w:pPr>
    <w:rPr>
      <w:b/>
      <w:bCs/>
    </w:rPr>
  </w:style>
  <w:style w:type="paragraph" w:styleId="6">
    <w:name w:val="heading 6"/>
    <w:basedOn w:val="a"/>
    <w:next w:val="a"/>
    <w:uiPriority w:val="9"/>
    <w:semiHidden/>
    <w:unhideWhenUsed/>
    <w:qFormat/>
    <w:pPr>
      <w:keepNext/>
      <w:keepLines/>
      <w:spacing w:before="200" w:after="40"/>
      <w:outlineLvl w:val="5"/>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bCs/>
      <w:sz w:val="72"/>
      <w:szCs w:val="72"/>
    </w:rPr>
  </w:style>
  <w:style w:type="paragraph" w:styleId="a4">
    <w:name w:val="Subtitle"/>
    <w:basedOn w:val="a"/>
    <w:next w:val="a"/>
    <w:uiPriority w:val="11"/>
    <w:qFormat/>
    <w:pPr>
      <w:keepNext/>
      <w:keepLines/>
      <w:spacing w:before="360" w:after="80"/>
    </w:pPr>
    <w:rPr>
      <w:rFonts w:ascii="Georgia" w:eastAsia="Georgia" w:hAnsi="Georgia" w:cs="Georgia"/>
      <w:i/>
      <w:iCs/>
      <w:color w:val="666666"/>
      <w:sz w:val="48"/>
      <w:szCs w:val="48"/>
    </w:rPr>
  </w:style>
  <w:style w:type="table" w:customStyle="1" w:styleId="a5">
    <w:basedOn w:val="TableNormal"/>
    <w:tblPr>
      <w:tblStyleRowBandSize w:val="1"/>
      <w:tblStyleColBandSize w:val="1"/>
      <w:tblCellMar>
        <w:top w:w="0" w:type="dxa"/>
        <w:left w:w="10" w:type="dxa"/>
        <w:bottom w:w="0" w:type="dxa"/>
        <w:right w:w="10" w:type="dxa"/>
      </w:tblCellMar>
    </w:tblPr>
  </w:style>
  <w:style w:type="table" w:customStyle="1" w:styleId="a6">
    <w:basedOn w:val="TableNormal"/>
    <w:tblPr>
      <w:tblStyleRowBandSize w:val="1"/>
      <w:tblStyleColBandSize w:val="1"/>
      <w:tblCellMar>
        <w:top w:w="0" w:type="dxa"/>
        <w:left w:w="10" w:type="dxa"/>
        <w:bottom w:w="0" w:type="dxa"/>
        <w:right w:w="1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23</Pages>
  <Words>10562</Words>
  <Characters>60207</Characters>
  <Application>Microsoft Office Word</Application>
  <DocSecurity>0</DocSecurity>
  <Lines>501</Lines>
  <Paragraphs>141</Paragraphs>
  <ScaleCrop>false</ScaleCrop>
  <Company/>
  <LinksUpToDate>false</LinksUpToDate>
  <CharactersWithSpaces>70628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Mohammed Bantan</cp:lastModifiedBy>
  <cp:revision>2</cp:revision>
  <dcterms:created xsi:type="dcterms:W3CDTF">2026-07-03T19:59:00Z</dcterms:created>
  <dcterms:modified xsi:type="dcterms:W3CDTF">2026-07-03T20:01:00Z</dcterms:modified>
</cp:coreProperties>
</file>