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4.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7079AE" w14:textId="77777777" w:rsidR="00CD715A" w:rsidRPr="00822632" w:rsidRDefault="00CD715A" w:rsidP="008523C4">
      <w:pPr>
        <w:bidi/>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3328" behindDoc="0" locked="0" layoutInCell="1" allowOverlap="1" wp14:anchorId="5ABF3B8B" wp14:editId="755C1E15">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AF8FDB3" w14:textId="77777777" w:rsidR="00CD715A" w:rsidRPr="00822632" w:rsidRDefault="00CD715A" w:rsidP="00CD715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84352" behindDoc="0" locked="0" layoutInCell="1" allowOverlap="1" wp14:anchorId="69FAFC9E" wp14:editId="5CBA364D">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FAFC9E" id="Rectangle 53" o:spid="_x0000_s1026" style="position:absolute;margin-left:332.3pt;margin-top:12.05pt;width:114.8pt;height:1in;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v:textbox>
              </v:rect>
            </w:pict>
          </mc:Fallback>
        </mc:AlternateContent>
      </w:r>
    </w:p>
    <w:p w14:paraId="5D298EAC" w14:textId="77777777" w:rsidR="00CD715A" w:rsidRPr="00822632" w:rsidRDefault="00CD715A" w:rsidP="00CD715A">
      <w:pPr>
        <w:spacing w:after="200" w:line="276" w:lineRule="auto"/>
        <w:jc w:val="right"/>
        <w:rPr>
          <w:rFonts w:ascii="Times New Roman" w:eastAsia="Times New Roman" w:hAnsi="Times New Roman" w:cs="Times New Roman"/>
          <w:sz w:val="24"/>
          <w:szCs w:val="24"/>
        </w:rPr>
      </w:pPr>
    </w:p>
    <w:p w14:paraId="1BB1B585" w14:textId="77777777" w:rsidR="00495DAE" w:rsidRDefault="00495DAE" w:rsidP="00495DAE">
      <w:pPr>
        <w:spacing w:line="360" w:lineRule="auto"/>
        <w:jc w:val="center"/>
        <w:rPr>
          <w:rFonts w:ascii="Simplified Arabic" w:hAnsi="Simplified Arabic" w:cs="Simplified Arabic"/>
          <w:b/>
          <w:bCs/>
          <w:sz w:val="28"/>
          <w:szCs w:val="28"/>
          <w:rtl/>
        </w:rPr>
      </w:pPr>
    </w:p>
    <w:p w14:paraId="4EDF4032" w14:textId="77777777" w:rsidR="00495DAE" w:rsidRDefault="00495DAE" w:rsidP="00495DAE">
      <w:pPr>
        <w:spacing w:line="360" w:lineRule="auto"/>
        <w:jc w:val="center"/>
        <w:rPr>
          <w:rFonts w:ascii="Simplified Arabic" w:hAnsi="Simplified Arabic" w:cs="Simplified Arabic"/>
          <w:b/>
          <w:bCs/>
          <w:sz w:val="28"/>
          <w:szCs w:val="28"/>
          <w:rtl/>
        </w:rPr>
      </w:pPr>
    </w:p>
    <w:p w14:paraId="3D89F0CE" w14:textId="0B8D82CA" w:rsidR="00495DAE" w:rsidRPr="008523C4" w:rsidRDefault="00495DAE" w:rsidP="00495DAE">
      <w:pPr>
        <w:spacing w:line="360" w:lineRule="auto"/>
        <w:jc w:val="center"/>
        <w:rPr>
          <w:rFonts w:ascii="Traditional Arabic" w:hAnsi="Traditional Arabic" w:cs="Traditional Arabic"/>
          <w:b/>
          <w:bCs/>
          <w:sz w:val="40"/>
          <w:szCs w:val="40"/>
          <w:rtl/>
        </w:rPr>
      </w:pPr>
      <w:r w:rsidRPr="008523C4">
        <w:rPr>
          <w:rFonts w:ascii="Traditional Arabic" w:hAnsi="Traditional Arabic" w:cs="Traditional Arabic" w:hint="cs"/>
          <w:b/>
          <w:bCs/>
          <w:sz w:val="40"/>
          <w:szCs w:val="40"/>
          <w:rtl/>
        </w:rPr>
        <w:t>تأثير إدارة المخاطر على سلامة المرضى: وتحليل الدور الوسيط للقيادة التحويلية: دراسة ميدانية على المرافق الصحية الحكومية</w:t>
      </w:r>
    </w:p>
    <w:p w14:paraId="2AB82200" w14:textId="77777777" w:rsidR="00CD715A" w:rsidRPr="00822632" w:rsidRDefault="00CD715A" w:rsidP="00CD715A">
      <w:pPr>
        <w:spacing w:after="80" w:line="240" w:lineRule="auto"/>
        <w:jc w:val="center"/>
        <w:rPr>
          <w:rFonts w:ascii="Times New Roman" w:eastAsia="Times New Roman" w:hAnsi="Times New Roman" w:cs="Times New Roman"/>
          <w:b/>
          <w:bCs/>
          <w:color w:val="1C1C1C"/>
          <w:sz w:val="32"/>
          <w:szCs w:val="32"/>
        </w:rPr>
      </w:pPr>
    </w:p>
    <w:p w14:paraId="2F05A470"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06821C75" w14:textId="77777777" w:rsidR="00CD715A" w:rsidRPr="00822632" w:rsidRDefault="00CD715A" w:rsidP="00CD715A">
      <w:pPr>
        <w:spacing w:after="80" w:line="240" w:lineRule="auto"/>
        <w:jc w:val="center"/>
        <w:rPr>
          <w:rFonts w:ascii="Times New Roman" w:eastAsia="Times New Roman" w:hAnsi="Times New Roman" w:cs="Times New Roman"/>
          <w:color w:val="1C1C1C"/>
          <w:sz w:val="32"/>
          <w:szCs w:val="32"/>
        </w:rPr>
      </w:pPr>
    </w:p>
    <w:p w14:paraId="488A57B8" w14:textId="77777777" w:rsidR="00CD715A" w:rsidRPr="008523C4" w:rsidRDefault="00CD715A" w:rsidP="00CD715A">
      <w:pPr>
        <w:spacing w:after="80" w:line="240"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إعداد</w:t>
      </w:r>
    </w:p>
    <w:p w14:paraId="3BBEE48C" w14:textId="77777777" w:rsidR="009E5516" w:rsidRPr="008523C4" w:rsidRDefault="009E5516" w:rsidP="009E5516">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36"/>
          <w:szCs w:val="36"/>
          <w:u w:color="0000FF"/>
          <w:bdr w:val="nil"/>
          <w14:textOutline w14:w="12700" w14:cap="flat" w14:cmpd="sng" w14:algn="ctr">
            <w14:noFill/>
            <w14:prstDash w14:val="solid"/>
            <w14:miter w14:lim="400000"/>
          </w14:textOutline>
        </w:rPr>
      </w:pPr>
      <w:r>
        <w:rPr>
          <w:rFonts w:ascii="Traditional Arabic" w:eastAsia="Arial Unicode MS" w:hAnsi="Traditional Arabic" w:cs="Traditional Arabic" w:hint="cs"/>
          <w:b/>
          <w:bCs/>
          <w:color w:val="000000"/>
          <w:sz w:val="36"/>
          <w:szCs w:val="36"/>
          <w:u w:color="0000FF"/>
          <w:bdr w:val="nil"/>
          <w:rtl/>
          <w:lang w:val="ar-SA"/>
          <w14:textOutline w14:w="12700" w14:cap="flat" w14:cmpd="sng" w14:algn="ctr">
            <w14:noFill/>
            <w14:prstDash w14:val="solid"/>
            <w14:miter w14:lim="400000"/>
          </w14:textOutline>
        </w:rPr>
        <w:t>نوره عبدالعزيز ابراهيم السيلم</w:t>
      </w:r>
    </w:p>
    <w:p w14:paraId="7AD9BDAC" w14:textId="77777777" w:rsidR="00CD715A" w:rsidRPr="008523C4" w:rsidRDefault="00CD715A" w:rsidP="00CD715A">
      <w:pPr>
        <w:spacing w:after="60" w:line="240" w:lineRule="auto"/>
        <w:rPr>
          <w:rFonts w:ascii="Traditional Arabic" w:eastAsia="Times New Roman" w:hAnsi="Traditional Arabic" w:cs="Traditional Arabic"/>
          <w:b/>
          <w:bCs/>
          <w:color w:val="1C1C1C"/>
          <w:sz w:val="36"/>
          <w:szCs w:val="36"/>
        </w:rPr>
      </w:pPr>
    </w:p>
    <w:p w14:paraId="6FB2A09E" w14:textId="77777777" w:rsidR="00CD715A" w:rsidRPr="008523C4" w:rsidRDefault="00CD715A" w:rsidP="00CD715A">
      <w:pPr>
        <w:spacing w:after="60" w:line="276" w:lineRule="auto"/>
        <w:rPr>
          <w:rFonts w:ascii="Traditional Arabic" w:eastAsia="Times New Roman" w:hAnsi="Traditional Arabic" w:cs="Traditional Arabic"/>
          <w:b/>
          <w:bCs/>
          <w:color w:val="1C1C1C"/>
          <w:sz w:val="36"/>
          <w:szCs w:val="36"/>
        </w:rPr>
      </w:pPr>
      <w:bookmarkStart w:id="0" w:name="OLE_LINK2"/>
    </w:p>
    <w:p w14:paraId="32C8B58D" w14:textId="3D7D51FA" w:rsidR="00CD715A" w:rsidRPr="008523C4" w:rsidRDefault="00CD715A" w:rsidP="00CD715A">
      <w:pPr>
        <w:bidi/>
        <w:spacing w:after="60" w:line="276"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رسالة مقدمة إلى برنامج الدكتوراة</w:t>
      </w:r>
    </w:p>
    <w:p w14:paraId="58E9A848" w14:textId="0BBEB51F"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Pr>
      </w:pPr>
      <w:r w:rsidRPr="008523C4">
        <w:rPr>
          <w:rFonts w:ascii="Traditional Arabic" w:eastAsia="Times New Roman" w:hAnsi="Traditional Arabic" w:cs="Traditional Arabic" w:hint="cs"/>
          <w:b/>
          <w:bCs/>
          <w:color w:val="1C1C1C"/>
          <w:sz w:val="36"/>
          <w:szCs w:val="36"/>
          <w:rtl/>
        </w:rPr>
        <w:t>كجزء من متطلبات نيل درجة دكتوراه الفلسفة في الادارة</w:t>
      </w:r>
    </w:p>
    <w:bookmarkEnd w:id="0"/>
    <w:p w14:paraId="16E9A5A1" w14:textId="77777777"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tl/>
        </w:rPr>
      </w:pPr>
    </w:p>
    <w:p w14:paraId="1C83D24E"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0827B263"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6B29EF6A" w14:textId="4B794CDE" w:rsidR="00D3428D" w:rsidRPr="001C0712" w:rsidRDefault="00CD715A" w:rsidP="00CD715A">
      <w:pPr>
        <w:tabs>
          <w:tab w:val="left" w:pos="3666"/>
        </w:tabs>
        <w:bidi/>
        <w:spacing w:after="0" w:line="360" w:lineRule="auto"/>
        <w:jc w:val="center"/>
        <w:rPr>
          <w:rFonts w:ascii="Traditional Arabic" w:eastAsia="Calibri" w:hAnsi="Traditional Arabic" w:cs="Traditional Arabic"/>
          <w:b/>
          <w:bCs/>
          <w:sz w:val="32"/>
          <w:szCs w:val="32"/>
          <w:rtl/>
          <w:lang w:bidi="ar-EG"/>
        </w:rPr>
        <w:sectPr w:rsidR="00D3428D" w:rsidRPr="001C0712" w:rsidSect="00495DAE">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NumType w:start="0"/>
          <w:cols w:space="708"/>
          <w:titlePg/>
          <w:bidi/>
          <w:rtlGutter/>
          <w:docGrid w:linePitch="360"/>
        </w:sectPr>
      </w:pPr>
      <w:r w:rsidRPr="00B05D7A">
        <w:rPr>
          <w:rFonts w:ascii="Traditional Arabic" w:eastAsia="Times New Roman" w:hAnsi="Traditional Arabic" w:cs="Traditional Arabic" w:hint="cs"/>
          <w:b/>
          <w:bCs/>
          <w:color w:val="1C1C1C"/>
          <w:sz w:val="32"/>
          <w:szCs w:val="32"/>
          <w:rtl/>
        </w:rPr>
        <w:t>العام الجامعي</w:t>
      </w:r>
      <w:r w:rsidR="008523C4" w:rsidRPr="00B05D7A">
        <w:rPr>
          <w:rFonts w:ascii="Traditional Arabic" w:eastAsia="Times New Roman" w:hAnsi="Traditional Arabic" w:cs="Traditional Arabic" w:hint="cs"/>
          <w:b/>
          <w:bCs/>
          <w:color w:val="1C1C1C"/>
          <w:sz w:val="32"/>
          <w:szCs w:val="32"/>
          <w:rtl/>
        </w:rPr>
        <w:t>2026</w:t>
      </w:r>
      <w:r w:rsidRPr="00B05D7A">
        <w:rPr>
          <w:rFonts w:ascii="Traditional Arabic" w:eastAsia="Times New Roman" w:hAnsi="Traditional Arabic" w:cs="Traditional Arabic" w:hint="cs"/>
          <w:b/>
          <w:bCs/>
          <w:color w:val="1C1C1C"/>
          <w:sz w:val="32"/>
          <w:szCs w:val="32"/>
        </w:rPr>
        <w:t> </w:t>
      </w:r>
      <w:r w:rsidRPr="00B05D7A">
        <w:rPr>
          <w:rFonts w:ascii="Traditional Arabic" w:eastAsia="Times New Roman" w:hAnsi="Traditional Arabic" w:cs="Traditional Arabic" w:hint="cs"/>
          <w:b/>
          <w:bCs/>
          <w:color w:val="1C1C1C"/>
          <w:sz w:val="32"/>
          <w:szCs w:val="32"/>
          <w:rtl/>
        </w:rPr>
        <w:t>م </w:t>
      </w:r>
      <w:r w:rsidRPr="00B05D7A">
        <w:rPr>
          <w:rFonts w:ascii="Traditional Arabic" w:eastAsia="Times New Roman" w:hAnsi="Traditional Arabic" w:cs="Traditional Arabic" w:hint="cs"/>
          <w:b/>
          <w:bCs/>
          <w:color w:val="1C1C1C"/>
          <w:sz w:val="32"/>
          <w:szCs w:val="32"/>
        </w:rPr>
        <w:br/>
      </w:r>
      <w:r w:rsidRPr="001C0712">
        <w:rPr>
          <w:rFonts w:ascii="Traditional Arabic" w:eastAsia="Calibri" w:hAnsi="Traditional Arabic" w:cs="Traditional Arabic" w:hint="cs"/>
          <w:b/>
          <w:bCs/>
          <w:sz w:val="32"/>
          <w:szCs w:val="32"/>
          <w:rtl/>
          <w:lang w:bidi="ar-EG"/>
        </w:rPr>
        <w:t>1447ه‍ - 1448ه</w:t>
      </w:r>
    </w:p>
    <w:p w14:paraId="7600F6C2" w14:textId="77777777" w:rsidR="00CD715A" w:rsidRDefault="00CD715A" w:rsidP="00D3428D">
      <w:pPr>
        <w:tabs>
          <w:tab w:val="left" w:pos="3666"/>
        </w:tabs>
        <w:bidi/>
        <w:spacing w:after="0" w:line="360" w:lineRule="auto"/>
        <w:rPr>
          <w:rFonts w:ascii="Traditional Arabic" w:eastAsia="Calibri" w:hAnsi="Traditional Arabic" w:cs="Traditional Arabic"/>
          <w:b/>
          <w:bCs/>
          <w:sz w:val="28"/>
          <w:szCs w:val="28"/>
          <w:rtl/>
          <w:lang w:bidi="ar-EG"/>
        </w:rPr>
      </w:pPr>
    </w:p>
    <w:p w14:paraId="1E0763A5" w14:textId="0A1F12F8" w:rsidR="00CD715A" w:rsidRPr="00822632" w:rsidRDefault="00A96864" w:rsidP="00A96864">
      <w:pPr>
        <w:spacing w:after="0" w:line="240" w:lineRule="auto"/>
        <w:jc w:val="both"/>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5376" behindDoc="0" locked="0" layoutInCell="1" allowOverlap="1" wp14:anchorId="43A0E2C3" wp14:editId="61A53714">
                <wp:simplePos x="0" y="0"/>
                <wp:positionH relativeFrom="column">
                  <wp:posOffset>3799840</wp:posOffset>
                </wp:positionH>
                <wp:positionV relativeFrom="paragraph">
                  <wp:posOffset>10160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0E2C3" id="Rectangle 9" o:spid="_x0000_s1027" style="position:absolute;left:0;text-align:left;margin-left:299.2pt;margin-top:.8pt;width:148.2pt;height:73.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" fillcolor="window" strokecolor="window" strokeweight="1pt">
                <v:textbo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v:textbox>
                <w10:wrap type="square"/>
              </v:rect>
            </w:pict>
          </mc:Fallback>
        </mc:AlternateContent>
      </w:r>
      <w:r w:rsidR="00CD715A" w:rsidRPr="00822632">
        <w:rPr>
          <w:rFonts w:ascii="Times New Roman" w:eastAsia="Times New Roman" w:hAnsi="Times New Roman" w:cs="Times New Roman"/>
          <w:noProof/>
          <w:color w:val="1C1C1C"/>
          <w:sz w:val="24"/>
          <w:szCs w:val="24"/>
        </w:rPr>
        <w:drawing>
          <wp:anchor distT="0" distB="0" distL="114300" distR="114300" simplePos="0" relativeHeight="251686400" behindDoc="0" locked="0" layoutInCell="1" allowOverlap="1" wp14:anchorId="6EC2204E" wp14:editId="7C65E1F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8D6E96" w14:textId="77777777" w:rsidR="00156EA9" w:rsidRDefault="00156EA9" w:rsidP="008523C4">
      <w:pPr>
        <w:spacing w:line="360" w:lineRule="auto"/>
        <w:jc w:val="center"/>
        <w:rPr>
          <w:rFonts w:asciiTheme="majorBidi" w:hAnsiTheme="majorBidi" w:cstheme="majorBidi"/>
          <w:b/>
          <w:bCs/>
          <w:sz w:val="32"/>
          <w:szCs w:val="32"/>
          <w:rtl/>
        </w:rPr>
      </w:pPr>
    </w:p>
    <w:p w14:paraId="73695EE7" w14:textId="77777777" w:rsidR="00156EA9" w:rsidRDefault="00156EA9" w:rsidP="008523C4">
      <w:pPr>
        <w:spacing w:line="360" w:lineRule="auto"/>
        <w:jc w:val="center"/>
        <w:rPr>
          <w:rFonts w:asciiTheme="majorBidi" w:hAnsiTheme="majorBidi" w:cstheme="majorBidi"/>
          <w:b/>
          <w:bCs/>
          <w:sz w:val="32"/>
          <w:szCs w:val="32"/>
          <w:rtl/>
        </w:rPr>
      </w:pPr>
    </w:p>
    <w:p w14:paraId="167150E8" w14:textId="77777777" w:rsidR="00156EA9" w:rsidRDefault="00156EA9" w:rsidP="008523C4">
      <w:pPr>
        <w:spacing w:line="360" w:lineRule="auto"/>
        <w:jc w:val="center"/>
        <w:rPr>
          <w:rFonts w:asciiTheme="majorBidi" w:hAnsiTheme="majorBidi" w:cstheme="majorBidi"/>
          <w:b/>
          <w:bCs/>
          <w:sz w:val="32"/>
          <w:szCs w:val="32"/>
          <w:rtl/>
        </w:rPr>
      </w:pPr>
    </w:p>
    <w:p w14:paraId="7F2B02DC" w14:textId="77777777" w:rsidR="00156EA9" w:rsidRDefault="00156EA9" w:rsidP="008523C4">
      <w:pPr>
        <w:spacing w:line="360" w:lineRule="auto"/>
        <w:jc w:val="center"/>
        <w:rPr>
          <w:rFonts w:asciiTheme="majorBidi" w:hAnsiTheme="majorBidi" w:cstheme="majorBidi"/>
          <w:b/>
          <w:bCs/>
          <w:sz w:val="32"/>
          <w:szCs w:val="32"/>
          <w:rtl/>
        </w:rPr>
      </w:pPr>
    </w:p>
    <w:p w14:paraId="66C78B69" w14:textId="14398EE1" w:rsidR="008523C4" w:rsidRPr="00A96864" w:rsidRDefault="008523C4" w:rsidP="008523C4">
      <w:pPr>
        <w:spacing w:line="360" w:lineRule="auto"/>
        <w:jc w:val="center"/>
        <w:rPr>
          <w:rFonts w:asciiTheme="majorBidi" w:hAnsiTheme="majorBidi" w:cstheme="majorBidi"/>
          <w:b/>
          <w:bCs/>
          <w:sz w:val="32"/>
          <w:szCs w:val="32"/>
          <w:rtl/>
        </w:rPr>
      </w:pPr>
      <w:r w:rsidRPr="00A96864">
        <w:rPr>
          <w:rFonts w:asciiTheme="majorBidi" w:hAnsiTheme="majorBidi" w:cstheme="majorBidi"/>
          <w:b/>
          <w:bCs/>
          <w:sz w:val="32"/>
          <w:szCs w:val="32"/>
        </w:rPr>
        <w:t>The impact of risk management on patient safety: and Analysis of the mediating role of transformational leadership: A field study on governmental health facilities</w:t>
      </w:r>
    </w:p>
    <w:p w14:paraId="67155B07"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39520F4F"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1B1A2700" w14:textId="77777777" w:rsidR="00A96864" w:rsidRDefault="00A96864" w:rsidP="00CD715A">
      <w:pPr>
        <w:spacing w:after="80" w:line="240" w:lineRule="auto"/>
        <w:jc w:val="center"/>
        <w:rPr>
          <w:rFonts w:ascii="Times New Roman" w:eastAsia="Times New Roman" w:hAnsi="Times New Roman" w:cs="Times New Roman"/>
          <w:color w:val="1C1C1C"/>
          <w:sz w:val="28"/>
          <w:szCs w:val="28"/>
          <w:rtl/>
        </w:rPr>
      </w:pPr>
    </w:p>
    <w:p w14:paraId="1C221587" w14:textId="2A124CD4" w:rsidR="00CD715A" w:rsidRPr="00A96864" w:rsidRDefault="00CD715A" w:rsidP="00CD715A">
      <w:pPr>
        <w:spacing w:after="80" w:line="240" w:lineRule="auto"/>
        <w:jc w:val="center"/>
        <w:rPr>
          <w:rFonts w:ascii="Times New Roman" w:eastAsia="Times New Roman" w:hAnsi="Times New Roman" w:cs="Times New Roman"/>
          <w:b/>
          <w:bCs/>
          <w:color w:val="1C1C1C"/>
          <w:sz w:val="32"/>
          <w:szCs w:val="32"/>
        </w:rPr>
      </w:pPr>
      <w:r w:rsidRPr="00A96864">
        <w:rPr>
          <w:rFonts w:ascii="Times New Roman" w:eastAsia="Times New Roman" w:hAnsi="Times New Roman" w:cs="Times New Roman"/>
          <w:b/>
          <w:bCs/>
          <w:color w:val="1C1C1C"/>
          <w:sz w:val="32"/>
          <w:szCs w:val="32"/>
        </w:rPr>
        <w:t>Prepared by</w:t>
      </w:r>
    </w:p>
    <w:p w14:paraId="62A0AEFD" w14:textId="4D4A7BD4" w:rsidR="00CD715A" w:rsidRPr="00A96864" w:rsidRDefault="00C40925" w:rsidP="00CD715A">
      <w:pPr>
        <w:spacing w:after="0" w:line="24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b/>
          <w:bCs/>
          <w:color w:val="1C1C1C"/>
          <w:sz w:val="32"/>
          <w:szCs w:val="32"/>
        </w:rPr>
        <w:t>Noura Abdulaziz Ibrahim Al Saleem</w:t>
      </w:r>
    </w:p>
    <w:p w14:paraId="4965FCAC" w14:textId="77777777" w:rsidR="00CD715A" w:rsidRPr="00822632" w:rsidRDefault="00CD715A" w:rsidP="00CD715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89B2760"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2342865D"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4A295442" w14:textId="77777777" w:rsidR="00CD715A" w:rsidRPr="00822632" w:rsidRDefault="00CD715A" w:rsidP="00CD715A">
      <w:pPr>
        <w:spacing w:after="60" w:line="276" w:lineRule="auto"/>
        <w:jc w:val="center"/>
        <w:rPr>
          <w:rFonts w:ascii="Times New Roman" w:eastAsia="Times New Roman" w:hAnsi="Times New Roman" w:cs="Times New Roman"/>
          <w:color w:val="1C1C1C"/>
          <w:sz w:val="24"/>
          <w:szCs w:val="24"/>
        </w:rPr>
      </w:pPr>
    </w:p>
    <w:p w14:paraId="2E9243D7"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A Dissertation submitted to Doctorate Program</w:t>
      </w:r>
    </w:p>
    <w:p w14:paraId="3C415D1B"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In partial fulfillment of the requirements for the Degree of</w:t>
      </w:r>
    </w:p>
    <w:p w14:paraId="329DB205" w14:textId="77777777" w:rsidR="00CD715A" w:rsidRPr="00A96864" w:rsidRDefault="00CD715A" w:rsidP="00CD715A">
      <w:pPr>
        <w:spacing w:line="276" w:lineRule="auto"/>
        <w:jc w:val="center"/>
        <w:rPr>
          <w:rFonts w:ascii="Times New Roman" w:eastAsia="Times New Roman" w:hAnsi="Times New Roman" w:cs="Times New Roman"/>
          <w:b/>
          <w:bCs/>
          <w:color w:val="1C1C1C"/>
          <w:sz w:val="28"/>
          <w:szCs w:val="28"/>
          <w:lang w:val="en"/>
        </w:rPr>
      </w:pPr>
      <w:r w:rsidRPr="00A96864">
        <w:rPr>
          <w:rFonts w:ascii="Times New Roman" w:eastAsia="Times New Roman" w:hAnsi="Times New Roman" w:cs="Times New Roman"/>
          <w:b/>
          <w:bCs/>
          <w:color w:val="1C1C1C"/>
          <w:sz w:val="28"/>
          <w:szCs w:val="28"/>
        </w:rPr>
        <w:t xml:space="preserve">Doctor of Philosophy (PhD) In </w:t>
      </w:r>
      <w:r w:rsidRPr="00A96864">
        <w:rPr>
          <w:rFonts w:ascii="Times New Roman" w:eastAsia="Times New Roman" w:hAnsi="Times New Roman" w:cs="Times New Roman" w:hint="cs"/>
          <w:b/>
          <w:bCs/>
          <w:color w:val="1C1C1C"/>
          <w:sz w:val="28"/>
          <w:szCs w:val="28"/>
          <w:lang w:val="en"/>
        </w:rPr>
        <w:t>Management</w:t>
      </w:r>
    </w:p>
    <w:p w14:paraId="66C34228" w14:textId="77777777" w:rsidR="00CD715A" w:rsidRPr="002D494F" w:rsidRDefault="00CD715A" w:rsidP="00CD715A">
      <w:pPr>
        <w:spacing w:after="0" w:line="276" w:lineRule="auto"/>
        <w:jc w:val="center"/>
        <w:rPr>
          <w:rFonts w:ascii="Times New Roman" w:eastAsia="Times New Roman" w:hAnsi="Times New Roman" w:cs="Times New Roman"/>
          <w:b/>
          <w:bCs/>
          <w:color w:val="1C1C1C"/>
          <w:sz w:val="24"/>
          <w:szCs w:val="24"/>
          <w:lang w:val="en"/>
        </w:rPr>
      </w:pPr>
    </w:p>
    <w:p w14:paraId="6BCDD84A"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52EF6DF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465A89E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67976C36" w14:textId="77777777" w:rsidR="008523C4" w:rsidRPr="00A96864" w:rsidRDefault="008523C4" w:rsidP="008523C4">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sidRPr="00A96864">
        <w:rPr>
          <w:rFonts w:ascii="Times New Roman" w:eastAsia="Times New Roman" w:hAnsi="Times New Roman" w:cs="Times New Roman"/>
          <w:b/>
          <w:bCs/>
          <w:color w:val="1C1C1C"/>
          <w:sz w:val="28"/>
          <w:szCs w:val="28"/>
        </w:rPr>
        <w:t xml:space="preserve">Academic Year: 2026 AD </w:t>
      </w:r>
    </w:p>
    <w:p w14:paraId="2DC32A78" w14:textId="77777777" w:rsidR="00266487" w:rsidRDefault="008523C4"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sidRPr="00A96864">
        <w:rPr>
          <w:rFonts w:ascii="Times New Roman" w:eastAsia="Times New Roman" w:hAnsi="Times New Roman" w:cs="Times New Roman"/>
          <w:b/>
          <w:bCs/>
          <w:color w:val="1C1C1C"/>
          <w:sz w:val="28"/>
          <w:szCs w:val="28"/>
        </w:rPr>
        <w:t>1447–1448 AH</w:t>
      </w:r>
    </w:p>
    <w:p w14:paraId="5F361CA6"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903D13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43E8C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264E8A8"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4C399ED"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61E729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12A1AB2"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87B62B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253FCEB" w14:textId="77777777" w:rsidR="002A6565" w:rsidRDefault="002A6565" w:rsidP="002A6565">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FB8E6B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5DE93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4515E0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53C400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1F2001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CB4FC53" w14:textId="77777777" w:rsidR="002A6565" w:rsidRPr="00156EA9" w:rsidRDefault="002A6565" w:rsidP="002A6565">
      <w:pPr>
        <w:pBdr>
          <w:top w:val="nil"/>
          <w:left w:val="nil"/>
          <w:bottom w:val="nil"/>
          <w:right w:val="nil"/>
          <w:between w:val="nil"/>
          <w:bar w:val="nil"/>
        </w:pBdr>
        <w:bidi/>
        <w:spacing w:before="50" w:after="50" w:line="360" w:lineRule="auto"/>
        <w:ind w:right="432"/>
        <w:jc w:val="center"/>
        <w:rPr>
          <w:rFonts w:eastAsia="Times New Roman" w:cstheme="minorHAnsi"/>
          <w:b/>
          <w:bCs/>
          <w:color w:val="1C1C1C"/>
          <w:sz w:val="56"/>
          <w:szCs w:val="56"/>
          <w:rtl/>
        </w:rPr>
      </w:pPr>
      <w:r w:rsidRPr="00156EA9">
        <w:rPr>
          <w:rFonts w:eastAsia="Times New Roman" w:cstheme="minorHAnsi"/>
          <w:b/>
          <w:bCs/>
          <w:color w:val="1C1C1C"/>
          <w:sz w:val="56"/>
          <w:szCs w:val="56"/>
          <w:rtl/>
        </w:rPr>
        <w:t xml:space="preserve">﴿ وَلَا تُلْقُوا بِأَيْدِيكُمْ إِلَى التَّهْلُكَةِ ۛ وَأَحْسِنُوا ۛ إِنَّ اللَّهَ يُحِبُّ الْمُحْسِنِينَ ﴾ </w:t>
      </w:r>
    </w:p>
    <w:p w14:paraId="13AE3CC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8599D79" w14:textId="5640EC18" w:rsidR="002A6565" w:rsidRP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hint="cs"/>
          <w:b/>
          <w:bCs/>
          <w:color w:val="1C1C1C"/>
          <w:sz w:val="28"/>
          <w:szCs w:val="28"/>
          <w:rtl/>
        </w:rPr>
        <w:t>(</w:t>
      </w:r>
      <w:r w:rsidRPr="002A6565">
        <w:rPr>
          <w:rFonts w:ascii="Times New Roman" w:eastAsia="Times New Roman" w:hAnsi="Times New Roman" w:cs="Times New Roman"/>
          <w:b/>
          <w:bCs/>
          <w:color w:val="1C1C1C"/>
          <w:sz w:val="28"/>
          <w:szCs w:val="28"/>
          <w:rtl/>
        </w:rPr>
        <w:t>سورة البقرة، الآية 195</w:t>
      </w:r>
      <w:r>
        <w:rPr>
          <w:rFonts w:ascii="Times New Roman" w:eastAsia="Times New Roman" w:hAnsi="Times New Roman" w:cs="Times New Roman" w:hint="cs"/>
          <w:b/>
          <w:bCs/>
          <w:color w:val="1C1C1C"/>
          <w:sz w:val="28"/>
          <w:szCs w:val="28"/>
          <w:rtl/>
        </w:rPr>
        <w:t>)</w:t>
      </w:r>
    </w:p>
    <w:p w14:paraId="0E88E3F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00CEEA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A64B08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6F9271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D0F805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AD129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316EEC3"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2BE84C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755E17E"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C01EC6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0F1EE8"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0DC7479" w14:textId="77777777" w:rsidR="002A6565" w:rsidRDefault="002A6565" w:rsidP="00D3327D">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CFB98C7"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BF30F07"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EDAB3F5"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B7C19CB"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2680283"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F085FE9"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90BD97E"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F6DA07C" w14:textId="77777777" w:rsidR="00156EA9" w:rsidRDefault="00156EA9" w:rsidP="00156EA9">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1DA47BE" w14:textId="0668762B" w:rsidR="009E5516" w:rsidRDefault="002A6565" w:rsidP="00736A08">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hint="cs"/>
          <w:b/>
          <w:bCs/>
          <w:color w:val="1C1C1C"/>
          <w:sz w:val="28"/>
          <w:szCs w:val="28"/>
          <w:rtl/>
        </w:rPr>
        <w:t>الإهداء</w:t>
      </w:r>
    </w:p>
    <w:p w14:paraId="0DFF3A6A" w14:textId="77777777" w:rsidR="009E5516" w:rsidRDefault="009E5516" w:rsidP="009E5516">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370A7B0" w14:textId="77777777" w:rsidR="009E5516" w:rsidRPr="00736A08" w:rsidRDefault="009E5516" w:rsidP="00736A08">
      <w:pPr>
        <w:pBdr>
          <w:top w:val="nil"/>
          <w:left w:val="nil"/>
          <w:bottom w:val="nil"/>
          <w:right w:val="nil"/>
          <w:between w:val="nil"/>
          <w:bar w:val="nil"/>
        </w:pBdr>
        <w:bidi/>
        <w:spacing w:before="50" w:after="50" w:line="360" w:lineRule="auto"/>
        <w:ind w:right="431" w:firstLine="720"/>
        <w:jc w:val="both"/>
        <w:rPr>
          <w:rFonts w:ascii="Traditional Arabic" w:eastAsia="Times New Roman" w:hAnsi="Traditional Arabic" w:cs="Traditional Arabic"/>
          <w:b/>
          <w:bCs/>
          <w:color w:val="1C1C1C"/>
          <w:sz w:val="24"/>
          <w:szCs w:val="24"/>
          <w:rtl/>
        </w:rPr>
      </w:pPr>
      <w:r w:rsidRPr="00736A08">
        <w:rPr>
          <w:rFonts w:ascii="Traditional Arabic" w:hAnsi="Traditional Arabic" w:cs="Traditional Arabic" w:hint="cs"/>
          <w:b/>
          <w:bCs/>
          <w:color w:val="333333"/>
          <w:sz w:val="24"/>
          <w:szCs w:val="24"/>
          <w:shd w:val="clear" w:color="auto" w:fill="FFFFFF"/>
          <w:rtl/>
        </w:rPr>
        <w:t>أهدي ثمرة جهدي المتمثلة في هذه الرسالة المتواضعة، عسى أن أكون مصدر فخر لهم ، إلى من سعيت دومًا لنيل رضاهم، دونًا عن الناس</w:t>
      </w:r>
      <w:r w:rsidRPr="00736A08">
        <w:rPr>
          <w:rFonts w:ascii="Traditional Arabic" w:hAnsi="Traditional Arabic" w:cs="Traditional Arabic" w:hint="cs"/>
          <w:b/>
          <w:bCs/>
          <w:color w:val="333333"/>
          <w:sz w:val="24"/>
          <w:szCs w:val="24"/>
          <w:rtl/>
        </w:rPr>
        <w:t xml:space="preserve"> ، </w:t>
      </w:r>
      <w:r w:rsidRPr="00736A08">
        <w:rPr>
          <w:rFonts w:ascii="Traditional Arabic" w:hAnsi="Traditional Arabic" w:cs="Traditional Arabic" w:hint="cs"/>
          <w:b/>
          <w:bCs/>
          <w:color w:val="333333"/>
          <w:sz w:val="24"/>
          <w:szCs w:val="24"/>
          <w:shd w:val="clear" w:color="auto" w:fill="FFFFFF"/>
          <w:rtl/>
        </w:rPr>
        <w:t>إلى من ساندوا خطاي المتعثرة</w:t>
      </w:r>
      <w:r w:rsidRPr="00736A08">
        <w:rPr>
          <w:rFonts w:ascii="Traditional Arabic" w:hAnsi="Traditional Arabic" w:cs="Traditional Arabic" w:hint="cs"/>
          <w:b/>
          <w:bCs/>
          <w:color w:val="333333"/>
          <w:sz w:val="24"/>
          <w:szCs w:val="24"/>
          <w:rtl/>
        </w:rPr>
        <w:t xml:space="preserve"> منذُ الصغر ، </w:t>
      </w:r>
      <w:r w:rsidRPr="00736A08">
        <w:rPr>
          <w:rFonts w:ascii="Traditional Arabic" w:hAnsi="Traditional Arabic" w:cs="Traditional Arabic" w:hint="cs"/>
          <w:b/>
          <w:bCs/>
          <w:color w:val="333333"/>
          <w:sz w:val="24"/>
          <w:szCs w:val="24"/>
          <w:shd w:val="clear" w:color="auto" w:fill="FFFFFF"/>
          <w:rtl/>
        </w:rPr>
        <w:t>إلى أصحاب الكلمات التي سارت بي نحو النجاح  ، إلى الذين أغدقوا علي الدعوات والرضا</w:t>
      </w:r>
      <w:r w:rsidRPr="00736A08">
        <w:rPr>
          <w:rFonts w:ascii="Traditional Arabic" w:hAnsi="Traditional Arabic" w:cs="Traditional Arabic" w:hint="cs"/>
          <w:b/>
          <w:bCs/>
          <w:color w:val="333333"/>
          <w:sz w:val="24"/>
          <w:szCs w:val="24"/>
          <w:shd w:val="clear" w:color="auto" w:fill="FFFFFF"/>
        </w:rPr>
        <w:t>.</w:t>
      </w:r>
      <w:r w:rsidRPr="00736A08">
        <w:rPr>
          <w:rFonts w:ascii="Traditional Arabic" w:hAnsi="Traditional Arabic" w:cs="Traditional Arabic" w:hint="cs"/>
          <w:b/>
          <w:bCs/>
          <w:color w:val="333333"/>
          <w:sz w:val="24"/>
          <w:szCs w:val="24"/>
          <w:shd w:val="clear" w:color="auto" w:fill="FFFFFF"/>
          <w:rtl/>
        </w:rPr>
        <w:t xml:space="preserve"> إلى من لا يضاهيهما أحد في الكون، إلى من أمرنا الله ببرّهما، إلى من بذلا الكثير، وقدّما ما لا يمكن أن يُردّ ، إليكما تلك الكلمات </w:t>
      </w:r>
      <w:r w:rsidRPr="00736A08">
        <w:rPr>
          <w:rFonts w:ascii="Traditional Arabic" w:hAnsi="Traditional Arabic" w:cs="Traditional Arabic" w:hint="cs"/>
          <w:b/>
          <w:bCs/>
          <w:color w:val="333333"/>
          <w:sz w:val="24"/>
          <w:szCs w:val="24"/>
          <w:u w:val="single"/>
          <w:shd w:val="clear" w:color="auto" w:fill="FFFFFF"/>
          <w:rtl/>
        </w:rPr>
        <w:t>أمي وأبي الغاليان</w:t>
      </w:r>
      <w:r w:rsidRPr="00736A08">
        <w:rPr>
          <w:rFonts w:ascii="Traditional Arabic" w:hAnsi="Traditional Arabic" w:cs="Traditional Arabic" w:hint="cs"/>
          <w:b/>
          <w:bCs/>
          <w:color w:val="333333"/>
          <w:sz w:val="24"/>
          <w:szCs w:val="24"/>
          <w:shd w:val="clear" w:color="auto" w:fill="FFFFFF"/>
          <w:rtl/>
        </w:rPr>
        <w:t xml:space="preserve"> ، أهدي لكما هذا الكتاب ؛ فقد كنتما خير داعم لي طوال مسيرتي الدراسية و المهنيه و الحياتيه.</w:t>
      </w:r>
    </w:p>
    <w:p w14:paraId="6AE0FE55"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2B3562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C6732D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312D60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018D3C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1259B3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911813C"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6B248A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C909F9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A9B9EB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FF61C8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7C9107B"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EE02D8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ACD14D2"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840B9C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880FA3F"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A0BC02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2B1847D"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A299475"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6588D81"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6868D07"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FBBBF0"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3C136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CA026DA"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D8E6183"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F7B0BC6" w14:textId="77777777" w:rsidR="002A6565" w:rsidRDefault="002A6565"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CB0AFC4"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554C459" w14:textId="77777777" w:rsidR="002A6565" w:rsidRDefault="002A6565" w:rsidP="002A6565">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pPr>
    </w:p>
    <w:p w14:paraId="2DD4AB95" w14:textId="57A5EA0E" w:rsidR="002A6565" w:rsidRDefault="002A6565" w:rsidP="00E5531E">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t>شكر وتقدير</w:t>
      </w:r>
    </w:p>
    <w:p w14:paraId="0DD5CB29" w14:textId="77777777" w:rsidR="00E5531E" w:rsidRDefault="00E5531E" w:rsidP="00E5531E">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81AF746" w14:textId="77777777" w:rsidR="009E5516" w:rsidRPr="007754AE" w:rsidRDefault="009E5516" w:rsidP="009E5516">
      <w:pPr>
        <w:pBdr>
          <w:top w:val="nil"/>
          <w:left w:val="nil"/>
          <w:bottom w:val="nil"/>
          <w:right w:val="nil"/>
          <w:between w:val="nil"/>
          <w:bar w:val="nil"/>
        </w:pBdr>
        <w:bidi/>
        <w:spacing w:before="50" w:after="50" w:line="360" w:lineRule="auto"/>
        <w:ind w:right="431" w:firstLine="720"/>
        <w:jc w:val="both"/>
        <w:rPr>
          <w:rFonts w:ascii="Traditional Arabic" w:eastAsia="Times New Roman" w:hAnsi="Traditional Arabic" w:cs="Traditional Arabic"/>
          <w:color w:val="1C1C1C"/>
          <w:sz w:val="24"/>
          <w:szCs w:val="24"/>
          <w:rtl/>
        </w:rPr>
      </w:pPr>
      <w:r w:rsidRPr="007754AE">
        <w:rPr>
          <w:rFonts w:ascii="Traditional Arabic" w:eastAsia="Times New Roman" w:hAnsi="Traditional Arabic" w:cs="Traditional Arabic"/>
          <w:color w:val="1C1C1C"/>
          <w:sz w:val="24"/>
          <w:szCs w:val="24"/>
          <w:rtl/>
        </w:rPr>
        <w:t xml:space="preserve">أتقدم بجزيل الشكر والعرفان إلى </w:t>
      </w:r>
      <w:r>
        <w:rPr>
          <w:rFonts w:ascii="Traditional Arabic" w:eastAsia="Times New Roman" w:hAnsi="Traditional Arabic" w:cs="Traditional Arabic" w:hint="cs"/>
          <w:color w:val="1C1C1C"/>
          <w:sz w:val="24"/>
          <w:szCs w:val="24"/>
          <w:rtl/>
        </w:rPr>
        <w:t>الدكاترة المشرفين على هذه الرسالة ، و مديري في العمل و جميع أعضاء هيئة التدريس</w:t>
      </w:r>
      <w:r w:rsidRPr="007754AE">
        <w:rPr>
          <w:rFonts w:ascii="Traditional Arabic" w:eastAsia="Times New Roman" w:hAnsi="Traditional Arabic" w:cs="Traditional Arabic"/>
          <w:color w:val="1C1C1C"/>
          <w:sz w:val="24"/>
          <w:szCs w:val="24"/>
          <w:rtl/>
        </w:rPr>
        <w:t>، الذي</w:t>
      </w:r>
      <w:r>
        <w:rPr>
          <w:rFonts w:ascii="Traditional Arabic" w:eastAsia="Times New Roman" w:hAnsi="Traditional Arabic" w:cs="Traditional Arabic" w:hint="cs"/>
          <w:color w:val="1C1C1C"/>
          <w:sz w:val="24"/>
          <w:szCs w:val="24"/>
          <w:rtl/>
        </w:rPr>
        <w:t>ن</w:t>
      </w:r>
      <w:r w:rsidRPr="007754AE">
        <w:rPr>
          <w:rFonts w:ascii="Traditional Arabic" w:eastAsia="Times New Roman" w:hAnsi="Traditional Arabic" w:cs="Traditional Arabic"/>
          <w:color w:val="1C1C1C"/>
          <w:sz w:val="24"/>
          <w:szCs w:val="24"/>
          <w:rtl/>
        </w:rPr>
        <w:t xml:space="preserve"> كان 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الفضل الأكبر في توجيهي وإرشادي خلال هذه الرحلة العلمية. لقد منح</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ني من وقته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وجهده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الكثير، وكان</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 xml:space="preserve"> مثالًا للعالم المخلص الذي لا يبخل بعلمه ونصائحه، فكان</w:t>
      </w:r>
      <w:r>
        <w:rPr>
          <w:rFonts w:ascii="Traditional Arabic" w:eastAsia="Times New Roman" w:hAnsi="Traditional Arabic" w:cs="Traditional Arabic" w:hint="cs"/>
          <w:color w:val="1C1C1C"/>
          <w:sz w:val="24"/>
          <w:szCs w:val="24"/>
          <w:rtl/>
        </w:rPr>
        <w:t>ا</w:t>
      </w:r>
      <w:r w:rsidRPr="007754AE">
        <w:rPr>
          <w:rFonts w:ascii="Traditional Arabic" w:eastAsia="Times New Roman" w:hAnsi="Traditional Arabic" w:cs="Traditional Arabic"/>
          <w:color w:val="1C1C1C"/>
          <w:sz w:val="24"/>
          <w:szCs w:val="24"/>
          <w:rtl/>
        </w:rPr>
        <w:t xml:space="preserve"> دائمًا حاضر</w:t>
      </w:r>
      <w:r>
        <w:rPr>
          <w:rFonts w:ascii="Traditional Arabic" w:eastAsia="Times New Roman" w:hAnsi="Traditional Arabic" w:cs="Traditional Arabic" w:hint="cs"/>
          <w:color w:val="1C1C1C"/>
          <w:sz w:val="24"/>
          <w:szCs w:val="24"/>
          <w:rtl/>
        </w:rPr>
        <w:t>ين</w:t>
      </w:r>
      <w:r w:rsidRPr="007754AE">
        <w:rPr>
          <w:rFonts w:ascii="Traditional Arabic" w:eastAsia="Times New Roman" w:hAnsi="Traditional Arabic" w:cs="Traditional Arabic"/>
          <w:color w:val="1C1C1C"/>
          <w:sz w:val="24"/>
          <w:szCs w:val="24"/>
          <w:rtl/>
        </w:rPr>
        <w:t xml:space="preserve"> لتصحيح مساري العلمي وتزويدي بما يعينني على تجاوز العقبات. إن دعمه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المستمر وملاحظاته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الدقيقة أسهمت في إخراج هذا العمل بالصورة التي أرجو أن تكون جديرة بالقبول والاعتبار، كما أن تشجيعه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الدائم كان مصدر قوة وإلهام لي في مواجهة الصعوبات التي اعترضت طريقي</w:t>
      </w:r>
      <w:r w:rsidRPr="007754AE">
        <w:rPr>
          <w:rFonts w:ascii="Traditional Arabic" w:eastAsia="Times New Roman" w:hAnsi="Traditional Arabic" w:cs="Traditional Arabic" w:hint="cs"/>
          <w:color w:val="1C1C1C"/>
          <w:sz w:val="24"/>
          <w:szCs w:val="24"/>
          <w:rtl/>
        </w:rPr>
        <w:t>،</w:t>
      </w:r>
      <w:r w:rsidRPr="007754AE">
        <w:rPr>
          <w:rFonts w:ascii="Traditional Arabic" w:eastAsia="Times New Roman" w:hAnsi="Traditional Arabic" w:cs="Traditional Arabic"/>
          <w:color w:val="1C1C1C"/>
          <w:sz w:val="24"/>
          <w:szCs w:val="24"/>
          <w:rtl/>
        </w:rPr>
        <w:t xml:space="preserve"> لقد تعلمت منه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أن البحث العلمي ليس مجرد جهد أكاديمي، بل هو رسالة ومسؤولية، وأن المثابرة والالتزام هما الطريق الحقيقي للنجاح</w:t>
      </w:r>
      <w:r w:rsidRPr="007754AE">
        <w:rPr>
          <w:rFonts w:ascii="Traditional Arabic" w:eastAsia="Times New Roman" w:hAnsi="Traditional Arabic" w:cs="Traditional Arabic" w:hint="cs"/>
          <w:color w:val="1C1C1C"/>
          <w:sz w:val="24"/>
          <w:szCs w:val="24"/>
          <w:rtl/>
        </w:rPr>
        <w:t>،</w:t>
      </w:r>
      <w:r w:rsidRPr="007754AE">
        <w:rPr>
          <w:rFonts w:ascii="Traditional Arabic" w:eastAsia="Times New Roman" w:hAnsi="Traditional Arabic" w:cs="Traditional Arabic"/>
          <w:color w:val="1C1C1C"/>
          <w:sz w:val="24"/>
          <w:szCs w:val="24"/>
          <w:rtl/>
        </w:rPr>
        <w:t xml:space="preserve"> فله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مني كل الامتنان والتقدير، وأسأل الله أن يجزيه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خير الجزاء، ويبارك في علمه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وعمله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ويجعله</w:t>
      </w:r>
      <w:r>
        <w:rPr>
          <w:rFonts w:ascii="Traditional Arabic" w:eastAsia="Times New Roman" w:hAnsi="Traditional Arabic" w:cs="Traditional Arabic" w:hint="cs"/>
          <w:color w:val="1C1C1C"/>
          <w:sz w:val="24"/>
          <w:szCs w:val="24"/>
          <w:rtl/>
        </w:rPr>
        <w:t>م</w:t>
      </w:r>
      <w:r w:rsidRPr="007754AE">
        <w:rPr>
          <w:rFonts w:ascii="Traditional Arabic" w:eastAsia="Times New Roman" w:hAnsi="Traditional Arabic" w:cs="Traditional Arabic"/>
          <w:color w:val="1C1C1C"/>
          <w:sz w:val="24"/>
          <w:szCs w:val="24"/>
          <w:rtl/>
        </w:rPr>
        <w:t xml:space="preserve"> ذخراً </w:t>
      </w:r>
      <w:r>
        <w:rPr>
          <w:rFonts w:ascii="Traditional Arabic" w:eastAsia="Times New Roman" w:hAnsi="Traditional Arabic" w:cs="Traditional Arabic" w:hint="cs"/>
          <w:color w:val="1C1C1C"/>
          <w:sz w:val="24"/>
          <w:szCs w:val="24"/>
          <w:rtl/>
        </w:rPr>
        <w:t>لي و</w:t>
      </w:r>
      <w:r w:rsidRPr="007754AE">
        <w:rPr>
          <w:rFonts w:ascii="Traditional Arabic" w:eastAsia="Times New Roman" w:hAnsi="Traditional Arabic" w:cs="Traditional Arabic"/>
          <w:color w:val="1C1C1C"/>
          <w:sz w:val="24"/>
          <w:szCs w:val="24"/>
          <w:rtl/>
        </w:rPr>
        <w:t xml:space="preserve">للعلم </w:t>
      </w:r>
      <w:r w:rsidRPr="007754AE">
        <w:rPr>
          <w:rFonts w:ascii="Traditional Arabic" w:eastAsia="Times New Roman" w:hAnsi="Traditional Arabic" w:cs="Traditional Arabic" w:hint="cs"/>
          <w:color w:val="1C1C1C"/>
          <w:sz w:val="24"/>
          <w:szCs w:val="24"/>
          <w:rtl/>
        </w:rPr>
        <w:t>.</w:t>
      </w:r>
    </w:p>
    <w:p w14:paraId="64E19324" w14:textId="77777777" w:rsidR="00E5531E" w:rsidRDefault="00E5531E" w:rsidP="00E5531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70FDF3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7226DD7"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21E1BFB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3BAC56C"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61D387E1"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BEE366B"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E085DA0"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318C1A9"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7B9A406"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D9423DB"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C79ECE5" w14:textId="77777777" w:rsidR="009E5516"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1157239" w14:textId="77777777" w:rsidR="009E5516" w:rsidRPr="00E5531E" w:rsidRDefault="009E5516" w:rsidP="009E5516">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36F0C41C"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9095627"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7793A9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3E6F43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A41AEF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CC87FBB"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D9391EA"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EC884C" w14:textId="77777777" w:rsidR="00736A08" w:rsidRDefault="00736A08" w:rsidP="00736A08">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18DE91"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226165D"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702CEBE" w14:textId="77777777" w:rsidR="00D3327D" w:rsidRDefault="00D3327D" w:rsidP="007754A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120B141" w14:textId="216BAD22"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lastRenderedPageBreak/>
        <w:t>المستخلص عربي</w:t>
      </w:r>
    </w:p>
    <w:p w14:paraId="6628723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F5A4A10"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AB7532D" w14:textId="77777777" w:rsidR="00416B20" w:rsidRPr="00E726D7" w:rsidRDefault="00623B51" w:rsidP="00416B20">
      <w:pPr>
        <w:pBdr>
          <w:top w:val="nil"/>
          <w:left w:val="nil"/>
          <w:bottom w:val="nil"/>
          <w:right w:val="nil"/>
          <w:between w:val="nil"/>
          <w:bar w:val="nil"/>
        </w:pBdr>
        <w:bidi/>
        <w:spacing w:before="50" w:after="50"/>
        <w:ind w:right="431" w:firstLine="720"/>
        <w:jc w:val="both"/>
        <w:rPr>
          <w:rFonts w:ascii="Traditional Arabic" w:hAnsi="Traditional Arabic" w:cs="Traditional Arabic"/>
          <w:color w:val="1C1C1C"/>
          <w:sz w:val="28"/>
          <w:szCs w:val="28"/>
          <w:highlight w:val="yellow"/>
        </w:rPr>
      </w:pPr>
      <w:r w:rsidRPr="00E726D7">
        <w:rPr>
          <w:rFonts w:ascii="Traditional Arabic" w:eastAsia="Times New Roman" w:hAnsi="Traditional Arabic" w:cs="Traditional Arabic" w:hint="cs"/>
          <w:color w:val="1C1C1C"/>
          <w:sz w:val="28"/>
          <w:szCs w:val="28"/>
          <w:highlight w:val="yellow"/>
          <w:rtl/>
        </w:rPr>
        <w:t xml:space="preserve">هدفت هذه الدراسة إلى تحليل أثر ممارسات إدارة المخاطر على سلامة المرضى في </w:t>
      </w:r>
      <w:r w:rsidR="00F26E96" w:rsidRPr="00E726D7">
        <w:rPr>
          <w:rFonts w:ascii="Traditional Arabic" w:eastAsia="Times New Roman" w:hAnsi="Traditional Arabic" w:cs="Traditional Arabic" w:hint="cs"/>
          <w:color w:val="1C1C1C"/>
          <w:sz w:val="28"/>
          <w:szCs w:val="28"/>
          <w:highlight w:val="yellow"/>
          <w:rtl/>
        </w:rPr>
        <w:t>المرافق الصحية</w:t>
      </w:r>
      <w:r w:rsidRPr="00E726D7">
        <w:rPr>
          <w:rFonts w:ascii="Traditional Arabic" w:eastAsia="Times New Roman" w:hAnsi="Traditional Arabic" w:cs="Traditional Arabic" w:hint="cs"/>
          <w:color w:val="1C1C1C"/>
          <w:sz w:val="28"/>
          <w:szCs w:val="28"/>
          <w:highlight w:val="yellow"/>
          <w:rtl/>
        </w:rPr>
        <w:t xml:space="preserve"> الحكومية بالمملكة العربية السعودية، مع التحقق من الدور الوسيط الذي تلعبه القيادة التحويلية في تعزيز هذه العلاقة. اعتمدت الدراسة على</w:t>
      </w:r>
      <w:r w:rsidR="00F26E96" w:rsidRPr="00E726D7">
        <w:rPr>
          <w:rFonts w:ascii="Traditional Arabic" w:eastAsia="Times New Roman" w:hAnsi="Traditional Arabic" w:cs="Traditional Arabic" w:hint="cs"/>
          <w:color w:val="1C1C1C"/>
          <w:sz w:val="28"/>
          <w:szCs w:val="28"/>
          <w:highlight w:val="yellow"/>
          <w:rtl/>
        </w:rPr>
        <w:t xml:space="preserve"> المنهج الوصفي التحليلي، حيث طبقت على</w:t>
      </w:r>
      <w:r w:rsidRPr="00E726D7">
        <w:rPr>
          <w:rFonts w:ascii="Traditional Arabic" w:eastAsia="Times New Roman" w:hAnsi="Traditional Arabic" w:cs="Traditional Arabic" w:hint="cs"/>
          <w:color w:val="1C1C1C"/>
          <w:sz w:val="28"/>
          <w:szCs w:val="28"/>
          <w:highlight w:val="yellow"/>
          <w:rtl/>
        </w:rPr>
        <w:t xml:space="preserve"> عينة عشوائية طبقية حجمها (389) مشاركًا من مجتمع يبلغ (15,000)، </w:t>
      </w:r>
      <w:r w:rsidR="00282E8A" w:rsidRPr="00E726D7">
        <w:rPr>
          <w:rFonts w:ascii="Traditional Arabic" w:eastAsia="Times New Roman" w:hAnsi="Traditional Arabic" w:cs="Traditional Arabic" w:hint="cs"/>
          <w:color w:val="1C1C1C"/>
          <w:sz w:val="28"/>
          <w:szCs w:val="28"/>
          <w:highlight w:val="yellow"/>
          <w:rtl/>
        </w:rPr>
        <w:t>باستخدام</w:t>
      </w:r>
      <w:r w:rsidRPr="00E726D7">
        <w:rPr>
          <w:rFonts w:ascii="Traditional Arabic" w:eastAsia="Times New Roman" w:hAnsi="Traditional Arabic" w:cs="Traditional Arabic" w:hint="cs"/>
          <w:color w:val="1C1C1C"/>
          <w:sz w:val="28"/>
          <w:szCs w:val="28"/>
          <w:highlight w:val="yellow"/>
          <w:rtl/>
        </w:rPr>
        <w:t xml:space="preserve"> استبانة إلكترونية تضمنت (60) عبارة موزعة على ثلاثة محاور رئيسة: إدارة المخاطر، القيادة التحويلية، وسلامة المرضى. </w:t>
      </w:r>
      <w:r w:rsidR="00F26E96" w:rsidRPr="00E726D7">
        <w:rPr>
          <w:rFonts w:ascii="Traditional Arabic" w:eastAsia="Times New Roman" w:hAnsi="Traditional Arabic" w:cs="Traditional Arabic"/>
          <w:color w:val="1C1C1C"/>
          <w:sz w:val="28"/>
          <w:szCs w:val="28"/>
          <w:highlight w:val="yellow"/>
          <w:rtl/>
        </w:rPr>
        <w:t>تم استخدام تحليل الانحدار الخطي البسيط عبر برنامج (</w:t>
      </w:r>
      <w:r w:rsidR="00F26E96" w:rsidRPr="00E726D7">
        <w:rPr>
          <w:rFonts w:ascii="Traditional Arabic" w:eastAsia="Times New Roman" w:hAnsi="Traditional Arabic" w:cs="Traditional Arabic"/>
          <w:color w:val="1C1C1C"/>
          <w:sz w:val="28"/>
          <w:szCs w:val="28"/>
          <w:highlight w:val="yellow"/>
        </w:rPr>
        <w:t>SPSS</w:t>
      </w:r>
      <w:r w:rsidR="00F26E96" w:rsidRPr="00E726D7">
        <w:rPr>
          <w:rFonts w:ascii="Traditional Arabic" w:eastAsia="Times New Roman" w:hAnsi="Traditional Arabic" w:cs="Traditional Arabic"/>
          <w:color w:val="1C1C1C"/>
          <w:sz w:val="28"/>
          <w:szCs w:val="28"/>
          <w:highlight w:val="yellow"/>
          <w:rtl/>
        </w:rPr>
        <w:t>) لقياس العلاقات السببية المباشرة، وأسلوب نمذجة المعادلات الهيكلية (</w:t>
      </w:r>
      <w:r w:rsidR="00F26E96" w:rsidRPr="00E726D7">
        <w:rPr>
          <w:rFonts w:ascii="Traditional Arabic" w:eastAsia="Times New Roman" w:hAnsi="Traditional Arabic" w:cs="Traditional Arabic"/>
          <w:color w:val="1C1C1C"/>
          <w:sz w:val="28"/>
          <w:szCs w:val="28"/>
          <w:highlight w:val="yellow"/>
        </w:rPr>
        <w:t>SEM</w:t>
      </w:r>
      <w:r w:rsidR="00F26E96" w:rsidRPr="00E726D7">
        <w:rPr>
          <w:rFonts w:ascii="Traditional Arabic" w:eastAsia="Times New Roman" w:hAnsi="Traditional Arabic" w:cs="Traditional Arabic"/>
          <w:color w:val="1C1C1C"/>
          <w:sz w:val="28"/>
          <w:szCs w:val="28"/>
          <w:highlight w:val="yellow"/>
          <w:rtl/>
        </w:rPr>
        <w:t>) عبر برنامج (</w:t>
      </w:r>
      <w:r w:rsidR="00F26E96" w:rsidRPr="00E726D7">
        <w:rPr>
          <w:rFonts w:ascii="Traditional Arabic" w:eastAsia="Times New Roman" w:hAnsi="Traditional Arabic" w:cs="Traditional Arabic"/>
          <w:color w:val="1C1C1C"/>
          <w:sz w:val="28"/>
          <w:szCs w:val="28"/>
          <w:highlight w:val="yellow"/>
        </w:rPr>
        <w:t>AMOS</w:t>
      </w:r>
      <w:r w:rsidR="00F26E96" w:rsidRPr="00E726D7">
        <w:rPr>
          <w:rFonts w:ascii="Traditional Arabic" w:eastAsia="Times New Roman" w:hAnsi="Traditional Arabic" w:cs="Traditional Arabic"/>
          <w:color w:val="1C1C1C"/>
          <w:sz w:val="28"/>
          <w:szCs w:val="28"/>
          <w:highlight w:val="yellow"/>
          <w:rtl/>
        </w:rPr>
        <w:t xml:space="preserve">) لاختبار الأثر غير المباشر </w:t>
      </w:r>
      <w:r w:rsidR="00F26E96" w:rsidRPr="00E726D7">
        <w:rPr>
          <w:rFonts w:ascii="Traditional Arabic" w:eastAsia="Times New Roman" w:hAnsi="Traditional Arabic" w:cs="Traditional Arabic" w:hint="cs"/>
          <w:color w:val="1C1C1C"/>
          <w:sz w:val="28"/>
          <w:szCs w:val="28"/>
          <w:highlight w:val="yellow"/>
          <w:rtl/>
        </w:rPr>
        <w:t>و</w:t>
      </w:r>
      <w:r w:rsidR="00F26E96" w:rsidRPr="00E726D7">
        <w:rPr>
          <w:rFonts w:ascii="Traditional Arabic" w:eastAsia="Times New Roman" w:hAnsi="Traditional Arabic" w:cs="Traditional Arabic"/>
          <w:color w:val="1C1C1C"/>
          <w:sz w:val="28"/>
          <w:szCs w:val="28"/>
          <w:highlight w:val="yellow"/>
          <w:rtl/>
        </w:rPr>
        <w:t>اختبار ت للمجموعات المستقلة وتحليل التباين الأحادي للكشف عن الفروق الديموغرافية والوظيفية</w:t>
      </w:r>
      <w:r w:rsidR="00F26E96" w:rsidRPr="00E726D7">
        <w:rPr>
          <w:rFonts w:ascii="Traditional Arabic" w:eastAsia="Times New Roman" w:hAnsi="Traditional Arabic" w:cs="Traditional Arabic" w:hint="cs"/>
          <w:color w:val="1C1C1C"/>
          <w:sz w:val="28"/>
          <w:szCs w:val="28"/>
          <w:highlight w:val="yellow"/>
          <w:rtl/>
        </w:rPr>
        <w:t xml:space="preserve">، </w:t>
      </w:r>
      <w:r w:rsidR="00F26E96" w:rsidRPr="00E726D7">
        <w:rPr>
          <w:rFonts w:ascii="Traditional Arabic" w:hAnsi="Traditional Arabic" w:cs="Traditional Arabic"/>
          <w:color w:val="1C1C1C"/>
          <w:sz w:val="28"/>
          <w:szCs w:val="28"/>
          <w:highlight w:val="yellow"/>
          <w:rtl/>
        </w:rPr>
        <w:t>وقد أسفرت النتائج عن وجود تأثير مباشر وذو دلالة إحصائية لممارسات إدارة المخاطر على القيادة التحويلية، وتأثير مباشر ودال لممارسات إدارة المخاطر على سلامة المرضى، بالإضافة إلى تأثير مباشر ودال للقيادة التحويلية على سلامة المرضى</w:t>
      </w:r>
      <w:r w:rsidR="00F26E96" w:rsidRPr="00E726D7">
        <w:rPr>
          <w:rFonts w:ascii="Traditional Arabic" w:hAnsi="Traditional Arabic" w:cs="Traditional Arabic" w:hint="cs"/>
          <w:color w:val="1C1C1C"/>
          <w:sz w:val="28"/>
          <w:szCs w:val="28"/>
          <w:highlight w:val="yellow"/>
          <w:rtl/>
        </w:rPr>
        <w:t>، و</w:t>
      </w:r>
      <w:r w:rsidR="00F26E96" w:rsidRPr="00E726D7">
        <w:rPr>
          <w:rFonts w:ascii="Traditional Arabic" w:hAnsi="Traditional Arabic" w:cs="Traditional Arabic"/>
          <w:color w:val="1C1C1C"/>
          <w:sz w:val="28"/>
          <w:szCs w:val="28"/>
          <w:highlight w:val="yellow"/>
          <w:rtl/>
        </w:rPr>
        <w:t xml:space="preserve">وجود تأثير غير مباشر وذو دلالة إحصائية عالية لممارسات إدارة المخاطر على سلامة المرضى من خلال القيادة التحويلية كمتغير وسيط في المرافق الصحية الحكومية ، </w:t>
      </w:r>
      <w:r w:rsidR="00416B20" w:rsidRPr="00E726D7">
        <w:rPr>
          <w:rFonts w:ascii="Traditional Arabic" w:hAnsi="Traditional Arabic" w:cs="Traditional Arabic" w:hint="cs"/>
          <w:color w:val="1C1C1C"/>
          <w:sz w:val="28"/>
          <w:szCs w:val="28"/>
          <w:highlight w:val="yellow"/>
          <w:rtl/>
        </w:rPr>
        <w:t>ووجود</w:t>
      </w:r>
      <w:r w:rsidR="00F26E96" w:rsidRPr="00E726D7">
        <w:rPr>
          <w:rFonts w:ascii="Traditional Arabic" w:hAnsi="Traditional Arabic" w:cs="Traditional Arabic"/>
          <w:color w:val="1C1C1C"/>
          <w:sz w:val="28"/>
          <w:szCs w:val="28"/>
          <w:highlight w:val="yellow"/>
          <w:rtl/>
        </w:rPr>
        <w:t xml:space="preserve"> فروق ذات دلالة إحصائية في استجابات أفراد العينة تُعزى للنوع، المؤهل العلمي، وسنوات الخبرة، بينما لم تُسجل فروق تُعزى لنوع الوظيفة</w:t>
      </w:r>
      <w:r w:rsidR="00F26E96" w:rsidRPr="00E726D7">
        <w:rPr>
          <w:rFonts w:ascii="Traditional Arabic" w:hAnsi="Traditional Arabic" w:cs="Traditional Arabic" w:hint="cs"/>
          <w:color w:val="1C1C1C"/>
          <w:sz w:val="28"/>
          <w:szCs w:val="28"/>
          <w:highlight w:val="yellow"/>
          <w:rtl/>
        </w:rPr>
        <w:t xml:space="preserve">، </w:t>
      </w:r>
      <w:r w:rsidR="00416B20" w:rsidRPr="00E726D7">
        <w:rPr>
          <w:rFonts w:ascii="Traditional Arabic" w:hAnsi="Traditional Arabic" w:cs="Traditional Arabic"/>
          <w:color w:val="1C1C1C"/>
          <w:sz w:val="28"/>
          <w:szCs w:val="28"/>
          <w:highlight w:val="yellow"/>
          <w:rtl/>
        </w:rPr>
        <w:t>توصي الدراسة بأن تعتمد المستشفيات الحكومية نموذجاً متكاملاً يدمج إدارة المخاطر بالقيادة التحويلية لترسيخ ثقافة الأمان الصحي الشامل</w:t>
      </w:r>
      <w:r w:rsidR="00416B20" w:rsidRPr="00E726D7">
        <w:rPr>
          <w:rFonts w:ascii="Traditional Arabic" w:hAnsi="Traditional Arabic" w:cs="Traditional Arabic"/>
          <w:color w:val="1C1C1C"/>
          <w:sz w:val="28"/>
          <w:szCs w:val="28"/>
          <w:highlight w:val="yellow"/>
        </w:rPr>
        <w:t>.</w:t>
      </w:r>
    </w:p>
    <w:p w14:paraId="235F5D6D" w14:textId="05FE9754" w:rsidR="00F26E96" w:rsidRPr="00416B20" w:rsidRDefault="00F26E96" w:rsidP="00F26E96">
      <w:pPr>
        <w:pBdr>
          <w:top w:val="nil"/>
          <w:left w:val="nil"/>
          <w:bottom w:val="nil"/>
          <w:right w:val="nil"/>
          <w:between w:val="nil"/>
          <w:bar w:val="nil"/>
        </w:pBdr>
        <w:bidi/>
        <w:spacing w:before="50" w:after="50"/>
        <w:ind w:right="431" w:firstLine="720"/>
        <w:jc w:val="both"/>
        <w:rPr>
          <w:rFonts w:ascii="Traditional Arabic" w:hAnsi="Traditional Arabic" w:cs="Traditional Arabic"/>
          <w:color w:val="1C1C1C"/>
          <w:sz w:val="28"/>
          <w:szCs w:val="28"/>
          <w:highlight w:val="yellow"/>
        </w:rPr>
      </w:pPr>
    </w:p>
    <w:p w14:paraId="1C8FF67E" w14:textId="5BE800C7" w:rsidR="00F26E96" w:rsidRPr="00F26E96" w:rsidRDefault="00F26E96" w:rsidP="00F26E96">
      <w:pPr>
        <w:pBdr>
          <w:top w:val="nil"/>
          <w:left w:val="nil"/>
          <w:bottom w:val="nil"/>
          <w:right w:val="nil"/>
          <w:between w:val="nil"/>
          <w:bar w:val="nil"/>
        </w:pBdr>
        <w:bidi/>
        <w:spacing w:before="50" w:after="50"/>
        <w:ind w:right="431" w:firstLine="720"/>
        <w:jc w:val="both"/>
        <w:rPr>
          <w:rFonts w:ascii="Traditional Arabic" w:hAnsi="Traditional Arabic" w:cs="Traditional Arabic"/>
          <w:color w:val="1C1C1C"/>
          <w:sz w:val="28"/>
          <w:szCs w:val="28"/>
          <w:highlight w:val="yellow"/>
        </w:rPr>
      </w:pPr>
    </w:p>
    <w:p w14:paraId="0FAB82A0" w14:textId="59EFF5B8" w:rsidR="007754AE" w:rsidRPr="00623B51" w:rsidRDefault="007754AE" w:rsidP="00F26E96">
      <w:pPr>
        <w:pBdr>
          <w:top w:val="nil"/>
          <w:left w:val="nil"/>
          <w:bottom w:val="nil"/>
          <w:right w:val="nil"/>
          <w:between w:val="nil"/>
          <w:bar w:val="nil"/>
        </w:pBdr>
        <w:bidi/>
        <w:spacing w:before="50" w:after="50"/>
        <w:ind w:right="431" w:firstLine="720"/>
        <w:jc w:val="both"/>
        <w:rPr>
          <w:rFonts w:ascii="Traditional Arabic" w:eastAsia="Times New Roman" w:hAnsi="Traditional Arabic" w:cs="Traditional Arabic"/>
          <w:color w:val="1C1C1C"/>
          <w:sz w:val="28"/>
          <w:szCs w:val="28"/>
        </w:rPr>
      </w:pPr>
    </w:p>
    <w:p w14:paraId="41D18CF2" w14:textId="6266A5D0" w:rsidR="00623B51" w:rsidRPr="00623B51" w:rsidRDefault="00623B51" w:rsidP="00623B51">
      <w:pPr>
        <w:pBdr>
          <w:top w:val="nil"/>
          <w:left w:val="nil"/>
          <w:bottom w:val="nil"/>
          <w:right w:val="nil"/>
          <w:between w:val="nil"/>
          <w:bar w:val="nil"/>
        </w:pBdr>
        <w:bidi/>
        <w:spacing w:before="50" w:after="50" w:line="240" w:lineRule="auto"/>
        <w:ind w:right="432"/>
        <w:rPr>
          <w:rFonts w:ascii="Traditional Arabic" w:eastAsia="Times New Roman" w:hAnsi="Traditional Arabic" w:cs="Traditional Arabic"/>
          <w:color w:val="1C1C1C"/>
          <w:sz w:val="28"/>
          <w:szCs w:val="28"/>
        </w:rPr>
      </w:pPr>
      <w:r w:rsidRPr="00623B51">
        <w:rPr>
          <w:rFonts w:ascii="Traditional Arabic" w:eastAsia="Times New Roman" w:hAnsi="Traditional Arabic" w:cs="Traditional Arabic" w:hint="cs"/>
          <w:b/>
          <w:bCs/>
          <w:color w:val="1C1C1C"/>
          <w:sz w:val="28"/>
          <w:szCs w:val="28"/>
          <w:rtl/>
        </w:rPr>
        <w:t>الكلمات المفتاحية</w:t>
      </w:r>
      <w:r w:rsidRPr="00623B51">
        <w:rPr>
          <w:rFonts w:ascii="Traditional Arabic" w:eastAsia="Times New Roman" w:hAnsi="Traditional Arabic" w:cs="Traditional Arabic" w:hint="cs"/>
          <w:color w:val="1C1C1C"/>
          <w:sz w:val="28"/>
          <w:szCs w:val="28"/>
        </w:rPr>
        <w:t xml:space="preserve">: </w:t>
      </w:r>
      <w:r w:rsidRPr="00623B51">
        <w:rPr>
          <w:rFonts w:ascii="Traditional Arabic" w:eastAsia="Times New Roman" w:hAnsi="Traditional Arabic" w:cs="Traditional Arabic" w:hint="cs"/>
          <w:color w:val="1C1C1C"/>
          <w:sz w:val="28"/>
          <w:szCs w:val="28"/>
          <w:rtl/>
        </w:rPr>
        <w:t>إدارة المخاطر، سلامة المرضى، القيادة التحويلية، المستشفيات الحكومية</w:t>
      </w:r>
      <w:r w:rsidR="00556E0D">
        <w:rPr>
          <w:rFonts w:ascii="Traditional Arabic" w:eastAsia="Times New Roman" w:hAnsi="Traditional Arabic" w:cs="Traditional Arabic" w:hint="cs"/>
          <w:color w:val="1C1C1C"/>
          <w:sz w:val="28"/>
          <w:szCs w:val="28"/>
          <w:rtl/>
        </w:rPr>
        <w:t xml:space="preserve"> ب</w:t>
      </w:r>
      <w:r w:rsidRPr="00623B51">
        <w:rPr>
          <w:rFonts w:ascii="Traditional Arabic" w:eastAsia="Times New Roman" w:hAnsi="Traditional Arabic" w:cs="Traditional Arabic" w:hint="cs"/>
          <w:color w:val="1C1C1C"/>
          <w:sz w:val="28"/>
          <w:szCs w:val="28"/>
          <w:rtl/>
        </w:rPr>
        <w:t>المملكة العربية السعودية</w:t>
      </w:r>
      <w:r w:rsidRPr="00623B51">
        <w:rPr>
          <w:rFonts w:ascii="Traditional Arabic" w:eastAsia="Times New Roman" w:hAnsi="Traditional Arabic" w:cs="Traditional Arabic" w:hint="cs"/>
          <w:color w:val="1C1C1C"/>
          <w:sz w:val="28"/>
          <w:szCs w:val="28"/>
        </w:rPr>
        <w:t>.</w:t>
      </w:r>
    </w:p>
    <w:p w14:paraId="442759B2" w14:textId="77777777" w:rsidR="00163191" w:rsidRPr="00623B51" w:rsidRDefault="00163191" w:rsidP="00623B51">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4E0229A3"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FB61FC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64FF2E7"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EF8CCF"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8CF6DC5"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6DC0956"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56EE84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479DE29"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E0B77FD"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FAF37BC"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D0554FF" w14:textId="77777777" w:rsidR="00163191" w:rsidRDefault="00163191" w:rsidP="00623B51">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6BF0CCF" w14:textId="0E3D791B" w:rsidR="00163191" w:rsidRPr="00623B51" w:rsidRDefault="00623B5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623B51">
        <w:rPr>
          <w:rFonts w:ascii="Times New Roman" w:eastAsia="Times New Roman" w:hAnsi="Times New Roman" w:cs="Times New Roman"/>
          <w:b/>
          <w:bCs/>
          <w:color w:val="1C1C1C"/>
          <w:sz w:val="28"/>
          <w:szCs w:val="28"/>
          <w:u w:val="single"/>
        </w:rPr>
        <w:t>Abastract</w:t>
      </w:r>
    </w:p>
    <w:p w14:paraId="236EB948" w14:textId="77777777" w:rsidR="00623B51" w:rsidRDefault="00623B51" w:rsidP="00623B51">
      <w:pPr>
        <w:pBdr>
          <w:top w:val="nil"/>
          <w:left w:val="nil"/>
          <w:bottom w:val="nil"/>
          <w:right w:val="nil"/>
          <w:between w:val="nil"/>
          <w:bar w:val="nil"/>
        </w:pBdr>
        <w:spacing w:before="50" w:after="50" w:line="240" w:lineRule="auto"/>
        <w:ind w:right="432"/>
        <w:jc w:val="both"/>
        <w:rPr>
          <w:rFonts w:ascii="Times New Roman" w:eastAsia="Times New Roman" w:hAnsi="Times New Roman" w:cs="Times New Roman"/>
          <w:b/>
          <w:bCs/>
          <w:color w:val="1C1C1C"/>
          <w:sz w:val="28"/>
          <w:szCs w:val="28"/>
        </w:rPr>
      </w:pPr>
    </w:p>
    <w:p w14:paraId="3D4E0385" w14:textId="77777777" w:rsidR="00E726D7" w:rsidRDefault="00E726D7" w:rsidP="00D3327D">
      <w:pPr>
        <w:pBdr>
          <w:top w:val="nil"/>
          <w:left w:val="nil"/>
          <w:bottom w:val="nil"/>
          <w:right w:val="nil"/>
          <w:between w:val="nil"/>
          <w:bar w:val="nil"/>
        </w:pBdr>
        <w:spacing w:before="50" w:after="50" w:line="276" w:lineRule="auto"/>
        <w:ind w:right="431" w:firstLine="720"/>
        <w:jc w:val="both"/>
        <w:rPr>
          <w:rFonts w:ascii="Times New Roman" w:eastAsia="Times New Roman" w:hAnsi="Times New Roman" w:cs="Times New Roman"/>
          <w:color w:val="1C1C1C"/>
          <w:sz w:val="28"/>
          <w:szCs w:val="28"/>
          <w:rtl/>
        </w:rPr>
      </w:pPr>
      <w:r w:rsidRPr="000C37A9">
        <w:rPr>
          <w:rFonts w:ascii="Times New Roman" w:eastAsia="Times New Roman" w:hAnsi="Times New Roman" w:cs="Times New Roman"/>
          <w:color w:val="1C1C1C"/>
          <w:sz w:val="28"/>
          <w:szCs w:val="28"/>
          <w:highlight w:val="yellow"/>
        </w:rPr>
        <w:t>This study aimed to analyze the impact of risk management practices on patient safety in government health facilities in the Kingdom of Saudi Arabia, while verifying the mediating role that transformational leadership plays in strengthening this relationship. The study relied on the descriptive analytical approach, as it was applied to a stratified random sample of (389) participants from a community of (15,000), using an electronic questionnaire that included (60) phrases distributed over three main axes: risk management, transformational leadership, and patient safety. Simple linear regression analysis (SPSS) was used to measure direct causal relationships, and structural equation modeling (SEM) (AMOS) was used to test the indirect effect, independent groups' t-test, and univariate analysis to detect demographic and functional differences. The results revealed a direct and statistically significant effect of risk management practices on transformational leadership, and a direct and significant effect of risk management practices on patient safety In addition to a direct and significant impact of transformational leadership on patient safety, and the presence of an indirect and highly statistically significant impact of risk management practices on patient safety through transformational leadership as an intermediate variable in government health facilities, and the presence of statistically significant differences in the responses of sample members attributed to gender, educational qualification, and years of experience, while no differences attributed to job type were recorded, The study recommends that government hospitals adopt an integrated model that integrates risk management with transformational leadership to establish a culture of comprehensive health safety.</w:t>
      </w:r>
    </w:p>
    <w:p w14:paraId="1E559933" w14:textId="5CF4FAFF" w:rsidR="00D3327D" w:rsidRPr="00623B51" w:rsidRDefault="00D3327D" w:rsidP="00D3327D">
      <w:pPr>
        <w:pBdr>
          <w:top w:val="nil"/>
          <w:left w:val="nil"/>
          <w:bottom w:val="nil"/>
          <w:right w:val="nil"/>
          <w:between w:val="nil"/>
          <w:bar w:val="nil"/>
        </w:pBdr>
        <w:spacing w:before="50" w:after="50" w:line="276" w:lineRule="auto"/>
        <w:ind w:right="431" w:firstLine="720"/>
        <w:jc w:val="both"/>
        <w:rPr>
          <w:rFonts w:ascii="Times New Roman" w:eastAsia="Times New Roman" w:hAnsi="Times New Roman" w:cs="Times New Roman"/>
          <w:color w:val="1C1C1C"/>
          <w:sz w:val="28"/>
          <w:szCs w:val="28"/>
          <w:rtl/>
        </w:rPr>
      </w:pPr>
      <w:r w:rsidRPr="00D3327D">
        <w:rPr>
          <w:rFonts w:ascii="Times New Roman" w:eastAsia="Times New Roman" w:hAnsi="Times New Roman" w:cs="Times New Roman"/>
          <w:b/>
          <w:bCs/>
          <w:color w:val="1C1C1C"/>
          <w:sz w:val="28"/>
          <w:szCs w:val="28"/>
        </w:rPr>
        <w:t>Keywords</w:t>
      </w:r>
      <w:r>
        <w:rPr>
          <w:rFonts w:ascii="Times New Roman" w:eastAsia="Times New Roman" w:hAnsi="Times New Roman" w:cs="Times New Roman"/>
          <w:b/>
          <w:bCs/>
          <w:color w:val="1C1C1C"/>
          <w:sz w:val="28"/>
          <w:szCs w:val="28"/>
        </w:rPr>
        <w:t xml:space="preserve"> </w:t>
      </w:r>
      <w:r w:rsidRPr="00D3327D">
        <w:rPr>
          <w:rFonts w:ascii="Times New Roman" w:eastAsia="Times New Roman" w:hAnsi="Times New Roman" w:cs="Times New Roman"/>
          <w:color w:val="1C1C1C"/>
          <w:sz w:val="28"/>
          <w:szCs w:val="28"/>
        </w:rPr>
        <w:t>: risk management, patient safety, transformational leadership, government hospitals</w:t>
      </w:r>
      <w:r w:rsidR="00556E0D">
        <w:rPr>
          <w:rFonts w:ascii="Times New Roman" w:eastAsia="Times New Roman" w:hAnsi="Times New Roman" w:cs="Times New Roman"/>
          <w:color w:val="1C1C1C"/>
          <w:sz w:val="28"/>
          <w:szCs w:val="28"/>
        </w:rPr>
        <w:t xml:space="preserve"> of</w:t>
      </w:r>
      <w:r w:rsidRPr="00D3327D">
        <w:rPr>
          <w:rFonts w:ascii="Times New Roman" w:eastAsia="Times New Roman" w:hAnsi="Times New Roman" w:cs="Times New Roman"/>
          <w:color w:val="1C1C1C"/>
          <w:sz w:val="28"/>
          <w:szCs w:val="28"/>
        </w:rPr>
        <w:t xml:space="preserve"> Saudi Arabia.</w:t>
      </w:r>
    </w:p>
    <w:p w14:paraId="42DD8BEA"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A27FAEE"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02CCB39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82ECCA2" w14:textId="77777777"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EBC1185" w14:textId="77777777" w:rsidR="00163191" w:rsidRDefault="00163191" w:rsidP="007754AE">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0DA5486A" w14:textId="4B8EDDF9" w:rsidR="00163191" w:rsidRDefault="00163191" w:rsidP="00163191">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6D262F">
        <w:rPr>
          <w:rFonts w:ascii="Times New Roman" w:eastAsia="Times New Roman" w:hAnsi="Times New Roman" w:cs="Times New Roman" w:hint="cs"/>
          <w:b/>
          <w:bCs/>
          <w:color w:val="1C1C1C"/>
          <w:sz w:val="28"/>
          <w:szCs w:val="28"/>
          <w:u w:val="single"/>
          <w:rtl/>
        </w:rPr>
        <w:lastRenderedPageBreak/>
        <w:t>قائمة المحتويات</w:t>
      </w:r>
    </w:p>
    <w:p w14:paraId="1FA926B7" w14:textId="77777777" w:rsidR="00C853E2" w:rsidRPr="006D262F" w:rsidRDefault="00C853E2" w:rsidP="00C853E2">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tbl>
      <w:tblPr>
        <w:tblStyle w:val="TableGrid"/>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6717"/>
        <w:gridCol w:w="1573"/>
      </w:tblGrid>
      <w:tr w:rsidR="00C853E2" w:rsidRPr="00FF1999" w14:paraId="39DDE13B" w14:textId="77777777" w:rsidTr="000C3448">
        <w:trPr>
          <w:tblCellSpacing w:w="20" w:type="dxa"/>
          <w:jc w:val="center"/>
        </w:trPr>
        <w:tc>
          <w:tcPr>
            <w:tcW w:w="4015" w:type="pct"/>
            <w:shd w:val="clear" w:color="auto" w:fill="E5DFEC" w:themeFill="accent4" w:themeFillTint="33"/>
          </w:tcPr>
          <w:p w14:paraId="7D169CB5" w14:textId="77777777" w:rsidR="00C853E2" w:rsidRPr="002E572A" w:rsidRDefault="00C853E2" w:rsidP="001F1CE9">
            <w:pPr>
              <w:bidi/>
              <w:spacing w:before="50" w:after="50" w:line="240" w:lineRule="auto"/>
              <w:ind w:right="432"/>
              <w:jc w:val="center"/>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الموضوع</w:t>
            </w:r>
          </w:p>
        </w:tc>
        <w:tc>
          <w:tcPr>
            <w:tcW w:w="913" w:type="pct"/>
            <w:shd w:val="clear" w:color="auto" w:fill="E5DFEC" w:themeFill="accent4" w:themeFillTint="33"/>
          </w:tcPr>
          <w:p w14:paraId="6786CFC7" w14:textId="77777777" w:rsidR="00C853E2" w:rsidRPr="002E572A" w:rsidRDefault="00C853E2" w:rsidP="001F1CE9">
            <w:pPr>
              <w:bidi/>
              <w:spacing w:before="50" w:after="50" w:line="240" w:lineRule="auto"/>
              <w:ind w:right="432"/>
              <w:jc w:val="center"/>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صفحة</w:t>
            </w:r>
          </w:p>
        </w:tc>
      </w:tr>
      <w:tr w:rsidR="004546DA" w:rsidRPr="00FF1999" w14:paraId="2B33ECF1" w14:textId="77777777" w:rsidTr="004546DA">
        <w:trPr>
          <w:tblCellSpacing w:w="20" w:type="dxa"/>
          <w:jc w:val="center"/>
        </w:trPr>
        <w:tc>
          <w:tcPr>
            <w:tcW w:w="4015" w:type="pct"/>
          </w:tcPr>
          <w:p w14:paraId="10166968" w14:textId="77777777" w:rsidR="004546DA" w:rsidRPr="00FF1999"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FF1999">
              <w:rPr>
                <w:rFonts w:ascii="Traditional Arabic" w:eastAsia="Times New Roman" w:hAnsi="Traditional Arabic" w:cs="Traditional Arabic" w:hint="cs"/>
                <w:b/>
                <w:bCs/>
                <w:color w:val="1C1C1C"/>
                <w:sz w:val="24"/>
                <w:szCs w:val="24"/>
                <w:rtl/>
              </w:rPr>
              <w:t>الفصل الأول</w:t>
            </w:r>
          </w:p>
        </w:tc>
        <w:tc>
          <w:tcPr>
            <w:tcW w:w="913" w:type="pct"/>
          </w:tcPr>
          <w:p w14:paraId="46D66D82" w14:textId="08417984" w:rsidR="004546DA" w:rsidRPr="00FF1999"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Pr>
                <w:rFonts w:ascii="Traditional Arabic" w:eastAsia="Times New Roman" w:hAnsi="Traditional Arabic" w:cs="Traditional Arabic" w:hint="cs"/>
                <w:b/>
                <w:bCs/>
                <w:color w:val="1C1C1C"/>
                <w:sz w:val="24"/>
                <w:szCs w:val="24"/>
                <w:rtl/>
              </w:rPr>
              <w:t>1</w:t>
            </w:r>
          </w:p>
        </w:tc>
      </w:tr>
      <w:tr w:rsidR="004546DA" w:rsidRPr="00FF1999" w14:paraId="12B876E5" w14:textId="77777777" w:rsidTr="004546DA">
        <w:trPr>
          <w:tblCellSpacing w:w="20" w:type="dxa"/>
          <w:jc w:val="center"/>
        </w:trPr>
        <w:tc>
          <w:tcPr>
            <w:tcW w:w="4015" w:type="pct"/>
          </w:tcPr>
          <w:p w14:paraId="0215B5C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sidRPr="00FF1999">
              <w:rPr>
                <w:rFonts w:ascii="Traditional Arabic" w:eastAsia="Times New Roman" w:hAnsi="Traditional Arabic" w:cs="Traditional Arabic" w:hint="cs"/>
                <w:color w:val="1C1C1C"/>
                <w:sz w:val="24"/>
                <w:szCs w:val="24"/>
                <w:rtl/>
              </w:rPr>
              <w:t>مقدمة الدراسة</w:t>
            </w:r>
          </w:p>
        </w:tc>
        <w:tc>
          <w:tcPr>
            <w:tcW w:w="913" w:type="pct"/>
          </w:tcPr>
          <w:p w14:paraId="15EBD0DD" w14:textId="52DF643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w:t>
            </w:r>
          </w:p>
        </w:tc>
      </w:tr>
      <w:tr w:rsidR="004546DA" w:rsidRPr="00FF1999" w14:paraId="5861D205" w14:textId="77777777" w:rsidTr="004546DA">
        <w:trPr>
          <w:tblCellSpacing w:w="20" w:type="dxa"/>
          <w:jc w:val="center"/>
        </w:trPr>
        <w:tc>
          <w:tcPr>
            <w:tcW w:w="4015" w:type="pct"/>
          </w:tcPr>
          <w:p w14:paraId="49B5FA0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مشكلة الدراسة</w:t>
            </w:r>
          </w:p>
        </w:tc>
        <w:tc>
          <w:tcPr>
            <w:tcW w:w="913" w:type="pct"/>
          </w:tcPr>
          <w:p w14:paraId="65466371" w14:textId="5F1472B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w:t>
            </w:r>
          </w:p>
        </w:tc>
      </w:tr>
      <w:tr w:rsidR="004546DA" w:rsidRPr="00FF1999" w14:paraId="650FEC1F" w14:textId="77777777" w:rsidTr="004546DA">
        <w:trPr>
          <w:tblCellSpacing w:w="20" w:type="dxa"/>
          <w:jc w:val="center"/>
        </w:trPr>
        <w:tc>
          <w:tcPr>
            <w:tcW w:w="4015" w:type="pct"/>
          </w:tcPr>
          <w:p w14:paraId="3BC3003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أهمية الدراسة</w:t>
            </w:r>
          </w:p>
        </w:tc>
        <w:tc>
          <w:tcPr>
            <w:tcW w:w="913" w:type="pct"/>
          </w:tcPr>
          <w:p w14:paraId="42EBA46E" w14:textId="2E819D1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w:t>
            </w:r>
          </w:p>
        </w:tc>
      </w:tr>
      <w:tr w:rsidR="004546DA" w:rsidRPr="00FF1999" w14:paraId="7459AAE3" w14:textId="77777777" w:rsidTr="004546DA">
        <w:trPr>
          <w:tblCellSpacing w:w="20" w:type="dxa"/>
          <w:jc w:val="center"/>
        </w:trPr>
        <w:tc>
          <w:tcPr>
            <w:tcW w:w="4015" w:type="pct"/>
          </w:tcPr>
          <w:p w14:paraId="2EE24B2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أهداف الدراسة</w:t>
            </w:r>
          </w:p>
        </w:tc>
        <w:tc>
          <w:tcPr>
            <w:tcW w:w="913" w:type="pct"/>
          </w:tcPr>
          <w:p w14:paraId="3A694A71" w14:textId="3D734CB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w:t>
            </w:r>
          </w:p>
        </w:tc>
      </w:tr>
      <w:tr w:rsidR="004546DA" w:rsidRPr="00FF1999" w14:paraId="336171CC" w14:textId="77777777" w:rsidTr="004546DA">
        <w:trPr>
          <w:tblCellSpacing w:w="20" w:type="dxa"/>
          <w:jc w:val="center"/>
        </w:trPr>
        <w:tc>
          <w:tcPr>
            <w:tcW w:w="4015" w:type="pct"/>
          </w:tcPr>
          <w:p w14:paraId="2EFDBE8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فرضيات الدراسة</w:t>
            </w:r>
          </w:p>
        </w:tc>
        <w:tc>
          <w:tcPr>
            <w:tcW w:w="913" w:type="pct"/>
          </w:tcPr>
          <w:p w14:paraId="57820E0A" w14:textId="0B52395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w:t>
            </w:r>
          </w:p>
        </w:tc>
      </w:tr>
      <w:tr w:rsidR="004546DA" w:rsidRPr="00FF1999" w14:paraId="6923A73F" w14:textId="77777777" w:rsidTr="004546DA">
        <w:trPr>
          <w:tblCellSpacing w:w="20" w:type="dxa"/>
          <w:jc w:val="center"/>
        </w:trPr>
        <w:tc>
          <w:tcPr>
            <w:tcW w:w="4015" w:type="pct"/>
          </w:tcPr>
          <w:p w14:paraId="3C57629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نموذج الدراسة</w:t>
            </w:r>
          </w:p>
        </w:tc>
        <w:tc>
          <w:tcPr>
            <w:tcW w:w="913" w:type="pct"/>
          </w:tcPr>
          <w:p w14:paraId="7F6F3A7C" w14:textId="6C6F391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w:t>
            </w:r>
          </w:p>
        </w:tc>
      </w:tr>
      <w:tr w:rsidR="004546DA" w:rsidRPr="00FF1999" w14:paraId="068FE9BF" w14:textId="77777777" w:rsidTr="004546DA">
        <w:trPr>
          <w:tblCellSpacing w:w="20" w:type="dxa"/>
          <w:jc w:val="center"/>
        </w:trPr>
        <w:tc>
          <w:tcPr>
            <w:tcW w:w="4015" w:type="pct"/>
          </w:tcPr>
          <w:p w14:paraId="17D41400" w14:textId="0A49660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w:t>
            </w:r>
            <w:r w:rsidR="00620EEA">
              <w:rPr>
                <w:rFonts w:ascii="Traditional Arabic" w:eastAsia="Times New Roman" w:hAnsi="Traditional Arabic" w:cs="Traditional Arabic" w:hint="cs"/>
                <w:color w:val="1C1C1C"/>
                <w:sz w:val="24"/>
                <w:szCs w:val="24"/>
                <w:rtl/>
              </w:rPr>
              <w:t>ا</w:t>
            </w:r>
            <w:r>
              <w:rPr>
                <w:rFonts w:ascii="Traditional Arabic" w:eastAsia="Times New Roman" w:hAnsi="Traditional Arabic" w:cs="Traditional Arabic" w:hint="cs"/>
                <w:color w:val="1C1C1C"/>
                <w:sz w:val="24"/>
                <w:szCs w:val="24"/>
                <w:rtl/>
              </w:rPr>
              <w:t>سات المرجعية</w:t>
            </w:r>
          </w:p>
        </w:tc>
        <w:tc>
          <w:tcPr>
            <w:tcW w:w="913" w:type="pct"/>
          </w:tcPr>
          <w:p w14:paraId="3E0FFDFF" w14:textId="01EE09D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w:t>
            </w:r>
          </w:p>
        </w:tc>
      </w:tr>
      <w:tr w:rsidR="004546DA" w:rsidRPr="00FF1999" w14:paraId="14D8A068" w14:textId="77777777" w:rsidTr="004546DA">
        <w:trPr>
          <w:tblCellSpacing w:w="20" w:type="dxa"/>
          <w:jc w:val="center"/>
        </w:trPr>
        <w:tc>
          <w:tcPr>
            <w:tcW w:w="4015" w:type="pct"/>
          </w:tcPr>
          <w:p w14:paraId="5A06EA2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مصطلحات الدراسة الإجرائية</w:t>
            </w:r>
          </w:p>
        </w:tc>
        <w:tc>
          <w:tcPr>
            <w:tcW w:w="913" w:type="pct"/>
          </w:tcPr>
          <w:p w14:paraId="5651A29F" w14:textId="23FB3E1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16</w:t>
            </w:r>
          </w:p>
        </w:tc>
      </w:tr>
      <w:tr w:rsidR="004546DA" w:rsidRPr="00FF1999" w14:paraId="27F1E4BA" w14:textId="77777777" w:rsidTr="004546DA">
        <w:trPr>
          <w:tblCellSpacing w:w="20" w:type="dxa"/>
          <w:jc w:val="center"/>
        </w:trPr>
        <w:tc>
          <w:tcPr>
            <w:tcW w:w="4015" w:type="pct"/>
          </w:tcPr>
          <w:p w14:paraId="558E65C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أبعاد متغيرات الدراسة</w:t>
            </w:r>
          </w:p>
        </w:tc>
        <w:tc>
          <w:tcPr>
            <w:tcW w:w="913" w:type="pct"/>
          </w:tcPr>
          <w:p w14:paraId="52E4A099" w14:textId="788AB84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18</w:t>
            </w:r>
          </w:p>
        </w:tc>
      </w:tr>
      <w:tr w:rsidR="004546DA" w:rsidRPr="00FF1999" w14:paraId="71FBD968" w14:textId="77777777" w:rsidTr="004546DA">
        <w:trPr>
          <w:tblCellSpacing w:w="20" w:type="dxa"/>
          <w:jc w:val="center"/>
        </w:trPr>
        <w:tc>
          <w:tcPr>
            <w:tcW w:w="4015" w:type="pct"/>
          </w:tcPr>
          <w:p w14:paraId="05E07091"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إجراءات الدراسة</w:t>
            </w:r>
          </w:p>
        </w:tc>
        <w:tc>
          <w:tcPr>
            <w:tcW w:w="913" w:type="pct"/>
          </w:tcPr>
          <w:p w14:paraId="0E4B189C" w14:textId="7CCD43A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21</w:t>
            </w:r>
          </w:p>
        </w:tc>
      </w:tr>
      <w:tr w:rsidR="004546DA" w:rsidRPr="00FF1999" w14:paraId="1AAE3C1B" w14:textId="77777777" w:rsidTr="004546DA">
        <w:trPr>
          <w:tblCellSpacing w:w="20" w:type="dxa"/>
          <w:jc w:val="center"/>
        </w:trPr>
        <w:tc>
          <w:tcPr>
            <w:tcW w:w="4015" w:type="pct"/>
          </w:tcPr>
          <w:p w14:paraId="65D0689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مجتمع وعينة الدراسة</w:t>
            </w:r>
          </w:p>
        </w:tc>
        <w:tc>
          <w:tcPr>
            <w:tcW w:w="913" w:type="pct"/>
          </w:tcPr>
          <w:p w14:paraId="07491B70" w14:textId="69AA3EA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21</w:t>
            </w:r>
          </w:p>
        </w:tc>
      </w:tr>
      <w:tr w:rsidR="004546DA" w:rsidRPr="00FF1999" w14:paraId="5B008AAA" w14:textId="77777777" w:rsidTr="004546DA">
        <w:trPr>
          <w:tblCellSpacing w:w="20" w:type="dxa"/>
          <w:jc w:val="center"/>
        </w:trPr>
        <w:tc>
          <w:tcPr>
            <w:tcW w:w="4015" w:type="pct"/>
          </w:tcPr>
          <w:p w14:paraId="294495E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حدود الدراسة</w:t>
            </w:r>
          </w:p>
        </w:tc>
        <w:tc>
          <w:tcPr>
            <w:tcW w:w="913" w:type="pct"/>
          </w:tcPr>
          <w:p w14:paraId="47386ED4" w14:textId="433281C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22</w:t>
            </w:r>
          </w:p>
        </w:tc>
      </w:tr>
      <w:tr w:rsidR="004546DA" w:rsidRPr="00FF1999" w14:paraId="4571A04D" w14:textId="77777777" w:rsidTr="004546DA">
        <w:trPr>
          <w:tblCellSpacing w:w="20" w:type="dxa"/>
          <w:jc w:val="center"/>
        </w:trPr>
        <w:tc>
          <w:tcPr>
            <w:tcW w:w="4015" w:type="pct"/>
          </w:tcPr>
          <w:p w14:paraId="3ED478D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وسائل جمع البيانات</w:t>
            </w:r>
          </w:p>
        </w:tc>
        <w:tc>
          <w:tcPr>
            <w:tcW w:w="913" w:type="pct"/>
          </w:tcPr>
          <w:p w14:paraId="782BDAB1" w14:textId="03A9ABD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22</w:t>
            </w:r>
          </w:p>
        </w:tc>
      </w:tr>
      <w:tr w:rsidR="004546DA" w:rsidRPr="00FF1999" w14:paraId="7E946C9F" w14:textId="77777777" w:rsidTr="004546DA">
        <w:trPr>
          <w:tblCellSpacing w:w="20" w:type="dxa"/>
          <w:jc w:val="center"/>
        </w:trPr>
        <w:tc>
          <w:tcPr>
            <w:tcW w:w="4015" w:type="pct"/>
          </w:tcPr>
          <w:p w14:paraId="331F884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الأساليب الإحصائية المستخدمة</w:t>
            </w:r>
          </w:p>
        </w:tc>
        <w:tc>
          <w:tcPr>
            <w:tcW w:w="913" w:type="pct"/>
          </w:tcPr>
          <w:p w14:paraId="5BBD0C79" w14:textId="1F31932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23</w:t>
            </w:r>
          </w:p>
        </w:tc>
      </w:tr>
      <w:tr w:rsidR="004546DA" w:rsidRPr="00FF1999" w14:paraId="35AD6AF4" w14:textId="77777777" w:rsidTr="004546DA">
        <w:trPr>
          <w:tblCellSpacing w:w="20" w:type="dxa"/>
          <w:jc w:val="center"/>
        </w:trPr>
        <w:tc>
          <w:tcPr>
            <w:tcW w:w="4015" w:type="pct"/>
          </w:tcPr>
          <w:p w14:paraId="1F181AD5"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الثاني</w:t>
            </w:r>
          </w:p>
        </w:tc>
        <w:tc>
          <w:tcPr>
            <w:tcW w:w="913" w:type="pct"/>
          </w:tcPr>
          <w:p w14:paraId="7ACA15A6" w14:textId="4BE6D5F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24</w:t>
            </w:r>
          </w:p>
        </w:tc>
      </w:tr>
      <w:tr w:rsidR="004546DA" w:rsidRPr="00FF1999" w14:paraId="41B6D9E3" w14:textId="77777777" w:rsidTr="004546DA">
        <w:trPr>
          <w:tblCellSpacing w:w="20" w:type="dxa"/>
          <w:jc w:val="center"/>
        </w:trPr>
        <w:tc>
          <w:tcPr>
            <w:tcW w:w="4015" w:type="pct"/>
          </w:tcPr>
          <w:p w14:paraId="58ECF0F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14E57499" w14:textId="71AA872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25</w:t>
            </w:r>
          </w:p>
        </w:tc>
      </w:tr>
      <w:tr w:rsidR="004546DA" w:rsidRPr="00FF1999" w14:paraId="1CEEE544" w14:textId="77777777" w:rsidTr="004546DA">
        <w:trPr>
          <w:tblCellSpacing w:w="20" w:type="dxa"/>
          <w:jc w:val="center"/>
        </w:trPr>
        <w:tc>
          <w:tcPr>
            <w:tcW w:w="4015" w:type="pct"/>
          </w:tcPr>
          <w:p w14:paraId="1ED1BE2C" w14:textId="77777777" w:rsidR="004546DA" w:rsidRPr="00A26FA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A26FAA">
              <w:rPr>
                <w:rFonts w:ascii="Traditional Arabic" w:eastAsia="Times New Roman" w:hAnsi="Traditional Arabic" w:cs="Traditional Arabic"/>
                <w:b/>
                <w:bCs/>
                <w:color w:val="1C1C1C"/>
                <w:sz w:val="24"/>
                <w:szCs w:val="24"/>
                <w:rtl/>
                <w:lang w:bidi="ar-EG"/>
              </w:rPr>
              <w:t xml:space="preserve">المبحث الأول: </w:t>
            </w:r>
            <w:r w:rsidRPr="00A26FAA">
              <w:rPr>
                <w:rFonts w:ascii="Traditional Arabic" w:eastAsia="Times New Roman" w:hAnsi="Traditional Arabic" w:cs="Traditional Arabic"/>
                <w:b/>
                <w:bCs/>
                <w:color w:val="1C1C1C"/>
                <w:sz w:val="24"/>
                <w:szCs w:val="24"/>
                <w:rtl/>
              </w:rPr>
              <w:t xml:space="preserve">إدارة المخاطر </w:t>
            </w:r>
          </w:p>
        </w:tc>
        <w:tc>
          <w:tcPr>
            <w:tcW w:w="913" w:type="pct"/>
          </w:tcPr>
          <w:p w14:paraId="6F795641" w14:textId="360F754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25</w:t>
            </w:r>
          </w:p>
        </w:tc>
      </w:tr>
      <w:tr w:rsidR="004546DA" w:rsidRPr="00FF1999" w14:paraId="70A8F56E" w14:textId="77777777" w:rsidTr="004546DA">
        <w:trPr>
          <w:tblCellSpacing w:w="20" w:type="dxa"/>
          <w:jc w:val="center"/>
        </w:trPr>
        <w:tc>
          <w:tcPr>
            <w:tcW w:w="4015" w:type="pct"/>
          </w:tcPr>
          <w:p w14:paraId="13DE19A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أولاً مفهوم المخاطر</w:t>
            </w:r>
          </w:p>
        </w:tc>
        <w:tc>
          <w:tcPr>
            <w:tcW w:w="913" w:type="pct"/>
          </w:tcPr>
          <w:p w14:paraId="4A8BCF9F" w14:textId="0A13E35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26</w:t>
            </w:r>
          </w:p>
        </w:tc>
      </w:tr>
      <w:tr w:rsidR="004546DA" w:rsidRPr="00FF1999" w14:paraId="64BF06FA" w14:textId="77777777" w:rsidTr="004546DA">
        <w:trPr>
          <w:tblCellSpacing w:w="20" w:type="dxa"/>
          <w:jc w:val="center"/>
        </w:trPr>
        <w:tc>
          <w:tcPr>
            <w:tcW w:w="4015" w:type="pct"/>
          </w:tcPr>
          <w:p w14:paraId="1CDC61A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مفهوم إدارة المخاطر</w:t>
            </w:r>
          </w:p>
        </w:tc>
        <w:tc>
          <w:tcPr>
            <w:tcW w:w="913" w:type="pct"/>
          </w:tcPr>
          <w:p w14:paraId="4D9B9564" w14:textId="380453D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27</w:t>
            </w:r>
          </w:p>
        </w:tc>
      </w:tr>
      <w:tr w:rsidR="004546DA" w:rsidRPr="00FF1999" w14:paraId="7358C239" w14:textId="77777777" w:rsidTr="004546DA">
        <w:trPr>
          <w:tblCellSpacing w:w="20" w:type="dxa"/>
          <w:jc w:val="center"/>
        </w:trPr>
        <w:tc>
          <w:tcPr>
            <w:tcW w:w="4015" w:type="pct"/>
          </w:tcPr>
          <w:p w14:paraId="0F7B830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أهمية إدارة المخاطر</w:t>
            </w:r>
          </w:p>
        </w:tc>
        <w:tc>
          <w:tcPr>
            <w:tcW w:w="913" w:type="pct"/>
          </w:tcPr>
          <w:p w14:paraId="105DA392" w14:textId="19107E6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28</w:t>
            </w:r>
          </w:p>
        </w:tc>
      </w:tr>
      <w:tr w:rsidR="004546DA" w:rsidRPr="00FF1999" w14:paraId="4AC33BC7" w14:textId="77777777" w:rsidTr="004546DA">
        <w:trPr>
          <w:tblCellSpacing w:w="20" w:type="dxa"/>
          <w:jc w:val="center"/>
        </w:trPr>
        <w:tc>
          <w:tcPr>
            <w:tcW w:w="4015" w:type="pct"/>
          </w:tcPr>
          <w:p w14:paraId="2F1FE8A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أهداف إدارة المخاطر</w:t>
            </w:r>
          </w:p>
        </w:tc>
        <w:tc>
          <w:tcPr>
            <w:tcW w:w="913" w:type="pct"/>
          </w:tcPr>
          <w:p w14:paraId="762D8138" w14:textId="28CCEF9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29</w:t>
            </w:r>
          </w:p>
        </w:tc>
      </w:tr>
      <w:tr w:rsidR="004546DA" w:rsidRPr="00FF1999" w14:paraId="4C2F9781" w14:textId="77777777" w:rsidTr="004546DA">
        <w:trPr>
          <w:tblCellSpacing w:w="20" w:type="dxa"/>
          <w:jc w:val="center"/>
        </w:trPr>
        <w:tc>
          <w:tcPr>
            <w:tcW w:w="4015" w:type="pct"/>
          </w:tcPr>
          <w:p w14:paraId="3ED913A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خصائص إدارة المخاطر</w:t>
            </w:r>
          </w:p>
        </w:tc>
        <w:tc>
          <w:tcPr>
            <w:tcW w:w="913" w:type="pct"/>
          </w:tcPr>
          <w:p w14:paraId="28D345F5" w14:textId="5910F92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30</w:t>
            </w:r>
          </w:p>
        </w:tc>
      </w:tr>
      <w:tr w:rsidR="004546DA" w:rsidRPr="00FF1999" w14:paraId="4770E8D6" w14:textId="77777777" w:rsidTr="004546DA">
        <w:trPr>
          <w:tblCellSpacing w:w="20" w:type="dxa"/>
          <w:jc w:val="center"/>
        </w:trPr>
        <w:tc>
          <w:tcPr>
            <w:tcW w:w="4015" w:type="pct"/>
          </w:tcPr>
          <w:p w14:paraId="58D3FEF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سادساً أنواع المخاطر</w:t>
            </w:r>
          </w:p>
        </w:tc>
        <w:tc>
          <w:tcPr>
            <w:tcW w:w="913" w:type="pct"/>
          </w:tcPr>
          <w:p w14:paraId="57EA028E" w14:textId="7B324F6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30</w:t>
            </w:r>
          </w:p>
        </w:tc>
      </w:tr>
      <w:tr w:rsidR="004546DA" w:rsidRPr="00FF1999" w14:paraId="2C01C107" w14:textId="77777777" w:rsidTr="004546DA">
        <w:trPr>
          <w:tblCellSpacing w:w="20" w:type="dxa"/>
          <w:jc w:val="center"/>
        </w:trPr>
        <w:tc>
          <w:tcPr>
            <w:tcW w:w="4015" w:type="pct"/>
          </w:tcPr>
          <w:p w14:paraId="51A13F1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سابعاً برامج إدارة المخاطر</w:t>
            </w:r>
          </w:p>
        </w:tc>
        <w:tc>
          <w:tcPr>
            <w:tcW w:w="913" w:type="pct"/>
          </w:tcPr>
          <w:p w14:paraId="31FF58E3" w14:textId="541E5D7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32</w:t>
            </w:r>
          </w:p>
        </w:tc>
      </w:tr>
      <w:tr w:rsidR="004546DA" w:rsidRPr="00FF1999" w14:paraId="4344618A" w14:textId="77777777" w:rsidTr="004546DA">
        <w:trPr>
          <w:tblCellSpacing w:w="20" w:type="dxa"/>
          <w:jc w:val="center"/>
        </w:trPr>
        <w:tc>
          <w:tcPr>
            <w:tcW w:w="4015" w:type="pct"/>
          </w:tcPr>
          <w:p w14:paraId="5A56E4BC"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ثامناً النظريات المفسرة لإدارة المخاطر</w:t>
            </w:r>
          </w:p>
        </w:tc>
        <w:tc>
          <w:tcPr>
            <w:tcW w:w="913" w:type="pct"/>
          </w:tcPr>
          <w:p w14:paraId="5291ED2B" w14:textId="2BF4A01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33</w:t>
            </w:r>
          </w:p>
        </w:tc>
      </w:tr>
      <w:tr w:rsidR="004546DA" w:rsidRPr="00FF1999" w14:paraId="69A129FF" w14:textId="77777777" w:rsidTr="004546DA">
        <w:trPr>
          <w:tblCellSpacing w:w="20" w:type="dxa"/>
          <w:jc w:val="center"/>
        </w:trPr>
        <w:tc>
          <w:tcPr>
            <w:tcW w:w="4015" w:type="pct"/>
          </w:tcPr>
          <w:p w14:paraId="315EB99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تاسعاً تحديات إدارة المخاطر في المستشفيات</w:t>
            </w:r>
          </w:p>
        </w:tc>
        <w:tc>
          <w:tcPr>
            <w:tcW w:w="913" w:type="pct"/>
          </w:tcPr>
          <w:p w14:paraId="1A0269CA" w14:textId="62AE172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34</w:t>
            </w:r>
          </w:p>
        </w:tc>
      </w:tr>
      <w:tr w:rsidR="004546DA" w:rsidRPr="00FF1999" w14:paraId="484571BF" w14:textId="77777777" w:rsidTr="004546DA">
        <w:trPr>
          <w:tblCellSpacing w:w="20" w:type="dxa"/>
          <w:jc w:val="center"/>
        </w:trPr>
        <w:tc>
          <w:tcPr>
            <w:tcW w:w="4015" w:type="pct"/>
          </w:tcPr>
          <w:p w14:paraId="66D4FDA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عاشراً استراتيجيات تحسين إدارة الجودة</w:t>
            </w:r>
          </w:p>
        </w:tc>
        <w:tc>
          <w:tcPr>
            <w:tcW w:w="913" w:type="pct"/>
          </w:tcPr>
          <w:p w14:paraId="14136CE6" w14:textId="4BBAFE9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38</w:t>
            </w:r>
          </w:p>
        </w:tc>
      </w:tr>
      <w:tr w:rsidR="004546DA" w:rsidRPr="00FF1999" w14:paraId="1B3F4BC1" w14:textId="77777777" w:rsidTr="004546DA">
        <w:trPr>
          <w:tblCellSpacing w:w="20" w:type="dxa"/>
          <w:jc w:val="center"/>
        </w:trPr>
        <w:tc>
          <w:tcPr>
            <w:tcW w:w="4015" w:type="pct"/>
          </w:tcPr>
          <w:p w14:paraId="2B297D1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السابقة حول إدارة المخاطر في الرعاية الصحية</w:t>
            </w:r>
          </w:p>
        </w:tc>
        <w:tc>
          <w:tcPr>
            <w:tcW w:w="913" w:type="pct"/>
          </w:tcPr>
          <w:p w14:paraId="71B08084" w14:textId="5FC6F03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40</w:t>
            </w:r>
          </w:p>
        </w:tc>
      </w:tr>
      <w:tr w:rsidR="004546DA" w:rsidRPr="00FF1999" w14:paraId="34565802" w14:textId="77777777" w:rsidTr="004546DA">
        <w:trPr>
          <w:tblCellSpacing w:w="20" w:type="dxa"/>
          <w:jc w:val="center"/>
        </w:trPr>
        <w:tc>
          <w:tcPr>
            <w:tcW w:w="4015" w:type="pct"/>
          </w:tcPr>
          <w:p w14:paraId="6649F21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عن الدراسات السابقة للإدارة المخاطر</w:t>
            </w:r>
          </w:p>
        </w:tc>
        <w:tc>
          <w:tcPr>
            <w:tcW w:w="913" w:type="pct"/>
          </w:tcPr>
          <w:p w14:paraId="3DD876E7" w14:textId="6DFAD26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51</w:t>
            </w:r>
          </w:p>
        </w:tc>
      </w:tr>
      <w:tr w:rsidR="004546DA" w:rsidRPr="00FF1999" w14:paraId="78B3DE8B" w14:textId="77777777" w:rsidTr="004546DA">
        <w:trPr>
          <w:tblCellSpacing w:w="20" w:type="dxa"/>
          <w:jc w:val="center"/>
        </w:trPr>
        <w:tc>
          <w:tcPr>
            <w:tcW w:w="4015" w:type="pct"/>
          </w:tcPr>
          <w:p w14:paraId="6F7B014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لإدارة المخاطر</w:t>
            </w:r>
          </w:p>
        </w:tc>
        <w:tc>
          <w:tcPr>
            <w:tcW w:w="913" w:type="pct"/>
          </w:tcPr>
          <w:p w14:paraId="5CEC84EA" w14:textId="4A67E5B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51</w:t>
            </w:r>
          </w:p>
        </w:tc>
      </w:tr>
      <w:tr w:rsidR="004546DA" w:rsidRPr="00FF1999" w14:paraId="03799CC6" w14:textId="77777777" w:rsidTr="004546DA">
        <w:trPr>
          <w:tblCellSpacing w:w="20" w:type="dxa"/>
          <w:jc w:val="center"/>
        </w:trPr>
        <w:tc>
          <w:tcPr>
            <w:tcW w:w="4015" w:type="pct"/>
          </w:tcPr>
          <w:p w14:paraId="276D7D06"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المبحث الثاني سلامة المرضى</w:t>
            </w:r>
          </w:p>
        </w:tc>
        <w:tc>
          <w:tcPr>
            <w:tcW w:w="913" w:type="pct"/>
          </w:tcPr>
          <w:p w14:paraId="2E6212D7" w14:textId="0EE4347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52</w:t>
            </w:r>
          </w:p>
        </w:tc>
      </w:tr>
      <w:tr w:rsidR="004546DA" w:rsidRPr="00FF1999" w14:paraId="6E1FC98E" w14:textId="77777777" w:rsidTr="004546DA">
        <w:trPr>
          <w:tblCellSpacing w:w="20" w:type="dxa"/>
          <w:jc w:val="center"/>
        </w:trPr>
        <w:tc>
          <w:tcPr>
            <w:tcW w:w="4015" w:type="pct"/>
          </w:tcPr>
          <w:p w14:paraId="6B80032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اولاً مفهوم سلامة المرضى</w:t>
            </w:r>
          </w:p>
        </w:tc>
        <w:tc>
          <w:tcPr>
            <w:tcW w:w="913" w:type="pct"/>
          </w:tcPr>
          <w:p w14:paraId="290634AE" w14:textId="63BE49D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52</w:t>
            </w:r>
          </w:p>
        </w:tc>
      </w:tr>
      <w:tr w:rsidR="004546DA" w:rsidRPr="00FF1999" w14:paraId="780BE451" w14:textId="77777777" w:rsidTr="004546DA">
        <w:trPr>
          <w:tblCellSpacing w:w="20" w:type="dxa"/>
          <w:jc w:val="center"/>
        </w:trPr>
        <w:tc>
          <w:tcPr>
            <w:tcW w:w="4015" w:type="pct"/>
          </w:tcPr>
          <w:p w14:paraId="54843E5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نظريات سلامة المرضى</w:t>
            </w:r>
          </w:p>
        </w:tc>
        <w:tc>
          <w:tcPr>
            <w:tcW w:w="913" w:type="pct"/>
          </w:tcPr>
          <w:p w14:paraId="7057EC29" w14:textId="1622CFC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54</w:t>
            </w:r>
          </w:p>
        </w:tc>
      </w:tr>
      <w:tr w:rsidR="004546DA" w:rsidRPr="00FF1999" w14:paraId="1440558A" w14:textId="77777777" w:rsidTr="004546DA">
        <w:trPr>
          <w:tblCellSpacing w:w="20" w:type="dxa"/>
          <w:jc w:val="center"/>
        </w:trPr>
        <w:tc>
          <w:tcPr>
            <w:tcW w:w="4015" w:type="pct"/>
          </w:tcPr>
          <w:p w14:paraId="7B42E85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أسباب الأخطاء الطبية</w:t>
            </w:r>
          </w:p>
        </w:tc>
        <w:tc>
          <w:tcPr>
            <w:tcW w:w="913" w:type="pct"/>
          </w:tcPr>
          <w:p w14:paraId="50D8479E" w14:textId="508A2B5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56</w:t>
            </w:r>
          </w:p>
        </w:tc>
      </w:tr>
      <w:tr w:rsidR="004546DA" w:rsidRPr="00FF1999" w14:paraId="311347B8" w14:textId="77777777" w:rsidTr="004546DA">
        <w:trPr>
          <w:tblCellSpacing w:w="20" w:type="dxa"/>
          <w:jc w:val="center"/>
        </w:trPr>
        <w:tc>
          <w:tcPr>
            <w:tcW w:w="4015" w:type="pct"/>
          </w:tcPr>
          <w:p w14:paraId="031E3A2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جودة الرعاية الصحية</w:t>
            </w:r>
          </w:p>
        </w:tc>
        <w:tc>
          <w:tcPr>
            <w:tcW w:w="913" w:type="pct"/>
          </w:tcPr>
          <w:p w14:paraId="39A95AF5" w14:textId="5FAD497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58</w:t>
            </w:r>
          </w:p>
        </w:tc>
      </w:tr>
      <w:tr w:rsidR="004546DA" w:rsidRPr="00FF1999" w14:paraId="249FA36F" w14:textId="77777777" w:rsidTr="004546DA">
        <w:trPr>
          <w:tblCellSpacing w:w="20" w:type="dxa"/>
          <w:jc w:val="center"/>
        </w:trPr>
        <w:tc>
          <w:tcPr>
            <w:tcW w:w="4015" w:type="pct"/>
          </w:tcPr>
          <w:p w14:paraId="4BB318BD"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معايير سلامة المرضى</w:t>
            </w:r>
          </w:p>
        </w:tc>
        <w:tc>
          <w:tcPr>
            <w:tcW w:w="913" w:type="pct"/>
          </w:tcPr>
          <w:p w14:paraId="30C8DBA9" w14:textId="15E98360"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58</w:t>
            </w:r>
          </w:p>
        </w:tc>
      </w:tr>
      <w:tr w:rsidR="004546DA" w:rsidRPr="00FF1999" w14:paraId="0A2315A9" w14:textId="77777777" w:rsidTr="004546DA">
        <w:trPr>
          <w:tblCellSpacing w:w="20" w:type="dxa"/>
          <w:jc w:val="center"/>
        </w:trPr>
        <w:tc>
          <w:tcPr>
            <w:tcW w:w="4015" w:type="pct"/>
          </w:tcPr>
          <w:p w14:paraId="1B4DA64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سادساً المبادئ الخمسة لسلامة المرضى</w:t>
            </w:r>
          </w:p>
        </w:tc>
        <w:tc>
          <w:tcPr>
            <w:tcW w:w="913" w:type="pct"/>
          </w:tcPr>
          <w:p w14:paraId="0CF0BA2D" w14:textId="3A61C57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60</w:t>
            </w:r>
          </w:p>
        </w:tc>
      </w:tr>
      <w:tr w:rsidR="004546DA" w:rsidRPr="00FF1999" w14:paraId="7FB4B70D" w14:textId="77777777" w:rsidTr="004546DA">
        <w:trPr>
          <w:tblCellSpacing w:w="20" w:type="dxa"/>
          <w:jc w:val="center"/>
        </w:trPr>
        <w:tc>
          <w:tcPr>
            <w:tcW w:w="4015" w:type="pct"/>
          </w:tcPr>
          <w:p w14:paraId="7F02A88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دراسات سابقة حول سلامة المرضى</w:t>
            </w:r>
          </w:p>
        </w:tc>
        <w:tc>
          <w:tcPr>
            <w:tcW w:w="913" w:type="pct"/>
          </w:tcPr>
          <w:p w14:paraId="2408C686" w14:textId="53E1BDB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62</w:t>
            </w:r>
          </w:p>
        </w:tc>
      </w:tr>
      <w:tr w:rsidR="004546DA" w:rsidRPr="00FF1999" w14:paraId="2D958C8F" w14:textId="77777777" w:rsidTr="004546DA">
        <w:trPr>
          <w:tblCellSpacing w:w="20" w:type="dxa"/>
          <w:jc w:val="center"/>
        </w:trPr>
        <w:tc>
          <w:tcPr>
            <w:tcW w:w="4015" w:type="pct"/>
          </w:tcPr>
          <w:p w14:paraId="52DF6CA6" w14:textId="3CDC0B8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عن الدر</w:t>
            </w:r>
            <w:r w:rsidR="00620EEA">
              <w:rPr>
                <w:rFonts w:ascii="Traditional Arabic" w:eastAsia="Times New Roman" w:hAnsi="Traditional Arabic" w:cs="Traditional Arabic" w:hint="cs"/>
                <w:color w:val="1C1C1C"/>
                <w:sz w:val="24"/>
                <w:szCs w:val="24"/>
                <w:rtl/>
              </w:rPr>
              <w:t>ا</w:t>
            </w:r>
            <w:r>
              <w:rPr>
                <w:rFonts w:ascii="Traditional Arabic" w:eastAsia="Times New Roman" w:hAnsi="Traditional Arabic" w:cs="Traditional Arabic" w:hint="cs"/>
                <w:color w:val="1C1C1C"/>
                <w:sz w:val="24"/>
                <w:szCs w:val="24"/>
                <w:rtl/>
              </w:rPr>
              <w:t>سات السابقة لسلامة المرضى</w:t>
            </w:r>
          </w:p>
        </w:tc>
        <w:tc>
          <w:tcPr>
            <w:tcW w:w="913" w:type="pct"/>
          </w:tcPr>
          <w:p w14:paraId="6058111E" w14:textId="16384B5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70</w:t>
            </w:r>
          </w:p>
        </w:tc>
      </w:tr>
      <w:tr w:rsidR="004546DA" w:rsidRPr="00FF1999" w14:paraId="4D7C02BE" w14:textId="77777777" w:rsidTr="004546DA">
        <w:trPr>
          <w:tblCellSpacing w:w="20" w:type="dxa"/>
          <w:jc w:val="center"/>
        </w:trPr>
        <w:tc>
          <w:tcPr>
            <w:tcW w:w="4015" w:type="pct"/>
          </w:tcPr>
          <w:p w14:paraId="5D3E099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لسلامة المرضى</w:t>
            </w:r>
          </w:p>
        </w:tc>
        <w:tc>
          <w:tcPr>
            <w:tcW w:w="913" w:type="pct"/>
          </w:tcPr>
          <w:p w14:paraId="3001BB52" w14:textId="08AECFA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70</w:t>
            </w:r>
          </w:p>
        </w:tc>
      </w:tr>
      <w:tr w:rsidR="004546DA" w:rsidRPr="00FF1999" w14:paraId="73A7F5C1" w14:textId="77777777" w:rsidTr="004546DA">
        <w:trPr>
          <w:tblCellSpacing w:w="20" w:type="dxa"/>
          <w:jc w:val="center"/>
        </w:trPr>
        <w:tc>
          <w:tcPr>
            <w:tcW w:w="4015" w:type="pct"/>
          </w:tcPr>
          <w:p w14:paraId="29821794"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المبحث الثالث القيادة التحويلية</w:t>
            </w:r>
          </w:p>
        </w:tc>
        <w:tc>
          <w:tcPr>
            <w:tcW w:w="913" w:type="pct"/>
          </w:tcPr>
          <w:p w14:paraId="7ECF5976" w14:textId="3560EFF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188C6919" w14:textId="77777777" w:rsidTr="004546DA">
        <w:trPr>
          <w:tblCellSpacing w:w="20" w:type="dxa"/>
          <w:jc w:val="center"/>
        </w:trPr>
        <w:tc>
          <w:tcPr>
            <w:tcW w:w="4015" w:type="pct"/>
          </w:tcPr>
          <w:p w14:paraId="0D8BF0E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4CA607F7" w14:textId="62E3B13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220987E0" w14:textId="77777777" w:rsidTr="004546DA">
        <w:trPr>
          <w:tblCellSpacing w:w="20" w:type="dxa"/>
          <w:jc w:val="center"/>
        </w:trPr>
        <w:tc>
          <w:tcPr>
            <w:tcW w:w="4015" w:type="pct"/>
          </w:tcPr>
          <w:p w14:paraId="5DA899CE" w14:textId="5D48602B"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أولاً مفهوم القيادة ال</w:t>
            </w:r>
            <w:r w:rsidR="00620EEA">
              <w:rPr>
                <w:rFonts w:ascii="Traditional Arabic" w:eastAsia="Times New Roman" w:hAnsi="Traditional Arabic" w:cs="Traditional Arabic" w:hint="cs"/>
                <w:color w:val="1C1C1C"/>
                <w:sz w:val="24"/>
                <w:szCs w:val="24"/>
                <w:rtl/>
              </w:rPr>
              <w:t>ت</w:t>
            </w:r>
            <w:r>
              <w:rPr>
                <w:rFonts w:ascii="Traditional Arabic" w:eastAsia="Times New Roman" w:hAnsi="Traditional Arabic" w:cs="Traditional Arabic" w:hint="cs"/>
                <w:color w:val="1C1C1C"/>
                <w:sz w:val="24"/>
                <w:szCs w:val="24"/>
                <w:rtl/>
              </w:rPr>
              <w:t>حويلية</w:t>
            </w:r>
          </w:p>
        </w:tc>
        <w:tc>
          <w:tcPr>
            <w:tcW w:w="913" w:type="pct"/>
          </w:tcPr>
          <w:p w14:paraId="282156BE" w14:textId="5411C7C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72</w:t>
            </w:r>
          </w:p>
        </w:tc>
      </w:tr>
      <w:tr w:rsidR="004546DA" w:rsidRPr="00FF1999" w14:paraId="2FEB1F96" w14:textId="77777777" w:rsidTr="004546DA">
        <w:trPr>
          <w:tblCellSpacing w:w="20" w:type="dxa"/>
          <w:jc w:val="center"/>
        </w:trPr>
        <w:tc>
          <w:tcPr>
            <w:tcW w:w="4015" w:type="pct"/>
          </w:tcPr>
          <w:p w14:paraId="62AE4F7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ثانياً أهمية القيادة التحويلية</w:t>
            </w:r>
          </w:p>
        </w:tc>
        <w:tc>
          <w:tcPr>
            <w:tcW w:w="913" w:type="pct"/>
          </w:tcPr>
          <w:p w14:paraId="542BD083" w14:textId="4929AD0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73</w:t>
            </w:r>
          </w:p>
        </w:tc>
      </w:tr>
      <w:tr w:rsidR="004546DA" w:rsidRPr="00FF1999" w14:paraId="718CAB4A" w14:textId="77777777" w:rsidTr="004546DA">
        <w:trPr>
          <w:tblCellSpacing w:w="20" w:type="dxa"/>
          <w:jc w:val="center"/>
        </w:trPr>
        <w:tc>
          <w:tcPr>
            <w:tcW w:w="4015" w:type="pct"/>
          </w:tcPr>
          <w:p w14:paraId="6A2789D8"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ثالثاً أدوات القيادة التحويلية</w:t>
            </w:r>
          </w:p>
        </w:tc>
        <w:tc>
          <w:tcPr>
            <w:tcW w:w="913" w:type="pct"/>
          </w:tcPr>
          <w:p w14:paraId="09E000D5" w14:textId="5EDFC4E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73</w:t>
            </w:r>
          </w:p>
        </w:tc>
      </w:tr>
      <w:tr w:rsidR="004546DA" w:rsidRPr="00FF1999" w14:paraId="40046F89" w14:textId="77777777" w:rsidTr="004546DA">
        <w:trPr>
          <w:tblCellSpacing w:w="20" w:type="dxa"/>
          <w:jc w:val="center"/>
        </w:trPr>
        <w:tc>
          <w:tcPr>
            <w:tcW w:w="4015" w:type="pct"/>
          </w:tcPr>
          <w:p w14:paraId="3C9433C3" w14:textId="3C9E35BA"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رابعاً أنماط القيادة ال</w:t>
            </w:r>
            <w:r w:rsidR="00620EEA">
              <w:rPr>
                <w:rFonts w:ascii="Traditional Arabic" w:eastAsia="Times New Roman" w:hAnsi="Traditional Arabic" w:cs="Traditional Arabic" w:hint="cs"/>
                <w:color w:val="1C1C1C"/>
                <w:sz w:val="24"/>
                <w:szCs w:val="24"/>
                <w:rtl/>
              </w:rPr>
              <w:t>ت</w:t>
            </w:r>
            <w:r>
              <w:rPr>
                <w:rFonts w:ascii="Traditional Arabic" w:eastAsia="Times New Roman" w:hAnsi="Traditional Arabic" w:cs="Traditional Arabic" w:hint="cs"/>
                <w:color w:val="1C1C1C"/>
                <w:sz w:val="24"/>
                <w:szCs w:val="24"/>
                <w:rtl/>
              </w:rPr>
              <w:t>حويلية</w:t>
            </w:r>
          </w:p>
        </w:tc>
        <w:tc>
          <w:tcPr>
            <w:tcW w:w="913" w:type="pct"/>
          </w:tcPr>
          <w:p w14:paraId="1C929FAD" w14:textId="49929AB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76</w:t>
            </w:r>
          </w:p>
        </w:tc>
      </w:tr>
      <w:tr w:rsidR="004546DA" w:rsidRPr="00FF1999" w14:paraId="5EDC1545" w14:textId="77777777" w:rsidTr="004546DA">
        <w:trPr>
          <w:tblCellSpacing w:w="20" w:type="dxa"/>
          <w:jc w:val="center"/>
        </w:trPr>
        <w:tc>
          <w:tcPr>
            <w:tcW w:w="4015" w:type="pct"/>
          </w:tcPr>
          <w:p w14:paraId="0537C3B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خامساً صفات القيادة التحويلية</w:t>
            </w:r>
          </w:p>
        </w:tc>
        <w:tc>
          <w:tcPr>
            <w:tcW w:w="913" w:type="pct"/>
          </w:tcPr>
          <w:p w14:paraId="475D3C38" w14:textId="1845C6BB"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77</w:t>
            </w:r>
          </w:p>
        </w:tc>
      </w:tr>
      <w:tr w:rsidR="004546DA" w:rsidRPr="00FF1999" w14:paraId="19498488" w14:textId="77777777" w:rsidTr="004546DA">
        <w:trPr>
          <w:tblCellSpacing w:w="20" w:type="dxa"/>
          <w:jc w:val="center"/>
        </w:trPr>
        <w:tc>
          <w:tcPr>
            <w:tcW w:w="4015" w:type="pct"/>
          </w:tcPr>
          <w:p w14:paraId="3C28EB9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سادساً أهمية القيادة التحويلية</w:t>
            </w:r>
          </w:p>
        </w:tc>
        <w:tc>
          <w:tcPr>
            <w:tcW w:w="913" w:type="pct"/>
          </w:tcPr>
          <w:p w14:paraId="08E37699" w14:textId="47E5B78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78</w:t>
            </w:r>
          </w:p>
        </w:tc>
      </w:tr>
      <w:tr w:rsidR="004546DA" w:rsidRPr="00FF1999" w14:paraId="1E004DB3" w14:textId="77777777" w:rsidTr="004546DA">
        <w:trPr>
          <w:tblCellSpacing w:w="20" w:type="dxa"/>
          <w:jc w:val="center"/>
        </w:trPr>
        <w:tc>
          <w:tcPr>
            <w:tcW w:w="4015" w:type="pct"/>
          </w:tcPr>
          <w:p w14:paraId="346E0AAE" w14:textId="355130A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سابعاً مبادئ القيادة ال</w:t>
            </w:r>
            <w:r w:rsidR="00620EEA">
              <w:rPr>
                <w:rFonts w:ascii="Traditional Arabic" w:eastAsia="Times New Roman" w:hAnsi="Traditional Arabic" w:cs="Traditional Arabic" w:hint="cs"/>
                <w:color w:val="1C1C1C"/>
                <w:sz w:val="24"/>
                <w:szCs w:val="24"/>
                <w:rtl/>
              </w:rPr>
              <w:t>ت</w:t>
            </w:r>
            <w:r>
              <w:rPr>
                <w:rFonts w:ascii="Traditional Arabic" w:eastAsia="Times New Roman" w:hAnsi="Traditional Arabic" w:cs="Traditional Arabic" w:hint="cs"/>
                <w:color w:val="1C1C1C"/>
                <w:sz w:val="24"/>
                <w:szCs w:val="24"/>
                <w:rtl/>
              </w:rPr>
              <w:t>حويلية</w:t>
            </w:r>
          </w:p>
        </w:tc>
        <w:tc>
          <w:tcPr>
            <w:tcW w:w="913" w:type="pct"/>
          </w:tcPr>
          <w:p w14:paraId="7C9C94AB" w14:textId="52BE3D0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78</w:t>
            </w:r>
          </w:p>
        </w:tc>
      </w:tr>
      <w:tr w:rsidR="004546DA" w:rsidRPr="00FF1999" w14:paraId="5938D5E0" w14:textId="77777777" w:rsidTr="004546DA">
        <w:trPr>
          <w:tblCellSpacing w:w="20" w:type="dxa"/>
          <w:jc w:val="center"/>
        </w:trPr>
        <w:tc>
          <w:tcPr>
            <w:tcW w:w="4015" w:type="pct"/>
          </w:tcPr>
          <w:p w14:paraId="0CB17CF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ثامناً خصائص القائد التحويلي</w:t>
            </w:r>
          </w:p>
        </w:tc>
        <w:tc>
          <w:tcPr>
            <w:tcW w:w="913" w:type="pct"/>
          </w:tcPr>
          <w:p w14:paraId="10138DEF" w14:textId="673771C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79</w:t>
            </w:r>
          </w:p>
        </w:tc>
      </w:tr>
      <w:tr w:rsidR="004546DA" w:rsidRPr="00FF1999" w14:paraId="446AD8B0" w14:textId="77777777" w:rsidTr="004546DA">
        <w:trPr>
          <w:tblCellSpacing w:w="20" w:type="dxa"/>
          <w:jc w:val="center"/>
        </w:trPr>
        <w:tc>
          <w:tcPr>
            <w:tcW w:w="4015" w:type="pct"/>
          </w:tcPr>
          <w:p w14:paraId="7471DA39" w14:textId="034465D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تاسعاً عوامل نجاح القيادة ال</w:t>
            </w:r>
            <w:r w:rsidR="00620EEA">
              <w:rPr>
                <w:rFonts w:ascii="Traditional Arabic" w:eastAsia="Times New Roman" w:hAnsi="Traditional Arabic" w:cs="Traditional Arabic" w:hint="cs"/>
                <w:color w:val="1C1C1C"/>
                <w:sz w:val="24"/>
                <w:szCs w:val="24"/>
                <w:rtl/>
              </w:rPr>
              <w:t>ت</w:t>
            </w:r>
            <w:r>
              <w:rPr>
                <w:rFonts w:ascii="Traditional Arabic" w:eastAsia="Times New Roman" w:hAnsi="Traditional Arabic" w:cs="Traditional Arabic" w:hint="cs"/>
                <w:color w:val="1C1C1C"/>
                <w:sz w:val="24"/>
                <w:szCs w:val="24"/>
                <w:rtl/>
              </w:rPr>
              <w:t>حويلية</w:t>
            </w:r>
          </w:p>
        </w:tc>
        <w:tc>
          <w:tcPr>
            <w:tcW w:w="913" w:type="pct"/>
          </w:tcPr>
          <w:p w14:paraId="4ECDB378" w14:textId="5515E43F"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79</w:t>
            </w:r>
          </w:p>
        </w:tc>
      </w:tr>
      <w:tr w:rsidR="004546DA" w:rsidRPr="00FF1999" w14:paraId="670F97A1" w14:textId="77777777" w:rsidTr="004546DA">
        <w:trPr>
          <w:tblCellSpacing w:w="20" w:type="dxa"/>
          <w:jc w:val="center"/>
        </w:trPr>
        <w:tc>
          <w:tcPr>
            <w:tcW w:w="4015" w:type="pct"/>
          </w:tcPr>
          <w:p w14:paraId="5207A67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السابقة حول القيادة التحويلية</w:t>
            </w:r>
          </w:p>
        </w:tc>
        <w:tc>
          <w:tcPr>
            <w:tcW w:w="913" w:type="pct"/>
          </w:tcPr>
          <w:p w14:paraId="0A89E47F" w14:textId="43E21AC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81</w:t>
            </w:r>
          </w:p>
        </w:tc>
      </w:tr>
      <w:tr w:rsidR="004546DA" w:rsidRPr="00FF1999" w14:paraId="1CFA375D" w14:textId="77777777" w:rsidTr="004546DA">
        <w:trPr>
          <w:tblCellSpacing w:w="20" w:type="dxa"/>
          <w:jc w:val="center"/>
        </w:trPr>
        <w:tc>
          <w:tcPr>
            <w:tcW w:w="4015" w:type="pct"/>
          </w:tcPr>
          <w:p w14:paraId="5C38DDDE" w14:textId="66C0645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تعقيب على الدراسات السابقة للقيادة ال</w:t>
            </w:r>
            <w:r w:rsidR="00620EEA">
              <w:rPr>
                <w:rFonts w:ascii="Traditional Arabic" w:eastAsia="Times New Roman" w:hAnsi="Traditional Arabic" w:cs="Traditional Arabic" w:hint="cs"/>
                <w:color w:val="1C1C1C"/>
                <w:sz w:val="24"/>
                <w:szCs w:val="24"/>
                <w:rtl/>
              </w:rPr>
              <w:t>ت</w:t>
            </w:r>
            <w:r>
              <w:rPr>
                <w:rFonts w:ascii="Traditional Arabic" w:eastAsia="Times New Roman" w:hAnsi="Traditional Arabic" w:cs="Traditional Arabic" w:hint="cs"/>
                <w:color w:val="1C1C1C"/>
                <w:sz w:val="24"/>
                <w:szCs w:val="24"/>
                <w:rtl/>
              </w:rPr>
              <w:t>حويلية</w:t>
            </w:r>
          </w:p>
        </w:tc>
        <w:tc>
          <w:tcPr>
            <w:tcW w:w="913" w:type="pct"/>
          </w:tcPr>
          <w:p w14:paraId="0CA47A73" w14:textId="54293E1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88</w:t>
            </w:r>
          </w:p>
        </w:tc>
      </w:tr>
      <w:tr w:rsidR="004546DA" w:rsidRPr="00FF1999" w14:paraId="0B44EF1C" w14:textId="77777777" w:rsidTr="004546DA">
        <w:trPr>
          <w:tblCellSpacing w:w="20" w:type="dxa"/>
          <w:jc w:val="center"/>
        </w:trPr>
        <w:tc>
          <w:tcPr>
            <w:tcW w:w="4015" w:type="pct"/>
          </w:tcPr>
          <w:p w14:paraId="462ABD5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أوجه الإستفادة من الدراسات السابقة للقيادة التحويلية</w:t>
            </w:r>
          </w:p>
        </w:tc>
        <w:tc>
          <w:tcPr>
            <w:tcW w:w="913" w:type="pct"/>
          </w:tcPr>
          <w:p w14:paraId="70AF2C57" w14:textId="4D4012B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89</w:t>
            </w:r>
          </w:p>
        </w:tc>
      </w:tr>
      <w:tr w:rsidR="004546DA" w:rsidRPr="00FF1999" w14:paraId="115A235C" w14:textId="77777777" w:rsidTr="004546DA">
        <w:trPr>
          <w:tblCellSpacing w:w="20" w:type="dxa"/>
          <w:jc w:val="center"/>
        </w:trPr>
        <w:tc>
          <w:tcPr>
            <w:tcW w:w="4015" w:type="pct"/>
          </w:tcPr>
          <w:p w14:paraId="6E95AF0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دراسات سابقة تجمع الثلاث متغيرات ( إدارة المخاطر- سلامة المرضى- القيادة التحويلية)</w:t>
            </w:r>
          </w:p>
        </w:tc>
        <w:tc>
          <w:tcPr>
            <w:tcW w:w="913" w:type="pct"/>
          </w:tcPr>
          <w:p w14:paraId="7F699A87" w14:textId="2E1A8A7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95</w:t>
            </w:r>
          </w:p>
        </w:tc>
      </w:tr>
      <w:tr w:rsidR="004546DA" w:rsidRPr="00FF1999" w14:paraId="1A2364F5" w14:textId="77777777" w:rsidTr="004546DA">
        <w:trPr>
          <w:tblCellSpacing w:w="20" w:type="dxa"/>
          <w:jc w:val="center"/>
        </w:trPr>
        <w:tc>
          <w:tcPr>
            <w:tcW w:w="4015" w:type="pct"/>
          </w:tcPr>
          <w:p w14:paraId="4A0B2CB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29BEDCA5" w14:textId="4B3FA3F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96</w:t>
            </w:r>
          </w:p>
        </w:tc>
      </w:tr>
      <w:tr w:rsidR="004546DA" w:rsidRPr="00FF1999" w14:paraId="29D2D1EB" w14:textId="77777777" w:rsidTr="004546DA">
        <w:trPr>
          <w:tblCellSpacing w:w="20" w:type="dxa"/>
          <w:jc w:val="center"/>
        </w:trPr>
        <w:tc>
          <w:tcPr>
            <w:tcW w:w="4015" w:type="pct"/>
          </w:tcPr>
          <w:p w14:paraId="5AE4DBA0"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الثالث</w:t>
            </w:r>
          </w:p>
        </w:tc>
        <w:tc>
          <w:tcPr>
            <w:tcW w:w="913" w:type="pct"/>
          </w:tcPr>
          <w:p w14:paraId="18CA740D" w14:textId="6383252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97</w:t>
            </w:r>
          </w:p>
        </w:tc>
      </w:tr>
      <w:tr w:rsidR="004546DA" w:rsidRPr="00FF1999" w14:paraId="35004B7B" w14:textId="77777777" w:rsidTr="004546DA">
        <w:trPr>
          <w:tblCellSpacing w:w="20" w:type="dxa"/>
          <w:jc w:val="center"/>
        </w:trPr>
        <w:tc>
          <w:tcPr>
            <w:tcW w:w="4015" w:type="pct"/>
          </w:tcPr>
          <w:p w14:paraId="17CBEAE2"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04FE90A9" w14:textId="3935603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3B8A8723" w14:textId="77777777" w:rsidTr="004546DA">
        <w:trPr>
          <w:tblCellSpacing w:w="20" w:type="dxa"/>
          <w:jc w:val="center"/>
        </w:trPr>
        <w:tc>
          <w:tcPr>
            <w:tcW w:w="4015" w:type="pct"/>
          </w:tcPr>
          <w:p w14:paraId="675C8E57"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منهجية الدراسة</w:t>
            </w:r>
          </w:p>
        </w:tc>
        <w:tc>
          <w:tcPr>
            <w:tcW w:w="913" w:type="pct"/>
          </w:tcPr>
          <w:p w14:paraId="64CD8595" w14:textId="4FB94BBD"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lang w:bidi="ar-EG"/>
              </w:rPr>
              <w:t>98</w:t>
            </w:r>
          </w:p>
        </w:tc>
      </w:tr>
      <w:tr w:rsidR="004546DA" w:rsidRPr="00FF1999" w14:paraId="60F99C8B" w14:textId="77777777" w:rsidTr="004546DA">
        <w:trPr>
          <w:tblCellSpacing w:w="20" w:type="dxa"/>
          <w:jc w:val="center"/>
        </w:trPr>
        <w:tc>
          <w:tcPr>
            <w:tcW w:w="4015" w:type="pct"/>
          </w:tcPr>
          <w:p w14:paraId="4C6F13A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مجتمع الدراسة</w:t>
            </w:r>
          </w:p>
        </w:tc>
        <w:tc>
          <w:tcPr>
            <w:tcW w:w="913" w:type="pct"/>
          </w:tcPr>
          <w:p w14:paraId="5C526BAC" w14:textId="129B741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0230BF4E" w14:textId="77777777" w:rsidTr="004546DA">
        <w:trPr>
          <w:tblCellSpacing w:w="20" w:type="dxa"/>
          <w:jc w:val="center"/>
        </w:trPr>
        <w:tc>
          <w:tcPr>
            <w:tcW w:w="4015" w:type="pct"/>
          </w:tcPr>
          <w:p w14:paraId="62F7726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عينة الدراسة</w:t>
            </w:r>
          </w:p>
        </w:tc>
        <w:tc>
          <w:tcPr>
            <w:tcW w:w="913" w:type="pct"/>
          </w:tcPr>
          <w:p w14:paraId="49EC1D66" w14:textId="70C2704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98</w:t>
            </w:r>
          </w:p>
        </w:tc>
      </w:tr>
      <w:tr w:rsidR="004546DA" w:rsidRPr="00FF1999" w14:paraId="275FBA98" w14:textId="77777777" w:rsidTr="004546DA">
        <w:trPr>
          <w:tblCellSpacing w:w="20" w:type="dxa"/>
          <w:jc w:val="center"/>
        </w:trPr>
        <w:tc>
          <w:tcPr>
            <w:tcW w:w="4015" w:type="pct"/>
          </w:tcPr>
          <w:p w14:paraId="2327C05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أداة الدراسة</w:t>
            </w:r>
          </w:p>
        </w:tc>
        <w:tc>
          <w:tcPr>
            <w:tcW w:w="913" w:type="pct"/>
          </w:tcPr>
          <w:p w14:paraId="470BB65C" w14:textId="6E5B05C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100</w:t>
            </w:r>
          </w:p>
        </w:tc>
      </w:tr>
      <w:tr w:rsidR="004546DA" w:rsidRPr="00FF1999" w14:paraId="32B977DD" w14:textId="77777777" w:rsidTr="004546DA">
        <w:trPr>
          <w:tblCellSpacing w:w="20" w:type="dxa"/>
          <w:jc w:val="center"/>
        </w:trPr>
        <w:tc>
          <w:tcPr>
            <w:tcW w:w="4015" w:type="pct"/>
          </w:tcPr>
          <w:p w14:paraId="1E86248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الأساليب الإحصائية</w:t>
            </w:r>
          </w:p>
        </w:tc>
        <w:tc>
          <w:tcPr>
            <w:tcW w:w="913" w:type="pct"/>
          </w:tcPr>
          <w:p w14:paraId="1B33F136" w14:textId="34FA5C6B"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104</w:t>
            </w:r>
          </w:p>
        </w:tc>
      </w:tr>
      <w:tr w:rsidR="004546DA" w:rsidRPr="00FF1999" w14:paraId="52CB8A0B" w14:textId="77777777" w:rsidTr="004546DA">
        <w:trPr>
          <w:tblCellSpacing w:w="20" w:type="dxa"/>
          <w:jc w:val="center"/>
        </w:trPr>
        <w:tc>
          <w:tcPr>
            <w:tcW w:w="4015" w:type="pct"/>
          </w:tcPr>
          <w:p w14:paraId="10382B8F"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التحليل الوصفي لأداة الدراسة</w:t>
            </w:r>
          </w:p>
        </w:tc>
        <w:tc>
          <w:tcPr>
            <w:tcW w:w="913" w:type="pct"/>
          </w:tcPr>
          <w:p w14:paraId="55EBD15C" w14:textId="03B851B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105</w:t>
            </w:r>
          </w:p>
        </w:tc>
      </w:tr>
      <w:tr w:rsidR="004546DA" w:rsidRPr="00FF1999" w14:paraId="76566413" w14:textId="77777777" w:rsidTr="004546DA">
        <w:trPr>
          <w:tblCellSpacing w:w="20" w:type="dxa"/>
          <w:jc w:val="center"/>
        </w:trPr>
        <w:tc>
          <w:tcPr>
            <w:tcW w:w="4015" w:type="pct"/>
          </w:tcPr>
          <w:p w14:paraId="657B96BE"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الخصائص السيكومترية لأداة الدراسة</w:t>
            </w:r>
          </w:p>
        </w:tc>
        <w:tc>
          <w:tcPr>
            <w:tcW w:w="913" w:type="pct"/>
          </w:tcPr>
          <w:p w14:paraId="5152F38E" w14:textId="5123689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109</w:t>
            </w:r>
          </w:p>
        </w:tc>
      </w:tr>
      <w:tr w:rsidR="004546DA" w:rsidRPr="00FF1999" w14:paraId="15FF420C" w14:textId="77777777" w:rsidTr="004546DA">
        <w:trPr>
          <w:tblCellSpacing w:w="20" w:type="dxa"/>
          <w:jc w:val="center"/>
        </w:trPr>
        <w:tc>
          <w:tcPr>
            <w:tcW w:w="4015" w:type="pct"/>
          </w:tcPr>
          <w:p w14:paraId="6B4A36C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192405CD" w14:textId="5671436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114</w:t>
            </w:r>
          </w:p>
        </w:tc>
      </w:tr>
      <w:tr w:rsidR="004546DA" w:rsidRPr="00FF1999" w14:paraId="2C559236" w14:textId="77777777" w:rsidTr="004546DA">
        <w:trPr>
          <w:tblCellSpacing w:w="20" w:type="dxa"/>
          <w:jc w:val="center"/>
        </w:trPr>
        <w:tc>
          <w:tcPr>
            <w:tcW w:w="4015" w:type="pct"/>
          </w:tcPr>
          <w:p w14:paraId="7C957F27"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الرابع</w:t>
            </w:r>
          </w:p>
        </w:tc>
        <w:tc>
          <w:tcPr>
            <w:tcW w:w="913" w:type="pct"/>
          </w:tcPr>
          <w:p w14:paraId="0E3BEF3C" w14:textId="52337D44"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115</w:t>
            </w:r>
          </w:p>
        </w:tc>
      </w:tr>
      <w:tr w:rsidR="004546DA" w:rsidRPr="00FF1999" w14:paraId="3653C6AF" w14:textId="77777777" w:rsidTr="004546DA">
        <w:trPr>
          <w:tblCellSpacing w:w="20" w:type="dxa"/>
          <w:jc w:val="center"/>
        </w:trPr>
        <w:tc>
          <w:tcPr>
            <w:tcW w:w="4015" w:type="pct"/>
          </w:tcPr>
          <w:p w14:paraId="69D6EB0B"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7504057F" w14:textId="1C59720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45A44398" w14:textId="77777777" w:rsidTr="004546DA">
        <w:trPr>
          <w:tblCellSpacing w:w="20" w:type="dxa"/>
          <w:jc w:val="center"/>
        </w:trPr>
        <w:tc>
          <w:tcPr>
            <w:tcW w:w="4015" w:type="pct"/>
          </w:tcPr>
          <w:p w14:paraId="46F9F0A1"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اختبار فرضيات الدراسة</w:t>
            </w:r>
          </w:p>
        </w:tc>
        <w:tc>
          <w:tcPr>
            <w:tcW w:w="913" w:type="pct"/>
          </w:tcPr>
          <w:p w14:paraId="7D912E25" w14:textId="2E78EFC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20B0FAFD" w14:textId="77777777" w:rsidTr="004546DA">
        <w:trPr>
          <w:tblCellSpacing w:w="20" w:type="dxa"/>
          <w:jc w:val="center"/>
        </w:trPr>
        <w:tc>
          <w:tcPr>
            <w:tcW w:w="4015" w:type="pct"/>
          </w:tcPr>
          <w:p w14:paraId="49C1E55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الأول</w:t>
            </w:r>
          </w:p>
        </w:tc>
        <w:tc>
          <w:tcPr>
            <w:tcW w:w="913" w:type="pct"/>
          </w:tcPr>
          <w:p w14:paraId="2E878974" w14:textId="70929E3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116</w:t>
            </w:r>
          </w:p>
        </w:tc>
      </w:tr>
      <w:tr w:rsidR="004546DA" w:rsidRPr="00FF1999" w14:paraId="4D6E4848" w14:textId="77777777" w:rsidTr="004546DA">
        <w:trPr>
          <w:tblCellSpacing w:w="20" w:type="dxa"/>
          <w:jc w:val="center"/>
        </w:trPr>
        <w:tc>
          <w:tcPr>
            <w:tcW w:w="4015" w:type="pct"/>
          </w:tcPr>
          <w:p w14:paraId="40997934"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الثاني</w:t>
            </w:r>
          </w:p>
        </w:tc>
        <w:tc>
          <w:tcPr>
            <w:tcW w:w="913" w:type="pct"/>
          </w:tcPr>
          <w:p w14:paraId="5ACB89B2" w14:textId="43CBD142"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117</w:t>
            </w:r>
          </w:p>
        </w:tc>
      </w:tr>
      <w:tr w:rsidR="004546DA" w:rsidRPr="00FF1999" w14:paraId="3DD30467" w14:textId="77777777" w:rsidTr="004546DA">
        <w:trPr>
          <w:tblCellSpacing w:w="20" w:type="dxa"/>
          <w:jc w:val="center"/>
        </w:trPr>
        <w:tc>
          <w:tcPr>
            <w:tcW w:w="4015" w:type="pct"/>
          </w:tcPr>
          <w:p w14:paraId="1AD7CB19"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الثالث</w:t>
            </w:r>
          </w:p>
        </w:tc>
        <w:tc>
          <w:tcPr>
            <w:tcW w:w="913" w:type="pct"/>
          </w:tcPr>
          <w:p w14:paraId="639748DC" w14:textId="7D27BCCC"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4546DA" w:rsidRPr="00FF1999" w14:paraId="3279F134" w14:textId="77777777" w:rsidTr="004546DA">
        <w:trPr>
          <w:tblCellSpacing w:w="20" w:type="dxa"/>
          <w:jc w:val="center"/>
        </w:trPr>
        <w:tc>
          <w:tcPr>
            <w:tcW w:w="4015" w:type="pct"/>
          </w:tcPr>
          <w:p w14:paraId="635CAD2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الرابع</w:t>
            </w:r>
          </w:p>
        </w:tc>
        <w:tc>
          <w:tcPr>
            <w:tcW w:w="913" w:type="pct"/>
          </w:tcPr>
          <w:p w14:paraId="756B5A73" w14:textId="7882C68E"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3C6694" w:rsidRPr="00FF1999" w14:paraId="7F1D0BEE" w14:textId="77777777" w:rsidTr="004546DA">
        <w:trPr>
          <w:tblCellSpacing w:w="20" w:type="dxa"/>
          <w:jc w:val="center"/>
        </w:trPr>
        <w:tc>
          <w:tcPr>
            <w:tcW w:w="4015" w:type="pct"/>
          </w:tcPr>
          <w:p w14:paraId="3EB2D3F4" w14:textId="4D274492"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الأول</w:t>
            </w:r>
          </w:p>
        </w:tc>
        <w:tc>
          <w:tcPr>
            <w:tcW w:w="913" w:type="pct"/>
          </w:tcPr>
          <w:p w14:paraId="6D7A124D" w14:textId="170D9B7B"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119</w:t>
            </w:r>
          </w:p>
        </w:tc>
      </w:tr>
      <w:tr w:rsidR="003C6694" w:rsidRPr="00FF1999" w14:paraId="77AB1686" w14:textId="77777777" w:rsidTr="004546DA">
        <w:trPr>
          <w:tblCellSpacing w:w="20" w:type="dxa"/>
          <w:jc w:val="center"/>
        </w:trPr>
        <w:tc>
          <w:tcPr>
            <w:tcW w:w="4015" w:type="pct"/>
          </w:tcPr>
          <w:p w14:paraId="4A179BF0" w14:textId="33059505"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lastRenderedPageBreak/>
              <w:t>الفرض الفرعي الثاني</w:t>
            </w:r>
          </w:p>
        </w:tc>
        <w:tc>
          <w:tcPr>
            <w:tcW w:w="913" w:type="pct"/>
          </w:tcPr>
          <w:p w14:paraId="06C611F2" w14:textId="7D651D18"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120</w:t>
            </w:r>
          </w:p>
        </w:tc>
      </w:tr>
      <w:tr w:rsidR="003C6694" w:rsidRPr="00FF1999" w14:paraId="152A75FD" w14:textId="77777777" w:rsidTr="004546DA">
        <w:trPr>
          <w:tblCellSpacing w:w="20" w:type="dxa"/>
          <w:jc w:val="center"/>
        </w:trPr>
        <w:tc>
          <w:tcPr>
            <w:tcW w:w="4015" w:type="pct"/>
          </w:tcPr>
          <w:p w14:paraId="2D3BFBFD" w14:textId="7BB04139"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الثالث</w:t>
            </w:r>
          </w:p>
        </w:tc>
        <w:tc>
          <w:tcPr>
            <w:tcW w:w="913" w:type="pct"/>
          </w:tcPr>
          <w:p w14:paraId="713EE6D5" w14:textId="49A6D061"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121</w:t>
            </w:r>
          </w:p>
        </w:tc>
      </w:tr>
      <w:tr w:rsidR="003C6694" w:rsidRPr="00FF1999" w14:paraId="7598FA9B" w14:textId="77777777" w:rsidTr="004546DA">
        <w:trPr>
          <w:tblCellSpacing w:w="20" w:type="dxa"/>
          <w:jc w:val="center"/>
        </w:trPr>
        <w:tc>
          <w:tcPr>
            <w:tcW w:w="4015" w:type="pct"/>
          </w:tcPr>
          <w:p w14:paraId="3D43F19E" w14:textId="6A92BC8E"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الفرعي الرابع</w:t>
            </w:r>
          </w:p>
        </w:tc>
        <w:tc>
          <w:tcPr>
            <w:tcW w:w="913" w:type="pct"/>
          </w:tcPr>
          <w:p w14:paraId="729913C9" w14:textId="069B408C" w:rsidR="003C6694" w:rsidRDefault="003C6694"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123</w:t>
            </w:r>
          </w:p>
        </w:tc>
      </w:tr>
      <w:tr w:rsidR="004546DA" w:rsidRPr="00FF1999" w14:paraId="68BA4600" w14:textId="77777777" w:rsidTr="004546DA">
        <w:trPr>
          <w:tblCellSpacing w:w="20" w:type="dxa"/>
          <w:jc w:val="center"/>
        </w:trPr>
        <w:tc>
          <w:tcPr>
            <w:tcW w:w="4015" w:type="pct"/>
          </w:tcPr>
          <w:p w14:paraId="0B272273"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الفرض الخامس</w:t>
            </w:r>
          </w:p>
        </w:tc>
        <w:tc>
          <w:tcPr>
            <w:tcW w:w="913" w:type="pct"/>
          </w:tcPr>
          <w:p w14:paraId="77613EFC" w14:textId="4C083DE1"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119</w:t>
            </w:r>
          </w:p>
        </w:tc>
      </w:tr>
      <w:tr w:rsidR="004546DA" w:rsidRPr="00FF1999" w14:paraId="7E0D6C19" w14:textId="77777777" w:rsidTr="004546DA">
        <w:trPr>
          <w:tblCellSpacing w:w="20" w:type="dxa"/>
          <w:jc w:val="center"/>
        </w:trPr>
        <w:tc>
          <w:tcPr>
            <w:tcW w:w="4015" w:type="pct"/>
          </w:tcPr>
          <w:p w14:paraId="4D1C62F6"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خلاصة</w:t>
            </w:r>
          </w:p>
        </w:tc>
        <w:tc>
          <w:tcPr>
            <w:tcW w:w="913" w:type="pct"/>
          </w:tcPr>
          <w:p w14:paraId="550D65F6" w14:textId="733ACA29"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124</w:t>
            </w:r>
          </w:p>
        </w:tc>
      </w:tr>
      <w:tr w:rsidR="004546DA" w:rsidRPr="00FF1999" w14:paraId="510EB6EB" w14:textId="77777777" w:rsidTr="004546DA">
        <w:trPr>
          <w:tblCellSpacing w:w="20" w:type="dxa"/>
          <w:jc w:val="center"/>
        </w:trPr>
        <w:tc>
          <w:tcPr>
            <w:tcW w:w="4015" w:type="pct"/>
          </w:tcPr>
          <w:p w14:paraId="63F90433"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الفصل الخامس</w:t>
            </w:r>
          </w:p>
        </w:tc>
        <w:tc>
          <w:tcPr>
            <w:tcW w:w="913" w:type="pct"/>
          </w:tcPr>
          <w:p w14:paraId="632301F3" w14:textId="4F3866EF"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129</w:t>
            </w:r>
          </w:p>
        </w:tc>
      </w:tr>
      <w:tr w:rsidR="004546DA" w:rsidRPr="00FF1999" w14:paraId="4CCEFC31" w14:textId="77777777" w:rsidTr="004546DA">
        <w:trPr>
          <w:tblCellSpacing w:w="20" w:type="dxa"/>
          <w:jc w:val="center"/>
        </w:trPr>
        <w:tc>
          <w:tcPr>
            <w:tcW w:w="4015" w:type="pct"/>
          </w:tcPr>
          <w:p w14:paraId="3C8C47F0"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تمهيد</w:t>
            </w:r>
          </w:p>
        </w:tc>
        <w:tc>
          <w:tcPr>
            <w:tcW w:w="913" w:type="pct"/>
          </w:tcPr>
          <w:p w14:paraId="6CB0919C" w14:textId="5CA202D4"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6C9BFB03" w14:textId="77777777" w:rsidTr="004546DA">
        <w:trPr>
          <w:tblCellSpacing w:w="20" w:type="dxa"/>
          <w:jc w:val="center"/>
        </w:trPr>
        <w:tc>
          <w:tcPr>
            <w:tcW w:w="4015" w:type="pct"/>
          </w:tcPr>
          <w:p w14:paraId="3BADBAA5"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تفسير ومناقشة النتائج</w:t>
            </w:r>
          </w:p>
        </w:tc>
        <w:tc>
          <w:tcPr>
            <w:tcW w:w="913" w:type="pct"/>
          </w:tcPr>
          <w:p w14:paraId="12DE136D" w14:textId="55F8F6CB"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6DF68193" w14:textId="77777777" w:rsidTr="004546DA">
        <w:trPr>
          <w:tblCellSpacing w:w="20" w:type="dxa"/>
          <w:jc w:val="center"/>
        </w:trPr>
        <w:tc>
          <w:tcPr>
            <w:tcW w:w="4015" w:type="pct"/>
          </w:tcPr>
          <w:p w14:paraId="36F987B2" w14:textId="700BB4E8"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الأول</w:t>
            </w:r>
          </w:p>
        </w:tc>
        <w:tc>
          <w:tcPr>
            <w:tcW w:w="913" w:type="pct"/>
          </w:tcPr>
          <w:p w14:paraId="1DD776D5" w14:textId="014E4872"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130</w:t>
            </w:r>
          </w:p>
        </w:tc>
      </w:tr>
      <w:tr w:rsidR="004546DA" w:rsidRPr="00FF1999" w14:paraId="09D46087" w14:textId="77777777" w:rsidTr="004546DA">
        <w:trPr>
          <w:tblCellSpacing w:w="20" w:type="dxa"/>
          <w:jc w:val="center"/>
        </w:trPr>
        <w:tc>
          <w:tcPr>
            <w:tcW w:w="4015" w:type="pct"/>
          </w:tcPr>
          <w:p w14:paraId="24D5C716" w14:textId="2C62865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الثان</w:t>
            </w:r>
            <w:r w:rsidR="00441C99">
              <w:rPr>
                <w:rFonts w:ascii="Traditional Arabic" w:eastAsia="Times New Roman" w:hAnsi="Traditional Arabic" w:cs="Traditional Arabic" w:hint="cs"/>
                <w:color w:val="1C1C1C"/>
                <w:sz w:val="24"/>
                <w:szCs w:val="24"/>
                <w:rtl/>
              </w:rPr>
              <w:t>ي</w:t>
            </w:r>
          </w:p>
        </w:tc>
        <w:tc>
          <w:tcPr>
            <w:tcW w:w="913" w:type="pct"/>
          </w:tcPr>
          <w:p w14:paraId="38435303" w14:textId="1F029E1B"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131</w:t>
            </w:r>
          </w:p>
        </w:tc>
      </w:tr>
      <w:tr w:rsidR="004546DA" w:rsidRPr="00FF1999" w14:paraId="60DA4ABB" w14:textId="77777777" w:rsidTr="004546DA">
        <w:trPr>
          <w:tblCellSpacing w:w="20" w:type="dxa"/>
          <w:jc w:val="center"/>
        </w:trPr>
        <w:tc>
          <w:tcPr>
            <w:tcW w:w="4015" w:type="pct"/>
          </w:tcPr>
          <w:p w14:paraId="3387C4A1" w14:textId="0ADD3A83"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الثالث</w:t>
            </w:r>
          </w:p>
        </w:tc>
        <w:tc>
          <w:tcPr>
            <w:tcW w:w="913" w:type="pct"/>
          </w:tcPr>
          <w:p w14:paraId="7A8F270E" w14:textId="0536A418"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132</w:t>
            </w:r>
          </w:p>
        </w:tc>
      </w:tr>
      <w:tr w:rsidR="004546DA" w:rsidRPr="00FF1999" w14:paraId="0AB1BC61" w14:textId="77777777" w:rsidTr="004546DA">
        <w:trPr>
          <w:tblCellSpacing w:w="20" w:type="dxa"/>
          <w:jc w:val="center"/>
        </w:trPr>
        <w:tc>
          <w:tcPr>
            <w:tcW w:w="4015" w:type="pct"/>
          </w:tcPr>
          <w:p w14:paraId="0EAE2099" w14:textId="77777777" w:rsidR="004546DA"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الرابع</w:t>
            </w:r>
          </w:p>
          <w:p w14:paraId="3171D182" w14:textId="2FAB456D" w:rsidR="00441C99" w:rsidRPr="00FF1999" w:rsidRDefault="00441C99" w:rsidP="00441C99">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والفروض الفرعية</w:t>
            </w:r>
          </w:p>
        </w:tc>
        <w:tc>
          <w:tcPr>
            <w:tcW w:w="913" w:type="pct"/>
          </w:tcPr>
          <w:p w14:paraId="767F3F71" w14:textId="58CCAA29"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133</w:t>
            </w:r>
          </w:p>
        </w:tc>
      </w:tr>
      <w:tr w:rsidR="004546DA" w:rsidRPr="00FF1999" w14:paraId="7AB70D8D" w14:textId="77777777" w:rsidTr="004546DA">
        <w:trPr>
          <w:tblCellSpacing w:w="20" w:type="dxa"/>
          <w:jc w:val="center"/>
        </w:trPr>
        <w:tc>
          <w:tcPr>
            <w:tcW w:w="4015" w:type="pct"/>
          </w:tcPr>
          <w:p w14:paraId="5F947F1F" w14:textId="52A47E0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 xml:space="preserve">تفسير </w:t>
            </w:r>
            <w:r w:rsidR="00441C99">
              <w:rPr>
                <w:rFonts w:ascii="Traditional Arabic" w:eastAsia="Times New Roman" w:hAnsi="Traditional Arabic" w:cs="Traditional Arabic" w:hint="cs"/>
                <w:color w:val="1C1C1C"/>
                <w:sz w:val="24"/>
                <w:szCs w:val="24"/>
                <w:rtl/>
              </w:rPr>
              <w:t>الفرض</w:t>
            </w:r>
            <w:r>
              <w:rPr>
                <w:rFonts w:ascii="Traditional Arabic" w:eastAsia="Times New Roman" w:hAnsi="Traditional Arabic" w:cs="Traditional Arabic" w:hint="cs"/>
                <w:color w:val="1C1C1C"/>
                <w:sz w:val="24"/>
                <w:szCs w:val="24"/>
                <w:rtl/>
              </w:rPr>
              <w:t xml:space="preserve"> الخامس</w:t>
            </w:r>
          </w:p>
        </w:tc>
        <w:tc>
          <w:tcPr>
            <w:tcW w:w="913" w:type="pct"/>
          </w:tcPr>
          <w:p w14:paraId="5EDDB6B4" w14:textId="3FA1415B"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135</w:t>
            </w:r>
          </w:p>
        </w:tc>
      </w:tr>
      <w:tr w:rsidR="004546DA" w:rsidRPr="00FF1999" w14:paraId="1E857667" w14:textId="77777777" w:rsidTr="004546DA">
        <w:trPr>
          <w:tblCellSpacing w:w="20" w:type="dxa"/>
          <w:jc w:val="center"/>
        </w:trPr>
        <w:tc>
          <w:tcPr>
            <w:tcW w:w="4015" w:type="pct"/>
          </w:tcPr>
          <w:p w14:paraId="5B8FC538"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توصيات الدراسة</w:t>
            </w:r>
          </w:p>
        </w:tc>
        <w:tc>
          <w:tcPr>
            <w:tcW w:w="913" w:type="pct"/>
          </w:tcPr>
          <w:p w14:paraId="358DDDDF" w14:textId="7AAE2909"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138</w:t>
            </w:r>
          </w:p>
        </w:tc>
      </w:tr>
      <w:tr w:rsidR="004546DA" w:rsidRPr="00FF1999" w14:paraId="5FFB4164" w14:textId="77777777" w:rsidTr="004546DA">
        <w:trPr>
          <w:tblCellSpacing w:w="20" w:type="dxa"/>
          <w:jc w:val="center"/>
        </w:trPr>
        <w:tc>
          <w:tcPr>
            <w:tcW w:w="4015" w:type="pct"/>
          </w:tcPr>
          <w:p w14:paraId="011BFE5A" w14:textId="77777777"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الدراسات المقترحة</w:t>
            </w:r>
          </w:p>
        </w:tc>
        <w:tc>
          <w:tcPr>
            <w:tcW w:w="913" w:type="pct"/>
          </w:tcPr>
          <w:p w14:paraId="29F96743" w14:textId="45F62EB4" w:rsidR="004546DA" w:rsidRPr="00FF1999" w:rsidRDefault="00784463"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140</w:t>
            </w:r>
          </w:p>
        </w:tc>
      </w:tr>
      <w:tr w:rsidR="004546DA" w:rsidRPr="00FF1999" w14:paraId="37392079" w14:textId="77777777" w:rsidTr="004546DA">
        <w:trPr>
          <w:tblCellSpacing w:w="20" w:type="dxa"/>
          <w:jc w:val="center"/>
        </w:trPr>
        <w:tc>
          <w:tcPr>
            <w:tcW w:w="4015" w:type="pct"/>
          </w:tcPr>
          <w:p w14:paraId="45088CAE" w14:textId="7DD5FA99"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rPr>
            </w:pPr>
            <w:r w:rsidRPr="002E572A">
              <w:rPr>
                <w:rFonts w:ascii="Traditional Arabic" w:eastAsia="Times New Roman" w:hAnsi="Traditional Arabic" w:cs="Traditional Arabic" w:hint="cs"/>
                <w:b/>
                <w:bCs/>
                <w:color w:val="1C1C1C"/>
                <w:sz w:val="24"/>
                <w:szCs w:val="24"/>
                <w:rtl/>
              </w:rPr>
              <w:t>ملخص الدر</w:t>
            </w:r>
            <w:r w:rsidR="00620EEA">
              <w:rPr>
                <w:rFonts w:ascii="Traditional Arabic" w:eastAsia="Times New Roman" w:hAnsi="Traditional Arabic" w:cs="Traditional Arabic" w:hint="cs"/>
                <w:b/>
                <w:bCs/>
                <w:color w:val="1C1C1C"/>
                <w:sz w:val="24"/>
                <w:szCs w:val="24"/>
                <w:rtl/>
              </w:rPr>
              <w:t>ا</w:t>
            </w:r>
            <w:r w:rsidRPr="002E572A">
              <w:rPr>
                <w:rFonts w:ascii="Traditional Arabic" w:eastAsia="Times New Roman" w:hAnsi="Traditional Arabic" w:cs="Traditional Arabic" w:hint="cs"/>
                <w:b/>
                <w:bCs/>
                <w:color w:val="1C1C1C"/>
                <w:sz w:val="24"/>
                <w:szCs w:val="24"/>
                <w:rtl/>
              </w:rPr>
              <w:t>سة</w:t>
            </w:r>
          </w:p>
        </w:tc>
        <w:tc>
          <w:tcPr>
            <w:tcW w:w="913" w:type="pct"/>
          </w:tcPr>
          <w:p w14:paraId="7409CE38" w14:textId="34167B85"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145</w:t>
            </w:r>
          </w:p>
        </w:tc>
      </w:tr>
      <w:tr w:rsidR="004546DA" w:rsidRPr="00FF1999" w14:paraId="63F623A9" w14:textId="77777777" w:rsidTr="004546DA">
        <w:trPr>
          <w:tblCellSpacing w:w="20" w:type="dxa"/>
          <w:jc w:val="center"/>
        </w:trPr>
        <w:tc>
          <w:tcPr>
            <w:tcW w:w="4015" w:type="pct"/>
          </w:tcPr>
          <w:p w14:paraId="259F8B9D"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Pr>
            </w:pPr>
            <w:r w:rsidRPr="002E572A">
              <w:rPr>
                <w:rFonts w:ascii="Traditional Arabic" w:eastAsia="Times New Roman" w:hAnsi="Traditional Arabic" w:cs="Traditional Arabic"/>
                <w:b/>
                <w:bCs/>
                <w:color w:val="1C1C1C"/>
                <w:sz w:val="24"/>
                <w:szCs w:val="24"/>
              </w:rPr>
              <w:t>SUMMARY</w:t>
            </w:r>
          </w:p>
        </w:tc>
        <w:tc>
          <w:tcPr>
            <w:tcW w:w="913" w:type="pct"/>
          </w:tcPr>
          <w:p w14:paraId="74BBCEB6" w14:textId="5D8D7DE6" w:rsidR="004546DA" w:rsidRPr="00FF1999" w:rsidRDefault="004546DA"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148</w:t>
            </w:r>
          </w:p>
        </w:tc>
      </w:tr>
      <w:tr w:rsidR="004546DA" w:rsidRPr="00FF1999" w14:paraId="712EF6F6" w14:textId="77777777" w:rsidTr="004546DA">
        <w:trPr>
          <w:tblCellSpacing w:w="20" w:type="dxa"/>
          <w:jc w:val="center"/>
        </w:trPr>
        <w:tc>
          <w:tcPr>
            <w:tcW w:w="4015" w:type="pct"/>
          </w:tcPr>
          <w:p w14:paraId="74C2FADC" w14:textId="77777777" w:rsidR="004546DA" w:rsidRPr="002E572A" w:rsidRDefault="004546DA" w:rsidP="004546DA">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المراجع</w:t>
            </w:r>
          </w:p>
        </w:tc>
        <w:tc>
          <w:tcPr>
            <w:tcW w:w="913" w:type="pct"/>
          </w:tcPr>
          <w:p w14:paraId="771EBC69" w14:textId="2E4B0E51" w:rsidR="004546DA" w:rsidRPr="00FF1999" w:rsidRDefault="00441C99" w:rsidP="004546DA">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151</w:t>
            </w:r>
          </w:p>
        </w:tc>
      </w:tr>
      <w:tr w:rsidR="00C853E2" w:rsidRPr="00FF1999" w14:paraId="4919880F" w14:textId="77777777" w:rsidTr="004546DA">
        <w:trPr>
          <w:tblCellSpacing w:w="20" w:type="dxa"/>
          <w:jc w:val="center"/>
        </w:trPr>
        <w:tc>
          <w:tcPr>
            <w:tcW w:w="4015" w:type="pct"/>
          </w:tcPr>
          <w:p w14:paraId="31C52E15" w14:textId="77777777" w:rsidR="00C853E2" w:rsidRPr="002E572A" w:rsidRDefault="00C853E2" w:rsidP="00A75FFD">
            <w:pPr>
              <w:bidi/>
              <w:spacing w:before="50" w:after="50" w:line="240" w:lineRule="auto"/>
              <w:ind w:right="432"/>
              <w:rPr>
                <w:rFonts w:ascii="Traditional Arabic" w:eastAsia="Times New Roman" w:hAnsi="Traditional Arabic" w:cs="Traditional Arabic"/>
                <w:b/>
                <w:bCs/>
                <w:color w:val="1C1C1C"/>
                <w:sz w:val="24"/>
                <w:szCs w:val="24"/>
                <w:rtl/>
                <w:lang w:bidi="ar-EG"/>
              </w:rPr>
            </w:pPr>
            <w:r w:rsidRPr="002E572A">
              <w:rPr>
                <w:rFonts w:ascii="Traditional Arabic" w:eastAsia="Times New Roman" w:hAnsi="Traditional Arabic" w:cs="Traditional Arabic" w:hint="cs"/>
                <w:b/>
                <w:bCs/>
                <w:color w:val="1C1C1C"/>
                <w:sz w:val="24"/>
                <w:szCs w:val="24"/>
                <w:rtl/>
                <w:lang w:bidi="ar-EG"/>
              </w:rPr>
              <w:t>الملاحق</w:t>
            </w:r>
          </w:p>
        </w:tc>
        <w:tc>
          <w:tcPr>
            <w:tcW w:w="913" w:type="pct"/>
          </w:tcPr>
          <w:p w14:paraId="7485B910" w14:textId="2677844E" w:rsidR="00C853E2" w:rsidRPr="00FF1999" w:rsidRDefault="00441C9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166</w:t>
            </w:r>
          </w:p>
        </w:tc>
      </w:tr>
    </w:tbl>
    <w:p w14:paraId="1D83208D" w14:textId="77777777" w:rsidR="00163191" w:rsidRDefault="00163191" w:rsidP="00D3327D">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7E2DEEDC" w14:textId="77777777" w:rsidR="00360AAA" w:rsidRDefault="00360AAA" w:rsidP="00DA0F67">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5804AE45"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8D2A1F1"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0C48E376"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C52562E"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3FCADD37"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4F5764FD" w14:textId="77777777" w:rsidR="00360AAA" w:rsidRDefault="00360AAA"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p>
    <w:p w14:paraId="5DD9E273" w14:textId="64955128" w:rsidR="00163191" w:rsidRPr="00DA0F67" w:rsidRDefault="000C3448" w:rsidP="00360AAA">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28"/>
          <w:szCs w:val="28"/>
          <w:u w:val="single"/>
          <w:rtl/>
        </w:rPr>
      </w:pPr>
      <w:r w:rsidRPr="00DA0F67">
        <w:rPr>
          <w:rFonts w:ascii="Traditional Arabic" w:eastAsia="Times New Roman" w:hAnsi="Traditional Arabic" w:cs="Traditional Arabic" w:hint="cs"/>
          <w:b/>
          <w:bCs/>
          <w:color w:val="1C1C1C"/>
          <w:sz w:val="28"/>
          <w:szCs w:val="28"/>
          <w:u w:val="single"/>
          <w:rtl/>
        </w:rPr>
        <w:t>قائمة الجداول</w:t>
      </w:r>
    </w:p>
    <w:p w14:paraId="2DFC38D6" w14:textId="77777777" w:rsidR="000C3448" w:rsidRDefault="000C3448" w:rsidP="000C3448">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tbl>
      <w:tblPr>
        <w:tblStyle w:val="TableGrid"/>
        <w:bidiVisual/>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7041"/>
        <w:gridCol w:w="1249"/>
      </w:tblGrid>
      <w:tr w:rsidR="00DA0F67" w:rsidRPr="0078379E" w14:paraId="28F35DE2" w14:textId="77777777" w:rsidTr="00DA0F67">
        <w:trPr>
          <w:tblCellSpacing w:w="20" w:type="dxa"/>
        </w:trPr>
        <w:tc>
          <w:tcPr>
            <w:tcW w:w="0" w:type="auto"/>
            <w:shd w:val="clear" w:color="auto" w:fill="E5DFEC" w:themeFill="accent4" w:themeFillTint="33"/>
          </w:tcPr>
          <w:p w14:paraId="7B9E1D27" w14:textId="77777777" w:rsidR="00DA0F67" w:rsidRPr="0078379E" w:rsidRDefault="00DA0F67" w:rsidP="00A75FFD">
            <w:pPr>
              <w:bidi/>
              <w:spacing w:before="50" w:after="50" w:line="240" w:lineRule="auto"/>
              <w:ind w:right="432"/>
              <w:jc w:val="both"/>
              <w:rPr>
                <w:rFonts w:ascii="Traditional Arabic" w:eastAsia="Times New Roman" w:hAnsi="Traditional Arabic" w:cs="Traditional Arabic"/>
                <w:b/>
                <w:bCs/>
                <w:color w:val="1C1C1C"/>
                <w:sz w:val="24"/>
                <w:szCs w:val="24"/>
                <w:rtl/>
                <w:lang w:bidi="ar-EG"/>
              </w:rPr>
            </w:pPr>
            <w:r w:rsidRPr="0078379E">
              <w:rPr>
                <w:rFonts w:ascii="Traditional Arabic" w:eastAsia="Times New Roman" w:hAnsi="Traditional Arabic" w:cs="Traditional Arabic" w:hint="cs"/>
                <w:b/>
                <w:bCs/>
                <w:color w:val="1C1C1C"/>
                <w:sz w:val="24"/>
                <w:szCs w:val="24"/>
                <w:rtl/>
                <w:lang w:bidi="ar-EG"/>
              </w:rPr>
              <w:t xml:space="preserve">الجدول </w:t>
            </w:r>
          </w:p>
        </w:tc>
        <w:tc>
          <w:tcPr>
            <w:tcW w:w="0" w:type="auto"/>
            <w:shd w:val="clear" w:color="auto" w:fill="E5DFEC" w:themeFill="accent4" w:themeFillTint="33"/>
          </w:tcPr>
          <w:p w14:paraId="7BD15694" w14:textId="77777777" w:rsidR="00DA0F67" w:rsidRPr="0078379E" w:rsidRDefault="00DA0F67" w:rsidP="00A75FFD">
            <w:pPr>
              <w:bidi/>
              <w:spacing w:before="50" w:after="50" w:line="240" w:lineRule="auto"/>
              <w:ind w:right="432"/>
              <w:rPr>
                <w:rFonts w:ascii="Traditional Arabic" w:eastAsia="Times New Roman" w:hAnsi="Traditional Arabic" w:cs="Traditional Arabic"/>
                <w:b/>
                <w:bCs/>
                <w:color w:val="1C1C1C"/>
                <w:sz w:val="24"/>
                <w:szCs w:val="24"/>
                <w:rtl/>
              </w:rPr>
            </w:pPr>
            <w:r w:rsidRPr="0078379E">
              <w:rPr>
                <w:rFonts w:ascii="Traditional Arabic" w:eastAsia="Times New Roman" w:hAnsi="Traditional Arabic" w:cs="Traditional Arabic" w:hint="cs"/>
                <w:b/>
                <w:bCs/>
                <w:color w:val="1C1C1C"/>
                <w:sz w:val="24"/>
                <w:szCs w:val="24"/>
                <w:rtl/>
              </w:rPr>
              <w:t>الصفحة</w:t>
            </w:r>
          </w:p>
        </w:tc>
      </w:tr>
      <w:tr w:rsidR="00DA0F67" w:rsidRPr="00FF1999" w14:paraId="6EEB9B36" w14:textId="77777777" w:rsidTr="00A75FFD">
        <w:trPr>
          <w:tblCellSpacing w:w="20" w:type="dxa"/>
        </w:trPr>
        <w:tc>
          <w:tcPr>
            <w:tcW w:w="0" w:type="auto"/>
          </w:tcPr>
          <w:p w14:paraId="1B657328"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 شرح العلاقة بين المتغيرات</w:t>
            </w:r>
          </w:p>
        </w:tc>
        <w:tc>
          <w:tcPr>
            <w:tcW w:w="0" w:type="auto"/>
          </w:tcPr>
          <w:p w14:paraId="1DFF870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7</w:t>
            </w:r>
          </w:p>
        </w:tc>
      </w:tr>
      <w:tr w:rsidR="00DA0F67" w:rsidRPr="00FF1999" w14:paraId="10533956" w14:textId="77777777" w:rsidTr="00A75FFD">
        <w:trPr>
          <w:tblCellSpacing w:w="20" w:type="dxa"/>
        </w:trPr>
        <w:tc>
          <w:tcPr>
            <w:tcW w:w="0" w:type="auto"/>
          </w:tcPr>
          <w:p w14:paraId="5FAE62FF" w14:textId="77777777" w:rsidR="00DA0F67" w:rsidRPr="00C0082A" w:rsidRDefault="00DA0F67" w:rsidP="00A75FFD">
            <w:pPr>
              <w:bidi/>
              <w:spacing w:after="200" w:line="240" w:lineRule="auto"/>
              <w:jc w:val="both"/>
              <w:rPr>
                <w:rFonts w:ascii="Traditional Arabic" w:eastAsia="Calibri" w:hAnsi="Traditional Arabic" w:cs="Traditional Arabic"/>
                <w:color w:val="000000" w:themeColor="text1"/>
                <w:sz w:val="24"/>
                <w:szCs w:val="24"/>
                <w:rtl/>
                <w:lang w:bidi="ar-EG"/>
              </w:rPr>
            </w:pPr>
            <w:r w:rsidRPr="00C0082A">
              <w:rPr>
                <w:rFonts w:ascii="Traditional Arabic" w:eastAsia="Calibri" w:hAnsi="Traditional Arabic" w:cs="Traditional Arabic" w:hint="cs"/>
                <w:color w:val="000000" w:themeColor="text1"/>
                <w:sz w:val="24"/>
                <w:szCs w:val="24"/>
                <w:rtl/>
                <w:lang w:bidi="ar-EG"/>
              </w:rPr>
              <w:t>جدول ( 2 ) ملخص الدراسات المرجعية.</w:t>
            </w:r>
          </w:p>
        </w:tc>
        <w:tc>
          <w:tcPr>
            <w:tcW w:w="0" w:type="auto"/>
          </w:tcPr>
          <w:p w14:paraId="4018BE8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14</w:t>
            </w:r>
          </w:p>
        </w:tc>
      </w:tr>
      <w:tr w:rsidR="00DA0F67" w:rsidRPr="00FF1999" w14:paraId="4DB00931" w14:textId="77777777" w:rsidTr="00A75FFD">
        <w:trPr>
          <w:tblCellSpacing w:w="20" w:type="dxa"/>
        </w:trPr>
        <w:tc>
          <w:tcPr>
            <w:tcW w:w="0" w:type="auto"/>
          </w:tcPr>
          <w:p w14:paraId="63CB535C" w14:textId="77777777" w:rsidR="00DA0F67" w:rsidRPr="00C0082A" w:rsidRDefault="00DA0F67" w:rsidP="00A75FFD">
            <w:pPr>
              <w:bidi/>
              <w:spacing w:after="0" w:line="240"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( 3 ) يوضح أبعاد متغيرات الدراسة</w:t>
            </w:r>
          </w:p>
        </w:tc>
        <w:tc>
          <w:tcPr>
            <w:tcW w:w="0" w:type="auto"/>
          </w:tcPr>
          <w:p w14:paraId="0A49D654"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21</w:t>
            </w:r>
          </w:p>
        </w:tc>
      </w:tr>
      <w:tr w:rsidR="00DA0F67" w:rsidRPr="00FF1999" w14:paraId="13FAD6E2" w14:textId="77777777" w:rsidTr="00A75FFD">
        <w:trPr>
          <w:tblCellSpacing w:w="20" w:type="dxa"/>
        </w:trPr>
        <w:tc>
          <w:tcPr>
            <w:tcW w:w="0" w:type="auto"/>
          </w:tcPr>
          <w:p w14:paraId="755D6AE0"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rPr>
              <w:t>جدول ( 4 ) يوضح نظريات إدارة المخاطر</w:t>
            </w:r>
          </w:p>
        </w:tc>
        <w:tc>
          <w:tcPr>
            <w:tcW w:w="0" w:type="auto"/>
          </w:tcPr>
          <w:p w14:paraId="1BD9F78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34</w:t>
            </w:r>
          </w:p>
        </w:tc>
      </w:tr>
      <w:tr w:rsidR="00DA0F67" w:rsidRPr="00FF1999" w14:paraId="0C1082BA" w14:textId="77777777" w:rsidTr="00A75FFD">
        <w:trPr>
          <w:tblCellSpacing w:w="20" w:type="dxa"/>
        </w:trPr>
        <w:tc>
          <w:tcPr>
            <w:tcW w:w="0" w:type="auto"/>
          </w:tcPr>
          <w:p w14:paraId="19125CD8"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lang w:bidi="ar-EG"/>
              </w:rPr>
              <w:t xml:space="preserve">جدول ( 5 ) ملخص الدراسات السابقة </w:t>
            </w:r>
            <w:r w:rsidRPr="00C0082A">
              <w:rPr>
                <w:rFonts w:ascii="Traditional Arabic" w:hAnsi="Traditional Arabic" w:cs="Traditional Arabic" w:hint="cs"/>
                <w:spacing w:val="-6"/>
                <w:sz w:val="24"/>
                <w:szCs w:val="24"/>
                <w:rtl/>
              </w:rPr>
              <w:t>حول إدارة المخاطر</w:t>
            </w:r>
          </w:p>
        </w:tc>
        <w:tc>
          <w:tcPr>
            <w:tcW w:w="0" w:type="auto"/>
          </w:tcPr>
          <w:p w14:paraId="70807B8B"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48</w:t>
            </w:r>
          </w:p>
        </w:tc>
      </w:tr>
      <w:tr w:rsidR="00DA0F67" w:rsidRPr="00FF1999" w14:paraId="1B996765" w14:textId="77777777" w:rsidTr="00A75FFD">
        <w:trPr>
          <w:tblCellSpacing w:w="20" w:type="dxa"/>
        </w:trPr>
        <w:tc>
          <w:tcPr>
            <w:tcW w:w="0" w:type="auto"/>
          </w:tcPr>
          <w:p w14:paraId="7073DD87"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جدول ( 6 ) النظريات المفسرة لسلامة المرضى</w:t>
            </w:r>
          </w:p>
        </w:tc>
        <w:tc>
          <w:tcPr>
            <w:tcW w:w="0" w:type="auto"/>
          </w:tcPr>
          <w:p w14:paraId="28067A9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54</w:t>
            </w:r>
          </w:p>
        </w:tc>
      </w:tr>
      <w:tr w:rsidR="00DA0F67" w:rsidRPr="00FF1999" w14:paraId="2BC7B8F0" w14:textId="77777777" w:rsidTr="00A75FFD">
        <w:trPr>
          <w:tblCellSpacing w:w="20" w:type="dxa"/>
        </w:trPr>
        <w:tc>
          <w:tcPr>
            <w:tcW w:w="0" w:type="auto"/>
          </w:tcPr>
          <w:p w14:paraId="6720492F"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جدول ( 7 ) دراسات سابقة حول سلامة المرضى.</w:t>
            </w:r>
          </w:p>
        </w:tc>
        <w:tc>
          <w:tcPr>
            <w:tcW w:w="0" w:type="auto"/>
          </w:tcPr>
          <w:p w14:paraId="5CA47274"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68</w:t>
            </w:r>
          </w:p>
        </w:tc>
      </w:tr>
      <w:tr w:rsidR="00DA0F67" w:rsidRPr="00FF1999" w14:paraId="7F0BD4CD" w14:textId="77777777" w:rsidTr="00A75FFD">
        <w:trPr>
          <w:tblCellSpacing w:w="20" w:type="dxa"/>
        </w:trPr>
        <w:tc>
          <w:tcPr>
            <w:tcW w:w="0" w:type="auto"/>
          </w:tcPr>
          <w:p w14:paraId="280E9F23" w14:textId="77777777" w:rsidR="00DA0F67" w:rsidRPr="00C0082A" w:rsidRDefault="00DA0F67" w:rsidP="00A75FFD">
            <w:pPr>
              <w:bidi/>
              <w:spacing w:before="120" w:after="120" w:line="240" w:lineRule="auto"/>
              <w:jc w:val="both"/>
              <w:rPr>
                <w:rFonts w:ascii="Traditional Arabic" w:hAnsi="Traditional Arabic" w:cs="Traditional Arabic"/>
                <w:spacing w:val="-6"/>
                <w:sz w:val="24"/>
                <w:szCs w:val="24"/>
                <w:rtl/>
                <w:lang w:bidi="ar-EG"/>
              </w:rPr>
            </w:pPr>
            <w:r w:rsidRPr="00C0082A">
              <w:rPr>
                <w:rFonts w:ascii="Traditional Arabic" w:hAnsi="Traditional Arabic" w:cs="Traditional Arabic" w:hint="cs"/>
                <w:spacing w:val="-6"/>
                <w:sz w:val="24"/>
                <w:szCs w:val="24"/>
                <w:rtl/>
                <w:lang w:bidi="ar-EG"/>
              </w:rPr>
              <w:t xml:space="preserve">جدول ( 8 ) </w:t>
            </w:r>
            <w:r w:rsidRPr="00C0082A">
              <w:rPr>
                <w:rFonts w:ascii="Traditional Arabic" w:hAnsi="Traditional Arabic" w:cs="Traditional Arabic" w:hint="cs"/>
                <w:spacing w:val="-6"/>
                <w:sz w:val="24"/>
                <w:szCs w:val="24"/>
                <w:rtl/>
              </w:rPr>
              <w:t>الدراسات السابقة حول القيادة التحويلة</w:t>
            </w:r>
          </w:p>
        </w:tc>
        <w:tc>
          <w:tcPr>
            <w:tcW w:w="0" w:type="auto"/>
          </w:tcPr>
          <w:p w14:paraId="53FBD449"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86</w:t>
            </w:r>
          </w:p>
        </w:tc>
      </w:tr>
      <w:tr w:rsidR="00DA0F67" w:rsidRPr="00FF1999" w14:paraId="0C1714D7" w14:textId="77777777" w:rsidTr="00A75FFD">
        <w:trPr>
          <w:tblCellSpacing w:w="20" w:type="dxa"/>
        </w:trPr>
        <w:tc>
          <w:tcPr>
            <w:tcW w:w="0" w:type="auto"/>
          </w:tcPr>
          <w:p w14:paraId="03EFA5FA" w14:textId="77777777" w:rsidR="00DA0F67" w:rsidRPr="00C0082A" w:rsidRDefault="00DA0F67" w:rsidP="00A75FFD">
            <w:pPr>
              <w:bidi/>
              <w:spacing w:after="200" w:line="276" w:lineRule="auto"/>
              <w:jc w:val="both"/>
              <w:rPr>
                <w:rFonts w:ascii="Traditional Arabic" w:hAnsi="Traditional Arabic" w:cs="Traditional Arabic"/>
                <w:spacing w:val="-6"/>
                <w:sz w:val="24"/>
                <w:szCs w:val="24"/>
                <w:rtl/>
              </w:rPr>
            </w:pPr>
            <w:r w:rsidRPr="00C0082A">
              <w:rPr>
                <w:rFonts w:ascii="Traditional Arabic" w:hAnsi="Traditional Arabic" w:cs="Traditional Arabic" w:hint="cs"/>
                <w:spacing w:val="-6"/>
                <w:sz w:val="24"/>
                <w:szCs w:val="24"/>
                <w:rtl/>
              </w:rPr>
              <w:t>جدول (9) ملخص الدراسات السابقة الواردة في الدراسة الحالية</w:t>
            </w:r>
          </w:p>
        </w:tc>
        <w:tc>
          <w:tcPr>
            <w:tcW w:w="0" w:type="auto"/>
          </w:tcPr>
          <w:p w14:paraId="1BBF11B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90</w:t>
            </w:r>
          </w:p>
        </w:tc>
      </w:tr>
      <w:tr w:rsidR="00DA0F67" w:rsidRPr="00FF1999" w14:paraId="0A697C84" w14:textId="77777777" w:rsidTr="00A75FFD">
        <w:trPr>
          <w:tblCellSpacing w:w="20" w:type="dxa"/>
        </w:trPr>
        <w:tc>
          <w:tcPr>
            <w:tcW w:w="0" w:type="auto"/>
          </w:tcPr>
          <w:p w14:paraId="6C87258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lang w:bidi="ar-EG"/>
              </w:rPr>
            </w:pPr>
            <w:r w:rsidRPr="00C0082A">
              <w:rPr>
                <w:rFonts w:ascii="Traditional Arabic" w:hAnsi="Traditional Arabic" w:cs="Traditional Arabic" w:hint="cs"/>
                <w:color w:val="000000" w:themeColor="text1"/>
                <w:sz w:val="24"/>
                <w:szCs w:val="24"/>
                <w:rtl/>
                <w:lang w:bidi="ar-EG"/>
              </w:rPr>
              <w:t>جدول( 10) البيانات الشخصية للمشاركين في الدراسة:</w:t>
            </w:r>
          </w:p>
        </w:tc>
        <w:tc>
          <w:tcPr>
            <w:tcW w:w="0" w:type="auto"/>
          </w:tcPr>
          <w:p w14:paraId="17B80A22"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99</w:t>
            </w:r>
          </w:p>
        </w:tc>
      </w:tr>
      <w:tr w:rsidR="00DA0F67" w:rsidRPr="00FF1999" w14:paraId="6433687B" w14:textId="77777777" w:rsidTr="00A75FFD">
        <w:trPr>
          <w:tblCellSpacing w:w="20" w:type="dxa"/>
        </w:trPr>
        <w:tc>
          <w:tcPr>
            <w:tcW w:w="0" w:type="auto"/>
          </w:tcPr>
          <w:p w14:paraId="0BDA9658"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(11) عبارات الإستبيان ومصادر صياغتها.</w:t>
            </w:r>
          </w:p>
        </w:tc>
        <w:tc>
          <w:tcPr>
            <w:tcW w:w="0" w:type="auto"/>
          </w:tcPr>
          <w:p w14:paraId="5BC65EE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101</w:t>
            </w:r>
          </w:p>
        </w:tc>
      </w:tr>
      <w:tr w:rsidR="00DA0F67" w:rsidRPr="00FF1999" w14:paraId="1462203A" w14:textId="77777777" w:rsidTr="00A75FFD">
        <w:trPr>
          <w:tblCellSpacing w:w="20" w:type="dxa"/>
        </w:trPr>
        <w:tc>
          <w:tcPr>
            <w:tcW w:w="0" w:type="auto"/>
          </w:tcPr>
          <w:p w14:paraId="233C291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(12) التحليل الوصفي لمتغيرات وأبعاد وعبارات البحث (ن= 389)</w:t>
            </w:r>
          </w:p>
        </w:tc>
        <w:tc>
          <w:tcPr>
            <w:tcW w:w="0" w:type="auto"/>
          </w:tcPr>
          <w:p w14:paraId="56018BEE"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105</w:t>
            </w:r>
          </w:p>
        </w:tc>
      </w:tr>
      <w:tr w:rsidR="00DA0F67" w:rsidRPr="00FF1999" w14:paraId="1C336260" w14:textId="77777777" w:rsidTr="00A75FFD">
        <w:trPr>
          <w:tblCellSpacing w:w="20" w:type="dxa"/>
        </w:trPr>
        <w:tc>
          <w:tcPr>
            <w:tcW w:w="0" w:type="auto"/>
          </w:tcPr>
          <w:p w14:paraId="137B00BA"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 (13) معاملات ثبات أداة الدراسة</w:t>
            </w:r>
          </w:p>
        </w:tc>
        <w:tc>
          <w:tcPr>
            <w:tcW w:w="0" w:type="auto"/>
          </w:tcPr>
          <w:p w14:paraId="70D7A720"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111</w:t>
            </w:r>
          </w:p>
        </w:tc>
      </w:tr>
      <w:tr w:rsidR="00DA0F67" w:rsidRPr="00FF1999" w14:paraId="50EB7A51" w14:textId="77777777" w:rsidTr="00A75FFD">
        <w:trPr>
          <w:tblCellSpacing w:w="20" w:type="dxa"/>
        </w:trPr>
        <w:tc>
          <w:tcPr>
            <w:tcW w:w="0" w:type="auto"/>
          </w:tcPr>
          <w:p w14:paraId="7A51B824" w14:textId="77777777" w:rsidR="00DA0F67" w:rsidRPr="00C0082A" w:rsidRDefault="00DA0F67" w:rsidP="00A75FFD">
            <w:pPr>
              <w:bidi/>
              <w:spacing w:after="200" w:line="276" w:lineRule="auto"/>
              <w:jc w:val="both"/>
              <w:rPr>
                <w:rFonts w:ascii="Traditional Arabic" w:hAnsi="Traditional Arabic" w:cs="Traditional Arabic"/>
                <w:color w:val="000000" w:themeColor="text1"/>
                <w:sz w:val="24"/>
                <w:szCs w:val="24"/>
                <w:rtl/>
              </w:rPr>
            </w:pPr>
            <w:r w:rsidRPr="00C0082A">
              <w:rPr>
                <w:rFonts w:ascii="Traditional Arabic" w:hAnsi="Traditional Arabic" w:cs="Traditional Arabic" w:hint="cs"/>
                <w:color w:val="000000" w:themeColor="text1"/>
                <w:sz w:val="24"/>
                <w:szCs w:val="24"/>
                <w:rtl/>
              </w:rPr>
              <w:t>جدول</w:t>
            </w:r>
            <w:r w:rsidRPr="00C0082A">
              <w:rPr>
                <w:rFonts w:ascii="Traditional Arabic" w:hAnsi="Traditional Arabic" w:cs="Traditional Arabic" w:hint="cs"/>
                <w:color w:val="000000" w:themeColor="text1"/>
                <w:sz w:val="24"/>
                <w:szCs w:val="24"/>
              </w:rPr>
              <w:t xml:space="preserve"> </w:t>
            </w:r>
            <w:r w:rsidRPr="00C0082A">
              <w:rPr>
                <w:rFonts w:ascii="Traditional Arabic" w:hAnsi="Traditional Arabic" w:cs="Traditional Arabic" w:hint="cs"/>
                <w:color w:val="000000" w:themeColor="text1"/>
                <w:sz w:val="24"/>
                <w:szCs w:val="24"/>
                <w:rtl/>
              </w:rPr>
              <w:t>(</w:t>
            </w:r>
            <w:r w:rsidRPr="00C0082A">
              <w:rPr>
                <w:rFonts w:ascii="Traditional Arabic" w:hAnsi="Traditional Arabic" w:cs="Traditional Arabic" w:hint="cs"/>
                <w:color w:val="000000" w:themeColor="text1"/>
                <w:sz w:val="24"/>
                <w:szCs w:val="24"/>
              </w:rPr>
              <w:t xml:space="preserve"> </w:t>
            </w:r>
            <w:r w:rsidRPr="00C0082A">
              <w:rPr>
                <w:rFonts w:ascii="Traditional Arabic" w:hAnsi="Traditional Arabic" w:cs="Traditional Arabic" w:hint="cs"/>
                <w:color w:val="000000" w:themeColor="text1"/>
                <w:sz w:val="24"/>
                <w:szCs w:val="24"/>
                <w:rtl/>
              </w:rPr>
              <w:t>14 ) معاملات ارتباط بيرسون بين أبعاد القيادة التحويلية، إدارة المخاطر، وسلامة المرضى ودلالتها الإحصائية</w:t>
            </w:r>
          </w:p>
        </w:tc>
        <w:tc>
          <w:tcPr>
            <w:tcW w:w="0" w:type="auto"/>
          </w:tcPr>
          <w:p w14:paraId="2C1230EB"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113</w:t>
            </w:r>
          </w:p>
        </w:tc>
      </w:tr>
      <w:tr w:rsidR="00DA0F67" w:rsidRPr="00FF1999" w14:paraId="3FCE1F13" w14:textId="77777777" w:rsidTr="00A75FFD">
        <w:trPr>
          <w:tblCellSpacing w:w="20" w:type="dxa"/>
        </w:trPr>
        <w:tc>
          <w:tcPr>
            <w:tcW w:w="0" w:type="auto"/>
          </w:tcPr>
          <w:p w14:paraId="74C0522F" w14:textId="2ED6E1F0" w:rsidR="00DA0F67" w:rsidRPr="00B05D7A" w:rsidRDefault="00B05D7A" w:rsidP="00B05D7A">
            <w:pPr>
              <w:bidi/>
              <w:spacing w:after="200" w:line="360" w:lineRule="auto"/>
              <w:ind w:left="720" w:hanging="720"/>
              <w:contextualSpacing/>
              <w:jc w:val="both"/>
              <w:rPr>
                <w:rFonts w:ascii="Traditional Arabic" w:eastAsia="Calibri" w:hAnsi="Traditional Arabic" w:cs="Traditional Arabic"/>
                <w:sz w:val="24"/>
                <w:szCs w:val="24"/>
                <w:rtl/>
              </w:rPr>
            </w:pPr>
            <w:r w:rsidRPr="00B05D7A">
              <w:rPr>
                <w:rFonts w:ascii="Traditional Arabic" w:eastAsia="Calibri" w:hAnsi="Traditional Arabic" w:cs="Traditional Arabic"/>
                <w:sz w:val="24"/>
                <w:szCs w:val="24"/>
                <w:rtl/>
              </w:rPr>
              <w:t>الجدول (</w:t>
            </w:r>
            <w:r w:rsidRPr="00B05D7A">
              <w:rPr>
                <w:rFonts w:ascii="Traditional Arabic" w:eastAsia="Calibri" w:hAnsi="Traditional Arabic" w:cs="Traditional Arabic" w:hint="cs"/>
                <w:sz w:val="24"/>
                <w:szCs w:val="24"/>
                <w:rtl/>
              </w:rPr>
              <w:t>15</w:t>
            </w:r>
            <w:r w:rsidRPr="00B05D7A">
              <w:rPr>
                <w:rFonts w:ascii="Traditional Arabic" w:eastAsia="Calibri" w:hAnsi="Traditional Arabic" w:cs="Traditional Arabic"/>
                <w:sz w:val="24"/>
                <w:szCs w:val="24"/>
                <w:rtl/>
              </w:rPr>
              <w:t xml:space="preserve">): </w:t>
            </w:r>
            <w:r w:rsidRPr="00B05D7A">
              <w:rPr>
                <w:rFonts w:ascii="Traditional Arabic" w:eastAsia="Calibri" w:hAnsi="Traditional Arabic" w:cs="Traditional Arabic" w:hint="cs"/>
                <w:sz w:val="24"/>
                <w:szCs w:val="24"/>
                <w:rtl/>
              </w:rPr>
              <w:t>نتائج تحليل الانحدار الخطي البسيط لأثر ممارسات إدارة المخاطر على القيادة التحويلية</w:t>
            </w:r>
          </w:p>
        </w:tc>
        <w:tc>
          <w:tcPr>
            <w:tcW w:w="0" w:type="auto"/>
          </w:tcPr>
          <w:p w14:paraId="111DD056"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116</w:t>
            </w:r>
          </w:p>
        </w:tc>
      </w:tr>
      <w:tr w:rsidR="00DA0F67" w:rsidRPr="00FF1999" w14:paraId="5CB3C883" w14:textId="77777777" w:rsidTr="00A75FFD">
        <w:trPr>
          <w:tblCellSpacing w:w="20" w:type="dxa"/>
        </w:trPr>
        <w:tc>
          <w:tcPr>
            <w:tcW w:w="0" w:type="auto"/>
          </w:tcPr>
          <w:p w14:paraId="618AFFB5" w14:textId="47230B0B" w:rsidR="00DA0F67" w:rsidRPr="007A3AFF" w:rsidRDefault="007A3AFF" w:rsidP="007A3AFF">
            <w:pPr>
              <w:bidi/>
              <w:spacing w:after="200" w:line="360" w:lineRule="auto"/>
              <w:contextualSpacing/>
              <w:jc w:val="both"/>
              <w:rPr>
                <w:rFonts w:ascii="Traditional Arabic" w:eastAsia="Calibri" w:hAnsi="Traditional Arabic" w:cs="Traditional Arabic"/>
                <w:sz w:val="24"/>
                <w:szCs w:val="24"/>
                <w:rtl/>
              </w:rPr>
            </w:pPr>
            <w:r w:rsidRPr="007A3AFF">
              <w:rPr>
                <w:rFonts w:ascii="Traditional Arabic" w:eastAsia="Calibri" w:hAnsi="Traditional Arabic" w:cs="Traditional Arabic"/>
                <w:sz w:val="24"/>
                <w:szCs w:val="24"/>
                <w:rtl/>
              </w:rPr>
              <w:t>الجدول (١٦): نتائج تحليل الانحدار الخطي البسيط لأثر ممارسات إدارة المخاطر على سلامة المرضى</w:t>
            </w:r>
          </w:p>
        </w:tc>
        <w:tc>
          <w:tcPr>
            <w:tcW w:w="0" w:type="auto"/>
          </w:tcPr>
          <w:p w14:paraId="2C809A7F"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117</w:t>
            </w:r>
          </w:p>
        </w:tc>
      </w:tr>
      <w:tr w:rsidR="00DA0F67" w:rsidRPr="00FF1999" w14:paraId="19BDC076" w14:textId="77777777" w:rsidTr="00A75FFD">
        <w:trPr>
          <w:tblCellSpacing w:w="20" w:type="dxa"/>
        </w:trPr>
        <w:tc>
          <w:tcPr>
            <w:tcW w:w="0" w:type="auto"/>
          </w:tcPr>
          <w:p w14:paraId="78202347" w14:textId="1F592859" w:rsidR="00DA0F67" w:rsidRPr="00F92432" w:rsidRDefault="00F92432" w:rsidP="00F92432">
            <w:pPr>
              <w:bidi/>
              <w:spacing w:after="200" w:line="360" w:lineRule="auto"/>
              <w:contextualSpacing/>
              <w:jc w:val="both"/>
              <w:rPr>
                <w:rFonts w:ascii="Traditional Arabic" w:eastAsia="Calibri" w:hAnsi="Traditional Arabic" w:cs="Traditional Arabic"/>
                <w:sz w:val="24"/>
                <w:szCs w:val="24"/>
                <w:rtl/>
              </w:rPr>
            </w:pPr>
            <w:r w:rsidRPr="00F92432">
              <w:rPr>
                <w:rFonts w:ascii="Traditional Arabic" w:eastAsia="Calibri" w:hAnsi="Traditional Arabic" w:cs="Traditional Arabic"/>
                <w:sz w:val="24"/>
                <w:szCs w:val="24"/>
                <w:rtl/>
              </w:rPr>
              <w:t>الجدول (17): نتائج تحليل الانحدار الخطي البسيط لأثر القيادة التحويلية على سلامة المرضى</w:t>
            </w:r>
            <w:r>
              <w:rPr>
                <w:rFonts w:ascii="Traditional Arabic" w:eastAsia="Calibri" w:hAnsi="Traditional Arabic" w:cs="Traditional Arabic" w:hint="cs"/>
                <w:sz w:val="24"/>
                <w:szCs w:val="24"/>
                <w:rtl/>
              </w:rPr>
              <w:t>.</w:t>
            </w:r>
          </w:p>
        </w:tc>
        <w:tc>
          <w:tcPr>
            <w:tcW w:w="0" w:type="auto"/>
          </w:tcPr>
          <w:p w14:paraId="03F644E5" w14:textId="77777777" w:rsidR="00DA0F67" w:rsidRPr="00C0082A" w:rsidRDefault="00DA0F67" w:rsidP="00A75FFD">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118</w:t>
            </w:r>
          </w:p>
        </w:tc>
      </w:tr>
      <w:tr w:rsidR="00DA0F67" w:rsidRPr="00FF1999" w14:paraId="1F190408" w14:textId="77777777" w:rsidTr="00A75FFD">
        <w:trPr>
          <w:tblCellSpacing w:w="20" w:type="dxa"/>
        </w:trPr>
        <w:tc>
          <w:tcPr>
            <w:tcW w:w="0" w:type="auto"/>
          </w:tcPr>
          <w:p w14:paraId="1F8D3C58" w14:textId="3657A9C6" w:rsidR="00DA0F67" w:rsidRPr="00D20330" w:rsidRDefault="00D20330" w:rsidP="00D20330">
            <w:pPr>
              <w:bidi/>
              <w:spacing w:after="200" w:line="360" w:lineRule="auto"/>
              <w:contextualSpacing/>
              <w:jc w:val="both"/>
              <w:rPr>
                <w:rFonts w:ascii="Traditional Arabic" w:eastAsia="Calibri" w:hAnsi="Traditional Arabic" w:cs="Traditional Arabic"/>
                <w:sz w:val="24"/>
                <w:szCs w:val="24"/>
                <w:rtl/>
                <w:lang w:bidi="ar-EG"/>
              </w:rPr>
            </w:pPr>
            <w:r w:rsidRPr="00D20330">
              <w:rPr>
                <w:rFonts w:ascii="Traditional Arabic" w:eastAsia="Calibri" w:hAnsi="Traditional Arabic" w:cs="Traditional Arabic" w:hint="cs"/>
                <w:sz w:val="24"/>
                <w:szCs w:val="24"/>
                <w:rtl/>
                <w:lang w:bidi="ar-EG"/>
              </w:rPr>
              <w:lastRenderedPageBreak/>
              <w:t>جدول (18) مؤشرات جودة المطابقة للنموذج الهيكلي للفرض الرابع (ن= 389).</w:t>
            </w:r>
          </w:p>
        </w:tc>
        <w:tc>
          <w:tcPr>
            <w:tcW w:w="0" w:type="auto"/>
          </w:tcPr>
          <w:p w14:paraId="0850CEC5" w14:textId="146F96A4" w:rsidR="00DA0F67" w:rsidRPr="00C0082A" w:rsidRDefault="00CB1860"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118</w:t>
            </w:r>
          </w:p>
        </w:tc>
      </w:tr>
      <w:tr w:rsidR="00CB1860" w:rsidRPr="00FF1999" w14:paraId="7FCF40FD" w14:textId="77777777" w:rsidTr="00A75FFD">
        <w:trPr>
          <w:tblCellSpacing w:w="20" w:type="dxa"/>
        </w:trPr>
        <w:tc>
          <w:tcPr>
            <w:tcW w:w="0" w:type="auto"/>
          </w:tcPr>
          <w:p w14:paraId="55DDD092" w14:textId="1A845454" w:rsidR="00CB1860" w:rsidRPr="00684399" w:rsidRDefault="00684399" w:rsidP="00684399">
            <w:pPr>
              <w:bidi/>
              <w:spacing w:after="200" w:line="360" w:lineRule="auto"/>
              <w:contextualSpacing/>
              <w:jc w:val="both"/>
              <w:rPr>
                <w:rFonts w:ascii="Traditional Arabic" w:eastAsia="Calibri" w:hAnsi="Traditional Arabic" w:cs="Traditional Arabic"/>
                <w:sz w:val="24"/>
                <w:szCs w:val="24"/>
                <w:rtl/>
              </w:rPr>
            </w:pPr>
            <w:r w:rsidRPr="00684399">
              <w:rPr>
                <w:rFonts w:ascii="Traditional Arabic" w:eastAsia="Calibri" w:hAnsi="Traditional Arabic" w:cs="Traditional Arabic"/>
                <w:sz w:val="24"/>
                <w:szCs w:val="24"/>
                <w:rtl/>
              </w:rPr>
              <w:t xml:space="preserve">جدول رقم ( </w:t>
            </w:r>
            <w:r w:rsidRPr="00684399">
              <w:rPr>
                <w:rFonts w:ascii="Traditional Arabic" w:eastAsia="Calibri" w:hAnsi="Traditional Arabic" w:cs="Traditional Arabic" w:hint="cs"/>
                <w:sz w:val="24"/>
                <w:szCs w:val="24"/>
                <w:rtl/>
              </w:rPr>
              <w:t>19</w:t>
            </w:r>
            <w:r w:rsidRPr="00684399">
              <w:rPr>
                <w:rFonts w:ascii="Traditional Arabic" w:eastAsia="Calibri" w:hAnsi="Traditional Arabic" w:cs="Traditional Arabic"/>
                <w:sz w:val="24"/>
                <w:szCs w:val="24"/>
                <w:rtl/>
              </w:rPr>
              <w:t>): اختبار الوساطة للنموذج الهيكلي للفرضية الرابعة (ن = 389)</w:t>
            </w:r>
          </w:p>
        </w:tc>
        <w:tc>
          <w:tcPr>
            <w:tcW w:w="0" w:type="auto"/>
          </w:tcPr>
          <w:p w14:paraId="39976375" w14:textId="6F399544"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123</w:t>
            </w:r>
          </w:p>
        </w:tc>
      </w:tr>
      <w:tr w:rsidR="00CB1860" w:rsidRPr="00FF1999" w14:paraId="0AAA1103" w14:textId="77777777" w:rsidTr="00A75FFD">
        <w:trPr>
          <w:tblCellSpacing w:w="20" w:type="dxa"/>
        </w:trPr>
        <w:tc>
          <w:tcPr>
            <w:tcW w:w="0" w:type="auto"/>
          </w:tcPr>
          <w:p w14:paraId="1DBC5DAE" w14:textId="3D693162" w:rsidR="00CB1860" w:rsidRPr="00C0082A" w:rsidRDefault="00CB1860" w:rsidP="00CB1860">
            <w:pPr>
              <w:bidi/>
              <w:spacing w:after="200" w:line="360" w:lineRule="auto"/>
              <w:contextualSpacing/>
              <w:jc w:val="both"/>
              <w:rPr>
                <w:rFonts w:ascii="Traditional Arabic" w:eastAsia="Calibri" w:hAnsi="Traditional Arabic" w:cs="Traditional Arabic"/>
                <w:sz w:val="24"/>
                <w:szCs w:val="24"/>
                <w:rtl/>
                <w:lang w:bidi="ar-EG"/>
              </w:rPr>
            </w:pPr>
            <w:r w:rsidRPr="00C0082A">
              <w:rPr>
                <w:rFonts w:ascii="Traditional Arabic" w:eastAsia="Calibri" w:hAnsi="Traditional Arabic" w:cs="Traditional Arabic" w:hint="cs"/>
                <w:sz w:val="24"/>
                <w:szCs w:val="24"/>
                <w:rtl/>
              </w:rPr>
              <w:t>الجدول (</w:t>
            </w:r>
            <w:r w:rsidR="00684399">
              <w:rPr>
                <w:rFonts w:ascii="Traditional Arabic" w:eastAsia="Calibri" w:hAnsi="Traditional Arabic" w:cs="Traditional Arabic" w:hint="cs"/>
                <w:sz w:val="24"/>
                <w:szCs w:val="24"/>
                <w:rtl/>
              </w:rPr>
              <w:t>20</w:t>
            </w:r>
            <w:r w:rsidRPr="00C0082A">
              <w:rPr>
                <w:rFonts w:ascii="Traditional Arabic" w:eastAsia="Calibri" w:hAnsi="Traditional Arabic" w:cs="Traditional Arabic" w:hint="cs"/>
                <w:sz w:val="24"/>
                <w:szCs w:val="24"/>
                <w:rtl/>
              </w:rPr>
              <w:t>): نتائج اختبار</w:t>
            </w:r>
            <w:r w:rsidRPr="00C0082A">
              <w:rPr>
                <w:rFonts w:ascii="Traditional Arabic" w:eastAsia="Calibri" w:hAnsi="Traditional Arabic" w:cs="Traditional Arabic" w:hint="cs"/>
                <w:sz w:val="24"/>
                <w:szCs w:val="24"/>
                <w:lang w:bidi="ar-EG"/>
              </w:rPr>
              <w:t xml:space="preserve"> (T-test) </w:t>
            </w:r>
            <w:r w:rsidRPr="00C0082A">
              <w:rPr>
                <w:rFonts w:ascii="Traditional Arabic" w:eastAsia="Calibri" w:hAnsi="Traditional Arabic" w:cs="Traditional Arabic" w:hint="cs"/>
                <w:sz w:val="24"/>
                <w:szCs w:val="24"/>
                <w:rtl/>
              </w:rPr>
              <w:t>لاستجابات العينة باختلاف النوع</w:t>
            </w:r>
          </w:p>
        </w:tc>
        <w:tc>
          <w:tcPr>
            <w:tcW w:w="0" w:type="auto"/>
          </w:tcPr>
          <w:p w14:paraId="5E62AD95" w14:textId="77777777"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120</w:t>
            </w:r>
          </w:p>
        </w:tc>
      </w:tr>
      <w:tr w:rsidR="00CB1860" w:rsidRPr="00FF1999" w14:paraId="794B199D" w14:textId="77777777" w:rsidTr="00A75FFD">
        <w:trPr>
          <w:tblCellSpacing w:w="20" w:type="dxa"/>
        </w:trPr>
        <w:tc>
          <w:tcPr>
            <w:tcW w:w="0" w:type="auto"/>
          </w:tcPr>
          <w:p w14:paraId="395B5870" w14:textId="0CBF840A" w:rsidR="00CB1860" w:rsidRPr="00684399" w:rsidRDefault="00684399" w:rsidP="00684399">
            <w:pPr>
              <w:bidi/>
              <w:spacing w:after="200" w:line="360" w:lineRule="auto"/>
              <w:contextualSpacing/>
              <w:jc w:val="both"/>
              <w:rPr>
                <w:rFonts w:ascii="Traditional Arabic" w:eastAsia="Calibri" w:hAnsi="Traditional Arabic" w:cs="Traditional Arabic"/>
                <w:sz w:val="24"/>
                <w:szCs w:val="24"/>
                <w:rtl/>
              </w:rPr>
            </w:pPr>
            <w:r w:rsidRPr="00684399">
              <w:rPr>
                <w:rFonts w:ascii="Traditional Arabic" w:eastAsia="Calibri" w:hAnsi="Traditional Arabic" w:cs="Traditional Arabic"/>
                <w:sz w:val="24"/>
                <w:szCs w:val="24"/>
                <w:rtl/>
              </w:rPr>
              <w:t>الجدول (</w:t>
            </w:r>
            <w:r w:rsidRPr="00684399">
              <w:rPr>
                <w:rFonts w:ascii="Traditional Arabic" w:eastAsia="Calibri" w:hAnsi="Traditional Arabic" w:cs="Traditional Arabic" w:hint="cs"/>
                <w:sz w:val="24"/>
                <w:szCs w:val="24"/>
                <w:rtl/>
              </w:rPr>
              <w:t>21</w:t>
            </w:r>
            <w:r w:rsidRPr="00684399">
              <w:rPr>
                <w:rFonts w:ascii="Traditional Arabic" w:eastAsia="Calibri" w:hAnsi="Traditional Arabic" w:cs="Traditional Arabic"/>
                <w:sz w:val="24"/>
                <w:szCs w:val="24"/>
                <w:rtl/>
              </w:rPr>
              <w:t>): نتائج اختبار تحليل التباين الأحادي</w:t>
            </w:r>
            <w:r w:rsidRPr="00684399">
              <w:rPr>
                <w:rFonts w:ascii="Traditional Arabic" w:eastAsia="Calibri" w:hAnsi="Traditional Arabic" w:cs="Traditional Arabic"/>
                <w:sz w:val="24"/>
                <w:szCs w:val="24"/>
                <w:lang w:bidi="ar-EG"/>
              </w:rPr>
              <w:t xml:space="preserve"> (One-Way ANOVA) </w:t>
            </w:r>
            <w:r w:rsidRPr="00684399">
              <w:rPr>
                <w:rFonts w:ascii="Traditional Arabic" w:eastAsia="Calibri" w:hAnsi="Traditional Arabic" w:cs="Traditional Arabic"/>
                <w:sz w:val="24"/>
                <w:szCs w:val="24"/>
                <w:rtl/>
              </w:rPr>
              <w:t>للفروق تعزى للمؤهل، الوظيفة، والخبرة</w:t>
            </w:r>
          </w:p>
        </w:tc>
        <w:tc>
          <w:tcPr>
            <w:tcW w:w="0" w:type="auto"/>
          </w:tcPr>
          <w:p w14:paraId="005C8AF2" w14:textId="77777777"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sidRPr="00C0082A">
              <w:rPr>
                <w:rFonts w:ascii="Traditional Arabic" w:eastAsia="Times New Roman" w:hAnsi="Traditional Arabic" w:cs="Traditional Arabic" w:hint="cs"/>
                <w:color w:val="1C1C1C"/>
                <w:sz w:val="24"/>
                <w:szCs w:val="24"/>
                <w:rtl/>
              </w:rPr>
              <w:t>120</w:t>
            </w:r>
          </w:p>
        </w:tc>
      </w:tr>
      <w:tr w:rsidR="00CB1860" w:rsidRPr="00FF1999" w14:paraId="09F69235" w14:textId="77777777" w:rsidTr="00A75FFD">
        <w:trPr>
          <w:tblCellSpacing w:w="20" w:type="dxa"/>
        </w:trPr>
        <w:tc>
          <w:tcPr>
            <w:tcW w:w="0" w:type="auto"/>
          </w:tcPr>
          <w:p w14:paraId="5122829D" w14:textId="2ACEF479" w:rsidR="00CB1860" w:rsidRPr="00FC0D9D" w:rsidRDefault="00FC0D9D" w:rsidP="00FC0D9D">
            <w:pPr>
              <w:bidi/>
              <w:spacing w:after="200" w:line="276" w:lineRule="auto"/>
              <w:rPr>
                <w:rFonts w:ascii="Traditional Arabic" w:hAnsi="Traditional Arabic" w:cs="Traditional Arabic"/>
                <w:color w:val="000000" w:themeColor="text1"/>
                <w:sz w:val="24"/>
                <w:szCs w:val="24"/>
                <w:rtl/>
              </w:rPr>
            </w:pPr>
            <w:r w:rsidRPr="00FC0D9D">
              <w:rPr>
                <w:rFonts w:ascii="Traditional Arabic" w:hAnsi="Traditional Arabic" w:cs="Traditional Arabic" w:hint="cs"/>
                <w:color w:val="000000" w:themeColor="text1"/>
                <w:sz w:val="24"/>
                <w:szCs w:val="24"/>
                <w:rtl/>
              </w:rPr>
              <w:t>جدول (</w:t>
            </w:r>
            <w:r w:rsidR="00DC0CBC">
              <w:rPr>
                <w:rFonts w:ascii="Traditional Arabic" w:hAnsi="Traditional Arabic" w:cs="Traditional Arabic" w:hint="cs"/>
                <w:color w:val="000000" w:themeColor="text1"/>
                <w:sz w:val="24"/>
                <w:szCs w:val="24"/>
                <w:rtl/>
              </w:rPr>
              <w:t>22</w:t>
            </w:r>
            <w:r w:rsidRPr="00FC0D9D">
              <w:rPr>
                <w:rFonts w:ascii="Traditional Arabic" w:hAnsi="Traditional Arabic" w:cs="Traditional Arabic" w:hint="cs"/>
                <w:color w:val="000000" w:themeColor="text1"/>
                <w:sz w:val="24"/>
                <w:szCs w:val="24"/>
                <w:rtl/>
              </w:rPr>
              <w:t xml:space="preserve">) يلخص فرضيات الدراسة ونتائجها </w:t>
            </w:r>
          </w:p>
        </w:tc>
        <w:tc>
          <w:tcPr>
            <w:tcW w:w="0" w:type="auto"/>
          </w:tcPr>
          <w:p w14:paraId="33F99C86" w14:textId="295C37A6"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126</w:t>
            </w:r>
          </w:p>
        </w:tc>
      </w:tr>
      <w:tr w:rsidR="00CB1860" w:rsidRPr="00FF1999" w14:paraId="5A3E61B0" w14:textId="77777777" w:rsidTr="00A75FFD">
        <w:trPr>
          <w:tblCellSpacing w:w="20" w:type="dxa"/>
        </w:trPr>
        <w:tc>
          <w:tcPr>
            <w:tcW w:w="0" w:type="auto"/>
          </w:tcPr>
          <w:p w14:paraId="5353A058" w14:textId="6E9A7CAC" w:rsidR="00CB1860" w:rsidRPr="00FC0D9D" w:rsidRDefault="00FC0D9D" w:rsidP="00FC0D9D">
            <w:pPr>
              <w:bidi/>
              <w:spacing w:after="200" w:line="276" w:lineRule="auto"/>
              <w:rPr>
                <w:rFonts w:ascii="Traditional Arabic" w:hAnsi="Traditional Arabic" w:cs="Traditional Arabic"/>
                <w:color w:val="000000" w:themeColor="text1"/>
                <w:sz w:val="24"/>
                <w:szCs w:val="24"/>
                <w:rtl/>
              </w:rPr>
            </w:pPr>
            <w:r w:rsidRPr="00FC0D9D">
              <w:rPr>
                <w:rFonts w:ascii="Traditional Arabic" w:hAnsi="Traditional Arabic" w:cs="Traditional Arabic" w:hint="cs"/>
                <w:color w:val="000000" w:themeColor="text1"/>
                <w:sz w:val="24"/>
                <w:szCs w:val="24"/>
                <w:rtl/>
              </w:rPr>
              <w:t>جدول (</w:t>
            </w:r>
            <w:r w:rsidR="00DC0CBC">
              <w:rPr>
                <w:rFonts w:ascii="Traditional Arabic" w:hAnsi="Traditional Arabic" w:cs="Traditional Arabic" w:hint="cs"/>
                <w:color w:val="000000" w:themeColor="text1"/>
                <w:sz w:val="24"/>
                <w:szCs w:val="24"/>
                <w:rtl/>
              </w:rPr>
              <w:t>23</w:t>
            </w:r>
            <w:r w:rsidRPr="00FC0D9D">
              <w:rPr>
                <w:rFonts w:ascii="Traditional Arabic" w:hAnsi="Traditional Arabic" w:cs="Traditional Arabic" w:hint="cs"/>
                <w:color w:val="000000" w:themeColor="text1"/>
                <w:sz w:val="24"/>
                <w:szCs w:val="24"/>
                <w:rtl/>
              </w:rPr>
              <w:t xml:space="preserve">) يوضح </w:t>
            </w:r>
            <w:r w:rsidRPr="00FC0D9D">
              <w:rPr>
                <w:rFonts w:ascii="Traditional Arabic" w:hAnsi="Traditional Arabic" w:cs="Traditional Arabic"/>
                <w:color w:val="000000" w:themeColor="text1"/>
                <w:sz w:val="24"/>
                <w:szCs w:val="24"/>
                <w:rtl/>
              </w:rPr>
              <w:t>نتائج الدراسة والتوصيات وآليات التنفيذ والجهات المسؤولة والمدى الزمني</w:t>
            </w:r>
            <w:r w:rsidRPr="00FC0D9D">
              <w:rPr>
                <w:rFonts w:ascii="Traditional Arabic" w:hAnsi="Traditional Arabic" w:cs="Traditional Arabic" w:hint="cs"/>
                <w:color w:val="000000" w:themeColor="text1"/>
                <w:sz w:val="24"/>
                <w:szCs w:val="24"/>
                <w:rtl/>
              </w:rPr>
              <w:t>.</w:t>
            </w:r>
          </w:p>
        </w:tc>
        <w:tc>
          <w:tcPr>
            <w:tcW w:w="0" w:type="auto"/>
          </w:tcPr>
          <w:p w14:paraId="4A3B2670" w14:textId="1EBDB29B" w:rsidR="00CB1860" w:rsidRPr="00C0082A" w:rsidRDefault="00CB1860" w:rsidP="00CB1860">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133</w:t>
            </w:r>
          </w:p>
        </w:tc>
      </w:tr>
    </w:tbl>
    <w:p w14:paraId="709768D8" w14:textId="77777777" w:rsidR="00DA0F67" w:rsidRDefault="00DA0F67" w:rsidP="00DA0F67">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1D46830" w14:textId="77777777" w:rsidR="00156EA9" w:rsidRDefault="00156EA9" w:rsidP="00CB186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u w:val="single"/>
          <w:rtl/>
        </w:rPr>
      </w:pPr>
    </w:p>
    <w:p w14:paraId="4D0EC758" w14:textId="77777777" w:rsidR="00156EA9" w:rsidRDefault="00156EA9" w:rsidP="00156EA9">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p w14:paraId="69B201DF" w14:textId="1CADA7E5" w:rsidR="004959E0" w:rsidRDefault="004959E0" w:rsidP="00156EA9">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r w:rsidRPr="004959E0">
        <w:rPr>
          <w:rFonts w:ascii="Times New Roman" w:eastAsia="Times New Roman" w:hAnsi="Times New Roman" w:cs="Times New Roman" w:hint="cs"/>
          <w:b/>
          <w:bCs/>
          <w:color w:val="1C1C1C"/>
          <w:sz w:val="28"/>
          <w:szCs w:val="28"/>
          <w:u w:val="single"/>
          <w:rtl/>
        </w:rPr>
        <w:t>قائمة الأشكال</w:t>
      </w:r>
    </w:p>
    <w:p w14:paraId="03FAC72D" w14:textId="77777777" w:rsidR="004959E0" w:rsidRDefault="004959E0" w:rsidP="004959E0">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u w:val="single"/>
          <w:rtl/>
        </w:rPr>
      </w:pPr>
    </w:p>
    <w:tbl>
      <w:tblPr>
        <w:tblStyle w:val="TableGrid"/>
        <w:bidiVisual/>
        <w:tblW w:w="500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6240"/>
        <w:gridCol w:w="2050"/>
      </w:tblGrid>
      <w:tr w:rsidR="00156EA9" w:rsidRPr="0078379E" w14:paraId="150A16CC" w14:textId="77777777" w:rsidTr="00156EA9">
        <w:trPr>
          <w:tblCellSpacing w:w="20" w:type="dxa"/>
        </w:trPr>
        <w:tc>
          <w:tcPr>
            <w:tcW w:w="3691" w:type="pct"/>
            <w:shd w:val="clear" w:color="auto" w:fill="E5DFEC" w:themeFill="accent4" w:themeFillTint="33"/>
          </w:tcPr>
          <w:p w14:paraId="5B24FE95" w14:textId="77777777" w:rsidR="00156EA9" w:rsidRPr="0078379E" w:rsidRDefault="00156EA9" w:rsidP="00A75FFD">
            <w:pPr>
              <w:bidi/>
              <w:spacing w:before="50" w:after="50" w:line="240" w:lineRule="auto"/>
              <w:ind w:right="432"/>
              <w:rPr>
                <w:rFonts w:ascii="Traditional Arabic" w:eastAsia="Times New Roman" w:hAnsi="Traditional Arabic" w:cs="Traditional Arabic"/>
                <w:b/>
                <w:bCs/>
                <w:color w:val="1C1C1C"/>
                <w:sz w:val="24"/>
                <w:szCs w:val="24"/>
                <w:rtl/>
                <w:lang w:bidi="ar-EG"/>
              </w:rPr>
            </w:pPr>
            <w:r>
              <w:rPr>
                <w:rFonts w:ascii="Traditional Arabic" w:eastAsia="Times New Roman" w:hAnsi="Traditional Arabic" w:cs="Traditional Arabic" w:hint="cs"/>
                <w:b/>
                <w:bCs/>
                <w:color w:val="1C1C1C"/>
                <w:sz w:val="24"/>
                <w:szCs w:val="24"/>
                <w:rtl/>
                <w:lang w:bidi="ar-EG"/>
              </w:rPr>
              <w:t>الشكل</w:t>
            </w:r>
          </w:p>
        </w:tc>
        <w:tc>
          <w:tcPr>
            <w:tcW w:w="1189" w:type="pct"/>
            <w:shd w:val="clear" w:color="auto" w:fill="E5DFEC" w:themeFill="accent4" w:themeFillTint="33"/>
          </w:tcPr>
          <w:p w14:paraId="35478D72" w14:textId="77777777" w:rsidR="00156EA9" w:rsidRPr="0078379E" w:rsidRDefault="00156EA9" w:rsidP="00A75FFD">
            <w:pPr>
              <w:bidi/>
              <w:spacing w:before="50" w:after="50" w:line="240" w:lineRule="auto"/>
              <w:ind w:right="432"/>
              <w:rPr>
                <w:rFonts w:ascii="Traditional Arabic" w:eastAsia="Times New Roman" w:hAnsi="Traditional Arabic" w:cs="Traditional Arabic"/>
                <w:b/>
                <w:bCs/>
                <w:color w:val="1C1C1C"/>
                <w:sz w:val="24"/>
                <w:szCs w:val="24"/>
                <w:rtl/>
              </w:rPr>
            </w:pPr>
            <w:r>
              <w:rPr>
                <w:rFonts w:ascii="Traditional Arabic" w:eastAsia="Times New Roman" w:hAnsi="Traditional Arabic" w:cs="Traditional Arabic" w:hint="cs"/>
                <w:b/>
                <w:bCs/>
                <w:color w:val="1C1C1C"/>
                <w:sz w:val="24"/>
                <w:szCs w:val="24"/>
                <w:rtl/>
              </w:rPr>
              <w:t>الصفحة</w:t>
            </w:r>
          </w:p>
        </w:tc>
      </w:tr>
      <w:tr w:rsidR="00156EA9" w:rsidRPr="00FF1999" w14:paraId="67F0CD9F" w14:textId="77777777" w:rsidTr="00156EA9">
        <w:trPr>
          <w:tblCellSpacing w:w="20" w:type="dxa"/>
        </w:trPr>
        <w:tc>
          <w:tcPr>
            <w:tcW w:w="3691" w:type="pct"/>
          </w:tcPr>
          <w:p w14:paraId="3F19556B" w14:textId="77777777" w:rsidR="00156EA9" w:rsidRPr="0078379E" w:rsidRDefault="00156EA9" w:rsidP="00A75FFD">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الشكل ( 1 ) النموذج المفاهيمي للعلاقة بين المتغيرات</w:t>
            </w:r>
          </w:p>
        </w:tc>
        <w:tc>
          <w:tcPr>
            <w:tcW w:w="1189" w:type="pct"/>
          </w:tcPr>
          <w:p w14:paraId="49EEC462"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w:t>
            </w:r>
          </w:p>
        </w:tc>
      </w:tr>
      <w:tr w:rsidR="00156EA9" w:rsidRPr="00FF1999" w14:paraId="2A67E29B" w14:textId="77777777" w:rsidTr="00156EA9">
        <w:trPr>
          <w:tblCellSpacing w:w="20" w:type="dxa"/>
        </w:trPr>
        <w:tc>
          <w:tcPr>
            <w:tcW w:w="3691" w:type="pct"/>
          </w:tcPr>
          <w:p w14:paraId="1C0D4DCA" w14:textId="77777777" w:rsidR="00156EA9" w:rsidRPr="0078379E" w:rsidRDefault="00156EA9" w:rsidP="00A75FFD">
            <w:pPr>
              <w:bidi/>
              <w:spacing w:after="0" w:line="278" w:lineRule="auto"/>
              <w:rPr>
                <w:rFonts w:ascii="Traditional Arabic" w:hAnsi="Traditional Arabic" w:cs="Traditional Arabic"/>
                <w:sz w:val="24"/>
                <w:szCs w:val="24"/>
                <w:rtl/>
                <w:lang w:bidi="ar-EG"/>
              </w:rPr>
            </w:pPr>
            <w:r w:rsidRPr="00CF7747">
              <w:rPr>
                <w:rFonts w:ascii="Traditional Arabic" w:hAnsi="Traditional Arabic" w:cs="Traditional Arabic" w:hint="cs"/>
                <w:b/>
                <w:bCs/>
                <w:sz w:val="24"/>
                <w:szCs w:val="24"/>
                <w:rtl/>
              </w:rPr>
              <w:t>شكل (</w:t>
            </w:r>
            <w:r>
              <w:rPr>
                <w:rFonts w:ascii="Traditional Arabic" w:hAnsi="Traditional Arabic" w:cs="Traditional Arabic" w:hint="cs"/>
                <w:b/>
                <w:bCs/>
                <w:sz w:val="24"/>
                <w:szCs w:val="24"/>
                <w:rtl/>
              </w:rPr>
              <w:t>2</w:t>
            </w:r>
            <w:r w:rsidRPr="00CF7747">
              <w:rPr>
                <w:rFonts w:ascii="Traditional Arabic" w:hAnsi="Traditional Arabic" w:cs="Traditional Arabic" w:hint="cs"/>
                <w:b/>
                <w:bCs/>
                <w:sz w:val="24"/>
                <w:szCs w:val="24"/>
                <w:rtl/>
              </w:rPr>
              <w:t>) يوضح أبعاد إدارة المخاطر</w:t>
            </w:r>
          </w:p>
        </w:tc>
        <w:tc>
          <w:tcPr>
            <w:tcW w:w="1189" w:type="pct"/>
          </w:tcPr>
          <w:p w14:paraId="456E0FFB"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40</w:t>
            </w:r>
          </w:p>
        </w:tc>
      </w:tr>
      <w:tr w:rsidR="00156EA9" w:rsidRPr="00FF1999" w14:paraId="3D7879CB" w14:textId="77777777" w:rsidTr="00156EA9">
        <w:trPr>
          <w:tblCellSpacing w:w="20" w:type="dxa"/>
        </w:trPr>
        <w:tc>
          <w:tcPr>
            <w:tcW w:w="3691" w:type="pct"/>
          </w:tcPr>
          <w:p w14:paraId="6E6D26A7" w14:textId="77777777" w:rsidR="00156EA9" w:rsidRPr="0078379E" w:rsidRDefault="00156EA9" w:rsidP="00A75FFD">
            <w:pPr>
              <w:bidi/>
              <w:spacing w:after="0" w:line="278" w:lineRule="auto"/>
              <w:rPr>
                <w:rFonts w:ascii="Traditional Arabic" w:hAnsi="Traditional Arabic" w:cs="Traditional Arabic"/>
                <w:sz w:val="24"/>
                <w:szCs w:val="24"/>
                <w:rtl/>
                <w:lang w:bidi="ar-EG"/>
              </w:rPr>
            </w:pPr>
            <w:r w:rsidRPr="00F70920">
              <w:rPr>
                <w:rFonts w:ascii="Traditional Arabic" w:hAnsi="Traditional Arabic" w:cs="Traditional Arabic" w:hint="cs"/>
                <w:b/>
                <w:bCs/>
                <w:sz w:val="24"/>
                <w:szCs w:val="24"/>
                <w:rtl/>
              </w:rPr>
              <w:t>شكل (</w:t>
            </w:r>
            <w:r>
              <w:rPr>
                <w:rFonts w:ascii="Traditional Arabic" w:hAnsi="Traditional Arabic" w:cs="Traditional Arabic" w:hint="cs"/>
                <w:b/>
                <w:bCs/>
                <w:sz w:val="24"/>
                <w:szCs w:val="24"/>
                <w:rtl/>
              </w:rPr>
              <w:t>3</w:t>
            </w:r>
            <w:r w:rsidRPr="00F70920">
              <w:rPr>
                <w:rFonts w:ascii="Traditional Arabic" w:hAnsi="Traditional Arabic" w:cs="Traditional Arabic" w:hint="cs"/>
                <w:b/>
                <w:bCs/>
                <w:sz w:val="24"/>
                <w:szCs w:val="24"/>
                <w:rtl/>
              </w:rPr>
              <w:t>) يوضح أبعاد سلامة المرضى</w:t>
            </w:r>
          </w:p>
        </w:tc>
        <w:tc>
          <w:tcPr>
            <w:tcW w:w="1189" w:type="pct"/>
          </w:tcPr>
          <w:p w14:paraId="6C70C668"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62</w:t>
            </w:r>
          </w:p>
        </w:tc>
      </w:tr>
      <w:tr w:rsidR="00156EA9" w:rsidRPr="00FF1999" w14:paraId="77147DD5" w14:textId="77777777" w:rsidTr="00156EA9">
        <w:trPr>
          <w:tblCellSpacing w:w="20" w:type="dxa"/>
        </w:trPr>
        <w:tc>
          <w:tcPr>
            <w:tcW w:w="3691" w:type="pct"/>
          </w:tcPr>
          <w:p w14:paraId="51E53DE2" w14:textId="77777777" w:rsidR="00156EA9" w:rsidRPr="0078379E" w:rsidRDefault="00156EA9" w:rsidP="00A75FFD">
            <w:pPr>
              <w:tabs>
                <w:tab w:val="left" w:pos="416"/>
              </w:tabs>
              <w:bidi/>
              <w:spacing w:after="200" w:line="276" w:lineRule="auto"/>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4</w:t>
            </w:r>
            <w:r w:rsidRPr="00742BC9">
              <w:rPr>
                <w:rFonts w:ascii="Traditional Arabic" w:eastAsia="Calibri" w:hAnsi="Traditional Arabic" w:cs="Traditional Arabic" w:hint="cs"/>
                <w:b/>
                <w:bCs/>
                <w:sz w:val="24"/>
                <w:szCs w:val="24"/>
                <w:rtl/>
                <w:lang w:bidi="ar-EG"/>
              </w:rPr>
              <w:t>) أدوات القيادة التحويلية</w:t>
            </w:r>
          </w:p>
        </w:tc>
        <w:tc>
          <w:tcPr>
            <w:tcW w:w="1189" w:type="pct"/>
          </w:tcPr>
          <w:p w14:paraId="6283D879"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74</w:t>
            </w:r>
          </w:p>
        </w:tc>
      </w:tr>
      <w:tr w:rsidR="00156EA9" w:rsidRPr="00FF1999" w14:paraId="5F20D9C1" w14:textId="77777777" w:rsidTr="00156EA9">
        <w:trPr>
          <w:tblCellSpacing w:w="20" w:type="dxa"/>
        </w:trPr>
        <w:tc>
          <w:tcPr>
            <w:tcW w:w="3691" w:type="pct"/>
          </w:tcPr>
          <w:p w14:paraId="682C5973" w14:textId="77777777" w:rsidR="00156EA9" w:rsidRPr="0078379E" w:rsidRDefault="00156EA9" w:rsidP="00A75FFD">
            <w:pPr>
              <w:bidi/>
              <w:spacing w:after="200" w:line="360" w:lineRule="auto"/>
              <w:contextualSpacing/>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5</w:t>
            </w:r>
            <w:r w:rsidRPr="00742BC9">
              <w:rPr>
                <w:rFonts w:ascii="Traditional Arabic" w:eastAsia="Calibri" w:hAnsi="Traditional Arabic" w:cs="Traditional Arabic" w:hint="cs"/>
                <w:b/>
                <w:bCs/>
                <w:sz w:val="24"/>
                <w:szCs w:val="24"/>
                <w:rtl/>
                <w:lang w:bidi="ar-EG"/>
              </w:rPr>
              <w:t>) أبعاد القيادة التحويلية</w:t>
            </w:r>
          </w:p>
        </w:tc>
        <w:tc>
          <w:tcPr>
            <w:tcW w:w="1189" w:type="pct"/>
          </w:tcPr>
          <w:p w14:paraId="08708166"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76</w:t>
            </w:r>
          </w:p>
        </w:tc>
      </w:tr>
      <w:tr w:rsidR="00156EA9" w:rsidRPr="00FF1999" w14:paraId="10C0ABDE" w14:textId="77777777" w:rsidTr="00156EA9">
        <w:trPr>
          <w:tblCellSpacing w:w="20" w:type="dxa"/>
        </w:trPr>
        <w:tc>
          <w:tcPr>
            <w:tcW w:w="3691" w:type="pct"/>
          </w:tcPr>
          <w:p w14:paraId="0A4EA7B2" w14:textId="77777777" w:rsidR="00156EA9" w:rsidRPr="001E59F7" w:rsidRDefault="00156EA9" w:rsidP="00A75FFD">
            <w:pPr>
              <w:bidi/>
              <w:spacing w:after="200" w:line="276" w:lineRule="auto"/>
              <w:contextualSpacing/>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b/>
                <w:bCs/>
                <w:sz w:val="24"/>
                <w:szCs w:val="24"/>
                <w:rtl/>
                <w:lang w:bidi="ar-EG"/>
              </w:rPr>
              <w:t>الشكل (</w:t>
            </w:r>
            <w:r>
              <w:rPr>
                <w:rFonts w:ascii="Traditional Arabic" w:eastAsia="Calibri" w:hAnsi="Traditional Arabic" w:cs="Traditional Arabic" w:hint="cs"/>
                <w:b/>
                <w:bCs/>
                <w:sz w:val="24"/>
                <w:szCs w:val="24"/>
                <w:rtl/>
                <w:lang w:bidi="ar-EG"/>
              </w:rPr>
              <w:t>6</w:t>
            </w:r>
            <w:r w:rsidRPr="0038653A">
              <w:rPr>
                <w:rFonts w:ascii="Traditional Arabic" w:eastAsia="Calibri" w:hAnsi="Traditional Arabic" w:cs="Traditional Arabic" w:hint="cs"/>
                <w:b/>
                <w:bCs/>
                <w:sz w:val="24"/>
                <w:szCs w:val="24"/>
                <w:rtl/>
                <w:lang w:bidi="ar-EG"/>
              </w:rPr>
              <w:t>) عوامل نجاح القيادة التحويلية</w:t>
            </w:r>
          </w:p>
        </w:tc>
        <w:tc>
          <w:tcPr>
            <w:tcW w:w="1189" w:type="pct"/>
          </w:tcPr>
          <w:p w14:paraId="0683FE55" w14:textId="77777777" w:rsidR="00156EA9" w:rsidRPr="00C0082A" w:rsidRDefault="00156EA9" w:rsidP="00A75FFD">
            <w:pPr>
              <w:bidi/>
              <w:spacing w:before="50" w:after="50" w:line="240" w:lineRule="auto"/>
              <w:ind w:right="432"/>
              <w:rPr>
                <w:rFonts w:ascii="Traditional Arabic" w:eastAsia="Times New Roman" w:hAnsi="Traditional Arabic" w:cs="Traditional Arabic"/>
                <w:color w:val="1C1C1C"/>
                <w:sz w:val="24"/>
                <w:szCs w:val="24"/>
                <w:rtl/>
              </w:rPr>
            </w:pPr>
            <w:r>
              <w:rPr>
                <w:rFonts w:ascii="Traditional Arabic" w:eastAsia="Times New Roman" w:hAnsi="Traditional Arabic" w:cs="Traditional Arabic" w:hint="cs"/>
                <w:color w:val="1C1C1C"/>
                <w:sz w:val="24"/>
                <w:szCs w:val="24"/>
                <w:rtl/>
              </w:rPr>
              <w:t>81</w:t>
            </w:r>
          </w:p>
        </w:tc>
      </w:tr>
    </w:tbl>
    <w:p w14:paraId="11274416" w14:textId="77777777" w:rsidR="004959E0" w:rsidRPr="004959E0" w:rsidRDefault="004959E0" w:rsidP="004959E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5CBBCAF1" w14:textId="54B99CA1" w:rsidR="004959E0" w:rsidRPr="004959E0" w:rsidRDefault="004959E0" w:rsidP="004959E0">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Pr>
        <w:sectPr w:rsidR="004959E0" w:rsidRPr="004959E0" w:rsidSect="002A6565">
          <w:pgSz w:w="11906" w:h="16838"/>
          <w:pgMar w:top="1440" w:right="1800" w:bottom="1440" w:left="1800" w:header="708" w:footer="708" w:gutter="0"/>
          <w:pgNumType w:fmt="arabicAlpha" w:start="1"/>
          <w:cols w:space="708"/>
          <w:bidi/>
          <w:rtlGutter/>
          <w:docGrid w:linePitch="360"/>
        </w:sectPr>
      </w:pPr>
    </w:p>
    <w:p w14:paraId="7486614A" w14:textId="77777777" w:rsidR="00266487" w:rsidRDefault="00266487" w:rsidP="003F4C23">
      <w:pPr>
        <w:pBdr>
          <w:top w:val="nil"/>
          <w:left w:val="nil"/>
          <w:bottom w:val="nil"/>
          <w:right w:val="nil"/>
          <w:between w:val="nil"/>
          <w:bar w:val="nil"/>
        </w:pBdr>
        <w:bidi/>
        <w:spacing w:before="50" w:after="50" w:line="240" w:lineRule="auto"/>
        <w:ind w:right="432"/>
        <w:rPr>
          <w:rFonts w:ascii="Times New Roman" w:eastAsia="Times New Roman" w:hAnsi="Times New Roman" w:cs="Times New Roman"/>
          <w:b/>
          <w:bCs/>
          <w:color w:val="1C1C1C"/>
          <w:sz w:val="28"/>
          <w:szCs w:val="28"/>
          <w:rtl/>
        </w:rPr>
      </w:pPr>
    </w:p>
    <w:p w14:paraId="18C9BCC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EBA1BB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456D57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BF4957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5021FA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692C3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60A3BAA"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0D83DD"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FFCDFF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D680A5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92BD076" w14:textId="0328C05B" w:rsidR="00495DAE" w:rsidRPr="00266487" w:rsidRDefault="00266487" w:rsidP="00266487">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144"/>
          <w:szCs w:val="144"/>
          <w:rtl/>
        </w:rPr>
      </w:pPr>
      <w:r w:rsidRPr="00266487">
        <w:rPr>
          <w:rFonts w:ascii="Traditional Arabic" w:eastAsia="Times New Roman" w:hAnsi="Traditional Arabic" w:cs="Traditional Arabic" w:hint="cs"/>
          <w:b/>
          <w:bCs/>
          <w:color w:val="1C1C1C"/>
          <w:sz w:val="144"/>
          <w:szCs w:val="144"/>
          <w:rtl/>
        </w:rPr>
        <w:t>الفصل الأول</w:t>
      </w:r>
    </w:p>
    <w:p w14:paraId="38D69AA2" w14:textId="77777777" w:rsidR="00C354C4" w:rsidRDefault="00C354C4" w:rsidP="00CD715A">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FD72A81" w14:textId="77777777" w:rsidR="00C354C4" w:rsidRDefault="00C354C4" w:rsidP="00C354C4">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A8D7E36" w14:textId="77777777" w:rsidR="00266487" w:rsidRDefault="00266487" w:rsidP="00C354C4">
      <w:pPr>
        <w:bidi/>
        <w:spacing w:after="200" w:line="276" w:lineRule="auto"/>
        <w:rPr>
          <w:rFonts w:ascii="Traditional Arabic" w:hAnsi="Traditional Arabic" w:cs="Traditional Arabic"/>
          <w:b/>
          <w:bCs/>
          <w:color w:val="00B0F0"/>
          <w:sz w:val="32"/>
          <w:szCs w:val="32"/>
          <w:u w:val="single"/>
          <w:rtl/>
        </w:rPr>
      </w:pPr>
    </w:p>
    <w:p w14:paraId="3471B20F"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1494D220" w14:textId="73DAF818"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3F1A5CC4"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66872023"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721D9D82"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sectPr w:rsidR="00266487" w:rsidSect="00266487">
          <w:footerReference w:type="first" r:id="rId14"/>
          <w:pgSz w:w="11906" w:h="16838"/>
          <w:pgMar w:top="1440" w:right="1800" w:bottom="1440" w:left="1800" w:header="708" w:footer="708" w:gutter="0"/>
          <w:pgNumType w:start="0"/>
          <w:cols w:space="708"/>
          <w:titlePg/>
          <w:bidi/>
          <w:rtlGutter/>
          <w:docGrid w:linePitch="360"/>
        </w:sectPr>
      </w:pPr>
    </w:p>
    <w:p w14:paraId="02B695D8" w14:textId="75E481BE" w:rsidR="00C11026" w:rsidRPr="007E6E5B" w:rsidRDefault="00C11026" w:rsidP="00266487">
      <w:pPr>
        <w:bidi/>
        <w:spacing w:after="200" w:line="276" w:lineRule="auto"/>
        <w:rPr>
          <w:rFonts w:ascii="Traditional Arabic" w:hAnsi="Traditional Arabic" w:cs="Traditional Arabic"/>
          <w:b/>
          <w:bCs/>
          <w:color w:val="00B0F0"/>
          <w:sz w:val="32"/>
          <w:szCs w:val="32"/>
          <w:u w:val="single"/>
          <w:rtl/>
        </w:rPr>
      </w:pPr>
      <w:r w:rsidRPr="007E6E5B">
        <w:rPr>
          <w:rFonts w:ascii="Traditional Arabic" w:hAnsi="Traditional Arabic" w:cs="Traditional Arabic" w:hint="cs"/>
          <w:b/>
          <w:bCs/>
          <w:color w:val="00B0F0"/>
          <w:sz w:val="32"/>
          <w:szCs w:val="32"/>
          <w:u w:val="single"/>
          <w:rtl/>
        </w:rPr>
        <w:lastRenderedPageBreak/>
        <w:t>مقدمة الدراسة</w:t>
      </w:r>
    </w:p>
    <w:p w14:paraId="665E8F17"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برزت إدارة المخاطر كعنصر حاسم في ضمان تقديم رعاية عالية الجودة للمرضى. تشمل إدارة المخاطر منهجًا منظمًا لتحديد وتقييم وتخفيف المخاطر المحتملة. ويمكن أن تؤثر تلك المخاطر سلبًا على المرضى ومقدمي الرعاية الصحية والمنظمات. الهدف الأساسي لادارة المخاطر هو تقليل احتمالية وقوع أحداث سلبية وتعزيز سلامة المرضى. مما يؤدي الى تحسين جودة الرعاية الصحية بشكل عام (عثمان، 2022).</w:t>
      </w:r>
    </w:p>
    <w:p w14:paraId="5AB5B5AB" w14:textId="3F965D3D"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وتتضمن الإدارة الفعالة للمخاطر مجموعة من الممارسات، وتشمل </w:t>
      </w:r>
      <w:r w:rsidR="007A6E11" w:rsidRPr="006549C3">
        <w:rPr>
          <w:rFonts w:ascii="Traditional Arabic" w:hAnsi="Traditional Arabic" w:cs="Traditional Arabic" w:hint="cs"/>
          <w:color w:val="000000" w:themeColor="text1"/>
          <w:sz w:val="24"/>
          <w:szCs w:val="24"/>
          <w:rtl/>
          <w:lang w:bidi="ar-EG"/>
        </w:rPr>
        <w:t>ت</w:t>
      </w:r>
      <w:r w:rsidRPr="006549C3">
        <w:rPr>
          <w:rFonts w:ascii="Traditional Arabic" w:hAnsi="Traditional Arabic" w:cs="Traditional Arabic" w:hint="cs"/>
          <w:color w:val="000000" w:themeColor="text1"/>
          <w:sz w:val="24"/>
          <w:szCs w:val="24"/>
          <w:rtl/>
          <w:lang w:bidi="ar-EG"/>
        </w:rPr>
        <w:t>لك الممارسات تطوير السياسات والإجراءات، وتدريب الموظفين، وأنظمة الإبلاغ عن الحوادث، وعمليات التدقيق المنتظمة. ويمكن لمنظمات الرعاية الصحية من خلال معالجة المخاطر المحتملة بشكل استباقي، منع الأخطاء، وتقليل التباين في الرعاية، وتعزيز ثقافة السلامة (الغامدي، 2022).</w:t>
      </w:r>
    </w:p>
    <w:p w14:paraId="54E9B3A4"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كما أصبحت المنظمات المعاصرة تتسم بالمخاطر بسبب التغير والتعقد الكبير في بيئة الأعمال التي تحيط بها، فصارت المنظمات عرضة للتأثر بهذه المخاطر، ولما كانت الخطورة تتصف بعنصر المفاجأة فهذا يستدعي من الإدارات في مختلف المنظمات امتلاك القدرة على توقعها وتجنب حدوثها مع وجود مهارة عالية في إدارتها والتصدي لها عند حدوثها، وهنا تبرز أهمية القيـادة التحويلية في المنظمات في كيفية القدرة على التنبؤ بالتغييرات الحاصلة في البيئة الخارجية للمنظمات والتهديدات التي قد تؤثر بشكل سلبي عليها (</w:t>
      </w:r>
      <w:r w:rsidRPr="006549C3">
        <w:rPr>
          <w:rFonts w:ascii="Traditional Arabic" w:hAnsi="Traditional Arabic" w:cs="Traditional Arabic" w:hint="cs"/>
          <w:b/>
          <w:bCs/>
          <w:color w:val="000000" w:themeColor="text1"/>
          <w:sz w:val="24"/>
          <w:szCs w:val="24"/>
          <w:rtl/>
          <w:lang w:bidi="ar-EG"/>
        </w:rPr>
        <w:t>الحفني، 2017).</w:t>
      </w:r>
    </w:p>
    <w:p w14:paraId="35A27AE2" w14:textId="57F6B484"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أما القيادة التحويلية هي أحد أنماط الإدارة العديدة الموجودة في مؤسسات الرعاية الصحية</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ويعتبرها الكثيرون الأسلوب الذي يمكّن مؤسسات الرعاية الصحية من الاستجابة السريعة للتغيير والتحسين المستمر</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ويمكن أن تترجم هذه السمات وغيرها إلى تحسينات أكبر في سلامة المرضى .على سبيل المثال، قد يكون هدف المنشأة هو زيادة رضا المرضى . سيحدد قائد التمريض أهدافًا لتحسين خدمة العملاء، وتطوير مبادرة أو مبادرات بشكل تعاوني، وقياس النتائج على سبيل المثال، استبيان للمرضى - وإشراك الموظفين على طول الطريق (الغامدي،2022).</w:t>
      </w:r>
    </w:p>
    <w:p w14:paraId="16C8960E" w14:textId="50320F8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وتعتبر القيادة التحويلية نظرية في القيادة حيث يقوم القائد بخلق بيئة مناسبة للعمل وستعمل على تحسين مخرجات الأعضاء الملتزمين في مجموعته. ويرتبط هذا النوع من القيادة بقوة بتحسين رعاية المرضى من خلال فرق عالية الأداء</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لذا تحتاج منظمات الرعاية الصحية إلى توفير تدريب منتظم لتطوير المهارات وبناء القدرات والثقافة التنظيمية. ستتمتع القيادة التحويلية لمديرين المستشفيات الجيدين بفرصة 6.2 مرة لتنفيذ بيئة سلامة جيدة( </w:t>
      </w:r>
      <w:r w:rsidRPr="006549C3">
        <w:rPr>
          <w:rFonts w:ascii="Traditional Arabic" w:hAnsi="Traditional Arabic" w:cs="Traditional Arabic" w:hint="cs"/>
          <w:color w:val="000000" w:themeColor="text1"/>
          <w:sz w:val="24"/>
          <w:szCs w:val="24"/>
          <w:lang w:bidi="ar-EG"/>
        </w:rPr>
        <w:t>Manisha V 2020</w:t>
      </w:r>
      <w:r w:rsidRPr="006549C3">
        <w:rPr>
          <w:rFonts w:ascii="Traditional Arabic" w:hAnsi="Traditional Arabic" w:cs="Traditional Arabic" w:hint="cs"/>
          <w:color w:val="000000" w:themeColor="text1"/>
          <w:sz w:val="24"/>
          <w:szCs w:val="24"/>
          <w:rtl/>
          <w:lang w:bidi="ar-EG"/>
        </w:rPr>
        <w:t>).</w:t>
      </w:r>
    </w:p>
    <w:p w14:paraId="27FE0CCE"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تعد القيادة التحويلية من أهم الأنماط القيادية القادرة على تحقيق الأهداف الأستراتيجية المستشفيات الحكومية ، بما تمتاز به من قدرة على تبديل الأدوار بين القادة والمرؤوسين الذين لديهم اطالع أكبر على المشكلات التي تواجههم بشكل يومي؛ مما يمكنهم من التعامل مع هذه المشكلات وإيجاد الحلول بفعالية أكبر (نور، 2020 ) وتظهر الأزمات بشكل فجائي عادة مما يسبب ارباكا المستشفيات </w:t>
      </w:r>
      <w:r w:rsidRPr="006549C3">
        <w:rPr>
          <w:rFonts w:ascii="Traditional Arabic" w:hAnsi="Traditional Arabic" w:cs="Traditional Arabic" w:hint="cs"/>
          <w:color w:val="000000" w:themeColor="text1"/>
          <w:sz w:val="24"/>
          <w:szCs w:val="24"/>
          <w:rtl/>
          <w:lang w:bidi="ar-EG"/>
        </w:rPr>
        <w:lastRenderedPageBreak/>
        <w:t>الحكومية ويهدد استمراريتها، ويضعف قدرتها على تقديم خدماتها، مما يستدعي وجود قيادة قادرة على اكتشاف الأزمات قبل وقوعها، وقادرة على استشراف المستقبل، والأستعداد له بشكل منظم لدرء المخاطر واحتوائها والتقليل من آثارها ومعالجتها (اليافعي، 2023).</w:t>
      </w:r>
    </w:p>
    <w:p w14:paraId="790CB6AF"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وتعتبر سلامة المرضى في مجال الرعاية الصحية قضية عالمية. لقد أوضحت الكثير من الدراسات أن القيادة الطبية فى المستشفيات لها تأثير كبير على سلامة المرضى حصريًا في العالم المتقدم.  القيادة والإدارة في مهنة الرعاية الصحية مهمة جدا. يمكن للقائد الجيد أن يحدث تطورا مفاجئًا في طريقة تقديم رعاية المرضى. إن التركيز الكبير على القادة الطبية من اطباء وتمريض على أدوارهم في نظام الرعاية الصحية يمكن أن يقلل من النتائج السلبية للمرضى ويحسن سلامة المرضى. أجريت هذه الدراسة لفهم تأثير القيادة التحويلية على سلامة المرضى ( </w:t>
      </w:r>
      <w:r w:rsidRPr="006549C3">
        <w:rPr>
          <w:rFonts w:ascii="Traditional Arabic" w:hAnsi="Traditional Arabic" w:cs="Traditional Arabic" w:hint="cs"/>
          <w:color w:val="000000" w:themeColor="text1"/>
          <w:sz w:val="24"/>
          <w:szCs w:val="24"/>
          <w:lang w:bidi="ar-EG"/>
        </w:rPr>
        <w:t>Fischer, S 2016</w:t>
      </w:r>
      <w:r w:rsidRPr="006549C3">
        <w:rPr>
          <w:rFonts w:ascii="Traditional Arabic" w:hAnsi="Traditional Arabic" w:cs="Traditional Arabic" w:hint="cs"/>
          <w:color w:val="000000" w:themeColor="text1"/>
          <w:sz w:val="24"/>
          <w:szCs w:val="24"/>
          <w:rtl/>
          <w:lang w:bidi="ar-EG"/>
        </w:rPr>
        <w:t>).</w:t>
      </w:r>
    </w:p>
    <w:p w14:paraId="06764EAB" w14:textId="3BE71A5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وأصبحت المستشفيات الحكومية تتسم بالأزمات بسبب التغير والتعقد الكبير في بيئة </w:t>
      </w:r>
      <w:r w:rsidR="007A6E11" w:rsidRPr="006549C3">
        <w:rPr>
          <w:rFonts w:ascii="Traditional Arabic" w:hAnsi="Traditional Arabic" w:cs="Traditional Arabic" w:hint="cs"/>
          <w:color w:val="000000" w:themeColor="text1"/>
          <w:sz w:val="24"/>
          <w:szCs w:val="24"/>
          <w:rtl/>
          <w:lang w:bidi="ar-EG"/>
        </w:rPr>
        <w:t>الأعمال</w:t>
      </w:r>
      <w:r w:rsidRPr="006549C3">
        <w:rPr>
          <w:rFonts w:ascii="Traditional Arabic" w:hAnsi="Traditional Arabic" w:cs="Traditional Arabic" w:hint="cs"/>
          <w:color w:val="000000" w:themeColor="text1"/>
          <w:sz w:val="24"/>
          <w:szCs w:val="24"/>
          <w:rtl/>
          <w:lang w:bidi="ar-EG"/>
        </w:rPr>
        <w:t xml:space="preserve"> التي تحيط بها، فصارت المستشفيات الحكومية عرضة للتأثر بهذه الأزمات، ولما كانت الأزمـة تتصف بعنصر المفاجأة فهذا يستدعي من الأدارات في مختلف المستشفيات الحكومية </w:t>
      </w:r>
      <w:r w:rsidR="007A6E11" w:rsidRPr="006549C3">
        <w:rPr>
          <w:rFonts w:ascii="Traditional Arabic" w:hAnsi="Traditional Arabic" w:cs="Traditional Arabic" w:hint="cs"/>
          <w:color w:val="000000" w:themeColor="text1"/>
          <w:sz w:val="24"/>
          <w:szCs w:val="24"/>
          <w:rtl/>
          <w:lang w:bidi="ar-EG"/>
        </w:rPr>
        <w:t>إمتلاك</w:t>
      </w:r>
      <w:r w:rsidRPr="006549C3">
        <w:rPr>
          <w:rFonts w:ascii="Traditional Arabic" w:hAnsi="Traditional Arabic" w:cs="Traditional Arabic" w:hint="cs"/>
          <w:color w:val="000000" w:themeColor="text1"/>
          <w:sz w:val="24"/>
          <w:szCs w:val="24"/>
          <w:rtl/>
          <w:lang w:bidi="ar-EG"/>
        </w:rPr>
        <w:t xml:space="preserve"> القدرة على توقعها وتجنب حدوثها مع وجود مهارة عالية في إدارتها والتصدي لها عند حدوثها، وهنا تبرز أهمية القيـادة التحويلية في المستشفيات الحكومية في كيفية القدرة على التنبؤ بالتغييرات الحاصلة في البيئة الخارجية للمنظمات والتهديدات التي قد تؤثر بشكل سلبي عليها (الحفني، 2019 ).</w:t>
      </w:r>
    </w:p>
    <w:p w14:paraId="4552B7C6" w14:textId="339BCC13" w:rsidR="00D62444" w:rsidRPr="000F7C5D" w:rsidRDefault="00AD01DF" w:rsidP="000F7C5D">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ونجد معظم الدراسات تدور في المقام الأول حول الحالات الصحية الإيجابية المتعلقة إدارة المخاطر على سلامة المرضى. ومع ذلك، لم يتم إجراء سوى القليل من الأبحاث حول تأثير أسلوب القيادة على سلامة المرضى ، وخاصة الحالات الصحية السلبية، على سبيل المثال، الاكتئاب والقلق والإرهاق. اجتذبت القيادة التحويلية المزيد من الاهتمام التجريبي مقارنة بأنواع القيادة الأخرى في السنوات الأخيرة</w:t>
      </w:r>
      <w:r w:rsidR="000F7C5D">
        <w:rPr>
          <w:rFonts w:ascii="Traditional Arabic" w:hAnsi="Traditional Arabic" w:cs="Traditional Arabic" w:hint="cs"/>
          <w:color w:val="000000" w:themeColor="text1"/>
          <w:sz w:val="24"/>
          <w:szCs w:val="24"/>
          <w:rtl/>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lang w:bidi="ar-EG"/>
        </w:rPr>
        <w:t>Vainio</w:t>
      </w:r>
      <w:r w:rsidR="000F7C5D" w:rsidRPr="000F7C5D">
        <w:rPr>
          <w:rFonts w:ascii="Traditional Arabic" w:hAnsi="Traditional Arabic" w:cs="Traditional Arabic"/>
          <w:color w:val="000000" w:themeColor="text1"/>
          <w:sz w:val="24"/>
          <w:szCs w:val="24"/>
          <w:lang w:bidi="ar-EG"/>
        </w:rPr>
        <w:t>,2008</w:t>
      </w:r>
      <w:r w:rsidRPr="000F7C5D">
        <w:rPr>
          <w:rFonts w:ascii="Traditional Arabic" w:hAnsi="Traditional Arabic" w:cs="Traditional Arabic" w:hint="cs"/>
          <w:color w:val="000000" w:themeColor="text1"/>
          <w:sz w:val="24"/>
          <w:szCs w:val="24"/>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rtl/>
        </w:rPr>
        <w:t xml:space="preserve"> </w:t>
      </w:r>
      <w:r w:rsidRPr="000F7C5D">
        <w:rPr>
          <w:rFonts w:ascii="Traditional Arabic" w:hAnsi="Traditional Arabic" w:cs="Traditional Arabic" w:hint="cs"/>
          <w:color w:val="000000" w:themeColor="text1"/>
          <w:sz w:val="24"/>
          <w:szCs w:val="24"/>
          <w:rtl/>
          <w:lang w:bidi="ar-EG"/>
        </w:rPr>
        <w:t>شينز ب 2012).</w:t>
      </w:r>
    </w:p>
    <w:p w14:paraId="4F7CF354" w14:textId="585408AF" w:rsidR="00D62444"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اقترحت بعض الدراسات أن المديرين يمكنهم الحفاظ على </w:t>
      </w:r>
      <w:r w:rsidRPr="006549C3">
        <w:rPr>
          <w:rFonts w:ascii="Traditional Arabic" w:hAnsi="Traditional Arabic" w:cs="Traditional Arabic" w:hint="cs"/>
          <w:color w:val="000000" w:themeColor="text1"/>
          <w:sz w:val="24"/>
          <w:szCs w:val="24"/>
          <w:rtl/>
        </w:rPr>
        <w:t>سلامة المرضى</w:t>
      </w:r>
      <w:r w:rsidRPr="006549C3">
        <w:rPr>
          <w:rFonts w:ascii="Traditional Arabic" w:hAnsi="Traditional Arabic" w:cs="Traditional Arabic" w:hint="cs"/>
          <w:color w:val="000000" w:themeColor="text1"/>
          <w:sz w:val="24"/>
          <w:szCs w:val="24"/>
          <w:rtl/>
          <w:lang w:bidi="ar-EG"/>
        </w:rPr>
        <w:t xml:space="preserve"> من خلال القيادة التحويلية وجد بعض الباحثين أن القيادة التحويلية مع </w:t>
      </w:r>
      <w:r w:rsidRPr="006549C3">
        <w:rPr>
          <w:rFonts w:ascii="Traditional Arabic" w:hAnsi="Traditional Arabic" w:cs="Traditional Arabic" w:hint="cs"/>
          <w:color w:val="000000" w:themeColor="text1"/>
          <w:sz w:val="24"/>
          <w:szCs w:val="24"/>
          <w:rtl/>
        </w:rPr>
        <w:t>وتحليل الدور الوسيط يودى الى</w:t>
      </w:r>
      <w:r w:rsidRPr="006549C3">
        <w:rPr>
          <w:rFonts w:ascii="Traditional Arabic" w:hAnsi="Traditional Arabic" w:cs="Traditional Arabic" w:hint="cs"/>
          <w:color w:val="000000" w:themeColor="text1"/>
          <w:sz w:val="24"/>
          <w:szCs w:val="24"/>
          <w:rtl/>
          <w:lang w:bidi="ar-EG"/>
        </w:rPr>
        <w:t xml:space="preserve"> إدارة المخاطر على سلامة المرضى بشكل ايجابى مع أن القيادة التحويلية يمكن أن </w:t>
      </w:r>
      <w:r w:rsidRPr="000F7C5D">
        <w:rPr>
          <w:rFonts w:ascii="Traditional Arabic" w:hAnsi="Traditional Arabic" w:cs="Traditional Arabic" w:hint="cs"/>
          <w:color w:val="000000" w:themeColor="text1"/>
          <w:sz w:val="24"/>
          <w:szCs w:val="24"/>
          <w:rtl/>
          <w:lang w:bidi="ar-EG"/>
        </w:rPr>
        <w:t>تخفف من الإرهاق الوظيفي بين موظفي صناعة إدارة المخاطر(جيل أ. أس 2006-</w:t>
      </w:r>
      <w:r w:rsidRPr="000F7C5D">
        <w:rPr>
          <w:rFonts w:ascii="Traditional Arabic" w:hAnsi="Traditional Arabic" w:cs="Traditional Arabic" w:hint="cs"/>
          <w:color w:val="000000" w:themeColor="text1"/>
          <w:sz w:val="24"/>
          <w:szCs w:val="24"/>
          <w:lang w:bidi="ar-EG"/>
        </w:rPr>
        <w:t xml:space="preserve">Liu </w:t>
      </w:r>
      <w:r w:rsidR="000F7C5D" w:rsidRPr="000F7C5D">
        <w:rPr>
          <w:rFonts w:ascii="Traditional Arabic" w:hAnsi="Traditional Arabic" w:cs="Traditional Arabic"/>
          <w:color w:val="000000" w:themeColor="text1"/>
          <w:sz w:val="24"/>
          <w:szCs w:val="24"/>
          <w:lang w:bidi="ar-EG"/>
        </w:rPr>
        <w:t>,2019</w:t>
      </w:r>
      <w:r w:rsidRPr="000F7C5D">
        <w:rPr>
          <w:rFonts w:ascii="Traditional Arabic" w:hAnsi="Traditional Arabic" w:cs="Traditional Arabic" w:hint="cs"/>
          <w:color w:val="000000" w:themeColor="text1"/>
          <w:sz w:val="24"/>
          <w:szCs w:val="24"/>
          <w:rtl/>
          <w:lang w:bidi="ar-EG"/>
        </w:rPr>
        <w:t>).</w:t>
      </w:r>
    </w:p>
    <w:p w14:paraId="0E257F1A" w14:textId="0051DB5C" w:rsidR="007A6E11" w:rsidRPr="006549C3" w:rsidRDefault="007A6E11" w:rsidP="006549C3">
      <w:pPr>
        <w:bidi/>
        <w:spacing w:line="360" w:lineRule="auto"/>
        <w:ind w:firstLine="720"/>
        <w:jc w:val="both"/>
        <w:rPr>
          <w:rFonts w:ascii="Traditional Arabic" w:hAnsi="Traditional Arabic" w:cs="Traditional Arabic"/>
          <w:color w:val="000000" w:themeColor="text1"/>
          <w:sz w:val="24"/>
          <w:szCs w:val="24"/>
          <w:lang w:bidi="ar-EG"/>
        </w:rPr>
      </w:pPr>
      <w:r w:rsidRPr="006549C3">
        <w:rPr>
          <w:rFonts w:ascii="Traditional Arabic" w:hAnsi="Traditional Arabic" w:cs="Traditional Arabic" w:hint="cs"/>
          <w:color w:val="000000" w:themeColor="text1"/>
          <w:sz w:val="24"/>
          <w:szCs w:val="24"/>
          <w:rtl/>
        </w:rPr>
        <w:t>تُطبق معظم المنظمات الصحية خططًا منهجية لإدارة المخاطر، وتُسند مسؤولية تنفيذها عادةً إلى القيادة العليا في المؤسسة</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وتُعد القيادة التحويلية، بأبعادها الأربعة: التأثير المثالي، الدافعية الإلهامية، الاستثارة الفكرية، والاعتبارات الفردية، من أهم الأنماط القيادية التي تُسهم في مواجهة المخاطر الصحية بفعالية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فعند حدوث الأزمات، تبادر القيادة إلى إعداد خطة استجابة أو تصور شامل يهدف إلى احتواء المخاطر ومنع انتشارها قدر الإمكان، والحد من آثارها السلبية ومعالجتها قبل استفحالها</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كما تسعى إلى استعادة النشاط في الأجزاء غير </w:t>
      </w:r>
      <w:r w:rsidRPr="006549C3">
        <w:rPr>
          <w:rFonts w:ascii="Traditional Arabic" w:hAnsi="Traditional Arabic" w:cs="Traditional Arabic" w:hint="cs"/>
          <w:color w:val="000000" w:themeColor="text1"/>
          <w:sz w:val="24"/>
          <w:szCs w:val="24"/>
          <w:rtl/>
        </w:rPr>
        <w:lastRenderedPageBreak/>
        <w:t>المتأثرة، وإعادة التوازن تدريجيًا لتعويض ما تم فقده أثناء الأزمة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ومن الضروري أن يستفيد القائد من الخبرات السابقة في التعامل مع المخاطر، وأن يوظفها في تحسين الاستجابة المستقبلية وتعزيز جاهزية المنظمة (المهلاوي، 2020)</w:t>
      </w:r>
      <w:r w:rsidRPr="006549C3">
        <w:rPr>
          <w:rFonts w:ascii="Traditional Arabic" w:hAnsi="Traditional Arabic" w:cs="Traditional Arabic" w:hint="cs"/>
          <w:color w:val="000000" w:themeColor="text1"/>
          <w:sz w:val="24"/>
          <w:szCs w:val="24"/>
          <w:lang w:bidi="ar-EG"/>
        </w:rPr>
        <w:t>.</w:t>
      </w:r>
    </w:p>
    <w:p w14:paraId="395AC777" w14:textId="5F591197" w:rsidR="007A6E11"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0F7C5D">
        <w:rPr>
          <w:rFonts w:ascii="Traditional Arabic" w:hAnsi="Traditional Arabic" w:cs="Traditional Arabic" w:hint="cs"/>
          <w:color w:val="000000" w:themeColor="text1"/>
          <w:sz w:val="24"/>
          <w:szCs w:val="24"/>
          <w:rtl/>
          <w:lang w:bidi="ar-EG"/>
        </w:rPr>
        <w:t>كما يُعدّ القطاع الصحي من أبرز القطاعات وأهمها في أي دولة نظراً لتأثيره الكبير على الأفراد والمجتمع، فاذا توفر نظام صحي قادر على مواجهة المخاطر ظهر ذلك على القطاعات الأخرى في الدولة، و قد أصبحت المخاطر حدثاً مًتوقعا لجميع المنظمات في هذا العصر المليء بالمتغيرات والمستجدات، وكلما استطاعت المنظمـة التأقلم مع المتغيرات، كان لديها القدرة على التعامل مع المخاطر بثبات واتزان، ومن هذا المنطلق تنبع أهمية دراسة المخاطر في محاولة لتصنيف وتحليل وتقييم المخاطر تبعا لاحتمال الحدوث وشدة الخطورة ودرجة التحكم من قبل المنظمـة وذلك كله بغرض مواجهة المخاطر المحتملة (الحفني،2017).</w:t>
      </w:r>
    </w:p>
    <w:p w14:paraId="53AEB38A" w14:textId="2BE989DE" w:rsidR="00AD01DF" w:rsidRPr="00844164" w:rsidRDefault="00883E09" w:rsidP="007A6E11">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t>مشكلة الدراسة</w:t>
      </w:r>
      <w:r w:rsidR="00231AB1" w:rsidRPr="00844164">
        <w:rPr>
          <w:rFonts w:ascii="Traditional Arabic" w:hAnsi="Traditional Arabic" w:cs="Traditional Arabic" w:hint="cs"/>
          <w:b/>
          <w:bCs/>
          <w:color w:val="00B0F0"/>
          <w:sz w:val="28"/>
          <w:szCs w:val="28"/>
          <w:u w:val="single"/>
          <w:rtl/>
        </w:rPr>
        <w:t xml:space="preserve"> وأسئلتها</w:t>
      </w:r>
      <w:r w:rsidR="00AD01DF" w:rsidRPr="00844164">
        <w:rPr>
          <w:rFonts w:ascii="Traditional Arabic" w:hAnsi="Traditional Arabic" w:cs="Traditional Arabic" w:hint="cs"/>
          <w:b/>
          <w:bCs/>
          <w:color w:val="00B0F0"/>
          <w:sz w:val="28"/>
          <w:szCs w:val="28"/>
          <w:u w:val="single"/>
          <w:rtl/>
        </w:rPr>
        <w:t>:</w:t>
      </w:r>
    </w:p>
    <w:p w14:paraId="00BEAA31" w14:textId="1AF8F1A9" w:rsidR="00D62444" w:rsidRPr="000F7C5D" w:rsidRDefault="005E52AA" w:rsidP="000F7C5D">
      <w:pPr>
        <w:bidi/>
        <w:spacing w:line="276" w:lineRule="auto"/>
        <w:ind w:firstLine="720"/>
        <w:jc w:val="both"/>
        <w:rPr>
          <w:rFonts w:ascii="Traditional Arabic" w:hAnsi="Traditional Arabic" w:cs="Traditional Arabic"/>
          <w:sz w:val="24"/>
          <w:szCs w:val="24"/>
          <w:rtl/>
          <w:lang w:bidi="ar-EG"/>
        </w:rPr>
      </w:pPr>
      <w:r w:rsidRPr="000F7C5D">
        <w:rPr>
          <w:rFonts w:ascii="Traditional Arabic" w:hAnsi="Traditional Arabic" w:cs="Traditional Arabic" w:hint="cs"/>
          <w:sz w:val="24"/>
          <w:szCs w:val="24"/>
          <w:rtl/>
          <w:lang w:bidi="ar-EG"/>
        </w:rPr>
        <w:t xml:space="preserve">تسعى الدراسة للإجابة عن </w:t>
      </w:r>
      <w:r w:rsidR="00A21099" w:rsidRPr="000F7C5D">
        <w:rPr>
          <w:rFonts w:ascii="Traditional Arabic" w:hAnsi="Traditional Arabic" w:cs="Traditional Arabic" w:hint="cs"/>
          <w:sz w:val="24"/>
          <w:szCs w:val="24"/>
          <w:rtl/>
          <w:lang w:bidi="ar-EG"/>
        </w:rPr>
        <w:t>التساؤل</w:t>
      </w:r>
      <w:r w:rsidR="0078722F">
        <w:rPr>
          <w:rFonts w:ascii="Traditional Arabic" w:hAnsi="Traditional Arabic" w:cs="Traditional Arabic" w:hint="cs"/>
          <w:sz w:val="24"/>
          <w:szCs w:val="24"/>
          <w:rtl/>
          <w:lang w:bidi="ar-EG"/>
        </w:rPr>
        <w:t xml:space="preserve"> الرئيسي</w:t>
      </w:r>
      <w:r w:rsidRPr="000F7C5D">
        <w:rPr>
          <w:rFonts w:ascii="Traditional Arabic" w:hAnsi="Traditional Arabic" w:cs="Traditional Arabic" w:hint="cs"/>
          <w:sz w:val="24"/>
          <w:szCs w:val="24"/>
          <w:rtl/>
          <w:lang w:bidi="ar-EG"/>
        </w:rPr>
        <w:t xml:space="preserve"> </w:t>
      </w:r>
      <w:r w:rsidR="00A21099" w:rsidRPr="000F7C5D">
        <w:rPr>
          <w:rFonts w:ascii="Traditional Arabic" w:hAnsi="Traditional Arabic" w:cs="Traditional Arabic" w:hint="cs"/>
          <w:sz w:val="24"/>
          <w:szCs w:val="24"/>
          <w:rtl/>
          <w:lang w:bidi="ar-EG"/>
        </w:rPr>
        <w:t>التالي</w:t>
      </w:r>
      <w:r w:rsidRPr="000F7C5D">
        <w:rPr>
          <w:rFonts w:ascii="Traditional Arabic" w:hAnsi="Traditional Arabic" w:cs="Traditional Arabic" w:hint="cs"/>
          <w:sz w:val="24"/>
          <w:szCs w:val="24"/>
          <w:rtl/>
          <w:lang w:bidi="ar-EG"/>
        </w:rPr>
        <w:t>:</w:t>
      </w:r>
    </w:p>
    <w:p w14:paraId="012AF624" w14:textId="54F5DCF5" w:rsidR="0078722F" w:rsidRPr="0078722F" w:rsidRDefault="0078722F" w:rsidP="0078722F">
      <w:pPr>
        <w:bidi/>
        <w:spacing w:line="276" w:lineRule="auto"/>
        <w:jc w:val="both"/>
        <w:rPr>
          <w:rFonts w:ascii="Traditional Arabic" w:hAnsi="Traditional Arabic" w:cs="Traditional Arabic"/>
          <w:b/>
          <w:bCs/>
          <w:sz w:val="24"/>
          <w:szCs w:val="24"/>
          <w:lang w:bidi="ar-EG"/>
        </w:rPr>
      </w:pPr>
      <w:r w:rsidRPr="0078722F">
        <w:rPr>
          <w:rFonts w:ascii="Traditional Arabic" w:hAnsi="Traditional Arabic" w:cs="Traditional Arabic"/>
          <w:b/>
          <w:bCs/>
          <w:sz w:val="24"/>
          <w:szCs w:val="24"/>
          <w:lang w:bidi="ar-EG"/>
        </w:rPr>
        <w:t>"</w:t>
      </w:r>
      <w:r w:rsidRPr="0078722F">
        <w:rPr>
          <w:rFonts w:ascii="Traditional Arabic" w:hAnsi="Traditional Arabic" w:cs="Traditional Arabic"/>
          <w:b/>
          <w:bCs/>
          <w:sz w:val="24"/>
          <w:szCs w:val="24"/>
          <w:rtl/>
        </w:rPr>
        <w:t xml:space="preserve">ما أثر ممارسات إدارة المخاطر على سلامة المرضى في </w:t>
      </w:r>
      <w:r w:rsidR="008D0DFB">
        <w:rPr>
          <w:rFonts w:ascii="Traditional Arabic" w:hAnsi="Traditional Arabic" w:cs="Traditional Arabic" w:hint="cs"/>
          <w:b/>
          <w:bCs/>
          <w:sz w:val="24"/>
          <w:szCs w:val="24"/>
          <w:rtl/>
        </w:rPr>
        <w:t>المرافق</w:t>
      </w:r>
      <w:r w:rsidRPr="0078722F">
        <w:rPr>
          <w:rFonts w:ascii="Traditional Arabic" w:hAnsi="Traditional Arabic" w:cs="Traditional Arabic"/>
          <w:b/>
          <w:bCs/>
          <w:sz w:val="24"/>
          <w:szCs w:val="24"/>
          <w:rtl/>
        </w:rPr>
        <w:t xml:space="preserve"> الحكومية بالمملكة العربية السعودية في ظل </w:t>
      </w:r>
      <w:r w:rsidR="000D046C">
        <w:rPr>
          <w:rFonts w:ascii="Traditional Arabic" w:hAnsi="Traditional Arabic" w:cs="Traditional Arabic" w:hint="cs"/>
          <w:b/>
          <w:bCs/>
          <w:sz w:val="24"/>
          <w:szCs w:val="24"/>
          <w:rtl/>
        </w:rPr>
        <w:t>وجود</w:t>
      </w:r>
      <w:r w:rsidRPr="0078722F">
        <w:rPr>
          <w:rFonts w:ascii="Traditional Arabic" w:hAnsi="Traditional Arabic" w:cs="Traditional Arabic"/>
          <w:b/>
          <w:bCs/>
          <w:sz w:val="24"/>
          <w:szCs w:val="24"/>
          <w:rtl/>
        </w:rPr>
        <w:t xml:space="preserve"> </w:t>
      </w:r>
      <w:r w:rsidR="000D046C">
        <w:rPr>
          <w:rFonts w:ascii="Traditional Arabic" w:hAnsi="Traditional Arabic" w:cs="Traditional Arabic" w:hint="cs"/>
          <w:b/>
          <w:bCs/>
          <w:sz w:val="24"/>
          <w:szCs w:val="24"/>
          <w:rtl/>
        </w:rPr>
        <w:t>ا</w:t>
      </w:r>
      <w:r w:rsidRPr="0078722F">
        <w:rPr>
          <w:rFonts w:ascii="Traditional Arabic" w:hAnsi="Traditional Arabic" w:cs="Traditional Arabic"/>
          <w:b/>
          <w:bCs/>
          <w:sz w:val="24"/>
          <w:szCs w:val="24"/>
          <w:rtl/>
        </w:rPr>
        <w:t>لقيادة التحويلية؟</w:t>
      </w:r>
      <w:r w:rsidRPr="0078722F">
        <w:rPr>
          <w:rFonts w:ascii="Traditional Arabic" w:hAnsi="Traditional Arabic" w:cs="Traditional Arabic"/>
          <w:b/>
          <w:bCs/>
          <w:sz w:val="24"/>
          <w:szCs w:val="24"/>
          <w:lang w:bidi="ar-EG"/>
        </w:rPr>
        <w:t>"</w:t>
      </w:r>
    </w:p>
    <w:p w14:paraId="0FFA520B" w14:textId="3240C5DD" w:rsidR="00AD01DF" w:rsidRPr="000F7C5D" w:rsidRDefault="00AD01DF" w:rsidP="000F7C5D">
      <w:pPr>
        <w:bidi/>
        <w:spacing w:line="276" w:lineRule="auto"/>
        <w:jc w:val="both"/>
        <w:rPr>
          <w:rFonts w:ascii="Traditional Arabic" w:hAnsi="Traditional Arabic" w:cs="Traditional Arabic"/>
          <w:b/>
          <w:bCs/>
          <w:sz w:val="24"/>
          <w:szCs w:val="24"/>
          <w:rtl/>
          <w:lang w:bidi="ar-EG"/>
        </w:rPr>
      </w:pPr>
      <w:r w:rsidRPr="000F7C5D">
        <w:rPr>
          <w:rFonts w:ascii="Traditional Arabic" w:hAnsi="Traditional Arabic" w:cs="Traditional Arabic" w:hint="cs"/>
          <w:b/>
          <w:bCs/>
          <w:sz w:val="24"/>
          <w:szCs w:val="24"/>
          <w:rtl/>
          <w:lang w:bidi="ar-EG"/>
        </w:rPr>
        <w:t xml:space="preserve">والذي تتفرع منه </w:t>
      </w:r>
      <w:r w:rsidR="00A60118" w:rsidRPr="000F7C5D">
        <w:rPr>
          <w:rFonts w:ascii="Traditional Arabic" w:hAnsi="Traditional Arabic" w:cs="Traditional Arabic" w:hint="cs"/>
          <w:b/>
          <w:bCs/>
          <w:sz w:val="24"/>
          <w:szCs w:val="24"/>
          <w:rtl/>
          <w:lang w:bidi="ar-EG"/>
        </w:rPr>
        <w:t>التساؤلات</w:t>
      </w:r>
      <w:r w:rsidRPr="000F7C5D">
        <w:rPr>
          <w:rFonts w:ascii="Traditional Arabic" w:hAnsi="Traditional Arabic" w:cs="Traditional Arabic" w:hint="cs"/>
          <w:b/>
          <w:bCs/>
          <w:sz w:val="24"/>
          <w:szCs w:val="24"/>
          <w:rtl/>
          <w:lang w:bidi="ar-EG"/>
        </w:rPr>
        <w:t xml:space="preserve"> التالية:</w:t>
      </w:r>
    </w:p>
    <w:p w14:paraId="19470272" w14:textId="15F1A223" w:rsidR="000D046C" w:rsidRPr="007A68BA" w:rsidRDefault="0078722F">
      <w:pPr>
        <w:numPr>
          <w:ilvl w:val="0"/>
          <w:numId w:val="42"/>
        </w:numPr>
        <w:bidi/>
        <w:spacing w:after="200" w:line="276" w:lineRule="auto"/>
        <w:rPr>
          <w:rFonts w:ascii="Traditional Arabic" w:hAnsi="Traditional Arabic" w:cs="Traditional Arabic"/>
          <w:sz w:val="24"/>
          <w:szCs w:val="24"/>
          <w:highlight w:val="yellow"/>
        </w:rPr>
      </w:pPr>
      <w:r w:rsidRPr="007A68BA">
        <w:rPr>
          <w:rFonts w:ascii="Traditional Arabic" w:hAnsi="Traditional Arabic" w:cs="Traditional Arabic"/>
          <w:b/>
          <w:bCs/>
          <w:sz w:val="24"/>
          <w:szCs w:val="24"/>
          <w:highlight w:val="yellow"/>
          <w:rtl/>
        </w:rPr>
        <w:t xml:space="preserve">التساؤل الأول </w:t>
      </w:r>
      <w:r w:rsidRPr="007A68BA">
        <w:rPr>
          <w:rFonts w:ascii="Traditional Arabic" w:hAnsi="Traditional Arabic" w:cs="Traditional Arabic" w:hint="cs"/>
          <w:b/>
          <w:bCs/>
          <w:sz w:val="24"/>
          <w:szCs w:val="24"/>
          <w:highlight w:val="yellow"/>
          <w:rtl/>
        </w:rPr>
        <w:t>:</w:t>
      </w:r>
      <w:r w:rsidRPr="007A68BA">
        <w:rPr>
          <w:rFonts w:ascii="Traditional Arabic" w:hAnsi="Traditional Arabic" w:cs="Traditional Arabic"/>
          <w:b/>
          <w:bCs/>
          <w:sz w:val="24"/>
          <w:szCs w:val="24"/>
          <w:highlight w:val="yellow"/>
        </w:rPr>
        <w:t xml:space="preserve"> </w:t>
      </w:r>
      <w:r w:rsidR="000D046C" w:rsidRPr="007A68BA">
        <w:rPr>
          <w:rFonts w:ascii="Traditional Arabic" w:hAnsi="Traditional Arabic" w:cs="Traditional Arabic"/>
          <w:sz w:val="24"/>
          <w:szCs w:val="24"/>
          <w:highlight w:val="yellow"/>
          <w:rtl/>
        </w:rPr>
        <w:t>ما أثر ممارسات إدارة المخاطر على القيادة التحويلية في المرافق الصحية الحكومية بالمملكة العربية السعودية؟</w:t>
      </w:r>
    </w:p>
    <w:p w14:paraId="5896341B" w14:textId="77777777" w:rsidR="000D046C" w:rsidRPr="007A68BA" w:rsidRDefault="0078722F">
      <w:pPr>
        <w:numPr>
          <w:ilvl w:val="0"/>
          <w:numId w:val="42"/>
        </w:numPr>
        <w:bidi/>
        <w:spacing w:after="200" w:line="276" w:lineRule="auto"/>
        <w:rPr>
          <w:rFonts w:ascii="Traditional Arabic" w:hAnsi="Traditional Arabic" w:cs="Traditional Arabic"/>
          <w:sz w:val="24"/>
          <w:szCs w:val="24"/>
          <w:highlight w:val="yellow"/>
        </w:rPr>
      </w:pPr>
      <w:r w:rsidRPr="007A68BA">
        <w:rPr>
          <w:rFonts w:ascii="Traditional Arabic" w:hAnsi="Traditional Arabic" w:cs="Traditional Arabic"/>
          <w:b/>
          <w:bCs/>
          <w:sz w:val="24"/>
          <w:szCs w:val="24"/>
          <w:highlight w:val="yellow"/>
          <w:rtl/>
        </w:rPr>
        <w:t xml:space="preserve">التساؤل الثاني </w:t>
      </w:r>
      <w:r w:rsidRPr="007A68BA">
        <w:rPr>
          <w:rFonts w:ascii="Traditional Arabic" w:hAnsi="Traditional Arabic" w:cs="Traditional Arabic" w:hint="cs"/>
          <w:b/>
          <w:bCs/>
          <w:sz w:val="24"/>
          <w:szCs w:val="24"/>
          <w:highlight w:val="yellow"/>
          <w:rtl/>
        </w:rPr>
        <w:t>:</w:t>
      </w:r>
      <w:r w:rsidRPr="007A68BA">
        <w:rPr>
          <w:rFonts w:ascii="Traditional Arabic" w:hAnsi="Traditional Arabic" w:cs="Traditional Arabic"/>
          <w:b/>
          <w:bCs/>
          <w:sz w:val="24"/>
          <w:szCs w:val="24"/>
          <w:highlight w:val="yellow"/>
        </w:rPr>
        <w:t xml:space="preserve"> </w:t>
      </w:r>
      <w:r w:rsidR="000D046C" w:rsidRPr="007A68BA">
        <w:rPr>
          <w:rFonts w:ascii="Traditional Arabic" w:hAnsi="Traditional Arabic" w:cs="Traditional Arabic"/>
          <w:sz w:val="24"/>
          <w:szCs w:val="24"/>
          <w:highlight w:val="yellow"/>
          <w:rtl/>
        </w:rPr>
        <w:t>ما أثر ممارسات إدارة المخاطر على سلامة المرضى في المرافق الصحية الحكومية بالمملكة العربية السعودية؟</w:t>
      </w:r>
    </w:p>
    <w:p w14:paraId="316FBF8B" w14:textId="5E4BE0E3" w:rsidR="000D046C" w:rsidRPr="007A68BA" w:rsidRDefault="0078722F">
      <w:pPr>
        <w:numPr>
          <w:ilvl w:val="0"/>
          <w:numId w:val="42"/>
        </w:numPr>
        <w:bidi/>
        <w:spacing w:after="200" w:line="276" w:lineRule="auto"/>
        <w:rPr>
          <w:rFonts w:ascii="Traditional Arabic" w:hAnsi="Traditional Arabic" w:cs="Traditional Arabic"/>
          <w:b/>
          <w:bCs/>
          <w:sz w:val="24"/>
          <w:szCs w:val="24"/>
          <w:highlight w:val="yellow"/>
        </w:rPr>
      </w:pPr>
      <w:r w:rsidRPr="007A68BA">
        <w:rPr>
          <w:rFonts w:ascii="Traditional Arabic" w:hAnsi="Traditional Arabic" w:cs="Traditional Arabic"/>
          <w:b/>
          <w:bCs/>
          <w:sz w:val="24"/>
          <w:szCs w:val="24"/>
          <w:highlight w:val="yellow"/>
          <w:rtl/>
        </w:rPr>
        <w:t xml:space="preserve">التساؤل الثالث </w:t>
      </w:r>
      <w:r w:rsidR="000D046C" w:rsidRPr="007A68BA">
        <w:rPr>
          <w:rFonts w:ascii="Traditional Arabic" w:hAnsi="Traditional Arabic" w:cs="Traditional Arabic" w:hint="cs"/>
          <w:b/>
          <w:bCs/>
          <w:sz w:val="24"/>
          <w:szCs w:val="24"/>
          <w:highlight w:val="yellow"/>
          <w:rtl/>
        </w:rPr>
        <w:t>:</w:t>
      </w:r>
      <w:r w:rsidR="000D046C" w:rsidRPr="007A68BA">
        <w:rPr>
          <w:rFonts w:ascii="Traditional Arabic" w:hAnsi="Traditional Arabic" w:cs="Traditional Arabic"/>
          <w:b/>
          <w:bCs/>
          <w:sz w:val="24"/>
          <w:szCs w:val="24"/>
          <w:highlight w:val="yellow"/>
        </w:rPr>
        <w:t xml:space="preserve">  </w:t>
      </w:r>
      <w:r w:rsidR="000D046C" w:rsidRPr="007A68BA">
        <w:rPr>
          <w:rFonts w:ascii="Traditional Arabic" w:hAnsi="Traditional Arabic" w:cs="Traditional Arabic"/>
          <w:sz w:val="24"/>
          <w:szCs w:val="24"/>
          <w:highlight w:val="yellow"/>
          <w:rtl/>
        </w:rPr>
        <w:t>ما أثر القيادة التحويلية على سلامة المرضى في المرافق الصحية الحكومية بالمملكة العربية السعودية؟</w:t>
      </w:r>
    </w:p>
    <w:p w14:paraId="4ACD4241" w14:textId="77777777" w:rsidR="000D046C" w:rsidRPr="007A68BA" w:rsidRDefault="000D046C">
      <w:pPr>
        <w:numPr>
          <w:ilvl w:val="0"/>
          <w:numId w:val="42"/>
        </w:numPr>
        <w:bidi/>
        <w:spacing w:after="200" w:line="276" w:lineRule="auto"/>
        <w:rPr>
          <w:rFonts w:ascii="Traditional Arabic" w:hAnsi="Traditional Arabic" w:cs="Traditional Arabic"/>
          <w:sz w:val="24"/>
          <w:szCs w:val="24"/>
          <w:highlight w:val="yellow"/>
        </w:rPr>
      </w:pPr>
      <w:r w:rsidRPr="007A68BA">
        <w:rPr>
          <w:rFonts w:ascii="Traditional Arabic" w:hAnsi="Traditional Arabic" w:cs="Traditional Arabic"/>
          <w:b/>
          <w:bCs/>
          <w:sz w:val="24"/>
          <w:szCs w:val="24"/>
          <w:highlight w:val="yellow"/>
        </w:rPr>
        <w:t xml:space="preserve">  </w:t>
      </w:r>
      <w:r w:rsidR="0078722F" w:rsidRPr="007A68BA">
        <w:rPr>
          <w:rFonts w:ascii="Traditional Arabic" w:hAnsi="Traditional Arabic" w:cs="Traditional Arabic"/>
          <w:b/>
          <w:bCs/>
          <w:sz w:val="24"/>
          <w:szCs w:val="24"/>
          <w:highlight w:val="yellow"/>
          <w:rtl/>
        </w:rPr>
        <w:t xml:space="preserve">التساؤل الرابع </w:t>
      </w:r>
      <w:r w:rsidR="0078722F" w:rsidRPr="007A68BA">
        <w:rPr>
          <w:rFonts w:ascii="Traditional Arabic" w:hAnsi="Traditional Arabic" w:cs="Traditional Arabic" w:hint="cs"/>
          <w:b/>
          <w:bCs/>
          <w:sz w:val="24"/>
          <w:szCs w:val="24"/>
          <w:highlight w:val="yellow"/>
          <w:rtl/>
        </w:rPr>
        <w:t>:</w:t>
      </w:r>
      <w:r w:rsidR="0078722F" w:rsidRPr="007A68BA">
        <w:rPr>
          <w:rFonts w:ascii="Traditional Arabic" w:hAnsi="Traditional Arabic" w:cs="Traditional Arabic"/>
          <w:b/>
          <w:bCs/>
          <w:sz w:val="24"/>
          <w:szCs w:val="24"/>
          <w:highlight w:val="yellow"/>
        </w:rPr>
        <w:t xml:space="preserve"> </w:t>
      </w:r>
      <w:r w:rsidRPr="007A68BA">
        <w:rPr>
          <w:rFonts w:ascii="Traditional Arabic" w:hAnsi="Traditional Arabic" w:cs="Traditional Arabic"/>
          <w:sz w:val="24"/>
          <w:szCs w:val="24"/>
          <w:highlight w:val="yellow"/>
          <w:rtl/>
        </w:rPr>
        <w:t>ما أثر ممارسات إدارة المخاطر (غير المباشر) على سلامة المرضى من خلال القيادة التحويلية كمتغير وسيط في المرافق الصحية الحكومية بالمملكة العربية السعودية؟</w:t>
      </w:r>
    </w:p>
    <w:p w14:paraId="3620F5D5" w14:textId="005E72B1" w:rsidR="00C74EAC" w:rsidRPr="007A68BA" w:rsidRDefault="0078722F">
      <w:pPr>
        <w:numPr>
          <w:ilvl w:val="0"/>
          <w:numId w:val="42"/>
        </w:numPr>
        <w:bidi/>
        <w:spacing w:after="200" w:line="276" w:lineRule="auto"/>
        <w:rPr>
          <w:rFonts w:ascii="Traditional Arabic" w:hAnsi="Traditional Arabic" w:cs="Traditional Arabic"/>
          <w:sz w:val="24"/>
          <w:szCs w:val="24"/>
          <w:highlight w:val="yellow"/>
          <w:rtl/>
        </w:rPr>
      </w:pPr>
      <w:r w:rsidRPr="007A68BA">
        <w:rPr>
          <w:rFonts w:ascii="Traditional Arabic" w:hAnsi="Traditional Arabic" w:cs="Traditional Arabic"/>
          <w:b/>
          <w:bCs/>
          <w:sz w:val="24"/>
          <w:szCs w:val="24"/>
          <w:highlight w:val="yellow"/>
          <w:rtl/>
        </w:rPr>
        <w:t xml:space="preserve">التساؤل الخامس </w:t>
      </w:r>
      <w:r w:rsidRPr="007A68BA">
        <w:rPr>
          <w:rFonts w:ascii="Traditional Arabic" w:hAnsi="Traditional Arabic" w:cs="Traditional Arabic" w:hint="cs"/>
          <w:b/>
          <w:bCs/>
          <w:sz w:val="24"/>
          <w:szCs w:val="24"/>
          <w:highlight w:val="yellow"/>
          <w:rtl/>
        </w:rPr>
        <w:t>:</w:t>
      </w:r>
      <w:r w:rsidRPr="007A68BA">
        <w:rPr>
          <w:rFonts w:ascii="Traditional Arabic" w:hAnsi="Traditional Arabic" w:cs="Traditional Arabic"/>
          <w:b/>
          <w:bCs/>
          <w:sz w:val="24"/>
          <w:szCs w:val="24"/>
          <w:highlight w:val="yellow"/>
        </w:rPr>
        <w:t xml:space="preserve"> "</w:t>
      </w:r>
      <w:r w:rsidRPr="007A68BA">
        <w:rPr>
          <w:rFonts w:ascii="Traditional Arabic" w:hAnsi="Traditional Arabic" w:cs="Traditional Arabic"/>
          <w:sz w:val="24"/>
          <w:szCs w:val="24"/>
          <w:highlight w:val="yellow"/>
          <w:rtl/>
        </w:rPr>
        <w:t>هل تختلف استجابات أفراد عينة الدراسة تجاه متغيرات البحث باختلاف خصائصهم الديموغرافية والوظيفية</w:t>
      </w:r>
      <w:r w:rsidR="000D046C" w:rsidRPr="007A68BA">
        <w:rPr>
          <w:rFonts w:ascii="Traditional Arabic" w:hAnsi="Traditional Arabic" w:cs="Traditional Arabic" w:hint="cs"/>
          <w:sz w:val="24"/>
          <w:szCs w:val="24"/>
          <w:highlight w:val="yellow"/>
          <w:rtl/>
        </w:rPr>
        <w:t xml:space="preserve"> من حيث</w:t>
      </w:r>
      <w:r w:rsidRPr="007A68BA">
        <w:rPr>
          <w:rFonts w:ascii="Traditional Arabic" w:hAnsi="Traditional Arabic" w:cs="Traditional Arabic"/>
          <w:sz w:val="24"/>
          <w:szCs w:val="24"/>
          <w:highlight w:val="yellow"/>
          <w:rtl/>
        </w:rPr>
        <w:t xml:space="preserve"> (النوع، المؤهل العلمي، نوع الوظيفة، سنوات الخبرة)؟</w:t>
      </w:r>
      <w:r w:rsidRPr="007A68BA">
        <w:rPr>
          <w:rFonts w:ascii="Traditional Arabic" w:hAnsi="Traditional Arabic" w:cs="Traditional Arabic"/>
          <w:sz w:val="24"/>
          <w:szCs w:val="24"/>
          <w:highlight w:val="yellow"/>
        </w:rPr>
        <w:t>"</w:t>
      </w:r>
    </w:p>
    <w:p w14:paraId="15174074" w14:textId="7A1C98DB" w:rsidR="00883E09" w:rsidRPr="00844164" w:rsidRDefault="00C11026" w:rsidP="00C74EAC">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t>أهمية الدراسة (</w:t>
      </w:r>
      <w:r w:rsidR="000A1E46" w:rsidRPr="00844164">
        <w:rPr>
          <w:rFonts w:ascii="Traditional Arabic" w:hAnsi="Traditional Arabic" w:cs="Traditional Arabic" w:hint="cs"/>
          <w:b/>
          <w:bCs/>
          <w:color w:val="00B0F0"/>
          <w:sz w:val="28"/>
          <w:szCs w:val="28"/>
          <w:u w:val="single"/>
          <w:rtl/>
        </w:rPr>
        <w:t>النظرية والتطبيقية</w:t>
      </w:r>
      <w:r w:rsidRPr="00844164">
        <w:rPr>
          <w:rFonts w:ascii="Traditional Arabic" w:hAnsi="Traditional Arabic" w:cs="Traditional Arabic" w:hint="cs"/>
          <w:b/>
          <w:bCs/>
          <w:color w:val="00B0F0"/>
          <w:sz w:val="28"/>
          <w:szCs w:val="28"/>
          <w:u w:val="single"/>
          <w:rtl/>
        </w:rPr>
        <w:t>)</w:t>
      </w:r>
      <w:r w:rsidR="00883E09" w:rsidRPr="00844164">
        <w:rPr>
          <w:rFonts w:ascii="Traditional Arabic" w:hAnsi="Traditional Arabic" w:cs="Traditional Arabic" w:hint="cs"/>
          <w:b/>
          <w:bCs/>
          <w:color w:val="00B0F0"/>
          <w:sz w:val="28"/>
          <w:szCs w:val="28"/>
          <w:u w:val="single"/>
          <w:rtl/>
        </w:rPr>
        <w:t>:</w:t>
      </w:r>
    </w:p>
    <w:p w14:paraId="1280ED08" w14:textId="77777777" w:rsidR="00114404" w:rsidRPr="00237BDF" w:rsidRDefault="00114404" w:rsidP="00114404">
      <w:pPr>
        <w:bidi/>
        <w:spacing w:line="360" w:lineRule="auto"/>
        <w:jc w:val="both"/>
        <w:rPr>
          <w:rFonts w:ascii="Traditional Arabic" w:hAnsi="Traditional Arabic" w:cs="Traditional Arabic"/>
          <w:sz w:val="28"/>
          <w:szCs w:val="28"/>
          <w:rtl/>
          <w:lang w:bidi="ar-EG"/>
        </w:rPr>
      </w:pPr>
      <w:r w:rsidRPr="00237BDF">
        <w:rPr>
          <w:rFonts w:ascii="Traditional Arabic" w:hAnsi="Traditional Arabic" w:cs="Traditional Arabic" w:hint="cs"/>
          <w:b/>
          <w:bCs/>
          <w:color w:val="000000" w:themeColor="text1"/>
          <w:sz w:val="28"/>
          <w:szCs w:val="28"/>
          <w:rtl/>
          <w:lang w:bidi="ar-EG"/>
        </w:rPr>
        <w:t>اولا</w:t>
      </w:r>
      <w:r w:rsidRPr="00237BDF">
        <w:rPr>
          <w:rFonts w:ascii="Traditional Arabic" w:hAnsi="Traditional Arabic" w:cs="Traditional Arabic" w:hint="cs"/>
          <w:b/>
          <w:bCs/>
          <w:sz w:val="28"/>
          <w:szCs w:val="28"/>
          <w:rtl/>
          <w:lang w:bidi="ar-EG"/>
        </w:rPr>
        <w:t>: الأهمية النظرية</w:t>
      </w:r>
      <w:r w:rsidRPr="00237BDF">
        <w:rPr>
          <w:rFonts w:ascii="Traditional Arabic" w:hAnsi="Traditional Arabic" w:cs="Traditional Arabic" w:hint="cs"/>
          <w:sz w:val="28"/>
          <w:szCs w:val="28"/>
          <w:rtl/>
          <w:lang w:bidi="ar-EG"/>
        </w:rPr>
        <w:t xml:space="preserve"> </w:t>
      </w:r>
    </w:p>
    <w:p w14:paraId="73E35ED9" w14:textId="18A556E6" w:rsidR="007B67FE" w:rsidRPr="008A3458" w:rsidRDefault="008A3458">
      <w:pPr>
        <w:numPr>
          <w:ilvl w:val="0"/>
          <w:numId w:val="26"/>
        </w:numPr>
        <w:bidi/>
        <w:spacing w:line="360" w:lineRule="auto"/>
        <w:jc w:val="both"/>
        <w:rPr>
          <w:rFonts w:ascii="Traditional Arabic" w:hAnsi="Traditional Arabic" w:cs="Traditional Arabic"/>
          <w:sz w:val="24"/>
          <w:szCs w:val="24"/>
          <w:lang w:bidi="ar-EG"/>
        </w:rPr>
      </w:pPr>
      <w:r w:rsidRPr="008A3458">
        <w:rPr>
          <w:rFonts w:ascii="Traditional Arabic" w:hAnsi="Traditional Arabic" w:cs="Traditional Arabic"/>
          <w:sz w:val="24"/>
          <w:szCs w:val="24"/>
          <w:rtl/>
        </w:rPr>
        <w:t>سد الفجوة المعرفية بين إدارة المخاطر وسلامة المرضى</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تسعى الدراسة إلى توضيح وبناء الأطر النظرية للعلاقة السببية بين ممارسات إدارة المخاطر ومستوى سلامة المرضى، وهو مجال لا يزال بحاجة إلى مزيد من التوثيق والتحليل في السياق البحثي العربي، وخاصة في المرافق الصحية الحكومية</w:t>
      </w:r>
      <w:r w:rsidR="007B67FE" w:rsidRPr="008A3458">
        <w:rPr>
          <w:rFonts w:ascii="Traditional Arabic" w:hAnsi="Traditional Arabic" w:cs="Traditional Arabic" w:hint="cs"/>
          <w:sz w:val="24"/>
          <w:szCs w:val="24"/>
          <w:lang w:bidi="ar-EG"/>
        </w:rPr>
        <w:t>.</w:t>
      </w:r>
    </w:p>
    <w:p w14:paraId="74BAADA7" w14:textId="5A4D918B" w:rsidR="007B67FE" w:rsidRPr="008A3458" w:rsidRDefault="008A3458">
      <w:pPr>
        <w:numPr>
          <w:ilvl w:val="0"/>
          <w:numId w:val="26"/>
        </w:numPr>
        <w:bidi/>
        <w:spacing w:line="360" w:lineRule="auto"/>
        <w:jc w:val="both"/>
        <w:rPr>
          <w:rFonts w:ascii="Traditional Arabic" w:hAnsi="Traditional Arabic" w:cs="Traditional Arabic"/>
          <w:sz w:val="24"/>
          <w:szCs w:val="24"/>
          <w:lang w:bidi="ar-EG"/>
        </w:rPr>
      </w:pPr>
      <w:r w:rsidRPr="008A3458">
        <w:rPr>
          <w:rFonts w:ascii="Traditional Arabic" w:hAnsi="Traditional Arabic" w:cs="Traditional Arabic"/>
          <w:sz w:val="24"/>
          <w:szCs w:val="24"/>
          <w:rtl/>
        </w:rPr>
        <w:lastRenderedPageBreak/>
        <w:t>إبراز الدور الوسيط للقيادة التحويلية</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تقدم الدراسة نموذجاً مفاهيمياً متكاملاً يوضح كيف يمكن للقيادة التحويلية أن تتوسط وتفسر العلاقة بين إدارة المخاطر وسلامة المرضى، مما يثري الأدبيات المتعلقة بالقيادة الصحية ويمنحها بعداً تحليلياً جديداً يربط الفكر القيادي بالنتائج السريرية</w:t>
      </w:r>
      <w:r w:rsidR="007B67FE" w:rsidRPr="008A3458">
        <w:rPr>
          <w:rFonts w:ascii="Traditional Arabic" w:hAnsi="Traditional Arabic" w:cs="Traditional Arabic" w:hint="cs"/>
          <w:sz w:val="24"/>
          <w:szCs w:val="24"/>
          <w:lang w:bidi="ar-EG"/>
        </w:rPr>
        <w:t>.</w:t>
      </w:r>
    </w:p>
    <w:p w14:paraId="4ADC1A0E" w14:textId="1901C33A" w:rsidR="00D62444" w:rsidRPr="008A3458" w:rsidRDefault="008A3458">
      <w:pPr>
        <w:numPr>
          <w:ilvl w:val="0"/>
          <w:numId w:val="26"/>
        </w:numPr>
        <w:bidi/>
        <w:spacing w:line="360" w:lineRule="auto"/>
        <w:jc w:val="both"/>
        <w:rPr>
          <w:rFonts w:ascii="Traditional Arabic" w:hAnsi="Traditional Arabic" w:cs="Traditional Arabic"/>
          <w:sz w:val="24"/>
          <w:szCs w:val="24"/>
          <w:rtl/>
          <w:lang w:bidi="ar-EG"/>
        </w:rPr>
      </w:pPr>
      <w:r w:rsidRPr="008A3458">
        <w:rPr>
          <w:rFonts w:ascii="Traditional Arabic" w:hAnsi="Traditional Arabic" w:cs="Traditional Arabic"/>
          <w:sz w:val="24"/>
          <w:szCs w:val="24"/>
          <w:rtl/>
        </w:rPr>
        <w:t>توسيع نطاق الدراسات في السياق العربي والبيئة السعودية</w:t>
      </w:r>
      <w:r w:rsidRPr="008A3458">
        <w:rPr>
          <w:rFonts w:ascii="Traditional Arabic" w:hAnsi="Traditional Arabic" w:cs="Traditional Arabic"/>
          <w:sz w:val="24"/>
          <w:szCs w:val="24"/>
        </w:rPr>
        <w:t xml:space="preserve">: </w:t>
      </w:r>
      <w:r w:rsidRPr="008A3458">
        <w:rPr>
          <w:rFonts w:ascii="Traditional Arabic" w:hAnsi="Traditional Arabic" w:cs="Traditional Arabic"/>
          <w:sz w:val="24"/>
          <w:szCs w:val="24"/>
          <w:rtl/>
        </w:rPr>
        <w:t>تُعد هذه الدراسة من المحاولات البحثية المتقدمة التي تتناول هذه العلاقة التشابكية في بيئة المرافق الصحية الحكومية في المملكة العربية السعودية، مما يمنحها قيمة علمية في إثراء الأدبيات المحلية، ويوفر مرجعاً نظرياً لمقارنتها بالنماذج العالمية المستقرة في هذا المجال</w:t>
      </w:r>
      <w:r w:rsidR="007B67FE" w:rsidRPr="008A3458">
        <w:rPr>
          <w:rFonts w:ascii="Traditional Arabic" w:hAnsi="Traditional Arabic" w:cs="Traditional Arabic" w:hint="cs"/>
          <w:sz w:val="24"/>
          <w:szCs w:val="24"/>
          <w:lang w:bidi="ar-EG"/>
        </w:rPr>
        <w:t>.</w:t>
      </w:r>
    </w:p>
    <w:p w14:paraId="6D6A78F6" w14:textId="77777777" w:rsidR="00114404" w:rsidRPr="001A6D31" w:rsidRDefault="00114404" w:rsidP="00114404">
      <w:pPr>
        <w:bidi/>
        <w:spacing w:line="360" w:lineRule="auto"/>
        <w:jc w:val="both"/>
        <w:rPr>
          <w:rFonts w:ascii="Traditional Arabic" w:hAnsi="Traditional Arabic" w:cs="Traditional Arabic"/>
          <w:b/>
          <w:bCs/>
          <w:color w:val="000000" w:themeColor="text1"/>
          <w:sz w:val="28"/>
          <w:szCs w:val="28"/>
          <w:rtl/>
          <w:lang w:bidi="ar-EG"/>
        </w:rPr>
      </w:pPr>
      <w:r w:rsidRPr="001A6D31">
        <w:rPr>
          <w:rFonts w:ascii="Traditional Arabic" w:hAnsi="Traditional Arabic" w:cs="Traditional Arabic" w:hint="cs"/>
          <w:b/>
          <w:bCs/>
          <w:color w:val="000000" w:themeColor="text1"/>
          <w:sz w:val="28"/>
          <w:szCs w:val="28"/>
          <w:rtl/>
          <w:lang w:bidi="ar-EG"/>
        </w:rPr>
        <w:t>ثانيا: الأهمية التطبيقية</w:t>
      </w:r>
    </w:p>
    <w:p w14:paraId="6F6CE884" w14:textId="77777777" w:rsidR="00D62444" w:rsidRPr="001A6D31" w:rsidRDefault="00114404" w:rsidP="001A6D31">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تظهر أهمية الدراسة عملياً من نتائجها التي قد تساعد صانعي القرار على تزويد القيادات بالمهارات اللازمة لاتباع نمط القيادة التحويلية عند مواجهة المخاطر ورفع مستوى القدرة على إدارتها بشكل يعزز من جوانب القوة لديها، ويخفف من سلبيات ضعفها، كما قد تساهم نتائج هذه الدراسة في تزويد مستشفى المملكة العربية السعودية بأبرز فجوات القيـادة التحويلية لديها، مما يساعدها على تخفيض حجم هذه الفجوات.</w:t>
      </w:r>
    </w:p>
    <w:p w14:paraId="035798DB" w14:textId="32565B9E" w:rsidR="005D1EEC" w:rsidRPr="006C58CD" w:rsidRDefault="003877A2" w:rsidP="006C58CD">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تحسين جودة الرعاية الصحية من خلال فهم العلاقة بين إدارة المخاطر وسلامة المرضى، وتقليل الأخطاء الطبية وتحسين تجربة المريض، وأيضا تعميم نتائجها لتشمل المستشفيات الخاصة والمراكز الصحية؛ مما يوسع نطاق التأثير العملي.</w:t>
      </w:r>
    </w:p>
    <w:p w14:paraId="0E8E9098" w14:textId="6D44CC1E" w:rsidR="00A16E60" w:rsidRPr="004B4F17" w:rsidRDefault="00C11026" w:rsidP="005D1EEC">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t>أ</w:t>
      </w:r>
      <w:r w:rsidR="00A16E60" w:rsidRPr="004B4F17">
        <w:rPr>
          <w:rFonts w:ascii="Traditional Arabic" w:hAnsi="Traditional Arabic" w:cs="Traditional Arabic" w:hint="cs"/>
          <w:b/>
          <w:bCs/>
          <w:color w:val="00B0F0"/>
          <w:sz w:val="28"/>
          <w:szCs w:val="28"/>
          <w:u w:val="single"/>
          <w:rtl/>
        </w:rPr>
        <w:t>هد</w:t>
      </w:r>
      <w:r w:rsidRPr="004B4F17">
        <w:rPr>
          <w:rFonts w:ascii="Traditional Arabic" w:hAnsi="Traditional Arabic" w:cs="Traditional Arabic" w:hint="cs"/>
          <w:b/>
          <w:bCs/>
          <w:color w:val="00B0F0"/>
          <w:sz w:val="28"/>
          <w:szCs w:val="28"/>
          <w:u w:val="single"/>
          <w:rtl/>
        </w:rPr>
        <w:t>ا</w:t>
      </w:r>
      <w:r w:rsidR="00A16E60" w:rsidRPr="004B4F17">
        <w:rPr>
          <w:rFonts w:ascii="Traditional Arabic" w:hAnsi="Traditional Arabic" w:cs="Traditional Arabic" w:hint="cs"/>
          <w:b/>
          <w:bCs/>
          <w:color w:val="00B0F0"/>
          <w:sz w:val="28"/>
          <w:szCs w:val="28"/>
          <w:u w:val="single"/>
          <w:rtl/>
        </w:rPr>
        <w:t>ف الدراسة:</w:t>
      </w:r>
    </w:p>
    <w:p w14:paraId="420568BE" w14:textId="1AF553BA" w:rsidR="00AD01DF" w:rsidRPr="004B4F17" w:rsidRDefault="00AD01DF" w:rsidP="004B4F17">
      <w:pPr>
        <w:bidi/>
        <w:spacing w:line="360" w:lineRule="auto"/>
        <w:ind w:firstLine="720"/>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sz w:val="24"/>
          <w:szCs w:val="24"/>
          <w:rtl/>
          <w:lang w:bidi="ar-EG"/>
        </w:rPr>
        <w:t>نظراً للدور الكبير الذي يؤديه مستشفيات المملكة العربية السعودية في الحفاظ على صحة المواطنين والمقيمين، مما أظهر أهمية قدرة القيادات فيه على إدارة المخاطر، باستخدام الأنماط القيادية الحديثة، والتي تعتمد تبادل الأدوار بين القادة والمرؤوسين، فإنّ هذه الدراسة تسعى للتعرف إلى:</w:t>
      </w:r>
    </w:p>
    <w:p w14:paraId="389867AC" w14:textId="008F3AF7" w:rsidR="002B1EBD"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التعرف على مستوى تطبيق ممارسات إدارة المخاطر، ومستوى تبني القيادة التحويلية، ومدى الالتزام بمعايير سلامة المرضى في المستشفيات الحكومية بالمملكة العربية السعودية من وجهة نظر العاملين</w:t>
      </w:r>
      <w:r w:rsidR="002B1EBD" w:rsidRPr="004B4F17">
        <w:rPr>
          <w:rFonts w:ascii="Traditional Arabic" w:eastAsia="Calibri" w:hAnsi="Traditional Arabic" w:cs="Traditional Arabic" w:hint="cs"/>
          <w:sz w:val="24"/>
          <w:szCs w:val="24"/>
          <w:rtl/>
          <w:lang w:bidi="ar-EG"/>
        </w:rPr>
        <w:t>.</w:t>
      </w:r>
    </w:p>
    <w:p w14:paraId="64900761" w14:textId="12079B36" w:rsidR="00AD01DF"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تحديد طبيعة واتجاه العلاقة الارتباطية المتبادلة بين ممارسات إدارة المخاطر، والقيادة التحويلية، وسلامة المرضى في المستشفيات الحكومية المستهدفة</w:t>
      </w:r>
      <w:r w:rsidR="00AD01DF" w:rsidRPr="004B4F17">
        <w:rPr>
          <w:rFonts w:ascii="Traditional Arabic" w:eastAsia="Calibri" w:hAnsi="Traditional Arabic" w:cs="Traditional Arabic" w:hint="cs"/>
          <w:sz w:val="24"/>
          <w:szCs w:val="24"/>
          <w:rtl/>
          <w:lang w:bidi="ar-EG"/>
        </w:rPr>
        <w:t>.</w:t>
      </w:r>
    </w:p>
    <w:p w14:paraId="3E78BC1D" w14:textId="02458779" w:rsidR="00B12489" w:rsidRPr="004B4F17"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t>قياس مدى تأثير كل من ممارسات إدارة المخاطر والقيادة التحويلية (كلٌ على حدة) على مستوى سلامة المرضى في المستشفيات الحكومية بالمملكة العربية السعودية</w:t>
      </w:r>
      <w:r w:rsidR="00C75A49" w:rsidRPr="004B4F17">
        <w:rPr>
          <w:rFonts w:ascii="Traditional Arabic" w:eastAsia="Calibri" w:hAnsi="Traditional Arabic" w:cs="Traditional Arabic" w:hint="cs"/>
          <w:sz w:val="24"/>
          <w:szCs w:val="24"/>
          <w:rtl/>
          <w:lang w:bidi="ar-EG"/>
        </w:rPr>
        <w:t>.</w:t>
      </w:r>
    </w:p>
    <w:p w14:paraId="4168C65D" w14:textId="77777777" w:rsidR="008A3458"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lang w:bidi="ar-EG"/>
        </w:rPr>
      </w:pPr>
      <w:r w:rsidRPr="008A3458">
        <w:rPr>
          <w:rFonts w:ascii="Traditional Arabic" w:eastAsia="Calibri" w:hAnsi="Traditional Arabic" w:cs="Traditional Arabic"/>
          <w:sz w:val="24"/>
          <w:szCs w:val="24"/>
          <w:rtl/>
        </w:rPr>
        <w:lastRenderedPageBreak/>
        <w:t>الكشف عن الأثر غير المباشر والدور الوسيط الذي تلعبه القيادة التحويلية في تفسير وتعزيز العلاقة بين ممارسات إدارة المخاطر وسلامة المرضى</w:t>
      </w:r>
    </w:p>
    <w:p w14:paraId="69CF7559" w14:textId="0295A1B1" w:rsidR="008A3458" w:rsidRPr="008A3458" w:rsidRDefault="008A3458">
      <w:pPr>
        <w:pStyle w:val="ListParagraph"/>
        <w:numPr>
          <w:ilvl w:val="0"/>
          <w:numId w:val="2"/>
        </w:numPr>
        <w:bidi/>
        <w:spacing w:after="200" w:line="360" w:lineRule="auto"/>
        <w:jc w:val="both"/>
        <w:rPr>
          <w:rFonts w:ascii="Traditional Arabic" w:eastAsia="Calibri" w:hAnsi="Traditional Arabic" w:cs="Traditional Arabic"/>
          <w:sz w:val="24"/>
          <w:szCs w:val="24"/>
          <w:rtl/>
          <w:lang w:bidi="ar-EG"/>
        </w:rPr>
      </w:pPr>
      <w:r w:rsidRPr="008A3458">
        <w:rPr>
          <w:rFonts w:ascii="Traditional Arabic" w:eastAsia="Calibri" w:hAnsi="Traditional Arabic" w:cs="Traditional Arabic"/>
          <w:sz w:val="24"/>
          <w:szCs w:val="24"/>
          <w:rtl/>
        </w:rPr>
        <w:t xml:space="preserve">الكشف عن مدى وجود فروق ذات دلالة إحصائية في استجابات أفراد عينة الدراسة تجاه متغيرات البحث تُعزى لخصائصهم الديموغرافية والوظيفية (النوع، المؤهل العلمي، نوع الوظيفة، سنوات الخبرة) </w:t>
      </w:r>
    </w:p>
    <w:p w14:paraId="69389CED" w14:textId="711FBE2B" w:rsidR="00A16E60" w:rsidRPr="004B4F17" w:rsidRDefault="00A16E60" w:rsidP="008A3458">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t>فرضيات الدراسة:</w:t>
      </w:r>
    </w:p>
    <w:p w14:paraId="77B2F5E9" w14:textId="794C8EA4" w:rsidR="009F15CA" w:rsidRPr="000C37A9" w:rsidRDefault="009F15CA" w:rsidP="004B4F17">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0C37A9">
        <w:rPr>
          <w:rFonts w:ascii="Traditional Arabic" w:eastAsia="Calibri" w:hAnsi="Traditional Arabic" w:cs="Traditional Arabic"/>
          <w:b/>
          <w:bCs/>
          <w:sz w:val="24"/>
          <w:szCs w:val="24"/>
          <w:highlight w:val="yellow"/>
          <w:rtl/>
          <w:lang w:bidi="ar-EG"/>
        </w:rPr>
        <w:t xml:space="preserve">الفرض </w:t>
      </w:r>
      <w:r w:rsidR="00410FFD" w:rsidRPr="000C37A9">
        <w:rPr>
          <w:rFonts w:ascii="Traditional Arabic" w:eastAsia="Calibri" w:hAnsi="Traditional Arabic" w:cs="Traditional Arabic" w:hint="cs"/>
          <w:b/>
          <w:bCs/>
          <w:sz w:val="24"/>
          <w:szCs w:val="24"/>
          <w:highlight w:val="yellow"/>
          <w:rtl/>
          <w:lang w:bidi="ar-EG"/>
        </w:rPr>
        <w:t xml:space="preserve">الأول: </w:t>
      </w:r>
      <w:r w:rsidR="00410FFD" w:rsidRPr="000C37A9">
        <w:rPr>
          <w:rFonts w:ascii="Traditional Arabic" w:eastAsia="Calibri" w:hAnsi="Traditional Arabic" w:cs="Traditional Arabic" w:hint="cs"/>
          <w:sz w:val="24"/>
          <w:szCs w:val="24"/>
          <w:highlight w:val="yellow"/>
          <w:rtl/>
          <w:lang w:bidi="ar-EG"/>
        </w:rPr>
        <w:t>يوجد</w:t>
      </w:r>
      <w:r w:rsidRPr="000C37A9">
        <w:rPr>
          <w:rFonts w:ascii="Traditional Arabic" w:eastAsia="Calibri" w:hAnsi="Traditional Arabic" w:cs="Traditional Arabic"/>
          <w:sz w:val="24"/>
          <w:szCs w:val="24"/>
          <w:highlight w:val="yellow"/>
          <w:rtl/>
          <w:lang w:bidi="ar-EG"/>
        </w:rPr>
        <w:t xml:space="preserve"> </w:t>
      </w:r>
      <w:r w:rsidR="00410FFD" w:rsidRPr="000C37A9">
        <w:rPr>
          <w:rFonts w:ascii="Traditional Arabic" w:eastAsia="Calibri" w:hAnsi="Traditional Arabic" w:cs="Traditional Arabic" w:hint="cs"/>
          <w:sz w:val="24"/>
          <w:szCs w:val="24"/>
          <w:highlight w:val="yellow"/>
          <w:rtl/>
          <w:lang w:bidi="ar-EG"/>
        </w:rPr>
        <w:t>تأثير مباشر ذو دلالة إحصائية لممارسات إدارة المخاطر على القيادة التحويلية في المرافق الصحية الحكومية بالمملكة العربية السعودية.</w:t>
      </w:r>
    </w:p>
    <w:p w14:paraId="7B369249" w14:textId="651A6F6F" w:rsidR="009F15CA" w:rsidRPr="000C37A9" w:rsidRDefault="009F15CA" w:rsidP="009F15CA">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0C37A9">
        <w:rPr>
          <w:rFonts w:ascii="Traditional Arabic" w:eastAsia="Calibri" w:hAnsi="Traditional Arabic" w:cs="Traditional Arabic"/>
          <w:b/>
          <w:bCs/>
          <w:sz w:val="24"/>
          <w:szCs w:val="24"/>
          <w:highlight w:val="yellow"/>
          <w:rtl/>
          <w:lang w:bidi="ar-EG"/>
        </w:rPr>
        <w:t xml:space="preserve">الفرض الثاني </w:t>
      </w:r>
      <w:r w:rsidR="00410FFD" w:rsidRPr="000C37A9">
        <w:rPr>
          <w:rFonts w:ascii="Traditional Arabic" w:eastAsia="Calibri" w:hAnsi="Traditional Arabic" w:cs="Traditional Arabic" w:hint="cs"/>
          <w:b/>
          <w:bCs/>
          <w:sz w:val="24"/>
          <w:szCs w:val="24"/>
          <w:highlight w:val="yellow"/>
          <w:rtl/>
          <w:lang w:bidi="ar-EG"/>
        </w:rPr>
        <w:t xml:space="preserve">: </w:t>
      </w:r>
      <w:r w:rsidRPr="000C37A9">
        <w:rPr>
          <w:rFonts w:ascii="Traditional Arabic" w:eastAsia="Calibri" w:hAnsi="Traditional Arabic" w:cs="Traditional Arabic"/>
          <w:sz w:val="24"/>
          <w:szCs w:val="24"/>
          <w:highlight w:val="yellow"/>
          <w:rtl/>
          <w:lang w:bidi="ar-EG"/>
        </w:rPr>
        <w:t>يوجد تأثير</w:t>
      </w:r>
      <w:r w:rsidR="00410FFD" w:rsidRPr="000C37A9">
        <w:rPr>
          <w:rFonts w:ascii="Traditional Arabic" w:eastAsia="Calibri" w:hAnsi="Traditional Arabic" w:cs="Traditional Arabic" w:hint="cs"/>
          <w:sz w:val="24"/>
          <w:szCs w:val="24"/>
          <w:highlight w:val="yellow"/>
          <w:rtl/>
          <w:lang w:bidi="ar-EG"/>
        </w:rPr>
        <w:t xml:space="preserve"> مباشر</w:t>
      </w:r>
      <w:r w:rsidRPr="000C37A9">
        <w:rPr>
          <w:rFonts w:ascii="Traditional Arabic" w:eastAsia="Calibri" w:hAnsi="Traditional Arabic" w:cs="Traditional Arabic"/>
          <w:sz w:val="24"/>
          <w:szCs w:val="24"/>
          <w:highlight w:val="yellow"/>
          <w:rtl/>
          <w:lang w:bidi="ar-EG"/>
        </w:rPr>
        <w:t xml:space="preserve"> ذو دلالة إحصائية </w:t>
      </w:r>
      <w:r w:rsidR="00410FFD" w:rsidRPr="000C37A9">
        <w:rPr>
          <w:rFonts w:ascii="Traditional Arabic" w:eastAsia="Calibri" w:hAnsi="Traditional Arabic" w:cs="Traditional Arabic" w:hint="cs"/>
          <w:sz w:val="24"/>
          <w:szCs w:val="24"/>
          <w:highlight w:val="yellow"/>
          <w:rtl/>
          <w:lang w:bidi="ar-EG"/>
        </w:rPr>
        <w:t>لممارسات إدارة المخاطر على سلامة المرضى في المرافق الصحية الحكومية بالمملكة العربية السعودية.</w:t>
      </w:r>
    </w:p>
    <w:p w14:paraId="76373BB6" w14:textId="684822D2" w:rsidR="009F15CA" w:rsidRPr="000C37A9" w:rsidRDefault="009F15CA" w:rsidP="009F15CA">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0C37A9">
        <w:rPr>
          <w:rFonts w:ascii="Traditional Arabic" w:eastAsia="Calibri" w:hAnsi="Traditional Arabic" w:cs="Traditional Arabic"/>
          <w:b/>
          <w:bCs/>
          <w:sz w:val="24"/>
          <w:szCs w:val="24"/>
          <w:highlight w:val="yellow"/>
          <w:rtl/>
          <w:lang w:bidi="ar-EG"/>
        </w:rPr>
        <w:t xml:space="preserve">الفرض الثالث </w:t>
      </w:r>
      <w:r w:rsidR="00410FFD" w:rsidRPr="000C37A9">
        <w:rPr>
          <w:rFonts w:ascii="Traditional Arabic" w:eastAsia="Calibri" w:hAnsi="Traditional Arabic" w:cs="Traditional Arabic" w:hint="cs"/>
          <w:b/>
          <w:bCs/>
          <w:sz w:val="24"/>
          <w:szCs w:val="24"/>
          <w:highlight w:val="yellow"/>
          <w:rtl/>
          <w:lang w:bidi="ar-EG"/>
        </w:rPr>
        <w:t xml:space="preserve">: </w:t>
      </w:r>
      <w:r w:rsidRPr="000C37A9">
        <w:rPr>
          <w:rFonts w:ascii="Traditional Arabic" w:eastAsia="Calibri" w:hAnsi="Traditional Arabic" w:cs="Traditional Arabic"/>
          <w:sz w:val="24"/>
          <w:szCs w:val="24"/>
          <w:highlight w:val="yellow"/>
          <w:rtl/>
          <w:lang w:bidi="ar-EG"/>
        </w:rPr>
        <w:t>يوجد تأثير</w:t>
      </w:r>
      <w:r w:rsidR="008D0DFB" w:rsidRPr="000C37A9">
        <w:rPr>
          <w:rFonts w:ascii="Traditional Arabic" w:eastAsia="Calibri" w:hAnsi="Traditional Arabic" w:cs="Traditional Arabic" w:hint="cs"/>
          <w:sz w:val="24"/>
          <w:szCs w:val="24"/>
          <w:highlight w:val="yellow"/>
          <w:rtl/>
          <w:lang w:bidi="ar-EG"/>
        </w:rPr>
        <w:t xml:space="preserve"> مباشر</w:t>
      </w:r>
      <w:r w:rsidRPr="000C37A9">
        <w:rPr>
          <w:rFonts w:ascii="Traditional Arabic" w:eastAsia="Calibri" w:hAnsi="Traditional Arabic" w:cs="Traditional Arabic"/>
          <w:sz w:val="24"/>
          <w:szCs w:val="24"/>
          <w:highlight w:val="yellow"/>
          <w:rtl/>
          <w:lang w:bidi="ar-EG"/>
        </w:rPr>
        <w:t xml:space="preserve"> ذو دلالة إحصائية للقيادة التحويلية على سلامة المرضى في </w:t>
      </w:r>
      <w:r w:rsidR="008D0DFB" w:rsidRPr="000C37A9">
        <w:rPr>
          <w:rFonts w:ascii="Traditional Arabic" w:eastAsia="Calibri" w:hAnsi="Traditional Arabic" w:cs="Traditional Arabic" w:hint="cs"/>
          <w:sz w:val="24"/>
          <w:szCs w:val="24"/>
          <w:highlight w:val="yellow"/>
          <w:rtl/>
          <w:lang w:bidi="ar-EG"/>
        </w:rPr>
        <w:t>المرافق الصحية</w:t>
      </w:r>
      <w:r w:rsidRPr="000C37A9">
        <w:rPr>
          <w:rFonts w:ascii="Traditional Arabic" w:eastAsia="Calibri" w:hAnsi="Traditional Arabic" w:cs="Traditional Arabic"/>
          <w:sz w:val="24"/>
          <w:szCs w:val="24"/>
          <w:highlight w:val="yellow"/>
          <w:rtl/>
          <w:lang w:bidi="ar-EG"/>
        </w:rPr>
        <w:t xml:space="preserve"> الحكومية بالمملكة العربية السعودية.</w:t>
      </w:r>
    </w:p>
    <w:p w14:paraId="102D5AFD" w14:textId="30DD7F40" w:rsidR="009F15CA" w:rsidRPr="000C37A9" w:rsidRDefault="009F15CA" w:rsidP="009F15CA">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0C37A9">
        <w:rPr>
          <w:rFonts w:ascii="Traditional Arabic" w:eastAsia="Calibri" w:hAnsi="Traditional Arabic" w:cs="Traditional Arabic"/>
          <w:b/>
          <w:bCs/>
          <w:sz w:val="24"/>
          <w:szCs w:val="24"/>
          <w:highlight w:val="yellow"/>
          <w:rtl/>
          <w:lang w:bidi="ar-EG"/>
        </w:rPr>
        <w:t xml:space="preserve">الفرض الرابع </w:t>
      </w:r>
      <w:r w:rsidR="008D0DFB" w:rsidRPr="000C37A9">
        <w:rPr>
          <w:rFonts w:ascii="Traditional Arabic" w:eastAsia="Calibri" w:hAnsi="Traditional Arabic" w:cs="Traditional Arabic" w:hint="cs"/>
          <w:b/>
          <w:bCs/>
          <w:sz w:val="24"/>
          <w:szCs w:val="24"/>
          <w:highlight w:val="yellow"/>
          <w:rtl/>
          <w:lang w:bidi="ar-EG"/>
        </w:rPr>
        <w:t xml:space="preserve">: </w:t>
      </w:r>
      <w:r w:rsidRPr="000C37A9">
        <w:rPr>
          <w:rFonts w:ascii="Traditional Arabic" w:eastAsia="Calibri" w:hAnsi="Traditional Arabic" w:cs="Traditional Arabic"/>
          <w:sz w:val="24"/>
          <w:szCs w:val="24"/>
          <w:highlight w:val="yellow"/>
          <w:rtl/>
          <w:lang w:bidi="ar-EG"/>
        </w:rPr>
        <w:t>يوجد تأثير</w:t>
      </w:r>
      <w:r w:rsidR="008D0DFB" w:rsidRPr="000C37A9">
        <w:rPr>
          <w:rFonts w:ascii="Traditional Arabic" w:eastAsia="Calibri" w:hAnsi="Traditional Arabic" w:cs="Traditional Arabic" w:hint="cs"/>
          <w:sz w:val="24"/>
          <w:szCs w:val="24"/>
          <w:highlight w:val="yellow"/>
          <w:rtl/>
          <w:lang w:bidi="ar-EG"/>
        </w:rPr>
        <w:t xml:space="preserve"> غير مباشر</w:t>
      </w:r>
      <w:r w:rsidRPr="000C37A9">
        <w:rPr>
          <w:rFonts w:ascii="Traditional Arabic" w:eastAsia="Calibri" w:hAnsi="Traditional Arabic" w:cs="Traditional Arabic"/>
          <w:sz w:val="24"/>
          <w:szCs w:val="24"/>
          <w:highlight w:val="yellow"/>
          <w:rtl/>
          <w:lang w:bidi="ar-EG"/>
        </w:rPr>
        <w:t xml:space="preserve"> ذو دلالة إحصائية </w:t>
      </w:r>
      <w:r w:rsidR="008D0DFB" w:rsidRPr="000C37A9">
        <w:rPr>
          <w:rFonts w:ascii="Traditional Arabic" w:eastAsia="Calibri" w:hAnsi="Traditional Arabic" w:cs="Traditional Arabic" w:hint="cs"/>
          <w:sz w:val="24"/>
          <w:szCs w:val="24"/>
          <w:highlight w:val="yellow"/>
          <w:rtl/>
          <w:lang w:bidi="ar-EG"/>
        </w:rPr>
        <w:t>لممارسات إدارة المخاطر</w:t>
      </w:r>
      <w:r w:rsidRPr="000C37A9">
        <w:rPr>
          <w:rFonts w:ascii="Traditional Arabic" w:eastAsia="Calibri" w:hAnsi="Traditional Arabic" w:cs="Traditional Arabic"/>
          <w:sz w:val="24"/>
          <w:szCs w:val="24"/>
          <w:highlight w:val="yellow"/>
          <w:rtl/>
          <w:lang w:bidi="ar-EG"/>
        </w:rPr>
        <w:t xml:space="preserve"> </w:t>
      </w:r>
      <w:r w:rsidR="008D0DFB" w:rsidRPr="000C37A9">
        <w:rPr>
          <w:rFonts w:ascii="Traditional Arabic" w:eastAsia="Calibri" w:hAnsi="Traditional Arabic" w:cs="Traditional Arabic" w:hint="cs"/>
          <w:sz w:val="24"/>
          <w:szCs w:val="24"/>
          <w:highlight w:val="yellow"/>
          <w:rtl/>
          <w:lang w:bidi="ar-EG"/>
        </w:rPr>
        <w:t xml:space="preserve">على </w:t>
      </w:r>
      <w:r w:rsidRPr="000C37A9">
        <w:rPr>
          <w:rFonts w:ascii="Traditional Arabic" w:eastAsia="Calibri" w:hAnsi="Traditional Arabic" w:cs="Traditional Arabic"/>
          <w:sz w:val="24"/>
          <w:szCs w:val="24"/>
          <w:highlight w:val="yellow"/>
          <w:rtl/>
          <w:lang w:bidi="ar-EG"/>
        </w:rPr>
        <w:t>سلامة المرضى</w:t>
      </w:r>
      <w:r w:rsidR="008D0DFB" w:rsidRPr="000C37A9">
        <w:rPr>
          <w:rFonts w:ascii="Traditional Arabic" w:eastAsia="Calibri" w:hAnsi="Traditional Arabic" w:cs="Traditional Arabic" w:hint="cs"/>
          <w:sz w:val="24"/>
          <w:szCs w:val="24"/>
          <w:highlight w:val="yellow"/>
          <w:rtl/>
          <w:lang w:bidi="ar-EG"/>
        </w:rPr>
        <w:t xml:space="preserve"> من خلال القيادة التحويلية كمتغير وسيط في المرافق</w:t>
      </w:r>
      <w:r w:rsidRPr="000C37A9">
        <w:rPr>
          <w:rFonts w:ascii="Traditional Arabic" w:eastAsia="Calibri" w:hAnsi="Traditional Arabic" w:cs="Traditional Arabic"/>
          <w:sz w:val="24"/>
          <w:szCs w:val="24"/>
          <w:highlight w:val="yellow"/>
          <w:rtl/>
          <w:lang w:bidi="ar-EG"/>
        </w:rPr>
        <w:t xml:space="preserve"> </w:t>
      </w:r>
      <w:r w:rsidR="008D0DFB" w:rsidRPr="000C37A9">
        <w:rPr>
          <w:rFonts w:ascii="Traditional Arabic" w:eastAsia="Calibri" w:hAnsi="Traditional Arabic" w:cs="Traditional Arabic" w:hint="cs"/>
          <w:sz w:val="24"/>
          <w:szCs w:val="24"/>
          <w:highlight w:val="yellow"/>
          <w:rtl/>
          <w:lang w:bidi="ar-EG"/>
        </w:rPr>
        <w:t>الصحية</w:t>
      </w:r>
      <w:r w:rsidRPr="000C37A9">
        <w:rPr>
          <w:rFonts w:ascii="Traditional Arabic" w:eastAsia="Calibri" w:hAnsi="Traditional Arabic" w:cs="Traditional Arabic"/>
          <w:sz w:val="24"/>
          <w:szCs w:val="24"/>
          <w:highlight w:val="yellow"/>
          <w:rtl/>
          <w:lang w:bidi="ar-EG"/>
        </w:rPr>
        <w:t xml:space="preserve"> الحكومية بالمملكة العربية السعودية</w:t>
      </w:r>
      <w:r w:rsidRPr="000C37A9">
        <w:rPr>
          <w:rFonts w:ascii="Traditional Arabic" w:eastAsia="Calibri" w:hAnsi="Traditional Arabic" w:cs="Traditional Arabic" w:hint="cs"/>
          <w:sz w:val="24"/>
          <w:szCs w:val="24"/>
          <w:highlight w:val="yellow"/>
          <w:rtl/>
          <w:lang w:bidi="ar-EG"/>
        </w:rPr>
        <w:t>.</w:t>
      </w:r>
    </w:p>
    <w:p w14:paraId="2049B541" w14:textId="18D380F8" w:rsidR="004B4F17" w:rsidRPr="009F15CA" w:rsidRDefault="009F15CA" w:rsidP="009F15CA">
      <w:pPr>
        <w:bidi/>
        <w:spacing w:after="200" w:line="360" w:lineRule="auto"/>
        <w:ind w:left="720" w:hanging="720"/>
        <w:contextualSpacing/>
        <w:jc w:val="both"/>
        <w:rPr>
          <w:rFonts w:ascii="Traditional Arabic" w:eastAsia="Calibri" w:hAnsi="Traditional Arabic" w:cs="Traditional Arabic"/>
          <w:sz w:val="24"/>
          <w:szCs w:val="24"/>
          <w:lang w:bidi="ar-EG"/>
        </w:rPr>
      </w:pPr>
      <w:r w:rsidRPr="000C37A9">
        <w:rPr>
          <w:rFonts w:ascii="Traditional Arabic" w:eastAsia="Calibri" w:hAnsi="Traditional Arabic" w:cs="Traditional Arabic"/>
          <w:b/>
          <w:bCs/>
          <w:sz w:val="24"/>
          <w:szCs w:val="24"/>
          <w:highlight w:val="yellow"/>
          <w:rtl/>
          <w:lang w:bidi="ar-EG"/>
        </w:rPr>
        <w:t xml:space="preserve">الفرض الخامس </w:t>
      </w:r>
      <w:r w:rsidR="008D0DFB" w:rsidRPr="000C37A9">
        <w:rPr>
          <w:rFonts w:ascii="Traditional Arabic" w:eastAsia="Calibri" w:hAnsi="Traditional Arabic" w:cs="Traditional Arabic" w:hint="cs"/>
          <w:b/>
          <w:bCs/>
          <w:sz w:val="24"/>
          <w:szCs w:val="24"/>
          <w:highlight w:val="yellow"/>
          <w:rtl/>
          <w:lang w:bidi="ar-EG"/>
        </w:rPr>
        <w:t xml:space="preserve">: </w:t>
      </w:r>
      <w:r w:rsidRPr="000C37A9">
        <w:rPr>
          <w:rFonts w:ascii="Traditional Arabic" w:eastAsia="Calibri" w:hAnsi="Traditional Arabic" w:cs="Traditional Arabic"/>
          <w:sz w:val="24"/>
          <w:szCs w:val="24"/>
          <w:highlight w:val="yellow"/>
          <w:rtl/>
          <w:lang w:bidi="ar-EG"/>
        </w:rPr>
        <w:t xml:space="preserve">توجد فروق ذات دلالة إحصائية في </w:t>
      </w:r>
      <w:r w:rsidR="008D0DFB" w:rsidRPr="000C37A9">
        <w:rPr>
          <w:rFonts w:ascii="Traditional Arabic" w:eastAsia="Calibri" w:hAnsi="Traditional Arabic" w:cs="Traditional Arabic" w:hint="cs"/>
          <w:sz w:val="24"/>
          <w:szCs w:val="24"/>
          <w:highlight w:val="yellow"/>
          <w:rtl/>
          <w:lang w:bidi="ar-EG"/>
        </w:rPr>
        <w:t>إستجابات</w:t>
      </w:r>
      <w:r w:rsidRPr="000C37A9">
        <w:rPr>
          <w:rFonts w:ascii="Traditional Arabic" w:eastAsia="Calibri" w:hAnsi="Traditional Arabic" w:cs="Traditional Arabic"/>
          <w:sz w:val="24"/>
          <w:szCs w:val="24"/>
          <w:highlight w:val="yellow"/>
          <w:rtl/>
          <w:lang w:bidi="ar-EG"/>
        </w:rPr>
        <w:t xml:space="preserve"> أفراد العينة</w:t>
      </w:r>
      <w:r w:rsidR="008D0DFB" w:rsidRPr="000C37A9">
        <w:rPr>
          <w:rFonts w:ascii="Traditional Arabic" w:eastAsia="Calibri" w:hAnsi="Traditional Arabic" w:cs="Traditional Arabic" w:hint="cs"/>
          <w:sz w:val="24"/>
          <w:szCs w:val="24"/>
          <w:highlight w:val="yellow"/>
          <w:rtl/>
          <w:lang w:bidi="ar-EG"/>
        </w:rPr>
        <w:t xml:space="preserve"> حول</w:t>
      </w:r>
      <w:r w:rsidRPr="000C37A9">
        <w:rPr>
          <w:rFonts w:ascii="Traditional Arabic" w:eastAsia="Calibri" w:hAnsi="Traditional Arabic" w:cs="Traditional Arabic"/>
          <w:sz w:val="24"/>
          <w:szCs w:val="24"/>
          <w:highlight w:val="yellow"/>
          <w:rtl/>
          <w:lang w:bidi="ar-EG"/>
        </w:rPr>
        <w:t xml:space="preserve"> متغيرات الدراسة تُعزى للمتغيرات الديموغرافية والوظيفية </w:t>
      </w:r>
      <w:r w:rsidR="008D0DFB" w:rsidRPr="000C37A9">
        <w:rPr>
          <w:rFonts w:ascii="Traditional Arabic" w:eastAsia="Calibri" w:hAnsi="Traditional Arabic" w:cs="Traditional Arabic" w:hint="cs"/>
          <w:sz w:val="24"/>
          <w:szCs w:val="24"/>
          <w:highlight w:val="yellow"/>
          <w:rtl/>
          <w:lang w:bidi="ar-EG"/>
        </w:rPr>
        <w:t xml:space="preserve">المتمثلة في </w:t>
      </w:r>
      <w:r w:rsidRPr="000C37A9">
        <w:rPr>
          <w:rFonts w:ascii="Traditional Arabic" w:eastAsia="Calibri" w:hAnsi="Traditional Arabic" w:cs="Traditional Arabic"/>
          <w:sz w:val="24"/>
          <w:szCs w:val="24"/>
          <w:highlight w:val="yellow"/>
          <w:rtl/>
          <w:lang w:bidi="ar-EG"/>
        </w:rPr>
        <w:t>(النوع، المؤهل العلمي، نوع الوظيفة، سنوات الخبرة)."</w:t>
      </w:r>
    </w:p>
    <w:p w14:paraId="2A18AB29" w14:textId="77777777" w:rsidR="009F15CA" w:rsidRDefault="009F15CA" w:rsidP="00616897">
      <w:pPr>
        <w:bidi/>
        <w:spacing w:after="200" w:line="360" w:lineRule="auto"/>
        <w:contextualSpacing/>
        <w:jc w:val="both"/>
        <w:rPr>
          <w:rFonts w:ascii="Traditional Arabic" w:eastAsia="Calibri" w:hAnsi="Traditional Arabic" w:cs="Traditional Arabic"/>
          <w:sz w:val="24"/>
          <w:szCs w:val="24"/>
          <w:rtl/>
          <w:lang w:bidi="ar-EG"/>
        </w:rPr>
      </w:pPr>
    </w:p>
    <w:p w14:paraId="4531D0B7" w14:textId="77777777" w:rsidR="007A68BA" w:rsidRDefault="007A68BA" w:rsidP="00876D6E">
      <w:pPr>
        <w:bidi/>
        <w:spacing w:after="200" w:line="276" w:lineRule="auto"/>
        <w:rPr>
          <w:rFonts w:ascii="Traditional Arabic" w:hAnsi="Traditional Arabic" w:cs="Traditional Arabic"/>
          <w:b/>
          <w:bCs/>
          <w:color w:val="00B0F0"/>
          <w:sz w:val="28"/>
          <w:szCs w:val="28"/>
          <w:u w:val="single"/>
          <w:rtl/>
        </w:rPr>
      </w:pPr>
    </w:p>
    <w:p w14:paraId="409F38DF" w14:textId="77777777" w:rsidR="007A68BA" w:rsidRDefault="007A68BA" w:rsidP="007A68BA">
      <w:pPr>
        <w:bidi/>
        <w:spacing w:after="200" w:line="276" w:lineRule="auto"/>
        <w:rPr>
          <w:rFonts w:ascii="Traditional Arabic" w:hAnsi="Traditional Arabic" w:cs="Traditional Arabic"/>
          <w:b/>
          <w:bCs/>
          <w:color w:val="00B0F0"/>
          <w:sz w:val="28"/>
          <w:szCs w:val="28"/>
          <w:u w:val="single"/>
          <w:rtl/>
        </w:rPr>
      </w:pPr>
    </w:p>
    <w:p w14:paraId="69F66E4C" w14:textId="77777777" w:rsidR="007A68BA" w:rsidRDefault="007A68BA" w:rsidP="007A68BA">
      <w:pPr>
        <w:bidi/>
        <w:spacing w:after="200" w:line="276" w:lineRule="auto"/>
        <w:rPr>
          <w:rFonts w:ascii="Traditional Arabic" w:hAnsi="Traditional Arabic" w:cs="Traditional Arabic"/>
          <w:b/>
          <w:bCs/>
          <w:color w:val="00B0F0"/>
          <w:sz w:val="28"/>
          <w:szCs w:val="28"/>
          <w:u w:val="single"/>
          <w:rtl/>
        </w:rPr>
      </w:pPr>
    </w:p>
    <w:p w14:paraId="0CF76FA4" w14:textId="77777777" w:rsidR="006C58CD" w:rsidRDefault="006C58CD" w:rsidP="006C58CD">
      <w:pPr>
        <w:bidi/>
        <w:spacing w:after="200" w:line="276" w:lineRule="auto"/>
        <w:rPr>
          <w:rFonts w:ascii="Traditional Arabic" w:hAnsi="Traditional Arabic" w:cs="Traditional Arabic"/>
          <w:b/>
          <w:bCs/>
          <w:color w:val="00B0F0"/>
          <w:sz w:val="28"/>
          <w:szCs w:val="28"/>
          <w:u w:val="single"/>
          <w:rtl/>
        </w:rPr>
      </w:pPr>
    </w:p>
    <w:p w14:paraId="2CD87733" w14:textId="77777777" w:rsidR="006C58CD" w:rsidRDefault="006C58CD" w:rsidP="006C58CD">
      <w:pPr>
        <w:bidi/>
        <w:spacing w:after="200" w:line="276" w:lineRule="auto"/>
        <w:rPr>
          <w:rFonts w:ascii="Traditional Arabic" w:hAnsi="Traditional Arabic" w:cs="Traditional Arabic"/>
          <w:b/>
          <w:bCs/>
          <w:color w:val="00B0F0"/>
          <w:sz w:val="28"/>
          <w:szCs w:val="28"/>
          <w:u w:val="single"/>
          <w:rtl/>
        </w:rPr>
      </w:pPr>
    </w:p>
    <w:p w14:paraId="428C7358" w14:textId="77777777" w:rsidR="007A68BA" w:rsidRDefault="007A68BA" w:rsidP="007A68BA">
      <w:pPr>
        <w:bidi/>
        <w:spacing w:after="200" w:line="276" w:lineRule="auto"/>
        <w:rPr>
          <w:rFonts w:ascii="Traditional Arabic" w:hAnsi="Traditional Arabic" w:cs="Traditional Arabic"/>
          <w:b/>
          <w:bCs/>
          <w:color w:val="00B0F0"/>
          <w:sz w:val="28"/>
          <w:szCs w:val="28"/>
          <w:u w:val="single"/>
          <w:rtl/>
        </w:rPr>
      </w:pPr>
    </w:p>
    <w:p w14:paraId="0C3348C2" w14:textId="77777777" w:rsidR="007A68BA" w:rsidRDefault="007A68BA" w:rsidP="007A68BA">
      <w:pPr>
        <w:bidi/>
        <w:spacing w:after="200" w:line="276" w:lineRule="auto"/>
        <w:rPr>
          <w:rFonts w:ascii="Traditional Arabic" w:hAnsi="Traditional Arabic" w:cs="Traditional Arabic"/>
          <w:b/>
          <w:bCs/>
          <w:color w:val="00B0F0"/>
          <w:sz w:val="28"/>
          <w:szCs w:val="28"/>
          <w:u w:val="single"/>
          <w:rtl/>
        </w:rPr>
      </w:pPr>
    </w:p>
    <w:p w14:paraId="3A35AE64" w14:textId="2131BD2E" w:rsidR="00876D6E" w:rsidRDefault="00AD783C" w:rsidP="007A68BA">
      <w:pPr>
        <w:bidi/>
        <w:spacing w:after="200" w:line="276" w:lineRule="auto"/>
        <w:rPr>
          <w:rFonts w:ascii="Traditional Arabic" w:hAnsi="Traditional Arabic" w:cs="Traditional Arabic"/>
          <w:b/>
          <w:bCs/>
          <w:color w:val="00B0F0"/>
          <w:sz w:val="28"/>
          <w:szCs w:val="28"/>
          <w:u w:val="single"/>
        </w:rPr>
      </w:pPr>
      <w:r w:rsidRPr="00844164">
        <w:rPr>
          <w:rFonts w:ascii="Traditional Arabic" w:hAnsi="Traditional Arabic" w:cs="Traditional Arabic" w:hint="cs"/>
          <w:b/>
          <w:bCs/>
          <w:color w:val="00B0F0"/>
          <w:sz w:val="28"/>
          <w:szCs w:val="28"/>
          <w:u w:val="single"/>
          <w:rtl/>
        </w:rPr>
        <w:lastRenderedPageBreak/>
        <w:t>نموذج الدراسة</w:t>
      </w:r>
      <w:r w:rsidR="00876D6E" w:rsidRPr="00844164">
        <w:rPr>
          <w:rFonts w:ascii="Traditional Arabic" w:hAnsi="Traditional Arabic" w:cs="Traditional Arabic" w:hint="cs"/>
          <w:b/>
          <w:bCs/>
          <w:color w:val="00B0F0"/>
          <w:sz w:val="28"/>
          <w:szCs w:val="28"/>
          <w:u w:val="single"/>
          <w:rtl/>
        </w:rPr>
        <w:t>:</w:t>
      </w:r>
    </w:p>
    <w:p w14:paraId="05A4440E" w14:textId="77777777" w:rsidR="00844164" w:rsidRPr="00844164" w:rsidRDefault="00844164" w:rsidP="00844164">
      <w:pPr>
        <w:bidi/>
        <w:spacing w:after="200" w:line="276" w:lineRule="auto"/>
        <w:rPr>
          <w:rFonts w:ascii="Traditional Arabic" w:hAnsi="Traditional Arabic" w:cs="Traditional Arabic"/>
          <w:b/>
          <w:bCs/>
          <w:color w:val="00B0F0"/>
          <w:sz w:val="28"/>
          <w:szCs w:val="28"/>
          <w:u w:val="single"/>
          <w:rtl/>
        </w:rPr>
      </w:pPr>
    </w:p>
    <w:p w14:paraId="08B71AB1" w14:textId="02D8B98B"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الشكل ( 1 ) النموذج المفاهيمي للعلاقة بين المتغيرات</w:t>
      </w:r>
    </w:p>
    <w:p w14:paraId="076342CA" w14:textId="6B6F7B4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0000" w:themeColor="text1"/>
          <w:sz w:val="24"/>
          <w:szCs w:val="24"/>
          <w:rtl/>
          <w:lang w:val="ar-SA"/>
        </w:rPr>
        <mc:AlternateContent>
          <mc:Choice Requires="wps">
            <w:drawing>
              <wp:anchor distT="0" distB="0" distL="114300" distR="114300" simplePos="0" relativeHeight="251671040" behindDoc="0" locked="0" layoutInCell="1" allowOverlap="1" wp14:anchorId="1C207EC0" wp14:editId="016C2C28">
                <wp:simplePos x="0" y="0"/>
                <wp:positionH relativeFrom="margin">
                  <wp:align>left</wp:align>
                </wp:positionH>
                <wp:positionV relativeFrom="paragraph">
                  <wp:posOffset>232438</wp:posOffset>
                </wp:positionV>
                <wp:extent cx="5527125" cy="382138"/>
                <wp:effectExtent l="0" t="0" r="16510" b="18415"/>
                <wp:wrapNone/>
                <wp:docPr id="98623567" name="Text Box 9"/>
                <wp:cNvGraphicFramePr/>
                <a:graphic xmlns:a="http://schemas.openxmlformats.org/drawingml/2006/main">
                  <a:graphicData uri="http://schemas.microsoft.com/office/word/2010/wordprocessingShape">
                    <wps:wsp>
                      <wps:cNvSpPr txBox="1"/>
                      <wps:spPr>
                        <a:xfrm>
                          <a:off x="0" y="0"/>
                          <a:ext cx="5527125" cy="382138"/>
                        </a:xfrm>
                        <a:prstGeom prst="rect">
                          <a:avLst/>
                        </a:prstGeom>
                        <a:solidFill>
                          <a:schemeClr val="lt1"/>
                        </a:solidFill>
                        <a:ln w="6350">
                          <a:solidFill>
                            <a:prstClr val="black"/>
                          </a:solidFill>
                        </a:ln>
                      </wps:spPr>
                      <wps:txb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07EC0" id="_x0000_t202" coordsize="21600,21600" o:spt="202" path="m,l,21600r21600,l21600,xe">
                <v:stroke joinstyle="miter"/>
                <v:path gradientshapeok="t" o:connecttype="rect"/>
              </v:shapetype>
              <v:shape id="Text Box 9" o:spid="_x0000_s1028" type="#_x0000_t202" style="position:absolute;left:0;text-align:left;margin-left:0;margin-top:18.3pt;width:435.2pt;height:30.1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" fillcolor="white [3201]" strokeweight=".5pt">
                <v:textbo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v:textbox>
                <w10:wrap anchorx="margin"/>
              </v:shape>
            </w:pict>
          </mc:Fallback>
        </mc:AlternateContent>
      </w:r>
    </w:p>
    <w:p w14:paraId="2B3A6B01" w14:textId="505709F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5136" behindDoc="0" locked="0" layoutInCell="1" allowOverlap="1" wp14:anchorId="13E94C5A" wp14:editId="6E5023CA">
                <wp:simplePos x="0" y="0"/>
                <wp:positionH relativeFrom="column">
                  <wp:posOffset>344606</wp:posOffset>
                </wp:positionH>
                <wp:positionV relativeFrom="paragraph">
                  <wp:posOffset>264985</wp:posOffset>
                </wp:positionV>
                <wp:extent cx="1623742" cy="1774209"/>
                <wp:effectExtent l="38100" t="0" r="33655" b="54610"/>
                <wp:wrapNone/>
                <wp:docPr id="122395261" name="Straight Arrow Connector 28"/>
                <wp:cNvGraphicFramePr/>
                <a:graphic xmlns:a="http://schemas.openxmlformats.org/drawingml/2006/main">
                  <a:graphicData uri="http://schemas.microsoft.com/office/word/2010/wordprocessingShape">
                    <wps:wsp>
                      <wps:cNvCnPr/>
                      <wps:spPr>
                        <a:xfrm flipH="1">
                          <a:off x="0" y="0"/>
                          <a:ext cx="1623742" cy="17742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80E4B61" id="_x0000_t32" coordsize="21600,21600" o:spt="32" o:oned="t" path="m,l21600,21600e" filled="f">
                <v:path arrowok="t" fillok="f" o:connecttype="none"/>
                <o:lock v:ext="edit" shapetype="t"/>
              </v:shapetype>
              <v:shape id="Straight Arrow Connector 28" o:spid="_x0000_s1026" type="#_x0000_t32" style="position:absolute;margin-left:27.15pt;margin-top:20.85pt;width:127.85pt;height:139.7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" strokecolor="#4579b8 [3044]">
                <v:stroke endarrow="block"/>
              </v:shape>
            </w:pict>
          </mc:Fallback>
        </mc:AlternateContent>
      </w: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3088" behindDoc="0" locked="0" layoutInCell="1" allowOverlap="1" wp14:anchorId="761B306E" wp14:editId="336C04B7">
                <wp:simplePos x="0" y="0"/>
                <wp:positionH relativeFrom="column">
                  <wp:posOffset>3128749</wp:posOffset>
                </wp:positionH>
                <wp:positionV relativeFrom="paragraph">
                  <wp:posOffset>292280</wp:posOffset>
                </wp:positionV>
                <wp:extent cx="2152252" cy="869590"/>
                <wp:effectExtent l="0" t="0" r="76835" b="64135"/>
                <wp:wrapNone/>
                <wp:docPr id="1114228878" name="Straight Arrow Connector 28"/>
                <wp:cNvGraphicFramePr/>
                <a:graphic xmlns:a="http://schemas.openxmlformats.org/drawingml/2006/main">
                  <a:graphicData uri="http://schemas.microsoft.com/office/word/2010/wordprocessingShape">
                    <wps:wsp>
                      <wps:cNvCnPr/>
                      <wps:spPr>
                        <a:xfrm>
                          <a:off x="0" y="0"/>
                          <a:ext cx="2152252" cy="869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66BA2A9" id="Straight Arrow Connector 28" o:spid="_x0000_s1026" type="#_x0000_t32" style="position:absolute;margin-left:246.35pt;margin-top:23pt;width:169.45pt;height:68.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" strokecolor="#4579b8 [3044]">
                <v:stroke endarrow="block"/>
              </v:shape>
            </w:pict>
          </mc:Fallback>
        </mc:AlternateContent>
      </w:r>
    </w:p>
    <w:p w14:paraId="40662532" w14:textId="59730122"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6944" behindDoc="0" locked="0" layoutInCell="1" allowOverlap="1" wp14:anchorId="72C8BFBD" wp14:editId="29F317A4">
                <wp:simplePos x="0" y="0"/>
                <wp:positionH relativeFrom="column">
                  <wp:posOffset>2584137</wp:posOffset>
                </wp:positionH>
                <wp:positionV relativeFrom="paragraph">
                  <wp:posOffset>10293</wp:posOffset>
                </wp:positionV>
                <wp:extent cx="45719" cy="913822"/>
                <wp:effectExtent l="76200" t="0" r="50165" b="57785"/>
                <wp:wrapNone/>
                <wp:docPr id="350031028" name="Straight Arrow Connector 28"/>
                <wp:cNvGraphicFramePr/>
                <a:graphic xmlns:a="http://schemas.openxmlformats.org/drawingml/2006/main">
                  <a:graphicData uri="http://schemas.microsoft.com/office/word/2010/wordprocessingShape">
                    <wps:wsp>
                      <wps:cNvCnPr/>
                      <wps:spPr>
                        <a:xfrm flipH="1">
                          <a:off x="0" y="0"/>
                          <a:ext cx="45719" cy="913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8377E86" id="Straight Arrow Connector 28" o:spid="_x0000_s1026" type="#_x0000_t32" style="position:absolute;margin-left:203.5pt;margin-top:.8pt;width:3.6pt;height:71.9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" strokecolor="#4579b8 [3044]">
                <v:stroke endarrow="block"/>
              </v:shape>
            </w:pict>
          </mc:Fallback>
        </mc:AlternateContent>
      </w:r>
    </w:p>
    <w:p w14:paraId="0C74EC7C" w14:textId="39DAAB8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p>
    <w:p w14:paraId="4986D843" w14:textId="4110899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0800" behindDoc="0" locked="0" layoutInCell="1" allowOverlap="1" wp14:anchorId="225A04F8" wp14:editId="30A27F32">
                <wp:simplePos x="0" y="0"/>
                <wp:positionH relativeFrom="column">
                  <wp:posOffset>4357048</wp:posOffset>
                </wp:positionH>
                <wp:positionV relativeFrom="paragraph">
                  <wp:posOffset>333422</wp:posOffset>
                </wp:positionV>
                <wp:extent cx="1432560" cy="777923"/>
                <wp:effectExtent l="0" t="0" r="15240" b="22225"/>
                <wp:wrapNone/>
                <wp:docPr id="1007991622" name="Text Box 20"/>
                <wp:cNvGraphicFramePr/>
                <a:graphic xmlns:a="http://schemas.openxmlformats.org/drawingml/2006/main">
                  <a:graphicData uri="http://schemas.microsoft.com/office/word/2010/wordprocessingShape">
                    <wps:wsp>
                      <wps:cNvSpPr txBox="1"/>
                      <wps:spPr>
                        <a:xfrm>
                          <a:off x="0" y="0"/>
                          <a:ext cx="1432560" cy="777923"/>
                        </a:xfrm>
                        <a:prstGeom prst="rect">
                          <a:avLst/>
                        </a:prstGeom>
                        <a:solidFill>
                          <a:schemeClr val="lt1"/>
                        </a:solidFill>
                        <a:ln w="6350">
                          <a:solidFill>
                            <a:prstClr val="black"/>
                          </a:solidFill>
                        </a:ln>
                      </wps:spPr>
                      <wps:txb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A04F8" id="Text Box 20" o:spid="_x0000_s1029" type="#_x0000_t202" style="position:absolute;left:0;text-align:left;margin-left:343.05pt;margin-top:26.25pt;width:112.8pt;height:61.2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" fillcolor="white [3201]" strokeweight=".5pt">
                <v:textbo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v:textbox>
              </v:shape>
            </w:pict>
          </mc:Fallback>
        </mc:AlternateContent>
      </w:r>
      <w:r w:rsidRPr="00844164">
        <w:rPr>
          <w:rFonts w:ascii="Traditional Arabic" w:eastAsia="Calibri" w:hAnsi="Traditional Arabic" w:cs="Traditional Arabic" w:hint="cs"/>
          <w:b/>
          <w:bCs/>
          <w:noProof/>
          <w:sz w:val="28"/>
          <w:szCs w:val="28"/>
          <w:u w:val="single"/>
          <w:rtl/>
          <w:lang w:val="ar-EG" w:bidi="ar-EG"/>
        </w:rPr>
        <mc:AlternateContent>
          <mc:Choice Requires="wps">
            <w:drawing>
              <wp:anchor distT="0" distB="0" distL="114300" distR="114300" simplePos="0" relativeHeight="251662848" behindDoc="0" locked="0" layoutInCell="1" allowOverlap="1" wp14:anchorId="6DD212FE" wp14:editId="30269066">
                <wp:simplePos x="0" y="0"/>
                <wp:positionH relativeFrom="margin">
                  <wp:align>center</wp:align>
                </wp:positionH>
                <wp:positionV relativeFrom="paragraph">
                  <wp:posOffset>244504</wp:posOffset>
                </wp:positionV>
                <wp:extent cx="1564037" cy="604434"/>
                <wp:effectExtent l="0" t="0" r="17145" b="24765"/>
                <wp:wrapNone/>
                <wp:docPr id="1490803541" name="Text Box 22"/>
                <wp:cNvGraphicFramePr/>
                <a:graphic xmlns:a="http://schemas.openxmlformats.org/drawingml/2006/main">
                  <a:graphicData uri="http://schemas.microsoft.com/office/word/2010/wordprocessingShape">
                    <wps:wsp>
                      <wps:cNvSpPr txBox="1"/>
                      <wps:spPr>
                        <a:xfrm>
                          <a:off x="0" y="0"/>
                          <a:ext cx="1564037" cy="604434"/>
                        </a:xfrm>
                        <a:prstGeom prst="rect">
                          <a:avLst/>
                        </a:prstGeom>
                        <a:solidFill>
                          <a:schemeClr val="lt1"/>
                        </a:solidFill>
                        <a:ln w="6350">
                          <a:solidFill>
                            <a:prstClr val="black"/>
                          </a:solidFill>
                        </a:ln>
                      </wps:spPr>
                      <wps:txb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212FE" id="Text Box 22" o:spid="_x0000_s1030" type="#_x0000_t202" style="position:absolute;left:0;text-align:left;margin-left:0;margin-top:19.25pt;width:123.15pt;height:47.6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" fillcolor="white [3201]" strokeweight=".5pt">
                <v:textbo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v:textbox>
                <w10:wrap anchorx="margin"/>
              </v:shape>
            </w:pict>
          </mc:Fallback>
        </mc:AlternateContent>
      </w:r>
    </w:p>
    <w:p w14:paraId="487483CE" w14:textId="0F15C715" w:rsidR="00C53129" w:rsidRPr="00844164" w:rsidRDefault="00844164"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1824" behindDoc="0" locked="0" layoutInCell="1" allowOverlap="1" wp14:anchorId="5523CDBB" wp14:editId="3F53212D">
                <wp:simplePos x="0" y="0"/>
                <wp:positionH relativeFrom="margin">
                  <wp:posOffset>-640080</wp:posOffset>
                </wp:positionH>
                <wp:positionV relativeFrom="paragraph">
                  <wp:posOffset>516255</wp:posOffset>
                </wp:positionV>
                <wp:extent cx="1443990" cy="533400"/>
                <wp:effectExtent l="0" t="0" r="22860" b="19050"/>
                <wp:wrapNone/>
                <wp:docPr id="2071523236" name="Text Box 21"/>
                <wp:cNvGraphicFramePr/>
                <a:graphic xmlns:a="http://schemas.openxmlformats.org/drawingml/2006/main">
                  <a:graphicData uri="http://schemas.microsoft.com/office/word/2010/wordprocessingShape">
                    <wps:wsp>
                      <wps:cNvSpPr txBox="1"/>
                      <wps:spPr>
                        <a:xfrm>
                          <a:off x="0" y="0"/>
                          <a:ext cx="1443990" cy="533400"/>
                        </a:xfrm>
                        <a:prstGeom prst="rect">
                          <a:avLst/>
                        </a:prstGeom>
                        <a:solidFill>
                          <a:schemeClr val="lt1"/>
                        </a:solidFill>
                        <a:ln w="6350">
                          <a:solidFill>
                            <a:prstClr val="black"/>
                          </a:solidFill>
                        </a:ln>
                      </wps:spPr>
                      <wps:txb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3CDBB" id="Text Box 21" o:spid="_x0000_s1031" type="#_x0000_t202" style="position:absolute;left:0;text-align:left;margin-left:-50.4pt;margin-top:40.65pt;width:113.7pt;height:42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" fillcolor="white [3201]" strokeweight=".5pt">
                <v:textbo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v:textbox>
                <w10:wrap anchorx="margin"/>
              </v:shape>
            </w:pict>
          </mc:Fallback>
        </mc:AlternateContent>
      </w:r>
      <w:r w:rsidR="00A167FE"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9232" behindDoc="0" locked="0" layoutInCell="1" allowOverlap="1" wp14:anchorId="412E5217" wp14:editId="702185C4">
                <wp:simplePos x="0" y="0"/>
                <wp:positionH relativeFrom="column">
                  <wp:posOffset>3510887</wp:posOffset>
                </wp:positionH>
                <wp:positionV relativeFrom="paragraph">
                  <wp:posOffset>99078</wp:posOffset>
                </wp:positionV>
                <wp:extent cx="736979" cy="45719"/>
                <wp:effectExtent l="0" t="38100" r="44450" b="88265"/>
                <wp:wrapNone/>
                <wp:docPr id="701199641" name="Straight Arrow Connector 28"/>
                <wp:cNvGraphicFramePr/>
                <a:graphic xmlns:a="http://schemas.openxmlformats.org/drawingml/2006/main">
                  <a:graphicData uri="http://schemas.microsoft.com/office/word/2010/wordprocessingShape">
                    <wps:wsp>
                      <wps:cNvCnPr/>
                      <wps:spPr>
                        <a:xfrm>
                          <a:off x="0" y="0"/>
                          <a:ext cx="73697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A06A3D1" id="Straight Arrow Connector 28" o:spid="_x0000_s1026" type="#_x0000_t32" style="position:absolute;margin-left:276.45pt;margin-top:7.8pt;width:58.05pt;height:3.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" strokecolor="#4579b8 [3044]">
                <v:stroke endarrow="block"/>
              </v:shape>
            </w:pict>
          </mc:Fallback>
        </mc:AlternateContent>
      </w:r>
      <w:r w:rsidR="00C53129"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7184" behindDoc="0" locked="0" layoutInCell="1" allowOverlap="1" wp14:anchorId="4200958A" wp14:editId="425B970A">
                <wp:simplePos x="0" y="0"/>
                <wp:positionH relativeFrom="column">
                  <wp:posOffset>863221</wp:posOffset>
                </wp:positionH>
                <wp:positionV relativeFrom="paragraph">
                  <wp:posOffset>130478</wp:posOffset>
                </wp:positionV>
                <wp:extent cx="914353" cy="589697"/>
                <wp:effectExtent l="0" t="38100" r="57785" b="20320"/>
                <wp:wrapNone/>
                <wp:docPr id="1270904330" name="Straight Arrow Connector 28"/>
                <wp:cNvGraphicFramePr/>
                <a:graphic xmlns:a="http://schemas.openxmlformats.org/drawingml/2006/main">
                  <a:graphicData uri="http://schemas.microsoft.com/office/word/2010/wordprocessingShape">
                    <wps:wsp>
                      <wps:cNvCnPr/>
                      <wps:spPr>
                        <a:xfrm flipV="1">
                          <a:off x="0" y="0"/>
                          <a:ext cx="914353" cy="589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18E7764" id="_x0000_t32" coordsize="21600,21600" o:spt="32" o:oned="t" path="m,l21600,21600e" filled="f">
                <v:path arrowok="t" fillok="f" o:connecttype="none"/>
                <o:lock v:ext="edit" shapetype="t"/>
              </v:shapetype>
              <v:shape id="Straight Arrow Connector 28" o:spid="_x0000_s1026" type="#_x0000_t32" style="position:absolute;margin-left:67.95pt;margin-top:10.25pt;width:1in;height:46.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" strokecolor="#4579b8 [3044]">
                <v:stroke endarrow="block"/>
              </v:shape>
            </w:pict>
          </mc:Fallback>
        </mc:AlternateContent>
      </w:r>
    </w:p>
    <w:p w14:paraId="1D848645" w14:textId="05BCFDA1"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81280" behindDoc="0" locked="0" layoutInCell="1" allowOverlap="1" wp14:anchorId="7E74C3A2" wp14:editId="38A447F6">
                <wp:simplePos x="0" y="0"/>
                <wp:positionH relativeFrom="column">
                  <wp:posOffset>863221</wp:posOffset>
                </wp:positionH>
                <wp:positionV relativeFrom="paragraph">
                  <wp:posOffset>85905</wp:posOffset>
                </wp:positionV>
                <wp:extent cx="3752433" cy="638886"/>
                <wp:effectExtent l="0" t="57150" r="635" b="27940"/>
                <wp:wrapNone/>
                <wp:docPr id="1346449953" name="Straight Arrow Connector 28"/>
                <wp:cNvGraphicFramePr/>
                <a:graphic xmlns:a="http://schemas.openxmlformats.org/drawingml/2006/main">
                  <a:graphicData uri="http://schemas.microsoft.com/office/word/2010/wordprocessingShape">
                    <wps:wsp>
                      <wps:cNvCnPr/>
                      <wps:spPr>
                        <a:xfrm flipV="1">
                          <a:off x="0" y="0"/>
                          <a:ext cx="3752433" cy="638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990791" id="Straight Arrow Connector 28" o:spid="_x0000_s1026" type="#_x0000_t32" style="position:absolute;margin-left:67.95pt;margin-top:6.75pt;width:295.45pt;height:50.3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" strokecolor="#4579b8 [3044]">
                <v:stroke endarrow="block"/>
              </v:shape>
            </w:pict>
          </mc:Fallback>
        </mc:AlternateContent>
      </w:r>
    </w:p>
    <w:p w14:paraId="5FA9339E" w14:textId="614095B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Pr>
      </w:pPr>
    </w:p>
    <w:p w14:paraId="0D679FC4" w14:textId="078350A8" w:rsidR="00151D30" w:rsidRPr="00844164" w:rsidRDefault="00151D30" w:rsidP="00D62444">
      <w:pPr>
        <w:bidi/>
        <w:spacing w:after="200" w:line="276" w:lineRule="auto"/>
        <w:rPr>
          <w:rFonts w:ascii="Traditional Arabic" w:hAnsi="Traditional Arabic" w:cs="Traditional Arabic"/>
          <w:b/>
          <w:bCs/>
          <w:color w:val="00B0F0"/>
          <w:sz w:val="32"/>
          <w:szCs w:val="32"/>
          <w:u w:val="single"/>
          <w:rtl/>
        </w:rPr>
      </w:pPr>
    </w:p>
    <w:p w14:paraId="14236190" w14:textId="55DD4109"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p>
    <w:p w14:paraId="3004A597" w14:textId="77777777" w:rsidR="00CC175A" w:rsidRPr="00844164" w:rsidRDefault="00CC175A" w:rsidP="00876D6E">
      <w:pPr>
        <w:bidi/>
        <w:spacing w:after="200" w:line="276" w:lineRule="auto"/>
        <w:rPr>
          <w:rFonts w:ascii="Traditional Arabic" w:hAnsi="Traditional Arabic" w:cs="Traditional Arabic"/>
          <w:b/>
          <w:bCs/>
          <w:color w:val="000000" w:themeColor="text1"/>
          <w:sz w:val="28"/>
          <w:szCs w:val="28"/>
          <w:rtl/>
        </w:rPr>
      </w:pPr>
    </w:p>
    <w:p w14:paraId="68304622" w14:textId="77777777" w:rsidR="008E420B" w:rsidRDefault="008E420B" w:rsidP="00F30DB3">
      <w:pPr>
        <w:bidi/>
        <w:spacing w:after="200" w:line="276" w:lineRule="auto"/>
        <w:rPr>
          <w:rFonts w:ascii="Traditional Arabic" w:hAnsi="Traditional Arabic" w:cs="Traditional Arabic"/>
          <w:b/>
          <w:bCs/>
          <w:color w:val="000000" w:themeColor="text1"/>
          <w:sz w:val="28"/>
          <w:szCs w:val="28"/>
          <w:rtl/>
        </w:rPr>
      </w:pPr>
    </w:p>
    <w:p w14:paraId="55CAF284" w14:textId="77777777" w:rsidR="007A68BA" w:rsidRDefault="007A68BA" w:rsidP="008E420B">
      <w:pPr>
        <w:bidi/>
        <w:spacing w:after="200" w:line="276" w:lineRule="auto"/>
        <w:rPr>
          <w:rFonts w:ascii="Traditional Arabic" w:hAnsi="Traditional Arabic" w:cs="Traditional Arabic"/>
          <w:b/>
          <w:bCs/>
          <w:color w:val="000000" w:themeColor="text1"/>
          <w:sz w:val="28"/>
          <w:szCs w:val="28"/>
          <w:rtl/>
        </w:rPr>
      </w:pPr>
    </w:p>
    <w:p w14:paraId="10DBCF28" w14:textId="77777777" w:rsidR="007A68BA" w:rsidRDefault="007A68BA" w:rsidP="007A68BA">
      <w:pPr>
        <w:bidi/>
        <w:spacing w:after="200" w:line="276" w:lineRule="auto"/>
        <w:rPr>
          <w:rFonts w:ascii="Traditional Arabic" w:hAnsi="Traditional Arabic" w:cs="Traditional Arabic"/>
          <w:b/>
          <w:bCs/>
          <w:color w:val="000000" w:themeColor="text1"/>
          <w:sz w:val="28"/>
          <w:szCs w:val="28"/>
          <w:rtl/>
        </w:rPr>
      </w:pPr>
    </w:p>
    <w:p w14:paraId="2EEB3589" w14:textId="77777777" w:rsidR="007A68BA" w:rsidRDefault="007A68BA" w:rsidP="007A68BA">
      <w:pPr>
        <w:bidi/>
        <w:spacing w:after="200" w:line="276" w:lineRule="auto"/>
        <w:rPr>
          <w:rFonts w:ascii="Traditional Arabic" w:hAnsi="Traditional Arabic" w:cs="Traditional Arabic"/>
          <w:b/>
          <w:bCs/>
          <w:color w:val="000000" w:themeColor="text1"/>
          <w:sz w:val="28"/>
          <w:szCs w:val="28"/>
          <w:rtl/>
        </w:rPr>
      </w:pPr>
    </w:p>
    <w:p w14:paraId="6F9DED31" w14:textId="77777777" w:rsidR="007A68BA" w:rsidRDefault="007A68BA" w:rsidP="007A68BA">
      <w:pPr>
        <w:bidi/>
        <w:spacing w:after="200" w:line="276" w:lineRule="auto"/>
        <w:rPr>
          <w:rFonts w:ascii="Traditional Arabic" w:hAnsi="Traditional Arabic" w:cs="Traditional Arabic"/>
          <w:b/>
          <w:bCs/>
          <w:color w:val="000000" w:themeColor="text1"/>
          <w:sz w:val="28"/>
          <w:szCs w:val="28"/>
          <w:rtl/>
        </w:rPr>
      </w:pPr>
    </w:p>
    <w:p w14:paraId="004BB539" w14:textId="77777777" w:rsidR="007A68BA" w:rsidRDefault="007A68BA" w:rsidP="007A68BA">
      <w:pPr>
        <w:bidi/>
        <w:spacing w:after="200" w:line="276" w:lineRule="auto"/>
        <w:rPr>
          <w:rFonts w:ascii="Traditional Arabic" w:hAnsi="Traditional Arabic" w:cs="Traditional Arabic"/>
          <w:b/>
          <w:bCs/>
          <w:color w:val="000000" w:themeColor="text1"/>
          <w:sz w:val="28"/>
          <w:szCs w:val="28"/>
          <w:rtl/>
        </w:rPr>
      </w:pPr>
    </w:p>
    <w:p w14:paraId="44D21715" w14:textId="77777777" w:rsidR="007A68BA" w:rsidRDefault="007A68BA" w:rsidP="007A68BA">
      <w:pPr>
        <w:bidi/>
        <w:spacing w:after="200" w:line="276" w:lineRule="auto"/>
        <w:rPr>
          <w:rFonts w:ascii="Traditional Arabic" w:hAnsi="Traditional Arabic" w:cs="Traditional Arabic"/>
          <w:b/>
          <w:bCs/>
          <w:color w:val="000000" w:themeColor="text1"/>
          <w:sz w:val="28"/>
          <w:szCs w:val="28"/>
          <w:rtl/>
        </w:rPr>
      </w:pPr>
    </w:p>
    <w:p w14:paraId="4DEDCEEE" w14:textId="73740433" w:rsidR="00876D6E" w:rsidRPr="00844164" w:rsidRDefault="00876D6E" w:rsidP="007A68BA">
      <w:pPr>
        <w:bidi/>
        <w:spacing w:after="200" w:line="276" w:lineRule="auto"/>
        <w:rPr>
          <w:rFonts w:ascii="Traditional Arabic" w:hAnsi="Traditional Arabic" w:cs="Traditional Arabic"/>
          <w:b/>
          <w:bCs/>
          <w:color w:val="000000" w:themeColor="text1"/>
          <w:sz w:val="28"/>
          <w:szCs w:val="28"/>
          <w:rtl/>
        </w:rPr>
      </w:pPr>
      <w:r w:rsidRPr="00844164">
        <w:rPr>
          <w:rFonts w:ascii="Traditional Arabic" w:hAnsi="Traditional Arabic" w:cs="Traditional Arabic" w:hint="cs"/>
          <w:b/>
          <w:bCs/>
          <w:color w:val="000000" w:themeColor="text1"/>
          <w:sz w:val="28"/>
          <w:szCs w:val="28"/>
          <w:rtl/>
        </w:rPr>
        <w:lastRenderedPageBreak/>
        <w:t>شرح النموذج:</w:t>
      </w:r>
    </w:p>
    <w:p w14:paraId="57C02A55" w14:textId="236DB42A" w:rsidR="00CD3C73" w:rsidRPr="00844164" w:rsidRDefault="00CD3C73" w:rsidP="00CD3C73">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 xml:space="preserve">جدول (1) </w:t>
      </w:r>
      <w:r w:rsidR="00881C14" w:rsidRPr="00844164">
        <w:rPr>
          <w:rFonts w:ascii="Traditional Arabic" w:hAnsi="Traditional Arabic" w:cs="Traditional Arabic" w:hint="cs"/>
          <w:b/>
          <w:bCs/>
          <w:color w:val="000000" w:themeColor="text1"/>
          <w:sz w:val="24"/>
          <w:szCs w:val="24"/>
          <w:rtl/>
        </w:rPr>
        <w:t>شرح العلاقة بين المتغيرات</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16"/>
        <w:gridCol w:w="1438"/>
        <w:gridCol w:w="5022"/>
      </w:tblGrid>
      <w:tr w:rsidR="00876D6E" w:rsidRPr="00844164" w14:paraId="69494348" w14:textId="77777777" w:rsidTr="00A13255">
        <w:tc>
          <w:tcPr>
            <w:tcW w:w="1820" w:type="dxa"/>
          </w:tcPr>
          <w:p w14:paraId="5B4130E3" w14:textId="4C06F2F1"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المتغير</w:t>
            </w:r>
          </w:p>
        </w:tc>
        <w:tc>
          <w:tcPr>
            <w:tcW w:w="1440" w:type="dxa"/>
          </w:tcPr>
          <w:p w14:paraId="6EFD636E" w14:textId="699B074E"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النوع</w:t>
            </w:r>
          </w:p>
        </w:tc>
        <w:tc>
          <w:tcPr>
            <w:tcW w:w="5036" w:type="dxa"/>
          </w:tcPr>
          <w:p w14:paraId="09DC738B" w14:textId="2F496325"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التأثير</w:t>
            </w:r>
          </w:p>
        </w:tc>
      </w:tr>
      <w:tr w:rsidR="00876D6E" w:rsidRPr="00844164" w14:paraId="3D90B96C" w14:textId="77777777" w:rsidTr="00A13255">
        <w:tc>
          <w:tcPr>
            <w:tcW w:w="1820" w:type="dxa"/>
          </w:tcPr>
          <w:p w14:paraId="3AA70C4E" w14:textId="12583FAF"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إدارة المخاطر</w:t>
            </w:r>
            <w:r w:rsidR="00CC175A" w:rsidRPr="00844164">
              <w:rPr>
                <w:rFonts w:ascii="Traditional Arabic" w:hAnsi="Traditional Arabic" w:cs="Traditional Arabic" w:hint="cs"/>
                <w:color w:val="000000" w:themeColor="text1"/>
                <w:sz w:val="24"/>
                <w:szCs w:val="24"/>
                <w:rtl/>
              </w:rPr>
              <w:t>( متغير مستقل)</w:t>
            </w:r>
          </w:p>
        </w:tc>
        <w:tc>
          <w:tcPr>
            <w:tcW w:w="1440" w:type="dxa"/>
          </w:tcPr>
          <w:p w14:paraId="358FDC6F" w14:textId="487B4F7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مستقل </w:t>
            </w:r>
          </w:p>
        </w:tc>
        <w:tc>
          <w:tcPr>
            <w:tcW w:w="5036" w:type="dxa"/>
          </w:tcPr>
          <w:p w14:paraId="6B086ED4" w14:textId="50F85AC2"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460E8E94" w14:textId="77777777" w:rsidTr="00A13255">
        <w:tc>
          <w:tcPr>
            <w:tcW w:w="1820" w:type="dxa"/>
          </w:tcPr>
          <w:p w14:paraId="74262831" w14:textId="672FE20D"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القيادة التحويلية</w:t>
            </w:r>
            <w:r w:rsidR="00CC175A" w:rsidRPr="00844164">
              <w:rPr>
                <w:rFonts w:ascii="Traditional Arabic" w:hAnsi="Traditional Arabic" w:cs="Traditional Arabic" w:hint="cs"/>
                <w:color w:val="000000" w:themeColor="text1"/>
                <w:sz w:val="24"/>
                <w:szCs w:val="24"/>
                <w:rtl/>
              </w:rPr>
              <w:t xml:space="preserve"> ( متغير وسيط)</w:t>
            </w:r>
          </w:p>
        </w:tc>
        <w:tc>
          <w:tcPr>
            <w:tcW w:w="1440" w:type="dxa"/>
          </w:tcPr>
          <w:p w14:paraId="76E0D656" w14:textId="74037AFB"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وسيط</w:t>
            </w:r>
          </w:p>
        </w:tc>
        <w:tc>
          <w:tcPr>
            <w:tcW w:w="5036" w:type="dxa"/>
          </w:tcPr>
          <w:p w14:paraId="2A8B88DF" w14:textId="1C850083"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3C47419A" w14:textId="77777777" w:rsidTr="00A13255">
        <w:tc>
          <w:tcPr>
            <w:tcW w:w="1820" w:type="dxa"/>
          </w:tcPr>
          <w:p w14:paraId="3780AD1E" w14:textId="241E5CCA"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سلامة المرضى</w:t>
            </w:r>
            <w:r w:rsidR="00CC175A" w:rsidRPr="00844164">
              <w:rPr>
                <w:rFonts w:ascii="Traditional Arabic" w:hAnsi="Traditional Arabic" w:cs="Traditional Arabic" w:hint="cs"/>
                <w:color w:val="000000" w:themeColor="text1"/>
                <w:sz w:val="24"/>
                <w:szCs w:val="24"/>
                <w:rtl/>
              </w:rPr>
              <w:t xml:space="preserve"> ( متغير تابع)</w:t>
            </w:r>
          </w:p>
        </w:tc>
        <w:tc>
          <w:tcPr>
            <w:tcW w:w="1440" w:type="dxa"/>
          </w:tcPr>
          <w:p w14:paraId="5E7E1A35" w14:textId="746220A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تابع</w:t>
            </w:r>
          </w:p>
        </w:tc>
        <w:tc>
          <w:tcPr>
            <w:tcW w:w="5036" w:type="dxa"/>
          </w:tcPr>
          <w:p w14:paraId="26C059F1" w14:textId="68579BBE"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تتأثر بإدارة المخاطر والقيادة التحويلية.</w:t>
            </w:r>
          </w:p>
        </w:tc>
      </w:tr>
      <w:tr w:rsidR="00FA5AD6" w:rsidRPr="00844164" w14:paraId="75041126" w14:textId="77777777" w:rsidTr="00A13255">
        <w:tc>
          <w:tcPr>
            <w:tcW w:w="1820" w:type="dxa"/>
          </w:tcPr>
          <w:p w14:paraId="7F12EB8F" w14:textId="019D9E83"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المتغيرات الديموجرافية</w:t>
            </w:r>
          </w:p>
        </w:tc>
        <w:tc>
          <w:tcPr>
            <w:tcW w:w="1440" w:type="dxa"/>
          </w:tcPr>
          <w:p w14:paraId="13E3D6E5" w14:textId="3B493AEA"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النوع</w:t>
            </w:r>
            <w:r w:rsidR="00A13255" w:rsidRPr="00844164">
              <w:rPr>
                <w:rFonts w:ascii="Traditional Arabic" w:hAnsi="Traditional Arabic" w:cs="Traditional Arabic" w:hint="cs"/>
                <w:color w:val="000000" w:themeColor="text1"/>
                <w:sz w:val="24"/>
                <w:szCs w:val="24"/>
                <w:rtl/>
              </w:rPr>
              <w:t xml:space="preserve"> </w:t>
            </w:r>
            <w:r w:rsidRPr="00844164">
              <w:rPr>
                <w:rFonts w:ascii="Traditional Arabic" w:hAnsi="Traditional Arabic" w:cs="Traditional Arabic" w:hint="cs"/>
                <w:color w:val="000000" w:themeColor="text1"/>
                <w:sz w:val="24"/>
                <w:szCs w:val="24"/>
                <w:rtl/>
              </w:rPr>
              <w:t>- المؤهل- نوع الوظيفة- سنوات الخبرة)</w:t>
            </w:r>
          </w:p>
        </w:tc>
        <w:tc>
          <w:tcPr>
            <w:tcW w:w="5036" w:type="dxa"/>
          </w:tcPr>
          <w:p w14:paraId="26B7D21B" w14:textId="6502E648"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تأثير غير مباشر </w:t>
            </w:r>
            <w:r w:rsidR="00A13255" w:rsidRPr="00844164">
              <w:rPr>
                <w:rFonts w:ascii="Traditional Arabic" w:hAnsi="Traditional Arabic" w:cs="Traditional Arabic" w:hint="cs"/>
                <w:color w:val="000000" w:themeColor="text1"/>
                <w:sz w:val="24"/>
                <w:szCs w:val="24"/>
                <w:rtl/>
              </w:rPr>
              <w:t>على إدارة المخاطر والقيادة التحويلية وسلامة المرضى)</w:t>
            </w:r>
          </w:p>
        </w:tc>
      </w:tr>
    </w:tbl>
    <w:p w14:paraId="37B7E4D1" w14:textId="78CE9228" w:rsidR="00876D6E" w:rsidRPr="00844164" w:rsidRDefault="00881C14" w:rsidP="001A2117">
      <w:pPr>
        <w:bidi/>
        <w:spacing w:after="200" w:line="276" w:lineRule="auto"/>
        <w:jc w:val="right"/>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r w:rsidR="00A21099" w:rsidRPr="00844164">
        <w:rPr>
          <w:rFonts w:ascii="Traditional Arabic" w:hAnsi="Traditional Arabic" w:cs="Traditional Arabic" w:hint="cs"/>
          <w:b/>
          <w:bCs/>
          <w:color w:val="000000" w:themeColor="text1"/>
          <w:sz w:val="24"/>
          <w:szCs w:val="24"/>
          <w:rtl/>
        </w:rPr>
        <w:t xml:space="preserve"> بالاعتماد على الدراسات المرجعية</w:t>
      </w:r>
      <w:r w:rsidRPr="00844164">
        <w:rPr>
          <w:rFonts w:ascii="Traditional Arabic" w:hAnsi="Traditional Arabic" w:cs="Traditional Arabic" w:hint="cs"/>
          <w:b/>
          <w:bCs/>
          <w:color w:val="000000" w:themeColor="text1"/>
          <w:sz w:val="24"/>
          <w:szCs w:val="24"/>
          <w:rtl/>
        </w:rPr>
        <w:t>.</w:t>
      </w:r>
    </w:p>
    <w:p w14:paraId="729A1469" w14:textId="6B15A06A" w:rsidR="00533AA9" w:rsidRPr="00844164" w:rsidRDefault="00533AA9" w:rsidP="00876D6E">
      <w:pPr>
        <w:bidi/>
        <w:spacing w:after="200" w:line="276" w:lineRule="auto"/>
        <w:rPr>
          <w:rFonts w:ascii="Traditional Arabic" w:hAnsi="Traditional Arabic" w:cs="Traditional Arabic"/>
          <w:b/>
          <w:bCs/>
          <w:color w:val="00B0F0"/>
          <w:sz w:val="32"/>
          <w:szCs w:val="32"/>
          <w:u w:val="single"/>
          <w:rtl/>
        </w:rPr>
      </w:pPr>
      <w:r w:rsidRPr="00844164">
        <w:rPr>
          <w:rFonts w:ascii="Traditional Arabic" w:hAnsi="Traditional Arabic" w:cs="Traditional Arabic" w:hint="cs"/>
          <w:b/>
          <w:bCs/>
          <w:color w:val="00B0F0"/>
          <w:sz w:val="32"/>
          <w:szCs w:val="32"/>
          <w:u w:val="single"/>
          <w:rtl/>
        </w:rPr>
        <w:t>الدراسات المرجعية:</w:t>
      </w:r>
    </w:p>
    <w:p w14:paraId="3C838217" w14:textId="77777777" w:rsidR="00ED2E9A" w:rsidRPr="00844164" w:rsidRDefault="00ED2E9A" w:rsidP="00ED2E9A">
      <w:pPr>
        <w:bidi/>
        <w:spacing w:after="200" w:line="360" w:lineRule="auto"/>
        <w:ind w:left="360"/>
        <w:contextualSpacing/>
        <w:jc w:val="both"/>
        <w:rPr>
          <w:rFonts w:ascii="Traditional Arabic" w:eastAsia="Calibri" w:hAnsi="Traditional Arabic" w:cs="Traditional Arabic"/>
          <w:b/>
          <w:bCs/>
          <w:sz w:val="28"/>
          <w:szCs w:val="28"/>
          <w:rtl/>
          <w:lang w:bidi="ar-EG"/>
        </w:rPr>
      </w:pPr>
      <w:r w:rsidRPr="00844164">
        <w:rPr>
          <w:rFonts w:ascii="Traditional Arabic" w:eastAsia="Calibri" w:hAnsi="Traditional Arabic" w:cs="Traditional Arabic" w:hint="cs"/>
          <w:b/>
          <w:bCs/>
          <w:sz w:val="28"/>
          <w:szCs w:val="28"/>
          <w:rtl/>
          <w:lang w:bidi="ar-EG"/>
        </w:rPr>
        <w:t>الدراسات باللغة العربية:</w:t>
      </w:r>
    </w:p>
    <w:p w14:paraId="147E9B8F" w14:textId="13686E65" w:rsidR="00E1749B" w:rsidRPr="00844164" w:rsidRDefault="00E1749B" w:rsidP="00E1749B">
      <w:pPr>
        <w:bidi/>
        <w:spacing w:after="200" w:line="240" w:lineRule="auto"/>
        <w:jc w:val="both"/>
        <w:rPr>
          <w:rFonts w:ascii="Traditional Arabic" w:eastAsia="Calibri" w:hAnsi="Traditional Arabic" w:cs="Traditional Arabic"/>
          <w:color w:val="FF0000"/>
          <w:sz w:val="28"/>
          <w:szCs w:val="28"/>
          <w:rtl/>
          <w:lang w:bidi="ar-EG"/>
        </w:rPr>
      </w:pPr>
      <w:r w:rsidRPr="00844164">
        <w:rPr>
          <w:rFonts w:ascii="Traditional Arabic" w:eastAsia="Calibri" w:hAnsi="Traditional Arabic" w:cs="Traditional Arabic" w:hint="cs"/>
          <w:b/>
          <w:bCs/>
          <w:sz w:val="28"/>
          <w:szCs w:val="28"/>
          <w:rtl/>
          <w:lang w:bidi="ar-EG"/>
        </w:rPr>
        <w:t xml:space="preserve">الدراسة الأولى: دراسة فاتن خليل 2018 </w:t>
      </w:r>
    </w:p>
    <w:p w14:paraId="58228BC6"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أجرت فاتن خليل</w:t>
      </w:r>
      <w:r w:rsidRPr="00DF41B5">
        <w:rPr>
          <w:rFonts w:ascii="Traditional Arabic" w:eastAsia="Calibri" w:hAnsi="Traditional Arabic" w:cs="Traditional Arabic" w:hint="cs"/>
          <w:color w:val="000000" w:themeColor="text1"/>
          <w:sz w:val="24"/>
          <w:szCs w:val="24"/>
          <w:lang w:bidi="ar-EG"/>
        </w:rPr>
        <w:t xml:space="preserve"> (2018) </w:t>
      </w:r>
      <w:r w:rsidRPr="00DF41B5">
        <w:rPr>
          <w:rFonts w:ascii="Traditional Arabic" w:eastAsia="Calibri" w:hAnsi="Traditional Arabic" w:cs="Traditional Arabic" w:hint="cs"/>
          <w:color w:val="000000" w:themeColor="text1"/>
          <w:sz w:val="24"/>
          <w:szCs w:val="24"/>
          <w:rtl/>
        </w:rPr>
        <w:t xml:space="preserve">دراسة بعنوان </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تقييم جودة الخدمة الصحية في مراكز الرعاية الصحية الأولية: دراسة حالة في مراكز طب الأسرة في بغداد</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 وهدفت إلى التعرف على مستوى الخدمات الصحية المقدمة في المراكز الصحية العاملة بنظام طب الأسرة، ومدى تطبيق هذه المراكز للمعايير المعتمدة عالميًا، مع التركيز على تحديد الفجوة بين الواقع الفعلي والمعايير الدولية في جودة الخدمة وسلامة المرضى</w:t>
      </w:r>
      <w:r w:rsidRPr="00DF41B5">
        <w:rPr>
          <w:rFonts w:ascii="Traditional Arabic" w:eastAsia="Calibri" w:hAnsi="Traditional Arabic" w:cs="Traditional Arabic" w:hint="cs"/>
          <w:color w:val="000000" w:themeColor="text1"/>
          <w:sz w:val="24"/>
          <w:szCs w:val="24"/>
          <w:lang w:bidi="ar-EG"/>
        </w:rPr>
        <w:t>.</w:t>
      </w:r>
    </w:p>
    <w:p w14:paraId="40590811"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أبعاد جودة الخدمة الصحية وفقًا لنموذج</w:t>
      </w:r>
      <w:r w:rsidRPr="00DF41B5">
        <w:rPr>
          <w:rFonts w:ascii="Traditional Arabic" w:eastAsia="Calibri" w:hAnsi="Traditional Arabic" w:cs="Traditional Arabic" w:hint="cs"/>
          <w:color w:val="000000" w:themeColor="text1"/>
          <w:sz w:val="24"/>
          <w:szCs w:val="24"/>
          <w:lang w:bidi="ar-EG"/>
        </w:rPr>
        <w:t xml:space="preserve"> SERVQUAL</w:t>
      </w:r>
      <w:r w:rsidRPr="00DF41B5">
        <w:rPr>
          <w:rFonts w:ascii="Traditional Arabic" w:eastAsia="Calibri" w:hAnsi="Traditional Arabic" w:cs="Traditional Arabic" w:hint="cs"/>
          <w:color w:val="000000" w:themeColor="text1"/>
          <w:sz w:val="24"/>
          <w:szCs w:val="24"/>
          <w:rtl/>
        </w:rPr>
        <w:t>، الذي يشمل عناصر مثل الاستجابة، الاعتمادية، التعاطف، الضمان، والمظهر العام. كما تضمنت الاستبانة بنودًا تقيس مدى الالتزام بمعايير سلامة المرضى، مثل التوثيق الطبي، التعامل مع الحوادث، وتوفير بيئة آمنة. تم التحقق من صدق الأداة وثباتها باستخدام معامل كرونباخ ألفا، وأجريت مراجعة محتوى من قبل مختصين في إدارة الجودة الصحية</w:t>
      </w:r>
      <w:r w:rsidRPr="00DF41B5">
        <w:rPr>
          <w:rFonts w:ascii="Traditional Arabic" w:eastAsia="Calibri" w:hAnsi="Traditional Arabic" w:cs="Traditional Arabic" w:hint="cs"/>
          <w:color w:val="000000" w:themeColor="text1"/>
          <w:sz w:val="24"/>
          <w:szCs w:val="24"/>
          <w:lang w:bidi="ar-EG"/>
        </w:rPr>
        <w:t>.</w:t>
      </w:r>
    </w:p>
    <w:p w14:paraId="3297458D" w14:textId="77777777" w:rsidR="00E1749B" w:rsidRPr="00DF41B5"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lastRenderedPageBreak/>
        <w:t xml:space="preserve">اعتمدت الدراسة على المنهج الوصفي التقييمي، حيث تم تحليل البيانات باستخدام المتوسطات الحسابية والانحراف المعياري، إلى جانب تحليل الفجوات بين التوقعات والممارسات الفعلية. وقد تم اختيار عينة قصدية مكونة من </w:t>
      </w:r>
      <w:r w:rsidRPr="00DF41B5">
        <w:rPr>
          <w:rFonts w:ascii="Traditional Arabic" w:eastAsia="Calibri" w:hAnsi="Traditional Arabic" w:cs="Traditional Arabic" w:hint="cs"/>
          <w:color w:val="000000" w:themeColor="text1"/>
          <w:sz w:val="24"/>
          <w:szCs w:val="24"/>
          <w:lang w:bidi="ar-EG"/>
        </w:rPr>
        <w:t xml:space="preserve">120 </w:t>
      </w:r>
      <w:r w:rsidRPr="00DF41B5">
        <w:rPr>
          <w:rFonts w:ascii="Traditional Arabic" w:eastAsia="Calibri" w:hAnsi="Traditional Arabic" w:cs="Traditional Arabic" w:hint="cs"/>
          <w:color w:val="000000" w:themeColor="text1"/>
          <w:sz w:val="24"/>
          <w:szCs w:val="24"/>
          <w:rtl/>
        </w:rPr>
        <w:t>مشاركًا من العاملين في أربعة مراكز صحية في بغداد، شملت أطباء، ممرضين، إداريين، وفنيين، ممن لديهم خبرة لا تقل عن سنتين في العمل داخل نظام طب الأسرة</w:t>
      </w:r>
      <w:r w:rsidRPr="00DF41B5">
        <w:rPr>
          <w:rFonts w:ascii="Traditional Arabic" w:eastAsia="Calibri" w:hAnsi="Traditional Arabic" w:cs="Traditional Arabic" w:hint="cs"/>
          <w:color w:val="000000" w:themeColor="text1"/>
          <w:sz w:val="24"/>
          <w:szCs w:val="24"/>
          <w:lang w:bidi="ar-EG"/>
        </w:rPr>
        <w:t>.</w:t>
      </w:r>
    </w:p>
    <w:p w14:paraId="7053EFBC" w14:textId="77777777" w:rsidR="00E1749B" w:rsidRPr="00DF41B5" w:rsidRDefault="00E1749B" w:rsidP="00DF41B5">
      <w:pPr>
        <w:bidi/>
        <w:spacing w:after="200" w:line="360" w:lineRule="auto"/>
        <w:jc w:val="both"/>
        <w:rPr>
          <w:rFonts w:ascii="Traditional Arabic" w:eastAsia="Calibri" w:hAnsi="Traditional Arabic" w:cs="Traditional Arabic"/>
          <w:color w:val="000000" w:themeColor="text1"/>
          <w:sz w:val="24"/>
          <w:szCs w:val="24"/>
          <w:rtl/>
          <w:lang w:bidi="ar-EG"/>
        </w:rPr>
      </w:pPr>
      <w:r w:rsidRPr="00DF41B5">
        <w:rPr>
          <w:rFonts w:ascii="Traditional Arabic" w:eastAsia="Calibri" w:hAnsi="Traditional Arabic" w:cs="Traditional Arabic" w:hint="cs"/>
          <w:color w:val="000000" w:themeColor="text1"/>
          <w:sz w:val="24"/>
          <w:szCs w:val="24"/>
          <w:rtl/>
        </w:rPr>
        <w:t>توصلت الدراسة إلى وجود فجوة واضحة بين الخدمات الصحية المقدمة والمعايير العالمية المعتمدة، خاصة في مجالات التوثيق الطبي، الاستجابة للحوادث، وتدريب الكوادر. كما أظهرت النتائج أن مستوى رضا العاملين عن جودة الخدمة كان متوسطًا، وأن هناك ضعفًا في تطبيق بعض الإجراءات المتعلقة بسلامة المرضى، مثل إدارة العدوى والتعامل مع الأخطاء الطبية. وأوصت الدراسة بضرورة تطوير السياسات التشغيلية داخل مراكز طب الأسرة، وتكثيف برامج التدريب المستمر للكوادر الصحية، وتفعيل أنظمة الرقابة الداخلية لضمان تحسين جودة الخدمة وسلامة المرضى، بالإضافة إلى تبني مؤشرات أداء واضحة وقابلة للقياس تساعد في تقييم التقدم وتحقيق التحسين المستمر</w:t>
      </w:r>
      <w:r w:rsidRPr="00DF41B5">
        <w:rPr>
          <w:rFonts w:ascii="Traditional Arabic" w:eastAsia="Calibri" w:hAnsi="Traditional Arabic" w:cs="Traditional Arabic" w:hint="cs"/>
          <w:color w:val="000000" w:themeColor="text1"/>
          <w:sz w:val="24"/>
          <w:szCs w:val="24"/>
          <w:lang w:bidi="ar-EG"/>
        </w:rPr>
        <w:t>.</w:t>
      </w:r>
    </w:p>
    <w:p w14:paraId="5F21045E" w14:textId="605C0F75" w:rsidR="00E1749B" w:rsidRPr="00DF41B5" w:rsidRDefault="00E1749B" w:rsidP="00DF41B5">
      <w:pPr>
        <w:bidi/>
        <w:spacing w:after="200" w:line="360" w:lineRule="auto"/>
        <w:jc w:val="both"/>
        <w:rPr>
          <w:rFonts w:ascii="Traditional Arabic" w:eastAsia="Calibri" w:hAnsi="Traditional Arabic" w:cs="Traditional Arabic"/>
          <w:sz w:val="24"/>
          <w:szCs w:val="24"/>
          <w:rtl/>
          <w:lang w:bidi="ar-EG"/>
        </w:rPr>
      </w:pPr>
      <w:r w:rsidRPr="00DF41B5">
        <w:rPr>
          <w:rFonts w:ascii="Traditional Arabic" w:eastAsia="Calibri" w:hAnsi="Traditional Arabic" w:cs="Traditional Arabic" w:hint="cs"/>
          <w:b/>
          <w:bCs/>
          <w:sz w:val="24"/>
          <w:szCs w:val="24"/>
          <w:rtl/>
          <w:lang w:bidi="ar-EG"/>
        </w:rPr>
        <w:t xml:space="preserve">الدراسة الثانية: دراسة حسين 2019 </w:t>
      </w:r>
    </w:p>
    <w:p w14:paraId="10B17AC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أجرى رامز رمضان محمد حسين</w:t>
      </w:r>
      <w:r w:rsidRPr="00DF41B5">
        <w:rPr>
          <w:rFonts w:ascii="Traditional Arabic" w:eastAsia="Calibri" w:hAnsi="Traditional Arabic" w:cs="Traditional Arabic" w:hint="cs"/>
          <w:sz w:val="24"/>
          <w:szCs w:val="24"/>
          <w:lang w:bidi="ar-EG"/>
        </w:rPr>
        <w:t xml:space="preserve"> (2019) </w:t>
      </w:r>
      <w:r w:rsidRPr="00DF41B5">
        <w:rPr>
          <w:rFonts w:ascii="Traditional Arabic" w:eastAsia="Calibri" w:hAnsi="Traditional Arabic" w:cs="Traditional Arabic" w:hint="cs"/>
          <w:sz w:val="24"/>
          <w:szCs w:val="24"/>
          <w:rtl/>
        </w:rPr>
        <w:t xml:space="preserve">دراسة بعنوان </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أثر تطبيق القيادة التحويلية على تحسين الأداء في المنظمات الصحية طبقًا لرؤية مصر 2030: دراسة تطبيقية على المستشفيات الحكومية</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 وهدفت إلى تحديد مدى التزام المنظمات الصحية بتبني مبدأ القيادة التحويلية بأبعادها المختلفة، وتحليل أثر تطبيق تلك المبادئ على تحسين الأداء المؤسسي وجودة الخدمة الصحية المقدمة. ركزت الدراسة على المستشفيات الحكومية في مصر، في سياق التوجهات الاستراتيجية لرؤية مصر 2030، التي تسعى إلى تطوير القطاع الصحي من خلال تعزيز الكفاءة والقيادة الفعالة</w:t>
      </w:r>
      <w:r w:rsidRPr="00DF41B5">
        <w:rPr>
          <w:rFonts w:ascii="Traditional Arabic" w:eastAsia="Calibri" w:hAnsi="Traditional Arabic" w:cs="Traditional Arabic" w:hint="cs"/>
          <w:sz w:val="24"/>
          <w:szCs w:val="24"/>
          <w:lang w:bidi="ar-EG"/>
        </w:rPr>
        <w:t>.</w:t>
      </w:r>
    </w:p>
    <w:p w14:paraId="03BF8B4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استخدم الباحث استبانة مغلقة مكونة من 38 عبارة، تم تصميمها لقياس أبعاد القيادة التحويلية، وهي: التأثير المثالي، الدافع والإلهام، الاستثارة الفكرية، الاعتبارات الفردية، والتمكين الإداري. تم توزيع الاستبانة على العاملين في الوظائف الإشرافية والقيادية داخل المستشفيات الحكومية، وتم استرداد 138 استبانة، منها 126 صالحة للتحليل الإحصائي، أي بنسبة استجابة بلغت 84%. تم التحقق من صدق الأداة وثباتها باستخدام برنامج</w:t>
      </w:r>
      <w:r w:rsidRPr="00DF41B5">
        <w:rPr>
          <w:rFonts w:ascii="Traditional Arabic" w:eastAsia="Calibri" w:hAnsi="Traditional Arabic" w:cs="Traditional Arabic" w:hint="cs"/>
          <w:sz w:val="24"/>
          <w:szCs w:val="24"/>
          <w:lang w:bidi="ar-EG"/>
        </w:rPr>
        <w:t xml:space="preserve"> SPSS</w:t>
      </w:r>
      <w:r w:rsidRPr="00DF41B5">
        <w:rPr>
          <w:rFonts w:ascii="Traditional Arabic" w:eastAsia="Calibri" w:hAnsi="Traditional Arabic" w:cs="Traditional Arabic" w:hint="cs"/>
          <w:sz w:val="24"/>
          <w:szCs w:val="24"/>
          <w:rtl/>
        </w:rPr>
        <w:t>، حيث استخدم الباحث الإحصاء الوصفي، اختبارات التوزيع الطبيعي، وتحليل الانحدار البسيط لاختبار فرضيات الدراسة</w:t>
      </w:r>
      <w:r w:rsidRPr="00DF41B5">
        <w:rPr>
          <w:rFonts w:ascii="Traditional Arabic" w:eastAsia="Calibri" w:hAnsi="Traditional Arabic" w:cs="Traditional Arabic" w:hint="cs"/>
          <w:sz w:val="24"/>
          <w:szCs w:val="24"/>
          <w:lang w:bidi="ar-EG"/>
        </w:rPr>
        <w:t>.</w:t>
      </w:r>
    </w:p>
    <w:p w14:paraId="664E9647" w14:textId="77777777" w:rsidR="00E1749B" w:rsidRPr="003D2689" w:rsidRDefault="00E1749B" w:rsidP="003D2689">
      <w:pPr>
        <w:bidi/>
        <w:spacing w:after="200" w:line="360" w:lineRule="auto"/>
        <w:jc w:val="both"/>
        <w:rPr>
          <w:rFonts w:ascii="Traditional Arabic" w:eastAsia="Calibri" w:hAnsi="Traditional Arabic" w:cs="Traditional Arabic"/>
          <w:sz w:val="24"/>
          <w:szCs w:val="24"/>
          <w:lang w:bidi="ar-EG"/>
        </w:rPr>
      </w:pPr>
      <w:r w:rsidRPr="003D2689">
        <w:rPr>
          <w:rFonts w:ascii="Traditional Arabic" w:eastAsia="Calibri" w:hAnsi="Traditional Arabic" w:cs="Traditional Arabic" w:hint="cs"/>
          <w:sz w:val="24"/>
          <w:szCs w:val="24"/>
          <w:rtl/>
        </w:rPr>
        <w:t>اعتمدت الدراسة على المنهج الوصفي التحليلي، إلى جانب الدراسة الميدانية لجمع البيانات من بيئة العمل الفعلية. وقد تم اختيار عينة عشوائية من القيادات الصحية والإشرافية في المستشفيات الحكومية، بهدف ضمان تمثيل واقعي لمستوى القيادة داخل المؤسسات الصحية العامة، وتوفير بيانات دقيقة حول مدى تطبيق القيادة التحويلية في السياق المصري</w:t>
      </w:r>
      <w:r w:rsidRPr="003D2689">
        <w:rPr>
          <w:rFonts w:ascii="Traditional Arabic" w:eastAsia="Calibri" w:hAnsi="Traditional Arabic" w:cs="Traditional Arabic" w:hint="cs"/>
          <w:sz w:val="24"/>
          <w:szCs w:val="24"/>
          <w:lang w:bidi="ar-EG"/>
        </w:rPr>
        <w:t>.</w:t>
      </w:r>
    </w:p>
    <w:p w14:paraId="6FE8152E" w14:textId="77777777" w:rsidR="00E1749B" w:rsidRPr="003849C3" w:rsidRDefault="00E1749B" w:rsidP="00EB5DC9">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توصلت الدراسة إلى أن تطبيق القيادة التحويلية بأبعادها المختلفة يسهم بشكل مباشر في تحسين الأداء المؤسسي وجودة الخدمة الصحية المقدمة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وقد أظهرت النتائج أن المستشفيات التي تتبنى نمط القيادة التحويلية تحقق مستويات أعلى من الكفاءة التنظيمية، وتتمتع ببيئة عمل أكثر دعمًا للابتكار والتطوير. كما تبين أن التمكين الإداري والاستثارة الفكرية كانا من أكثر الأبعاد تأثيرًا في تحسين الأداء</w:t>
      </w:r>
      <w:r w:rsidRPr="003849C3">
        <w:rPr>
          <w:rFonts w:ascii="Traditional Arabic" w:eastAsia="Calibri" w:hAnsi="Traditional Arabic" w:cs="Traditional Arabic" w:hint="cs"/>
          <w:sz w:val="24"/>
          <w:szCs w:val="24"/>
          <w:lang w:bidi="ar-EG"/>
        </w:rPr>
        <w:t>.</w:t>
      </w:r>
    </w:p>
    <w:p w14:paraId="2098799F" w14:textId="46C9F33D" w:rsidR="00E1749B" w:rsidRPr="003849C3" w:rsidRDefault="00E1749B" w:rsidP="00EB5DC9">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المستشفيات الحكومية لأبعاد القيادة التحويلية في إدارة أعمالها الإدارية، مع التركيز على تطوير برامج تدريب وتأهيل للقادة والمشرفين حول تطبيق هذه الأبعاد بشكل عملي. كما شددت على أهمية دمج القيادة التحويلية في السياسات التنظيمية والاستراتيجية، وتفعيل دورها في تحسين جودة الخدمات الصحية، بما يتماشى مع أهداف التنمية المستدامة ورؤية مصر 2030</w:t>
      </w:r>
      <w:r w:rsidRPr="003849C3">
        <w:rPr>
          <w:rFonts w:ascii="Traditional Arabic" w:eastAsia="Calibri" w:hAnsi="Traditional Arabic" w:cs="Traditional Arabic" w:hint="cs"/>
          <w:sz w:val="24"/>
          <w:szCs w:val="24"/>
          <w:lang w:bidi="ar-EG"/>
        </w:rPr>
        <w:t>.</w:t>
      </w:r>
    </w:p>
    <w:p w14:paraId="3C057559" w14:textId="7D0A59DF" w:rsidR="00E1749B" w:rsidRPr="003849C3" w:rsidRDefault="00E1749B" w:rsidP="00EB5DC9">
      <w:pPr>
        <w:bidi/>
        <w:spacing w:after="200" w:line="36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الثالثة: دراسة الغامدي وعثمان 2023 </w:t>
      </w:r>
    </w:p>
    <w:p w14:paraId="3873AED9" w14:textId="77777777" w:rsidR="00E1749B" w:rsidRPr="003849C3"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 ماجد بن عزيز الغامدي ومزمل علي محمد عثمان</w:t>
      </w:r>
      <w:r w:rsidRPr="003849C3">
        <w:rPr>
          <w:rFonts w:ascii="Traditional Arabic" w:eastAsia="Calibri" w:hAnsi="Traditional Arabic" w:cs="Traditional Arabic" w:hint="cs"/>
          <w:color w:val="000000" w:themeColor="text1"/>
          <w:sz w:val="24"/>
          <w:szCs w:val="24"/>
          <w:lang w:bidi="ar-EG"/>
        </w:rPr>
        <w:t xml:space="preserve"> (2023)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أثر القيادة التحويلية على إدارة الأزمات الصحية: دراسة ميدانية على مستشفى الملك عبدالله ببيشة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أثر القيادة التحويلية بأبعادها المختلفة (التأثير المثالي، الاستثارة الفكرية، الدافعية الإلهامية) على قدرة المستشفى في التعامل مع الأزمات الصحية. سعى الباحثان إلى فهم كيف يمكن للقيادة التحويلية أن تسهم في تعزيز كفاءة إدارة الأزمات داخل المؤسسات الصحية، خاصة في ظل التحديات المتزايدة التي تواجه القطاع الطبي</w:t>
      </w:r>
      <w:r w:rsidRPr="003849C3">
        <w:rPr>
          <w:rFonts w:ascii="Traditional Arabic" w:eastAsia="Calibri" w:hAnsi="Traditional Arabic" w:cs="Traditional Arabic" w:hint="cs"/>
          <w:color w:val="000000" w:themeColor="text1"/>
          <w:sz w:val="24"/>
          <w:szCs w:val="24"/>
          <w:lang w:bidi="ar-EG"/>
        </w:rPr>
        <w:t>.</w:t>
      </w:r>
    </w:p>
    <w:p w14:paraId="49079AAA"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واقع تطبيق القيادة التحويلية ومستوى إدارة الأزمات الصحية. تضمنت الاستبانة مجموعة من البنود التي تغطي الأبعاد القيادية الثلاثة، بالإضافة إلى مؤشرات تتعلق بكفاءة الاستجابة للأزمات، مثل سرعة اتخاذ القرار، التنسيق الداخلي، والمرونة التنظيمية. تم التحقق من صدق الأداة وثباتها باستخدام الأساليب الإحصائية المناسبة، كما خضعت لمراجعة علمية من قبل مختصين في الإدارة الصحية</w:t>
      </w:r>
      <w:r w:rsidRPr="003849C3">
        <w:rPr>
          <w:rFonts w:ascii="Traditional Arabic" w:eastAsia="Calibri" w:hAnsi="Traditional Arabic" w:cs="Traditional Arabic" w:hint="cs"/>
          <w:color w:val="000000" w:themeColor="text1"/>
          <w:sz w:val="24"/>
          <w:szCs w:val="24"/>
          <w:lang w:bidi="ar-EG"/>
        </w:rPr>
        <w:t>.</w:t>
      </w:r>
    </w:p>
    <w:p w14:paraId="43C551CF"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اعتمدت الدراسة على المنهج الوصفي التحليلي، حيث تم تحليل العلاقة بين المتغيرات باستخدام معامل الارتباط وتحليل التباين. وقد تم اختيار عينة عشوائية مكونة من </w:t>
      </w:r>
      <w:r w:rsidRPr="003849C3">
        <w:rPr>
          <w:rFonts w:ascii="Traditional Arabic" w:eastAsia="Calibri" w:hAnsi="Traditional Arabic" w:cs="Traditional Arabic" w:hint="cs"/>
          <w:color w:val="000000" w:themeColor="text1"/>
          <w:sz w:val="24"/>
          <w:szCs w:val="24"/>
          <w:lang w:bidi="ar-EG"/>
        </w:rPr>
        <w:t xml:space="preserve">270 </w:t>
      </w:r>
      <w:r w:rsidRPr="003849C3">
        <w:rPr>
          <w:rFonts w:ascii="Traditional Arabic" w:eastAsia="Calibri" w:hAnsi="Traditional Arabic" w:cs="Traditional Arabic" w:hint="cs"/>
          <w:color w:val="000000" w:themeColor="text1"/>
          <w:sz w:val="24"/>
          <w:szCs w:val="24"/>
          <w:rtl/>
        </w:rPr>
        <w:t>موظفًا وموظفة من العاملين في مستشفى الملك عبدالله ببيشة، وشملت العينة تخصصات طبية وإدارية متنوعة. أظهرت البيانات أن نسبة الذكور بلغت 74%، وأن 39.3% من المشاركين يحملون الدرجة الجامعية الأولى، بينما يعمل 37.8% منهم في المجال الطبي المباشر، مما يعكس طبيعة المجتمع المهني داخل المستشفى</w:t>
      </w:r>
      <w:r w:rsidRPr="003849C3">
        <w:rPr>
          <w:rFonts w:ascii="Traditional Arabic" w:eastAsia="Calibri" w:hAnsi="Traditional Arabic" w:cs="Traditional Arabic" w:hint="cs"/>
          <w:color w:val="000000" w:themeColor="text1"/>
          <w:sz w:val="24"/>
          <w:szCs w:val="24"/>
          <w:lang w:bidi="ar-EG"/>
        </w:rPr>
        <w:t>.</w:t>
      </w:r>
    </w:p>
    <w:p w14:paraId="3635763B" w14:textId="029F4BCD"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توصلت الدراسة إلى وجود أثر ذو دلالة إحصائية للقيادة التحويلية على إدارة الأزمات الصحية، حيث كانت كافة الأبعاد التي تقيس واقع تطبيق القيادة التحويلية مرتفعة بشكل عام. كما تبين أن قدرة قادة مستشفى الملك عبدالله على إدارة الأزمات الصحية كانت عالية، وأن هناك فرقًا ذا دلالة إحصائية يعزى إلى النوع، بينما لم تظهر فروق تعزى للمؤهل العلمي أو نوع الوظيفة. وأوصت الدراسة بضرورة تبني نمط القيادة التحويلية بكافة أبعاده عند مواجهة الأزمات الصحية، وتنمية بعدي الاستثارة الفكرية والدافعية الإلهامية لدى القادة من خلال </w:t>
      </w:r>
      <w:r w:rsidRPr="003849C3">
        <w:rPr>
          <w:rFonts w:ascii="Traditional Arabic" w:eastAsia="Calibri" w:hAnsi="Traditional Arabic" w:cs="Traditional Arabic" w:hint="cs"/>
          <w:color w:val="000000" w:themeColor="text1"/>
          <w:sz w:val="24"/>
          <w:szCs w:val="24"/>
          <w:rtl/>
        </w:rPr>
        <w:lastRenderedPageBreak/>
        <w:t>الدورات التدريبية المتخصصة، بالإضافة إلى تحديد النمط القيادي الأمثل لكل متغير من متغيرات البيئة الخارجية عبر وضع خطط استراتيجية مرنة تساعد في مواجهة التغيرات المستقبلية بكفاءة</w:t>
      </w:r>
      <w:r w:rsidRPr="003849C3">
        <w:rPr>
          <w:rFonts w:ascii="Traditional Arabic" w:eastAsia="Calibri" w:hAnsi="Traditional Arabic" w:cs="Traditional Arabic" w:hint="cs"/>
          <w:color w:val="000000" w:themeColor="text1"/>
          <w:sz w:val="24"/>
          <w:szCs w:val="24"/>
          <w:lang w:bidi="ar-EG"/>
        </w:rPr>
        <w:t>.</w:t>
      </w:r>
    </w:p>
    <w:p w14:paraId="78133176" w14:textId="5ECA469B" w:rsidR="0004100F" w:rsidRPr="003849C3" w:rsidRDefault="00ED2E9A" w:rsidP="00E1749B">
      <w:pPr>
        <w:bidi/>
        <w:spacing w:after="200" w:line="360" w:lineRule="auto"/>
        <w:contextualSpacing/>
        <w:jc w:val="both"/>
        <w:rPr>
          <w:rFonts w:ascii="Traditional Arabic" w:eastAsia="Calibri" w:hAnsi="Traditional Arabic" w:cs="Traditional Arabic"/>
          <w:sz w:val="24"/>
          <w:szCs w:val="24"/>
          <w:rtl/>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الرابعة</w:t>
      </w:r>
      <w:r w:rsidRPr="003849C3">
        <w:rPr>
          <w:rFonts w:ascii="Traditional Arabic" w:eastAsia="Calibri" w:hAnsi="Traditional Arabic" w:cs="Traditional Arabic" w:hint="cs"/>
          <w:b/>
          <w:bCs/>
          <w:sz w:val="24"/>
          <w:szCs w:val="24"/>
          <w:rtl/>
          <w:lang w:bidi="ar-EG"/>
        </w:rPr>
        <w:t>:</w:t>
      </w:r>
      <w:r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b/>
          <w:bCs/>
          <w:sz w:val="24"/>
          <w:szCs w:val="24"/>
          <w:rtl/>
          <w:lang w:bidi="ar-EG"/>
        </w:rPr>
        <w:t xml:space="preserve">دراسة </w:t>
      </w:r>
      <w:r w:rsidR="0004100F" w:rsidRPr="003849C3">
        <w:rPr>
          <w:rFonts w:ascii="Traditional Arabic" w:eastAsia="Calibri" w:hAnsi="Traditional Arabic" w:cs="Traditional Arabic" w:hint="cs"/>
          <w:b/>
          <w:bCs/>
          <w:sz w:val="24"/>
          <w:szCs w:val="24"/>
          <w:rtl/>
          <w:lang w:bidi="ar-EG"/>
        </w:rPr>
        <w:t>عفيفي</w:t>
      </w:r>
      <w:r w:rsidRPr="003849C3">
        <w:rPr>
          <w:rFonts w:ascii="Traditional Arabic" w:eastAsia="Calibri" w:hAnsi="Traditional Arabic" w:cs="Traditional Arabic" w:hint="cs"/>
          <w:b/>
          <w:bCs/>
          <w:sz w:val="24"/>
          <w:szCs w:val="24"/>
          <w:rtl/>
          <w:lang w:bidi="ar-EG"/>
        </w:rPr>
        <w:t xml:space="preserve"> و</w:t>
      </w:r>
      <w:r w:rsidR="0004100F" w:rsidRPr="003849C3">
        <w:rPr>
          <w:rFonts w:ascii="Traditional Arabic" w:eastAsia="Calibri" w:hAnsi="Traditional Arabic" w:cs="Traditional Arabic" w:hint="cs"/>
          <w:b/>
          <w:bCs/>
          <w:sz w:val="24"/>
          <w:szCs w:val="24"/>
          <w:rtl/>
          <w:lang w:bidi="ar-EG"/>
        </w:rPr>
        <w:t>آلاء</w:t>
      </w:r>
      <w:r w:rsidRPr="003849C3">
        <w:rPr>
          <w:rFonts w:ascii="Traditional Arabic" w:eastAsia="Calibri" w:hAnsi="Traditional Arabic" w:cs="Traditional Arabic" w:hint="cs"/>
          <w:b/>
          <w:bCs/>
          <w:sz w:val="24"/>
          <w:szCs w:val="24"/>
          <w:rtl/>
          <w:lang w:bidi="ar-EG"/>
        </w:rPr>
        <w:t xml:space="preserve"> </w:t>
      </w:r>
      <w:r w:rsidR="0004100F" w:rsidRPr="003849C3">
        <w:rPr>
          <w:rFonts w:ascii="Traditional Arabic" w:eastAsia="Calibri" w:hAnsi="Traditional Arabic" w:cs="Traditional Arabic" w:hint="cs"/>
          <w:b/>
          <w:bCs/>
          <w:sz w:val="24"/>
          <w:szCs w:val="24"/>
          <w:rtl/>
          <w:lang w:bidi="ar-EG"/>
        </w:rPr>
        <w:t>2024</w:t>
      </w:r>
      <w:r w:rsidRPr="003849C3">
        <w:rPr>
          <w:rFonts w:ascii="Traditional Arabic" w:eastAsia="Calibri" w:hAnsi="Traditional Arabic" w:cs="Traditional Arabic" w:hint="cs"/>
          <w:b/>
          <w:bCs/>
          <w:sz w:val="24"/>
          <w:szCs w:val="24"/>
          <w:rtl/>
          <w:lang w:bidi="ar-EG"/>
        </w:rPr>
        <w:t xml:space="preserve"> </w:t>
      </w:r>
    </w:p>
    <w:p w14:paraId="286372E4"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أجرى عفيفي وآلاء</w:t>
      </w:r>
      <w:r w:rsidRPr="003849C3">
        <w:rPr>
          <w:rFonts w:ascii="Traditional Arabic" w:eastAsia="Calibri" w:hAnsi="Traditional Arabic" w:cs="Traditional Arabic" w:hint="cs"/>
          <w:sz w:val="24"/>
          <w:szCs w:val="24"/>
          <w:lang w:bidi="ar-EG"/>
        </w:rPr>
        <w:t xml:space="preserve"> (2024)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وهدفت إلى تقييم أثر تطبيق نظم إدارة المخاطر على جودة الرعاية الصحية وسلامة المرضى في المستشفيات الحكومية والخاصة بمدينة جدة. سعى الباحثان إلى فهم مدى فاعلية السياسات والإجراءات المرتبطة بإدارة المخاطر في تحسين الأداء الصحي وتقليل الحوادث الطبية، وذلك في ظل التحديات التنظيمية والبيئية التي تواجه المؤسسات الصحية</w:t>
      </w:r>
      <w:r w:rsidRPr="003849C3">
        <w:rPr>
          <w:rFonts w:ascii="Traditional Arabic" w:eastAsia="Calibri" w:hAnsi="Traditional Arabic" w:cs="Traditional Arabic" w:hint="cs"/>
          <w:sz w:val="24"/>
          <w:szCs w:val="24"/>
          <w:lang w:bidi="ar-EG"/>
        </w:rPr>
        <w:t>.</w:t>
      </w:r>
    </w:p>
    <w:p w14:paraId="0A3B5AAA"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استخدمت الدراسة الاستبانة المغلقة كأداة رئيسية لجمع البيانات، وتم تصميمها بناءً على نماذج عالمية في إدارة الجودة وسلامة المرضى. تضمنت الاستبانة ثلاثة محاور: الأول يقيس ممارسات إدارة المخاطر، والثاني يختبر مؤشرات جودة الرعاية، والثالث يركز على سلامة المرضى. تم التحقق من صدق الأداة وثباتها باستخدام معامل كرونباخ ألفا، كما خضعت لمراجعة علمية من قبل خبراء في الإدارة الصحية لضمان ملاءمتها للسياق المحلي</w:t>
      </w:r>
      <w:r w:rsidRPr="003849C3">
        <w:rPr>
          <w:rFonts w:ascii="Traditional Arabic" w:eastAsia="Calibri" w:hAnsi="Traditional Arabic" w:cs="Traditional Arabic" w:hint="cs"/>
          <w:sz w:val="24"/>
          <w:szCs w:val="24"/>
          <w:lang w:bidi="ar-EG"/>
        </w:rPr>
        <w:t>.</w:t>
      </w:r>
    </w:p>
    <w:p w14:paraId="2211EA53"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اعتمدت الدراسة على المنهج الوصفي التحليلي، حيث تم تحليل العلاقة بين المتغيرات باستخدام أدوات إحصائية مثل المتوسطات والانحراف المعياري وتحليل الانحدار. وقد تم اختيار عينة قصدية مكونة من </w:t>
      </w:r>
      <w:r w:rsidRPr="003849C3">
        <w:rPr>
          <w:rFonts w:ascii="Traditional Arabic" w:eastAsia="Calibri" w:hAnsi="Traditional Arabic" w:cs="Traditional Arabic" w:hint="cs"/>
          <w:sz w:val="24"/>
          <w:szCs w:val="24"/>
          <w:lang w:bidi="ar-EG"/>
        </w:rPr>
        <w:t xml:space="preserve">200 </w:t>
      </w:r>
      <w:r w:rsidRPr="003849C3">
        <w:rPr>
          <w:rFonts w:ascii="Traditional Arabic" w:eastAsia="Calibri" w:hAnsi="Traditional Arabic" w:cs="Traditional Arabic" w:hint="cs"/>
          <w:sz w:val="24"/>
          <w:szCs w:val="24"/>
          <w:rtl/>
        </w:rPr>
        <w:t>مشارك من العاملين في القطاع الصحي، شملت أطباء، ممرضين، إداريين، ومديري الجودة، موزعين على عدد من المستشفيات الحكومية والخاصة في مدينة جدة. تم اختيار العينة بناءً على معيار الخبرة العملية (لا تقل عن ثلاث سنوات) لضمان جودة الاستجابات</w:t>
      </w:r>
      <w:r w:rsidRPr="003849C3">
        <w:rPr>
          <w:rFonts w:ascii="Traditional Arabic" w:eastAsia="Calibri" w:hAnsi="Traditional Arabic" w:cs="Traditional Arabic" w:hint="cs"/>
          <w:sz w:val="24"/>
          <w:szCs w:val="24"/>
          <w:lang w:bidi="ar-EG"/>
        </w:rPr>
        <w:t>.</w:t>
      </w:r>
    </w:p>
    <w:p w14:paraId="05EEBEF6" w14:textId="11916263"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 xml:space="preserve">توصلت الدراسة إلى أن </w:t>
      </w:r>
      <w:r w:rsidRPr="003849C3">
        <w:rPr>
          <w:rFonts w:ascii="Traditional Arabic" w:eastAsia="Calibri" w:hAnsi="Traditional Arabic" w:cs="Traditional Arabic" w:hint="cs"/>
          <w:sz w:val="24"/>
          <w:szCs w:val="24"/>
          <w:lang w:bidi="ar-EG"/>
        </w:rPr>
        <w:t xml:space="preserve">60% </w:t>
      </w:r>
      <w:r w:rsidRPr="003849C3">
        <w:rPr>
          <w:rFonts w:ascii="Traditional Arabic" w:eastAsia="Calibri" w:hAnsi="Traditional Arabic" w:cs="Traditional Arabic" w:hint="cs"/>
          <w:sz w:val="24"/>
          <w:szCs w:val="24"/>
          <w:rtl/>
        </w:rPr>
        <w:t xml:space="preserve">من المشاركين لاحظوا تحسنًا في جودة الرعاية الصحية بعد تطبيق نظم إدارة المخاطر، بينما أشار </w:t>
      </w:r>
      <w:r w:rsidRPr="003849C3">
        <w:rPr>
          <w:rFonts w:ascii="Traditional Arabic" w:eastAsia="Calibri" w:hAnsi="Traditional Arabic" w:cs="Traditional Arabic" w:hint="cs"/>
          <w:sz w:val="24"/>
          <w:szCs w:val="24"/>
          <w:lang w:bidi="ar-EG"/>
        </w:rPr>
        <w:t xml:space="preserve">50% </w:t>
      </w:r>
      <w:r w:rsidRPr="003849C3">
        <w:rPr>
          <w:rFonts w:ascii="Traditional Arabic" w:eastAsia="Calibri" w:hAnsi="Traditional Arabic" w:cs="Traditional Arabic" w:hint="cs"/>
          <w:sz w:val="24"/>
          <w:szCs w:val="24"/>
          <w:rtl/>
        </w:rPr>
        <w:t>إلى تحسن في سلامة المرضى من حيث تقليل الأخطاء الطبية والاستجابة للحوادث. كما كشفت النتائج عن وجود تحديات تعيق التطبيق الفعال، أبرزها ضعف التدريب، نقص الموارد، ومقاومة التغيير من قبل بعض العاملين. وأوصت الدراسة بضرورة تعزيز برامج التدريب والتوعية، تحسين الدعم الإداري، وتحديث السياسات بشكل دوري لضمان توافقها مع المعايير الحديثة، إلى جانب استخدام التكنولوجيا في تحليل البيانات وتطوير أنظمة الإنذار المبكر داخل المستشفيات</w:t>
      </w:r>
      <w:r w:rsidRPr="003849C3">
        <w:rPr>
          <w:rFonts w:ascii="Traditional Arabic" w:eastAsia="Calibri" w:hAnsi="Traditional Arabic" w:cs="Traditional Arabic" w:hint="cs"/>
          <w:sz w:val="24"/>
          <w:szCs w:val="24"/>
          <w:lang w:bidi="ar-EG"/>
        </w:rPr>
        <w:t>.</w:t>
      </w:r>
    </w:p>
    <w:p w14:paraId="169DA021" w14:textId="38B7694F"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الدراسات باللغة الانجليزية:</w:t>
      </w:r>
    </w:p>
    <w:p w14:paraId="302E4498" w14:textId="0FC1D276" w:rsidR="00E1749B" w:rsidRPr="003849C3" w:rsidRDefault="00E1749B" w:rsidP="00E1749B">
      <w:pPr>
        <w:bidi/>
        <w:spacing w:after="200" w:line="24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الخامسة:</w:t>
      </w:r>
    </w:p>
    <w:p w14:paraId="7A0A3E34" w14:textId="77777777" w:rsidR="00E1749B" w:rsidRPr="003849C3" w:rsidRDefault="00E1749B" w:rsidP="00E1749B">
      <w:pPr>
        <w:spacing w:after="200" w:line="240" w:lineRule="auto"/>
        <w:jc w:val="both"/>
        <w:rPr>
          <w:rFonts w:ascii="Traditional Arabic" w:eastAsia="Calibri" w:hAnsi="Traditional Arabic" w:cs="Traditional Arabic"/>
          <w:b/>
          <w:bCs/>
          <w:sz w:val="24"/>
          <w:szCs w:val="24"/>
          <w:lang w:bidi="ar-EG"/>
        </w:rPr>
      </w:pPr>
      <w:r w:rsidRPr="003849C3">
        <w:rPr>
          <w:rFonts w:ascii="Traditional Arabic" w:eastAsia="Calibri" w:hAnsi="Traditional Arabic" w:cs="Traditional Arabic" w:hint="cs"/>
          <w:b/>
          <w:bCs/>
          <w:sz w:val="24"/>
          <w:szCs w:val="24"/>
          <w:lang w:bidi="ar-EG"/>
        </w:rPr>
        <w:t xml:space="preserve">Purwanto et al., 2020 </w:t>
      </w:r>
    </w:p>
    <w:p w14:paraId="76013990"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أجرى </w:t>
      </w:r>
      <w:r w:rsidRPr="003849C3">
        <w:rPr>
          <w:rFonts w:ascii="Traditional Arabic" w:eastAsia="Calibri" w:hAnsi="Traditional Arabic" w:cs="Traditional Arabic" w:hint="cs"/>
          <w:sz w:val="24"/>
          <w:szCs w:val="24"/>
          <w:lang w:bidi="ar-EG"/>
        </w:rPr>
        <w:t xml:space="preserve">Purwanto et al. (2020)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أثر أساليب القيادة التحويلية والتبادلية على أداء المركز الصحي: دراسة ميدانية في مدينة باتي بجاوا الوسطى</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xml:space="preserve">، وهدفت إلى التعرف على مدى تأثير نمطي القيادة التحويلية والتبادلية على أداء العاملين في المراكز الصحية، وذلك </w:t>
      </w:r>
      <w:r w:rsidRPr="003849C3">
        <w:rPr>
          <w:rFonts w:ascii="Traditional Arabic" w:eastAsia="Calibri" w:hAnsi="Traditional Arabic" w:cs="Traditional Arabic" w:hint="cs"/>
          <w:sz w:val="24"/>
          <w:szCs w:val="24"/>
          <w:rtl/>
        </w:rPr>
        <w:lastRenderedPageBreak/>
        <w:t>في سياق سعي المؤسسات الصحية الإندونيسية إلى تحسين جودة الخدمات وتعزيز الكفاءة التشغيلية. ركزت الدراسة على تحليل العلاقة بين أساليب القيادة الحديثة ومستوى أداء الموظفين في بيئة صحية حكومية</w:t>
      </w:r>
      <w:r w:rsidRPr="003849C3">
        <w:rPr>
          <w:rFonts w:ascii="Traditional Arabic" w:eastAsia="Calibri" w:hAnsi="Traditional Arabic" w:cs="Traditional Arabic" w:hint="cs"/>
          <w:sz w:val="24"/>
          <w:szCs w:val="24"/>
          <w:lang w:bidi="ar-EG"/>
        </w:rPr>
        <w:t>.</w:t>
      </w:r>
    </w:p>
    <w:p w14:paraId="280A4013"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 الباحثون الاستبانة المغلقة كأداة رئيسية لجمع البيانات، حيث تم تصميمها لقياس أبعاد القيادة التحويلية (مثل التحفيز، الرؤية، الاعتبار الفردي) والقيادة التبادلية (مثل المكافأة المشروطة والإدارة بالاستثناء)، بالإضافة إلى مؤشرات أداء الموظفين مثل الالتزام، الإنتاجية، وجودة الخدمة. تم التحقق من صدق الأداة وثباتها باستخدام الأساليب الإحصائية المناسبة، كما خضعت لمراجعة علمية لضمان ملاءمتها للسياق المحلي</w:t>
      </w:r>
      <w:r w:rsidRPr="003849C3">
        <w:rPr>
          <w:rFonts w:ascii="Traditional Arabic" w:eastAsia="Calibri" w:hAnsi="Traditional Arabic" w:cs="Traditional Arabic" w:hint="cs"/>
          <w:sz w:val="24"/>
          <w:szCs w:val="24"/>
          <w:lang w:bidi="ar-EG"/>
        </w:rPr>
        <w:t>.</w:t>
      </w:r>
    </w:p>
    <w:p w14:paraId="2C48EEFF"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اعتمدت الدراسة على المنهج الوصفي التحليلي، حيث تم تحليل العلاقة بين المتغيرات باستخدام معامل الارتباط وتحليل الانحدار. وقد تم اختيار عينة مكونة من 200 موظف وموظفة يعملون في المراكز الصحية بمدينة باتي بجاوا الوسطى، وشملت العينة فئات وظيفية متنوعة من أطباء، ممرضين، إداريين، وفنيين، لضمان تمثيل شامل للبيئة التنظيمية داخل المركز الصحي</w:t>
      </w:r>
      <w:r w:rsidRPr="003849C3">
        <w:rPr>
          <w:rFonts w:ascii="Traditional Arabic" w:eastAsia="Calibri" w:hAnsi="Traditional Arabic" w:cs="Traditional Arabic" w:hint="cs"/>
          <w:sz w:val="24"/>
          <w:szCs w:val="24"/>
          <w:lang w:bidi="ar-EG"/>
        </w:rPr>
        <w:t>.</w:t>
      </w:r>
    </w:p>
    <w:p w14:paraId="05057B2A" w14:textId="77777777" w:rsidR="00E1749B" w:rsidRPr="003849C3" w:rsidRDefault="00E1749B" w:rsidP="00193F62">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توصلت الدراسة إلى أن أسلوب القيادة التحويلية له تأثير إيجابي وهام للغاية على أداء الموظفين، حيث يعزز من روح المبادرة، الالتزام، والرضا الوظيفي. كما أظهرت النتائج أن أسلوب القيادة التبادلية له أيضًا تأثير كبير وإيجابي على الأداء، خاصة في الجوانب المتعلقة بالتحفيز المباشر والانضباط التنظيمي. وقد بينت الدراسة أن الجمع بين النمطين القياديين يحقق نتائج أفضل من الاعتماد على أحدهما فقط</w:t>
      </w:r>
      <w:r w:rsidRPr="003849C3">
        <w:rPr>
          <w:rFonts w:ascii="Traditional Arabic" w:eastAsia="Calibri" w:hAnsi="Traditional Arabic" w:cs="Traditional Arabic" w:hint="cs"/>
          <w:sz w:val="24"/>
          <w:szCs w:val="24"/>
          <w:lang w:bidi="ar-EG"/>
        </w:rPr>
        <w:t>.</w:t>
      </w:r>
    </w:p>
    <w:p w14:paraId="0CA850BE" w14:textId="19B3C0F3" w:rsidR="00E1749B" w:rsidRPr="003849C3" w:rsidRDefault="00E1749B" w:rsidP="00193F62">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استخدام أسلوبي القيادة التحويلية والتبادلية بشكل متكامل، من خلال التعليمات الواضحة، الاستشارات المستمرة، المشاركة في اتخاذ القرار، التفويض الفعّال، وتبني الأساليب القيادية ذات المرونة العالية التي تتكيف مع احتياجات الموظفين وظروف العمل. كما شددت على أهمية تدريب القادة الصحيين على تطبيق هذه الأنماط القيادية بما ينعكس إيجابًا على جودة الأداء المؤسسي والخدمة الصحية المقدمة</w:t>
      </w:r>
      <w:r w:rsidRPr="003849C3">
        <w:rPr>
          <w:rFonts w:ascii="Traditional Arabic" w:eastAsia="Calibri" w:hAnsi="Traditional Arabic" w:cs="Traditional Arabic" w:hint="cs"/>
          <w:sz w:val="24"/>
          <w:szCs w:val="24"/>
          <w:lang w:bidi="ar-EG"/>
        </w:rPr>
        <w:t>.</w:t>
      </w:r>
    </w:p>
    <w:p w14:paraId="3814DEF1" w14:textId="0C5E09F9" w:rsidR="00DC1812" w:rsidRPr="003849C3" w:rsidRDefault="00DC1812" w:rsidP="00E1749B">
      <w:pPr>
        <w:bidi/>
        <w:spacing w:after="200" w:line="240" w:lineRule="auto"/>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السادسة</w:t>
      </w:r>
      <w:r w:rsidRPr="003849C3">
        <w:rPr>
          <w:rFonts w:ascii="Traditional Arabic" w:eastAsia="Calibri" w:hAnsi="Traditional Arabic" w:cs="Traditional Arabic" w:hint="cs"/>
          <w:b/>
          <w:bCs/>
          <w:sz w:val="24"/>
          <w:szCs w:val="24"/>
          <w:rtl/>
          <w:lang w:bidi="ar-EG"/>
        </w:rPr>
        <w:t>:</w:t>
      </w:r>
    </w:p>
    <w:p w14:paraId="16242ADB" w14:textId="77777777" w:rsidR="008521C6" w:rsidRPr="003849C3" w:rsidRDefault="008521C6" w:rsidP="00F85136">
      <w:pPr>
        <w:bidi/>
        <w:spacing w:after="200" w:line="240" w:lineRule="auto"/>
        <w:jc w:val="right"/>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lang w:bidi="ar-EG"/>
        </w:rPr>
        <w:t>Badriyah Putri Jannah (2024)</w:t>
      </w:r>
      <w:r w:rsidRPr="003849C3">
        <w:rPr>
          <w:rFonts w:ascii="Traditional Arabic" w:eastAsia="Calibri" w:hAnsi="Traditional Arabic" w:cs="Traditional Arabic" w:hint="cs"/>
          <w:sz w:val="24"/>
          <w:szCs w:val="24"/>
          <w:lang w:bidi="ar-EG"/>
        </w:rPr>
        <w:t xml:space="preserve"> </w:t>
      </w:r>
    </w:p>
    <w:p w14:paraId="74441ACA"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Pr>
      </w:pPr>
      <w:r w:rsidRPr="003849C3">
        <w:rPr>
          <w:rFonts w:ascii="Traditional Arabic" w:eastAsia="Calibri" w:hAnsi="Traditional Arabic" w:cs="Traditional Arabic" w:hint="cs"/>
          <w:sz w:val="24"/>
          <w:szCs w:val="24"/>
          <w:rtl/>
        </w:rPr>
        <w:t xml:space="preserve">أجرت </w:t>
      </w:r>
      <w:r w:rsidRPr="003849C3">
        <w:rPr>
          <w:rFonts w:ascii="Traditional Arabic" w:eastAsia="Calibri" w:hAnsi="Traditional Arabic" w:cs="Traditional Arabic" w:hint="cs"/>
          <w:b/>
          <w:bCs/>
          <w:sz w:val="24"/>
          <w:szCs w:val="24"/>
          <w:rtl/>
        </w:rPr>
        <w:t>بدرية بوتري جانا</w:t>
      </w:r>
      <w:r w:rsidRPr="003849C3">
        <w:rPr>
          <w:rFonts w:ascii="Traditional Arabic" w:eastAsia="Calibri" w:hAnsi="Traditional Arabic" w:cs="Traditional Arabic" w:hint="cs"/>
          <w:b/>
          <w:bCs/>
          <w:sz w:val="24"/>
          <w:szCs w:val="24"/>
        </w:rPr>
        <w:t xml:space="preserve"> (2024)</w:t>
      </w:r>
      <w:r w:rsidRPr="003849C3">
        <w:rPr>
          <w:rFonts w:ascii="Traditional Arabic" w:eastAsia="Calibri" w:hAnsi="Traditional Arabic" w:cs="Traditional Arabic" w:hint="cs"/>
          <w:sz w:val="24"/>
          <w:szCs w:val="24"/>
        </w:rPr>
        <w:t xml:space="preserve">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تأثير نمط القيادة التحويلية على تطبيق سلامة المرضى في المستشفيات: مراجعة أدبية</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 وهدفت إلى تحليل أثر القيادة التحويلية على جهود تعزيز سلامة المرضى داخل المؤسسات الصحية، باعتبار أن المستشفيات بيئات تنظيمية معقدة تتطلب نمطًا قياديًا مرنًا ومحفزًا قادرًا على إحداث التغيير. ركزت الدراسة على كيفية مساهمة القيادة التحويلية في تحسين بيئة العمل، وتقوية ثقافة السلامة، وتقليل الأخطاء الطبية من خلال دعم الفرق الصحية وتحفيزهم</w:t>
      </w:r>
      <w:r w:rsidRPr="003849C3">
        <w:rPr>
          <w:rFonts w:ascii="Traditional Arabic" w:eastAsia="Calibri" w:hAnsi="Traditional Arabic" w:cs="Traditional Arabic" w:hint="cs"/>
          <w:sz w:val="24"/>
          <w:szCs w:val="24"/>
        </w:rPr>
        <w:t>.</w:t>
      </w:r>
    </w:p>
    <w:p w14:paraId="1E231B08"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استخدمت الباحثة منهج الدراسة الأدبية</w:t>
      </w:r>
      <w:r w:rsidRPr="003849C3">
        <w:rPr>
          <w:rFonts w:ascii="Traditional Arabic" w:eastAsia="Calibri" w:hAnsi="Traditional Arabic" w:cs="Traditional Arabic" w:hint="cs"/>
          <w:sz w:val="24"/>
          <w:szCs w:val="24"/>
          <w:lang w:bidi="ar-EG"/>
        </w:rPr>
        <w:t xml:space="preserve"> (Literature Review)</w:t>
      </w:r>
      <w:r w:rsidRPr="003849C3">
        <w:rPr>
          <w:rFonts w:ascii="Traditional Arabic" w:eastAsia="Calibri" w:hAnsi="Traditional Arabic" w:cs="Traditional Arabic" w:hint="cs"/>
          <w:sz w:val="24"/>
          <w:szCs w:val="24"/>
          <w:rtl/>
        </w:rPr>
        <w:t>، حيث جمعت بيانات ثانوية من مقالات علمية منشورة في قواعد بيانات إلكترونية، وفقًا لمعايير إدراج واستبعاد محددة مسبقًا. تم تحليل الدراسات السابقة التي تناولت القيادة التحويلية وسلامة المرضى، مع التركيز على الأبعاد القيادية الأربعة: التأثير المثالي، الدافعية الإلهامية، الاستثارة الفكرية، والاعتبار الفردي. لم تعتمد الدراسة على عينة ميدانية، بل استندت إلى تحليل محتوى منهجي للدراسات المنشورة بين عامي 2015 و2023</w:t>
      </w:r>
      <w:r w:rsidRPr="003849C3">
        <w:rPr>
          <w:rFonts w:ascii="Traditional Arabic" w:eastAsia="Calibri" w:hAnsi="Traditional Arabic" w:cs="Traditional Arabic" w:hint="cs"/>
          <w:sz w:val="24"/>
          <w:szCs w:val="24"/>
          <w:lang w:bidi="ar-EG"/>
        </w:rPr>
        <w:t>.</w:t>
      </w:r>
    </w:p>
    <w:p w14:paraId="43D0B947"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أظهرت نتائج الدراسة أن القيادة التحويلية تُعد استراتيجية فعالة ومؤثرة بشكل كبير في تحسين سلامة المرضى داخل المستشفيات</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حيث أشار التحليل إلى أن القادة الذين يتبنون هذا النمط القيادي يساهمون في تحسين ظروف العمل، وخلق بيئة تنظيمية داعمة، مما ينعكس إيجابًا على جودة الخدمة المقدمة. كما تبين أن القيادة التحويلية تعزز التكامل بين الفرق الطبية، وتدعم اتخاذ قرارات سريعة وفعالة في المواقف الحرجة، مما يقلل من احتمالية وقوع الحوادث الطبية</w:t>
      </w:r>
      <w:r w:rsidRPr="003849C3">
        <w:rPr>
          <w:rFonts w:ascii="Traditional Arabic" w:eastAsia="Calibri" w:hAnsi="Traditional Arabic" w:cs="Traditional Arabic" w:hint="cs"/>
          <w:sz w:val="24"/>
          <w:szCs w:val="24"/>
          <w:lang w:bidi="ar-EG"/>
        </w:rPr>
        <w:t>.</w:t>
      </w:r>
    </w:p>
    <w:p w14:paraId="3960BB8D"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نمط القيادة التحويلية في المؤسسات الصحية، خاصة في المستشفيات العامة التي تواجه تحديات تنظيمية وبشرية معقدة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كما شددت على أهمية تدريب القادة الصحيين على مهارات التحفيز والتواصل الفعال، وتطوير برامج قيادية تركز على بناء ثقافة السلامة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وأكدت الباحثة أن دمج القيادة التحويلية ضمن السياسات الإدارية للمستشفيات يمكن أن يكون عاملًا حاسمًا في تحسين الأداء المؤسسي وتحقيق أهداف الجودة وسلامة المرضى</w:t>
      </w:r>
      <w:r w:rsidRPr="003849C3">
        <w:rPr>
          <w:rFonts w:ascii="Traditional Arabic" w:eastAsia="Calibri" w:hAnsi="Traditional Arabic" w:cs="Traditional Arabic" w:hint="cs"/>
          <w:sz w:val="24"/>
          <w:szCs w:val="24"/>
          <w:lang w:bidi="ar-EG"/>
        </w:rPr>
        <w:t>.</w:t>
      </w:r>
    </w:p>
    <w:p w14:paraId="026B8C9B" w14:textId="6B6DD47A" w:rsidR="00E1749B" w:rsidRPr="003849C3" w:rsidRDefault="00E1749B" w:rsidP="00E1749B">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السابعة:</w:t>
      </w:r>
    </w:p>
    <w:p w14:paraId="72FDCDD4"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w:t>
      </w:r>
      <w:r w:rsidRPr="003849C3">
        <w:rPr>
          <w:rFonts w:ascii="Traditional Arabic" w:eastAsia="Calibri" w:hAnsi="Traditional Arabic" w:cs="Traditional Arabic" w:hint="cs"/>
          <w:color w:val="000000" w:themeColor="text1"/>
          <w:sz w:val="24"/>
          <w:szCs w:val="24"/>
        </w:rPr>
        <w:t xml:space="preserve"> </w:t>
      </w:r>
      <w:r w:rsidRPr="003849C3">
        <w:rPr>
          <w:rFonts w:ascii="Traditional Arabic" w:eastAsia="Calibri" w:hAnsi="Traditional Arabic" w:cs="Traditional Arabic" w:hint="cs"/>
          <w:b/>
          <w:bCs/>
          <w:color w:val="000000" w:themeColor="text1"/>
          <w:sz w:val="24"/>
          <w:szCs w:val="24"/>
          <w:lang w:bidi="ar-EG"/>
        </w:rPr>
        <w:t xml:space="preserve">Stöcker </w:t>
      </w:r>
      <w:r w:rsidRPr="003849C3">
        <w:rPr>
          <w:rFonts w:ascii="Traditional Arabic" w:eastAsia="Calibri" w:hAnsi="Traditional Arabic" w:cs="Traditional Arabic" w:hint="cs"/>
          <w:b/>
          <w:bCs/>
          <w:color w:val="000000" w:themeColor="text1"/>
          <w:sz w:val="24"/>
          <w:szCs w:val="24"/>
          <w:rtl/>
        </w:rPr>
        <w:t>وآخرون</w:t>
      </w:r>
      <w:r w:rsidRPr="003849C3">
        <w:rPr>
          <w:rFonts w:ascii="Traditional Arabic" w:eastAsia="Calibri" w:hAnsi="Traditional Arabic" w:cs="Traditional Arabic" w:hint="cs"/>
          <w:b/>
          <w:bCs/>
          <w:color w:val="000000" w:themeColor="text1"/>
          <w:sz w:val="24"/>
          <w:szCs w:val="24"/>
          <w:lang w:bidi="ar-EG"/>
        </w:rPr>
        <w:t xml:space="preserve"> (2023</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القيادة التحويلية ورأس المال الاجتماعي كمحددات لسلامة المرضى: مقاربة بارسونية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تأثير القيادة التحويلية ورأس المال الاجتماعي على جودة الرعاية وسلامة المرضى في المستشفيات الألمانية، من خلال إطار نظري مستند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الذي يركز على التكيف، تحقيق الأهداف، التكامل، وصيانة الأنماط التنظيمية. سعى الباحثون إلى اختبار كيف تؤثر القيادة التحويلية (كعامل لتحقيق الأهداف) ورأس المال الاجتماعي (كعامل تكامل جماعي) على تقليل العيوب في جودة الرعاية الصحية</w:t>
      </w:r>
      <w:r w:rsidRPr="003849C3">
        <w:rPr>
          <w:rFonts w:ascii="Traditional Arabic" w:eastAsia="Calibri" w:hAnsi="Traditional Arabic" w:cs="Traditional Arabic" w:hint="cs"/>
          <w:color w:val="000000" w:themeColor="text1"/>
          <w:sz w:val="24"/>
          <w:szCs w:val="24"/>
          <w:lang w:bidi="ar-EG"/>
        </w:rPr>
        <w:t>.</w:t>
      </w:r>
    </w:p>
    <w:p w14:paraId="0DCE2EB7"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استخدمت الدراسة استبانة مغلقة تم توزيعها على </w:t>
      </w:r>
      <w:r w:rsidRPr="003849C3">
        <w:rPr>
          <w:rFonts w:ascii="Traditional Arabic" w:eastAsia="Calibri" w:hAnsi="Traditional Arabic" w:cs="Traditional Arabic" w:hint="cs"/>
          <w:color w:val="000000" w:themeColor="text1"/>
          <w:sz w:val="24"/>
          <w:szCs w:val="24"/>
          <w:lang w:bidi="ar-EG"/>
        </w:rPr>
        <w:t xml:space="preserve">551 </w:t>
      </w:r>
      <w:r w:rsidRPr="003849C3">
        <w:rPr>
          <w:rFonts w:ascii="Traditional Arabic" w:eastAsia="Calibri" w:hAnsi="Traditional Arabic" w:cs="Traditional Arabic" w:hint="cs"/>
          <w:color w:val="000000" w:themeColor="text1"/>
          <w:sz w:val="24"/>
          <w:szCs w:val="24"/>
          <w:rtl/>
        </w:rPr>
        <w:t>مديرًا طبيًا في المستشفيات الألمانية، لقياس مستوى القيادة التحويلية ورأس المال الاجتماعي داخل المؤسسات الصحية. كما تم ربط نتائج الاستبيان ببيانات تقارير الجودة للفترة بين عامي 2012 و2019، مما أتاح إجراء تحليل طولي شامل. اعتمد الباحثون على المنهج الكمي التحليلي، واستخدموا تقسيمًا ثلاثيًا لمستويات القيادة والتكامل (منخفض، متوسط، مرتفع) لإنشاء ما يسمى بعامل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الذي يجمع بين القيادة التحويلية والتكامل الاجتماعي</w:t>
      </w:r>
      <w:r w:rsidRPr="003849C3">
        <w:rPr>
          <w:rFonts w:ascii="Traditional Arabic" w:eastAsia="Calibri" w:hAnsi="Traditional Arabic" w:cs="Traditional Arabic" w:hint="cs"/>
          <w:color w:val="000000" w:themeColor="text1"/>
          <w:sz w:val="24"/>
          <w:szCs w:val="24"/>
          <w:rtl/>
          <w:lang w:bidi="ar-EG"/>
        </w:rPr>
        <w:t>.</w:t>
      </w:r>
    </w:p>
    <w:p w14:paraId="39E2CDDD"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lastRenderedPageBreak/>
        <w:t>أظهرت نتائج الدراسة أن المستشفيات التي تتمتع بمستوى مرتفع من القيادة التحويلية والتكامل الاجتماعي</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المرتفع</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كانت أقل عرضة لظهور عيوب في جودة الرعاية الصحية، مقارنة بالمستشفيات ذات المستويات المنخفضة أو المتوسطة. كما تبين أن العلاقة بين القيادة التحويلية وسلامة المرضى تصبح أكثر قوة عندما تكون مصحوبة ببيئة عمل متكاملة اجتماعيًا، مما يعزز التعاون والثقة بين الفرق الطبية</w:t>
      </w:r>
      <w:r w:rsidRPr="003849C3">
        <w:rPr>
          <w:rFonts w:ascii="Traditional Arabic" w:eastAsia="Calibri" w:hAnsi="Traditional Arabic" w:cs="Traditional Arabic" w:hint="cs"/>
          <w:color w:val="000000" w:themeColor="text1"/>
          <w:sz w:val="24"/>
          <w:szCs w:val="24"/>
          <w:lang w:bidi="ar-EG"/>
        </w:rPr>
        <w:t>.</w:t>
      </w:r>
    </w:p>
    <w:p w14:paraId="680AD3C8" w14:textId="4D0077A4" w:rsidR="00E1749B" w:rsidRPr="003849C3" w:rsidRDefault="00E1749B"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color w:val="000000" w:themeColor="text1"/>
          <w:sz w:val="24"/>
          <w:szCs w:val="24"/>
          <w:rtl/>
        </w:rPr>
        <w:t>وأوصت الدراسة بضرورة أن تتبنى المؤسسات الصحية نهجًا مزدوجًا لتحسين سلامة المرضى، يجمع بين القيادة التحويلية الفعالة وبناء رأس مال اجتماعي قوي داخل فرق العمل</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كما شددت على أهمية أن يركز مدراء المستشفيات على تحقيق الأهداف التنظيمية من خلال تحفيز العاملين، وتوفير بيئة داعمة للتكامل والتواصل، بما يضمن استدامة الجودة وتقليل المخاطر في الرعاية الصحية</w:t>
      </w:r>
      <w:r w:rsidRPr="003849C3">
        <w:rPr>
          <w:rFonts w:ascii="Traditional Arabic" w:eastAsia="Calibri" w:hAnsi="Traditional Arabic" w:cs="Traditional Arabic" w:hint="cs"/>
          <w:color w:val="000000" w:themeColor="text1"/>
          <w:sz w:val="24"/>
          <w:szCs w:val="24"/>
          <w:lang w:bidi="ar-EG"/>
        </w:rPr>
        <w:t>.</w:t>
      </w:r>
    </w:p>
    <w:p w14:paraId="1F4D045D" w14:textId="694D4331"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الثامنة</w:t>
      </w:r>
      <w:r w:rsidRPr="003849C3">
        <w:rPr>
          <w:rFonts w:ascii="Traditional Arabic" w:eastAsia="Calibri" w:hAnsi="Traditional Arabic" w:cs="Traditional Arabic" w:hint="cs"/>
          <w:b/>
          <w:bCs/>
          <w:sz w:val="24"/>
          <w:szCs w:val="24"/>
          <w:rtl/>
          <w:lang w:bidi="ar-EG"/>
        </w:rPr>
        <w:t xml:space="preserve">: </w:t>
      </w:r>
    </w:p>
    <w:p w14:paraId="248980E4" w14:textId="50F981F9"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bookmarkStart w:id="1" w:name="_Hlk208955892"/>
      <w:r w:rsidRPr="003849C3">
        <w:rPr>
          <w:rFonts w:ascii="Traditional Arabic" w:eastAsia="Calibri" w:hAnsi="Traditional Arabic" w:cs="Traditional Arabic" w:hint="cs"/>
          <w:color w:val="000000" w:themeColor="text1"/>
          <w:sz w:val="24"/>
          <w:szCs w:val="24"/>
          <w:rtl/>
        </w:rPr>
        <w:t xml:space="preserve">أجرى </w:t>
      </w:r>
      <w:r w:rsidRPr="003849C3">
        <w:rPr>
          <w:rFonts w:ascii="Traditional Arabic" w:eastAsia="Calibri" w:hAnsi="Traditional Arabic" w:cs="Traditional Arabic" w:hint="cs"/>
          <w:b/>
          <w:bCs/>
          <w:color w:val="000000" w:themeColor="text1"/>
          <w:sz w:val="24"/>
          <w:szCs w:val="24"/>
          <w:lang w:bidi="ar-EG"/>
        </w:rPr>
        <w:t xml:space="preserve">Hassan Alabdullah </w:t>
      </w:r>
      <w:r w:rsidR="00F86114" w:rsidRPr="003849C3">
        <w:rPr>
          <w:rFonts w:ascii="Traditional Arabic" w:eastAsia="Calibri" w:hAnsi="Traditional Arabic" w:cs="Traditional Arabic" w:hint="cs"/>
          <w:b/>
          <w:bCs/>
          <w:color w:val="000000" w:themeColor="text1"/>
          <w:sz w:val="24"/>
          <w:szCs w:val="24"/>
          <w:rtl/>
          <w:lang w:bidi="ar-EG"/>
        </w:rPr>
        <w:t xml:space="preserve"> </w:t>
      </w:r>
      <w:r w:rsidR="00F86114" w:rsidRPr="003849C3">
        <w:rPr>
          <w:rFonts w:ascii="Traditional Arabic" w:eastAsia="Calibri" w:hAnsi="Traditional Arabic" w:cs="Traditional Arabic" w:hint="cs"/>
          <w:b/>
          <w:bCs/>
          <w:color w:val="000000" w:themeColor="text1"/>
          <w:sz w:val="24"/>
          <w:szCs w:val="24"/>
          <w:rtl/>
        </w:rPr>
        <w:t>&amp;</w:t>
      </w:r>
      <w:r w:rsidRPr="003849C3">
        <w:rPr>
          <w:rFonts w:ascii="Traditional Arabic" w:eastAsia="Calibri" w:hAnsi="Traditional Arabic" w:cs="Traditional Arabic" w:hint="cs"/>
          <w:b/>
          <w:bCs/>
          <w:color w:val="000000" w:themeColor="text1"/>
          <w:sz w:val="24"/>
          <w:szCs w:val="24"/>
          <w:lang w:bidi="ar-EG"/>
        </w:rPr>
        <w:t>Waldemar Karwowski (2024)</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سلامة المرضى في بيئات المستشفيات عبر القارات: مراجعة منهجية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الفروقات العالمية في إدراك العاملين في المستشفيات لثقافة سلامة المرضى، وتحديد نقاط القوة والضعف في تطبيق هذه الثقافة عبر أنظمة صحية مختلفة. ركزت الدراسة على أهمية بناء ثقافة مؤسسية داعمة للسلامة، باعتبارها حجر الأساس في تحسين جودة الرعاية وتقليل الأخطاء الطبية</w:t>
      </w:r>
      <w:r w:rsidRPr="003849C3">
        <w:rPr>
          <w:rFonts w:ascii="Traditional Arabic" w:eastAsia="Calibri" w:hAnsi="Traditional Arabic" w:cs="Traditional Arabic" w:hint="cs"/>
          <w:color w:val="000000" w:themeColor="text1"/>
          <w:sz w:val="24"/>
          <w:szCs w:val="24"/>
          <w:lang w:bidi="ar-EG"/>
        </w:rPr>
        <w:t>.</w:t>
      </w:r>
    </w:p>
    <w:bookmarkEnd w:id="1"/>
    <w:p w14:paraId="4A226A4B"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 الباحثان منهج المراجعة المنهجية</w:t>
      </w:r>
      <w:r w:rsidRPr="003849C3">
        <w:rPr>
          <w:rFonts w:ascii="Traditional Arabic" w:eastAsia="Calibri" w:hAnsi="Traditional Arabic" w:cs="Traditional Arabic" w:hint="cs"/>
          <w:color w:val="000000" w:themeColor="text1"/>
          <w:sz w:val="24"/>
          <w:szCs w:val="24"/>
          <w:lang w:bidi="ar-EG"/>
        </w:rPr>
        <w:t xml:space="preserve"> (Systematic Review)</w:t>
      </w:r>
      <w:r w:rsidRPr="003849C3">
        <w:rPr>
          <w:rFonts w:ascii="Traditional Arabic" w:eastAsia="Calibri" w:hAnsi="Traditional Arabic" w:cs="Traditional Arabic" w:hint="cs"/>
          <w:color w:val="000000" w:themeColor="text1"/>
          <w:sz w:val="24"/>
          <w:szCs w:val="24"/>
          <w:rtl/>
        </w:rPr>
        <w:t>، وفقًا لإرشادات</w:t>
      </w:r>
      <w:r w:rsidRPr="003849C3">
        <w:rPr>
          <w:rFonts w:ascii="Traditional Arabic" w:eastAsia="Calibri" w:hAnsi="Traditional Arabic" w:cs="Traditional Arabic" w:hint="cs"/>
          <w:color w:val="000000" w:themeColor="text1"/>
          <w:sz w:val="24"/>
          <w:szCs w:val="24"/>
          <w:lang w:bidi="ar-EG"/>
        </w:rPr>
        <w:t xml:space="preserve"> PRISMA</w:t>
      </w:r>
      <w:r w:rsidRPr="003849C3">
        <w:rPr>
          <w:rFonts w:ascii="Traditional Arabic" w:eastAsia="Calibri" w:hAnsi="Traditional Arabic" w:cs="Traditional Arabic" w:hint="cs"/>
          <w:color w:val="000000" w:themeColor="text1"/>
          <w:sz w:val="24"/>
          <w:szCs w:val="24"/>
          <w:rtl/>
        </w:rPr>
        <w:t xml:space="preserve">، حيث تم تحليل الدراسات المنشورة بين عامي 2010 و2024 التي استخدمت أداة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استبيان ثقافة سلامة المرضى في المستشفيات</w:t>
      </w:r>
      <w:r w:rsidRPr="003849C3">
        <w:rPr>
          <w:rFonts w:ascii="Traditional Arabic" w:eastAsia="Calibri" w:hAnsi="Traditional Arabic" w:cs="Traditional Arabic" w:hint="cs"/>
          <w:color w:val="000000" w:themeColor="text1"/>
          <w:sz w:val="24"/>
          <w:szCs w:val="24"/>
          <w:lang w:bidi="ar-EG"/>
        </w:rPr>
        <w:t xml:space="preserve">" (HSOPSC) </w:t>
      </w:r>
      <w:r w:rsidRPr="003849C3">
        <w:rPr>
          <w:rFonts w:ascii="Traditional Arabic" w:eastAsia="Calibri" w:hAnsi="Traditional Arabic" w:cs="Traditional Arabic" w:hint="cs"/>
          <w:color w:val="000000" w:themeColor="text1"/>
          <w:sz w:val="24"/>
          <w:szCs w:val="24"/>
          <w:rtl/>
        </w:rPr>
        <w:t>بنسختيها 1.0 و2.0. شملت المراجعة دراسات من عدة دول في آسيا، أوروبا، وأمريكا الشمالية، ما أتاح مقارنة شاملة بين السياقات الصحية المختلفة. لم تعتمد الدراسة على عينة ميدانية مباشرة، بل استندت إلى تحليل محتوى منهجي للدراسات السابقة</w:t>
      </w:r>
      <w:r w:rsidRPr="003849C3">
        <w:rPr>
          <w:rFonts w:ascii="Traditional Arabic" w:eastAsia="Calibri" w:hAnsi="Traditional Arabic" w:cs="Traditional Arabic" w:hint="cs"/>
          <w:color w:val="000000" w:themeColor="text1"/>
          <w:sz w:val="24"/>
          <w:szCs w:val="24"/>
          <w:lang w:bidi="ar-EG"/>
        </w:rPr>
        <w:t>.</w:t>
      </w:r>
    </w:p>
    <w:p w14:paraId="25549351"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أظهرت نتائج الدراسة أن هناك تفاوتًا ملحوظًا في إدراك العاملين لثقافة سلامة المرضى بين الدول والمناطق الصحية، إلا أن هناك نقطتي قوة ظهرتا بشكل متكرر، خاصة في الدول الآسيوية</w:t>
      </w:r>
      <w:r w:rsidRPr="003849C3">
        <w:rPr>
          <w:rFonts w:ascii="Traditional Arabic" w:eastAsia="Calibri" w:hAnsi="Traditional Arabic" w:cs="Traditional Arabic" w:hint="cs"/>
          <w:color w:val="000000" w:themeColor="text1"/>
          <w:sz w:val="24"/>
          <w:szCs w:val="24"/>
          <w:lang w:bidi="ar-EG"/>
        </w:rPr>
        <w:t>: "</w:t>
      </w:r>
      <w:r w:rsidRPr="003849C3">
        <w:rPr>
          <w:rFonts w:ascii="Traditional Arabic" w:eastAsia="Calibri" w:hAnsi="Traditional Arabic" w:cs="Traditional Arabic" w:hint="cs"/>
          <w:color w:val="000000" w:themeColor="text1"/>
          <w:sz w:val="24"/>
          <w:szCs w:val="24"/>
          <w:rtl/>
        </w:rPr>
        <w:t>العمل الجماعي داخل الوحدات</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التركيز على التعلم المستمر</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في المقابل، كشفت الدراسة عن تحديات مشتركة، أبرزها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البيئة العقابية التي تعيق الإبلاغ عن الأخطاء</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نقص الكوادر البشرية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بالإضافة إلى ضعف التواصل بين الفرق الصحية. كما تبين أن الممرضين يميلون إلى تقييم ثقافة السلامة بشكل أقل إيجابية مقارنةً بالعاملين المختلطين</w:t>
      </w:r>
      <w:r w:rsidRPr="003849C3">
        <w:rPr>
          <w:rFonts w:ascii="Traditional Arabic" w:eastAsia="Calibri" w:hAnsi="Traditional Arabic" w:cs="Traditional Arabic" w:hint="cs"/>
          <w:color w:val="000000" w:themeColor="text1"/>
          <w:sz w:val="24"/>
          <w:szCs w:val="24"/>
          <w:lang w:bidi="ar-EG"/>
        </w:rPr>
        <w:t>.</w:t>
      </w:r>
    </w:p>
    <w:p w14:paraId="38A45C9F"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وأوصت الدراسة بضرورة تبني نهج شامل لتعزيز ثقافة سلامة المرضى عالميًا، يشمل بناء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عادلة</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تشجع على الإبلاغ عن الأخطاء دون خوف، ومعالجة نقص الموارد البشرية، وتعزيز التواصل المفتوح بين جميع العاملين في القطاع الصحي. كما شددت على أهمية تصميم تدخلات مخصصة حسب السياق الإقليمي، لضمان ملاءمة السياسات والممارسات مع الواقع المحلي، وتحقيق بيئة صحية أكثر أمانًا ودعمًا للمرضى</w:t>
      </w:r>
      <w:r w:rsidRPr="003849C3">
        <w:rPr>
          <w:rFonts w:ascii="Traditional Arabic" w:eastAsia="Calibri" w:hAnsi="Traditional Arabic" w:cs="Traditional Arabic" w:hint="cs"/>
          <w:color w:val="000000" w:themeColor="text1"/>
          <w:sz w:val="24"/>
          <w:szCs w:val="24"/>
          <w:lang w:bidi="ar-EG"/>
        </w:rPr>
        <w:t>.</w:t>
      </w:r>
    </w:p>
    <w:p w14:paraId="68DB4959" w14:textId="77777777" w:rsidR="00294D20" w:rsidRDefault="00294D20" w:rsidP="00EB5DC9">
      <w:pPr>
        <w:bidi/>
        <w:spacing w:after="200" w:line="240" w:lineRule="auto"/>
        <w:rPr>
          <w:rFonts w:ascii="Traditional Arabic" w:eastAsia="Calibri" w:hAnsi="Traditional Arabic" w:cs="Traditional Arabic"/>
          <w:b/>
          <w:bCs/>
          <w:color w:val="000000" w:themeColor="text1"/>
          <w:sz w:val="24"/>
          <w:szCs w:val="24"/>
          <w:lang w:bidi="ar-EG"/>
        </w:rPr>
      </w:pPr>
    </w:p>
    <w:p w14:paraId="733A883B" w14:textId="44721D4F" w:rsidR="004743BB" w:rsidRPr="000E6E9F" w:rsidRDefault="0016365B" w:rsidP="00294D20">
      <w:pPr>
        <w:bidi/>
        <w:spacing w:after="200" w:line="240" w:lineRule="auto"/>
        <w:jc w:val="center"/>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lastRenderedPageBreak/>
        <w:t>جدول ( 2 ) ملخص الدراسات المرجعية.</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84"/>
        <w:gridCol w:w="2069"/>
        <w:gridCol w:w="2197"/>
        <w:gridCol w:w="2040"/>
      </w:tblGrid>
      <w:tr w:rsidR="008776B5" w:rsidRPr="00294D20" w14:paraId="1EFB397E" w14:textId="77777777" w:rsidTr="00294D20">
        <w:trPr>
          <w:tblCellSpacing w:w="20" w:type="dxa"/>
        </w:trPr>
        <w:tc>
          <w:tcPr>
            <w:tcW w:w="4952" w:type="pct"/>
            <w:gridSpan w:val="4"/>
            <w:tcBorders>
              <w:top w:val="outset" w:sz="6" w:space="0" w:color="000000" w:themeColor="text1"/>
            </w:tcBorders>
            <w:shd w:val="clear" w:color="auto" w:fill="E5DFEC" w:themeFill="accent4" w:themeFillTint="33"/>
          </w:tcPr>
          <w:p w14:paraId="19FD2182" w14:textId="0B73EB9D" w:rsidR="008776B5" w:rsidRPr="00294D20" w:rsidRDefault="008776B5" w:rsidP="000D4A7D">
            <w:pPr>
              <w:bidi/>
              <w:spacing w:before="120" w:after="120" w:line="240" w:lineRule="auto"/>
              <w:jc w:val="center"/>
              <w:rPr>
                <w:rFonts w:ascii="Traditional Arabic" w:hAnsi="Traditional Arabic" w:cs="Traditional Arabic"/>
                <w:b/>
                <w:bCs/>
                <w:spacing w:val="-6"/>
                <w:sz w:val="24"/>
                <w:szCs w:val="24"/>
                <w:rtl/>
              </w:rPr>
            </w:pPr>
            <w:bookmarkStart w:id="2" w:name="_Hlk208973695"/>
            <w:r w:rsidRPr="00294D20">
              <w:rPr>
                <w:rFonts w:ascii="Traditional Arabic" w:hAnsi="Traditional Arabic" w:cs="Traditional Arabic" w:hint="cs"/>
                <w:b/>
                <w:bCs/>
                <w:spacing w:val="-6"/>
                <w:sz w:val="24"/>
                <w:szCs w:val="24"/>
                <w:rtl/>
                <w:lang w:bidi="ar-EG"/>
              </w:rPr>
              <w:t xml:space="preserve">ملخص الدراسات المرجعية </w:t>
            </w:r>
          </w:p>
        </w:tc>
      </w:tr>
      <w:tr w:rsidR="008776B5" w:rsidRPr="00294D20" w14:paraId="71D3B181" w14:textId="77777777" w:rsidTr="00294D20">
        <w:trPr>
          <w:tblCellSpacing w:w="20" w:type="dxa"/>
        </w:trPr>
        <w:tc>
          <w:tcPr>
            <w:tcW w:w="1178" w:type="pct"/>
            <w:shd w:val="clear" w:color="auto" w:fill="EAF1DD" w:themeFill="accent3" w:themeFillTint="33"/>
          </w:tcPr>
          <w:p w14:paraId="26D9524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الدراسة</w:t>
            </w:r>
          </w:p>
        </w:tc>
        <w:tc>
          <w:tcPr>
            <w:tcW w:w="1242" w:type="pct"/>
            <w:shd w:val="clear" w:color="auto" w:fill="EAF1DD" w:themeFill="accent3" w:themeFillTint="33"/>
          </w:tcPr>
          <w:p w14:paraId="7A35DD1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الهدف</w:t>
            </w:r>
          </w:p>
        </w:tc>
        <w:tc>
          <w:tcPr>
            <w:tcW w:w="1320" w:type="pct"/>
            <w:shd w:val="clear" w:color="auto" w:fill="EAF1DD" w:themeFill="accent3" w:themeFillTint="33"/>
          </w:tcPr>
          <w:p w14:paraId="7F6F5B6C"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النتيجة</w:t>
            </w:r>
          </w:p>
        </w:tc>
        <w:tc>
          <w:tcPr>
            <w:tcW w:w="1139" w:type="pct"/>
            <w:shd w:val="clear" w:color="auto" w:fill="EAF1DD" w:themeFill="accent3" w:themeFillTint="33"/>
          </w:tcPr>
          <w:p w14:paraId="6E13348B" w14:textId="7777777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الفرق بينها وبين دراستي</w:t>
            </w:r>
          </w:p>
        </w:tc>
      </w:tr>
      <w:tr w:rsidR="008776B5" w:rsidRPr="00294D20" w14:paraId="1A453704" w14:textId="77777777" w:rsidTr="00294D20">
        <w:trPr>
          <w:tblCellSpacing w:w="20" w:type="dxa"/>
        </w:trPr>
        <w:tc>
          <w:tcPr>
            <w:tcW w:w="1178" w:type="pct"/>
          </w:tcPr>
          <w:p w14:paraId="614D8930" w14:textId="6981420A" w:rsidR="008776B5" w:rsidRPr="00294D20" w:rsidRDefault="00213216" w:rsidP="005A111C">
            <w:pPr>
              <w:bidi/>
              <w:spacing w:after="200" w:line="240" w:lineRule="auto"/>
              <w:jc w:val="center"/>
              <w:rPr>
                <w:rFonts w:ascii="Traditional Arabic" w:eastAsia="Calibri" w:hAnsi="Traditional Arabic" w:cs="Traditional Arabic"/>
                <w:b/>
                <w:bCs/>
                <w:color w:val="FF0000"/>
                <w:sz w:val="24"/>
                <w:szCs w:val="24"/>
                <w:rtl/>
                <w:lang w:bidi="ar-EG"/>
              </w:rPr>
            </w:pPr>
            <w:r w:rsidRPr="00294D20">
              <w:rPr>
                <w:rFonts w:ascii="Traditional Arabic" w:eastAsia="Calibri" w:hAnsi="Traditional Arabic" w:cs="Traditional Arabic" w:hint="cs"/>
                <w:b/>
                <w:bCs/>
                <w:sz w:val="24"/>
                <w:szCs w:val="24"/>
                <w:rtl/>
                <w:lang w:bidi="ar-EG"/>
              </w:rPr>
              <w:t>الدراسة الأولى: دراسة فاتن خليل 2018</w:t>
            </w:r>
          </w:p>
        </w:tc>
        <w:tc>
          <w:tcPr>
            <w:tcW w:w="1242" w:type="pct"/>
          </w:tcPr>
          <w:p w14:paraId="7694E2DB" w14:textId="10946DC4" w:rsidR="008776B5" w:rsidRPr="00294D20" w:rsidRDefault="0016365B" w:rsidP="005A111C">
            <w:pPr>
              <w:bidi/>
              <w:spacing w:line="278"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تقييم جودة الخدمات الصحية في مراكز طب الأسرة ببغداد ومدى توافقها مع المعايير العالمية</w:t>
            </w:r>
            <w:r w:rsidRPr="00294D20">
              <w:rPr>
                <w:rFonts w:ascii="Traditional Arabic" w:hAnsi="Traditional Arabic" w:cs="Traditional Arabic" w:hint="cs"/>
                <w:b/>
                <w:bCs/>
                <w:sz w:val="24"/>
                <w:szCs w:val="24"/>
              </w:rPr>
              <w:t>.</w:t>
            </w:r>
          </w:p>
        </w:tc>
        <w:tc>
          <w:tcPr>
            <w:tcW w:w="1320" w:type="pct"/>
          </w:tcPr>
          <w:p w14:paraId="48CFE564" w14:textId="420290A1"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كشفت عن وجود فجوة واضحة بين الواقع الفعلي والمعايير الدولية، خاصة في التوثيق الطبي وتدريب الكوادر</w:t>
            </w:r>
            <w:r w:rsidRPr="00294D20">
              <w:rPr>
                <w:rFonts w:ascii="Traditional Arabic" w:hAnsi="Traditional Arabic" w:cs="Traditional Arabic" w:hint="cs"/>
                <w:b/>
                <w:bCs/>
              </w:rPr>
              <w:t>.</w:t>
            </w:r>
          </w:p>
        </w:tc>
        <w:tc>
          <w:tcPr>
            <w:tcW w:w="1139" w:type="pct"/>
          </w:tcPr>
          <w:p w14:paraId="6AA014A7" w14:textId="7B385E84"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جودة الخدمة بشكل عام دون تناول إدارة المخاطر أو القيادة التحويلية، وفي مراكز أولية وليس مرافق حكومية شاملة</w:t>
            </w:r>
            <w:r w:rsidRPr="00294D20">
              <w:rPr>
                <w:rFonts w:ascii="Traditional Arabic" w:hAnsi="Traditional Arabic" w:cs="Traditional Arabic" w:hint="cs"/>
                <w:b/>
                <w:bCs/>
                <w:sz w:val="24"/>
                <w:szCs w:val="24"/>
                <w:lang w:bidi="ar-EG"/>
              </w:rPr>
              <w:t>.</w:t>
            </w:r>
          </w:p>
        </w:tc>
      </w:tr>
      <w:tr w:rsidR="008776B5" w:rsidRPr="00294D20" w14:paraId="2334C740" w14:textId="77777777" w:rsidTr="00294D20">
        <w:trPr>
          <w:tblCellSpacing w:w="20" w:type="dxa"/>
        </w:trPr>
        <w:tc>
          <w:tcPr>
            <w:tcW w:w="1178" w:type="pct"/>
          </w:tcPr>
          <w:p w14:paraId="5A8E3E6F" w14:textId="1DFE07DC" w:rsidR="00213216" w:rsidRPr="00294D20" w:rsidRDefault="00213216" w:rsidP="005A111C">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الثانية: دراسة حسين 2019</w:t>
            </w:r>
          </w:p>
          <w:p w14:paraId="6C5C60F4" w14:textId="15939A2C"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p>
        </w:tc>
        <w:tc>
          <w:tcPr>
            <w:tcW w:w="1242" w:type="pct"/>
          </w:tcPr>
          <w:p w14:paraId="2F005BF0" w14:textId="65E07763"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تحسين الأداء المؤسسي في المستشفيات الحكومية ضمن إطار رؤية مصر 2030</w:t>
            </w:r>
            <w:r w:rsidRPr="00294D20">
              <w:rPr>
                <w:rFonts w:ascii="Traditional Arabic" w:hAnsi="Traditional Arabic" w:cs="Traditional Arabic" w:hint="cs"/>
                <w:b/>
                <w:bCs/>
              </w:rPr>
              <w:t>.</w:t>
            </w:r>
          </w:p>
        </w:tc>
        <w:tc>
          <w:tcPr>
            <w:tcW w:w="1320" w:type="pct"/>
          </w:tcPr>
          <w:p w14:paraId="3BD3E439" w14:textId="0C523259" w:rsidR="008776B5" w:rsidRPr="00294D20" w:rsidRDefault="00B712BF"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تسهم بشكل مباشر في رفع كفاءة الأداء وجودة الخدمة الصحية، خاصة من خلال التمكين والاستثارة الفكرية</w:t>
            </w:r>
            <w:r w:rsidRPr="00294D20">
              <w:rPr>
                <w:rFonts w:ascii="Traditional Arabic" w:hAnsi="Traditional Arabic" w:cs="Traditional Arabic" w:hint="cs"/>
                <w:b/>
                <w:bCs/>
              </w:rPr>
              <w:t>.</w:t>
            </w:r>
          </w:p>
        </w:tc>
        <w:tc>
          <w:tcPr>
            <w:tcW w:w="1139" w:type="pct"/>
          </w:tcPr>
          <w:p w14:paraId="4AE736F9" w14:textId="594CDDC1"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 القيادة التحويلية بشكل مباشر دون ربطها بإدارة المخاطر أو سلامة المرضى، وركز على الأداء المؤسسي فقط</w:t>
            </w:r>
            <w:r w:rsidRPr="00294D20">
              <w:rPr>
                <w:rFonts w:ascii="Traditional Arabic" w:hAnsi="Traditional Arabic" w:cs="Traditional Arabic" w:hint="cs"/>
                <w:b/>
                <w:bCs/>
                <w:sz w:val="24"/>
                <w:szCs w:val="24"/>
                <w:lang w:bidi="ar-EG"/>
              </w:rPr>
              <w:t>.</w:t>
            </w:r>
          </w:p>
        </w:tc>
      </w:tr>
      <w:tr w:rsidR="008776B5" w:rsidRPr="00294D20" w14:paraId="32618AAD" w14:textId="77777777" w:rsidTr="00294D20">
        <w:trPr>
          <w:tblCellSpacing w:w="20" w:type="dxa"/>
        </w:trPr>
        <w:tc>
          <w:tcPr>
            <w:tcW w:w="1178" w:type="pct"/>
          </w:tcPr>
          <w:p w14:paraId="1919E5D5" w14:textId="1192E909" w:rsidR="00213216" w:rsidRPr="00294D20" w:rsidRDefault="00213216" w:rsidP="00213216">
            <w:pPr>
              <w:bidi/>
              <w:spacing w:after="200" w:line="240" w:lineRule="auto"/>
              <w:contextualSpacing/>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الثالثة: دراسة الغامدي وعثمان 2023</w:t>
            </w:r>
          </w:p>
          <w:p w14:paraId="3ACC9F18" w14:textId="161AB18B"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p>
        </w:tc>
        <w:tc>
          <w:tcPr>
            <w:tcW w:w="1242" w:type="pct"/>
          </w:tcPr>
          <w:p w14:paraId="57002213" w14:textId="514BD6B9"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320" w:type="pct"/>
          </w:tcPr>
          <w:p w14:paraId="3B28223F" w14:textId="777E2448"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139" w:type="pct"/>
          </w:tcPr>
          <w:p w14:paraId="0DB6A195" w14:textId="40E300DA" w:rsidR="008776B5" w:rsidRPr="00294D20" w:rsidRDefault="00146D5F" w:rsidP="00146D5F">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القيادة التحويلية في سياق الأزمات، وليس كعامل وسيط بين إدارة المخاطر وسلامة المرضى</w:t>
            </w:r>
            <w:r w:rsidRPr="00294D20">
              <w:rPr>
                <w:rFonts w:ascii="Traditional Arabic" w:hAnsi="Traditional Arabic" w:cs="Traditional Arabic" w:hint="cs"/>
                <w:b/>
                <w:bCs/>
                <w:sz w:val="24"/>
                <w:szCs w:val="24"/>
                <w:lang w:bidi="ar-EG"/>
              </w:rPr>
              <w:t>.</w:t>
            </w:r>
          </w:p>
        </w:tc>
      </w:tr>
      <w:tr w:rsidR="008776B5" w:rsidRPr="00294D20" w14:paraId="03BAB7ED" w14:textId="77777777" w:rsidTr="00294D20">
        <w:trPr>
          <w:tblCellSpacing w:w="20" w:type="dxa"/>
        </w:trPr>
        <w:tc>
          <w:tcPr>
            <w:tcW w:w="1178" w:type="pct"/>
          </w:tcPr>
          <w:p w14:paraId="4A18A702" w14:textId="2ECBC97A" w:rsidR="00213216" w:rsidRPr="00294D20" w:rsidRDefault="00213216" w:rsidP="00213216">
            <w:pPr>
              <w:bidi/>
              <w:spacing w:after="200" w:line="360" w:lineRule="auto"/>
              <w:contextualSpacing/>
              <w:jc w:val="center"/>
              <w:rPr>
                <w:rFonts w:ascii="Traditional Arabic" w:eastAsia="Calibri" w:hAnsi="Traditional Arabic" w:cs="Traditional Arabic"/>
                <w:b/>
                <w:bCs/>
                <w:sz w:val="24"/>
                <w:szCs w:val="24"/>
                <w:rtl/>
              </w:rPr>
            </w:pPr>
            <w:r w:rsidRPr="00294D20">
              <w:rPr>
                <w:rFonts w:ascii="Traditional Arabic" w:eastAsia="Calibri" w:hAnsi="Traditional Arabic" w:cs="Traditional Arabic" w:hint="cs"/>
                <w:b/>
                <w:bCs/>
                <w:sz w:val="24"/>
                <w:szCs w:val="24"/>
                <w:rtl/>
                <w:lang w:bidi="ar-EG"/>
              </w:rPr>
              <w:t>الدراسة الرابعة: دراسة عفيفي وآلاء 2024</w:t>
            </w:r>
          </w:p>
          <w:p w14:paraId="6311D581" w14:textId="1D5E6A1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rPr>
            </w:pPr>
          </w:p>
        </w:tc>
        <w:tc>
          <w:tcPr>
            <w:tcW w:w="1242" w:type="pct"/>
          </w:tcPr>
          <w:p w14:paraId="3E389AB8" w14:textId="7EA9B4B6"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تقييم أثر تطبيق نظم إدارة المخاطر على جودة الرعاية الصحية وسلامة المرضى في مستشفيات مدينة جدة</w:t>
            </w:r>
            <w:r w:rsidRPr="00294D20">
              <w:rPr>
                <w:rFonts w:ascii="Traditional Arabic" w:hAnsi="Traditional Arabic" w:cs="Traditional Arabic" w:hint="cs"/>
                <w:b/>
                <w:bCs/>
              </w:rPr>
              <w:t>.</w:t>
            </w:r>
          </w:p>
        </w:tc>
        <w:tc>
          <w:tcPr>
            <w:tcW w:w="1320" w:type="pct"/>
          </w:tcPr>
          <w:p w14:paraId="1C944B0E" w14:textId="75CCA04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تطبيق إدارة المخاطر أدى إلى تحسن ملحوظ في جودة الرعاية وسلامة المرضى، مع تحديات تتعلق بنقص التدريب ومقاومة التغيير</w:t>
            </w:r>
            <w:r w:rsidRPr="00294D20">
              <w:rPr>
                <w:rFonts w:ascii="Traditional Arabic" w:hAnsi="Traditional Arabic" w:cs="Traditional Arabic" w:hint="cs"/>
                <w:b/>
                <w:bCs/>
              </w:rPr>
              <w:t>.</w:t>
            </w:r>
          </w:p>
        </w:tc>
        <w:tc>
          <w:tcPr>
            <w:tcW w:w="1139" w:type="pct"/>
          </w:tcPr>
          <w:p w14:paraId="00101322" w14:textId="2499D96A"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إدارة المخاطر وتأثيرها على الجودة وسلامة المرضى، لكنها لم تدمج القيادة التحويلية كعامل وسيط في النموذج التحليلي</w:t>
            </w:r>
            <w:r w:rsidRPr="00294D20">
              <w:rPr>
                <w:rFonts w:ascii="Traditional Arabic" w:hAnsi="Traditional Arabic" w:cs="Traditional Arabic" w:hint="cs"/>
                <w:b/>
                <w:bCs/>
                <w:sz w:val="24"/>
                <w:szCs w:val="24"/>
                <w:lang w:bidi="ar-EG"/>
              </w:rPr>
              <w:t>.</w:t>
            </w:r>
          </w:p>
        </w:tc>
      </w:tr>
      <w:tr w:rsidR="008776B5" w:rsidRPr="00294D20" w14:paraId="654E5755" w14:textId="77777777" w:rsidTr="00294D20">
        <w:trPr>
          <w:tblCellSpacing w:w="20" w:type="dxa"/>
        </w:trPr>
        <w:tc>
          <w:tcPr>
            <w:tcW w:w="1178" w:type="pct"/>
          </w:tcPr>
          <w:p w14:paraId="1CD0E13A" w14:textId="77777777" w:rsidR="00213216" w:rsidRPr="00294D20" w:rsidRDefault="00213216" w:rsidP="00213216">
            <w:pPr>
              <w:bidi/>
              <w:spacing w:after="200" w:line="240" w:lineRule="auto"/>
              <w:contextualSpacing/>
              <w:jc w:val="both"/>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الخامسة:</w:t>
            </w:r>
          </w:p>
          <w:p w14:paraId="145D3A5A" w14:textId="57943EB9" w:rsidR="00213216" w:rsidRPr="00294D20" w:rsidRDefault="00213216" w:rsidP="00213216">
            <w:pPr>
              <w:spacing w:after="200" w:line="240" w:lineRule="auto"/>
              <w:jc w:val="center"/>
              <w:rPr>
                <w:rFonts w:ascii="Traditional Arabic" w:eastAsia="Calibri" w:hAnsi="Traditional Arabic" w:cs="Traditional Arabic"/>
                <w:b/>
                <w:bCs/>
                <w:sz w:val="24"/>
                <w:szCs w:val="24"/>
                <w:lang w:bidi="ar-EG"/>
              </w:rPr>
            </w:pPr>
            <w:r w:rsidRPr="00294D20">
              <w:rPr>
                <w:rFonts w:ascii="Traditional Arabic" w:eastAsia="Calibri" w:hAnsi="Traditional Arabic" w:cs="Traditional Arabic" w:hint="cs"/>
                <w:b/>
                <w:bCs/>
                <w:sz w:val="24"/>
                <w:szCs w:val="24"/>
                <w:lang w:bidi="ar-EG"/>
              </w:rPr>
              <w:t>Purwanto et al., 2020</w:t>
            </w:r>
          </w:p>
          <w:p w14:paraId="2D2EB7E5" w14:textId="1E32C589" w:rsidR="008776B5" w:rsidRPr="00294D20" w:rsidRDefault="008776B5" w:rsidP="000D4A7D">
            <w:pPr>
              <w:bidi/>
              <w:spacing w:before="120" w:after="120" w:line="240" w:lineRule="auto"/>
              <w:jc w:val="center"/>
              <w:rPr>
                <w:rFonts w:ascii="Traditional Arabic" w:hAnsi="Traditional Arabic" w:cs="Traditional Arabic"/>
                <w:b/>
                <w:bCs/>
                <w:sz w:val="24"/>
                <w:szCs w:val="24"/>
                <w:rtl/>
              </w:rPr>
            </w:pPr>
          </w:p>
        </w:tc>
        <w:tc>
          <w:tcPr>
            <w:tcW w:w="1242" w:type="pct"/>
          </w:tcPr>
          <w:p w14:paraId="7451A78B" w14:textId="254CC32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التعرف على أثر أسلوبي القيادة التحويلية والتبادلية على أداء العاملين في المركز </w:t>
            </w:r>
            <w:r w:rsidRPr="00294D20">
              <w:rPr>
                <w:rFonts w:ascii="Traditional Arabic" w:hAnsi="Traditional Arabic" w:cs="Traditional Arabic" w:hint="cs"/>
                <w:b/>
                <w:bCs/>
                <w:rtl/>
              </w:rPr>
              <w:lastRenderedPageBreak/>
              <w:t>الصحي بمدينة باتي بجاوا الوسطى</w:t>
            </w:r>
            <w:r w:rsidRPr="00294D20">
              <w:rPr>
                <w:rFonts w:ascii="Traditional Arabic" w:hAnsi="Traditional Arabic" w:cs="Traditional Arabic" w:hint="cs"/>
                <w:b/>
                <w:bCs/>
              </w:rPr>
              <w:t>.</w:t>
            </w:r>
          </w:p>
        </w:tc>
        <w:tc>
          <w:tcPr>
            <w:tcW w:w="1320" w:type="pct"/>
          </w:tcPr>
          <w:p w14:paraId="7B9587F0" w14:textId="2E4386D4"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أظهرت أن كلا النمطين القياديين لهما تأثير إيجابي وكبير على أداء الموظفين، خاصة عند تطبيقهما بأسلوب مرن </w:t>
            </w:r>
            <w:r w:rsidRPr="00294D20">
              <w:rPr>
                <w:rFonts w:ascii="Traditional Arabic" w:hAnsi="Traditional Arabic" w:cs="Traditional Arabic" w:hint="cs"/>
                <w:b/>
                <w:bCs/>
                <w:rtl/>
              </w:rPr>
              <w:lastRenderedPageBreak/>
              <w:t>يشمل المشاركة والتفويض والاستشارات</w:t>
            </w:r>
            <w:r w:rsidRPr="00294D20">
              <w:rPr>
                <w:rFonts w:ascii="Traditional Arabic" w:hAnsi="Traditional Arabic" w:cs="Traditional Arabic" w:hint="cs"/>
                <w:b/>
                <w:bCs/>
              </w:rPr>
              <w:t>.</w:t>
            </w:r>
          </w:p>
        </w:tc>
        <w:tc>
          <w:tcPr>
            <w:tcW w:w="1139" w:type="pct"/>
          </w:tcPr>
          <w:p w14:paraId="328CF98D" w14:textId="13CA9D2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lastRenderedPageBreak/>
              <w:t xml:space="preserve">ركزت على القيادة التحويلية والتبادلية وتأثيرهما على الأداء، دون </w:t>
            </w:r>
            <w:r w:rsidRPr="00294D20">
              <w:rPr>
                <w:rFonts w:ascii="Traditional Arabic" w:hAnsi="Traditional Arabic" w:cs="Traditional Arabic" w:hint="cs"/>
                <w:b/>
                <w:bCs/>
                <w:sz w:val="24"/>
                <w:szCs w:val="24"/>
                <w:rtl/>
              </w:rPr>
              <w:lastRenderedPageBreak/>
              <w:t>تناول إدارة المخاطر أو سلامة المرضى كمتغيرات</w:t>
            </w:r>
            <w:r w:rsidRPr="00294D20">
              <w:rPr>
                <w:rFonts w:ascii="Traditional Arabic" w:hAnsi="Traditional Arabic" w:cs="Traditional Arabic" w:hint="cs"/>
                <w:b/>
                <w:bCs/>
                <w:sz w:val="24"/>
                <w:szCs w:val="24"/>
                <w:lang w:bidi="ar-EG"/>
              </w:rPr>
              <w:t>.</w:t>
            </w:r>
          </w:p>
        </w:tc>
      </w:tr>
      <w:tr w:rsidR="008776B5" w:rsidRPr="00294D20" w14:paraId="285334C5" w14:textId="77777777" w:rsidTr="00294D20">
        <w:trPr>
          <w:tblCellSpacing w:w="20" w:type="dxa"/>
        </w:trPr>
        <w:tc>
          <w:tcPr>
            <w:tcW w:w="1178" w:type="pct"/>
          </w:tcPr>
          <w:p w14:paraId="482CF4DD" w14:textId="77777777" w:rsidR="0016365B" w:rsidRPr="00294D20" w:rsidRDefault="0016365B" w:rsidP="0016365B">
            <w:pPr>
              <w:bidi/>
              <w:spacing w:after="200" w:line="240" w:lineRule="auto"/>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lastRenderedPageBreak/>
              <w:t>الدراسة السادسة:</w:t>
            </w:r>
          </w:p>
          <w:p w14:paraId="7FBA9215" w14:textId="33831AA1" w:rsidR="0016365B" w:rsidRPr="00294D20" w:rsidRDefault="0016365B" w:rsidP="0016365B">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lang w:bidi="ar-EG"/>
              </w:rPr>
              <w:t>Badriyah Putri Jannah (2024)</w:t>
            </w:r>
          </w:p>
          <w:p w14:paraId="0979522A" w14:textId="2A3B8368" w:rsidR="008776B5" w:rsidRPr="00294D20" w:rsidRDefault="008776B5" w:rsidP="000D4A7D">
            <w:pPr>
              <w:bidi/>
              <w:spacing w:before="120" w:after="120" w:line="240" w:lineRule="auto"/>
              <w:jc w:val="both"/>
              <w:rPr>
                <w:rFonts w:ascii="Traditional Arabic" w:hAnsi="Traditional Arabic" w:cs="Traditional Arabic"/>
                <w:b/>
                <w:bCs/>
                <w:sz w:val="24"/>
                <w:szCs w:val="24"/>
                <w:rtl/>
                <w:lang w:bidi="ar-EG"/>
              </w:rPr>
            </w:pPr>
          </w:p>
        </w:tc>
        <w:tc>
          <w:tcPr>
            <w:tcW w:w="1242" w:type="pct"/>
          </w:tcPr>
          <w:p w14:paraId="0E51D985" w14:textId="55F525DF"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تطبيق سلامة المرضى في المستشفيات من خلال مراجعة الأدبيات المنشورة بين عامي 2015 و2023</w:t>
            </w:r>
            <w:r w:rsidRPr="00294D20">
              <w:rPr>
                <w:rFonts w:ascii="Traditional Arabic" w:hAnsi="Traditional Arabic" w:cs="Traditional Arabic" w:hint="cs"/>
                <w:b/>
                <w:bCs/>
              </w:rPr>
              <w:t>.</w:t>
            </w:r>
          </w:p>
        </w:tc>
        <w:tc>
          <w:tcPr>
            <w:tcW w:w="1320" w:type="pct"/>
          </w:tcPr>
          <w:p w14:paraId="751288FF" w14:textId="16230076"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تساهم بشكل فعّال في تحسين بيئة العمل وتعزيز ثقافة السلامة وتقليل الحوادث الطبية داخل المستشفيات</w:t>
            </w:r>
            <w:r w:rsidRPr="00294D20">
              <w:rPr>
                <w:rFonts w:ascii="Traditional Arabic" w:hAnsi="Traditional Arabic" w:cs="Traditional Arabic" w:hint="cs"/>
                <w:b/>
                <w:bCs/>
              </w:rPr>
              <w:t>.</w:t>
            </w:r>
          </w:p>
        </w:tc>
        <w:tc>
          <w:tcPr>
            <w:tcW w:w="1139" w:type="pct"/>
          </w:tcPr>
          <w:p w14:paraId="631E9BFD" w14:textId="2324458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القيادة التحويلية وتأثيرها على سلامة المرضى، لكنها لم تربط ذلك بإدارة المخاطر أو تستخدم نموذج وساطة تحليلي</w:t>
            </w:r>
            <w:r w:rsidRPr="00294D20">
              <w:rPr>
                <w:rFonts w:ascii="Traditional Arabic" w:hAnsi="Traditional Arabic" w:cs="Traditional Arabic" w:hint="cs"/>
                <w:b/>
                <w:bCs/>
                <w:sz w:val="24"/>
                <w:szCs w:val="24"/>
                <w:lang w:bidi="ar-EG"/>
              </w:rPr>
              <w:t>.</w:t>
            </w:r>
          </w:p>
        </w:tc>
      </w:tr>
      <w:tr w:rsidR="008776B5" w:rsidRPr="00294D20" w14:paraId="17E3F848" w14:textId="77777777" w:rsidTr="00294D20">
        <w:trPr>
          <w:tblCellSpacing w:w="20" w:type="dxa"/>
        </w:trPr>
        <w:tc>
          <w:tcPr>
            <w:tcW w:w="1178" w:type="pct"/>
          </w:tcPr>
          <w:p w14:paraId="77335F3C" w14:textId="777777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 xml:space="preserve">الدراسة السابعة </w:t>
            </w:r>
            <w:r w:rsidRPr="00294D20">
              <w:rPr>
                <w:rFonts w:ascii="Traditional Arabic" w:eastAsia="Calibri" w:hAnsi="Traditional Arabic" w:cs="Traditional Arabic" w:hint="cs"/>
                <w:b/>
                <w:bCs/>
                <w:color w:val="000000" w:themeColor="text1"/>
                <w:sz w:val="24"/>
                <w:szCs w:val="24"/>
                <w:lang w:bidi="ar-EG"/>
              </w:rPr>
              <w:t xml:space="preserve">Stöcker </w:t>
            </w:r>
          </w:p>
          <w:p w14:paraId="1D7FCBC0" w14:textId="729E95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وآخرون 2023</w:t>
            </w:r>
          </w:p>
          <w:p w14:paraId="1B1C26B6" w14:textId="431D2494" w:rsidR="0016365B" w:rsidRPr="00294D20" w:rsidRDefault="0016365B" w:rsidP="0016365B">
            <w:pPr>
              <w:bidi/>
              <w:spacing w:before="120" w:after="120" w:line="240" w:lineRule="auto"/>
              <w:jc w:val="center"/>
              <w:rPr>
                <w:rFonts w:ascii="Traditional Arabic" w:hAnsi="Traditional Arabic" w:cs="Traditional Arabic"/>
                <w:b/>
                <w:bCs/>
                <w:sz w:val="24"/>
                <w:szCs w:val="24"/>
                <w:rtl/>
              </w:rPr>
            </w:pPr>
          </w:p>
        </w:tc>
        <w:tc>
          <w:tcPr>
            <w:tcW w:w="1242" w:type="pct"/>
          </w:tcPr>
          <w:p w14:paraId="2205CFFD" w14:textId="5CC32FB8"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تأثير القيادة التحويلية ورأس المال الاجتماعي على سلامة المرضى وجودة الرعاية الصحية في المستشفيات الألمانية من خلال نموذج بارسون الوظيفي</w:t>
            </w:r>
            <w:r w:rsidRPr="00294D20">
              <w:rPr>
                <w:rFonts w:ascii="Traditional Arabic" w:hAnsi="Traditional Arabic" w:cs="Traditional Arabic" w:hint="cs"/>
                <w:b/>
                <w:bCs/>
              </w:rPr>
              <w:t>.</w:t>
            </w:r>
          </w:p>
        </w:tc>
        <w:tc>
          <w:tcPr>
            <w:tcW w:w="1320" w:type="pct"/>
          </w:tcPr>
          <w:p w14:paraId="5408D568" w14:textId="5862795F"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المستشفيات التي تجمع بين القيادة التحويلية والتكامل الاجتماعي تحقق مستويات أعلى من السلامة وجودة الرعاية، مقارنة بالمستشفيات ذات المستويات المنخفضة في هذين البعدين</w:t>
            </w:r>
            <w:r w:rsidRPr="00294D20">
              <w:rPr>
                <w:rFonts w:ascii="Traditional Arabic" w:hAnsi="Traditional Arabic" w:cs="Traditional Arabic" w:hint="cs"/>
                <w:b/>
                <w:bCs/>
              </w:rPr>
              <w:t>.</w:t>
            </w:r>
          </w:p>
        </w:tc>
        <w:tc>
          <w:tcPr>
            <w:tcW w:w="1139" w:type="pct"/>
          </w:tcPr>
          <w:p w14:paraId="71EFCEF8" w14:textId="46FCED91"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دمجت القيادة التحويلية مع رأس المال الاجتماعي، وليس إدارة المخاطر، وركزت على نموذج بارسون وليس نموذج وساطة</w:t>
            </w:r>
            <w:r w:rsidRPr="00294D20">
              <w:rPr>
                <w:rFonts w:ascii="Traditional Arabic" w:hAnsi="Traditional Arabic" w:cs="Traditional Arabic" w:hint="cs"/>
                <w:b/>
                <w:bCs/>
                <w:sz w:val="24"/>
                <w:szCs w:val="24"/>
                <w:lang w:bidi="ar-EG"/>
              </w:rPr>
              <w:t>.</w:t>
            </w:r>
          </w:p>
        </w:tc>
      </w:tr>
      <w:tr w:rsidR="008776B5" w:rsidRPr="00294D20" w14:paraId="28921460" w14:textId="77777777" w:rsidTr="00294D20">
        <w:trPr>
          <w:tblCellSpacing w:w="20" w:type="dxa"/>
        </w:trPr>
        <w:tc>
          <w:tcPr>
            <w:tcW w:w="1178" w:type="pct"/>
          </w:tcPr>
          <w:p w14:paraId="1FB8A31F" w14:textId="330758C6" w:rsidR="008776B5" w:rsidRPr="00294D20" w:rsidRDefault="0016365B" w:rsidP="0016365B">
            <w:pPr>
              <w:bidi/>
              <w:spacing w:before="120" w:after="120" w:line="240"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 xml:space="preserve">الدراسة الثامنة </w:t>
            </w:r>
            <w:r w:rsidRPr="00294D20">
              <w:rPr>
                <w:rFonts w:ascii="Traditional Arabic" w:eastAsia="Calibri" w:hAnsi="Traditional Arabic" w:cs="Traditional Arabic" w:hint="cs"/>
                <w:b/>
                <w:bCs/>
                <w:color w:val="000000" w:themeColor="text1"/>
                <w:sz w:val="24"/>
                <w:szCs w:val="24"/>
                <w:lang w:bidi="ar-EG"/>
              </w:rPr>
              <w:t xml:space="preserve">Hassan Alabdullah </w:t>
            </w:r>
            <w:r w:rsidRPr="00294D20">
              <w:rPr>
                <w:rFonts w:ascii="Traditional Arabic" w:eastAsia="Calibri" w:hAnsi="Traditional Arabic" w:cs="Traditional Arabic" w:hint="cs"/>
                <w:b/>
                <w:bCs/>
                <w:color w:val="000000" w:themeColor="text1"/>
                <w:sz w:val="24"/>
                <w:szCs w:val="24"/>
                <w:rtl/>
              </w:rPr>
              <w:t>و</w:t>
            </w:r>
            <w:r w:rsidRPr="00294D20">
              <w:rPr>
                <w:rFonts w:ascii="Traditional Arabic" w:eastAsia="Calibri" w:hAnsi="Traditional Arabic" w:cs="Traditional Arabic" w:hint="cs"/>
                <w:b/>
                <w:bCs/>
                <w:color w:val="000000" w:themeColor="text1"/>
                <w:sz w:val="24"/>
                <w:szCs w:val="24"/>
                <w:lang w:bidi="ar-EG"/>
              </w:rPr>
              <w:t xml:space="preserve">Waldemar Karwowski (2024)  </w:t>
            </w:r>
            <w:r w:rsidRPr="00294D20">
              <w:rPr>
                <w:rFonts w:ascii="Traditional Arabic" w:eastAsia="Calibri" w:hAnsi="Traditional Arabic" w:cs="Traditional Arabic" w:hint="cs"/>
                <w:b/>
                <w:bCs/>
                <w:color w:val="000000" w:themeColor="text1"/>
                <w:sz w:val="24"/>
                <w:szCs w:val="24"/>
                <w:rtl/>
              </w:rPr>
              <w:t xml:space="preserve"> </w:t>
            </w:r>
            <w:r w:rsidRPr="00294D20">
              <w:rPr>
                <w:rFonts w:ascii="Traditional Arabic" w:eastAsia="Calibri" w:hAnsi="Traditional Arabic" w:cs="Traditional Arabic" w:hint="cs"/>
                <w:b/>
                <w:bCs/>
                <w:color w:val="000000" w:themeColor="text1"/>
                <w:sz w:val="24"/>
                <w:szCs w:val="24"/>
                <w:lang w:bidi="ar-EG"/>
              </w:rPr>
              <w:t>“</w:t>
            </w:r>
          </w:p>
        </w:tc>
        <w:tc>
          <w:tcPr>
            <w:tcW w:w="1242" w:type="pct"/>
          </w:tcPr>
          <w:p w14:paraId="0956A240" w14:textId="26ED3A9D" w:rsidR="008776B5" w:rsidRPr="00294D20" w:rsidRDefault="006E2632" w:rsidP="006E2632">
            <w:pPr>
              <w:bidi/>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تحليل الفروقات العالمية في إدراك العاملين لثقافة سلامة المرضى في المستشفيات، من خلال مراجعة منهجية للدراسات التي استخدمت أداة</w:t>
            </w:r>
            <w:r w:rsidRPr="00294D20">
              <w:rPr>
                <w:rFonts w:ascii="Traditional Arabic" w:hAnsi="Traditional Arabic" w:cs="Traditional Arabic" w:hint="cs"/>
                <w:b/>
                <w:bCs/>
                <w:sz w:val="24"/>
                <w:szCs w:val="24"/>
                <w:lang w:bidi="ar-EG"/>
              </w:rPr>
              <w:t xml:space="preserve"> HSOPSC.</w:t>
            </w:r>
          </w:p>
        </w:tc>
        <w:tc>
          <w:tcPr>
            <w:tcW w:w="1320" w:type="pct"/>
          </w:tcPr>
          <w:p w14:paraId="5B9B1763" w14:textId="5539599B" w:rsidR="008776B5" w:rsidRPr="00294D20" w:rsidRDefault="006E2632" w:rsidP="006E2632">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كشفت عن تفاوت كبير بين الدول في تقييم ثقافة السلامة، مع بروز العمل الجماعي والتعلم المستمر كنقاط قوة، مقابل ضعف الإبلاغ عن الأخطاء والخوف من العقاب في بيئات متعددة</w:t>
            </w:r>
            <w:r w:rsidRPr="00294D20">
              <w:rPr>
                <w:rFonts w:ascii="Traditional Arabic" w:hAnsi="Traditional Arabic" w:cs="Traditional Arabic" w:hint="cs"/>
                <w:b/>
                <w:bCs/>
                <w:sz w:val="24"/>
                <w:szCs w:val="24"/>
                <w:lang w:bidi="ar-EG"/>
              </w:rPr>
              <w:t>.</w:t>
            </w:r>
          </w:p>
        </w:tc>
        <w:tc>
          <w:tcPr>
            <w:tcW w:w="1139" w:type="pct"/>
          </w:tcPr>
          <w:p w14:paraId="67DD1C43" w14:textId="5AEB930C"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دراسة مراجعة منهجية تناولت ثقافة سلامة المرضى عالميًا، دون تحليل تأثير القيادة أو إدارة المخاطر بشكل مباشر</w:t>
            </w:r>
            <w:r w:rsidRPr="00294D20">
              <w:rPr>
                <w:rFonts w:ascii="Traditional Arabic" w:hAnsi="Traditional Arabic" w:cs="Traditional Arabic" w:hint="cs"/>
                <w:b/>
                <w:bCs/>
                <w:sz w:val="24"/>
                <w:szCs w:val="24"/>
                <w:lang w:bidi="ar-EG"/>
              </w:rPr>
              <w:t>.</w:t>
            </w:r>
          </w:p>
        </w:tc>
      </w:tr>
    </w:tbl>
    <w:bookmarkEnd w:id="2"/>
    <w:p w14:paraId="6472FB82" w14:textId="01B667B5" w:rsidR="00EA0060" w:rsidRPr="000E6E9F" w:rsidRDefault="0016365B" w:rsidP="00983EA2">
      <w:pPr>
        <w:bidi/>
        <w:spacing w:after="200" w:line="240" w:lineRule="auto"/>
        <w:jc w:val="right"/>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t xml:space="preserve">إعداد / الباحثة </w:t>
      </w:r>
      <w:r w:rsidR="00A21099" w:rsidRPr="000E6E9F">
        <w:rPr>
          <w:rFonts w:ascii="Traditional Arabic" w:eastAsia="Calibri" w:hAnsi="Traditional Arabic" w:cs="Traditional Arabic" w:hint="cs"/>
          <w:b/>
          <w:bCs/>
          <w:color w:val="000000" w:themeColor="text1"/>
          <w:sz w:val="24"/>
          <w:szCs w:val="24"/>
          <w:rtl/>
          <w:lang w:bidi="ar-EG"/>
        </w:rPr>
        <w:t>بالإعتماد على الدراسات المرجعية</w:t>
      </w:r>
      <w:r w:rsidRPr="000E6E9F">
        <w:rPr>
          <w:rFonts w:ascii="Traditional Arabic" w:eastAsia="Calibri" w:hAnsi="Traditional Arabic" w:cs="Traditional Arabic" w:hint="cs"/>
          <w:b/>
          <w:bCs/>
          <w:color w:val="000000" w:themeColor="text1"/>
          <w:sz w:val="24"/>
          <w:szCs w:val="24"/>
          <w:rtl/>
          <w:lang w:bidi="ar-EG"/>
        </w:rPr>
        <w:t>.</w:t>
      </w:r>
    </w:p>
    <w:p w14:paraId="04772A25" w14:textId="0C82B265" w:rsidR="008D4126" w:rsidRPr="003849C3" w:rsidRDefault="00F86114" w:rsidP="00EA0060">
      <w:pPr>
        <w:bidi/>
        <w:spacing w:after="200" w:line="240" w:lineRule="auto"/>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أوجه الإستفادة من الدراسات </w:t>
      </w:r>
      <w:r w:rsidR="004D121C" w:rsidRPr="003849C3">
        <w:rPr>
          <w:rFonts w:ascii="Traditional Arabic" w:eastAsia="Calibri" w:hAnsi="Traditional Arabic" w:cs="Traditional Arabic" w:hint="cs"/>
          <w:b/>
          <w:bCs/>
          <w:color w:val="000000" w:themeColor="text1"/>
          <w:sz w:val="24"/>
          <w:szCs w:val="24"/>
          <w:rtl/>
          <w:lang w:bidi="ar-EG"/>
        </w:rPr>
        <w:t>المرجعية</w:t>
      </w:r>
      <w:r w:rsidRPr="003849C3">
        <w:rPr>
          <w:rFonts w:ascii="Traditional Arabic" w:eastAsia="Calibri" w:hAnsi="Traditional Arabic" w:cs="Traditional Arabic" w:hint="cs"/>
          <w:b/>
          <w:bCs/>
          <w:color w:val="000000" w:themeColor="text1"/>
          <w:sz w:val="24"/>
          <w:szCs w:val="24"/>
          <w:rtl/>
          <w:lang w:bidi="ar-EG"/>
        </w:rPr>
        <w:t>:</w:t>
      </w:r>
    </w:p>
    <w:p w14:paraId="3E99380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تُظهر الدراسات السابقة أهمية القيادة التحويلية وإدارة المخاطر في تحسين جودة الخدمات الصحية وسلامة المرضى. فقد تناولت دراسة فاتن خليل (2018) تقييم جودة الخدمة الصحية في مراكز طب الأسرة ببغداد، مسلطة الضوء على الفجوة بين الواقع الفعلي والمعايير الدولية، مما يدعم بناء مؤشرات دقيقة لسلامة المرضى في دراستك. أما دراسة عفيفي وآلاء (2024)، فقد ركزت على أثر تطبيق إدارة المخاطر في مستشفيات جدة، مؤكدة دور السياسات والإجراءات التنظيمية في تقليل الحوادث الطبية وتحسين الأداء الصحي، وهو ما يعزز متغير إدارة المخاطر في بحثك ويمنحه بعدًا تطبيقيًا واضحًا</w:t>
      </w:r>
      <w:r w:rsidRPr="003849C3">
        <w:rPr>
          <w:rFonts w:ascii="Traditional Arabic" w:eastAsia="Calibri" w:hAnsi="Traditional Arabic" w:cs="Traditional Arabic" w:hint="cs"/>
          <w:color w:val="000000" w:themeColor="text1"/>
          <w:sz w:val="24"/>
          <w:szCs w:val="24"/>
          <w:lang w:bidi="ar-EG"/>
        </w:rPr>
        <w:t>.</w:t>
      </w:r>
    </w:p>
    <w:p w14:paraId="17070AD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lastRenderedPageBreak/>
        <w:t>من جهة أخرى، تناولت دراسة رامز رمضان (2019) أثر القيادة التحويلية على تحسين الأداء المؤسسي في المستشفيات الحكومية المصرية، موضحة كيف تسهم أبعاد القيادة التحويلية في تعزيز جودة الخدمة الصحية، مما يدعم استخدامها كمتغير وسيط في دراستك. كما ركزت دراسة الغامدي وعثمان (2023) على العلاقة بين القيادة التحويلية وإدارة الأزمات الصحية، مشيرة إلى دور القيادة في رفع جاهزية المؤسسات للتعامل مع التحديات، وهو ما يثري الربط بين القيادة وإدارة المخاطر في نموذجك المفاهيمي. مجتمعة، توفر هذه الدراسات أساسًا نظريًا ومنهجيًا متينًا لدراستك، وتساعد في صياغة الفرضيات وتحديد أدوات القياس بدقة</w:t>
      </w:r>
      <w:r w:rsidRPr="003849C3">
        <w:rPr>
          <w:rFonts w:ascii="Traditional Arabic" w:eastAsia="Calibri" w:hAnsi="Traditional Arabic" w:cs="Traditional Arabic" w:hint="cs"/>
          <w:color w:val="000000" w:themeColor="text1"/>
          <w:sz w:val="24"/>
          <w:szCs w:val="24"/>
          <w:lang w:bidi="ar-EG"/>
        </w:rPr>
        <w:t>.</w:t>
      </w:r>
    </w:p>
    <w:p w14:paraId="42C0AE54"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lang w:bidi="ar-EG"/>
        </w:rPr>
        <w:t xml:space="preserve">كما </w:t>
      </w:r>
      <w:r w:rsidRPr="003849C3">
        <w:rPr>
          <w:rFonts w:ascii="Traditional Arabic" w:eastAsia="Calibri" w:hAnsi="Traditional Arabic" w:cs="Traditional Arabic" w:hint="cs"/>
          <w:color w:val="000000" w:themeColor="text1"/>
          <w:sz w:val="24"/>
          <w:szCs w:val="24"/>
          <w:rtl/>
        </w:rPr>
        <w:t>تُظهر الدراسات الحديثة أهمية القيادة التحويلية في تعزيز جودة الأداء وسلامة المرضى داخل المؤسسات الصحية. فقد تناولت دراسة</w:t>
      </w:r>
      <w:r w:rsidRPr="003849C3">
        <w:rPr>
          <w:rFonts w:ascii="Traditional Arabic" w:eastAsia="Calibri" w:hAnsi="Traditional Arabic" w:cs="Traditional Arabic" w:hint="cs"/>
          <w:color w:val="000000" w:themeColor="text1"/>
          <w:sz w:val="24"/>
          <w:szCs w:val="24"/>
          <w:lang w:bidi="ar-EG"/>
        </w:rPr>
        <w:t xml:space="preserve"> Purwanto et al. (2020) </w:t>
      </w:r>
      <w:r w:rsidRPr="003849C3">
        <w:rPr>
          <w:rFonts w:ascii="Traditional Arabic" w:eastAsia="Calibri" w:hAnsi="Traditional Arabic" w:cs="Traditional Arabic" w:hint="cs"/>
          <w:color w:val="000000" w:themeColor="text1"/>
          <w:sz w:val="24"/>
          <w:szCs w:val="24"/>
          <w:rtl/>
        </w:rPr>
        <w:t>أثر أسلوبي القيادة التحويلية والتبادلية على أداء العاملين في المراكز الصحية بجاوا الوسطى، مؤكدة أن القيادة الحديثة تسهم في رفع الكفاءة التشغيلية وتحسين جودة الخدمات. كما ركزت دراسة</w:t>
      </w:r>
      <w:r w:rsidRPr="003849C3">
        <w:rPr>
          <w:rFonts w:ascii="Traditional Arabic" w:eastAsia="Calibri" w:hAnsi="Traditional Arabic" w:cs="Traditional Arabic" w:hint="cs"/>
          <w:color w:val="000000" w:themeColor="text1"/>
          <w:sz w:val="24"/>
          <w:szCs w:val="24"/>
          <w:lang w:bidi="ar-EG"/>
        </w:rPr>
        <w:t xml:space="preserve"> Badriyah Putri Jannah (2024) </w:t>
      </w:r>
      <w:r w:rsidRPr="003849C3">
        <w:rPr>
          <w:rFonts w:ascii="Traditional Arabic" w:eastAsia="Calibri" w:hAnsi="Traditional Arabic" w:cs="Traditional Arabic" w:hint="cs"/>
          <w:color w:val="000000" w:themeColor="text1"/>
          <w:sz w:val="24"/>
          <w:szCs w:val="24"/>
          <w:rtl/>
        </w:rPr>
        <w:t>على دور القيادة التحويلية في تعزيز ثقافة السلامة وتقليل الأخطاء الطبية، من خلال دعم الفرق الصحية وتحفيزهم، مما يدعم استخدام القيادة التحويلية كمتغير مؤثر في بيئات تنظيمية معقدة كالمستشفيات</w:t>
      </w:r>
      <w:r w:rsidRPr="003849C3">
        <w:rPr>
          <w:rFonts w:ascii="Traditional Arabic" w:eastAsia="Calibri" w:hAnsi="Traditional Arabic" w:cs="Traditional Arabic" w:hint="cs"/>
          <w:color w:val="000000" w:themeColor="text1"/>
          <w:sz w:val="24"/>
          <w:szCs w:val="24"/>
          <w:lang w:bidi="ar-EG"/>
        </w:rPr>
        <w:t>.</w:t>
      </w:r>
    </w:p>
    <w:p w14:paraId="339FC81E" w14:textId="7B6AE757" w:rsidR="001A2117"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ومن جهة أخرى، قدمت دراسة</w:t>
      </w:r>
      <w:r w:rsidRPr="003849C3">
        <w:rPr>
          <w:rFonts w:ascii="Traditional Arabic" w:eastAsia="Calibri" w:hAnsi="Traditional Arabic" w:cs="Traditional Arabic" w:hint="cs"/>
          <w:color w:val="000000" w:themeColor="text1"/>
          <w:sz w:val="24"/>
          <w:szCs w:val="24"/>
          <w:lang w:bidi="ar-EG"/>
        </w:rPr>
        <w:t xml:space="preserve"> Stöcker </w:t>
      </w:r>
      <w:r w:rsidRPr="003849C3">
        <w:rPr>
          <w:rFonts w:ascii="Traditional Arabic" w:eastAsia="Calibri" w:hAnsi="Traditional Arabic" w:cs="Traditional Arabic" w:hint="cs"/>
          <w:color w:val="000000" w:themeColor="text1"/>
          <w:sz w:val="24"/>
          <w:szCs w:val="24"/>
          <w:rtl/>
        </w:rPr>
        <w:t>وآخرون (2023) إطارًا نظريًا متقدمًا لتحليل العلاقة بين القيادة التحويلية ورأس المال الاجتماعي وسلامة المرضى، مستندة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مما يثري الجانب النظري لدراستك. كما ركزت دراسة</w:t>
      </w:r>
      <w:r w:rsidRPr="003849C3">
        <w:rPr>
          <w:rFonts w:ascii="Traditional Arabic" w:eastAsia="Calibri" w:hAnsi="Traditional Arabic" w:cs="Traditional Arabic" w:hint="cs"/>
          <w:color w:val="000000" w:themeColor="text1"/>
          <w:sz w:val="24"/>
          <w:szCs w:val="24"/>
          <w:lang w:bidi="ar-EG"/>
        </w:rPr>
        <w:t xml:space="preserve"> Hassan Alabdullah &amp; Waldemar Karwowski (2024) </w:t>
      </w:r>
      <w:r w:rsidRPr="003849C3">
        <w:rPr>
          <w:rFonts w:ascii="Traditional Arabic" w:eastAsia="Calibri" w:hAnsi="Traditional Arabic" w:cs="Traditional Arabic" w:hint="cs"/>
          <w:color w:val="000000" w:themeColor="text1"/>
          <w:sz w:val="24"/>
          <w:szCs w:val="24"/>
          <w:rtl/>
        </w:rPr>
        <w:t>على الفروقات العالمية في إدراك ثقافة سلامة المرضى، مشيرة إلى أهمية بناء ثقافة مؤسسية داعمة للسلامة كعنصر أساسي في تحسين جودة الرعاية. مجتمعة، تقدم هذه الدراسات دعمًا نظريًا ومنهجيًا قويًا لدراستك، وتساعد في صياغة الفرضيات وتحديد أبعاد المتغيرات بدقة</w:t>
      </w:r>
      <w:r w:rsidRPr="003849C3">
        <w:rPr>
          <w:rFonts w:ascii="Traditional Arabic" w:eastAsia="Calibri" w:hAnsi="Traditional Arabic" w:cs="Traditional Arabic" w:hint="cs"/>
          <w:color w:val="000000" w:themeColor="text1"/>
          <w:sz w:val="24"/>
          <w:szCs w:val="24"/>
          <w:lang w:bidi="ar-EG"/>
        </w:rPr>
        <w:t>.</w:t>
      </w:r>
    </w:p>
    <w:p w14:paraId="753100B8" w14:textId="128345FC" w:rsidR="00DD4E42" w:rsidRPr="003849C3" w:rsidRDefault="00DD4E42"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تؤكد الدراسات الحديثة أن القيادة التحويلية وإدارة المخاطر تمثلان عناصر حاسمة في تطوير الأداء الصحي وتعزيز سلامة المرضى، وهو ما يتماشى مع أهداف دراستك. فقد أظهرت الأبحاث أن القيادة التحويلية تساهم في تحفيز العاملين، تحسين بيئة العمل، وتعزيز ثقافة السلامة، مما يدعم دورها كمتغير وسيط مؤثر في العلاقة بين إدارة المخاطر وسلامة المرضى. كما بيّنت دراسات أخرى أن تطبيق إدارة المخاطر بشكل منهجي يسهم في تقليل الحوادث الطبية ورفع جودة الرعاية، مما يعزز موقعها كمتغير مستقل في نموذجك. هذه النتائج تدعم بناء إطار نظري متماسك وتوجه صياغة الفرضيات نحو علاقات سببية قابلة للقياس</w:t>
      </w:r>
      <w:r w:rsidRPr="003849C3">
        <w:rPr>
          <w:rFonts w:ascii="Traditional Arabic" w:eastAsia="Calibri" w:hAnsi="Traditional Arabic" w:cs="Traditional Arabic" w:hint="cs"/>
          <w:color w:val="000000" w:themeColor="text1"/>
          <w:sz w:val="24"/>
          <w:szCs w:val="24"/>
          <w:lang w:bidi="ar-EG"/>
        </w:rPr>
        <w:t>.</w:t>
      </w:r>
    </w:p>
    <w:p w14:paraId="59BBA661" w14:textId="306F29B5" w:rsidR="00AD783C" w:rsidRPr="003849C3" w:rsidRDefault="00AD783C" w:rsidP="001A2117">
      <w:pPr>
        <w:bidi/>
        <w:spacing w:after="200" w:line="276" w:lineRule="auto"/>
        <w:rPr>
          <w:rFonts w:ascii="Traditional Arabic" w:hAnsi="Traditional Arabic" w:cs="Traditional Arabic"/>
          <w:color w:val="00B0F0"/>
          <w:sz w:val="24"/>
          <w:szCs w:val="24"/>
          <w:rtl/>
        </w:rPr>
      </w:pPr>
      <w:r w:rsidRPr="003849C3">
        <w:rPr>
          <w:rFonts w:ascii="Traditional Arabic" w:hAnsi="Traditional Arabic" w:cs="Traditional Arabic" w:hint="cs"/>
          <w:b/>
          <w:bCs/>
          <w:color w:val="00B0F0"/>
          <w:sz w:val="24"/>
          <w:szCs w:val="24"/>
          <w:u w:val="single"/>
          <w:rtl/>
        </w:rPr>
        <w:t>مصطلحات الدراسة وتعريفاتها الإجرائية</w:t>
      </w:r>
    </w:p>
    <w:p w14:paraId="4997CB1F" w14:textId="77777777" w:rsidR="00EA0060" w:rsidRPr="003849C3" w:rsidRDefault="008B2E01" w:rsidP="008B2E01">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أولاً: </w:t>
      </w:r>
      <w:r w:rsidR="00A53F00" w:rsidRPr="003849C3">
        <w:rPr>
          <w:rFonts w:ascii="Traditional Arabic" w:eastAsia="Calibri" w:hAnsi="Traditional Arabic" w:cs="Traditional Arabic" w:hint="cs"/>
          <w:b/>
          <w:bCs/>
          <w:sz w:val="24"/>
          <w:szCs w:val="24"/>
          <w:rtl/>
          <w:lang w:bidi="ar-EG"/>
        </w:rPr>
        <w:t>إدارة المخاطر:</w:t>
      </w:r>
      <w:r w:rsidR="00A53F00" w:rsidRPr="003849C3">
        <w:rPr>
          <w:rFonts w:ascii="Traditional Arabic" w:eastAsia="Calibri" w:hAnsi="Traditional Arabic" w:cs="Traditional Arabic" w:hint="cs"/>
          <w:sz w:val="24"/>
          <w:szCs w:val="24"/>
          <w:rtl/>
          <w:lang w:bidi="ar-EG"/>
        </w:rPr>
        <w:t xml:space="preserve"> </w:t>
      </w:r>
    </w:p>
    <w:p w14:paraId="5375D42F" w14:textId="69E96A83" w:rsidR="00A53F00" w:rsidRPr="003849C3" w:rsidRDefault="006C7E2A" w:rsidP="000E6E9F">
      <w:pPr>
        <w:bidi/>
        <w:spacing w:after="200" w:line="360" w:lineRule="auto"/>
        <w:ind w:firstLine="720"/>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lang w:bidi="ar-EG"/>
        </w:rPr>
        <w:t xml:space="preserve">تُعرّف إدارة المخاطر في الرعاية الصحية بأنها عملية منهجية تهدف إلى تحديد وتحليل وتخفيف المخاطر المحتملة التي قد تؤثر على سلامة المرضى أو كفاءة المؤسسة الصحية، وذلك من خلال تطبيق سياسات استباقية، أنظمة مراقبة، وتدابير وقائية تضمن بيئة علاجية آمنة </w:t>
      </w:r>
      <w:r w:rsidRPr="003849C3">
        <w:rPr>
          <w:rFonts w:ascii="Traditional Arabic" w:eastAsia="Calibri" w:hAnsi="Traditional Arabic" w:cs="Traditional Arabic" w:hint="cs"/>
          <w:sz w:val="24"/>
          <w:szCs w:val="24"/>
          <w:rtl/>
          <w:lang w:bidi="ar-EG"/>
        </w:rPr>
        <w:lastRenderedPageBreak/>
        <w:t>ومستدامة</w:t>
      </w:r>
      <w:r w:rsidR="00DD4E42"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وتشمل هذه الإدارة تقييم دوري للمخاطر، </w:t>
      </w:r>
      <w:r w:rsidR="00EA0060"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تدريب الكوادر، واستخدام التكنولوجيا لتحسين الاستجابة وتقليل الأخطاء الطبية</w:t>
      </w:r>
      <w:r w:rsidR="00262C3B"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sz w:val="24"/>
          <w:szCs w:val="24"/>
          <w:rtl/>
          <w:lang w:bidi="ar-EG"/>
        </w:rPr>
        <w:t>(مصباح ، 2025، 2) .</w:t>
      </w:r>
    </w:p>
    <w:p w14:paraId="5DA47709" w14:textId="6878F7B8" w:rsidR="00FD2175" w:rsidRPr="003849C3" w:rsidRDefault="00DD4E42" w:rsidP="000E6E9F">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وتعرف الباحثة</w:t>
      </w:r>
      <w:r w:rsidR="00294E45" w:rsidRPr="003849C3">
        <w:rPr>
          <w:rFonts w:ascii="Traditional Arabic" w:eastAsia="Calibri" w:hAnsi="Traditional Arabic" w:cs="Traditional Arabic" w:hint="cs"/>
          <w:sz w:val="24"/>
          <w:szCs w:val="24"/>
          <w:rtl/>
          <w:lang w:bidi="ar-EG"/>
        </w:rPr>
        <w:t xml:space="preserve"> إدارة المخاطر إجرائيا بأنها مجموعة العمليات والإجراءات التي يقوم بها العاملون في المرافق الصحية الحكومية لتحديد المخاطر المحتملة، وتحليلها، </w:t>
      </w:r>
      <w:r w:rsidR="00F21CF6" w:rsidRPr="003849C3">
        <w:rPr>
          <w:rFonts w:ascii="Traditional Arabic" w:eastAsia="Calibri" w:hAnsi="Traditional Arabic" w:cs="Traditional Arabic" w:hint="cs"/>
          <w:sz w:val="24"/>
          <w:szCs w:val="24"/>
          <w:rtl/>
          <w:lang w:bidi="ar-EG"/>
        </w:rPr>
        <w:t>وتقيم</w:t>
      </w:r>
      <w:r w:rsidRPr="003849C3">
        <w:rPr>
          <w:rFonts w:ascii="Traditional Arabic" w:eastAsia="Calibri" w:hAnsi="Traditional Arabic" w:cs="Traditional Arabic" w:hint="cs"/>
          <w:sz w:val="24"/>
          <w:szCs w:val="24"/>
          <w:rtl/>
          <w:lang w:bidi="ar-EG"/>
        </w:rPr>
        <w:t>ه</w:t>
      </w:r>
      <w:r w:rsidR="00F21CF6" w:rsidRPr="003849C3">
        <w:rPr>
          <w:rFonts w:ascii="Traditional Arabic" w:eastAsia="Calibri" w:hAnsi="Traditional Arabic" w:cs="Traditional Arabic" w:hint="cs"/>
          <w:sz w:val="24"/>
          <w:szCs w:val="24"/>
          <w:rtl/>
          <w:lang w:bidi="ar-EG"/>
        </w:rPr>
        <w:t xml:space="preserve">ا ، </w:t>
      </w:r>
      <w:r w:rsidR="00294E45" w:rsidRPr="003849C3">
        <w:rPr>
          <w:rFonts w:ascii="Traditional Arabic" w:eastAsia="Calibri" w:hAnsi="Traditional Arabic" w:cs="Traditional Arabic" w:hint="cs"/>
          <w:sz w:val="24"/>
          <w:szCs w:val="24"/>
          <w:rtl/>
          <w:lang w:bidi="ar-EG"/>
        </w:rPr>
        <w:t>واتخاذ التدابير الوقائية المناسبة للحد من تأثيرها على سلامة المرضى</w:t>
      </w:r>
      <w:r w:rsidR="00262C3B" w:rsidRPr="003849C3">
        <w:rPr>
          <w:rFonts w:ascii="Traditional Arabic" w:eastAsia="Calibri" w:hAnsi="Traditional Arabic" w:cs="Traditional Arabic" w:hint="cs"/>
          <w:sz w:val="24"/>
          <w:szCs w:val="24"/>
          <w:rtl/>
          <w:lang w:bidi="ar-EG"/>
        </w:rPr>
        <w:t>،</w:t>
      </w:r>
      <w:r w:rsidR="00294E45" w:rsidRPr="003849C3">
        <w:rPr>
          <w:rFonts w:ascii="Traditional Arabic" w:eastAsia="Calibri" w:hAnsi="Traditional Arabic" w:cs="Traditional Arabic" w:hint="cs"/>
          <w:sz w:val="24"/>
          <w:szCs w:val="24"/>
          <w:rtl/>
          <w:lang w:bidi="ar-EG"/>
        </w:rPr>
        <w:t xml:space="preserve"> ويُقاس هذا المفهوم من خلال استجابات المشاركين على بنود الاستبانة </w:t>
      </w:r>
      <w:r w:rsidR="003B7B0C" w:rsidRPr="003849C3">
        <w:rPr>
          <w:rFonts w:ascii="Traditional Arabic" w:eastAsia="Calibri" w:hAnsi="Traditional Arabic" w:cs="Traditional Arabic" w:hint="cs"/>
          <w:sz w:val="24"/>
          <w:szCs w:val="24"/>
          <w:rtl/>
          <w:lang w:bidi="ar-EG"/>
        </w:rPr>
        <w:t>.</w:t>
      </w:r>
    </w:p>
    <w:p w14:paraId="2FF1D08A" w14:textId="6F2F903E" w:rsidR="00A60118" w:rsidRPr="003849C3" w:rsidRDefault="003979B0" w:rsidP="00A60118">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إدارة المخاطر:</w:t>
      </w:r>
    </w:p>
    <w:p w14:paraId="6398126A" w14:textId="03C43626" w:rsidR="00C43B15" w:rsidRPr="003849C3" w:rsidRDefault="00C43B15">
      <w:pPr>
        <w:numPr>
          <w:ilvl w:val="0"/>
          <w:numId w:val="28"/>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تحديد المخاطر</w:t>
      </w:r>
      <w:r w:rsidRPr="003849C3">
        <w:rPr>
          <w:rFonts w:ascii="Traditional Arabic" w:hAnsi="Traditional Arabic" w:cs="Traditional Arabic" w:hint="cs"/>
          <w:b/>
          <w:bCs/>
          <w:sz w:val="24"/>
          <w:szCs w:val="24"/>
          <w:lang w:bidi="ar-EG"/>
        </w:rPr>
        <w:t xml:space="preserve"> (Risk Identification):</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عملية التعرف المنهجي على مصادر الخطر المحتملة داخل المؤسسة</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الشمري،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45)</w:t>
      </w:r>
      <w:r w:rsidRPr="003849C3">
        <w:rPr>
          <w:rFonts w:ascii="Traditional Arabic" w:hAnsi="Traditional Arabic" w:cs="Traditional Arabic" w:hint="cs"/>
          <w:sz w:val="24"/>
          <w:szCs w:val="24"/>
          <w:lang w:bidi="ar-EG"/>
        </w:rPr>
        <w:t>.</w:t>
      </w:r>
    </w:p>
    <w:p w14:paraId="6B68A626" w14:textId="2FCA90A4" w:rsidR="00921FD9" w:rsidRPr="003849C3" w:rsidRDefault="00921FD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 xml:space="preserve">وتعرفه الباحثة إجرائيا </w:t>
      </w:r>
      <w:r w:rsidR="007D1C68" w:rsidRPr="003849C3">
        <w:rPr>
          <w:rFonts w:ascii="Traditional Arabic" w:hAnsi="Traditional Arabic" w:cs="Traditional Arabic" w:hint="cs"/>
          <w:sz w:val="24"/>
          <w:szCs w:val="24"/>
          <w:rtl/>
        </w:rPr>
        <w:t>بأنه</w:t>
      </w:r>
      <w:r w:rsidR="0074582D" w:rsidRPr="003849C3">
        <w:rPr>
          <w:rFonts w:ascii="Traditional Arabic" w:hAnsi="Traditional Arabic" w:cs="Traditional Arabic" w:hint="cs"/>
          <w:sz w:val="24"/>
          <w:szCs w:val="24"/>
          <w:rtl/>
        </w:rPr>
        <w:t xml:space="preserve"> يُقاس هذا البعد من خلال مدى قدرة العاملين في المؤسسة الصحية على التعرف المسبق على مصادر الخطر المحتملة، مثل الأخطاء الطبية، أوالثغرات التنظيمية، وذلك عبر استجابتهم لبنود الاستبانة التي تقيس وجود آليات واضحة لرصد المخاطر وتوثيقها</w:t>
      </w:r>
      <w:r w:rsidR="0074582D" w:rsidRPr="003849C3">
        <w:rPr>
          <w:rFonts w:ascii="Traditional Arabic" w:hAnsi="Traditional Arabic" w:cs="Traditional Arabic" w:hint="cs"/>
          <w:sz w:val="24"/>
          <w:szCs w:val="24"/>
          <w:lang w:bidi="ar-EG"/>
        </w:rPr>
        <w:t>.</w:t>
      </w:r>
    </w:p>
    <w:p w14:paraId="1BDC6DB9" w14:textId="77777777" w:rsidR="00F610E1" w:rsidRPr="003849C3" w:rsidRDefault="00C43B15">
      <w:pPr>
        <w:numPr>
          <w:ilvl w:val="0"/>
          <w:numId w:val="28"/>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تحليل المخاطر</w:t>
      </w:r>
      <w:r w:rsidRPr="003849C3">
        <w:rPr>
          <w:rFonts w:ascii="Traditional Arabic" w:hAnsi="Traditional Arabic" w:cs="Traditional Arabic" w:hint="cs"/>
          <w:b/>
          <w:bCs/>
          <w:sz w:val="24"/>
          <w:szCs w:val="24"/>
          <w:lang w:bidi="ar-EG"/>
        </w:rPr>
        <w:t xml:space="preserve"> (Risk Analysis):</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يتضمن دراسة احتمالية حدوث كل خطر وتأثيره المحتمل، باستخدام أدوات كمية أونوعية لتقدير درجة الخطورة، مما يساعد في ترتيب الأولويات وتوجيه الموارد (عبدالحميد، 2024</w:t>
      </w:r>
      <w:r w:rsidR="00A51217"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61)</w:t>
      </w:r>
      <w:r w:rsidRPr="003849C3">
        <w:rPr>
          <w:rFonts w:ascii="Traditional Arabic" w:hAnsi="Traditional Arabic" w:cs="Traditional Arabic" w:hint="cs"/>
          <w:sz w:val="24"/>
          <w:szCs w:val="24"/>
          <w:lang w:bidi="ar-EG"/>
        </w:rPr>
        <w:t>.</w:t>
      </w:r>
    </w:p>
    <w:p w14:paraId="6DCA065D" w14:textId="17B1D245" w:rsidR="0074582D" w:rsidRPr="003849C3" w:rsidRDefault="0074582D" w:rsidP="000E6E9F">
      <w:pPr>
        <w:bidi/>
        <w:spacing w:line="360" w:lineRule="auto"/>
        <w:ind w:left="720"/>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وتعرفه الباحثة إجرائيا بأنه يُقاس من خلال مدى قيام العاملين بتحليل احتمالية حدوث كل خطر وتأثيره، باستخدام أدوات تقييم داخلية، ويظهر ذلك في استجابتهم لبنود تتعلق بتقدير درجة الخطورة، وتحديد الأولويات بناءً على شدة التأثير</w:t>
      </w:r>
      <w:r w:rsidRPr="003849C3">
        <w:rPr>
          <w:rFonts w:ascii="Traditional Arabic" w:hAnsi="Traditional Arabic" w:cs="Traditional Arabic" w:hint="cs"/>
          <w:sz w:val="24"/>
          <w:szCs w:val="24"/>
        </w:rPr>
        <w:t>.</w:t>
      </w:r>
    </w:p>
    <w:p w14:paraId="20393DF4" w14:textId="726A15B7" w:rsidR="00C43B15" w:rsidRPr="003849C3" w:rsidRDefault="00C43B15">
      <w:pPr>
        <w:numPr>
          <w:ilvl w:val="0"/>
          <w:numId w:val="28"/>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تقييم المخاطر</w:t>
      </w:r>
      <w:r w:rsidRPr="003849C3">
        <w:rPr>
          <w:rFonts w:ascii="Traditional Arabic" w:hAnsi="Traditional Arabic" w:cs="Traditional Arabic" w:hint="cs"/>
          <w:b/>
          <w:bCs/>
          <w:sz w:val="24"/>
          <w:szCs w:val="24"/>
          <w:lang w:bidi="ar-EG"/>
        </w:rPr>
        <w:t xml:space="preserve"> (Risk Evaluation):</w:t>
      </w:r>
      <w:r w:rsidR="00F610E1"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يُعنى بتقدير مدى قبول أو رفض كل خطر بناءً على نتائجه المتوقعة، ويُستخدم لتحديد ما إذا كانت المخاطر تتطلب تدخلًا فوريًا أو يمكن تحملها ضمن حدود معينة (مدوّن حر، 2024، </w:t>
      </w:r>
      <w:r w:rsidR="0032534E" w:rsidRPr="003849C3">
        <w:rPr>
          <w:rFonts w:ascii="Traditional Arabic" w:hAnsi="Traditional Arabic" w:cs="Traditional Arabic" w:hint="cs"/>
          <w:sz w:val="24"/>
          <w:szCs w:val="24"/>
          <w:rtl/>
        </w:rPr>
        <w:t>1</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01A81C0E" w14:textId="5239206B"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قدرة المؤسسة على اتخاذ قرارات بشأن قبول أو رفض المخاطر بناءً على نتائج التحليل، ويُرصد ذلك عبر بنود تقيس وضوح معايير التقييم، وتطبيقها في الممارسات اليومية</w:t>
      </w:r>
      <w:r w:rsidRPr="003849C3">
        <w:rPr>
          <w:rFonts w:ascii="Traditional Arabic" w:hAnsi="Traditional Arabic" w:cs="Traditional Arabic" w:hint="cs"/>
          <w:sz w:val="24"/>
          <w:szCs w:val="24"/>
        </w:rPr>
        <w:t>.</w:t>
      </w:r>
    </w:p>
    <w:p w14:paraId="180004B0" w14:textId="48B2BAE1" w:rsidR="003979B0" w:rsidRPr="003849C3" w:rsidRDefault="00C43B15">
      <w:pPr>
        <w:numPr>
          <w:ilvl w:val="0"/>
          <w:numId w:val="28"/>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الاستجابة للمخاطر</w:t>
      </w:r>
      <w:r w:rsidRPr="003849C3">
        <w:rPr>
          <w:rFonts w:ascii="Traditional Arabic" w:hAnsi="Traditional Arabic" w:cs="Traditional Arabic" w:hint="cs"/>
          <w:b/>
          <w:bCs/>
          <w:sz w:val="24"/>
          <w:szCs w:val="24"/>
          <w:lang w:bidi="ar-EG"/>
        </w:rPr>
        <w:t xml:space="preserve"> (Risk Response):</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88)</w:t>
      </w:r>
      <w:r w:rsidRPr="003849C3">
        <w:rPr>
          <w:rFonts w:ascii="Traditional Arabic" w:hAnsi="Traditional Arabic" w:cs="Traditional Arabic" w:hint="cs"/>
          <w:sz w:val="24"/>
          <w:szCs w:val="24"/>
          <w:lang w:bidi="ar-EG"/>
        </w:rPr>
        <w:t>.</w:t>
      </w:r>
    </w:p>
    <w:p w14:paraId="5A6FC8FE" w14:textId="3602D36A"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تطبيق العاملين لاستراتيجيات وقائية أوعلاجية للتعامل مع المخاطر، مثل تعديل السياسات، أو تنفيذ خطط الطوارئ، ويظهر ذلك في استجابتهم لبنود تقيس فعالية التدخلات وسرعة الاستجابة</w:t>
      </w:r>
      <w:r w:rsidRPr="003849C3">
        <w:rPr>
          <w:rFonts w:ascii="Traditional Arabic" w:hAnsi="Traditional Arabic" w:cs="Traditional Arabic" w:hint="cs"/>
          <w:sz w:val="24"/>
          <w:szCs w:val="24"/>
        </w:rPr>
        <w:t>.</w:t>
      </w:r>
    </w:p>
    <w:p w14:paraId="5D2D850D" w14:textId="77777777" w:rsidR="0032534E" w:rsidRPr="003849C3" w:rsidRDefault="008B2E01" w:rsidP="008B2E01">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ثانياً: </w:t>
      </w:r>
      <w:r w:rsidR="00532954" w:rsidRPr="003849C3">
        <w:rPr>
          <w:rFonts w:ascii="Traditional Arabic" w:eastAsia="Calibri" w:hAnsi="Traditional Arabic" w:cs="Traditional Arabic" w:hint="cs"/>
          <w:b/>
          <w:bCs/>
          <w:color w:val="000000" w:themeColor="text1"/>
          <w:sz w:val="24"/>
          <w:szCs w:val="24"/>
          <w:rtl/>
          <w:lang w:bidi="ar-EG"/>
        </w:rPr>
        <w:t>سلامة المرضى</w:t>
      </w:r>
      <w:r w:rsidR="0032534E" w:rsidRPr="003849C3">
        <w:rPr>
          <w:rFonts w:ascii="Traditional Arabic" w:eastAsia="Calibri" w:hAnsi="Traditional Arabic" w:cs="Traditional Arabic" w:hint="cs"/>
          <w:b/>
          <w:bCs/>
          <w:color w:val="000000" w:themeColor="text1"/>
          <w:sz w:val="24"/>
          <w:szCs w:val="24"/>
          <w:rtl/>
          <w:lang w:bidi="ar-EG"/>
        </w:rPr>
        <w:t>:</w:t>
      </w:r>
    </w:p>
    <w:p w14:paraId="6316B4DD" w14:textId="223A4164" w:rsidR="00532954" w:rsidRPr="003849C3" w:rsidRDefault="00532954"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lang w:bidi="ar-EG"/>
        </w:rPr>
        <w:t xml:space="preserve"> بأنها مجموعة من الأنشطة والأنظمة والإجراءات التي تهدف إلى تقليل المخاطر المرتبطة بالرعاية الصحية، والحد من الأذى الذي يمكن الوقاية منه، من خلال بناء ثقافة مؤسسية تركز على التعلم المستمر، والتحسين، والاستجابة الفعالة للأخطاء عند وقوعها (منظمة الصحة العالمية، 2023</w:t>
      </w:r>
      <w:r w:rsidR="0032534E" w:rsidRPr="003849C3">
        <w:rPr>
          <w:rFonts w:ascii="Traditional Arabic" w:eastAsia="Calibri" w:hAnsi="Traditional Arabic" w:cs="Traditional Arabic" w:hint="cs"/>
          <w:color w:val="000000" w:themeColor="text1"/>
          <w:sz w:val="24"/>
          <w:szCs w:val="24"/>
          <w:rtl/>
          <w:lang w:bidi="ar-EG"/>
        </w:rPr>
        <w:t>،</w:t>
      </w:r>
      <w:r w:rsidRPr="003849C3">
        <w:rPr>
          <w:rFonts w:ascii="Traditional Arabic" w:eastAsia="Calibri" w:hAnsi="Traditional Arabic" w:cs="Traditional Arabic" w:hint="cs"/>
          <w:color w:val="000000" w:themeColor="text1"/>
          <w:sz w:val="24"/>
          <w:szCs w:val="24"/>
          <w:rtl/>
          <w:lang w:bidi="ar-EG"/>
        </w:rPr>
        <w:t xml:space="preserve"> 1).</w:t>
      </w:r>
    </w:p>
    <w:p w14:paraId="2D199E40" w14:textId="0C380A33" w:rsidR="00154AF7" w:rsidRPr="003849C3" w:rsidRDefault="00154AF7"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rPr>
      </w:pPr>
      <w:r w:rsidRPr="003849C3">
        <w:rPr>
          <w:rFonts w:ascii="Traditional Arabic" w:eastAsia="Calibri" w:hAnsi="Traditional Arabic" w:cs="Traditional Arabic" w:hint="cs"/>
          <w:color w:val="000000" w:themeColor="text1"/>
          <w:sz w:val="24"/>
          <w:szCs w:val="24"/>
          <w:rtl/>
          <w:lang w:bidi="ar-EG"/>
        </w:rPr>
        <w:t xml:space="preserve">وتعرفه إجرائيا </w:t>
      </w:r>
      <w:r w:rsidRPr="003849C3">
        <w:rPr>
          <w:rFonts w:ascii="Traditional Arabic" w:eastAsia="Calibri" w:hAnsi="Traditional Arabic" w:cs="Traditional Arabic" w:hint="cs"/>
          <w:color w:val="000000" w:themeColor="text1"/>
          <w:sz w:val="24"/>
          <w:szCs w:val="24"/>
          <w:rtl/>
        </w:rPr>
        <w:t xml:space="preserve">بأنه درجة إدراك العاملين الصحيين لمستوى الحماية المقدمة للمرضى من الأخطاء والإخفاقات أثناء تقديم الرعاية الصحية، وذلك داخل المستشفيات الحكومية بالمملكة العربية السعودية. </w:t>
      </w:r>
    </w:p>
    <w:p w14:paraId="0824CB38" w14:textId="1DE418E9" w:rsidR="000F7ABC" w:rsidRPr="003849C3" w:rsidRDefault="000F7ABC" w:rsidP="000F7ABC">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سلامة المرضى:</w:t>
      </w:r>
    </w:p>
    <w:p w14:paraId="678B8870" w14:textId="4B5BB797" w:rsidR="000F7ABC" w:rsidRPr="003849C3" w:rsidRDefault="000F7ABC">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تقليل الأخطاء الطبية</w:t>
      </w:r>
      <w:r w:rsidRPr="003849C3">
        <w:rPr>
          <w:rFonts w:ascii="Traditional Arabic" w:hAnsi="Traditional Arabic" w:cs="Traditional Arabic" w:hint="cs"/>
          <w:b/>
          <w:bCs/>
          <w:sz w:val="24"/>
          <w:szCs w:val="24"/>
          <w:lang w:bidi="ar-EG"/>
        </w:rPr>
        <w:t xml:space="preserve"> (Reducing Medical Errors)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يُعد هذا البعد من أهم مؤشرات سلامة المرضى، ويشمل تقليل الأخطاء في التشخيص، </w:t>
      </w:r>
      <w:r w:rsidR="00F610E1" w:rsidRPr="003849C3">
        <w:rPr>
          <w:rFonts w:ascii="Traditional Arabic" w:hAnsi="Traditional Arabic" w:cs="Traditional Arabic" w:hint="cs"/>
          <w:sz w:val="24"/>
          <w:szCs w:val="24"/>
          <w:rtl/>
        </w:rPr>
        <w:t>و</w:t>
      </w:r>
      <w:r w:rsidRPr="003849C3">
        <w:rPr>
          <w:rFonts w:ascii="Traditional Arabic" w:hAnsi="Traditional Arabic" w:cs="Traditional Arabic" w:hint="cs"/>
          <w:sz w:val="24"/>
          <w:szCs w:val="24"/>
          <w:rtl/>
        </w:rPr>
        <w:t>وصف الأدوية، أو تنفيذ الإجراءات العلاجية، من خلال تطبيق بروتوكولات صارمة ومعايير مهنية واضحة (الأحمدي، 1438هـ</w:t>
      </w:r>
      <w:r w:rsidR="00F610E1"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57)</w:t>
      </w:r>
      <w:r w:rsidR="004446C9" w:rsidRPr="003849C3">
        <w:rPr>
          <w:rFonts w:ascii="Traditional Arabic" w:hAnsi="Traditional Arabic" w:cs="Traditional Arabic" w:hint="cs"/>
          <w:sz w:val="24"/>
          <w:szCs w:val="24"/>
          <w:rtl/>
          <w:lang w:bidi="ar-EG"/>
        </w:rPr>
        <w:t>.</w:t>
      </w:r>
    </w:p>
    <w:p w14:paraId="17FFB118" w14:textId="7FE4C23F"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قدرة المؤسسة الصحية على الحد من الأخطاء السريرية، مثل الأخطاء في التشخيص، وصف الأدوية، أو تنفيذ الإجراءات العلاجية.</w:t>
      </w:r>
    </w:p>
    <w:p w14:paraId="6EFE29B2" w14:textId="7AB83564" w:rsidR="000F7ABC" w:rsidRPr="003849C3" w:rsidRDefault="000F7ABC">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فعالية أنظمة الإبلاغ عن الحوادث</w:t>
      </w:r>
      <w:r w:rsidRPr="003849C3">
        <w:rPr>
          <w:rFonts w:ascii="Traditional Arabic" w:hAnsi="Traditional Arabic" w:cs="Traditional Arabic" w:hint="cs"/>
          <w:b/>
          <w:bCs/>
          <w:sz w:val="24"/>
          <w:szCs w:val="24"/>
          <w:lang w:bidi="ar-EG"/>
        </w:rPr>
        <w:t xml:space="preserve"> (Incident Reporting Systems)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w:t>
      </w:r>
      <w:r w:rsidRPr="003849C3">
        <w:rPr>
          <w:rFonts w:ascii="Traditional Arabic" w:hAnsi="Traditional Arabic" w:cs="Traditional Arabic" w:hint="cs"/>
          <w:sz w:val="24"/>
          <w:szCs w:val="24"/>
          <w:lang w:bidi="ar-EG"/>
        </w:rPr>
        <w:t>.</w:t>
      </w:r>
    </w:p>
    <w:p w14:paraId="01FDCC32" w14:textId="199F8B16"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وجود نظام مؤسسي منظم يسمح بالإبلاغ عن الحوادث الطبية والأخطاء الوشيكة أو الجسيمة، دون خوف من العقوبة، وبما يضمن التحسين المستمر لجودة الرعاية.</w:t>
      </w:r>
    </w:p>
    <w:p w14:paraId="279278EB" w14:textId="1C5F2174" w:rsidR="000F7ABC" w:rsidRPr="003849C3" w:rsidRDefault="000F7ABC">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إشراك المرضى في الرعاية</w:t>
      </w:r>
      <w:r w:rsidRPr="003849C3">
        <w:rPr>
          <w:rFonts w:ascii="Traditional Arabic" w:hAnsi="Traditional Arabic" w:cs="Traditional Arabic" w:hint="cs"/>
          <w:b/>
          <w:bCs/>
          <w:sz w:val="24"/>
          <w:szCs w:val="24"/>
          <w:lang w:bidi="ar-EG"/>
        </w:rPr>
        <w:t xml:space="preserve"> (Patient Engagement)</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103)</w:t>
      </w:r>
      <w:r w:rsidRPr="003849C3">
        <w:rPr>
          <w:rFonts w:ascii="Traditional Arabic" w:hAnsi="Traditional Arabic" w:cs="Traditional Arabic" w:hint="cs"/>
          <w:sz w:val="24"/>
          <w:szCs w:val="24"/>
          <w:lang w:bidi="ar-EG"/>
        </w:rPr>
        <w:t>.</w:t>
      </w:r>
    </w:p>
    <w:p w14:paraId="3F7C6419" w14:textId="0C45DFC2"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مشاركة المرضى في اتخاذ قراراتهم العلاجية، وتفاعلهم مع مقدمي الخدمة، ومدى تمكينهم من فهم حالتهم الصحية والمساهمة في إدارتها</w:t>
      </w:r>
      <w:r w:rsidRPr="003849C3">
        <w:rPr>
          <w:rFonts w:ascii="Traditional Arabic" w:hAnsi="Traditional Arabic" w:cs="Traditional Arabic" w:hint="cs"/>
          <w:sz w:val="24"/>
          <w:szCs w:val="24"/>
          <w:lang w:bidi="ar-EG"/>
        </w:rPr>
        <w:t>.</w:t>
      </w:r>
    </w:p>
    <w:p w14:paraId="32FB2735" w14:textId="2BA8206F" w:rsidR="00F610E1" w:rsidRPr="003849C3" w:rsidRDefault="000F7ABC">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بيئة العمل الآمنة</w:t>
      </w:r>
      <w:r w:rsidRPr="003849C3">
        <w:rPr>
          <w:rFonts w:ascii="Traditional Arabic" w:hAnsi="Traditional Arabic" w:cs="Traditional Arabic" w:hint="cs"/>
          <w:b/>
          <w:bCs/>
          <w:sz w:val="24"/>
          <w:szCs w:val="24"/>
          <w:lang w:bidi="ar-EG"/>
        </w:rPr>
        <w:t xml:space="preserve"> (Safe Work Environment)</w:t>
      </w:r>
      <w:r w:rsidR="00F610E1" w:rsidRPr="003849C3">
        <w:rPr>
          <w:rFonts w:ascii="Traditional Arabic" w:hAnsi="Traditional Arabic" w:cs="Traditional Arabic" w:hint="cs"/>
          <w:b/>
          <w:bCs/>
          <w:sz w:val="24"/>
          <w:szCs w:val="24"/>
          <w:lang w:bidi="ar-EG"/>
        </w:rPr>
        <w:t xml:space="preserve"> </w:t>
      </w:r>
      <w:r w:rsidR="00F610E1" w:rsidRPr="003849C3">
        <w:rPr>
          <w:rFonts w:ascii="Traditional Arabic" w:hAnsi="Traditional Arabic" w:cs="Traditional Arabic" w:hint="cs"/>
          <w:b/>
          <w:bCs/>
          <w:sz w:val="24"/>
          <w:szCs w:val="24"/>
          <w:rtl/>
          <w:lang w:bidi="ar-EG"/>
        </w:rPr>
        <w:t xml:space="preserve"> </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r w:rsidR="00F610E1" w:rsidRPr="003849C3">
        <w:rPr>
          <w:rFonts w:ascii="Traditional Arabic" w:hAnsi="Traditional Arabic" w:cs="Traditional Arabic" w:hint="cs"/>
          <w:sz w:val="24"/>
          <w:szCs w:val="24"/>
          <w:rtl/>
        </w:rPr>
        <w:t xml:space="preserve"> </w:t>
      </w:r>
      <w:r w:rsidR="00F610E1" w:rsidRPr="003849C3">
        <w:rPr>
          <w:rFonts w:ascii="Traditional Arabic" w:hAnsi="Traditional Arabic" w:cs="Traditional Arabic" w:hint="cs"/>
          <w:sz w:val="24"/>
          <w:szCs w:val="24"/>
          <w:lang w:bidi="ar-EG"/>
        </w:rPr>
        <w:t>GAHAR,2019.42</w:t>
      </w:r>
      <w:r w:rsidR="00F610E1" w:rsidRPr="003849C3">
        <w:rPr>
          <w:rFonts w:ascii="Traditional Arabic" w:hAnsi="Traditional Arabic" w:cs="Traditional Arabic" w:hint="cs"/>
          <w:sz w:val="24"/>
          <w:szCs w:val="24"/>
          <w:rtl/>
          <w:lang w:bidi="ar-EG"/>
        </w:rPr>
        <w:t xml:space="preserve">. </w:t>
      </w:r>
    </w:p>
    <w:p w14:paraId="4A6F9695" w14:textId="19BE421E" w:rsidR="00E96506" w:rsidRPr="003849C3" w:rsidRDefault="00E96506" w:rsidP="000E6E9F">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توفر ظروف مهنية خالية من المخاطر الجسدية والنفسية، مثل وضوح إجراءات السلامة، توفر أدوات الوقاية، التدريب على التعامل مع الحوادث، وتطبيق معايير الصحة المهنية داخل المؤسسة الصحية</w:t>
      </w:r>
      <w:r w:rsidRPr="003849C3">
        <w:rPr>
          <w:rFonts w:ascii="Traditional Arabic" w:hAnsi="Traditional Arabic" w:cs="Traditional Arabic" w:hint="cs"/>
          <w:sz w:val="24"/>
          <w:szCs w:val="24"/>
          <w:lang w:bidi="ar-EG"/>
        </w:rPr>
        <w:t>.</w:t>
      </w:r>
    </w:p>
    <w:p w14:paraId="781F65A6" w14:textId="71DEF5A4" w:rsidR="000F7ABC" w:rsidRPr="003849C3" w:rsidRDefault="000F7ABC">
      <w:pPr>
        <w:numPr>
          <w:ilvl w:val="0"/>
          <w:numId w:val="29"/>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جودة الرعاية السريرية</w:t>
      </w:r>
      <w:r w:rsidRPr="003849C3">
        <w:rPr>
          <w:rFonts w:ascii="Traditional Arabic" w:hAnsi="Traditional Arabic" w:cs="Traditional Arabic" w:hint="cs"/>
          <w:b/>
          <w:bCs/>
          <w:sz w:val="24"/>
          <w:szCs w:val="24"/>
          <w:lang w:bidi="ar-EG"/>
        </w:rPr>
        <w:t xml:space="preserve"> (Clinical Care Quality)</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13</w:t>
      </w:r>
      <w:r w:rsidR="006E2E73" w:rsidRPr="003849C3">
        <w:rPr>
          <w:rFonts w:ascii="Traditional Arabic" w:hAnsi="Traditional Arabic" w:cs="Traditional Arabic" w:hint="cs"/>
          <w:sz w:val="24"/>
          <w:szCs w:val="24"/>
          <w:rtl/>
        </w:rPr>
        <w:t xml:space="preserve">5 </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10FF59CE" w14:textId="72577CAA" w:rsidR="00195681" w:rsidRPr="003849C3" w:rsidRDefault="00195681" w:rsidP="009D5A23">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lang w:bidi="ar-EG"/>
        </w:rPr>
        <w:t>يُقاس إجرائيًا من خلال استجابات أفراد العينة على بنود الاستبانة التي تعكس مدى التزام المؤسسة الصحية بتطبيق الممارسات العلاجية المبنية على الأدلة، كفاءة الكوادر الطبية، تكامل الخدمات، ودقة الإجراءات السريرية، بما يضمن تحقيق نتائج علاجية آمنة وفعالة.</w:t>
      </w:r>
    </w:p>
    <w:p w14:paraId="5EEFA92B" w14:textId="713535BF" w:rsidR="008B2E01" w:rsidRPr="003849C3" w:rsidRDefault="008B2E01" w:rsidP="00997A3F">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ثالثاً: </w:t>
      </w:r>
      <w:r w:rsidR="00294E45" w:rsidRPr="003849C3">
        <w:rPr>
          <w:rFonts w:ascii="Traditional Arabic" w:eastAsia="Calibri" w:hAnsi="Traditional Arabic" w:cs="Traditional Arabic" w:hint="cs"/>
          <w:b/>
          <w:bCs/>
          <w:sz w:val="24"/>
          <w:szCs w:val="24"/>
          <w:rtl/>
          <w:lang w:bidi="ar-EG"/>
        </w:rPr>
        <w:t>القيادة التحويلية:</w:t>
      </w:r>
      <w:r w:rsidR="00294E45" w:rsidRPr="003849C3">
        <w:rPr>
          <w:rFonts w:ascii="Traditional Arabic" w:eastAsia="Calibri" w:hAnsi="Traditional Arabic" w:cs="Traditional Arabic" w:hint="cs"/>
          <w:sz w:val="24"/>
          <w:szCs w:val="24"/>
          <w:rtl/>
          <w:lang w:bidi="ar-EG"/>
        </w:rPr>
        <w:t xml:space="preserve"> </w:t>
      </w:r>
    </w:p>
    <w:p w14:paraId="3B8680CB" w14:textId="4EE5024D" w:rsidR="008B2E01" w:rsidRPr="003849C3" w:rsidRDefault="008B2E0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تُعرّف القيادة التحويلية بأنها نمط قيادي يهدف إلى إحداث تغيير إيجابي في سلوك العاملين من خلال التأثير المثالي، الإلهام، الاستثارة الفكرية، والتمكين الإداري، حيث يسعى القائد إلى تحفيز الأفراد نحو تحقيق أهداف تتجاوز المصالح الشخصية، وتعزيز الالتزام الجماعي بقيم المؤسسة الصحية (حسين، 2019، ص. 705)</w:t>
      </w:r>
      <w:r w:rsidRPr="003849C3">
        <w:rPr>
          <w:rFonts w:ascii="Traditional Arabic" w:eastAsia="Calibri" w:hAnsi="Traditional Arabic" w:cs="Traditional Arabic" w:hint="cs"/>
          <w:sz w:val="24"/>
          <w:szCs w:val="24"/>
          <w:lang w:bidi="ar-EG"/>
        </w:rPr>
        <w:t>.</w:t>
      </w:r>
    </w:p>
    <w:p w14:paraId="73C6BE7E" w14:textId="33AF2A89" w:rsidR="006C4114" w:rsidRPr="003849C3" w:rsidRDefault="00F610E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كما </w:t>
      </w:r>
      <w:r w:rsidR="006C4114" w:rsidRPr="003849C3">
        <w:rPr>
          <w:rFonts w:ascii="Traditional Arabic" w:eastAsia="Calibri" w:hAnsi="Traditional Arabic" w:cs="Traditional Arabic" w:hint="cs"/>
          <w:sz w:val="24"/>
          <w:szCs w:val="24"/>
          <w:rtl/>
        </w:rPr>
        <w:t xml:space="preserve">تعرف الباحثة القيادة التحويلية إجرائيا بأنها درجة ممارسة القادة الصحيين لنمط قيادي يهدف إلى إحداث تغيير إيجابي في بيئة العمل، من خلال تحفيز العاملين، تعزيز الالتزام التنظيمي، وتطوير الأداء الجماعي. </w:t>
      </w:r>
    </w:p>
    <w:p w14:paraId="095361BC" w14:textId="77777777" w:rsidR="0060279C" w:rsidRPr="003849C3" w:rsidRDefault="0060279C" w:rsidP="0060279C">
      <w:pPr>
        <w:bidi/>
        <w:spacing w:line="278" w:lineRule="auto"/>
        <w:rPr>
          <w:rFonts w:ascii="Traditional Arabic" w:eastAsia="Calibri" w:hAnsi="Traditional Arabic" w:cs="Traditional Arabic"/>
          <w:b/>
          <w:bCs/>
          <w:kern w:val="2"/>
          <w:sz w:val="24"/>
          <w:szCs w:val="24"/>
          <w:lang w:bidi="ar-EG"/>
          <w14:ligatures w14:val="standardContextual"/>
        </w:rPr>
      </w:pPr>
      <w:r w:rsidRPr="003849C3">
        <w:rPr>
          <w:rFonts w:ascii="Traditional Arabic" w:eastAsia="Calibri" w:hAnsi="Traditional Arabic" w:cs="Traditional Arabic" w:hint="cs"/>
          <w:b/>
          <w:bCs/>
          <w:kern w:val="2"/>
          <w:sz w:val="24"/>
          <w:szCs w:val="24"/>
          <w:rtl/>
          <w14:ligatures w14:val="standardContextual"/>
        </w:rPr>
        <w:t>أبعاد القيادة التحويلية</w:t>
      </w:r>
      <w:r w:rsidRPr="003849C3">
        <w:rPr>
          <w:rFonts w:ascii="Traditional Arabic" w:eastAsia="Calibri" w:hAnsi="Traditional Arabic" w:cs="Traditional Arabic" w:hint="cs"/>
          <w:b/>
          <w:bCs/>
          <w:kern w:val="2"/>
          <w:sz w:val="24"/>
          <w:szCs w:val="24"/>
          <w:lang w:bidi="ar-EG"/>
          <w14:ligatures w14:val="standardContextual"/>
        </w:rPr>
        <w:t>:</w:t>
      </w:r>
    </w:p>
    <w:p w14:paraId="0133E761" w14:textId="3F401F79" w:rsidR="00F610E1" w:rsidRPr="003849C3" w:rsidRDefault="0060279C">
      <w:pPr>
        <w:numPr>
          <w:ilvl w:val="0"/>
          <w:numId w:val="27"/>
        </w:numPr>
        <w:bidi/>
        <w:spacing w:line="278"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lastRenderedPageBreak/>
        <w:t>التأثير المثالي</w:t>
      </w:r>
      <w:r w:rsidRPr="003849C3">
        <w:rPr>
          <w:rFonts w:ascii="Traditional Arabic" w:eastAsia="Calibri" w:hAnsi="Traditional Arabic" w:cs="Traditional Arabic" w:hint="cs"/>
          <w:b/>
          <w:bCs/>
          <w:kern w:val="2"/>
          <w:sz w:val="24"/>
          <w:szCs w:val="24"/>
          <w:lang w:bidi="ar-EG"/>
          <w14:ligatures w14:val="standardContextual"/>
        </w:rPr>
        <w:t xml:space="preserve"> (Idealized Influence):</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يتمثل في كون القائد نموذجًا يُحتذى به، يملك رؤية واضحة وقيمًا أخلاقية عالية، ويكسب احترام وثقة العاملين</w:t>
      </w:r>
      <w:r w:rsidR="00F610E1" w:rsidRPr="003849C3">
        <w:rPr>
          <w:rFonts w:ascii="Traditional Arabic" w:eastAsia="Calibri" w:hAnsi="Traditional Arabic" w:cs="Traditional Arabic" w:hint="cs"/>
          <w:kern w:val="2"/>
          <w:sz w:val="24"/>
          <w:szCs w:val="24"/>
          <w:rtl/>
          <w14:ligatures w14:val="standardContextual"/>
        </w:rPr>
        <w:t>.</w:t>
      </w:r>
    </w:p>
    <w:p w14:paraId="5ED9137B" w14:textId="274E482E"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إدراك العاملين لكون القائد نموذجًا يُحتذى به، يتمتع بالنزاهة، ويكسب احترام الفريق، ويُظهر التزامًا واضحًا بقيم العمل الصحي</w:t>
      </w:r>
      <w:r w:rsidRPr="003849C3">
        <w:rPr>
          <w:rFonts w:ascii="Traditional Arabic" w:hAnsi="Traditional Arabic" w:cs="Traditional Arabic" w:hint="cs"/>
          <w:sz w:val="24"/>
          <w:szCs w:val="24"/>
          <w:lang w:bidi="ar-EG"/>
        </w:rPr>
        <w:t>.</w:t>
      </w:r>
    </w:p>
    <w:p w14:paraId="18375016" w14:textId="1D081AC9" w:rsidR="00F610E1" w:rsidRPr="003849C3" w:rsidRDefault="0060279C">
      <w:pPr>
        <w:numPr>
          <w:ilvl w:val="0"/>
          <w:numId w:val="27"/>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الدافع والإلهام</w:t>
      </w:r>
      <w:r w:rsidRPr="003849C3">
        <w:rPr>
          <w:rFonts w:ascii="Traditional Arabic" w:eastAsia="Calibri" w:hAnsi="Traditional Arabic" w:cs="Traditional Arabic" w:hint="cs"/>
          <w:b/>
          <w:bCs/>
          <w:kern w:val="2"/>
          <w:sz w:val="24"/>
          <w:szCs w:val="24"/>
          <w:lang w:bidi="ar-EG"/>
          <w14:ligatures w14:val="standardContextual"/>
        </w:rPr>
        <w:t xml:space="preserve"> (Inspirational Motivation):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قدرة القائد على تحفيز العاملين من خلال بث الحماس، وتوضيح الأهداف المشتركة، ورفع سقف التوقعات الإيجابية</w:t>
      </w:r>
      <w:r w:rsidR="00F610E1" w:rsidRPr="003849C3">
        <w:rPr>
          <w:rFonts w:ascii="Traditional Arabic" w:eastAsia="Calibri" w:hAnsi="Traditional Arabic" w:cs="Traditional Arabic" w:hint="cs"/>
          <w:kern w:val="2"/>
          <w:sz w:val="24"/>
          <w:szCs w:val="24"/>
          <w:rtl/>
          <w14:ligatures w14:val="standardContextual"/>
        </w:rPr>
        <w:t>.</w:t>
      </w:r>
    </w:p>
    <w:p w14:paraId="48CD39A3" w14:textId="2ECD62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قدرة القائد على تحفيز العاملين، وبث روح الحماس، وتوضيح الأهداف المشتركة بطريقة ملهمة تعزز الانتماء للمستشفى</w:t>
      </w:r>
      <w:r w:rsidRPr="003849C3">
        <w:rPr>
          <w:rFonts w:ascii="Traditional Arabic" w:hAnsi="Traditional Arabic" w:cs="Traditional Arabic" w:hint="cs"/>
          <w:sz w:val="24"/>
          <w:szCs w:val="24"/>
          <w:lang w:bidi="ar-EG"/>
        </w:rPr>
        <w:t>.</w:t>
      </w:r>
    </w:p>
    <w:p w14:paraId="456C9AB7" w14:textId="727833E5" w:rsidR="00110989" w:rsidRPr="003849C3" w:rsidRDefault="0060279C">
      <w:pPr>
        <w:numPr>
          <w:ilvl w:val="0"/>
          <w:numId w:val="27"/>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الاستثارة الفكرية</w:t>
      </w:r>
      <w:r w:rsidRPr="003849C3">
        <w:rPr>
          <w:rFonts w:ascii="Traditional Arabic" w:eastAsia="Calibri" w:hAnsi="Traditional Arabic" w:cs="Traditional Arabic" w:hint="cs"/>
          <w:b/>
          <w:bCs/>
          <w:kern w:val="2"/>
          <w:sz w:val="24"/>
          <w:szCs w:val="24"/>
          <w:lang w:bidi="ar-EG"/>
          <w14:ligatures w14:val="standardContextual"/>
        </w:rPr>
        <w:t xml:space="preserve"> (Intellectual Stimulation):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يشجع القائد العاملين على التفكير النقدي، الابتكار، وتحدي الأساليب التقليدية في العمل، مما يعزز التطوير المستمر</w:t>
      </w:r>
      <w:r w:rsidR="00110989" w:rsidRPr="003849C3">
        <w:rPr>
          <w:rFonts w:ascii="Traditional Arabic" w:eastAsia="Calibri" w:hAnsi="Traditional Arabic" w:cs="Traditional Arabic" w:hint="cs"/>
          <w:kern w:val="2"/>
          <w:sz w:val="24"/>
          <w:szCs w:val="24"/>
          <w:rtl/>
          <w14:ligatures w14:val="standardContextual"/>
        </w:rPr>
        <w:t>.</w:t>
      </w:r>
    </w:p>
    <w:p w14:paraId="042907E6" w14:textId="3A3605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تشجيع القائد للعاملين على التفكير النقدي، واقتراح حلول مبتكرة، وتحدي الأساليب التقليدية في تقديم الرعاية الصحية</w:t>
      </w:r>
      <w:r w:rsidRPr="003849C3">
        <w:rPr>
          <w:rFonts w:ascii="Traditional Arabic" w:hAnsi="Traditional Arabic" w:cs="Traditional Arabic" w:hint="cs"/>
          <w:sz w:val="24"/>
          <w:szCs w:val="24"/>
          <w:lang w:bidi="ar-EG"/>
        </w:rPr>
        <w:t>.</w:t>
      </w:r>
    </w:p>
    <w:p w14:paraId="52ED5391" w14:textId="59E09621" w:rsidR="00260C64" w:rsidRPr="003849C3" w:rsidRDefault="0060279C">
      <w:pPr>
        <w:numPr>
          <w:ilvl w:val="0"/>
          <w:numId w:val="27"/>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الاعتبارات الفردية</w:t>
      </w:r>
      <w:r w:rsidRPr="003849C3">
        <w:rPr>
          <w:rFonts w:ascii="Traditional Arabic" w:eastAsia="Calibri" w:hAnsi="Traditional Arabic" w:cs="Traditional Arabic" w:hint="cs"/>
          <w:b/>
          <w:bCs/>
          <w:kern w:val="2"/>
          <w:sz w:val="24"/>
          <w:szCs w:val="24"/>
          <w:lang w:bidi="ar-EG"/>
          <w14:ligatures w14:val="standardContextual"/>
        </w:rPr>
        <w:t xml:space="preserve"> (Individualized Consideration):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يعامل القائد كل فرد ككيان مستقل، يراعي احتياجاته المهنية، ويوفر له الدعم والتوجيه المناسب</w:t>
      </w:r>
      <w:r w:rsidRPr="003849C3">
        <w:rPr>
          <w:rFonts w:ascii="Traditional Arabic" w:eastAsia="Calibri" w:hAnsi="Traditional Arabic" w:cs="Traditional Arabic" w:hint="cs"/>
          <w:kern w:val="2"/>
          <w:sz w:val="24"/>
          <w:szCs w:val="24"/>
          <w:rtl/>
          <w:lang w:bidi="ar-EG"/>
          <w14:ligatures w14:val="standardContextual"/>
        </w:rPr>
        <w:t xml:space="preserve"> ( حسين ، 2019، 705</w:t>
      </w:r>
      <w:r w:rsidR="00260C64" w:rsidRPr="003849C3">
        <w:rPr>
          <w:rFonts w:ascii="Traditional Arabic" w:eastAsia="Calibri" w:hAnsi="Traditional Arabic" w:cs="Traditional Arabic" w:hint="cs"/>
          <w:kern w:val="2"/>
          <w:sz w:val="24"/>
          <w:szCs w:val="24"/>
          <w:rtl/>
          <w:lang w:bidi="ar-EG"/>
          <w14:ligatures w14:val="standardContextual"/>
        </w:rPr>
        <w:t>).</w:t>
      </w:r>
    </w:p>
    <w:p w14:paraId="292FC2EB" w14:textId="7E99391E" w:rsidR="00DD4E42"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اهتمام القائد باحتياجات العاملين الفردية، وتقديم الدعم والتوجيه المناسب لكل منهم وفقًا لظروفه المهنية</w:t>
      </w:r>
      <w:r w:rsidRPr="003849C3">
        <w:rPr>
          <w:rFonts w:ascii="Traditional Arabic" w:hAnsi="Traditional Arabic" w:cs="Traditional Arabic" w:hint="cs"/>
          <w:sz w:val="24"/>
          <w:szCs w:val="24"/>
          <w:lang w:bidi="ar-EG"/>
        </w:rPr>
        <w:t>.</w:t>
      </w:r>
    </w:p>
    <w:p w14:paraId="74F1E400" w14:textId="77777777" w:rsidR="00294D20" w:rsidRDefault="00294D20" w:rsidP="00294D20">
      <w:pPr>
        <w:bidi/>
        <w:spacing w:line="360" w:lineRule="auto"/>
        <w:ind w:left="720"/>
        <w:rPr>
          <w:rFonts w:ascii="Traditional Arabic" w:hAnsi="Traditional Arabic" w:cs="Traditional Arabic"/>
          <w:sz w:val="24"/>
          <w:szCs w:val="24"/>
          <w:lang w:bidi="ar-EG"/>
        </w:rPr>
      </w:pPr>
    </w:p>
    <w:p w14:paraId="7CDC0FFF" w14:textId="77777777" w:rsidR="00294D20" w:rsidRDefault="00294D20" w:rsidP="00294D20">
      <w:pPr>
        <w:bidi/>
        <w:spacing w:line="360" w:lineRule="auto"/>
        <w:ind w:left="720"/>
        <w:rPr>
          <w:rFonts w:ascii="Traditional Arabic" w:hAnsi="Traditional Arabic" w:cs="Traditional Arabic"/>
          <w:sz w:val="24"/>
          <w:szCs w:val="24"/>
          <w:lang w:bidi="ar-EG"/>
        </w:rPr>
      </w:pPr>
    </w:p>
    <w:p w14:paraId="4824E929" w14:textId="77777777" w:rsidR="00294D20" w:rsidRDefault="00294D20" w:rsidP="00294D20">
      <w:pPr>
        <w:bidi/>
        <w:spacing w:line="360" w:lineRule="auto"/>
        <w:ind w:left="720"/>
        <w:rPr>
          <w:rFonts w:ascii="Traditional Arabic" w:hAnsi="Traditional Arabic" w:cs="Traditional Arabic"/>
          <w:sz w:val="24"/>
          <w:szCs w:val="24"/>
          <w:lang w:bidi="ar-EG"/>
        </w:rPr>
      </w:pPr>
    </w:p>
    <w:p w14:paraId="014FB79E" w14:textId="77777777" w:rsidR="00294D20" w:rsidRDefault="00294D20" w:rsidP="00294D20">
      <w:pPr>
        <w:bidi/>
        <w:spacing w:line="360" w:lineRule="auto"/>
        <w:ind w:left="720"/>
        <w:rPr>
          <w:rFonts w:ascii="Traditional Arabic" w:hAnsi="Traditional Arabic" w:cs="Traditional Arabic"/>
          <w:sz w:val="24"/>
          <w:szCs w:val="24"/>
          <w:lang w:bidi="ar-EG"/>
        </w:rPr>
      </w:pPr>
    </w:p>
    <w:p w14:paraId="460F6C4D" w14:textId="77777777" w:rsidR="00294D20" w:rsidRPr="003849C3" w:rsidRDefault="00294D20" w:rsidP="00294D20">
      <w:pPr>
        <w:bidi/>
        <w:spacing w:line="360" w:lineRule="auto"/>
        <w:ind w:left="720"/>
        <w:rPr>
          <w:rFonts w:ascii="Traditional Arabic" w:hAnsi="Traditional Arabic" w:cs="Traditional Arabic"/>
          <w:sz w:val="24"/>
          <w:szCs w:val="24"/>
          <w:rtl/>
          <w:lang w:bidi="ar-EG"/>
        </w:rPr>
      </w:pPr>
    </w:p>
    <w:p w14:paraId="50B5BC38" w14:textId="77777777" w:rsidR="00997A3F" w:rsidRDefault="00997A3F" w:rsidP="00DD4E42">
      <w:pPr>
        <w:bidi/>
        <w:spacing w:after="0" w:line="240" w:lineRule="auto"/>
        <w:rPr>
          <w:rFonts w:ascii="Traditional Arabic" w:hAnsi="Traditional Arabic" w:cs="Traditional Arabic"/>
          <w:b/>
          <w:bCs/>
          <w:color w:val="00B0F0"/>
          <w:sz w:val="24"/>
          <w:szCs w:val="24"/>
          <w:u w:val="single"/>
          <w:rtl/>
        </w:rPr>
      </w:pPr>
    </w:p>
    <w:p w14:paraId="4CC39A9A" w14:textId="77777777" w:rsidR="006A74B5" w:rsidRDefault="006A74B5" w:rsidP="006A74B5">
      <w:pPr>
        <w:bidi/>
        <w:spacing w:after="0" w:line="240" w:lineRule="auto"/>
        <w:rPr>
          <w:rFonts w:ascii="Traditional Arabic" w:hAnsi="Traditional Arabic" w:cs="Traditional Arabic"/>
          <w:b/>
          <w:bCs/>
          <w:color w:val="00B0F0"/>
          <w:sz w:val="24"/>
          <w:szCs w:val="24"/>
          <w:u w:val="single"/>
        </w:rPr>
      </w:pPr>
    </w:p>
    <w:p w14:paraId="67913F9C" w14:textId="631C5354" w:rsidR="005A111C" w:rsidRPr="003849C3" w:rsidRDefault="005A111C" w:rsidP="00997A3F">
      <w:pPr>
        <w:bidi/>
        <w:spacing w:after="0" w:line="240" w:lineRule="auto"/>
        <w:rPr>
          <w:rFonts w:ascii="Traditional Arabic" w:hAnsi="Traditional Arabic" w:cs="Traditional Arabic"/>
          <w:b/>
          <w:bCs/>
          <w:color w:val="FF0000"/>
          <w:sz w:val="24"/>
          <w:szCs w:val="24"/>
          <w:rtl/>
        </w:rPr>
      </w:pPr>
      <w:r w:rsidRPr="003849C3">
        <w:rPr>
          <w:rFonts w:ascii="Traditional Arabic" w:hAnsi="Traditional Arabic" w:cs="Traditional Arabic" w:hint="cs"/>
          <w:b/>
          <w:bCs/>
          <w:color w:val="00B0F0"/>
          <w:sz w:val="24"/>
          <w:szCs w:val="24"/>
          <w:u w:val="single"/>
          <w:rtl/>
        </w:rPr>
        <w:lastRenderedPageBreak/>
        <w:t>أبعاد متغيرات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75AD0376" w14:textId="77777777" w:rsidR="00260C64" w:rsidRPr="003849C3" w:rsidRDefault="00260C64" w:rsidP="00260C64">
      <w:pPr>
        <w:bidi/>
        <w:spacing w:after="0" w:line="240" w:lineRule="auto"/>
        <w:jc w:val="center"/>
        <w:rPr>
          <w:rFonts w:ascii="Traditional Arabic" w:hAnsi="Traditional Arabic" w:cs="Traditional Arabic"/>
          <w:b/>
          <w:bCs/>
          <w:color w:val="000000" w:themeColor="text1"/>
          <w:sz w:val="24"/>
          <w:szCs w:val="24"/>
          <w:rtl/>
        </w:rPr>
      </w:pPr>
    </w:p>
    <w:p w14:paraId="2F4B2534" w14:textId="2F8B89F4" w:rsidR="005A111C" w:rsidRPr="003849C3" w:rsidRDefault="005A111C" w:rsidP="00260C64">
      <w:pPr>
        <w:bidi/>
        <w:spacing w:after="0" w:line="240" w:lineRule="auto"/>
        <w:jc w:val="center"/>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 xml:space="preserve">جدول ( </w:t>
      </w:r>
      <w:r w:rsidR="006441C4" w:rsidRPr="003849C3">
        <w:rPr>
          <w:rFonts w:ascii="Traditional Arabic" w:hAnsi="Traditional Arabic" w:cs="Traditional Arabic" w:hint="cs"/>
          <w:b/>
          <w:bCs/>
          <w:color w:val="000000" w:themeColor="text1"/>
          <w:sz w:val="24"/>
          <w:szCs w:val="24"/>
          <w:rtl/>
        </w:rPr>
        <w:t>3</w:t>
      </w:r>
      <w:r w:rsidRPr="003849C3">
        <w:rPr>
          <w:rFonts w:ascii="Traditional Arabic" w:hAnsi="Traditional Arabic" w:cs="Traditional Arabic" w:hint="cs"/>
          <w:b/>
          <w:bCs/>
          <w:color w:val="000000" w:themeColor="text1"/>
          <w:sz w:val="24"/>
          <w:szCs w:val="24"/>
          <w:rtl/>
        </w:rPr>
        <w:t xml:space="preserve"> ) يوضح أبعاد متغيرات الدراسة</w:t>
      </w:r>
    </w:p>
    <w:tbl>
      <w:tblPr>
        <w:tblStyle w:val="TableGrid"/>
        <w:tblW w:w="5000" w:type="pct"/>
        <w:tblCellSpacing w:w="20" w:type="dxa"/>
        <w:tblLook w:val="04A0" w:firstRow="1" w:lastRow="0" w:firstColumn="1" w:lastColumn="0" w:noHBand="0" w:noVBand="1"/>
      </w:tblPr>
      <w:tblGrid>
        <w:gridCol w:w="6189"/>
        <w:gridCol w:w="696"/>
        <w:gridCol w:w="1411"/>
      </w:tblGrid>
      <w:tr w:rsidR="005A111C" w:rsidRPr="00294D20" w14:paraId="0DF5910C" w14:textId="77777777" w:rsidTr="00EB5DC9">
        <w:trPr>
          <w:tblCellSpacing w:w="20" w:type="dxa"/>
        </w:trPr>
        <w:tc>
          <w:tcPr>
            <w:tcW w:w="3695" w:type="pct"/>
            <w:shd w:val="clear" w:color="auto" w:fill="E5DFEC" w:themeFill="accent4" w:themeFillTint="33"/>
            <w:hideMark/>
          </w:tcPr>
          <w:p w14:paraId="1FEB75EA"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الأبعاد الفرعية</w:t>
            </w:r>
          </w:p>
        </w:tc>
        <w:tc>
          <w:tcPr>
            <w:tcW w:w="395" w:type="pct"/>
            <w:shd w:val="clear" w:color="auto" w:fill="E5DFEC" w:themeFill="accent4" w:themeFillTint="33"/>
            <w:hideMark/>
          </w:tcPr>
          <w:p w14:paraId="27175E4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النوع</w:t>
            </w:r>
          </w:p>
        </w:tc>
        <w:tc>
          <w:tcPr>
            <w:tcW w:w="814" w:type="pct"/>
            <w:shd w:val="clear" w:color="auto" w:fill="E5DFEC" w:themeFill="accent4" w:themeFillTint="33"/>
            <w:hideMark/>
          </w:tcPr>
          <w:p w14:paraId="4688ECE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المتغير</w:t>
            </w:r>
          </w:p>
        </w:tc>
      </w:tr>
      <w:tr w:rsidR="005A111C" w:rsidRPr="00294D20" w14:paraId="77F22129" w14:textId="77777777" w:rsidTr="00EB5DC9">
        <w:trPr>
          <w:tblCellSpacing w:w="20" w:type="dxa"/>
        </w:trPr>
        <w:tc>
          <w:tcPr>
            <w:tcW w:w="3695" w:type="pct"/>
            <w:hideMark/>
          </w:tcPr>
          <w:p w14:paraId="39A7867E"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تحديد المخاطر – تحليل المخاطر – تقييم المخاطر – الاستجابة للمخاطر</w:t>
            </w:r>
          </w:p>
        </w:tc>
        <w:tc>
          <w:tcPr>
            <w:tcW w:w="395" w:type="pct"/>
            <w:hideMark/>
          </w:tcPr>
          <w:p w14:paraId="6ADF5F6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مستقل</w:t>
            </w:r>
          </w:p>
        </w:tc>
        <w:tc>
          <w:tcPr>
            <w:tcW w:w="814" w:type="pct"/>
            <w:hideMark/>
          </w:tcPr>
          <w:p w14:paraId="165C8F4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إدارة المخاطر</w:t>
            </w:r>
          </w:p>
        </w:tc>
      </w:tr>
      <w:tr w:rsidR="00DD4E42" w:rsidRPr="00294D20" w14:paraId="261C8C79" w14:textId="77777777" w:rsidTr="00EB5DC9">
        <w:trPr>
          <w:tblCellSpacing w:w="20" w:type="dxa"/>
        </w:trPr>
        <w:tc>
          <w:tcPr>
            <w:tcW w:w="3695" w:type="pct"/>
            <w:hideMark/>
          </w:tcPr>
          <w:p w14:paraId="594697FC"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3" w:name="_Hlk208948933"/>
            <w:r w:rsidRPr="00294D20">
              <w:rPr>
                <w:rFonts w:ascii="Traditional Arabic" w:hAnsi="Traditional Arabic" w:cs="Traditional Arabic" w:hint="cs"/>
                <w:b/>
                <w:bCs/>
                <w:spacing w:val="-6"/>
                <w:sz w:val="24"/>
                <w:szCs w:val="24"/>
                <w:rtl/>
              </w:rPr>
              <w:t>التأثير المثالي – التحفيز الإلهامي – الاستثارة الفكرية – الاعتبار الفردي</w:t>
            </w:r>
          </w:p>
        </w:tc>
        <w:tc>
          <w:tcPr>
            <w:tcW w:w="395" w:type="pct"/>
            <w:hideMark/>
          </w:tcPr>
          <w:p w14:paraId="0441858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وسيط</w:t>
            </w:r>
          </w:p>
        </w:tc>
        <w:tc>
          <w:tcPr>
            <w:tcW w:w="814" w:type="pct"/>
            <w:hideMark/>
          </w:tcPr>
          <w:p w14:paraId="60AB490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القيادة التحويلية</w:t>
            </w:r>
          </w:p>
        </w:tc>
      </w:tr>
      <w:tr w:rsidR="00DD4E42" w:rsidRPr="00294D20" w14:paraId="0ABF4AA8" w14:textId="77777777" w:rsidTr="00EB5DC9">
        <w:trPr>
          <w:tblCellSpacing w:w="20" w:type="dxa"/>
        </w:trPr>
        <w:tc>
          <w:tcPr>
            <w:tcW w:w="3695" w:type="pct"/>
            <w:hideMark/>
          </w:tcPr>
          <w:p w14:paraId="21075BB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4" w:name="_Hlk208959511"/>
            <w:r w:rsidRPr="00294D20">
              <w:rPr>
                <w:rFonts w:ascii="Traditional Arabic" w:hAnsi="Traditional Arabic" w:cs="Traditional Arabic" w:hint="cs"/>
                <w:b/>
                <w:bCs/>
                <w:spacing w:val="-6"/>
                <w:sz w:val="24"/>
                <w:szCs w:val="24"/>
                <w:rtl/>
              </w:rPr>
              <w:t>تقليل الأخطاء الطبية – فعالية أنظمة الإبلاغ – إشراك المرضى – بيئة العمل الآمنة – جودة الرعاية السريرية</w:t>
            </w:r>
            <w:bookmarkEnd w:id="3"/>
            <w:bookmarkEnd w:id="4"/>
          </w:p>
        </w:tc>
        <w:tc>
          <w:tcPr>
            <w:tcW w:w="395" w:type="pct"/>
            <w:hideMark/>
          </w:tcPr>
          <w:p w14:paraId="32554C86"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تابع</w:t>
            </w:r>
          </w:p>
        </w:tc>
        <w:tc>
          <w:tcPr>
            <w:tcW w:w="814" w:type="pct"/>
            <w:hideMark/>
          </w:tcPr>
          <w:p w14:paraId="0D658580"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سلامة المرضى</w:t>
            </w:r>
          </w:p>
        </w:tc>
      </w:tr>
      <w:tr w:rsidR="004018BE" w:rsidRPr="00294D20" w14:paraId="2E97B24B" w14:textId="77777777" w:rsidTr="00EB5DC9">
        <w:trPr>
          <w:tblCellSpacing w:w="20" w:type="dxa"/>
        </w:trPr>
        <w:tc>
          <w:tcPr>
            <w:tcW w:w="3695" w:type="pct"/>
          </w:tcPr>
          <w:p w14:paraId="2951D1E8" w14:textId="39F3AAAD"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النوع – المؤهل التعليمي – نوع الوظيفة – سنوات الخبرة</w:t>
            </w:r>
          </w:p>
        </w:tc>
        <w:tc>
          <w:tcPr>
            <w:tcW w:w="395" w:type="pct"/>
          </w:tcPr>
          <w:p w14:paraId="42EE6D99" w14:textId="1665B5D8"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ضابطة</w:t>
            </w:r>
          </w:p>
        </w:tc>
        <w:tc>
          <w:tcPr>
            <w:tcW w:w="814" w:type="pct"/>
          </w:tcPr>
          <w:p w14:paraId="4FEF68E3" w14:textId="5636DA52"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المتغيرات الشخصية</w:t>
            </w:r>
          </w:p>
        </w:tc>
      </w:tr>
    </w:tbl>
    <w:p w14:paraId="57B5197D" w14:textId="539D8A07" w:rsidR="000F7ABC" w:rsidRPr="003849C3" w:rsidRDefault="005A111C" w:rsidP="005A5029">
      <w:pPr>
        <w:bidi/>
        <w:spacing w:after="0" w:line="240" w:lineRule="auto"/>
        <w:jc w:val="right"/>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إعداد/ الباحثة</w:t>
      </w:r>
    </w:p>
    <w:p w14:paraId="0E27CCF0" w14:textId="61C1EC4A" w:rsidR="00257F01" w:rsidRPr="003849C3" w:rsidRDefault="00257F01" w:rsidP="00322838">
      <w:pPr>
        <w:bidi/>
        <w:spacing w:after="0" w:line="240" w:lineRule="auto"/>
        <w:rPr>
          <w:rFonts w:ascii="Traditional Arabic" w:hAnsi="Traditional Arabic" w:cs="Traditional Arabic"/>
          <w:b/>
          <w:bCs/>
          <w:color w:val="1F497D" w:themeColor="text2"/>
          <w:sz w:val="24"/>
          <w:szCs w:val="24"/>
          <w:u w:val="single"/>
          <w:rtl/>
        </w:rPr>
      </w:pPr>
      <w:r w:rsidRPr="003849C3">
        <w:rPr>
          <w:rFonts w:ascii="Traditional Arabic" w:hAnsi="Traditional Arabic" w:cs="Traditional Arabic" w:hint="cs"/>
          <w:b/>
          <w:bCs/>
          <w:color w:val="00B0F0"/>
          <w:sz w:val="24"/>
          <w:szCs w:val="24"/>
          <w:u w:val="single"/>
          <w:rtl/>
        </w:rPr>
        <w:t>إجراءات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19351B93" w14:textId="7329301D" w:rsidR="00533AA9" w:rsidRPr="003849C3" w:rsidRDefault="00533AA9" w:rsidP="003235C8">
      <w:pPr>
        <w:bidi/>
        <w:spacing w:after="0" w:line="240"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منهج الدراسة:</w:t>
      </w:r>
    </w:p>
    <w:p w14:paraId="38E54C72" w14:textId="16F670B9" w:rsidR="00166680" w:rsidRPr="003849C3" w:rsidRDefault="00166680" w:rsidP="00EB5DC9">
      <w:pPr>
        <w:bidi/>
        <w:spacing w:after="200" w:line="360" w:lineRule="auto"/>
        <w:ind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تعتمد هذه الدراسة على المنهج الوصفي التحليلي، باعتباره الأنسب لفهم الظواهر الإدارية والسلوكية داخل المؤسسات الصحية، وتحليل العلاقات بين المتغيرات المدروسة. يهدف هذا المنهج إلى وصف واقع إدارة المخاطر وسلامة المرضى والقيادة التحويلية، ثم تحليل مدى تأثيرها المتبادل، مع التركيز على الدور الوسيط الذي تلعبه القيادة التحويلية في العلاقة بين إدارة المخاطر وسلامة المرضى</w:t>
      </w:r>
      <w:r w:rsidRPr="003849C3">
        <w:rPr>
          <w:rFonts w:ascii="Traditional Arabic" w:eastAsia="Calibri" w:hAnsi="Traditional Arabic" w:cs="Traditional Arabic" w:hint="cs"/>
          <w:sz w:val="24"/>
          <w:szCs w:val="24"/>
          <w:lang w:bidi="ar-EG"/>
        </w:rPr>
        <w:t>.</w:t>
      </w:r>
    </w:p>
    <w:p w14:paraId="5C708C65" w14:textId="64CCC076" w:rsidR="002548F5" w:rsidRPr="003849C3" w:rsidRDefault="002548F5" w:rsidP="00EB5DC9">
      <w:pPr>
        <w:bidi/>
        <w:spacing w:after="200" w:line="360" w:lineRule="auto"/>
        <w:ind w:firstLine="720"/>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وتستخدم المنهج الكمي من خلال تصميم استبانة مغلقة موجهة إلى العاملين في المرافق الصحية الحكومية، لجمع البيانات المتعلقة بأبعاد إدارة المخاطر (تحديد، تحليل، تقييم، استجابة)، وأبعاد القيادة التحويلية (التأثير المثالي، الإلهام، الاستثارة الفكرية، الاعتبارات الفردية، التمكين الإداري)، ومستوى سلامة المرضى</w:t>
      </w:r>
      <w:r w:rsidR="00260C64" w:rsidRPr="003849C3">
        <w:rPr>
          <w:rFonts w:ascii="Traditional Arabic" w:eastAsia="Calibri" w:hAnsi="Traditional Arabic" w:cs="Traditional Arabic" w:hint="cs"/>
          <w:sz w:val="24"/>
          <w:szCs w:val="24"/>
          <w:rtl/>
        </w:rPr>
        <w:t xml:space="preserve"> من خلال الأبعاد</w:t>
      </w:r>
      <w:r w:rsidR="00260C64" w:rsidRPr="003849C3">
        <w:rPr>
          <w:rFonts w:ascii="Traditional Arabic" w:eastAsia="Calibri" w:hAnsi="Traditional Arabic" w:cs="Traditional Arabic" w:hint="cs"/>
          <w:sz w:val="24"/>
          <w:szCs w:val="24"/>
          <w:rtl/>
          <w:lang w:bidi="ar-EG"/>
        </w:rPr>
        <w:t xml:space="preserve"> ( </w:t>
      </w:r>
      <w:r w:rsidR="00260C64" w:rsidRPr="003849C3">
        <w:rPr>
          <w:rFonts w:ascii="Traditional Arabic" w:eastAsia="Calibri" w:hAnsi="Traditional Arabic" w:cs="Traditional Arabic" w:hint="cs"/>
          <w:sz w:val="24"/>
          <w:szCs w:val="24"/>
          <w:rtl/>
        </w:rPr>
        <w:t>تقليل الأخطاء الطبية – فعالية أنظمة الإبلاغ – إشراك المرضى – بيئة العمل الآمنة – جودة الرعاية السريرية)، وإستمارة بيانات أولية.</w:t>
      </w:r>
    </w:p>
    <w:p w14:paraId="6C1FA1E1" w14:textId="223ECBBF" w:rsidR="00533AA9" w:rsidRPr="003849C3" w:rsidRDefault="00533AA9" w:rsidP="003235C8">
      <w:pPr>
        <w:bidi/>
        <w:spacing w:after="200" w:line="276"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مجتمع وعينة الدراسة:</w:t>
      </w:r>
    </w:p>
    <w:p w14:paraId="02E0CC71" w14:textId="2E2298EF" w:rsidR="003235C8" w:rsidRPr="003849C3" w:rsidRDefault="003235C8">
      <w:pPr>
        <w:pStyle w:val="ListParagraph"/>
        <w:numPr>
          <w:ilvl w:val="0"/>
          <w:numId w:val="1"/>
        </w:numPr>
        <w:bidi/>
        <w:spacing w:after="200" w:line="276" w:lineRule="auto"/>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مجتمع الدراسة:</w:t>
      </w:r>
    </w:p>
    <w:p w14:paraId="28E4DEBD" w14:textId="5BB44079" w:rsidR="005E367A" w:rsidRPr="003849C3" w:rsidRDefault="005E367A" w:rsidP="00EB5DC9">
      <w:pPr>
        <w:bidi/>
        <w:spacing w:after="200" w:line="360" w:lineRule="auto"/>
        <w:ind w:left="360" w:firstLine="720"/>
        <w:jc w:val="both"/>
        <w:rPr>
          <w:rFonts w:ascii="Traditional Arabic" w:hAnsi="Traditional Arabic" w:cs="Traditional Arabic"/>
          <w:b/>
          <w:bCs/>
          <w:color w:val="000000" w:themeColor="text1"/>
          <w:sz w:val="24"/>
          <w:szCs w:val="24"/>
        </w:rPr>
      </w:pPr>
      <w:r w:rsidRPr="003849C3">
        <w:rPr>
          <w:rFonts w:ascii="Traditional Arabic" w:eastAsia="Calibri" w:hAnsi="Traditional Arabic" w:cs="Traditional Arabic" w:hint="cs"/>
          <w:sz w:val="24"/>
          <w:szCs w:val="24"/>
          <w:rtl/>
          <w:lang w:bidi="ar-EG"/>
        </w:rPr>
        <w:t xml:space="preserve">يتكوّن مجتمع الدراسة من العاملين في المرافق الصحية الحكومية في المملكة العربية السعودية، والذين تشمل مهامهم الجوانب المتعلقة بإدارة المخاطر، والقيادة التحويلية،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سلامة المرضى. وبحسب الإحصاءات الصادرة عن وزارة الصحة السعودية لعام 2024، فإن عدد العاملين في هذه الفئة يتجاوز 15,000 موظفًا موزعين على مختلف المناطق الصحية، ويشمل ذلك الأطباء، الممرضين، مسؤولي الجودة، والمشرفين الإداريين والفنيين.</w:t>
      </w:r>
    </w:p>
    <w:p w14:paraId="5BC59B3A" w14:textId="356CC596" w:rsidR="003235C8" w:rsidRPr="003849C3" w:rsidRDefault="00E52459">
      <w:pPr>
        <w:pStyle w:val="ListParagraph"/>
        <w:numPr>
          <w:ilvl w:val="0"/>
          <w:numId w:val="1"/>
        </w:numPr>
        <w:bidi/>
        <w:spacing w:after="200" w:line="276" w:lineRule="auto"/>
        <w:rPr>
          <w:rFonts w:ascii="Traditional Arabic" w:hAnsi="Traditional Arabic" w:cs="Traditional Arabic"/>
          <w:b/>
          <w:bCs/>
          <w:color w:val="000000" w:themeColor="text1"/>
          <w:sz w:val="24"/>
          <w:szCs w:val="24"/>
        </w:rPr>
      </w:pPr>
      <w:r w:rsidRPr="003849C3">
        <w:rPr>
          <w:rFonts w:ascii="Traditional Arabic" w:hAnsi="Traditional Arabic" w:cs="Traditional Arabic" w:hint="cs"/>
          <w:b/>
          <w:bCs/>
          <w:color w:val="000000" w:themeColor="text1"/>
          <w:sz w:val="24"/>
          <w:szCs w:val="24"/>
          <w:rtl/>
        </w:rPr>
        <w:lastRenderedPageBreak/>
        <w:t>عينة الدراسة:</w:t>
      </w:r>
    </w:p>
    <w:p w14:paraId="63323A13" w14:textId="2F2A629C" w:rsidR="00BD5E87" w:rsidRPr="003849C3" w:rsidRDefault="00FF1D14" w:rsidP="00EB5DC9">
      <w:pPr>
        <w:bidi/>
        <w:spacing w:after="200" w:line="360" w:lineRule="auto"/>
        <w:ind w:left="360"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سيتم اختيار عينة الدراسة من مجتمع العاملين في المرافق الصحية الحكومية في المملكة العربية السعودية، ممن تشمل مهامهم الجوانب المتعلقة بإدارة المخاطر، </w:t>
      </w:r>
      <w:r w:rsidR="00BD5E87"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 xml:space="preserve">القيادة،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سلامة المرضى</w:t>
      </w:r>
      <w:r w:rsidR="00260C64"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وقد تم استخدام أسلوب العينة </w:t>
      </w:r>
      <w:r w:rsidR="006A74B5">
        <w:rPr>
          <w:rFonts w:ascii="Traditional Arabic" w:eastAsia="Calibri" w:hAnsi="Traditional Arabic" w:cs="Traditional Arabic" w:hint="cs"/>
          <w:sz w:val="24"/>
          <w:szCs w:val="24"/>
          <w:rtl/>
          <w:lang w:bidi="ar-EG"/>
        </w:rPr>
        <w:t>العشوائية</w:t>
      </w:r>
      <w:r w:rsidRPr="003849C3">
        <w:rPr>
          <w:rFonts w:ascii="Traditional Arabic" w:eastAsia="Calibri" w:hAnsi="Traditional Arabic" w:cs="Traditional Arabic" w:hint="cs"/>
          <w:sz w:val="24"/>
          <w:szCs w:val="24"/>
          <w:rtl/>
          <w:lang w:bidi="ar-EG"/>
        </w:rPr>
        <w:t xml:space="preserve"> الطبقية لضمان تمثيل الفئات المختلفة داخل المؤسسات الصحية</w:t>
      </w:r>
      <w:r w:rsidR="006B5F98" w:rsidRPr="003849C3">
        <w:rPr>
          <w:rFonts w:ascii="Traditional Arabic" w:eastAsia="Calibri" w:hAnsi="Traditional Arabic" w:cs="Traditional Arabic" w:hint="cs"/>
          <w:sz w:val="24"/>
          <w:szCs w:val="24"/>
          <w:rtl/>
          <w:lang w:bidi="ar-EG"/>
        </w:rPr>
        <w:t xml:space="preserve"> كما ورد بالدراسات السابقة</w:t>
      </w:r>
      <w:r w:rsidRPr="003849C3">
        <w:rPr>
          <w:rFonts w:ascii="Traditional Arabic" w:eastAsia="Calibri" w:hAnsi="Traditional Arabic" w:cs="Traditional Arabic" w:hint="cs"/>
          <w:sz w:val="24"/>
          <w:szCs w:val="24"/>
          <w:rtl/>
          <w:lang w:bidi="ar-EG"/>
        </w:rPr>
        <w:t>، مثل الأطباء، الممرضين، مسؤولي الجودة، والمشرفين الإداريين.</w:t>
      </w:r>
    </w:p>
    <w:p w14:paraId="010F94CD" w14:textId="05AD4208" w:rsidR="00F972C1" w:rsidRPr="002E232C" w:rsidRDefault="00F972C1" w:rsidP="00F972C1">
      <w:pPr>
        <w:bidi/>
        <w:spacing w:after="200" w:line="360" w:lineRule="auto"/>
        <w:ind w:firstLine="720"/>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تكونت العينة</w:t>
      </w:r>
      <w:r w:rsidRPr="002E232C">
        <w:rPr>
          <w:rFonts w:ascii="Traditional Arabic" w:hAnsi="Traditional Arabic" w:cs="Traditional Arabic" w:hint="cs"/>
          <w:color w:val="000000" w:themeColor="text1"/>
          <w:sz w:val="24"/>
          <w:szCs w:val="24"/>
          <w:rtl/>
        </w:rPr>
        <w:t xml:space="preserve">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7551EF3D" w14:textId="707DC6F0" w:rsidR="000A1E46" w:rsidRPr="003849C3" w:rsidRDefault="000A1E46" w:rsidP="000A1E46">
      <w:pPr>
        <w:bidi/>
        <w:spacing w:after="0" w:line="240"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حدود الدراسة: (المكانية ، الزمانية ، البشرية)</w:t>
      </w:r>
    </w:p>
    <w:p w14:paraId="75EFCC4D" w14:textId="77777777" w:rsidR="00494334" w:rsidRPr="003849C3" w:rsidRDefault="00494334" w:rsidP="00EB5DC9">
      <w:pPr>
        <w:bidi/>
        <w:spacing w:after="200" w:line="360" w:lineRule="auto"/>
        <w:ind w:firstLine="720"/>
        <w:jc w:val="both"/>
        <w:rPr>
          <w:rFonts w:ascii="Traditional Arabic" w:eastAsia="Calibri" w:hAnsi="Traditional Arabic" w:cs="Traditional Arabic"/>
          <w:sz w:val="24"/>
          <w:szCs w:val="24"/>
          <w:lang w:bidi="ar-EG"/>
        </w:rPr>
      </w:pPr>
      <w:bookmarkStart w:id="5" w:name="_Hlk197237034"/>
      <w:r w:rsidRPr="003849C3">
        <w:rPr>
          <w:rFonts w:ascii="Traditional Arabic" w:eastAsia="Calibri" w:hAnsi="Traditional Arabic" w:cs="Traditional Arabic" w:hint="cs"/>
          <w:sz w:val="24"/>
          <w:szCs w:val="24"/>
          <w:rtl/>
          <w:lang w:bidi="ar-EG"/>
        </w:rPr>
        <w:t>سيتم تنفيذ هذه الدراسة ضمن مجموعة من الحدود التي تفترضها طبيعة الدراسة، والمنهجية التي تم اتباعها لتحقيق أهدافها، ومجتمع الدراسة الذي تم تحديده لجمع بياناتها الأولية، وهذه الحدود هي:</w:t>
      </w:r>
    </w:p>
    <w:p w14:paraId="0B7DAB20" w14:textId="23A6CA6B"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الحدود الموضوعية:</w:t>
      </w:r>
      <w:r w:rsidRPr="003849C3">
        <w:rPr>
          <w:rFonts w:ascii="Traditional Arabic" w:eastAsia="Calibri" w:hAnsi="Traditional Arabic" w:cs="Traditional Arabic" w:hint="cs"/>
          <w:sz w:val="24"/>
          <w:szCs w:val="24"/>
          <w:rtl/>
          <w:lang w:bidi="ar-EG"/>
        </w:rPr>
        <w:t xml:space="preserve"> تقتصر هذه الدراسة على البحث في أثر القيادة التحويلية على إدارة المخاطر وسلامة المرضى.</w:t>
      </w:r>
    </w:p>
    <w:p w14:paraId="6F1A958E" w14:textId="77777777"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المكانية:</w:t>
      </w:r>
      <w:r w:rsidRPr="003849C3">
        <w:rPr>
          <w:rFonts w:ascii="Traditional Arabic" w:eastAsia="Calibri" w:hAnsi="Traditional Arabic" w:cs="Traditional Arabic" w:hint="cs"/>
          <w:sz w:val="24"/>
          <w:szCs w:val="24"/>
          <w:rtl/>
          <w:lang w:bidi="ar-EG"/>
        </w:rPr>
        <w:t xml:space="preserve"> يقتصر تنفيذ هذه الدراسة على مستشفيات المملكة العربية السعودية.</w:t>
      </w:r>
    </w:p>
    <w:p w14:paraId="69E86BDC" w14:textId="03B3FBE8"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البشرية:</w:t>
      </w:r>
      <w:r w:rsidRPr="003849C3">
        <w:rPr>
          <w:rFonts w:ascii="Traditional Arabic" w:eastAsia="Calibri" w:hAnsi="Traditional Arabic" w:cs="Traditional Arabic" w:hint="cs"/>
          <w:sz w:val="24"/>
          <w:szCs w:val="24"/>
          <w:rtl/>
          <w:lang w:bidi="ar-EG"/>
        </w:rPr>
        <w:t xml:space="preserve"> يقتصر تنفيذ هذه الدراسة على عينة من العاملين بمستشفيات المملكة العربية السعودية</w:t>
      </w:r>
      <w:r w:rsidR="005E367A" w:rsidRPr="003849C3">
        <w:rPr>
          <w:rFonts w:ascii="Traditional Arabic" w:eastAsia="Calibri" w:hAnsi="Traditional Arabic" w:cs="Traditional Arabic" w:hint="cs"/>
          <w:sz w:val="24"/>
          <w:szCs w:val="24"/>
          <w:rtl/>
          <w:lang w:bidi="ar-EG"/>
        </w:rPr>
        <w:t>.</w:t>
      </w:r>
    </w:p>
    <w:p w14:paraId="147EB9C1" w14:textId="35503285" w:rsidR="00494334" w:rsidRPr="003849C3" w:rsidRDefault="00494334">
      <w:pPr>
        <w:numPr>
          <w:ilvl w:val="0"/>
          <w:numId w:val="3"/>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الزمانية</w:t>
      </w:r>
      <w:r w:rsidRPr="003849C3">
        <w:rPr>
          <w:rFonts w:ascii="Traditional Arabic" w:eastAsia="Calibri" w:hAnsi="Traditional Arabic" w:cs="Traditional Arabic" w:hint="cs"/>
          <w:sz w:val="24"/>
          <w:szCs w:val="24"/>
          <w:rtl/>
          <w:lang w:bidi="ar-EG"/>
        </w:rPr>
        <w:t>: يتم تنفيذ هذه الدراسة خلال العام الميلادى  2025 و 2026</w:t>
      </w:r>
      <w:r w:rsidR="006308D3" w:rsidRPr="003849C3">
        <w:rPr>
          <w:rFonts w:ascii="Traditional Arabic" w:eastAsia="Calibri" w:hAnsi="Traditional Arabic" w:cs="Traditional Arabic" w:hint="cs"/>
          <w:sz w:val="24"/>
          <w:szCs w:val="24"/>
          <w:rtl/>
          <w:lang w:bidi="ar-EG"/>
        </w:rPr>
        <w:t xml:space="preserve"> .</w:t>
      </w:r>
    </w:p>
    <w:bookmarkEnd w:id="5"/>
    <w:p w14:paraId="54BD9CFC" w14:textId="7A731100" w:rsidR="007F4183" w:rsidRPr="003849C3" w:rsidRDefault="007F4183" w:rsidP="000A1E46">
      <w:pPr>
        <w:bidi/>
        <w:spacing w:after="200" w:line="276"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وسائل جمع بيانات الدراسة:</w:t>
      </w:r>
    </w:p>
    <w:p w14:paraId="589C4996" w14:textId="02EAE398" w:rsidR="00883E09" w:rsidRPr="003849C3" w:rsidRDefault="005E367A" w:rsidP="004B3F0D">
      <w:pPr>
        <w:bidi/>
        <w:spacing w:after="0" w:line="360" w:lineRule="auto"/>
        <w:jc w:val="both"/>
        <w:rPr>
          <w:rFonts w:ascii="Traditional Arabic" w:hAnsi="Traditional Arabic" w:cs="Traditional Arabic"/>
          <w:color w:val="000000" w:themeColor="text1"/>
          <w:sz w:val="24"/>
          <w:szCs w:val="24"/>
          <w:rtl/>
        </w:rPr>
      </w:pPr>
      <w:r w:rsidRPr="003849C3">
        <w:rPr>
          <w:rFonts w:ascii="Traditional Arabic" w:hAnsi="Traditional Arabic" w:cs="Traditional Arabic" w:hint="cs"/>
          <w:color w:val="000000" w:themeColor="text1"/>
          <w:sz w:val="24"/>
          <w:szCs w:val="24"/>
          <w:rtl/>
        </w:rPr>
        <w:t>تعتمد الدراسة على الاستبانة المغلقة كأداة رئيسية لجمع البيانات، لقياس المتغيرات بشكل كمي صحيح ، سيتم تصميم الإستبانة على الأطر النظرية والمعرفية لكل من ( إدارة المخاطر ، والقيادة التحويلية ، وسلامة المرضى) ، وسيت توزيع الاستبانة بشكل ورقي مباشر في بعض المستشفيات والمراكز الصحية.</w:t>
      </w:r>
    </w:p>
    <w:p w14:paraId="3677ABF6" w14:textId="20C0F759" w:rsidR="003B7B0C" w:rsidRPr="003849C3" w:rsidRDefault="003B7B0C" w:rsidP="004B3F0D">
      <w:pPr>
        <w:bidi/>
        <w:spacing w:after="0" w:line="360" w:lineRule="auto"/>
        <w:rPr>
          <w:rFonts w:ascii="Traditional Arabic" w:hAnsi="Traditional Arabic" w:cs="Traditional Arabic"/>
          <w:sz w:val="24"/>
          <w:szCs w:val="24"/>
          <w:rtl/>
        </w:rPr>
      </w:pPr>
      <w:r w:rsidRPr="003849C3">
        <w:rPr>
          <w:rFonts w:ascii="Traditional Arabic" w:hAnsi="Traditional Arabic" w:cs="Traditional Arabic" w:hint="cs"/>
          <w:sz w:val="24"/>
          <w:szCs w:val="24"/>
          <w:rtl/>
        </w:rPr>
        <w:t>كما سيتم التأكد من صدق</w:t>
      </w:r>
      <w:r w:rsidRPr="003849C3">
        <w:rPr>
          <w:rFonts w:ascii="Traditional Arabic" w:hAnsi="Traditional Arabic" w:cs="Traditional Arabic" w:hint="cs"/>
          <w:b/>
          <w:bCs/>
          <w:sz w:val="24"/>
          <w:szCs w:val="24"/>
          <w:rtl/>
        </w:rPr>
        <w:t xml:space="preserve"> </w:t>
      </w:r>
      <w:r w:rsidRPr="003849C3">
        <w:rPr>
          <w:rFonts w:ascii="Traditional Arabic" w:hAnsi="Traditional Arabic" w:cs="Traditional Arabic" w:hint="cs"/>
          <w:sz w:val="24"/>
          <w:szCs w:val="24"/>
          <w:rtl/>
        </w:rPr>
        <w:t>الأداة من خلال عرضها على مجموعة من المحكمين المتخصصين في الإدارة الصحية، وقياس ثباتها باستخدام معامل كرونباخ ألفا، لضمان موثوقية النتائج</w:t>
      </w:r>
      <w:r w:rsidRPr="003849C3">
        <w:rPr>
          <w:rFonts w:ascii="Traditional Arabic" w:hAnsi="Traditional Arabic" w:cs="Traditional Arabic" w:hint="cs"/>
          <w:sz w:val="24"/>
          <w:szCs w:val="24"/>
        </w:rPr>
        <w:t>.</w:t>
      </w:r>
    </w:p>
    <w:p w14:paraId="08319A4A" w14:textId="77777777" w:rsidR="002940F0" w:rsidRDefault="002940F0" w:rsidP="00C61182">
      <w:pPr>
        <w:bidi/>
        <w:spacing w:after="200" w:line="276" w:lineRule="auto"/>
        <w:rPr>
          <w:rFonts w:ascii="Traditional Arabic" w:hAnsi="Traditional Arabic" w:cs="Traditional Arabic"/>
          <w:b/>
          <w:bCs/>
          <w:color w:val="00B0F0"/>
          <w:sz w:val="24"/>
          <w:szCs w:val="24"/>
          <w:u w:val="single"/>
          <w:rtl/>
        </w:rPr>
      </w:pPr>
    </w:p>
    <w:p w14:paraId="2770DAC6" w14:textId="6A20D253" w:rsidR="00C61182" w:rsidRPr="003849C3" w:rsidRDefault="00A72E29" w:rsidP="002940F0">
      <w:pPr>
        <w:bidi/>
        <w:spacing w:after="200" w:line="276" w:lineRule="auto"/>
        <w:rPr>
          <w:rFonts w:ascii="Traditional Arabic" w:hAnsi="Traditional Arabic" w:cs="Traditional Arabic"/>
          <w:b/>
          <w:bCs/>
          <w:color w:val="00B0F0"/>
          <w:sz w:val="24"/>
          <w:szCs w:val="24"/>
          <w:u w:val="single"/>
          <w:rtl/>
        </w:rPr>
      </w:pPr>
      <w:r>
        <w:rPr>
          <w:rFonts w:ascii="Traditional Arabic" w:hAnsi="Traditional Arabic" w:cs="Traditional Arabic" w:hint="cs"/>
          <w:b/>
          <w:bCs/>
          <w:color w:val="00B0F0"/>
          <w:sz w:val="24"/>
          <w:szCs w:val="24"/>
          <w:u w:val="single"/>
          <w:rtl/>
        </w:rPr>
        <w:lastRenderedPageBreak/>
        <w:t>الأساليب</w:t>
      </w:r>
      <w:r w:rsidR="00C61182" w:rsidRPr="003849C3">
        <w:rPr>
          <w:rFonts w:ascii="Traditional Arabic" w:hAnsi="Traditional Arabic" w:cs="Traditional Arabic" w:hint="cs"/>
          <w:b/>
          <w:bCs/>
          <w:color w:val="00B0F0"/>
          <w:sz w:val="24"/>
          <w:szCs w:val="24"/>
          <w:u w:val="single"/>
          <w:rtl/>
        </w:rPr>
        <w:t xml:space="preserve"> الإحصائية  </w:t>
      </w:r>
      <w:r>
        <w:rPr>
          <w:rFonts w:ascii="Traditional Arabic" w:hAnsi="Traditional Arabic" w:cs="Traditional Arabic" w:hint="cs"/>
          <w:b/>
          <w:bCs/>
          <w:color w:val="00B0F0"/>
          <w:sz w:val="24"/>
          <w:szCs w:val="24"/>
          <w:u w:val="single"/>
          <w:rtl/>
        </w:rPr>
        <w:t>المستخدمة</w:t>
      </w:r>
      <w:r w:rsidR="00C61182" w:rsidRPr="003849C3">
        <w:rPr>
          <w:rFonts w:ascii="Traditional Arabic" w:hAnsi="Traditional Arabic" w:cs="Traditional Arabic" w:hint="cs"/>
          <w:b/>
          <w:bCs/>
          <w:color w:val="00B0F0"/>
          <w:sz w:val="24"/>
          <w:szCs w:val="24"/>
          <w:u w:val="single"/>
          <w:rtl/>
        </w:rPr>
        <w:t>:</w:t>
      </w:r>
    </w:p>
    <w:p w14:paraId="4355A86A" w14:textId="3E27C73C" w:rsidR="00130980" w:rsidRPr="0044090C" w:rsidRDefault="00130980">
      <w:pPr>
        <w:pStyle w:val="ListParagraph"/>
        <w:numPr>
          <w:ilvl w:val="0"/>
          <w:numId w:val="41"/>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معامل ألفا كرونباخ</w:t>
      </w:r>
      <w:r w:rsidRPr="0044090C">
        <w:rPr>
          <w:rFonts w:ascii="Traditional Arabic" w:hAnsi="Traditional Arabic" w:cs="Traditional Arabic"/>
          <w:color w:val="000000" w:themeColor="text1"/>
          <w:sz w:val="24"/>
          <w:szCs w:val="24"/>
        </w:rPr>
        <w:t xml:space="preserve"> (Cronbach’s Alpha): </w:t>
      </w:r>
      <w:r w:rsidRPr="0044090C">
        <w:rPr>
          <w:rFonts w:ascii="Traditional Arabic" w:hAnsi="Traditional Arabic" w:cs="Traditional Arabic"/>
          <w:color w:val="000000" w:themeColor="text1"/>
          <w:sz w:val="24"/>
          <w:szCs w:val="24"/>
          <w:rtl/>
        </w:rPr>
        <w:t>لقياس ثبات الأداة والاتساق الداخلي للعبارات</w:t>
      </w:r>
      <w:r w:rsidRPr="0044090C">
        <w:rPr>
          <w:rFonts w:ascii="Traditional Arabic" w:hAnsi="Traditional Arabic" w:cs="Traditional Arabic"/>
          <w:color w:val="000000" w:themeColor="text1"/>
          <w:sz w:val="24"/>
          <w:szCs w:val="24"/>
        </w:rPr>
        <w:t>.</w:t>
      </w:r>
    </w:p>
    <w:p w14:paraId="482ABAAE" w14:textId="135E094C" w:rsidR="00130980" w:rsidRPr="0044090C" w:rsidRDefault="00130980">
      <w:pPr>
        <w:pStyle w:val="ListParagraph"/>
        <w:numPr>
          <w:ilvl w:val="0"/>
          <w:numId w:val="41"/>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معامل ارتباط بيرسون للصدق الداخلي</w:t>
      </w:r>
      <w:r w:rsidRPr="0044090C">
        <w:rPr>
          <w:rFonts w:ascii="Traditional Arabic" w:hAnsi="Traditional Arabic" w:cs="Traditional Arabic"/>
          <w:color w:val="000000" w:themeColor="text1"/>
          <w:sz w:val="24"/>
          <w:szCs w:val="24"/>
        </w:rPr>
        <w:t xml:space="preserve">: </w:t>
      </w:r>
      <w:r w:rsidRPr="0044090C">
        <w:rPr>
          <w:rFonts w:ascii="Traditional Arabic" w:hAnsi="Traditional Arabic" w:cs="Traditional Arabic"/>
          <w:color w:val="000000" w:themeColor="text1"/>
          <w:sz w:val="24"/>
          <w:szCs w:val="24"/>
          <w:rtl/>
        </w:rPr>
        <w:t>لقياس قوة علاقة العبارات بالدرجة الكلية لمحورها</w:t>
      </w:r>
      <w:r w:rsidRPr="0044090C">
        <w:rPr>
          <w:rFonts w:ascii="Traditional Arabic" w:hAnsi="Traditional Arabic" w:cs="Traditional Arabic"/>
          <w:color w:val="000000" w:themeColor="text1"/>
          <w:sz w:val="24"/>
          <w:szCs w:val="24"/>
        </w:rPr>
        <w:t>.</w:t>
      </w:r>
    </w:p>
    <w:p w14:paraId="3C4A0FDC" w14:textId="70676999" w:rsidR="00130980" w:rsidRPr="0044090C" w:rsidRDefault="00130980">
      <w:pPr>
        <w:pStyle w:val="ListParagraph"/>
        <w:numPr>
          <w:ilvl w:val="0"/>
          <w:numId w:val="41"/>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الانحدار الخطي البسيط</w:t>
      </w:r>
      <w:r w:rsidRPr="0044090C">
        <w:rPr>
          <w:rFonts w:ascii="Traditional Arabic" w:hAnsi="Traditional Arabic" w:cs="Traditional Arabic"/>
          <w:color w:val="000000" w:themeColor="text1"/>
          <w:sz w:val="24"/>
          <w:szCs w:val="24"/>
        </w:rPr>
        <w:t xml:space="preserve"> (Simple Regression): </w:t>
      </w:r>
      <w:r w:rsidRPr="0044090C">
        <w:rPr>
          <w:rFonts w:ascii="Traditional Arabic" w:hAnsi="Traditional Arabic" w:cs="Traditional Arabic"/>
          <w:color w:val="000000" w:themeColor="text1"/>
          <w:sz w:val="24"/>
          <w:szCs w:val="24"/>
          <w:rtl/>
        </w:rPr>
        <w:t>لتحليل أثر إدارة المخاطر والقيادة على سلامة المرضى</w:t>
      </w:r>
      <w:r w:rsidRPr="0044090C">
        <w:rPr>
          <w:rFonts w:ascii="Traditional Arabic" w:hAnsi="Traditional Arabic" w:cs="Traditional Arabic"/>
          <w:color w:val="000000" w:themeColor="text1"/>
          <w:sz w:val="24"/>
          <w:szCs w:val="24"/>
        </w:rPr>
        <w:t>.</w:t>
      </w:r>
    </w:p>
    <w:p w14:paraId="4212498D" w14:textId="69FB6E2A" w:rsidR="007F6932" w:rsidRPr="009F09CE" w:rsidRDefault="007F6932">
      <w:pPr>
        <w:pStyle w:val="ListParagraph"/>
        <w:numPr>
          <w:ilvl w:val="0"/>
          <w:numId w:val="41"/>
        </w:numPr>
        <w:bidi/>
        <w:spacing w:after="200" w:line="360" w:lineRule="auto"/>
        <w:rPr>
          <w:rFonts w:ascii="Traditional Arabic" w:hAnsi="Traditional Arabic" w:cs="Traditional Arabic"/>
          <w:color w:val="000000" w:themeColor="text1"/>
          <w:sz w:val="24"/>
          <w:szCs w:val="24"/>
        </w:rPr>
      </w:pPr>
      <w:r w:rsidRPr="009F09CE">
        <w:rPr>
          <w:rFonts w:ascii="Traditional Arabic" w:hAnsi="Traditional Arabic" w:cs="Traditional Arabic"/>
          <w:color w:val="000000" w:themeColor="text1"/>
          <w:sz w:val="24"/>
          <w:szCs w:val="24"/>
          <w:highlight w:val="yellow"/>
          <w:rtl/>
        </w:rPr>
        <w:t>نمذجة المعادلات الهيكلية</w:t>
      </w:r>
      <w:r w:rsidRPr="009F09CE">
        <w:rPr>
          <w:rFonts w:ascii="Traditional Arabic" w:hAnsi="Traditional Arabic" w:cs="Traditional Arabic"/>
          <w:color w:val="000000" w:themeColor="text1"/>
          <w:sz w:val="24"/>
          <w:szCs w:val="24"/>
          <w:highlight w:val="yellow"/>
        </w:rPr>
        <w:t xml:space="preserve"> (Structural Equation Modeling - SEM): </w:t>
      </w:r>
      <w:r w:rsidRPr="009F09CE">
        <w:rPr>
          <w:rFonts w:ascii="Traditional Arabic" w:hAnsi="Traditional Arabic" w:cs="Traditional Arabic"/>
          <w:color w:val="000000" w:themeColor="text1"/>
          <w:sz w:val="24"/>
          <w:szCs w:val="24"/>
          <w:highlight w:val="yellow"/>
          <w:rtl/>
        </w:rPr>
        <w:t xml:space="preserve">عبر برنامج </w:t>
      </w:r>
      <w:r w:rsidRPr="009F09CE">
        <w:rPr>
          <w:rFonts w:ascii="Traditional Arabic" w:hAnsi="Traditional Arabic" w:cs="Traditional Arabic"/>
          <w:color w:val="000000" w:themeColor="text1"/>
          <w:sz w:val="24"/>
          <w:szCs w:val="24"/>
          <w:highlight w:val="yellow"/>
        </w:rPr>
        <w:t>AMOS</w:t>
      </w:r>
      <w:r w:rsidRPr="009F09CE">
        <w:rPr>
          <w:rFonts w:ascii="Traditional Arabic" w:hAnsi="Traditional Arabic" w:cs="Traditional Arabic"/>
          <w:color w:val="000000" w:themeColor="text1"/>
          <w:sz w:val="24"/>
          <w:szCs w:val="24"/>
          <w:highlight w:val="yellow"/>
          <w:rtl/>
        </w:rPr>
        <w:t xml:space="preserve">، </w:t>
      </w:r>
      <w:r w:rsidR="009F09CE">
        <w:rPr>
          <w:rFonts w:ascii="Traditional Arabic" w:hAnsi="Traditional Arabic" w:cs="Traditional Arabic" w:hint="cs"/>
          <w:color w:val="000000" w:themeColor="text1"/>
          <w:sz w:val="24"/>
          <w:szCs w:val="24"/>
          <w:highlight w:val="yellow"/>
          <w:rtl/>
        </w:rPr>
        <w:t>و</w:t>
      </w:r>
      <w:r w:rsidRPr="009F09CE">
        <w:rPr>
          <w:rFonts w:ascii="Traditional Arabic" w:hAnsi="Traditional Arabic" w:cs="Traditional Arabic"/>
          <w:color w:val="000000" w:themeColor="text1"/>
          <w:sz w:val="24"/>
          <w:szCs w:val="24"/>
          <w:highlight w:val="yellow"/>
          <w:rtl/>
        </w:rPr>
        <w:t>تحليل المسار</w:t>
      </w:r>
      <w:r w:rsidRPr="009F09CE">
        <w:rPr>
          <w:rFonts w:ascii="Traditional Arabic" w:hAnsi="Traditional Arabic" w:cs="Traditional Arabic"/>
          <w:color w:val="000000" w:themeColor="text1"/>
          <w:sz w:val="24"/>
          <w:szCs w:val="24"/>
          <w:highlight w:val="yellow"/>
        </w:rPr>
        <w:t xml:space="preserve"> (Path Analysis)</w:t>
      </w:r>
      <w:r w:rsidRPr="009F09CE">
        <w:rPr>
          <w:rFonts w:ascii="Traditional Arabic" w:hAnsi="Traditional Arabic" w:cs="Traditional Arabic"/>
          <w:color w:val="000000" w:themeColor="text1"/>
          <w:sz w:val="24"/>
          <w:szCs w:val="24"/>
          <w:highlight w:val="yellow"/>
          <w:rtl/>
        </w:rPr>
        <w:t>؛ لاختبار الأثر غير المباشر (الفرضية الرابعة)</w:t>
      </w:r>
      <w:r w:rsidRPr="009F09CE">
        <w:rPr>
          <w:rFonts w:ascii="Traditional Arabic" w:hAnsi="Traditional Arabic" w:cs="Traditional Arabic"/>
          <w:color w:val="000000" w:themeColor="text1"/>
          <w:sz w:val="24"/>
          <w:szCs w:val="24"/>
          <w:highlight w:val="yellow"/>
        </w:rPr>
        <w:t>.</w:t>
      </w:r>
    </w:p>
    <w:p w14:paraId="78D1E3C1" w14:textId="68CAAB16" w:rsidR="00130980" w:rsidRPr="0044090C" w:rsidRDefault="00130980">
      <w:pPr>
        <w:pStyle w:val="ListParagraph"/>
        <w:numPr>
          <w:ilvl w:val="0"/>
          <w:numId w:val="41"/>
        </w:numPr>
        <w:bidi/>
        <w:spacing w:after="200" w:line="360" w:lineRule="auto"/>
        <w:rPr>
          <w:rFonts w:ascii="Traditional Arabic" w:hAnsi="Traditional Arabic" w:cs="Traditional Arabic"/>
          <w:color w:val="000000" w:themeColor="text1"/>
          <w:sz w:val="24"/>
          <w:szCs w:val="24"/>
        </w:rPr>
      </w:pPr>
      <w:r w:rsidRPr="0044090C">
        <w:rPr>
          <w:rFonts w:ascii="Traditional Arabic" w:hAnsi="Traditional Arabic" w:cs="Traditional Arabic"/>
          <w:color w:val="000000" w:themeColor="text1"/>
          <w:sz w:val="24"/>
          <w:szCs w:val="24"/>
          <w:rtl/>
        </w:rPr>
        <w:t>اختبار ت للمجموعات المستقلة</w:t>
      </w:r>
      <w:r w:rsidRPr="0044090C">
        <w:rPr>
          <w:rFonts w:ascii="Traditional Arabic" w:hAnsi="Traditional Arabic" w:cs="Traditional Arabic"/>
          <w:color w:val="000000" w:themeColor="text1"/>
          <w:sz w:val="24"/>
          <w:szCs w:val="24"/>
        </w:rPr>
        <w:t xml:space="preserve"> (T-test): </w:t>
      </w:r>
      <w:r w:rsidRPr="0044090C">
        <w:rPr>
          <w:rFonts w:ascii="Traditional Arabic" w:hAnsi="Traditional Arabic" w:cs="Traditional Arabic"/>
          <w:color w:val="000000" w:themeColor="text1"/>
          <w:sz w:val="24"/>
          <w:szCs w:val="24"/>
          <w:rtl/>
        </w:rPr>
        <w:t>للكشف عن الفروق الإحصائية التي تعزى لمتغير النوع</w:t>
      </w:r>
      <w:r w:rsidRPr="0044090C">
        <w:rPr>
          <w:rFonts w:ascii="Traditional Arabic" w:hAnsi="Traditional Arabic" w:cs="Traditional Arabic"/>
          <w:color w:val="000000" w:themeColor="text1"/>
          <w:sz w:val="24"/>
          <w:szCs w:val="24"/>
        </w:rPr>
        <w:t>.</w:t>
      </w:r>
    </w:p>
    <w:p w14:paraId="718879E4" w14:textId="42DEC265" w:rsidR="00AB48A3" w:rsidRPr="0044090C" w:rsidRDefault="00130980">
      <w:pPr>
        <w:pStyle w:val="ListParagraph"/>
        <w:numPr>
          <w:ilvl w:val="0"/>
          <w:numId w:val="41"/>
        </w:numPr>
        <w:bidi/>
        <w:spacing w:after="200" w:line="360" w:lineRule="auto"/>
        <w:rPr>
          <w:rFonts w:ascii="Traditional Arabic" w:hAnsi="Traditional Arabic" w:cs="Traditional Arabic"/>
          <w:color w:val="000000" w:themeColor="text1"/>
          <w:sz w:val="24"/>
          <w:szCs w:val="24"/>
          <w:rtl/>
        </w:rPr>
        <w:sectPr w:rsidR="00AB48A3" w:rsidRPr="0044090C" w:rsidSect="00EB5DC9">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r w:rsidRPr="0044090C">
        <w:rPr>
          <w:rFonts w:ascii="Traditional Arabic" w:hAnsi="Traditional Arabic" w:cs="Traditional Arabic"/>
          <w:color w:val="000000" w:themeColor="text1"/>
          <w:sz w:val="24"/>
          <w:szCs w:val="24"/>
          <w:rtl/>
        </w:rPr>
        <w:t>تحليل التباين الأحادي</w:t>
      </w:r>
      <w:r w:rsidRPr="0044090C">
        <w:rPr>
          <w:rFonts w:ascii="Traditional Arabic" w:hAnsi="Traditional Arabic" w:cs="Traditional Arabic"/>
          <w:color w:val="000000" w:themeColor="text1"/>
          <w:sz w:val="24"/>
          <w:szCs w:val="24"/>
        </w:rPr>
        <w:t xml:space="preserve"> (One-Way ANOVA): </w:t>
      </w:r>
      <w:r w:rsidRPr="0044090C">
        <w:rPr>
          <w:rFonts w:ascii="Traditional Arabic" w:hAnsi="Traditional Arabic" w:cs="Traditional Arabic"/>
          <w:color w:val="000000" w:themeColor="text1"/>
          <w:sz w:val="24"/>
          <w:szCs w:val="24"/>
          <w:rtl/>
        </w:rPr>
        <w:t>للكشف عن الفروق تعزى للمؤهل والوظيفة والخبرة</w:t>
      </w:r>
      <w:r w:rsidRPr="0044090C">
        <w:rPr>
          <w:rFonts w:ascii="Traditional Arabic" w:hAnsi="Traditional Arabic" w:cs="Traditional Arabic"/>
          <w:color w:val="000000" w:themeColor="text1"/>
          <w:sz w:val="24"/>
          <w:szCs w:val="24"/>
        </w:rPr>
        <w:t>.</w:t>
      </w:r>
    </w:p>
    <w:p w14:paraId="5AAAA5AF" w14:textId="77777777" w:rsidR="00A21099" w:rsidRDefault="00A21099" w:rsidP="00A21099">
      <w:pPr>
        <w:bidi/>
        <w:spacing w:after="200" w:line="240" w:lineRule="auto"/>
        <w:rPr>
          <w:rFonts w:ascii="Simplified Arabic" w:hAnsi="Simplified Arabic" w:cs="Simplified Arabic"/>
          <w:color w:val="000000" w:themeColor="text1"/>
          <w:sz w:val="28"/>
          <w:szCs w:val="28"/>
          <w:rtl/>
          <w:lang w:bidi="ar-EG"/>
        </w:rPr>
      </w:pPr>
    </w:p>
    <w:p w14:paraId="0DBBF35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E2B9251"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0E3D6F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7D450E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0647E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B33C5A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68A25B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5EAAAB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96AAF2C" w14:textId="629F5DF9" w:rsidR="00A21099" w:rsidRPr="00E33DEA" w:rsidRDefault="00E33DEA" w:rsidP="00E33DEA">
      <w:pPr>
        <w:bidi/>
        <w:spacing w:after="200" w:line="240" w:lineRule="auto"/>
        <w:jc w:val="center"/>
        <w:rPr>
          <w:rFonts w:ascii="Traditional Arabic" w:hAnsi="Traditional Arabic" w:cs="Traditional Arabic"/>
          <w:color w:val="000000" w:themeColor="text1"/>
          <w:sz w:val="144"/>
          <w:szCs w:val="144"/>
          <w:rtl/>
        </w:rPr>
      </w:pPr>
      <w:r w:rsidRPr="00E33DEA">
        <w:rPr>
          <w:rFonts w:ascii="Traditional Arabic" w:hAnsi="Traditional Arabic" w:cs="Traditional Arabic" w:hint="cs"/>
          <w:color w:val="000000" w:themeColor="text1"/>
          <w:sz w:val="144"/>
          <w:szCs w:val="144"/>
          <w:rtl/>
        </w:rPr>
        <w:t>الفصل الثاني</w:t>
      </w:r>
    </w:p>
    <w:p w14:paraId="069B0DA8"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1E088C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07A306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E30B05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C92F60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B902E3" w14:textId="77777777" w:rsidR="00E33DEA" w:rsidRDefault="00E33DEA" w:rsidP="007E2994">
      <w:pPr>
        <w:bidi/>
        <w:spacing w:after="200" w:line="360" w:lineRule="auto"/>
        <w:jc w:val="both"/>
        <w:rPr>
          <w:rFonts w:ascii="Simplified Arabic" w:eastAsia="Calibri" w:hAnsi="Simplified Arabic" w:cs="Times New Roman"/>
          <w:b/>
          <w:bCs/>
          <w:sz w:val="28"/>
          <w:szCs w:val="28"/>
          <w:rtl/>
          <w:lang w:bidi="ar-EG"/>
        </w:rPr>
        <w:sectPr w:rsidR="00E33DEA" w:rsidSect="00E33DEA">
          <w:footerReference w:type="first" r:id="rId16"/>
          <w:pgSz w:w="11906" w:h="16838"/>
          <w:pgMar w:top="1440" w:right="1800" w:bottom="1440" w:left="1800" w:header="708" w:footer="708" w:gutter="0"/>
          <w:pgNumType w:start="0"/>
          <w:cols w:space="708"/>
          <w:titlePg/>
          <w:bidi/>
          <w:rtlGutter/>
          <w:docGrid w:linePitch="360"/>
        </w:sectPr>
      </w:pPr>
    </w:p>
    <w:p w14:paraId="125CFA42" w14:textId="158CB852" w:rsidR="00494334" w:rsidRPr="00263F0F" w:rsidRDefault="00494334" w:rsidP="00A44ABC">
      <w:pPr>
        <w:bidi/>
        <w:spacing w:after="200" w:line="360" w:lineRule="auto"/>
        <w:jc w:val="both"/>
        <w:rPr>
          <w:rFonts w:ascii="Traditional Arabic" w:eastAsia="Calibri" w:hAnsi="Traditional Arabic" w:cs="Traditional Arabic"/>
          <w:b/>
          <w:bCs/>
          <w:sz w:val="28"/>
          <w:szCs w:val="28"/>
          <w:rtl/>
          <w:lang w:bidi="ar-EG"/>
        </w:rPr>
      </w:pPr>
      <w:r w:rsidRPr="00263F0F">
        <w:rPr>
          <w:rFonts w:ascii="Traditional Arabic" w:eastAsia="Calibri" w:hAnsi="Traditional Arabic" w:cs="Traditional Arabic" w:hint="cs"/>
          <w:b/>
          <w:bCs/>
          <w:sz w:val="28"/>
          <w:szCs w:val="28"/>
          <w:rtl/>
          <w:lang w:bidi="ar-EG"/>
        </w:rPr>
        <w:lastRenderedPageBreak/>
        <w:t>تمهيد:</w:t>
      </w:r>
    </w:p>
    <w:p w14:paraId="1925E08E"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في ظل التحديات المتزايدة التي تواجه النظم الصحية الحديثة، تبرز سلامة المرضى كأحد المحاور الجوهرية لضمان جودة الرعاية الصحية واستدامتها. إذ تُعد سلامة المرضى معيارًا حاسمًا في تقييم كفاءة المرافق الصحية، لا سيما في البيئات الحكومية التي تتحمل العبء الأكبر من تقديم الخدمات الصحية للمجتمع. ومن هذا المنطلق، أصبحت إدارة المخاطر الصحية أداة استراتيجية لا غنى عنها في تعزيز بيئة آمنة للمرضى، من خلال الحد من الأخطاء الطبية، وتحسين الإجراءات الوقائية، وتفعيل الاستجابة الفعالة للحوادث</w:t>
      </w:r>
      <w:r w:rsidRPr="00263F0F">
        <w:rPr>
          <w:rFonts w:ascii="Traditional Arabic" w:hAnsi="Traditional Arabic" w:cs="Traditional Arabic" w:hint="cs"/>
          <w:sz w:val="24"/>
          <w:szCs w:val="24"/>
          <w:lang w:bidi="ar-EG"/>
        </w:rPr>
        <w:t>.</w:t>
      </w:r>
    </w:p>
    <w:p w14:paraId="5D246C25"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ومع ذلك، فإن فعالية إدارة المخاطر لا تعتمد فقط على السياسات والإجراءات، بل تتأثر أيضًا بالأنماط القيادية السائدة داخل المؤسسات الصحية. وهنا تبرز القيادة التحويلية كنموذج قيادي قادر على إحداث تغيير إيجابي في الثقافة التنظيمية، وتحفيز العاملين نحو الالتزام بمعايير السلامة، وتبني ممارسات إدارة المخاطر بشكل أكثر فاعلية. فالقيادة التحويلية، بما تتسم به من رؤية مستقبلية، وتمكين للفرق، وتركيز على الابتكار، قد تلعب دورًا وسيطًا في تعزيز العلاقة بين إدارة المخاطر وسلامة المرضى</w:t>
      </w:r>
      <w:r w:rsidRPr="00263F0F">
        <w:rPr>
          <w:rFonts w:ascii="Traditional Arabic" w:hAnsi="Traditional Arabic" w:cs="Traditional Arabic" w:hint="cs"/>
          <w:sz w:val="24"/>
          <w:szCs w:val="24"/>
          <w:lang w:bidi="ar-EG"/>
        </w:rPr>
        <w:t>.</w:t>
      </w:r>
    </w:p>
    <w:p w14:paraId="5955A8FF" w14:textId="77777777" w:rsidR="001407E6" w:rsidRPr="00AF4242" w:rsidRDefault="001407E6" w:rsidP="00AF4242">
      <w:pPr>
        <w:bidi/>
        <w:spacing w:after="200" w:line="360" w:lineRule="auto"/>
        <w:ind w:left="360" w:firstLine="720"/>
        <w:contextualSpacing/>
        <w:jc w:val="both"/>
        <w:rPr>
          <w:rFonts w:ascii="Traditional Arabic" w:hAnsi="Traditional Arabic" w:cs="Traditional Arabic"/>
          <w:sz w:val="24"/>
          <w:szCs w:val="24"/>
          <w:lang w:bidi="ar-EG"/>
        </w:rPr>
      </w:pPr>
      <w:r w:rsidRPr="00AF4242">
        <w:rPr>
          <w:rFonts w:ascii="Traditional Arabic" w:hAnsi="Traditional Arabic" w:cs="Traditional Arabic" w:hint="cs"/>
          <w:sz w:val="24"/>
          <w:szCs w:val="24"/>
          <w:rtl/>
        </w:rPr>
        <w:t>بناءً على ذلك، تهدف هذه الدراسة الميدانية إلى تحليل تأثير إدارة المخاطر على سلامة المرضى في المرافق الصحية الحكومية بالمملكة العربية السعودية، مع استكشاف الدور الوسيط الذي تلعبه القيادة التحويلية في هذه العلاقة. وتأتي هذه الدراسة في سياق الحاجة الملحة لفهم العوامل التنظيمية المؤثرة في جودة الرعاية الصحية، وتقديم توصيات عملية تسهم في تطوير السياسات الصحية الوطنية وتحسين الأداء المؤسسي</w:t>
      </w:r>
      <w:r w:rsidRPr="00AF4242">
        <w:rPr>
          <w:rFonts w:ascii="Traditional Arabic" w:hAnsi="Traditional Arabic" w:cs="Traditional Arabic" w:hint="cs"/>
          <w:sz w:val="24"/>
          <w:szCs w:val="24"/>
          <w:lang w:bidi="ar-EG"/>
        </w:rPr>
        <w:t>.</w:t>
      </w:r>
    </w:p>
    <w:p w14:paraId="102CC5C2" w14:textId="65794367" w:rsidR="003902F8" w:rsidRPr="00AF4242" w:rsidRDefault="00494334" w:rsidP="00AF4242">
      <w:pPr>
        <w:bidi/>
        <w:spacing w:after="200" w:line="360" w:lineRule="auto"/>
        <w:ind w:left="360" w:firstLine="720"/>
        <w:contextualSpacing/>
        <w:jc w:val="both"/>
        <w:rPr>
          <w:rFonts w:ascii="Traditional Arabic" w:eastAsia="Calibri" w:hAnsi="Traditional Arabic" w:cs="Traditional Arabic"/>
          <w:sz w:val="24"/>
          <w:szCs w:val="24"/>
          <w:lang w:bidi="ar-EG"/>
        </w:rPr>
      </w:pPr>
      <w:r w:rsidRPr="00AF4242">
        <w:rPr>
          <w:rFonts w:ascii="Traditional Arabic" w:eastAsia="Calibri" w:hAnsi="Traditional Arabic" w:cs="Traditional Arabic" w:hint="cs"/>
          <w:sz w:val="24"/>
          <w:szCs w:val="24"/>
          <w:rtl/>
          <w:lang w:bidi="ar-EG"/>
        </w:rPr>
        <w:t>يتناول هذا الفصل في</w:t>
      </w:r>
      <w:r w:rsidR="003902F8" w:rsidRPr="00AF4242">
        <w:rPr>
          <w:rFonts w:ascii="Traditional Arabic" w:eastAsia="Calibri" w:hAnsi="Traditional Arabic" w:cs="Traditional Arabic" w:hint="cs"/>
          <w:sz w:val="24"/>
          <w:szCs w:val="24"/>
          <w:rtl/>
          <w:lang w:bidi="ar-EG"/>
        </w:rPr>
        <w:t xml:space="preserve"> المبحث الاول المخاطر ومراحلها، </w:t>
      </w:r>
      <w:r w:rsidR="00EF26D0" w:rsidRPr="00AF4242">
        <w:rPr>
          <w:rFonts w:ascii="Traditional Arabic" w:eastAsia="Calibri" w:hAnsi="Traditional Arabic" w:cs="Traditional Arabic" w:hint="cs"/>
          <w:sz w:val="24"/>
          <w:szCs w:val="24"/>
          <w:rtl/>
          <w:lang w:bidi="ar-EG"/>
        </w:rPr>
        <w:t>و</w:t>
      </w:r>
      <w:r w:rsidR="003902F8" w:rsidRPr="00AF4242">
        <w:rPr>
          <w:rFonts w:ascii="Traditional Arabic" w:eastAsia="Calibri" w:hAnsi="Traditional Arabic" w:cs="Traditional Arabic" w:hint="cs"/>
          <w:sz w:val="24"/>
          <w:szCs w:val="24"/>
          <w:rtl/>
          <w:lang w:bidi="ar-EG"/>
        </w:rPr>
        <w:t>إدارة المخاطر، وأنواع المخاطر، فتعرض فيه الدراسة مفهوم والدراسات السابقة ذات العلاقة بمتغيرات الدراسة الحالية والتعليق عليها ، و</w:t>
      </w:r>
      <w:r w:rsidRPr="00AF4242">
        <w:rPr>
          <w:rFonts w:ascii="Traditional Arabic" w:eastAsia="Calibri" w:hAnsi="Traditional Arabic" w:cs="Traditional Arabic" w:hint="cs"/>
          <w:sz w:val="24"/>
          <w:szCs w:val="24"/>
          <w:rtl/>
          <w:lang w:bidi="ar-EG"/>
        </w:rPr>
        <w:t xml:space="preserve">المبحث </w:t>
      </w:r>
      <w:r w:rsidR="001407E6" w:rsidRPr="00AF4242">
        <w:rPr>
          <w:rFonts w:ascii="Traditional Arabic" w:eastAsia="Calibri" w:hAnsi="Traditional Arabic" w:cs="Traditional Arabic" w:hint="cs"/>
          <w:sz w:val="24"/>
          <w:szCs w:val="24"/>
          <w:rtl/>
          <w:lang w:bidi="ar-EG"/>
        </w:rPr>
        <w:t>الثاني الذي يحتوي على متغير سلامة المرضى والنظريات التي تفسر المتغير و</w:t>
      </w:r>
      <w:r w:rsidR="00EF26D0" w:rsidRPr="00AF4242">
        <w:rPr>
          <w:rFonts w:ascii="Traditional Arabic" w:eastAsia="Calibri" w:hAnsi="Traditional Arabic" w:cs="Traditional Arabic" w:hint="cs"/>
          <w:sz w:val="24"/>
          <w:szCs w:val="24"/>
          <w:rtl/>
          <w:lang w:bidi="ar-EG"/>
        </w:rPr>
        <w:t>أسباب الأخطاء الطبية ومعايير سلامة المرضى والدراسات السابقة والمبحث الثالث الذي يتضمن القيادة التحويلية و</w:t>
      </w:r>
      <w:r w:rsidRPr="00AF4242">
        <w:rPr>
          <w:rFonts w:ascii="Traditional Arabic" w:eastAsia="Calibri" w:hAnsi="Traditional Arabic" w:cs="Traditional Arabic" w:hint="cs"/>
          <w:sz w:val="24"/>
          <w:szCs w:val="24"/>
          <w:rtl/>
          <w:lang w:bidi="ar-EG"/>
        </w:rPr>
        <w:t>بعض المفاهيم ذات العلاقة بالقيـادة التحويـلية وهي مفهوم القيـادة التحويلية وأهميتها، وأبعاد القيادة التحويلية، وأنماط القيادة التحويلية وعوامل نجاحها، وخصائص القيادة التحويلية</w:t>
      </w:r>
      <w:r w:rsidR="00EF26D0" w:rsidRPr="00AF4242">
        <w:rPr>
          <w:rFonts w:ascii="Traditional Arabic" w:eastAsia="Calibri" w:hAnsi="Traditional Arabic" w:cs="Traditional Arabic" w:hint="cs"/>
          <w:sz w:val="24"/>
          <w:szCs w:val="24"/>
          <w:rtl/>
          <w:lang w:bidi="ar-EG"/>
        </w:rPr>
        <w:t xml:space="preserve"> والدراسات السابقة المتصلة بها.</w:t>
      </w:r>
    </w:p>
    <w:p w14:paraId="2B18E2CC" w14:textId="1AAE88D3" w:rsidR="001A390A" w:rsidRPr="00A42379" w:rsidRDefault="001A390A" w:rsidP="00C22C5A">
      <w:pPr>
        <w:bidi/>
        <w:spacing w:after="200" w:line="240" w:lineRule="auto"/>
        <w:jc w:val="both"/>
        <w:rPr>
          <w:rFonts w:ascii="Traditional Arabic" w:eastAsia="Calibri" w:hAnsi="Traditional Arabic" w:cs="Traditional Arabic"/>
          <w:b/>
          <w:bCs/>
          <w:sz w:val="28"/>
          <w:szCs w:val="28"/>
          <w:rtl/>
          <w:lang w:bidi="ar-EG"/>
        </w:rPr>
      </w:pPr>
      <w:r w:rsidRPr="00A42379">
        <w:rPr>
          <w:rFonts w:ascii="Traditional Arabic" w:eastAsia="Calibri" w:hAnsi="Traditional Arabic" w:cs="Traditional Arabic" w:hint="cs"/>
          <w:b/>
          <w:bCs/>
          <w:sz w:val="28"/>
          <w:szCs w:val="28"/>
          <w:rtl/>
          <w:lang w:bidi="ar-EG"/>
        </w:rPr>
        <w:t xml:space="preserve">المبحث الأول: </w:t>
      </w:r>
      <w:r w:rsidRPr="00A42379">
        <w:rPr>
          <w:rFonts w:ascii="Traditional Arabic" w:hAnsi="Traditional Arabic" w:cs="Traditional Arabic" w:hint="cs"/>
          <w:b/>
          <w:bCs/>
          <w:sz w:val="28"/>
          <w:szCs w:val="28"/>
          <w:rtl/>
        </w:rPr>
        <w:t xml:space="preserve">إدارة المخاطر </w:t>
      </w:r>
      <w:r w:rsidRPr="00A42379">
        <w:rPr>
          <w:rFonts w:ascii="Traditional Arabic" w:hAnsi="Traditional Arabic" w:cs="Traditional Arabic" w:hint="cs"/>
          <w:b/>
          <w:bCs/>
          <w:sz w:val="28"/>
          <w:szCs w:val="28"/>
        </w:rPr>
        <w:t>Risk management</w:t>
      </w:r>
      <w:r w:rsidR="00080B2E" w:rsidRPr="00A42379">
        <w:rPr>
          <w:rFonts w:ascii="Traditional Arabic" w:hAnsi="Traditional Arabic" w:cs="Traditional Arabic" w:hint="cs"/>
          <w:b/>
          <w:bCs/>
          <w:sz w:val="28"/>
          <w:szCs w:val="28"/>
          <w:rtl/>
        </w:rPr>
        <w:t>:</w:t>
      </w:r>
    </w:p>
    <w:p w14:paraId="0A910FAF" w14:textId="5C041963"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إدارة المخاطر هي مجال حيوي يسعى إلى تحديد وتقييم والتحكم في المخاطر المحتملة للحد من آثارها السلبية على الأفراد والمنظمات، خاصة في مجال الرعاية الصحية، وتساهم إدارة المخاطر في ضمان سلامة المرضى وتقليل الأخطاء الطبية وتحسين جودة الخدمات الصحية 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وبين التكلفة المرتبطة بالمخاطر المحتملة.</w:t>
      </w:r>
    </w:p>
    <w:p w14:paraId="7DCC99E6" w14:textId="63F4FCF9"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 xml:space="preserve">وفي السياق الصحي في السعودية، تتزايد الحاجة إلى تطبيق نظم إدارة المخاطر بفعالية،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w:t>
      </w:r>
      <w:r w:rsidRPr="00A42379">
        <w:rPr>
          <w:rFonts w:ascii="Traditional Arabic" w:hAnsi="Traditional Arabic" w:cs="Traditional Arabic" w:hint="cs"/>
          <w:sz w:val="24"/>
          <w:szCs w:val="24"/>
          <w:rtl/>
        </w:rPr>
        <w:lastRenderedPageBreak/>
        <w:t>تحسين سلامة المرضى وتقليل التكاليف المرتبطة بالحوادث الطبية وتحسين الكفاءة التشغيلية. كما تسهم في تعزيز ثقافة السلامة بين 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في المستشفيات نمواً كبيراً، ما يفرض ضرورة تحسين نظم إدارة المخاطر لضمان جودة الرعاية 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p>
    <w:p w14:paraId="196D7BC0" w14:textId="206196E8" w:rsidR="001A390A" w:rsidRPr="00100562" w:rsidRDefault="003165AF" w:rsidP="00C22C5A">
      <w:pPr>
        <w:bidi/>
        <w:spacing w:after="200" w:line="276" w:lineRule="auto"/>
        <w:jc w:val="both"/>
        <w:rPr>
          <w:rFonts w:ascii="Traditional Arabic" w:eastAsia="Calibri" w:hAnsi="Traditional Arabic" w:cs="Traditional Arabic"/>
          <w:b/>
          <w:bCs/>
          <w:sz w:val="28"/>
          <w:szCs w:val="28"/>
          <w:rtl/>
          <w:lang w:bidi="ar-EG"/>
        </w:rPr>
      </w:pPr>
      <w:r w:rsidRPr="00100562">
        <w:rPr>
          <w:rFonts w:ascii="Traditional Arabic" w:eastAsia="Calibri" w:hAnsi="Traditional Arabic" w:cs="Traditional Arabic" w:hint="cs"/>
          <w:b/>
          <w:bCs/>
          <w:sz w:val="28"/>
          <w:szCs w:val="28"/>
          <w:rtl/>
          <w:lang w:bidi="ar-EG"/>
        </w:rPr>
        <w:t xml:space="preserve">أولا : </w:t>
      </w:r>
      <w:r w:rsidR="001A390A" w:rsidRPr="00100562">
        <w:rPr>
          <w:rFonts w:ascii="Traditional Arabic" w:eastAsia="Calibri" w:hAnsi="Traditional Arabic" w:cs="Traditional Arabic" w:hint="cs"/>
          <w:b/>
          <w:bCs/>
          <w:sz w:val="28"/>
          <w:szCs w:val="28"/>
          <w:rtl/>
          <w:lang w:bidi="ar-EG"/>
        </w:rPr>
        <w:t>مفهوم المخاطر:</w:t>
      </w:r>
    </w:p>
    <w:p w14:paraId="5B9848DA" w14:textId="0E6926E6"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rPr>
      </w:pPr>
      <w:r w:rsidRPr="00A42379">
        <w:rPr>
          <w:rFonts w:ascii="Traditional Arabic" w:eastAsia="Calibri" w:hAnsi="Traditional Arabic" w:cs="Traditional Arabic" w:hint="cs"/>
          <w:sz w:val="24"/>
          <w:szCs w:val="24"/>
          <w:rtl/>
        </w:rPr>
        <w:t xml:space="preserve">تُعرّف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احتمالية وقوع حدث غير مرغوب فيه قد يؤثر سلبًا على تحقيق أهداف المؤسسة أو جودة خدماتها</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الشمري، 2023، ص. 21).</w:t>
      </w:r>
    </w:p>
    <w:p w14:paraId="78A001F2" w14:textId="2EE39F08"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ويرى عبد الحميد (2024، ص. 34)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الانحرافات المحتملة عن الأداء المتوقع، والتي قد تنتج عن عوامل داخلية أو خارجية، وتستوجب التدخل الإداري لتقليل آثارها</w:t>
      </w:r>
      <w:r w:rsidRPr="00A42379">
        <w:rPr>
          <w:rFonts w:ascii="Traditional Arabic" w:eastAsia="Calibri" w:hAnsi="Traditional Arabic" w:cs="Traditional Arabic" w:hint="cs"/>
          <w:sz w:val="24"/>
          <w:szCs w:val="24"/>
          <w:lang w:bidi="ar-EG"/>
        </w:rPr>
        <w:t>".</w:t>
      </w:r>
    </w:p>
    <w:p w14:paraId="277C86D5" w14:textId="19224F2D"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كما تُعرف المخاطر في السياق الصحي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مجموعة من التهديدات التي قد تؤثر على سلامة المرضى أو كفاءة الرعاية، وتشمل الأخطاء الطبية، الإخفاقات التنظيمية، أو الأعطال التقنية</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جمال، 2023، ص. 88</w:t>
      </w:r>
      <w:r w:rsidRPr="00A42379">
        <w:rPr>
          <w:rFonts w:ascii="Traditional Arabic" w:eastAsia="Calibri" w:hAnsi="Traditional Arabic" w:cs="Traditional Arabic" w:hint="cs"/>
          <w:sz w:val="24"/>
          <w:szCs w:val="24"/>
          <w:rtl/>
          <w:lang w:bidi="ar-EG"/>
        </w:rPr>
        <w:t>).</w:t>
      </w:r>
    </w:p>
    <w:p w14:paraId="637E9C27" w14:textId="3672FAE3"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ويعرّفها ايضا مدوّن حر (2024، ص. 1)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الاحتمالات التي قد تؤدي إلى خسائر أو أضرار في بيئة العمل، سواء كانت بشرية أو تشغيلية أو قانونية، وتتطلب إدارة استباقية</w:t>
      </w:r>
      <w:r w:rsidRPr="00A42379">
        <w:rPr>
          <w:rFonts w:ascii="Traditional Arabic" w:eastAsia="Calibri" w:hAnsi="Traditional Arabic" w:cs="Traditional Arabic" w:hint="cs"/>
          <w:sz w:val="24"/>
          <w:szCs w:val="24"/>
          <w:lang w:bidi="ar-EG"/>
        </w:rPr>
        <w:t>".</w:t>
      </w:r>
    </w:p>
    <w:p w14:paraId="2C927DBB" w14:textId="73670190"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ويوضح الطائي (2022، ص. 57)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الظروف أو الأحداث التي قد تؤدي إلى نتائج سلبية على مستوى الأفراد أو المؤسسات، وتُقاس بدرجة احتمال وقوعها وتأثيرها</w:t>
      </w:r>
      <w:r w:rsidRPr="00A42379">
        <w:rPr>
          <w:rFonts w:ascii="Traditional Arabic" w:eastAsia="Calibri" w:hAnsi="Traditional Arabic" w:cs="Traditional Arabic" w:hint="cs"/>
          <w:sz w:val="24"/>
          <w:szCs w:val="24"/>
          <w:lang w:bidi="ar-EG"/>
        </w:rPr>
        <w:t>".</w:t>
      </w:r>
    </w:p>
    <w:p w14:paraId="6A335CE1" w14:textId="77777777" w:rsidR="00FB3600" w:rsidRPr="00A42379" w:rsidRDefault="00FB3600"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 منصور (2023، ص. 103)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مزيج من التهديدات والفرص التي تتطلب قرارات استراتيجية لتقليل الأثر السلبي وتعظيم الفائدة الممكنة</w:t>
      </w:r>
      <w:r w:rsidRPr="00A42379">
        <w:rPr>
          <w:rFonts w:ascii="Traditional Arabic" w:eastAsia="Calibri" w:hAnsi="Traditional Arabic" w:cs="Traditional Arabic" w:hint="cs"/>
          <w:sz w:val="24"/>
          <w:szCs w:val="24"/>
          <w:lang w:bidi="ar-EG"/>
        </w:rPr>
        <w:t>".</w:t>
      </w:r>
    </w:p>
    <w:p w14:paraId="18312229" w14:textId="51FCCC38" w:rsidR="001A390A" w:rsidRPr="00A42379" w:rsidRDefault="001A390A" w:rsidP="00100562">
      <w:pPr>
        <w:bidi/>
        <w:spacing w:after="200" w:line="360" w:lineRule="auto"/>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ويمكن تعريف المخاطر استناداً إلى</w:t>
      </w:r>
      <w:r w:rsidRPr="00A42379">
        <w:rPr>
          <w:rFonts w:ascii="Traditional Arabic" w:eastAsia="Calibri" w:hAnsi="Traditional Arabic" w:cs="Traditional Arabic" w:hint="cs"/>
          <w:b/>
          <w:bCs/>
          <w:sz w:val="24"/>
          <w:szCs w:val="24"/>
          <w:rtl/>
          <w:lang w:bidi="ar-EG"/>
        </w:rPr>
        <w:t xml:space="preserve"> (اللامي والعيساوي، 2015)</w:t>
      </w:r>
      <w:r w:rsidRPr="00A42379">
        <w:rPr>
          <w:rFonts w:ascii="Traditional Arabic" w:eastAsia="Calibri" w:hAnsi="Traditional Arabic" w:cs="Traditional Arabic" w:hint="cs"/>
          <w:sz w:val="24"/>
          <w:szCs w:val="24"/>
          <w:rtl/>
          <w:lang w:bidi="ar-EG"/>
        </w:rPr>
        <w:t xml:space="preserve"> بالآتي:</w:t>
      </w:r>
    </w:p>
    <w:p w14:paraId="2FF83538" w14:textId="77777777" w:rsidR="001A390A"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المخاطر هي حالة متحركة غير ساكنة تمثل تهديداً مباشراً وحقيقيا لبقاء واستمرارية المنظمة تتميز بدرجة معينة من المخاطرة وتمثل نقطة تحول في اوضاع غير مستقرة تعود الى نتائج غير مرغوبة تؤثر سلباً على كفاءة وفاعلية متخذ القرار وتؤدي الى خسائر مادية ومعنوية وجسدية تؤثر في سمعة ومستقبل المستشفيات بالمملكة العربية السعودية.</w:t>
      </w:r>
    </w:p>
    <w:p w14:paraId="7696DBDD" w14:textId="781BA07B"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lastRenderedPageBreak/>
        <w:t>المخاطر حدث سلبي لا يمكن تجاوزه أو تجنبه مهما كانت درجة تحفز المنظمة التي تتميز بـعنصر المباغتة، ونقص المعلومات، وانعدام السيطرة مع تسارع الاحداث</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أنّها أي الأزمة لحظة حادة ومرعبة شديدة الالم محيرة في ظل دائرة خبيئة من عدم التأكد وقصور المعرفة واختلاط المسببات</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بالنتائج</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وتداعي الاحداث بشكل متلاحق ليزيد من حدتها ومن درجة المجهول ليهدد الكيان الاداري وبالتالي ضياع سمعة وكرامة كبار المديرين</w:t>
      </w:r>
      <w:r w:rsidR="003165AF" w:rsidRPr="00A42379">
        <w:rPr>
          <w:rFonts w:ascii="Traditional Arabic" w:eastAsia="Calibri" w:hAnsi="Traditional Arabic" w:cs="Traditional Arabic" w:hint="cs"/>
          <w:sz w:val="24"/>
          <w:szCs w:val="24"/>
          <w:rtl/>
          <w:lang w:bidi="ar-EG"/>
        </w:rPr>
        <w:t>.</w:t>
      </w:r>
    </w:p>
    <w:p w14:paraId="15CBD88D"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كما </w:t>
      </w:r>
      <w:r w:rsidR="001A390A" w:rsidRPr="00A42379">
        <w:rPr>
          <w:rFonts w:ascii="Traditional Arabic" w:eastAsia="Calibri" w:hAnsi="Traditional Arabic" w:cs="Traditional Arabic" w:hint="cs"/>
          <w:sz w:val="24"/>
          <w:szCs w:val="24"/>
          <w:rtl/>
          <w:lang w:bidi="ar-EG"/>
        </w:rPr>
        <w:t xml:space="preserve">تعتبر الخطورة موقف خارج عن السيطرة وتحول فجائي عن السلوك المعتاد يؤدي إلى خلل في المجتمع وان مواجهة هذا الموقف يحتاج تداركه إلى اتخاذ قرار محدد سريع في ظل قلة المعلومات والمفاجأة وضيق الوقت المقترن بالمهددات. </w:t>
      </w:r>
    </w:p>
    <w:p w14:paraId="2C7F6D82" w14:textId="77777777"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ويعد تحديد حالة ما على انها ازمة من الامور التي تعد بالغة الصعوبة والتعقيد، الا انه يعد الصراع، الكارثة، الصدمة، والمشكلة معبرة شكلياً عن مفهوم الازمة والقاصرة عن اعطاء المعنى الدقيق والمقصود لمفهوم المخاطرة، فالأزمة برأيه لا تكون كذلك الا إذا تضمنت عناصر أساسية أربعة هي</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التهديد، ضغط الوقت، المباغتة، وعدم التأكد. </w:t>
      </w:r>
    </w:p>
    <w:p w14:paraId="31A7F083"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وهي </w:t>
      </w:r>
      <w:r w:rsidR="001A390A" w:rsidRPr="00A42379">
        <w:rPr>
          <w:rFonts w:ascii="Traditional Arabic" w:eastAsia="Calibri" w:hAnsi="Traditional Arabic" w:cs="Traditional Arabic" w:hint="cs"/>
          <w:sz w:val="24"/>
          <w:szCs w:val="24"/>
          <w:rtl/>
          <w:lang w:bidi="ar-EG"/>
        </w:rPr>
        <w:t xml:space="preserve">موقف تحذيري يتضمن مجموعة من المخاطر كالتعارض مع العمليات اليومية والعادية للأعمال، وتعريض المنظمة. للرقابة الشديدة من جني الحكومة او من جانب وسائل الاعلام، وتعريض الصورة الذهنية الايجابية التي تتمتع بها المنظمة للخطر، من جانب آخر فان الازمة قد تؤدي الى تعزيز الشكوك في اداء المنظمة، وتؤدي الى فقدان الثقة في المنظمة،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ن</w:t>
      </w:r>
      <w:r w:rsidRPr="00A42379">
        <w:rPr>
          <w:rFonts w:ascii="Traditional Arabic" w:eastAsia="Calibri" w:hAnsi="Traditional Arabic" w:cs="Traditional Arabic" w:hint="cs"/>
          <w:sz w:val="24"/>
          <w:szCs w:val="24"/>
          <w:rtl/>
          <w:lang w:bidi="ar-EG"/>
        </w:rPr>
        <w:t xml:space="preserve"> </w:t>
      </w:r>
      <w:r w:rsidR="001A390A" w:rsidRPr="00A42379">
        <w:rPr>
          <w:rFonts w:ascii="Traditional Arabic" w:eastAsia="Calibri" w:hAnsi="Traditional Arabic" w:cs="Traditional Arabic" w:hint="cs"/>
          <w:sz w:val="24"/>
          <w:szCs w:val="24"/>
          <w:rtl/>
          <w:lang w:bidi="ar-EG"/>
        </w:rPr>
        <w:t xml:space="preserve">تأثيرها يكون تأثيراً سلبياً وفي حالات قليلة يكون تأثيرها ايجابياً. </w:t>
      </w:r>
    </w:p>
    <w:p w14:paraId="6AB97646"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إ</w:t>
      </w:r>
      <w:r w:rsidR="001A390A" w:rsidRPr="00A42379">
        <w:rPr>
          <w:rFonts w:ascii="Traditional Arabic" w:eastAsia="Calibri" w:hAnsi="Traditional Arabic" w:cs="Traditional Arabic" w:hint="cs"/>
          <w:sz w:val="24"/>
          <w:szCs w:val="24"/>
          <w:rtl/>
          <w:lang w:bidi="ar-EG"/>
        </w:rPr>
        <w:t xml:space="preserve">ذاً الخطورة حالة غير طبيعية تمر بها المنظمة تهدد وجودها بسبب ظرف داخلي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و خارجي متوقع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و غير متوقع وعدم الاستعداد الكافي لتفادي الضرر.</w:t>
      </w:r>
    </w:p>
    <w:p w14:paraId="0B38F450" w14:textId="75937EEF" w:rsidR="001A390A" w:rsidRPr="00CD29C3" w:rsidRDefault="003165AF" w:rsidP="003165AF">
      <w:pPr>
        <w:bidi/>
        <w:spacing w:before="240" w:after="120" w:line="240" w:lineRule="auto"/>
        <w:rPr>
          <w:rFonts w:ascii="Traditional Arabic" w:hAnsi="Traditional Arabic" w:cs="Traditional Arabic"/>
          <w:b/>
          <w:bCs/>
          <w:sz w:val="28"/>
          <w:szCs w:val="28"/>
          <w:lang w:bidi="ar-EG"/>
        </w:rPr>
      </w:pPr>
      <w:r w:rsidRPr="00CD29C3">
        <w:rPr>
          <w:rFonts w:ascii="Traditional Arabic" w:hAnsi="Traditional Arabic" w:cs="Traditional Arabic" w:hint="cs"/>
          <w:b/>
          <w:bCs/>
          <w:sz w:val="28"/>
          <w:szCs w:val="28"/>
          <w:rtl/>
        </w:rPr>
        <w:t>ثانياً : مفهوم إدارة المخاطر:</w:t>
      </w:r>
      <w:r w:rsidR="001A390A" w:rsidRPr="00CD29C3">
        <w:rPr>
          <w:rFonts w:ascii="Traditional Arabic" w:eastAsia="Calibri" w:hAnsi="Traditional Arabic" w:cs="Traditional Arabic" w:hint="cs"/>
          <w:sz w:val="28"/>
          <w:szCs w:val="28"/>
          <w:rtl/>
          <w:lang w:bidi="ar-EG"/>
        </w:rPr>
        <w:tab/>
      </w:r>
    </w:p>
    <w:p w14:paraId="4BA3A244" w14:textId="77777777"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تعني كيفية التغلب على الكوارث أي المخاطر بالأدوات العلمية والإدارية المختلفة وتجنب سلبياتها والاستفادة من إيجابياتها فعلم إدارة المخاطر هو علم إدارة التوازنات التأقلم والتواؤم مع المتغيرات المختلفة وبحث مترتباتها في كافة المجالات("الحفني،2017)</w:t>
      </w:r>
      <w:r w:rsidR="003165AF" w:rsidRPr="00A42379">
        <w:rPr>
          <w:rFonts w:ascii="Traditional Arabic" w:eastAsia="Calibri" w:hAnsi="Traditional Arabic" w:cs="Traditional Arabic" w:hint="cs"/>
          <w:sz w:val="24"/>
          <w:szCs w:val="24"/>
          <w:rtl/>
          <w:lang w:bidi="ar-EG"/>
        </w:rPr>
        <w:t>.</w:t>
      </w:r>
    </w:p>
    <w:p w14:paraId="578E6898" w14:textId="673E427E"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وهي العملية الإدارية المستمرة التي تهتم بالتنبؤ بالمخاطر المتوقعة عن طريق الاستشعار ورصد المتغيرات البيئية الداخلية وكذلك الخارجية المولدة للخطورة وتعبئة الموارد والإمكانات المتوفرة لمنع أوالتعامل مع المخاطر بالقدر الكافي من الكفاءة وبما يحقق أقل قدر ممكن من الضرر للمنظمـة وللبيئة والعاملين مع ضمان العودة للأوضاع الطبيعية بأسرع وقت (2017</w:t>
      </w:r>
      <w:r w:rsidRPr="00A42379">
        <w:rPr>
          <w:rFonts w:ascii="Traditional Arabic" w:eastAsia="Calibri" w:hAnsi="Traditional Arabic" w:cs="Traditional Arabic" w:hint="cs"/>
          <w:sz w:val="24"/>
          <w:szCs w:val="24"/>
        </w:rPr>
        <w:t xml:space="preserve"> </w:t>
      </w:r>
      <w:r w:rsidRPr="00A42379">
        <w:rPr>
          <w:rFonts w:ascii="Traditional Arabic" w:eastAsia="Calibri" w:hAnsi="Traditional Arabic" w:cs="Traditional Arabic" w:hint="cs"/>
          <w:sz w:val="24"/>
          <w:szCs w:val="24"/>
          <w:lang w:bidi="ar-EG"/>
        </w:rPr>
        <w:t>al, et</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lang w:bidi="ar-EG"/>
        </w:rPr>
        <w:t>(Wester</w:t>
      </w:r>
      <w:r w:rsidR="001101CF" w:rsidRPr="00A42379">
        <w:rPr>
          <w:rFonts w:ascii="Traditional Arabic" w:eastAsia="Calibri" w:hAnsi="Traditional Arabic" w:cs="Traditional Arabic" w:hint="cs"/>
          <w:sz w:val="24"/>
          <w:szCs w:val="24"/>
          <w:rtl/>
          <w:lang w:bidi="ar-EG"/>
        </w:rPr>
        <w:t>.</w:t>
      </w:r>
    </w:p>
    <w:p w14:paraId="42C214B3" w14:textId="328CF03F" w:rsidR="00AF3C3E" w:rsidRPr="00A42379" w:rsidRDefault="003D2D97" w:rsidP="008A0800">
      <w:pPr>
        <w:bidi/>
        <w:spacing w:before="240" w:after="120" w:line="360" w:lineRule="auto"/>
        <w:ind w:firstLine="432"/>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وأيضا</w:t>
      </w:r>
      <w:r w:rsidR="00AF3C3E" w:rsidRPr="00A42379">
        <w:rPr>
          <w:rFonts w:ascii="Traditional Arabic" w:hAnsi="Traditional Arabic" w:cs="Traditional Arabic" w:hint="cs"/>
          <w:color w:val="000000"/>
          <w:sz w:val="24"/>
          <w:szCs w:val="24"/>
          <w:rtl/>
          <w:lang w:bidi="ar-EG"/>
        </w:rPr>
        <w:t xml:space="preserve"> عملية تحديد وتحليل جميع المخاطر التي قد تحول دون تحقيق الأهداف ووضع خطط لتقييمها ومراقبتها والحد من أثرها (وزارة الصحة 2019-2022).</w:t>
      </w:r>
    </w:p>
    <w:p w14:paraId="13AD28D3" w14:textId="2A4F77D4" w:rsidR="00356A50" w:rsidRPr="00A42379" w:rsidRDefault="00356A50"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rPr>
        <w:lastRenderedPageBreak/>
        <w:t>تُعرّف إدارة المخاطر بأنها عملية منهجية تهدف إلى تحديد المخاطر وتقييمها وترتيبها حسب الأولوية، ثم اتخاذ إجراءات الاستجابة المناسبة ومراقبتها، بهدف تقليل احتمالية حدوثها أو تخفيف آثارها على الأهداف التنظيمية. ولا تسعى هذه الإدارة إلى القضاء التام على جميع المخاطر، بل إلى التحكم بها ضمن مستويات مقبولة، وتحقيق توازن فعّال بين التهديدات والفرص، لا سيما في البيئات المعقدة والمتغيرة</w:t>
      </w:r>
      <w:r w:rsidRPr="00A42379">
        <w:rPr>
          <w:rFonts w:ascii="Traditional Arabic" w:hAnsi="Traditional Arabic" w:cs="Traditional Arabic" w:hint="cs"/>
          <w:color w:val="000000"/>
          <w:sz w:val="24"/>
          <w:szCs w:val="24"/>
          <w:lang w:bidi="ar-EG"/>
        </w:rPr>
        <w:t xml:space="preserve"> (Oliveira &amp; Ribeiro, 2023)</w:t>
      </w:r>
      <w:r w:rsidRPr="00A42379">
        <w:rPr>
          <w:rFonts w:ascii="Traditional Arabic" w:hAnsi="Traditional Arabic" w:cs="Traditional Arabic" w:hint="cs"/>
          <w:color w:val="000000"/>
          <w:sz w:val="24"/>
          <w:szCs w:val="24"/>
          <w:rtl/>
          <w:lang w:bidi="ar-EG"/>
        </w:rPr>
        <w:t>.</w:t>
      </w:r>
    </w:p>
    <w:p w14:paraId="6BC93B74" w14:textId="3ECD6172" w:rsidR="005B569C" w:rsidRPr="00A42379" w:rsidRDefault="003D2D97"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 xml:space="preserve">كما أن </w:t>
      </w:r>
      <w:r w:rsidR="005B569C" w:rsidRPr="00A42379">
        <w:rPr>
          <w:rFonts w:ascii="Traditional Arabic" w:hAnsi="Traditional Arabic" w:cs="Traditional Arabic" w:hint="cs"/>
          <w:color w:val="000000"/>
          <w:sz w:val="24"/>
          <w:szCs w:val="24"/>
          <w:rtl/>
        </w:rPr>
        <w:t>إدارة المخاطر في المؤسسات الصحية هي مجموعة من العمليات المنظمة التي تهدف إلى تقليل احتمالية وقوع أحداث ضارة تؤثر على سلامة المرضى أو العاملين، من خلال تحليل المخاطر وتطوير خطط استجابة فعالة</w:t>
      </w:r>
      <w:r w:rsidR="00AF4DBC" w:rsidRPr="00A42379">
        <w:rPr>
          <w:rFonts w:ascii="Traditional Arabic" w:hAnsi="Traditional Arabic" w:cs="Traditional Arabic" w:hint="cs"/>
          <w:color w:val="000000"/>
          <w:sz w:val="24"/>
          <w:szCs w:val="24"/>
          <w:rtl/>
          <w:lang w:bidi="ar-EG"/>
        </w:rPr>
        <w:t>(</w:t>
      </w:r>
      <w:r w:rsidR="005B569C" w:rsidRPr="00A42379">
        <w:rPr>
          <w:rFonts w:ascii="Traditional Arabic" w:hAnsi="Traditional Arabic" w:cs="Traditional Arabic" w:hint="cs"/>
          <w:color w:val="000000"/>
          <w:sz w:val="24"/>
          <w:szCs w:val="24"/>
          <w:rtl/>
          <w:lang w:bidi="ar-EG"/>
        </w:rPr>
        <w:t xml:space="preserve"> الشمري، 2020، 112).</w:t>
      </w:r>
    </w:p>
    <w:p w14:paraId="3E6C6E04" w14:textId="6BB712AA" w:rsidR="005B569C" w:rsidRPr="00A42379" w:rsidRDefault="005B569C"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w:t>
      </w:r>
      <w:r w:rsidRPr="00A42379">
        <w:rPr>
          <w:rFonts w:ascii="Traditional Arabic" w:hAnsi="Traditional Arabic" w:cs="Traditional Arabic" w:hint="cs"/>
          <w:color w:val="000000"/>
          <w:sz w:val="24"/>
          <w:szCs w:val="24"/>
          <w:lang w:bidi="ar-EG"/>
        </w:rPr>
        <w:t>"</w:t>
      </w:r>
      <w:r w:rsidRPr="00A42379">
        <w:rPr>
          <w:rFonts w:ascii="Traditional Arabic" w:hAnsi="Traditional Arabic" w:cs="Traditional Arabic" w:hint="cs"/>
          <w:color w:val="000000"/>
          <w:sz w:val="24"/>
          <w:szCs w:val="24"/>
          <w:rtl/>
        </w:rPr>
        <w:t>تُعرف إدارة المخاطر الصحية بأنها نشاط إداري يهدف إلى حماية المرضى والمنشأة من الأخطاء الطبية والمخاطر التشغيلية، عبر تطبيق أدوات تقييم وتحليل المخاطر، وتطوير سياسات وقائية تضمن جودة الخدمة وسلامة الأداء</w:t>
      </w:r>
      <w:r w:rsidRPr="00A42379">
        <w:rPr>
          <w:rFonts w:ascii="Traditional Arabic" w:hAnsi="Traditional Arabic" w:cs="Traditional Arabic" w:hint="cs"/>
          <w:color w:val="000000"/>
          <w:sz w:val="24"/>
          <w:szCs w:val="24"/>
          <w:rtl/>
          <w:lang w:bidi="ar-EG"/>
        </w:rPr>
        <w:t>( الطائي، 2021، 89).</w:t>
      </w:r>
    </w:p>
    <w:p w14:paraId="2301572A" w14:textId="61DDB8F4" w:rsidR="001A390A"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يمكن القول بأن إدارة المخاطر هي: عملية إدارية تعنى بالتنبؤ المستقبلي لما قد يواجه المنظمـة مستقبلا من أحداث، وتعمل على الاستعداد لمواجهة هذه الأحداث بما يجنب المنظمـة تحمل الأضرار أو قد يعود عليها بالنفع لتستمر بتحقيق أهدافها، كما ظهر مفهوم آخر يرتبط بالمخاطر وهو مفهوم الإدارة </w:t>
      </w:r>
      <w:r w:rsidR="00FF1E0A" w:rsidRPr="00A42379">
        <w:rPr>
          <w:rFonts w:ascii="Traditional Arabic" w:eastAsia="Calibri" w:hAnsi="Traditional Arabic" w:cs="Traditional Arabic" w:hint="cs"/>
          <w:sz w:val="24"/>
          <w:szCs w:val="24"/>
          <w:rtl/>
          <w:lang w:bidi="ar-EG"/>
        </w:rPr>
        <w:t>ب</w:t>
      </w:r>
      <w:r w:rsidRPr="00A42379">
        <w:rPr>
          <w:rFonts w:ascii="Traditional Arabic" w:eastAsia="Calibri" w:hAnsi="Traditional Arabic" w:cs="Traditional Arabic" w:hint="cs"/>
          <w:sz w:val="24"/>
          <w:szCs w:val="24"/>
          <w:rtl/>
          <w:lang w:bidi="ar-EG"/>
        </w:rPr>
        <w:t xml:space="preserve">المخاطر، ويشير </w:t>
      </w:r>
      <w:r w:rsidRPr="00A42379">
        <w:rPr>
          <w:rFonts w:ascii="Traditional Arabic" w:eastAsia="Calibri" w:hAnsi="Traditional Arabic" w:cs="Traditional Arabic" w:hint="cs"/>
          <w:b/>
          <w:bCs/>
          <w:sz w:val="24"/>
          <w:szCs w:val="24"/>
          <w:rtl/>
          <w:lang w:bidi="ar-EG"/>
        </w:rPr>
        <w:t>(المساعدة،2020)</w:t>
      </w:r>
      <w:r w:rsidRPr="00A42379">
        <w:rPr>
          <w:rFonts w:ascii="Traditional Arabic" w:eastAsia="Calibri" w:hAnsi="Traditional Arabic" w:cs="Traditional Arabic" w:hint="cs"/>
          <w:sz w:val="24"/>
          <w:szCs w:val="24"/>
          <w:rtl/>
          <w:lang w:bidi="ar-EG"/>
        </w:rPr>
        <w:t xml:space="preserve"> إلى أنّ الفرق بين إدارة االمخاطر والإدارة بالمخاطر كما يلي:</w:t>
      </w:r>
    </w:p>
    <w:p w14:paraId="05799F48" w14:textId="77777777" w:rsidR="001A390A" w:rsidRPr="00A42379" w:rsidRDefault="001A390A">
      <w:pPr>
        <w:numPr>
          <w:ilvl w:val="1"/>
          <w:numId w:val="3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إدارة المخاطر:</w:t>
      </w:r>
      <w:r w:rsidRPr="00A42379">
        <w:rPr>
          <w:rFonts w:ascii="Traditional Arabic" w:eastAsia="Calibri" w:hAnsi="Traditional Arabic" w:cs="Traditional Arabic" w:hint="cs"/>
          <w:sz w:val="24"/>
          <w:szCs w:val="24"/>
          <w:rtl/>
          <w:lang w:bidi="ar-EG"/>
        </w:rPr>
        <w:t xml:space="preserve"> بشكلها التقليدي تعتبر "مجموعة من التجهيزات والجهود التي تبذل لمواجهة الحد أو الدمار المترتب على الأزمة"، أما بشكلها الحديث فهي تتطلب التفكير فيما لا يمكن التفكير به وتوقع ما لا يمكن توقعه من قبل المديرين، فهي "عملية الترتيب والاعداد المنظم والمنتظم للمشكلات التي تهدد بشكل خطير سمعة المنظمة، وربحيتها أو بقاءها في السوق."</w:t>
      </w:r>
    </w:p>
    <w:p w14:paraId="25E04967" w14:textId="547B0280" w:rsidR="001A390A" w:rsidRPr="00A42379" w:rsidRDefault="001A390A">
      <w:pPr>
        <w:numPr>
          <w:ilvl w:val="1"/>
          <w:numId w:val="3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الإدارة</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بالمخاطر</w:t>
      </w:r>
      <w:r w:rsidR="00AF3C3E"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تقوم على افتعال الأزمة وايجادها من العدم كوسيلة للتغطية والتمويه على المشاكل القائمة التي تواجه المنظمة، فلنسيان مشكلة ما يتم يجب حدوث مشكلة أكبر وأشد تأثيرا، للتغطية على المشكلة القائمة بمشكلة جديدة، ويطلق البعض على هذا مفهوم صناعة المخاطرة للتحكم والسيطرة على الآخرين، وهو فن مستحدث يهدف للسيطرة على الآخرين، واخضاعهم وابتزازهم وتحريك الثوابت الراسخة فيما يتصل بالقواعد المستقرة وخلخلة الوضع الراهن والأسس المتعارف عليها من خلال صناعة الأزمة لتحقيق المكاسب، وهذه العملية تحتاج إلى احكام السيطرة حتى لا يحدث انفلات وقلب للأوضاع نتيجة سوء التقدير والإصرار على الخطأ والتمادي فيه.</w:t>
      </w:r>
    </w:p>
    <w:p w14:paraId="5E47A952" w14:textId="44C33546" w:rsidR="00AF3C3E" w:rsidRPr="00C67F7A" w:rsidRDefault="00A44ABC" w:rsidP="00AF3C3E">
      <w:pPr>
        <w:bidi/>
        <w:spacing w:before="240" w:after="120" w:line="240" w:lineRule="auto"/>
        <w:rPr>
          <w:rFonts w:ascii="Traditional Arabic" w:hAnsi="Traditional Arabic" w:cs="Traditional Arabic"/>
          <w:b/>
          <w:bCs/>
          <w:sz w:val="28"/>
          <w:szCs w:val="28"/>
          <w:rtl/>
          <w:lang w:bidi="ar-EG"/>
        </w:rPr>
      </w:pPr>
      <w:r w:rsidRPr="00C67F7A">
        <w:rPr>
          <w:rFonts w:ascii="Traditional Arabic" w:hAnsi="Traditional Arabic" w:cs="Traditional Arabic" w:hint="cs"/>
          <w:b/>
          <w:bCs/>
          <w:sz w:val="28"/>
          <w:szCs w:val="28"/>
          <w:rtl/>
          <w:lang w:bidi="ar-EG"/>
        </w:rPr>
        <w:t xml:space="preserve">ثالثا : </w:t>
      </w:r>
      <w:r w:rsidR="00AF3C3E" w:rsidRPr="00C67F7A">
        <w:rPr>
          <w:rFonts w:ascii="Traditional Arabic" w:hAnsi="Traditional Arabic" w:cs="Traditional Arabic" w:hint="cs"/>
          <w:b/>
          <w:bCs/>
          <w:sz w:val="28"/>
          <w:szCs w:val="28"/>
          <w:rtl/>
          <w:lang w:bidi="ar-EG"/>
        </w:rPr>
        <w:t>أهمية إدارة المخاطر</w:t>
      </w:r>
      <w:r w:rsidR="00080B2E" w:rsidRPr="00C67F7A">
        <w:rPr>
          <w:rFonts w:ascii="Traditional Arabic" w:hAnsi="Traditional Arabic" w:cs="Traditional Arabic" w:hint="cs"/>
          <w:b/>
          <w:bCs/>
          <w:sz w:val="28"/>
          <w:szCs w:val="28"/>
          <w:rtl/>
          <w:lang w:bidi="ar-EG"/>
        </w:rPr>
        <w:t>:</w:t>
      </w:r>
    </w:p>
    <w:p w14:paraId="7E3794D7" w14:textId="77777777" w:rsidR="00AF3C3E" w:rsidRPr="00A42379" w:rsidRDefault="00AF3C3E" w:rsidP="00C67F7A">
      <w:pPr>
        <w:bidi/>
        <w:spacing w:before="24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تقوم إدارة المخاطر بحماية المؤسسة وتقويمها بطريقة علمية صحيحة وتنفيذ استراتيجيات مختلفة تدعم أهداف المؤسسة وتواجه مخاطرها وتكمن أهميتها في: </w:t>
      </w:r>
    </w:p>
    <w:p w14:paraId="3555E515" w14:textId="77777777" w:rsidR="00AF3C3E" w:rsidRPr="00A42379" w:rsidRDefault="00AF3C3E">
      <w:pPr>
        <w:numPr>
          <w:ilvl w:val="0"/>
          <w:numId w:val="1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تطوير أساليب اتخاذ القرار والتخطيط لها وتحديد الأولويات عن طريق الادراك الشامل والمنظم لأنشطة المؤسسات.</w:t>
      </w:r>
    </w:p>
    <w:p w14:paraId="3B421C8A" w14:textId="77777777" w:rsidR="00AF3C3E" w:rsidRPr="00A42379" w:rsidRDefault="00AF3C3E">
      <w:pPr>
        <w:numPr>
          <w:ilvl w:val="0"/>
          <w:numId w:val="1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ابراز الثغرات والتعرف على الفرص السلبية والإيجابية المتاحة للمشروعات، وهذا لتفادي الخسائر مستقبلا، ووضع أداة لتنقيد الاستراتيجية حيث تزود المؤسسة بنظرة ، أفضل حول مستقبل المؤسسة.</w:t>
      </w:r>
    </w:p>
    <w:p w14:paraId="724D9FAA" w14:textId="77777777" w:rsidR="00AF3C3E" w:rsidRPr="00A42379" w:rsidRDefault="00AF3C3E">
      <w:pPr>
        <w:numPr>
          <w:ilvl w:val="0"/>
          <w:numId w:val="1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تقوم بقياس مدى كفاية رأس المال والقدرة على الوفاء بالتزاماتها، وذلك لعدم الوقوع في مخاطر نقص السيولة.</w:t>
      </w:r>
    </w:p>
    <w:p w14:paraId="26F32C2E" w14:textId="77777777" w:rsidR="00AF3C3E" w:rsidRPr="00A42379" w:rsidRDefault="00AF3C3E">
      <w:pPr>
        <w:numPr>
          <w:ilvl w:val="0"/>
          <w:numId w:val="1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تساعد في اتخاذ القرارات.</w:t>
      </w:r>
    </w:p>
    <w:p w14:paraId="0A541001" w14:textId="1B613206" w:rsidR="00AF3C3E" w:rsidRPr="00A42379" w:rsidRDefault="00AF3C3E">
      <w:pPr>
        <w:numPr>
          <w:ilvl w:val="0"/>
          <w:numId w:val="1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تنمية المزايا التنافسية والتحكم في المخاطر كونها عامل رئيسي في الربحية وزيادة التنافسية (حماد، 2007 ، 224).</w:t>
      </w:r>
    </w:p>
    <w:p w14:paraId="0411BA3F" w14:textId="16A559FD" w:rsidR="00AF3C3E" w:rsidRPr="000D690F" w:rsidRDefault="00A44ABC" w:rsidP="00AF3C3E">
      <w:pPr>
        <w:bidi/>
        <w:spacing w:before="240" w:after="120" w:line="240" w:lineRule="auto"/>
        <w:rPr>
          <w:rFonts w:ascii="Traditional Arabic" w:hAnsi="Traditional Arabic" w:cs="Traditional Arabic"/>
          <w:sz w:val="28"/>
          <w:szCs w:val="28"/>
          <w:rtl/>
          <w:lang w:bidi="ar-EG"/>
        </w:rPr>
      </w:pPr>
      <w:r w:rsidRPr="000D690F">
        <w:rPr>
          <w:rFonts w:ascii="Traditional Arabic" w:hAnsi="Traditional Arabic" w:cs="Traditional Arabic" w:hint="cs"/>
          <w:b/>
          <w:bCs/>
          <w:sz w:val="28"/>
          <w:szCs w:val="28"/>
          <w:rtl/>
          <w:lang w:bidi="ar-EG"/>
        </w:rPr>
        <w:t xml:space="preserve">رابعاً: </w:t>
      </w:r>
      <w:r w:rsidR="00AF3C3E" w:rsidRPr="000D690F">
        <w:rPr>
          <w:rFonts w:ascii="Traditional Arabic" w:hAnsi="Traditional Arabic" w:cs="Traditional Arabic" w:hint="cs"/>
          <w:b/>
          <w:bCs/>
          <w:sz w:val="28"/>
          <w:szCs w:val="28"/>
          <w:rtl/>
          <w:lang w:bidi="ar-EG"/>
        </w:rPr>
        <w:t>أهداف إدارة المخاطر:</w:t>
      </w:r>
    </w:p>
    <w:p w14:paraId="3722AE0C" w14:textId="25934E21" w:rsidR="00AF3C3E" w:rsidRPr="00A42379" w:rsidRDefault="00AF3C3E" w:rsidP="000D690F">
      <w:pPr>
        <w:bidi/>
        <w:spacing w:before="240" w:after="120" w:line="360" w:lineRule="auto"/>
        <w:ind w:firstLine="720"/>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ان أهداف إدارة المخاطر لا تقل أهمية عن أهداف القطاعات الأخرى في المؤسسة، ل</w:t>
      </w:r>
      <w:r w:rsidR="00FF1E0A" w:rsidRPr="00A42379">
        <w:rPr>
          <w:rFonts w:ascii="Traditional Arabic" w:hAnsi="Traditional Arabic" w:cs="Traditional Arabic" w:hint="cs"/>
          <w:sz w:val="24"/>
          <w:szCs w:val="24"/>
          <w:rtl/>
          <w:lang w:bidi="ar-EG"/>
        </w:rPr>
        <w:t>ذ</w:t>
      </w:r>
      <w:r w:rsidRPr="00A42379">
        <w:rPr>
          <w:rFonts w:ascii="Traditional Arabic" w:hAnsi="Traditional Arabic" w:cs="Traditional Arabic" w:hint="cs"/>
          <w:sz w:val="24"/>
          <w:szCs w:val="24"/>
          <w:rtl/>
          <w:lang w:bidi="ar-EG"/>
        </w:rPr>
        <w:t xml:space="preserve">ا نجد أن الكتاب يطرحون العديد من الأهداف لإدارة المخاطر، والهدفان الرئيسيان فيها يكونان عادة التحقيق من تأثيرات المخاطر وتقليل الخسائر الى الحد الأدنى لذا فان إدارة المخاطر لها مجموعة متنوعة من الأهداف نذكر من بينها: </w:t>
      </w:r>
    </w:p>
    <w:p w14:paraId="487BCDD0"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التحكم والسيطرة على المخاطر، وتفادي تأثيرها على سير العمل. </w:t>
      </w:r>
    </w:p>
    <w:p w14:paraId="50937B07"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ضمان سلامة أي معلومات من التسرب والحفاظ على أمن البيانات. </w:t>
      </w:r>
    </w:p>
    <w:p w14:paraId="44E3ACE9"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تقسيم وتصنيف المناطق الخطرة ووضع الإجراءات والارشادات لها في مجال الأمن والسلامة المهنية والصحية.</w:t>
      </w:r>
    </w:p>
    <w:p w14:paraId="6D6D39AA"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تطوير أدوات إدارة المخاطر ومواجهة المخاطر بشكل مستمر.</w:t>
      </w:r>
    </w:p>
    <w:p w14:paraId="124A127E"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نشر ثقافة إدارة المخاطر داخل المؤسسة. </w:t>
      </w:r>
    </w:p>
    <w:p w14:paraId="3EB41642"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نشر الأنظمة الرقابية وآليات التنبؤ في الأزمات المختلفة ومحاولة اكتشافها ووقوعها.</w:t>
      </w:r>
    </w:p>
    <w:p w14:paraId="1DC6BB71"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ضمان وجود إدارة مهنية مستقلة تصدر التوجيه السليم وتشرف على عمل المؤسسة.</w:t>
      </w:r>
    </w:p>
    <w:p w14:paraId="6C11B33E"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ادخال نظم المراجعة والرقابة من طرف إدارة المخاطر بما يضمن منع واكتشاف وتحليل النتائج الغير مرغوب فيها. </w:t>
      </w:r>
    </w:p>
    <w:p w14:paraId="7E163F84" w14:textId="77777777"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حماية حقوق المساهمين وغيرهم من الأطراف المعنية بما يكفل استدامة وازدهار المؤسسة. </w:t>
      </w:r>
    </w:p>
    <w:p w14:paraId="1096CBB6" w14:textId="536A9E2C" w:rsidR="00AF3C3E" w:rsidRPr="00A42379" w:rsidRDefault="00AF3C3E">
      <w:pPr>
        <w:numPr>
          <w:ilvl w:val="0"/>
          <w:numId w:val="16"/>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تعزیز مبادئ المسؤولية والاستدامة والمشاركة لصالح الأطراف المعنية من الداخل والخارج (جمعية الحوكمة والشفافية في قطاع الصحة ،2013، 28).</w:t>
      </w:r>
    </w:p>
    <w:p w14:paraId="52A5D378" w14:textId="7D1E60F7" w:rsidR="00AF3C3E" w:rsidRPr="009C3AB4" w:rsidRDefault="00A44ABC" w:rsidP="00AF3C3E">
      <w:pPr>
        <w:bidi/>
        <w:spacing w:before="240" w:after="120" w:line="240" w:lineRule="auto"/>
        <w:rPr>
          <w:rFonts w:ascii="Traditional Arabic" w:hAnsi="Traditional Arabic" w:cs="Traditional Arabic"/>
          <w:b/>
          <w:bCs/>
          <w:sz w:val="28"/>
          <w:szCs w:val="28"/>
          <w:rtl/>
          <w:lang w:bidi="ar-EG"/>
        </w:rPr>
      </w:pPr>
      <w:r w:rsidRPr="009C3AB4">
        <w:rPr>
          <w:rFonts w:ascii="Traditional Arabic" w:hAnsi="Traditional Arabic" w:cs="Traditional Arabic" w:hint="cs"/>
          <w:b/>
          <w:bCs/>
          <w:sz w:val="28"/>
          <w:szCs w:val="28"/>
          <w:rtl/>
          <w:lang w:bidi="ar-EG"/>
        </w:rPr>
        <w:t xml:space="preserve">خامساً : </w:t>
      </w:r>
      <w:r w:rsidR="00AF3C3E" w:rsidRPr="009C3AB4">
        <w:rPr>
          <w:rFonts w:ascii="Traditional Arabic" w:hAnsi="Traditional Arabic" w:cs="Traditional Arabic" w:hint="cs"/>
          <w:b/>
          <w:bCs/>
          <w:sz w:val="28"/>
          <w:szCs w:val="28"/>
          <w:rtl/>
          <w:lang w:bidi="ar-EG"/>
        </w:rPr>
        <w:t>خصائص إدارة المخاطر:</w:t>
      </w:r>
    </w:p>
    <w:p w14:paraId="3EAE86EC" w14:textId="77777777" w:rsidR="00AF3C3E" w:rsidRPr="00A42379" w:rsidRDefault="00AF3C3E" w:rsidP="009C3AB4">
      <w:p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تتميز إدارة المخاطر بالخصائص التالية:</w:t>
      </w:r>
    </w:p>
    <w:p w14:paraId="487AEDE4"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قرارات مصيرية لمواجهتها أو حسمها.</w:t>
      </w:r>
    </w:p>
    <w:p w14:paraId="2F051BB8"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تهدد الأهداف الرئيسية للمنظمة وسمعة وكرامة متخذي القرار فيها. </w:t>
      </w:r>
    </w:p>
    <w:p w14:paraId="72053E27"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المخاطر معالجة خاصة وأشكال تنظميه.</w:t>
      </w:r>
    </w:p>
    <w:p w14:paraId="4E2E55FA"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تتميز بالتعقيد والتشابك والتداخل في عناصرها وعواملها وأسبابها.</w:t>
      </w:r>
    </w:p>
    <w:p w14:paraId="62A542BE"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 تتطلب من المسيرين درجة عالية من العمل والأداء.</w:t>
      </w:r>
    </w:p>
    <w:p w14:paraId="78FE5494"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زيادة المخاطر يؤدي إلى الشك في البدائل المطروحة. </w:t>
      </w:r>
    </w:p>
    <w:p w14:paraId="4FFF9EA3"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المخاطر تهدد استقرار المؤسسة.</w:t>
      </w:r>
    </w:p>
    <w:p w14:paraId="1C75AA36" w14:textId="77777777" w:rsidR="00AF3C3E" w:rsidRPr="00A42379" w:rsidRDefault="00AF3C3E">
      <w:pPr>
        <w:numPr>
          <w:ilvl w:val="0"/>
          <w:numId w:val="11"/>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إمكانية الاستفادة من المواقف السابقة التي تتعرض إليها المؤسسة واكتساب خبرات جديدة.</w:t>
      </w:r>
    </w:p>
    <w:p w14:paraId="6C27C245" w14:textId="7A56CC3C" w:rsidR="00AF3C3E" w:rsidRPr="00A42379" w:rsidRDefault="00AF3C3E">
      <w:pPr>
        <w:numPr>
          <w:ilvl w:val="0"/>
          <w:numId w:val="11"/>
        </w:num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إن معرفة خصائص إدارة المخاطر يساعد على تكيف الخطر والحد من تأثيراته السلبية على المؤسسة ووضع استراتيجية للتحكم فيه</w:t>
      </w:r>
      <w:r w:rsidRPr="00A42379">
        <w:rPr>
          <w:rFonts w:ascii="Traditional Arabic" w:hAnsi="Traditional Arabic" w:cs="Traditional Arabic" w:hint="cs"/>
          <w:spacing w:val="-6"/>
          <w:sz w:val="24"/>
          <w:szCs w:val="24"/>
          <w:rtl/>
          <w:lang w:bidi="ar-EG"/>
        </w:rPr>
        <w:t xml:space="preserve"> (جلدة، 2011، 20)</w:t>
      </w:r>
      <w:r w:rsidRPr="00A42379">
        <w:rPr>
          <w:rFonts w:ascii="Traditional Arabic" w:hAnsi="Traditional Arabic" w:cs="Traditional Arabic" w:hint="cs"/>
          <w:spacing w:val="-6"/>
          <w:sz w:val="24"/>
          <w:szCs w:val="24"/>
          <w:lang w:bidi="ar-EG"/>
        </w:rPr>
        <w:t>.</w:t>
      </w:r>
      <w:r w:rsidRPr="00A42379">
        <w:rPr>
          <w:rFonts w:ascii="Traditional Arabic" w:hAnsi="Traditional Arabic" w:cs="Traditional Arabic" w:hint="cs"/>
          <w:spacing w:val="-6"/>
          <w:sz w:val="24"/>
          <w:szCs w:val="24"/>
          <w:rtl/>
          <w:lang w:bidi="ar-EG"/>
        </w:rPr>
        <w:t xml:space="preserve"> </w:t>
      </w:r>
    </w:p>
    <w:p w14:paraId="286CA965" w14:textId="361B27F5" w:rsidR="001A390A" w:rsidRPr="00292189" w:rsidRDefault="00A44ABC" w:rsidP="001A390A">
      <w:pPr>
        <w:bidi/>
        <w:spacing w:after="200" w:line="360" w:lineRule="auto"/>
        <w:rPr>
          <w:rFonts w:ascii="Traditional Arabic" w:eastAsia="Calibri" w:hAnsi="Traditional Arabic" w:cs="Traditional Arabic"/>
          <w:sz w:val="28"/>
          <w:szCs w:val="28"/>
          <w:rtl/>
          <w:lang w:bidi="ar-EG"/>
        </w:rPr>
      </w:pPr>
      <w:r w:rsidRPr="00292189">
        <w:rPr>
          <w:rFonts w:ascii="Traditional Arabic" w:eastAsia="Calibri" w:hAnsi="Traditional Arabic" w:cs="Traditional Arabic" w:hint="cs"/>
          <w:b/>
          <w:bCs/>
          <w:sz w:val="28"/>
          <w:szCs w:val="28"/>
          <w:rtl/>
          <w:lang w:bidi="ar-EG"/>
        </w:rPr>
        <w:t xml:space="preserve">سادساً : </w:t>
      </w:r>
      <w:r w:rsidR="001A390A" w:rsidRPr="00292189">
        <w:rPr>
          <w:rFonts w:ascii="Traditional Arabic" w:eastAsia="Calibri" w:hAnsi="Traditional Arabic" w:cs="Traditional Arabic" w:hint="cs"/>
          <w:b/>
          <w:bCs/>
          <w:sz w:val="28"/>
          <w:szCs w:val="28"/>
          <w:rtl/>
          <w:lang w:bidi="ar-EG"/>
        </w:rPr>
        <w:t>أنواع المخاطر:</w:t>
      </w:r>
    </w:p>
    <w:p w14:paraId="6BAB4B46" w14:textId="00F3C584"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 xml:space="preserve">تكرار الخطورة: </w:t>
      </w:r>
      <w:r w:rsidRPr="00A42379">
        <w:rPr>
          <w:rFonts w:ascii="Traditional Arabic" w:eastAsia="Calibri" w:hAnsi="Traditional Arabic" w:cs="Traditional Arabic" w:hint="cs"/>
          <w:sz w:val="24"/>
          <w:szCs w:val="24"/>
          <w:rtl/>
          <w:lang w:bidi="ar-EG"/>
        </w:rPr>
        <w:t>يعد التكرار من أهم المقومات في تصنيف المخاطر وعلى الرغم من أن حدوثها الدوري يتيح رصد مقدماتها وعلاج مخاطرها، فإن أي تنظيم إداري سواء كان فردا أو منظمـة أو دولة، لا يستطيع تجنبها على ما يملك من أجهزة وقائية ويمكن تقسيمها إلـى: (رشاد،2020)</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w:t>
      </w:r>
    </w:p>
    <w:p w14:paraId="2573B67D" w14:textId="7808EBE7"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b/>
          <w:bCs/>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مخاطر دورية متكررة</w:t>
      </w:r>
      <w:r w:rsidRPr="00A42379">
        <w:rPr>
          <w:rFonts w:ascii="Traditional Arabic" w:eastAsia="Calibri" w:hAnsi="Traditional Arabic" w:cs="Traditional Arabic" w:hint="cs"/>
          <w:sz w:val="24"/>
          <w:szCs w:val="24"/>
          <w:rtl/>
          <w:lang w:bidi="ar-EG"/>
        </w:rPr>
        <w:t>: تكرر الخطورة بالتنبؤ بحدوثها، فإنه لا يمكن توقعها توقعا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دقيقا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بمداها وحجمها وتأثيرها واتساع مجالها وهي تتمثل في المخاطر الاقتصادية المرتبطة بالدورة الشرائية والناجمة عن الكساد، والتي قد تنتج كذلك عن الانتعاش نتيجة لخلل في القوي الإنتاجية.</w:t>
      </w:r>
    </w:p>
    <w:p w14:paraId="632CAF34" w14:textId="77777777" w:rsidR="001A390A" w:rsidRPr="00A42379" w:rsidRDefault="001A390A">
      <w:pPr>
        <w:numPr>
          <w:ilvl w:val="0"/>
          <w:numId w:val="8"/>
        </w:numPr>
        <w:bidi/>
        <w:spacing w:after="200" w:line="360" w:lineRule="auto"/>
        <w:contextualSpacing/>
        <w:jc w:val="both"/>
        <w:rPr>
          <w:rFonts w:ascii="Traditional Arabic" w:eastAsia="Calibri" w:hAnsi="Traditional Arabic" w:cs="Traditional Arabic"/>
          <w:b/>
          <w:bCs/>
          <w:sz w:val="24"/>
          <w:szCs w:val="24"/>
          <w:rtl/>
          <w:lang w:bidi="ar-EG"/>
        </w:rPr>
      </w:pPr>
      <w:r w:rsidRPr="00A42379">
        <w:rPr>
          <w:rFonts w:ascii="Traditional Arabic" w:eastAsia="Calibri" w:hAnsi="Traditional Arabic" w:cs="Traditional Arabic" w:hint="cs"/>
          <w:b/>
          <w:bCs/>
          <w:sz w:val="24"/>
          <w:szCs w:val="24"/>
          <w:rtl/>
          <w:lang w:bidi="ar-EG"/>
        </w:rPr>
        <w:lastRenderedPageBreak/>
        <w:t>مخاطر غير دورية</w:t>
      </w:r>
      <w:r w:rsidRPr="00A42379">
        <w:rPr>
          <w:rFonts w:ascii="Traditional Arabic" w:eastAsia="Calibri" w:hAnsi="Traditional Arabic" w:cs="Traditional Arabic" w:hint="cs"/>
          <w:sz w:val="24"/>
          <w:szCs w:val="24"/>
          <w:rtl/>
          <w:lang w:bidi="ar-EG"/>
        </w:rPr>
        <w:t>: هذه المخاطر الاقتصادية، ومن ثم لا يسهل توقعها، المخاطر غير الدورية تحدث نتيجة مسببات متعددة، وإن كانت عادة تكون فجأة وبدون مقدمات مثل المخاطر التي تنتج عن سوء الأحوال الجوية، أو تغير المناخ.</w:t>
      </w:r>
    </w:p>
    <w:p w14:paraId="444A36E8" w14:textId="77777777"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محاور المخاطر:</w:t>
      </w:r>
    </w:p>
    <w:p w14:paraId="6E293407" w14:textId="4D6D8456"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 xml:space="preserve">يتم تصنيف المخاطر إلـى الأنواع الآتية: (الحفني، 2017) </w:t>
      </w:r>
      <w:r w:rsidR="00080B2E" w:rsidRPr="005372F2">
        <w:rPr>
          <w:rFonts w:ascii="Traditional Arabic" w:eastAsia="Calibri" w:hAnsi="Traditional Arabic" w:cs="Traditional Arabic" w:hint="cs"/>
          <w:b/>
          <w:bCs/>
          <w:sz w:val="28"/>
          <w:szCs w:val="28"/>
          <w:rtl/>
          <w:lang w:bidi="ar-EG"/>
        </w:rPr>
        <w:t>.</w:t>
      </w:r>
    </w:p>
    <w:p w14:paraId="3DBDD0E7" w14:textId="77777777"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مخاطر مادية:</w:t>
      </w:r>
      <w:r w:rsidRPr="00A42379">
        <w:rPr>
          <w:rFonts w:ascii="Traditional Arabic" w:eastAsia="Calibri" w:hAnsi="Traditional Arabic" w:cs="Traditional Arabic" w:hint="cs"/>
          <w:sz w:val="24"/>
          <w:szCs w:val="24"/>
          <w:rtl/>
          <w:lang w:bidi="ar-EG"/>
        </w:rPr>
        <w:t xml:space="preserve"> تدور حول محور مادي، مثل خطورة الغذاء، وخطورة السيول، وخطورة العمالة، وخطورة انخفاض المبيعات، وهي جميعها أزمات تدور حول شيء مادي ملموس، يمكن التحقق منه ودراسته والتعامل معه ماديا وطبيعيا بأدوات التعامل المختلفة، وقياس مدى توافق أدوات التعامل في إدارة الخطورة بنجاح ومعرفة ذلك بالنتائج المادية المترتبة على هذا التدخل مثل فقدان جزء كبير من المال.</w:t>
      </w:r>
    </w:p>
    <w:p w14:paraId="3603F82C" w14:textId="49BE768E"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المخاطر المعنوية:</w:t>
      </w:r>
      <w:r w:rsidRPr="00A42379">
        <w:rPr>
          <w:rFonts w:ascii="Traditional Arabic" w:eastAsia="Calibri" w:hAnsi="Traditional Arabic" w:cs="Traditional Arabic" w:hint="cs"/>
          <w:sz w:val="24"/>
          <w:szCs w:val="24"/>
          <w:rtl/>
          <w:lang w:bidi="ar-EG"/>
        </w:rPr>
        <w:t xml:space="preserve"> وهذه تدور حول محور غير موضوعي يرتبط بذاتية الأشخاص المحيطين بالخطورة مثل خطورة الثقة أو المصداقية، والولاء والانتماء، وجميعها تدور حول محور معنوي شخصي غير ملموس، لا يمكن الإمساك به مادياً أو لمسه، وإنما التعامل معه يتم من خلال إدراكه المضموني</w:t>
      </w:r>
      <w:r w:rsidR="00E07023" w:rsidRPr="00A42379">
        <w:rPr>
          <w:rFonts w:ascii="Traditional Arabic" w:eastAsia="Calibri" w:hAnsi="Traditional Arabic" w:cs="Traditional Arabic" w:hint="cs"/>
          <w:sz w:val="24"/>
          <w:szCs w:val="24"/>
          <w:rtl/>
          <w:lang w:bidi="ar-EG"/>
        </w:rPr>
        <w:t>.</w:t>
      </w:r>
    </w:p>
    <w:p w14:paraId="51548A0C" w14:textId="77777777" w:rsidR="001A390A" w:rsidRPr="00A42379" w:rsidRDefault="001A390A">
      <w:pPr>
        <w:numPr>
          <w:ilvl w:val="0"/>
          <w:numId w:val="9"/>
        </w:numPr>
        <w:bidi/>
        <w:spacing w:after="200" w:line="360" w:lineRule="auto"/>
        <w:contextualSpacing/>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المخاطر المزدوجة:</w:t>
      </w:r>
      <w:r w:rsidRPr="00A42379">
        <w:rPr>
          <w:rFonts w:ascii="Traditional Arabic" w:eastAsia="Calibri" w:hAnsi="Traditional Arabic" w:cs="Traditional Arabic" w:hint="cs"/>
          <w:sz w:val="24"/>
          <w:szCs w:val="24"/>
          <w:rtl/>
          <w:lang w:bidi="ar-EG"/>
        </w:rPr>
        <w:t xml:space="preserve"> يتمثل هذا النوع في المشكلات الدولية والمحلية، مثل أزمات الرهائن، وخطورة الإرهاب وهي ذات جانبين أحدهما مادي ملموس هو الواقع المادي الذي أحدثته أو نتجت منه وهو الرهائن أو الخسائر والأضرار المادية، والآخر معنوي يتمثل في ردود الفعل العنيفة المصاحبة للظروف الامنية.</w:t>
      </w:r>
    </w:p>
    <w:p w14:paraId="3340D4F0" w14:textId="77777777" w:rsidR="001A390A" w:rsidRPr="000408F5" w:rsidRDefault="001A390A" w:rsidP="00B94EB0">
      <w:pPr>
        <w:bidi/>
        <w:spacing w:line="276" w:lineRule="auto"/>
        <w:jc w:val="both"/>
        <w:rPr>
          <w:rFonts w:ascii="Traditional Arabic" w:hAnsi="Traditional Arabic" w:cs="Traditional Arabic"/>
          <w:b/>
          <w:bCs/>
          <w:sz w:val="28"/>
          <w:szCs w:val="28"/>
          <w:rtl/>
          <w:lang w:bidi="ar-EG"/>
        </w:rPr>
      </w:pPr>
      <w:r w:rsidRPr="000408F5">
        <w:rPr>
          <w:rFonts w:ascii="Traditional Arabic" w:hAnsi="Traditional Arabic" w:cs="Traditional Arabic" w:hint="cs"/>
          <w:b/>
          <w:bCs/>
          <w:sz w:val="28"/>
          <w:szCs w:val="28"/>
          <w:rtl/>
          <w:lang w:bidi="ar-EG"/>
        </w:rPr>
        <w:t>مستويات الخطورة:</w:t>
      </w:r>
    </w:p>
    <w:p w14:paraId="5935C836" w14:textId="77777777" w:rsidR="001A390A" w:rsidRPr="00A42379" w:rsidRDefault="001A390A" w:rsidP="00B94EB0">
      <w:pPr>
        <w:bidi/>
        <w:spacing w:line="276" w:lineRule="auto"/>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وفقا لهذا الأساس يمكن التفرقة بين نوعين من الخطورة: </w:t>
      </w:r>
      <w:r w:rsidRPr="00A42379">
        <w:rPr>
          <w:rFonts w:ascii="Traditional Arabic" w:hAnsi="Traditional Arabic" w:cs="Traditional Arabic" w:hint="cs"/>
          <w:b/>
          <w:bCs/>
          <w:sz w:val="24"/>
          <w:szCs w:val="24"/>
          <w:rtl/>
          <w:lang w:bidi="ar-EG"/>
        </w:rPr>
        <w:t xml:space="preserve">(2017 </w:t>
      </w:r>
      <w:r w:rsidRPr="00A42379">
        <w:rPr>
          <w:rFonts w:ascii="Traditional Arabic" w:hAnsi="Traditional Arabic" w:cs="Traditional Arabic" w:hint="cs"/>
          <w:b/>
          <w:bCs/>
          <w:sz w:val="24"/>
          <w:szCs w:val="24"/>
          <w:lang w:bidi="ar-EG"/>
        </w:rPr>
        <w:t>Luoma</w:t>
      </w:r>
      <w:r w:rsidRPr="00A42379">
        <w:rPr>
          <w:rFonts w:ascii="Traditional Arabic" w:hAnsi="Traditional Arabic" w:cs="Traditional Arabic" w:hint="cs"/>
          <w:b/>
          <w:bCs/>
          <w:sz w:val="24"/>
          <w:szCs w:val="24"/>
          <w:rtl/>
          <w:lang w:bidi="ar-EG"/>
        </w:rPr>
        <w:t>)</w:t>
      </w:r>
    </w:p>
    <w:p w14:paraId="7F4EB553" w14:textId="48AAC7F7" w:rsidR="001A390A" w:rsidRPr="00A42379" w:rsidRDefault="001A390A">
      <w:pPr>
        <w:pStyle w:val="ListParagraph"/>
        <w:numPr>
          <w:ilvl w:val="0"/>
          <w:numId w:val="40"/>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مخاطر شاملة:</w:t>
      </w:r>
      <w:r w:rsidRPr="00A42379">
        <w:rPr>
          <w:rFonts w:ascii="Traditional Arabic" w:hAnsi="Traditional Arabic" w:cs="Traditional Arabic" w:hint="cs"/>
          <w:sz w:val="24"/>
          <w:szCs w:val="24"/>
          <w:rtl/>
          <w:lang w:bidi="ar-EG"/>
        </w:rPr>
        <w:t xml:space="preserve"> تصيب الدولة وتؤثر في مجتمعها كله فهي أزمات شاملة سواء في مسبباتها وما تنجم عنه وكذلك متطلبات علاجها، ولهذا النوع من المخاطر تأثيرات مختلفة ويشمل المخاطر المتصلة ببنية الدولة واقتصادها السياسي أو وضعها الأمني الداخلي أو الخارجي، فضلا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عن سيادتها واستقرارها السياسي والاجتماعي وهذه المخاطر تتطلب مواجهتها جهدا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كبيرا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بل تتطلب دعما خارجياً، وغالبا ما تحاول الدولة أو المنظمـة بتجنب السقوط التام في التوازن داخل المنظمـة والتوفيق بين الحاجة أو حماية البنيات المعرضة للخطر والرغبة في تجنب التصعيد السالب فيه للخطورة لتصبح خطورة شاملة.</w:t>
      </w:r>
    </w:p>
    <w:p w14:paraId="1DF10A51" w14:textId="5AC63B73" w:rsidR="00B94EB0" w:rsidRPr="00A42379" w:rsidRDefault="001A390A">
      <w:pPr>
        <w:pStyle w:val="ListParagraph"/>
        <w:numPr>
          <w:ilvl w:val="0"/>
          <w:numId w:val="40"/>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المخاطر الجزئية:</w:t>
      </w:r>
      <w:r w:rsidRPr="00A42379">
        <w:rPr>
          <w:rFonts w:ascii="Traditional Arabic" w:hAnsi="Traditional Arabic" w:cs="Traditional Arabic" w:hint="cs"/>
          <w:sz w:val="24"/>
          <w:szCs w:val="24"/>
          <w:rtl/>
          <w:lang w:bidi="ar-EG"/>
        </w:rPr>
        <w:t xml:space="preserve"> تمثل في مخاطر المشاريع أو الوحدات الإنتاجية أو قطاع بعينه وينحصر تأثيرها فيها إلا أنه قد يمتد إلـى المشروعات الأخرى المرتبطة بها بل يطول الدولة برمتها إن لم يكن السيطرة عليه، وهذا النوع من المخاطر يتميز بالتنوع والتعدد، طبقا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للكيان الذي قد ينشأ فيه إضافة إلـى التأثيرات المتباينة للمخاطر والمتمثلة في عوامل انتشارها وتكاملها ونشوئها، وفي هذا النوع من المخاطر يجب تدخل الدولة لمواجهة الخطورة ومعالجتها، إن لم يتمكن الكيان الإداري الذي تأثر بها من مواجهتها.</w:t>
      </w:r>
    </w:p>
    <w:p w14:paraId="5A4B8DB0" w14:textId="606DA018" w:rsidR="00B94EB0" w:rsidRPr="004149BB" w:rsidRDefault="00A44ABC" w:rsidP="00B94EB0">
      <w:pPr>
        <w:bidi/>
        <w:spacing w:before="120" w:after="120" w:line="240" w:lineRule="auto"/>
        <w:rPr>
          <w:rFonts w:ascii="Traditional Arabic" w:hAnsi="Traditional Arabic" w:cs="Traditional Arabic"/>
          <w:b/>
          <w:bCs/>
          <w:spacing w:val="-6"/>
          <w:sz w:val="28"/>
          <w:szCs w:val="28"/>
          <w:rtl/>
        </w:rPr>
      </w:pPr>
      <w:r w:rsidRPr="004149BB">
        <w:rPr>
          <w:rFonts w:ascii="Traditional Arabic" w:hAnsi="Traditional Arabic" w:cs="Traditional Arabic" w:hint="cs"/>
          <w:b/>
          <w:bCs/>
          <w:spacing w:val="-6"/>
          <w:sz w:val="28"/>
          <w:szCs w:val="28"/>
          <w:rtl/>
        </w:rPr>
        <w:lastRenderedPageBreak/>
        <w:t xml:space="preserve">سابعاً : </w:t>
      </w:r>
      <w:r w:rsidR="00B94EB0" w:rsidRPr="004149BB">
        <w:rPr>
          <w:rFonts w:ascii="Traditional Arabic" w:hAnsi="Traditional Arabic" w:cs="Traditional Arabic" w:hint="cs"/>
          <w:b/>
          <w:bCs/>
          <w:spacing w:val="-6"/>
          <w:sz w:val="28"/>
          <w:szCs w:val="28"/>
          <w:rtl/>
        </w:rPr>
        <w:t>برامج إدارة المخاطر:</w:t>
      </w:r>
    </w:p>
    <w:p w14:paraId="1F87885C"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يمكن وضع برنامج لإدارة المخاطر من خلال إبراز خطوات ومراحل إدارة المخاطر الموضوعة من طرف المؤسسة ويوضح الخطوط العريضة لهذه العملية، والبدء من الإطار الزمني إلى تحديد المخاطر الأساسية التي يمكن إدارتها من خلال تحليلها وتقييمها وتحديد أساليب التعامل معها، بما يقترحه فريق إدارة المخاطر ويصادق عليه مجلس إدارة المؤسسة، ويكون هذا البرنامج حجر أساس لأي نظام لإدارتها، ويكون برنامج إدارة المخاطر في غالب الأحيان على شكل جداول تحدد جميع نقاط ممارسة نشاط إدارة المخاطر. </w:t>
      </w:r>
    </w:p>
    <w:p w14:paraId="2D86E8B8"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كما أن هناك أربع مراحل رئيسية لإدارة المخاطر التي تتعرض لها المؤسسات، وهي تعريف وتحديد هذه المخاطر، وفحصها وقياسها لتحديد ما يمكن تحمله منها بإيجاد أدوات مناسبة للتعامل معها، ومراقبة عمل هذه الأدوات، قصد ضمان السير الحسن للمؤسسة بمستوى مناسب من المخاطر الذي يتم قبوله من طرف المؤسسة.</w:t>
      </w:r>
    </w:p>
    <w:p w14:paraId="2B9AB6A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ومن هنا تبدأ عملية إدارة المخاطر بصفة عامة من الشيء المادي ثم الانتقال إلى القضايا الاستراتيجية، إلا أن في المؤسسة الصغيرة والمتوسطة فالأمر قد يختلف فيمكن البدء بشكل مسبق أو لاحق من السياسة أو التخطيط، وفي الأخير نستنتج أن الإدارة العليا هي التي تحدد النقطة أو وحدة النشاط أو مستوى البدء في عملية إدارة المخاطر.</w:t>
      </w:r>
    </w:p>
    <w:p w14:paraId="695D2BE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ومنه قامت المنظمة العالمية للمعايرة ( </w:t>
      </w:r>
      <w:r w:rsidRPr="00A42379">
        <w:rPr>
          <w:rFonts w:ascii="Traditional Arabic" w:hAnsi="Traditional Arabic" w:cs="Traditional Arabic" w:hint="cs"/>
          <w:spacing w:val="-6"/>
          <w:sz w:val="24"/>
          <w:szCs w:val="24"/>
        </w:rPr>
        <w:t>ISO</w:t>
      </w:r>
      <w:r w:rsidRPr="00A42379">
        <w:rPr>
          <w:rFonts w:ascii="Traditional Arabic" w:hAnsi="Traditional Arabic" w:cs="Traditional Arabic" w:hint="cs"/>
          <w:spacing w:val="-6"/>
          <w:sz w:val="24"/>
          <w:szCs w:val="24"/>
          <w:rtl/>
        </w:rPr>
        <w:t xml:space="preserve">) بإصدار المعيار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المخاطر وهو عائلة من المعايير المتعلقة بإدارة المخاطر المقننة من قبل هذه المنظمة ؛ والغرض من هذا توفير مبادئ ودلائل توجيهية عامة في إدارة المخاطر ويسعى هذا المعيار( </w:t>
      </w:r>
      <w:r w:rsidRPr="00A42379">
        <w:rPr>
          <w:rFonts w:ascii="Traditional Arabic" w:hAnsi="Traditional Arabic" w:cs="Traditional Arabic" w:hint="cs"/>
          <w:spacing w:val="-6"/>
          <w:sz w:val="24"/>
          <w:szCs w:val="24"/>
        </w:rPr>
        <w:t>(ISO) (31000:2009</w:t>
      </w:r>
      <w:r w:rsidRPr="00A42379">
        <w:rPr>
          <w:rFonts w:ascii="Traditional Arabic" w:hAnsi="Traditional Arabic" w:cs="Traditional Arabic" w:hint="cs"/>
          <w:spacing w:val="-6"/>
          <w:sz w:val="24"/>
          <w:szCs w:val="24"/>
          <w:rtl/>
        </w:rPr>
        <w:t xml:space="preserve"> إلى تقديم نموذج لتصميم وتنفيذ وصيانة عمليات إدارة المخاطر لمختلف الشركات، وهذا لإضفاء الطابع الرسمي لممارسات إدارة المخاطر يكون معترف بها عالمياً للعاملين في الشركات التي تقوم بإجراءات إدارة المخاطر، لتحل محل عدد لا يحصى من المعايير القائمة والمنهجيات والنماذج التي تختلف بين الصناعات والموضوعات والمناطق(عصماني عبد القادر، 2009، 13).</w:t>
      </w:r>
    </w:p>
    <w:p w14:paraId="36695E6F" w14:textId="77777777" w:rsidR="00B94EB0" w:rsidRPr="00E9530D" w:rsidRDefault="00B94EB0" w:rsidP="00B94EB0">
      <w:pPr>
        <w:bidi/>
        <w:spacing w:before="120" w:after="120" w:line="240" w:lineRule="auto"/>
        <w:rPr>
          <w:rFonts w:ascii="Traditional Arabic" w:hAnsi="Traditional Arabic" w:cs="Traditional Arabic"/>
          <w:b/>
          <w:bCs/>
          <w:spacing w:val="-6"/>
          <w:sz w:val="28"/>
          <w:szCs w:val="28"/>
          <w:rtl/>
        </w:rPr>
      </w:pPr>
      <w:r w:rsidRPr="00E9530D">
        <w:rPr>
          <w:rFonts w:ascii="Traditional Arabic" w:hAnsi="Traditional Arabic" w:cs="Traditional Arabic" w:hint="cs"/>
          <w:b/>
          <w:bCs/>
          <w:spacing w:val="-6"/>
          <w:sz w:val="28"/>
          <w:szCs w:val="28"/>
          <w:rtl/>
        </w:rPr>
        <w:t xml:space="preserve">وتشمل أسرة شهادة </w:t>
      </w:r>
      <w:r w:rsidRPr="00E9530D">
        <w:rPr>
          <w:rFonts w:ascii="Traditional Arabic" w:hAnsi="Traditional Arabic" w:cs="Traditional Arabic" w:hint="cs"/>
          <w:b/>
          <w:bCs/>
          <w:spacing w:val="-6"/>
          <w:sz w:val="28"/>
          <w:szCs w:val="28"/>
        </w:rPr>
        <w:t>ISO31000</w:t>
      </w:r>
      <w:r w:rsidRPr="00E9530D">
        <w:rPr>
          <w:rFonts w:ascii="Traditional Arabic" w:hAnsi="Traditional Arabic" w:cs="Traditional Arabic" w:hint="cs"/>
          <w:b/>
          <w:bCs/>
          <w:spacing w:val="-6"/>
          <w:sz w:val="28"/>
          <w:szCs w:val="28"/>
          <w:rtl/>
        </w:rPr>
        <w:t xml:space="preserve"> حالياً، على ما يلي :</w:t>
      </w:r>
    </w:p>
    <w:p w14:paraId="0358A04B"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ISO31000</w:t>
      </w:r>
      <w:r w:rsidRPr="00A42379">
        <w:rPr>
          <w:rFonts w:ascii="Traditional Arabic" w:hAnsi="Traditional Arabic" w:cs="Traditional Arabic" w:hint="cs"/>
          <w:spacing w:val="-6"/>
          <w:sz w:val="24"/>
          <w:szCs w:val="24"/>
          <w:rtl/>
        </w:rPr>
        <w:t xml:space="preserve"> المبادئ والخطوط التوجيهية لممارسة إدارة المخاطر</w:t>
      </w:r>
      <w:r w:rsidRPr="00A42379">
        <w:rPr>
          <w:rFonts w:ascii="Traditional Arabic" w:hAnsi="Traditional Arabic" w:cs="Traditional Arabic" w:hint="cs"/>
          <w:spacing w:val="-6"/>
          <w:sz w:val="24"/>
          <w:szCs w:val="24"/>
          <w:rtl/>
          <w:lang w:bidi="ar-EG"/>
        </w:rPr>
        <w:t>.</w:t>
      </w:r>
      <w:r w:rsidRPr="00A42379">
        <w:rPr>
          <w:rFonts w:ascii="Traditional Arabic" w:hAnsi="Traditional Arabic" w:cs="Traditional Arabic" w:hint="cs"/>
          <w:spacing w:val="-6"/>
          <w:sz w:val="24"/>
          <w:szCs w:val="24"/>
          <w:rtl/>
        </w:rPr>
        <w:t xml:space="preserve"> </w:t>
      </w:r>
    </w:p>
    <w:p w14:paraId="7A0A1A29"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31010 IEC</w:t>
      </w:r>
      <w:r w:rsidRPr="00A42379">
        <w:rPr>
          <w:rFonts w:ascii="Traditional Arabic" w:hAnsi="Traditional Arabic" w:cs="Traditional Arabic" w:hint="cs"/>
          <w:spacing w:val="-6"/>
          <w:sz w:val="24"/>
          <w:szCs w:val="24"/>
          <w:rtl/>
        </w:rPr>
        <w:t xml:space="preserve"> لإدارة المخاطر خاص بتقنيات .</w:t>
      </w:r>
    </w:p>
    <w:p w14:paraId="709A8A95"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تقييم </w:t>
      </w:r>
      <w:r w:rsidRPr="00A42379">
        <w:rPr>
          <w:rFonts w:ascii="Traditional Arabic" w:hAnsi="Traditional Arabic" w:cs="Traditional Arabic" w:hint="cs"/>
          <w:spacing w:val="-6"/>
          <w:sz w:val="24"/>
          <w:szCs w:val="24"/>
        </w:rPr>
        <w:t>ISO/IEC73</w:t>
      </w:r>
      <w:r w:rsidRPr="00A42379">
        <w:rPr>
          <w:rFonts w:ascii="Traditional Arabic" w:hAnsi="Traditional Arabic" w:cs="Traditional Arabic" w:hint="cs"/>
          <w:spacing w:val="-6"/>
          <w:sz w:val="24"/>
          <w:szCs w:val="24"/>
          <w:rtl/>
          <w:lang w:bidi="ar-EG"/>
        </w:rPr>
        <w:t xml:space="preserve"> بصفة أكبر على تحقيق الانسجام بين البرامج، وشمل:</w:t>
      </w:r>
    </w:p>
    <w:p w14:paraId="73C36159" w14:textId="77777777" w:rsidR="00B94EB0" w:rsidRPr="00A42379" w:rsidRDefault="00B94EB0" w:rsidP="00E9530D">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نقل ثغرات المسؤولية إلى إدارة مخاطر المؤسسة ، دمج نظام إدارة آليات الإبلاع التوفيق بين أهداف برامج الحوكمة مع هذا المعيار ، خلق معايير وتقييم قياسي موحد للمخاطر ونطاق هذا النهج لإدارة المخاطر هو تمكين المهام الاستراتيجية، والإدارية، والتشغيلية للمؤسسة في جميع الإجراءات والمشاريع والوظائف لأن تكون متماشية مع مجموعة الأهداف المشتركة لإدارة المخاطر.</w:t>
      </w:r>
    </w:p>
    <w:p w14:paraId="297A90D7" w14:textId="77777777" w:rsidR="00B94EB0" w:rsidRPr="00A42379" w:rsidRDefault="00B94EB0" w:rsidP="00E9530D">
      <w:p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 </w:t>
      </w:r>
      <w:r w:rsidRPr="00A42379">
        <w:rPr>
          <w:rFonts w:ascii="Traditional Arabic" w:hAnsi="Traditional Arabic" w:cs="Traditional Arabic" w:hint="cs"/>
          <w:spacing w:val="-6"/>
          <w:sz w:val="24"/>
          <w:szCs w:val="24"/>
        </w:rPr>
        <w:t>2009</w:t>
      </w:r>
      <w:r w:rsidRPr="00A42379">
        <w:rPr>
          <w:rFonts w:ascii="Traditional Arabic" w:hAnsi="Traditional Arabic" w:cs="Traditional Arabic" w:hint="cs"/>
          <w:spacing w:val="-6"/>
          <w:sz w:val="24"/>
          <w:szCs w:val="24"/>
          <w:rtl/>
        </w:rPr>
        <w:t xml:space="preserve"> ) مخصص لمجموعة واسعة من أصحاب المصلحة بما في ذلك :</w:t>
      </w:r>
    </w:p>
    <w:p w14:paraId="5E13452C"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lastRenderedPageBreak/>
        <w:t>أصحاب المصلحة على الصعيد التنفيذي.</w:t>
      </w:r>
    </w:p>
    <w:p w14:paraId="24518440"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المدراء التنفيذيون ومديري المشاريع .</w:t>
      </w:r>
    </w:p>
    <w:p w14:paraId="664B47DD"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 الموظفين في مجموعة إدارة المخاطر في المؤسسة .</w:t>
      </w:r>
    </w:p>
    <w:p w14:paraId="7110E776"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المدققين الداخلين والخارجيين. </w:t>
      </w:r>
    </w:p>
    <w:p w14:paraId="308C9593"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المحللون والمسؤولون عن إدارة المخاطر.</w:t>
      </w:r>
    </w:p>
    <w:p w14:paraId="1C52FE0C" w14:textId="77777777" w:rsidR="00B94EB0" w:rsidRPr="00A42379" w:rsidRDefault="00B94EB0">
      <w:pPr>
        <w:numPr>
          <w:ilvl w:val="0"/>
          <w:numId w:val="12"/>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 الممارسون المستقلون (عصماني عبد القادر، 2009، 13).</w:t>
      </w:r>
    </w:p>
    <w:p w14:paraId="6454329E" w14:textId="77777777" w:rsidR="007B6CBF" w:rsidRDefault="007B6CBF" w:rsidP="00B94EB0">
      <w:pPr>
        <w:bidi/>
        <w:spacing w:before="120" w:after="120" w:line="240" w:lineRule="auto"/>
        <w:rPr>
          <w:rFonts w:ascii="Simplified Arabic" w:hAnsi="Simplified Arabic" w:cs="Simplified Arabic"/>
          <w:b/>
          <w:bCs/>
          <w:spacing w:val="-6"/>
          <w:sz w:val="32"/>
          <w:szCs w:val="32"/>
          <w:rtl/>
        </w:rPr>
      </w:pPr>
    </w:p>
    <w:p w14:paraId="22C8C78C"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B93749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515FBE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CC6E4F6"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F094E8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55B4E4A"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192A3EE"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67E60F"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0A0CA13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81DE90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A4F16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858ECA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2E583AE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CDCE9FD"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E83EBAE" w14:textId="09D7F4F4" w:rsidR="00B94EB0" w:rsidRPr="009B05B8" w:rsidRDefault="00A44ABC" w:rsidP="007B6CBF">
      <w:pPr>
        <w:bidi/>
        <w:spacing w:before="120" w:after="120" w:line="240" w:lineRule="auto"/>
        <w:rPr>
          <w:rFonts w:ascii="Traditional Arabic" w:hAnsi="Traditional Arabic" w:cs="Traditional Arabic"/>
          <w:b/>
          <w:bCs/>
          <w:spacing w:val="-6"/>
          <w:sz w:val="28"/>
          <w:szCs w:val="28"/>
          <w:rtl/>
        </w:rPr>
      </w:pPr>
      <w:r w:rsidRPr="009B05B8">
        <w:rPr>
          <w:rFonts w:ascii="Traditional Arabic" w:hAnsi="Traditional Arabic" w:cs="Traditional Arabic" w:hint="cs"/>
          <w:b/>
          <w:bCs/>
          <w:spacing w:val="-6"/>
          <w:sz w:val="28"/>
          <w:szCs w:val="28"/>
          <w:rtl/>
        </w:rPr>
        <w:lastRenderedPageBreak/>
        <w:t xml:space="preserve">ثامناً : </w:t>
      </w:r>
      <w:r w:rsidR="00B94EB0" w:rsidRPr="009B05B8">
        <w:rPr>
          <w:rFonts w:ascii="Traditional Arabic" w:hAnsi="Traditional Arabic" w:cs="Traditional Arabic" w:hint="cs"/>
          <w:b/>
          <w:bCs/>
          <w:spacing w:val="-6"/>
          <w:sz w:val="28"/>
          <w:szCs w:val="28"/>
          <w:rtl/>
        </w:rPr>
        <w:t>النظريات المفسرة لإدارة المخاطر:</w:t>
      </w:r>
    </w:p>
    <w:p w14:paraId="080243E3" w14:textId="79127182" w:rsidR="00FF1E0A" w:rsidRPr="009B05B8" w:rsidRDefault="00FF1E0A" w:rsidP="00FF1E0A">
      <w:pPr>
        <w:bidi/>
        <w:spacing w:before="120" w:after="120" w:line="240" w:lineRule="auto"/>
        <w:jc w:val="center"/>
        <w:rPr>
          <w:rFonts w:ascii="Traditional Arabic" w:hAnsi="Traditional Arabic" w:cs="Traditional Arabic"/>
          <w:b/>
          <w:bCs/>
          <w:spacing w:val="-6"/>
          <w:sz w:val="24"/>
          <w:szCs w:val="24"/>
          <w:rtl/>
        </w:rPr>
      </w:pPr>
      <w:r w:rsidRPr="009B05B8">
        <w:rPr>
          <w:rFonts w:ascii="Traditional Arabic" w:hAnsi="Traditional Arabic" w:cs="Traditional Arabic" w:hint="cs"/>
          <w:b/>
          <w:bCs/>
          <w:spacing w:val="-6"/>
          <w:sz w:val="24"/>
          <w:szCs w:val="24"/>
          <w:rtl/>
        </w:rPr>
        <w:t xml:space="preserve">جدول ( </w:t>
      </w:r>
      <w:r w:rsidR="006441C4" w:rsidRPr="009B05B8">
        <w:rPr>
          <w:rFonts w:ascii="Traditional Arabic" w:hAnsi="Traditional Arabic" w:cs="Traditional Arabic" w:hint="cs"/>
          <w:b/>
          <w:bCs/>
          <w:spacing w:val="-6"/>
          <w:sz w:val="24"/>
          <w:szCs w:val="24"/>
          <w:rtl/>
        </w:rPr>
        <w:t xml:space="preserve">4 </w:t>
      </w:r>
      <w:r w:rsidRPr="009B05B8">
        <w:rPr>
          <w:rFonts w:ascii="Traditional Arabic" w:hAnsi="Traditional Arabic" w:cs="Traditional Arabic" w:hint="cs"/>
          <w:b/>
          <w:bCs/>
          <w:spacing w:val="-6"/>
          <w:sz w:val="24"/>
          <w:szCs w:val="24"/>
          <w:rtl/>
        </w:rPr>
        <w:t xml:space="preserve">) </w:t>
      </w:r>
      <w:r w:rsidR="005A5029" w:rsidRPr="009B05B8">
        <w:rPr>
          <w:rFonts w:ascii="Traditional Arabic" w:hAnsi="Traditional Arabic" w:cs="Traditional Arabic" w:hint="cs"/>
          <w:b/>
          <w:bCs/>
          <w:spacing w:val="-6"/>
          <w:sz w:val="24"/>
          <w:szCs w:val="24"/>
          <w:rtl/>
        </w:rPr>
        <w:t xml:space="preserve">يوضح </w:t>
      </w:r>
      <w:r w:rsidRPr="009B05B8">
        <w:rPr>
          <w:rFonts w:ascii="Traditional Arabic" w:hAnsi="Traditional Arabic" w:cs="Traditional Arabic" w:hint="cs"/>
          <w:b/>
          <w:bCs/>
          <w:spacing w:val="-6"/>
          <w:sz w:val="24"/>
          <w:szCs w:val="24"/>
          <w:rtl/>
        </w:rPr>
        <w:t>نظريات إدارة المخاطر</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728"/>
        <w:gridCol w:w="1105"/>
        <w:gridCol w:w="1973"/>
        <w:gridCol w:w="1725"/>
        <w:gridCol w:w="1759"/>
      </w:tblGrid>
      <w:tr w:rsidR="00EF60E9" w:rsidRPr="009B05B8" w14:paraId="2AA01B68" w14:textId="77777777" w:rsidTr="009B05B8">
        <w:trPr>
          <w:tblHeader/>
          <w:tblCellSpacing w:w="15" w:type="dxa"/>
          <w:jc w:val="center"/>
        </w:trPr>
        <w:tc>
          <w:tcPr>
            <w:tcW w:w="1014" w:type="pct"/>
            <w:shd w:val="clear" w:color="auto" w:fill="E5DFEC" w:themeFill="accent4" w:themeFillTint="33"/>
            <w:vAlign w:val="center"/>
            <w:hideMark/>
          </w:tcPr>
          <w:p w14:paraId="470F2E23" w14:textId="7EB13DA9"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التوثيق</w:t>
            </w:r>
          </w:p>
        </w:tc>
        <w:tc>
          <w:tcPr>
            <w:tcW w:w="649" w:type="pct"/>
            <w:shd w:val="clear" w:color="auto" w:fill="E5DFEC" w:themeFill="accent4" w:themeFillTint="33"/>
            <w:vAlign w:val="center"/>
            <w:hideMark/>
          </w:tcPr>
          <w:p w14:paraId="2C69CC88" w14:textId="1A3BAEE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الأبعاد المقترحة</w:t>
            </w:r>
          </w:p>
        </w:tc>
        <w:tc>
          <w:tcPr>
            <w:tcW w:w="1172" w:type="pct"/>
            <w:shd w:val="clear" w:color="auto" w:fill="E5DFEC" w:themeFill="accent4" w:themeFillTint="33"/>
            <w:vAlign w:val="center"/>
            <w:hideMark/>
          </w:tcPr>
          <w:p w14:paraId="71D852BF" w14:textId="1494598A"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المبادئ الأساسية</w:t>
            </w:r>
          </w:p>
        </w:tc>
        <w:tc>
          <w:tcPr>
            <w:tcW w:w="1022" w:type="pct"/>
            <w:shd w:val="clear" w:color="auto" w:fill="E5DFEC" w:themeFill="accent4" w:themeFillTint="33"/>
            <w:vAlign w:val="center"/>
            <w:hideMark/>
          </w:tcPr>
          <w:p w14:paraId="12EB6552" w14:textId="0C5784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صاحب النظرية وتاريخها</w:t>
            </w:r>
          </w:p>
        </w:tc>
        <w:tc>
          <w:tcPr>
            <w:tcW w:w="1034" w:type="pct"/>
            <w:shd w:val="clear" w:color="auto" w:fill="E5DFEC" w:themeFill="accent4" w:themeFillTint="33"/>
            <w:vAlign w:val="center"/>
            <w:hideMark/>
          </w:tcPr>
          <w:p w14:paraId="6B9ABF0C" w14:textId="728C52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اسم النظرية</w:t>
            </w:r>
          </w:p>
        </w:tc>
      </w:tr>
      <w:tr w:rsidR="00EF60E9" w:rsidRPr="009B05B8" w14:paraId="1C31B377" w14:textId="77777777" w:rsidTr="009B05B8">
        <w:trPr>
          <w:tblCellSpacing w:w="15" w:type="dxa"/>
          <w:jc w:val="center"/>
        </w:trPr>
        <w:tc>
          <w:tcPr>
            <w:tcW w:w="1014" w:type="pct"/>
            <w:vAlign w:val="center"/>
            <w:hideMark/>
          </w:tcPr>
          <w:p w14:paraId="5B483BEC" w14:textId="2FFE723B"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Beck, U. (1986)..</w:t>
            </w:r>
          </w:p>
        </w:tc>
        <w:tc>
          <w:tcPr>
            <w:tcW w:w="649" w:type="pct"/>
            <w:vAlign w:val="center"/>
            <w:hideMark/>
          </w:tcPr>
          <w:p w14:paraId="7D2FB01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البيئي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الاجتماعي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السياسي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p>
        </w:tc>
        <w:tc>
          <w:tcPr>
            <w:tcW w:w="1172" w:type="pct"/>
            <w:vAlign w:val="center"/>
            <w:hideMark/>
          </w:tcPr>
          <w:p w14:paraId="298336A7" w14:textId="139C6D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w:t>
            </w:r>
            <w:r w:rsidR="00FF1E0A" w:rsidRPr="009B05B8">
              <w:rPr>
                <w:rFonts w:ascii="Traditional Arabic" w:hAnsi="Traditional Arabic" w:cs="Traditional Arabic" w:hint="cs"/>
                <w:b/>
                <w:bCs/>
                <w:sz w:val="24"/>
                <w:szCs w:val="24"/>
                <w:rtl/>
              </w:rPr>
              <w:t xml:space="preserve"> </w:t>
            </w:r>
            <w:r w:rsidRPr="009B05B8">
              <w:rPr>
                <w:rFonts w:ascii="Traditional Arabic" w:hAnsi="Traditional Arabic" w:cs="Traditional Arabic" w:hint="cs"/>
                <w:b/>
                <w:bCs/>
                <w:sz w:val="24"/>
                <w:szCs w:val="24"/>
                <w:rtl/>
              </w:rPr>
              <w:t>المجتمعات الحديثة تواجه مخاطر من صنع الإنسان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المخاطر غير مرئية وعابرة للحدود</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توزيع غير عادل للمخاطر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مصدر للقلق</w:t>
            </w:r>
          </w:p>
        </w:tc>
        <w:tc>
          <w:tcPr>
            <w:tcW w:w="1022" w:type="pct"/>
            <w:vAlign w:val="center"/>
            <w:hideMark/>
          </w:tcPr>
          <w:p w14:paraId="29D4657C"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أولريش بيك – 1986</w:t>
            </w:r>
          </w:p>
        </w:tc>
        <w:tc>
          <w:tcPr>
            <w:tcW w:w="1034" w:type="pct"/>
            <w:vAlign w:val="center"/>
            <w:hideMark/>
          </w:tcPr>
          <w:p w14:paraId="5445FE1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أولريش بيك (مجتمع المخاطر)</w:t>
            </w:r>
          </w:p>
        </w:tc>
      </w:tr>
      <w:tr w:rsidR="00EF60E9" w:rsidRPr="009B05B8" w14:paraId="776A33B4" w14:textId="77777777" w:rsidTr="009B05B8">
        <w:trPr>
          <w:tblCellSpacing w:w="15" w:type="dxa"/>
          <w:jc w:val="center"/>
        </w:trPr>
        <w:tc>
          <w:tcPr>
            <w:tcW w:w="1014" w:type="pct"/>
            <w:vAlign w:val="center"/>
            <w:hideMark/>
          </w:tcPr>
          <w:p w14:paraId="39BEA06A" w14:textId="0CF61A02"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Giddens, A. (1984)..</w:t>
            </w:r>
          </w:p>
        </w:tc>
        <w:tc>
          <w:tcPr>
            <w:tcW w:w="649" w:type="pct"/>
            <w:vAlign w:val="center"/>
            <w:hideMark/>
          </w:tcPr>
          <w:p w14:paraId="611CE79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الزمني والمكاني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التفاعلي</w:t>
            </w:r>
          </w:p>
        </w:tc>
        <w:tc>
          <w:tcPr>
            <w:tcW w:w="1172" w:type="pct"/>
            <w:vAlign w:val="center"/>
            <w:hideMark/>
          </w:tcPr>
          <w:p w14:paraId="2CED409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ازدواجية البنية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الفاعلية في تشكيل ثقافة السلامة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الانعكاسية</w:t>
            </w:r>
          </w:p>
        </w:tc>
        <w:tc>
          <w:tcPr>
            <w:tcW w:w="1022" w:type="pct"/>
            <w:vAlign w:val="center"/>
            <w:hideMark/>
          </w:tcPr>
          <w:p w14:paraId="24D44F5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أنتوني جيدنز – 1984</w:t>
            </w:r>
          </w:p>
        </w:tc>
        <w:tc>
          <w:tcPr>
            <w:tcW w:w="1034" w:type="pct"/>
            <w:vAlign w:val="center"/>
            <w:hideMark/>
          </w:tcPr>
          <w:p w14:paraId="7FF50FC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أنتوني جيدنز (الحداثة الانعكاسية)</w:t>
            </w:r>
          </w:p>
        </w:tc>
      </w:tr>
      <w:tr w:rsidR="00EF60E9" w:rsidRPr="009B05B8" w14:paraId="519767B0" w14:textId="77777777" w:rsidTr="009B05B8">
        <w:trPr>
          <w:tblCellSpacing w:w="15" w:type="dxa"/>
          <w:jc w:val="center"/>
        </w:trPr>
        <w:tc>
          <w:tcPr>
            <w:tcW w:w="1014" w:type="pct"/>
            <w:vAlign w:val="center"/>
            <w:hideMark/>
          </w:tcPr>
          <w:p w14:paraId="404E8371" w14:textId="28FDAC7D"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عفيفي، م</w:t>
            </w:r>
            <w:r w:rsidRPr="009B05B8">
              <w:rPr>
                <w:rFonts w:ascii="Traditional Arabic" w:hAnsi="Traditional Arabic" w:cs="Traditional Arabic" w:hint="cs"/>
                <w:b/>
                <w:bCs/>
                <w:sz w:val="24"/>
                <w:szCs w:val="24"/>
              </w:rPr>
              <w:t xml:space="preserve">. (2024). </w:t>
            </w:r>
          </w:p>
        </w:tc>
        <w:tc>
          <w:tcPr>
            <w:tcW w:w="649" w:type="pct"/>
            <w:vAlign w:val="center"/>
            <w:hideMark/>
          </w:tcPr>
          <w:p w14:paraId="1F15540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التشغيلي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p>
        </w:tc>
        <w:tc>
          <w:tcPr>
            <w:tcW w:w="1172" w:type="pct"/>
            <w:vAlign w:val="center"/>
            <w:hideMark/>
          </w:tcPr>
          <w:p w14:paraId="104653F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البيانات لتقدير المخاطر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أدوات كمية مثل مونت كارلو</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قرارات مبنية على الأدلة</w:t>
            </w:r>
          </w:p>
        </w:tc>
        <w:tc>
          <w:tcPr>
            <w:tcW w:w="1022" w:type="pct"/>
            <w:vAlign w:val="center"/>
            <w:hideMark/>
          </w:tcPr>
          <w:p w14:paraId="750ED029"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مساهمات متعددة – منذ منتصف القرن 20</w:t>
            </w:r>
          </w:p>
        </w:tc>
        <w:tc>
          <w:tcPr>
            <w:tcW w:w="1034" w:type="pct"/>
            <w:vAlign w:val="center"/>
            <w:hideMark/>
          </w:tcPr>
          <w:p w14:paraId="5454BB0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النظرية الكمية</w:t>
            </w:r>
          </w:p>
        </w:tc>
      </w:tr>
      <w:tr w:rsidR="00EF60E9" w:rsidRPr="009B05B8" w14:paraId="16459CD8" w14:textId="77777777" w:rsidTr="009B05B8">
        <w:trPr>
          <w:tblCellSpacing w:w="15" w:type="dxa"/>
          <w:jc w:val="center"/>
        </w:trPr>
        <w:tc>
          <w:tcPr>
            <w:tcW w:w="1014" w:type="pct"/>
            <w:vAlign w:val="center"/>
            <w:hideMark/>
          </w:tcPr>
          <w:p w14:paraId="38719F9B" w14:textId="6BE4CED3"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(2023).</w:t>
            </w:r>
          </w:p>
        </w:tc>
        <w:tc>
          <w:tcPr>
            <w:tcW w:w="649" w:type="pct"/>
            <w:vAlign w:val="center"/>
            <w:hideMark/>
          </w:tcPr>
          <w:p w14:paraId="7A04E0E3"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 xml:space="preserve">البعد </w:t>
            </w:r>
            <w:r w:rsidRPr="009B05B8">
              <w:rPr>
                <w:rFonts w:ascii="Traditional Arabic" w:hAnsi="Traditional Arabic" w:cs="Traditional Arabic" w:hint="cs"/>
                <w:b/>
                <w:bCs/>
                <w:sz w:val="24"/>
                <w:szCs w:val="24"/>
                <w:rtl/>
              </w:rPr>
              <w:lastRenderedPageBreak/>
              <w:t>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البيئي</w:t>
            </w:r>
          </w:p>
        </w:tc>
        <w:tc>
          <w:tcPr>
            <w:tcW w:w="1172" w:type="pct"/>
            <w:vAlign w:val="center"/>
            <w:hideMark/>
          </w:tcPr>
          <w:p w14:paraId="28344DAA"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lastRenderedPageBreak/>
              <w:t xml:space="preserve">- </w:t>
            </w:r>
            <w:r w:rsidRPr="009B05B8">
              <w:rPr>
                <w:rFonts w:ascii="Traditional Arabic" w:hAnsi="Traditional Arabic" w:cs="Traditional Arabic" w:hint="cs"/>
                <w:b/>
                <w:bCs/>
                <w:sz w:val="24"/>
                <w:szCs w:val="24"/>
                <w:rtl/>
              </w:rPr>
              <w:t>المستشفى كنظام مفتوح</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التفاعل لتحقيق التوازن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تحسين التنسيق</w:t>
            </w:r>
          </w:p>
        </w:tc>
        <w:tc>
          <w:tcPr>
            <w:tcW w:w="1022" w:type="pct"/>
            <w:vAlign w:val="center"/>
            <w:hideMark/>
          </w:tcPr>
          <w:p w14:paraId="79944D7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لودفيغ فون بيرتالانفي – 1950</w:t>
            </w:r>
            <w:r w:rsidRPr="009B05B8">
              <w:rPr>
                <w:rFonts w:ascii="Traditional Arabic" w:hAnsi="Traditional Arabic" w:cs="Traditional Arabic" w:hint="cs"/>
                <w:b/>
                <w:bCs/>
                <w:sz w:val="24"/>
                <w:szCs w:val="24"/>
              </w:rPr>
              <w:t>s</w:t>
            </w:r>
          </w:p>
        </w:tc>
        <w:tc>
          <w:tcPr>
            <w:tcW w:w="1034" w:type="pct"/>
            <w:vAlign w:val="center"/>
            <w:hideMark/>
          </w:tcPr>
          <w:p w14:paraId="496DD9B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النظم</w:t>
            </w:r>
          </w:p>
        </w:tc>
      </w:tr>
      <w:tr w:rsidR="00EF60E9" w:rsidRPr="009B05B8" w14:paraId="47A54E88" w14:textId="77777777" w:rsidTr="009B05B8">
        <w:trPr>
          <w:tblCellSpacing w:w="15" w:type="dxa"/>
          <w:jc w:val="center"/>
        </w:trPr>
        <w:tc>
          <w:tcPr>
            <w:tcW w:w="1014" w:type="pct"/>
            <w:vAlign w:val="center"/>
            <w:hideMark/>
          </w:tcPr>
          <w:p w14:paraId="079EC4C4" w14:textId="75897A14"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الأكاديمية البريطانية</w:t>
            </w:r>
            <w:r w:rsidRPr="009B05B8">
              <w:rPr>
                <w:rFonts w:ascii="Traditional Arabic" w:hAnsi="Traditional Arabic" w:cs="Traditional Arabic" w:hint="cs"/>
                <w:b/>
                <w:bCs/>
                <w:sz w:val="24"/>
                <w:szCs w:val="24"/>
              </w:rPr>
              <w:t>. (2024).</w:t>
            </w:r>
          </w:p>
        </w:tc>
        <w:tc>
          <w:tcPr>
            <w:tcW w:w="649" w:type="pct"/>
            <w:vAlign w:val="center"/>
            <w:hideMark/>
          </w:tcPr>
          <w:p w14:paraId="70EF52D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التشخيصي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p>
        </w:tc>
        <w:tc>
          <w:tcPr>
            <w:tcW w:w="1172" w:type="pct"/>
            <w:vAlign w:val="center"/>
            <w:hideMark/>
          </w:tcPr>
          <w:p w14:paraId="2848FDEF"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احتمالية الأحداث</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تحديد أولويات التدخل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تصميم نماذج تنبؤية</w:t>
            </w:r>
          </w:p>
        </w:tc>
        <w:tc>
          <w:tcPr>
            <w:tcW w:w="1022" w:type="pct"/>
            <w:vAlign w:val="center"/>
            <w:hideMark/>
          </w:tcPr>
          <w:p w14:paraId="134283C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باسكال وفيرما – القرن 17</w:t>
            </w:r>
          </w:p>
        </w:tc>
        <w:tc>
          <w:tcPr>
            <w:tcW w:w="1034" w:type="pct"/>
            <w:vAlign w:val="center"/>
            <w:hideMark/>
          </w:tcPr>
          <w:p w14:paraId="79C64DD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الاحتمالات</w:t>
            </w:r>
          </w:p>
        </w:tc>
      </w:tr>
      <w:tr w:rsidR="00EF60E9" w:rsidRPr="009B05B8" w14:paraId="3F13081B" w14:textId="77777777" w:rsidTr="009B05B8">
        <w:trPr>
          <w:tblCellSpacing w:w="15" w:type="dxa"/>
          <w:jc w:val="center"/>
        </w:trPr>
        <w:tc>
          <w:tcPr>
            <w:tcW w:w="1014" w:type="pct"/>
            <w:vAlign w:val="center"/>
            <w:hideMark/>
          </w:tcPr>
          <w:p w14:paraId="2BC28303" w14:textId="361D5211"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مهنا، م</w:t>
            </w:r>
            <w:r w:rsidRPr="009B05B8">
              <w:rPr>
                <w:rFonts w:ascii="Traditional Arabic" w:hAnsi="Traditional Arabic" w:cs="Traditional Arabic" w:hint="cs"/>
                <w:b/>
                <w:bCs/>
                <w:sz w:val="24"/>
                <w:szCs w:val="24"/>
              </w:rPr>
              <w:t xml:space="preserve">. (2025). </w:t>
            </w:r>
          </w:p>
        </w:tc>
        <w:tc>
          <w:tcPr>
            <w:tcW w:w="649" w:type="pct"/>
            <w:vAlign w:val="center"/>
            <w:hideMark/>
          </w:tcPr>
          <w:p w14:paraId="6028C82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المؤسسي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التحفيزي</w:t>
            </w:r>
          </w:p>
        </w:tc>
        <w:tc>
          <w:tcPr>
            <w:tcW w:w="1172" w:type="pct"/>
            <w:vAlign w:val="center"/>
            <w:hideMark/>
          </w:tcPr>
          <w:p w14:paraId="1792831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التحسين المستمر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مشاركة العاملين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قياس الأداء وتحليل الأخطاء</w:t>
            </w:r>
          </w:p>
        </w:tc>
        <w:tc>
          <w:tcPr>
            <w:tcW w:w="1022" w:type="pct"/>
            <w:vAlign w:val="center"/>
            <w:hideMark/>
          </w:tcPr>
          <w:p w14:paraId="6ABCC34D"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ديمنغ وجوران – 1940</w:t>
            </w:r>
            <w:r w:rsidRPr="009B05B8">
              <w:rPr>
                <w:rFonts w:ascii="Traditional Arabic" w:hAnsi="Traditional Arabic" w:cs="Traditional Arabic" w:hint="cs"/>
                <w:b/>
                <w:bCs/>
                <w:sz w:val="24"/>
                <w:szCs w:val="24"/>
              </w:rPr>
              <w:t>s</w:t>
            </w:r>
          </w:p>
        </w:tc>
        <w:tc>
          <w:tcPr>
            <w:tcW w:w="1034" w:type="pct"/>
            <w:vAlign w:val="center"/>
            <w:hideMark/>
          </w:tcPr>
          <w:p w14:paraId="669D6405"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إدارة الجودة الشاملة</w:t>
            </w:r>
            <w:r w:rsidRPr="009B05B8">
              <w:rPr>
                <w:rFonts w:ascii="Traditional Arabic" w:hAnsi="Traditional Arabic" w:cs="Traditional Arabic" w:hint="cs"/>
                <w:b/>
                <w:bCs/>
                <w:sz w:val="24"/>
                <w:szCs w:val="24"/>
              </w:rPr>
              <w:t xml:space="preserve"> (TQM)</w:t>
            </w:r>
          </w:p>
        </w:tc>
      </w:tr>
      <w:tr w:rsidR="00EF60E9" w:rsidRPr="009B05B8" w14:paraId="33F01E11" w14:textId="77777777" w:rsidTr="009B05B8">
        <w:trPr>
          <w:tblCellSpacing w:w="15" w:type="dxa"/>
          <w:jc w:val="center"/>
        </w:trPr>
        <w:tc>
          <w:tcPr>
            <w:tcW w:w="1014" w:type="pct"/>
            <w:vAlign w:val="center"/>
            <w:hideMark/>
          </w:tcPr>
          <w:p w14:paraId="582ACA0D" w14:textId="1DE2394F"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(2020)..</w:t>
            </w:r>
          </w:p>
        </w:tc>
        <w:tc>
          <w:tcPr>
            <w:tcW w:w="649" w:type="pct"/>
            <w:vAlign w:val="center"/>
            <w:hideMark/>
          </w:tcPr>
          <w:p w14:paraId="7C96312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p>
        </w:tc>
        <w:tc>
          <w:tcPr>
            <w:tcW w:w="1172" w:type="pct"/>
            <w:vAlign w:val="center"/>
            <w:hideMark/>
          </w:tcPr>
          <w:p w14:paraId="28E9B77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نموذج التغيير بثلاث مراحل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تحليل الوضع وتطوير خطة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إشراك العاملين وتقييم النتائج</w:t>
            </w:r>
          </w:p>
        </w:tc>
        <w:tc>
          <w:tcPr>
            <w:tcW w:w="1022" w:type="pct"/>
            <w:vAlign w:val="center"/>
            <w:hideMark/>
          </w:tcPr>
          <w:p w14:paraId="292FE63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كيرت لوين – 1940</w:t>
            </w:r>
            <w:r w:rsidRPr="009B05B8">
              <w:rPr>
                <w:rFonts w:ascii="Traditional Arabic" w:hAnsi="Traditional Arabic" w:cs="Traditional Arabic" w:hint="cs"/>
                <w:b/>
                <w:bCs/>
                <w:sz w:val="24"/>
                <w:szCs w:val="24"/>
              </w:rPr>
              <w:t>s</w:t>
            </w:r>
          </w:p>
        </w:tc>
        <w:tc>
          <w:tcPr>
            <w:tcW w:w="1034" w:type="pct"/>
            <w:vAlign w:val="center"/>
            <w:hideMark/>
          </w:tcPr>
          <w:p w14:paraId="2D9E7B62"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التغيير التنظيمي</w:t>
            </w:r>
          </w:p>
        </w:tc>
      </w:tr>
    </w:tbl>
    <w:p w14:paraId="51AF99ED" w14:textId="6A570C51" w:rsidR="00D361C4" w:rsidRPr="009055BD" w:rsidRDefault="00FF1E0A" w:rsidP="00D361C4">
      <w:pPr>
        <w:bidi/>
        <w:spacing w:before="120" w:after="120" w:line="240" w:lineRule="auto"/>
        <w:jc w:val="center"/>
        <w:rPr>
          <w:rFonts w:ascii="Traditional Arabic" w:hAnsi="Traditional Arabic" w:cs="Traditional Arabic"/>
          <w:b/>
          <w:bCs/>
          <w:spacing w:val="-6"/>
          <w:sz w:val="24"/>
          <w:szCs w:val="24"/>
          <w:rtl/>
        </w:rPr>
      </w:pPr>
      <w:r w:rsidRPr="009055BD">
        <w:rPr>
          <w:rFonts w:ascii="Traditional Arabic" w:hAnsi="Traditional Arabic" w:cs="Traditional Arabic" w:hint="cs"/>
          <w:b/>
          <w:bCs/>
          <w:spacing w:val="-6"/>
          <w:sz w:val="24"/>
          <w:szCs w:val="24"/>
          <w:rtl/>
        </w:rPr>
        <w:t>إعداد / الباحثة</w:t>
      </w:r>
      <w:r w:rsidR="006441C4" w:rsidRPr="009055BD">
        <w:rPr>
          <w:rFonts w:ascii="Traditional Arabic" w:hAnsi="Traditional Arabic" w:cs="Traditional Arabic" w:hint="cs"/>
          <w:b/>
          <w:bCs/>
          <w:spacing w:val="-6"/>
          <w:sz w:val="24"/>
          <w:szCs w:val="24"/>
          <w:rtl/>
        </w:rPr>
        <w:t xml:space="preserve"> بناء على المراجع السابقة.</w:t>
      </w:r>
    </w:p>
    <w:p w14:paraId="31921FAC" w14:textId="77777777" w:rsidR="009055BD" w:rsidRDefault="009055BD" w:rsidP="00D361C4">
      <w:pPr>
        <w:bidi/>
        <w:spacing w:before="120" w:after="120" w:line="240" w:lineRule="auto"/>
        <w:rPr>
          <w:rFonts w:ascii="Simplified Arabic" w:hAnsi="Simplified Arabic" w:cs="Simplified Arabic"/>
          <w:b/>
          <w:bCs/>
          <w:spacing w:val="-6"/>
          <w:sz w:val="32"/>
          <w:szCs w:val="32"/>
          <w:rtl/>
        </w:rPr>
      </w:pPr>
    </w:p>
    <w:p w14:paraId="223F5029" w14:textId="77777777" w:rsidR="009055BD" w:rsidRDefault="009055BD" w:rsidP="009055BD">
      <w:pPr>
        <w:bidi/>
        <w:spacing w:before="120" w:after="120" w:line="240" w:lineRule="auto"/>
        <w:rPr>
          <w:rFonts w:ascii="Simplified Arabic" w:hAnsi="Simplified Arabic" w:cs="Simplified Arabic"/>
          <w:b/>
          <w:bCs/>
          <w:spacing w:val="-6"/>
          <w:sz w:val="32"/>
          <w:szCs w:val="32"/>
          <w:rtl/>
        </w:rPr>
      </w:pPr>
    </w:p>
    <w:p w14:paraId="6C3E64DF" w14:textId="77777777" w:rsidR="002F1E27" w:rsidRDefault="002F1E27" w:rsidP="009055BD">
      <w:pPr>
        <w:bidi/>
        <w:spacing w:before="120" w:after="120" w:line="240" w:lineRule="auto"/>
        <w:rPr>
          <w:rFonts w:ascii="Traditional Arabic" w:hAnsi="Traditional Arabic" w:cs="Traditional Arabic"/>
          <w:b/>
          <w:bCs/>
          <w:spacing w:val="-6"/>
          <w:sz w:val="32"/>
          <w:szCs w:val="32"/>
          <w:rtl/>
        </w:rPr>
      </w:pPr>
    </w:p>
    <w:p w14:paraId="1BAB93A5" w14:textId="0AF82209" w:rsidR="00B94EB0" w:rsidRPr="002F1E27" w:rsidRDefault="00A44ABC" w:rsidP="002F1E27">
      <w:pPr>
        <w:bidi/>
        <w:spacing w:before="120" w:after="120" w:line="360" w:lineRule="auto"/>
        <w:rPr>
          <w:rFonts w:ascii="Traditional Arabic" w:hAnsi="Traditional Arabic" w:cs="Traditional Arabic"/>
          <w:b/>
          <w:bCs/>
          <w:spacing w:val="-6"/>
          <w:sz w:val="32"/>
          <w:szCs w:val="32"/>
          <w:rtl/>
        </w:rPr>
      </w:pPr>
      <w:r w:rsidRPr="002F1E27">
        <w:rPr>
          <w:rFonts w:ascii="Traditional Arabic" w:hAnsi="Traditional Arabic" w:cs="Traditional Arabic" w:hint="cs"/>
          <w:b/>
          <w:bCs/>
          <w:spacing w:val="-6"/>
          <w:sz w:val="32"/>
          <w:szCs w:val="32"/>
          <w:rtl/>
        </w:rPr>
        <w:lastRenderedPageBreak/>
        <w:t xml:space="preserve">تاسعاً: </w:t>
      </w:r>
      <w:r w:rsidR="00B94EB0" w:rsidRPr="002F1E27">
        <w:rPr>
          <w:rFonts w:ascii="Traditional Arabic" w:hAnsi="Traditional Arabic" w:cs="Traditional Arabic" w:hint="cs"/>
          <w:b/>
          <w:bCs/>
          <w:spacing w:val="-6"/>
          <w:sz w:val="32"/>
          <w:szCs w:val="32"/>
          <w:rtl/>
        </w:rPr>
        <w:t>تحديات إدارة المخاطر في المستشفيات:</w:t>
      </w:r>
    </w:p>
    <w:p w14:paraId="204BF038"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تحديد المخاطر وتقييمها</w:t>
      </w:r>
      <w:r w:rsidRPr="002F1E27">
        <w:rPr>
          <w:rFonts w:ascii="Traditional Arabic" w:hAnsi="Traditional Arabic" w:cs="Traditional Arabic" w:hint="cs"/>
          <w:b/>
          <w:bCs/>
          <w:spacing w:val="-6"/>
          <w:sz w:val="28"/>
          <w:szCs w:val="28"/>
          <w:lang w:bidi="ar-EG"/>
        </w:rPr>
        <w:t>:</w:t>
      </w:r>
    </w:p>
    <w:p w14:paraId="1C4B4E91"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يكون من الصعب تحديد جميع المخاطر المحتملة، خاصة في ظل التطورات التكنولوجية السريعة والأحداث غير المتوقعة</w:t>
      </w:r>
      <w:r w:rsidRPr="002F1E27">
        <w:rPr>
          <w:rFonts w:ascii="Traditional Arabic" w:hAnsi="Traditional Arabic" w:cs="Traditional Arabic" w:hint="cs"/>
          <w:spacing w:val="-6"/>
          <w:sz w:val="28"/>
          <w:szCs w:val="28"/>
          <w:rtl/>
          <w:lang w:bidi="ar-EG"/>
        </w:rPr>
        <w:t>،</w:t>
      </w:r>
      <w:r w:rsidRPr="002F1E27">
        <w:rPr>
          <w:rFonts w:ascii="Traditional Arabic" w:hAnsi="Traditional Arabic" w:cs="Traditional Arabic" w:hint="cs"/>
          <w:spacing w:val="-6"/>
          <w:sz w:val="28"/>
          <w:szCs w:val="28"/>
          <w:lang w:bidi="ar-EG"/>
        </w:rPr>
        <w:t> </w:t>
      </w:r>
      <w:r w:rsidRPr="002F1E27">
        <w:rPr>
          <w:rFonts w:ascii="Traditional Arabic" w:hAnsi="Traditional Arabic" w:cs="Traditional Arabic" w:hint="cs"/>
          <w:spacing w:val="-6"/>
          <w:sz w:val="28"/>
          <w:szCs w:val="28"/>
          <w:rtl/>
        </w:rPr>
        <w:t>كما أن تقييم المخاطر يتطلب بيانات دقيقة، وقد لا تتوفر بيانات كافية عن بعض المخاطر</w:t>
      </w:r>
      <w:r w:rsidRPr="002F1E27">
        <w:rPr>
          <w:rFonts w:ascii="Traditional Arabic" w:hAnsi="Traditional Arabic" w:cs="Traditional Arabic" w:hint="cs"/>
          <w:spacing w:val="-6"/>
          <w:sz w:val="28"/>
          <w:szCs w:val="28"/>
          <w:lang w:bidi="ar-EG"/>
        </w:rPr>
        <w:t>. </w:t>
      </w:r>
    </w:p>
    <w:p w14:paraId="1011C953"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نقص الموارد المالية والتدريب</w:t>
      </w:r>
      <w:r w:rsidRPr="002F1E27">
        <w:rPr>
          <w:rFonts w:ascii="Traditional Arabic" w:hAnsi="Traditional Arabic" w:cs="Traditional Arabic" w:hint="cs"/>
          <w:b/>
          <w:bCs/>
          <w:spacing w:val="-6"/>
          <w:sz w:val="28"/>
          <w:szCs w:val="28"/>
          <w:lang w:bidi="ar-EG"/>
        </w:rPr>
        <w:t>:</w:t>
      </w:r>
    </w:p>
    <w:p w14:paraId="156534EB"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يتطلب تطبيق نظام فعال لإدارة المخاطر تخصيص موارد مالية كافية لتدريب الموظفين وتطوير البنية التحتية وتوفير الأدوات اللازمة</w:t>
      </w:r>
      <w:r w:rsidRPr="002F1E27">
        <w:rPr>
          <w:rFonts w:ascii="Traditional Arabic" w:hAnsi="Traditional Arabic" w:cs="Traditional Arabic" w:hint="cs"/>
          <w:spacing w:val="-6"/>
          <w:sz w:val="28"/>
          <w:szCs w:val="28"/>
          <w:lang w:bidi="ar-EG"/>
        </w:rPr>
        <w:t>. </w:t>
      </w:r>
    </w:p>
    <w:p w14:paraId="66ABE4F3"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مقاومة التغيير</w:t>
      </w:r>
      <w:r w:rsidRPr="002F1E27">
        <w:rPr>
          <w:rFonts w:ascii="Traditional Arabic" w:hAnsi="Traditional Arabic" w:cs="Traditional Arabic" w:hint="cs"/>
          <w:b/>
          <w:bCs/>
          <w:spacing w:val="-6"/>
          <w:sz w:val="28"/>
          <w:szCs w:val="28"/>
          <w:lang w:bidi="ar-EG"/>
        </w:rPr>
        <w:t>:</w:t>
      </w:r>
    </w:p>
    <w:p w14:paraId="6B7B265A"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يواجه تطبيق إدارة المخاطر مقاومة من قبل الموظفين والإداريين، خاصة إذا لم يتم توضيح أهمية هذا النظام</w:t>
      </w:r>
      <w:r w:rsidRPr="002F1E27">
        <w:rPr>
          <w:rFonts w:ascii="Traditional Arabic" w:hAnsi="Traditional Arabic" w:cs="Traditional Arabic" w:hint="cs"/>
          <w:spacing w:val="-6"/>
          <w:sz w:val="28"/>
          <w:szCs w:val="28"/>
          <w:lang w:bidi="ar-EG"/>
        </w:rPr>
        <w:t>. </w:t>
      </w:r>
    </w:p>
    <w:p w14:paraId="6E7B2FFF"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تحديات التواصل</w:t>
      </w:r>
      <w:r w:rsidRPr="002F1E27">
        <w:rPr>
          <w:rFonts w:ascii="Traditional Arabic" w:hAnsi="Traditional Arabic" w:cs="Traditional Arabic" w:hint="cs"/>
          <w:b/>
          <w:bCs/>
          <w:spacing w:val="-6"/>
          <w:sz w:val="28"/>
          <w:szCs w:val="28"/>
          <w:lang w:bidi="ar-EG"/>
        </w:rPr>
        <w:t>:</w:t>
      </w:r>
    </w:p>
    <w:p w14:paraId="06ED39A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يعتبر التواصل الفعال بين الإدارة والموظفين والمرضى وأصحاب المصلحة الآخرين أمرًا بالغ الأهمية في إدارة المخاطر، خاصة في حالات الطوارئ</w:t>
      </w:r>
      <w:r w:rsidRPr="002F1E27">
        <w:rPr>
          <w:rFonts w:ascii="Traditional Arabic" w:hAnsi="Traditional Arabic" w:cs="Traditional Arabic" w:hint="cs"/>
          <w:spacing w:val="-6"/>
          <w:sz w:val="28"/>
          <w:szCs w:val="28"/>
          <w:lang w:bidi="ar-EG"/>
        </w:rPr>
        <w:t>. </w:t>
      </w:r>
    </w:p>
    <w:p w14:paraId="55C9AAC9"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المخاطر الأمنية</w:t>
      </w:r>
      <w:r w:rsidRPr="002F1E27">
        <w:rPr>
          <w:rFonts w:ascii="Traditional Arabic" w:hAnsi="Traditional Arabic" w:cs="Traditional Arabic" w:hint="cs"/>
          <w:b/>
          <w:bCs/>
          <w:spacing w:val="-6"/>
          <w:sz w:val="28"/>
          <w:szCs w:val="28"/>
          <w:lang w:bidi="ar-EG"/>
        </w:rPr>
        <w:t>:</w:t>
      </w:r>
    </w:p>
    <w:p w14:paraId="34A9C92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تتزايد المخاطر السيبرانية مع الاعتماد المتزايد على التكنولوجيا، مما يستدعي حماية البيانات الحساسة من الاختراق</w:t>
      </w:r>
      <w:r w:rsidRPr="002F1E27">
        <w:rPr>
          <w:rFonts w:ascii="Traditional Arabic" w:hAnsi="Traditional Arabic" w:cs="Traditional Arabic" w:hint="cs"/>
          <w:spacing w:val="-6"/>
          <w:sz w:val="28"/>
          <w:szCs w:val="28"/>
          <w:lang w:bidi="ar-EG"/>
        </w:rPr>
        <w:t>. </w:t>
      </w:r>
    </w:p>
    <w:p w14:paraId="709762E4"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الأخطاء الطبية</w:t>
      </w:r>
      <w:r w:rsidRPr="002F1E27">
        <w:rPr>
          <w:rFonts w:ascii="Traditional Arabic" w:hAnsi="Traditional Arabic" w:cs="Traditional Arabic" w:hint="cs"/>
          <w:b/>
          <w:bCs/>
          <w:spacing w:val="-6"/>
          <w:sz w:val="28"/>
          <w:szCs w:val="28"/>
          <w:lang w:bidi="ar-EG"/>
        </w:rPr>
        <w:t>:</w:t>
      </w:r>
    </w:p>
    <w:p w14:paraId="7AB9B0B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تشمل الأخطاء الطبية أخطاء في التشخيص أو العلاج، أو مشاكل في المعدات الطبية</w:t>
      </w:r>
      <w:r w:rsidRPr="002F1E27">
        <w:rPr>
          <w:rFonts w:ascii="Traditional Arabic" w:hAnsi="Traditional Arabic" w:cs="Traditional Arabic" w:hint="cs"/>
          <w:spacing w:val="-6"/>
          <w:sz w:val="28"/>
          <w:szCs w:val="28"/>
          <w:lang w:bidi="ar-EG"/>
        </w:rPr>
        <w:t>. </w:t>
      </w:r>
    </w:p>
    <w:p w14:paraId="40BD98A0"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الحوادث المادية</w:t>
      </w:r>
      <w:r w:rsidRPr="002F1E27">
        <w:rPr>
          <w:rFonts w:ascii="Traditional Arabic" w:hAnsi="Traditional Arabic" w:cs="Traditional Arabic" w:hint="cs"/>
          <w:b/>
          <w:bCs/>
          <w:spacing w:val="-6"/>
          <w:sz w:val="28"/>
          <w:szCs w:val="28"/>
          <w:lang w:bidi="ar-EG"/>
        </w:rPr>
        <w:t>:</w:t>
      </w:r>
    </w:p>
    <w:p w14:paraId="44950FD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تحدث حوادث مثل السقوط والإصابات بالأجهزة الطبية، أوالحوادث الناجمة عن الأشعة أو المواد الكيميائية</w:t>
      </w:r>
      <w:r w:rsidRPr="002F1E27">
        <w:rPr>
          <w:rFonts w:ascii="Traditional Arabic" w:hAnsi="Traditional Arabic" w:cs="Traditional Arabic" w:hint="cs"/>
          <w:spacing w:val="-6"/>
          <w:sz w:val="28"/>
          <w:szCs w:val="28"/>
          <w:lang w:bidi="ar-EG"/>
        </w:rPr>
        <w:t>. </w:t>
      </w:r>
    </w:p>
    <w:p w14:paraId="258E4DAE"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الحرائق والأمان</w:t>
      </w:r>
      <w:r w:rsidRPr="002F1E27">
        <w:rPr>
          <w:rFonts w:ascii="Traditional Arabic" w:hAnsi="Traditional Arabic" w:cs="Traditional Arabic" w:hint="cs"/>
          <w:b/>
          <w:bCs/>
          <w:spacing w:val="-6"/>
          <w:sz w:val="28"/>
          <w:szCs w:val="28"/>
          <w:lang w:bidi="ar-EG"/>
        </w:rPr>
        <w:t>:</w:t>
      </w:r>
    </w:p>
    <w:p w14:paraId="5F46CF1F"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lastRenderedPageBreak/>
        <w:t>تشكل الحرائق والأمان خطرًا كبيرًا في المستشفيات</w:t>
      </w:r>
      <w:r w:rsidRPr="002F1E27">
        <w:rPr>
          <w:rFonts w:ascii="Traditional Arabic" w:hAnsi="Traditional Arabic" w:cs="Traditional Arabic" w:hint="cs"/>
          <w:spacing w:val="-6"/>
          <w:sz w:val="28"/>
          <w:szCs w:val="28"/>
          <w:lang w:bidi="ar-EG"/>
        </w:rPr>
        <w:t>. </w:t>
      </w:r>
    </w:p>
    <w:p w14:paraId="3A84B9F8" w14:textId="77777777" w:rsidR="00B94EB0" w:rsidRPr="002F1E27" w:rsidRDefault="00B94EB0">
      <w:pPr>
        <w:numPr>
          <w:ilvl w:val="0"/>
          <w:numId w:val="13"/>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العنف في مكان العمل</w:t>
      </w:r>
      <w:r w:rsidRPr="002F1E27">
        <w:rPr>
          <w:rFonts w:ascii="Traditional Arabic" w:hAnsi="Traditional Arabic" w:cs="Traditional Arabic" w:hint="cs"/>
          <w:b/>
          <w:bCs/>
          <w:spacing w:val="-6"/>
          <w:sz w:val="28"/>
          <w:szCs w:val="28"/>
          <w:lang w:bidi="ar-EG"/>
        </w:rPr>
        <w:t>:</w:t>
      </w:r>
    </w:p>
    <w:p w14:paraId="10DF338B" w14:textId="77777777" w:rsidR="00B94EB0" w:rsidRPr="002F1E27" w:rsidRDefault="00B94EB0" w:rsidP="002F1E27">
      <w:pPr>
        <w:bidi/>
        <w:spacing w:before="120" w:after="120" w:line="360" w:lineRule="auto"/>
        <w:rPr>
          <w:rFonts w:ascii="Traditional Arabic" w:hAnsi="Traditional Arabic" w:cs="Traditional Arabic"/>
          <w:spacing w:val="-6"/>
          <w:sz w:val="24"/>
          <w:szCs w:val="24"/>
          <w:rtl/>
          <w:lang w:bidi="ar-EG"/>
        </w:rPr>
      </w:pPr>
      <w:r w:rsidRPr="002F1E27">
        <w:rPr>
          <w:rFonts w:ascii="Traditional Arabic" w:hAnsi="Traditional Arabic" w:cs="Traditional Arabic" w:hint="cs"/>
          <w:spacing w:val="-6"/>
          <w:sz w:val="24"/>
          <w:szCs w:val="24"/>
          <w:rtl/>
        </w:rPr>
        <w:t>قد يتعرض الموظفون للعنف اللفظي والجسدي من قبل المرضى أو الزوار</w:t>
      </w:r>
      <w:r w:rsidRPr="002F1E27">
        <w:rPr>
          <w:rFonts w:ascii="Traditional Arabic" w:hAnsi="Traditional Arabic" w:cs="Traditional Arabic" w:hint="cs"/>
          <w:spacing w:val="-6"/>
          <w:sz w:val="24"/>
          <w:szCs w:val="24"/>
          <w:lang w:bidi="ar-EG"/>
        </w:rPr>
        <w:t>. </w:t>
      </w:r>
    </w:p>
    <w:p w14:paraId="5DC903CE" w14:textId="28806F5F" w:rsidR="00B94EB0" w:rsidRPr="00757BAA" w:rsidRDefault="00B94EB0" w:rsidP="00757BAA">
      <w:pPr>
        <w:bidi/>
        <w:spacing w:before="120" w:after="120" w:line="360" w:lineRule="auto"/>
        <w:rPr>
          <w:rFonts w:ascii="Traditional Arabic" w:hAnsi="Traditional Arabic" w:cs="Traditional Arabic"/>
          <w:spacing w:val="-6"/>
          <w:sz w:val="28"/>
          <w:szCs w:val="28"/>
          <w:lang w:bidi="ar-EG"/>
        </w:rPr>
      </w:pPr>
      <w:r w:rsidRPr="00757BAA">
        <w:rPr>
          <w:rFonts w:ascii="Traditional Arabic" w:hAnsi="Traditional Arabic" w:cs="Traditional Arabic" w:hint="cs"/>
          <w:b/>
          <w:bCs/>
          <w:spacing w:val="-6"/>
          <w:sz w:val="28"/>
          <w:szCs w:val="28"/>
          <w:rtl/>
        </w:rPr>
        <w:t>التغلب على التحديات</w:t>
      </w:r>
      <w:r w:rsidRPr="00757BAA">
        <w:rPr>
          <w:rFonts w:ascii="Traditional Arabic" w:hAnsi="Traditional Arabic" w:cs="Traditional Arabic" w:hint="cs"/>
          <w:b/>
          <w:bCs/>
          <w:spacing w:val="-6"/>
          <w:sz w:val="28"/>
          <w:szCs w:val="28"/>
          <w:lang w:bidi="ar-EG"/>
        </w:rPr>
        <w:t>:</w:t>
      </w:r>
    </w:p>
    <w:p w14:paraId="03A3EB67"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التدريب</w:t>
      </w:r>
      <w:r w:rsidRPr="00757BAA">
        <w:rPr>
          <w:rFonts w:ascii="Traditional Arabic" w:hAnsi="Traditional Arabic" w:cs="Traditional Arabic" w:hint="cs"/>
          <w:b/>
          <w:bCs/>
          <w:spacing w:val="-6"/>
          <w:sz w:val="24"/>
          <w:szCs w:val="24"/>
          <w:lang w:bidi="ar-EG"/>
        </w:rPr>
        <w:t>:</w:t>
      </w:r>
    </w:p>
    <w:p w14:paraId="428A81A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توفير تدريب شامل للموظفين حول كيفية تحديد وتقييم المخاطر، وكيفية الاستجابة للأحداث الطارئة</w:t>
      </w:r>
      <w:r w:rsidRPr="00757BAA">
        <w:rPr>
          <w:rFonts w:ascii="Traditional Arabic" w:hAnsi="Traditional Arabic" w:cs="Traditional Arabic" w:hint="cs"/>
          <w:spacing w:val="-6"/>
          <w:sz w:val="24"/>
          <w:szCs w:val="24"/>
          <w:lang w:bidi="ar-EG"/>
        </w:rPr>
        <w:t>. </w:t>
      </w:r>
    </w:p>
    <w:p w14:paraId="569D6040"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التواصل</w:t>
      </w:r>
      <w:r w:rsidRPr="00757BAA">
        <w:rPr>
          <w:rFonts w:ascii="Traditional Arabic" w:hAnsi="Traditional Arabic" w:cs="Traditional Arabic" w:hint="cs"/>
          <w:b/>
          <w:bCs/>
          <w:spacing w:val="-6"/>
          <w:sz w:val="24"/>
          <w:szCs w:val="24"/>
          <w:lang w:bidi="ar-EG"/>
        </w:rPr>
        <w:t>:</w:t>
      </w:r>
    </w:p>
    <w:p w14:paraId="6E825D0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إنشاء قنوات اتصال واضحة وفعالة لضمان وصول المعلومات إلى جميع المعنيين</w:t>
      </w:r>
      <w:r w:rsidRPr="00757BAA">
        <w:rPr>
          <w:rFonts w:ascii="Traditional Arabic" w:hAnsi="Traditional Arabic" w:cs="Traditional Arabic" w:hint="cs"/>
          <w:spacing w:val="-6"/>
          <w:sz w:val="24"/>
          <w:szCs w:val="24"/>
          <w:lang w:bidi="ar-EG"/>
        </w:rPr>
        <w:t>. </w:t>
      </w:r>
    </w:p>
    <w:p w14:paraId="1A36BC78"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تطوير خطط طوارئ</w:t>
      </w:r>
      <w:r w:rsidRPr="00757BAA">
        <w:rPr>
          <w:rFonts w:ascii="Traditional Arabic" w:hAnsi="Traditional Arabic" w:cs="Traditional Arabic" w:hint="cs"/>
          <w:b/>
          <w:bCs/>
          <w:spacing w:val="-6"/>
          <w:sz w:val="24"/>
          <w:szCs w:val="24"/>
          <w:lang w:bidi="ar-EG"/>
        </w:rPr>
        <w:t>:</w:t>
      </w:r>
    </w:p>
    <w:p w14:paraId="40E8F7A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وضع خطط طوارئ مفصلة للتعامل مع مختلف أنواع المخاطر، وتدريب الموظفين عليها</w:t>
      </w:r>
      <w:r w:rsidRPr="00757BAA">
        <w:rPr>
          <w:rFonts w:ascii="Traditional Arabic" w:hAnsi="Traditional Arabic" w:cs="Traditional Arabic" w:hint="cs"/>
          <w:spacing w:val="-6"/>
          <w:sz w:val="24"/>
          <w:szCs w:val="24"/>
          <w:lang w:bidi="ar-EG"/>
        </w:rPr>
        <w:t>. </w:t>
      </w:r>
    </w:p>
    <w:p w14:paraId="44707929"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الأمن السيبراني</w:t>
      </w:r>
      <w:r w:rsidRPr="00757BAA">
        <w:rPr>
          <w:rFonts w:ascii="Traditional Arabic" w:hAnsi="Traditional Arabic" w:cs="Traditional Arabic" w:hint="cs"/>
          <w:b/>
          <w:bCs/>
          <w:spacing w:val="-6"/>
          <w:sz w:val="24"/>
          <w:szCs w:val="24"/>
          <w:lang w:bidi="ar-EG"/>
        </w:rPr>
        <w:t>:</w:t>
      </w:r>
    </w:p>
    <w:p w14:paraId="29E4F10A"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البيانات الحساسة من الإختراق</w:t>
      </w:r>
      <w:r w:rsidRPr="00757BAA">
        <w:rPr>
          <w:rFonts w:ascii="Traditional Arabic" w:hAnsi="Traditional Arabic" w:cs="Traditional Arabic" w:hint="cs"/>
          <w:spacing w:val="-6"/>
          <w:sz w:val="24"/>
          <w:szCs w:val="24"/>
          <w:lang w:bidi="ar-EG"/>
        </w:rPr>
        <w:t>. </w:t>
      </w:r>
    </w:p>
    <w:p w14:paraId="4EFFC9A0"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سلامة المرضى</w:t>
      </w:r>
      <w:r w:rsidRPr="00757BAA">
        <w:rPr>
          <w:rFonts w:ascii="Traditional Arabic" w:hAnsi="Traditional Arabic" w:cs="Traditional Arabic" w:hint="cs"/>
          <w:b/>
          <w:bCs/>
          <w:spacing w:val="-6"/>
          <w:sz w:val="24"/>
          <w:szCs w:val="24"/>
          <w:lang w:bidi="ar-EG"/>
        </w:rPr>
        <w:t>:</w:t>
      </w:r>
    </w:p>
    <w:p w14:paraId="45E6D36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تطبيق بروتوكولات صارمة للسلامة لتقليل المخاطر المرتبطة بالأخطاء الطبية والمضاعفات الجراحية والعدوى</w:t>
      </w:r>
      <w:r w:rsidRPr="00757BAA">
        <w:rPr>
          <w:rFonts w:ascii="Traditional Arabic" w:hAnsi="Traditional Arabic" w:cs="Traditional Arabic" w:hint="cs"/>
          <w:spacing w:val="-6"/>
          <w:sz w:val="24"/>
          <w:szCs w:val="24"/>
          <w:lang w:bidi="ar-EG"/>
        </w:rPr>
        <w:t>. </w:t>
      </w:r>
    </w:p>
    <w:p w14:paraId="434996F9"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بيئة عمل آمنة</w:t>
      </w:r>
      <w:r w:rsidRPr="00757BAA">
        <w:rPr>
          <w:rFonts w:ascii="Traditional Arabic" w:hAnsi="Traditional Arabic" w:cs="Traditional Arabic" w:hint="cs"/>
          <w:b/>
          <w:bCs/>
          <w:spacing w:val="-6"/>
          <w:sz w:val="24"/>
          <w:szCs w:val="24"/>
          <w:lang w:bidi="ar-EG"/>
        </w:rPr>
        <w:t>:</w:t>
      </w:r>
    </w:p>
    <w:p w14:paraId="7931A5E5"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الموظفين من العنف في مكان العمل</w:t>
      </w:r>
      <w:r w:rsidRPr="00757BAA">
        <w:rPr>
          <w:rFonts w:ascii="Traditional Arabic" w:hAnsi="Traditional Arabic" w:cs="Traditional Arabic" w:hint="cs"/>
          <w:spacing w:val="-6"/>
          <w:sz w:val="24"/>
          <w:szCs w:val="24"/>
          <w:lang w:bidi="ar-EG"/>
        </w:rPr>
        <w:t>. </w:t>
      </w:r>
    </w:p>
    <w:p w14:paraId="00B6416D"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جودة البيانات</w:t>
      </w:r>
      <w:r w:rsidRPr="00757BAA">
        <w:rPr>
          <w:rFonts w:ascii="Traditional Arabic" w:hAnsi="Traditional Arabic" w:cs="Traditional Arabic" w:hint="cs"/>
          <w:b/>
          <w:bCs/>
          <w:spacing w:val="-6"/>
          <w:sz w:val="24"/>
          <w:szCs w:val="24"/>
          <w:lang w:bidi="ar-EG"/>
        </w:rPr>
        <w:t>:</w:t>
      </w:r>
    </w:p>
    <w:p w14:paraId="6AF8903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التأكد من توفر بيانات دقيقة وحديثة لتقييم المخاطر بشكل فعال</w:t>
      </w:r>
      <w:r w:rsidRPr="00757BAA">
        <w:rPr>
          <w:rFonts w:ascii="Traditional Arabic" w:hAnsi="Traditional Arabic" w:cs="Traditional Arabic" w:hint="cs"/>
          <w:spacing w:val="-6"/>
          <w:sz w:val="24"/>
          <w:szCs w:val="24"/>
          <w:lang w:bidi="ar-EG"/>
        </w:rPr>
        <w:t>. </w:t>
      </w:r>
    </w:p>
    <w:p w14:paraId="5CC09E56"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ثقافة الإبلاغ</w:t>
      </w:r>
      <w:r w:rsidRPr="00757BAA">
        <w:rPr>
          <w:rFonts w:ascii="Traditional Arabic" w:hAnsi="Traditional Arabic" w:cs="Traditional Arabic" w:hint="cs"/>
          <w:b/>
          <w:bCs/>
          <w:spacing w:val="-6"/>
          <w:sz w:val="24"/>
          <w:szCs w:val="24"/>
          <w:lang w:bidi="ar-EG"/>
        </w:rPr>
        <w:t>:</w:t>
      </w:r>
    </w:p>
    <w:p w14:paraId="64873C4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تشجيع الموظفين على الإبلاغ عن المخاطر والأحداث السلبية</w:t>
      </w:r>
      <w:r w:rsidRPr="00757BAA">
        <w:rPr>
          <w:rFonts w:ascii="Traditional Arabic" w:hAnsi="Traditional Arabic" w:cs="Traditional Arabic" w:hint="cs"/>
          <w:spacing w:val="-6"/>
          <w:sz w:val="24"/>
          <w:szCs w:val="24"/>
          <w:lang w:bidi="ar-EG"/>
        </w:rPr>
        <w:t>. </w:t>
      </w:r>
    </w:p>
    <w:p w14:paraId="331F82D9" w14:textId="77777777" w:rsidR="00B94EB0" w:rsidRPr="00757BAA" w:rsidRDefault="00B94EB0">
      <w:pPr>
        <w:numPr>
          <w:ilvl w:val="0"/>
          <w:numId w:val="14"/>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التحقيق في الأحداث الحرجة</w:t>
      </w:r>
      <w:r w:rsidRPr="00757BAA">
        <w:rPr>
          <w:rFonts w:ascii="Traditional Arabic" w:hAnsi="Traditional Arabic" w:cs="Traditional Arabic" w:hint="cs"/>
          <w:b/>
          <w:bCs/>
          <w:spacing w:val="-6"/>
          <w:sz w:val="24"/>
          <w:szCs w:val="24"/>
          <w:lang w:bidi="ar-EG"/>
        </w:rPr>
        <w:t>:</w:t>
      </w:r>
    </w:p>
    <w:p w14:paraId="5AEB94A0" w14:textId="77777777" w:rsidR="00B94EB0" w:rsidRPr="00220E0D" w:rsidRDefault="00B94EB0" w:rsidP="00220E0D">
      <w:pPr>
        <w:bidi/>
        <w:spacing w:before="120" w:after="120" w:line="360" w:lineRule="auto"/>
        <w:rPr>
          <w:rFonts w:ascii="Traditional Arabic" w:hAnsi="Traditional Arabic" w:cs="Traditional Arabic"/>
          <w:spacing w:val="-6"/>
          <w:sz w:val="24"/>
          <w:szCs w:val="24"/>
          <w:rtl/>
        </w:rPr>
      </w:pPr>
      <w:r w:rsidRPr="00220E0D">
        <w:rPr>
          <w:rFonts w:ascii="Traditional Arabic" w:hAnsi="Traditional Arabic" w:cs="Traditional Arabic" w:hint="cs"/>
          <w:spacing w:val="-6"/>
          <w:sz w:val="24"/>
          <w:szCs w:val="24"/>
          <w:rtl/>
        </w:rPr>
        <w:lastRenderedPageBreak/>
        <w:t>يجب إجراء تحقيقات شاملة في الأحداث الحرجة لتحديد الأسباب الجذرية وتطبيق الإجراءات التصحيحية (عفيفي، 2024، 871).</w:t>
      </w:r>
    </w:p>
    <w:p w14:paraId="1AB19724" w14:textId="25BE9589" w:rsidR="00B94EB0" w:rsidRPr="00220E0D" w:rsidRDefault="00A44ABC" w:rsidP="00220E0D">
      <w:pPr>
        <w:bidi/>
        <w:spacing w:before="120" w:after="120" w:line="360" w:lineRule="auto"/>
        <w:rPr>
          <w:rFonts w:ascii="Traditional Arabic" w:hAnsi="Traditional Arabic" w:cs="Traditional Arabic"/>
          <w:b/>
          <w:bCs/>
          <w:spacing w:val="-6"/>
          <w:sz w:val="28"/>
          <w:szCs w:val="28"/>
          <w:rtl/>
        </w:rPr>
      </w:pPr>
      <w:r w:rsidRPr="00220E0D">
        <w:rPr>
          <w:rFonts w:ascii="Traditional Arabic" w:hAnsi="Traditional Arabic" w:cs="Traditional Arabic" w:hint="cs"/>
          <w:b/>
          <w:bCs/>
          <w:spacing w:val="-6"/>
          <w:sz w:val="28"/>
          <w:szCs w:val="28"/>
          <w:rtl/>
        </w:rPr>
        <w:t xml:space="preserve">عاشراً : </w:t>
      </w:r>
      <w:r w:rsidR="00B94EB0" w:rsidRPr="00220E0D">
        <w:rPr>
          <w:rFonts w:ascii="Traditional Arabic" w:hAnsi="Traditional Arabic" w:cs="Traditional Arabic" w:hint="cs"/>
          <w:b/>
          <w:bCs/>
          <w:spacing w:val="-6"/>
          <w:sz w:val="28"/>
          <w:szCs w:val="28"/>
          <w:rtl/>
        </w:rPr>
        <w:t>استراتيجيات تحسين إدارة المخاطر:</w:t>
      </w:r>
    </w:p>
    <w:p w14:paraId="2A0011D4" w14:textId="77777777" w:rsidR="00B94EB0" w:rsidRPr="00220E0D" w:rsidRDefault="00B94EB0">
      <w:pPr>
        <w:numPr>
          <w:ilvl w:val="0"/>
          <w:numId w:val="15"/>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المخاطر</w:t>
      </w:r>
      <w:r w:rsidRPr="00220E0D">
        <w:rPr>
          <w:rFonts w:ascii="Traditional Arabic" w:hAnsi="Traditional Arabic" w:cs="Traditional Arabic" w:hint="cs"/>
          <w:b/>
          <w:bCs/>
          <w:spacing w:val="-6"/>
          <w:sz w:val="24"/>
          <w:szCs w:val="24"/>
        </w:rPr>
        <w:t>:</w:t>
      </w:r>
    </w:p>
    <w:p w14:paraId="5FB8AC02"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شامل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 xml:space="preserve"> يجب تحديد جميع المخاطر المحتملة التي قد تواجه المستشفى، سواء كانت تتعلق بسلامة المرضى، أو العمليات التشغيلية، أو الأمن السيبراني، أو الجوانب المالية والإدارية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4AABB932" w14:textId="346E9266"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أولويات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بعد تحديد المخاطر، يجب تقييمها وتحديد أولوياتها بناءًا على إحتمالية حدوثها وتأثيرها المتوقع</w:t>
      </w:r>
      <w:r w:rsidRPr="00220E0D">
        <w:rPr>
          <w:rFonts w:ascii="Traditional Arabic" w:hAnsi="Traditional Arabic" w:cs="Traditional Arabic" w:hint="cs"/>
          <w:spacing w:val="-6"/>
          <w:sz w:val="24"/>
          <w:szCs w:val="24"/>
        </w:rPr>
        <w:t>. </w:t>
      </w:r>
    </w:p>
    <w:p w14:paraId="38EC7F4B" w14:textId="77777777" w:rsidR="00B94EB0" w:rsidRPr="00220E0D" w:rsidRDefault="00B94EB0">
      <w:pPr>
        <w:numPr>
          <w:ilvl w:val="0"/>
          <w:numId w:val="15"/>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تحليل المخاطر</w:t>
      </w:r>
      <w:r w:rsidRPr="00220E0D">
        <w:rPr>
          <w:rFonts w:ascii="Traditional Arabic" w:hAnsi="Traditional Arabic" w:cs="Traditional Arabic" w:hint="cs"/>
          <w:b/>
          <w:bCs/>
          <w:spacing w:val="-6"/>
          <w:sz w:val="24"/>
          <w:szCs w:val="24"/>
        </w:rPr>
        <w:t>:</w:t>
      </w:r>
    </w:p>
    <w:p w14:paraId="63DC28B3"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البيانات</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تحليل البيانات الصحية وبيانات الحوادث والشكاوى لتحديد الأنماط والاتجاهات التي قد تشير إلى وجود مخاطر متكررة أو متزايدة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10124DAC"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المخاطر الكمي</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تحديد المخاطر كميًا وتصنيفها بناءً على احتمالية حدوثها وتأثيرها لترتيب أولوياتها وتخصيص الموارد</w:t>
      </w:r>
      <w:r w:rsidRPr="00220E0D">
        <w:rPr>
          <w:rFonts w:ascii="Traditional Arabic" w:hAnsi="Traditional Arabic" w:cs="Traditional Arabic" w:hint="cs"/>
          <w:spacing w:val="-6"/>
          <w:sz w:val="24"/>
          <w:szCs w:val="24"/>
        </w:rPr>
        <w:t>. </w:t>
      </w:r>
    </w:p>
    <w:p w14:paraId="293A6F84" w14:textId="77777777" w:rsidR="00B94EB0" w:rsidRPr="00220E0D" w:rsidRDefault="00B94EB0">
      <w:pPr>
        <w:numPr>
          <w:ilvl w:val="0"/>
          <w:numId w:val="15"/>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خطط التخفيف</w:t>
      </w:r>
      <w:r w:rsidRPr="00220E0D">
        <w:rPr>
          <w:rFonts w:ascii="Traditional Arabic" w:hAnsi="Traditional Arabic" w:cs="Traditional Arabic" w:hint="cs"/>
          <w:b/>
          <w:bCs/>
          <w:spacing w:val="-6"/>
          <w:sz w:val="24"/>
          <w:szCs w:val="24"/>
        </w:rPr>
        <w:t>:</w:t>
      </w:r>
    </w:p>
    <w:p w14:paraId="41D4DEFD"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تجنب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اتخاذ تدابير استباقية للقضاء على المخاطر أو تجنبها تمامًا، مثل تعديل الإجراءات أو العمليات</w:t>
      </w:r>
      <w:r w:rsidRPr="00220E0D">
        <w:rPr>
          <w:rFonts w:ascii="Traditional Arabic" w:hAnsi="Traditional Arabic" w:cs="Traditional Arabic" w:hint="cs"/>
          <w:spacing w:val="-6"/>
          <w:sz w:val="24"/>
          <w:szCs w:val="24"/>
        </w:rPr>
        <w:t>. </w:t>
      </w:r>
    </w:p>
    <w:p w14:paraId="1E7B670E"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تقليل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تنفيذ تدابير لتقليل احتمالية أو تأثير المخاطر، مثل: تحسين بروتوكولات السلامة أو تدريب الموظفين</w:t>
      </w:r>
      <w:r w:rsidRPr="00220E0D">
        <w:rPr>
          <w:rFonts w:ascii="Traditional Arabic" w:hAnsi="Traditional Arabic" w:cs="Traditional Arabic" w:hint="cs"/>
          <w:spacing w:val="-6"/>
          <w:sz w:val="24"/>
          <w:szCs w:val="24"/>
        </w:rPr>
        <w:t>. </w:t>
      </w:r>
    </w:p>
    <w:p w14:paraId="7F2D4113"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نقل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تحويل بعض المخاطر إلى جهات خارجية، مثل التأمين أو التعاقد مع شركات متخصصة</w:t>
      </w:r>
      <w:r w:rsidRPr="00220E0D">
        <w:rPr>
          <w:rFonts w:ascii="Traditional Arabic" w:hAnsi="Traditional Arabic" w:cs="Traditional Arabic" w:hint="cs"/>
          <w:spacing w:val="-6"/>
          <w:sz w:val="24"/>
          <w:szCs w:val="24"/>
        </w:rPr>
        <w:t>. </w:t>
      </w:r>
    </w:p>
    <w:p w14:paraId="06267090"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قبول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قبول بعض المخاطر التي لا يمكن تجنبها أو تخفيفها، مع اتخاذ تدابير للتعامل معها في حال حدوثها</w:t>
      </w:r>
      <w:r w:rsidRPr="00220E0D">
        <w:rPr>
          <w:rFonts w:ascii="Traditional Arabic" w:hAnsi="Traditional Arabic" w:cs="Traditional Arabic" w:hint="cs"/>
          <w:spacing w:val="-6"/>
          <w:sz w:val="24"/>
          <w:szCs w:val="24"/>
        </w:rPr>
        <w:t>. </w:t>
      </w:r>
    </w:p>
    <w:p w14:paraId="0BB90521" w14:textId="77777777" w:rsidR="00B94EB0" w:rsidRPr="00220E0D" w:rsidRDefault="00B94EB0">
      <w:pPr>
        <w:numPr>
          <w:ilvl w:val="0"/>
          <w:numId w:val="15"/>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تنفيذ الخطط ومراقبتها</w:t>
      </w:r>
      <w:r w:rsidRPr="00220E0D">
        <w:rPr>
          <w:rFonts w:ascii="Traditional Arabic" w:hAnsi="Traditional Arabic" w:cs="Traditional Arabic" w:hint="cs"/>
          <w:b/>
          <w:bCs/>
          <w:spacing w:val="-6"/>
          <w:sz w:val="24"/>
          <w:szCs w:val="24"/>
        </w:rPr>
        <w:t>:</w:t>
      </w:r>
    </w:p>
    <w:p w14:paraId="54067B09"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والتوعية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التعامل مع المخاطر المختلفة، وتوعيتهم بأهمية الإبلاغ عن الحوادث والمخاطر</w:t>
      </w:r>
      <w:r w:rsidRPr="00220E0D">
        <w:rPr>
          <w:rFonts w:ascii="Traditional Arabic" w:hAnsi="Traditional Arabic" w:cs="Traditional Arabic" w:hint="cs"/>
          <w:spacing w:val="-6"/>
          <w:sz w:val="24"/>
          <w:szCs w:val="24"/>
        </w:rPr>
        <w:t>. </w:t>
      </w:r>
    </w:p>
    <w:p w14:paraId="17AADD04"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أنظمة إدارة معلومات المستشفى</w:t>
      </w:r>
      <w:r w:rsidRPr="00220E0D">
        <w:rPr>
          <w:rFonts w:ascii="Traditional Arabic" w:hAnsi="Traditional Arabic" w:cs="Traditional Arabic" w:hint="cs"/>
          <w:spacing w:val="-6"/>
          <w:sz w:val="24"/>
          <w:szCs w:val="24"/>
        </w:rPr>
        <w:t xml:space="preserve"> (HIS) </w:t>
      </w:r>
      <w:r w:rsidRPr="00220E0D">
        <w:rPr>
          <w:rFonts w:ascii="Traditional Arabic" w:hAnsi="Traditional Arabic" w:cs="Traditional Arabic" w:hint="cs"/>
          <w:spacing w:val="-6"/>
          <w:sz w:val="24"/>
          <w:szCs w:val="24"/>
          <w:rtl/>
        </w:rPr>
        <w:t>وأنظمة الإبلاغ عن الحوادث وأنظمة المراقبة لتعزيز الكفاءة والمراقبة والتحليل .</w:t>
      </w:r>
    </w:p>
    <w:p w14:paraId="10EDA6A4"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ثقافة السلامة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تعزيز ثقافة سلامة المرضى والموظفين، حيث يشعر الجميع بالمسؤولية عن تحديد المخاطر والإبلاغ عنها والعمل على منعها</w:t>
      </w:r>
      <w:r w:rsidRPr="00220E0D">
        <w:rPr>
          <w:rFonts w:ascii="Traditional Arabic" w:hAnsi="Traditional Arabic" w:cs="Traditional Arabic" w:hint="cs"/>
          <w:spacing w:val="-6"/>
          <w:sz w:val="24"/>
          <w:szCs w:val="24"/>
        </w:rPr>
        <w:t>. </w:t>
      </w:r>
    </w:p>
    <w:p w14:paraId="081EA04C"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lastRenderedPageBreak/>
        <w:t>مراجعة وتقييم الأداء</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المراقبة المستمرة لفعالية خطط التخفيف وتقييم أداء إدارة المخاطر بشكل دوري، وتعديل الخطط والتدابير حسب الحاجة</w:t>
      </w:r>
      <w:r w:rsidRPr="00220E0D">
        <w:rPr>
          <w:rFonts w:ascii="Traditional Arabic" w:hAnsi="Traditional Arabic" w:cs="Traditional Arabic" w:hint="cs"/>
          <w:spacing w:val="-6"/>
          <w:sz w:val="24"/>
          <w:szCs w:val="24"/>
        </w:rPr>
        <w:t>. </w:t>
      </w:r>
    </w:p>
    <w:p w14:paraId="19F8385D"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تحسين الاتصال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تحسين التواصل بين جميع أقسام المستشفى لضمان تنسيق الجهود وتبادل المعلومات بشكل فعال</w:t>
      </w:r>
      <w:r w:rsidRPr="00220E0D">
        <w:rPr>
          <w:rFonts w:ascii="Traditional Arabic" w:hAnsi="Traditional Arabic" w:cs="Traditional Arabic" w:hint="cs"/>
          <w:spacing w:val="-6"/>
          <w:sz w:val="24"/>
          <w:szCs w:val="24"/>
        </w:rPr>
        <w:t>. </w:t>
      </w:r>
    </w:p>
    <w:p w14:paraId="6296F677" w14:textId="77777777" w:rsidR="00B94EB0" w:rsidRPr="00220E0D" w:rsidRDefault="00B94EB0">
      <w:pPr>
        <w:numPr>
          <w:ilvl w:val="0"/>
          <w:numId w:val="15"/>
        </w:numPr>
        <w:bidi/>
        <w:spacing w:before="120" w:after="120" w:line="360" w:lineRule="auto"/>
        <w:rPr>
          <w:rFonts w:ascii="Traditional Arabic" w:hAnsi="Traditional Arabic" w:cs="Traditional Arabic"/>
          <w:b/>
          <w:bCs/>
          <w:spacing w:val="-6"/>
          <w:sz w:val="24"/>
          <w:szCs w:val="24"/>
        </w:rPr>
      </w:pPr>
      <w:r w:rsidRPr="00220E0D">
        <w:rPr>
          <w:rFonts w:ascii="Traditional Arabic" w:hAnsi="Traditional Arabic" w:cs="Traditional Arabic" w:hint="cs"/>
          <w:b/>
          <w:bCs/>
          <w:spacing w:val="-6"/>
          <w:sz w:val="24"/>
          <w:szCs w:val="24"/>
          <w:rtl/>
        </w:rPr>
        <w:t>إدارة الأزمات</w:t>
      </w:r>
      <w:r w:rsidRPr="00220E0D">
        <w:rPr>
          <w:rFonts w:ascii="Traditional Arabic" w:hAnsi="Traditional Arabic" w:cs="Traditional Arabic" w:hint="cs"/>
          <w:b/>
          <w:bCs/>
          <w:spacing w:val="-6"/>
          <w:sz w:val="24"/>
          <w:szCs w:val="24"/>
        </w:rPr>
        <w:t>:</w:t>
      </w:r>
    </w:p>
    <w:p w14:paraId="547A134A"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التخطيط المسبق</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وضع خطط طوارئ مفصلة للتعامل مع الأحداث غير المتوقعة والكوارث</w:t>
      </w:r>
      <w:r w:rsidRPr="00220E0D">
        <w:rPr>
          <w:rFonts w:ascii="Traditional Arabic" w:hAnsi="Traditional Arabic" w:cs="Traditional Arabic" w:hint="cs"/>
          <w:spacing w:val="-6"/>
          <w:sz w:val="24"/>
          <w:szCs w:val="24"/>
        </w:rPr>
        <w:t>. </w:t>
      </w:r>
    </w:p>
    <w:p w14:paraId="6A42D279"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المستمر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الاستجابة للأزمات والكوارث بشكل فعال</w:t>
      </w:r>
      <w:r w:rsidRPr="00220E0D">
        <w:rPr>
          <w:rFonts w:ascii="Traditional Arabic" w:hAnsi="Traditional Arabic" w:cs="Traditional Arabic" w:hint="cs"/>
          <w:spacing w:val="-6"/>
          <w:sz w:val="24"/>
          <w:szCs w:val="24"/>
        </w:rPr>
        <w:t>. </w:t>
      </w:r>
    </w:p>
    <w:p w14:paraId="20916EEF" w14:textId="77777777" w:rsidR="00B94EB0" w:rsidRPr="00220E0D" w:rsidRDefault="00B94EB0">
      <w:pPr>
        <w:numPr>
          <w:ilvl w:val="0"/>
          <w:numId w:val="12"/>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التكنولوجيا لتسهيل التواصل وإدارة الموارد أثناء الأزمات</w:t>
      </w:r>
      <w:r w:rsidRPr="00220E0D">
        <w:rPr>
          <w:rFonts w:ascii="Traditional Arabic" w:hAnsi="Traditional Arabic" w:cs="Traditional Arabic" w:hint="cs"/>
          <w:spacing w:val="-6"/>
          <w:sz w:val="24"/>
          <w:szCs w:val="24"/>
        </w:rPr>
        <w:t>. </w:t>
      </w:r>
    </w:p>
    <w:p w14:paraId="7EC6EB3E" w14:textId="31EF5F04" w:rsidR="00B94EB0" w:rsidRPr="00220E0D" w:rsidRDefault="00B94EB0" w:rsidP="00220E0D">
      <w:pPr>
        <w:bidi/>
        <w:spacing w:before="120" w:after="120" w:line="360" w:lineRule="auto"/>
        <w:jc w:val="both"/>
        <w:rPr>
          <w:rFonts w:ascii="Traditional Arabic" w:hAnsi="Traditional Arabic" w:cs="Traditional Arabic"/>
          <w:spacing w:val="-6"/>
          <w:sz w:val="24"/>
          <w:szCs w:val="24"/>
          <w:rtl/>
          <w:lang w:bidi="ar-EG"/>
        </w:rPr>
      </w:pPr>
      <w:r w:rsidRPr="00220E0D">
        <w:rPr>
          <w:rFonts w:ascii="Traditional Arabic" w:hAnsi="Traditional Arabic" w:cs="Traditional Arabic" w:hint="cs"/>
          <w:spacing w:val="-6"/>
          <w:sz w:val="24"/>
          <w:szCs w:val="24"/>
          <w:rtl/>
        </w:rPr>
        <w:t>من خلال تطبيق هذه الاستراتيجيات، يمكن للمستشفيات تحسين إدارة المخاطر، وتقليل الحوادث السلبية، وتحسين جودة الرعاية الصحية، وتعزيز سلامة المرضى والموظفين</w:t>
      </w:r>
      <w:r w:rsidR="00730055" w:rsidRPr="00220E0D">
        <w:rPr>
          <w:rFonts w:ascii="Traditional Arabic" w:hAnsi="Traditional Arabic" w:cs="Traditional Arabic" w:hint="cs"/>
          <w:spacing w:val="-6"/>
          <w:sz w:val="24"/>
          <w:szCs w:val="24"/>
          <w:rtl/>
        </w:rPr>
        <w:t>(</w:t>
      </w:r>
      <w:r w:rsidRPr="00220E0D">
        <w:rPr>
          <w:rFonts w:ascii="Traditional Arabic" w:hAnsi="Traditional Arabic" w:cs="Traditional Arabic" w:hint="cs"/>
          <w:spacing w:val="-6"/>
          <w:sz w:val="24"/>
          <w:szCs w:val="24"/>
          <w:rtl/>
          <w:lang w:bidi="ar-EG"/>
        </w:rPr>
        <w:t xml:space="preserve"> </w:t>
      </w:r>
      <w:r w:rsidRPr="00220E0D">
        <w:rPr>
          <w:rFonts w:ascii="Traditional Arabic" w:hAnsi="Traditional Arabic" w:cs="Traditional Arabic" w:hint="cs"/>
          <w:spacing w:val="-6"/>
          <w:sz w:val="24"/>
          <w:szCs w:val="24"/>
          <w:lang w:bidi="ar-EG"/>
        </w:rPr>
        <w:t>Ali Alam,2016,5</w:t>
      </w:r>
      <w:r w:rsidRPr="00220E0D">
        <w:rPr>
          <w:rFonts w:ascii="Traditional Arabic" w:hAnsi="Traditional Arabic" w:cs="Traditional Arabic" w:hint="cs"/>
          <w:spacing w:val="-6"/>
          <w:sz w:val="24"/>
          <w:szCs w:val="24"/>
          <w:rtl/>
          <w:lang w:bidi="ar-EG"/>
        </w:rPr>
        <w:t>).</w:t>
      </w:r>
    </w:p>
    <w:p w14:paraId="6F201506" w14:textId="77777777" w:rsidR="007E5AC3" w:rsidRPr="00CF7747" w:rsidRDefault="007E5AC3" w:rsidP="007E5AC3">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CF7747">
        <w:rPr>
          <w:rFonts w:ascii="Traditional Arabic" w:eastAsia="Calibri" w:hAnsi="Traditional Arabic" w:cs="Traditional Arabic" w:hint="cs"/>
          <w:b/>
          <w:bCs/>
          <w:color w:val="000000" w:themeColor="text1"/>
          <w:sz w:val="24"/>
          <w:szCs w:val="24"/>
          <w:rtl/>
          <w:lang w:bidi="ar-EG"/>
        </w:rPr>
        <w:t>أبعاد إدارة المخاطر:</w:t>
      </w:r>
    </w:p>
    <w:p w14:paraId="3CD3886E" w14:textId="2E5E4A24" w:rsidR="007E5AC3" w:rsidRPr="00CF7747" w:rsidRDefault="007E5AC3">
      <w:pPr>
        <w:numPr>
          <w:ilvl w:val="0"/>
          <w:numId w:val="32"/>
        </w:numPr>
        <w:bidi/>
        <w:spacing w:line="278" w:lineRule="auto"/>
        <w:jc w:val="both"/>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تحديد المخاطر</w:t>
      </w:r>
      <w:r w:rsidRPr="00CF7747">
        <w:rPr>
          <w:rFonts w:ascii="Traditional Arabic" w:hAnsi="Traditional Arabic" w:cs="Traditional Arabic" w:hint="cs"/>
          <w:b/>
          <w:bCs/>
          <w:sz w:val="24"/>
          <w:szCs w:val="24"/>
          <w:lang w:bidi="ar-EG"/>
        </w:rPr>
        <w:t xml:space="preserve"> Risk Identification):</w:t>
      </w:r>
      <w:r w:rsidR="00730055" w:rsidRPr="00CF7747">
        <w:rPr>
          <w:rFonts w:ascii="Traditional Arabic" w:hAnsi="Traditional Arabic" w:cs="Traditional Arabic" w:hint="cs"/>
          <w:b/>
          <w:bCs/>
          <w:sz w:val="24"/>
          <w:szCs w:val="24"/>
          <w:rtl/>
          <w:lang w:bidi="ar-EG"/>
        </w:rPr>
        <w:t>)</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يُقصد به عملية التعرف المنهجي على مصادر الخطر المحتملة داخل المؤسسة</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(الشمري،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45)</w:t>
      </w:r>
      <w:r w:rsidRPr="00CF7747">
        <w:rPr>
          <w:rFonts w:ascii="Traditional Arabic" w:hAnsi="Traditional Arabic" w:cs="Traditional Arabic" w:hint="cs"/>
          <w:sz w:val="24"/>
          <w:szCs w:val="24"/>
          <w:lang w:bidi="ar-EG"/>
        </w:rPr>
        <w:t>.</w:t>
      </w:r>
    </w:p>
    <w:p w14:paraId="36D7DD29" w14:textId="7918B72D" w:rsidR="007E5AC3" w:rsidRPr="00CF7747" w:rsidRDefault="007E5AC3">
      <w:pPr>
        <w:numPr>
          <w:ilvl w:val="0"/>
          <w:numId w:val="32"/>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تحليل المخاطر</w:t>
      </w:r>
      <w:r w:rsidRPr="00CF7747">
        <w:rPr>
          <w:rFonts w:ascii="Traditional Arabic" w:hAnsi="Traditional Arabic" w:cs="Traditional Arabic" w:hint="cs"/>
          <w:b/>
          <w:bCs/>
          <w:sz w:val="24"/>
          <w:szCs w:val="24"/>
          <w:lang w:bidi="ar-EG"/>
        </w:rPr>
        <w:t xml:space="preserve"> (Risk Analysis):</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يتضمن دراسة احتمالية حدوث كل خطر وتأثيره المحتمل، باستخدام أدوات كمية أو نوعية لتقدير درجة الخطورة، مما يساعد في ترتيب الأولويات وتوجيه الموارد (عبدالحميد،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61)</w:t>
      </w:r>
      <w:r w:rsidRPr="00CF7747">
        <w:rPr>
          <w:rFonts w:ascii="Traditional Arabic" w:hAnsi="Traditional Arabic" w:cs="Traditional Arabic" w:hint="cs"/>
          <w:sz w:val="24"/>
          <w:szCs w:val="24"/>
          <w:lang w:bidi="ar-EG"/>
        </w:rPr>
        <w:t>.</w:t>
      </w:r>
    </w:p>
    <w:p w14:paraId="11D65B14" w14:textId="2F6F6E08" w:rsidR="007E5AC3" w:rsidRPr="00CF7747" w:rsidRDefault="007E5AC3">
      <w:pPr>
        <w:numPr>
          <w:ilvl w:val="0"/>
          <w:numId w:val="32"/>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تقييم المخاطر</w:t>
      </w:r>
      <w:r w:rsidRPr="00CF7747">
        <w:rPr>
          <w:rFonts w:ascii="Traditional Arabic" w:hAnsi="Traditional Arabic" w:cs="Traditional Arabic" w:hint="cs"/>
          <w:b/>
          <w:bCs/>
          <w:sz w:val="24"/>
          <w:szCs w:val="24"/>
          <w:lang w:bidi="ar-EG"/>
        </w:rPr>
        <w:t xml:space="preserve"> (Risk Evaluation):</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يُعنى بتقدير مدى قبول أو رفض كل خطر بناءً على نتائجه المتوقعة، ويُستخدم لتحديد ما إذا كانت المخاطر تتطلب تدخلًا فوريًا أو يمكن تحملها ضمن حدود معينة (مدوّن حر،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1)</w:t>
      </w:r>
      <w:r w:rsidRPr="00CF7747">
        <w:rPr>
          <w:rFonts w:ascii="Traditional Arabic" w:hAnsi="Traditional Arabic" w:cs="Traditional Arabic" w:hint="cs"/>
          <w:sz w:val="24"/>
          <w:szCs w:val="24"/>
          <w:lang w:bidi="ar-EG"/>
        </w:rPr>
        <w:t>.</w:t>
      </w:r>
    </w:p>
    <w:p w14:paraId="6BEDA5E2" w14:textId="5B328E82" w:rsidR="007E5AC3" w:rsidRPr="00CF7747" w:rsidRDefault="007E5AC3">
      <w:pPr>
        <w:numPr>
          <w:ilvl w:val="0"/>
          <w:numId w:val="32"/>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الاستجابة للمخاطر</w:t>
      </w:r>
      <w:r w:rsidRPr="00CF7747">
        <w:rPr>
          <w:rFonts w:ascii="Traditional Arabic" w:hAnsi="Traditional Arabic" w:cs="Traditional Arabic" w:hint="cs"/>
          <w:b/>
          <w:bCs/>
          <w:sz w:val="24"/>
          <w:szCs w:val="24"/>
          <w:lang w:bidi="ar-EG"/>
        </w:rPr>
        <w:t xml:space="preserve"> (Risk Response):</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88)</w:t>
      </w:r>
      <w:r w:rsidRPr="00CF7747">
        <w:rPr>
          <w:rFonts w:ascii="Traditional Arabic" w:hAnsi="Traditional Arabic" w:cs="Traditional Arabic" w:hint="cs"/>
          <w:sz w:val="24"/>
          <w:szCs w:val="24"/>
          <w:lang w:bidi="ar-EG"/>
        </w:rPr>
        <w:t>.</w:t>
      </w:r>
    </w:p>
    <w:p w14:paraId="15BD00C2" w14:textId="77777777" w:rsidR="00CF7747" w:rsidRDefault="00CF7747" w:rsidP="004D34CC">
      <w:pPr>
        <w:bidi/>
        <w:spacing w:line="278" w:lineRule="auto"/>
        <w:ind w:left="720"/>
        <w:jc w:val="center"/>
        <w:rPr>
          <w:rFonts w:ascii="Simplified Arabic" w:hAnsi="Simplified Arabic" w:cs="Simplified Arabic"/>
          <w:b/>
          <w:bCs/>
          <w:sz w:val="24"/>
          <w:szCs w:val="24"/>
          <w:rtl/>
        </w:rPr>
      </w:pPr>
    </w:p>
    <w:p w14:paraId="4A1D2F7D"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74A08187"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365ACCFB"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6246D21F"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4FE299DC" w14:textId="524CED86" w:rsidR="00F71AB1" w:rsidRPr="00CF7747" w:rsidRDefault="00F71AB1" w:rsidP="00CF7747">
      <w:pPr>
        <w:bidi/>
        <w:spacing w:line="278" w:lineRule="auto"/>
        <w:ind w:left="720"/>
        <w:jc w:val="center"/>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lastRenderedPageBreak/>
        <w:t>شكل (</w:t>
      </w:r>
      <w:r w:rsidR="004959E0">
        <w:rPr>
          <w:rFonts w:ascii="Traditional Arabic" w:hAnsi="Traditional Arabic" w:cs="Traditional Arabic" w:hint="cs"/>
          <w:b/>
          <w:bCs/>
          <w:sz w:val="24"/>
          <w:szCs w:val="24"/>
          <w:rtl/>
        </w:rPr>
        <w:t>2</w:t>
      </w:r>
      <w:r w:rsidRPr="00CF7747">
        <w:rPr>
          <w:rFonts w:ascii="Traditional Arabic" w:hAnsi="Traditional Arabic" w:cs="Traditional Arabic" w:hint="cs"/>
          <w:b/>
          <w:bCs/>
          <w:sz w:val="24"/>
          <w:szCs w:val="24"/>
          <w:rtl/>
        </w:rPr>
        <w:t>) يوضح أبعاد إدارة المخاطر</w:t>
      </w:r>
    </w:p>
    <w:p w14:paraId="0AD6D7C3" w14:textId="35759EB5" w:rsidR="007E5AC3" w:rsidRPr="00CF7747" w:rsidRDefault="00963659" w:rsidP="007E5AC3">
      <w:pPr>
        <w:bidi/>
        <w:spacing w:before="120" w:after="120" w:line="240" w:lineRule="auto"/>
        <w:rPr>
          <w:rFonts w:ascii="Traditional Arabic" w:hAnsi="Traditional Arabic" w:cs="Traditional Arabic"/>
          <w:spacing w:val="-6"/>
          <w:sz w:val="24"/>
          <w:szCs w:val="24"/>
          <w:rtl/>
          <w:lang w:bidi="ar-EG"/>
        </w:rPr>
      </w:pPr>
      <w:r w:rsidRPr="00CF7747">
        <w:rPr>
          <w:rFonts w:ascii="Traditional Arabic" w:hAnsi="Traditional Arabic" w:cs="Traditional Arabic" w:hint="cs"/>
          <w:noProof/>
          <w:spacing w:val="-6"/>
          <w:sz w:val="24"/>
          <w:szCs w:val="24"/>
          <w:rtl/>
          <w:lang w:val="ar-EG" w:bidi="ar-EG"/>
        </w:rPr>
        <w:drawing>
          <wp:inline distT="0" distB="0" distL="0" distR="0" wp14:anchorId="7C56643C" wp14:editId="1F671A40">
            <wp:extent cx="5274310" cy="3076575"/>
            <wp:effectExtent l="0" t="0" r="0" b="0"/>
            <wp:docPr id="1522241201"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428AA09" w14:textId="2583037C" w:rsidR="00202713" w:rsidRPr="00CF7747" w:rsidRDefault="00202713" w:rsidP="0026403B">
      <w:pPr>
        <w:bidi/>
        <w:spacing w:before="120" w:after="120" w:line="240" w:lineRule="auto"/>
        <w:jc w:val="center"/>
        <w:rPr>
          <w:rFonts w:ascii="Traditional Arabic" w:hAnsi="Traditional Arabic" w:cs="Traditional Arabic"/>
          <w:b/>
          <w:bCs/>
          <w:spacing w:val="-6"/>
          <w:sz w:val="24"/>
          <w:szCs w:val="24"/>
          <w:rtl/>
        </w:rPr>
      </w:pPr>
      <w:r w:rsidRPr="00CF7747">
        <w:rPr>
          <w:rFonts w:ascii="Traditional Arabic" w:hAnsi="Traditional Arabic" w:cs="Traditional Arabic" w:hint="cs"/>
          <w:b/>
          <w:bCs/>
          <w:spacing w:val="-6"/>
          <w:sz w:val="24"/>
          <w:szCs w:val="24"/>
          <w:rtl/>
        </w:rPr>
        <w:t>إعداد/ الباحثة</w:t>
      </w:r>
      <w:r w:rsidR="0026403B" w:rsidRPr="00CF7747">
        <w:rPr>
          <w:rFonts w:ascii="Traditional Arabic" w:hAnsi="Traditional Arabic" w:cs="Traditional Arabic" w:hint="cs"/>
          <w:b/>
          <w:bCs/>
          <w:spacing w:val="-6"/>
          <w:sz w:val="24"/>
          <w:szCs w:val="24"/>
          <w:rtl/>
        </w:rPr>
        <w:t>، مستندة إلى ما ورد في الأكاديمية البريطانية للتدريب والتطوير</w:t>
      </w:r>
    </w:p>
    <w:p w14:paraId="19D130A9" w14:textId="37975871" w:rsidR="00B94EB0" w:rsidRPr="00004955" w:rsidRDefault="00B94EB0" w:rsidP="00202713">
      <w:pPr>
        <w:bidi/>
        <w:spacing w:before="120" w:after="120" w:line="240" w:lineRule="auto"/>
        <w:rPr>
          <w:rFonts w:ascii="Traditional Arabic" w:hAnsi="Traditional Arabic" w:cs="Traditional Arabic"/>
          <w:b/>
          <w:bCs/>
          <w:spacing w:val="-6"/>
          <w:sz w:val="28"/>
          <w:szCs w:val="28"/>
          <w:rtl/>
        </w:rPr>
      </w:pPr>
      <w:r w:rsidRPr="00004955">
        <w:rPr>
          <w:rFonts w:ascii="Traditional Arabic" w:hAnsi="Traditional Arabic" w:cs="Traditional Arabic" w:hint="cs"/>
          <w:b/>
          <w:bCs/>
          <w:spacing w:val="-6"/>
          <w:sz w:val="28"/>
          <w:szCs w:val="28"/>
          <w:rtl/>
        </w:rPr>
        <w:t>الدراسات السابقة حول إدارة المخاطر في الرعاية الصحية:</w:t>
      </w:r>
    </w:p>
    <w:p w14:paraId="18564D30" w14:textId="52A2BB8F" w:rsidR="007F394A" w:rsidRPr="00004955" w:rsidRDefault="007F394A" w:rsidP="00004955">
      <w:pPr>
        <w:bidi/>
        <w:spacing w:before="120" w:after="120" w:line="360" w:lineRule="auto"/>
        <w:ind w:firstLine="720"/>
        <w:jc w:val="both"/>
        <w:rPr>
          <w:rFonts w:ascii="Traditional Arabic" w:hAnsi="Traditional Arabic" w:cs="Traditional Arabic"/>
          <w:b/>
          <w:bCs/>
          <w:spacing w:val="-6"/>
          <w:sz w:val="24"/>
          <w:szCs w:val="24"/>
        </w:rPr>
      </w:pPr>
      <w:bookmarkStart w:id="6" w:name="_Hlk205704372"/>
      <w:r w:rsidRPr="00004955">
        <w:rPr>
          <w:rFonts w:ascii="Traditional Arabic" w:hAnsi="Traditional Arabic" w:cs="Traditional Arabic" w:hint="cs"/>
          <w:b/>
          <w:bCs/>
          <w:spacing w:val="-6"/>
          <w:sz w:val="24"/>
          <w:szCs w:val="24"/>
          <w:rtl/>
        </w:rPr>
        <w:t>نجد دراسة</w:t>
      </w:r>
      <w:r w:rsidRPr="00004955">
        <w:rPr>
          <w:rFonts w:ascii="Traditional Arabic" w:hAnsi="Traditional Arabic" w:cs="Traditional Arabic" w:hint="cs"/>
          <w:b/>
          <w:bCs/>
          <w:spacing w:val="-6"/>
          <w:sz w:val="24"/>
          <w:szCs w:val="24"/>
        </w:rPr>
        <w:t xml:space="preserve"> Smith et al. (2017): The Impact of Risk Management on </w:t>
      </w:r>
      <w:r w:rsidR="00FF4BF0" w:rsidRPr="00004955">
        <w:rPr>
          <w:rFonts w:ascii="Traditional Arabic" w:hAnsi="Traditional Arabic" w:cs="Traditional Arabic" w:hint="cs"/>
          <w:b/>
          <w:bCs/>
          <w:spacing w:val="-6"/>
          <w:sz w:val="24"/>
          <w:szCs w:val="24"/>
          <w:rtl/>
        </w:rPr>
        <w:t xml:space="preserve"> </w:t>
      </w:r>
      <w:r w:rsidRPr="00004955">
        <w:rPr>
          <w:rFonts w:ascii="Traditional Arabic" w:hAnsi="Traditional Arabic" w:cs="Traditional Arabic" w:hint="cs"/>
          <w:b/>
          <w:bCs/>
          <w:spacing w:val="-6"/>
          <w:sz w:val="24"/>
          <w:szCs w:val="24"/>
        </w:rPr>
        <w:t>Patient Safety in Hospitals</w:t>
      </w:r>
      <w:r w:rsidR="00FF4BF0" w:rsidRPr="00004955">
        <w:rPr>
          <w:rFonts w:ascii="Traditional Arabic" w:hAnsi="Traditional Arabic" w:cs="Traditional Arabic" w:hint="cs"/>
          <w:b/>
          <w:bCs/>
          <w:spacing w:val="-6"/>
          <w:sz w:val="24"/>
          <w:szCs w:val="24"/>
        </w:rPr>
        <w:t xml:space="preserve">  </w:t>
      </w:r>
      <w:r w:rsidR="00FF4BF0" w:rsidRPr="00004955">
        <w:rPr>
          <w:rFonts w:ascii="Traditional Arabic" w:hAnsi="Traditional Arabic" w:cs="Traditional Arabic" w:hint="cs"/>
          <w:b/>
          <w:bCs/>
          <w:spacing w:val="-6"/>
          <w:sz w:val="24"/>
          <w:szCs w:val="24"/>
          <w:rtl/>
          <w:lang w:bidi="ar-EG"/>
        </w:rPr>
        <w:t xml:space="preserve"> </w:t>
      </w:r>
      <w:r w:rsidRPr="00004955">
        <w:rPr>
          <w:rFonts w:ascii="Traditional Arabic" w:hAnsi="Traditional Arabic" w:cs="Traditional Arabic" w:hint="cs"/>
          <w:spacing w:val="-6"/>
          <w:sz w:val="24"/>
          <w:szCs w:val="24"/>
          <w:rtl/>
        </w:rPr>
        <w:t>حيث هدفت إلى تحليل العلاقة بين استخدام أدوات تحليل البيانات الطبية وتدريب الكوادر الصحية، وبين فعالية الإجراءات الوقائية في تقليل الحوادث الطبية. ركزت الدراسة على أهمية تبني نهج استباقي في إدارة المخاطر، بما يضمن تعزيز سلامة المرضى وتحسين جودة الخدمات العلاجية</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اعتمد الباحثون على المنهج الكمي التحليلي، واستخدموا الاستبيان وتحليل السجلات الطبية كأدوات لجمع البيانات</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وقد تم تطبيق الدراسة على عينة مكونة من 150 موظفًا من الأطباء والممرضين ومديري الجودة في مستشفيات تعليمية في الولايات المتحدة، تم اختيارهم بطريقة قصدية لضمان تمثيل الفئات المعنية مباشرة بتطبيق نظم إدارة المخاطر</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أظهرت نتائج الدراسة أن تطبيق إدارة المخاطر ساهم في تحسين سلامة المرضى من خلال تقليل الحوادث الطبية، وتحسين نتائج العلاج، وتقليل الأخطاء المرتبطة بالتشخيص والعلاج واستخدام الأدوية</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كما ساهمت هذه النظم في تحسين الكفاءة التشغيلية عبر تقليل الفاقد الناتج عن الأخطاء الطبية، مما عزز قدرة المستشفيات على تقديم رعاية صحية آمنة وفعالة. أوصت الدراسة بضرورة الاستثمار في تدريب الكوادر الصحية بشكل مستمر، وتفعيل نظم تحليل البيانات الطبية لتحديد المخاطر واتخاذ الإجراءات الوقائية المناسبة</w:t>
      </w:r>
      <w:r w:rsidRPr="00004955">
        <w:rPr>
          <w:rFonts w:ascii="Traditional Arabic" w:hAnsi="Traditional Arabic" w:cs="Traditional Arabic" w:hint="cs"/>
          <w:spacing w:val="-6"/>
          <w:sz w:val="24"/>
          <w:szCs w:val="24"/>
        </w:rPr>
        <w:t>.</w:t>
      </w:r>
    </w:p>
    <w:p w14:paraId="008615EC" w14:textId="58CE494E" w:rsidR="0024537B" w:rsidRPr="00F321AF" w:rsidRDefault="00544C03" w:rsidP="00F321AF">
      <w:pPr>
        <w:bidi/>
        <w:spacing w:before="120" w:after="120" w:line="360" w:lineRule="auto"/>
        <w:ind w:firstLine="720"/>
        <w:jc w:val="both"/>
        <w:rPr>
          <w:rFonts w:ascii="Traditional Arabic" w:hAnsi="Traditional Arabic" w:cs="Traditional Arabic"/>
          <w:spacing w:val="-6"/>
          <w:sz w:val="24"/>
          <w:szCs w:val="24"/>
          <w:rtl/>
        </w:rPr>
      </w:pPr>
      <w:r w:rsidRPr="00F321AF">
        <w:rPr>
          <w:rFonts w:ascii="Traditional Arabic" w:hAnsi="Traditional Arabic" w:cs="Traditional Arabic" w:hint="cs"/>
          <w:b/>
          <w:bCs/>
          <w:spacing w:val="-6"/>
          <w:sz w:val="24"/>
          <w:szCs w:val="24"/>
          <w:rtl/>
        </w:rPr>
        <w:t>وتشير دراسة</w:t>
      </w:r>
      <w:r w:rsidRPr="00F321AF">
        <w:rPr>
          <w:rFonts w:ascii="Traditional Arabic" w:hAnsi="Traditional Arabic" w:cs="Traditional Arabic" w:hint="cs"/>
          <w:b/>
          <w:bCs/>
          <w:spacing w:val="-6"/>
          <w:sz w:val="24"/>
          <w:szCs w:val="24"/>
        </w:rPr>
        <w:t xml:space="preserve"> Jones and Brown (2018): The Role of Risk Management in Enhancing Healthcare Quality</w:t>
      </w:r>
      <w:r w:rsidR="00FF4BF0" w:rsidRPr="00F321AF">
        <w:rPr>
          <w:rFonts w:ascii="Traditional Arabic" w:hAnsi="Traditional Arabic" w:cs="Traditional Arabic" w:hint="cs"/>
          <w:b/>
          <w:bCs/>
          <w:spacing w:val="-6"/>
          <w:sz w:val="24"/>
          <w:szCs w:val="24"/>
          <w:rtl/>
        </w:rPr>
        <w:t xml:space="preserve"> </w:t>
      </w:r>
      <w:r w:rsidRPr="00F321AF">
        <w:rPr>
          <w:rFonts w:ascii="Traditional Arabic" w:hAnsi="Traditional Arabic" w:cs="Traditional Arabic" w:hint="cs"/>
          <w:spacing w:val="-6"/>
          <w:sz w:val="24"/>
          <w:szCs w:val="24"/>
          <w:rtl/>
        </w:rPr>
        <w:t>إلى أن إدارة المخاطر تلعب دورًا محوريًا في تحسين جودة الرعاية الصحية، من خلال تقليل التكاليف المرتبطة بالأخطاء الطبية، وتحسين الكفاءة التشغيلية للمستشفيات</w:t>
      </w:r>
      <w:r w:rsidR="00FF4BF0"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w:t>
      </w:r>
      <w:r w:rsidR="00FF4BF0" w:rsidRPr="00F321AF">
        <w:rPr>
          <w:rFonts w:ascii="Traditional Arabic" w:hAnsi="Traditional Arabic" w:cs="Traditional Arabic" w:hint="cs"/>
          <w:spacing w:val="-6"/>
          <w:sz w:val="24"/>
          <w:szCs w:val="24"/>
          <w:rtl/>
        </w:rPr>
        <w:t>و</w:t>
      </w:r>
      <w:r w:rsidRPr="00F321AF">
        <w:rPr>
          <w:rFonts w:ascii="Traditional Arabic" w:hAnsi="Traditional Arabic" w:cs="Traditional Arabic" w:hint="cs"/>
          <w:spacing w:val="-6"/>
          <w:sz w:val="24"/>
          <w:szCs w:val="24"/>
          <w:rtl/>
        </w:rPr>
        <w:t>هدفت إلى تحليل العلاقة بين تطبيق استراتيجيات إدارة المخاطر وبين جودة الخدمات الصحية، مع التركيز على أثر هذه الاستراتيجيات في تحسين نتائج العلاج وتقليل الفاقد في العمليات التشغيلية</w:t>
      </w:r>
      <w:r w:rsidRPr="00F321AF">
        <w:rPr>
          <w:rFonts w:ascii="Traditional Arabic" w:hAnsi="Traditional Arabic" w:cs="Traditional Arabic" w:hint="cs"/>
          <w:spacing w:val="-6"/>
          <w:sz w:val="24"/>
          <w:szCs w:val="24"/>
        </w:rPr>
        <w:t>.</w:t>
      </w:r>
      <w:r w:rsidRPr="00F321AF">
        <w:rPr>
          <w:rFonts w:ascii="Traditional Arabic" w:hAnsi="Traditional Arabic" w:cs="Traditional Arabic" w:hint="cs"/>
          <w:spacing w:val="-6"/>
          <w:sz w:val="24"/>
          <w:szCs w:val="24"/>
          <w:rtl/>
        </w:rPr>
        <w:t xml:space="preserve"> اعتمد الباحثان على المنهج الكمي </w:t>
      </w:r>
      <w:r w:rsidRPr="00F321AF">
        <w:rPr>
          <w:rFonts w:ascii="Traditional Arabic" w:hAnsi="Traditional Arabic" w:cs="Traditional Arabic" w:hint="cs"/>
          <w:spacing w:val="-6"/>
          <w:sz w:val="24"/>
          <w:szCs w:val="24"/>
          <w:rtl/>
        </w:rPr>
        <w:lastRenderedPageBreak/>
        <w:t>التحليلي، واستخدما الاستبيان وتحليل بيانات الأداء الطبي كأدوات لجمع البيانات</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وقد تم تطبيق الدراسة على عينة مكونة من 12 مستشفى تعليمي في الولايات المتحدة، شملت مديري الجودة، ومشرفي الأقسام الطبية، وعددًا من العاملين في الإدارة التشغيلية</w:t>
      </w:r>
      <w:r w:rsidRPr="00F321AF">
        <w:rPr>
          <w:rFonts w:ascii="Traditional Arabic" w:hAnsi="Traditional Arabic" w:cs="Traditional Arabic" w:hint="cs"/>
          <w:spacing w:val="-6"/>
          <w:sz w:val="24"/>
          <w:szCs w:val="24"/>
        </w:rPr>
        <w:t>.</w:t>
      </w:r>
      <w:r w:rsidR="00357772" w:rsidRPr="00F321AF">
        <w:rPr>
          <w:rFonts w:ascii="Traditional Arabic" w:hAnsi="Traditional Arabic" w:cs="Traditional Arabic" w:hint="cs"/>
          <w:spacing w:val="-6"/>
          <w:sz w:val="24"/>
          <w:szCs w:val="24"/>
          <w:rtl/>
        </w:rPr>
        <w:t xml:space="preserve"> </w:t>
      </w:r>
      <w:r w:rsidRPr="00F321AF">
        <w:rPr>
          <w:rFonts w:ascii="Traditional Arabic" w:hAnsi="Traditional Arabic" w:cs="Traditional Arabic" w:hint="cs"/>
          <w:spacing w:val="-6"/>
          <w:sz w:val="24"/>
          <w:szCs w:val="24"/>
          <w:rtl/>
        </w:rPr>
        <w:t>أظهرت نتائج الدراسة أن تطبيق استراتيجيات إدارة المخاطر ساهم في تحسين جودة الخدمات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كما أوصت الدراسة بضرورة دمج إدارة المخاطر ضمن السياسات التشغيلية للمستشفيات، وتوفير التدريب المستمر للكوادر لضمان تحقيق نتائج مستدامة</w:t>
      </w:r>
      <w:r w:rsidRPr="00F321AF">
        <w:rPr>
          <w:rFonts w:ascii="Traditional Arabic" w:hAnsi="Traditional Arabic" w:cs="Traditional Arabic" w:hint="cs"/>
          <w:spacing w:val="-6"/>
          <w:sz w:val="24"/>
          <w:szCs w:val="24"/>
        </w:rPr>
        <w:t>.</w:t>
      </w:r>
    </w:p>
    <w:p w14:paraId="0C548110" w14:textId="0D1808F3" w:rsidR="00A93B7F" w:rsidRPr="00C52F83" w:rsidRDefault="00A93B7F"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وسعت دراسة</w:t>
      </w:r>
      <w:r w:rsidRPr="00C52F83">
        <w:rPr>
          <w:rFonts w:ascii="Traditional Arabic" w:hAnsi="Traditional Arabic" w:cs="Traditional Arabic" w:hint="cs"/>
          <w:b/>
          <w:bCs/>
          <w:spacing w:val="-6"/>
          <w:sz w:val="24"/>
          <w:szCs w:val="24"/>
        </w:rPr>
        <w:t xml:space="preserve"> Al-Zahrani, S. (2018): Evaluation of Risk Management </w:t>
      </w:r>
      <w:r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b/>
          <w:bCs/>
          <w:spacing w:val="-6"/>
          <w:sz w:val="24"/>
          <w:szCs w:val="24"/>
        </w:rPr>
        <w:t xml:space="preserve"> Strategies in Healthcare</w:t>
      </w:r>
      <w:r w:rsidRPr="00C52F83">
        <w:rPr>
          <w:rFonts w:ascii="Traditional Arabic" w:hAnsi="Traditional Arabic" w:cs="Traditional Arabic" w:hint="cs"/>
          <w:spacing w:val="-6"/>
          <w:sz w:val="24"/>
          <w:szCs w:val="24"/>
          <w:rtl/>
        </w:rPr>
        <w:t xml:space="preserve"> إلى تحليل وتقييم استراتيجيات إدارة المخاطر المطبقة في المستشفيات السعودية، مع التركيز على أهمية التدريب المستمر ورفع مستوى الوعي بين العاملين في القطاع الصحي، باعتبارهما عنصرين أساسيين في تحسين جودة الرعاية الصحية وتقليل معدلات الأخطاء الطبية. اعتمد الباحث على المنهج الوصفي التحليلي، واستخدم الاستبيان المغلق كأداة رئيسية لجمع البيانات، حيث تم تصميمه لقياس مدى تطبيق استراتيجيات إدارة المخاطر ومدى إدراك العاملين لأهميتها</w:t>
      </w:r>
      <w:r w:rsidR="0026403B"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وقد تم تطبيق الدراسة على عينة مكونة من 150 مشاركًا من الكوادر الطبية والإدارية في عدد من المستشفيات الحكومية والخاصة في المملكة العربية السعودية، تم اختيارهم بطريقة قصدية لضمان تمثيل الفئات المعنية بإدارة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تعزيز التدريب المستمر وزيادة الوعي لدى العاملين أدى إلى تحسين جودة الخدمات الصحية، تقليل التكاليف المالية الناتجة عن الأخطاء الطبية، وزيادة الكفاءة التشغيلية داخل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دمج برامج إدارة المخاطر ضمن الخطط التدريبية المستدامة، وتفعيل دور الإدارة العليا في دعم هذه المبادرات لضمان فاعليتها واستمراريتها</w:t>
      </w:r>
      <w:r w:rsidRPr="00C52F83">
        <w:rPr>
          <w:rFonts w:ascii="Traditional Arabic" w:hAnsi="Traditional Arabic" w:cs="Traditional Arabic" w:hint="cs"/>
          <w:spacing w:val="-6"/>
          <w:sz w:val="24"/>
          <w:szCs w:val="24"/>
        </w:rPr>
        <w:t>.</w:t>
      </w:r>
    </w:p>
    <w:p w14:paraId="109E3470" w14:textId="74EF3BFB" w:rsidR="00544C03" w:rsidRPr="00C52F83" w:rsidRDefault="00544C03"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كما سلطت دراسة أحمد محمد السعيد</w:t>
      </w:r>
      <w:r w:rsidRPr="00C52F83">
        <w:rPr>
          <w:rFonts w:ascii="Traditional Arabic" w:hAnsi="Traditional Arabic" w:cs="Traditional Arabic" w:hint="cs"/>
          <w:b/>
          <w:bCs/>
          <w:spacing w:val="-6"/>
          <w:sz w:val="24"/>
          <w:szCs w:val="24"/>
        </w:rPr>
        <w:t xml:space="preserve"> (2019): </w:t>
      </w:r>
      <w:r w:rsidRPr="00C52F83">
        <w:rPr>
          <w:rFonts w:ascii="Traditional Arabic" w:hAnsi="Traditional Arabic" w:cs="Traditional Arabic" w:hint="cs"/>
          <w:b/>
          <w:bCs/>
          <w:spacing w:val="-6"/>
          <w:sz w:val="24"/>
          <w:szCs w:val="24"/>
          <w:rtl/>
        </w:rPr>
        <w:t>تقييم إدارة المخاطر في المستشفيات الحكومية السعودية</w:t>
      </w:r>
      <w:r w:rsidR="00FF4BF0"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الضوء على التحديات التي تواجه المستشفيات الحكومية السعودية في مجال إدارة المخاطر، مع التركيز على نقص الوعي والتدريب بين العاملين كعقبة رئيسية تؤثر سلبًا على جودة الرعاية الصحية</w:t>
      </w:r>
      <w:r w:rsidR="00FF4BF0"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وتحليل أثر نقص التدريب والوعي على فعالية تطبيق هذه النظم</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واعتمد الباحث على المنهج الوصفي التحليلي، واستخدم الاستبيان والمقابلات الشخصية كأدوات لجمع البيانات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حكومية بمدينة الرياض، تم اختيارهم بطريقة قصدية لضمان تمثيل الفئات المعنية بإدارة المخاطر</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 xml:space="preserve"> أظهرت نتائج الدراسة أن نقص التدريب والوعي يُعد من أبرز التحديات التي تعيق تحسين جودة الرعاية الصحية، وأن تعزيز الوعي والتدريب المستمر للكوادر الطبية والإدارية يسهم في تقليل الأخطاء الطبية، وتحسين نتائج العلاج، وتقليل التكاليف المرتبطة بالحوادث الصحية، مما يؤدي إلى تعزيز الكفاءة التشغيلية من خلال تحسين سير العمل وتقليل الفاقد. كما أوصت الدراسة بضرورة إدراج برامج تدريبية متخصصة في إدارة المخاطر، وتفعيل دور الإدارة العليا في دعم هذه المبادرات</w:t>
      </w:r>
      <w:r w:rsidRPr="00C52F83">
        <w:rPr>
          <w:rFonts w:ascii="Traditional Arabic" w:hAnsi="Traditional Arabic" w:cs="Traditional Arabic" w:hint="cs"/>
          <w:spacing w:val="-6"/>
          <w:sz w:val="24"/>
          <w:szCs w:val="24"/>
        </w:rPr>
        <w:t>.</w:t>
      </w:r>
    </w:p>
    <w:p w14:paraId="5072C7CF" w14:textId="4E941473"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tl/>
        </w:rPr>
      </w:pPr>
      <w:r w:rsidRPr="00C52F83">
        <w:rPr>
          <w:rFonts w:ascii="Traditional Arabic" w:hAnsi="Traditional Arabic" w:cs="Traditional Arabic" w:hint="cs"/>
          <w:b/>
          <w:bCs/>
          <w:spacing w:val="-6"/>
          <w:sz w:val="24"/>
          <w:szCs w:val="24"/>
          <w:rtl/>
        </w:rPr>
        <w:t>ودراسة</w:t>
      </w:r>
      <w:r w:rsidRPr="00C52F83">
        <w:rPr>
          <w:rFonts w:ascii="Traditional Arabic" w:hAnsi="Traditional Arabic" w:cs="Traditional Arabic" w:hint="cs"/>
          <w:b/>
          <w:bCs/>
          <w:spacing w:val="-6"/>
          <w:sz w:val="24"/>
          <w:szCs w:val="24"/>
        </w:rPr>
        <w:t xml:space="preserve"> Al-Omari et al. (2019): Implementation of Risk Management </w:t>
      </w:r>
      <w:r w:rsidR="00FF4BF0" w:rsidRPr="00C52F83">
        <w:rPr>
          <w:rFonts w:ascii="Traditional Arabic" w:hAnsi="Traditional Arabic" w:cs="Traditional Arabic" w:hint="cs"/>
          <w:b/>
          <w:bCs/>
          <w:spacing w:val="-6"/>
          <w:sz w:val="24"/>
          <w:szCs w:val="24"/>
          <w:rtl/>
        </w:rPr>
        <w:t xml:space="preserve"> </w:t>
      </w:r>
      <w:r w:rsidR="00FF4BF0"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Pr>
        <w:t>Systems in Healthcare Facilities</w:t>
      </w:r>
      <w:r w:rsidRPr="00C52F83">
        <w:rPr>
          <w:rFonts w:ascii="Traditional Arabic" w:hAnsi="Traditional Arabic" w:cs="Traditional Arabic" w:hint="cs"/>
          <w:spacing w:val="-6"/>
          <w:sz w:val="24"/>
          <w:szCs w:val="24"/>
          <w:rtl/>
        </w:rPr>
        <w:t xml:space="preserve">تناولت هذه الدراسة أهمية دعم الإدارة العليا في تطبيق نظم إدارة المخاطر داخل المنشآت الصحية، حيث هدفت إلى تحليل العلاقة بين مستوى الدعم الإداري وفعالية تنفيذ استراتيجيات إدارة المخاطر، مع التركيز على أثر ذلك في تحسين جودة الرعاية الصحية وتقليل </w:t>
      </w:r>
      <w:r w:rsidRPr="00C52F83">
        <w:rPr>
          <w:rFonts w:ascii="Traditional Arabic" w:hAnsi="Traditional Arabic" w:cs="Traditional Arabic" w:hint="cs"/>
          <w:spacing w:val="-6"/>
          <w:sz w:val="24"/>
          <w:szCs w:val="24"/>
          <w:rtl/>
        </w:rPr>
        <w:lastRenderedPageBreak/>
        <w:t>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واعتمد الباحثون على المنهج الكمي التحليلي، واستخدموا الاستبيان المغلق كأداة رئيسية لجمع البيانات، وتم تصميمه لقياس مستوى الدعم الإداري ومدى تطبيق نظم إدارة المخاطر. وقد تم تطبيق الدراسة على عينة مكونة من 120 مشاركًا من مديري المستشفيات والمشرفين الإداريين في عدد من المنشآت الصحية في المملكة العربية السعودية والأردن، تم اختيارهم بطريقة قصدية لضمان تمثيل الفئات القيادية المؤثرة في صنع القرار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دعم الإدارة العليا كان عاملًا حاسمًا في تحسين فعالية نظم إدارة المخاطر، مما انعكس إيجابًا على جودة الرعاية الصحية، الكفاءة التشغيلية، وتقليل 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إشراك القيادات الإدارية في تصميم وتنفيذ برامج إدارة المخاطر، وتوفير الموارد اللازمة لضمان نجاحها واستدامتها</w:t>
      </w:r>
      <w:r w:rsidRPr="00C52F83">
        <w:rPr>
          <w:rFonts w:ascii="Traditional Arabic" w:hAnsi="Traditional Arabic" w:cs="Traditional Arabic" w:hint="cs"/>
          <w:spacing w:val="-6"/>
          <w:sz w:val="24"/>
          <w:szCs w:val="24"/>
        </w:rPr>
        <w:t>.</w:t>
      </w:r>
    </w:p>
    <w:p w14:paraId="6CE7EF9C" w14:textId="07B5C90F"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Pr>
      </w:pPr>
      <w:r w:rsidRPr="00C52F83">
        <w:rPr>
          <w:rFonts w:ascii="Traditional Arabic" w:hAnsi="Traditional Arabic" w:cs="Traditional Arabic" w:hint="cs"/>
          <w:b/>
          <w:bCs/>
          <w:spacing w:val="-6"/>
          <w:sz w:val="24"/>
          <w:szCs w:val="24"/>
          <w:rtl/>
        </w:rPr>
        <w:t>وهدفت</w:t>
      </w:r>
      <w:r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tl/>
        </w:rPr>
        <w:t>دراسة</w:t>
      </w:r>
      <w:r w:rsidRPr="00C52F83">
        <w:rPr>
          <w:rFonts w:ascii="Traditional Arabic" w:hAnsi="Traditional Arabic" w:cs="Traditional Arabic" w:hint="cs"/>
          <w:b/>
          <w:bCs/>
          <w:spacing w:val="-6"/>
          <w:sz w:val="24"/>
          <w:szCs w:val="24"/>
        </w:rPr>
        <w:t xml:space="preserve"> Khan et al. (2019): Impact of Risk Management on Patient Care in Middle Eastern Hospitals</w:t>
      </w:r>
      <w:r w:rsidR="00FF4BF0" w:rsidRPr="00C52F83">
        <w:rPr>
          <w:rFonts w:ascii="Traditional Arabic" w:hAnsi="Traditional Arabic" w:cs="Traditional Arabic" w:hint="cs"/>
          <w:b/>
          <w:bCs/>
          <w:spacing w:val="-6"/>
          <w:sz w:val="24"/>
          <w:szCs w:val="24"/>
        </w:rPr>
        <w:t xml:space="preserve"> </w:t>
      </w:r>
      <w:r w:rsidR="00882035"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إلى تحليل أثر تطبيق نظم إدارة المخاطر على جودة الرعاية الصحية وسلامة المرضى في المستشفيات الشرق أوسطية، مع التركيز على أهمية هذه النظم كعنصر أساسي في تحسين رعاية المرضى وتقليل الأخطاء الطبية. تناول الباحثون العلاقة بين تطبيق إدارة المخاطر ورضا المرضى، إلى جانب أثرها في تعزيز سمعة المؤسسات الصحية</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 وقد تم تطبيق الدراسة على عينة مكونة من 100 مشارك من الكوادر الطبية والإدارية في مستشفيات في المملكة العربية السعودية، الإمارات، وقطر، تم اختيارهم بطريقة قصدية لضمان تمثيل الفئات المعنية بتطبيق 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تحسنًا ملحوظًا في سلامة المرضى وجودة الخدمات الصحية بعد تطبيق نظم إدارة المخاطر، مما أدى إلى زيادة رضا المرضى وتعزيز سمعة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تبني سياسات مؤسسية واضحة لإدارة المخاطر، وتوفير التدريب المستمر لضمان تحقيق نتائج مستدامة في جودة الرعاية الصحية</w:t>
      </w:r>
      <w:r w:rsidRPr="00C52F83">
        <w:rPr>
          <w:rFonts w:ascii="Traditional Arabic" w:hAnsi="Traditional Arabic" w:cs="Traditional Arabic" w:hint="cs"/>
          <w:spacing w:val="-6"/>
          <w:sz w:val="24"/>
          <w:szCs w:val="24"/>
        </w:rPr>
        <w:t>.</w:t>
      </w:r>
    </w:p>
    <w:p w14:paraId="02563CB2" w14:textId="238E577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Hassan Al-Harbi (2019): Risk Management in Saudi Healthcare: Challenges and Solution</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التحديات التي تواجه إدارة المخاطر في القطاع الصحي السعودي، مع التركيز على أبرز العقبات مثل نقص التمويل وضعف البنية التحتية، باعتبارهما من العوامل التي تعيق تطبيق نظم إدارة المخاطر بشكل فعّال. هدفت الدراسة إلى تحليل هذه التحديات واقتراح حلول عملية لتحسين أداء المستشفيات في مجال إدارة المخاطر، من خلال تطوير البنية التحتية وزيادة الموارد المالية المخصصة لهذا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اعتمد الباحث على المنهج الوصفي التحليلي، واستخدم الاستبيان والمقابلات الشخصية كأدوات لجمع البيانات. وقد تم تطبيق الدراسة على عينة مكونة من 85 مشاركًا من مديري المستشفيات، ومهندسي البنية التحتية، ومشرفي الجودة في عدد من المستشفيات الحكومية والخاصة في مناطق مختلفة من المملكة، تم اختيارهم بطريقة قصدية لضمان تمثيل الفئات المعنية مباشرة بالتحديات التنظيمية والمالية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أظهرت نتائج الدراسة أن نقص التمويل وضعف البنية التحتية يُعدان من أبرز التحديات التي تعيق تطبيق إدارة المخاطر، وأن زيادة التمويل وتطوير البنية التحتية يمثلان حلولًا فعالة لتعزيز قدرة المستشفيات على تطبيق نظم إدارة المخاطر بكفاءة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إدارة المخاطر ضمن أولويات التخطيط الاستراتيجي، وتخصيص موارد مالية وتقنية كافية لدعم هذا التوجه</w:t>
      </w:r>
      <w:r w:rsidRPr="00787A81">
        <w:rPr>
          <w:rFonts w:ascii="Traditional Arabic" w:hAnsi="Traditional Arabic" w:cs="Traditional Arabic" w:hint="cs"/>
          <w:spacing w:val="-6"/>
          <w:sz w:val="24"/>
          <w:szCs w:val="24"/>
        </w:rPr>
        <w:t>.</w:t>
      </w:r>
    </w:p>
    <w:p w14:paraId="0F4AA060" w14:textId="183FC2DE" w:rsidR="001826A3" w:rsidRPr="00787A81" w:rsidRDefault="00A93B7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وهدف</w:t>
      </w:r>
      <w:r w:rsidR="001826A3" w:rsidRPr="00787A81">
        <w:rPr>
          <w:rFonts w:ascii="Traditional Arabic" w:hAnsi="Traditional Arabic" w:cs="Traditional Arabic" w:hint="cs"/>
          <w:b/>
          <w:bCs/>
          <w:spacing w:val="-6"/>
          <w:sz w:val="24"/>
          <w:szCs w:val="24"/>
        </w:rPr>
        <w:t xml:space="preserve"> </w:t>
      </w:r>
      <w:r w:rsidR="001826A3" w:rsidRPr="00787A81">
        <w:rPr>
          <w:rFonts w:ascii="Traditional Arabic" w:hAnsi="Traditional Arabic" w:cs="Traditional Arabic" w:hint="cs"/>
          <w:b/>
          <w:bCs/>
          <w:spacing w:val="-6"/>
          <w:sz w:val="24"/>
          <w:szCs w:val="24"/>
          <w:rtl/>
        </w:rPr>
        <w:t>دراسة</w:t>
      </w:r>
      <w:r w:rsidR="001826A3" w:rsidRPr="00787A81">
        <w:rPr>
          <w:rFonts w:ascii="Traditional Arabic" w:hAnsi="Traditional Arabic" w:cs="Traditional Arabic" w:hint="cs"/>
          <w:b/>
          <w:bCs/>
          <w:spacing w:val="-6"/>
          <w:sz w:val="24"/>
          <w:szCs w:val="24"/>
        </w:rPr>
        <w:t xml:space="preserve"> Johnson et al. (2019): Applications of Risk Management in American Hospitals</w:t>
      </w:r>
      <w:r w:rsidR="00137215" w:rsidRPr="00787A81">
        <w:rPr>
          <w:rFonts w:ascii="Traditional Arabic" w:hAnsi="Traditional Arabic" w:cs="Traditional Arabic" w:hint="cs"/>
          <w:b/>
          <w:bCs/>
          <w:spacing w:val="-6"/>
          <w:sz w:val="24"/>
          <w:szCs w:val="24"/>
          <w:rtl/>
        </w:rPr>
        <w:t xml:space="preserve"> </w:t>
      </w:r>
      <w:r w:rsidR="001826A3" w:rsidRPr="00787A81">
        <w:rPr>
          <w:rFonts w:ascii="Traditional Arabic" w:hAnsi="Traditional Arabic" w:cs="Traditional Arabic" w:hint="cs"/>
          <w:spacing w:val="-6"/>
          <w:sz w:val="24"/>
          <w:szCs w:val="24"/>
          <w:rtl/>
        </w:rPr>
        <w:t>على تحليل دور تكنولوجيا المعلومات الصحية في تحسين إدارة المخاطر داخل المستشفيات الأمريكية، من خلال استخدام أدوات تحليل البيانات لتحديد الأنماط الخطرة والتنبؤ بالمشكلات المحتملة قبل وقوعها. هدفت الدراسة إلى إبراز أهمية دمج الأنظمة الرقمية في إدارة المخاطر، لما لها من أثر في تعزيز جودة الرعاية الصحية وتقليل الأخطاء الطبية</w:t>
      </w:r>
      <w:r w:rsidR="001826A3" w:rsidRPr="00787A81">
        <w:rPr>
          <w:rFonts w:ascii="Traditional Arabic" w:hAnsi="Traditional Arabic" w:cs="Traditional Arabic" w:hint="cs"/>
          <w:spacing w:val="-6"/>
          <w:sz w:val="24"/>
          <w:szCs w:val="24"/>
        </w:rPr>
        <w:t>.</w:t>
      </w:r>
      <w:r w:rsidR="00140C83" w:rsidRPr="00787A81">
        <w:rPr>
          <w:rFonts w:ascii="Traditional Arabic" w:hAnsi="Traditional Arabic" w:cs="Traditional Arabic" w:hint="cs"/>
          <w:spacing w:val="-6"/>
          <w:sz w:val="24"/>
          <w:szCs w:val="24"/>
          <w:rtl/>
        </w:rPr>
        <w:t xml:space="preserve"> و</w:t>
      </w:r>
      <w:r w:rsidR="001826A3"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الإلكتروني وتحليل السجلات الطبية الرقمية كأدوات رئيسية لجمع البيانات. وقد تم تطبيق الدراسة على عينة مكونة من 10 مستشفيات تعليمية في الولايات المتحدة، شملت مديري نظم المعلومات الصحية، ومشرفي الجودة، وعددًا من الأطباء والممرضين العاملين في أقسام الطوارئ والعناية المركزة</w:t>
      </w:r>
      <w:r w:rsidR="001826A3" w:rsidRPr="00787A81">
        <w:rPr>
          <w:rFonts w:ascii="Traditional Arabic" w:hAnsi="Traditional Arabic" w:cs="Traditional Arabic" w:hint="cs"/>
          <w:spacing w:val="-6"/>
          <w:sz w:val="24"/>
          <w:szCs w:val="24"/>
        </w:rPr>
        <w:t>.</w:t>
      </w:r>
      <w:r w:rsidR="001826A3" w:rsidRPr="00787A81">
        <w:rPr>
          <w:rFonts w:ascii="Traditional Arabic" w:hAnsi="Traditional Arabic" w:cs="Traditional Arabic" w:hint="cs"/>
          <w:spacing w:val="-6"/>
          <w:sz w:val="24"/>
          <w:szCs w:val="24"/>
          <w:rtl/>
        </w:rPr>
        <w:t xml:space="preserve"> وأظهرت نتائج الدراسة أن استخدام التكنولوجيا في تحليل المخاطر ساهم بشكل فعّال في تحسين إدارة المخاطر، رفع جودة الخدمات الصحية، وزيادة الكفاءة التشغيلية</w:t>
      </w:r>
      <w:r w:rsidR="00137215" w:rsidRPr="00787A81">
        <w:rPr>
          <w:rFonts w:ascii="Traditional Arabic" w:hAnsi="Traditional Arabic" w:cs="Traditional Arabic" w:hint="cs"/>
          <w:spacing w:val="-6"/>
          <w:sz w:val="24"/>
          <w:szCs w:val="24"/>
          <w:rtl/>
        </w:rPr>
        <w:t>،</w:t>
      </w:r>
      <w:r w:rsidR="001826A3" w:rsidRPr="00787A81">
        <w:rPr>
          <w:rFonts w:ascii="Traditional Arabic" w:hAnsi="Traditional Arabic" w:cs="Traditional Arabic" w:hint="cs"/>
          <w:spacing w:val="-6"/>
          <w:sz w:val="24"/>
          <w:szCs w:val="24"/>
          <w:rtl/>
        </w:rPr>
        <w:t xml:space="preserve"> كما أوصت الدراسة بضرورة الاستثمار في تطوير البنية التحتية الرقمية وتدريب الكوادر على استخدام أدوات التحليل الحديثة لضمان استدامة التحسينات في الأداء الصحي</w:t>
      </w:r>
      <w:r w:rsidR="001826A3" w:rsidRPr="00787A81">
        <w:rPr>
          <w:rFonts w:ascii="Traditional Arabic" w:hAnsi="Traditional Arabic" w:cs="Traditional Arabic" w:hint="cs"/>
          <w:spacing w:val="-6"/>
          <w:sz w:val="24"/>
          <w:szCs w:val="24"/>
        </w:rPr>
        <w:t>.</w:t>
      </w:r>
    </w:p>
    <w:p w14:paraId="47012D3A" w14:textId="23CB80C3" w:rsidR="00A93B7F" w:rsidRPr="00787A81" w:rsidRDefault="00A93B7F" w:rsidP="00787A81">
      <w:pPr>
        <w:bidi/>
        <w:spacing w:before="120" w:after="120" w:line="360" w:lineRule="auto"/>
        <w:ind w:firstLine="720"/>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Al-Mutairi et al. (2020): Risk Management Practices in Saudi Hospitals</w:t>
      </w:r>
      <w:r w:rsidRPr="00787A81">
        <w:rPr>
          <w:rFonts w:ascii="Traditional Arabic" w:hAnsi="Traditional Arabic" w:cs="Traditional Arabic" w:hint="cs"/>
          <w:spacing w:val="-6"/>
          <w:sz w:val="24"/>
          <w:szCs w:val="24"/>
          <w:rtl/>
        </w:rPr>
        <w:t>على تقييم الممارسات الحالية لإدارة المخاطر في المستشفيات السعودية، مع التأكيد على أهمية تطبيق برامج شاملة ومتكاملة لإدارة المخاطر كوسيلة لتحسين جودة الرعاية الصحية وضمان سلامة المرضى. هدفت الدراسة إلى تحليل مدى فعالية الممارسات القائمة، وتحديد الفجوات التي تعيق تحقيق نتائج ملموسة في تقليل الأخطاء الطبية وتحسين الأداء المؤسسي</w:t>
      </w:r>
      <w:r w:rsidRPr="00787A81">
        <w:rPr>
          <w:rFonts w:ascii="Traditional Arabic" w:hAnsi="Traditional Arabic" w:cs="Traditional Arabic" w:hint="cs"/>
          <w:spacing w:val="-6"/>
          <w:sz w:val="24"/>
          <w:szCs w:val="24"/>
        </w:rPr>
        <w:t>.</w:t>
      </w:r>
      <w:r w:rsidR="0073051C"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وتحليل مؤشرات الأداء الطبي كأدوات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120 موظفًا من الكوادر الطبية والإدارية في مستشفيات حكومية وخاصة في مناطق مختلفة من المملكة العربية السعودية، تم اختيارهم بطريقة قصدية لضمان تمثيل الفئات المعنية بإدارة المخاطر</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نتائج الدراسة أن تطبيق برامج شاملة لإدارة المخاطر ساهم في تحسين جودة الرعاية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 كما أوصت الدراسة بضرورة دمج إدارة المخاطر ضمن الخطط الاستراتيجية للمستشفيات، وتوفير التدريب والدعم المؤسسي لضمان فاعلية التطبيق</w:t>
      </w:r>
      <w:r w:rsidRPr="00787A81">
        <w:rPr>
          <w:rFonts w:ascii="Traditional Arabic" w:hAnsi="Traditional Arabic" w:cs="Traditional Arabic" w:hint="cs"/>
          <w:spacing w:val="-6"/>
          <w:sz w:val="24"/>
          <w:szCs w:val="24"/>
        </w:rPr>
        <w:t>.</w:t>
      </w:r>
    </w:p>
    <w:p w14:paraId="2001A667" w14:textId="05414753" w:rsidR="005D4601" w:rsidRPr="00787A81" w:rsidRDefault="005D4601"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Miller and Davis (2020): Risk Management Practices in European Hospitals</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المستمر للكوادر الطبية والإدارية في تحسين إدارة المخاطر داخل المستشفيات الأوروبية، حيث هدفت إلى تحليل أثر تطوير المهارات والمعرفة المهنية على جودة الرعاية الصحية وتقليل الأخطاء الطبية. تناول الباحثان العلاقة بين التعليم المستمر وتطبيق استراتيجيات فعالة لإدارة المخاطر، مع التركيز على ضرورة تحديث المعارف بما يتماشى مع التطورات التقنية والتنظيمية في القطاع الصحي</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واعتمدت الدراسة على المنهج الوصفي التحليلي، واستخدمت الاستبيان والمقابلات شبه المهيكلة كأدوات لجمع البيانات</w:t>
      </w:r>
      <w:r w:rsidR="006B5F98"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تطبيقها على عينة مكونة من 200 موظف من الكوادر الطبية والإدارية في مستشفيات تقع في ألمانيا، فرنسا، وإيطاليا، وتم اختيار العينة بطريقة عشوائية طبقية لضمان تمثيل مختلف الأقسام والتخصصات</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التدريب المستمر وتحديث المهارات ساهم في تحسين جودة الرعاية الصحية، رفع الكفاءة التشغيلية، وتقليل الأخطاء الطبية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lastRenderedPageBreak/>
        <w:t>كما أوصت الدراسة بضرورة إدراج برامج التدريب المهني ضمن السياسات الصحية الوطنية، وتوفير الدعم المؤسسي لضمان استمرارية هذه البرامج وتأثيرها الإيجابي على الأداء العام للمستشفيات</w:t>
      </w:r>
      <w:r w:rsidRPr="00787A81">
        <w:rPr>
          <w:rFonts w:ascii="Traditional Arabic" w:hAnsi="Traditional Arabic" w:cs="Traditional Arabic" w:hint="cs"/>
          <w:spacing w:val="-6"/>
          <w:sz w:val="24"/>
          <w:szCs w:val="24"/>
        </w:rPr>
        <w:t>.</w:t>
      </w:r>
    </w:p>
    <w:p w14:paraId="7EF700A9" w14:textId="04140580"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وأشارت دراسة</w:t>
      </w:r>
      <w:r w:rsidRPr="00787A81">
        <w:rPr>
          <w:rFonts w:ascii="Traditional Arabic" w:hAnsi="Traditional Arabic" w:cs="Traditional Arabic" w:hint="cs"/>
          <w:b/>
          <w:bCs/>
          <w:spacing w:val="-6"/>
          <w:sz w:val="24"/>
          <w:szCs w:val="24"/>
        </w:rPr>
        <w:t xml:space="preserve"> Al-Qahtani et al. (2020): Obstacles to Effective Risk Management in Healthcare</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العقبات التي تعترض إدارة المخاطر بفعالية في القطاع الصحي السعودي، مع التركيز على أهمية التدريب المستمر والتنسيق الداخلي بين الأقسام كعوامل رئيسية لتحسين تنفيذ استراتيجيات إدارة المخاطر. هدفت الدراسة إلى تحليل مدى تأثير نقص التدريب وضعف التنسيق على فعالية إدارة المخاطر، وتقديم توصيات عملية لتعزيز الأداء المؤسسي في 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المغلق كأداة رئيسية لجمع البيانات، حيث تم تصميمه لقياس مستوى التدريب والتنسيق ومدى ارتباطهما بفعالية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110 موظفين من الكوادر الطبية والإدارية في مستشفيات حكومية وخاصة في المنطقة الوسطى والشرقية من المملكة، تم اختيارهم بطريقة قصدية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وزيادة الوعي بين العاملين، إلى جانب تحسين التنسيق الداخلي، يُعد من العوامل الأساسية التي تسهم في رفع فعالية 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برامج تدريبية متخصصة في إدارة المخاطر، وتفعيل آليات التنسيق بين الأقسام لضمان تطبيق متكامل وفعّال لهذه النظم</w:t>
      </w:r>
      <w:r w:rsidRPr="00787A81">
        <w:rPr>
          <w:rFonts w:ascii="Traditional Arabic" w:hAnsi="Traditional Arabic" w:cs="Traditional Arabic" w:hint="cs"/>
          <w:spacing w:val="-6"/>
          <w:sz w:val="24"/>
          <w:szCs w:val="24"/>
        </w:rPr>
        <w:t>.</w:t>
      </w:r>
    </w:p>
    <w:p w14:paraId="01A75654" w14:textId="56CEADEA" w:rsidR="00C3076E" w:rsidRPr="00787A81" w:rsidRDefault="00C3076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كما تناولت دراسة عبد الله بن محمد الجهني</w:t>
      </w:r>
      <w:r w:rsidRPr="00787A81">
        <w:rPr>
          <w:rFonts w:ascii="Traditional Arabic" w:hAnsi="Traditional Arabic" w:cs="Traditional Arabic" w:hint="cs"/>
          <w:b/>
          <w:bCs/>
          <w:spacing w:val="-6"/>
          <w:sz w:val="24"/>
          <w:szCs w:val="24"/>
        </w:rPr>
        <w:t xml:space="preserve"> (2020): </w:t>
      </w:r>
      <w:r w:rsidRPr="00787A81">
        <w:rPr>
          <w:rFonts w:ascii="Traditional Arabic" w:hAnsi="Traditional Arabic" w:cs="Traditional Arabic" w:hint="cs"/>
          <w:b/>
          <w:bCs/>
          <w:spacing w:val="-6"/>
          <w:sz w:val="24"/>
          <w:szCs w:val="24"/>
          <w:rtl/>
        </w:rPr>
        <w:t xml:space="preserve">إدارة المخاطر في مستشفيات المملكة العربية السعودية </w:t>
      </w:r>
      <w:r w:rsidRPr="00787A81">
        <w:rPr>
          <w:rFonts w:ascii="Traditional Arabic" w:hAnsi="Traditional Arabic" w:cs="Traditional Arabic" w:hint="cs"/>
          <w:spacing w:val="-6"/>
          <w:sz w:val="24"/>
          <w:szCs w:val="24"/>
          <w:rtl/>
        </w:rPr>
        <w:t>كيفية تطبيق نظم إدارة المخاطر في المستشفيات السعودية، مع التركيز على أثر هذه النظم في تقليل الأخطاء الطبية وزيادة رضا المرضى. هدفت الدراسة إلى تحليل فعالية تطبيق إدارة المخاطر في بيئة المستشفى، وتحديد مدى تأثيرها على جودة الرعاية الصحية والكفاءة التشغيلية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منهج دراسة الحالة، واستخدم أدوات متعددة لجمع البيانات شملت الاستبيان، والمقابلات الشخصية، وتحليل الوثائق الإدارية. وقد تم تطبيق الدراسة على عينة مكونة من 75 مشاركًا من الكوادر الطبية والإدارية في أحد المستشفيات الحكومية الكبرى بمدينة الرياض، تم اختيارهم بطريقة قصدية لضمان تمثيل الفئات المعنية بتطبيق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تطبيق نظم إدارة المخاطر ساهم بشكل واضح في تقليل الأخطاء الطبية، تحسين جودة الرعاية الصحية، وزيادة الكفاءة التشغيلية، إلى جانب رفع مستوى رضا المرضى عن الخدمات المقدمة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تعزيز ثقافة السلامة داخل المستشفيات، وتوفير التدريب والدعم الإداري المستمر لضمان نجاح تطبيق هذه النظم</w:t>
      </w:r>
      <w:r w:rsidRPr="00787A81">
        <w:rPr>
          <w:rFonts w:ascii="Traditional Arabic" w:hAnsi="Traditional Arabic" w:cs="Traditional Arabic" w:hint="cs"/>
          <w:spacing w:val="-6"/>
          <w:sz w:val="24"/>
          <w:szCs w:val="24"/>
        </w:rPr>
        <w:t>.</w:t>
      </w:r>
    </w:p>
    <w:p w14:paraId="3DC3B899" w14:textId="2F7869DA" w:rsidR="00A938AE" w:rsidRPr="00787A81" w:rsidRDefault="00544C03"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 xml:space="preserve">كما ركزت </w:t>
      </w:r>
      <w:r w:rsidR="00A938AE" w:rsidRPr="00787A81">
        <w:rPr>
          <w:rFonts w:ascii="Traditional Arabic" w:hAnsi="Traditional Arabic" w:cs="Traditional Arabic" w:hint="cs"/>
          <w:b/>
          <w:bCs/>
          <w:spacing w:val="-6"/>
          <w:sz w:val="24"/>
          <w:szCs w:val="24"/>
          <w:rtl/>
        </w:rPr>
        <w:t>دراسة</w:t>
      </w:r>
      <w:r w:rsidR="00A938AE" w:rsidRPr="00787A81">
        <w:rPr>
          <w:rFonts w:ascii="Traditional Arabic" w:hAnsi="Traditional Arabic" w:cs="Traditional Arabic" w:hint="cs"/>
          <w:b/>
          <w:bCs/>
          <w:spacing w:val="-6"/>
          <w:sz w:val="24"/>
          <w:szCs w:val="24"/>
        </w:rPr>
        <w:t xml:space="preserve"> Hassan et al. (2020</w:t>
      </w:r>
      <w:r w:rsidR="00137215" w:rsidRPr="00787A81">
        <w:rPr>
          <w:rFonts w:ascii="Traditional Arabic" w:hAnsi="Traditional Arabic" w:cs="Traditional Arabic" w:hint="cs"/>
          <w:b/>
          <w:bCs/>
          <w:spacing w:val="-6"/>
          <w:sz w:val="24"/>
          <w:szCs w:val="24"/>
        </w:rPr>
        <w:t xml:space="preserve">) </w:t>
      </w:r>
      <w:r w:rsidR="00A938AE" w:rsidRPr="00787A81">
        <w:rPr>
          <w:rFonts w:ascii="Traditional Arabic" w:hAnsi="Traditional Arabic" w:cs="Traditional Arabic" w:hint="cs"/>
          <w:b/>
          <w:bCs/>
          <w:spacing w:val="-6"/>
          <w:sz w:val="24"/>
          <w:szCs w:val="24"/>
        </w:rPr>
        <w:t xml:space="preserve">Effectiveness of Risk </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b/>
          <w:bCs/>
          <w:spacing w:val="-6"/>
          <w:sz w:val="24"/>
          <w:szCs w:val="24"/>
        </w:rPr>
        <w:t>Management Programs in Hospitals</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spacing w:val="-6"/>
          <w:sz w:val="24"/>
          <w:szCs w:val="24"/>
          <w:rtl/>
        </w:rPr>
        <w:t>على تحليل دور برامج إدارة المخاطر في تحسين الكفاءة التشغيلية داخل المستشفيات، مع إبراز أهمية هذه البرامج في تحسين العمليات وتقليل الأخطاء الطبية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كما هدفت الدراسة إلى تقييم مدى فعالية تطبيق برامج إدارة المخاطر في بيئات المستشفيات، وتأثيرها المباشر على جودة الرعاية الصحية وكفاءة الأداء المؤسسي</w:t>
      </w:r>
      <w:r w:rsidR="00A938AE" w:rsidRPr="00787A81">
        <w:rPr>
          <w:rFonts w:ascii="Traditional Arabic" w:hAnsi="Traditional Arabic" w:cs="Traditional Arabic" w:hint="cs"/>
          <w:spacing w:val="-6"/>
          <w:sz w:val="24"/>
          <w:szCs w:val="24"/>
        </w:rPr>
        <w:t>.</w:t>
      </w:r>
      <w:r w:rsidR="00A938AE" w:rsidRPr="00787A81">
        <w:rPr>
          <w:rFonts w:ascii="Traditional Arabic" w:hAnsi="Traditional Arabic" w:cs="Traditional Arabic" w:hint="cs"/>
          <w:spacing w:val="-6"/>
          <w:sz w:val="24"/>
          <w:szCs w:val="24"/>
          <w:rtl/>
        </w:rPr>
        <w:t xml:space="preserve"> واعتمد الباحثون على المنهج الكمي، واستخدموا الاستبيان كأداة رئيسية لجمع البيانات، حيث تم تصميمه لقياس مدى تطبيق برامج إدارة المخاطر وتأثيرها على مؤشرات الأداء</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وقد تم تطبيق الدراسة على عينة مكونة من 15 مستشفى في المملكة العربية السعودية ودولة الإمارات العربية المتحدة، شملت مديري الجودة، ومشرفي الأقسام الطبية، وعددًا من العاملين في الإدارة التشغيلية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وأظهرت نتائج الدراسة أن تطبيق برامج </w:t>
      </w:r>
      <w:r w:rsidR="00A938AE" w:rsidRPr="00787A81">
        <w:rPr>
          <w:rFonts w:ascii="Traditional Arabic" w:hAnsi="Traditional Arabic" w:cs="Traditional Arabic" w:hint="cs"/>
          <w:spacing w:val="-6"/>
          <w:sz w:val="24"/>
          <w:szCs w:val="24"/>
          <w:rtl/>
        </w:rPr>
        <w:lastRenderedPageBreak/>
        <w:t>إدارة المخاطر ساهم بشكل فعّال في زيادة الكفاءة التشغيلية، تحسين جودة الرعاية الصحية، وتقليل الأخطاء الطبية. كما أوصت الدراسة بضرورة دمج هذه البرامج ضمن الخطط الاستراتيجية للمستشفيات، وتوفير التدريب المستمر للكوادر لضمان تحقيق نتائج مستدامة</w:t>
      </w:r>
      <w:r w:rsidR="00A938AE" w:rsidRPr="00787A81">
        <w:rPr>
          <w:rFonts w:ascii="Traditional Arabic" w:hAnsi="Traditional Arabic" w:cs="Traditional Arabic" w:hint="cs"/>
          <w:spacing w:val="-6"/>
          <w:sz w:val="24"/>
          <w:szCs w:val="24"/>
        </w:rPr>
        <w:t>.</w:t>
      </w:r>
    </w:p>
    <w:p w14:paraId="2D870E38" w14:textId="3E95CABE" w:rsidR="00A93B7F" w:rsidRPr="00787A81" w:rsidRDefault="00A938AE" w:rsidP="00787A81">
      <w:pPr>
        <w:bidi/>
        <w:spacing w:before="120" w:after="120" w:line="360" w:lineRule="auto"/>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وهدفت دراسة</w:t>
      </w:r>
      <w:r w:rsidRPr="00787A81">
        <w:rPr>
          <w:rFonts w:ascii="Traditional Arabic" w:hAnsi="Traditional Arabic" w:cs="Traditional Arabic" w:hint="cs"/>
          <w:b/>
          <w:bCs/>
          <w:spacing w:val="-6"/>
          <w:sz w:val="24"/>
          <w:szCs w:val="24"/>
        </w:rPr>
        <w:t xml:space="preserve"> Sami Al-Zahrani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Evaluation of Risk Management </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b/>
          <w:bCs/>
          <w:spacing w:val="-6"/>
          <w:sz w:val="24"/>
          <w:szCs w:val="24"/>
        </w:rPr>
        <w:t>Implementation in Saudi Hospitals</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تحليل استراتيجيات إدارة المخاطر المطبقة في المستشفيات السعودية، مع التركيز على أهمية التدريب المستمر والدعم الإداري في تحسين فعالية هذه الاستراتيجيات. سعى الباحث إلى فهم العلاقة بين تطوير قدرات العاملين وتوفير الدعم المؤسسي، وبين جودة تطبيق إدارة المخاطر في بيئة المستشفى</w:t>
      </w:r>
      <w:r w:rsidRPr="00787A81">
        <w:rPr>
          <w:rFonts w:ascii="Traditional Arabic" w:hAnsi="Traditional Arabic" w:cs="Traditional Arabic" w:hint="cs"/>
          <w:spacing w:val="-6"/>
          <w:sz w:val="24"/>
          <w:szCs w:val="24"/>
        </w:rPr>
        <w:t>.</w:t>
      </w:r>
      <w:r w:rsidR="00544C03"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والملاحظة الميدانية كأدوات لجمع البيانات، حيث تم تصميم الاستبيان لقياس مستوى التدريب والدعم الإداري ومدى تأثيرهما على تطبيق إدارة المخاطر</w:t>
      </w:r>
      <w:r w:rsidR="00137215"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بمدينة الرياض وجدة، تم اختيارهم بطريقة قصدية لضمان تمثيل الفئات المعنية مباشرة بإدارة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التدريب المستمر والدعم الإداري كانا عاملين رئيسيين في تحسين جودة الرعاية الصحية، وزيادة الكفاءة التشغيلية داخل المستشفيات. كما أوصت الدراسة بضرورة تعزيز البرامج التدريبية وتفعيل دور الإدارة العليا في دعم مبادرات إدارة المخاطر لضمان فاعليتها واستدامتها</w:t>
      </w:r>
      <w:r w:rsidRPr="00787A81">
        <w:rPr>
          <w:rFonts w:ascii="Traditional Arabic" w:hAnsi="Traditional Arabic" w:cs="Traditional Arabic" w:hint="cs"/>
          <w:spacing w:val="-6"/>
          <w:sz w:val="24"/>
          <w:szCs w:val="24"/>
        </w:rPr>
        <w:t>.</w:t>
      </w:r>
    </w:p>
    <w:p w14:paraId="371CFF47" w14:textId="7D2D6CB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كما تضمنت دراسة سامي بن علي الزهراني</w:t>
      </w:r>
      <w:r w:rsidRPr="00787A81">
        <w:rPr>
          <w:rFonts w:ascii="Traditional Arabic" w:hAnsi="Traditional Arabic" w:cs="Traditional Arabic" w:hint="cs"/>
          <w:b/>
          <w:bCs/>
          <w:spacing w:val="-6"/>
          <w:sz w:val="24"/>
          <w:szCs w:val="24"/>
        </w:rPr>
        <w:t xml:space="preserve">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 xml:space="preserve">تحديات إدارة المخاطر في القطاع الصحي السعودي </w:t>
      </w:r>
      <w:r w:rsidRPr="00787A81">
        <w:rPr>
          <w:rFonts w:ascii="Traditional Arabic" w:hAnsi="Traditional Arabic" w:cs="Traditional Arabic" w:hint="cs"/>
          <w:spacing w:val="-6"/>
          <w:sz w:val="24"/>
          <w:szCs w:val="24"/>
          <w:rtl/>
        </w:rPr>
        <w:t>تحليلًا معمقًا للتحديات المالية والتنظيمية التي تواجه تطبيق إدارة المخاطر في المستشفيات السعودية، حيث هدفت إلى تحديد أبرز العوائق التي تحول دون تنفيذ فعال لهذه النظم، مع التركيز على أهمية توفير الدعم المالي والإداري لضمان نجاح تطبيقها. تناول الباحث العلاقة بين الموارد المتاحة والجاهزية التنظيمية، وبين فعالية إدارة المخاطر في بيئة المستشفى</w:t>
      </w:r>
      <w:r w:rsidR="00137215" w:rsidRPr="00787A81">
        <w:rPr>
          <w:rFonts w:ascii="Traditional Arabic" w:hAnsi="Traditional Arabic" w:cs="Traditional Arabic" w:hint="cs"/>
          <w:spacing w:val="-6"/>
          <w:sz w:val="24"/>
          <w:szCs w:val="24"/>
          <w:rtl/>
        </w:rPr>
        <w:t>، و</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تطبيقها على عينة مكونة من 90 مشاركًا من مديري المستشفيات، ورؤساء الأقسام الطبية، والمشرفين الإداريين في عدد من المستشفيات الحكومية والخاصة في مناطق مختلفة من المملكة، تم اختيارهم بطريقة قصدية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نقص التمويل، إلى جانب المقاومة التنظيمية للتغيير، يُعدان من أبرز التحديات التي تعيق تطبيق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تخصيص ميزانيات مستقلة لإدارة المخاطر، وتطوير السياسات الداخلية بما يضمن مرونة تنظيمية واستعدادًا مؤسسيًا لتبني النظم الحديثة في هذا المجال</w:t>
      </w:r>
      <w:r w:rsidRPr="00787A81">
        <w:rPr>
          <w:rFonts w:ascii="Traditional Arabic" w:hAnsi="Traditional Arabic" w:cs="Traditional Arabic" w:hint="cs"/>
          <w:spacing w:val="-6"/>
          <w:sz w:val="24"/>
          <w:szCs w:val="24"/>
        </w:rPr>
        <w:t>.</w:t>
      </w:r>
    </w:p>
    <w:p w14:paraId="314880F2" w14:textId="069662FE" w:rsidR="00A938AE"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وتناولت دراسة</w:t>
      </w:r>
      <w:r w:rsidRPr="00787A81">
        <w:rPr>
          <w:rFonts w:ascii="Traditional Arabic" w:hAnsi="Traditional Arabic" w:cs="Traditional Arabic" w:hint="cs"/>
          <w:b/>
          <w:bCs/>
          <w:spacing w:val="-6"/>
          <w:sz w:val="24"/>
          <w:szCs w:val="24"/>
        </w:rPr>
        <w:t xml:space="preserve"> Anderson et al.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Challenges in Risk Management in Healthcare: A Comprehensive Review</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التحديات التي تعترض تطبيق نظم إدارة المخاطر في المستشفيات، مع التركيز على أبرز العوائق مثل نقص الوعي بين العاملين، والقيود المالية التي تحد من فعالية التنفيذ. هدفت الدراسة إلى تقديم مراجعة شاملة للعقبات التي تواجه المؤسسات الصحية في تطبيق نظم إدارة المخاطر، وتحليل سبل التغلب عليها من خلال تطوير استراتيجيات تنظيمية وتدريبية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الباحثون على المنهج النوعي التحليلي، واستخدموا مراجعة الأدبيات والمقابلات شبه المهيكلة كأدوات رئيسية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شملت العينة مجموعة من الخبراء في إدارة المستشفيات، ومديري الجودة، وممثلي الهيئات التنظيمية الصحية في الولايات المتحدة وكندا، بلغ عددهم 40 مشاركًا تم اختيارهم بطريقة قصدية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w:t>
      </w:r>
      <w:r w:rsidRPr="00787A81">
        <w:rPr>
          <w:rFonts w:ascii="Traditional Arabic" w:hAnsi="Traditional Arabic" w:cs="Traditional Arabic" w:hint="cs"/>
          <w:spacing w:val="-6"/>
          <w:sz w:val="24"/>
          <w:szCs w:val="24"/>
          <w:rtl/>
        </w:rPr>
        <w:lastRenderedPageBreak/>
        <w:t>أن نقص الوعي لدى العاملين، إلى جانب محدودية الموارد المالية، يُعدان من أبرز التحديات التي تعيق تطبيق نظم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الاستثمار في برامج التوعية والتدريب، وتوفير الدعم المالي والإداري لتجاوز هذه العقبات وتحقيق تحسين ملموس في جودة الرعاية الصحية</w:t>
      </w:r>
      <w:r w:rsidRPr="00787A81">
        <w:rPr>
          <w:rFonts w:ascii="Traditional Arabic" w:hAnsi="Traditional Arabic" w:cs="Traditional Arabic" w:hint="cs"/>
          <w:spacing w:val="-6"/>
          <w:sz w:val="24"/>
          <w:szCs w:val="24"/>
        </w:rPr>
        <w:t>.</w:t>
      </w:r>
    </w:p>
    <w:p w14:paraId="42E891C4" w14:textId="6C1E47E4" w:rsidR="0021562A"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أشارت دراسة</w:t>
      </w:r>
      <w:r w:rsidRPr="00787A81">
        <w:rPr>
          <w:rFonts w:ascii="Traditional Arabic" w:hAnsi="Traditional Arabic" w:cs="Traditional Arabic" w:hint="cs"/>
          <w:b/>
          <w:bCs/>
          <w:spacing w:val="-6"/>
          <w:sz w:val="24"/>
          <w:szCs w:val="24"/>
        </w:rPr>
        <w:t xml:space="preserve"> Garcia and Martinez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Barriers to Implementing Risk Management Systems in Hospitals</w:t>
      </w:r>
      <w:r w:rsidR="0017199F" w:rsidRPr="00787A81">
        <w:rPr>
          <w:rFonts w:ascii="Traditional Arabic" w:hAnsi="Traditional Arabic" w:cs="Traditional Arabic" w:hint="cs"/>
          <w:b/>
          <w:bCs/>
          <w:spacing w:val="-6"/>
          <w:sz w:val="24"/>
          <w:szCs w:val="24"/>
          <w:rtl/>
          <w:lang w:bidi="ar-EG"/>
        </w:rPr>
        <w:t xml:space="preserve"> </w:t>
      </w:r>
      <w:r w:rsidRPr="00787A81">
        <w:rPr>
          <w:rFonts w:ascii="Traditional Arabic" w:hAnsi="Traditional Arabic" w:cs="Traditional Arabic" w:hint="cs"/>
          <w:spacing w:val="-6"/>
          <w:sz w:val="24"/>
          <w:szCs w:val="24"/>
          <w:rtl/>
        </w:rPr>
        <w:t>إلى أن مقاومة التغيير تُعد من أبرز العوائق التي تواجه تطبيق نظم إدارة المخاطر في المستشفيات، حيث هدفت إلى تحليل الأسباب التنظيمية والنفسية التي تدفع العاملين إلى مقاومة التغيير، وتحديد سبل إدارتها لضمان تطبيق فعّال ومستدام لإدارة المخاطر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0017199F" w:rsidRPr="00787A81">
        <w:rPr>
          <w:rFonts w:ascii="Traditional Arabic" w:hAnsi="Traditional Arabic" w:cs="Traditional Arabic" w:hint="cs"/>
          <w:spacing w:val="-6"/>
          <w:sz w:val="24"/>
          <w:szCs w:val="24"/>
          <w:rtl/>
        </w:rPr>
        <w:t>و</w:t>
      </w:r>
      <w:r w:rsidRPr="00787A81">
        <w:rPr>
          <w:rFonts w:ascii="Traditional Arabic" w:hAnsi="Traditional Arabic" w:cs="Traditional Arabic" w:hint="cs"/>
          <w:spacing w:val="-6"/>
          <w:sz w:val="24"/>
          <w:szCs w:val="24"/>
          <w:rtl/>
        </w:rPr>
        <w:t>ركزت الدراسة على أهمية التغيير التنظيمي المدروس، وتعزيز ثقافة السلامة كمدخل أساسي لتجاوز هذه المقاومة</w:t>
      </w:r>
      <w:r w:rsidR="004D121C"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اعتمد الباحثان على المنهج النوعي، واستخدما المقابلات المتعمقة وتحليل الوثائق التنظيمية كأدوات لجمع البيانات. وقد تم تطبيق الدراسة على عينة مكونة من 35 مشاركًا من مديري المستشفيات، ومشرفي الجودة، وعدد من العاملين في الأقسام الطبية والإدارية في مستشفيات إسبانية ومكسيكية، تم اختيارهم بطريقة قصدية لضمان تمثيل الفئات المعنية بإدارة التغيير</w:t>
      </w:r>
      <w:r w:rsidR="00B40BA2"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أظهرت نتائج الدراسة أن مقاومة التغيير تشكل عائقًا رئيسيًا أمام تطبيق نظم إدارة المخاطر، مما يستدعي تطوير استراتيجيات فعالة لتعزيز ثقافة السلامة، وتفعيل التواصل الداخلي، وتقديم التدريب المستمر الذي يراعي الجوانب النفسية والتنظيمية للممارسين الصحيين. كما أوصت الدراسة بضرورة إشراك العاملين في مراحل التخطيط والتنفيذ لضمان قبولهم للتغيير وتحقيق نتائج إيجابية</w:t>
      </w:r>
      <w:r w:rsidRPr="00787A81">
        <w:rPr>
          <w:rFonts w:ascii="Traditional Arabic" w:hAnsi="Traditional Arabic" w:cs="Traditional Arabic" w:hint="cs"/>
          <w:spacing w:val="-6"/>
          <w:sz w:val="24"/>
          <w:szCs w:val="24"/>
        </w:rPr>
        <w:t>.</w:t>
      </w:r>
    </w:p>
    <w:p w14:paraId="63F52BA9" w14:textId="466499FE" w:rsidR="00126FB6" w:rsidRPr="00787A81" w:rsidRDefault="00126FB6"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 منصور بن عبد الرحمن العتيبي</w:t>
      </w:r>
      <w:r w:rsidRPr="00787A81">
        <w:rPr>
          <w:rFonts w:ascii="Traditional Arabic" w:hAnsi="Traditional Arabic" w:cs="Traditional Arabic" w:hint="cs"/>
          <w:b/>
          <w:bCs/>
          <w:spacing w:val="-6"/>
          <w:sz w:val="24"/>
          <w:szCs w:val="24"/>
        </w:rPr>
        <w:t xml:space="preserve">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دور إدارة المخاطر في تحسين جودة الرعاية الصحية: دراسة ميدانية في مستشفيات الرياض</w:t>
      </w:r>
      <w:r w:rsidR="00B40BA2"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والتطوير المهني في تحسين إدارة المخاطر داخل المستشفيات، مع التركيز على دوره في تقليل الأخطاء الطبية ورفع جودة الرعاية الصحية. هدفت الدراسة إلى تحليل أثر البرامج التدريبية والتأهيلية على فعالية تطبيق إدارة المخاطر، وتحديد مدى ارتباط التطوير المهني بتحسين الأداء المؤسسي في القطاع الصحي</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المنهج الميداني الوصفي، واستخدم الاستبيان كأداة رئيسية لجمع البيانات، حيث تم تصميمه لقياس مستوى التدريب والتطوير المهني ومدى تأثيرهما على جودة إدارة المخاطر</w:t>
      </w:r>
      <w:r w:rsidR="0017199F"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130 موظفًا من الكوادر الطبية والإدارية في مستشفيات مدينة الرياض، تم اختيارهم بطريقة قصدية لضمان تمثيل الفئات المستهدفة بالتدريب والتطوير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والتطوير المهني ساهم بشكل فعّال في تحسين إدارة المخاطر، رفع جودة الرعاية الصحية، وتقليل الأخطاء الطبية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دمج برامج التدريب ضمن الخطط الاستراتيجية للمستشفيات، وتوفير بيئة تعليمية مستدامة تضمن تطوير المهارات والمعرفة لدى العاملين في القطاع الصحي</w:t>
      </w:r>
      <w:r w:rsidRPr="00787A81">
        <w:rPr>
          <w:rFonts w:ascii="Traditional Arabic" w:hAnsi="Traditional Arabic" w:cs="Traditional Arabic" w:hint="cs"/>
          <w:spacing w:val="-6"/>
          <w:sz w:val="24"/>
          <w:szCs w:val="24"/>
        </w:rPr>
        <w:t>.</w:t>
      </w:r>
    </w:p>
    <w:p w14:paraId="74F94224" w14:textId="53B92342" w:rsidR="0021562A" w:rsidRPr="00787A81" w:rsidRDefault="0021562A"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 xml:space="preserve">أجرت </w:t>
      </w:r>
      <w:r w:rsidRPr="00787A81">
        <w:rPr>
          <w:rFonts w:ascii="Traditional Arabic" w:hAnsi="Traditional Arabic" w:cs="Traditional Arabic" w:hint="cs"/>
          <w:b/>
          <w:bCs/>
          <w:spacing w:val="-6"/>
          <w:sz w:val="24"/>
          <w:szCs w:val="24"/>
        </w:rPr>
        <w:t xml:space="preserve">Willis Towers Watson </w:t>
      </w:r>
      <w:r w:rsidR="0017199F"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دراسة تحليلية عام 2025 شملت عينة من 120 مستشفى في الولايات المتحدة، تتنوع بين مستشفيات تعليمية، خاصة، وريفية. هدفت الدراسة إلى تقييم أبرز المخاطر التشغيلية والمالية التي تواجه المؤسسات الصحية، خاصة في ظل التحول الرقمي</w:t>
      </w:r>
      <w:r w:rsidRPr="00787A81">
        <w:rPr>
          <w:rFonts w:ascii="Traditional Arabic" w:hAnsi="Traditional Arabic" w:cs="Traditional Arabic" w:hint="cs"/>
          <w:spacing w:val="-6"/>
          <w:sz w:val="24"/>
          <w:szCs w:val="24"/>
        </w:rPr>
        <w:t>.</w:t>
      </w:r>
      <w:r w:rsidR="00B40BA2"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استخدم الباحثون استبيانًا إلكترونيًا مكونًا من 35 بندًا يغطي مجالات: الأمن السيبراني، سلامة المرضى، الامتثال التنظيمي، والموارد البشرية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تم دعم النتائج بتحليل بيانات ثانوية من تقارير الحوادث الداخلية وأنظمة إدارة الجودة</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النتائج أن نقص الكوادر الطبية والتهديدات السيبرانية هما أكثر المخاطر تأثيرًا على الأداء، مما يستدعي تعزيز أدوات الرصد المبكر والتدريب المستمر.</w:t>
      </w:r>
    </w:p>
    <w:p w14:paraId="2B33AB9B" w14:textId="0D97A0C1" w:rsidR="0021562A" w:rsidRDefault="0017199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w:t>
      </w:r>
      <w:r w:rsidR="0021562A" w:rsidRPr="00787A81">
        <w:rPr>
          <w:rFonts w:ascii="Traditional Arabic" w:hAnsi="Traditional Arabic" w:cs="Traditional Arabic" w:hint="cs"/>
          <w:b/>
          <w:bCs/>
          <w:spacing w:val="-6"/>
          <w:sz w:val="24"/>
          <w:szCs w:val="24"/>
          <w:rtl/>
        </w:rPr>
        <w:t xml:space="preserve">في دراسة تطبيقية نُشرت عام 2025، قام فريق من الباحثين بتحليل </w:t>
      </w:r>
      <w:r w:rsidR="0021562A" w:rsidRPr="00787A81">
        <w:rPr>
          <w:rFonts w:ascii="Traditional Arabic" w:hAnsi="Traditional Arabic" w:cs="Traditional Arabic" w:hint="cs"/>
          <w:spacing w:val="-6"/>
          <w:sz w:val="24"/>
          <w:szCs w:val="24"/>
          <w:rtl/>
        </w:rPr>
        <w:t>فعالية أدوات إدارة المخاطر في عينة من 85 مستشفى في أوروبا، باستخدام منهج وصفي تحليلي</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اعتمدت الدراسة على مقابلات شبه منظمة مع مديري الجودة والمخاطر، بالإضافة إلى تحليل استخدام أدوات مثل </w:t>
      </w:r>
      <w:r w:rsidR="0021562A" w:rsidRPr="00787A81">
        <w:rPr>
          <w:rFonts w:ascii="Traditional Arabic" w:hAnsi="Traditional Arabic" w:cs="Traditional Arabic" w:hint="cs"/>
          <w:spacing w:val="-6"/>
          <w:sz w:val="24"/>
          <w:szCs w:val="24"/>
        </w:rPr>
        <w:t xml:space="preserve">RLDatix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 xml:space="preserve">MetricStream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Radar Healthcare</w:t>
      </w:r>
      <w:r w:rsidR="0021562A" w:rsidRPr="00787A81">
        <w:rPr>
          <w:rFonts w:ascii="Traditional Arabic" w:hAnsi="Traditional Arabic" w:cs="Traditional Arabic" w:hint="cs"/>
          <w:spacing w:val="-6"/>
          <w:sz w:val="24"/>
          <w:szCs w:val="24"/>
          <w:rtl/>
        </w:rPr>
        <w:t>، وهي أنظمة رقمية متخصصة في تتبع الحوادث وتحليل أسبابها</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أظهرت النتائج أن المستشفيات التي تستخدم أدوات متكاملة لإدارة المخاطر تحقق استجابة أسرع للحوادث، وتقل فيها معدلات الأخطاء الطبية بنسبة تصل إلى 23% مقارنة بالمستشفيات التي تعتمد على أدوات </w:t>
      </w:r>
      <w:r w:rsidR="00983245" w:rsidRPr="00787A81">
        <w:rPr>
          <w:rFonts w:ascii="Traditional Arabic" w:hAnsi="Traditional Arabic" w:cs="Traditional Arabic" w:hint="cs"/>
          <w:spacing w:val="-6"/>
          <w:sz w:val="24"/>
          <w:szCs w:val="24"/>
          <w:rtl/>
        </w:rPr>
        <w:t>تقليدية.</w:t>
      </w:r>
    </w:p>
    <w:p w14:paraId="6548AD0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1DA4D0E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EE0AAA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78B88AE"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40C6B4A"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B23417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866AA73"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B58400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AF08CB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8FBF345"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192E9D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4EA0E49"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42F429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CFD51A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9611AF"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212354D"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52530845" w14:textId="77777777" w:rsidR="00787A81" w:rsidRP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B2B837" w14:textId="4222FD73" w:rsidR="00787A81" w:rsidRPr="00787A81" w:rsidRDefault="0017199F" w:rsidP="00787A81">
      <w:pPr>
        <w:bidi/>
        <w:spacing w:before="120" w:after="120" w:line="240" w:lineRule="auto"/>
        <w:ind w:firstLine="720"/>
        <w:jc w:val="center"/>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lang w:bidi="ar-EG"/>
        </w:rPr>
        <w:lastRenderedPageBreak/>
        <w:t xml:space="preserve">جدول ( </w:t>
      </w:r>
      <w:r w:rsidR="0073051C" w:rsidRPr="00787A81">
        <w:rPr>
          <w:rFonts w:ascii="Traditional Arabic" w:hAnsi="Traditional Arabic" w:cs="Traditional Arabic" w:hint="cs"/>
          <w:b/>
          <w:bCs/>
          <w:spacing w:val="-6"/>
          <w:sz w:val="24"/>
          <w:szCs w:val="24"/>
          <w:rtl/>
          <w:lang w:bidi="ar-EG"/>
        </w:rPr>
        <w:t>5</w:t>
      </w:r>
      <w:r w:rsidRPr="00787A81">
        <w:rPr>
          <w:rFonts w:ascii="Traditional Arabic" w:hAnsi="Traditional Arabic" w:cs="Traditional Arabic" w:hint="cs"/>
          <w:b/>
          <w:bCs/>
          <w:spacing w:val="-6"/>
          <w:sz w:val="24"/>
          <w:szCs w:val="24"/>
          <w:rtl/>
          <w:lang w:bidi="ar-EG"/>
        </w:rPr>
        <w:t xml:space="preserve"> ) ملخص الدراسات السابقة </w:t>
      </w:r>
      <w:r w:rsidRPr="00787A81">
        <w:rPr>
          <w:rFonts w:ascii="Traditional Arabic" w:hAnsi="Traditional Arabic" w:cs="Traditional Arabic" w:hint="cs"/>
          <w:b/>
          <w:bCs/>
          <w:spacing w:val="-6"/>
          <w:sz w:val="24"/>
          <w:szCs w:val="24"/>
          <w:rtl/>
        </w:rPr>
        <w:t>حول إدارة المخاطر</w:t>
      </w:r>
    </w:p>
    <w:tbl>
      <w:tblPr>
        <w:tblStyle w:val="GridTable1Light"/>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90"/>
        <w:gridCol w:w="2276"/>
        <w:gridCol w:w="2155"/>
        <w:gridCol w:w="2469"/>
      </w:tblGrid>
      <w:tr w:rsidR="008D1B3B" w:rsidRPr="00787A81" w14:paraId="1492F3AA" w14:textId="1AED59A0" w:rsidTr="000B23A5">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Borders>
              <w:bottom w:val="none" w:sz="0" w:space="0" w:color="auto"/>
            </w:tcBorders>
            <w:shd w:val="clear" w:color="auto" w:fill="E5DFEC" w:themeFill="accent4" w:themeFillTint="33"/>
          </w:tcPr>
          <w:p w14:paraId="415012FE" w14:textId="6E764845" w:rsidR="008D1B3B" w:rsidRPr="00787A81" w:rsidRDefault="008D1B3B" w:rsidP="00787A81">
            <w:pPr>
              <w:bidi/>
              <w:spacing w:before="120" w:after="120" w:line="240" w:lineRule="auto"/>
              <w:jc w:val="center"/>
              <w:rPr>
                <w:rFonts w:ascii="Traditional Arabic" w:hAnsi="Traditional Arabic" w:cs="Traditional Arabic"/>
                <w:spacing w:val="-6"/>
                <w:sz w:val="24"/>
                <w:szCs w:val="24"/>
                <w:rtl/>
                <w:lang w:bidi="ar-EG"/>
              </w:rPr>
            </w:pPr>
            <w:bookmarkStart w:id="7" w:name="_Hlk208973796"/>
            <w:r w:rsidRPr="00787A81">
              <w:rPr>
                <w:rFonts w:ascii="Traditional Arabic" w:hAnsi="Traditional Arabic" w:cs="Traditional Arabic" w:hint="cs"/>
                <w:spacing w:val="-6"/>
                <w:sz w:val="24"/>
                <w:szCs w:val="24"/>
                <w:rtl/>
                <w:lang w:bidi="ar-EG"/>
              </w:rPr>
              <w:t>الدراسة</w:t>
            </w:r>
          </w:p>
        </w:tc>
        <w:tc>
          <w:tcPr>
            <w:tcW w:w="1349" w:type="pct"/>
            <w:tcBorders>
              <w:bottom w:val="none" w:sz="0" w:space="0" w:color="auto"/>
            </w:tcBorders>
            <w:shd w:val="clear" w:color="auto" w:fill="E5DFEC" w:themeFill="accent4" w:themeFillTint="33"/>
          </w:tcPr>
          <w:p w14:paraId="241A9296" w14:textId="0A12ADE1"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الهدف</w:t>
            </w:r>
          </w:p>
        </w:tc>
        <w:tc>
          <w:tcPr>
            <w:tcW w:w="1275" w:type="pct"/>
            <w:tcBorders>
              <w:bottom w:val="none" w:sz="0" w:space="0" w:color="auto"/>
            </w:tcBorders>
            <w:shd w:val="clear" w:color="auto" w:fill="E5DFEC" w:themeFill="accent4" w:themeFillTint="33"/>
          </w:tcPr>
          <w:p w14:paraId="2A7639C5" w14:textId="14DB522D"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النتيجة</w:t>
            </w:r>
          </w:p>
        </w:tc>
        <w:tc>
          <w:tcPr>
            <w:tcW w:w="1453" w:type="pct"/>
            <w:tcBorders>
              <w:bottom w:val="none" w:sz="0" w:space="0" w:color="auto"/>
            </w:tcBorders>
            <w:shd w:val="clear" w:color="auto" w:fill="E5DFEC" w:themeFill="accent4" w:themeFillTint="33"/>
          </w:tcPr>
          <w:p w14:paraId="1E941FD3" w14:textId="6890412B"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الفرق بينها وبين دراستي</w:t>
            </w:r>
          </w:p>
        </w:tc>
      </w:tr>
      <w:tr w:rsidR="008D1B3B" w:rsidRPr="00787A81" w14:paraId="3570F906" w14:textId="3395AD2E"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5FA7E05E" w14:textId="70D38386" w:rsidR="008D1B3B" w:rsidRPr="00787A81" w:rsidRDefault="00C63202"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Smith et al. (2017)</w:t>
            </w:r>
          </w:p>
        </w:tc>
        <w:tc>
          <w:tcPr>
            <w:tcW w:w="1349" w:type="pct"/>
          </w:tcPr>
          <w:p w14:paraId="649A83F7" w14:textId="4A1AE714" w:rsidR="008D1B3B" w:rsidRPr="00787A81" w:rsidRDefault="00280EFA"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تحليل العلاقة بين أدوات تحليل البيانات الطبية وتدريب الكوادر الصحية وبين فعالية الإجراءات الوقائية في تقليل الحوادث الطبية</w:t>
            </w:r>
            <w:r w:rsidRPr="00787A81">
              <w:rPr>
                <w:rFonts w:ascii="Traditional Arabic" w:hAnsi="Traditional Arabic" w:cs="Traditional Arabic" w:hint="cs"/>
                <w:b/>
                <w:bCs/>
                <w:sz w:val="24"/>
                <w:szCs w:val="24"/>
              </w:rPr>
              <w:t>.</w:t>
            </w:r>
          </w:p>
        </w:tc>
        <w:tc>
          <w:tcPr>
            <w:tcW w:w="1275" w:type="pct"/>
          </w:tcPr>
          <w:p w14:paraId="16C59850" w14:textId="05E0A3DF"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تطبيق إدارة المخاطر ساهم في تحسين سلامة المرضى وتقليل الأخطاء الطبية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10219B26" w14:textId="066AF60B"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تضيف البُعد القيادي من خلال تحليل الدور الوسيط للقيادة التحويلية، بينما دراسة</w:t>
            </w:r>
            <w:r w:rsidRPr="00787A81">
              <w:rPr>
                <w:rFonts w:ascii="Traditional Arabic" w:hAnsi="Traditional Arabic" w:cs="Traditional Arabic" w:hint="cs"/>
                <w:b/>
                <w:bCs/>
                <w:spacing w:val="-6"/>
                <w:sz w:val="24"/>
                <w:szCs w:val="24"/>
                <w:lang w:bidi="ar-EG"/>
              </w:rPr>
              <w:t xml:space="preserve"> Smith </w:t>
            </w:r>
            <w:r w:rsidRPr="00787A81">
              <w:rPr>
                <w:rFonts w:ascii="Traditional Arabic" w:hAnsi="Traditional Arabic" w:cs="Traditional Arabic" w:hint="cs"/>
                <w:b/>
                <w:bCs/>
                <w:spacing w:val="-6"/>
                <w:sz w:val="24"/>
                <w:szCs w:val="24"/>
                <w:rtl/>
              </w:rPr>
              <w:t>ركزت فقط على الأثر المباشر لإدارة المخاطر دون تناول العوامل التنظيمية</w:t>
            </w:r>
            <w:r w:rsidRPr="00787A81">
              <w:rPr>
                <w:rFonts w:ascii="Traditional Arabic" w:hAnsi="Traditional Arabic" w:cs="Traditional Arabic" w:hint="cs"/>
                <w:b/>
                <w:bCs/>
                <w:spacing w:val="-6"/>
                <w:sz w:val="24"/>
                <w:szCs w:val="24"/>
                <w:lang w:bidi="ar-EG"/>
              </w:rPr>
              <w:t>.</w:t>
            </w:r>
          </w:p>
        </w:tc>
      </w:tr>
      <w:tr w:rsidR="008D1B3B" w:rsidRPr="00787A81" w14:paraId="0E6082E8" w14:textId="7449C7AF"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17BADDD" w14:textId="35BFACD8" w:rsidR="008D1B3B" w:rsidRPr="00787A81" w:rsidRDefault="007E4373"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Jones and Brown (2018)</w:t>
            </w:r>
          </w:p>
        </w:tc>
        <w:tc>
          <w:tcPr>
            <w:tcW w:w="1349" w:type="pct"/>
          </w:tcPr>
          <w:p w14:paraId="4A0E2B5A" w14:textId="700E2099" w:rsidR="008D1B3B" w:rsidRPr="00787A81" w:rsidRDefault="007E437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تحليل العلاقة بين تطبيق استراتيجيات إدارة المخاطر وجودة الخدمات الصحية، مع التركيز على أثر هذه الاستراتيجيات في تحسين نتائج العلاج وتقليل الفاقد التشغيلي</w:t>
            </w:r>
            <w:r w:rsidRPr="00787A81">
              <w:rPr>
                <w:rFonts w:ascii="Traditional Arabic" w:hAnsi="Traditional Arabic" w:cs="Traditional Arabic" w:hint="cs"/>
                <w:b/>
                <w:bCs/>
                <w:spacing w:val="-6"/>
                <w:sz w:val="24"/>
                <w:szCs w:val="24"/>
                <w:lang w:bidi="ar-EG"/>
              </w:rPr>
              <w:t>.</w:t>
            </w:r>
          </w:p>
        </w:tc>
        <w:tc>
          <w:tcPr>
            <w:tcW w:w="1275" w:type="pct"/>
          </w:tcPr>
          <w:p w14:paraId="1CA2032C" w14:textId="3B99E268"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إدارة المخاطر ساهمت في تحسين جودة الرعاية الصحية من خلال تقليل الأخطاء الطبية والتكاليف، وتعزيز الكفاءة التشغيلية للمستشفيات</w:t>
            </w:r>
            <w:r w:rsidRPr="00787A81">
              <w:rPr>
                <w:rFonts w:ascii="Traditional Arabic" w:hAnsi="Traditional Arabic" w:cs="Traditional Arabic" w:hint="cs"/>
                <w:b/>
                <w:bCs/>
                <w:spacing w:val="-6"/>
                <w:sz w:val="24"/>
                <w:szCs w:val="24"/>
                <w:lang w:bidi="ar-EG"/>
              </w:rPr>
              <w:t>.</w:t>
            </w:r>
          </w:p>
        </w:tc>
        <w:tc>
          <w:tcPr>
            <w:tcW w:w="1453" w:type="pct"/>
          </w:tcPr>
          <w:p w14:paraId="4D7E7E55" w14:textId="4BFA4523"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تتناول القيادة التحويلية كعامل وسيط في العلاقة بين إدارة المخاطر وسلامة المرضى، بينما دراسة</w:t>
            </w:r>
            <w:r w:rsidRPr="00787A81">
              <w:rPr>
                <w:rFonts w:ascii="Traditional Arabic" w:hAnsi="Traditional Arabic" w:cs="Traditional Arabic" w:hint="cs"/>
                <w:b/>
                <w:bCs/>
                <w:spacing w:val="-6"/>
                <w:sz w:val="24"/>
                <w:szCs w:val="24"/>
                <w:lang w:bidi="ar-EG"/>
              </w:rPr>
              <w:t xml:space="preserve"> Jones and Brown </w:t>
            </w:r>
            <w:r w:rsidRPr="00787A81">
              <w:rPr>
                <w:rFonts w:ascii="Traditional Arabic" w:hAnsi="Traditional Arabic" w:cs="Traditional Arabic" w:hint="cs"/>
                <w:b/>
                <w:bCs/>
                <w:spacing w:val="-6"/>
                <w:sz w:val="24"/>
                <w:szCs w:val="24"/>
                <w:rtl/>
              </w:rPr>
              <w:t>ركزت على العلاقة المباشرة بين إدارة المخاطر وجودة الخدمات دون تحليل الأبعاد القيادية</w:t>
            </w:r>
            <w:r w:rsidR="000C04F1" w:rsidRPr="00787A81">
              <w:rPr>
                <w:rFonts w:ascii="Traditional Arabic" w:hAnsi="Traditional Arabic" w:cs="Traditional Arabic" w:hint="cs"/>
                <w:b/>
                <w:bCs/>
                <w:spacing w:val="-6"/>
                <w:sz w:val="24"/>
                <w:szCs w:val="24"/>
                <w:rtl/>
              </w:rPr>
              <w:t>.</w:t>
            </w:r>
          </w:p>
        </w:tc>
      </w:tr>
      <w:tr w:rsidR="008D1B3B" w:rsidRPr="00787A81" w14:paraId="2E50FFB4" w14:textId="08C1632A"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851B6D7" w14:textId="63CA24E6" w:rsidR="008D1B3B" w:rsidRPr="00787A81" w:rsidRDefault="00D90807"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Pr>
              <w:t>Al-Zahrani, S. (2018)</w:t>
            </w:r>
          </w:p>
        </w:tc>
        <w:tc>
          <w:tcPr>
            <w:tcW w:w="1349" w:type="pct"/>
          </w:tcPr>
          <w:p w14:paraId="278AC28B" w14:textId="72DB8914"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z w:val="24"/>
                <w:szCs w:val="24"/>
                <w:rtl/>
              </w:rPr>
              <w:t>تحليل وتقييم استراتيجيات إدارة المخاطر في المستشفيات السعودية، مع التركيز على التدريب المستمر ورفع الوعي</w:t>
            </w:r>
            <w:r w:rsidRPr="00787A81">
              <w:rPr>
                <w:rFonts w:ascii="Traditional Arabic" w:hAnsi="Traditional Arabic" w:cs="Traditional Arabic" w:hint="cs"/>
                <w:b/>
                <w:bCs/>
                <w:sz w:val="24"/>
                <w:szCs w:val="24"/>
              </w:rPr>
              <w:t>.</w:t>
            </w:r>
          </w:p>
        </w:tc>
        <w:tc>
          <w:tcPr>
            <w:tcW w:w="1275" w:type="pct"/>
          </w:tcPr>
          <w:p w14:paraId="1156142F" w14:textId="7841A01D"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ساهم تعزيز التدريب والوعي في تحسين جودة الخدمات الصحية وتقليل التكاليف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7E060564" w14:textId="36B740E0" w:rsidR="008D1B3B" w:rsidRPr="00787A81" w:rsidRDefault="000E1E9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5A119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تضيف القيادة التحويلية كعامل وسيط، بينما ركزت هذه الدراسة على التدريب والوعي كعوامل مباشرة</w:t>
            </w:r>
            <w:r w:rsidRPr="00787A81">
              <w:rPr>
                <w:rFonts w:ascii="Traditional Arabic" w:hAnsi="Traditional Arabic" w:cs="Traditional Arabic" w:hint="cs"/>
                <w:b/>
                <w:bCs/>
                <w:spacing w:val="-6"/>
                <w:sz w:val="24"/>
                <w:szCs w:val="24"/>
                <w:lang w:bidi="ar-EG"/>
              </w:rPr>
              <w:t>.</w:t>
            </w:r>
          </w:p>
        </w:tc>
      </w:tr>
      <w:tr w:rsidR="008D1B3B" w:rsidRPr="00787A81" w14:paraId="40A388B9" w14:textId="4809C3F0"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2F4ED8F" w14:textId="5B586BE9" w:rsidR="008D1B3B" w:rsidRPr="00787A81" w:rsidRDefault="005A1196"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tl/>
              </w:rPr>
              <w:t>أحمد محمد السعيد</w:t>
            </w:r>
            <w:r w:rsidRPr="00787A81">
              <w:rPr>
                <w:rFonts w:ascii="Traditional Arabic" w:hAnsi="Traditional Arabic" w:cs="Traditional Arabic" w:hint="cs"/>
                <w:sz w:val="24"/>
                <w:szCs w:val="24"/>
              </w:rPr>
              <w:t xml:space="preserve"> (2019)</w:t>
            </w:r>
          </w:p>
        </w:tc>
        <w:tc>
          <w:tcPr>
            <w:tcW w:w="1349" w:type="pct"/>
          </w:tcPr>
          <w:p w14:paraId="746E71CE" w14:textId="7DB8DD63"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تقييم واقع إدارة المخاطر في المستشفيات الحكومية السعودية وتحليل أثر نقص التدريب والوعي</w:t>
            </w:r>
            <w:r w:rsidRPr="00787A81">
              <w:rPr>
                <w:rFonts w:ascii="Traditional Arabic" w:hAnsi="Traditional Arabic" w:cs="Traditional Arabic" w:hint="cs"/>
                <w:b/>
                <w:bCs/>
                <w:spacing w:val="-6"/>
                <w:sz w:val="24"/>
                <w:szCs w:val="24"/>
                <w:lang w:bidi="ar-EG"/>
              </w:rPr>
              <w:t>.</w:t>
            </w:r>
          </w:p>
        </w:tc>
        <w:tc>
          <w:tcPr>
            <w:tcW w:w="1275" w:type="pct"/>
          </w:tcPr>
          <w:p w14:paraId="4C10EEBC" w14:textId="2060D6CA"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نقص التدريب والوعي يعيق تحسين جودة الرعاية، بينما تعزيزها يقلل الأخطاء ويزيد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39AEBCB5" w14:textId="623B99B6" w:rsidR="008D1B3B" w:rsidRPr="00787A81" w:rsidRDefault="00AC16E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E14A3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تدرس القيادة التحويلية كوسيط تنظيمي، بينما هذه الدراسة ركزت على التحديات الداخلية دون تحليل تنظيمي وسيط</w:t>
            </w:r>
            <w:r w:rsidRPr="00787A81">
              <w:rPr>
                <w:rFonts w:ascii="Traditional Arabic" w:hAnsi="Traditional Arabic" w:cs="Traditional Arabic" w:hint="cs"/>
                <w:b/>
                <w:bCs/>
                <w:spacing w:val="-6"/>
                <w:sz w:val="24"/>
                <w:szCs w:val="24"/>
                <w:lang w:bidi="ar-EG"/>
              </w:rPr>
              <w:t>.</w:t>
            </w:r>
          </w:p>
        </w:tc>
      </w:tr>
      <w:tr w:rsidR="00E14A36" w:rsidRPr="00787A81" w14:paraId="5AD27AC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58B495C" w14:textId="1D6BE4AC" w:rsidR="00E14A36" w:rsidRPr="00787A81" w:rsidRDefault="008A1CF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Al-Omari et al. (2019)</w:t>
            </w:r>
          </w:p>
        </w:tc>
        <w:tc>
          <w:tcPr>
            <w:tcW w:w="1349" w:type="pct"/>
          </w:tcPr>
          <w:p w14:paraId="4B8A09EA" w14:textId="3CBE45FD" w:rsidR="00E14A36" w:rsidRPr="00787A81" w:rsidRDefault="008A1CF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دعم الإدارة العليا وفعالية تنفيذ استراتيجيات إدارة المخاطر</w:t>
            </w:r>
            <w:r w:rsidRPr="00787A81">
              <w:rPr>
                <w:rFonts w:ascii="Traditional Arabic" w:hAnsi="Traditional Arabic" w:cs="Traditional Arabic" w:hint="cs"/>
                <w:b/>
                <w:bCs/>
                <w:spacing w:val="-6"/>
                <w:sz w:val="24"/>
                <w:szCs w:val="24"/>
              </w:rPr>
              <w:t>.</w:t>
            </w:r>
          </w:p>
        </w:tc>
        <w:tc>
          <w:tcPr>
            <w:tcW w:w="1275" w:type="pct"/>
          </w:tcPr>
          <w:p w14:paraId="09AB3864" w14:textId="15F0D746" w:rsidR="00E14A36" w:rsidRPr="00787A81" w:rsidRDefault="0094193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دعم الإدارة العليا يحسن فعالية نظم إدارة المخاطر وجودة الرعاية الصحية ويقلل الأخطاء</w:t>
            </w:r>
            <w:r w:rsidRPr="00787A81">
              <w:rPr>
                <w:rFonts w:ascii="Traditional Arabic" w:hAnsi="Traditional Arabic" w:cs="Traditional Arabic" w:hint="cs"/>
                <w:b/>
                <w:bCs/>
                <w:spacing w:val="-6"/>
                <w:sz w:val="24"/>
                <w:szCs w:val="24"/>
              </w:rPr>
              <w:t>.</w:t>
            </w:r>
          </w:p>
        </w:tc>
        <w:tc>
          <w:tcPr>
            <w:tcW w:w="1453" w:type="pct"/>
          </w:tcPr>
          <w:p w14:paraId="089F1AC4" w14:textId="2BB21EF3" w:rsidR="00E14A36" w:rsidRPr="00787A81" w:rsidRDefault="008379A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ركزت على الدعم الإداري كعامل مباشر</w:t>
            </w:r>
            <w:r w:rsidRPr="00787A81">
              <w:rPr>
                <w:rFonts w:ascii="Traditional Arabic" w:hAnsi="Traditional Arabic" w:cs="Traditional Arabic" w:hint="cs"/>
                <w:b/>
                <w:bCs/>
                <w:spacing w:val="-6"/>
                <w:sz w:val="24"/>
                <w:szCs w:val="24"/>
              </w:rPr>
              <w:t>.</w:t>
            </w:r>
          </w:p>
        </w:tc>
      </w:tr>
      <w:tr w:rsidR="00E14A36" w:rsidRPr="00787A81" w14:paraId="7C54FEE1"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133A1272" w14:textId="0D1CC55B" w:rsidR="00E14A36" w:rsidRPr="00787A81" w:rsidRDefault="000C1499"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Khan et al. (2019)</w:t>
            </w:r>
          </w:p>
        </w:tc>
        <w:tc>
          <w:tcPr>
            <w:tcW w:w="1349" w:type="pct"/>
          </w:tcPr>
          <w:p w14:paraId="35E248DA" w14:textId="1732D5FA"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تطبيق نظم إدارة المخاطر على جودة الرعاية وسلامة المرضى في المستشفيات الشرق أوسطية</w:t>
            </w:r>
            <w:r w:rsidRPr="00787A81">
              <w:rPr>
                <w:rFonts w:ascii="Traditional Arabic" w:hAnsi="Traditional Arabic" w:cs="Traditional Arabic" w:hint="cs"/>
                <w:b/>
                <w:bCs/>
                <w:spacing w:val="-6"/>
                <w:sz w:val="24"/>
                <w:szCs w:val="24"/>
              </w:rPr>
              <w:t>.</w:t>
            </w:r>
          </w:p>
        </w:tc>
        <w:tc>
          <w:tcPr>
            <w:tcW w:w="1275" w:type="pct"/>
          </w:tcPr>
          <w:p w14:paraId="451197D4" w14:textId="234CE488"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إدارة المخاطر أدى إلى تحسين السلامة وجودة الخدمات وزيادة رضا المرضى وتعزيز السمعة</w:t>
            </w:r>
            <w:r w:rsidRPr="00787A81">
              <w:rPr>
                <w:rFonts w:ascii="Traditional Arabic" w:hAnsi="Traditional Arabic" w:cs="Traditional Arabic" w:hint="cs"/>
                <w:b/>
                <w:bCs/>
                <w:spacing w:val="-6"/>
                <w:sz w:val="24"/>
                <w:szCs w:val="24"/>
              </w:rPr>
              <w:t>.</w:t>
            </w:r>
          </w:p>
        </w:tc>
        <w:tc>
          <w:tcPr>
            <w:tcW w:w="1453" w:type="pct"/>
          </w:tcPr>
          <w:p w14:paraId="4EFA888A" w14:textId="03ACE2C4"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العلاقة عبر القيادة التحويلية، بينما هذه الدراسة ركزت على الأثر المباشر دون تحليل تنظيمي أو قيادي</w:t>
            </w:r>
            <w:r w:rsidRPr="00787A81">
              <w:rPr>
                <w:rFonts w:ascii="Traditional Arabic" w:hAnsi="Traditional Arabic" w:cs="Traditional Arabic" w:hint="cs"/>
                <w:b/>
                <w:bCs/>
                <w:spacing w:val="-6"/>
                <w:sz w:val="24"/>
                <w:szCs w:val="24"/>
              </w:rPr>
              <w:t>.</w:t>
            </w:r>
          </w:p>
        </w:tc>
      </w:tr>
      <w:tr w:rsidR="00E14A36" w:rsidRPr="00787A81" w14:paraId="26B862AE"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7414D1B" w14:textId="6E0E686F" w:rsidR="00E14A36" w:rsidRPr="00787A81" w:rsidRDefault="00972407"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lastRenderedPageBreak/>
              <w:t>Hassan Al-Harbi (2019)</w:t>
            </w:r>
          </w:p>
        </w:tc>
        <w:tc>
          <w:tcPr>
            <w:tcW w:w="1349" w:type="pct"/>
          </w:tcPr>
          <w:p w14:paraId="1F37FDAC" w14:textId="29025C63"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التحديات التي تواجه إدارة المخاطر في القطاع الصحي السعودي واقتراح حلول عملية</w:t>
            </w:r>
            <w:r w:rsidRPr="00787A81">
              <w:rPr>
                <w:rFonts w:ascii="Traditional Arabic" w:hAnsi="Traditional Arabic" w:cs="Traditional Arabic" w:hint="cs"/>
                <w:b/>
                <w:bCs/>
                <w:spacing w:val="-6"/>
                <w:sz w:val="24"/>
                <w:szCs w:val="24"/>
              </w:rPr>
              <w:t>.</w:t>
            </w:r>
          </w:p>
        </w:tc>
        <w:tc>
          <w:tcPr>
            <w:tcW w:w="1275" w:type="pct"/>
          </w:tcPr>
          <w:p w14:paraId="420B6283" w14:textId="278C6562"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وضعف البنية التحتية يعوقان التطبيق الفعّال، وزيادتهما يعزز كفاءة إدارة المخاطر</w:t>
            </w:r>
            <w:r w:rsidRPr="00787A81">
              <w:rPr>
                <w:rFonts w:ascii="Traditional Arabic" w:hAnsi="Traditional Arabic" w:cs="Traditional Arabic" w:hint="cs"/>
                <w:b/>
                <w:bCs/>
                <w:spacing w:val="-6"/>
                <w:sz w:val="24"/>
                <w:szCs w:val="24"/>
              </w:rPr>
              <w:t>.</w:t>
            </w:r>
          </w:p>
        </w:tc>
        <w:tc>
          <w:tcPr>
            <w:tcW w:w="1453" w:type="pct"/>
          </w:tcPr>
          <w:p w14:paraId="49CF09D1" w14:textId="2F6CA554"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تنظيمي وسيط، بينما هذه الدراسة ركزت على التحديات المادية والبنيوية</w:t>
            </w:r>
            <w:r w:rsidRPr="00787A81">
              <w:rPr>
                <w:rFonts w:ascii="Traditional Arabic" w:hAnsi="Traditional Arabic" w:cs="Traditional Arabic" w:hint="cs"/>
                <w:b/>
                <w:bCs/>
                <w:spacing w:val="-6"/>
                <w:sz w:val="24"/>
                <w:szCs w:val="24"/>
              </w:rPr>
              <w:t>.</w:t>
            </w:r>
          </w:p>
        </w:tc>
      </w:tr>
      <w:tr w:rsidR="00E14A36" w:rsidRPr="00787A81" w14:paraId="59BC3B68"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70B280B" w14:textId="2E5AF1A3" w:rsidR="00E14A36" w:rsidRPr="00787A81" w:rsidRDefault="009B7BC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Johnson et al. (2019)</w:t>
            </w:r>
          </w:p>
        </w:tc>
        <w:tc>
          <w:tcPr>
            <w:tcW w:w="1349" w:type="pct"/>
          </w:tcPr>
          <w:p w14:paraId="320C2E80" w14:textId="6C506FB6"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دور تكنولوجيا المعلومات الصحية في تحسين إدارة المخاطر بالمستشفيات الأمريكية</w:t>
            </w:r>
            <w:r w:rsidRPr="00787A81">
              <w:rPr>
                <w:rFonts w:ascii="Traditional Arabic" w:hAnsi="Traditional Arabic" w:cs="Traditional Arabic" w:hint="cs"/>
                <w:b/>
                <w:bCs/>
                <w:spacing w:val="-6"/>
                <w:sz w:val="24"/>
                <w:szCs w:val="24"/>
              </w:rPr>
              <w:t>.</w:t>
            </w:r>
          </w:p>
        </w:tc>
        <w:tc>
          <w:tcPr>
            <w:tcW w:w="1275" w:type="pct"/>
          </w:tcPr>
          <w:p w14:paraId="1860ABAF" w14:textId="4F31302D"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تحليل البيانات الرقمية ساهم في تحسين الجودة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4FA7217B" w14:textId="0C2AE0F4"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التكنولوجيا كأداة مباشرة</w:t>
            </w:r>
            <w:r w:rsidRPr="00787A81">
              <w:rPr>
                <w:rFonts w:ascii="Traditional Arabic" w:hAnsi="Traditional Arabic" w:cs="Traditional Arabic" w:hint="cs"/>
                <w:b/>
                <w:bCs/>
                <w:spacing w:val="-6"/>
                <w:sz w:val="24"/>
                <w:szCs w:val="24"/>
              </w:rPr>
              <w:t>.</w:t>
            </w:r>
          </w:p>
        </w:tc>
      </w:tr>
      <w:tr w:rsidR="00E14A36" w:rsidRPr="00787A81" w14:paraId="56AD02E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CDD71B0" w14:textId="3A78C224"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Al-Mutairi et al. (2020)</w:t>
            </w:r>
          </w:p>
        </w:tc>
        <w:tc>
          <w:tcPr>
            <w:tcW w:w="1349" w:type="pct"/>
          </w:tcPr>
          <w:p w14:paraId="665F5D7A" w14:textId="40450883"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الممارسات الحالية لإدارة المخاطر في المستشفيات السعودية وتحديد الفجوات</w:t>
            </w:r>
            <w:r w:rsidRPr="00787A81">
              <w:rPr>
                <w:rFonts w:ascii="Traditional Arabic" w:hAnsi="Traditional Arabic" w:cs="Traditional Arabic" w:hint="cs"/>
                <w:b/>
                <w:bCs/>
                <w:spacing w:val="-6"/>
                <w:sz w:val="24"/>
                <w:szCs w:val="24"/>
              </w:rPr>
              <w:t>.</w:t>
            </w:r>
          </w:p>
        </w:tc>
        <w:tc>
          <w:tcPr>
            <w:tcW w:w="1275" w:type="pct"/>
          </w:tcPr>
          <w:p w14:paraId="73920AC7" w14:textId="5C39AC37"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برامج شاملة ساهم في تحسين الجودة وتقليل الأخطاء وتعزيز الكفاءة التشغيلية</w:t>
            </w:r>
            <w:r w:rsidRPr="00787A81">
              <w:rPr>
                <w:rFonts w:ascii="Traditional Arabic" w:hAnsi="Traditional Arabic" w:cs="Traditional Arabic" w:hint="cs"/>
                <w:b/>
                <w:bCs/>
                <w:spacing w:val="-6"/>
                <w:sz w:val="24"/>
                <w:szCs w:val="24"/>
              </w:rPr>
              <w:t>.</w:t>
            </w:r>
          </w:p>
        </w:tc>
        <w:tc>
          <w:tcPr>
            <w:tcW w:w="1453" w:type="pct"/>
          </w:tcPr>
          <w:p w14:paraId="44B45EFE" w14:textId="79AC5548"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تدرس القيادة كوسيط تنظيمي، بينما هذه الدراسة ركزت على فعالية البرامج دون تحليل تنظيمي</w:t>
            </w:r>
            <w:r w:rsidRPr="00787A81">
              <w:rPr>
                <w:rFonts w:ascii="Traditional Arabic" w:hAnsi="Traditional Arabic" w:cs="Traditional Arabic" w:hint="cs"/>
                <w:b/>
                <w:bCs/>
                <w:spacing w:val="-6"/>
                <w:sz w:val="24"/>
                <w:szCs w:val="24"/>
              </w:rPr>
              <w:t>.</w:t>
            </w:r>
          </w:p>
        </w:tc>
      </w:tr>
      <w:tr w:rsidR="00E14A36" w:rsidRPr="00787A81" w14:paraId="5712D73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3DD12C52" w14:textId="6AD01A2A"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Miller and Davis (2020)</w:t>
            </w:r>
          </w:p>
        </w:tc>
        <w:tc>
          <w:tcPr>
            <w:tcW w:w="1349" w:type="pct"/>
          </w:tcPr>
          <w:p w14:paraId="1C9E0FE5" w14:textId="5EB6A5A4"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المستمر على جودة الرعاية وتقليل الأخطاء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76D49051" w14:textId="5105F00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الأداء العام وتقليل الأخطاء الطبية</w:t>
            </w:r>
            <w:r w:rsidRPr="00787A81">
              <w:rPr>
                <w:rFonts w:ascii="Traditional Arabic" w:hAnsi="Traditional Arabic" w:cs="Traditional Arabic" w:hint="cs"/>
                <w:b/>
                <w:bCs/>
                <w:spacing w:val="-6"/>
                <w:sz w:val="24"/>
                <w:szCs w:val="24"/>
              </w:rPr>
              <w:t>.</w:t>
            </w:r>
          </w:p>
        </w:tc>
        <w:tc>
          <w:tcPr>
            <w:tcW w:w="1453" w:type="pct"/>
          </w:tcPr>
          <w:p w14:paraId="53B1623E" w14:textId="429ADEA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التعليم المهني كعامل مباشر</w:t>
            </w:r>
            <w:r w:rsidRPr="00787A81">
              <w:rPr>
                <w:rFonts w:ascii="Traditional Arabic" w:hAnsi="Traditional Arabic" w:cs="Traditional Arabic" w:hint="cs"/>
                <w:b/>
                <w:bCs/>
                <w:spacing w:val="-6"/>
                <w:sz w:val="24"/>
                <w:szCs w:val="24"/>
              </w:rPr>
              <w:t>.</w:t>
            </w:r>
          </w:p>
        </w:tc>
      </w:tr>
      <w:tr w:rsidR="00076DA4" w:rsidRPr="00787A81" w14:paraId="761F0BDB"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6D0A37" w14:textId="08BCAEF7" w:rsidR="00076DA4" w:rsidRPr="00787A81" w:rsidRDefault="00526B0F"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Al-Qahtani et al. (2020)</w:t>
            </w:r>
          </w:p>
        </w:tc>
        <w:tc>
          <w:tcPr>
            <w:tcW w:w="1349" w:type="pct"/>
          </w:tcPr>
          <w:p w14:paraId="5C2DC3EF" w14:textId="514ED472" w:rsidR="00076DA4"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تأثير نقص التدريب وضعف التنسيق على فعالية إدارة المخاطر في القطاع الصحي السعودي</w:t>
            </w:r>
            <w:r w:rsidRPr="00787A81">
              <w:rPr>
                <w:rFonts w:ascii="Traditional Arabic" w:hAnsi="Traditional Arabic" w:cs="Traditional Arabic" w:hint="cs"/>
                <w:b/>
                <w:bCs/>
                <w:spacing w:val="-6"/>
                <w:sz w:val="24"/>
                <w:szCs w:val="24"/>
              </w:rPr>
              <w:t>.</w:t>
            </w:r>
          </w:p>
        </w:tc>
        <w:tc>
          <w:tcPr>
            <w:tcW w:w="1275" w:type="pct"/>
          </w:tcPr>
          <w:p w14:paraId="62C28DA6" w14:textId="1904C62F" w:rsidR="00076DA4"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تعزيز التدريب والتنسيق الداخلي يرفع فعالية إدارة المخاطر ويُحسن الأداء المؤسسي</w:t>
            </w:r>
            <w:r w:rsidRPr="00787A81">
              <w:rPr>
                <w:rFonts w:ascii="Traditional Arabic" w:hAnsi="Traditional Arabic" w:cs="Traditional Arabic" w:hint="cs"/>
                <w:b/>
                <w:bCs/>
                <w:spacing w:val="-6"/>
                <w:sz w:val="24"/>
                <w:szCs w:val="24"/>
              </w:rPr>
              <w:t>.</w:t>
            </w:r>
          </w:p>
        </w:tc>
        <w:tc>
          <w:tcPr>
            <w:tcW w:w="1453" w:type="pct"/>
          </w:tcPr>
          <w:p w14:paraId="6A150C7B" w14:textId="7D7CCE74" w:rsidR="008309DF"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التنسيق والتدريب كعوامل مباشرة</w:t>
            </w:r>
            <w:r w:rsidRPr="00787A81">
              <w:rPr>
                <w:rFonts w:ascii="Traditional Arabic" w:hAnsi="Traditional Arabic" w:cs="Traditional Arabic" w:hint="cs"/>
                <w:b/>
                <w:bCs/>
                <w:spacing w:val="-6"/>
                <w:sz w:val="24"/>
                <w:szCs w:val="24"/>
              </w:rPr>
              <w:t>.</w:t>
            </w:r>
          </w:p>
          <w:p w14:paraId="5CC113BC" w14:textId="77777777" w:rsidR="00076DA4"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p>
        </w:tc>
      </w:tr>
      <w:tr w:rsidR="00076DA4" w:rsidRPr="00787A81" w14:paraId="6A11CB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B45A0B" w14:textId="29A05749"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عبد الله بن محمد الجهني</w:t>
            </w:r>
            <w:r w:rsidRPr="00787A81">
              <w:rPr>
                <w:rFonts w:ascii="Traditional Arabic" w:hAnsi="Traditional Arabic" w:cs="Traditional Arabic" w:hint="cs"/>
                <w:sz w:val="24"/>
                <w:szCs w:val="24"/>
              </w:rPr>
              <w:t xml:space="preserve"> (2020)</w:t>
            </w:r>
          </w:p>
        </w:tc>
        <w:tc>
          <w:tcPr>
            <w:tcW w:w="1349" w:type="pct"/>
          </w:tcPr>
          <w:p w14:paraId="0BEF5FFF" w14:textId="2324887E"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تطبيق نظم إدارة المخاطر في مستشفى سعودي وتأثيرها على الجودة والكفاءة</w:t>
            </w:r>
            <w:r w:rsidRPr="00787A81">
              <w:rPr>
                <w:rFonts w:ascii="Traditional Arabic" w:hAnsi="Traditional Arabic" w:cs="Traditional Arabic" w:hint="cs"/>
                <w:b/>
                <w:bCs/>
                <w:spacing w:val="-6"/>
                <w:sz w:val="24"/>
                <w:szCs w:val="24"/>
              </w:rPr>
              <w:t>.</w:t>
            </w:r>
          </w:p>
        </w:tc>
        <w:tc>
          <w:tcPr>
            <w:tcW w:w="1275" w:type="pct"/>
          </w:tcPr>
          <w:p w14:paraId="794260D2" w14:textId="74D0A660"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التطبيق ساهم في تقليل الأخطاء، تحسين الجودة، وزيادة رضا المرضى</w:t>
            </w:r>
            <w:r w:rsidRPr="00787A81">
              <w:rPr>
                <w:rFonts w:ascii="Traditional Arabic" w:hAnsi="Traditional Arabic" w:cs="Traditional Arabic" w:hint="cs"/>
                <w:b/>
                <w:bCs/>
                <w:spacing w:val="-6"/>
                <w:sz w:val="24"/>
                <w:szCs w:val="24"/>
              </w:rPr>
              <w:t>.</w:t>
            </w:r>
          </w:p>
        </w:tc>
        <w:tc>
          <w:tcPr>
            <w:tcW w:w="1453" w:type="pct"/>
          </w:tcPr>
          <w:p w14:paraId="0289586C" w14:textId="40CB26AC" w:rsidR="00076DA4" w:rsidRPr="00787A81" w:rsidRDefault="00451405"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دراستي تدرس العلاقة عبر القيادة التحويلية، بينما هذه الدراسة ركزت على نتائج التطبيق دون تحليل تنظيمي وسيط</w:t>
            </w:r>
            <w:r w:rsidRPr="00787A81">
              <w:rPr>
                <w:rFonts w:ascii="Traditional Arabic" w:hAnsi="Traditional Arabic" w:cs="Traditional Arabic" w:hint="cs"/>
                <w:b/>
                <w:bCs/>
                <w:sz w:val="24"/>
                <w:szCs w:val="24"/>
              </w:rPr>
              <w:t>.</w:t>
            </w:r>
          </w:p>
        </w:tc>
      </w:tr>
      <w:tr w:rsidR="00076DA4" w:rsidRPr="00787A81" w14:paraId="071BAFB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ED50075" w14:textId="37AF76A5"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Hassan et al. (2020)</w:t>
            </w:r>
          </w:p>
        </w:tc>
        <w:tc>
          <w:tcPr>
            <w:tcW w:w="1349" w:type="pct"/>
          </w:tcPr>
          <w:p w14:paraId="7C7F6B68" w14:textId="4CCC1AE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فعالية برامج إدارة المخاطر في تحسين الكفاءة التشغيلية وجودة الرعاية الصحية</w:t>
            </w:r>
            <w:r w:rsidRPr="00787A81">
              <w:rPr>
                <w:rFonts w:ascii="Traditional Arabic" w:hAnsi="Traditional Arabic" w:cs="Traditional Arabic" w:hint="cs"/>
                <w:b/>
                <w:bCs/>
                <w:spacing w:val="-6"/>
                <w:sz w:val="24"/>
                <w:szCs w:val="24"/>
              </w:rPr>
              <w:t>.</w:t>
            </w:r>
          </w:p>
        </w:tc>
        <w:tc>
          <w:tcPr>
            <w:tcW w:w="1275" w:type="pct"/>
          </w:tcPr>
          <w:p w14:paraId="3F486BFE" w14:textId="54F13D0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البرامج ساهمت في تحسين العمليات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5863C8D0" w14:textId="4B2E410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 xml:space="preserve">دراستي </w:t>
            </w:r>
            <w:r w:rsidR="00451405" w:rsidRPr="00787A81">
              <w:rPr>
                <w:rFonts w:ascii="Traditional Arabic" w:hAnsi="Traditional Arabic" w:cs="Traditional Arabic" w:hint="cs"/>
                <w:b/>
                <w:bCs/>
                <w:spacing w:val="-6"/>
                <w:sz w:val="24"/>
                <w:szCs w:val="24"/>
                <w:rtl/>
              </w:rPr>
              <w:t>تضيف البُعد القيادي التحويلي، بينما هذه الدراسة ركزت على البرامج كأداة مباشرة دون تحليل تنظيمي</w:t>
            </w:r>
            <w:r w:rsidR="00451405" w:rsidRPr="00787A81">
              <w:rPr>
                <w:rFonts w:ascii="Traditional Arabic" w:hAnsi="Traditional Arabic" w:cs="Traditional Arabic" w:hint="cs"/>
                <w:b/>
                <w:bCs/>
                <w:spacing w:val="-6"/>
                <w:sz w:val="24"/>
                <w:szCs w:val="24"/>
              </w:rPr>
              <w:t>.</w:t>
            </w:r>
          </w:p>
        </w:tc>
      </w:tr>
      <w:tr w:rsidR="00076DA4" w:rsidRPr="00787A81" w14:paraId="5CE4CA93"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CB73B77" w14:textId="453C9505"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Sami Al-Zahrani (2021)</w:t>
            </w:r>
          </w:p>
        </w:tc>
        <w:tc>
          <w:tcPr>
            <w:tcW w:w="1349" w:type="pct"/>
          </w:tcPr>
          <w:p w14:paraId="6C70EC17" w14:textId="52994919"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التدريب والدعم الإداري وجودة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431E2079" w14:textId="7CD44BB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والدعم الإداري حسّنا جودة الرعاية الصحية وزادا الكفاءة التشغيلية</w:t>
            </w:r>
            <w:r w:rsidRPr="00787A81">
              <w:rPr>
                <w:rFonts w:ascii="Traditional Arabic" w:hAnsi="Traditional Arabic" w:cs="Traditional Arabic" w:hint="cs"/>
                <w:b/>
                <w:bCs/>
                <w:spacing w:val="-6"/>
                <w:sz w:val="24"/>
                <w:szCs w:val="24"/>
              </w:rPr>
              <w:t>.</w:t>
            </w:r>
          </w:p>
        </w:tc>
        <w:tc>
          <w:tcPr>
            <w:tcW w:w="1453" w:type="pct"/>
          </w:tcPr>
          <w:p w14:paraId="75D08E02" w14:textId="76931EB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التدريب والدعم الإداري كعوامل مباشرة</w:t>
            </w:r>
            <w:r w:rsidRPr="00787A81">
              <w:rPr>
                <w:rFonts w:ascii="Traditional Arabic" w:hAnsi="Traditional Arabic" w:cs="Traditional Arabic" w:hint="cs"/>
                <w:b/>
                <w:bCs/>
                <w:spacing w:val="-6"/>
                <w:sz w:val="24"/>
                <w:szCs w:val="24"/>
              </w:rPr>
              <w:t>.</w:t>
            </w:r>
          </w:p>
        </w:tc>
      </w:tr>
      <w:tr w:rsidR="00076DA4" w:rsidRPr="00787A81" w14:paraId="0C07A7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31B917C" w14:textId="2882A373"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lastRenderedPageBreak/>
              <w:t>سامي بن علي الزهراني</w:t>
            </w:r>
            <w:r w:rsidRPr="00787A81">
              <w:rPr>
                <w:rFonts w:ascii="Traditional Arabic" w:hAnsi="Traditional Arabic" w:cs="Traditional Arabic" w:hint="cs"/>
                <w:sz w:val="24"/>
                <w:szCs w:val="24"/>
              </w:rPr>
              <w:t xml:space="preserve"> (2021)</w:t>
            </w:r>
          </w:p>
        </w:tc>
        <w:tc>
          <w:tcPr>
            <w:tcW w:w="1349" w:type="pct"/>
          </w:tcPr>
          <w:p w14:paraId="13A9251B" w14:textId="0ED8461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تحديد أبرز التحديات المالية والتنظيمية التي تعيق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5B01353A" w14:textId="63354D03"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والمقاومة التنظيمية للتغيير من أبرز العوائق، والحل يكمن في تخصيص ميزانيات وتطوير السياسات</w:t>
            </w:r>
            <w:r w:rsidRPr="00787A81">
              <w:rPr>
                <w:rFonts w:ascii="Traditional Arabic" w:hAnsi="Traditional Arabic" w:cs="Traditional Arabic" w:hint="cs"/>
                <w:b/>
                <w:bCs/>
                <w:spacing w:val="-6"/>
                <w:sz w:val="24"/>
                <w:szCs w:val="24"/>
              </w:rPr>
              <w:t>.</w:t>
            </w:r>
          </w:p>
        </w:tc>
        <w:tc>
          <w:tcPr>
            <w:tcW w:w="1453" w:type="pct"/>
          </w:tcPr>
          <w:p w14:paraId="5863E9A8" w14:textId="52D85E2C"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العوائق البنيوية دون تحليل قيادي</w:t>
            </w:r>
            <w:r w:rsidRPr="00787A81">
              <w:rPr>
                <w:rFonts w:ascii="Traditional Arabic" w:hAnsi="Traditional Arabic" w:cs="Traditional Arabic" w:hint="cs"/>
                <w:b/>
                <w:bCs/>
                <w:spacing w:val="-6"/>
                <w:sz w:val="24"/>
                <w:szCs w:val="24"/>
              </w:rPr>
              <w:t>.</w:t>
            </w:r>
          </w:p>
        </w:tc>
      </w:tr>
      <w:tr w:rsidR="00B91C74" w:rsidRPr="00787A81" w14:paraId="6715FE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A3DAF08" w14:textId="0898C007"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Anderson et al. (2021)</w:t>
            </w:r>
          </w:p>
        </w:tc>
        <w:tc>
          <w:tcPr>
            <w:tcW w:w="1349" w:type="pct"/>
          </w:tcPr>
          <w:p w14:paraId="3B70A464" w14:textId="16F9E607"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مراجعة شاملة للتحديات التي تعيق تطبيق إدارة المخاطر في المؤسسات الصحية وتحليل سبل التغلب عليها</w:t>
            </w:r>
            <w:r w:rsidRPr="00787A81">
              <w:rPr>
                <w:rFonts w:ascii="Traditional Arabic" w:hAnsi="Traditional Arabic" w:cs="Traditional Arabic" w:hint="cs"/>
                <w:b/>
                <w:bCs/>
                <w:spacing w:val="-6"/>
                <w:sz w:val="24"/>
                <w:szCs w:val="24"/>
              </w:rPr>
              <w:t>.</w:t>
            </w:r>
          </w:p>
        </w:tc>
        <w:tc>
          <w:tcPr>
            <w:tcW w:w="1275" w:type="pct"/>
          </w:tcPr>
          <w:p w14:paraId="6B5F6C0A" w14:textId="2850197F"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الوعي والموارد المالية يعيقان التطبيق، والحل في التوعية والتدريب والدعم المؤسسي</w:t>
            </w:r>
            <w:r w:rsidRPr="00787A81">
              <w:rPr>
                <w:rFonts w:ascii="Traditional Arabic" w:hAnsi="Traditional Arabic" w:cs="Traditional Arabic" w:hint="cs"/>
                <w:b/>
                <w:bCs/>
                <w:spacing w:val="-6"/>
                <w:sz w:val="24"/>
                <w:szCs w:val="24"/>
              </w:rPr>
              <w:t>.</w:t>
            </w:r>
          </w:p>
        </w:tc>
        <w:tc>
          <w:tcPr>
            <w:tcW w:w="1453" w:type="pct"/>
          </w:tcPr>
          <w:p w14:paraId="46C0A20F" w14:textId="2B655B74"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تناولت التحديات العامة دون تحليل للعوامل الوسيطة</w:t>
            </w:r>
            <w:r w:rsidRPr="00787A81">
              <w:rPr>
                <w:rFonts w:ascii="Traditional Arabic" w:hAnsi="Traditional Arabic" w:cs="Traditional Arabic" w:hint="cs"/>
                <w:b/>
                <w:bCs/>
                <w:spacing w:val="-6"/>
                <w:sz w:val="24"/>
                <w:szCs w:val="24"/>
              </w:rPr>
              <w:t>.</w:t>
            </w:r>
          </w:p>
        </w:tc>
      </w:tr>
      <w:tr w:rsidR="00B91C74" w:rsidRPr="00787A81" w14:paraId="4524D0E7"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FF54DEC" w14:textId="2110DA44"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Garcia and Martinez (2022)</w:t>
            </w:r>
          </w:p>
        </w:tc>
        <w:tc>
          <w:tcPr>
            <w:tcW w:w="1349" w:type="pct"/>
          </w:tcPr>
          <w:p w14:paraId="70BB10F3" w14:textId="4AD5A81E"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أسباب مقاومة التغيير في تطبيق إدارة المخاطر وتحديد سبل إدارتها لضمان استدامة التطبيق</w:t>
            </w:r>
            <w:r w:rsidRPr="00787A81">
              <w:rPr>
                <w:rFonts w:ascii="Traditional Arabic" w:hAnsi="Traditional Arabic" w:cs="Traditional Arabic" w:hint="cs"/>
                <w:b/>
                <w:bCs/>
                <w:spacing w:val="-6"/>
                <w:sz w:val="24"/>
                <w:szCs w:val="24"/>
              </w:rPr>
              <w:t>.</w:t>
            </w:r>
          </w:p>
        </w:tc>
        <w:tc>
          <w:tcPr>
            <w:tcW w:w="1275" w:type="pct"/>
          </w:tcPr>
          <w:p w14:paraId="53863FA6" w14:textId="5F75E6FB"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مقاومة التغيير تعيق التطبيق، ويجب تعزيز ثقافة السلامة والتواصل الداخلي والتدريب المستمر</w:t>
            </w:r>
            <w:r w:rsidRPr="00787A81">
              <w:rPr>
                <w:rFonts w:ascii="Traditional Arabic" w:hAnsi="Traditional Arabic" w:cs="Traditional Arabic" w:hint="cs"/>
                <w:b/>
                <w:bCs/>
                <w:spacing w:val="-6"/>
                <w:sz w:val="24"/>
                <w:szCs w:val="24"/>
              </w:rPr>
              <w:t>.</w:t>
            </w:r>
          </w:p>
        </w:tc>
        <w:tc>
          <w:tcPr>
            <w:tcW w:w="1453" w:type="pct"/>
          </w:tcPr>
          <w:p w14:paraId="6044A96E" w14:textId="72F8BCE9"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كعامل تنظيمي محفز، بينما هذه الدراسة ركزت على الجوانب النفسية والتنظيمية للمقاومة</w:t>
            </w:r>
            <w:r w:rsidRPr="00787A81">
              <w:rPr>
                <w:rFonts w:ascii="Traditional Arabic" w:hAnsi="Traditional Arabic" w:cs="Traditional Arabic" w:hint="cs"/>
                <w:b/>
                <w:bCs/>
                <w:spacing w:val="-6"/>
                <w:sz w:val="24"/>
                <w:szCs w:val="24"/>
              </w:rPr>
              <w:t>.</w:t>
            </w:r>
          </w:p>
        </w:tc>
      </w:tr>
      <w:tr w:rsidR="00B91C74" w:rsidRPr="00787A81" w14:paraId="5B1B3E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BB88A30" w14:textId="7CBF1678" w:rsidR="00B91C74" w:rsidRPr="00787A81" w:rsidRDefault="00E91146"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منصور بن عبد الرحمن العتيبي</w:t>
            </w:r>
            <w:r w:rsidRPr="00787A81">
              <w:rPr>
                <w:rFonts w:ascii="Traditional Arabic" w:hAnsi="Traditional Arabic" w:cs="Traditional Arabic" w:hint="cs"/>
                <w:sz w:val="24"/>
                <w:szCs w:val="24"/>
              </w:rPr>
              <w:t xml:space="preserve"> (2022)</w:t>
            </w:r>
          </w:p>
        </w:tc>
        <w:tc>
          <w:tcPr>
            <w:tcW w:w="1349" w:type="pct"/>
          </w:tcPr>
          <w:p w14:paraId="019A43E9" w14:textId="7E2E3A67"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والتطوير المهني على فعالية إدارة المخاطر وجودة الرعاية الصحية</w:t>
            </w:r>
            <w:r w:rsidRPr="00787A81">
              <w:rPr>
                <w:rFonts w:ascii="Traditional Arabic" w:hAnsi="Traditional Arabic" w:cs="Traditional Arabic" w:hint="cs"/>
                <w:b/>
                <w:bCs/>
                <w:spacing w:val="-6"/>
                <w:sz w:val="24"/>
                <w:szCs w:val="24"/>
              </w:rPr>
              <w:t>.</w:t>
            </w:r>
          </w:p>
        </w:tc>
        <w:tc>
          <w:tcPr>
            <w:tcW w:w="1275" w:type="pct"/>
          </w:tcPr>
          <w:p w14:paraId="162BE769" w14:textId="5F38FB10"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إدارة المخاطر وتقليل الأخطاء الطبية ورفع جودة الرعاية</w:t>
            </w:r>
            <w:r w:rsidRPr="00787A81">
              <w:rPr>
                <w:rFonts w:ascii="Traditional Arabic" w:hAnsi="Traditional Arabic" w:cs="Traditional Arabic" w:hint="cs"/>
                <w:b/>
                <w:bCs/>
                <w:spacing w:val="-6"/>
                <w:sz w:val="24"/>
                <w:szCs w:val="24"/>
              </w:rPr>
              <w:t>.</w:t>
            </w:r>
          </w:p>
        </w:tc>
        <w:tc>
          <w:tcPr>
            <w:tcW w:w="1453" w:type="pct"/>
          </w:tcPr>
          <w:p w14:paraId="2D596F9A" w14:textId="6FCC7B8B" w:rsidR="00B91C74" w:rsidRPr="00787A81" w:rsidRDefault="00E0692D"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w:t>
            </w:r>
            <w:r w:rsidR="003101DA" w:rsidRPr="00787A81">
              <w:rPr>
                <w:rFonts w:ascii="Traditional Arabic" w:hAnsi="Traditional Arabic" w:cs="Traditional Arabic" w:hint="cs"/>
                <w:b/>
                <w:bCs/>
                <w:sz w:val="24"/>
                <w:szCs w:val="24"/>
                <w:rtl/>
              </w:rPr>
              <w:t>ي</w:t>
            </w:r>
            <w:r w:rsidRPr="00787A81">
              <w:rPr>
                <w:rFonts w:ascii="Traditional Arabic" w:hAnsi="Traditional Arabic" w:cs="Traditional Arabic" w:hint="cs"/>
                <w:b/>
                <w:bCs/>
                <w:sz w:val="24"/>
                <w:szCs w:val="24"/>
                <w:rtl/>
              </w:rPr>
              <w:t xml:space="preserve"> تدرس القيادة </w:t>
            </w:r>
            <w:r w:rsidRPr="00787A81">
              <w:rPr>
                <w:rFonts w:ascii="Traditional Arabic" w:hAnsi="Traditional Arabic" w:cs="Traditional Arabic" w:hint="cs"/>
                <w:b/>
                <w:bCs/>
                <w:spacing w:val="-6"/>
                <w:sz w:val="24"/>
                <w:szCs w:val="24"/>
                <w:rtl/>
              </w:rPr>
              <w:t>التحويلية</w:t>
            </w:r>
            <w:r w:rsidRPr="00787A81">
              <w:rPr>
                <w:rFonts w:ascii="Traditional Arabic" w:hAnsi="Traditional Arabic" w:cs="Traditional Arabic" w:hint="cs"/>
                <w:b/>
                <w:bCs/>
                <w:sz w:val="24"/>
                <w:szCs w:val="24"/>
                <w:rtl/>
              </w:rPr>
              <w:t xml:space="preserve"> كوسيط تنظيمي، بينما هذه الدراسة ركزت على التدريب كعامل مباشر</w:t>
            </w:r>
            <w:r w:rsidRPr="00787A81">
              <w:rPr>
                <w:rFonts w:ascii="Traditional Arabic" w:hAnsi="Traditional Arabic" w:cs="Traditional Arabic" w:hint="cs"/>
                <w:b/>
                <w:bCs/>
                <w:sz w:val="24"/>
                <w:szCs w:val="24"/>
              </w:rPr>
              <w:t>.</w:t>
            </w:r>
          </w:p>
        </w:tc>
      </w:tr>
      <w:tr w:rsidR="00B91C74" w:rsidRPr="00787A81" w14:paraId="44B2AE35"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5728343" w14:textId="04AB4B5C" w:rsidR="00B91C74" w:rsidRPr="00787A81" w:rsidRDefault="003101D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فريق باحثين (2025) – دراسة أوروبية</w:t>
            </w:r>
          </w:p>
        </w:tc>
        <w:tc>
          <w:tcPr>
            <w:tcW w:w="1349" w:type="pct"/>
          </w:tcPr>
          <w:p w14:paraId="5522734F" w14:textId="46D9329E"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أدوات إدارة المخاطر الرقمية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25AE92F7" w14:textId="2BDF6B5D"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رقمية متكاملة خفّض الأخطاء الطبية بنسبة 23% وسرّع الاستجابة للحوادث</w:t>
            </w:r>
            <w:r w:rsidRPr="00787A81">
              <w:rPr>
                <w:rFonts w:ascii="Traditional Arabic" w:hAnsi="Traditional Arabic" w:cs="Traditional Arabic" w:hint="cs"/>
                <w:b/>
                <w:bCs/>
                <w:spacing w:val="-6"/>
                <w:sz w:val="24"/>
                <w:szCs w:val="24"/>
              </w:rPr>
              <w:t>.</w:t>
            </w:r>
          </w:p>
        </w:tc>
        <w:tc>
          <w:tcPr>
            <w:tcW w:w="1453" w:type="pct"/>
          </w:tcPr>
          <w:p w14:paraId="3548CB79" w14:textId="613C27A6"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تنظيمي، بينما هذه الدراسة ركزت على التكنولوجيا كأداة تنفيذية مباشرة</w:t>
            </w:r>
            <w:r w:rsidRPr="00787A81">
              <w:rPr>
                <w:rFonts w:ascii="Traditional Arabic" w:hAnsi="Traditional Arabic" w:cs="Traditional Arabic" w:hint="cs"/>
                <w:b/>
                <w:bCs/>
                <w:spacing w:val="-6"/>
                <w:sz w:val="24"/>
                <w:szCs w:val="24"/>
              </w:rPr>
              <w:t>.</w:t>
            </w:r>
          </w:p>
        </w:tc>
      </w:tr>
    </w:tbl>
    <w:bookmarkEnd w:id="6"/>
    <w:bookmarkEnd w:id="7"/>
    <w:p w14:paraId="5F1E7792" w14:textId="092810E7" w:rsidR="00534A50" w:rsidRPr="000B23A5" w:rsidRDefault="0017199F" w:rsidP="00B40BA2">
      <w:pPr>
        <w:bidi/>
        <w:spacing w:before="120" w:after="120" w:line="240" w:lineRule="auto"/>
        <w:jc w:val="center"/>
        <w:rPr>
          <w:rFonts w:ascii="Traditional Arabic" w:hAnsi="Traditional Arabic" w:cs="Traditional Arabic"/>
          <w:b/>
          <w:bCs/>
          <w:spacing w:val="-6"/>
          <w:sz w:val="24"/>
          <w:szCs w:val="24"/>
          <w:rtl/>
          <w:lang w:bidi="ar-EG"/>
        </w:rPr>
      </w:pPr>
      <w:r w:rsidRPr="000B23A5">
        <w:rPr>
          <w:rFonts w:ascii="Traditional Arabic" w:hAnsi="Traditional Arabic" w:cs="Traditional Arabic" w:hint="cs"/>
          <w:b/>
          <w:bCs/>
          <w:spacing w:val="-6"/>
          <w:sz w:val="24"/>
          <w:szCs w:val="24"/>
          <w:rtl/>
          <w:lang w:bidi="ar-EG"/>
        </w:rPr>
        <w:t>إعداد / الباحثة</w:t>
      </w:r>
      <w:r w:rsidR="00B40BA2" w:rsidRPr="000B23A5">
        <w:rPr>
          <w:rFonts w:ascii="Traditional Arabic" w:hAnsi="Traditional Arabic" w:cs="Traditional Arabic" w:hint="cs"/>
          <w:b/>
          <w:bCs/>
          <w:spacing w:val="-6"/>
          <w:sz w:val="24"/>
          <w:szCs w:val="24"/>
          <w:rtl/>
          <w:lang w:bidi="ar-EG"/>
        </w:rPr>
        <w:t xml:space="preserve"> إعتمادا على الدراسات السابقة</w:t>
      </w:r>
    </w:p>
    <w:p w14:paraId="30660A48" w14:textId="77777777" w:rsidR="000B23A5" w:rsidRDefault="000B23A5" w:rsidP="00534A50">
      <w:pPr>
        <w:bidi/>
        <w:spacing w:before="120" w:after="120" w:line="240" w:lineRule="auto"/>
        <w:jc w:val="both"/>
        <w:rPr>
          <w:rFonts w:ascii="Simplified Arabic" w:hAnsi="Simplified Arabic" w:cs="Simplified Arabic"/>
          <w:b/>
          <w:bCs/>
          <w:spacing w:val="-6"/>
          <w:sz w:val="28"/>
          <w:szCs w:val="28"/>
          <w:u w:val="single"/>
          <w:rtl/>
          <w:lang w:bidi="ar-EG"/>
        </w:rPr>
      </w:pPr>
    </w:p>
    <w:p w14:paraId="3E89CFAF"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0BB19E81"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6BFBCF43"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7E00C0A0"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2E0CBC18"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0526DF9"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9086476" w14:textId="3998A72E" w:rsidR="00C84234" w:rsidRPr="00156B08" w:rsidRDefault="008854E1" w:rsidP="00156B08">
      <w:pPr>
        <w:bidi/>
        <w:spacing w:before="120" w:after="120" w:line="360" w:lineRule="auto"/>
        <w:jc w:val="both"/>
        <w:rPr>
          <w:rFonts w:ascii="Traditional Arabic" w:hAnsi="Traditional Arabic" w:cs="Traditional Arabic"/>
          <w:b/>
          <w:bCs/>
          <w:spacing w:val="-6"/>
          <w:sz w:val="24"/>
          <w:szCs w:val="24"/>
          <w:u w:val="single"/>
          <w:rtl/>
          <w:lang w:bidi="ar-EG"/>
        </w:rPr>
      </w:pPr>
      <w:r w:rsidRPr="00156B08">
        <w:rPr>
          <w:rFonts w:ascii="Traditional Arabic" w:hAnsi="Traditional Arabic" w:cs="Traditional Arabic" w:hint="cs"/>
          <w:b/>
          <w:bCs/>
          <w:spacing w:val="-6"/>
          <w:sz w:val="24"/>
          <w:szCs w:val="24"/>
          <w:u w:val="single"/>
          <w:rtl/>
          <w:lang w:bidi="ar-EG"/>
        </w:rPr>
        <w:lastRenderedPageBreak/>
        <w:t>تعقيب عن الدراسات السابقة للإدارة المخاطر:</w:t>
      </w:r>
    </w:p>
    <w:p w14:paraId="4D5D6889" w14:textId="33C26672"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خلال استعراض هذا العدد المتنوع من الدراسات التي تناولت إدارة المخاطر في المجال الصحي بين عامي 2017 و2022، يتضح أن إدارة المخاطر لم تعد خيارًا إداريًا، بل أصبحت شرطًا أساسيًا في بناء أنظمة صحية أكثر أمانًا وكفاءة</w:t>
      </w:r>
      <w:r w:rsidR="00B40BA2" w:rsidRPr="00156B08">
        <w:rPr>
          <w:rFonts w:ascii="Traditional Arabic" w:hAnsi="Traditional Arabic" w:cs="Traditional Arabic" w:hint="cs"/>
          <w:spacing w:val="-6"/>
          <w:sz w:val="24"/>
          <w:szCs w:val="24"/>
          <w:rtl/>
        </w:rPr>
        <w:t>،</w:t>
      </w:r>
      <w:r w:rsidRPr="00156B08">
        <w:rPr>
          <w:rFonts w:ascii="Traditional Arabic" w:hAnsi="Traditional Arabic" w:cs="Traditional Arabic" w:hint="cs"/>
          <w:spacing w:val="-6"/>
          <w:sz w:val="24"/>
          <w:szCs w:val="24"/>
          <w:rtl/>
        </w:rPr>
        <w:t xml:space="preserve"> فقد أكدت معظم الدراسات مثل</w:t>
      </w:r>
      <w:r w:rsidRPr="00156B08">
        <w:rPr>
          <w:rFonts w:ascii="Traditional Arabic" w:hAnsi="Traditional Arabic" w:cs="Traditional Arabic" w:hint="cs"/>
          <w:spacing w:val="-6"/>
          <w:sz w:val="24"/>
          <w:szCs w:val="24"/>
          <w:lang w:bidi="ar-EG"/>
        </w:rPr>
        <w:t xml:space="preserve"> Smith et al. (2017)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 xml:space="preserve">Jones and Brown (2018)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على أن تطبيق نظم إدارة المخاطر يسهم في تقليل الأخطاء الطبية، وتحسين نتائج العلاج، وتعزيز الكفاءة التشغيلية، ما ينعكس مباشرة على سلامة المرضى وجودة الرعاية المقدمة</w:t>
      </w:r>
      <w:r w:rsidRPr="00156B08">
        <w:rPr>
          <w:rFonts w:ascii="Traditional Arabic" w:hAnsi="Traditional Arabic" w:cs="Traditional Arabic" w:hint="cs"/>
          <w:spacing w:val="-6"/>
          <w:sz w:val="24"/>
          <w:szCs w:val="24"/>
          <w:lang w:bidi="ar-EG"/>
        </w:rPr>
        <w:t>.</w:t>
      </w:r>
    </w:p>
    <w:p w14:paraId="5B340D09"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كما كشفت بعض الدراسات الميدانية المحلية، مثل دراسة أحمد محمد السعيد (2019) ودراسة الجهني (2020)، عن تحديات واقعية تواجه المستشفيات السعودية، أهمها ضعف الوعي الإداري وقلة التدريب، مما يؤثر على فعالية تطبيق نظم إدارة المخاطر. وهذه النتائج جاءت متسقة مع دراسات دولية مثل تلك التي أجراها</w:t>
      </w:r>
      <w:r w:rsidRPr="00156B08">
        <w:rPr>
          <w:rFonts w:ascii="Traditional Arabic" w:hAnsi="Traditional Arabic" w:cs="Traditional Arabic" w:hint="cs"/>
          <w:spacing w:val="-6"/>
          <w:sz w:val="24"/>
          <w:szCs w:val="24"/>
          <w:lang w:bidi="ar-EG"/>
        </w:rPr>
        <w:t xml:space="preserve"> Anderson et al. (2021)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Garcia and Martinez (2022)</w:t>
      </w:r>
      <w:r w:rsidRPr="00156B08">
        <w:rPr>
          <w:rFonts w:ascii="Traditional Arabic" w:hAnsi="Traditional Arabic" w:cs="Traditional Arabic" w:hint="cs"/>
          <w:spacing w:val="-6"/>
          <w:sz w:val="24"/>
          <w:szCs w:val="24"/>
          <w:rtl/>
        </w:rPr>
        <w:t>، والتي ركزت على العوائق التنظيمية والمقاومة الداخلية للتغيير داخل المستشفيات</w:t>
      </w:r>
      <w:r w:rsidRPr="00156B08">
        <w:rPr>
          <w:rFonts w:ascii="Traditional Arabic" w:hAnsi="Traditional Arabic" w:cs="Traditional Arabic" w:hint="cs"/>
          <w:spacing w:val="-6"/>
          <w:sz w:val="24"/>
          <w:szCs w:val="24"/>
          <w:lang w:bidi="ar-EG"/>
        </w:rPr>
        <w:t>.</w:t>
      </w:r>
    </w:p>
    <w:p w14:paraId="137E0156"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جهة أخرى، برزت أهمية البنية التحتية والتكنولوجيا في دعم أنظمة إدارة المخاطر، كما في دراسة</w:t>
      </w:r>
      <w:r w:rsidRPr="00156B08">
        <w:rPr>
          <w:rFonts w:ascii="Traditional Arabic" w:hAnsi="Traditional Arabic" w:cs="Traditional Arabic" w:hint="cs"/>
          <w:spacing w:val="-6"/>
          <w:sz w:val="24"/>
          <w:szCs w:val="24"/>
          <w:lang w:bidi="ar-EG"/>
        </w:rPr>
        <w:t xml:space="preserve"> Johnson et al. (2019) </w:t>
      </w:r>
      <w:r w:rsidRPr="00156B08">
        <w:rPr>
          <w:rFonts w:ascii="Traditional Arabic" w:hAnsi="Traditional Arabic" w:cs="Traditional Arabic" w:hint="cs"/>
          <w:spacing w:val="-6"/>
          <w:sz w:val="24"/>
          <w:szCs w:val="24"/>
          <w:rtl/>
        </w:rPr>
        <w:t>التي أشارت إلى دور تكنولوجيا المعلومات الصحية في تحليل البيانات وتحديد أنماط الخطر. كذلك أكدت دراسة</w:t>
      </w:r>
      <w:r w:rsidRPr="00156B08">
        <w:rPr>
          <w:rFonts w:ascii="Traditional Arabic" w:hAnsi="Traditional Arabic" w:cs="Traditional Arabic" w:hint="cs"/>
          <w:spacing w:val="-6"/>
          <w:sz w:val="24"/>
          <w:szCs w:val="24"/>
          <w:lang w:bidi="ar-EG"/>
        </w:rPr>
        <w:t xml:space="preserve"> Hassan et al. (2020) </w:t>
      </w:r>
      <w:r w:rsidRPr="00156B08">
        <w:rPr>
          <w:rFonts w:ascii="Traditional Arabic" w:hAnsi="Traditional Arabic" w:cs="Traditional Arabic" w:hint="cs"/>
          <w:spacing w:val="-6"/>
          <w:sz w:val="24"/>
          <w:szCs w:val="24"/>
          <w:rtl/>
        </w:rPr>
        <w:t>ودراسة</w:t>
      </w:r>
      <w:r w:rsidRPr="00156B08">
        <w:rPr>
          <w:rFonts w:ascii="Traditional Arabic" w:hAnsi="Traditional Arabic" w:cs="Traditional Arabic" w:hint="cs"/>
          <w:spacing w:val="-6"/>
          <w:sz w:val="24"/>
          <w:szCs w:val="24"/>
          <w:lang w:bidi="ar-EG"/>
        </w:rPr>
        <w:t xml:space="preserve"> Miller and Davis (2020) </w:t>
      </w:r>
      <w:r w:rsidRPr="00156B08">
        <w:rPr>
          <w:rFonts w:ascii="Traditional Arabic" w:hAnsi="Traditional Arabic" w:cs="Traditional Arabic" w:hint="cs"/>
          <w:spacing w:val="-6"/>
          <w:sz w:val="24"/>
          <w:szCs w:val="24"/>
          <w:rtl/>
        </w:rPr>
        <w:t>على أن التدريب المستمر للكوادر الطبية والإدارية هو عامل محوري في تحسين أداء المنشآت الصحية وتقليل الأخطاء السريرية</w:t>
      </w:r>
      <w:r w:rsidRPr="00156B08">
        <w:rPr>
          <w:rFonts w:ascii="Traditional Arabic" w:hAnsi="Traditional Arabic" w:cs="Traditional Arabic" w:hint="cs"/>
          <w:spacing w:val="-6"/>
          <w:sz w:val="24"/>
          <w:szCs w:val="24"/>
          <w:lang w:bidi="ar-EG"/>
        </w:rPr>
        <w:t>.</w:t>
      </w:r>
    </w:p>
    <w:p w14:paraId="45583A84"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ويُلاحظ أيضًا أن بعض الدراسات مثل دراسة العتيبي (2022) والزهراني (2021) قد قدمت رؤية تطبيقية تربط بين إدارة المخاطر والتطوير المهني وتعزيز جودة الأداء الصحي، مما يعكس تحولًا استراتيجيًا في كيفية التعامل مع هذه الممارسة الإدارية داخل المستشفيات</w:t>
      </w:r>
      <w:r w:rsidRPr="00156B08">
        <w:rPr>
          <w:rFonts w:ascii="Traditional Arabic" w:hAnsi="Traditional Arabic" w:cs="Traditional Arabic" w:hint="cs"/>
          <w:spacing w:val="-6"/>
          <w:sz w:val="24"/>
          <w:szCs w:val="24"/>
          <w:lang w:bidi="ar-EG"/>
        </w:rPr>
        <w:t>.</w:t>
      </w:r>
    </w:p>
    <w:p w14:paraId="3DAFDB1F" w14:textId="53C846FD"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في المجمل، تعكس هذه الدراسات نضجًا في تناول موضوع إدارة المخاطر، من كونه مجرد عملية داخلية إلى كونه جزءًا من منظومة الجودة والتحسين المستدام، وتفتح الباب أمام مزيد من البحث التطبيقي لفهم كيف يمكن دمج القيادة التحويلية والتدريب والدعم المؤسسي لتحقيق بيئة صحية أكثر أمانًا</w:t>
      </w:r>
      <w:r w:rsidRPr="00156B08">
        <w:rPr>
          <w:rFonts w:ascii="Traditional Arabic" w:hAnsi="Traditional Arabic" w:cs="Traditional Arabic" w:hint="cs"/>
          <w:spacing w:val="-6"/>
          <w:sz w:val="24"/>
          <w:szCs w:val="24"/>
          <w:lang w:bidi="ar-EG"/>
        </w:rPr>
        <w:t>.</w:t>
      </w:r>
    </w:p>
    <w:p w14:paraId="3BD9669B" w14:textId="53A4F343" w:rsidR="004B7147" w:rsidRPr="00AC33B8" w:rsidRDefault="004B7147" w:rsidP="00AC33B8">
      <w:pPr>
        <w:bidi/>
        <w:spacing w:before="120" w:after="120" w:line="360" w:lineRule="auto"/>
        <w:jc w:val="both"/>
        <w:rPr>
          <w:rFonts w:ascii="Traditional Arabic" w:hAnsi="Traditional Arabic" w:cs="Traditional Arabic"/>
          <w:b/>
          <w:bCs/>
          <w:spacing w:val="-6"/>
          <w:sz w:val="24"/>
          <w:szCs w:val="24"/>
          <w:u w:val="single"/>
          <w:rtl/>
          <w:lang w:bidi="ar-EG"/>
        </w:rPr>
      </w:pPr>
      <w:r w:rsidRPr="00AC33B8">
        <w:rPr>
          <w:rFonts w:ascii="Traditional Arabic" w:hAnsi="Traditional Arabic" w:cs="Traditional Arabic" w:hint="cs"/>
          <w:b/>
          <w:bCs/>
          <w:spacing w:val="-6"/>
          <w:sz w:val="24"/>
          <w:szCs w:val="24"/>
          <w:u w:val="single"/>
          <w:rtl/>
          <w:lang w:bidi="ar-EG"/>
        </w:rPr>
        <w:t>أوجه الإستفادة من الدراسات السابقة للإدارة المخاطر:</w:t>
      </w:r>
    </w:p>
    <w:p w14:paraId="6980ABE5" w14:textId="7C278F34" w:rsidR="00B40BA2" w:rsidRPr="00AC33B8" w:rsidRDefault="004B7147" w:rsidP="00AC33B8">
      <w:pPr>
        <w:bidi/>
        <w:spacing w:before="120" w:after="120" w:line="360" w:lineRule="auto"/>
        <w:ind w:firstLine="720"/>
        <w:jc w:val="both"/>
        <w:rPr>
          <w:rFonts w:ascii="Traditional Arabic" w:hAnsi="Traditional Arabic" w:cs="Traditional Arabic"/>
          <w:spacing w:val="-6"/>
          <w:sz w:val="24"/>
          <w:szCs w:val="24"/>
          <w:lang w:bidi="ar-EG"/>
        </w:rPr>
      </w:pPr>
      <w:r w:rsidRPr="00AC33B8">
        <w:rPr>
          <w:rFonts w:ascii="Traditional Arabic" w:hAnsi="Traditional Arabic" w:cs="Traditional Arabic" w:hint="cs"/>
          <w:spacing w:val="-6"/>
          <w:sz w:val="24"/>
          <w:szCs w:val="24"/>
          <w:rtl/>
        </w:rPr>
        <w:t xml:space="preserve">تُظهر الدراسات السابقة حول إدارة المخاطر، مثل </w:t>
      </w:r>
      <w:r w:rsidRPr="00AC33B8">
        <w:rPr>
          <w:rFonts w:ascii="Traditional Arabic" w:hAnsi="Traditional Arabic" w:cs="Traditional Arabic" w:hint="cs"/>
          <w:spacing w:val="-6"/>
          <w:sz w:val="24"/>
          <w:szCs w:val="24"/>
          <w:lang w:bidi="ar-EG"/>
        </w:rPr>
        <w:t>Smith et al. (2017)</w:t>
      </w:r>
      <w:r w:rsidRPr="00AC33B8">
        <w:rPr>
          <w:rFonts w:ascii="Traditional Arabic" w:hAnsi="Traditional Arabic" w:cs="Traditional Arabic" w:hint="cs"/>
          <w:spacing w:val="-6"/>
          <w:sz w:val="24"/>
          <w:szCs w:val="24"/>
          <w:rtl/>
        </w:rPr>
        <w:t xml:space="preserve">، </w:t>
      </w:r>
      <w:r w:rsidRPr="00AC33B8">
        <w:rPr>
          <w:rFonts w:ascii="Traditional Arabic" w:hAnsi="Traditional Arabic" w:cs="Traditional Arabic" w:hint="cs"/>
          <w:spacing w:val="-6"/>
          <w:sz w:val="24"/>
          <w:szCs w:val="24"/>
          <w:lang w:bidi="ar-EG"/>
        </w:rPr>
        <w:t>Al-Zahrani (2018)</w:t>
      </w:r>
      <w:r w:rsidRPr="00AC33B8">
        <w:rPr>
          <w:rFonts w:ascii="Traditional Arabic" w:hAnsi="Traditional Arabic" w:cs="Traditional Arabic" w:hint="cs"/>
          <w:spacing w:val="-6"/>
          <w:sz w:val="24"/>
          <w:szCs w:val="24"/>
          <w:rtl/>
        </w:rPr>
        <w:t>، وأحمد محمد السعيد (2019)، أهمية هذا المجال في تعزيز سلامة المرضى وتقليل الأخطاء الطبية داخل المرافق الصحية الحكومية، وقد ساهمت هذه الدراسات في بناء تصور نظري متكامل حول آليات التنبؤ بالمخاطر، وتطوير السياسات الوقائية، وتفعيل نظم الاستجابة السريعة. كما كشفت دراسات مثل</w:t>
      </w:r>
      <w:r w:rsidRPr="00AC33B8">
        <w:rPr>
          <w:rFonts w:ascii="Traditional Arabic" w:hAnsi="Traditional Arabic" w:cs="Traditional Arabic" w:hint="cs"/>
          <w:spacing w:val="-6"/>
          <w:sz w:val="24"/>
          <w:szCs w:val="24"/>
          <w:lang w:bidi="ar-EG"/>
        </w:rPr>
        <w:t xml:space="preserve"> Khan et al. (2019) </w:t>
      </w:r>
      <w:r w:rsidRPr="00AC33B8">
        <w:rPr>
          <w:rFonts w:ascii="Traditional Arabic" w:hAnsi="Traditional Arabic" w:cs="Traditional Arabic" w:hint="cs"/>
          <w:spacing w:val="-6"/>
          <w:sz w:val="24"/>
          <w:szCs w:val="24"/>
          <w:rtl/>
        </w:rPr>
        <w:t>و</w:t>
      </w:r>
      <w:r w:rsidRPr="00AC33B8">
        <w:rPr>
          <w:rFonts w:ascii="Traditional Arabic" w:hAnsi="Traditional Arabic" w:cs="Traditional Arabic" w:hint="cs"/>
          <w:spacing w:val="-6"/>
          <w:sz w:val="24"/>
          <w:szCs w:val="24"/>
          <w:lang w:bidi="ar-EG"/>
        </w:rPr>
        <w:t xml:space="preserve">Al-Mutairi et al. (2020) </w:t>
      </w:r>
      <w:r w:rsidRPr="00AC33B8">
        <w:rPr>
          <w:rFonts w:ascii="Traditional Arabic" w:hAnsi="Traditional Arabic" w:cs="Traditional Arabic" w:hint="cs"/>
          <w:spacing w:val="-6"/>
          <w:sz w:val="24"/>
          <w:szCs w:val="24"/>
          <w:rtl/>
        </w:rPr>
        <w:t>عن التحديات التطبيقية التي تواجه المؤسسات الصحية، مثل ضعف التدريب ونقص الموارد، مما يدعم توجيه الدراسة الحالية نحو تحليل الدور الوسيط للقيادة التحويلية في تجاوز هذه العقبات، كذلك وفّرت أبحاث مثل</w:t>
      </w:r>
      <w:r w:rsidRPr="00AC33B8">
        <w:rPr>
          <w:rFonts w:ascii="Traditional Arabic" w:hAnsi="Traditional Arabic" w:cs="Traditional Arabic" w:hint="cs"/>
          <w:spacing w:val="-6"/>
          <w:sz w:val="24"/>
          <w:szCs w:val="24"/>
          <w:lang w:bidi="ar-EG"/>
        </w:rPr>
        <w:t xml:space="preserve"> Garcia and Martinez </w:t>
      </w:r>
      <w:r w:rsidRPr="00AC33B8">
        <w:rPr>
          <w:rFonts w:ascii="Traditional Arabic" w:hAnsi="Traditional Arabic" w:cs="Traditional Arabic" w:hint="cs"/>
          <w:spacing w:val="-6"/>
          <w:sz w:val="24"/>
          <w:szCs w:val="24"/>
          <w:lang w:bidi="ar-EG"/>
        </w:rPr>
        <w:lastRenderedPageBreak/>
        <w:t xml:space="preserve">(2022) </w:t>
      </w:r>
      <w:r w:rsidRPr="00AC33B8">
        <w:rPr>
          <w:rFonts w:ascii="Traditional Arabic" w:hAnsi="Traditional Arabic" w:cs="Traditional Arabic" w:hint="cs"/>
          <w:spacing w:val="-6"/>
          <w:sz w:val="24"/>
          <w:szCs w:val="24"/>
          <w:rtl/>
        </w:rPr>
        <w:t>ومنصور بن عبد الرحمن العتيبي (2022) نماذج تقييم فعّالة يمكن الاستفادة منها في تصميم أدوات القياس، بينما أظهرت دراسة فريق باحثين (2025) الأوروبية كيف يمكن للقيادة التحويلية أن تعزز ثقافة السلامة وتدعم تطبيق إدارة المخاطر بشكل مؤسسي. ومن ثم، فإن هذه الدراسات تمثل مرجعية علمية ومنهجية غنية تُسهم في صياغة الفرضيات، وتفسير النتائج، وربط المتغيرات في الدراسة الحالية</w:t>
      </w:r>
      <w:r w:rsidRPr="00AC33B8">
        <w:rPr>
          <w:rFonts w:ascii="Traditional Arabic" w:hAnsi="Traditional Arabic" w:cs="Traditional Arabic" w:hint="cs"/>
          <w:spacing w:val="-6"/>
          <w:sz w:val="24"/>
          <w:szCs w:val="24"/>
          <w:lang w:bidi="ar-EG"/>
        </w:rPr>
        <w:t>.</w:t>
      </w:r>
    </w:p>
    <w:p w14:paraId="0AC2C38F" w14:textId="7BD8FCE4" w:rsidR="0072686E" w:rsidRPr="008D00FC" w:rsidRDefault="007C69F7" w:rsidP="0072686E">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المبحث </w:t>
      </w:r>
      <w:r w:rsidR="00623BB8" w:rsidRPr="008D00FC">
        <w:rPr>
          <w:rFonts w:ascii="Traditional Arabic" w:hAnsi="Traditional Arabic" w:cs="Traditional Arabic" w:hint="cs"/>
          <w:b/>
          <w:bCs/>
          <w:spacing w:val="-6"/>
          <w:sz w:val="28"/>
          <w:szCs w:val="28"/>
          <w:rtl/>
          <w:lang w:bidi="ar-EG"/>
        </w:rPr>
        <w:t>الثاني</w:t>
      </w:r>
      <w:r w:rsidRPr="008D00FC">
        <w:rPr>
          <w:rFonts w:ascii="Traditional Arabic" w:hAnsi="Traditional Arabic" w:cs="Traditional Arabic" w:hint="cs"/>
          <w:b/>
          <w:bCs/>
          <w:spacing w:val="-6"/>
          <w:sz w:val="28"/>
          <w:szCs w:val="28"/>
          <w:rtl/>
          <w:lang w:bidi="ar-EG"/>
        </w:rPr>
        <w:t>: سلامة المرضي</w:t>
      </w:r>
      <w:r w:rsidR="00A706D2" w:rsidRPr="008D00FC">
        <w:rPr>
          <w:rFonts w:ascii="Traditional Arabic" w:hAnsi="Traditional Arabic" w:cs="Traditional Arabic" w:hint="cs"/>
          <w:b/>
          <w:bCs/>
          <w:spacing w:val="-6"/>
          <w:sz w:val="28"/>
          <w:szCs w:val="28"/>
          <w:rtl/>
          <w:lang w:bidi="ar-EG"/>
        </w:rPr>
        <w:t xml:space="preserve"> </w:t>
      </w:r>
      <w:r w:rsidR="00A706D2" w:rsidRPr="008D00FC">
        <w:rPr>
          <w:rFonts w:ascii="Traditional Arabic" w:hAnsi="Traditional Arabic" w:cs="Traditional Arabic" w:hint="cs"/>
          <w:b/>
          <w:bCs/>
          <w:spacing w:val="-6"/>
          <w:sz w:val="28"/>
          <w:szCs w:val="28"/>
          <w:lang w:bidi="ar-EG"/>
        </w:rPr>
        <w:t>Patient safety</w:t>
      </w:r>
      <w:r w:rsidR="00A706D2" w:rsidRPr="008D00FC">
        <w:rPr>
          <w:rFonts w:ascii="Traditional Arabic" w:hAnsi="Traditional Arabic" w:cs="Traditional Arabic" w:hint="cs"/>
          <w:b/>
          <w:bCs/>
          <w:spacing w:val="-6"/>
          <w:sz w:val="28"/>
          <w:szCs w:val="28"/>
          <w:rtl/>
          <w:lang w:bidi="ar-EG"/>
        </w:rPr>
        <w:t>:</w:t>
      </w:r>
    </w:p>
    <w:p w14:paraId="1C6B0B2C" w14:textId="060245DE" w:rsidR="00A706D2" w:rsidRPr="008D00FC" w:rsidRDefault="00A44ABC" w:rsidP="00A706D2">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أولاً : </w:t>
      </w:r>
      <w:r w:rsidR="00A706D2" w:rsidRPr="008D00FC">
        <w:rPr>
          <w:rFonts w:ascii="Traditional Arabic" w:hAnsi="Traditional Arabic" w:cs="Traditional Arabic" w:hint="cs"/>
          <w:b/>
          <w:bCs/>
          <w:spacing w:val="-6"/>
          <w:sz w:val="28"/>
          <w:szCs w:val="28"/>
          <w:rtl/>
          <w:lang w:bidi="ar-EG"/>
        </w:rPr>
        <w:t>مفهوم سلامة المرضى:</w:t>
      </w:r>
    </w:p>
    <w:p w14:paraId="0611045A" w14:textId="3D7B8D64" w:rsidR="00B7655F"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سلامة المرضى هي تقليل الأذى الذي يمكن الوقاية منه أثناء تقديم الرعاية الصحية، وضمان أن تكون الخدمات الطبية آمنة وفعالة لكل مريض في كل وقت</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2" w:history="1">
        <w:r w:rsidRPr="00BA2622">
          <w:rPr>
            <w:rStyle w:val="Hyperlink"/>
            <w:rFonts w:ascii="Traditional Arabic" w:hAnsi="Traditional Arabic" w:cs="Traditional Arabic" w:hint="cs"/>
            <w:spacing w:val="-6"/>
            <w:sz w:val="24"/>
            <w:szCs w:val="24"/>
            <w:rtl/>
          </w:rPr>
          <w:t>منظمة الصحة العالمية</w:t>
        </w:r>
      </w:hyperlink>
    </w:p>
    <w:p w14:paraId="310E4706" w14:textId="260553EC" w:rsidR="00133362"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b/>
          <w:bCs/>
          <w:spacing w:val="-6"/>
          <w:sz w:val="24"/>
          <w:szCs w:val="24"/>
          <w:rtl/>
        </w:rPr>
        <w:t>و</w:t>
      </w:r>
      <w:r w:rsidRPr="00BA2622">
        <w:rPr>
          <w:rFonts w:ascii="Traditional Arabic" w:hAnsi="Traditional Arabic" w:cs="Traditional Arabic" w:hint="cs"/>
          <w:spacing w:val="-6"/>
          <w:sz w:val="24"/>
          <w:szCs w:val="24"/>
          <w:rtl/>
        </w:rPr>
        <w:t xml:space="preserve">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علم تطبيقي يدمج بين نظريات العوامل البشرية، وإدارة المخاطر، والمرونة التنظيمية، بهدف تطوير عمليات رعاية صحية آمنة وفعّالة، تُمكّن العاملين من تقليل الضرر قبل حدوثه، والاستجابة له بفعالية عند وقوعه</w:t>
      </w:r>
      <w:r w:rsidRPr="00BA2622">
        <w:rPr>
          <w:rFonts w:ascii="Traditional Arabic" w:hAnsi="Traditional Arabic" w:cs="Traditional Arabic" w:hint="cs"/>
          <w:spacing w:val="-6"/>
          <w:sz w:val="24"/>
          <w:szCs w:val="24"/>
        </w:rPr>
        <w:t xml:space="preserve"> (Lachman et al., 2022, p. 12).</w:t>
      </w:r>
      <w:r w:rsidRPr="00BA2622">
        <w:rPr>
          <w:rFonts w:ascii="Traditional Arabic" w:hAnsi="Traditional Arabic" w:cs="Traditional Arabic" w:hint="cs"/>
          <w:spacing w:val="-6"/>
          <w:sz w:val="24"/>
          <w:szCs w:val="24"/>
          <w:rtl/>
        </w:rPr>
        <w:t>.</w:t>
      </w:r>
    </w:p>
    <w:p w14:paraId="23E1F65C" w14:textId="7CAA6C6B" w:rsidR="00B7655F"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spacing w:val="-6"/>
          <w:sz w:val="24"/>
          <w:szCs w:val="24"/>
          <w:rtl/>
        </w:rPr>
        <w:t xml:space="preserve">وتعرف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مجموعة من الممارسات السريرية والتنظيمية التي تهدف إلى تقليل الأخطاء الطبية وتحسين جودة الرعاية، من خلال تطبيق أدوات مثل أنظمة الإبلاغ والتعلم، وتعزيز ثقافة السلامة، وتطوير المهارات غير التقنية لدى العاملين الصحيين</w:t>
      </w:r>
      <w:r w:rsidRPr="00BA2622">
        <w:rPr>
          <w:rFonts w:ascii="Traditional Arabic" w:hAnsi="Traditional Arabic" w:cs="Traditional Arabic" w:hint="cs"/>
          <w:spacing w:val="-6"/>
          <w:sz w:val="24"/>
          <w:szCs w:val="24"/>
        </w:rPr>
        <w:t xml:space="preserve">" (Ricciardi &amp; Cascini, 2021, p. 5). </w:t>
      </w:r>
    </w:p>
    <w:p w14:paraId="2B105B16" w14:textId="55E095DC" w:rsidR="00A706D2"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وتعني سلامة المرضى توفير الرعاية الصحية دون أي إيذاء أو خطأ طبي أو حدث ضار يمكن الوقاية منه، مع حماية المريض من التعرض لأي منها</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3" w:history="1">
        <w:r w:rsidRPr="00BA2622">
          <w:rPr>
            <w:rStyle w:val="Hyperlink"/>
            <w:rFonts w:ascii="Traditional Arabic" w:hAnsi="Traditional Arabic" w:cs="Traditional Arabic" w:hint="cs"/>
            <w:spacing w:val="-6"/>
            <w:sz w:val="24"/>
            <w:szCs w:val="24"/>
            <w:rtl/>
          </w:rPr>
          <w:t>هيئة الاعتماد الأردنية</w:t>
        </w:r>
        <w:r w:rsidRPr="00BA2622">
          <w:rPr>
            <w:rStyle w:val="Hyperlink"/>
            <w:rFonts w:ascii="Traditional Arabic" w:hAnsi="Traditional Arabic" w:cs="Traditional Arabic" w:hint="cs"/>
            <w:spacing w:val="-6"/>
            <w:sz w:val="24"/>
            <w:szCs w:val="24"/>
            <w:lang w:bidi="ar-EG"/>
          </w:rPr>
          <w:t xml:space="preserve"> – HCAC</w:t>
        </w:r>
      </w:hyperlink>
    </w:p>
    <w:p w14:paraId="6342C1C4" w14:textId="61CE9A4B" w:rsidR="00A706D2" w:rsidRPr="00BA2622" w:rsidRDefault="004F449D"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كما تعرف بأنها</w:t>
      </w:r>
      <w:r w:rsidR="00A706D2" w:rsidRPr="00BA2622">
        <w:rPr>
          <w:rFonts w:ascii="Traditional Arabic" w:hAnsi="Traditional Arabic" w:cs="Traditional Arabic" w:hint="cs"/>
          <w:spacing w:val="-6"/>
          <w:sz w:val="24"/>
          <w:szCs w:val="24"/>
          <w:rtl/>
        </w:rPr>
        <w:t xml:space="preserve"> إطار لأنشطة منظمة تولّد ثقافات وعمليات وسلوكيات وتكنولوجيات في مجال الرعاية الصحية تعمل على التقليل من المخاطر والحد من الأذى الممكن تجنبه</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4" w:history="1">
        <w:r w:rsidR="00A706D2" w:rsidRPr="00BA2622">
          <w:rPr>
            <w:rStyle w:val="Hyperlink"/>
            <w:rFonts w:ascii="Traditional Arabic" w:hAnsi="Traditional Arabic" w:cs="Traditional Arabic" w:hint="cs"/>
            <w:spacing w:val="-6"/>
            <w:sz w:val="24"/>
            <w:szCs w:val="24"/>
            <w:rtl/>
          </w:rPr>
          <w:t>منظمة الصحة العالمية – ورقة الحقائق</w:t>
        </w:r>
      </w:hyperlink>
    </w:p>
    <w:p w14:paraId="693C5E66" w14:textId="4BFE67EA" w:rsidR="00133362" w:rsidRPr="00BA2622" w:rsidRDefault="006C157C" w:rsidP="00BA2622">
      <w:pPr>
        <w:bidi/>
        <w:spacing w:after="200" w:line="360" w:lineRule="auto"/>
        <w:ind w:firstLine="720"/>
        <w:rPr>
          <w:rFonts w:ascii="Traditional Arabic" w:hAnsi="Traditional Arabic" w:cs="Traditional Arabic"/>
          <w:sz w:val="24"/>
          <w:szCs w:val="24"/>
        </w:rPr>
      </w:pPr>
      <w:r w:rsidRPr="00BA2622">
        <w:rPr>
          <w:rFonts w:ascii="Traditional Arabic" w:hAnsi="Traditional Arabic" w:cs="Traditional Arabic" w:hint="cs"/>
          <w:spacing w:val="-6"/>
          <w:sz w:val="24"/>
          <w:szCs w:val="24"/>
          <w:rtl/>
        </w:rPr>
        <w:t>و</w:t>
      </w:r>
      <w:r w:rsidR="00A706D2" w:rsidRPr="00BA2622">
        <w:rPr>
          <w:rFonts w:ascii="Traditional Arabic" w:hAnsi="Traditional Arabic" w:cs="Traditional Arabic" w:hint="cs"/>
          <w:spacing w:val="-6"/>
          <w:sz w:val="24"/>
          <w:szCs w:val="24"/>
          <w:rtl/>
        </w:rPr>
        <w:t>سلامة المرضى تعني تقليل احتمال وقوع الخطأ الطبي والحد من تأثيره عند حدوثه، من خلال تحسين النظم الصحية والتدريب والتكنولوجيا</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5" w:history="1">
        <w:r w:rsidR="00A706D2" w:rsidRPr="00BA2622">
          <w:rPr>
            <w:rStyle w:val="Hyperlink"/>
            <w:rFonts w:ascii="Traditional Arabic" w:hAnsi="Traditional Arabic" w:cs="Traditional Arabic" w:hint="cs"/>
            <w:spacing w:val="-6"/>
            <w:sz w:val="24"/>
            <w:szCs w:val="24"/>
            <w:rtl/>
          </w:rPr>
          <w:t>منظمة الصحة العالمية</w:t>
        </w:r>
      </w:hyperlink>
    </w:p>
    <w:p w14:paraId="089FEEEE" w14:textId="67EC95D7" w:rsidR="00C6360A" w:rsidRPr="00BA2622" w:rsidRDefault="00225F6E"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lastRenderedPageBreak/>
        <w:t>و</w:t>
      </w:r>
      <w:r w:rsidR="00133362" w:rsidRPr="00BA2622">
        <w:rPr>
          <w:rFonts w:ascii="Traditional Arabic" w:hAnsi="Traditional Arabic" w:cs="Traditional Arabic" w:hint="cs"/>
          <w:spacing w:val="-6"/>
          <w:sz w:val="24"/>
          <w:szCs w:val="24"/>
          <w:rtl/>
        </w:rPr>
        <w:t xml:space="preserve">تُعرّف </w:t>
      </w:r>
      <w:r w:rsidRPr="00BA2622">
        <w:rPr>
          <w:rFonts w:ascii="Traditional Arabic" w:hAnsi="Traditional Arabic" w:cs="Traditional Arabic" w:hint="cs"/>
          <w:spacing w:val="-6"/>
          <w:sz w:val="24"/>
          <w:szCs w:val="24"/>
          <w:rtl/>
        </w:rPr>
        <w:t xml:space="preserve">أيضا </w:t>
      </w:r>
      <w:r w:rsidR="00133362" w:rsidRPr="00BA2622">
        <w:rPr>
          <w:rFonts w:ascii="Traditional Arabic" w:hAnsi="Traditional Arabic" w:cs="Traditional Arabic" w:hint="cs"/>
          <w:spacing w:val="-6"/>
          <w:sz w:val="24"/>
          <w:szCs w:val="24"/>
          <w:rtl/>
        </w:rPr>
        <w:t xml:space="preserve">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القدرة على تقليل الحوادث الضارة من خلال فهم الأسباب الجذرية للأخطاء، وتطبيق أنظمة الإبلاغ، وبناء ثقافة تعلم مستمرة داخل بيئة الرعاية الصحية</w:t>
      </w:r>
      <w:r w:rsidR="00133362" w:rsidRPr="00BA2622">
        <w:rPr>
          <w:rFonts w:ascii="Traditional Arabic" w:hAnsi="Traditional Arabic" w:cs="Traditional Arabic" w:hint="cs"/>
          <w:spacing w:val="-6"/>
          <w:sz w:val="24"/>
          <w:szCs w:val="24"/>
          <w:lang w:bidi="ar-EG"/>
        </w:rPr>
        <w:t xml:space="preserve">" (Ensaldo Carrasco, 2018, p. 45). </w:t>
      </w:r>
      <w:r w:rsidR="004B7147" w:rsidRPr="00BA2622">
        <w:rPr>
          <w:rFonts w:ascii="Traditional Arabic" w:hAnsi="Traditional Arabic" w:cs="Traditional Arabic" w:hint="cs"/>
          <w:spacing w:val="-6"/>
          <w:sz w:val="24"/>
          <w:szCs w:val="24"/>
          <w:rtl/>
        </w:rPr>
        <w:t>.</w:t>
      </w:r>
    </w:p>
    <w:p w14:paraId="6E071868" w14:textId="7A3D4FF0" w:rsidR="00133362" w:rsidRPr="00BA2622" w:rsidRDefault="00C6360A"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lang w:bidi="ar-EG"/>
        </w:rPr>
        <w:t xml:space="preserve">كما </w:t>
      </w:r>
      <w:r w:rsidR="00133362" w:rsidRPr="00BA2622">
        <w:rPr>
          <w:rFonts w:ascii="Traditional Arabic" w:hAnsi="Traditional Arabic" w:cs="Traditional Arabic" w:hint="cs"/>
          <w:spacing w:val="-6"/>
          <w:sz w:val="24"/>
          <w:szCs w:val="24"/>
          <w:rtl/>
        </w:rPr>
        <w:t xml:space="preserve">تُعرّف 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نهج متعدد المستويات يشمل السياسات الوطنية، والتنسيق بين الوكالات الصحية، وتفعيل دور العاملين الصحيين في تطبيق الممارسات الآمنة، بما يضمن تقليل المخاطر وتحسين جودة الرعاية في السياقات المعقدة مثل دول إقليم شرق المتوسط</w:t>
      </w:r>
      <w:r w:rsidR="00133362" w:rsidRPr="00BA2622">
        <w:rPr>
          <w:rFonts w:ascii="Traditional Arabic" w:hAnsi="Traditional Arabic" w:cs="Traditional Arabic" w:hint="cs"/>
          <w:spacing w:val="-6"/>
          <w:sz w:val="24"/>
          <w:szCs w:val="24"/>
          <w:lang w:bidi="ar-EG"/>
        </w:rPr>
        <w:t xml:space="preserve">" (Dardur, 2024, p. 88). </w:t>
      </w:r>
    </w:p>
    <w:p w14:paraId="37E2D41A" w14:textId="77777777" w:rsidR="00587EDA" w:rsidRDefault="00587EDA" w:rsidP="00133362">
      <w:pPr>
        <w:bidi/>
        <w:spacing w:after="200" w:line="276" w:lineRule="auto"/>
        <w:rPr>
          <w:rFonts w:ascii="Simplified Arabic" w:hAnsi="Simplified Arabic" w:cs="Simplified Arabic"/>
          <w:b/>
          <w:bCs/>
          <w:spacing w:val="-6"/>
          <w:sz w:val="32"/>
          <w:szCs w:val="32"/>
          <w:rtl/>
          <w:lang w:bidi="ar-EG"/>
        </w:rPr>
      </w:pPr>
    </w:p>
    <w:p w14:paraId="4923504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7E7ADCCC"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6FA6624"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256BA1E2"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5E76F9"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6E766D"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93C5FD5"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1CA4D67"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41521C9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23FD6FB"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B4F0026"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E3DCF0C" w14:textId="77777777" w:rsidR="00587EDA" w:rsidRDefault="00587EDA" w:rsidP="00587EDA">
      <w:pPr>
        <w:bidi/>
        <w:spacing w:after="200" w:line="276" w:lineRule="auto"/>
        <w:rPr>
          <w:rFonts w:ascii="Simplified Arabic" w:hAnsi="Simplified Arabic" w:cs="Simplified Arabic"/>
          <w:b/>
          <w:bCs/>
          <w:spacing w:val="-6"/>
          <w:sz w:val="32"/>
          <w:szCs w:val="32"/>
          <w:rtl/>
          <w:lang w:bidi="ar-EG"/>
        </w:rPr>
      </w:pPr>
    </w:p>
    <w:p w14:paraId="77BEADBD" w14:textId="543CDEAB" w:rsidR="006C157C" w:rsidRPr="007C2DBE" w:rsidRDefault="00A44ABC" w:rsidP="00587EDA">
      <w:pPr>
        <w:bidi/>
        <w:spacing w:after="200" w:line="276" w:lineRule="auto"/>
        <w:rPr>
          <w:rFonts w:ascii="Traditional Arabic" w:hAnsi="Traditional Arabic" w:cs="Traditional Arabic"/>
          <w:b/>
          <w:bCs/>
          <w:spacing w:val="-6"/>
          <w:sz w:val="32"/>
          <w:szCs w:val="32"/>
          <w:rtl/>
          <w:lang w:bidi="ar-EG"/>
        </w:rPr>
      </w:pPr>
      <w:r w:rsidRPr="007C2DBE">
        <w:rPr>
          <w:rFonts w:ascii="Traditional Arabic" w:hAnsi="Traditional Arabic" w:cs="Traditional Arabic" w:hint="cs"/>
          <w:b/>
          <w:bCs/>
          <w:spacing w:val="-6"/>
          <w:sz w:val="32"/>
          <w:szCs w:val="32"/>
          <w:rtl/>
          <w:lang w:bidi="ar-EG"/>
        </w:rPr>
        <w:lastRenderedPageBreak/>
        <w:t>ثانياً</w:t>
      </w:r>
      <w:r w:rsidR="00587EDA" w:rsidRPr="007C2DBE">
        <w:rPr>
          <w:rFonts w:ascii="Traditional Arabic" w:hAnsi="Traditional Arabic" w:cs="Traditional Arabic" w:hint="cs"/>
          <w:b/>
          <w:bCs/>
          <w:spacing w:val="-6"/>
          <w:sz w:val="32"/>
          <w:szCs w:val="32"/>
          <w:rtl/>
          <w:lang w:bidi="ar-EG"/>
        </w:rPr>
        <w:t>:</w:t>
      </w:r>
      <w:r w:rsidRPr="007C2DBE">
        <w:rPr>
          <w:rFonts w:ascii="Traditional Arabic" w:hAnsi="Traditional Arabic" w:cs="Traditional Arabic" w:hint="cs"/>
          <w:b/>
          <w:bCs/>
          <w:spacing w:val="-6"/>
          <w:sz w:val="32"/>
          <w:szCs w:val="32"/>
          <w:rtl/>
          <w:lang w:bidi="ar-EG"/>
        </w:rPr>
        <w:t xml:space="preserve">  </w:t>
      </w:r>
      <w:r w:rsidR="006C157C" w:rsidRPr="007C2DBE">
        <w:rPr>
          <w:rFonts w:ascii="Traditional Arabic" w:hAnsi="Traditional Arabic" w:cs="Traditional Arabic" w:hint="cs"/>
          <w:b/>
          <w:bCs/>
          <w:spacing w:val="-6"/>
          <w:sz w:val="32"/>
          <w:szCs w:val="32"/>
          <w:rtl/>
          <w:lang w:bidi="ar-EG"/>
        </w:rPr>
        <w:t>نظريات سلامة المرضى:</w:t>
      </w:r>
    </w:p>
    <w:p w14:paraId="54DF31C5" w14:textId="6F7E4AA4" w:rsidR="00D376F3" w:rsidRPr="00B64913" w:rsidRDefault="00D376F3" w:rsidP="00D376F3">
      <w:pPr>
        <w:bidi/>
        <w:spacing w:after="200" w:line="276" w:lineRule="auto"/>
        <w:jc w:val="center"/>
        <w:rPr>
          <w:rFonts w:ascii="Traditional Arabic" w:hAnsi="Traditional Arabic" w:cs="Traditional Arabic"/>
          <w:b/>
          <w:bCs/>
          <w:spacing w:val="-6"/>
          <w:sz w:val="24"/>
          <w:szCs w:val="24"/>
          <w:lang w:bidi="ar-EG"/>
        </w:rPr>
      </w:pPr>
      <w:r w:rsidRPr="00B64913">
        <w:rPr>
          <w:rFonts w:ascii="Traditional Arabic" w:hAnsi="Traditional Arabic" w:cs="Traditional Arabic" w:hint="cs"/>
          <w:b/>
          <w:bCs/>
          <w:spacing w:val="-6"/>
          <w:sz w:val="24"/>
          <w:szCs w:val="24"/>
          <w:rtl/>
          <w:lang w:bidi="ar-EG"/>
        </w:rPr>
        <w:t xml:space="preserve">جدول ( </w:t>
      </w:r>
      <w:r w:rsidR="004B7147" w:rsidRPr="00B64913">
        <w:rPr>
          <w:rFonts w:ascii="Traditional Arabic" w:hAnsi="Traditional Arabic" w:cs="Traditional Arabic" w:hint="cs"/>
          <w:b/>
          <w:bCs/>
          <w:spacing w:val="-6"/>
          <w:sz w:val="24"/>
          <w:szCs w:val="24"/>
          <w:rtl/>
          <w:lang w:bidi="ar-EG"/>
        </w:rPr>
        <w:t>6</w:t>
      </w:r>
      <w:r w:rsidRPr="00B64913">
        <w:rPr>
          <w:rFonts w:ascii="Traditional Arabic" w:hAnsi="Traditional Arabic" w:cs="Traditional Arabic" w:hint="cs"/>
          <w:b/>
          <w:bCs/>
          <w:spacing w:val="-6"/>
          <w:sz w:val="24"/>
          <w:szCs w:val="24"/>
          <w:rtl/>
          <w:lang w:bidi="ar-EG"/>
        </w:rPr>
        <w:t xml:space="preserve"> ) النظريات المفسرة لسلامة المرضى</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868"/>
        <w:gridCol w:w="943"/>
        <w:gridCol w:w="1623"/>
        <w:gridCol w:w="1371"/>
        <w:gridCol w:w="1485"/>
      </w:tblGrid>
      <w:tr w:rsidR="006440BC" w:rsidRPr="00B64913" w14:paraId="2B717B9C" w14:textId="77777777" w:rsidTr="00B64913">
        <w:trPr>
          <w:tblHeader/>
          <w:tblCellSpacing w:w="15" w:type="dxa"/>
          <w:jc w:val="center"/>
        </w:trPr>
        <w:tc>
          <w:tcPr>
            <w:tcW w:w="1702" w:type="pct"/>
            <w:shd w:val="clear" w:color="auto" w:fill="E5DFEC" w:themeFill="accent4" w:themeFillTint="33"/>
            <w:vAlign w:val="center"/>
            <w:hideMark/>
          </w:tcPr>
          <w:p w14:paraId="2BF5B978" w14:textId="1E7570E3"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التوثيق</w:t>
            </w:r>
          </w:p>
        </w:tc>
        <w:tc>
          <w:tcPr>
            <w:tcW w:w="550" w:type="pct"/>
            <w:shd w:val="clear" w:color="auto" w:fill="E5DFEC" w:themeFill="accent4" w:themeFillTint="33"/>
            <w:vAlign w:val="center"/>
            <w:hideMark/>
          </w:tcPr>
          <w:p w14:paraId="0CD8F59B" w14:textId="61C6B0B1"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الأبعاد المقترحة</w:t>
            </w:r>
          </w:p>
        </w:tc>
        <w:tc>
          <w:tcPr>
            <w:tcW w:w="961" w:type="pct"/>
            <w:shd w:val="clear" w:color="auto" w:fill="E5DFEC" w:themeFill="accent4" w:themeFillTint="33"/>
            <w:vAlign w:val="center"/>
            <w:hideMark/>
          </w:tcPr>
          <w:p w14:paraId="7A52F9F2" w14:textId="2162AE55"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المبادئ الأساسية</w:t>
            </w:r>
          </w:p>
        </w:tc>
        <w:tc>
          <w:tcPr>
            <w:tcW w:w="809" w:type="pct"/>
            <w:shd w:val="clear" w:color="auto" w:fill="E5DFEC" w:themeFill="accent4" w:themeFillTint="33"/>
            <w:vAlign w:val="center"/>
            <w:hideMark/>
          </w:tcPr>
          <w:p w14:paraId="5C4BB36C" w14:textId="5EE8BB34"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صاحب النظرية وتاريخها</w:t>
            </w:r>
          </w:p>
        </w:tc>
        <w:tc>
          <w:tcPr>
            <w:tcW w:w="869" w:type="pct"/>
            <w:shd w:val="clear" w:color="auto" w:fill="E5DFEC" w:themeFill="accent4" w:themeFillTint="33"/>
            <w:vAlign w:val="center"/>
            <w:hideMark/>
          </w:tcPr>
          <w:p w14:paraId="5F2F0F79" w14:textId="38BDA82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اسم النظرية</w:t>
            </w:r>
          </w:p>
        </w:tc>
      </w:tr>
      <w:tr w:rsidR="006440BC" w:rsidRPr="00B64913" w14:paraId="590B5E78" w14:textId="77777777" w:rsidTr="00B64913">
        <w:trPr>
          <w:tblCellSpacing w:w="15" w:type="dxa"/>
          <w:jc w:val="center"/>
        </w:trPr>
        <w:tc>
          <w:tcPr>
            <w:tcW w:w="1702" w:type="pct"/>
            <w:vAlign w:val="center"/>
            <w:hideMark/>
          </w:tcPr>
          <w:p w14:paraId="3B9FE3AB" w14:textId="2DCDC1E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Reason,. (1990).</w:t>
            </w:r>
          </w:p>
        </w:tc>
        <w:tc>
          <w:tcPr>
            <w:tcW w:w="550" w:type="pct"/>
            <w:vAlign w:val="center"/>
            <w:hideMark/>
          </w:tcPr>
          <w:p w14:paraId="7FEDE2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p>
        </w:tc>
        <w:tc>
          <w:tcPr>
            <w:tcW w:w="961" w:type="pct"/>
            <w:vAlign w:val="center"/>
            <w:hideMark/>
          </w:tcPr>
          <w:p w14:paraId="64115841" w14:textId="3FC6B568"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 xml:space="preserve">كل نظام دفاعي يحتوي على </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tl/>
              </w:rPr>
              <w:t>ثقوب</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الحوادث تقع عند تصفّ هذه الثقوب</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نشطة وكامنة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تعدد الطبقات الدفاعية</w:t>
            </w:r>
          </w:p>
        </w:tc>
        <w:tc>
          <w:tcPr>
            <w:tcW w:w="809" w:type="pct"/>
            <w:vAlign w:val="center"/>
            <w:hideMark/>
          </w:tcPr>
          <w:p w14:paraId="0873B36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جيمس ريزن – 1990</w:t>
            </w:r>
          </w:p>
        </w:tc>
        <w:tc>
          <w:tcPr>
            <w:tcW w:w="869" w:type="pct"/>
            <w:vAlign w:val="center"/>
            <w:hideMark/>
          </w:tcPr>
          <w:p w14:paraId="59B6E8B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الجبن السويسري</w:t>
            </w:r>
          </w:p>
        </w:tc>
      </w:tr>
      <w:tr w:rsidR="006440BC" w:rsidRPr="00B64913" w14:paraId="35D18F1E" w14:textId="77777777" w:rsidTr="00B64913">
        <w:trPr>
          <w:tblCellSpacing w:w="15" w:type="dxa"/>
          <w:jc w:val="center"/>
        </w:trPr>
        <w:tc>
          <w:tcPr>
            <w:tcW w:w="1702" w:type="pct"/>
            <w:vAlign w:val="center"/>
            <w:hideMark/>
          </w:tcPr>
          <w:p w14:paraId="24340A32" w14:textId="499597A2"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Milligan,. (2007).</w:t>
            </w:r>
          </w:p>
        </w:tc>
        <w:tc>
          <w:tcPr>
            <w:tcW w:w="550" w:type="pct"/>
            <w:vAlign w:val="center"/>
            <w:hideMark/>
          </w:tcPr>
          <w:p w14:paraId="7B77E98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إدراكي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بيئي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p>
        </w:tc>
        <w:tc>
          <w:tcPr>
            <w:tcW w:w="961" w:type="pct"/>
            <w:vAlign w:val="center"/>
            <w:hideMark/>
          </w:tcPr>
          <w:p w14:paraId="4246667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التفاعل بين الإنسان والنظام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نتيجة عوامل متعددة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تحسين الأداء البشري يقلل المخاطر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البيئة الآمنة والتدريب المناسب</w:t>
            </w:r>
          </w:p>
        </w:tc>
        <w:tc>
          <w:tcPr>
            <w:tcW w:w="809" w:type="pct"/>
            <w:vAlign w:val="center"/>
            <w:hideMark/>
          </w:tcPr>
          <w:p w14:paraId="21D694D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1980</w:t>
            </w:r>
            <w:r w:rsidRPr="00B64913">
              <w:rPr>
                <w:rFonts w:ascii="Traditional Arabic" w:hAnsi="Traditional Arabic" w:cs="Traditional Arabic" w:hint="cs"/>
                <w:b/>
                <w:bCs/>
                <w:sz w:val="24"/>
                <w:szCs w:val="24"/>
              </w:rPr>
              <w:t>s</w:t>
            </w:r>
          </w:p>
        </w:tc>
        <w:tc>
          <w:tcPr>
            <w:tcW w:w="869" w:type="pct"/>
            <w:vAlign w:val="center"/>
            <w:hideMark/>
          </w:tcPr>
          <w:p w14:paraId="4019B8C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العوامل البشرية</w:t>
            </w:r>
          </w:p>
        </w:tc>
      </w:tr>
      <w:tr w:rsidR="006440BC" w:rsidRPr="00B64913" w14:paraId="0B59167F" w14:textId="77777777" w:rsidTr="00B64913">
        <w:trPr>
          <w:tblCellSpacing w:w="15" w:type="dxa"/>
          <w:jc w:val="center"/>
        </w:trPr>
        <w:tc>
          <w:tcPr>
            <w:tcW w:w="1702" w:type="pct"/>
            <w:vAlign w:val="center"/>
            <w:hideMark/>
          </w:tcPr>
          <w:p w14:paraId="436C44EB" w14:textId="0AE70955"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Capra,. (1996)..</w:t>
            </w:r>
          </w:p>
        </w:tc>
        <w:tc>
          <w:tcPr>
            <w:tcW w:w="550" w:type="pct"/>
            <w:vAlign w:val="center"/>
            <w:hideMark/>
          </w:tcPr>
          <w:p w14:paraId="2B9CCF1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بنيوي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ديناميكي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تفاعلي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استراتيجي</w:t>
            </w:r>
          </w:p>
        </w:tc>
        <w:tc>
          <w:tcPr>
            <w:tcW w:w="961" w:type="pct"/>
            <w:vAlign w:val="center"/>
            <w:hideMark/>
          </w:tcPr>
          <w:p w14:paraId="39C1E93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الأنظمة مترابطة وغير خطية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التغير في جزء يؤثر على الكل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التفكير النظمي ضروري لإدارة المخاطر</w:t>
            </w:r>
          </w:p>
        </w:tc>
        <w:tc>
          <w:tcPr>
            <w:tcW w:w="809" w:type="pct"/>
            <w:vAlign w:val="center"/>
            <w:hideMark/>
          </w:tcPr>
          <w:p w14:paraId="5F1CDBD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فريتجوف كابرا وآخرون – 1970</w:t>
            </w:r>
            <w:r w:rsidRPr="00B64913">
              <w:rPr>
                <w:rFonts w:ascii="Traditional Arabic" w:hAnsi="Traditional Arabic" w:cs="Traditional Arabic" w:hint="cs"/>
                <w:b/>
                <w:bCs/>
                <w:sz w:val="24"/>
                <w:szCs w:val="24"/>
              </w:rPr>
              <w:t>s</w:t>
            </w:r>
          </w:p>
        </w:tc>
        <w:tc>
          <w:tcPr>
            <w:tcW w:w="869" w:type="pct"/>
            <w:vAlign w:val="center"/>
            <w:hideMark/>
          </w:tcPr>
          <w:p w14:paraId="712AA06B"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النظم المعقدة</w:t>
            </w:r>
          </w:p>
        </w:tc>
      </w:tr>
      <w:tr w:rsidR="006440BC" w:rsidRPr="00B64913" w14:paraId="46AB381C" w14:textId="77777777" w:rsidTr="00B64913">
        <w:trPr>
          <w:tblCellSpacing w:w="15" w:type="dxa"/>
          <w:jc w:val="center"/>
        </w:trPr>
        <w:tc>
          <w:tcPr>
            <w:tcW w:w="1702" w:type="pct"/>
            <w:vAlign w:val="center"/>
            <w:hideMark/>
          </w:tcPr>
          <w:p w14:paraId="73C0AFB8" w14:textId="13251E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Weick., &amp; Sutcliffe, (2007).</w:t>
            </w:r>
          </w:p>
        </w:tc>
        <w:tc>
          <w:tcPr>
            <w:tcW w:w="550" w:type="pct"/>
            <w:vAlign w:val="center"/>
            <w:hideMark/>
          </w:tcPr>
          <w:p w14:paraId="42221EC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تشغيلي</w:t>
            </w:r>
          </w:p>
        </w:tc>
        <w:tc>
          <w:tcPr>
            <w:tcW w:w="961" w:type="pct"/>
            <w:vAlign w:val="center"/>
            <w:hideMark/>
          </w:tcPr>
          <w:p w14:paraId="320398B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التركيز على الاستباقية</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تعزيز ثقافة السلامة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التنظيم واليقظة المستمرة</w:t>
            </w:r>
          </w:p>
        </w:tc>
        <w:tc>
          <w:tcPr>
            <w:tcW w:w="809" w:type="pct"/>
            <w:vAlign w:val="center"/>
            <w:hideMark/>
          </w:tcPr>
          <w:p w14:paraId="4F06E8A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ويك وسوتكليف – 1980</w:t>
            </w:r>
            <w:r w:rsidRPr="00B64913">
              <w:rPr>
                <w:rFonts w:ascii="Traditional Arabic" w:hAnsi="Traditional Arabic" w:cs="Traditional Arabic" w:hint="cs"/>
                <w:b/>
                <w:bCs/>
                <w:sz w:val="24"/>
                <w:szCs w:val="24"/>
              </w:rPr>
              <w:t>s</w:t>
            </w:r>
          </w:p>
        </w:tc>
        <w:tc>
          <w:tcPr>
            <w:tcW w:w="869" w:type="pct"/>
            <w:vAlign w:val="center"/>
            <w:hideMark/>
          </w:tcPr>
          <w:p w14:paraId="5717C9F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الموثوقية العالية</w:t>
            </w:r>
          </w:p>
        </w:tc>
      </w:tr>
      <w:tr w:rsidR="006440BC" w:rsidRPr="00B64913" w14:paraId="7F25291C" w14:textId="77777777" w:rsidTr="00B64913">
        <w:trPr>
          <w:tblCellSpacing w:w="15" w:type="dxa"/>
          <w:jc w:val="center"/>
        </w:trPr>
        <w:tc>
          <w:tcPr>
            <w:tcW w:w="1702" w:type="pct"/>
            <w:vAlign w:val="center"/>
            <w:hideMark/>
          </w:tcPr>
          <w:p w14:paraId="319452EE" w14:textId="120A84D8"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Kunda,. (2006)..</w:t>
            </w:r>
          </w:p>
        </w:tc>
        <w:tc>
          <w:tcPr>
            <w:tcW w:w="550" w:type="pct"/>
            <w:vAlign w:val="center"/>
            <w:hideMark/>
          </w:tcPr>
          <w:p w14:paraId="223E364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رمزي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علائقي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p>
        </w:tc>
        <w:tc>
          <w:tcPr>
            <w:tcW w:w="961" w:type="pct"/>
            <w:vAlign w:val="center"/>
            <w:hideMark/>
          </w:tcPr>
          <w:p w14:paraId="47B3FB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الثقافة تُبنى عبر التفاعل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شبكات الزملاء تؤثر على الالتزام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الثقافية قد تكون غير رسمية</w:t>
            </w:r>
          </w:p>
        </w:tc>
        <w:tc>
          <w:tcPr>
            <w:tcW w:w="809" w:type="pct"/>
            <w:vAlign w:val="center"/>
            <w:hideMark/>
          </w:tcPr>
          <w:p w14:paraId="5EB7196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كندا – 1990</w:t>
            </w:r>
            <w:r w:rsidRPr="00B64913">
              <w:rPr>
                <w:rFonts w:ascii="Traditional Arabic" w:hAnsi="Traditional Arabic" w:cs="Traditional Arabic" w:hint="cs"/>
                <w:b/>
                <w:bCs/>
                <w:sz w:val="24"/>
                <w:szCs w:val="24"/>
              </w:rPr>
              <w:t>s</w:t>
            </w:r>
          </w:p>
        </w:tc>
        <w:tc>
          <w:tcPr>
            <w:tcW w:w="869" w:type="pct"/>
            <w:vAlign w:val="center"/>
            <w:hideMark/>
          </w:tcPr>
          <w:p w14:paraId="31575A0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الشبكة الثقافية</w:t>
            </w:r>
          </w:p>
        </w:tc>
      </w:tr>
      <w:tr w:rsidR="006440BC" w:rsidRPr="00B64913" w14:paraId="747ABBF7" w14:textId="77777777" w:rsidTr="00B64913">
        <w:trPr>
          <w:tblCellSpacing w:w="15" w:type="dxa"/>
          <w:jc w:val="center"/>
        </w:trPr>
        <w:tc>
          <w:tcPr>
            <w:tcW w:w="1702" w:type="pct"/>
            <w:vAlign w:val="center"/>
            <w:hideMark/>
          </w:tcPr>
          <w:p w14:paraId="4FA71952" w14:textId="6F40C5F1"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Wu,., Lipshutz, &amp; Pronovost,. (2008)..</w:t>
            </w:r>
          </w:p>
        </w:tc>
        <w:tc>
          <w:tcPr>
            <w:tcW w:w="550" w:type="pct"/>
            <w:vAlign w:val="center"/>
            <w:hideMark/>
          </w:tcPr>
          <w:p w14:paraId="58834C4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توثيقي</w:t>
            </w:r>
          </w:p>
        </w:tc>
        <w:tc>
          <w:tcPr>
            <w:tcW w:w="961" w:type="pct"/>
            <w:vAlign w:val="center"/>
            <w:hideMark/>
          </w:tcPr>
          <w:p w14:paraId="4011684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التركيز على الأسباب النظامية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أدوات تحليل مثل السبب والأثر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التعلم والتحسين وليس اللوم</w:t>
            </w:r>
          </w:p>
        </w:tc>
        <w:tc>
          <w:tcPr>
            <w:tcW w:w="809" w:type="pct"/>
            <w:vAlign w:val="center"/>
            <w:hideMark/>
          </w:tcPr>
          <w:p w14:paraId="76DA3FA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1970</w:t>
            </w:r>
            <w:r w:rsidRPr="00B64913">
              <w:rPr>
                <w:rFonts w:ascii="Traditional Arabic" w:hAnsi="Traditional Arabic" w:cs="Traditional Arabic" w:hint="cs"/>
                <w:b/>
                <w:bCs/>
                <w:sz w:val="24"/>
                <w:szCs w:val="24"/>
              </w:rPr>
              <w:t>s</w:t>
            </w:r>
          </w:p>
        </w:tc>
        <w:tc>
          <w:tcPr>
            <w:tcW w:w="869" w:type="pct"/>
            <w:vAlign w:val="center"/>
            <w:hideMark/>
          </w:tcPr>
          <w:p w14:paraId="2DC833D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تحليل السبب الجذري</w:t>
            </w:r>
          </w:p>
        </w:tc>
      </w:tr>
      <w:tr w:rsidR="006440BC" w:rsidRPr="00B64913" w14:paraId="6E53724E" w14:textId="77777777" w:rsidTr="00B64913">
        <w:trPr>
          <w:tblCellSpacing w:w="15" w:type="dxa"/>
          <w:jc w:val="center"/>
        </w:trPr>
        <w:tc>
          <w:tcPr>
            <w:tcW w:w="1702" w:type="pct"/>
            <w:vAlign w:val="center"/>
            <w:hideMark/>
          </w:tcPr>
          <w:p w14:paraId="2389D749" w14:textId="1AC8D620"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Flin,., Burns,., Mearns,., Yule,., &amp; Robertson,.. (2006)..</w:t>
            </w:r>
          </w:p>
        </w:tc>
        <w:tc>
          <w:tcPr>
            <w:tcW w:w="550" w:type="pct"/>
            <w:vAlign w:val="center"/>
            <w:hideMark/>
          </w:tcPr>
          <w:p w14:paraId="7A14DC5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p>
        </w:tc>
        <w:tc>
          <w:tcPr>
            <w:tcW w:w="961" w:type="pct"/>
            <w:vAlign w:val="center"/>
            <w:hideMark/>
          </w:tcPr>
          <w:p w14:paraId="0D56DB9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السلامة مسؤولية جماعية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محورية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التواصل والتعلم من الأخطاء ضروري</w:t>
            </w:r>
          </w:p>
        </w:tc>
        <w:tc>
          <w:tcPr>
            <w:tcW w:w="809" w:type="pct"/>
            <w:vAlign w:val="center"/>
            <w:hideMark/>
          </w:tcPr>
          <w:p w14:paraId="5833EB6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فلين وآخرون – 1980</w:t>
            </w:r>
            <w:r w:rsidRPr="00B64913">
              <w:rPr>
                <w:rFonts w:ascii="Traditional Arabic" w:hAnsi="Traditional Arabic" w:cs="Traditional Arabic" w:hint="cs"/>
                <w:b/>
                <w:bCs/>
                <w:sz w:val="24"/>
                <w:szCs w:val="24"/>
              </w:rPr>
              <w:t>s</w:t>
            </w:r>
          </w:p>
        </w:tc>
        <w:tc>
          <w:tcPr>
            <w:tcW w:w="869" w:type="pct"/>
            <w:vAlign w:val="center"/>
            <w:hideMark/>
          </w:tcPr>
          <w:p w14:paraId="5AD9BDC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ثقافة السلامة</w:t>
            </w:r>
          </w:p>
        </w:tc>
      </w:tr>
      <w:tr w:rsidR="006440BC" w:rsidRPr="00B64913" w14:paraId="0833C46F" w14:textId="77777777" w:rsidTr="00B64913">
        <w:trPr>
          <w:tblCellSpacing w:w="15" w:type="dxa"/>
          <w:jc w:val="center"/>
        </w:trPr>
        <w:tc>
          <w:tcPr>
            <w:tcW w:w="1702" w:type="pct"/>
            <w:vAlign w:val="center"/>
            <w:hideMark/>
          </w:tcPr>
          <w:p w14:paraId="12551ED0" w14:textId="25CB4D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Vincent,. (2010)..</w:t>
            </w:r>
          </w:p>
        </w:tc>
        <w:tc>
          <w:tcPr>
            <w:tcW w:w="550" w:type="pct"/>
            <w:vAlign w:val="center"/>
            <w:hideMark/>
          </w:tcPr>
          <w:p w14:paraId="668BCA6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سريري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p>
        </w:tc>
        <w:tc>
          <w:tcPr>
            <w:tcW w:w="961" w:type="pct"/>
            <w:vAlign w:val="center"/>
            <w:hideMark/>
          </w:tcPr>
          <w:p w14:paraId="1BE1D8F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تقييم دوري للمخاطر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تقارير الحوادث والتحليل السببي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إشراك الطاقم الطبي</w:t>
            </w:r>
          </w:p>
        </w:tc>
        <w:tc>
          <w:tcPr>
            <w:tcW w:w="809" w:type="pct"/>
            <w:vAlign w:val="center"/>
            <w:hideMark/>
          </w:tcPr>
          <w:p w14:paraId="424E6BD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فنسنت – 1990</w:t>
            </w:r>
            <w:r w:rsidRPr="00B64913">
              <w:rPr>
                <w:rFonts w:ascii="Traditional Arabic" w:hAnsi="Traditional Arabic" w:cs="Traditional Arabic" w:hint="cs"/>
                <w:b/>
                <w:bCs/>
                <w:sz w:val="24"/>
                <w:szCs w:val="24"/>
              </w:rPr>
              <w:t>s</w:t>
            </w:r>
          </w:p>
        </w:tc>
        <w:tc>
          <w:tcPr>
            <w:tcW w:w="869" w:type="pct"/>
            <w:vAlign w:val="center"/>
            <w:hideMark/>
          </w:tcPr>
          <w:p w14:paraId="558C7365"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إدارة المخاطر السريرية</w:t>
            </w:r>
          </w:p>
        </w:tc>
      </w:tr>
      <w:tr w:rsidR="006440BC" w:rsidRPr="00B64913" w14:paraId="4260A288" w14:textId="77777777" w:rsidTr="00B64913">
        <w:trPr>
          <w:tblCellSpacing w:w="15" w:type="dxa"/>
          <w:jc w:val="center"/>
        </w:trPr>
        <w:tc>
          <w:tcPr>
            <w:tcW w:w="1702" w:type="pct"/>
            <w:vAlign w:val="center"/>
            <w:hideMark/>
          </w:tcPr>
          <w:p w14:paraId="45038887" w14:textId="025C2037"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Basten., &amp; Haamann, (2018)..</w:t>
            </w:r>
          </w:p>
        </w:tc>
        <w:tc>
          <w:tcPr>
            <w:tcW w:w="550" w:type="pct"/>
            <w:vAlign w:val="center"/>
            <w:hideMark/>
          </w:tcPr>
          <w:p w14:paraId="339971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عملي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p>
        </w:tc>
        <w:tc>
          <w:tcPr>
            <w:tcW w:w="961" w:type="pct"/>
            <w:vAlign w:val="center"/>
            <w:hideMark/>
          </w:tcPr>
          <w:p w14:paraId="209E0FB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التعلم الفردي والجماعي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تحويل المعرفة إلى ممارسات</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التغذية الراجعة</w:t>
            </w:r>
          </w:p>
        </w:tc>
        <w:tc>
          <w:tcPr>
            <w:tcW w:w="809" w:type="pct"/>
            <w:vAlign w:val="center"/>
            <w:hideMark/>
          </w:tcPr>
          <w:p w14:paraId="6ACCC1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باستن وهامان – 2018</w:t>
            </w:r>
          </w:p>
        </w:tc>
        <w:tc>
          <w:tcPr>
            <w:tcW w:w="869" w:type="pct"/>
            <w:vAlign w:val="center"/>
            <w:hideMark/>
          </w:tcPr>
          <w:p w14:paraId="4C1AFCC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التعلم التنظيمي</w:t>
            </w:r>
          </w:p>
        </w:tc>
      </w:tr>
      <w:tr w:rsidR="006440BC" w:rsidRPr="00B64913" w14:paraId="4D9ADEC4" w14:textId="77777777" w:rsidTr="00B64913">
        <w:trPr>
          <w:tblCellSpacing w:w="15" w:type="dxa"/>
          <w:jc w:val="center"/>
        </w:trPr>
        <w:tc>
          <w:tcPr>
            <w:tcW w:w="1702" w:type="pct"/>
            <w:vAlign w:val="center"/>
            <w:hideMark/>
          </w:tcPr>
          <w:p w14:paraId="10480A62" w14:textId="5927C61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IDEO.org. (2015)..</w:t>
            </w:r>
          </w:p>
        </w:tc>
        <w:tc>
          <w:tcPr>
            <w:tcW w:w="550" w:type="pct"/>
            <w:vAlign w:val="center"/>
            <w:hideMark/>
          </w:tcPr>
          <w:p w14:paraId="36C3165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إنساني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تجريبي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تشاركي</w:t>
            </w:r>
          </w:p>
        </w:tc>
        <w:tc>
          <w:tcPr>
            <w:tcW w:w="961" w:type="pct"/>
            <w:vAlign w:val="center"/>
            <w:hideMark/>
          </w:tcPr>
          <w:p w14:paraId="753BC43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التعاطف مع المستخدمين</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تصميم تشاركي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اختبار وتحسين مستمر</w:t>
            </w:r>
          </w:p>
        </w:tc>
        <w:tc>
          <w:tcPr>
            <w:tcW w:w="809" w:type="pct"/>
            <w:vAlign w:val="center"/>
            <w:hideMark/>
          </w:tcPr>
          <w:p w14:paraId="10E2706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 – 1960s</w:t>
            </w:r>
          </w:p>
        </w:tc>
        <w:tc>
          <w:tcPr>
            <w:tcW w:w="869" w:type="pct"/>
            <w:vAlign w:val="center"/>
            <w:hideMark/>
          </w:tcPr>
          <w:p w14:paraId="5A0003B3"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التصميم المتمركز حول الإنسان</w:t>
            </w:r>
          </w:p>
        </w:tc>
      </w:tr>
    </w:tbl>
    <w:p w14:paraId="1C86B7CF" w14:textId="4957A16C" w:rsidR="00BA7C6F" w:rsidRPr="00C40472" w:rsidRDefault="00D858AF" w:rsidP="004B7147">
      <w:pPr>
        <w:bidi/>
        <w:spacing w:after="200" w:line="276" w:lineRule="auto"/>
        <w:jc w:val="center"/>
        <w:rPr>
          <w:rFonts w:ascii="Traditional Arabic" w:hAnsi="Traditional Arabic" w:cs="Traditional Arabic"/>
          <w:b/>
          <w:bCs/>
          <w:spacing w:val="-6"/>
          <w:sz w:val="24"/>
          <w:szCs w:val="24"/>
          <w:rtl/>
        </w:rPr>
      </w:pPr>
      <w:r w:rsidRPr="00C40472">
        <w:rPr>
          <w:rFonts w:ascii="Traditional Arabic" w:hAnsi="Traditional Arabic" w:cs="Traditional Arabic" w:hint="cs"/>
          <w:b/>
          <w:bCs/>
          <w:spacing w:val="-6"/>
          <w:sz w:val="24"/>
          <w:szCs w:val="24"/>
          <w:rtl/>
        </w:rPr>
        <w:t>إعداد / الباحثة</w:t>
      </w:r>
      <w:r w:rsidR="004B7147" w:rsidRPr="00C40472">
        <w:rPr>
          <w:rFonts w:ascii="Traditional Arabic" w:hAnsi="Traditional Arabic" w:cs="Traditional Arabic" w:hint="cs"/>
          <w:b/>
          <w:bCs/>
          <w:spacing w:val="-6"/>
          <w:sz w:val="24"/>
          <w:szCs w:val="24"/>
          <w:rtl/>
        </w:rPr>
        <w:t xml:space="preserve"> إعتمادا على المصادر داخل الجدول.</w:t>
      </w:r>
    </w:p>
    <w:p w14:paraId="69F4CAB9" w14:textId="48F93C2F" w:rsidR="00B0165C" w:rsidRPr="00CE485C" w:rsidRDefault="00A44ABC" w:rsidP="00C40472">
      <w:pPr>
        <w:bidi/>
        <w:spacing w:after="200" w:line="360" w:lineRule="auto"/>
        <w:rPr>
          <w:rFonts w:ascii="Traditional Arabic" w:hAnsi="Traditional Arabic" w:cs="Traditional Arabic"/>
          <w:spacing w:val="-6"/>
          <w:sz w:val="28"/>
          <w:szCs w:val="28"/>
          <w:rtl/>
          <w:lang w:bidi="ar-EG"/>
        </w:rPr>
      </w:pPr>
      <w:r w:rsidRPr="00CE485C">
        <w:rPr>
          <w:rFonts w:ascii="Traditional Arabic" w:hAnsi="Traditional Arabic" w:cs="Traditional Arabic" w:hint="cs"/>
          <w:b/>
          <w:bCs/>
          <w:spacing w:val="-6"/>
          <w:sz w:val="28"/>
          <w:szCs w:val="28"/>
          <w:rtl/>
        </w:rPr>
        <w:t xml:space="preserve">ثالثاً: </w:t>
      </w:r>
      <w:r w:rsidR="00B0165C" w:rsidRPr="00CE485C">
        <w:rPr>
          <w:rFonts w:ascii="Traditional Arabic" w:hAnsi="Traditional Arabic" w:cs="Traditional Arabic" w:hint="cs"/>
          <w:b/>
          <w:bCs/>
          <w:spacing w:val="-6"/>
          <w:sz w:val="28"/>
          <w:szCs w:val="28"/>
          <w:rtl/>
        </w:rPr>
        <w:t>أسباب الأخطاء الطبية</w:t>
      </w:r>
      <w:r w:rsidR="00B0165C" w:rsidRPr="00CE485C">
        <w:rPr>
          <w:rFonts w:ascii="Traditional Arabic" w:hAnsi="Traditional Arabic" w:cs="Traditional Arabic" w:hint="cs"/>
          <w:spacing w:val="-6"/>
          <w:sz w:val="28"/>
          <w:szCs w:val="28"/>
          <w:rtl/>
        </w:rPr>
        <w:t xml:space="preserve"> :</w:t>
      </w:r>
    </w:p>
    <w:p w14:paraId="3481A4AB" w14:textId="3E3721C2"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الالتزام بالأسس العلمية</w:t>
      </w:r>
      <w:r w:rsidR="00587EDA" w:rsidRPr="00C40472">
        <w:rPr>
          <w:rFonts w:ascii="Traditional Arabic" w:hAnsi="Traditional Arabic" w:cs="Traditional Arabic" w:hint="cs"/>
          <w:b/>
          <w:bCs/>
          <w:spacing w:val="-6"/>
          <w:sz w:val="24"/>
          <w:szCs w:val="24"/>
          <w:rtl/>
        </w:rPr>
        <w:t>:</w:t>
      </w:r>
    </w:p>
    <w:p w14:paraId="46C2CE2F" w14:textId="2F779108"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يُعد تجاهل المبادئ الطبية المعتمدة أثناء ممارسة المهنة من الأسباب الجوهرية لوقوع الأخطاء، مثل إجراء عمليات دون مراجعة الأدلة السريرية أو استخدام طرق تجريبية غير مثبتة (محمود، 2009</w:t>
      </w:r>
      <w:r w:rsidR="00587EDA"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17)</w:t>
      </w:r>
      <w:r w:rsidRPr="00C40472">
        <w:rPr>
          <w:rFonts w:ascii="Traditional Arabic" w:hAnsi="Traditional Arabic" w:cs="Traditional Arabic" w:hint="cs"/>
          <w:spacing w:val="-6"/>
          <w:sz w:val="24"/>
          <w:szCs w:val="24"/>
          <w:rtl/>
          <w:lang w:bidi="ar-EG"/>
        </w:rPr>
        <w:t>.</w:t>
      </w:r>
    </w:p>
    <w:p w14:paraId="11C4213B" w14:textId="73C06FF5"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الإهمال وعدم الدقة</w:t>
      </w:r>
      <w:r w:rsidR="00597FC5" w:rsidRPr="00C40472">
        <w:rPr>
          <w:rFonts w:ascii="Traditional Arabic" w:hAnsi="Traditional Arabic" w:cs="Traditional Arabic" w:hint="cs"/>
          <w:b/>
          <w:bCs/>
          <w:spacing w:val="-6"/>
          <w:sz w:val="24"/>
          <w:szCs w:val="24"/>
          <w:rtl/>
        </w:rPr>
        <w:t>:</w:t>
      </w:r>
    </w:p>
    <w:p w14:paraId="7D1F9239" w14:textId="3059C93B"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الإهمال في أداء الواجبات الطبية، كعدم تعقيم الأدوات أو ترك أدوات داخل جسم المريض، يؤدي إلى مضاعفات خطيرة قد تصل إلى الوفاة (زقيبة، 2018</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3)</w:t>
      </w:r>
      <w:r w:rsidRPr="00C40472">
        <w:rPr>
          <w:rFonts w:ascii="Traditional Arabic" w:hAnsi="Traditional Arabic" w:cs="Traditional Arabic" w:hint="cs"/>
          <w:spacing w:val="-6"/>
          <w:sz w:val="24"/>
          <w:szCs w:val="24"/>
          <w:lang w:bidi="ar-EG"/>
        </w:rPr>
        <w:t>.</w:t>
      </w:r>
    </w:p>
    <w:p w14:paraId="03A614A1" w14:textId="2AF8EC58"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الإرهاق والتعب الجسدي والنفسي</w:t>
      </w:r>
      <w:r w:rsidR="00597FC5" w:rsidRPr="00C40472">
        <w:rPr>
          <w:rFonts w:ascii="Traditional Arabic" w:hAnsi="Traditional Arabic" w:cs="Traditional Arabic" w:hint="cs"/>
          <w:b/>
          <w:bCs/>
          <w:spacing w:val="-6"/>
          <w:sz w:val="24"/>
          <w:szCs w:val="24"/>
          <w:rtl/>
        </w:rPr>
        <w:t>:</w:t>
      </w:r>
    </w:p>
    <w:p w14:paraId="1572223C" w14:textId="77777777"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الإجهاد الناتج عن ضغط العمل أو المناوبات الطويلة يقلل من قدرة الطبيب على التركيز، مما يزيد من احتمالية الخطأ</w:t>
      </w:r>
      <w:r w:rsidRPr="00C40472">
        <w:rPr>
          <w:rFonts w:ascii="Traditional Arabic" w:hAnsi="Traditional Arabic" w:cs="Traditional Arabic" w:hint="cs"/>
          <w:spacing w:val="-6"/>
          <w:sz w:val="24"/>
          <w:szCs w:val="24"/>
          <w:lang w:bidi="ar-EG"/>
        </w:rPr>
        <w:t xml:space="preserve"> (Edmondson, 2004, p. ii5).</w:t>
      </w:r>
    </w:p>
    <w:p w14:paraId="23848027" w14:textId="2A8FA36B"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نقص الخبرة والتدريب</w:t>
      </w:r>
      <w:r w:rsidR="00597FC5" w:rsidRPr="00C40472">
        <w:rPr>
          <w:rFonts w:ascii="Traditional Arabic" w:hAnsi="Traditional Arabic" w:cs="Traditional Arabic" w:hint="cs"/>
          <w:b/>
          <w:bCs/>
          <w:spacing w:val="-6"/>
          <w:sz w:val="24"/>
          <w:szCs w:val="24"/>
          <w:rtl/>
        </w:rPr>
        <w:t>:</w:t>
      </w:r>
    </w:p>
    <w:p w14:paraId="2D352259" w14:textId="514F0393"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lastRenderedPageBreak/>
        <w:t>عدم حصول الطبيب أو الممارس الصحي على تدريب كافٍ قبل مزاولة المهنة يؤدي إلى ضعف التشخيص واتخاذ قرارات غير دقيقة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6)</w:t>
      </w:r>
      <w:r w:rsidRPr="00C40472">
        <w:rPr>
          <w:rFonts w:ascii="Traditional Arabic" w:hAnsi="Traditional Arabic" w:cs="Traditional Arabic" w:hint="cs"/>
          <w:spacing w:val="-6"/>
          <w:sz w:val="24"/>
          <w:szCs w:val="24"/>
          <w:lang w:bidi="ar-EG"/>
        </w:rPr>
        <w:t>.</w:t>
      </w:r>
      <w:r w:rsidR="00D858AF" w:rsidRPr="00C40472">
        <w:rPr>
          <w:rFonts w:ascii="Traditional Arabic" w:hAnsi="Traditional Arabic" w:cs="Traditional Arabic" w:hint="cs"/>
          <w:spacing w:val="-6"/>
          <w:sz w:val="24"/>
          <w:szCs w:val="24"/>
          <w:lang w:bidi="ar-EG"/>
        </w:rPr>
        <w:t xml:space="preserve"> </w:t>
      </w:r>
    </w:p>
    <w:p w14:paraId="6C85D74B" w14:textId="5F48EF53"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أخطاء في وصف أو صرف الأدوية</w:t>
      </w:r>
      <w:r w:rsidR="00597FC5" w:rsidRPr="00C40472">
        <w:rPr>
          <w:rFonts w:ascii="Traditional Arabic" w:hAnsi="Traditional Arabic" w:cs="Traditional Arabic" w:hint="cs"/>
          <w:b/>
          <w:bCs/>
          <w:spacing w:val="-6"/>
          <w:sz w:val="24"/>
          <w:szCs w:val="24"/>
          <w:rtl/>
        </w:rPr>
        <w:t>:</w:t>
      </w:r>
    </w:p>
    <w:p w14:paraId="24603BD8" w14:textId="77777777" w:rsidR="00D858AF" w:rsidRPr="00C40472" w:rsidRDefault="00B0165C" w:rsidP="00C40472">
      <w:p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spacing w:val="-6"/>
          <w:sz w:val="24"/>
          <w:szCs w:val="24"/>
          <w:rtl/>
        </w:rPr>
        <w:t>تشمل وصف دواء خاطئ، أو جرعة غير مناسبة، أو تجاهل حساسية المريض، وهي من أكثر الأخطاء شيوعًا في الممارسة السريرية</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lang w:bidi="ar-EG"/>
        </w:rPr>
        <w:t>, 2020,2)</w:t>
      </w:r>
      <w:r w:rsidR="00D858AF" w:rsidRPr="00C40472">
        <w:rPr>
          <w:rFonts w:ascii="Traditional Arabic" w:hAnsi="Traditional Arabic" w:cs="Traditional Arabic" w:hint="cs"/>
          <w:spacing w:val="-6"/>
          <w:sz w:val="24"/>
          <w:szCs w:val="24"/>
          <w:rtl/>
        </w:rPr>
        <w:t xml:space="preserve"> </w:t>
      </w:r>
      <w:r w:rsidRPr="00C40472">
        <w:rPr>
          <w:rFonts w:ascii="Traditional Arabic" w:hAnsi="Traditional Arabic" w:cs="Traditional Arabic" w:hint="cs"/>
          <w:spacing w:val="-6"/>
          <w:sz w:val="24"/>
          <w:szCs w:val="24"/>
          <w:lang w:bidi="ar-EG"/>
        </w:rPr>
        <w:t xml:space="preserve"> (M7et.com</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rPr>
        <w:t>.</w:t>
      </w:r>
      <w:r w:rsidRPr="00C40472">
        <w:rPr>
          <w:rFonts w:ascii="Traditional Arabic" w:hAnsi="Traditional Arabic" w:cs="Traditional Arabic" w:hint="cs"/>
          <w:spacing w:val="-6"/>
          <w:sz w:val="24"/>
          <w:szCs w:val="24"/>
          <w:rtl/>
        </w:rPr>
        <w:t xml:space="preserve"> </w:t>
      </w:r>
    </w:p>
    <w:p w14:paraId="2C36F948" w14:textId="0C122397" w:rsidR="00B0165C" w:rsidRPr="00C40472" w:rsidRDefault="00B0165C">
      <w:pPr>
        <w:pStyle w:val="ListParagraph"/>
        <w:numPr>
          <w:ilvl w:val="0"/>
          <w:numId w:val="20"/>
        </w:num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b/>
          <w:bCs/>
          <w:spacing w:val="-6"/>
          <w:sz w:val="24"/>
          <w:szCs w:val="24"/>
          <w:rtl/>
        </w:rPr>
        <w:t>ضعف التواصل بين الفريق الطبي</w:t>
      </w:r>
      <w:r w:rsidR="00597FC5" w:rsidRPr="00C40472">
        <w:rPr>
          <w:rFonts w:ascii="Traditional Arabic" w:hAnsi="Traditional Arabic" w:cs="Traditional Arabic" w:hint="cs"/>
          <w:b/>
          <w:bCs/>
          <w:spacing w:val="-6"/>
          <w:sz w:val="24"/>
          <w:szCs w:val="24"/>
          <w:rtl/>
        </w:rPr>
        <w:t>:</w:t>
      </w:r>
    </w:p>
    <w:p w14:paraId="54061433" w14:textId="28C3CE68"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سوء نقل المعلومات بين الأقسام أو بين الطبيب والمريض يؤدي إلى تشخيص خاطئ أو علاج غير مناسب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7)</w:t>
      </w:r>
      <w:r w:rsidRPr="00C40472">
        <w:rPr>
          <w:rFonts w:ascii="Traditional Arabic" w:hAnsi="Traditional Arabic" w:cs="Traditional Arabic" w:hint="cs"/>
          <w:spacing w:val="-6"/>
          <w:sz w:val="24"/>
          <w:szCs w:val="24"/>
          <w:lang w:bidi="ar-EG"/>
        </w:rPr>
        <w:t>.</w:t>
      </w:r>
    </w:p>
    <w:p w14:paraId="5EB8F716" w14:textId="7AD23489"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مشاكل في الأجهزة الطبية</w:t>
      </w:r>
      <w:r w:rsidR="00597FC5" w:rsidRPr="00C40472">
        <w:rPr>
          <w:rFonts w:ascii="Traditional Arabic" w:hAnsi="Traditional Arabic" w:cs="Traditional Arabic" w:hint="cs"/>
          <w:b/>
          <w:bCs/>
          <w:spacing w:val="-6"/>
          <w:sz w:val="24"/>
          <w:szCs w:val="24"/>
          <w:rtl/>
        </w:rPr>
        <w:t>:</w:t>
      </w:r>
    </w:p>
    <w:p w14:paraId="78EBE39A" w14:textId="68C8214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تعطل الأجهزة أو استخدامها بطريقة خاطئة قد يؤدي إلى نتائج تشخيصية غير دقيقة أو مضاعفات أثناء العلاج (فكرة، 2024</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441DA324" w14:textId="60B20207"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عدم التمييز بين المرضى</w:t>
      </w:r>
      <w:r w:rsidR="00597FC5" w:rsidRPr="00C40472">
        <w:rPr>
          <w:rFonts w:ascii="Traditional Arabic" w:hAnsi="Traditional Arabic" w:cs="Traditional Arabic" w:hint="cs"/>
          <w:b/>
          <w:bCs/>
          <w:spacing w:val="-6"/>
          <w:sz w:val="24"/>
          <w:szCs w:val="24"/>
          <w:rtl/>
        </w:rPr>
        <w:t>:</w:t>
      </w:r>
    </w:p>
    <w:p w14:paraId="40087F22" w14:textId="54A34F2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تشابه الأسماء أو اختلاط الملفات قد يؤدي إلى إعطاء علاج خاطئ أو إجراء عملية لمريض غير مقصود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8)</w:t>
      </w:r>
      <w:r w:rsidRPr="00C40472">
        <w:rPr>
          <w:rFonts w:ascii="Traditional Arabic" w:hAnsi="Traditional Arabic" w:cs="Traditional Arabic" w:hint="cs"/>
          <w:spacing w:val="-6"/>
          <w:sz w:val="24"/>
          <w:szCs w:val="24"/>
          <w:lang w:bidi="ar-EG"/>
        </w:rPr>
        <w:t>.</w:t>
      </w:r>
    </w:p>
    <w:p w14:paraId="68B181EF" w14:textId="1820CEBC" w:rsidR="00B0165C" w:rsidRPr="00C40472" w:rsidRDefault="00B0165C">
      <w:pPr>
        <w:pStyle w:val="ListParagraph"/>
        <w:numPr>
          <w:ilvl w:val="0"/>
          <w:numId w:val="20"/>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غياب نظام رقابي فعال</w:t>
      </w:r>
      <w:r w:rsidR="00597FC5" w:rsidRPr="00C40472">
        <w:rPr>
          <w:rFonts w:ascii="Traditional Arabic" w:hAnsi="Traditional Arabic" w:cs="Traditional Arabic" w:hint="cs"/>
          <w:b/>
          <w:bCs/>
          <w:spacing w:val="-6"/>
          <w:sz w:val="24"/>
          <w:szCs w:val="24"/>
          <w:rtl/>
        </w:rPr>
        <w:t>:</w:t>
      </w:r>
    </w:p>
    <w:p w14:paraId="7CD2AA20" w14:textId="72D0664F"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عدم وجود قوانين صارمة أو آليات واضحة للإبلاغ عن الأخطاء يجعل من الصعب اكتشافها أو منع تكرارها (زقيبة، 2018</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75A5D934" w14:textId="3FF1E367" w:rsidR="00B0165C" w:rsidRPr="00C40472" w:rsidRDefault="00B0165C">
      <w:pPr>
        <w:pStyle w:val="ListParagraph"/>
        <w:numPr>
          <w:ilvl w:val="0"/>
          <w:numId w:val="20"/>
        </w:numPr>
        <w:bidi/>
        <w:spacing w:after="200" w:line="360" w:lineRule="auto"/>
        <w:ind w:left="-576" w:firstLine="0"/>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التوثيق الطبي</w:t>
      </w:r>
      <w:r w:rsidR="00E33FD7" w:rsidRPr="00C40472">
        <w:rPr>
          <w:rFonts w:ascii="Traditional Arabic" w:hAnsi="Traditional Arabic" w:cs="Traditional Arabic" w:hint="cs"/>
          <w:b/>
          <w:bCs/>
          <w:spacing w:val="-6"/>
          <w:sz w:val="24"/>
          <w:szCs w:val="24"/>
          <w:rtl/>
        </w:rPr>
        <w:t>:</w:t>
      </w:r>
    </w:p>
    <w:p w14:paraId="768A8EEE" w14:textId="3B7051F3" w:rsidR="00B0165C" w:rsidRPr="00C40472" w:rsidRDefault="00B0165C" w:rsidP="00C40472">
      <w:pPr>
        <w:bidi/>
        <w:spacing w:after="200" w:line="360" w:lineRule="auto"/>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عدم وجود ملف طبي شامل للمريض يؤدي إلى قرارات علاجية غير دقيقة، خاصة عند نقله بين المنشآت الصحية (فكرة، 2024</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5)</w:t>
      </w:r>
      <w:r w:rsidRPr="00C40472">
        <w:rPr>
          <w:rFonts w:ascii="Traditional Arabic" w:hAnsi="Traditional Arabic" w:cs="Traditional Arabic" w:hint="cs"/>
          <w:spacing w:val="-6"/>
          <w:sz w:val="24"/>
          <w:szCs w:val="24"/>
          <w:lang w:bidi="ar-EG"/>
        </w:rPr>
        <w:t>.</w:t>
      </w:r>
    </w:p>
    <w:p w14:paraId="59FB45B6" w14:textId="77777777" w:rsidR="00C40472" w:rsidRDefault="00C40472" w:rsidP="00E829ED">
      <w:pPr>
        <w:bidi/>
        <w:spacing w:after="200" w:line="276" w:lineRule="auto"/>
        <w:rPr>
          <w:rFonts w:ascii="Simplified Arabic" w:hAnsi="Simplified Arabic" w:cs="Simplified Arabic"/>
          <w:b/>
          <w:bCs/>
          <w:spacing w:val="-6"/>
          <w:sz w:val="32"/>
          <w:szCs w:val="32"/>
          <w:rtl/>
          <w:lang w:bidi="ar-EG"/>
        </w:rPr>
      </w:pPr>
    </w:p>
    <w:p w14:paraId="12FA5D43"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3F5035E"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25C89C10"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0403554" w14:textId="198F33F2" w:rsidR="00E829ED" w:rsidRPr="004D0D80" w:rsidRDefault="00A44ABC" w:rsidP="004D0D80">
      <w:pPr>
        <w:bidi/>
        <w:spacing w:after="200" w:line="360" w:lineRule="auto"/>
        <w:rPr>
          <w:rFonts w:ascii="Traditional Arabic" w:hAnsi="Traditional Arabic" w:cs="Traditional Arabic"/>
          <w:b/>
          <w:bCs/>
          <w:spacing w:val="-6"/>
          <w:sz w:val="24"/>
          <w:szCs w:val="24"/>
          <w:lang w:bidi="ar-EG"/>
        </w:rPr>
      </w:pPr>
      <w:r w:rsidRPr="004D0D80">
        <w:rPr>
          <w:rFonts w:ascii="Traditional Arabic" w:hAnsi="Traditional Arabic" w:cs="Traditional Arabic" w:hint="cs"/>
          <w:b/>
          <w:bCs/>
          <w:spacing w:val="-6"/>
          <w:sz w:val="24"/>
          <w:szCs w:val="24"/>
          <w:rtl/>
          <w:lang w:bidi="ar-EG"/>
        </w:rPr>
        <w:lastRenderedPageBreak/>
        <w:t xml:space="preserve">رابعاً : </w:t>
      </w:r>
      <w:r w:rsidR="00E829ED" w:rsidRPr="004D0D80">
        <w:rPr>
          <w:rFonts w:ascii="Traditional Arabic" w:hAnsi="Traditional Arabic" w:cs="Traditional Arabic" w:hint="cs"/>
          <w:b/>
          <w:bCs/>
          <w:spacing w:val="-6"/>
          <w:sz w:val="24"/>
          <w:szCs w:val="24"/>
          <w:rtl/>
          <w:lang w:bidi="ar-EG"/>
        </w:rPr>
        <w:t>جودة الرعاية الصحية :</w:t>
      </w:r>
    </w:p>
    <w:p w14:paraId="7CC2685B" w14:textId="4F0C201A"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تُعرّف جودة الرعاية الصحية بأنها قدرة الخدمات الصحية المقدمة على تلبية احتياجات المرضى وتوقعاتهم بطريقة فعالة وآمنة وبتكلفة منطقية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الجودة عدة أبعاد مثل السلامة، الفعالية، الكفاءة، الاستجابة، والعدالة. فالرعاية الصحية الجيدة لا تقتصر على تقديم العلاج، بل تمتد لتشمل تجربة المريض، ورضاه، وسهولة الوصول إلى الخدمة، إضافة إلى استخدام الموارد بشكل رشيد</w:t>
      </w:r>
      <w:r w:rsidRPr="004D0D80">
        <w:rPr>
          <w:rFonts w:ascii="Traditional Arabic" w:hAnsi="Traditional Arabic" w:cs="Traditional Arabic" w:hint="cs"/>
          <w:spacing w:val="-6"/>
          <w:sz w:val="24"/>
          <w:szCs w:val="24"/>
          <w:lang w:bidi="ar-EG"/>
        </w:rPr>
        <w:t xml:space="preserve"> (Alhurani, 2023, p. 2).</w:t>
      </w:r>
    </w:p>
    <w:p w14:paraId="46697D27" w14:textId="482646CC"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السلامة أحد أهم مكونات الجودة، إذ تشير إلى حماية المرضى من الأخطاء الطبية والمضاعفات التي يمكن الوقاية منها</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وتشير الدراسات إلى أن الأخطاء الطبية تكبّد الأنظمة الصحية خسائر مادية تفوق 4 مليارات دولار سنويًا، فضلًا عن الأثر النفسي والجسدي على المرضى</w:t>
      </w:r>
      <w:r w:rsidRPr="004D0D80">
        <w:rPr>
          <w:rFonts w:ascii="Traditional Arabic" w:hAnsi="Traditional Arabic" w:cs="Traditional Arabic" w:hint="cs"/>
          <w:spacing w:val="-6"/>
          <w:sz w:val="24"/>
          <w:szCs w:val="24"/>
          <w:lang w:bidi="ar-EG"/>
        </w:rPr>
        <w:t xml:space="preserve"> (Alhurani, 2023, p. 3)</w:t>
      </w:r>
      <w:r w:rsidR="00D858AF" w:rsidRPr="004D0D80">
        <w:rPr>
          <w:rFonts w:ascii="Traditional Arabic" w:hAnsi="Traditional Arabic" w:cs="Traditional Arabic" w:hint="cs"/>
          <w:spacing w:val="-6"/>
          <w:sz w:val="24"/>
          <w:szCs w:val="24"/>
          <w:rtl/>
          <w:lang w:bidi="ar-EG"/>
        </w:rPr>
        <w:t>.</w:t>
      </w:r>
    </w:p>
    <w:p w14:paraId="4FD87343" w14:textId="72250934"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أما الفعالية، فهي تعني تقديم العلاجات والخدمات التي أثبتت فعاليتها علميًا، وتحقق أفضل النتائج الصحية بأقل تكلفة وجهد</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ويجب أن تستند القرارات السريرية إلى الأدلة الطبية الموثوقة، لضمان تحقيق نتائج علاجية إيجابية</w:t>
      </w:r>
      <w:r w:rsidRPr="004D0D80">
        <w:rPr>
          <w:rFonts w:ascii="Traditional Arabic" w:hAnsi="Traditional Arabic" w:cs="Traditional Arabic" w:hint="cs"/>
          <w:spacing w:val="-6"/>
          <w:sz w:val="24"/>
          <w:szCs w:val="24"/>
          <w:lang w:bidi="ar-EG"/>
        </w:rPr>
        <w:t xml:space="preserve"> (Alhurani, 2023, p. 4)</w:t>
      </w:r>
    </w:p>
    <w:p w14:paraId="2037C53F" w14:textId="4EC67B0C" w:rsidR="00B0165C"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تجربة المريض أيضًا من المؤشرات المهمة للجودة، حيث تؤثر بشكل مباشر على التزامه بالعلاج ورضاه عن الخدمة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هذه التجربة التواصل مع مقدمي الرعاية، الراحة النفسية، واحترام الخصوصية</w:t>
      </w:r>
      <w:r w:rsidRPr="004D0D80">
        <w:rPr>
          <w:rFonts w:ascii="Traditional Arabic" w:hAnsi="Traditional Arabic" w:cs="Traditional Arabic" w:hint="cs"/>
          <w:spacing w:val="-6"/>
          <w:sz w:val="24"/>
          <w:szCs w:val="24"/>
          <w:lang w:bidi="ar-EG"/>
        </w:rPr>
        <w:t xml:space="preserve"> (Alhurani, 2023, p. 5).</w:t>
      </w:r>
      <w:r w:rsidRPr="004D0D80">
        <w:rPr>
          <w:rFonts w:ascii="Traditional Arabic" w:hAnsi="Traditional Arabic" w:cs="Traditional Arabic" w:hint="cs"/>
          <w:spacing w:val="-6"/>
          <w:sz w:val="24"/>
          <w:szCs w:val="24"/>
          <w:rtl/>
          <w:lang w:bidi="ar-EG"/>
        </w:rPr>
        <w:t>.</w:t>
      </w:r>
    </w:p>
    <w:p w14:paraId="3C5A7622" w14:textId="68458453" w:rsidR="00C61A66" w:rsidRPr="009F7BA0" w:rsidRDefault="00A44ABC" w:rsidP="009F7BA0">
      <w:pPr>
        <w:bidi/>
        <w:spacing w:after="200" w:line="360" w:lineRule="auto"/>
        <w:jc w:val="both"/>
        <w:rPr>
          <w:rFonts w:ascii="Traditional Arabic" w:hAnsi="Traditional Arabic" w:cs="Traditional Arabic"/>
          <w:b/>
          <w:bCs/>
          <w:spacing w:val="-6"/>
          <w:sz w:val="24"/>
          <w:szCs w:val="24"/>
          <w:lang w:bidi="ar-EG"/>
        </w:rPr>
      </w:pPr>
      <w:r w:rsidRPr="009F7BA0">
        <w:rPr>
          <w:rFonts w:ascii="Traditional Arabic" w:hAnsi="Traditional Arabic" w:cs="Traditional Arabic" w:hint="cs"/>
          <w:b/>
          <w:bCs/>
          <w:spacing w:val="-6"/>
          <w:sz w:val="24"/>
          <w:szCs w:val="24"/>
          <w:rtl/>
          <w:lang w:bidi="ar-EG"/>
        </w:rPr>
        <w:t xml:space="preserve">خامساً: </w:t>
      </w:r>
      <w:r w:rsidR="00C61A66" w:rsidRPr="009F7BA0">
        <w:rPr>
          <w:rFonts w:ascii="Traditional Arabic" w:hAnsi="Traditional Arabic" w:cs="Traditional Arabic" w:hint="cs"/>
          <w:b/>
          <w:bCs/>
          <w:spacing w:val="-6"/>
          <w:sz w:val="24"/>
          <w:szCs w:val="24"/>
          <w:rtl/>
          <w:lang w:bidi="ar-EG"/>
        </w:rPr>
        <w:t>معايير سلامة المرضى:</w:t>
      </w:r>
    </w:p>
    <w:p w14:paraId="7B46F2AF" w14:textId="44822DC2" w:rsidR="00D858AF" w:rsidRPr="009F7BA0" w:rsidRDefault="00C61A66">
      <w:pPr>
        <w:numPr>
          <w:ilvl w:val="0"/>
          <w:numId w:val="21"/>
        </w:numPr>
        <w:tabs>
          <w:tab w:val="clear" w:pos="720"/>
          <w:tab w:val="num" w:pos="900"/>
        </w:tabs>
        <w:bidi/>
        <w:spacing w:after="200" w:line="360" w:lineRule="auto"/>
        <w:ind w:left="90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تحديد هوية المريض بدقة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يجب استخدام وسيلتين على الأقل لتحديد هوية المريض قبل أي إجراء طبي، مثل الاسم الرباعي وتاريخ الميلاد، لتفادي الأخطاء الناتجة عن الخلط بين المرضى</w:t>
      </w:r>
      <w:r w:rsidR="00D858AF" w:rsidRPr="009F7BA0">
        <w:rPr>
          <w:rFonts w:ascii="Traditional Arabic" w:hAnsi="Traditional Arabic" w:cs="Traditional Arabic" w:hint="cs"/>
          <w:spacing w:val="-6"/>
          <w:sz w:val="24"/>
          <w:szCs w:val="24"/>
        </w:rPr>
        <w:t xml:space="preserve">   </w:t>
      </w:r>
      <w:r w:rsidR="00D858AF" w:rsidRPr="009F7BA0">
        <w:rPr>
          <w:rFonts w:ascii="Traditional Arabic" w:hAnsi="Traditional Arabic" w:cs="Traditional Arabic" w:hint="cs"/>
          <w:spacing w:val="-6"/>
          <w:sz w:val="24"/>
          <w:szCs w:val="24"/>
          <w:rtl/>
          <w:lang w:bidi="ar-EG"/>
        </w:rPr>
        <w:t xml:space="preserve"> </w:t>
      </w:r>
      <w:r w:rsidR="00D858AF" w:rsidRPr="009F7BA0">
        <w:rPr>
          <w:rFonts w:ascii="Traditional Arabic" w:hAnsi="Traditional Arabic" w:cs="Traditional Arabic" w:hint="cs"/>
          <w:spacing w:val="-6"/>
          <w:sz w:val="24"/>
          <w:szCs w:val="24"/>
          <w:lang w:bidi="ar-EG"/>
        </w:rPr>
        <w:t>Governance Health Unit, 2023, p. 4</w:t>
      </w:r>
    </w:p>
    <w:p w14:paraId="50A6D99A" w14:textId="7487FAEE"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الاستخدام الآمن للأدوية</w:t>
      </w:r>
      <w:r w:rsidR="00E33FD7" w:rsidRPr="009F7BA0">
        <w:rPr>
          <w:rFonts w:ascii="Traditional Arabic" w:hAnsi="Traditional Arabic" w:cs="Traditional Arabic" w:hint="cs"/>
          <w:b/>
          <w:bCs/>
          <w:spacing w:val="-6"/>
          <w:sz w:val="24"/>
          <w:szCs w:val="24"/>
          <w:rtl/>
        </w:rPr>
        <w:t xml:space="preserve"> :</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مراجعة وصفات الأدوية، التحقق من الجرعات، وتوثيق الحساسية الدوائية، حيث أن 50% من الأذى القابل للوقاية في المستشفيات مرتبط بالأدوية</w:t>
      </w:r>
      <w:r w:rsidRPr="009F7BA0">
        <w:rPr>
          <w:rFonts w:ascii="Traditional Arabic" w:hAnsi="Traditional Arabic" w:cs="Traditional Arabic" w:hint="cs"/>
          <w:spacing w:val="-6"/>
          <w:sz w:val="24"/>
          <w:szCs w:val="24"/>
          <w:lang w:bidi="ar-EG"/>
        </w:rPr>
        <w:t xml:space="preserve"> (WHO, 2023, p. 3).</w:t>
      </w:r>
    </w:p>
    <w:p w14:paraId="2BF6C688" w14:textId="1FB26AE8"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منع العدوى المرتبطة بالرعاية الصحية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تتطلب تطبيق بروتوكولات صارمة للتعقيم، غسل اليدين، واستخدام معدات الحماية الشخصية، إذ أن العدوى المكتسبة داخل المستشفيات تؤدي إلى مضاعفات خطيرة وتمثل عبئًا ماليًا كبيرًا</w:t>
      </w:r>
      <w:r w:rsidRPr="009F7BA0">
        <w:rPr>
          <w:rFonts w:ascii="Traditional Arabic" w:hAnsi="Traditional Arabic" w:cs="Traditional Arabic" w:hint="cs"/>
          <w:spacing w:val="-6"/>
          <w:sz w:val="24"/>
          <w:szCs w:val="24"/>
          <w:lang w:bidi="ar-EG"/>
        </w:rPr>
        <w:t xml:space="preserve"> (WHO, 2023, p. 4</w:t>
      </w:r>
      <w:r w:rsidR="00D858AF" w:rsidRPr="009F7BA0">
        <w:rPr>
          <w:rFonts w:ascii="Traditional Arabic" w:hAnsi="Traditional Arabic" w:cs="Traditional Arabic" w:hint="cs"/>
          <w:spacing w:val="-6"/>
          <w:sz w:val="24"/>
          <w:szCs w:val="24"/>
          <w:lang w:bidi="ar-EG"/>
        </w:rPr>
        <w:t>)</w:t>
      </w:r>
      <w:r w:rsidR="00D858AF" w:rsidRPr="009F7BA0">
        <w:rPr>
          <w:rFonts w:ascii="Traditional Arabic" w:hAnsi="Traditional Arabic" w:cs="Traditional Arabic" w:hint="cs"/>
          <w:spacing w:val="-6"/>
          <w:sz w:val="24"/>
          <w:szCs w:val="24"/>
          <w:rtl/>
          <w:lang w:bidi="ar-EG"/>
        </w:rPr>
        <w:t xml:space="preserve"> .</w:t>
      </w:r>
    </w:p>
    <w:p w14:paraId="352B243A" w14:textId="1ABC163B"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lastRenderedPageBreak/>
        <w:t>الإجراءات الجراحية الآمنة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التحقق من نوع العملية، موقعها، والمريض المعني، قبل البدء بالجراحة، وذلك باستخدام قوائم التحقق الجراحية المعتمدة من منظمة الصحة العالمية</w:t>
      </w:r>
      <w:r w:rsidRPr="009F7BA0">
        <w:rPr>
          <w:rFonts w:ascii="Traditional Arabic" w:hAnsi="Traditional Arabic" w:cs="Traditional Arabic" w:hint="cs"/>
          <w:spacing w:val="-6"/>
          <w:sz w:val="24"/>
          <w:szCs w:val="24"/>
          <w:lang w:bidi="ar-EG"/>
        </w:rPr>
        <w:t xml:space="preserve"> (WHO, 2023, p. 5).</w:t>
      </w:r>
      <w:r w:rsidR="00D858AF" w:rsidRPr="009F7BA0">
        <w:rPr>
          <w:rFonts w:ascii="Traditional Arabic" w:hAnsi="Traditional Arabic" w:cs="Traditional Arabic" w:hint="cs"/>
          <w:spacing w:val="-6"/>
          <w:sz w:val="24"/>
          <w:szCs w:val="24"/>
          <w:rtl/>
          <w:lang w:bidi="ar-EG"/>
        </w:rPr>
        <w:t>.</w:t>
      </w:r>
    </w:p>
    <w:p w14:paraId="53199039" w14:textId="3CADA801"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الإبلاغ عن الأحداث الضارة وتحليلها</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تشجع المعايير على إنشاء نظام داخلي للإبلاغ عن الأخطاء الطبية وتحليل الأسباب الجذرية لها، بهدف التعلم منها ومنع تكرارها</w:t>
      </w:r>
      <w:r w:rsidRPr="009F7BA0">
        <w:rPr>
          <w:rFonts w:ascii="Traditional Arabic" w:hAnsi="Traditional Arabic" w:cs="Traditional Arabic" w:hint="cs"/>
          <w:spacing w:val="-6"/>
          <w:sz w:val="24"/>
          <w:szCs w:val="24"/>
          <w:lang w:bidi="ar-EG"/>
        </w:rPr>
        <w:t xml:space="preserve"> (Institute for Healthcare Improvement, 2017, p. 4).</w:t>
      </w:r>
    </w:p>
    <w:p w14:paraId="16BEBBAB" w14:textId="6D130EA5"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تعزيز ثقافة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تدعو إلى بناء ثقافة مؤسسية تشجع على الإبلاغ دون لوم، وتدعم التعلم المستمر وتحسين الأداء</w:t>
      </w:r>
      <w:r w:rsidRPr="009F7BA0">
        <w:rPr>
          <w:rFonts w:ascii="Traditional Arabic" w:hAnsi="Traditional Arabic" w:cs="Traditional Arabic" w:hint="cs"/>
          <w:spacing w:val="-6"/>
          <w:sz w:val="24"/>
          <w:szCs w:val="24"/>
          <w:lang w:bidi="ar-EG"/>
        </w:rPr>
        <w:t xml:space="preserve"> (Singer &amp; Vogus, 2013, p. 375).</w:t>
      </w:r>
      <w:r w:rsidR="00A409E8" w:rsidRPr="009F7BA0">
        <w:rPr>
          <w:rFonts w:ascii="Traditional Arabic" w:hAnsi="Traditional Arabic" w:cs="Traditional Arabic" w:hint="cs"/>
          <w:spacing w:val="-6"/>
          <w:sz w:val="24"/>
          <w:szCs w:val="24"/>
          <w:rtl/>
          <w:lang w:bidi="ar-EG"/>
        </w:rPr>
        <w:t>.</w:t>
      </w:r>
    </w:p>
    <w:p w14:paraId="2E32443F" w14:textId="3547F44D"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إشراك المرضى وعائلاتهم</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يُعد تمكين المرضى من اتخاذ قراراتهم العلاجية، وتوعيتهم بحقوقهم، جزءًا أساسيًا من معايير السلامة، حيث أن إشراكهم يقلل من الأذى بنسبة</w:t>
      </w:r>
      <w:r w:rsidR="00A409E8" w:rsidRPr="009F7BA0">
        <w:rPr>
          <w:rFonts w:ascii="Traditional Arabic" w:hAnsi="Traditional Arabic" w:cs="Traditional Arabic" w:hint="cs"/>
          <w:spacing w:val="-6"/>
          <w:sz w:val="24"/>
          <w:szCs w:val="24"/>
          <w:rtl/>
        </w:rPr>
        <w:t>15%</w:t>
      </w:r>
      <w:r w:rsidRPr="009F7BA0">
        <w:rPr>
          <w:rFonts w:ascii="Traditional Arabic" w:hAnsi="Traditional Arabic" w:cs="Traditional Arabic" w:hint="cs"/>
          <w:spacing w:val="-6"/>
          <w:sz w:val="24"/>
          <w:szCs w:val="24"/>
          <w:rtl/>
        </w:rPr>
        <w:t xml:space="preserve"> </w:t>
      </w:r>
      <w:r w:rsidRPr="009F7BA0">
        <w:rPr>
          <w:rFonts w:ascii="Traditional Arabic" w:hAnsi="Traditional Arabic" w:cs="Traditional Arabic" w:hint="cs"/>
          <w:spacing w:val="-6"/>
          <w:sz w:val="24"/>
          <w:szCs w:val="24"/>
          <w:lang w:bidi="ar-EG"/>
        </w:rPr>
        <w:t>(WHO, 2023, p. 6).</w:t>
      </w:r>
      <w:r w:rsidR="00E33FD7" w:rsidRPr="009F7BA0">
        <w:rPr>
          <w:rFonts w:ascii="Traditional Arabic" w:hAnsi="Traditional Arabic" w:cs="Traditional Arabic" w:hint="cs"/>
          <w:spacing w:val="-6"/>
          <w:sz w:val="24"/>
          <w:szCs w:val="24"/>
          <w:rtl/>
          <w:lang w:bidi="ar-EG"/>
        </w:rPr>
        <w:t>.</w:t>
      </w:r>
    </w:p>
    <w:p w14:paraId="5970F668" w14:textId="658A055C"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التدريب المستمر للعاملين</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المعايير توفير برامج تدريبية دورية حول سلامة المرضى، مثل مكافحة العدوى، وإدارة الأخطاء، والتواصل الفعال</w:t>
      </w:r>
      <w:r w:rsidRPr="009F7BA0">
        <w:rPr>
          <w:rFonts w:ascii="Traditional Arabic" w:hAnsi="Traditional Arabic" w:cs="Traditional Arabic" w:hint="cs"/>
          <w:spacing w:val="-6"/>
          <w:sz w:val="24"/>
          <w:szCs w:val="24"/>
          <w:lang w:bidi="ar-EG"/>
        </w:rPr>
        <w:t xml:space="preserve"> (Health Governance Unit, 2023, p. 7</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DA9E599" w14:textId="7AFC990C" w:rsidR="00C61A66" w:rsidRPr="009F7BA0" w:rsidRDefault="00C61A66">
      <w:pPr>
        <w:numPr>
          <w:ilvl w:val="0"/>
          <w:numId w:val="21"/>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استخدام التكنولوجيا الداعمة للسلامة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مثل أنظمة التحقق الإلكتروني من الأدوية، والسجلات الطبية الرقمية، التي تقلل من الأخطاء الناتجة عن الكتابة اليدوية أو فقدان المعلومات</w:t>
      </w:r>
      <w:r w:rsidRPr="009F7BA0">
        <w:rPr>
          <w:rFonts w:ascii="Traditional Arabic" w:hAnsi="Traditional Arabic" w:cs="Traditional Arabic" w:hint="cs"/>
          <w:spacing w:val="-6"/>
          <w:sz w:val="24"/>
          <w:szCs w:val="24"/>
          <w:lang w:bidi="ar-EG"/>
        </w:rPr>
        <w:t xml:space="preserve"> (WHO, 2023, p. 8).</w:t>
      </w:r>
      <w:r w:rsidR="00A409E8" w:rsidRPr="009F7BA0">
        <w:rPr>
          <w:rFonts w:ascii="Traditional Arabic" w:hAnsi="Traditional Arabic" w:cs="Traditional Arabic" w:hint="cs"/>
          <w:spacing w:val="-6"/>
          <w:sz w:val="24"/>
          <w:szCs w:val="24"/>
          <w:rtl/>
          <w:lang w:bidi="ar-EG"/>
        </w:rPr>
        <w:t>.</w:t>
      </w:r>
    </w:p>
    <w:p w14:paraId="59D9F50C" w14:textId="47886083" w:rsidR="00C61A66" w:rsidRPr="009F7BA0" w:rsidRDefault="00C61A66">
      <w:pPr>
        <w:numPr>
          <w:ilvl w:val="0"/>
          <w:numId w:val="21"/>
        </w:numPr>
        <w:bidi/>
        <w:spacing w:after="200" w:line="360" w:lineRule="auto"/>
        <w:ind w:left="0" w:firstLine="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مراقبة مؤشرات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جمع وتحليل بيانات مثل معدلات العدوى، الأخطاء الدوائية، وسقوط المرضى، بهدف تحسين الأداء واتخاذ قرارات مبنية على الأدلة</w:t>
      </w:r>
      <w:r w:rsidRPr="009F7BA0">
        <w:rPr>
          <w:rFonts w:ascii="Traditional Arabic" w:hAnsi="Traditional Arabic" w:cs="Traditional Arabic" w:hint="cs"/>
          <w:spacing w:val="-6"/>
          <w:sz w:val="24"/>
          <w:szCs w:val="24"/>
          <w:lang w:bidi="ar-EG"/>
        </w:rPr>
        <w:t xml:space="preserve"> (WHO, 2023, p. 9</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8E821FB" w14:textId="77777777" w:rsidR="009A7857" w:rsidRDefault="009A7857" w:rsidP="00226DEA">
      <w:pPr>
        <w:bidi/>
        <w:spacing w:after="200" w:line="276" w:lineRule="auto"/>
        <w:rPr>
          <w:rFonts w:ascii="Simplified Arabic" w:hAnsi="Simplified Arabic" w:cs="Simplified Arabic"/>
          <w:b/>
          <w:bCs/>
          <w:spacing w:val="-6"/>
          <w:sz w:val="32"/>
          <w:szCs w:val="32"/>
          <w:rtl/>
        </w:rPr>
      </w:pPr>
    </w:p>
    <w:p w14:paraId="7639DF55" w14:textId="6EE4C1B5" w:rsidR="00226DEA" w:rsidRPr="00657A3D" w:rsidRDefault="00A44ABC" w:rsidP="00657A3D">
      <w:pPr>
        <w:bidi/>
        <w:spacing w:after="200" w:line="360" w:lineRule="auto"/>
        <w:rPr>
          <w:rFonts w:ascii="Traditional Arabic" w:hAnsi="Traditional Arabic" w:cs="Traditional Arabic"/>
          <w:b/>
          <w:bCs/>
          <w:spacing w:val="-6"/>
          <w:sz w:val="24"/>
          <w:szCs w:val="24"/>
          <w:lang w:bidi="ar-EG"/>
        </w:rPr>
      </w:pPr>
      <w:r w:rsidRPr="00657A3D">
        <w:rPr>
          <w:rFonts w:ascii="Traditional Arabic" w:hAnsi="Traditional Arabic" w:cs="Traditional Arabic" w:hint="cs"/>
          <w:b/>
          <w:bCs/>
          <w:spacing w:val="-6"/>
          <w:sz w:val="24"/>
          <w:szCs w:val="24"/>
          <w:rtl/>
        </w:rPr>
        <w:lastRenderedPageBreak/>
        <w:t xml:space="preserve">سادساً: </w:t>
      </w:r>
      <w:r w:rsidR="00226DEA" w:rsidRPr="00657A3D">
        <w:rPr>
          <w:rFonts w:ascii="Traditional Arabic" w:hAnsi="Traditional Arabic" w:cs="Traditional Arabic" w:hint="cs"/>
          <w:b/>
          <w:bCs/>
          <w:spacing w:val="-6"/>
          <w:sz w:val="24"/>
          <w:szCs w:val="24"/>
          <w:rtl/>
        </w:rPr>
        <w:t>المبادئ الخمسة لسلامة المرضى:</w:t>
      </w:r>
    </w:p>
    <w:p w14:paraId="34A74AA6" w14:textId="55EB64DE" w:rsidR="00226DEA" w:rsidRPr="00657A3D" w:rsidRDefault="00226DEA">
      <w:pPr>
        <w:numPr>
          <w:ilvl w:val="0"/>
          <w:numId w:val="22"/>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تحسين دقة التعرف على المرضى</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التحقق من هوية المريض بدقة قبل أي إجراء طبي أو إعطاء دواء أمرًا جوهريًا لتفادي الأخطاء الناتجة عن الخلط بين المرضى، ويُوصى باستخدام معرفين على الأقل مثل الاسم وتاريخ الميلاد</w:t>
      </w:r>
      <w:r w:rsidRPr="00657A3D">
        <w:rPr>
          <w:rFonts w:ascii="Traditional Arabic" w:hAnsi="Traditional Arabic" w:cs="Traditional Arabic" w:hint="cs"/>
          <w:spacing w:val="-6"/>
          <w:sz w:val="24"/>
          <w:szCs w:val="24"/>
          <w:lang w:bidi="ar-EG"/>
        </w:rPr>
        <w:t xml:space="preserve"> (World Health Organization, 2023, p. 2</w:t>
      </w:r>
      <w:r w:rsidR="00A409E8" w:rsidRPr="00657A3D">
        <w:rPr>
          <w:rFonts w:ascii="Traditional Arabic" w:hAnsi="Traditional Arabic" w:cs="Traditional Arabic" w:hint="cs"/>
          <w:spacing w:val="-6"/>
          <w:sz w:val="24"/>
          <w:szCs w:val="24"/>
          <w:lang w:bidi="ar-EG"/>
        </w:rPr>
        <w:t>)</w:t>
      </w:r>
      <w:r w:rsidR="00A409E8" w:rsidRPr="00657A3D">
        <w:rPr>
          <w:rFonts w:ascii="Traditional Arabic" w:hAnsi="Traditional Arabic" w:cs="Traditional Arabic" w:hint="cs"/>
          <w:spacing w:val="-6"/>
          <w:sz w:val="24"/>
          <w:szCs w:val="24"/>
          <w:rtl/>
          <w:lang w:bidi="ar-EG"/>
        </w:rPr>
        <w:t>.</w:t>
      </w:r>
    </w:p>
    <w:p w14:paraId="10E79148" w14:textId="42898C56" w:rsidR="00226DEA" w:rsidRPr="00657A3D" w:rsidRDefault="00226DEA">
      <w:pPr>
        <w:numPr>
          <w:ilvl w:val="0"/>
          <w:numId w:val="22"/>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تعزيز فعالية التواصل بين مقدمي 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التواصل الواضح والدقيق بين أفراد الفريق الطبي ضروريًا لتقليل الأخطاء الناتجة عن سوء الفهم أو نقل المعلومات بشكل غير صحيح، خاصة في الحالات الحرجة</w:t>
      </w:r>
      <w:r w:rsidRPr="00657A3D">
        <w:rPr>
          <w:rFonts w:ascii="Traditional Arabic" w:hAnsi="Traditional Arabic" w:cs="Traditional Arabic" w:hint="cs"/>
          <w:spacing w:val="-6"/>
          <w:sz w:val="24"/>
          <w:szCs w:val="24"/>
          <w:lang w:bidi="ar-EG"/>
        </w:rPr>
        <w:t xml:space="preserve"> </w:t>
      </w:r>
      <w:r w:rsidR="00A409E8" w:rsidRPr="00657A3D">
        <w:rPr>
          <w:rFonts w:ascii="Traditional Arabic" w:hAnsi="Traditional Arabic" w:cs="Traditional Arabic" w:hint="cs"/>
          <w:spacing w:val="-6"/>
          <w:sz w:val="24"/>
          <w:szCs w:val="24"/>
          <w:rtl/>
          <w:lang w:bidi="ar-EG"/>
        </w:rPr>
        <w:t>.</w:t>
      </w:r>
    </w:p>
    <w:p w14:paraId="5F8478EC" w14:textId="613444D3" w:rsidR="00A409E8" w:rsidRPr="00657A3D" w:rsidRDefault="00A409E8" w:rsidP="00657A3D">
      <w:pPr>
        <w:bidi/>
        <w:spacing w:after="200" w:line="360" w:lineRule="auto"/>
        <w:ind w:left="720"/>
        <w:rPr>
          <w:rFonts w:ascii="Traditional Arabic" w:hAnsi="Traditional Arabic" w:cs="Traditional Arabic"/>
          <w:spacing w:val="-6"/>
          <w:sz w:val="24"/>
          <w:szCs w:val="24"/>
          <w:lang w:bidi="ar-EG"/>
        </w:rPr>
      </w:pPr>
      <w:r w:rsidRPr="00657A3D">
        <w:rPr>
          <w:rFonts w:ascii="Traditional Arabic" w:hAnsi="Traditional Arabic" w:cs="Traditional Arabic" w:hint="cs"/>
          <w:spacing w:val="-6"/>
          <w:sz w:val="24"/>
          <w:szCs w:val="24"/>
          <w:lang w:bidi="ar-EG"/>
        </w:rPr>
        <w:t>Joint Commission International, 2022, p. 3)</w:t>
      </w:r>
      <w:r w:rsidRPr="00657A3D">
        <w:rPr>
          <w:rFonts w:ascii="Traditional Arabic" w:hAnsi="Traditional Arabic" w:cs="Traditional Arabic" w:hint="cs"/>
          <w:spacing w:val="-6"/>
          <w:sz w:val="24"/>
          <w:szCs w:val="24"/>
          <w:rtl/>
          <w:lang w:bidi="ar-EG"/>
        </w:rPr>
        <w:t>).</w:t>
      </w:r>
    </w:p>
    <w:p w14:paraId="1EBD3BDE" w14:textId="31D9AA77" w:rsidR="00226DEA" w:rsidRPr="00657A3D" w:rsidRDefault="00226DEA">
      <w:pPr>
        <w:numPr>
          <w:ilvl w:val="0"/>
          <w:numId w:val="22"/>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الاستخدام الآمن للأدوية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تشمل هذه المبادئ مراجعة وصفات الأدوية، التحقق من الجرعات، وتوثيق الحساسية الدوائية، حيث أن الأدوية تُعد من أكثر مصادر الأذى القابل للوقاية في المستشفيات</w:t>
      </w:r>
      <w:r w:rsidRPr="00657A3D">
        <w:rPr>
          <w:rFonts w:ascii="Traditional Arabic" w:hAnsi="Traditional Arabic" w:cs="Traditional Arabic" w:hint="cs"/>
          <w:spacing w:val="-6"/>
          <w:sz w:val="24"/>
          <w:szCs w:val="24"/>
          <w:lang w:bidi="ar-EG"/>
        </w:rPr>
        <w:t xml:space="preserve"> (World Health Organization, 2023, p. 3).</w:t>
      </w:r>
    </w:p>
    <w:p w14:paraId="5CAE7CC7" w14:textId="066D6E4D" w:rsidR="00226DEA" w:rsidRPr="00657A3D" w:rsidRDefault="00226DEA">
      <w:pPr>
        <w:numPr>
          <w:ilvl w:val="0"/>
          <w:numId w:val="22"/>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ضمان الإجراء الصحيح للمريض الصحيح في الموقع الصحيح</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تتطلب العمليات الجراحية اتباع بروتوكولات تحقق دقيقة تشمل مراجعة اسم المريض، نوع العملية، والموقع الجراحي، وذلك لتفادي الأخطاء الجراحية الجسيمة</w:t>
      </w:r>
      <w:r w:rsidRPr="00657A3D">
        <w:rPr>
          <w:rFonts w:ascii="Traditional Arabic" w:hAnsi="Traditional Arabic" w:cs="Traditional Arabic" w:hint="cs"/>
          <w:spacing w:val="-6"/>
          <w:sz w:val="24"/>
          <w:szCs w:val="24"/>
          <w:lang w:bidi="ar-EG"/>
        </w:rPr>
        <w:t xml:space="preserve"> (Joint Commission International, 2022, p. 4).</w:t>
      </w:r>
    </w:p>
    <w:p w14:paraId="2CF5C2EC" w14:textId="2F2D35FF" w:rsidR="00226DEA" w:rsidRPr="00657A3D" w:rsidRDefault="00226DEA">
      <w:pPr>
        <w:numPr>
          <w:ilvl w:val="0"/>
          <w:numId w:val="22"/>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الحد من خطر العدوى المرتبطة بالرعاية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تُعد العدوى المكتسبة داخل المنشآت الصحية من أبرز أسباب المضاعفات، ويمكن الوقاية منها عبر الالتزام بإجراءات مكافحة العدوى مثل غسل اليدين واستخدام أدوات الوقاية الشخصية</w:t>
      </w:r>
      <w:r w:rsidRPr="00657A3D">
        <w:rPr>
          <w:rFonts w:ascii="Traditional Arabic" w:hAnsi="Traditional Arabic" w:cs="Traditional Arabic" w:hint="cs"/>
          <w:spacing w:val="-6"/>
          <w:sz w:val="24"/>
          <w:szCs w:val="24"/>
          <w:lang w:bidi="ar-EG"/>
        </w:rPr>
        <w:t xml:space="preserve"> (World Health Organization, 2023, p. 4).</w:t>
      </w:r>
    </w:p>
    <w:p w14:paraId="41EA8D89" w14:textId="77777777" w:rsidR="001A6D49" w:rsidRPr="00657A3D" w:rsidRDefault="001A6D49" w:rsidP="00657A3D">
      <w:pPr>
        <w:bidi/>
        <w:spacing w:after="200" w:line="360" w:lineRule="auto"/>
        <w:contextualSpacing/>
        <w:jc w:val="both"/>
        <w:rPr>
          <w:rFonts w:ascii="Traditional Arabic" w:eastAsia="Calibri" w:hAnsi="Traditional Arabic" w:cs="Traditional Arabic"/>
          <w:b/>
          <w:bCs/>
          <w:color w:val="000000" w:themeColor="text1"/>
          <w:sz w:val="24"/>
          <w:szCs w:val="24"/>
          <w:rtl/>
          <w:lang w:bidi="ar-EG"/>
        </w:rPr>
      </w:pPr>
      <w:r w:rsidRPr="00657A3D">
        <w:rPr>
          <w:rFonts w:ascii="Traditional Arabic" w:eastAsia="Calibri" w:hAnsi="Traditional Arabic" w:cs="Traditional Arabic" w:hint="cs"/>
          <w:b/>
          <w:bCs/>
          <w:color w:val="000000" w:themeColor="text1"/>
          <w:sz w:val="24"/>
          <w:szCs w:val="24"/>
          <w:rtl/>
          <w:lang w:bidi="ar-EG"/>
        </w:rPr>
        <w:t>أبعاد سلامة المرضى:</w:t>
      </w:r>
    </w:p>
    <w:p w14:paraId="5E448926" w14:textId="29DADEDF" w:rsidR="001A6D49" w:rsidRPr="00657A3D" w:rsidRDefault="001A6D49">
      <w:pPr>
        <w:numPr>
          <w:ilvl w:val="0"/>
          <w:numId w:val="33"/>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تقليل الأخطاء الطبية</w:t>
      </w:r>
      <w:r w:rsidRPr="00657A3D">
        <w:rPr>
          <w:rFonts w:ascii="Traditional Arabic" w:hAnsi="Traditional Arabic" w:cs="Traditional Arabic" w:hint="cs"/>
          <w:b/>
          <w:bCs/>
          <w:sz w:val="24"/>
          <w:szCs w:val="24"/>
          <w:lang w:bidi="ar-EG"/>
        </w:rPr>
        <w:t xml:space="preserve"> (Reducing Medical Errors)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يُعد هذا البعد من أهم مؤشرات سلامة المرضى، ويشمل تقليل الأخطاء في التشخيص، وصف الأدوية، أو تنفيذ الإجراءات العلاجية، من خلال تطبيق بروتوكولات صارمة ومعايير مهنية واضحة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57)</w:t>
      </w:r>
      <w:r w:rsidRPr="00657A3D">
        <w:rPr>
          <w:rFonts w:ascii="Traditional Arabic" w:hAnsi="Traditional Arabic" w:cs="Traditional Arabic" w:hint="cs"/>
          <w:sz w:val="24"/>
          <w:szCs w:val="24"/>
          <w:rtl/>
          <w:lang w:bidi="ar-EG"/>
        </w:rPr>
        <w:t>.</w:t>
      </w:r>
    </w:p>
    <w:p w14:paraId="0824BCD6" w14:textId="6672E6AA" w:rsidR="001A6D49" w:rsidRPr="00657A3D" w:rsidRDefault="001A6D49">
      <w:pPr>
        <w:numPr>
          <w:ilvl w:val="0"/>
          <w:numId w:val="33"/>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lastRenderedPageBreak/>
        <w:t>فعالية أنظمة الإبلاغ عن الحوادث</w:t>
      </w:r>
      <w:r w:rsidRPr="00657A3D">
        <w:rPr>
          <w:rFonts w:ascii="Traditional Arabic" w:hAnsi="Traditional Arabic" w:cs="Traditional Arabic" w:hint="cs"/>
          <w:b/>
          <w:bCs/>
          <w:sz w:val="24"/>
          <w:szCs w:val="24"/>
          <w:lang w:bidi="ar-EG"/>
        </w:rPr>
        <w:t xml:space="preserve"> (Incident Reporting Systems)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w:t>
      </w:r>
      <w:r w:rsidRPr="00657A3D">
        <w:rPr>
          <w:rFonts w:ascii="Traditional Arabic" w:hAnsi="Traditional Arabic" w:cs="Traditional Arabic" w:hint="cs"/>
          <w:sz w:val="24"/>
          <w:szCs w:val="24"/>
          <w:lang w:bidi="ar-EG"/>
        </w:rPr>
        <w:t>.</w:t>
      </w:r>
    </w:p>
    <w:p w14:paraId="69A74714" w14:textId="24AA0206" w:rsidR="001A6D49" w:rsidRPr="00657A3D" w:rsidRDefault="001A6D49">
      <w:pPr>
        <w:numPr>
          <w:ilvl w:val="0"/>
          <w:numId w:val="33"/>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إشراك المرضى في الرعاية</w:t>
      </w:r>
      <w:r w:rsidRPr="00657A3D">
        <w:rPr>
          <w:rFonts w:ascii="Traditional Arabic" w:hAnsi="Traditional Arabic" w:cs="Traditional Arabic" w:hint="cs"/>
          <w:b/>
          <w:bCs/>
          <w:sz w:val="24"/>
          <w:szCs w:val="24"/>
          <w:lang w:bidi="ar-EG"/>
        </w:rPr>
        <w:t xml:space="preserve"> (Patient Engagement)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103)</w:t>
      </w:r>
      <w:r w:rsidRPr="00657A3D">
        <w:rPr>
          <w:rFonts w:ascii="Traditional Arabic" w:hAnsi="Traditional Arabic" w:cs="Traditional Arabic" w:hint="cs"/>
          <w:sz w:val="24"/>
          <w:szCs w:val="24"/>
          <w:lang w:bidi="ar-EG"/>
        </w:rPr>
        <w:t>.</w:t>
      </w:r>
    </w:p>
    <w:p w14:paraId="3B4DFD7E" w14:textId="77777777" w:rsidR="001A6D49" w:rsidRPr="00657A3D" w:rsidRDefault="001A6D49">
      <w:pPr>
        <w:numPr>
          <w:ilvl w:val="0"/>
          <w:numId w:val="33"/>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بيئة العمل الآمنة</w:t>
      </w:r>
      <w:r w:rsidRPr="00657A3D">
        <w:rPr>
          <w:rFonts w:ascii="Traditional Arabic" w:hAnsi="Traditional Arabic" w:cs="Traditional Arabic" w:hint="cs"/>
          <w:b/>
          <w:bCs/>
          <w:sz w:val="24"/>
          <w:szCs w:val="24"/>
          <w:lang w:bidi="ar-EG"/>
        </w:rPr>
        <w:t xml:space="preserve"> (Safe Work Environment)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p>
    <w:p w14:paraId="3A029D1F" w14:textId="77777777" w:rsidR="001A6D49" w:rsidRPr="00657A3D" w:rsidRDefault="001A6D49" w:rsidP="00657A3D">
      <w:pPr>
        <w:bidi/>
        <w:spacing w:line="360" w:lineRule="auto"/>
        <w:ind w:left="720"/>
        <w:rPr>
          <w:rFonts w:ascii="Traditional Arabic" w:hAnsi="Traditional Arabic" w:cs="Traditional Arabic"/>
          <w:sz w:val="24"/>
          <w:szCs w:val="24"/>
          <w:rtl/>
          <w:lang w:bidi="ar-EG"/>
        </w:rPr>
      </w:pPr>
      <w:r w:rsidRPr="00657A3D">
        <w:rPr>
          <w:rFonts w:ascii="Traditional Arabic" w:hAnsi="Traditional Arabic" w:cs="Traditional Arabic" w:hint="cs"/>
          <w:sz w:val="24"/>
          <w:szCs w:val="24"/>
          <w:lang w:bidi="ar-EG"/>
        </w:rPr>
        <w:t>GAHAR,2019.42</w:t>
      </w:r>
      <w:r w:rsidRPr="00657A3D">
        <w:rPr>
          <w:rFonts w:ascii="Traditional Arabic" w:hAnsi="Traditional Arabic" w:cs="Traditional Arabic" w:hint="cs"/>
          <w:sz w:val="24"/>
          <w:szCs w:val="24"/>
          <w:rtl/>
          <w:lang w:bidi="ar-EG"/>
        </w:rPr>
        <w:t>.</w:t>
      </w:r>
    </w:p>
    <w:p w14:paraId="24115814" w14:textId="77777777" w:rsidR="001A6D49" w:rsidRDefault="001A6D49">
      <w:pPr>
        <w:numPr>
          <w:ilvl w:val="0"/>
          <w:numId w:val="33"/>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جودة الرعاية السريرية</w:t>
      </w:r>
      <w:r w:rsidRPr="00657A3D">
        <w:rPr>
          <w:rFonts w:ascii="Traditional Arabic" w:hAnsi="Traditional Arabic" w:cs="Traditional Arabic" w:hint="cs"/>
          <w:b/>
          <w:bCs/>
          <w:sz w:val="24"/>
          <w:szCs w:val="24"/>
          <w:lang w:bidi="ar-EG"/>
        </w:rPr>
        <w:t xml:space="preserve"> (Clinical Care Quality)</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 ص. 135)</w:t>
      </w:r>
      <w:r w:rsidRPr="00657A3D">
        <w:rPr>
          <w:rFonts w:ascii="Traditional Arabic" w:hAnsi="Traditional Arabic" w:cs="Traditional Arabic" w:hint="cs"/>
          <w:sz w:val="24"/>
          <w:szCs w:val="24"/>
          <w:lang w:bidi="ar-EG"/>
        </w:rPr>
        <w:t>.</w:t>
      </w:r>
    </w:p>
    <w:p w14:paraId="7078675E" w14:textId="77777777" w:rsidR="00657A3D" w:rsidRDefault="00657A3D" w:rsidP="00657A3D">
      <w:pPr>
        <w:bidi/>
        <w:spacing w:line="360" w:lineRule="auto"/>
        <w:ind w:left="720"/>
        <w:rPr>
          <w:rFonts w:ascii="Traditional Arabic" w:hAnsi="Traditional Arabic" w:cs="Traditional Arabic"/>
          <w:b/>
          <w:bCs/>
          <w:sz w:val="24"/>
          <w:szCs w:val="24"/>
          <w:rtl/>
        </w:rPr>
      </w:pPr>
    </w:p>
    <w:p w14:paraId="008A9C55" w14:textId="77777777" w:rsidR="00657A3D" w:rsidRDefault="00657A3D" w:rsidP="00657A3D">
      <w:pPr>
        <w:bidi/>
        <w:spacing w:line="360" w:lineRule="auto"/>
        <w:ind w:left="720"/>
        <w:rPr>
          <w:rFonts w:ascii="Traditional Arabic" w:hAnsi="Traditional Arabic" w:cs="Traditional Arabic"/>
          <w:b/>
          <w:bCs/>
          <w:sz w:val="24"/>
          <w:szCs w:val="24"/>
          <w:rtl/>
        </w:rPr>
      </w:pPr>
    </w:p>
    <w:p w14:paraId="5EAE0F9A" w14:textId="77777777" w:rsidR="00657A3D" w:rsidRDefault="00657A3D" w:rsidP="00657A3D">
      <w:pPr>
        <w:bidi/>
        <w:spacing w:line="360" w:lineRule="auto"/>
        <w:ind w:left="720"/>
        <w:rPr>
          <w:rFonts w:ascii="Traditional Arabic" w:hAnsi="Traditional Arabic" w:cs="Traditional Arabic"/>
          <w:b/>
          <w:bCs/>
          <w:sz w:val="24"/>
          <w:szCs w:val="24"/>
          <w:rtl/>
        </w:rPr>
      </w:pPr>
    </w:p>
    <w:p w14:paraId="58D1A645" w14:textId="77777777" w:rsidR="00657A3D" w:rsidRDefault="00657A3D" w:rsidP="00657A3D">
      <w:pPr>
        <w:bidi/>
        <w:spacing w:line="360" w:lineRule="auto"/>
        <w:ind w:left="720"/>
        <w:rPr>
          <w:rFonts w:ascii="Traditional Arabic" w:hAnsi="Traditional Arabic" w:cs="Traditional Arabic"/>
          <w:b/>
          <w:bCs/>
          <w:sz w:val="24"/>
          <w:szCs w:val="24"/>
          <w:rtl/>
        </w:rPr>
      </w:pPr>
    </w:p>
    <w:p w14:paraId="463AEA09" w14:textId="77777777" w:rsidR="00657A3D" w:rsidRDefault="00657A3D" w:rsidP="00657A3D">
      <w:pPr>
        <w:bidi/>
        <w:spacing w:line="360" w:lineRule="auto"/>
        <w:ind w:left="720"/>
        <w:rPr>
          <w:rFonts w:ascii="Traditional Arabic" w:hAnsi="Traditional Arabic" w:cs="Traditional Arabic"/>
          <w:b/>
          <w:bCs/>
          <w:sz w:val="24"/>
          <w:szCs w:val="24"/>
          <w:rtl/>
        </w:rPr>
      </w:pPr>
    </w:p>
    <w:p w14:paraId="4111E466" w14:textId="77777777" w:rsidR="00657A3D" w:rsidRDefault="00657A3D" w:rsidP="00657A3D">
      <w:pPr>
        <w:bidi/>
        <w:spacing w:line="360" w:lineRule="auto"/>
        <w:ind w:left="720"/>
        <w:rPr>
          <w:rFonts w:ascii="Traditional Arabic" w:hAnsi="Traditional Arabic" w:cs="Traditional Arabic"/>
          <w:b/>
          <w:bCs/>
          <w:sz w:val="24"/>
          <w:szCs w:val="24"/>
          <w:rtl/>
        </w:rPr>
      </w:pPr>
    </w:p>
    <w:p w14:paraId="0AF8B3AD" w14:textId="77777777" w:rsidR="00657A3D" w:rsidRDefault="00657A3D" w:rsidP="00657A3D">
      <w:pPr>
        <w:bidi/>
        <w:spacing w:line="360" w:lineRule="auto"/>
        <w:ind w:left="720"/>
        <w:rPr>
          <w:rFonts w:ascii="Traditional Arabic" w:hAnsi="Traditional Arabic" w:cs="Traditional Arabic"/>
          <w:b/>
          <w:bCs/>
          <w:sz w:val="24"/>
          <w:szCs w:val="24"/>
          <w:rtl/>
        </w:rPr>
      </w:pPr>
    </w:p>
    <w:p w14:paraId="7A7AEAC0" w14:textId="77777777" w:rsidR="00657A3D" w:rsidRDefault="00657A3D" w:rsidP="00657A3D">
      <w:pPr>
        <w:bidi/>
        <w:spacing w:line="360" w:lineRule="auto"/>
        <w:ind w:left="720"/>
        <w:rPr>
          <w:rFonts w:ascii="Traditional Arabic" w:hAnsi="Traditional Arabic" w:cs="Traditional Arabic"/>
          <w:b/>
          <w:bCs/>
          <w:sz w:val="24"/>
          <w:szCs w:val="24"/>
          <w:rtl/>
        </w:rPr>
      </w:pPr>
    </w:p>
    <w:p w14:paraId="2D6C7278" w14:textId="77777777" w:rsidR="00657A3D" w:rsidRPr="00657A3D" w:rsidRDefault="00657A3D" w:rsidP="00657A3D">
      <w:pPr>
        <w:bidi/>
        <w:spacing w:line="360" w:lineRule="auto"/>
        <w:ind w:left="720"/>
        <w:rPr>
          <w:rFonts w:ascii="Traditional Arabic" w:hAnsi="Traditional Arabic" w:cs="Traditional Arabic"/>
          <w:sz w:val="24"/>
          <w:szCs w:val="24"/>
          <w:lang w:bidi="ar-EG"/>
        </w:rPr>
      </w:pPr>
    </w:p>
    <w:p w14:paraId="3F292BAF" w14:textId="34D97497" w:rsidR="00F71AB1" w:rsidRPr="00F70920" w:rsidRDefault="00F71AB1" w:rsidP="00F71AB1">
      <w:pPr>
        <w:bidi/>
        <w:spacing w:line="278" w:lineRule="auto"/>
        <w:ind w:left="720"/>
        <w:jc w:val="center"/>
        <w:rPr>
          <w:rFonts w:ascii="Traditional Arabic" w:hAnsi="Traditional Arabic" w:cs="Traditional Arabic"/>
          <w:sz w:val="24"/>
          <w:szCs w:val="24"/>
          <w:lang w:bidi="ar-EG"/>
        </w:rPr>
      </w:pPr>
      <w:r w:rsidRPr="00F70920">
        <w:rPr>
          <w:rFonts w:ascii="Traditional Arabic" w:hAnsi="Traditional Arabic" w:cs="Traditional Arabic" w:hint="cs"/>
          <w:b/>
          <w:bCs/>
          <w:sz w:val="24"/>
          <w:szCs w:val="24"/>
          <w:rtl/>
        </w:rPr>
        <w:lastRenderedPageBreak/>
        <w:t>شكل (</w:t>
      </w:r>
      <w:r w:rsidR="004959E0">
        <w:rPr>
          <w:rFonts w:ascii="Traditional Arabic" w:hAnsi="Traditional Arabic" w:cs="Traditional Arabic" w:hint="cs"/>
          <w:b/>
          <w:bCs/>
          <w:sz w:val="24"/>
          <w:szCs w:val="24"/>
          <w:rtl/>
        </w:rPr>
        <w:t>3</w:t>
      </w:r>
      <w:r w:rsidRPr="00F70920">
        <w:rPr>
          <w:rFonts w:ascii="Traditional Arabic" w:hAnsi="Traditional Arabic" w:cs="Traditional Arabic" w:hint="cs"/>
          <w:b/>
          <w:bCs/>
          <w:sz w:val="24"/>
          <w:szCs w:val="24"/>
          <w:rtl/>
        </w:rPr>
        <w:t>) يوضح أبعاد سلامة المرضى</w:t>
      </w:r>
    </w:p>
    <w:p w14:paraId="336EEF99" w14:textId="5DC6C934" w:rsidR="001A6D49" w:rsidRDefault="001A6D49" w:rsidP="001A6D49">
      <w:pPr>
        <w:bidi/>
        <w:spacing w:after="200" w:line="276" w:lineRule="auto"/>
        <w:rPr>
          <w:rFonts w:ascii="Simplified Arabic" w:hAnsi="Simplified Arabic" w:cs="Simplified Arabic"/>
          <w:spacing w:val="-6"/>
          <w:sz w:val="28"/>
          <w:szCs w:val="28"/>
          <w:lang w:bidi="ar-EG"/>
        </w:rPr>
      </w:pPr>
      <w:r>
        <w:rPr>
          <w:rFonts w:ascii="Simplified Arabic" w:hAnsi="Simplified Arabic" w:cs="Simplified Arabic"/>
          <w:noProof/>
          <w:spacing w:val="-6"/>
          <w:sz w:val="28"/>
          <w:szCs w:val="28"/>
          <w:lang w:bidi="ar-EG"/>
        </w:rPr>
        <w:drawing>
          <wp:inline distT="0" distB="0" distL="0" distR="0" wp14:anchorId="2E21C47B" wp14:editId="35AAD874">
            <wp:extent cx="5274310" cy="3076575"/>
            <wp:effectExtent l="0" t="12700" r="0" b="9525"/>
            <wp:docPr id="90287019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5755C09" w14:textId="350E9A0F" w:rsidR="001A6D49" w:rsidRPr="00085B4F" w:rsidRDefault="001A6D49" w:rsidP="004323BE">
      <w:pPr>
        <w:bidi/>
        <w:spacing w:after="200" w:line="276" w:lineRule="auto"/>
        <w:jc w:val="center"/>
        <w:rPr>
          <w:rFonts w:ascii="Traditional Arabic" w:hAnsi="Traditional Arabic" w:cs="Traditional Arabic"/>
          <w:b/>
          <w:bCs/>
          <w:spacing w:val="-6"/>
          <w:sz w:val="24"/>
          <w:szCs w:val="24"/>
          <w:rtl/>
        </w:rPr>
      </w:pPr>
      <w:r w:rsidRPr="00085B4F">
        <w:rPr>
          <w:rFonts w:ascii="Traditional Arabic" w:hAnsi="Traditional Arabic" w:cs="Traditional Arabic" w:hint="cs"/>
          <w:b/>
          <w:bCs/>
          <w:spacing w:val="-6"/>
          <w:sz w:val="24"/>
          <w:szCs w:val="24"/>
          <w:rtl/>
        </w:rPr>
        <w:t>إعداد/ الباحثة</w:t>
      </w:r>
      <w:r w:rsidR="004323BE" w:rsidRPr="00085B4F">
        <w:rPr>
          <w:rFonts w:ascii="Traditional Arabic" w:hAnsi="Traditional Arabic" w:cs="Traditional Arabic" w:hint="cs"/>
          <w:b/>
          <w:bCs/>
          <w:spacing w:val="-6"/>
          <w:sz w:val="24"/>
          <w:szCs w:val="24"/>
          <w:rtl/>
        </w:rPr>
        <w:t xml:space="preserve"> مستندة ل (الأحمدي، 2017، 14).</w:t>
      </w:r>
    </w:p>
    <w:p w14:paraId="5392F895" w14:textId="345A40D1" w:rsidR="008D43D7" w:rsidRPr="00065189" w:rsidRDefault="008D43D7" w:rsidP="001A6D49">
      <w:pPr>
        <w:bidi/>
        <w:spacing w:after="200" w:line="276" w:lineRule="auto"/>
        <w:rPr>
          <w:rFonts w:ascii="Traditional Arabic" w:hAnsi="Traditional Arabic" w:cs="Traditional Arabic"/>
          <w:b/>
          <w:bCs/>
          <w:spacing w:val="-6"/>
          <w:sz w:val="28"/>
          <w:szCs w:val="28"/>
          <w:lang w:bidi="ar-EG"/>
        </w:rPr>
      </w:pPr>
      <w:r w:rsidRPr="00065189">
        <w:rPr>
          <w:rFonts w:ascii="Traditional Arabic" w:hAnsi="Traditional Arabic" w:cs="Traditional Arabic" w:hint="cs"/>
          <w:b/>
          <w:bCs/>
          <w:spacing w:val="-6"/>
          <w:sz w:val="28"/>
          <w:szCs w:val="28"/>
          <w:rtl/>
        </w:rPr>
        <w:t>دراسات سابقة حول سلامة المرضى :</w:t>
      </w:r>
    </w:p>
    <w:p w14:paraId="65C5E887" w14:textId="5462656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ريم وحسن (2020)</w:t>
      </w:r>
      <w:r w:rsidRPr="00065189">
        <w:rPr>
          <w:rFonts w:ascii="Traditional Arabic" w:hAnsi="Traditional Arabic" w:cs="Traditional Arabic" w:hint="cs"/>
          <w:spacing w:val="-6"/>
          <w:sz w:val="24"/>
          <w:szCs w:val="24"/>
          <w:rtl/>
        </w:rPr>
        <w:t xml:space="preserve"> إلى تحليل التحديات التي تواجه سلامة المرضى في ظل جائحة كوفيد-19، وذلك من خلال دراسة ميدانية تطبيقية على مستشفى الطوارئ الجامعي بالقاهرة. سعت الدراسة إلى تقييم مدى جاهزية الطاقم الطبي للتعامل مع الحالات الحرجة في سياق وبائي غير مسبوق، مع التركيز على العوامل التنظيمية واللوجستية التي تؤثر على جودة الرعاية وسلامة المرضى</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اعتمد الباحثان على منهج وصفي تحليلي، واستخدما استبانة مغلقة كأداة رئيسية لجمع البيانات، تضمنت مجموعة من المحاور المتعلقة بجاهزية المستشفى، توفر الموارد الوقائية، التنسيق بين الفرق الطبية، ومستوى التدريب على التعامل مع الحالات الوبائية. تم تصميم الاستبانة وفق مقياس ليكرت الخماسي، وشملت بنودًا كمية ونوعية لقياس مدى تأثير الجائحة على الأداء السريري وسلامة المرضى</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وشملت العينة 80 مشاركًا من الكوادر الطبية، موزعين بين 45 طبيبًا و35 ممرضًا، تم اختيارهم بطريقة قصدية من العاملين في أقسام الطوارئ والعناية المركزة، نظرًا لطبيعة عملهم المباشر مع حالات كوفيد-19</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الباحثان على ضمان التنوع في التخصصات الطبية والتمريضية ضمن العينة، لضمان تمثيل واقعي للتحديات الميدانية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أظهرت نتائج الدراسة أن نقص معدات الحماية الشخصية، مثل الكمامات والمعقمات والملابس الواقية، كان من أبرز العوامل التي ساهمت في ارتفاع معدل الأخطاء السريرية بنسبة 35% خلال فترة الذروة الوبائية</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بيّنت النتائج وجود ضعف في التنسيق بين الفرق الطبية، خاصة في حالات نقل المرضى بين الأقسام، مما أدى إلى تأخير التدخلات العلاجية وزيادة معدلات العدوى المكتسبة داخل المستشفى</w:t>
      </w:r>
      <w:r w:rsidR="009B3A99"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وقد خلصت الدراسة إلى مجموعة من التوصيات، أبرزها ضرورة تعزيز برامج تدريب العاملين على بروتوكولات الطوارئ الوبائية، وتوفير الموارد الوقائية بشكل دائم ومستدام، إلى جانب تطوير آليات التنسيق الداخلي بين الفرق الطبية، بما يضمن سرعة الاستجابة وتقليل فرص الخطأ البشري في الظروف الحرجة</w:t>
      </w:r>
      <w:r w:rsidRPr="00065189">
        <w:rPr>
          <w:rFonts w:ascii="Traditional Arabic" w:hAnsi="Traditional Arabic" w:cs="Traditional Arabic" w:hint="cs"/>
          <w:spacing w:val="-6"/>
          <w:sz w:val="24"/>
          <w:szCs w:val="24"/>
        </w:rPr>
        <w:t>.</w:t>
      </w:r>
    </w:p>
    <w:p w14:paraId="1869FA5E" w14:textId="32AAC07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lastRenderedPageBreak/>
        <w:t>و</w:t>
      </w:r>
      <w:r w:rsidRPr="00065189">
        <w:rPr>
          <w:rFonts w:ascii="Traditional Arabic" w:hAnsi="Traditional Arabic" w:cs="Traditional Arabic" w:hint="cs"/>
          <w:b/>
          <w:bCs/>
          <w:spacing w:val="-6"/>
          <w:sz w:val="24"/>
          <w:szCs w:val="24"/>
          <w:rtl/>
        </w:rPr>
        <w:t>هدفت دراسة آلاء أحمد ومحمد عفيفي (2021)</w:t>
      </w:r>
      <w:r w:rsidRPr="00065189">
        <w:rPr>
          <w:rFonts w:ascii="Traditional Arabic" w:hAnsi="Traditional Arabic" w:cs="Traditional Arabic" w:hint="cs"/>
          <w:spacing w:val="-6"/>
          <w:sz w:val="24"/>
          <w:szCs w:val="24"/>
          <w:rtl/>
        </w:rPr>
        <w:t xml:space="preserve"> إلى تحليل أثر تطبيق نظم إدارة المخاطر على جودة الرعاية الصحية وسلامة المرضى، وذلك من خلال دراسة ميدانية أجريت على مجموعة من المستشفيات الحكومية في مدينة جدة بالمملكة العربية السعودية. ركزت الدراسة على تقييم فعالية الإدارة الوقائية كأداة تنظيمية للحد من الأذى السريري وتحسين الأداء العام للمؤسسات الصحية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 الباحثان على المنهج الكمي التحليلي، واستخدما استبانة معيارية كأداة رئيسية لجمع البيانات، تضمنت مجموعة من البنود التي تقيس مدى تطبيق نظم إدارة المخاطر، ومستوى جودة الرعاية، ومؤشرات السلامة السريرية. تم تصميم الاستبانة وفق مقياس ليكرت الخماسي، وشملت محاور تتعلق بالسياسات الوقائية، الإجراءات التشغيلية، التفاعل بين الفرق الطبية، ومدى توفر نظم المعلومات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بلغ حجم العينة 200 موظفًا من الكوادر الطبية والإدارية، تم اختيارهم من مختلف الأقسام داخل المستشفيات الحكومية، بما في ذلك أقسام الطوارئ، الجراحة، الجودة، وإدارة المخاطر. وقد حرص الباحثان على تحقيق تمثيل شامل للعينة لضمان تنوع وجهات النظر بين العاملين في الخطوط الأمامية والإدارات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نظم إدارة المخاطر ساهم بشكل ملموس في تحسين جودة الرعاية الصحية بنسبة 60%، كما انعكس إيجابيًا على مؤشرات السلامة السريرية بنسبة 50%، وذلك من خلال تقليل معدلات الأخطاء الطبية، وتحسين الاستجابة للحالات الحرجة، وتعزيز ثقافة السلامة داخل بيئة العمل</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rPr>
        <w:t>وقد خلصت الدراسة إلى مجموعة من التوصيات، أبرزها ضرورة تطوير نظام معلومات قوي يدعم عمليات إدارة المخاطر، ويتيح التتبع الفوري للحوادث السريرية، إلى جانب أهمية دعم القيادة الصحية للإجراءات الوقائية، من خلال توفير الموارد، وتدريب العاملين، وتعزيز ثقافة التحسين المستمر</w:t>
      </w:r>
      <w:r w:rsidRPr="00065189">
        <w:rPr>
          <w:rFonts w:ascii="Traditional Arabic" w:hAnsi="Traditional Arabic" w:cs="Traditional Arabic" w:hint="cs"/>
          <w:spacing w:val="-6"/>
          <w:sz w:val="24"/>
          <w:szCs w:val="24"/>
          <w:lang w:bidi="ar-EG"/>
        </w:rPr>
        <w:t>.</w:t>
      </w:r>
    </w:p>
    <w:p w14:paraId="5B918E01" w14:textId="15361CCB" w:rsidR="0021352C" w:rsidRPr="00065189" w:rsidRDefault="0021352C"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سعت دراسة نعيمة القصير (2022) إلى تسليط الضوء على أهمية تعزيز مشاركة المرضى في صياغة السياسات الصحية،</w:t>
      </w:r>
      <w:r w:rsidRPr="00065189">
        <w:rPr>
          <w:rFonts w:ascii="Traditional Arabic" w:hAnsi="Traditional Arabic" w:cs="Traditional Arabic" w:hint="cs"/>
          <w:spacing w:val="-6"/>
          <w:sz w:val="24"/>
          <w:szCs w:val="24"/>
          <w:rtl/>
        </w:rPr>
        <w:t xml:space="preserve"> باعتبارهم طرفًا فاعلًا في منظومة السلامة داخل المؤسسات الصحية. وقد تم تطبيق الدراسة على ثلاث مستشفيات تعليمية في محافظتي القاهرة والجيزة، بهدف تقييم أثر نماذج إشراك المرضى على جودة الرعاية وتقليل الأخطاء السريرية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اعتمدت الباحثة على منهج وصفي تحليلي، واستخدمت استبانة موجهة كأداة رئيسية لجمع البيانات، تضمنت مجموعة من البنود التي تقيس درجة مشاركة المرضى في اتخاذ القرار، مدى معرفتهم بحقوقهم، ومستوى رضاهم عن الخدمات المقدمة</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وشملت محاور تتعلق بالتواصل مع الطاقم الطبي، المشاركة في الخطط العلاجية، والانخراط في تقييم الأداء الصحي</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rPr>
        <w:t>وبلغ حجم العينة 150 مشاركًا، موزعين بين مرضى ومقدمي رعاية صحية، تم اختيارهم من أقسام الباطنة والجراحة والطوارئ، لضمان تمثيل متنوع للحالات السريرية والتجارب العلاجية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حرصت الباحثة على تضمين وجهات نظر المرضى ومقدمي الرعاية على حد سواء، لتقييم فعالية نماذج المشاركة من منظور شامل</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نماذج إشراك المرضى في السياسات الصحية أدى إلى انخفاض الأخطاء السريرية بنسبة 17% في الأقسام التي تبنت هذه النماذج، كما ارتفع مستوى رضا المرضى بشكل ملحوظ، خاصة في ما يتعلق بالتواصل، والشفافية، واحترام الحقوق</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بيّنت الدراسة أن إشراك المرضى يعزز من ثقافة السلامة، ويزيد من التزام الطاقم الطبي بالإجراءات الوقائية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واختتمت الدراسة بتوصيات عملية، أبرزها ضرورة دمج المرضى في لجان الجودة داخل المنشآت الصحية، وتخصيص كتيبات تعريفية بحقوقهم ومسؤولياتهم، بما يسهم في تمكينهم وتعزيز دورهم في تحسين جودة الرعاية، وتقليل المخاطر السريرية</w:t>
      </w:r>
      <w:r w:rsidRPr="00065189">
        <w:rPr>
          <w:rFonts w:ascii="Traditional Arabic" w:hAnsi="Traditional Arabic" w:cs="Traditional Arabic" w:hint="cs"/>
          <w:spacing w:val="-6"/>
          <w:sz w:val="24"/>
          <w:szCs w:val="24"/>
          <w:lang w:bidi="ar-EG"/>
        </w:rPr>
        <w:t>.</w:t>
      </w:r>
    </w:p>
    <w:p w14:paraId="1402130E" w14:textId="107878C8" w:rsidR="0091048B" w:rsidRPr="00065189" w:rsidRDefault="0091048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المركز السعودي لسلامة المرضى (2022) إلى قياس ثقافة السلامة داخل المستشفيات الحكومية والخاصة في مدينتي الرياض وجدة</w:t>
      </w:r>
      <w:r w:rsidRPr="00065189">
        <w:rPr>
          <w:rFonts w:ascii="Traditional Arabic" w:hAnsi="Traditional Arabic" w:cs="Traditional Arabic" w:hint="cs"/>
          <w:spacing w:val="-6"/>
          <w:sz w:val="24"/>
          <w:szCs w:val="24"/>
          <w:rtl/>
        </w:rPr>
        <w:t xml:space="preserve">، وذلك في إطار سعي وطني لفهم مكونات ثقافة السلامة السريرية، وتحديد الفروقات التنظيمية بين أنواع المنشآت الصحية. ركزت الدراسة </w:t>
      </w:r>
      <w:r w:rsidRPr="00065189">
        <w:rPr>
          <w:rFonts w:ascii="Traditional Arabic" w:hAnsi="Traditional Arabic" w:cs="Traditional Arabic" w:hint="cs"/>
          <w:spacing w:val="-6"/>
          <w:sz w:val="24"/>
          <w:szCs w:val="24"/>
          <w:rtl/>
        </w:rPr>
        <w:lastRenderedPageBreak/>
        <w:t>على تحليل مدى إدراك العاملين لمفاهيم السلامة، وسلوكيات الإبلاغ، ومستوى التحفيز الداخلي المرتبط بالممارسات الآمنة</w:t>
      </w:r>
      <w:r w:rsidR="00557B78" w:rsidRPr="00065189">
        <w:rPr>
          <w:rFonts w:ascii="Traditional Arabic" w:hAnsi="Traditional Arabic" w:cs="Traditional Arabic" w:hint="cs"/>
          <w:spacing w:val="-6"/>
          <w:sz w:val="24"/>
          <w:szCs w:val="24"/>
          <w:rtl/>
        </w:rPr>
        <w:t xml:space="preserve">، </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اعتمدت الدراسة على منهج كمي وصفي، واستخدمت استبيانًا شاملًا كأداة رئيسية لجمع البيانات، تم تطويره وفقًا للمعايير الدولية لقياس ثقافة السلامة، مثل نموذج</w:t>
      </w:r>
      <w:r w:rsidRPr="00065189">
        <w:rPr>
          <w:rFonts w:ascii="Traditional Arabic" w:hAnsi="Traditional Arabic" w:cs="Traditional Arabic" w:hint="cs"/>
          <w:spacing w:val="-6"/>
          <w:sz w:val="24"/>
          <w:szCs w:val="24"/>
        </w:rPr>
        <w:t xml:space="preserve"> AHRQ </w:t>
      </w:r>
      <w:r w:rsidRPr="00065189">
        <w:rPr>
          <w:rFonts w:ascii="Traditional Arabic" w:hAnsi="Traditional Arabic" w:cs="Traditional Arabic" w:hint="cs"/>
          <w:spacing w:val="-6"/>
          <w:sz w:val="24"/>
          <w:szCs w:val="24"/>
          <w:rtl/>
        </w:rPr>
        <w:t>الأمريكي. شمل الاستبيان محاور متعددة، منها: الإبلاغ عن الحوادث، دعم الإدارة، العمل الجماعي، التواصل المفتوح، والتعلم من الأخطاء</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 مع تحليل إحصائي مقارن بين المستشفيات الحكومية والخاصة</w:t>
      </w:r>
      <w:r w:rsidR="00557B78" w:rsidRPr="00065189">
        <w:rPr>
          <w:rFonts w:ascii="Traditional Arabic" w:hAnsi="Traditional Arabic" w:cs="Traditional Arabic" w:hint="cs"/>
          <w:spacing w:val="-6"/>
          <w:sz w:val="24"/>
          <w:szCs w:val="24"/>
          <w:rtl/>
        </w:rPr>
        <w:t>،</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بلغ حجم العينة 570 ممارسًا صحيًا من مختلف التخصصات، شملت أطباء، ممرضين، وفنيين صحيين، تم اختيارهم من أقسام الطوارئ، العناية المركزة، الجودة، والإدارة، لضمان تمثيل شامل للخبرات المهنية والوظائف التنظيمية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المركز على تحقيق التوازن بين المشاركين من القطاعين العام والخاص، لتحديد الفروقات في ثقافة السلامة بينهما</w:t>
      </w:r>
      <w:r w:rsidRPr="00065189">
        <w:rPr>
          <w:rFonts w:ascii="Traditional Arabic" w:hAnsi="Traditional Arabic" w:cs="Traditional Arabic" w:hint="cs"/>
          <w:spacing w:val="-6"/>
          <w:sz w:val="24"/>
          <w:szCs w:val="24"/>
        </w:rPr>
        <w:t>.</w:t>
      </w:r>
      <w:r w:rsidR="00791707"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 xml:space="preserve">كشفت نتائج الدراسة عن وجود ضعف ملحوظ في مستوى الإبلاغ عن الحوادث، خاصة في المستشفيات الخاصة، حيث أشار عدد كبير من المشاركين إلى غياب ثقافة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مما أدى إلى انخفاض معدلات الإبلاغ الطوعي</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أظهرت النتائج غياب التحفيز الداخلي المرتبط بالممارسات الآمنة، وضعف دعم الإدارة في تعزيز ثقافة السلامة، مما أثر سلبًا على التفاعل المهني داخل الفرق الطبية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وقد خلصت الدراسة إلى مجموعة من التوصيات، أبرزها ضرورة تدريب العاملين على آليات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وتفعيل أنظمة المكافآت المرتبطة بالأداء الآمن، إلى جانب تعزيز دور القيادة الصحية في دعم ثقافة السلامة، وتوفير بيئة تنظيمية تشجع على التعلم من الأخطاء دون خوف أو تردد</w:t>
      </w:r>
      <w:r w:rsidRPr="00065189">
        <w:rPr>
          <w:rFonts w:ascii="Traditional Arabic" w:hAnsi="Traditional Arabic" w:cs="Traditional Arabic" w:hint="cs"/>
          <w:spacing w:val="-6"/>
          <w:sz w:val="24"/>
          <w:szCs w:val="24"/>
        </w:rPr>
        <w:t>.</w:t>
      </w:r>
    </w:p>
    <w:p w14:paraId="0F39F338" w14:textId="22359AAE" w:rsidR="002D2ED0" w:rsidRPr="00065189" w:rsidRDefault="00971397"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كما </w:t>
      </w:r>
      <w:r w:rsidR="002D2ED0" w:rsidRPr="00065189">
        <w:rPr>
          <w:rFonts w:ascii="Traditional Arabic" w:hAnsi="Traditional Arabic" w:cs="Traditional Arabic" w:hint="cs"/>
          <w:b/>
          <w:bCs/>
          <w:spacing w:val="-6"/>
          <w:sz w:val="24"/>
          <w:szCs w:val="24"/>
          <w:rtl/>
        </w:rPr>
        <w:t>هدفت دراسة منظمة الصحة العالمية (2023)</w:t>
      </w:r>
      <w:r w:rsidR="002D2ED0" w:rsidRPr="00065189">
        <w:rPr>
          <w:rFonts w:ascii="Traditional Arabic" w:hAnsi="Traditional Arabic" w:cs="Traditional Arabic" w:hint="cs"/>
          <w:spacing w:val="-6"/>
          <w:sz w:val="24"/>
          <w:szCs w:val="24"/>
          <w:rtl/>
        </w:rPr>
        <w:t xml:space="preserve"> إلى قياس أثر إشراك المرضى في تحسين سلامتهم ضمن إطار دولي متعدد السياقات، حيث تم تطبيق الدراسة في ثمان دول من منطقة شرق المتوسط، بهدف تقييم فعالية الشراكة بين المريض والمنشأة الصحية كإحدى الممارسات المعيارية المعتمدة عالميًا لتعزيز جودة الرعاية وتقليل الأذى السريري</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اعتمدت الدراسة على منهج وصفي تحليلي متعدد الجنسيات، واستخدمت استبانة موحدة صممتها المنظمة لقياس تجربة المريض، ومدى مشاركته في الخطة العلاجية، ودرجة إدماجه في القرارات المتعلقة بالرعاية الصحية. شملت الاستبانة محاور تتعلق بالتواصل، التثقيف الصحي، إشراك المريض في تقييم الأداء، ومدى معرفته بحقوقه ومسؤولياته، مع تحليل مقارن بين الدول المشاركة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2D2ED0" w:rsidRPr="00065189">
        <w:rPr>
          <w:rFonts w:ascii="Traditional Arabic" w:hAnsi="Traditional Arabic" w:cs="Traditional Arabic" w:hint="cs"/>
          <w:spacing w:val="-6"/>
          <w:sz w:val="24"/>
          <w:szCs w:val="24"/>
          <w:rtl/>
        </w:rPr>
        <w:t>بلغ حجم العينة 420 مريضًا من مختلف الفئات العمرية والحالات السريرية، تم اختيارهم من مستشفيات تعليمية وعامة في الدول الثمان، بما يضمن تمثيلًا متنوعًا للخبرات العلاجية والثقافية. وقد حرصت المنظمة على تضمين المرضى الذين تلقوا رعاية في أقسام الطوارئ، الجراحة، والعيادات الخارجية، لضمان شمولية التقييم</w:t>
      </w:r>
      <w:r w:rsidR="00557B78" w:rsidRPr="00065189">
        <w:rPr>
          <w:rFonts w:ascii="Traditional Arabic" w:hAnsi="Traditional Arabic" w:cs="Traditional Arabic" w:hint="cs"/>
          <w:spacing w:val="-6"/>
          <w:sz w:val="24"/>
          <w:szCs w:val="24"/>
          <w:rtl/>
          <w:lang w:bidi="ar-EG"/>
        </w:rPr>
        <w:t>،</w:t>
      </w:r>
      <w:r w:rsidR="00A65D4A" w:rsidRPr="00065189">
        <w:rPr>
          <w:rFonts w:ascii="Traditional Arabic" w:hAnsi="Traditional Arabic" w:cs="Traditional Arabic" w:hint="cs"/>
          <w:spacing w:val="-6"/>
          <w:sz w:val="24"/>
          <w:szCs w:val="24"/>
          <w:rtl/>
          <w:lang w:bidi="ar-EG"/>
        </w:rPr>
        <w:t>كم</w:t>
      </w:r>
      <w:r w:rsidR="009268EB" w:rsidRPr="00065189">
        <w:rPr>
          <w:rFonts w:ascii="Traditional Arabic" w:hAnsi="Traditional Arabic" w:cs="Traditional Arabic" w:hint="cs"/>
          <w:spacing w:val="-6"/>
          <w:sz w:val="24"/>
          <w:szCs w:val="24"/>
          <w:rtl/>
          <w:lang w:bidi="ar-EG"/>
        </w:rPr>
        <w:t xml:space="preserve">ا </w:t>
      </w:r>
      <w:r w:rsidR="002D2ED0" w:rsidRPr="00065189">
        <w:rPr>
          <w:rFonts w:ascii="Traditional Arabic" w:hAnsi="Traditional Arabic" w:cs="Traditional Arabic" w:hint="cs"/>
          <w:spacing w:val="-6"/>
          <w:sz w:val="24"/>
          <w:szCs w:val="24"/>
          <w:rtl/>
        </w:rPr>
        <w:t>أظهرت نتائج الدراسة أن إشراك المرضى في الرعاية الصحية أدى إلى انخفاض الأذى السريري بنسبة 15%، كما ساهم في رفع معدل الالتزام بالخطة العلاجية، خاصة في الحالات المزمنة والمعقدة. وقد بيّنت النتائج أن المرضى الذين تم إشراكهم في اتخاذ القرار أظهروا مستويات أعلى من الرضا والثقة في النظام الصحي، مما انعكس إيجابيًا على جودة الرعاية المقدمة</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واختتمت الدراسة بتوصيات استراتيجية، أبرزها ضرورة إدراج المرضى في لجان الرقابة والحوكمة داخل المنشآت الصحية، وتطوير أدوات تقييم تجربة المريض بما يتناسب مع السياقات المحلية، إلى جانب تعزيز ثقافة الشراكة بين المريض والفريق الطبي كجزء من السياسات الصحية الوطنية</w:t>
      </w:r>
      <w:r w:rsidR="002D2ED0" w:rsidRPr="00065189">
        <w:rPr>
          <w:rFonts w:ascii="Traditional Arabic" w:hAnsi="Traditional Arabic" w:cs="Traditional Arabic" w:hint="cs"/>
          <w:spacing w:val="-6"/>
          <w:sz w:val="24"/>
          <w:szCs w:val="24"/>
          <w:lang w:bidi="ar-EG"/>
        </w:rPr>
        <w:t>.</w:t>
      </w:r>
    </w:p>
    <w:p w14:paraId="7722ECF8" w14:textId="47A4B82C" w:rsidR="00FA6485" w:rsidRPr="00065189" w:rsidRDefault="00DE0266"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بينما أشارت</w:t>
      </w:r>
      <w:r w:rsidR="00FA6485" w:rsidRPr="00065189">
        <w:rPr>
          <w:rFonts w:ascii="Traditional Arabic" w:hAnsi="Traditional Arabic" w:cs="Traditional Arabic" w:hint="cs"/>
          <w:b/>
          <w:bCs/>
          <w:spacing w:val="-6"/>
          <w:sz w:val="24"/>
          <w:szCs w:val="24"/>
          <w:rtl/>
        </w:rPr>
        <w:t xml:space="preserve"> دراسة وزارة الصحة المصرية (2023)</w:t>
      </w:r>
      <w:r w:rsidR="00FA6485" w:rsidRPr="00065189">
        <w:rPr>
          <w:rFonts w:ascii="Traditional Arabic" w:hAnsi="Traditional Arabic" w:cs="Traditional Arabic" w:hint="cs"/>
          <w:spacing w:val="-6"/>
          <w:sz w:val="24"/>
          <w:szCs w:val="24"/>
          <w:rtl/>
        </w:rPr>
        <w:t xml:space="preserve"> إلى توثيق وتحليل تجربة مستشفى شبين الكوم التعليمي في إنشاء إدارة مستقلة لسلامة المرضى، باعتبارها نموذجًا إداريًا وطنيًا يحتذى به في تعزيز التنظيم المؤسسي لممارسات السلامة داخل المنشآت الصحية. سعت الدراسة إلى تقييم أثر هذا </w:t>
      </w:r>
      <w:r w:rsidR="00FA6485" w:rsidRPr="00065189">
        <w:rPr>
          <w:rFonts w:ascii="Traditional Arabic" w:hAnsi="Traditional Arabic" w:cs="Traditional Arabic" w:hint="cs"/>
          <w:spacing w:val="-6"/>
          <w:sz w:val="24"/>
          <w:szCs w:val="24"/>
          <w:rtl/>
        </w:rPr>
        <w:lastRenderedPageBreak/>
        <w:t>النموذج على تقليل الحوادث السريرية وتحسين مؤشرات الأداء، مع التركيز على آليات الحوكمة الداخلية وربط السلامة بجودة الخدمة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اعتمدت الدراسة على منهج وصفي تحليلي، واستخدمت استبانتين منفصلتين كأدوات رئيسية لجمع البيانات: الأولى موجهة للموظفين، والثانية للمرضى. تضمنت الاستبانة الخاصة بالموظفين بنودًا تقيس مدى وضوح السياسات الجديدة، فعالية التنسيق بين الأقسام، وسهولة الإبلاغ عن الحوادث، بينما ركزت استبانة المرضى على مستوى الرضا، الإحساس بالأمان، ومدى التفاعل مع الإدارة الجديدة</w:t>
      </w:r>
      <w:r w:rsidR="00DF5CAE" w:rsidRPr="00065189">
        <w:rPr>
          <w:rFonts w:ascii="Traditional Arabic" w:hAnsi="Traditional Arabic" w:cs="Traditional Arabic" w:hint="cs"/>
          <w:spacing w:val="-6"/>
          <w:sz w:val="24"/>
          <w:szCs w:val="24"/>
          <w:rtl/>
        </w:rPr>
        <w:t xml:space="preserve">، </w:t>
      </w:r>
      <w:r w:rsidR="00FA6485" w:rsidRPr="00065189">
        <w:rPr>
          <w:rFonts w:ascii="Traditional Arabic" w:hAnsi="Traditional Arabic" w:cs="Traditional Arabic" w:hint="cs"/>
          <w:spacing w:val="-6"/>
          <w:sz w:val="24"/>
          <w:szCs w:val="24"/>
          <w:rtl/>
        </w:rPr>
        <w:t>مع تحليل إحصائي لقياس التغيرات قبل وبعد تأسيس الإدارة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بلغ حجم العينة 130 مشاركًا، منهم 100 موظف من الكوادر الطبية والإدارية، و30 مريضًا من أقسام مختلفة داخل المستشفى، تم اختيارهم بطريقة قصدية لضمان تمثيل الفئات الأكثر تفاعلًا مع الإدارة الجديدة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شملت العينة موظفين من أقسام الجودة، الطوارئ، التمريض، والإدارة العليا، إلى جانب مرضى تلقوا خدمات في أقسام الجراحة والباطنة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أظهرت نتائج الدراسة انخفاض عدد الحوادث السريرية بنسبة 40% بعد تأسيس إدارة مستقلة لسلامة المرضى، كما لوحظ تحسن في سرعة الاستجابة للحوادث، وزيادة في معدلات الإبلاغ الطوعي، إلى جانب ارتفاع مستوى رضا المرضى عن الإجراءات الوقائية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بيّنت الدراسة أن وجود هيكل تنظيمي مخصص للسلامة ساهم في ترسيخ ثقافة مؤسسية داعمة، وتحسين التنسيق بين الفرق الطبية</w:t>
      </w:r>
      <w:r w:rsidR="00FA6485" w:rsidRPr="00065189">
        <w:rPr>
          <w:rFonts w:ascii="Traditional Arabic" w:hAnsi="Traditional Arabic" w:cs="Traditional Arabic" w:hint="cs"/>
          <w:spacing w:val="-6"/>
          <w:sz w:val="24"/>
          <w:szCs w:val="24"/>
          <w:lang w:bidi="ar-EG"/>
        </w:rPr>
        <w:t>.</w:t>
      </w:r>
      <w:r w:rsidR="00FA6485" w:rsidRPr="00065189">
        <w:rPr>
          <w:rFonts w:ascii="Traditional Arabic" w:hAnsi="Traditional Arabic" w:cs="Traditional Arabic" w:hint="cs"/>
          <w:spacing w:val="-6"/>
          <w:sz w:val="24"/>
          <w:szCs w:val="24"/>
          <w:rtl/>
        </w:rPr>
        <w:t>واختتمت الدراسة بتوصيات عملية، أبرزها ضرورة تعميم تجربة إنشاء إدارة مستقلة لسلامة المرضى في جميع المحافظات، وربط مؤشرات الأداء المؤسسي بمعايير السلامة، إلى جانب تعزيز التدريب المستمر للعاملين، وتطوير نظم معلومات داعمة لعمليات الرصد والتحسين</w:t>
      </w:r>
      <w:r w:rsidR="00FA6485" w:rsidRPr="00065189">
        <w:rPr>
          <w:rFonts w:ascii="Traditional Arabic" w:hAnsi="Traditional Arabic" w:cs="Traditional Arabic" w:hint="cs"/>
          <w:spacing w:val="-6"/>
          <w:sz w:val="24"/>
          <w:szCs w:val="24"/>
          <w:lang w:bidi="ar-EG"/>
        </w:rPr>
        <w:t>.</w:t>
      </w:r>
    </w:p>
    <w:p w14:paraId="32483277" w14:textId="47328CFE" w:rsidR="00BE4763" w:rsidRPr="00065189" w:rsidRDefault="0086726F"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حيث </w:t>
      </w:r>
      <w:r w:rsidR="00BE4763" w:rsidRPr="00065189">
        <w:rPr>
          <w:rFonts w:ascii="Traditional Arabic" w:hAnsi="Traditional Arabic" w:cs="Traditional Arabic" w:hint="cs"/>
          <w:b/>
          <w:bCs/>
          <w:spacing w:val="-6"/>
          <w:sz w:val="24"/>
          <w:szCs w:val="24"/>
          <w:rtl/>
        </w:rPr>
        <w:t>أكدت دراسة القمة الوزارية العالمية لسلامة المرضى (2023)</w:t>
      </w:r>
      <w:r w:rsidR="00BE4763" w:rsidRPr="00065189">
        <w:rPr>
          <w:rFonts w:ascii="Traditional Arabic" w:hAnsi="Traditional Arabic" w:cs="Traditional Arabic" w:hint="cs"/>
          <w:spacing w:val="-6"/>
          <w:sz w:val="24"/>
          <w:szCs w:val="24"/>
          <w:rtl/>
        </w:rPr>
        <w:t xml:space="preserve"> أن السلامة السريرية يجب أن تُعامل كقضية صحية عامة ذات أولوية استراتيجية، وليست مجرد ممارسة داخلية محدودة النطاق. وقد هدفت الدراسة إلى صياغة إطار دولي موحد للممارسات الآمنة، من خلال جمع وتحليل بيانات من 27 دولة أوروبية وآسيوية، بهدف تقييم مدى جاهزية الأنظمة الصحية لاعتماد سياسات وطنية فعالة في مجال السلامة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اعتمدت الدراسة على منهج مقارن دولي، واستخدمت استبانة معيارية صممتها فرق العمل التابعة للقمة الوزارية، وشملت محاور متعددة تتعلق بوجود استراتيجيات وطنية، آليات الإبلاغ، نظم الحوكمة، والتدريب على السلامة. تم توزيع الاستبانة على ممثلين من وزارات الصحة، هيئات الاعتماد، والمؤسسات الأكاديمية، وتم تحليل البيانات باستخدام أدوات إحصائية وصفية ومقارنة بين الدول المشاركة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شملت العينة ممثلين رسميين من 27 دولة، موزعين بين أوروبا وآسيا، بما في ذلك دول ذات نظم صحية متقدمة وأخرى في مراحل تطوير السياسات الصحية</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تم اختيار المشاركين من الجهات الحكومية والمؤسسات المعنية بوضع السياسات، لضمان دقة التقييم وارتباطه بالقرارات الاستراتيجية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أظهرت نتائج الدراسة أن 73% من الدول المشاركة تفتقر إلى استراتيجيات وطنية واضحة ومتكاملة للسلامة، كما كشفت عن تفاوت كبير في تطبيق الممارسات الآمنة، وغياب التنسيق الدولي في تبادل المعرفة والخبرات</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بيّنت الدراسة أن غياب الأطر الموحدة يعيق بناء ثقافة عالمية للسلامة، ويحد من قدرة الدول على مواجهة التحديات السريرية المشتركة</w:t>
      </w:r>
      <w:r w:rsidR="00DF5CAE" w:rsidRPr="00065189">
        <w:rPr>
          <w:rFonts w:ascii="Traditional Arabic" w:hAnsi="Traditional Arabic" w:cs="Traditional Arabic" w:hint="cs"/>
          <w:spacing w:val="-6"/>
          <w:sz w:val="24"/>
          <w:szCs w:val="24"/>
          <w:rtl/>
          <w:lang w:bidi="ar-EG"/>
        </w:rPr>
        <w:t>،</w:t>
      </w:r>
      <w:r w:rsidR="00BE4763" w:rsidRPr="00065189">
        <w:rPr>
          <w:rFonts w:ascii="Traditional Arabic" w:hAnsi="Traditional Arabic" w:cs="Traditional Arabic" w:hint="cs"/>
          <w:spacing w:val="-6"/>
          <w:sz w:val="24"/>
          <w:szCs w:val="24"/>
          <w:rtl/>
        </w:rPr>
        <w:t xml:space="preserve">واختتمت الدراسة بتوصيات محورية، أبرزها اعتماد </w:t>
      </w:r>
      <w:r w:rsidR="00BE4763" w:rsidRPr="00065189">
        <w:rPr>
          <w:rFonts w:ascii="Traditional Arabic" w:hAnsi="Traditional Arabic" w:cs="Traditional Arabic" w:hint="cs"/>
          <w:spacing w:val="-6"/>
          <w:sz w:val="24"/>
          <w:szCs w:val="24"/>
          <w:lang w:bidi="ar-EG"/>
        </w:rPr>
        <w:t>"</w:t>
      </w:r>
      <w:r w:rsidR="00BE4763" w:rsidRPr="00065189">
        <w:rPr>
          <w:rFonts w:ascii="Traditional Arabic" w:hAnsi="Traditional Arabic" w:cs="Traditional Arabic" w:hint="cs"/>
          <w:spacing w:val="-6"/>
          <w:sz w:val="24"/>
          <w:szCs w:val="24"/>
          <w:rtl/>
        </w:rPr>
        <w:t>ميثاق مونترو</w:t>
      </w:r>
      <w:r w:rsidR="00BE4763" w:rsidRPr="00065189">
        <w:rPr>
          <w:rFonts w:ascii="Traditional Arabic" w:hAnsi="Traditional Arabic" w:cs="Traditional Arabic" w:hint="cs"/>
          <w:spacing w:val="-6"/>
          <w:sz w:val="24"/>
          <w:szCs w:val="24"/>
          <w:lang w:bidi="ar-EG"/>
        </w:rPr>
        <w:t xml:space="preserve">" </w:t>
      </w:r>
      <w:r w:rsidR="00BE4763" w:rsidRPr="00065189">
        <w:rPr>
          <w:rFonts w:ascii="Traditional Arabic" w:hAnsi="Traditional Arabic" w:cs="Traditional Arabic" w:hint="cs"/>
          <w:spacing w:val="-6"/>
          <w:sz w:val="24"/>
          <w:szCs w:val="24"/>
          <w:rtl/>
        </w:rPr>
        <w:t>كوثيقة دولية مرجعية لتعزيز السلامة، وتأسيس شبكات دولية لتبادل المعرفة والخبرات، إلى جانب دعم الدول في بناء استراتيجيات وطنية متكاملة، وتوفير أدوات تقييم معيارية تساعد في قياس التقدم وتحديد الفجوات</w:t>
      </w:r>
      <w:r w:rsidR="00BE4763" w:rsidRPr="00065189">
        <w:rPr>
          <w:rFonts w:ascii="Traditional Arabic" w:hAnsi="Traditional Arabic" w:cs="Traditional Arabic" w:hint="cs"/>
          <w:spacing w:val="-6"/>
          <w:sz w:val="24"/>
          <w:szCs w:val="24"/>
          <w:lang w:bidi="ar-EG"/>
        </w:rPr>
        <w:t>.</w:t>
      </w:r>
    </w:p>
    <w:p w14:paraId="3CD90AA7" w14:textId="7780FDA9" w:rsidR="00247B2B" w:rsidRPr="00065189" w:rsidRDefault="00247B2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كما توصلت دراسة</w:t>
      </w:r>
      <w:r w:rsidRPr="00065189">
        <w:rPr>
          <w:rFonts w:ascii="Traditional Arabic" w:hAnsi="Traditional Arabic" w:cs="Traditional Arabic" w:hint="cs"/>
          <w:b/>
          <w:bCs/>
          <w:spacing w:val="-6"/>
          <w:sz w:val="24"/>
          <w:szCs w:val="24"/>
        </w:rPr>
        <w:t xml:space="preserve"> HealthySimulation (2024)</w:t>
      </w:r>
      <w:r w:rsidRPr="00065189">
        <w:rPr>
          <w:rFonts w:ascii="Traditional Arabic" w:hAnsi="Traditional Arabic" w:cs="Traditional Arabic" w:hint="cs"/>
          <w:spacing w:val="-6"/>
          <w:sz w:val="24"/>
          <w:szCs w:val="24"/>
        </w:rPr>
        <w:t xml:space="preserve"> </w:t>
      </w:r>
      <w:r w:rsidRPr="00065189">
        <w:rPr>
          <w:rFonts w:ascii="Traditional Arabic" w:hAnsi="Traditional Arabic" w:cs="Traditional Arabic" w:hint="cs"/>
          <w:spacing w:val="-6"/>
          <w:sz w:val="24"/>
          <w:szCs w:val="24"/>
          <w:rtl/>
        </w:rPr>
        <w:t xml:space="preserve">إلى الدور الحيوي الذي تلعبه تقنيات المحاكاة في تحسين جودة التدريب التمريضي، خصوصًا في البيئات التعليمية المستمرة. وقد أجريت الدراسة داخل مركز التعليم المستمر في مدينة الملك عبدالعزيز الطبية بالرياض، وهدفت إلى </w:t>
      </w:r>
      <w:r w:rsidRPr="00065189">
        <w:rPr>
          <w:rFonts w:ascii="Traditional Arabic" w:hAnsi="Traditional Arabic" w:cs="Traditional Arabic" w:hint="cs"/>
          <w:spacing w:val="-6"/>
          <w:sz w:val="24"/>
          <w:szCs w:val="24"/>
          <w:rtl/>
        </w:rPr>
        <w:lastRenderedPageBreak/>
        <w:t>تقييم أثر استخدام المحاكاة السريرية على أداء الممرضين في سياق السلامة المهنية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واعتمدت الدراسة على منهج شبه تجريبي، حيث تم تقسيم العينة إلى مجموعتين: مجموعة خضعت لجلسات محاكاة سريرية مكثفة، وأخرى تلقت تدريبًا تقليديًا. بلغ حجم العينة 60 متدربًا من الكوادر التمريضية، تم اختيارهم من برامج التطوير المهني المستمر، وتنوعت خلفياتهم بين حديثي التخرج والممارسين ذوي الخبرة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واستخدمت الدراسة أدوات تقييم معيارية لقياس الأداء في اختبارات السلامة السريرية، شملت سيناريوهات محاكاة واقعية تحاكي مواقف حرجة مثل التعامل مع الأخطاء الدوائية، منع العدوى، والتواصل الفعّال مع الفريق الطبي</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تم تحليل النتائج باستخدام مؤشرات الأداء الكمي، ومقارنة نسب التحسن بين المجموعتين</w:t>
      </w:r>
      <w:r w:rsidR="00AB0D32"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وأظهرت النتائج أن المتدربين الذين خضعوا لجلسات المحاكاة سجلوا نتائج أفضل بنسبة 46% في اختبارات السلامة مقارنة بالمجموعة الضابطة، مما يدل على فعالية المحاكاة في تعزيز المهارات السريرية دون تعريض المرضى للخطر. كما لاحظ الباحثون تحسنًا في سرعة الاستجابة، دقة اتخاذ القرار، وثقة المتدربين في التعامل مع الحالات المعقدة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وأوصت الدراسة بضرورة تضمين المحاكاة السريرية كعنصر أساسي في برامج الاعتماد التمريضي، والتوسع في استخدامها ضمن التدريب الدوري للممارسين الصحيين، لما لها من أثر مباشر في تقليل الأخطاء وتحسين جودة الرعاية</w:t>
      </w:r>
      <w:r w:rsidRPr="00065189">
        <w:rPr>
          <w:rFonts w:ascii="Traditional Arabic" w:hAnsi="Traditional Arabic" w:cs="Traditional Arabic" w:hint="cs"/>
          <w:spacing w:val="-6"/>
          <w:sz w:val="24"/>
          <w:szCs w:val="24"/>
        </w:rPr>
        <w:t>.</w:t>
      </w:r>
    </w:p>
    <w:p w14:paraId="33ADD4FA" w14:textId="7B4921B3" w:rsidR="00F44C52" w:rsidRPr="00065189" w:rsidRDefault="00B552F4" w:rsidP="00065189">
      <w:pPr>
        <w:bidi/>
        <w:spacing w:after="200" w:line="360" w:lineRule="auto"/>
        <w:ind w:firstLine="720"/>
        <w:jc w:val="both"/>
        <w:rPr>
          <w:rFonts w:ascii="Traditional Arabic" w:hAnsi="Traditional Arabic" w:cs="Traditional Arabic"/>
          <w:spacing w:val="-6"/>
          <w:sz w:val="24"/>
          <w:szCs w:val="24"/>
          <w:rtl/>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هدفت دراسة منظمة الصحة العالمية (2024)</w:t>
      </w:r>
      <w:r w:rsidRPr="00065189">
        <w:rPr>
          <w:rFonts w:ascii="Traditional Arabic" w:hAnsi="Traditional Arabic" w:cs="Traditional Arabic" w:hint="cs"/>
          <w:spacing w:val="-6"/>
          <w:sz w:val="24"/>
          <w:szCs w:val="24"/>
          <w:rtl/>
        </w:rPr>
        <w:t xml:space="preserve"> إلى إصدار تقرير عالمي شامل يرصد جهود الدول في تعزيز سلامة المرضى، وذلك ضمن إطار دعم السياسات الصحية المستندة إلى البيانات. وقد سعت الدراسة إلى إنشاء قاعدة بيانات دولية لرصد التقدم المحقق، وتحديد الفجوات المنهجية والتنفيذية في أنظمة السلامة، مع التركيز على دعم الدول منخفضة الموارد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وا</w:t>
      </w:r>
      <w:r w:rsidRPr="00065189">
        <w:rPr>
          <w:rFonts w:ascii="Traditional Arabic" w:hAnsi="Traditional Arabic" w:cs="Traditional Arabic" w:hint="cs"/>
          <w:spacing w:val="-6"/>
          <w:sz w:val="24"/>
          <w:szCs w:val="24"/>
          <w:rtl/>
        </w:rPr>
        <w:t>عتمدت الدراسة على منهج وصفي تحليلي، وجمعت بياناتها من 102 دولة تمثل مختلف الأقاليم الجغرافية والدخل الاقتصادي، بما في ذلك دول ذات نظم صحية متقدمة وأخرى في مراحل بناء البنية التحتية للسلامة. وقد تم جمع البيانات من خلال استبيانات معيارية وتقارير وطنية رسمية، إضافة إلى مقابلات مع ممثلين من وزارات الصحة وهيئات الاعتماد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استخدمت الدراسة أدوات تقييم متعددة، شملت مؤشرات وجود أنظمة الإبلاغ عن الحوادث، أهداف الحد من العدوى، برامج التدريب، ونظم التحليل الجذري للأسباب. كما تم تحليل البيانات باستخدام تقنيات المقارنة المعيارية، وتصنيف الدول حسب مستوى التقدم في تنفيذ استراتيجيات السلامة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أن 36% فقط من الدول تمتلك أنظمة فعالة للإبلاغ عن الحوادث السريرية، بينما وضعت 31% أهدافًا وطنية واضحة للحد من العدوى المرتبطة بالرعاية الصحية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كشفت الدراسة عن تفاوت كبير في قدرة الدول على تطبيق أدوات التحليل الجذري، خاصة في البيئات منخفضة الموارد، مما يعيق التعلم من الأخطاء وتحسين الممارسات</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وقد أوصى التقرير بضرورة دعم الدول منخفضة الموارد من خلال بناء القدرات، وتوفير أدوات تدريب معيارية لتحليل الأسباب الجذرية، إلى جانب تعزيز التعاون الدولي في تبادل البيانات والخبرات. كما شدد على أهمية إدماج مؤشرات السلامة في الخطط الوطنية، وتطوير آليات رقابية تضمن استدامة التقدم</w:t>
      </w:r>
      <w:r w:rsidRPr="00065189">
        <w:rPr>
          <w:rFonts w:ascii="Traditional Arabic" w:hAnsi="Traditional Arabic" w:cs="Traditional Arabic" w:hint="cs"/>
          <w:spacing w:val="-6"/>
          <w:sz w:val="24"/>
          <w:szCs w:val="24"/>
          <w:lang w:bidi="ar-EG"/>
        </w:rPr>
        <w:t>.</w:t>
      </w:r>
    </w:p>
    <w:p w14:paraId="441E039D" w14:textId="48362B25" w:rsidR="00F44C52" w:rsidRDefault="00F44C52"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سلطت دراسة الهيئة السعودية للتخصصات الصحية (2025) الضوء على أهمية دمج مفاهيم السلامة المهنية في مناهج التعليم الصحي</w:t>
      </w:r>
      <w:r w:rsidRPr="00065189">
        <w:rPr>
          <w:rFonts w:ascii="Traditional Arabic" w:hAnsi="Traditional Arabic" w:cs="Traditional Arabic" w:hint="cs"/>
          <w:spacing w:val="-6"/>
          <w:sz w:val="24"/>
          <w:szCs w:val="24"/>
          <w:rtl/>
        </w:rPr>
        <w:t>، باعتبارها خطوة استراتيجية نحو بناء ثقافة وقائية مستدامة تبدأ من المراحل الأكاديمية الأولى</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هدفت الدراسة إلى تقييم أثر إدخال محاور السلامة ضمن المناهج الدراسية في ثلاث كليات صحية موزعة بين الرياض، جدة، والدمام</w:t>
      </w:r>
      <w:r w:rsidR="00AB0D32"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 xml:space="preserve">اعتمدت الدراسة على منهج شبه تجريبي، حيث تم تطبيق البرنامج التدريبي على عينة مكونة من 220 طالبًا وطالبة من تخصصات طبية وتمريضية، وتم قياس مستوى المعرفة والسلوكيات الوقائية قبل وبعد إدخال </w:t>
      </w:r>
      <w:r w:rsidRPr="00065189">
        <w:rPr>
          <w:rFonts w:ascii="Traditional Arabic" w:hAnsi="Traditional Arabic" w:cs="Traditional Arabic" w:hint="cs"/>
          <w:spacing w:val="-6"/>
          <w:sz w:val="24"/>
          <w:szCs w:val="24"/>
          <w:rtl/>
        </w:rPr>
        <w:lastRenderedPageBreak/>
        <w:t>المحاور التدريبية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شملت أدوات الدراسة استبيانات معيارية، اختبارات أداء، وملاحظات ميدانية داخل المختبرات والمحاكاة السريرية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ركزت الدراسة على ترسيخ السلوكيات الوقائية، مثل الالتزام بإجراءات مكافحة العدوى، التعامل الآمن مع الأدوات الطبية، والتواصل الفعّال في بيئة الرعاية. كما تم تطوير دليل تدريبي وطني للتعليم الآمن، يتضمن وحدات تعليمية، سيناريوهات محاكاة، وأدوات تقييم معيارية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تحسنًا بنسبة 53% في تطبيق إجراءات السلامة بين الطلاب بعد إدخال المحاور التدريبية، كما لوحظ ارتفاع في مستوى الوعي بالمخاطر السريرية، وزيادة الالتزام بالإجراءات الوقائية داخل البيئات التعليمية. وقد بيّنت الدراسة أن دمج السلامة في التعليم لا يقتصر على المعرفة النظرية، بل يسهم في بناء ممارسات مهنية راسخة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وأوصت الدراسة بتأسيس مراكز بحثية متخصصة في التعليم الآمن، وتعميم الدليل الوطني على جميع المؤسسات التعليمية الصحية، إلى جانب تطوير سياسات اعتماد أكاديمي تضمن إدماج السلامة كعنصر أساسي في التقييم والتخرج</w:t>
      </w:r>
      <w:r w:rsidRPr="00065189">
        <w:rPr>
          <w:rFonts w:ascii="Traditional Arabic" w:hAnsi="Traditional Arabic" w:cs="Traditional Arabic" w:hint="cs"/>
          <w:spacing w:val="-6"/>
          <w:sz w:val="24"/>
          <w:szCs w:val="24"/>
          <w:lang w:bidi="ar-EG"/>
        </w:rPr>
        <w:t>.</w:t>
      </w:r>
    </w:p>
    <w:p w14:paraId="3E1606F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C37277C"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B3C862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E7E2F0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6859F3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A38F44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C84A7A0"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13E977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8A3E2F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F6233FB"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90AB22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8FBB1E2"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18E08040" w14:textId="77777777" w:rsidR="00396DF7" w:rsidRPr="00065189" w:rsidRDefault="00396DF7" w:rsidP="00396DF7">
      <w:pPr>
        <w:bidi/>
        <w:spacing w:after="200" w:line="360" w:lineRule="auto"/>
        <w:ind w:firstLine="720"/>
        <w:jc w:val="both"/>
        <w:rPr>
          <w:rFonts w:ascii="Traditional Arabic" w:hAnsi="Traditional Arabic" w:cs="Traditional Arabic"/>
          <w:spacing w:val="-6"/>
          <w:sz w:val="24"/>
          <w:szCs w:val="24"/>
          <w:rtl/>
          <w:lang w:bidi="ar-EG"/>
        </w:rPr>
      </w:pPr>
    </w:p>
    <w:p w14:paraId="360B5E53" w14:textId="77777777" w:rsidR="00396DF7" w:rsidRDefault="00396DF7" w:rsidP="004D510A">
      <w:pPr>
        <w:bidi/>
        <w:spacing w:after="200" w:line="276" w:lineRule="auto"/>
        <w:jc w:val="center"/>
        <w:rPr>
          <w:rFonts w:ascii="Traditional Arabic" w:hAnsi="Traditional Arabic" w:cs="Traditional Arabic"/>
          <w:b/>
          <w:bCs/>
          <w:spacing w:val="-6"/>
          <w:sz w:val="24"/>
          <w:szCs w:val="24"/>
          <w:rtl/>
          <w:lang w:bidi="ar-EG"/>
        </w:rPr>
      </w:pPr>
    </w:p>
    <w:p w14:paraId="7BD66473" w14:textId="2BFA2287" w:rsidR="004D510A" w:rsidRPr="00396DF7" w:rsidRDefault="004D510A" w:rsidP="00396DF7">
      <w:pPr>
        <w:bidi/>
        <w:spacing w:after="200" w:line="276" w:lineRule="auto"/>
        <w:jc w:val="center"/>
        <w:rPr>
          <w:rFonts w:ascii="Traditional Arabic" w:hAnsi="Traditional Arabic" w:cs="Traditional Arabic"/>
          <w:b/>
          <w:bCs/>
          <w:spacing w:val="-6"/>
          <w:sz w:val="24"/>
          <w:szCs w:val="24"/>
          <w:rtl/>
          <w:lang w:bidi="ar-EG"/>
        </w:rPr>
      </w:pPr>
      <w:r w:rsidRPr="00396DF7">
        <w:rPr>
          <w:rFonts w:ascii="Traditional Arabic" w:hAnsi="Traditional Arabic" w:cs="Traditional Arabic" w:hint="cs"/>
          <w:b/>
          <w:bCs/>
          <w:spacing w:val="-6"/>
          <w:sz w:val="24"/>
          <w:szCs w:val="24"/>
          <w:rtl/>
          <w:lang w:bidi="ar-EG"/>
        </w:rPr>
        <w:lastRenderedPageBreak/>
        <w:t xml:space="preserve">جدول ( </w:t>
      </w:r>
      <w:r w:rsidR="00AB0D32" w:rsidRPr="00396DF7">
        <w:rPr>
          <w:rFonts w:ascii="Traditional Arabic" w:hAnsi="Traditional Arabic" w:cs="Traditional Arabic" w:hint="cs"/>
          <w:b/>
          <w:bCs/>
          <w:spacing w:val="-6"/>
          <w:sz w:val="24"/>
          <w:szCs w:val="24"/>
          <w:rtl/>
          <w:lang w:bidi="ar-EG"/>
        </w:rPr>
        <w:t>7</w:t>
      </w:r>
      <w:r w:rsidRPr="00396DF7">
        <w:rPr>
          <w:rFonts w:ascii="Traditional Arabic" w:hAnsi="Traditional Arabic" w:cs="Traditional Arabic" w:hint="cs"/>
          <w:b/>
          <w:bCs/>
          <w:spacing w:val="-6"/>
          <w:sz w:val="24"/>
          <w:szCs w:val="24"/>
          <w:rtl/>
          <w:lang w:bidi="ar-EG"/>
        </w:rPr>
        <w:t xml:space="preserve"> ) دراسات سابقة حول سلامة المرضى</w:t>
      </w:r>
      <w:r w:rsidR="00AB0D32" w:rsidRPr="00396DF7">
        <w:rPr>
          <w:rFonts w:ascii="Traditional Arabic" w:hAnsi="Traditional Arabic" w:cs="Traditional Arabic" w:hint="cs"/>
          <w:b/>
          <w:bCs/>
          <w:spacing w:val="-6"/>
          <w:sz w:val="24"/>
          <w:szCs w:val="24"/>
          <w:rtl/>
          <w:lang w:bidi="ar-EG"/>
        </w:rPr>
        <w:t>.</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27"/>
        <w:gridCol w:w="2015"/>
        <w:gridCol w:w="2019"/>
        <w:gridCol w:w="2015"/>
      </w:tblGrid>
      <w:tr w:rsidR="009B7D3B" w:rsidRPr="00C237AD" w14:paraId="78493900" w14:textId="77777777" w:rsidTr="00396DF7">
        <w:tc>
          <w:tcPr>
            <w:tcW w:w="2074" w:type="dxa"/>
            <w:shd w:val="clear" w:color="auto" w:fill="E5DFEC" w:themeFill="accent4" w:themeFillTint="33"/>
          </w:tcPr>
          <w:p w14:paraId="0F80444D" w14:textId="455CB137"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bookmarkStart w:id="8" w:name="_Hlk208973844"/>
            <w:r w:rsidRPr="00C237AD">
              <w:rPr>
                <w:rFonts w:ascii="Traditional Arabic" w:hAnsi="Traditional Arabic" w:cs="Traditional Arabic" w:hint="cs"/>
                <w:b/>
                <w:bCs/>
                <w:spacing w:val="-6"/>
                <w:sz w:val="24"/>
                <w:szCs w:val="24"/>
                <w:rtl/>
                <w:lang w:bidi="ar-EG"/>
              </w:rPr>
              <w:t>الدراسة</w:t>
            </w:r>
          </w:p>
        </w:tc>
        <w:tc>
          <w:tcPr>
            <w:tcW w:w="2074" w:type="dxa"/>
            <w:shd w:val="clear" w:color="auto" w:fill="E5DFEC" w:themeFill="accent4" w:themeFillTint="33"/>
          </w:tcPr>
          <w:p w14:paraId="46C8EADB" w14:textId="63EBBDED"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الهدف</w:t>
            </w:r>
          </w:p>
        </w:tc>
        <w:tc>
          <w:tcPr>
            <w:tcW w:w="2074" w:type="dxa"/>
            <w:shd w:val="clear" w:color="auto" w:fill="E5DFEC" w:themeFill="accent4" w:themeFillTint="33"/>
          </w:tcPr>
          <w:p w14:paraId="24E6A5D5" w14:textId="29B44D79"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النتيجة</w:t>
            </w:r>
          </w:p>
        </w:tc>
        <w:tc>
          <w:tcPr>
            <w:tcW w:w="2074" w:type="dxa"/>
            <w:shd w:val="clear" w:color="auto" w:fill="E5DFEC" w:themeFill="accent4" w:themeFillTint="33"/>
          </w:tcPr>
          <w:p w14:paraId="3F74A0CA" w14:textId="31697495"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الفرق بينها وبين دراستي</w:t>
            </w:r>
          </w:p>
        </w:tc>
      </w:tr>
      <w:tr w:rsidR="009B7D3B" w:rsidRPr="00C237AD" w14:paraId="7F7BF7BD" w14:textId="77777777" w:rsidTr="000F5925">
        <w:tc>
          <w:tcPr>
            <w:tcW w:w="2074" w:type="dxa"/>
          </w:tcPr>
          <w:p w14:paraId="2C1CAA1D" w14:textId="27306AE3"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ريم وحسن</w:t>
            </w:r>
            <w:r w:rsidR="00C237AD">
              <w:rPr>
                <w:rFonts w:ascii="Traditional Arabic" w:hAnsi="Traditional Arabic" w:cs="Traditional Arabic" w:hint="cs"/>
                <w:b/>
                <w:bCs/>
                <w:spacing w:val="-6"/>
                <w:sz w:val="24"/>
                <w:szCs w:val="24"/>
                <w:rtl/>
              </w:rPr>
              <w:t xml:space="preserve"> </w:t>
            </w:r>
            <w:r w:rsidRPr="00C237AD">
              <w:rPr>
                <w:rFonts w:ascii="Traditional Arabic" w:hAnsi="Traditional Arabic" w:cs="Traditional Arabic" w:hint="cs"/>
                <w:b/>
                <w:bCs/>
                <w:spacing w:val="-6"/>
                <w:sz w:val="24"/>
                <w:szCs w:val="24"/>
                <w:lang w:bidi="ar-EG"/>
              </w:rPr>
              <w:t xml:space="preserve"> (2020)</w:t>
            </w:r>
          </w:p>
        </w:tc>
        <w:tc>
          <w:tcPr>
            <w:tcW w:w="2074" w:type="dxa"/>
          </w:tcPr>
          <w:p w14:paraId="62B6F0C7" w14:textId="7BB400C4"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تحليل التحديات التنظيمية واللوجستية التي تواجه سلامة المرضى خلال جائحة كوفيد-19</w:t>
            </w:r>
            <w:r w:rsidRPr="00C237AD">
              <w:rPr>
                <w:rFonts w:ascii="Traditional Arabic" w:hAnsi="Traditional Arabic" w:cs="Traditional Arabic" w:hint="cs"/>
                <w:b/>
                <w:bCs/>
                <w:spacing w:val="-6"/>
                <w:sz w:val="24"/>
                <w:szCs w:val="24"/>
                <w:lang w:bidi="ar-EG"/>
              </w:rPr>
              <w:t>.</w:t>
            </w:r>
          </w:p>
        </w:tc>
        <w:tc>
          <w:tcPr>
            <w:tcW w:w="2074" w:type="dxa"/>
          </w:tcPr>
          <w:p w14:paraId="1F3FDEC2" w14:textId="45EE8E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نقص معدات الحماية وضعف التنسيق بين الفرق الطبية رفع معدل الأخطاء السريرية بنسبة 35</w:t>
            </w:r>
            <w:r w:rsidRPr="00C237AD">
              <w:rPr>
                <w:rFonts w:ascii="Traditional Arabic" w:hAnsi="Traditional Arabic" w:cs="Traditional Arabic" w:hint="cs"/>
                <w:b/>
                <w:bCs/>
                <w:spacing w:val="-6"/>
                <w:sz w:val="24"/>
                <w:szCs w:val="24"/>
                <w:lang w:bidi="ar-EG"/>
              </w:rPr>
              <w:t>%.</w:t>
            </w:r>
          </w:p>
        </w:tc>
        <w:tc>
          <w:tcPr>
            <w:tcW w:w="2074" w:type="dxa"/>
          </w:tcPr>
          <w:p w14:paraId="7051717F" w14:textId="1C8C7159"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في إدارة المخاطر، بينما هذه الدراسة تناولت تحديات طارئة في سياق وبائي</w:t>
            </w:r>
            <w:r w:rsidRPr="00C237AD">
              <w:rPr>
                <w:rFonts w:ascii="Traditional Arabic" w:hAnsi="Traditional Arabic" w:cs="Traditional Arabic" w:hint="cs"/>
                <w:b/>
                <w:bCs/>
                <w:spacing w:val="-6"/>
                <w:sz w:val="24"/>
                <w:szCs w:val="24"/>
                <w:lang w:bidi="ar-EG"/>
              </w:rPr>
              <w:t>.</w:t>
            </w:r>
          </w:p>
        </w:tc>
      </w:tr>
      <w:tr w:rsidR="009B7D3B" w:rsidRPr="00C237AD" w14:paraId="688CC5B5" w14:textId="77777777" w:rsidTr="000F5925">
        <w:tc>
          <w:tcPr>
            <w:tcW w:w="2074" w:type="dxa"/>
          </w:tcPr>
          <w:p w14:paraId="51DC0F5C" w14:textId="6DDA74B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آلاء أحمد ومحمد عفيفي</w:t>
            </w:r>
            <w:r w:rsidRPr="00C237AD">
              <w:rPr>
                <w:rFonts w:ascii="Traditional Arabic" w:hAnsi="Traditional Arabic" w:cs="Traditional Arabic" w:hint="cs"/>
                <w:b/>
                <w:bCs/>
                <w:spacing w:val="-6"/>
                <w:sz w:val="24"/>
                <w:szCs w:val="24"/>
                <w:lang w:bidi="ar-EG"/>
              </w:rPr>
              <w:t xml:space="preserve"> (2021)</w:t>
            </w:r>
          </w:p>
        </w:tc>
        <w:tc>
          <w:tcPr>
            <w:tcW w:w="2074" w:type="dxa"/>
          </w:tcPr>
          <w:p w14:paraId="02462673" w14:textId="6E7773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تطبيق نظم إدارة المخاطر على جودة الرعاية وسلامة المرضى في مستشفيات جدة</w:t>
            </w:r>
            <w:r w:rsidRPr="00C237AD">
              <w:rPr>
                <w:rFonts w:ascii="Traditional Arabic" w:hAnsi="Traditional Arabic" w:cs="Traditional Arabic" w:hint="cs"/>
                <w:b/>
                <w:bCs/>
                <w:spacing w:val="-6"/>
                <w:sz w:val="24"/>
                <w:szCs w:val="24"/>
                <w:lang w:bidi="ar-EG"/>
              </w:rPr>
              <w:t>.</w:t>
            </w:r>
          </w:p>
        </w:tc>
        <w:tc>
          <w:tcPr>
            <w:tcW w:w="2074" w:type="dxa"/>
          </w:tcPr>
          <w:p w14:paraId="583DBE13" w14:textId="46D5642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تطبيق النظم حسّن جودة الرعاية بنسبة 60% والسلامة السريرية بنسبة 50</w:t>
            </w:r>
            <w:r w:rsidRPr="00C237AD">
              <w:rPr>
                <w:rFonts w:ascii="Traditional Arabic" w:hAnsi="Traditional Arabic" w:cs="Traditional Arabic" w:hint="cs"/>
                <w:b/>
                <w:bCs/>
                <w:spacing w:val="-6"/>
                <w:sz w:val="24"/>
                <w:szCs w:val="24"/>
                <w:lang w:bidi="ar-EG"/>
              </w:rPr>
              <w:t>%.</w:t>
            </w:r>
          </w:p>
        </w:tc>
        <w:tc>
          <w:tcPr>
            <w:tcW w:w="2074" w:type="dxa"/>
          </w:tcPr>
          <w:p w14:paraId="53B1D6DD" w14:textId="7F062D61"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w:t>
            </w:r>
            <w:r w:rsidR="00ED053A" w:rsidRPr="00C237AD">
              <w:rPr>
                <w:rFonts w:ascii="Traditional Arabic" w:hAnsi="Traditional Arabic" w:cs="Traditional Arabic" w:hint="cs"/>
                <w:b/>
                <w:bCs/>
                <w:spacing w:val="-6"/>
                <w:sz w:val="24"/>
                <w:szCs w:val="24"/>
                <w:rtl/>
              </w:rPr>
              <w:t>ي</w:t>
            </w:r>
            <w:r w:rsidRPr="00C237AD">
              <w:rPr>
                <w:rFonts w:ascii="Traditional Arabic" w:hAnsi="Traditional Arabic" w:cs="Traditional Arabic" w:hint="cs"/>
                <w:b/>
                <w:bCs/>
                <w:spacing w:val="-6"/>
                <w:sz w:val="24"/>
                <w:szCs w:val="24"/>
                <w:rtl/>
              </w:rPr>
              <w:t xml:space="preserve"> تضيف البُعد القيادي التحويلي، بينما هذه الدراسة ركزت على الأثر المباشر للإدارة الوقائية</w:t>
            </w:r>
            <w:r w:rsidRPr="00C237AD">
              <w:rPr>
                <w:rFonts w:ascii="Traditional Arabic" w:hAnsi="Traditional Arabic" w:cs="Traditional Arabic" w:hint="cs"/>
                <w:b/>
                <w:bCs/>
                <w:spacing w:val="-6"/>
                <w:sz w:val="24"/>
                <w:szCs w:val="24"/>
                <w:lang w:bidi="ar-EG"/>
              </w:rPr>
              <w:t>.</w:t>
            </w:r>
          </w:p>
        </w:tc>
      </w:tr>
      <w:tr w:rsidR="009B7D3B" w:rsidRPr="00C237AD" w14:paraId="287CD710" w14:textId="77777777" w:rsidTr="000F5925">
        <w:tc>
          <w:tcPr>
            <w:tcW w:w="2074" w:type="dxa"/>
          </w:tcPr>
          <w:p w14:paraId="7B89A065" w14:textId="28EFCDA5"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نعيمة القصير</w:t>
            </w:r>
            <w:r w:rsidRPr="00C237AD">
              <w:rPr>
                <w:rFonts w:ascii="Traditional Arabic" w:hAnsi="Traditional Arabic" w:cs="Traditional Arabic" w:hint="cs"/>
                <w:b/>
                <w:bCs/>
                <w:spacing w:val="-6"/>
                <w:sz w:val="24"/>
                <w:szCs w:val="24"/>
                <w:lang w:bidi="ar-EG"/>
              </w:rPr>
              <w:t xml:space="preserve"> (2022)</w:t>
            </w:r>
          </w:p>
        </w:tc>
        <w:tc>
          <w:tcPr>
            <w:tcW w:w="2074" w:type="dxa"/>
          </w:tcPr>
          <w:p w14:paraId="69DB3541" w14:textId="4902F2C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إشراك المرضى في السياسات الصحية على جودة الرعاية وتقليل الأخطاء السريرية</w:t>
            </w:r>
            <w:r w:rsidRPr="00C237AD">
              <w:rPr>
                <w:rFonts w:ascii="Traditional Arabic" w:hAnsi="Traditional Arabic" w:cs="Traditional Arabic" w:hint="cs"/>
                <w:b/>
                <w:bCs/>
                <w:spacing w:val="-6"/>
                <w:sz w:val="24"/>
                <w:szCs w:val="24"/>
                <w:lang w:bidi="ar-EG"/>
              </w:rPr>
              <w:t>.</w:t>
            </w:r>
          </w:p>
        </w:tc>
        <w:tc>
          <w:tcPr>
            <w:tcW w:w="2074" w:type="dxa"/>
          </w:tcPr>
          <w:p w14:paraId="1996F47A" w14:textId="264B3B9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الأخطاء بنسبة 17% وزادت رضا المرضى والتزام الطاقم بالإجراءات الوقائية</w:t>
            </w:r>
            <w:r w:rsidRPr="00C237AD">
              <w:rPr>
                <w:rFonts w:ascii="Traditional Arabic" w:hAnsi="Traditional Arabic" w:cs="Traditional Arabic" w:hint="cs"/>
                <w:b/>
                <w:bCs/>
                <w:spacing w:val="-6"/>
                <w:sz w:val="24"/>
                <w:szCs w:val="24"/>
                <w:lang w:bidi="ar-EG"/>
              </w:rPr>
              <w:t>.</w:t>
            </w:r>
          </w:p>
        </w:tc>
        <w:tc>
          <w:tcPr>
            <w:tcW w:w="2074" w:type="dxa"/>
          </w:tcPr>
          <w:p w14:paraId="4F2DBB72" w14:textId="2B71E00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الفريق الطبي، بينما هذه الدراسة ركزت على دور المرضى كشركاء في السلامة</w:t>
            </w:r>
            <w:r w:rsidRPr="00C237AD">
              <w:rPr>
                <w:rFonts w:ascii="Traditional Arabic" w:hAnsi="Traditional Arabic" w:cs="Traditional Arabic" w:hint="cs"/>
                <w:b/>
                <w:bCs/>
                <w:spacing w:val="-6"/>
                <w:sz w:val="24"/>
                <w:szCs w:val="24"/>
                <w:lang w:bidi="ar-EG"/>
              </w:rPr>
              <w:t>.</w:t>
            </w:r>
          </w:p>
        </w:tc>
      </w:tr>
      <w:tr w:rsidR="009B7D3B" w:rsidRPr="00C237AD" w14:paraId="77025C29" w14:textId="77777777" w:rsidTr="000F5925">
        <w:tc>
          <w:tcPr>
            <w:tcW w:w="2074" w:type="dxa"/>
          </w:tcPr>
          <w:p w14:paraId="585341B3" w14:textId="66B0E5E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المركز السعودي لسلامة المرضى</w:t>
            </w:r>
            <w:r w:rsidRPr="00C237AD">
              <w:rPr>
                <w:rFonts w:ascii="Traditional Arabic" w:hAnsi="Traditional Arabic" w:cs="Traditional Arabic" w:hint="cs"/>
                <w:b/>
                <w:bCs/>
                <w:spacing w:val="-6"/>
                <w:sz w:val="24"/>
                <w:szCs w:val="24"/>
                <w:lang w:bidi="ar-EG"/>
              </w:rPr>
              <w:t xml:space="preserve"> (2022)</w:t>
            </w:r>
          </w:p>
        </w:tc>
        <w:tc>
          <w:tcPr>
            <w:tcW w:w="2074" w:type="dxa"/>
          </w:tcPr>
          <w:p w14:paraId="0D0C5569" w14:textId="20AF0292"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ثقافة السلامة السريرية في المستشفيات الحكومية والخاصة بالرياض وجدة</w:t>
            </w:r>
            <w:r w:rsidRPr="00C237AD">
              <w:rPr>
                <w:rFonts w:ascii="Traditional Arabic" w:hAnsi="Traditional Arabic" w:cs="Traditional Arabic" w:hint="cs"/>
                <w:b/>
                <w:bCs/>
                <w:spacing w:val="-6"/>
                <w:sz w:val="24"/>
                <w:szCs w:val="24"/>
                <w:lang w:bidi="ar-EG"/>
              </w:rPr>
              <w:t>.</w:t>
            </w:r>
          </w:p>
        </w:tc>
        <w:tc>
          <w:tcPr>
            <w:tcW w:w="2074" w:type="dxa"/>
          </w:tcPr>
          <w:p w14:paraId="2D354768" w14:textId="012A079A"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ضعف الإبلاغ عن الحوادث وغياب التحفيز الداخلي أثّر سلبًا على ثقافة السلامة، خاصة في القطاع الخاص</w:t>
            </w:r>
            <w:r w:rsidRPr="00C237AD">
              <w:rPr>
                <w:rFonts w:ascii="Traditional Arabic" w:hAnsi="Traditional Arabic" w:cs="Traditional Arabic" w:hint="cs"/>
                <w:b/>
                <w:bCs/>
                <w:spacing w:val="-6"/>
                <w:sz w:val="24"/>
                <w:szCs w:val="24"/>
                <w:lang w:bidi="ar-EG"/>
              </w:rPr>
              <w:t>.</w:t>
            </w:r>
          </w:p>
        </w:tc>
        <w:tc>
          <w:tcPr>
            <w:tcW w:w="2074" w:type="dxa"/>
          </w:tcPr>
          <w:p w14:paraId="70012557" w14:textId="69D9C245"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الثقافة المؤسسية دون تحليل قيادي وسيط</w:t>
            </w:r>
            <w:r w:rsidRPr="00C237AD">
              <w:rPr>
                <w:rFonts w:ascii="Traditional Arabic" w:hAnsi="Traditional Arabic" w:cs="Traditional Arabic" w:hint="cs"/>
                <w:b/>
                <w:bCs/>
                <w:spacing w:val="-6"/>
                <w:sz w:val="24"/>
                <w:szCs w:val="24"/>
                <w:lang w:bidi="ar-EG"/>
              </w:rPr>
              <w:t>.</w:t>
            </w:r>
          </w:p>
        </w:tc>
      </w:tr>
      <w:tr w:rsidR="00ED053A" w:rsidRPr="00C237AD" w14:paraId="5689A30C" w14:textId="77777777" w:rsidTr="000F5925">
        <w:tc>
          <w:tcPr>
            <w:tcW w:w="2074" w:type="dxa"/>
          </w:tcPr>
          <w:p w14:paraId="37AE9A0A" w14:textId="2B624F14"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(2023)</w:t>
            </w:r>
          </w:p>
        </w:tc>
        <w:tc>
          <w:tcPr>
            <w:tcW w:w="2074" w:type="dxa"/>
          </w:tcPr>
          <w:p w14:paraId="40584DB8" w14:textId="6AE6CE39"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أثر إشراك المرضى في تحسين سلامتهم ضمن سياق دولي متعدد الجنسيات</w:t>
            </w:r>
            <w:r w:rsidRPr="00C237AD">
              <w:rPr>
                <w:rFonts w:ascii="Traditional Arabic" w:hAnsi="Traditional Arabic" w:cs="Traditional Arabic" w:hint="cs"/>
                <w:b/>
                <w:bCs/>
                <w:spacing w:val="-6"/>
                <w:sz w:val="24"/>
                <w:szCs w:val="24"/>
                <w:lang w:bidi="ar-EG"/>
              </w:rPr>
              <w:t>.</w:t>
            </w:r>
          </w:p>
        </w:tc>
        <w:tc>
          <w:tcPr>
            <w:tcW w:w="2074" w:type="dxa"/>
          </w:tcPr>
          <w:p w14:paraId="16AA6EC0" w14:textId="23820D8A"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الأذى السريري بنسبة 15% وزادت الالتزام بالخطة العلاجية والرضا العام</w:t>
            </w:r>
            <w:r w:rsidRPr="00C237AD">
              <w:rPr>
                <w:rFonts w:ascii="Traditional Arabic" w:hAnsi="Traditional Arabic" w:cs="Traditional Arabic" w:hint="cs"/>
                <w:b/>
                <w:bCs/>
                <w:spacing w:val="-6"/>
                <w:sz w:val="24"/>
                <w:szCs w:val="24"/>
                <w:lang w:bidi="ar-EG"/>
              </w:rPr>
              <w:t>.</w:t>
            </w:r>
          </w:p>
        </w:tc>
        <w:tc>
          <w:tcPr>
            <w:tcW w:w="2074" w:type="dxa"/>
          </w:tcPr>
          <w:p w14:paraId="23678C9A" w14:textId="1AE78A4E" w:rsidR="00ED053A" w:rsidRPr="00C237AD" w:rsidRDefault="009E3B8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الصحية، بينما هذه الدراسة تناولت الشراكة مع المرضى كنهج عالمي</w:t>
            </w:r>
            <w:r w:rsidRPr="00C237AD">
              <w:rPr>
                <w:rFonts w:ascii="Traditional Arabic" w:hAnsi="Traditional Arabic" w:cs="Traditional Arabic" w:hint="cs"/>
                <w:b/>
                <w:bCs/>
                <w:spacing w:val="-6"/>
                <w:sz w:val="24"/>
                <w:szCs w:val="24"/>
                <w:lang w:bidi="ar-EG"/>
              </w:rPr>
              <w:t>.</w:t>
            </w:r>
          </w:p>
        </w:tc>
      </w:tr>
      <w:tr w:rsidR="00ED053A" w:rsidRPr="00C237AD" w14:paraId="17B44230" w14:textId="77777777" w:rsidTr="000F5925">
        <w:tc>
          <w:tcPr>
            <w:tcW w:w="2074" w:type="dxa"/>
          </w:tcPr>
          <w:p w14:paraId="24344175" w14:textId="4918C586"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lastRenderedPageBreak/>
              <w:t>وزارة الصحة المصرية</w:t>
            </w:r>
            <w:r w:rsidRPr="00C237AD">
              <w:rPr>
                <w:rFonts w:ascii="Traditional Arabic" w:hAnsi="Traditional Arabic" w:cs="Traditional Arabic" w:hint="cs"/>
                <w:b/>
                <w:bCs/>
                <w:spacing w:val="-6"/>
                <w:sz w:val="24"/>
                <w:szCs w:val="24"/>
                <w:lang w:bidi="ar-EG"/>
              </w:rPr>
              <w:t xml:space="preserve"> (2023)</w:t>
            </w:r>
          </w:p>
        </w:tc>
        <w:tc>
          <w:tcPr>
            <w:tcW w:w="2074" w:type="dxa"/>
          </w:tcPr>
          <w:p w14:paraId="03BFFD06" w14:textId="1374D94F"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إنشاء إدارة مستقلة لسلامة المرضى على تقليل الحوادث وتحسين الأداء في مستشفى شبين الكوم</w:t>
            </w:r>
            <w:r w:rsidRPr="00C237AD">
              <w:rPr>
                <w:rFonts w:ascii="Traditional Arabic" w:hAnsi="Traditional Arabic" w:cs="Traditional Arabic" w:hint="cs"/>
                <w:b/>
                <w:bCs/>
                <w:spacing w:val="-6"/>
                <w:sz w:val="24"/>
                <w:szCs w:val="24"/>
                <w:lang w:bidi="ar-EG"/>
              </w:rPr>
              <w:t>.</w:t>
            </w:r>
          </w:p>
        </w:tc>
        <w:tc>
          <w:tcPr>
            <w:tcW w:w="2074" w:type="dxa"/>
          </w:tcPr>
          <w:p w14:paraId="775A88A6" w14:textId="2E31258A"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انخفاض الحوادث السريرية بنسبة 40% وتحسن التنسيق والإبلاغ ورضا المرضى</w:t>
            </w:r>
            <w:r w:rsidRPr="00C237AD">
              <w:rPr>
                <w:rFonts w:ascii="Traditional Arabic" w:hAnsi="Traditional Arabic" w:cs="Traditional Arabic" w:hint="cs"/>
                <w:b/>
                <w:bCs/>
                <w:spacing w:val="-6"/>
                <w:sz w:val="24"/>
                <w:szCs w:val="24"/>
                <w:lang w:bidi="ar-EG"/>
              </w:rPr>
              <w:t>.</w:t>
            </w:r>
          </w:p>
        </w:tc>
        <w:tc>
          <w:tcPr>
            <w:tcW w:w="2074" w:type="dxa"/>
          </w:tcPr>
          <w:p w14:paraId="67392E5B" w14:textId="5A519841"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الهيكل الإداري المستقل كمحفز مباشر للسلامة</w:t>
            </w:r>
            <w:r w:rsidRPr="00C237AD">
              <w:rPr>
                <w:rFonts w:ascii="Traditional Arabic" w:hAnsi="Traditional Arabic" w:cs="Traditional Arabic" w:hint="cs"/>
                <w:b/>
                <w:bCs/>
                <w:spacing w:val="-6"/>
                <w:sz w:val="24"/>
                <w:szCs w:val="24"/>
                <w:lang w:bidi="ar-EG"/>
              </w:rPr>
              <w:t>.</w:t>
            </w:r>
          </w:p>
        </w:tc>
      </w:tr>
      <w:tr w:rsidR="00ED053A" w:rsidRPr="00C237AD" w14:paraId="5FF1701E" w14:textId="77777777" w:rsidTr="000F5925">
        <w:tc>
          <w:tcPr>
            <w:tcW w:w="2074" w:type="dxa"/>
          </w:tcPr>
          <w:p w14:paraId="42A7B6BD" w14:textId="33AE2FB8"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القمة الوزارية العالمية لسلامة المرضى</w:t>
            </w:r>
            <w:r w:rsidRPr="00C237AD">
              <w:rPr>
                <w:rFonts w:ascii="Traditional Arabic" w:hAnsi="Traditional Arabic" w:cs="Traditional Arabic" w:hint="cs"/>
                <w:b/>
                <w:bCs/>
                <w:spacing w:val="-6"/>
                <w:sz w:val="24"/>
                <w:szCs w:val="24"/>
                <w:lang w:bidi="ar-EG"/>
              </w:rPr>
              <w:t xml:space="preserve"> (2023)</w:t>
            </w:r>
          </w:p>
        </w:tc>
        <w:tc>
          <w:tcPr>
            <w:tcW w:w="2074" w:type="dxa"/>
          </w:tcPr>
          <w:p w14:paraId="371A506B" w14:textId="5E3F3756"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صياغة إطار دولي موحد للممارسات الآمنة وتقييم جاهزية الأنظمة الصحية لاعتماد سياسات وطنية</w:t>
            </w:r>
            <w:r w:rsidRPr="00C237AD">
              <w:rPr>
                <w:rFonts w:ascii="Traditional Arabic" w:hAnsi="Traditional Arabic" w:cs="Traditional Arabic" w:hint="cs"/>
                <w:b/>
                <w:bCs/>
                <w:spacing w:val="-6"/>
                <w:sz w:val="24"/>
                <w:szCs w:val="24"/>
                <w:lang w:bidi="ar-EG"/>
              </w:rPr>
              <w:t>.</w:t>
            </w:r>
          </w:p>
        </w:tc>
        <w:tc>
          <w:tcPr>
            <w:tcW w:w="2074" w:type="dxa"/>
          </w:tcPr>
          <w:p w14:paraId="078BF7F5" w14:textId="0E5202AC"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 xml:space="preserve">73 % </w:t>
            </w:r>
            <w:r w:rsidRPr="00C237AD">
              <w:rPr>
                <w:rFonts w:ascii="Traditional Arabic" w:hAnsi="Traditional Arabic" w:cs="Traditional Arabic" w:hint="cs"/>
                <w:b/>
                <w:bCs/>
                <w:spacing w:val="-6"/>
                <w:sz w:val="24"/>
                <w:szCs w:val="24"/>
                <w:rtl/>
              </w:rPr>
              <w:t>من الدول تفتقر لاستراتيجيات وطنية واضحة، وغياب التنسيق الدولي يعيق بناء ثقافة عالمية للسلامة</w:t>
            </w:r>
            <w:r w:rsidRPr="00C237AD">
              <w:rPr>
                <w:rFonts w:ascii="Traditional Arabic" w:hAnsi="Traditional Arabic" w:cs="Traditional Arabic" w:hint="cs"/>
                <w:b/>
                <w:bCs/>
                <w:spacing w:val="-6"/>
                <w:sz w:val="24"/>
                <w:szCs w:val="24"/>
                <w:lang w:bidi="ar-EG"/>
              </w:rPr>
              <w:t>.</w:t>
            </w:r>
          </w:p>
        </w:tc>
        <w:tc>
          <w:tcPr>
            <w:tcW w:w="2074" w:type="dxa"/>
          </w:tcPr>
          <w:p w14:paraId="1FB438BD" w14:textId="180A3F9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بينما هذه الدراسة تناولت السياسات الوطنية والتنسيق الدولي</w:t>
            </w:r>
            <w:r w:rsidRPr="00C237AD">
              <w:rPr>
                <w:rFonts w:ascii="Traditional Arabic" w:hAnsi="Traditional Arabic" w:cs="Traditional Arabic" w:hint="cs"/>
                <w:b/>
                <w:bCs/>
                <w:spacing w:val="-6"/>
                <w:sz w:val="24"/>
                <w:szCs w:val="24"/>
                <w:lang w:bidi="ar-EG"/>
              </w:rPr>
              <w:t>.</w:t>
            </w:r>
          </w:p>
        </w:tc>
      </w:tr>
      <w:tr w:rsidR="00ED053A" w:rsidRPr="00C237AD" w14:paraId="65AEC5DD" w14:textId="77777777" w:rsidTr="000F5925">
        <w:tc>
          <w:tcPr>
            <w:tcW w:w="2074" w:type="dxa"/>
          </w:tcPr>
          <w:p w14:paraId="2F9A88F4" w14:textId="7CA3596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z w:val="24"/>
                <w:szCs w:val="24"/>
              </w:rPr>
              <w:t>HealthySimulation (2024)</w:t>
            </w:r>
          </w:p>
        </w:tc>
        <w:tc>
          <w:tcPr>
            <w:tcW w:w="2074" w:type="dxa"/>
          </w:tcPr>
          <w:p w14:paraId="5684CEBB" w14:textId="040967C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المحاكاة السريرية على أداء الممرضين في سياق السلامة المهنية</w:t>
            </w:r>
            <w:r w:rsidRPr="00C237AD">
              <w:rPr>
                <w:rFonts w:ascii="Traditional Arabic" w:hAnsi="Traditional Arabic" w:cs="Traditional Arabic" w:hint="cs"/>
                <w:b/>
                <w:bCs/>
                <w:spacing w:val="-6"/>
                <w:sz w:val="24"/>
                <w:szCs w:val="24"/>
                <w:lang w:bidi="ar-EG"/>
              </w:rPr>
              <w:t>.</w:t>
            </w:r>
          </w:p>
        </w:tc>
        <w:tc>
          <w:tcPr>
            <w:tcW w:w="2074" w:type="dxa"/>
          </w:tcPr>
          <w:p w14:paraId="3FFBD0D2" w14:textId="0B1B683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تحسن بنسبة 46% في اختبارات السلامة لدى المتدربين الذين خضعوا لجلسات محاكاة</w:t>
            </w:r>
            <w:r w:rsidRPr="00C237AD">
              <w:rPr>
                <w:rFonts w:ascii="Traditional Arabic" w:hAnsi="Traditional Arabic" w:cs="Traditional Arabic" w:hint="cs"/>
                <w:b/>
                <w:bCs/>
                <w:spacing w:val="-6"/>
                <w:sz w:val="24"/>
                <w:szCs w:val="24"/>
                <w:lang w:bidi="ar-EG"/>
              </w:rPr>
              <w:t>.</w:t>
            </w:r>
          </w:p>
        </w:tc>
        <w:tc>
          <w:tcPr>
            <w:tcW w:w="2074" w:type="dxa"/>
          </w:tcPr>
          <w:p w14:paraId="3A86EFEA" w14:textId="5498F14F"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أدوات التدريب العملي كمحفز مباشر</w:t>
            </w:r>
            <w:r w:rsidRPr="00C237AD">
              <w:rPr>
                <w:rFonts w:ascii="Traditional Arabic" w:hAnsi="Traditional Arabic" w:cs="Traditional Arabic" w:hint="cs"/>
                <w:b/>
                <w:bCs/>
                <w:spacing w:val="-6"/>
                <w:sz w:val="24"/>
                <w:szCs w:val="24"/>
                <w:lang w:bidi="ar-EG"/>
              </w:rPr>
              <w:t>.</w:t>
            </w:r>
          </w:p>
        </w:tc>
      </w:tr>
      <w:tr w:rsidR="00ED053A" w:rsidRPr="00C237AD" w14:paraId="6E1B5680" w14:textId="77777777" w:rsidTr="000F5925">
        <w:tc>
          <w:tcPr>
            <w:tcW w:w="2074" w:type="dxa"/>
          </w:tcPr>
          <w:p w14:paraId="38C909E4" w14:textId="39F160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(2024)</w:t>
            </w:r>
            <w:r w:rsidRPr="00C237AD">
              <w:rPr>
                <w:rFonts w:ascii="Traditional Arabic" w:hAnsi="Traditional Arabic" w:cs="Traditional Arabic" w:hint="cs"/>
                <w:b/>
                <w:bCs/>
                <w:spacing w:val="-6"/>
                <w:sz w:val="24"/>
                <w:szCs w:val="24"/>
                <w:lang w:bidi="ar-EG"/>
              </w:rPr>
              <w:br/>
            </w:r>
          </w:p>
        </w:tc>
        <w:tc>
          <w:tcPr>
            <w:tcW w:w="2074" w:type="dxa"/>
          </w:tcPr>
          <w:p w14:paraId="138D32F8" w14:textId="11C5A34D"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إصدار تقرير عالمي يرصد جهود الدول في تعزيز سلامة المرضى وتحديد الفجوات المنهجية والتنفيذية</w:t>
            </w:r>
            <w:r w:rsidRPr="00C237AD">
              <w:rPr>
                <w:rFonts w:ascii="Traditional Arabic" w:hAnsi="Traditional Arabic" w:cs="Traditional Arabic" w:hint="cs"/>
                <w:b/>
                <w:bCs/>
                <w:spacing w:val="-6"/>
                <w:sz w:val="24"/>
                <w:szCs w:val="24"/>
                <w:lang w:bidi="ar-EG"/>
              </w:rPr>
              <w:t>.</w:t>
            </w:r>
          </w:p>
        </w:tc>
        <w:tc>
          <w:tcPr>
            <w:tcW w:w="2074" w:type="dxa"/>
          </w:tcPr>
          <w:p w14:paraId="2AE8FDFB" w14:textId="0A33AA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lang w:bidi="ar-EG"/>
              </w:rPr>
              <w:t xml:space="preserve">36% </w:t>
            </w:r>
            <w:r w:rsidRPr="00C237AD">
              <w:rPr>
                <w:rFonts w:ascii="Traditional Arabic" w:hAnsi="Traditional Arabic" w:cs="Traditional Arabic" w:hint="cs"/>
                <w:b/>
                <w:bCs/>
                <w:spacing w:val="-6"/>
                <w:sz w:val="24"/>
                <w:szCs w:val="24"/>
                <w:rtl/>
              </w:rPr>
              <w:t>فقط من الدول تمتلك أنظمة فعالة للإبلاغ، و31% وضعت أهدافًا وطنية للحد من العدوى</w:t>
            </w:r>
            <w:r w:rsidRPr="00C237AD">
              <w:rPr>
                <w:rFonts w:ascii="Traditional Arabic" w:hAnsi="Traditional Arabic" w:cs="Traditional Arabic" w:hint="cs"/>
                <w:b/>
                <w:bCs/>
                <w:spacing w:val="-6"/>
                <w:sz w:val="24"/>
                <w:szCs w:val="24"/>
                <w:lang w:bidi="ar-EG"/>
              </w:rPr>
              <w:t>.</w:t>
            </w:r>
            <w:r w:rsidRPr="00C237AD">
              <w:rPr>
                <w:rFonts w:ascii="Traditional Arabic" w:hAnsi="Traditional Arabic" w:cs="Traditional Arabic" w:hint="cs"/>
                <w:b/>
                <w:bCs/>
                <w:spacing w:val="-6"/>
                <w:sz w:val="24"/>
                <w:szCs w:val="24"/>
                <w:lang w:bidi="ar-EG"/>
              </w:rPr>
              <w:br/>
            </w:r>
          </w:p>
        </w:tc>
        <w:tc>
          <w:tcPr>
            <w:tcW w:w="2074" w:type="dxa"/>
          </w:tcPr>
          <w:p w14:paraId="47644E44" w14:textId="299FE5B7"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في بيئة المستشفى، بينما هذه الدراسة تناولت التقييم الدولي للأنظمة والسياسات</w:t>
            </w:r>
            <w:r w:rsidRPr="00C237AD">
              <w:rPr>
                <w:rFonts w:ascii="Traditional Arabic" w:hAnsi="Traditional Arabic" w:cs="Traditional Arabic" w:hint="cs"/>
                <w:b/>
                <w:bCs/>
                <w:spacing w:val="-6"/>
                <w:sz w:val="24"/>
                <w:szCs w:val="24"/>
                <w:lang w:bidi="ar-EG"/>
              </w:rPr>
              <w:t>.</w:t>
            </w:r>
          </w:p>
        </w:tc>
      </w:tr>
      <w:tr w:rsidR="00D21F42" w:rsidRPr="00C237AD" w14:paraId="23515148" w14:textId="77777777" w:rsidTr="000F5925">
        <w:tc>
          <w:tcPr>
            <w:tcW w:w="2074" w:type="dxa"/>
          </w:tcPr>
          <w:p w14:paraId="5393DE88" w14:textId="6E4A6EF0"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z w:val="24"/>
                <w:szCs w:val="24"/>
                <w:rtl/>
              </w:rPr>
              <w:t>الهيئة السعودية للتخصصات الصحية</w:t>
            </w:r>
            <w:r w:rsidRPr="00C237AD">
              <w:rPr>
                <w:rFonts w:ascii="Traditional Arabic" w:hAnsi="Traditional Arabic" w:cs="Traditional Arabic" w:hint="cs"/>
                <w:b/>
                <w:bCs/>
                <w:sz w:val="24"/>
                <w:szCs w:val="24"/>
              </w:rPr>
              <w:t xml:space="preserve"> (2025)</w:t>
            </w:r>
          </w:p>
        </w:tc>
        <w:tc>
          <w:tcPr>
            <w:tcW w:w="2074" w:type="dxa"/>
          </w:tcPr>
          <w:p w14:paraId="6ACCFBB1" w14:textId="540B0FC9"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تقييم أثر دمج مفاهيم السلامة المهنية في مناهج التعليم الصحي على سلوكيات الطلاب</w:t>
            </w:r>
            <w:r w:rsidRPr="00C237AD">
              <w:rPr>
                <w:rFonts w:ascii="Traditional Arabic" w:hAnsi="Traditional Arabic" w:cs="Traditional Arabic" w:hint="cs"/>
                <w:b/>
                <w:bCs/>
                <w:spacing w:val="-6"/>
                <w:sz w:val="24"/>
                <w:szCs w:val="24"/>
              </w:rPr>
              <w:t>.</w:t>
            </w:r>
          </w:p>
        </w:tc>
        <w:tc>
          <w:tcPr>
            <w:tcW w:w="2074" w:type="dxa"/>
          </w:tcPr>
          <w:p w14:paraId="54E0B1E8" w14:textId="14542C66" w:rsidR="00D21F42" w:rsidRPr="00C237AD" w:rsidRDefault="00D21F42" w:rsidP="00396DF7">
            <w:pPr>
              <w:bidi/>
              <w:spacing w:after="200" w:line="276" w:lineRule="auto"/>
              <w:jc w:val="center"/>
              <w:rPr>
                <w:rFonts w:ascii="Traditional Arabic" w:hAnsi="Traditional Arabic" w:cs="Traditional Arabic"/>
                <w:b/>
                <w:bCs/>
                <w:spacing w:val="-6"/>
                <w:sz w:val="24"/>
                <w:szCs w:val="24"/>
                <w:lang w:bidi="ar-EG"/>
              </w:rPr>
            </w:pPr>
            <w:r w:rsidRPr="00C237AD">
              <w:rPr>
                <w:rFonts w:ascii="Traditional Arabic" w:hAnsi="Traditional Arabic" w:cs="Traditional Arabic" w:hint="cs"/>
                <w:b/>
                <w:bCs/>
                <w:spacing w:val="-6"/>
                <w:sz w:val="24"/>
                <w:szCs w:val="24"/>
                <w:rtl/>
              </w:rPr>
              <w:t>تحسن بنسبة 53% في تطبيق إجراءات السلامة وارتفاع الوعي بالمخاطر السريرية</w:t>
            </w:r>
            <w:r w:rsidRPr="00C237AD">
              <w:rPr>
                <w:rFonts w:ascii="Traditional Arabic" w:hAnsi="Traditional Arabic" w:cs="Traditional Arabic" w:hint="cs"/>
                <w:b/>
                <w:bCs/>
                <w:spacing w:val="-6"/>
                <w:sz w:val="24"/>
                <w:szCs w:val="24"/>
                <w:lang w:bidi="ar-EG"/>
              </w:rPr>
              <w:t>.</w:t>
            </w:r>
          </w:p>
        </w:tc>
        <w:tc>
          <w:tcPr>
            <w:tcW w:w="2074" w:type="dxa"/>
          </w:tcPr>
          <w:p w14:paraId="4B15EDD1" w14:textId="1726881F"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دراستي تركز على القيادة التحويلية في بيئة العمل، بينما هذه الدراسة تناولت التعليم الأكاديمي كمصدر تأسيسي للسلامة</w:t>
            </w:r>
            <w:r w:rsidRPr="00C237AD">
              <w:rPr>
                <w:rFonts w:ascii="Traditional Arabic" w:hAnsi="Traditional Arabic" w:cs="Traditional Arabic" w:hint="cs"/>
                <w:b/>
                <w:bCs/>
                <w:spacing w:val="-6"/>
                <w:sz w:val="24"/>
                <w:szCs w:val="24"/>
              </w:rPr>
              <w:t>.</w:t>
            </w:r>
          </w:p>
        </w:tc>
      </w:tr>
    </w:tbl>
    <w:bookmarkEnd w:id="8"/>
    <w:p w14:paraId="5B0E3573" w14:textId="0F750089" w:rsidR="004D510A" w:rsidRDefault="004D510A" w:rsidP="00AB0D32">
      <w:pPr>
        <w:bidi/>
        <w:spacing w:after="200" w:line="276" w:lineRule="auto"/>
        <w:jc w:val="center"/>
        <w:rPr>
          <w:rFonts w:ascii="Simplified Arabic" w:hAnsi="Simplified Arabic" w:cs="Simplified Arabic"/>
          <w:b/>
          <w:bCs/>
          <w:spacing w:val="-6"/>
          <w:sz w:val="28"/>
          <w:szCs w:val="28"/>
          <w:rtl/>
          <w:lang w:bidi="ar-EG"/>
        </w:rPr>
      </w:pPr>
      <w:r>
        <w:rPr>
          <w:rFonts w:ascii="Simplified Arabic" w:hAnsi="Simplified Arabic" w:cs="Simplified Arabic" w:hint="cs"/>
          <w:b/>
          <w:bCs/>
          <w:spacing w:val="-6"/>
          <w:sz w:val="24"/>
          <w:szCs w:val="24"/>
          <w:rtl/>
          <w:lang w:bidi="ar-EG"/>
        </w:rPr>
        <w:t>إعداد / الباحثة</w:t>
      </w:r>
      <w:r w:rsidR="00AB0D32">
        <w:rPr>
          <w:rFonts w:ascii="Simplified Arabic" w:hAnsi="Simplified Arabic" w:cs="Simplified Arabic" w:hint="cs"/>
          <w:b/>
          <w:bCs/>
          <w:spacing w:val="-6"/>
          <w:sz w:val="24"/>
          <w:szCs w:val="24"/>
          <w:rtl/>
          <w:lang w:bidi="ar-EG"/>
        </w:rPr>
        <w:t xml:space="preserve"> مستندة للدراسات السابقة </w:t>
      </w:r>
      <w:r>
        <w:rPr>
          <w:rFonts w:ascii="Simplified Arabic" w:hAnsi="Simplified Arabic" w:cs="Simplified Arabic" w:hint="cs"/>
          <w:b/>
          <w:bCs/>
          <w:spacing w:val="-6"/>
          <w:sz w:val="24"/>
          <w:szCs w:val="24"/>
          <w:rtl/>
          <w:lang w:bidi="ar-EG"/>
        </w:rPr>
        <w:t>.</w:t>
      </w:r>
    </w:p>
    <w:p w14:paraId="7B21174F" w14:textId="77777777" w:rsidR="00A967BA" w:rsidRDefault="00A967BA" w:rsidP="00BA7C6F">
      <w:pPr>
        <w:bidi/>
        <w:spacing w:after="200" w:line="276" w:lineRule="auto"/>
        <w:jc w:val="both"/>
        <w:rPr>
          <w:rFonts w:ascii="Simplified Arabic" w:hAnsi="Simplified Arabic" w:cs="Simplified Arabic"/>
          <w:b/>
          <w:bCs/>
          <w:spacing w:val="-6"/>
          <w:sz w:val="28"/>
          <w:szCs w:val="28"/>
          <w:u w:val="single"/>
          <w:rtl/>
          <w:lang w:bidi="ar-EG"/>
        </w:rPr>
      </w:pPr>
    </w:p>
    <w:p w14:paraId="1378FDFD" w14:textId="77777777" w:rsidR="00A967BA" w:rsidRDefault="00A967BA" w:rsidP="00A967BA">
      <w:pPr>
        <w:bidi/>
        <w:spacing w:after="200" w:line="276" w:lineRule="auto"/>
        <w:jc w:val="both"/>
        <w:rPr>
          <w:rFonts w:ascii="Simplified Arabic" w:hAnsi="Simplified Arabic" w:cs="Simplified Arabic"/>
          <w:b/>
          <w:bCs/>
          <w:spacing w:val="-6"/>
          <w:sz w:val="28"/>
          <w:szCs w:val="28"/>
          <w:u w:val="single"/>
          <w:rtl/>
          <w:lang w:bidi="ar-EG"/>
        </w:rPr>
      </w:pPr>
    </w:p>
    <w:p w14:paraId="38055F19" w14:textId="7FC06894" w:rsidR="00535E7D" w:rsidRPr="00AF380A" w:rsidRDefault="00535E7D" w:rsidP="00A967BA">
      <w:pPr>
        <w:bidi/>
        <w:spacing w:after="200" w:line="276" w:lineRule="auto"/>
        <w:jc w:val="both"/>
        <w:rPr>
          <w:rFonts w:ascii="Traditional Arabic" w:hAnsi="Traditional Arabic" w:cs="Traditional Arabic"/>
          <w:b/>
          <w:bCs/>
          <w:spacing w:val="-6"/>
          <w:sz w:val="28"/>
          <w:szCs w:val="28"/>
          <w:u w:val="single"/>
          <w:rtl/>
          <w:lang w:bidi="ar-EG"/>
        </w:rPr>
      </w:pPr>
      <w:r w:rsidRPr="00AF380A">
        <w:rPr>
          <w:rFonts w:ascii="Traditional Arabic" w:hAnsi="Traditional Arabic" w:cs="Traditional Arabic" w:hint="cs"/>
          <w:b/>
          <w:bCs/>
          <w:spacing w:val="-6"/>
          <w:sz w:val="28"/>
          <w:szCs w:val="28"/>
          <w:u w:val="single"/>
          <w:rtl/>
          <w:lang w:bidi="ar-EG"/>
        </w:rPr>
        <w:lastRenderedPageBreak/>
        <w:t>تعقيب عن الدراسات السابقة لسلامة المرضى:</w:t>
      </w:r>
    </w:p>
    <w:p w14:paraId="6528BE78" w14:textId="2C84B3E3"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من خلال تحليل الدراسات السابقة حول سلامة المرضى في القطاع الصحي ، يمكن ملاحظة أن الموضوع بات يحتل موقعًا محوريًا في أولويات المؤسسات الصحية المحلية والدولية، لا سيما في ظل التحديات المتزايدة التي فرضتها جائحة كوفيد-19. فقد أظهرت معظم الدراسات اتفاقًا واضحًا حول أهمية بناء ثقافة مؤسسية تُعزز السلامة، وتعتمد على القيادة الفعالة والتواصل، وإشراك المرضى كعنصر فاعل وليس مجرد متلقٍ للرعاية</w:t>
      </w:r>
      <w:r w:rsidRPr="00AF380A">
        <w:rPr>
          <w:rFonts w:ascii="Traditional Arabic" w:hAnsi="Traditional Arabic" w:cs="Traditional Arabic" w:hint="cs"/>
          <w:spacing w:val="-6"/>
          <w:sz w:val="28"/>
          <w:szCs w:val="28"/>
          <w:lang w:bidi="ar-EG"/>
        </w:rPr>
        <w:t>.</w:t>
      </w:r>
    </w:p>
    <w:p w14:paraId="671FFF79"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ركزت عدة دراسات على قياس مدى فاعلية الأنظمة الداخلية في الكشف المبكر عن المخاطر، مثل دراسة آلاء عفيفي في جدة، التي بينت أن تطبيق إدارة المخاطر أدى إلى تحسن ملموس في جودة الرعاية وسلامة المرضى بنسبة تفوق 50%. بينما سلطت دراسات أخرى الضوء على البعد التنظيمي، مثل تقرير وزارة الصحة المصرية الذي أوصى بإنشاء إدارات مستقلة داخل المستشفيات لضمان تطبيق معايير السلامة وربطها بمؤشرات الأداء</w:t>
      </w:r>
      <w:r w:rsidRPr="00AF380A">
        <w:rPr>
          <w:rFonts w:ascii="Traditional Arabic" w:hAnsi="Traditional Arabic" w:cs="Traditional Arabic" w:hint="cs"/>
          <w:spacing w:val="-6"/>
          <w:sz w:val="28"/>
          <w:szCs w:val="28"/>
          <w:lang w:bidi="ar-EG"/>
        </w:rPr>
        <w:t>.</w:t>
      </w:r>
    </w:p>
    <w:p w14:paraId="5198A4CA"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وعلى الصعيد العالمي، برزت مساهمات منظمة الصحة العالمية في إنشاء أطر معيارية مثل خطة العمل 2021–2030 التي دعت إلى اعتبار الأذى القابل للتجنب مشكلة صحية عامة. هذه الدراسات الدولية أكدت أن إشراك المرضى وأسرهم في اتخاذ القرارات العلاجية يقلل من معدل الأخطاء، ويعزز الثقة بالنظام الصحي</w:t>
      </w:r>
      <w:r w:rsidRPr="00AF380A">
        <w:rPr>
          <w:rFonts w:ascii="Traditional Arabic" w:hAnsi="Traditional Arabic" w:cs="Traditional Arabic" w:hint="cs"/>
          <w:spacing w:val="-6"/>
          <w:sz w:val="28"/>
          <w:szCs w:val="28"/>
          <w:lang w:bidi="ar-EG"/>
        </w:rPr>
        <w:t>.</w:t>
      </w:r>
    </w:p>
    <w:p w14:paraId="67F6BF6F"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وتجدر الإشارة إلى أن البحوث السابقة لم تكتفِ بالتحليل الوصفي، بل قدمت أدوات عملية كتوصيات، مثل تفعيل نظم الإبلاغ دون لوم، وتدريب العاملين على مهارات التواصل السريري، وتحسين استخدام التكنولوجيا الصحية. ومع ذلك، بقيت بعض الفجوات قائمة، أبرزها ضعف تكامل الأنظمة بين الأقسام، وعدم استدامة برامج التدريب</w:t>
      </w:r>
      <w:r w:rsidRPr="00AF380A">
        <w:rPr>
          <w:rFonts w:ascii="Traditional Arabic" w:hAnsi="Traditional Arabic" w:cs="Traditional Arabic" w:hint="cs"/>
          <w:spacing w:val="-6"/>
          <w:sz w:val="28"/>
          <w:szCs w:val="28"/>
          <w:lang w:bidi="ar-EG"/>
        </w:rPr>
        <w:t>.</w:t>
      </w:r>
    </w:p>
    <w:p w14:paraId="4DF9FE51" w14:textId="5B585560" w:rsidR="00187016" w:rsidRPr="00AF380A" w:rsidRDefault="00535E7D" w:rsidP="00AF380A">
      <w:pPr>
        <w:bidi/>
        <w:spacing w:after="200" w:line="360" w:lineRule="auto"/>
        <w:ind w:firstLine="720"/>
        <w:jc w:val="both"/>
        <w:rPr>
          <w:rFonts w:ascii="Traditional Arabic" w:hAnsi="Traditional Arabic" w:cs="Traditional Arabic"/>
          <w:spacing w:val="-6"/>
          <w:sz w:val="28"/>
          <w:szCs w:val="28"/>
          <w:rtl/>
          <w:lang w:bidi="ar-EG"/>
        </w:rPr>
      </w:pPr>
      <w:r w:rsidRPr="00AF380A">
        <w:rPr>
          <w:rFonts w:ascii="Traditional Arabic" w:hAnsi="Traditional Arabic" w:cs="Traditional Arabic" w:hint="cs"/>
          <w:spacing w:val="-6"/>
          <w:sz w:val="28"/>
          <w:szCs w:val="28"/>
          <w:rtl/>
        </w:rPr>
        <w:t>وبشكل عام، تعكس هذه الدراسات تحولًا حقيقيًا في طريقة تناول موضوع سلامة المرضى، من كونه قضية فنية مرتبطة بالإجراءات، إلى كونه مسألة ثقافية واستراتيجية ترتبط بالقيم والتوجهات الإدارية للمؤسسات الصحية</w:t>
      </w:r>
      <w:r w:rsidRPr="00AF380A">
        <w:rPr>
          <w:rFonts w:ascii="Traditional Arabic" w:hAnsi="Traditional Arabic" w:cs="Traditional Arabic" w:hint="cs"/>
          <w:spacing w:val="-6"/>
          <w:sz w:val="28"/>
          <w:szCs w:val="28"/>
          <w:lang w:bidi="ar-EG"/>
        </w:rPr>
        <w:t>.</w:t>
      </w:r>
    </w:p>
    <w:p w14:paraId="53469483" w14:textId="487201BC" w:rsidR="00AB0D32" w:rsidRPr="001771A4" w:rsidRDefault="00AB0D32" w:rsidP="00AB0D32">
      <w:pPr>
        <w:bidi/>
        <w:spacing w:after="200" w:line="276" w:lineRule="auto"/>
        <w:jc w:val="both"/>
        <w:rPr>
          <w:rFonts w:ascii="Traditional Arabic" w:hAnsi="Traditional Arabic" w:cs="Traditional Arabic"/>
          <w:b/>
          <w:bCs/>
          <w:spacing w:val="-6"/>
          <w:sz w:val="28"/>
          <w:szCs w:val="28"/>
          <w:u w:val="single"/>
          <w:rtl/>
          <w:lang w:bidi="ar-EG"/>
        </w:rPr>
      </w:pPr>
      <w:r w:rsidRPr="001771A4">
        <w:rPr>
          <w:rFonts w:ascii="Traditional Arabic" w:hAnsi="Traditional Arabic" w:cs="Traditional Arabic" w:hint="cs"/>
          <w:b/>
          <w:bCs/>
          <w:spacing w:val="-6"/>
          <w:sz w:val="28"/>
          <w:szCs w:val="28"/>
          <w:u w:val="single"/>
          <w:rtl/>
          <w:lang w:bidi="ar-EG"/>
        </w:rPr>
        <w:t>أوجه الإستفادة من الدراسات السابقة لسلامة المرضى:</w:t>
      </w:r>
    </w:p>
    <w:p w14:paraId="465202EA" w14:textId="0A6B01E5" w:rsidR="00AB0D32" w:rsidRDefault="000F5925" w:rsidP="001771A4">
      <w:pPr>
        <w:bidi/>
        <w:spacing w:after="200" w:line="360" w:lineRule="auto"/>
        <w:ind w:firstLine="720"/>
        <w:jc w:val="both"/>
        <w:rPr>
          <w:rFonts w:ascii="Traditional Arabic" w:hAnsi="Traditional Arabic" w:cs="Traditional Arabic"/>
          <w:spacing w:val="-6"/>
          <w:sz w:val="24"/>
          <w:szCs w:val="24"/>
          <w:rtl/>
          <w:lang w:bidi="ar-EG"/>
        </w:rPr>
      </w:pPr>
      <w:r w:rsidRPr="001771A4">
        <w:rPr>
          <w:rFonts w:ascii="Traditional Arabic" w:hAnsi="Traditional Arabic" w:cs="Traditional Arabic" w:hint="cs"/>
          <w:spacing w:val="-6"/>
          <w:sz w:val="24"/>
          <w:szCs w:val="24"/>
          <w:rtl/>
        </w:rPr>
        <w:t xml:space="preserve">أظهرت الدراسات السابقة حول سلامة المرضى، مثل ريم وحسن (2020) وآلاء أحمد ومحمد عفيفي (2021)، أهمية دمج مفاهيم السلامة في السياسات التشغيلية للمرافق الصحية، مع التركيز على تقليل الأخطاء الطبية وتعزيز ثقافة الإبلاغ، وقد ساهمت تقارير منظمة الصحة العالمية (2023، 2024) والمركز السعودي لسلامة المرضى (2022) في تحديد أبرز مصادر الأذى القابل للوقاية، مثل العدوى المرتبطة بالرعاية، وسوء استخدام </w:t>
      </w:r>
      <w:r w:rsidRPr="001771A4">
        <w:rPr>
          <w:rFonts w:ascii="Traditional Arabic" w:hAnsi="Traditional Arabic" w:cs="Traditional Arabic" w:hint="cs"/>
          <w:spacing w:val="-6"/>
          <w:sz w:val="24"/>
          <w:szCs w:val="24"/>
          <w:rtl/>
        </w:rPr>
        <w:lastRenderedPageBreak/>
        <w:t>الأدوية، مما يدعم بناء أدوات قياس دقيقة للدراسة الحالية. كما وفّرت وزارة الصحة المصرية (2023) والقمة الوزارية العالمية (2023) رؤى تطبيقية حول إشراك المرضى في قرارات العلاج، وهو ما يعزز البُعد التشاركي في سلامة الرعاية. أما</w:t>
      </w:r>
      <w:r w:rsidRPr="001771A4">
        <w:rPr>
          <w:rFonts w:ascii="Traditional Arabic" w:hAnsi="Traditional Arabic" w:cs="Traditional Arabic" w:hint="cs"/>
          <w:spacing w:val="-6"/>
          <w:sz w:val="24"/>
          <w:szCs w:val="24"/>
          <w:lang w:bidi="ar-EG"/>
        </w:rPr>
        <w:t xml:space="preserve"> HealthySimulation (2024) </w:t>
      </w:r>
      <w:r w:rsidRPr="001771A4">
        <w:rPr>
          <w:rFonts w:ascii="Traditional Arabic" w:hAnsi="Traditional Arabic" w:cs="Traditional Arabic" w:hint="cs"/>
          <w:spacing w:val="-6"/>
          <w:sz w:val="24"/>
          <w:szCs w:val="24"/>
          <w:rtl/>
        </w:rPr>
        <w:t>فقد أبرزت دور المحاكاة السريرية في تدريب الكوادر على الممارسات الآمنة، بينما قدّمت الهيئة السعودية للتخصصات الصحية (2025) إطارًا مهنيًا لتأهيل العاملين وفق معايير السلامة المعتمدة. ومن ثم، فإن هذه الدراسات تمثل مرجعية معرفية ومنهجية ثرية، تُسهم في صياغة الفرضيات للدراسة الحالية، وتحديد المتغيرات، وتفسير النتائج ضمن السياق المحلي والدولي</w:t>
      </w:r>
      <w:r w:rsidRPr="001771A4">
        <w:rPr>
          <w:rFonts w:ascii="Traditional Arabic" w:hAnsi="Traditional Arabic" w:cs="Traditional Arabic" w:hint="cs"/>
          <w:spacing w:val="-6"/>
          <w:sz w:val="24"/>
          <w:szCs w:val="24"/>
          <w:lang w:bidi="ar-EG"/>
        </w:rPr>
        <w:t>.</w:t>
      </w:r>
    </w:p>
    <w:p w14:paraId="4E31995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51DF67"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A97BA4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C51E94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3B5F6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68E98A55"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0380B3C8"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12B471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E914AC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D72337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A4A32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EFD29CE"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DE39F2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15375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88E1720" w14:textId="77777777" w:rsidR="00A437AB" w:rsidRPr="001771A4"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CBF19AE" w14:textId="05DE9F9F" w:rsidR="00623BB8" w:rsidRPr="00A73147" w:rsidRDefault="00623BB8" w:rsidP="00623BB8">
      <w:pPr>
        <w:bidi/>
        <w:spacing w:after="200" w:line="276" w:lineRule="auto"/>
        <w:contextualSpacing/>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lastRenderedPageBreak/>
        <w:t xml:space="preserve">المبحث الثالث: القيادة التحويلية </w:t>
      </w:r>
      <w:r w:rsidRPr="00A73147">
        <w:rPr>
          <w:rFonts w:ascii="Traditional Arabic" w:hAnsi="Traditional Arabic" w:cs="Traditional Arabic" w:hint="cs"/>
          <w:b/>
          <w:bCs/>
          <w:spacing w:val="-6"/>
          <w:sz w:val="28"/>
          <w:szCs w:val="28"/>
        </w:rPr>
        <w:t>Transformational leadership</w:t>
      </w:r>
      <w:r w:rsidRPr="00A73147">
        <w:rPr>
          <w:rFonts w:ascii="Traditional Arabic" w:hAnsi="Traditional Arabic" w:cs="Traditional Arabic" w:hint="cs"/>
          <w:b/>
          <w:bCs/>
          <w:spacing w:val="-6"/>
          <w:sz w:val="28"/>
          <w:szCs w:val="28"/>
          <w:rtl/>
        </w:rPr>
        <w:t>:</w:t>
      </w:r>
    </w:p>
    <w:p w14:paraId="5A491408" w14:textId="77777777" w:rsidR="00623BB8" w:rsidRPr="00A73147" w:rsidRDefault="00623BB8" w:rsidP="00623BB8">
      <w:pPr>
        <w:bidi/>
        <w:spacing w:after="200" w:line="276" w:lineRule="auto"/>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t>تمهيد:</w:t>
      </w:r>
    </w:p>
    <w:p w14:paraId="40925F5B" w14:textId="77777777" w:rsidR="00623BB8" w:rsidRPr="00A73147" w:rsidRDefault="00623BB8" w:rsidP="00A73147">
      <w:pPr>
        <w:bidi/>
        <w:spacing w:after="200" w:line="360" w:lineRule="auto"/>
        <w:ind w:firstLine="720"/>
        <w:jc w:val="both"/>
        <w:rPr>
          <w:rFonts w:ascii="Traditional Arabic" w:eastAsia="Calibri" w:hAnsi="Traditional Arabic" w:cs="Traditional Arabic"/>
          <w:sz w:val="24"/>
          <w:szCs w:val="24"/>
          <w:rtl/>
          <w:lang w:bidi="ar-EG"/>
        </w:rPr>
      </w:pPr>
      <w:r w:rsidRPr="00A73147">
        <w:rPr>
          <w:rFonts w:ascii="Traditional Arabic" w:eastAsia="Calibri" w:hAnsi="Traditional Arabic" w:cs="Traditional Arabic" w:hint="cs"/>
          <w:sz w:val="24"/>
          <w:szCs w:val="24"/>
          <w:rtl/>
          <w:lang w:bidi="ar-EG"/>
        </w:rPr>
        <w:t>تحتاج المنظمات المعاصرة لقيادة حقيقية لها قدرة فائقة للإيحاء للمرؤوسين القيام بأفضل طاقاتهم، وتطوير مهاراتهم وترقية قناعاتهم، وإيصالهم إلى مــستويات فكرية متقدمة، فالقائد التحويلي قادر على حث أتباعه على القيام بأكثر مما هو متوقع، وينظر للقيادة التحويلية على أنها القيادة التي تتجاوز تقديم الحوافز مقابل الأداء المرغوب، إلى تطوير وتشجيع العاملين فكرياً وابداعياً، وتحويل اهتماماتهم الذاتية لتكون جزءاً أساسياً من رسالة المنظمة، فهي التي تضع رؤية واضحة لمنظماتها، وتعمل على إيجاد أنظمة جديدة تتوافق كليا ومتطلبات المستقبل (نور2020).</w:t>
      </w:r>
    </w:p>
    <w:p w14:paraId="4A6107D7" w14:textId="1A9F440F" w:rsidR="00623BB8" w:rsidRPr="00F30DB3" w:rsidRDefault="00FE464C" w:rsidP="00623BB8">
      <w:pPr>
        <w:bidi/>
        <w:spacing w:after="200" w:line="360" w:lineRule="auto"/>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b/>
          <w:bCs/>
          <w:sz w:val="28"/>
          <w:szCs w:val="28"/>
          <w:rtl/>
          <w:lang w:bidi="ar-EG"/>
        </w:rPr>
        <w:t xml:space="preserve">أولا : </w:t>
      </w:r>
      <w:r w:rsidR="00623BB8" w:rsidRPr="00F30DB3">
        <w:rPr>
          <w:rFonts w:ascii="Traditional Arabic" w:eastAsia="Calibri" w:hAnsi="Traditional Arabic" w:cs="Traditional Arabic" w:hint="cs"/>
          <w:b/>
          <w:bCs/>
          <w:sz w:val="28"/>
          <w:szCs w:val="28"/>
          <w:rtl/>
          <w:lang w:bidi="ar-EG"/>
        </w:rPr>
        <w:t>مفهوم القيادة التحويلية</w:t>
      </w:r>
      <w:r w:rsidR="00623BB8" w:rsidRPr="00F30DB3">
        <w:rPr>
          <w:rFonts w:ascii="Traditional Arabic" w:eastAsia="Calibri" w:hAnsi="Traditional Arabic" w:cs="Traditional Arabic" w:hint="cs"/>
          <w:sz w:val="28"/>
          <w:szCs w:val="28"/>
          <w:rtl/>
          <w:lang w:bidi="ar-EG"/>
        </w:rPr>
        <w:t>:</w:t>
      </w:r>
    </w:p>
    <w:p w14:paraId="07769E86" w14:textId="2A321A3C" w:rsidR="00623BB8" w:rsidRPr="00F30DB3" w:rsidRDefault="007C3457"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ي</w:t>
      </w:r>
      <w:r w:rsidR="00623BB8" w:rsidRPr="00F30DB3">
        <w:rPr>
          <w:rFonts w:ascii="Traditional Arabic" w:eastAsia="Calibri" w:hAnsi="Traditional Arabic" w:cs="Traditional Arabic" w:hint="cs"/>
          <w:sz w:val="28"/>
          <w:szCs w:val="28"/>
          <w:rtl/>
          <w:lang w:bidi="ar-EG"/>
        </w:rPr>
        <w:t xml:space="preserve">عرفها </w:t>
      </w:r>
      <w:r w:rsidR="00623BB8" w:rsidRPr="00F30DB3">
        <w:rPr>
          <w:rFonts w:ascii="Traditional Arabic" w:eastAsia="Calibri" w:hAnsi="Traditional Arabic" w:cs="Traditional Arabic" w:hint="cs"/>
          <w:b/>
          <w:bCs/>
          <w:sz w:val="28"/>
          <w:szCs w:val="28"/>
          <w:rtl/>
          <w:lang w:bidi="ar-EG"/>
        </w:rPr>
        <w:t>(أبو رمان، 2020)</w:t>
      </w:r>
      <w:r w:rsidR="00623BB8" w:rsidRPr="00F30DB3">
        <w:rPr>
          <w:rFonts w:ascii="Traditional Arabic" w:eastAsia="Calibri" w:hAnsi="Traditional Arabic" w:cs="Traditional Arabic" w:hint="cs"/>
          <w:sz w:val="28"/>
          <w:szCs w:val="28"/>
          <w:rtl/>
          <w:lang w:bidi="ar-EG"/>
        </w:rPr>
        <w:t xml:space="preserve"> على أنّها: "نمط قيادي ذو رؤية واضحة للحاجة للتغيير والتطلع إلى المستقبل، وتتمثل فيما يمتلكه القائد من شخصية جذابة ومؤثرة يستطيع من خلالها أن يؤثر في سلوكيات العاملين وتوسيع مشاركتهم، والسرعة في الاستجابة للتعامل مع أي أمر طارئ.</w:t>
      </w:r>
    </w:p>
    <w:p w14:paraId="6CAC1EDE" w14:textId="77777777"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 وهي "ذلــك الــنمط القيــادي الــذي يوضــح مــدى تــأثير القائــد فــي المرؤوسيــن مــن حيــث تحفيزهم والهامهم ودفعهم نحو إتقان العمل بما ينسجم مع أهداف المنظمة</w:t>
      </w:r>
      <w:r w:rsidRPr="00F30DB3">
        <w:rPr>
          <w:rFonts w:ascii="Traditional Arabic" w:eastAsia="Calibri" w:hAnsi="Traditional Arabic" w:cs="Traditional Arabic" w:hint="cs"/>
          <w:b/>
          <w:bCs/>
          <w:sz w:val="28"/>
          <w:szCs w:val="28"/>
          <w:rtl/>
          <w:lang w:bidi="ar-EG"/>
        </w:rPr>
        <w:t xml:space="preserve"> ("حمدان، 2020).</w:t>
      </w:r>
      <w:r w:rsidRPr="00F30DB3">
        <w:rPr>
          <w:rFonts w:ascii="Traditional Arabic" w:eastAsia="Calibri" w:hAnsi="Traditional Arabic" w:cs="Traditional Arabic" w:hint="cs"/>
          <w:sz w:val="28"/>
          <w:szCs w:val="28"/>
          <w:rtl/>
          <w:lang w:bidi="ar-EG"/>
        </w:rPr>
        <w:t xml:space="preserve"> </w:t>
      </w:r>
    </w:p>
    <w:p w14:paraId="22292096" w14:textId="65029A28"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ووفقًا لـ </w:t>
      </w:r>
      <w:r w:rsidRPr="00F30DB3">
        <w:rPr>
          <w:rFonts w:ascii="Traditional Arabic" w:eastAsia="Calibri" w:hAnsi="Traditional Arabic" w:cs="Traditional Arabic" w:hint="cs"/>
          <w:b/>
          <w:bCs/>
          <w:sz w:val="28"/>
          <w:szCs w:val="28"/>
          <w:rtl/>
          <w:lang w:bidi="ar-EG"/>
        </w:rPr>
        <w:t>(</w:t>
      </w:r>
      <w:r w:rsidR="00F30DB3">
        <w:rPr>
          <w:rFonts w:ascii="Traditional Arabic" w:eastAsia="Calibri" w:hAnsi="Traditional Arabic" w:cs="Traditional Arabic"/>
          <w:b/>
          <w:bCs/>
          <w:sz w:val="28"/>
          <w:szCs w:val="28"/>
          <w:lang w:bidi="ar-EG"/>
        </w:rPr>
        <w:t>2010</w:t>
      </w:r>
      <w:r w:rsidRPr="00F30DB3">
        <w:rPr>
          <w:rFonts w:ascii="Traditional Arabic" w:eastAsia="Calibri" w:hAnsi="Traditional Arabic" w:cs="Traditional Arabic" w:hint="cs"/>
          <w:b/>
          <w:bCs/>
          <w:sz w:val="28"/>
          <w:szCs w:val="28"/>
          <w:rtl/>
          <w:lang w:bidi="ar-EG"/>
        </w:rPr>
        <w:t xml:space="preserve"> </w:t>
      </w:r>
      <w:r w:rsidRPr="00F30DB3">
        <w:rPr>
          <w:rFonts w:ascii="Traditional Arabic" w:eastAsia="Calibri" w:hAnsi="Traditional Arabic" w:cs="Traditional Arabic" w:hint="cs"/>
          <w:b/>
          <w:bCs/>
          <w:sz w:val="28"/>
          <w:szCs w:val="28"/>
          <w:lang w:bidi="ar-EG"/>
        </w:rPr>
        <w:t>Yukl</w:t>
      </w:r>
      <w:r w:rsidR="00F30DB3">
        <w:rPr>
          <w:rFonts w:ascii="Traditional Arabic" w:eastAsia="Calibri" w:hAnsi="Traditional Arabic" w:cs="Traditional Arabic"/>
          <w:b/>
          <w:bCs/>
          <w:sz w:val="28"/>
          <w:szCs w:val="28"/>
          <w:lang w:bidi="ar-EG"/>
        </w:rPr>
        <w:t>,</w:t>
      </w:r>
      <w:r w:rsidR="004D510A" w:rsidRPr="00F30DB3">
        <w:rPr>
          <w:rFonts w:ascii="Traditional Arabic" w:eastAsia="Calibri" w:hAnsi="Traditional Arabic" w:cs="Traditional Arabic" w:hint="cs"/>
          <w:b/>
          <w:bCs/>
          <w:sz w:val="28"/>
          <w:szCs w:val="28"/>
          <w:rtl/>
          <w:lang w:bidi="ar-EG"/>
        </w:rPr>
        <w:t>)</w:t>
      </w:r>
      <w:r w:rsidRPr="00F30DB3">
        <w:rPr>
          <w:rFonts w:ascii="Traditional Arabic" w:eastAsia="Calibri" w:hAnsi="Traditional Arabic" w:cs="Traditional Arabic" w:hint="cs"/>
          <w:sz w:val="28"/>
          <w:szCs w:val="28"/>
          <w:rtl/>
          <w:lang w:bidi="ar-EG"/>
        </w:rPr>
        <w:t xml:space="preserve"> فقد وجد أنّ أسلوب القيادة التحويلية يعبر عن القيم الأخلاقية للأتباع في جهودهم لزيادة وعيهم بالقضايا الأخلاقية وتعبئة طاقتهم ومواردهم لإصلاح المنظمات.</w:t>
      </w:r>
    </w:p>
    <w:p w14:paraId="1ED3F0BD"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hAnsi="Traditional Arabic" w:cs="Traditional Arabic" w:hint="cs"/>
          <w:spacing w:val="-6"/>
          <w:sz w:val="24"/>
          <w:szCs w:val="24"/>
          <w:rtl/>
        </w:rPr>
        <w:t xml:space="preserve">كما تعرف القيادة </w:t>
      </w:r>
      <w:r w:rsidRPr="00742BC9">
        <w:rPr>
          <w:rFonts w:ascii="Traditional Arabic" w:eastAsia="Calibri" w:hAnsi="Traditional Arabic" w:cs="Traditional Arabic" w:hint="cs"/>
          <w:sz w:val="24"/>
          <w:szCs w:val="24"/>
          <w:rtl/>
          <w:lang w:bidi="ar-EG"/>
        </w:rPr>
        <w:t>التحويلية</w:t>
      </w:r>
      <w:r w:rsidRPr="00742BC9">
        <w:rPr>
          <w:rFonts w:ascii="Traditional Arabic" w:hAnsi="Traditional Arabic" w:cs="Traditional Arabic" w:hint="cs"/>
          <w:spacing w:val="-6"/>
          <w:sz w:val="24"/>
          <w:szCs w:val="24"/>
          <w:rtl/>
        </w:rPr>
        <w:t xml:space="preserve"> بأنها نمط قيادي لديه رؤية واضحة عن المستقبل وأهداف محددة وواضحة يشجع المرؤوسين على المشاركة في بلورة رؤية طويلة الأجل وتحديد أهداف واضحة واقعية للمؤسسة، ويسعى إلى إحداث التغيير والتطوير والتنمية الإدارية باستمرار، ويتبنى أنظمة وأساليب قيادية مرنة تمكن من التكيف والتأقلم مع التطورات والتغييرات العالمية المعاصرة (خيري، </w:t>
      </w:r>
      <w:r w:rsidRPr="00742BC9">
        <w:rPr>
          <w:rFonts w:ascii="Traditional Arabic" w:hAnsi="Traditional Arabic" w:cs="Traditional Arabic" w:hint="cs"/>
          <w:spacing w:val="-6"/>
          <w:sz w:val="24"/>
          <w:szCs w:val="24"/>
          <w:rtl/>
          <w:lang w:bidi="fa-IR"/>
        </w:rPr>
        <w:t>۲۰۱۳</w:t>
      </w:r>
      <w:r w:rsidRPr="00742BC9">
        <w:rPr>
          <w:rFonts w:ascii="Traditional Arabic" w:hAnsi="Traditional Arabic" w:cs="Traditional Arabic" w:hint="cs"/>
          <w:spacing w:val="-6"/>
          <w:sz w:val="24"/>
          <w:szCs w:val="24"/>
          <w:rtl/>
        </w:rPr>
        <w:t>، ٩٥).</w:t>
      </w:r>
    </w:p>
    <w:p w14:paraId="43C738C2"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8"/>
          <w:szCs w:val="28"/>
          <w:rtl/>
        </w:rPr>
      </w:pPr>
      <w:r w:rsidRPr="00742BC9">
        <w:rPr>
          <w:rFonts w:ascii="Traditional Arabic" w:hAnsi="Traditional Arabic" w:cs="Traditional Arabic" w:hint="cs"/>
          <w:spacing w:val="-6"/>
          <w:sz w:val="28"/>
          <w:szCs w:val="28"/>
          <w:rtl/>
        </w:rPr>
        <w:t>وإن القيادة التحويلية تكون في تهيئة الظروف المناسبة لتنمية قدرات ومهارات الموظفين أو العاملين بشكل مستمر ضمن رؤية واضحة عن المستقبل وأهداف محددة وواضحة، حيث يشجع المرؤوسين على المشاركة في بلورة رؤية طويلة الأجل، وتحديد أهداف واضحة واقعية للمؤسسة، كما يسعى القائد التحويلي إلى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14:paraId="4CD949DC" w14:textId="23410FC9"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eastAsia="Calibri" w:hAnsi="Traditional Arabic" w:cs="Traditional Arabic" w:hint="cs"/>
          <w:sz w:val="24"/>
          <w:szCs w:val="24"/>
          <w:rtl/>
          <w:lang w:bidi="ar-EG"/>
        </w:rPr>
        <w:lastRenderedPageBreak/>
        <w:t xml:space="preserve">من خلال هذه التعريفات يمكن أن نستنتج بأن القيادة التحويلية هي: "القيادة التي تتجاوز التبادل أو التقدير فقط للأداء الذي يقدمه المرؤوسون، ولكنها تعتمد بشكل أكبر على الثقة والالتزام حيث يهتم القادة التحويليون باحتياجات التطوير لكل مرؤوس من خلال مساعدتهم على رؤية المشكلات القديمة بطرق جديدة، فالقادة التحويلين قادرون على تحفيز التابعين ورعايتهم وإلهامهم لبذل جهود إضافية لتحقيق </w:t>
      </w:r>
      <w:r w:rsidRPr="00742BC9">
        <w:rPr>
          <w:rFonts w:ascii="Traditional Arabic" w:hAnsi="Traditional Arabic" w:cs="Traditional Arabic" w:hint="cs"/>
          <w:spacing w:val="-6"/>
          <w:sz w:val="24"/>
          <w:szCs w:val="24"/>
          <w:rtl/>
        </w:rPr>
        <w:t>أهداف</w:t>
      </w:r>
      <w:r w:rsidRPr="00742BC9">
        <w:rPr>
          <w:rFonts w:ascii="Traditional Arabic" w:eastAsia="Calibri" w:hAnsi="Traditional Arabic" w:cs="Traditional Arabic" w:hint="cs"/>
          <w:sz w:val="24"/>
          <w:szCs w:val="24"/>
          <w:rtl/>
          <w:lang w:bidi="ar-EG"/>
        </w:rPr>
        <w:t xml:space="preserve"> المنظمة"، فالقيادة التحويلية تعمل على تحقيق الأهداف التي تسعى إليها بحيث يشعر المرؤوسون بالثقة والقيمة وسيقدر المرؤوسون قادتهم أكثر، لذلك ولتحقيق أهداف الدراسة الحالية يمكن تعريف القيادة التحويلية على أنّها: "قدرة قائد المنظمة الصحية على تحقيق أهداف المنظمة من خلال تبادل الأدوار مع المرؤوسين</w:t>
      </w:r>
      <w:r w:rsidR="004D510A"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نور، 2020). </w:t>
      </w:r>
    </w:p>
    <w:p w14:paraId="46F35F87" w14:textId="234776D8" w:rsidR="00623BB8" w:rsidRPr="00742BC9" w:rsidRDefault="00FE464C" w:rsidP="00623BB8">
      <w:pPr>
        <w:bidi/>
        <w:spacing w:after="200" w:line="360" w:lineRule="auto"/>
        <w:contextualSpacing/>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ثانياً: </w:t>
      </w:r>
      <w:r w:rsidR="00623BB8" w:rsidRPr="00742BC9">
        <w:rPr>
          <w:rFonts w:ascii="Traditional Arabic" w:eastAsia="Calibri" w:hAnsi="Traditional Arabic" w:cs="Traditional Arabic" w:hint="cs"/>
          <w:b/>
          <w:bCs/>
          <w:sz w:val="28"/>
          <w:szCs w:val="28"/>
          <w:rtl/>
          <w:lang w:bidi="ar-EG"/>
        </w:rPr>
        <w:t>أهمية القيادة التحويلية:</w:t>
      </w:r>
    </w:p>
    <w:p w14:paraId="01A49962" w14:textId="77777777" w:rsidR="00623BB8" w:rsidRPr="00742BC9" w:rsidRDefault="00623BB8" w:rsidP="00742BC9">
      <w:p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تعود أهمية القيادة التحويلية كنمط قيادي حديث إلى العوامل التالية: (العمري، 2023) </w:t>
      </w:r>
    </w:p>
    <w:p w14:paraId="229D0830" w14:textId="4BD5EB04"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تسعى القيادة التحويلية ومن خلال تفويض السلطات إلى تمكين العاملين من والعمل على تطوير مهاراتهم </w:t>
      </w:r>
      <w:r w:rsidR="004D510A" w:rsidRPr="00742BC9">
        <w:rPr>
          <w:rFonts w:ascii="Traditional Arabic" w:eastAsia="Calibri" w:hAnsi="Traditional Arabic" w:cs="Traditional Arabic" w:hint="cs"/>
          <w:sz w:val="24"/>
          <w:szCs w:val="24"/>
          <w:rtl/>
          <w:lang w:bidi="ar-EG"/>
        </w:rPr>
        <w:t>و</w:t>
      </w:r>
      <w:r w:rsidRPr="00742BC9">
        <w:rPr>
          <w:rFonts w:ascii="Traditional Arabic" w:eastAsia="Calibri" w:hAnsi="Traditional Arabic" w:cs="Traditional Arabic" w:hint="cs"/>
          <w:sz w:val="24"/>
          <w:szCs w:val="24"/>
          <w:rtl/>
          <w:lang w:bidi="ar-EG"/>
        </w:rPr>
        <w:t>تعزيز الثقة بأنفسهم، أيضا والعمل على تشكيل فرق عمل معتمدة على نفسها ذاتياً.</w:t>
      </w:r>
    </w:p>
    <w:p w14:paraId="7D4FED21" w14:textId="7AE71AB8" w:rsidR="00623BB8" w:rsidRPr="00742BC9" w:rsidRDefault="004D510A">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يمكن أن ت</w:t>
      </w:r>
      <w:r w:rsidR="00623BB8" w:rsidRPr="00742BC9">
        <w:rPr>
          <w:rFonts w:ascii="Traditional Arabic" w:eastAsia="Calibri" w:hAnsi="Traditional Arabic" w:cs="Traditional Arabic" w:hint="cs"/>
          <w:sz w:val="24"/>
          <w:szCs w:val="24"/>
          <w:rtl/>
          <w:lang w:bidi="ar-EG"/>
        </w:rPr>
        <w:t>تطو</w:t>
      </w:r>
      <w:r w:rsidRPr="00742BC9">
        <w:rPr>
          <w:rFonts w:ascii="Traditional Arabic" w:eastAsia="Calibri" w:hAnsi="Traditional Arabic" w:cs="Traditional Arabic" w:hint="cs"/>
          <w:sz w:val="24"/>
          <w:szCs w:val="24"/>
          <w:rtl/>
          <w:lang w:bidi="ar-EG"/>
        </w:rPr>
        <w:t>ي</w:t>
      </w:r>
      <w:r w:rsidR="00623BB8" w:rsidRPr="00742BC9">
        <w:rPr>
          <w:rFonts w:ascii="Traditional Arabic" w:eastAsia="Calibri" w:hAnsi="Traditional Arabic" w:cs="Traditional Arabic" w:hint="cs"/>
          <w:sz w:val="24"/>
          <w:szCs w:val="24"/>
          <w:rtl/>
          <w:lang w:bidi="ar-EG"/>
        </w:rPr>
        <w:t>ر صفات القيادة التحويلية وتتحسن عن طريق التدريب، الذي يترك تأثيراً مهماً على تصورات والتزامات وأداء التابعين في مختلف مستويات المنظمة.</w:t>
      </w:r>
    </w:p>
    <w:p w14:paraId="7E491291" w14:textId="77777777"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 تتبنى القيادة التحويلية فكرة "المسؤولية الأخلاقية"التي تحفز العاملين أن يفضلوا المصلحة العامة على الميول الذاتية، الشيء الذي يؤدي إلى اكتساب السلوك التعاوني داخل المنظومة.</w:t>
      </w:r>
    </w:p>
    <w:p w14:paraId="1FBEAC59" w14:textId="16009D9B" w:rsidR="00623BB8" w:rsidRPr="00742BC9" w:rsidRDefault="00623BB8">
      <w:pPr>
        <w:numPr>
          <w:ilvl w:val="0"/>
          <w:numId w:val="5"/>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القيادة التحويلية نمط قيادي يصلح للتطبيق في جميع المنظمات وفي مختلف المستويات والتي بحاجة إلى التغيير الجذري وحتى في المنظمات الناجحة، وهي صالحة بشكل عام لمواجهة جميع الحالات</w:t>
      </w:r>
      <w:r w:rsidR="007C3457"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كما تظهر أهمية القيادة التحويلية في أنّها تحدد مسارات المرؤوسين التي تسهم في تحقيق الأهداف، وتمنح الحوافز للمرؤوسين لدفعهم لتحقيق الأهداف، وتزيل العقبات التي تحول دون تحقيق الأهداف، وتزيد من رضا المرؤوسين، وتجنب المنظمة المخاطر، وتهتم بالمحددات الزمنية للأداء، وتعالج كل ما يعيق السيطرة والتحكم (العجمي، 2020). </w:t>
      </w:r>
    </w:p>
    <w:p w14:paraId="70E6988A" w14:textId="71DB1E63" w:rsidR="00623BB8" w:rsidRPr="00742BC9" w:rsidRDefault="00FE464C" w:rsidP="00623BB8">
      <w:pPr>
        <w:tabs>
          <w:tab w:val="left" w:pos="416"/>
        </w:tabs>
        <w:bidi/>
        <w:spacing w:after="200" w:line="276" w:lineRule="auto"/>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ثالثاً : </w:t>
      </w:r>
      <w:r w:rsidR="00623BB8" w:rsidRPr="00742BC9">
        <w:rPr>
          <w:rFonts w:ascii="Traditional Arabic" w:eastAsia="Calibri" w:hAnsi="Traditional Arabic" w:cs="Traditional Arabic" w:hint="cs"/>
          <w:b/>
          <w:bCs/>
          <w:sz w:val="28"/>
          <w:szCs w:val="28"/>
          <w:rtl/>
          <w:lang w:bidi="ar-EG"/>
        </w:rPr>
        <w:t xml:space="preserve">أدوات القيادة التحويلية: </w:t>
      </w:r>
    </w:p>
    <w:p w14:paraId="7D1EDC47" w14:textId="77777777" w:rsidR="00174870" w:rsidRPr="00742BC9" w:rsidRDefault="00623BB8" w:rsidP="00623BB8">
      <w:pPr>
        <w:tabs>
          <w:tab w:val="left" w:pos="416"/>
        </w:tabs>
        <w:bidi/>
        <w:spacing w:after="200" w:line="276"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أشار (نور،2020) إلى أنّ القيادة التحويلية تتكون من الأدوات الموضحة بالشكل التالى</w:t>
      </w:r>
      <w:r w:rsidR="00174870"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w:t>
      </w:r>
    </w:p>
    <w:p w14:paraId="68DE1CFA" w14:textId="77777777" w:rsidR="00742BC9" w:rsidRDefault="00742BC9" w:rsidP="00174870">
      <w:pPr>
        <w:tabs>
          <w:tab w:val="left" w:pos="416"/>
        </w:tabs>
        <w:bidi/>
        <w:spacing w:after="200" w:line="276" w:lineRule="auto"/>
        <w:jc w:val="center"/>
        <w:rPr>
          <w:rFonts w:ascii="Simplified Arabic" w:eastAsia="Calibri" w:hAnsi="Simplified Arabic" w:cs="Simplified Arabic"/>
          <w:b/>
          <w:bCs/>
          <w:sz w:val="24"/>
          <w:szCs w:val="24"/>
          <w:lang w:bidi="ar-EG"/>
        </w:rPr>
      </w:pPr>
    </w:p>
    <w:p w14:paraId="2B59FA2D"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56D426CA"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092FBBE8"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2B634734" w14:textId="6958C7E4" w:rsidR="00174870" w:rsidRPr="00742BC9" w:rsidRDefault="00623BB8" w:rsidP="00742BC9">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4959E0">
        <w:rPr>
          <w:rFonts w:ascii="Traditional Arabic" w:eastAsia="Calibri" w:hAnsi="Traditional Arabic" w:cs="Traditional Arabic" w:hint="cs"/>
          <w:b/>
          <w:bCs/>
          <w:sz w:val="24"/>
          <w:szCs w:val="24"/>
          <w:rtl/>
          <w:lang w:bidi="ar-EG"/>
        </w:rPr>
        <w:t>4</w:t>
      </w:r>
      <w:r w:rsidRPr="00742BC9">
        <w:rPr>
          <w:rFonts w:ascii="Traditional Arabic" w:eastAsia="Calibri" w:hAnsi="Traditional Arabic" w:cs="Traditional Arabic" w:hint="cs"/>
          <w:b/>
          <w:bCs/>
          <w:sz w:val="24"/>
          <w:szCs w:val="24"/>
          <w:rtl/>
          <w:lang w:bidi="ar-EG"/>
        </w:rPr>
        <w:t>) أدوات القيادة التحويلية</w:t>
      </w:r>
    </w:p>
    <w:p w14:paraId="54EB86CC" w14:textId="7709360C" w:rsidR="00174870" w:rsidRPr="00742BC9" w:rsidRDefault="00174870" w:rsidP="00174870">
      <w:pPr>
        <w:tabs>
          <w:tab w:val="left" w:pos="416"/>
        </w:tabs>
        <w:bidi/>
        <w:spacing w:after="200" w:line="276" w:lineRule="auto"/>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noProof/>
          <w:sz w:val="28"/>
          <w:szCs w:val="28"/>
          <w:rtl/>
          <w:lang w:val="ar-EG" w:bidi="ar-EG"/>
        </w:rPr>
        <w:drawing>
          <wp:inline distT="0" distB="0" distL="0" distR="0" wp14:anchorId="376B5CED" wp14:editId="47362E75">
            <wp:extent cx="5274310" cy="3076575"/>
            <wp:effectExtent l="0" t="12700" r="0" b="34925"/>
            <wp:docPr id="107023573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CD1D811" w14:textId="64170520" w:rsidR="00623BB8" w:rsidRPr="00742BC9" w:rsidRDefault="00174870" w:rsidP="007C3457">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الياحثة</w:t>
      </w:r>
      <w:r w:rsidR="007C3457" w:rsidRPr="00742BC9">
        <w:rPr>
          <w:rFonts w:ascii="Traditional Arabic" w:eastAsia="Calibri" w:hAnsi="Traditional Arabic" w:cs="Traditional Arabic" w:hint="cs"/>
          <w:b/>
          <w:bCs/>
          <w:sz w:val="24"/>
          <w:szCs w:val="24"/>
          <w:rtl/>
          <w:lang w:bidi="ar-EG"/>
        </w:rPr>
        <w:t xml:space="preserve"> إستندادأً للمرجع السابق</w:t>
      </w:r>
      <w:r w:rsidRPr="00742BC9">
        <w:rPr>
          <w:rFonts w:ascii="Traditional Arabic" w:eastAsia="Calibri" w:hAnsi="Traditional Arabic" w:cs="Traditional Arabic" w:hint="cs"/>
          <w:b/>
          <w:bCs/>
          <w:sz w:val="24"/>
          <w:szCs w:val="24"/>
          <w:rtl/>
          <w:lang w:bidi="ar-EG"/>
        </w:rPr>
        <w:t>.</w:t>
      </w:r>
    </w:p>
    <w:p w14:paraId="0ED027F2" w14:textId="77777777" w:rsidR="00623BB8" w:rsidRPr="00742BC9" w:rsidRDefault="00623BB8" w:rsidP="00742BC9">
      <w:pPr>
        <w:bidi/>
        <w:spacing w:after="200" w:line="360" w:lineRule="auto"/>
        <w:ind w:firstLine="720"/>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لكن المتأمل لهذه الأدوات يستنتج بأنه يمكن استخدامها القائد منفردة أو مجتمعة، ولكنها تختلف عما اتفق عليه أغلب الباحثين من أنّ أبعاد القيادة التحويلية هي: (التجاني، 2020)؛( أبو رمان، 2020)</w:t>
      </w:r>
    </w:p>
    <w:p w14:paraId="62993040" w14:textId="622C861F" w:rsidR="00623BB8" w:rsidRPr="00742BC9" w:rsidRDefault="00623BB8">
      <w:pPr>
        <w:pStyle w:val="ListParagraph"/>
        <w:numPr>
          <w:ilvl w:val="0"/>
          <w:numId w:val="4"/>
        </w:numPr>
        <w:bidi/>
        <w:spacing w:after="200" w:line="360"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 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الولاء والالتزام للقائد، وتعرف المرؤوسين بالقائد </w:t>
      </w:r>
      <w:r w:rsidRPr="00742BC9">
        <w:rPr>
          <w:rFonts w:ascii="Traditional Arabic" w:eastAsia="Calibri" w:hAnsi="Traditional Arabic" w:cs="Traditional Arabic" w:hint="cs"/>
          <w:sz w:val="24"/>
          <w:szCs w:val="24"/>
          <w:rtl/>
          <w:lang w:bidi="ar-EG"/>
        </w:rPr>
        <w:lastRenderedPageBreak/>
        <w:t>ورسالته، وتبني قيمه وأهدافه وسلوكه وصدق معتقداته، ويرتبط التأثير الإلهامي بالمخاطر، وإيجاد الحلول الواقعية لها، إذ ينفتح المرؤوسون للقادة لقوة شخصيتهم وثقتهم بنفسهم، ولباقتهم، ولتعبيرهم العاطفي، وتقبلهم للمخاطرة .</w:t>
      </w:r>
    </w:p>
    <w:p w14:paraId="29DCF014"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الدافعية الالهامية:</w:t>
      </w:r>
      <w:r w:rsidRPr="00742BC9">
        <w:rPr>
          <w:rFonts w:ascii="Traditional Arabic" w:eastAsia="Calibri" w:hAnsi="Traditional Arabic" w:cs="Traditional Arabic" w:hint="cs"/>
          <w:sz w:val="28"/>
          <w:szCs w:val="28"/>
          <w:rtl/>
          <w:lang w:bidi="ar-EG"/>
        </w:rPr>
        <w:t xml:space="preserve"> وهي القدرة على بث الحركة والوعي والحافز لدى المرؤوسين، فالقائد الملهم يستطيع وضع الأهداف الصعبة في إطار قابل للتحقيق، ويمتلك عادةً حساسية وفهماً للمحيط الذي يعمل به، وفهماً لقدرات الآخرين وحاجاتهم وتطلعاتهم بحيث يستطيع أن يوظف هذا الفهم في بث روح العمل والنشاط والتحدي الإيجابي، فهو يعتمد على الحافز الإلهامي، ولديه القدرة على تحفيز المرؤوسين إلى مستوى الأداء الأعلى، فالقادة الممارسون للدافع الإلهامي يكونون قادرين على توصيل الرؤية المستقبلية، التي سيكون المرؤوسون قادرين على قبولها، ويناضلون من أجلها، إلى جانب قدرتهم على الارتقاء بتوقعات المرؤوسين، وبالتالي يستطيعون الحصول على أداء يفوق الأداء المخطط من المرؤوسين، ويعملون على إلهام المرؤوسين وتحفيزهم؛ من خلال توفير التحدي في العمل ،إلى جانب بناء العلاقات القوية؛ وذلك من خلال الاتصالات التي تخلق الروابط الثقافية بين المشاركين، وتؤدي إلى تحويل قيم الطرفين إلى قيم مشتركة ، وهناك مجموعة من الأدوات التي يستعين بها القائد المحفز الإلهامي وذلك لخلق رؤية مشتركة بينه وبين المرؤوسين.</w:t>
      </w:r>
    </w:p>
    <w:p w14:paraId="1BF2E72A"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b/>
          <w:bCs/>
          <w:sz w:val="28"/>
          <w:szCs w:val="28"/>
          <w:rtl/>
          <w:lang w:bidi="ar-EG"/>
        </w:rPr>
        <w:t>الاستثارة الفكرية:</w:t>
      </w:r>
      <w:r w:rsidRPr="00742BC9">
        <w:rPr>
          <w:rFonts w:ascii="Traditional Arabic" w:eastAsia="Calibri" w:hAnsi="Traditional Arabic" w:cs="Traditional Arabic" w:hint="cs"/>
          <w:sz w:val="28"/>
          <w:szCs w:val="28"/>
          <w:rtl/>
          <w:lang w:bidi="ar-EG"/>
        </w:rPr>
        <w:t xml:space="preserve"> وتشير إلى ابتكار القائد التحويلي لأفكار جديدة تثير المرؤوسين، للتعرف إلى المشكلات، وتقديم الحلول لها بطرق إبداعية، ودعم النماذج الجديدة والخلاقة لتأدية الأعمال، فالقائد يحدد الفرص والتهديدات، ونقاط القوة ونقاط الضعف للمنظمة ويدركها بشكل جيد، ومن ثم يحدد حلولًا عالية الجودة يتم تنفيذها بالالتزام الكامل من قبل المرؤوسين، فهؤلاء القادة يثيرون الأفكار الجديدة، ويشجعون المرؤوسين لحل المشكلات بطريقة خلاقة، ويدعمون المداخل الإبداعية في إنجاز العمل، ويروجون التشجيع الإبداعي بين المرؤوسين، وينشرون روح الابتكار والإبداع في بيئة العمل، ويشجعون المرؤوسين على إعادة النظر في أساليب العمل القديمة، وتعزيز الأفكار الإبداعية.</w:t>
      </w:r>
    </w:p>
    <w:p w14:paraId="64EB419A" w14:textId="7B9C748C"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b/>
          <w:bCs/>
          <w:sz w:val="24"/>
          <w:szCs w:val="24"/>
          <w:rtl/>
          <w:lang w:bidi="ar-EG"/>
        </w:rPr>
        <w:t>الاعتبارية الفردية:</w:t>
      </w:r>
      <w:r w:rsidRPr="00742BC9">
        <w:rPr>
          <w:rFonts w:ascii="Traditional Arabic" w:eastAsia="Calibri" w:hAnsi="Traditional Arabic" w:cs="Traditional Arabic" w:hint="cs"/>
          <w:sz w:val="24"/>
          <w:szCs w:val="24"/>
          <w:rtl/>
          <w:lang w:bidi="ar-EG"/>
        </w:rPr>
        <w:t xml:space="preserve"> وهي مجموعة السلوكيات التي يستطيع القائد من خلالها أن يعطي اهتماماً شخصياً لكل مرؤوس؛ وذلك من خلال التعرف إلى المطالب والميول الخاصة بهؤلاء، ومراعاة الفوارق بين المرؤوسين عند إشباع هذه الحاجات، فالاهتمام بالأفراد يُعد خدمة وتضحية وإيثاراً من القيادة المذكورة، حتى لا يكون فقط ممثلا لدور السلطة الرقابية على هؤلاء الأفراد، فالقيادة تعمل على إثارتهم، والاتصال معهم على نحو دائم، فهي مسؤولة عن تقديم التدريب والتعليم للمرؤوسين،</w:t>
      </w:r>
      <w:r w:rsidRPr="00742BC9">
        <w:rPr>
          <w:rFonts w:ascii="Traditional Arabic" w:eastAsia="Calibri" w:hAnsi="Traditional Arabic" w:cs="Traditional Arabic" w:hint="cs"/>
          <w:sz w:val="24"/>
          <w:szCs w:val="24"/>
          <w:rtl/>
        </w:rPr>
        <w:t xml:space="preserve"> </w:t>
      </w:r>
      <w:r w:rsidRPr="00742BC9">
        <w:rPr>
          <w:rFonts w:ascii="Traditional Arabic" w:eastAsia="Calibri" w:hAnsi="Traditional Arabic" w:cs="Traditional Arabic" w:hint="cs"/>
          <w:sz w:val="24"/>
          <w:szCs w:val="24"/>
          <w:rtl/>
          <w:lang w:bidi="ar-EG"/>
        </w:rPr>
        <w:t>ومنحهم الفرص المختلفة، فالقائد التحويلي يركز الانتباه حول تطوير مرؤوسيه باتجاهه، ليكونوا تحويليين أيضاً، ويمكن مما سبق تلخيص أبعاد القيادة التحويلية كما في الشكل التالى :</w:t>
      </w:r>
    </w:p>
    <w:p w14:paraId="30409547" w14:textId="22205FE1" w:rsidR="00623BB8" w:rsidRPr="00742BC9" w:rsidRDefault="00623BB8" w:rsidP="00623BB8">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4959E0">
        <w:rPr>
          <w:rFonts w:ascii="Traditional Arabic" w:eastAsia="Calibri" w:hAnsi="Traditional Arabic" w:cs="Traditional Arabic" w:hint="cs"/>
          <w:b/>
          <w:bCs/>
          <w:sz w:val="24"/>
          <w:szCs w:val="24"/>
          <w:rtl/>
          <w:lang w:bidi="ar-EG"/>
        </w:rPr>
        <w:t>5</w:t>
      </w:r>
      <w:r w:rsidRPr="00742BC9">
        <w:rPr>
          <w:rFonts w:ascii="Traditional Arabic" w:eastAsia="Calibri" w:hAnsi="Traditional Arabic" w:cs="Traditional Arabic" w:hint="cs"/>
          <w:b/>
          <w:bCs/>
          <w:sz w:val="24"/>
          <w:szCs w:val="24"/>
          <w:rtl/>
          <w:lang w:bidi="ar-EG"/>
        </w:rPr>
        <w:t>) أبعاد القيادة التحويلية</w:t>
      </w:r>
    </w:p>
    <w:p w14:paraId="275FC721" w14:textId="2C821B99" w:rsidR="002B6E46" w:rsidRPr="00742BC9" w:rsidRDefault="002B6E46" w:rsidP="002B6E46">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noProof/>
          <w:sz w:val="24"/>
          <w:szCs w:val="24"/>
          <w:rtl/>
          <w:lang w:val="ar-EG" w:bidi="ar-EG"/>
        </w:rPr>
        <w:drawing>
          <wp:inline distT="0" distB="0" distL="0" distR="0" wp14:anchorId="16699513" wp14:editId="38C9A38D">
            <wp:extent cx="5274310" cy="3076575"/>
            <wp:effectExtent l="0" t="12700" r="0" b="9525"/>
            <wp:docPr id="91949659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DCAC21D" w14:textId="4DCAA0C4" w:rsidR="00A50C6C" w:rsidRPr="00742BC9" w:rsidRDefault="00A50C6C" w:rsidP="007C3457">
      <w:pPr>
        <w:bidi/>
        <w:spacing w:after="200" w:line="360" w:lineRule="auto"/>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الباحثة</w:t>
      </w:r>
      <w:r w:rsidR="007C3457" w:rsidRPr="00742BC9">
        <w:rPr>
          <w:rFonts w:ascii="Traditional Arabic" w:eastAsia="Calibri" w:hAnsi="Traditional Arabic" w:cs="Traditional Arabic" w:hint="cs"/>
          <w:b/>
          <w:bCs/>
          <w:sz w:val="24"/>
          <w:szCs w:val="24"/>
          <w:rtl/>
          <w:lang w:bidi="ar-EG"/>
        </w:rPr>
        <w:t xml:space="preserve"> مستندة إلى الدراسات السابقة</w:t>
      </w:r>
      <w:r w:rsidRPr="00742BC9">
        <w:rPr>
          <w:rFonts w:ascii="Traditional Arabic" w:eastAsia="Calibri" w:hAnsi="Traditional Arabic" w:cs="Traditional Arabic" w:hint="cs"/>
          <w:b/>
          <w:bCs/>
          <w:sz w:val="24"/>
          <w:szCs w:val="24"/>
          <w:rtl/>
          <w:lang w:bidi="ar-EG"/>
        </w:rPr>
        <w:t>.</w:t>
      </w:r>
    </w:p>
    <w:p w14:paraId="38AB8096" w14:textId="5C95116F" w:rsidR="00623BB8" w:rsidRPr="00742BC9" w:rsidRDefault="00FE464C" w:rsidP="00742BC9">
      <w:pPr>
        <w:bidi/>
        <w:spacing w:after="200" w:line="360" w:lineRule="auto"/>
        <w:contextualSpacing/>
        <w:rPr>
          <w:rFonts w:ascii="Traditional Arabic" w:eastAsia="Calibri" w:hAnsi="Traditional Arabic" w:cs="Traditional Arabic"/>
          <w:sz w:val="32"/>
          <w:szCs w:val="32"/>
          <w:rtl/>
          <w:lang w:bidi="ar-EG"/>
        </w:rPr>
      </w:pPr>
      <w:r w:rsidRPr="00742BC9">
        <w:rPr>
          <w:rFonts w:ascii="Traditional Arabic" w:eastAsia="Calibri" w:hAnsi="Traditional Arabic" w:cs="Traditional Arabic" w:hint="cs"/>
          <w:b/>
          <w:bCs/>
          <w:sz w:val="32"/>
          <w:szCs w:val="32"/>
          <w:rtl/>
          <w:lang w:bidi="ar-EG"/>
        </w:rPr>
        <w:t xml:space="preserve">رابعاً : </w:t>
      </w:r>
      <w:r w:rsidR="00623BB8" w:rsidRPr="00742BC9">
        <w:rPr>
          <w:rFonts w:ascii="Traditional Arabic" w:eastAsia="Calibri" w:hAnsi="Traditional Arabic" w:cs="Traditional Arabic" w:hint="cs"/>
          <w:b/>
          <w:bCs/>
          <w:sz w:val="32"/>
          <w:szCs w:val="32"/>
          <w:rtl/>
          <w:lang w:bidi="ar-EG"/>
        </w:rPr>
        <w:t>أنماط القيـادية التحويـلية:</w:t>
      </w:r>
    </w:p>
    <w:p w14:paraId="2670D263" w14:textId="7598CC18" w:rsidR="00623BB8" w:rsidRPr="00742BC9" w:rsidRDefault="00623BB8" w:rsidP="00742BC9">
      <w:p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 xml:space="preserve">تتخذ القيادة التحويلية عدة أنماط وهي: </w:t>
      </w:r>
      <w:r w:rsidRPr="00742BC9">
        <w:rPr>
          <w:rFonts w:ascii="Traditional Arabic" w:eastAsia="Calibri" w:hAnsi="Traditional Arabic" w:cs="Traditional Arabic" w:hint="cs"/>
          <w:b/>
          <w:bCs/>
          <w:sz w:val="28"/>
          <w:szCs w:val="28"/>
          <w:rtl/>
          <w:lang w:bidi="ar-EG"/>
        </w:rPr>
        <w:t>(بابكر،2020؛ التجاني، 2020)</w:t>
      </w:r>
    </w:p>
    <w:p w14:paraId="5143D5EA"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العقلانية:</w:t>
      </w:r>
      <w:r w:rsidRPr="00742BC9">
        <w:rPr>
          <w:rFonts w:ascii="Traditional Arabic" w:eastAsia="Calibri" w:hAnsi="Traditional Arabic" w:cs="Traditional Arabic" w:hint="cs"/>
          <w:sz w:val="28"/>
          <w:szCs w:val="28"/>
          <w:rtl/>
          <w:lang w:bidi="ar-EG"/>
        </w:rPr>
        <w:t xml:space="preserve"> وتستخدم للإشارة إلى تبني أفكار ومعارف وقيم معينة، فالشخص الذي يتعامل مع نوعية الأفكار، ويعمل على التوحيد بينها من خلال تصور منظم، يعد عقلانياً، والقائد العقلاني هو الذي تتوافر لديه القدرة على تغيير المجتمع من خلال تقديمه لأفكار ونظريات جديدة، وتعد القيادة العقلانية قيادة تحويلية؛ لأنها تؤدي إلى تغيير الأفكار والفلسفة.</w:t>
      </w:r>
    </w:p>
    <w:p w14:paraId="32724375" w14:textId="718663C1"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الإصلاحية:</w:t>
      </w:r>
      <w:r w:rsidRPr="00742BC9">
        <w:rPr>
          <w:rFonts w:ascii="Traditional Arabic" w:eastAsia="Calibri" w:hAnsi="Traditional Arabic" w:cs="Traditional Arabic" w:hint="cs"/>
          <w:sz w:val="28"/>
          <w:szCs w:val="28"/>
          <w:rtl/>
          <w:lang w:bidi="ar-EG"/>
        </w:rPr>
        <w:t xml:space="preserve"> هذه القيادة تحتاج إلى إمكانيات استثنائية وذلك للحاجة إلى دعم و إسناد قوي من الموظفين تحت الرئيس، حتى نصل إلى تغيير هادف في الوضع المتوفر حينها، ولكي يصل الشخص إلى مرحلة أن يكون قائداً حقيقياً فإنه يحتاج فقط إلى التدرج في سيره، وأن تتوفر لديه الرغبة في الإصلاح، وبالرغم من أن القيادة الإصلاحية تمثل جزءا ً من القيادة التحويلية، فقد لا يستطيع القائد الإصلاحي تحقيق تغيير ملحوظ؛ بسبب تقبله في الغالب للبناء الاجتماعي أوالسياسي الكائن و المحيط به، إضافة إلى أن الإصلاح عملية متداخلة ، فهي تحويلية في جوهرها، وإجرائية من خلال تعقيداتها ونتائجها، كما أنها لا تسعى إلى تغيير الأنظمة الموجودة كلياً.</w:t>
      </w:r>
    </w:p>
    <w:p w14:paraId="6492A3FD" w14:textId="77777777" w:rsidR="00623BB8" w:rsidRPr="00742BC9" w:rsidRDefault="00623BB8">
      <w:pPr>
        <w:numPr>
          <w:ilvl w:val="0"/>
          <w:numId w:val="4"/>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lastRenderedPageBreak/>
        <w:t xml:space="preserve"> </w:t>
      </w:r>
      <w:r w:rsidRPr="00742BC9">
        <w:rPr>
          <w:rFonts w:ascii="Traditional Arabic" w:eastAsia="Calibri" w:hAnsi="Traditional Arabic" w:cs="Traditional Arabic" w:hint="cs"/>
          <w:b/>
          <w:bCs/>
          <w:sz w:val="28"/>
          <w:szCs w:val="28"/>
          <w:rtl/>
          <w:lang w:bidi="ar-EG"/>
        </w:rPr>
        <w:t>القيادة الثورية:</w:t>
      </w:r>
      <w:r w:rsidRPr="00742BC9">
        <w:rPr>
          <w:rFonts w:ascii="Traditional Arabic" w:eastAsia="Calibri" w:hAnsi="Traditional Arabic" w:cs="Traditional Arabic" w:hint="cs"/>
          <w:sz w:val="28"/>
          <w:szCs w:val="28"/>
          <w:rtl/>
          <w:lang w:bidi="ar-EG"/>
        </w:rPr>
        <w:t xml:space="preserve"> الثورة تختلف جملة عن الإصلاح، لأن الثورة تعني إحداث تغيير مفاجئ وشامل في النظم الاجتماعية بأكملها، وعلى الرغم من ذلك فإنّ هذا التحول الكامل غالباً ما يكون قليل الحدوث، كما أن القيادة الناجحة ثوريا غالباً ما تكون نادرة، ولذلك أهم خطوة يجب أن تتحقق قبل تحول هي إيجاد رؤية مشتركة، وأن القيادة الثورية لكي تكون ناجحة لا بد أن تتوفر فيها خصائص منها: </w:t>
      </w:r>
      <w:r w:rsidRPr="00742BC9">
        <w:rPr>
          <w:rFonts w:ascii="Traditional Arabic" w:eastAsia="Calibri" w:hAnsi="Traditional Arabic" w:cs="Traditional Arabic" w:hint="cs"/>
          <w:b/>
          <w:bCs/>
          <w:sz w:val="28"/>
          <w:szCs w:val="28"/>
          <w:rtl/>
          <w:lang w:bidi="ar-EG"/>
        </w:rPr>
        <w:t>(الشريف، 2020).</w:t>
      </w:r>
    </w:p>
    <w:p w14:paraId="68A9FB7F" w14:textId="6ADE663A" w:rsidR="00623BB8" w:rsidRPr="00742BC9" w:rsidRDefault="00623BB8">
      <w:pPr>
        <w:pStyle w:val="ListParagraph"/>
        <w:numPr>
          <w:ilvl w:val="0"/>
          <w:numId w:val="24"/>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أن تكون ذات تركيز عالى لتحقيق الهدف، ومستعدة لنشر الالتزام من خلال المغامرة وبذل الجهد والوقت.</w:t>
      </w:r>
    </w:p>
    <w:p w14:paraId="5C222821" w14:textId="4B0219C5" w:rsidR="00623BB8" w:rsidRPr="00742BC9" w:rsidRDefault="00623BB8">
      <w:pPr>
        <w:pStyle w:val="ListParagraph"/>
        <w:numPr>
          <w:ilvl w:val="0"/>
          <w:numId w:val="24"/>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كقيادة ذكية، يجب أن تخاطب تطلعات الجماهير وحاجاتهم وطموحاتهم، وكذلك الشغف والميول التي قد تكون كامنة فيهم، ولكن يمكن تحريكها من خلال طرق الدعاية وأحداث السياسة.</w:t>
      </w:r>
    </w:p>
    <w:p w14:paraId="256A5088" w14:textId="77777777" w:rsidR="00623BB8" w:rsidRPr="00742BC9" w:rsidRDefault="00623BB8">
      <w:pPr>
        <w:numPr>
          <w:ilvl w:val="0"/>
          <w:numId w:val="24"/>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تتطلب التدافع والجهد كأي قيادة، لكن مستوى الصراع في القيادة الثورية يكون أعلى منه في أي نمط آخر من القيادة.</w:t>
      </w:r>
    </w:p>
    <w:p w14:paraId="7C22BA77" w14:textId="3A16468F" w:rsidR="00EE0CBF" w:rsidRPr="00742BC9" w:rsidRDefault="00623BB8">
      <w:pPr>
        <w:numPr>
          <w:ilvl w:val="0"/>
          <w:numId w:val="24"/>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يجب أن تستوفي عمليات القيادة الثورية إعلاء شأن مستوى الوعي السياسي والاجتماعي لدى القادة والمرؤوسين.</w:t>
      </w:r>
    </w:p>
    <w:p w14:paraId="7145AF23" w14:textId="4BBBBBDC" w:rsidR="00623BB8" w:rsidRPr="00793975" w:rsidRDefault="00FE464C" w:rsidP="00EE0CBF">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t xml:space="preserve">خامساً : </w:t>
      </w:r>
      <w:r w:rsidR="00623BB8" w:rsidRPr="00793975">
        <w:rPr>
          <w:rFonts w:ascii="Traditional Arabic" w:hAnsi="Traditional Arabic" w:cs="Traditional Arabic" w:hint="cs"/>
          <w:b/>
          <w:bCs/>
          <w:spacing w:val="-6"/>
          <w:sz w:val="28"/>
          <w:szCs w:val="28"/>
          <w:rtl/>
        </w:rPr>
        <w:t>صفات القيادية التحويلية:</w:t>
      </w:r>
    </w:p>
    <w:p w14:paraId="195CB5E6" w14:textId="3843556E" w:rsidR="00623BB8" w:rsidRPr="00793975" w:rsidRDefault="00623BB8" w:rsidP="00793975">
      <w:pPr>
        <w:bidi/>
        <w:spacing w:before="120" w:after="120" w:line="360" w:lineRule="auto"/>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هناك العديد من الصفات القيادية التي تكون عند القيادة التحويلية، نذكر منها (مددين، ١٤٣٤ه</w:t>
      </w:r>
      <w:r w:rsidR="00A50C6C" w:rsidRPr="00793975">
        <w:rPr>
          <w:rFonts w:ascii="Traditional Arabic" w:hAnsi="Traditional Arabic" w:cs="Traditional Arabic" w:hint="cs"/>
          <w:spacing w:val="-6"/>
          <w:sz w:val="24"/>
          <w:szCs w:val="24"/>
          <w:rtl/>
        </w:rPr>
        <w:t>، 27</w:t>
      </w:r>
      <w:r w:rsidRPr="00793975">
        <w:rPr>
          <w:rFonts w:ascii="Traditional Arabic" w:hAnsi="Traditional Arabic" w:cs="Traditional Arabic" w:hint="cs"/>
          <w:spacing w:val="-6"/>
          <w:sz w:val="24"/>
          <w:szCs w:val="24"/>
          <w:rtl/>
        </w:rPr>
        <w:t>ـ):</w:t>
      </w:r>
    </w:p>
    <w:p w14:paraId="61290A26" w14:textId="1D71E3C0" w:rsidR="00623BB8" w:rsidRPr="00793975" w:rsidRDefault="00623BB8">
      <w:pPr>
        <w:numPr>
          <w:ilvl w:val="0"/>
          <w:numId w:val="17"/>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b/>
          <w:bCs/>
          <w:spacing w:val="-6"/>
          <w:sz w:val="24"/>
          <w:szCs w:val="24"/>
          <w:rtl/>
        </w:rPr>
        <w:t>الجانب التنظيمي</w:t>
      </w:r>
      <w:r w:rsidRPr="00793975">
        <w:rPr>
          <w:rFonts w:ascii="Traditional Arabic" w:hAnsi="Traditional Arabic" w:cs="Traditional Arabic" w:hint="cs"/>
          <w:spacing w:val="-6"/>
          <w:sz w:val="24"/>
          <w:szCs w:val="24"/>
          <w:rtl/>
        </w:rPr>
        <w:t>: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w:t>
      </w:r>
      <w:r w:rsidR="00A50C6C" w:rsidRPr="00793975">
        <w:rPr>
          <w:rFonts w:ascii="Traditional Arabic" w:hAnsi="Traditional Arabic" w:cs="Traditional Arabic" w:hint="cs"/>
          <w:spacing w:val="-6"/>
          <w:sz w:val="24"/>
          <w:szCs w:val="24"/>
          <w:rtl/>
        </w:rPr>
        <w:t>،</w:t>
      </w:r>
      <w:r w:rsidRPr="00793975">
        <w:rPr>
          <w:rFonts w:ascii="Traditional Arabic" w:hAnsi="Traditional Arabic" w:cs="Traditional Arabic" w:hint="cs"/>
          <w:spacing w:val="-6"/>
          <w:sz w:val="24"/>
          <w:szCs w:val="24"/>
          <w:rtl/>
        </w:rPr>
        <w:t xml:space="preserve">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7E772B3E" w14:textId="77777777" w:rsidR="00623BB8" w:rsidRPr="00793975" w:rsidRDefault="00623BB8">
      <w:pPr>
        <w:numPr>
          <w:ilvl w:val="0"/>
          <w:numId w:val="17"/>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b/>
          <w:bCs/>
          <w:spacing w:val="-6"/>
          <w:sz w:val="24"/>
          <w:szCs w:val="24"/>
          <w:rtl/>
        </w:rPr>
        <w:t>الجانب الثقافي والانفعالي</w:t>
      </w:r>
      <w:r w:rsidRPr="00793975">
        <w:rPr>
          <w:rFonts w:ascii="Traditional Arabic" w:hAnsi="Traditional Arabic" w:cs="Traditional Arabic" w:hint="cs"/>
          <w:spacing w:val="-6"/>
          <w:sz w:val="24"/>
          <w:szCs w:val="24"/>
          <w:rtl/>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3CC2E8C1" w14:textId="77777777" w:rsidR="00623BB8" w:rsidRPr="00793975" w:rsidRDefault="00623BB8" w:rsidP="00793975">
      <w:pPr>
        <w:bidi/>
        <w:spacing w:before="120" w:after="120" w:line="360" w:lineRule="auto"/>
        <w:ind w:firstLine="720"/>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يواجهه من تحديات في ممارسة عمله، ففي الجانب التنظيمي يستطيع أن يعمل على تشكيل فريق عمل في المنظمة واحد يتقاسم المسؤوليات والصلاحيات.</w:t>
      </w:r>
    </w:p>
    <w:p w14:paraId="1C67F813" w14:textId="303DC549" w:rsidR="00623BB8" w:rsidRPr="00793975" w:rsidRDefault="00FE464C" w:rsidP="00623BB8">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lastRenderedPageBreak/>
        <w:t xml:space="preserve">سادساً : </w:t>
      </w:r>
      <w:r w:rsidR="00623BB8" w:rsidRPr="00793975">
        <w:rPr>
          <w:rFonts w:ascii="Traditional Arabic" w:hAnsi="Traditional Arabic" w:cs="Traditional Arabic" w:hint="cs"/>
          <w:b/>
          <w:bCs/>
          <w:spacing w:val="-6"/>
          <w:sz w:val="28"/>
          <w:szCs w:val="28"/>
          <w:rtl/>
        </w:rPr>
        <w:t>أهمية القيادة التحويلية:</w:t>
      </w:r>
    </w:p>
    <w:p w14:paraId="5BA4C113" w14:textId="57FE3649" w:rsidR="00623BB8" w:rsidRPr="00793975" w:rsidRDefault="00623BB8" w:rsidP="00793975">
      <w:pPr>
        <w:bidi/>
        <w:spacing w:before="120" w:after="120" w:line="360" w:lineRule="auto"/>
        <w:rPr>
          <w:rFonts w:ascii="Traditional Arabic" w:hAnsi="Traditional Arabic" w:cs="Traditional Arabic"/>
          <w:spacing w:val="-6"/>
          <w:sz w:val="24"/>
          <w:szCs w:val="24"/>
          <w:rtl/>
          <w:lang w:bidi="fa-IR"/>
        </w:rPr>
      </w:pPr>
      <w:r w:rsidRPr="00793975">
        <w:rPr>
          <w:rFonts w:ascii="Traditional Arabic" w:hAnsi="Traditional Arabic" w:cs="Traditional Arabic" w:hint="cs"/>
          <w:spacing w:val="-6"/>
          <w:sz w:val="24"/>
          <w:szCs w:val="24"/>
          <w:rtl/>
        </w:rPr>
        <w:t xml:space="preserve">للقيادة التحويلية أهمية كبيرة في حال تطبيقها داخل المنظمات ، ويمكن توضيح تلك الأهمية في النقاط التالية </w:t>
      </w:r>
      <w:r w:rsidRPr="00793975">
        <w:rPr>
          <w:rFonts w:ascii="Traditional Arabic" w:hAnsi="Traditional Arabic" w:cs="Traditional Arabic" w:hint="cs"/>
          <w:b/>
          <w:bCs/>
          <w:spacing w:val="-6"/>
          <w:sz w:val="24"/>
          <w:szCs w:val="24"/>
          <w:rtl/>
        </w:rPr>
        <w:t xml:space="preserve">( الغامدي ، </w:t>
      </w:r>
      <w:r w:rsidRPr="00793975">
        <w:rPr>
          <w:rFonts w:ascii="Traditional Arabic" w:hAnsi="Traditional Arabic" w:cs="Traditional Arabic" w:hint="cs"/>
          <w:b/>
          <w:bCs/>
          <w:spacing w:val="-6"/>
          <w:sz w:val="24"/>
          <w:szCs w:val="24"/>
          <w:rtl/>
          <w:lang w:bidi="fa-IR"/>
        </w:rPr>
        <w:t xml:space="preserve">۲۰۱۱ </w:t>
      </w:r>
      <w:r w:rsidR="00381414" w:rsidRPr="00793975">
        <w:rPr>
          <w:rFonts w:ascii="Traditional Arabic" w:hAnsi="Traditional Arabic" w:cs="Traditional Arabic" w:hint="cs"/>
          <w:b/>
          <w:bCs/>
          <w:spacing w:val="-6"/>
          <w:sz w:val="24"/>
          <w:szCs w:val="24"/>
          <w:rtl/>
          <w:lang w:bidi="fa-IR"/>
        </w:rPr>
        <w:t>،</w:t>
      </w:r>
      <w:r w:rsidRPr="00793975">
        <w:rPr>
          <w:rFonts w:ascii="Traditional Arabic" w:hAnsi="Traditional Arabic" w:cs="Traditional Arabic" w:hint="cs"/>
          <w:b/>
          <w:bCs/>
          <w:spacing w:val="-6"/>
          <w:sz w:val="24"/>
          <w:szCs w:val="24"/>
          <w:rtl/>
          <w:lang w:bidi="fa-IR"/>
        </w:rPr>
        <w:t xml:space="preserve"> ۲۱ ):</w:t>
      </w:r>
    </w:p>
    <w:p w14:paraId="5A8FDD61" w14:textId="190B219C"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القيادة التحويلية لا تتأثر بالقوة في مركز معين أو في يد مستوى إداري معين ، إنما تساعد تلك القيادة على تفويض السلطات وتمكين الأفراد ، والعمل على تعزيز ثقة العاملين في أنفسهم،</w:t>
      </w:r>
      <w:r w:rsidR="00A50C6C"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spacing w:val="-6"/>
          <w:sz w:val="24"/>
          <w:szCs w:val="24"/>
          <w:rtl/>
        </w:rPr>
        <w:t>وذلك من خلال تشكيل جماعات وفرق العمل المعتمدة على نفسها ذاتياً.</w:t>
      </w:r>
    </w:p>
    <w:p w14:paraId="5C2CA628" w14:textId="77777777"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خصائص وسمات القيادة التحويلية يمكن أن تكتسب وتتطور عن طريق التدريب ، فبرامج التدريب المطبقة بشكل سليم يمكن أن تحسن من فعالية المديرين والعاملين داخل المنظمة.</w:t>
      </w:r>
    </w:p>
    <w:p w14:paraId="37EF3728" w14:textId="77777777"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 xml:space="preserve"> تعمل القيادة التحويلية على تحفيز العاملين من خلال إتباع فكرة " المسئولية الأخلاقية " حيث يتحول هدف العاملين من تحقيق المصالح الشخصية إلى العمل على تحقيق المصالح العامة للمنظمة.</w:t>
      </w:r>
    </w:p>
    <w:p w14:paraId="6F23BF36" w14:textId="77777777" w:rsidR="00623BB8" w:rsidRPr="00793975" w:rsidRDefault="00623BB8">
      <w:pPr>
        <w:numPr>
          <w:ilvl w:val="0"/>
          <w:numId w:val="18"/>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يمكن تطبيق فكرة القيادة التحويلية في أي منظمة وفي مختلف المستويات الإدارية داخل المنظمات ، وبالتالي فإن احتمالية نجاح تطبيق هذه الفكرة تكون كبيرة وخاصة في المنظمات التي تسعى إلى التطوير والتغيير الجذري.</w:t>
      </w:r>
    </w:p>
    <w:p w14:paraId="496B77F9" w14:textId="59C39D9F" w:rsidR="00623BB8" w:rsidRPr="008245FA" w:rsidRDefault="00FE464C" w:rsidP="00623BB8">
      <w:pPr>
        <w:bidi/>
        <w:spacing w:before="120" w:after="120" w:line="240" w:lineRule="auto"/>
        <w:rPr>
          <w:rFonts w:ascii="Traditional Arabic" w:hAnsi="Traditional Arabic" w:cs="Traditional Arabic"/>
          <w:b/>
          <w:bCs/>
          <w:spacing w:val="-6"/>
          <w:sz w:val="28"/>
          <w:szCs w:val="28"/>
          <w:rtl/>
        </w:rPr>
      </w:pPr>
      <w:r w:rsidRPr="008245FA">
        <w:rPr>
          <w:rFonts w:ascii="Traditional Arabic" w:hAnsi="Traditional Arabic" w:cs="Traditional Arabic" w:hint="cs"/>
          <w:b/>
          <w:bCs/>
          <w:spacing w:val="-6"/>
          <w:sz w:val="28"/>
          <w:szCs w:val="28"/>
          <w:rtl/>
        </w:rPr>
        <w:t xml:space="preserve">سابعاً: </w:t>
      </w:r>
      <w:r w:rsidR="00623BB8" w:rsidRPr="008245FA">
        <w:rPr>
          <w:rFonts w:ascii="Traditional Arabic" w:hAnsi="Traditional Arabic" w:cs="Traditional Arabic" w:hint="cs"/>
          <w:b/>
          <w:bCs/>
          <w:spacing w:val="-6"/>
          <w:sz w:val="28"/>
          <w:szCs w:val="28"/>
          <w:rtl/>
        </w:rPr>
        <w:t>مبادئ القيادة التحويلية:</w:t>
      </w:r>
    </w:p>
    <w:p w14:paraId="3AE660F3" w14:textId="77777777" w:rsidR="00623BB8" w:rsidRPr="008245FA" w:rsidRDefault="00623BB8" w:rsidP="008245FA">
      <w:pPr>
        <w:bidi/>
        <w:spacing w:before="120" w:after="120" w:line="360" w:lineRule="auto"/>
        <w:rPr>
          <w:rFonts w:ascii="Traditional Arabic" w:hAnsi="Traditional Arabic" w:cs="Traditional Arabic"/>
          <w:spacing w:val="-6"/>
          <w:sz w:val="24"/>
          <w:szCs w:val="24"/>
          <w:rtl/>
        </w:rPr>
      </w:pPr>
      <w:r w:rsidRPr="008245FA">
        <w:rPr>
          <w:rFonts w:ascii="Traditional Arabic" w:hAnsi="Traditional Arabic" w:cs="Traditional Arabic" w:hint="cs"/>
          <w:spacing w:val="-6"/>
          <w:sz w:val="24"/>
          <w:szCs w:val="24"/>
          <w:rtl/>
        </w:rPr>
        <w:t xml:space="preserve">للقيادة التحويلية مبادئ أوردها( </w:t>
      </w:r>
      <w:r w:rsidRPr="008245FA">
        <w:rPr>
          <w:rFonts w:ascii="Traditional Arabic" w:hAnsi="Traditional Arabic" w:cs="Traditional Arabic" w:hint="cs"/>
          <w:spacing w:val="-6"/>
          <w:sz w:val="24"/>
          <w:szCs w:val="24"/>
        </w:rPr>
        <w:t>Koehler &amp; Pankow skin</w:t>
      </w:r>
      <w:r w:rsidRPr="008245FA">
        <w:rPr>
          <w:rFonts w:ascii="Traditional Arabic" w:hAnsi="Traditional Arabic" w:cs="Traditional Arabic" w:hint="cs"/>
          <w:spacing w:val="-6"/>
          <w:sz w:val="24"/>
          <w:szCs w:val="24"/>
          <w:rtl/>
        </w:rPr>
        <w:t xml:space="preserve"> ) كما يلي: </w:t>
      </w:r>
    </w:p>
    <w:p w14:paraId="33222DC9" w14:textId="77777777" w:rsidR="00623BB8" w:rsidRPr="008245FA" w:rsidRDefault="00623BB8">
      <w:pPr>
        <w:numPr>
          <w:ilvl w:val="0"/>
          <w:numId w:val="19"/>
        </w:numPr>
        <w:bidi/>
        <w:spacing w:before="120" w:after="120" w:line="360" w:lineRule="auto"/>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النظر للمنظمة كنظام</w:t>
      </w:r>
      <w:r w:rsidRPr="008245FA">
        <w:rPr>
          <w:rFonts w:ascii="Traditional Arabic" w:hAnsi="Traditional Arabic" w:cs="Traditional Arabic" w:hint="cs"/>
          <w:spacing w:val="-6"/>
          <w:sz w:val="24"/>
          <w:szCs w:val="24"/>
          <w:rtl/>
        </w:rPr>
        <w:t xml:space="preserve"> : وذلك على اعتبار أن المنظمة كنظام فهي تحتوي على مجموعة من العناصر المترابطة ، والمتفاعلة بين الأفراد ، فالقائد التحويلي داخل المنظمة يتركز دوره على تحسين العمليات الإدارية وذلك من خلال تبني وتطوير نظم إدارية فعالة.</w:t>
      </w:r>
    </w:p>
    <w:p w14:paraId="414333E3" w14:textId="77777777" w:rsidR="00623BB8" w:rsidRPr="008245FA"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وضع إستراتيجية للمنظمة وإبلاغها للآخرين</w:t>
      </w:r>
      <w:r w:rsidRPr="008245FA">
        <w:rPr>
          <w:rFonts w:ascii="Traditional Arabic" w:hAnsi="Traditional Arabic" w:cs="Traditional Arabic" w:hint="cs"/>
          <w:spacing w:val="-6"/>
          <w:sz w:val="24"/>
          <w:szCs w:val="24"/>
          <w:rtl/>
        </w:rPr>
        <w:t xml:space="preserve"> : فالإستراتيجية هنا تعني الطريق الذي ترسمه المنظمة لتحقيق الأهداف المنشودة ، وطبقاً لذلك فيعمل القائد التحويلي بالمشاركة مع الآخرين على إيجاد الرؤية والرسالة والقيم والبناء التنظيمي والأهداف وحسن الاستفادة من الموارد البشرية المتاحة للمنظمة بهدف تحقيق الأهداف المنشودة.</w:t>
      </w:r>
    </w:p>
    <w:p w14:paraId="4A2A6A53" w14:textId="77777777" w:rsidR="00623BB8" w:rsidRPr="008245FA"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تأسيس نظام إداري</w:t>
      </w:r>
      <w:r w:rsidRPr="008245FA">
        <w:rPr>
          <w:rFonts w:ascii="Traditional Arabic" w:hAnsi="Traditional Arabic" w:cs="Traditional Arabic" w:hint="cs"/>
          <w:spacing w:val="-6"/>
          <w:sz w:val="24"/>
          <w:szCs w:val="24"/>
          <w:rtl/>
        </w:rPr>
        <w:t xml:space="preserve"> : وذلك يعني تصميم الأسلوب الإداري الملائم لطبيعة عمل المنظمة بإعتبارها نظاماً واحداً ، وهذا يتطلب استبعاد القيم والأساليب والمبادئ والمعتقدات الإدارية السائدة والمتناقضة.</w:t>
      </w:r>
    </w:p>
    <w:p w14:paraId="583DCA57" w14:textId="77777777" w:rsidR="00623BB8" w:rsidRPr="008245FA" w:rsidRDefault="00623BB8">
      <w:pPr>
        <w:numPr>
          <w:ilvl w:val="0"/>
          <w:numId w:val="19"/>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spacing w:val="-6"/>
          <w:sz w:val="24"/>
          <w:szCs w:val="24"/>
          <w:rtl/>
        </w:rPr>
        <w:t xml:space="preserve"> </w:t>
      </w:r>
      <w:r w:rsidRPr="008245FA">
        <w:rPr>
          <w:rFonts w:ascii="Traditional Arabic" w:hAnsi="Traditional Arabic" w:cs="Traditional Arabic" w:hint="cs"/>
          <w:b/>
          <w:bCs/>
          <w:spacing w:val="-6"/>
          <w:sz w:val="24"/>
          <w:szCs w:val="24"/>
          <w:rtl/>
        </w:rPr>
        <w:t>تطوير كل العاملين في العملية الإدارية وتدريبهم</w:t>
      </w:r>
      <w:r w:rsidRPr="008245FA">
        <w:rPr>
          <w:rFonts w:ascii="Traditional Arabic" w:hAnsi="Traditional Arabic" w:cs="Traditional Arabic" w:hint="cs"/>
          <w:spacing w:val="-6"/>
          <w:sz w:val="24"/>
          <w:szCs w:val="24"/>
          <w:rtl/>
        </w:rPr>
        <w:t xml:space="preserve"> : تعمل القيادة التحويلية بالتركيز على تدريب كل العاملين داخل المنظمة بهدف إشراك الجميع في عملية التطوير والاستفادة من تحسين أدائهم في تطوير العمل داخل القطاعات المختلفة.</w:t>
      </w:r>
    </w:p>
    <w:p w14:paraId="558863CA" w14:textId="77777777" w:rsidR="00623BB8" w:rsidRPr="0038653A" w:rsidRDefault="00623BB8">
      <w:pPr>
        <w:numPr>
          <w:ilvl w:val="0"/>
          <w:numId w:val="19"/>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تمكين الأفراد وفرق العمل</w:t>
      </w:r>
      <w:r w:rsidRPr="0038653A">
        <w:rPr>
          <w:rFonts w:ascii="Traditional Arabic" w:hAnsi="Traditional Arabic" w:cs="Traditional Arabic" w:hint="cs"/>
          <w:spacing w:val="-6"/>
          <w:sz w:val="28"/>
          <w:szCs w:val="28"/>
          <w:rtl/>
        </w:rPr>
        <w:t xml:space="preserve"> : تمنح القيادة التحويلية الحرية للعاملين داخل المنظمة لاختيار الإجراء الذي يعتقدونه مناسباً في تطوير العملية الإدارية سواء كان هذا الاختيار يتم بشكل فردي أو من خلال الفريق الواحد.</w:t>
      </w:r>
    </w:p>
    <w:p w14:paraId="6C6923B5" w14:textId="77777777" w:rsidR="00623BB8" w:rsidRPr="0038653A" w:rsidRDefault="00623BB8">
      <w:pPr>
        <w:numPr>
          <w:ilvl w:val="0"/>
          <w:numId w:val="19"/>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lastRenderedPageBreak/>
        <w:t>تقييم العمليات الإدارية</w:t>
      </w:r>
      <w:r w:rsidRPr="0038653A">
        <w:rPr>
          <w:rFonts w:ascii="Traditional Arabic" w:hAnsi="Traditional Arabic" w:cs="Traditional Arabic" w:hint="cs"/>
          <w:spacing w:val="-6"/>
          <w:sz w:val="28"/>
          <w:szCs w:val="28"/>
          <w:rtl/>
        </w:rPr>
        <w:t xml:space="preserve"> : تهتم القيادة التحويلية بتقييم المدخلات والأنشطة والنتائج للأعمال داخل المنظمة مع التركيز على مؤشرات الجودة في كل مرحلة من مراحل العملية الإدارية.</w:t>
      </w:r>
    </w:p>
    <w:p w14:paraId="188BC31A" w14:textId="77777777" w:rsidR="00623BB8" w:rsidRPr="0038653A" w:rsidRDefault="00623BB8">
      <w:pPr>
        <w:numPr>
          <w:ilvl w:val="0"/>
          <w:numId w:val="19"/>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التقدير والمكافآة على التحسين المستمر</w:t>
      </w:r>
      <w:r w:rsidRPr="0038653A">
        <w:rPr>
          <w:rFonts w:ascii="Traditional Arabic" w:hAnsi="Traditional Arabic" w:cs="Traditional Arabic" w:hint="cs"/>
          <w:spacing w:val="-6"/>
          <w:sz w:val="28"/>
          <w:szCs w:val="28"/>
          <w:rtl/>
        </w:rPr>
        <w:t xml:space="preserve"> : تعمل القيادة التحويلية على إيجاد نظام مناسب لتحفيز العاملين داخل المنظمة مقابل ما يبذلونه هؤلاء العاملين من الجهد والوقت من أجل تحقيق المصلحة العامة للمنظمة.</w:t>
      </w:r>
    </w:p>
    <w:p w14:paraId="44C88919" w14:textId="77777777" w:rsidR="00623BB8" w:rsidRPr="0038653A" w:rsidRDefault="00623BB8">
      <w:pPr>
        <w:numPr>
          <w:ilvl w:val="0"/>
          <w:numId w:val="19"/>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بث روح التغيير المستمر</w:t>
      </w:r>
      <w:r w:rsidRPr="0038653A">
        <w:rPr>
          <w:rFonts w:ascii="Traditional Arabic" w:hAnsi="Traditional Arabic" w:cs="Traditional Arabic" w:hint="cs"/>
          <w:spacing w:val="-6"/>
          <w:sz w:val="28"/>
          <w:szCs w:val="28"/>
          <w:rtl/>
        </w:rPr>
        <w:t>: تدرك القيادة التحويلية أهمية التحسين المستمر للحفاظ على إنجازات المنظمة، على أن يتضمن هذا التغيير تطوير العاملين والعمليات داخل المنظمة على نحو مستمر( الغامدي، 2011، 22).</w:t>
      </w:r>
    </w:p>
    <w:p w14:paraId="5C4056F4" w14:textId="7FF6A470" w:rsidR="00623BB8" w:rsidRPr="0038653A" w:rsidRDefault="00FE464C" w:rsidP="00623BB8">
      <w:pPr>
        <w:bidi/>
        <w:spacing w:after="200" w:line="360" w:lineRule="auto"/>
        <w:ind w:left="360"/>
        <w:contextualSpacing/>
        <w:jc w:val="both"/>
        <w:rPr>
          <w:rFonts w:ascii="Traditional Arabic" w:eastAsia="Calibri" w:hAnsi="Traditional Arabic" w:cs="Traditional Arabic"/>
          <w:b/>
          <w:bCs/>
          <w:sz w:val="32"/>
          <w:szCs w:val="32"/>
          <w:rtl/>
          <w:lang w:bidi="ar-EG"/>
        </w:rPr>
      </w:pPr>
      <w:r w:rsidRPr="0038653A">
        <w:rPr>
          <w:rFonts w:ascii="Traditional Arabic" w:eastAsia="Calibri" w:hAnsi="Traditional Arabic" w:cs="Traditional Arabic" w:hint="cs"/>
          <w:b/>
          <w:bCs/>
          <w:sz w:val="32"/>
          <w:szCs w:val="32"/>
          <w:rtl/>
          <w:lang w:bidi="ar-EG"/>
        </w:rPr>
        <w:t xml:space="preserve">ثامناً : </w:t>
      </w:r>
      <w:r w:rsidR="00623BB8" w:rsidRPr="0038653A">
        <w:rPr>
          <w:rFonts w:ascii="Traditional Arabic" w:eastAsia="Calibri" w:hAnsi="Traditional Arabic" w:cs="Traditional Arabic" w:hint="cs"/>
          <w:b/>
          <w:bCs/>
          <w:sz w:val="32"/>
          <w:szCs w:val="32"/>
          <w:rtl/>
          <w:lang w:bidi="ar-EG"/>
        </w:rPr>
        <w:t>خصائص القائـد التحويـلي:</w:t>
      </w:r>
    </w:p>
    <w:p w14:paraId="2B54A46F" w14:textId="77777777" w:rsidR="00623BB8" w:rsidRPr="0038653A" w:rsidRDefault="00623BB8" w:rsidP="0038653A">
      <w:pPr>
        <w:bidi/>
        <w:spacing w:after="200" w:line="360" w:lineRule="auto"/>
        <w:ind w:left="360" w:firstLine="720"/>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يُعدّ القائد التحويلي هو القائد الذي يعزم على التغيير والتأثير، ويتحدى كل الصعوبات، كما أنه يقتنص الفرص، وله المقدرة على المخاطرة، وإشراك كل الأفراد في عملية القيادة من خلال إعطائهم فرصاً لإحداث تغييرات قد تسير في مسارات الإبداع، وبالتالي يجب أن تتوفر خصائص معينة في هذا القائد ليكون مصدر إلهام لمن حوله، ليتميز ويختلف عن القادة الآخرين، وهذه الخصائص هي:</w:t>
      </w:r>
      <w:r w:rsidRPr="0038653A">
        <w:rPr>
          <w:rFonts w:ascii="Traditional Arabic" w:eastAsia="Calibri" w:hAnsi="Traditional Arabic" w:cs="Traditional Arabic" w:hint="cs"/>
          <w:b/>
          <w:bCs/>
          <w:sz w:val="24"/>
          <w:szCs w:val="24"/>
          <w:rtl/>
          <w:lang w:bidi="ar-EG"/>
        </w:rPr>
        <w:t xml:space="preserve"> (الرقب،2020)</w:t>
      </w:r>
    </w:p>
    <w:p w14:paraId="69350F56" w14:textId="77777777" w:rsidR="00623BB8" w:rsidRPr="0038653A" w:rsidRDefault="00623BB8">
      <w:pPr>
        <w:pStyle w:val="ListParagraph"/>
        <w:numPr>
          <w:ilvl w:val="0"/>
          <w:numId w:val="25"/>
        </w:numPr>
        <w:bidi/>
        <w:spacing w:after="200" w:line="360" w:lineRule="auto"/>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القائد التحويلي هو شخص قادر على خلق رؤية المنظمة ورسالتها وإيصال هذه الرؤية بطريقة تستثير المرؤوسين وتدفعهم لاعتناقها.</w:t>
      </w:r>
    </w:p>
    <w:p w14:paraId="339A4E5A" w14:textId="7D48F0E3" w:rsidR="00623BB8" w:rsidRPr="0038653A" w:rsidRDefault="00623BB8">
      <w:pPr>
        <w:numPr>
          <w:ilvl w:val="0"/>
          <w:numId w:val="25"/>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يرى القائد التحويلي أن المبرر من وجوده هو نقلة حضارية، فهو يتمتع بثقة ذاتية عالية، كما يتمتع بوعي خالٍ من</w:t>
      </w:r>
      <w:r w:rsidRPr="0038653A">
        <w:rPr>
          <w:rFonts w:ascii="Traditional Arabic" w:eastAsia="Calibri" w:hAnsi="Traditional Arabic" w:cs="Traditional Arabic" w:hint="cs"/>
          <w:sz w:val="24"/>
          <w:szCs w:val="24"/>
          <w:rtl/>
          <w:lang w:bidi="ar-EG"/>
        </w:rPr>
        <w:tab/>
        <w:t>الصراعات الداخلية</w:t>
      </w:r>
      <w:r w:rsidR="00FC5814" w:rsidRPr="0038653A">
        <w:rPr>
          <w:rFonts w:ascii="Traditional Arabic" w:eastAsia="Calibri" w:hAnsi="Traditional Arabic" w:cs="Traditional Arabic" w:hint="cs"/>
          <w:sz w:val="24"/>
          <w:szCs w:val="24"/>
          <w:rtl/>
          <w:lang w:bidi="ar-EG"/>
        </w:rPr>
        <w:t>.</w:t>
      </w:r>
    </w:p>
    <w:p w14:paraId="41BCB30E" w14:textId="77777777" w:rsidR="00623BB8" w:rsidRPr="0038653A" w:rsidRDefault="00623BB8">
      <w:pPr>
        <w:numPr>
          <w:ilvl w:val="0"/>
          <w:numId w:val="25"/>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للقائد التحويلي حضورٌ واضحٌ، ونشاطٌ بدنيٌ متفاعل، حيث يشارك الناس مشاكلهم، ويقدم لهم الحلول.</w:t>
      </w:r>
    </w:p>
    <w:p w14:paraId="7F2DEA30" w14:textId="77777777" w:rsidR="00623BB8" w:rsidRPr="0038653A" w:rsidRDefault="00623BB8">
      <w:pPr>
        <w:numPr>
          <w:ilvl w:val="0"/>
          <w:numId w:val="25"/>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يستطيع التعامل مع المسائل الغامضة، ويهتدي إلى الحلول المعقّدة.</w:t>
      </w:r>
      <w:r w:rsidRPr="0038653A">
        <w:rPr>
          <w:rFonts w:ascii="Traditional Arabic" w:eastAsia="Calibri" w:hAnsi="Traditional Arabic" w:cs="Traditional Arabic" w:hint="cs"/>
          <w:sz w:val="24"/>
          <w:szCs w:val="24"/>
          <w:rtl/>
          <w:lang w:bidi="ar-EG"/>
        </w:rPr>
        <w:tab/>
      </w:r>
    </w:p>
    <w:p w14:paraId="1F7E25EE" w14:textId="77777777" w:rsidR="00623BB8" w:rsidRPr="0038653A" w:rsidRDefault="00623BB8">
      <w:pPr>
        <w:numPr>
          <w:ilvl w:val="0"/>
          <w:numId w:val="25"/>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يعدّ القائد التحويلي عنصر تغيير بمرؤوسيه ويسعى إلى تحقيق إنتاجية عالية تفوق الأهداف.</w:t>
      </w:r>
    </w:p>
    <w:p w14:paraId="4581E3EB" w14:textId="77777777" w:rsidR="00623BB8" w:rsidRPr="0038653A" w:rsidRDefault="00623BB8">
      <w:pPr>
        <w:numPr>
          <w:ilvl w:val="0"/>
          <w:numId w:val="25"/>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مقدام ومجازف مع التحسب لأي مخاطر، محب للحركة ويتجنب الركود الذي لا يؤدي إلى التطور. </w:t>
      </w:r>
    </w:p>
    <w:p w14:paraId="23117AA6" w14:textId="7770B8B3" w:rsidR="00623BB8" w:rsidRPr="0038653A" w:rsidRDefault="00FE464C" w:rsidP="00FE464C">
      <w:pPr>
        <w:bidi/>
        <w:spacing w:after="200" w:line="276" w:lineRule="auto"/>
        <w:contextualSpacing/>
        <w:jc w:val="both"/>
        <w:rPr>
          <w:rFonts w:ascii="Traditional Arabic" w:eastAsia="Calibri" w:hAnsi="Traditional Arabic" w:cs="Traditional Arabic"/>
          <w:b/>
          <w:bCs/>
          <w:sz w:val="28"/>
          <w:szCs w:val="28"/>
          <w:rtl/>
          <w:lang w:bidi="ar-EG"/>
        </w:rPr>
      </w:pPr>
      <w:r w:rsidRPr="0038653A">
        <w:rPr>
          <w:rFonts w:ascii="Traditional Arabic" w:eastAsia="Calibri" w:hAnsi="Traditional Arabic" w:cs="Traditional Arabic" w:hint="cs"/>
          <w:b/>
          <w:bCs/>
          <w:sz w:val="28"/>
          <w:szCs w:val="28"/>
          <w:rtl/>
          <w:lang w:bidi="ar-EG"/>
        </w:rPr>
        <w:t>تاسعا</w:t>
      </w:r>
      <w:r w:rsidR="003917DF" w:rsidRPr="0038653A">
        <w:rPr>
          <w:rFonts w:ascii="Traditional Arabic" w:eastAsia="Calibri" w:hAnsi="Traditional Arabic" w:cs="Traditional Arabic" w:hint="cs"/>
          <w:b/>
          <w:bCs/>
          <w:sz w:val="28"/>
          <w:szCs w:val="28"/>
          <w:rtl/>
          <w:lang w:bidi="ar-EG"/>
        </w:rPr>
        <w:t>ً</w:t>
      </w:r>
      <w:r w:rsidRPr="0038653A">
        <w:rPr>
          <w:rFonts w:ascii="Traditional Arabic" w:eastAsia="Calibri" w:hAnsi="Traditional Arabic" w:cs="Traditional Arabic" w:hint="cs"/>
          <w:b/>
          <w:bCs/>
          <w:sz w:val="28"/>
          <w:szCs w:val="28"/>
          <w:rtl/>
          <w:lang w:bidi="ar-EG"/>
        </w:rPr>
        <w:t xml:space="preserve">: </w:t>
      </w:r>
      <w:r w:rsidR="00623BB8" w:rsidRPr="0038653A">
        <w:rPr>
          <w:rFonts w:ascii="Traditional Arabic" w:eastAsia="Calibri" w:hAnsi="Traditional Arabic" w:cs="Traditional Arabic" w:hint="cs"/>
          <w:b/>
          <w:bCs/>
          <w:sz w:val="28"/>
          <w:szCs w:val="28"/>
          <w:rtl/>
          <w:lang w:bidi="ar-EG"/>
        </w:rPr>
        <w:t>عوامل نجاح القيـادة التحويـلية:</w:t>
      </w:r>
    </w:p>
    <w:p w14:paraId="709B08B2" w14:textId="665F5D70" w:rsidR="00623BB8" w:rsidRPr="0038653A" w:rsidRDefault="00623BB8" w:rsidP="00FC5814">
      <w:pPr>
        <w:bidi/>
        <w:spacing w:after="200" w:line="276"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تقوم التطورات النظرية للقيـاادة التحويـلية بتوليد عدد من الأفكار لنجاح القيـادة التحويـلية، ومنها الآتي: (الغامدي، 2020؛ الخرابشة والمعاني، 2020؛ </w:t>
      </w:r>
      <w:r w:rsidRPr="0038653A">
        <w:rPr>
          <w:rFonts w:ascii="Traditional Arabic" w:eastAsia="Calibri" w:hAnsi="Traditional Arabic" w:cs="Traditional Arabic" w:hint="cs"/>
          <w:sz w:val="24"/>
          <w:szCs w:val="24"/>
          <w:lang w:bidi="ar-EG"/>
        </w:rPr>
        <w:t>Abou-Moghli</w:t>
      </w:r>
      <w:r w:rsidRPr="0038653A">
        <w:rPr>
          <w:rFonts w:ascii="Traditional Arabic" w:eastAsia="Calibri" w:hAnsi="Traditional Arabic" w:cs="Traditional Arabic" w:hint="cs"/>
          <w:sz w:val="24"/>
          <w:szCs w:val="24"/>
          <w:rtl/>
          <w:lang w:bidi="ar-EG"/>
        </w:rPr>
        <w:t>, 2018)</w:t>
      </w:r>
    </w:p>
    <w:p w14:paraId="44B89C26" w14:textId="77777777" w:rsidR="0017327A" w:rsidRPr="0038653A" w:rsidRDefault="00623BB8">
      <w:pPr>
        <w:numPr>
          <w:ilvl w:val="0"/>
          <w:numId w:val="6"/>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التنمية والتطوير:</w:t>
      </w:r>
      <w:r w:rsidRPr="0038653A">
        <w:rPr>
          <w:rFonts w:ascii="Traditional Arabic" w:eastAsia="Calibri" w:hAnsi="Traditional Arabic" w:cs="Traditional Arabic" w:hint="cs"/>
          <w:sz w:val="24"/>
          <w:szCs w:val="24"/>
          <w:rtl/>
          <w:lang w:bidi="ar-EG"/>
        </w:rPr>
        <w:t xml:space="preserve"> ترجع فاعلية التنمية والتطوير إلى دعمها فكرة تفويض بعض الزملاء بممارسة القيـادة، وإمدادهم بكل فرص وإمكانات التطوير المهني في المهارات القيـادية والعمل الجماعي، ولكي تنجح هذه الفكرة فإن الموظفين يحتاجون إلى الحصول على الفرص الحقيقية </w:t>
      </w:r>
      <w:r w:rsidRPr="0038653A">
        <w:rPr>
          <w:rFonts w:ascii="Traditional Arabic" w:eastAsia="Calibri" w:hAnsi="Traditional Arabic" w:cs="Traditional Arabic" w:hint="cs"/>
          <w:sz w:val="24"/>
          <w:szCs w:val="24"/>
          <w:rtl/>
          <w:lang w:bidi="ar-EG"/>
        </w:rPr>
        <w:lastRenderedPageBreak/>
        <w:t>والفعلية لممارسة القيـادة، وعندما يتحقق ذلك سيكون المطلب التالي لهم في الحصول على فرصة لتنمية مهاراتهم القيـادية من خلال الدورات والبرامج التدريبية في مجال القيـادة</w:t>
      </w:r>
      <w:r w:rsidRPr="0038653A">
        <w:rPr>
          <w:rFonts w:ascii="Traditional Arabic" w:eastAsia="Calibri" w:hAnsi="Traditional Arabic" w:cs="Traditional Arabic" w:hint="cs"/>
          <w:b/>
          <w:bCs/>
          <w:sz w:val="24"/>
          <w:szCs w:val="24"/>
          <w:rtl/>
          <w:lang w:bidi="ar-EG"/>
        </w:rPr>
        <w:t xml:space="preserve">. </w:t>
      </w:r>
    </w:p>
    <w:p w14:paraId="06A97F11" w14:textId="3F15DC7E" w:rsidR="00623BB8" w:rsidRPr="0038653A" w:rsidRDefault="00623BB8">
      <w:pPr>
        <w:numPr>
          <w:ilvl w:val="0"/>
          <w:numId w:val="6"/>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b/>
          <w:bCs/>
          <w:sz w:val="24"/>
          <w:szCs w:val="24"/>
          <w:rtl/>
          <w:lang w:bidi="ar-EG"/>
        </w:rPr>
        <w:t>التفويض باستخدام السلطة:</w:t>
      </w:r>
      <w:r w:rsidRPr="0038653A">
        <w:rPr>
          <w:rFonts w:ascii="Traditional Arabic" w:eastAsia="Calibri" w:hAnsi="Traditional Arabic" w:cs="Traditional Arabic" w:hint="cs"/>
          <w:sz w:val="24"/>
          <w:szCs w:val="24"/>
          <w:rtl/>
          <w:lang w:bidi="ar-EG"/>
        </w:rPr>
        <w:t xml:space="preserve"> إن القيـادة التحويـلية وتفويض السلطة عبارة عن خليط من الحقوق والمسؤوليات، فإذا كان من حق القائـد أن يمارس القيـادة، فإن مسؤولية زملائه من الموظفين هي اتباعه، ليس كمجرد تابعين ثانويين فقط، بل كشركاء سيقومون بدورهم في ممارسة القيـادة أيضاً، ويجب على كل شخص أن يكون قائـداً ومرؤوساً وموظفاً في الوقت نفسه، والتفكير المعاصر للتفويض باستخدام السلطة، يعني أن المشاركة في تولي السلطة والقيـادة تضاعف في قوة الجميع ويزيد نشاطهم، مما يضاعف بالتبعية قوة المنظمة وفاعليتها كجماعة عمل مكونة من أعضاء وشركاء، كما تضم المنظمات أفراداً من تخصصات ومهارات وكفاءات مختلفة وخبرات متنوعة من مجالات متعددة، وبالتالي فإننا بحاجة كقيـادة إلى معرفة كيفية إدارة هذه الخبرات والكفاءات المهنية في المنظمة، والاستفادة منها على الوجه الأمثل، فتعد فكرة التفويض باستخدام السلطة القيـادية إحدى الأفكار التي تساعد على إنجاز المهام بشكل أسرع وأكثر كفاءة، وذلك من خلال مشاركة جميع الأفراد في عملية القيـادة، وضمن فريق عمل جماعي .</w:t>
      </w:r>
    </w:p>
    <w:p w14:paraId="2F7C5FF5" w14:textId="77777777" w:rsidR="00623BB8" w:rsidRPr="0038653A" w:rsidRDefault="00623BB8">
      <w:pPr>
        <w:numPr>
          <w:ilvl w:val="0"/>
          <w:numId w:val="7"/>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الرؤية:</w:t>
      </w:r>
      <w:r w:rsidRPr="0038653A">
        <w:rPr>
          <w:rFonts w:ascii="Traditional Arabic" w:eastAsia="Calibri" w:hAnsi="Traditional Arabic" w:cs="Traditional Arabic" w:hint="cs"/>
          <w:sz w:val="24"/>
          <w:szCs w:val="24"/>
          <w:rtl/>
          <w:lang w:bidi="ar-EG"/>
        </w:rPr>
        <w:t xml:space="preserve"> يجب أن تكون الرؤية شاملة لكل من الأهداف الإجرائية والإنجازية والاجتماعية والأخلاقية التي يشترك جميع القادة في السعي لتحقيقها وترسيخها في المنظمة، وقد يبدأ القادة التحويليين رحلتهم القيـادية برؤيتهم الفردية الشخصية، ولكن نجاحهم وتميزهم سيتحقق عندما يحولون طبيعة هذه الرؤية، وبأسرع ما يمكن إلى نشاط يشترك فيه فريق العمل كله، وذلك إنه عندما يتحقق هذا ستتحول رؤية القادة ورؤية زملائهم في فريق العمل إلى كيان واحد متصل يستمد قوته واستمراره من رعاية القادة أنفسهم ودعمهم.</w:t>
      </w:r>
    </w:p>
    <w:p w14:paraId="4F0568EE" w14:textId="23766D16" w:rsidR="00623BB8" w:rsidRPr="0038653A" w:rsidRDefault="00623BB8">
      <w:pPr>
        <w:numPr>
          <w:ilvl w:val="0"/>
          <w:numId w:val="7"/>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التعلم:</w:t>
      </w:r>
      <w:r w:rsidRPr="0038653A">
        <w:rPr>
          <w:rFonts w:ascii="Traditional Arabic" w:eastAsia="Calibri" w:hAnsi="Traditional Arabic" w:cs="Traditional Arabic" w:hint="cs"/>
          <w:sz w:val="24"/>
          <w:szCs w:val="24"/>
          <w:rtl/>
          <w:lang w:bidi="ar-EG"/>
        </w:rPr>
        <w:t xml:space="preserve"> يجب على الأفراد العاملين أن يعملوا على تعلم كيفية ممارسة القيـادة والمشاركة فيها، وإلى أي مدى سوف يعتمدون على خبراتهم الشخصية، ويجب تنمية المهارات القيـادية في مساندة انتشار القادة عبر المنظمة ودعمهم، وتعزيز ممارسة الأفراد للقيـادة. ويمكن القول أ ن: "القادة التحويـليين يشتركون في مجموعة خصائص تميزهم عن غيرهم من القادة الإداريين؛ فهم المحرك لعملية التغيير والتطوير، بحسن تعاملهم مع المواقف، والتكيُّف مع الظروف، والقدرة على حل المشكلات التي تواجه المنظمة، والتعامل معها بكل دقة وتخطيط مسبق، ويشاركون فيها فريق العمل، فلهم من التأثير في الآخرين الشيء الكبير."</w:t>
      </w:r>
    </w:p>
    <w:p w14:paraId="6D0CE19D"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02671F1"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724D3DEA"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D8DA20"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E6DB27"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330AD39" w14:textId="77777777" w:rsidR="0038653A" w:rsidRDefault="0038653A" w:rsidP="0017327A">
      <w:pPr>
        <w:bidi/>
        <w:spacing w:after="200" w:line="276" w:lineRule="auto"/>
        <w:ind w:left="360"/>
        <w:contextualSpacing/>
        <w:jc w:val="center"/>
        <w:rPr>
          <w:rFonts w:ascii="Simplified Arabic" w:eastAsia="Calibri" w:hAnsi="Simplified Arabic" w:cs="Simplified Arabic"/>
          <w:b/>
          <w:bCs/>
          <w:sz w:val="24"/>
          <w:szCs w:val="24"/>
          <w:lang w:bidi="ar-EG"/>
        </w:rPr>
      </w:pPr>
    </w:p>
    <w:p w14:paraId="061F8DF6" w14:textId="77777777" w:rsidR="0038653A" w:rsidRDefault="0038653A" w:rsidP="0038653A">
      <w:pPr>
        <w:bidi/>
        <w:spacing w:after="200" w:line="276" w:lineRule="auto"/>
        <w:ind w:left="360"/>
        <w:contextualSpacing/>
        <w:jc w:val="center"/>
        <w:rPr>
          <w:rFonts w:ascii="Simplified Arabic" w:eastAsia="Calibri" w:hAnsi="Simplified Arabic" w:cs="Simplified Arabic"/>
          <w:b/>
          <w:bCs/>
          <w:sz w:val="24"/>
          <w:szCs w:val="24"/>
          <w:lang w:bidi="ar-EG"/>
        </w:rPr>
      </w:pPr>
    </w:p>
    <w:p w14:paraId="60127931" w14:textId="0F2BC2C5" w:rsidR="0017327A" w:rsidRPr="0038653A" w:rsidRDefault="0017327A" w:rsidP="0038653A">
      <w:pPr>
        <w:bidi/>
        <w:spacing w:after="200" w:line="276" w:lineRule="auto"/>
        <w:ind w:left="360"/>
        <w:contextualSpacing/>
        <w:jc w:val="center"/>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lastRenderedPageBreak/>
        <w:t>الشكل (</w:t>
      </w:r>
      <w:r w:rsidR="00156EA9">
        <w:rPr>
          <w:rFonts w:ascii="Traditional Arabic" w:eastAsia="Calibri" w:hAnsi="Traditional Arabic" w:cs="Traditional Arabic" w:hint="cs"/>
          <w:b/>
          <w:bCs/>
          <w:sz w:val="24"/>
          <w:szCs w:val="24"/>
          <w:rtl/>
          <w:lang w:bidi="ar-EG"/>
        </w:rPr>
        <w:t>6</w:t>
      </w:r>
      <w:r w:rsidRPr="0038653A">
        <w:rPr>
          <w:rFonts w:ascii="Traditional Arabic" w:eastAsia="Calibri" w:hAnsi="Traditional Arabic" w:cs="Traditional Arabic" w:hint="cs"/>
          <w:b/>
          <w:bCs/>
          <w:sz w:val="24"/>
          <w:szCs w:val="24"/>
          <w:rtl/>
          <w:lang w:bidi="ar-EG"/>
        </w:rPr>
        <w:t>) عوامل نجاح القيادة التحويلية</w:t>
      </w:r>
    </w:p>
    <w:p w14:paraId="1D975991" w14:textId="6702E363" w:rsidR="00623BB8" w:rsidRPr="0017327A" w:rsidRDefault="0017327A" w:rsidP="0017327A">
      <w:pPr>
        <w:bidi/>
        <w:spacing w:after="200" w:line="276" w:lineRule="auto"/>
        <w:ind w:left="36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noProof/>
          <w:sz w:val="28"/>
          <w:szCs w:val="28"/>
          <w:rtl/>
          <w:lang w:val="ar-EG" w:bidi="ar-EG"/>
        </w:rPr>
        <w:drawing>
          <wp:inline distT="0" distB="0" distL="0" distR="0" wp14:anchorId="02705F75" wp14:editId="31880291">
            <wp:extent cx="5274310" cy="3076575"/>
            <wp:effectExtent l="0" t="12700" r="0" b="9525"/>
            <wp:docPr id="22814114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253C0C1" w14:textId="1FCD8310" w:rsidR="00623BB8" w:rsidRPr="0038653A" w:rsidRDefault="0017327A" w:rsidP="00264684">
      <w:pPr>
        <w:widowControl w:val="0"/>
        <w:autoSpaceDE w:val="0"/>
        <w:autoSpaceDN w:val="0"/>
        <w:bidi/>
        <w:spacing w:before="11" w:after="0" w:line="360" w:lineRule="auto"/>
        <w:ind w:right="301"/>
        <w:jc w:val="center"/>
        <w:outlineLvl w:val="2"/>
        <w:rPr>
          <w:rFonts w:ascii="Traditional Arabic" w:eastAsia="Times New Roman" w:hAnsi="Traditional Arabic" w:cs="Traditional Arabic"/>
          <w:b/>
          <w:bCs/>
          <w:w w:val="76"/>
          <w:sz w:val="24"/>
          <w:szCs w:val="24"/>
          <w:rtl/>
        </w:rPr>
      </w:pPr>
      <w:r w:rsidRPr="0038653A">
        <w:rPr>
          <w:rFonts w:ascii="Traditional Arabic" w:eastAsia="Times New Roman" w:hAnsi="Traditional Arabic" w:cs="Traditional Arabic" w:hint="cs"/>
          <w:b/>
          <w:bCs/>
          <w:w w:val="76"/>
          <w:sz w:val="24"/>
          <w:szCs w:val="24"/>
          <w:rtl/>
        </w:rPr>
        <w:t>إعداد/ الباحثة</w:t>
      </w:r>
      <w:r w:rsidR="00264684" w:rsidRPr="0038653A">
        <w:rPr>
          <w:rFonts w:ascii="Traditional Arabic" w:eastAsia="Times New Roman" w:hAnsi="Traditional Arabic" w:cs="Traditional Arabic" w:hint="cs"/>
          <w:b/>
          <w:bCs/>
          <w:w w:val="76"/>
          <w:sz w:val="24"/>
          <w:szCs w:val="24"/>
          <w:rtl/>
        </w:rPr>
        <w:t xml:space="preserve"> مستندة لدراسة الحربي، 2022، 36</w:t>
      </w:r>
      <w:r w:rsidRPr="0038653A">
        <w:rPr>
          <w:rFonts w:ascii="Traditional Arabic" w:eastAsia="Times New Roman" w:hAnsi="Traditional Arabic" w:cs="Traditional Arabic" w:hint="cs"/>
          <w:b/>
          <w:bCs/>
          <w:w w:val="76"/>
          <w:sz w:val="24"/>
          <w:szCs w:val="24"/>
          <w:rtl/>
        </w:rPr>
        <w:t>.</w:t>
      </w:r>
    </w:p>
    <w:p w14:paraId="721684FA" w14:textId="77777777" w:rsidR="00623BB8" w:rsidRPr="0038653A" w:rsidRDefault="00623BB8" w:rsidP="00623BB8">
      <w:pPr>
        <w:bidi/>
        <w:spacing w:before="120" w:after="120" w:line="240" w:lineRule="auto"/>
        <w:rPr>
          <w:rFonts w:ascii="Traditional Arabic" w:hAnsi="Traditional Arabic" w:cs="Traditional Arabic"/>
          <w:b/>
          <w:bCs/>
          <w:spacing w:val="-6"/>
          <w:sz w:val="28"/>
          <w:szCs w:val="28"/>
          <w:rtl/>
        </w:rPr>
      </w:pPr>
      <w:r w:rsidRPr="0038653A">
        <w:rPr>
          <w:rFonts w:ascii="Traditional Arabic" w:hAnsi="Traditional Arabic" w:cs="Traditional Arabic" w:hint="cs"/>
          <w:b/>
          <w:bCs/>
          <w:spacing w:val="-6"/>
          <w:sz w:val="28"/>
          <w:szCs w:val="28"/>
          <w:rtl/>
        </w:rPr>
        <w:t>الدراسات السابقة حول القيادة التحويلة :</w:t>
      </w:r>
    </w:p>
    <w:p w14:paraId="4E4E5F6C" w14:textId="23D1B69D" w:rsidR="00402440" w:rsidRPr="0038653A" w:rsidRDefault="00402440"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spacing w:val="-6"/>
          <w:sz w:val="24"/>
          <w:szCs w:val="24"/>
          <w:rtl/>
        </w:rPr>
        <w:t xml:space="preserve">هدفت </w:t>
      </w:r>
      <w:r w:rsidRPr="0038653A">
        <w:rPr>
          <w:rFonts w:ascii="Traditional Arabic" w:hAnsi="Traditional Arabic" w:cs="Traditional Arabic" w:hint="cs"/>
          <w:b/>
          <w:bCs/>
          <w:spacing w:val="-6"/>
          <w:sz w:val="24"/>
          <w:szCs w:val="24"/>
          <w:rtl/>
        </w:rPr>
        <w:t>دراسة التجاني</w:t>
      </w:r>
      <w:r w:rsidRPr="0038653A">
        <w:rPr>
          <w:rFonts w:ascii="Traditional Arabic" w:hAnsi="Traditional Arabic" w:cs="Traditional Arabic" w:hint="cs"/>
          <w:b/>
          <w:bCs/>
          <w:spacing w:val="-6"/>
          <w:sz w:val="24"/>
          <w:szCs w:val="24"/>
          <w:lang w:bidi="ar-EG"/>
        </w:rPr>
        <w:t xml:space="preserve"> (2020</w:t>
      </w:r>
      <w:r w:rsidR="00202FBE" w:rsidRPr="0038653A">
        <w:rPr>
          <w:rFonts w:ascii="Traditional Arabic" w:hAnsi="Traditional Arabic" w:cs="Traditional Arabic" w:hint="cs"/>
          <w:b/>
          <w:bCs/>
          <w:spacing w:val="-6"/>
          <w:sz w:val="24"/>
          <w:szCs w:val="24"/>
          <w:lang w:bidi="ar-EG"/>
        </w:rPr>
        <w:t>)</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سلوكيات القيادة التحويلية وأثرها على الإبداع التنظيمي</w:t>
      </w:r>
      <w:r w:rsidRPr="0038653A">
        <w:rPr>
          <w:rFonts w:ascii="Traditional Arabic" w:hAnsi="Traditional Arabic" w:cs="Traditional Arabic" w:hint="cs"/>
          <w:b/>
          <w:bCs/>
          <w:spacing w:val="-6"/>
          <w:sz w:val="24"/>
          <w:szCs w:val="24"/>
          <w:rtl/>
          <w:lang w:bidi="ar-EG"/>
        </w:rPr>
        <w:t xml:space="preserve"> </w:t>
      </w:r>
      <w:r w:rsidRPr="0038653A">
        <w:rPr>
          <w:rFonts w:ascii="Traditional Arabic" w:hAnsi="Traditional Arabic" w:cs="Traditional Arabic" w:hint="cs"/>
          <w:spacing w:val="-6"/>
          <w:sz w:val="24"/>
          <w:szCs w:val="24"/>
          <w:rtl/>
        </w:rPr>
        <w:t>إلى معرفة مدى تأثير سلوكيات القيادة التحويلية على الإبداع التنظيمي، وتم اختيار جامعة غرداية في الجزائر كحالة دراسية، بالاعتماد على المنهج الوصفي التحليلي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شملت الدراسة العاملين في الجامعة، وركّزت على قياس درجة ممارسة القيادات الإدارية لسلوكيات القيادة التحويلية، بالإضافة إلى تقييم مستوى الإبداع التنظيمي داخل المؤسسة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درجة ممارسة القيادات الإدارية لسلوكيات القيادة التحويلية كانت مرتفعة، وكذلك درجة ممارسة الإبداع التنظيمي</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وجود فروق ذات دلالة إحصائية في درجة ممارسة سلوكيات القيادة التحويلية تبعًا لمتغيرات النوع، السن، والخبرة المهنية، وكذلك فروق في درجة ممارسة الإبداع التنظيمي تبعًا لنفس المتغيرات</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توجيه القيادات الإدارية نحو تبني الأساليب الإدارية الحديثة، وتدريبهم على قيادة المؤسسات الجامعية وفق مدخل القيادة التحويلية، خاصة في ظل بيئة تتصف بالتغيير المستمر</w:t>
      </w:r>
      <w:r w:rsidRPr="0038653A">
        <w:rPr>
          <w:rFonts w:ascii="Traditional Arabic" w:hAnsi="Traditional Arabic" w:cs="Traditional Arabic" w:hint="cs"/>
          <w:spacing w:val="-6"/>
          <w:sz w:val="24"/>
          <w:szCs w:val="24"/>
          <w:lang w:bidi="ar-EG"/>
        </w:rPr>
        <w:t>.</w:t>
      </w:r>
    </w:p>
    <w:p w14:paraId="747682DA" w14:textId="5561ACC2" w:rsidR="00460553" w:rsidRPr="0038653A" w:rsidRDefault="00E55C3F"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b/>
          <w:bCs/>
          <w:spacing w:val="-6"/>
          <w:sz w:val="24"/>
          <w:szCs w:val="24"/>
          <w:rtl/>
          <w:lang w:bidi="ar-EG"/>
        </w:rPr>
        <w:t>و</w:t>
      </w:r>
      <w:r w:rsidR="00460553" w:rsidRPr="0038653A">
        <w:rPr>
          <w:rFonts w:ascii="Traditional Arabic" w:hAnsi="Traditional Arabic" w:cs="Traditional Arabic" w:hint="cs"/>
          <w:b/>
          <w:bCs/>
          <w:spacing w:val="-6"/>
          <w:sz w:val="24"/>
          <w:szCs w:val="24"/>
          <w:rtl/>
        </w:rPr>
        <w:t>أشارت دراسة حسين (2020) إلى أهمية تطبيق القيادة التحويلية كمدخل استراتيجي لتحسين الأداء المؤسسي في المنظمات الصحية</w:t>
      </w:r>
      <w:r w:rsidR="00460553" w:rsidRPr="0038653A">
        <w:rPr>
          <w:rFonts w:ascii="Traditional Arabic" w:hAnsi="Traditional Arabic" w:cs="Traditional Arabic" w:hint="cs"/>
          <w:spacing w:val="-6"/>
          <w:sz w:val="24"/>
          <w:szCs w:val="24"/>
          <w:rtl/>
        </w:rPr>
        <w:t>، وذلك ضمن إطار تحقيق أهداف رؤية مصر 2030 للتنمية المستدامة</w:t>
      </w:r>
      <w:r w:rsidR="00575FAD" w:rsidRPr="0038653A">
        <w:rPr>
          <w:rFonts w:ascii="Traditional Arabic" w:hAnsi="Traditional Arabic" w:cs="Traditional Arabic" w:hint="cs"/>
          <w:spacing w:val="-6"/>
          <w:sz w:val="24"/>
          <w:szCs w:val="24"/>
          <w:rtl/>
          <w:lang w:bidi="ar-EG"/>
        </w:rPr>
        <w:t>،</w:t>
      </w:r>
      <w:r w:rsidR="00460553" w:rsidRPr="0038653A">
        <w:rPr>
          <w:rFonts w:ascii="Traditional Arabic" w:hAnsi="Traditional Arabic" w:cs="Traditional Arabic" w:hint="cs"/>
          <w:spacing w:val="-6"/>
          <w:sz w:val="24"/>
          <w:szCs w:val="24"/>
          <w:rtl/>
        </w:rPr>
        <w:t xml:space="preserve"> وقد هدفت الدراسة إلى قياس أثر أبعاد القيادة التحويلية على جودة الخدمات الصحية، ومدى ارتباطها بمؤشرات الأداء المؤسسي في المستشفيات الحكومية</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اعتمدت الدراسة على المنهج الوصفي التحليلي، حيث تم توزيع استمارات استقصاء على عينة من العاملين في الوظائف الإشرافية والقيادية داخل المستشفيات الحكومية، بهدف قياس مدى تطبيق القيادة التحويلية، وتأثيرها على الأداء المؤسسي. وشملت الأداة أربعة أبعاد رئيسية: التأثير المثالي، التحفيز الإلهامي، الاستثارة الفكرية، والتمكين الإداري، إلى جانب مؤشرات جودة الخدمة مثل رضا المرضى، كفاءة العمليات، وسرعة الاستجابة</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 xml:space="preserve">تم تطبيق الدراسة على عينة متنوعة من القيادات الصحية، شملت مديري الأقسام، </w:t>
      </w:r>
      <w:r w:rsidR="00460553" w:rsidRPr="0038653A">
        <w:rPr>
          <w:rFonts w:ascii="Traditional Arabic" w:hAnsi="Traditional Arabic" w:cs="Traditional Arabic" w:hint="cs"/>
          <w:spacing w:val="-6"/>
          <w:sz w:val="24"/>
          <w:szCs w:val="24"/>
          <w:rtl/>
        </w:rPr>
        <w:lastRenderedPageBreak/>
        <w:t>رؤساء الوحدات، والمشرفين الإداريين، لضمان تمثيل مختلف المستويات القيادية في تقييم الأثر التنظيمي</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 xml:space="preserve">كما </w:t>
      </w:r>
      <w:r w:rsidR="00460553" w:rsidRPr="0038653A">
        <w:rPr>
          <w:rFonts w:ascii="Traditional Arabic" w:hAnsi="Traditional Arabic" w:cs="Traditional Arabic" w:hint="cs"/>
          <w:spacing w:val="-6"/>
          <w:sz w:val="24"/>
          <w:szCs w:val="24"/>
          <w:rtl/>
        </w:rPr>
        <w:t>أظهرت النتائج أن تطبيق أبعاد القيادة التحويلية ساهم بشكل واضح في تحسين الأداء المؤسسي، ورفع مستوى جودة الخدمات الصحية المقدمة</w:t>
      </w:r>
      <w:r w:rsidR="00575FAD" w:rsidRPr="0038653A">
        <w:rPr>
          <w:rFonts w:ascii="Traditional Arabic" w:hAnsi="Traditional Arabic" w:cs="Traditional Arabic" w:hint="cs"/>
          <w:spacing w:val="-6"/>
          <w:sz w:val="24"/>
          <w:szCs w:val="24"/>
          <w:rtl/>
        </w:rPr>
        <w:t>،</w:t>
      </w:r>
      <w:r w:rsidR="00460553" w:rsidRPr="0038653A">
        <w:rPr>
          <w:rFonts w:ascii="Traditional Arabic" w:hAnsi="Traditional Arabic" w:cs="Traditional Arabic" w:hint="cs"/>
          <w:spacing w:val="-6"/>
          <w:sz w:val="24"/>
          <w:szCs w:val="24"/>
          <w:rtl/>
        </w:rPr>
        <w:t xml:space="preserve"> كما تبين وجود علاقة إيجابية بين القيادة التحويلية ومؤشرات الأداء، مما يعكس أهميتها في تحقيق التميز المؤسسي، وتعزيز الكفاءة التشغيلية في القطاع الصحي</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rPr>
        <w:t>وأوصت الدراسة بضرورة تبني القيادة التحويلية كنمط قيادي أساسي داخل المؤسسات الصحية، مع تكثيف برامج التدريب والتأهيل للقادة والمشرفين، بما يضمن تعزيز الكفاءة، وتحقيق التميز في تقديم الخدمات الصحية، بما يتماشى مع أهداف التنمية المستدامة</w:t>
      </w:r>
      <w:r w:rsidR="00460553" w:rsidRPr="0038653A">
        <w:rPr>
          <w:rFonts w:ascii="Traditional Arabic" w:hAnsi="Traditional Arabic" w:cs="Traditional Arabic" w:hint="cs"/>
          <w:spacing w:val="-6"/>
          <w:sz w:val="24"/>
          <w:szCs w:val="24"/>
          <w:lang w:bidi="ar-EG"/>
        </w:rPr>
        <w:t>.</w:t>
      </w:r>
    </w:p>
    <w:p w14:paraId="2F916535" w14:textId="4A9C42EA" w:rsidR="007E1AEB" w:rsidRPr="0038653A" w:rsidRDefault="007E1AEB" w:rsidP="0038653A">
      <w:pPr>
        <w:bidi/>
        <w:spacing w:before="120" w:after="120" w:line="360" w:lineRule="auto"/>
        <w:ind w:firstLine="720"/>
        <w:jc w:val="both"/>
        <w:rPr>
          <w:rFonts w:ascii="Traditional Arabic" w:hAnsi="Traditional Arabic" w:cs="Traditional Arabic"/>
          <w:spacing w:val="-6"/>
          <w:sz w:val="24"/>
          <w:szCs w:val="24"/>
        </w:rPr>
      </w:pPr>
      <w:r w:rsidRPr="0038653A">
        <w:rPr>
          <w:rFonts w:ascii="Traditional Arabic" w:hAnsi="Traditional Arabic" w:cs="Traditional Arabic" w:hint="cs"/>
          <w:b/>
          <w:bCs/>
          <w:spacing w:val="-6"/>
          <w:sz w:val="24"/>
          <w:szCs w:val="24"/>
          <w:rtl/>
          <w:lang w:bidi="ar-EG"/>
        </w:rPr>
        <w:t>كما توصلت</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دراسة رزق الله وطيبي</w:t>
      </w:r>
      <w:r w:rsidRPr="0038653A">
        <w:rPr>
          <w:rFonts w:ascii="Traditional Arabic" w:hAnsi="Traditional Arabic" w:cs="Traditional Arabic" w:hint="cs"/>
          <w:b/>
          <w:bCs/>
          <w:spacing w:val="-6"/>
          <w:sz w:val="24"/>
          <w:szCs w:val="24"/>
          <w:lang w:bidi="ar-EG"/>
        </w:rPr>
        <w:t xml:space="preserve"> (2021): </w:t>
      </w:r>
      <w:r w:rsidRPr="0038653A">
        <w:rPr>
          <w:rFonts w:ascii="Traditional Arabic" w:hAnsi="Traditional Arabic" w:cs="Traditional Arabic" w:hint="cs"/>
          <w:spacing w:val="-6"/>
          <w:sz w:val="24"/>
          <w:szCs w:val="24"/>
          <w:rtl/>
        </w:rPr>
        <w:t>إلى قياس واقع القيادة التحويلية في مؤسسة صحية جزائرية، من خلال دراسة حالة مستشفى أحمد بن عجيلة بالأغواط</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اعتمد الباحثان على المنهج الوصفي التحليلي، وتم تطوير استبيان لقياس القيادة التحويلية بأبعادها الأربعة</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التأثير المثالي، الإلهام، الاستثارة الفكرية، والاعتبار الفردي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تم توزيع الاستبيان على عينة مكونة من 48 موظفًا من أصل مجتمع مكون من 440 موظفًا، باستخدام أسلوب العينة العشوائية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المستشفى يطبق القيادة التحويلية بدرجة جيدة، مع تعزيز واضح لبعدي الاستثارة الفكرية والاعتبار الفردي لدى القادة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عدم وجود فروق ذات دلالة إحصائية في درجة ممارسة القيادة التحويلية تعزى إلى متغيري الوظيفة أو الخبرة، مما يدل على انتشار النمط القيادي بشكل متوازن بين العاملين</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مواصلة دعم هذا النمط القيادي، وتطوير برامج تدريبية تركز على تعزيز الأبعاد التحويلية لدى القيادات الصحية، بما يسهم في تحسين الأداء المؤسسي في بيئة تتسم بالتغير المستمر</w:t>
      </w:r>
      <w:r w:rsidRPr="0038653A">
        <w:rPr>
          <w:rFonts w:ascii="Traditional Arabic" w:hAnsi="Traditional Arabic" w:cs="Traditional Arabic" w:hint="cs"/>
          <w:spacing w:val="-6"/>
          <w:sz w:val="24"/>
          <w:szCs w:val="24"/>
          <w:lang w:bidi="ar-EG"/>
        </w:rPr>
        <w:t>.</w:t>
      </w:r>
    </w:p>
    <w:p w14:paraId="5AAE6395" w14:textId="493C592D" w:rsidR="00D53999" w:rsidRPr="0038653A" w:rsidRDefault="007C06AF" w:rsidP="0038653A">
      <w:pPr>
        <w:bidi/>
        <w:spacing w:before="120" w:after="120" w:line="360" w:lineRule="auto"/>
        <w:ind w:firstLine="720"/>
        <w:jc w:val="both"/>
        <w:rPr>
          <w:rFonts w:ascii="Traditional Arabic" w:hAnsi="Traditional Arabic" w:cs="Traditional Arabic"/>
          <w:spacing w:val="-6"/>
          <w:sz w:val="24"/>
          <w:szCs w:val="24"/>
          <w:rtl/>
          <w:lang w:bidi="ar-EG"/>
        </w:rPr>
      </w:pPr>
      <w:r w:rsidRPr="0038653A">
        <w:rPr>
          <w:rFonts w:ascii="Traditional Arabic" w:hAnsi="Traditional Arabic" w:cs="Traditional Arabic" w:hint="cs"/>
          <w:b/>
          <w:bCs/>
          <w:spacing w:val="-6"/>
          <w:sz w:val="24"/>
          <w:szCs w:val="24"/>
          <w:rtl/>
          <w:lang w:bidi="ar-EG"/>
        </w:rPr>
        <w:t xml:space="preserve">كما </w:t>
      </w:r>
      <w:r w:rsidR="00D53999" w:rsidRPr="0038653A">
        <w:rPr>
          <w:rFonts w:ascii="Traditional Arabic" w:hAnsi="Traditional Arabic" w:cs="Traditional Arabic" w:hint="cs"/>
          <w:b/>
          <w:bCs/>
          <w:spacing w:val="-6"/>
          <w:sz w:val="24"/>
          <w:szCs w:val="24"/>
          <w:rtl/>
          <w:lang w:bidi="ar-EG"/>
        </w:rPr>
        <w:t xml:space="preserve">ركزت </w:t>
      </w:r>
      <w:r w:rsidR="00D53999" w:rsidRPr="0038653A">
        <w:rPr>
          <w:rFonts w:ascii="Traditional Arabic" w:hAnsi="Traditional Arabic" w:cs="Traditional Arabic" w:hint="cs"/>
          <w:b/>
          <w:bCs/>
          <w:spacing w:val="-6"/>
          <w:sz w:val="24"/>
          <w:szCs w:val="24"/>
          <w:rtl/>
        </w:rPr>
        <w:t>دراسة الغامدي وعثمان</w:t>
      </w:r>
      <w:r w:rsidR="00D53999" w:rsidRPr="0038653A">
        <w:rPr>
          <w:rFonts w:ascii="Traditional Arabic" w:hAnsi="Traditional Arabic" w:cs="Traditional Arabic" w:hint="cs"/>
          <w:b/>
          <w:bCs/>
          <w:spacing w:val="-6"/>
          <w:sz w:val="24"/>
          <w:szCs w:val="24"/>
          <w:lang w:bidi="ar-EG"/>
        </w:rPr>
        <w:t xml:space="preserve"> (2022</w:t>
      </w:r>
      <w:r w:rsidR="00575FAD" w:rsidRPr="0038653A">
        <w:rPr>
          <w:rFonts w:ascii="Traditional Arabic" w:hAnsi="Traditional Arabic" w:cs="Traditional Arabic" w:hint="cs"/>
          <w:b/>
          <w:bCs/>
          <w:spacing w:val="-6"/>
          <w:sz w:val="24"/>
          <w:szCs w:val="24"/>
          <w:lang w:bidi="ar-EG"/>
        </w:rPr>
        <w:t>)</w:t>
      </w:r>
      <w:r w:rsidR="00D53999" w:rsidRPr="0038653A">
        <w:rPr>
          <w:rFonts w:ascii="Traditional Arabic" w:hAnsi="Traditional Arabic" w:cs="Traditional Arabic" w:hint="cs"/>
          <w:b/>
          <w:bCs/>
          <w:spacing w:val="-6"/>
          <w:sz w:val="24"/>
          <w:szCs w:val="24"/>
          <w:lang w:bidi="ar-EG"/>
        </w:rPr>
        <w:t xml:space="preserve"> </w:t>
      </w:r>
      <w:r w:rsidR="00D53999" w:rsidRPr="0038653A">
        <w:rPr>
          <w:rFonts w:ascii="Traditional Arabic" w:hAnsi="Traditional Arabic" w:cs="Traditional Arabic" w:hint="cs"/>
          <w:spacing w:val="-6"/>
          <w:sz w:val="24"/>
          <w:szCs w:val="24"/>
          <w:rtl/>
        </w:rPr>
        <w:t>على قياس أثر القيادة التحويلية في إدارة الأزمات الصحية، من خلال تطبيقها على مستشفى الملك عبدالله ببيشة في المملكة العربية السعودية. اعتمد الباحثان على المنهج الوصفي التحليلي، وتم جمع البيانات من خلال عينة مكونة من (270) موظفًا من العاملين في المستشفى</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جاءت أهمية الدراسة من الحاجة إلى قيادة فعالة خلال الأزمات، خاصة في ظل جائحة كوفيد-19، حيث تم التركيز على أبعاد القيادة التحويلية مثل</w:t>
      </w:r>
      <w:r w:rsidR="00D53999" w:rsidRPr="0038653A">
        <w:rPr>
          <w:rFonts w:ascii="Traditional Arabic" w:hAnsi="Traditional Arabic" w:cs="Traditional Arabic" w:hint="cs"/>
          <w:spacing w:val="-6"/>
          <w:sz w:val="24"/>
          <w:szCs w:val="24"/>
          <w:lang w:bidi="ar-EG"/>
        </w:rPr>
        <w:t xml:space="preserve">: </w:t>
      </w:r>
      <w:r w:rsidR="00D53999" w:rsidRPr="0038653A">
        <w:rPr>
          <w:rFonts w:ascii="Traditional Arabic" w:hAnsi="Traditional Arabic" w:cs="Traditional Arabic" w:hint="cs"/>
          <w:spacing w:val="-6"/>
          <w:sz w:val="24"/>
          <w:szCs w:val="24"/>
          <w:rtl/>
        </w:rPr>
        <w:t>الدافعية الإلهامية، الاستثارة الفكرية، والتأثير المثالي</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وإدارة الأزمات الصحية، حيث ساهمت الأبعاد القيادية في تحسين قدرة القادة على الاستجابة السريعة والمرنة للأزمات</w:t>
      </w:r>
      <w:r w:rsidR="00264684" w:rsidRPr="0038653A">
        <w:rPr>
          <w:rFonts w:ascii="Traditional Arabic" w:hAnsi="Traditional Arabic" w:cs="Traditional Arabic" w:hint="cs"/>
          <w:spacing w:val="-6"/>
          <w:sz w:val="24"/>
          <w:szCs w:val="24"/>
          <w:rtl/>
          <w:lang w:bidi="ar-EG"/>
        </w:rPr>
        <w:t>،</w:t>
      </w:r>
      <w:r w:rsidR="00D53999" w:rsidRPr="0038653A">
        <w:rPr>
          <w:rFonts w:ascii="Traditional Arabic" w:hAnsi="Traditional Arabic" w:cs="Traditional Arabic" w:hint="cs"/>
          <w:spacing w:val="-6"/>
          <w:sz w:val="24"/>
          <w:szCs w:val="24"/>
          <w:rtl/>
        </w:rPr>
        <w:t xml:space="preserve"> وأوصت الدراسة بتدريب القادة على مواجهة الأزمات، وتطوير خطط استجابة استراتيجية مرنة، مع التركيز على تعزيز المهارات القيادية التحويلية في بيئة الرعاية الصحية</w:t>
      </w:r>
      <w:r w:rsidR="00D53999" w:rsidRPr="0038653A">
        <w:rPr>
          <w:rFonts w:ascii="Traditional Arabic" w:hAnsi="Traditional Arabic" w:cs="Traditional Arabic" w:hint="cs"/>
          <w:spacing w:val="-6"/>
          <w:sz w:val="24"/>
          <w:szCs w:val="24"/>
          <w:lang w:bidi="ar-EG"/>
        </w:rPr>
        <w:t>.</w:t>
      </w:r>
    </w:p>
    <w:p w14:paraId="33632A8E" w14:textId="4C833702" w:rsidR="00E55C3F" w:rsidRPr="0038653A" w:rsidRDefault="00E55C3F" w:rsidP="0038653A">
      <w:pPr>
        <w:bidi/>
        <w:spacing w:before="120" w:after="120" w:line="360" w:lineRule="auto"/>
        <w:ind w:firstLine="720"/>
        <w:jc w:val="both"/>
        <w:rPr>
          <w:rFonts w:ascii="Traditional Arabic" w:hAnsi="Traditional Arabic" w:cs="Traditional Arabic"/>
          <w:spacing w:val="-6"/>
          <w:sz w:val="24"/>
          <w:szCs w:val="24"/>
          <w:rtl/>
        </w:rPr>
      </w:pPr>
      <w:r w:rsidRPr="0038653A">
        <w:rPr>
          <w:rFonts w:ascii="Traditional Arabic" w:hAnsi="Traditional Arabic" w:cs="Traditional Arabic" w:hint="cs"/>
          <w:b/>
          <w:bCs/>
          <w:spacing w:val="-6"/>
          <w:sz w:val="24"/>
          <w:szCs w:val="24"/>
          <w:rtl/>
        </w:rPr>
        <w:t>وفي نفس السياق دراسة</w:t>
      </w:r>
      <w:r w:rsidRPr="0038653A">
        <w:rPr>
          <w:rFonts w:ascii="Traditional Arabic" w:hAnsi="Traditional Arabic" w:cs="Traditional Arabic" w:hint="cs"/>
          <w:b/>
          <w:bCs/>
          <w:spacing w:val="-6"/>
          <w:sz w:val="24"/>
          <w:szCs w:val="24"/>
        </w:rPr>
        <w:t xml:space="preserve"> Bagga, Gera &amp; Haque (2023</w:t>
      </w:r>
      <w:r w:rsidR="00575FAD" w:rsidRPr="0038653A">
        <w:rPr>
          <w:rFonts w:ascii="Traditional Arabic" w:hAnsi="Traditional Arabic" w:cs="Traditional Arabic" w:hint="cs"/>
          <w:b/>
          <w:bCs/>
          <w:spacing w:val="-6"/>
          <w:sz w:val="24"/>
          <w:szCs w:val="24"/>
        </w:rPr>
        <w:t>)</w:t>
      </w:r>
      <w:r w:rsidRPr="0038653A">
        <w:rPr>
          <w:rFonts w:ascii="Traditional Arabic" w:hAnsi="Traditional Arabic" w:cs="Traditional Arabic" w:hint="cs"/>
          <w:b/>
          <w:bCs/>
          <w:spacing w:val="-6"/>
          <w:sz w:val="24"/>
          <w:szCs w:val="24"/>
        </w:rPr>
        <w:t xml:space="preserve"> </w:t>
      </w:r>
      <w:r w:rsidRPr="0038653A">
        <w:rPr>
          <w:rFonts w:ascii="Traditional Arabic" w:hAnsi="Traditional Arabic" w:cs="Traditional Arabic" w:hint="cs"/>
          <w:b/>
          <w:bCs/>
          <w:spacing w:val="-6"/>
          <w:sz w:val="24"/>
          <w:szCs w:val="24"/>
          <w:rtl/>
        </w:rPr>
        <w:t>الثقافة التنظيمية كمتغير وسيط بين القيادة التحويلية وإدارة التغيير</w:t>
      </w:r>
      <w:r w:rsidRPr="0038653A">
        <w:rPr>
          <w:rFonts w:ascii="Traditional Arabic" w:hAnsi="Traditional Arabic" w:cs="Traditional Arabic" w:hint="cs"/>
          <w:spacing w:val="-6"/>
          <w:sz w:val="24"/>
          <w:szCs w:val="24"/>
          <w:rtl/>
        </w:rPr>
        <w:t>هدفت هذه الدراسة إلى قياس الدور الوسيط لـ الثقافة التنظيمية في العلاقة بين القيادة التحويلية وإدارة التغيير لدى موظفي قطاع تكنولوجيا المعلومات في مدينة دلهي. اعتمد الباحثون على المنهج الكمي التحليلي، وتم جمع البيانات من خلال عينة مكونة من (118) موظفًا يعملون ضمن فرق افتراضية في مؤسسات تكنولوجية</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استخدمت الدراسة أدوات قياس معيارية لتقييم أنماط القيادة التحويلية، ومستوى الثقافة التنظيمية، ومؤشرات إدارة التغيير</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أظهرت النتائج أن الثقافة التنظيمية تتوسط العلاقة بين القيادة التحويلية وإدارة التغيير، حيث ترتبط القيادة التحويلية إيجابيًا بالثقافة التنظيمية، والتي بدورها ترتبط إيجابيًا بإدارة التغيير التنظيمية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وأوصت الدراسة بضرورة تعزيز الثقافة التنظيمية الداعمة للتغيير، وتطوير مهارات القيادة التحويلية لدى مديري الفرق الافتراضية، لما لها من أثر مباشر في تحسين قدرة المؤسسات على التكيف مع التحولات التقنية والإدارية</w:t>
      </w:r>
      <w:r w:rsidRPr="0038653A">
        <w:rPr>
          <w:rFonts w:ascii="Traditional Arabic" w:hAnsi="Traditional Arabic" w:cs="Traditional Arabic" w:hint="cs"/>
          <w:spacing w:val="-6"/>
          <w:sz w:val="24"/>
          <w:szCs w:val="24"/>
        </w:rPr>
        <w:t>.</w:t>
      </w:r>
    </w:p>
    <w:p w14:paraId="1BEC18C0" w14:textId="282702D5" w:rsidR="004048E0" w:rsidRPr="00C04B1F" w:rsidRDefault="004048E0"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lang w:bidi="ar-EG"/>
        </w:rPr>
        <w:lastRenderedPageBreak/>
        <w:t xml:space="preserve">كما </w:t>
      </w:r>
      <w:r w:rsidRPr="00C04B1F">
        <w:rPr>
          <w:rFonts w:ascii="Traditional Arabic" w:hAnsi="Traditional Arabic" w:cs="Traditional Arabic" w:hint="cs"/>
          <w:b/>
          <w:bCs/>
          <w:spacing w:val="-6"/>
          <w:sz w:val="24"/>
          <w:szCs w:val="24"/>
          <w:rtl/>
        </w:rPr>
        <w:t>توصلت دراسة آل مرزوق (2023) إلى وجود علاقة دالة بين القيادة التحويلية وتحقيق الاستدامة الاستراتيجية في وزارة الصحة بمنطقة عسير</w:t>
      </w:r>
      <w:r w:rsidRPr="00C04B1F">
        <w:rPr>
          <w:rFonts w:ascii="Traditional Arabic" w:hAnsi="Traditional Arabic" w:cs="Traditional Arabic" w:hint="cs"/>
          <w:spacing w:val="-6"/>
          <w:sz w:val="24"/>
          <w:szCs w:val="24"/>
          <w:rtl/>
        </w:rPr>
        <w:t>، وذلك في سياق التحولات التنظيمية المرتبطة برؤية السعودية 2030، التي تركز على بناء قطاع صحي مستدام ومتكامل. وقد هدفت الدراسة إلى تحليل أثر أبعاد القيادة التحويلية على الاستدامة الاقتصادية، الاجتماعية، والبيئية داخل المؤسسات الصحية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والاستدامة الاستراتيجية، وشملت الأداة أربعة أبعاد رئيسية للقيادة التحويلية (التأثير المثالي، التحفيز الإلهامي، الاعتبار الفردي، الاستثارة الفكرية)، إلى جانب مؤشرات الاستدامة مثل التخطيط طويل الأمد، كفاءة استخدام الموارد، والممارسات البيئية والاجتماعية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تم تطبيق الدراسة على عينة مكونة من 340 موظفًا من مختلف الإدارات والمستويات الوظيفية داخل وزارة الصحة بمنطقة عسير، بهدف رصد مدى تأثير القيادة التحويلية على تبني ممارسات مستدامة، وتحقيق الأهداف الاستراتيجية للقطاع الصحي</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أظهرت النتائج أن جميع أبعاد القيادة التحويلية تسهم بشكل إيجابي في تحقيق الاستدامة الاستراتيجية، من خلال تعزيز ثقافة التخطيط طويل الأمد، وتحفيز العاملين نحو تبني ممارسات مسؤولة اقتصاديًا واجتماعيًا وبيئيًا. كما تبين أن القادة الذين يمارسون الاستثارة الفكرية والتحفيز الإلهامي كانوا أكثر قدرة على توجيه فرقهم نحو الابتكار والاستدامة</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rPr>
        <w:t>وأوصت الدراسة بتنظيم برامج تدريبية متخصصة للقادة في مجال الاستدامة، وتطوير آليات تقييم مستدامة تضمن استمرارية الأداء، وتحقيق الأهداف الاستراتيجية للقطاع الصحي، بما يتماشى مع تطلعات رؤية السعودية 2030</w:t>
      </w:r>
      <w:r w:rsidRPr="00C04B1F">
        <w:rPr>
          <w:rFonts w:ascii="Traditional Arabic" w:hAnsi="Traditional Arabic" w:cs="Traditional Arabic" w:hint="cs"/>
          <w:spacing w:val="-6"/>
          <w:sz w:val="24"/>
          <w:szCs w:val="24"/>
          <w:lang w:bidi="ar-EG"/>
        </w:rPr>
        <w:t>.</w:t>
      </w:r>
    </w:p>
    <w:p w14:paraId="0067969A" w14:textId="0FC69AF7" w:rsidR="004048E0" w:rsidRPr="00C04B1F" w:rsidRDefault="00E55C3F" w:rsidP="00C04B1F">
      <w:pPr>
        <w:bidi/>
        <w:spacing w:before="120" w:after="120" w:line="360" w:lineRule="auto"/>
        <w:ind w:firstLine="720"/>
        <w:jc w:val="both"/>
        <w:rPr>
          <w:rFonts w:ascii="Traditional Arabic" w:hAnsi="Traditional Arabic" w:cs="Traditional Arabic"/>
          <w:spacing w:val="-6"/>
          <w:sz w:val="24"/>
          <w:szCs w:val="24"/>
          <w:lang w:bidi="ar-EG"/>
        </w:rPr>
      </w:pPr>
      <w:r w:rsidRPr="00C04B1F">
        <w:rPr>
          <w:rFonts w:ascii="Traditional Arabic" w:hAnsi="Traditional Arabic" w:cs="Traditional Arabic" w:hint="cs"/>
          <w:b/>
          <w:bCs/>
          <w:spacing w:val="-6"/>
          <w:sz w:val="24"/>
          <w:szCs w:val="24"/>
          <w:rtl/>
        </w:rPr>
        <w:t>و</w:t>
      </w:r>
      <w:r w:rsidR="004048E0" w:rsidRPr="00C04B1F">
        <w:rPr>
          <w:rFonts w:ascii="Traditional Arabic" w:hAnsi="Traditional Arabic" w:cs="Traditional Arabic" w:hint="cs"/>
          <w:b/>
          <w:bCs/>
          <w:spacing w:val="-6"/>
          <w:sz w:val="24"/>
          <w:szCs w:val="24"/>
          <w:rtl/>
        </w:rPr>
        <w:t>ركزت دراسة الخضران (2023) على استكشاف دور القيادة التحويلية في تعزيز المسؤولية المجتمعية داخل المؤسسات الصحية</w:t>
      </w:r>
      <w:r w:rsidR="004048E0" w:rsidRPr="00C04B1F">
        <w:rPr>
          <w:rFonts w:ascii="Traditional Arabic" w:hAnsi="Traditional Arabic" w:cs="Traditional Arabic" w:hint="cs"/>
          <w:spacing w:val="-6"/>
          <w:sz w:val="24"/>
          <w:szCs w:val="24"/>
          <w:rtl/>
        </w:rPr>
        <w:t>، من خلال تطبيقها في مديرية الشؤون الصحية بمنطقة عسير. وقد هدفت الدراسة إلى قياس مدى تأثير أبعاد القيادة التحويلية على مستوى التفاعل المجتمعي، والمشاركة في المبادرات الصحية ذات الطابع الاجتماعي</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والمسؤولية المجتمعية، وشملت الأداة محاور مثل التأثير المثالي، التحفيز الإلهامي، الاعتبار الفردي، والاستثارة الفكرية، إلى جانب مؤشرات التفاعل المجتمعي مثل المشاركة في الحملات الصحية، المبادرات التطوعية، والالتزام بالقضايا المجتمعية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تم تطبيق الدراسة على عينة من العاملين في مديرية الشؤون الصحية بمنطقة عسير، شملت موظفين إداريين وممارسين صحيين من مختلف الأقسام، بهدف رصد مدى انخراطهم في الأنشطة المجتمعية، ومدى تأثرهم بالأنماط القيادية السائدة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أظهرت النتائج وجود علاقة إيجابية ذات دلالة إحصائية بين القيادة التحويلية والمسؤولية المجتمعية، حيث ساهمت أبعاد القيادة في تحفيز العاملين نحو الانخراط في المبادرات المجتمعية، وتعزيز ثقافة المشاركة والالتزام الاجتماعي داخل المؤسسة</w:t>
      </w:r>
      <w:r w:rsidR="00575FAD" w:rsidRPr="00C04B1F">
        <w:rPr>
          <w:rFonts w:ascii="Traditional Arabic" w:hAnsi="Traditional Arabic" w:cs="Traditional Arabic" w:hint="cs"/>
          <w:spacing w:val="-6"/>
          <w:sz w:val="24"/>
          <w:szCs w:val="24"/>
          <w:rtl/>
        </w:rPr>
        <w:t xml:space="preserve">، </w:t>
      </w:r>
      <w:r w:rsidR="004048E0" w:rsidRPr="00C04B1F">
        <w:rPr>
          <w:rFonts w:ascii="Traditional Arabic" w:hAnsi="Traditional Arabic" w:cs="Traditional Arabic" w:hint="cs"/>
          <w:spacing w:val="-6"/>
          <w:sz w:val="24"/>
          <w:szCs w:val="24"/>
          <w:rtl/>
        </w:rPr>
        <w:t xml:space="preserve"> كما تبين أن القادة الذين يمارسون التحفيز الإلهامي والاستثارة الفكرية كانوا أكثر قدرة على توجيه فرقهم نحو أهداف مجتمعية تتجاوز المهام الوظيفية التقليدية</w:t>
      </w:r>
      <w:r w:rsidR="00575FAD" w:rsidRPr="00C04B1F">
        <w:rPr>
          <w:rFonts w:ascii="Traditional Arabic" w:hAnsi="Traditional Arabic" w:cs="Traditional Arabic" w:hint="cs"/>
          <w:spacing w:val="-6"/>
          <w:sz w:val="24"/>
          <w:szCs w:val="24"/>
          <w:rtl/>
          <w:lang w:bidi="ar-EG"/>
        </w:rPr>
        <w:t xml:space="preserve">، </w:t>
      </w:r>
      <w:r w:rsidR="004048E0" w:rsidRPr="00C04B1F">
        <w:rPr>
          <w:rFonts w:ascii="Traditional Arabic" w:hAnsi="Traditional Arabic" w:cs="Traditional Arabic" w:hint="cs"/>
          <w:spacing w:val="-6"/>
          <w:sz w:val="24"/>
          <w:szCs w:val="24"/>
          <w:rtl/>
        </w:rPr>
        <w:t>وأوصت الدراسة بضرورة إجراء دراسات إضافية تربط القيادة التحويلية بالإبداع التنظيمي والولاء المؤسسي، إلى جانب تكثيف برامج التوعية المجتمعية التي يقودها قادة تحويليون، بما يسهم في ترسيخ دور المؤسسات الصحية كجهات فاعلة في التنمية المجتمعية</w:t>
      </w:r>
      <w:r w:rsidR="004048E0" w:rsidRPr="00C04B1F">
        <w:rPr>
          <w:rFonts w:ascii="Traditional Arabic" w:hAnsi="Traditional Arabic" w:cs="Traditional Arabic" w:hint="cs"/>
          <w:spacing w:val="-6"/>
          <w:sz w:val="24"/>
          <w:szCs w:val="24"/>
          <w:lang w:bidi="ar-EG"/>
        </w:rPr>
        <w:t>.</w:t>
      </w:r>
    </w:p>
    <w:p w14:paraId="107189EF" w14:textId="65F00445" w:rsidR="00D53999" w:rsidRPr="00C04B1F" w:rsidRDefault="007C06AF" w:rsidP="00C04B1F">
      <w:pPr>
        <w:bidi/>
        <w:spacing w:before="120" w:after="120" w:line="360" w:lineRule="auto"/>
        <w:ind w:firstLine="720"/>
        <w:jc w:val="both"/>
        <w:rPr>
          <w:rFonts w:ascii="Traditional Arabic" w:hAnsi="Traditional Arabic" w:cs="Traditional Arabic"/>
          <w:spacing w:val="-6"/>
          <w:sz w:val="24"/>
          <w:szCs w:val="24"/>
        </w:rPr>
      </w:pPr>
      <w:r w:rsidRPr="00C04B1F">
        <w:rPr>
          <w:rFonts w:ascii="Traditional Arabic" w:hAnsi="Traditional Arabic" w:cs="Traditional Arabic" w:hint="cs"/>
          <w:b/>
          <w:bCs/>
          <w:spacing w:val="-6"/>
          <w:sz w:val="24"/>
          <w:szCs w:val="24"/>
          <w:rtl/>
          <w:lang w:bidi="ar-EG"/>
        </w:rPr>
        <w:t xml:space="preserve">وأيضا </w:t>
      </w:r>
      <w:r w:rsidR="00D53999" w:rsidRPr="00C04B1F">
        <w:rPr>
          <w:rFonts w:ascii="Traditional Arabic" w:hAnsi="Traditional Arabic" w:cs="Traditional Arabic" w:hint="cs"/>
          <w:b/>
          <w:bCs/>
          <w:spacing w:val="-6"/>
          <w:sz w:val="24"/>
          <w:szCs w:val="24"/>
          <w:rtl/>
          <w:lang w:bidi="ar-EG"/>
        </w:rPr>
        <w:t xml:space="preserve">أكدت </w:t>
      </w:r>
      <w:r w:rsidR="00D53999" w:rsidRPr="00C04B1F">
        <w:rPr>
          <w:rFonts w:ascii="Traditional Arabic" w:hAnsi="Traditional Arabic" w:cs="Traditional Arabic" w:hint="cs"/>
          <w:b/>
          <w:bCs/>
          <w:spacing w:val="-6"/>
          <w:sz w:val="24"/>
          <w:szCs w:val="24"/>
          <w:rtl/>
        </w:rPr>
        <w:t>دراسة طلبه النجار</w:t>
      </w:r>
      <w:r w:rsidR="00D53999" w:rsidRPr="00C04B1F">
        <w:rPr>
          <w:rFonts w:ascii="Traditional Arabic" w:hAnsi="Traditional Arabic" w:cs="Traditional Arabic" w:hint="cs"/>
          <w:b/>
          <w:bCs/>
          <w:spacing w:val="-6"/>
          <w:sz w:val="24"/>
          <w:szCs w:val="24"/>
          <w:lang w:bidi="ar-EG"/>
        </w:rPr>
        <w:t xml:space="preserve"> (2023</w:t>
      </w:r>
      <w:r w:rsidR="00575FAD" w:rsidRPr="00C04B1F">
        <w:rPr>
          <w:rFonts w:ascii="Traditional Arabic" w:hAnsi="Traditional Arabic" w:cs="Traditional Arabic" w:hint="cs"/>
          <w:b/>
          <w:bCs/>
          <w:spacing w:val="-6"/>
          <w:sz w:val="24"/>
          <w:szCs w:val="24"/>
          <w:lang w:bidi="ar-EG"/>
        </w:rPr>
        <w:t>)</w:t>
      </w:r>
      <w:r w:rsidR="00D53999" w:rsidRPr="00C04B1F">
        <w:rPr>
          <w:rFonts w:ascii="Traditional Arabic" w:hAnsi="Traditional Arabic" w:cs="Traditional Arabic" w:hint="cs"/>
          <w:b/>
          <w:bCs/>
          <w:spacing w:val="-6"/>
          <w:sz w:val="24"/>
          <w:szCs w:val="24"/>
          <w:lang w:bidi="ar-EG"/>
        </w:rPr>
        <w:t xml:space="preserve"> </w:t>
      </w:r>
      <w:r w:rsidR="00D53999" w:rsidRPr="00C04B1F">
        <w:rPr>
          <w:rFonts w:ascii="Traditional Arabic" w:hAnsi="Traditional Arabic" w:cs="Traditional Arabic" w:hint="cs"/>
          <w:spacing w:val="-6"/>
          <w:sz w:val="24"/>
          <w:szCs w:val="24"/>
          <w:rtl/>
        </w:rPr>
        <w:t>أن القيادة التحويلية الخضراء تلعب دورًا وسيطًا في تعزيز الاستدامة التنظيمية، وذلك من خلال تطبيقها في مستشفيات وزارة الصحة بمنطقة الحدود الشمالية في المملكة العربية السعودية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تم جمع البيانات من خلال عينة مكونة من (274) موظفًا، باستخدام أدوات قياس معيارية لممارسات القيادة التحويلية الخضراء، وإدارة الموارد البشرية الخضراء، ومؤشرات الاستدامة التنظيمية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أظهرت النتائج أن </w:t>
      </w:r>
      <w:r w:rsidR="00D53999" w:rsidRPr="00C04B1F">
        <w:rPr>
          <w:rFonts w:ascii="Traditional Arabic" w:hAnsi="Traditional Arabic" w:cs="Traditional Arabic" w:hint="cs"/>
          <w:spacing w:val="-6"/>
          <w:sz w:val="24"/>
          <w:szCs w:val="24"/>
          <w:rtl/>
        </w:rPr>
        <w:lastRenderedPageBreak/>
        <w:t>القيادة التحويلية الخضراء عززت تأثير إدارة الموارد البشرية الخضراء على الاستدامة، من خلال التوسع في التخطيط الاستراتيجي الأخضر، وتطوير الثقافة المؤسسية البيئية، وتحفيز العاملين نحو تبني ممارسات صديقة للبيئة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وأوصت الدراسة بدمج القيادة التحويلية مع ممارسات الإدارة الخضراء، وتكثيف برامج التوعية والتدريب البيئي داخل المؤسسات الصحية، بما يحقق أهداف التنمية المستدامة في القطاع الصحي</w:t>
      </w:r>
      <w:r w:rsidR="00D53999" w:rsidRPr="00C04B1F">
        <w:rPr>
          <w:rFonts w:ascii="Traditional Arabic" w:hAnsi="Traditional Arabic" w:cs="Traditional Arabic" w:hint="cs"/>
          <w:spacing w:val="-6"/>
          <w:sz w:val="24"/>
          <w:szCs w:val="24"/>
          <w:lang w:bidi="ar-EG"/>
        </w:rPr>
        <w:t>.</w:t>
      </w:r>
    </w:p>
    <w:p w14:paraId="17C99638" w14:textId="0E404A46" w:rsidR="007C06AF" w:rsidRPr="00C04B1F" w:rsidRDefault="00E55C3F"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rPr>
        <w:t xml:space="preserve">كما </w:t>
      </w:r>
      <w:r w:rsidR="007C06AF" w:rsidRPr="00C04B1F">
        <w:rPr>
          <w:rFonts w:ascii="Traditional Arabic" w:hAnsi="Traditional Arabic" w:cs="Traditional Arabic" w:hint="cs"/>
          <w:b/>
          <w:bCs/>
          <w:spacing w:val="-6"/>
          <w:sz w:val="24"/>
          <w:szCs w:val="24"/>
          <w:rtl/>
        </w:rPr>
        <w:t>هدفت دراسة عامر وأبوزيد والدمياطي (2023) إلى تحليل العلاقة بين القيادة التحويلية وعدالة التعاملات والسلوك الابتكاري داخل القطاع الصحي الحكومي بمحافظة الشرقية</w:t>
      </w:r>
      <w:r w:rsidR="007C06AF" w:rsidRPr="00C04B1F">
        <w:rPr>
          <w:rFonts w:ascii="Traditional Arabic" w:hAnsi="Traditional Arabic" w:cs="Traditional Arabic" w:hint="cs"/>
          <w:spacing w:val="-6"/>
          <w:sz w:val="24"/>
          <w:szCs w:val="24"/>
          <w:rtl/>
        </w:rPr>
        <w:t>، وذلك من خلال بناء نموذج نظري يربط بين أبعاد القيادة التحويلية والإبداع التنظيمي في بيئة العمل الصحية</w:t>
      </w:r>
      <w:r w:rsidR="00575FAD" w:rsidRPr="00C04B1F">
        <w:rPr>
          <w:rFonts w:ascii="Traditional Arabic" w:hAnsi="Traditional Arabic" w:cs="Traditional Arabic" w:hint="cs"/>
          <w:spacing w:val="-6"/>
          <w:sz w:val="24"/>
          <w:szCs w:val="24"/>
          <w:rtl/>
          <w:lang w:bidi="ar-EG"/>
        </w:rPr>
        <w:t>،</w:t>
      </w:r>
      <w:r w:rsidR="007C06AF" w:rsidRPr="00C04B1F">
        <w:rPr>
          <w:rFonts w:ascii="Traditional Arabic" w:hAnsi="Traditional Arabic" w:cs="Traditional Arabic" w:hint="cs"/>
          <w:spacing w:val="-6"/>
          <w:sz w:val="24"/>
          <w:szCs w:val="24"/>
          <w:rtl/>
        </w:rPr>
        <w:t xml:space="preserve"> وقد جاءت أهمية الدراسة من الحاجة إلى أنماط قيادية تدعم الابتكار وتحقق العدالة التنظيمية في ظل التحديات التشغيلية التي تواجه المؤسسات الصحي</w:t>
      </w:r>
      <w:r w:rsidR="00575FAD" w:rsidRPr="00C04B1F">
        <w:rPr>
          <w:rFonts w:ascii="Traditional Arabic" w:hAnsi="Traditional Arabic" w:cs="Traditional Arabic" w:hint="cs"/>
          <w:spacing w:val="-6"/>
          <w:sz w:val="24"/>
          <w:szCs w:val="24"/>
          <w:rtl/>
        </w:rPr>
        <w:t>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اعتمد الباحثون على المنهج الكمي، حيث تم تصميم استبانة معيارية موجهة للعاملين في المؤسسات الصحية، شملت قياس أربعة أبعاد للقيادة التحويلية (الاعتبار الفردي، التحفيز الإلهامي، الاستثارة الفكرية، التأثير المثالي)، إلى جانب مؤشرات السلوك الابتكاري مثل المبادرة، التفكير الإبداعي، وتقديم الحلول الجديدة، بالإضافة إلى مؤشرات العدالة التنظيمية في التعاملات الإدارية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تم تطبيق الدراسة على عينة من العاملين في المستشفيات الحكومية بمحافظة الشرقية، شملت فئات طبية وإدارية وتمريضية، بهدف قياس مدى تأثير القيادة التحويلية على البيئة الإبداعية والعدالة في التعاملات داخل المؤسسة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أظهرت النتائج وجود علاقة إيجابية ذات دلالة إحصائية بين جميع أبعاد القيادة التحويلية ومستوى السلوك الابتكاري لدى العاملين، مما يعكس دور القيادة في تعزيز بيئة داعمة للإبداع، وتحقيق العدالة التنظيمية</w:t>
      </w:r>
      <w:r w:rsidR="00575FAD" w:rsidRPr="00C04B1F">
        <w:rPr>
          <w:rFonts w:ascii="Traditional Arabic" w:hAnsi="Traditional Arabic" w:cs="Traditional Arabic" w:hint="cs"/>
          <w:spacing w:val="-6"/>
          <w:sz w:val="24"/>
          <w:szCs w:val="24"/>
          <w:rtl/>
        </w:rPr>
        <w:t>،</w:t>
      </w:r>
      <w:r w:rsidR="007C06AF" w:rsidRPr="00C04B1F">
        <w:rPr>
          <w:rFonts w:ascii="Traditional Arabic" w:hAnsi="Traditional Arabic" w:cs="Traditional Arabic" w:hint="cs"/>
          <w:spacing w:val="-6"/>
          <w:sz w:val="24"/>
          <w:szCs w:val="24"/>
          <w:rtl/>
        </w:rPr>
        <w:t xml:space="preserve"> وقد تبين أن </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الاعتبار الفردي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و</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التحفيز الإلهامي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كانا الأكثر تأثيرًا في تحفيز العاملين نحو تقديم أفكار جديدة والانخراط في المبادرات التطويرية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rPr>
        <w:t>وأوصت الدراسة بضرورة تعزيز الاعتبار الفردي والتحفيز الإلهامي داخل المؤسسات الصحية، وتطوير برامج قيادية تركز على دعم الابتكار، وتحقيق العدالة التنظيمية، بما يسهم في بناء بيئة عمل محفزة ومستدامة</w:t>
      </w:r>
      <w:r w:rsidR="007C06AF" w:rsidRPr="00C04B1F">
        <w:rPr>
          <w:rFonts w:ascii="Traditional Arabic" w:hAnsi="Traditional Arabic" w:cs="Traditional Arabic" w:hint="cs"/>
          <w:spacing w:val="-6"/>
          <w:sz w:val="24"/>
          <w:szCs w:val="24"/>
          <w:lang w:bidi="ar-EG"/>
        </w:rPr>
        <w:t>.</w:t>
      </w:r>
    </w:p>
    <w:p w14:paraId="30CC3B31" w14:textId="63215895" w:rsidR="00E55C3F" w:rsidRPr="00BB230D" w:rsidRDefault="00E55C3F" w:rsidP="00BB230D">
      <w:pPr>
        <w:bidi/>
        <w:spacing w:before="120" w:after="12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b/>
          <w:bCs/>
          <w:spacing w:val="-6"/>
          <w:sz w:val="24"/>
          <w:szCs w:val="24"/>
          <w:rtl/>
        </w:rPr>
        <w:t>وهدفت دراسة أحمد محمود أحمد</w:t>
      </w:r>
      <w:r w:rsidRPr="00BB230D">
        <w:rPr>
          <w:rFonts w:ascii="Traditional Arabic" w:hAnsi="Traditional Arabic" w:cs="Traditional Arabic" w:hint="cs"/>
          <w:b/>
          <w:bCs/>
          <w:spacing w:val="-6"/>
          <w:sz w:val="24"/>
          <w:szCs w:val="24"/>
        </w:rPr>
        <w:t xml:space="preserve"> (2024):</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إلى تحديد تأثير المرونة الشخصية كمتغير وسيط في العلاقة بين القيادة التحويلية والارتباك الوظيفي لدى العاملين في قطاع الرعاية الصحية. اعتمد الباحث على المنهج الكمي الوصفي، وتم جمع البيانات من خلال عينة مكونة من (297) موظفًا يعملون في مؤسسات صحية متنوعة</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استخدمت الدراسة ثلاث أدوات قياس معيارية</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استبيان القيادة متعددة العوامل</w:t>
      </w:r>
      <w:r w:rsidRPr="00BB230D">
        <w:rPr>
          <w:rFonts w:ascii="Traditional Arabic" w:hAnsi="Traditional Arabic" w:cs="Traditional Arabic" w:hint="cs"/>
          <w:spacing w:val="-6"/>
          <w:sz w:val="24"/>
          <w:szCs w:val="24"/>
        </w:rPr>
        <w:t xml:space="preserve"> (MLQ) </w:t>
      </w:r>
      <w:r w:rsidRPr="00BB230D">
        <w:rPr>
          <w:rFonts w:ascii="Traditional Arabic" w:hAnsi="Traditional Arabic" w:cs="Traditional Arabic" w:hint="cs"/>
          <w:spacing w:val="-6"/>
          <w:sz w:val="24"/>
          <w:szCs w:val="24"/>
          <w:rtl/>
        </w:rPr>
        <w:t>لقياس القيادة التحويلية، ومقياس المرونة الشخصية، بالإضافة إلى مقياس الارتباك الوظيفي</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والمرونة الشخصية، مما يشير إلى أن القادة الذين يتبعون أسلوب القيادة التحويلية يعززون قدرة الموظفين على التكيف والتعامل مع الضغوط</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كشفت النتائج عن وجود علاقة ذات تأثير معنوي بين المرونة الشخصية والارتباك الوظيفي، حيث تساهم المرونة في تقليل مستويات الارتباك لدى الموظفين</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وأوصت الدراسة بضرورة تدريب القيادات الصحية على تبني أساليب القيادة التحويلية، وتعزيز برامج بناء المرونة النفسية للحد من الارتباك وتحسين جودة الأداء الوظيفي</w:t>
      </w:r>
      <w:r w:rsidRPr="00BB230D">
        <w:rPr>
          <w:rFonts w:ascii="Traditional Arabic" w:hAnsi="Traditional Arabic" w:cs="Traditional Arabic" w:hint="cs"/>
          <w:spacing w:val="-6"/>
          <w:sz w:val="24"/>
          <w:szCs w:val="24"/>
        </w:rPr>
        <w:t>.</w:t>
      </w:r>
    </w:p>
    <w:p w14:paraId="6DDC2A48" w14:textId="396B758E" w:rsidR="00244FC7"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 xml:space="preserve">كما </w:t>
      </w:r>
      <w:r w:rsidR="00244FC7" w:rsidRPr="00BB230D">
        <w:rPr>
          <w:rFonts w:ascii="Traditional Arabic" w:hAnsi="Traditional Arabic" w:cs="Traditional Arabic" w:hint="cs"/>
          <w:b/>
          <w:bCs/>
          <w:spacing w:val="-6"/>
          <w:sz w:val="24"/>
          <w:szCs w:val="24"/>
          <w:rtl/>
        </w:rPr>
        <w:t>هدفت دراسة البركاني (2025) إلى تحليل أثر القيادة التحويلية على فاعلية اتخاذ القرارات الإدارية داخل المستشفى العام</w:t>
      </w:r>
      <w:r w:rsidR="00244FC7" w:rsidRPr="00BB230D">
        <w:rPr>
          <w:rFonts w:ascii="Traditional Arabic" w:hAnsi="Traditional Arabic" w:cs="Traditional Arabic" w:hint="cs"/>
          <w:spacing w:val="-6"/>
          <w:sz w:val="24"/>
          <w:szCs w:val="24"/>
          <w:rtl/>
        </w:rPr>
        <w:t>، باعتبارها من العوامل الحاسمة في تحسين الأداء المؤسسي وتعزيز جودة الخدمات الصحية</w:t>
      </w:r>
      <w:r w:rsidR="00DE29E5"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وقد ركزت الدراسة على قياس العلاقة بين أبعاد القيادة التحويلية ومستوى فاعلية القرار الإداري، في سياق بيئة العمل الصحية</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 xml:space="preserve">اعتمد الباحث على المنهج الوصفي التحليلي، حيث تم تصميم استبانة معيارية لقياس أربعة </w:t>
      </w:r>
      <w:r w:rsidR="00244FC7" w:rsidRPr="00BB230D">
        <w:rPr>
          <w:rFonts w:ascii="Traditional Arabic" w:hAnsi="Traditional Arabic" w:cs="Traditional Arabic" w:hint="cs"/>
          <w:spacing w:val="-6"/>
          <w:sz w:val="24"/>
          <w:szCs w:val="24"/>
          <w:rtl/>
        </w:rPr>
        <w:lastRenderedPageBreak/>
        <w:t>أبعاد رئيسية للقيادة التحويلية: التأثير المثالي، التحفيز الإلهامي، الاعتبار الفردي، والاستثارة الفكرية، إلى جانب مؤشرات فاعلية اتخاذ القرار مثل السرعة، الدقة، والمشاركة الجماعية. وقد تم تطبيق الأداة على عينة مكونة من 152 موظفًا من مختلف الأقسام الإدارية والطبية داخل المستشفى العام</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استخدمت الدراسة أدوات تحليل إحصائي مثل معامل الارتباط وتحليل التباين، لتحديد مدى تأثير كل بعد من أبعاد القيادة التحويلية على فاعلية القرار، مع اختبار الفروق حسب النوع والمستوى التعليمي</w:t>
      </w:r>
      <w:r w:rsidR="00DE29E5" w:rsidRPr="00BB230D">
        <w:rPr>
          <w:rFonts w:ascii="Traditional Arabic" w:hAnsi="Traditional Arabic" w:cs="Traditional Arabic" w:hint="cs"/>
          <w:spacing w:val="-6"/>
          <w:sz w:val="24"/>
          <w:szCs w:val="24"/>
          <w:rtl/>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أظهرت النتائج أن جميع أبعاد القيادة التحويلية تؤثر بشكل إيجابي على فاعلية اتخاذ القرار، دون وجود فروق دالة إحصائيًا تعزى إلى النوع أو المؤهل العلمي، مما يدل على أن أثر القيادة التحويلية يتجاوز الخصائص الفردية، ويعتمد على الممارسات القيادية الفعلية داخل المؤسسة</w:t>
      </w:r>
      <w:r w:rsidR="00273E39"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كما تبين أن </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الاستثارة الفكرية</w:t>
      </w:r>
      <w:r w:rsidR="00244FC7" w:rsidRPr="00BB230D">
        <w:rPr>
          <w:rFonts w:ascii="Traditional Arabic" w:hAnsi="Traditional Arabic" w:cs="Traditional Arabic" w:hint="cs"/>
          <w:spacing w:val="-6"/>
          <w:sz w:val="24"/>
          <w:szCs w:val="24"/>
          <w:lang w:bidi="ar-EG"/>
        </w:rPr>
        <w:t xml:space="preserve">" </w:t>
      </w:r>
      <w:r w:rsidR="00244FC7" w:rsidRPr="00BB230D">
        <w:rPr>
          <w:rFonts w:ascii="Traditional Arabic" w:hAnsi="Traditional Arabic" w:cs="Traditional Arabic" w:hint="cs"/>
          <w:spacing w:val="-6"/>
          <w:sz w:val="24"/>
          <w:szCs w:val="24"/>
          <w:rtl/>
        </w:rPr>
        <w:t>كانت من أكثر الأبعاد تأثيرًا في تعزيز التفكير النقدي والمشاركة الجماعية في صنع القرار</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وأوصت الدراسة بضرورة تعزيز الاستثارة الفكرية داخل بيئة المستشفى، وتشجيع فرق العمل على المشاركة الفعالة في عمليات اتخاذ القرار، إلى جانب تنظيم برامج تدريبية مستمرة لتطوير مهارات القادة في مجالات التحليل، التمكين، والتواصل الإداري</w:t>
      </w:r>
      <w:r w:rsidR="00244FC7" w:rsidRPr="00BB230D">
        <w:rPr>
          <w:rFonts w:ascii="Traditional Arabic" w:hAnsi="Traditional Arabic" w:cs="Traditional Arabic" w:hint="cs"/>
          <w:spacing w:val="-6"/>
          <w:sz w:val="24"/>
          <w:szCs w:val="24"/>
          <w:lang w:bidi="ar-EG"/>
        </w:rPr>
        <w:t>.</w:t>
      </w:r>
    </w:p>
    <w:p w14:paraId="75862E0A" w14:textId="65EBB82B" w:rsidR="00A37A4B"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و</w:t>
      </w:r>
      <w:r w:rsidR="00A37A4B" w:rsidRPr="00BB230D">
        <w:rPr>
          <w:rFonts w:ascii="Traditional Arabic" w:hAnsi="Traditional Arabic" w:cs="Traditional Arabic" w:hint="cs"/>
          <w:b/>
          <w:bCs/>
          <w:spacing w:val="-6"/>
          <w:sz w:val="24"/>
          <w:szCs w:val="24"/>
          <w:rtl/>
        </w:rPr>
        <w:t>أكدت دراسة بلاك بيرد (2025) أن القيادة التحويلية لم تعد خيارًا تنظيميًا</w:t>
      </w:r>
      <w:r w:rsidR="00A37A4B" w:rsidRPr="00BB230D">
        <w:rPr>
          <w:rFonts w:ascii="Traditional Arabic" w:hAnsi="Traditional Arabic" w:cs="Traditional Arabic" w:hint="cs"/>
          <w:spacing w:val="-6"/>
          <w:sz w:val="24"/>
          <w:szCs w:val="24"/>
          <w:rtl/>
        </w:rPr>
        <w:t>، بل أصبحت ضرورة استراتيجية في مؤسسات الرعاية الصحية في منطقة الشرق الأوسط، نظرًا لدورها المحوري في تحسين الأداء المؤسسي وتعزيز فعالية فرق العمل متعددة التخصصات</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هدفت الدراسة إلى تقييم أثر برنامج تدريبي شامل على تطوير المهارات القيادية للعاملين في القطاع الصحي</w:t>
      </w:r>
      <w:r w:rsidR="00DE29E5" w:rsidRPr="00BB230D">
        <w:rPr>
          <w:rFonts w:ascii="Traditional Arabic" w:hAnsi="Traditional Arabic" w:cs="Traditional Arabic" w:hint="cs"/>
          <w:spacing w:val="-6"/>
          <w:sz w:val="24"/>
          <w:szCs w:val="24"/>
          <w:rtl/>
        </w:rPr>
        <w:t xml:space="preserve"> </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اعتمدت الدراسة على منهج تطبيقي تجريبي، حيث تم تنفيذ البرنامج التدريبي عبر عدة محاور تخصصية، شملت الجودة الصحية، التمريض، والتخطيط الاستراتيجي، وتم تصميم المحتوى التدريبي وفقًا لنموذج القيادة التحويلية، مع التركيز على بناء القدرات في مجالات اتخاذ القرار، إدارة الأزمات، والتحفيز الجماعي</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rPr>
        <w:t>شملت العينة مجموعة من العاملين في المؤسسات الصحية، من مستويات قيادية مختلفة، بما في ذلك مدراء إدارات، مشرفين تمريض، ومنسقي الجودة</w:t>
      </w:r>
      <w:r w:rsidR="00273E39"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استخدمت الدراسة أدوات تقييم متعددة، مثل استبيانات قبل وبعد التدريب، ومقاييس الأداء الوظيفي، وتحليل ملاحظات المشرفين</w:t>
      </w:r>
      <w:r w:rsidR="00273E39" w:rsidRPr="00BB230D">
        <w:rPr>
          <w:rFonts w:ascii="Traditional Arabic" w:hAnsi="Traditional Arabic" w:cs="Traditional Arabic" w:hint="cs"/>
          <w:spacing w:val="-6"/>
          <w:sz w:val="24"/>
          <w:szCs w:val="24"/>
          <w:rtl/>
          <w:lang w:bidi="ar-EG"/>
        </w:rPr>
        <w:t>،</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أظهرت نتائج التدريب تحسنًا ملموسًا في أداء الفرق الصحية بعد تطبيق مفاهيم القيادة التحويلية، خاصة في مجالات اتخاذ القرار السريع، إدارة المواقف الحرجة، وتحفيز الفرق نحو تحقيق الأهداف المؤسسية</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لوحظ ارتفاع في مستوى التنسيق بين التخصصات، وزيادة في معدلات الرضا الوظيفي والانتماء المؤسسي</w:t>
      </w:r>
      <w:r w:rsidR="00A37A4B" w:rsidRPr="00BB230D">
        <w:rPr>
          <w:rFonts w:ascii="Traditional Arabic" w:hAnsi="Traditional Arabic" w:cs="Traditional Arabic" w:hint="cs"/>
          <w:spacing w:val="-6"/>
          <w:sz w:val="24"/>
          <w:szCs w:val="24"/>
          <w:lang w:bidi="ar-EG"/>
        </w:rPr>
        <w:t>.</w:t>
      </w:r>
      <w:r w:rsidR="00A37A4B" w:rsidRPr="00BB230D">
        <w:rPr>
          <w:rFonts w:ascii="Traditional Arabic" w:hAnsi="Traditional Arabic" w:cs="Traditional Arabic" w:hint="cs"/>
          <w:spacing w:val="-6"/>
          <w:sz w:val="24"/>
          <w:szCs w:val="24"/>
          <w:rtl/>
        </w:rPr>
        <w:t>وأوصت الدراسة بضرورة دمج القيادة التحويلية في برامج التطوير المؤسسي، وتوسيع نطاق التدريب ليشمل جميع مستويات القيادة، من الصفوف الأمامية إلى الإدارة العليا</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دعت إلى اعتماد نماذج تقييم مستدامة لقياس أثر التدريب على الأداء المؤسسي، وتطوير محتوى تدريبي يتماشى مع السياقات المحلية والإقليمية</w:t>
      </w:r>
      <w:r w:rsidR="00A37A4B" w:rsidRPr="00BB230D">
        <w:rPr>
          <w:rFonts w:ascii="Traditional Arabic" w:hAnsi="Traditional Arabic" w:cs="Traditional Arabic" w:hint="cs"/>
          <w:spacing w:val="-6"/>
          <w:sz w:val="24"/>
          <w:szCs w:val="24"/>
          <w:lang w:bidi="ar-EG"/>
        </w:rPr>
        <w:t>.</w:t>
      </w:r>
    </w:p>
    <w:p w14:paraId="27DE697F" w14:textId="7D2487B9" w:rsidR="00E523E4" w:rsidRPr="00BB230D" w:rsidRDefault="00A37A4B" w:rsidP="00BB230D">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b/>
          <w:bCs/>
          <w:spacing w:val="-6"/>
          <w:sz w:val="24"/>
          <w:szCs w:val="24"/>
          <w:rtl/>
        </w:rPr>
        <w:t>و</w:t>
      </w:r>
      <w:r w:rsidR="00E523E4" w:rsidRPr="00BB230D">
        <w:rPr>
          <w:rFonts w:ascii="Traditional Arabic" w:hAnsi="Traditional Arabic" w:cs="Traditional Arabic" w:hint="cs"/>
          <w:b/>
          <w:bCs/>
          <w:spacing w:val="-6"/>
          <w:sz w:val="24"/>
          <w:szCs w:val="24"/>
          <w:rtl/>
        </w:rPr>
        <w:t>توصلت دراسة أماني محمد وآخرين (2025)</w:t>
      </w:r>
      <w:r w:rsidR="00E523E4" w:rsidRPr="00BB230D">
        <w:rPr>
          <w:rFonts w:ascii="Traditional Arabic" w:hAnsi="Traditional Arabic" w:cs="Traditional Arabic" w:hint="cs"/>
          <w:spacing w:val="-6"/>
          <w:sz w:val="24"/>
          <w:szCs w:val="24"/>
          <w:rtl/>
        </w:rPr>
        <w:t xml:space="preserve"> إلى أن القيادة التحويلية تُعد من أبرز الأنماط القيادية التي تسهم في تحسين بيئة العمل داخل المؤسسات الصحية، لا سيما في مستشفيات محافظة الشرقية. وقد هدفت الدراسة إلى تحليل العلاقة بين أبعاد القيادة التحويلية والعدالة التنظيمية، ومدى انعكاسها على السلوكيات الإيجابية للعاملين في القطاع الصحي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اعتمد الباحثون على منهج وصفي تحليلي، حيث تم تصميم استبانة معيارية لقياس أثر القيادة التحويلية على بيئة العمل، وشملت محاور متعددة مثل التأثير المثالي، التحفيز الإلهامي، الاستثارة الفكرية، والاعتبارات الفردية. وقد تم توزيع الاستبانة على عينة من العاملين في المستشفيات العامة والخاصة بمحافظة الشرقية، شملت فئات إدارية وطبية وتمريضية</w:t>
      </w:r>
      <w:r w:rsidR="00DE29E5" w:rsidRPr="00BB230D">
        <w:rPr>
          <w:rFonts w:ascii="Traditional Arabic" w:hAnsi="Traditional Arabic" w:cs="Traditional Arabic" w:hint="cs"/>
          <w:spacing w:val="-6"/>
          <w:sz w:val="24"/>
          <w:szCs w:val="24"/>
          <w:rtl/>
          <w:lang w:bidi="ar-EG"/>
        </w:rPr>
        <w:t xml:space="preserve">، </w:t>
      </w:r>
      <w:r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 xml:space="preserve">أظهرت النتائج أن بعدي </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التأثير المثالي</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و</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الاستثارة الفكرية</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 xml:space="preserve">كانا الأكثر تأثيرًا في تحسين العدالة التنظيمية، وتحفيز العاملين نحو التفاعل الإيجابي، والمشاركة الفعالة في صنع القرار. كما </w:t>
      </w:r>
      <w:r w:rsidR="00E523E4" w:rsidRPr="00BB230D">
        <w:rPr>
          <w:rFonts w:ascii="Traditional Arabic" w:hAnsi="Traditional Arabic" w:cs="Traditional Arabic" w:hint="cs"/>
          <w:spacing w:val="-6"/>
          <w:sz w:val="24"/>
          <w:szCs w:val="24"/>
          <w:rtl/>
        </w:rPr>
        <w:lastRenderedPageBreak/>
        <w:t>كشفت الدراسة عن وجود علاقة إيجابية بين القيادة التحويلية وبيئة العمل الداعمة، مما يعزز الاستقرار الوظيفي ويقلل من معدلات الاحتراق المهني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rPr>
        <w:t>وأوصت الدراسة بضرورة تطوير برامج قيادية تستند إلى مبادئ العدالة التنظيمية، والتمكين الإداري، والتحفيز المستدام، بما يسهم في بناء بيئة عمل صحية ومستقرة داخل المستشفيات</w:t>
      </w:r>
      <w:r w:rsidR="00DE29E5" w:rsidRPr="00BB230D">
        <w:rPr>
          <w:rFonts w:ascii="Traditional Arabic" w:hAnsi="Traditional Arabic" w:cs="Traditional Arabic" w:hint="cs"/>
          <w:spacing w:val="-6"/>
          <w:sz w:val="24"/>
          <w:szCs w:val="24"/>
          <w:rtl/>
        </w:rPr>
        <w:t>،</w:t>
      </w:r>
      <w:r w:rsidR="00E523E4" w:rsidRPr="00BB230D">
        <w:rPr>
          <w:rFonts w:ascii="Traditional Arabic" w:hAnsi="Traditional Arabic" w:cs="Traditional Arabic" w:hint="cs"/>
          <w:spacing w:val="-6"/>
          <w:sz w:val="24"/>
          <w:szCs w:val="24"/>
          <w:rtl/>
        </w:rPr>
        <w:t xml:space="preserve"> كما دعت إلى إدماج مفاهيم القيادة التحويلية في برامج التدريب الإداري، وتفعيل دور القادة في تعزيز ثقافة الإنصاف والتقدير المهني</w:t>
      </w:r>
      <w:r w:rsidR="00E523E4" w:rsidRPr="00BB230D">
        <w:rPr>
          <w:rFonts w:ascii="Traditional Arabic" w:hAnsi="Traditional Arabic" w:cs="Traditional Arabic" w:hint="cs"/>
          <w:spacing w:val="-6"/>
          <w:sz w:val="24"/>
          <w:szCs w:val="24"/>
          <w:lang w:bidi="ar-EG"/>
        </w:rPr>
        <w:t>.</w:t>
      </w:r>
    </w:p>
    <w:p w14:paraId="6FF8BF8A" w14:textId="27B1C38D" w:rsidR="00DE29E5" w:rsidRPr="00BB230D" w:rsidRDefault="00DE29E5" w:rsidP="00DE29E5">
      <w:pPr>
        <w:bidi/>
        <w:spacing w:before="120" w:after="120" w:line="240" w:lineRule="auto"/>
        <w:ind w:firstLine="720"/>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 xml:space="preserve">جدول ( </w:t>
      </w:r>
      <w:r w:rsidR="00273E39" w:rsidRPr="00BB230D">
        <w:rPr>
          <w:rFonts w:ascii="Traditional Arabic" w:hAnsi="Traditional Arabic" w:cs="Traditional Arabic" w:hint="cs"/>
          <w:b/>
          <w:bCs/>
          <w:spacing w:val="-6"/>
          <w:sz w:val="24"/>
          <w:szCs w:val="24"/>
          <w:rtl/>
          <w:lang w:bidi="ar-EG"/>
        </w:rPr>
        <w:t>8</w:t>
      </w:r>
      <w:r w:rsidRPr="00BB230D">
        <w:rPr>
          <w:rFonts w:ascii="Traditional Arabic" w:hAnsi="Traditional Arabic" w:cs="Traditional Arabic" w:hint="cs"/>
          <w:b/>
          <w:bCs/>
          <w:spacing w:val="-6"/>
          <w:sz w:val="24"/>
          <w:szCs w:val="24"/>
          <w:rtl/>
          <w:lang w:bidi="ar-EG"/>
        </w:rPr>
        <w:t xml:space="preserve"> ) </w:t>
      </w:r>
      <w:r w:rsidRPr="00BB230D">
        <w:rPr>
          <w:rFonts w:ascii="Traditional Arabic" w:hAnsi="Traditional Arabic" w:cs="Traditional Arabic" w:hint="cs"/>
          <w:b/>
          <w:bCs/>
          <w:spacing w:val="-6"/>
          <w:sz w:val="24"/>
          <w:szCs w:val="24"/>
          <w:rtl/>
        </w:rPr>
        <w:t>الدراسات السابقة حول القيادة التحويلة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2"/>
        <w:gridCol w:w="2063"/>
        <w:gridCol w:w="2062"/>
        <w:gridCol w:w="2083"/>
      </w:tblGrid>
      <w:tr w:rsidR="005C0D19" w:rsidRPr="00BB230D" w14:paraId="7C99A652" w14:textId="77777777" w:rsidTr="004C51B2">
        <w:trPr>
          <w:tblCellSpacing w:w="20" w:type="dxa"/>
        </w:trPr>
        <w:tc>
          <w:tcPr>
            <w:tcW w:w="2074" w:type="dxa"/>
            <w:shd w:val="clear" w:color="auto" w:fill="E5DFEC" w:themeFill="accent4" w:themeFillTint="33"/>
          </w:tcPr>
          <w:p w14:paraId="6D4F4E19" w14:textId="1AD9E2D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bookmarkStart w:id="9" w:name="_Hlk208973890"/>
            <w:r w:rsidRPr="00BB230D">
              <w:rPr>
                <w:rFonts w:ascii="Traditional Arabic" w:hAnsi="Traditional Arabic" w:cs="Traditional Arabic" w:hint="cs"/>
                <w:b/>
                <w:bCs/>
                <w:spacing w:val="-6"/>
                <w:sz w:val="24"/>
                <w:szCs w:val="24"/>
                <w:rtl/>
              </w:rPr>
              <w:t>الدراسة</w:t>
            </w:r>
          </w:p>
        </w:tc>
        <w:tc>
          <w:tcPr>
            <w:tcW w:w="2074" w:type="dxa"/>
            <w:shd w:val="clear" w:color="auto" w:fill="E5DFEC" w:themeFill="accent4" w:themeFillTint="33"/>
          </w:tcPr>
          <w:p w14:paraId="1673F957" w14:textId="2C2B717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الهدف</w:t>
            </w:r>
          </w:p>
        </w:tc>
        <w:tc>
          <w:tcPr>
            <w:tcW w:w="2074" w:type="dxa"/>
            <w:shd w:val="clear" w:color="auto" w:fill="E5DFEC" w:themeFill="accent4" w:themeFillTint="33"/>
          </w:tcPr>
          <w:p w14:paraId="7A313394" w14:textId="59E63004"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النتيجة</w:t>
            </w:r>
          </w:p>
        </w:tc>
        <w:tc>
          <w:tcPr>
            <w:tcW w:w="2074" w:type="dxa"/>
            <w:shd w:val="clear" w:color="auto" w:fill="E5DFEC" w:themeFill="accent4" w:themeFillTint="33"/>
          </w:tcPr>
          <w:p w14:paraId="4C949EB7" w14:textId="0C1EA2A5" w:rsidR="005C0D19" w:rsidRPr="00BB230D" w:rsidRDefault="005C0D19" w:rsidP="005C0D19">
            <w:pPr>
              <w:bidi/>
              <w:spacing w:before="120" w:after="120" w:line="240" w:lineRule="auto"/>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الفرق بين دراستي وبينها</w:t>
            </w:r>
          </w:p>
        </w:tc>
      </w:tr>
      <w:tr w:rsidR="00EC2722" w:rsidRPr="00BB230D" w14:paraId="25C4D8CC" w14:textId="77777777" w:rsidTr="004C51B2">
        <w:trPr>
          <w:tblCellSpacing w:w="20" w:type="dxa"/>
        </w:trPr>
        <w:tc>
          <w:tcPr>
            <w:tcW w:w="2074" w:type="dxa"/>
          </w:tcPr>
          <w:p w14:paraId="0D76C61F" w14:textId="679765B8"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التجاني</w:t>
            </w:r>
            <w:r w:rsidRPr="00BB230D">
              <w:rPr>
                <w:rFonts w:ascii="Traditional Arabic" w:hAnsi="Traditional Arabic" w:cs="Traditional Arabic" w:hint="cs"/>
                <w:b/>
                <w:bCs/>
                <w:spacing w:val="-6"/>
                <w:sz w:val="24"/>
                <w:szCs w:val="24"/>
              </w:rPr>
              <w:t xml:space="preserve"> (2020)</w:t>
            </w:r>
          </w:p>
        </w:tc>
        <w:tc>
          <w:tcPr>
            <w:tcW w:w="2074" w:type="dxa"/>
          </w:tcPr>
          <w:p w14:paraId="209B4218" w14:textId="13D4D082"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معرفة تأثير سلوكيات القيادة التحويلية على الإبداع التنظيمي في جامعة جزائرية</w:t>
            </w:r>
            <w:r w:rsidRPr="00BB230D">
              <w:rPr>
                <w:rFonts w:ascii="Traditional Arabic" w:hAnsi="Traditional Arabic" w:cs="Traditional Arabic" w:hint="cs"/>
                <w:b/>
                <w:bCs/>
                <w:spacing w:val="-6"/>
                <w:sz w:val="24"/>
                <w:szCs w:val="24"/>
              </w:rPr>
              <w:t>.</w:t>
            </w:r>
          </w:p>
        </w:tc>
        <w:tc>
          <w:tcPr>
            <w:tcW w:w="2074" w:type="dxa"/>
          </w:tcPr>
          <w:p w14:paraId="7F435A59" w14:textId="2B8CA3F3"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ممارسة القيادة التحويلية كانت مرتفعة وترتبط إيجابيًا بالإبداع التنظيمي</w:t>
            </w:r>
            <w:r w:rsidRPr="00BB230D">
              <w:rPr>
                <w:rFonts w:ascii="Traditional Arabic" w:hAnsi="Traditional Arabic" w:cs="Traditional Arabic" w:hint="cs"/>
                <w:b/>
                <w:bCs/>
                <w:spacing w:val="-6"/>
                <w:sz w:val="24"/>
                <w:szCs w:val="24"/>
              </w:rPr>
              <w:t>.</w:t>
            </w:r>
          </w:p>
        </w:tc>
        <w:tc>
          <w:tcPr>
            <w:tcW w:w="2074" w:type="dxa"/>
          </w:tcPr>
          <w:p w14:paraId="55EDFB0C" w14:textId="20864A58" w:rsidR="00EC2722" w:rsidRPr="00BB230D" w:rsidRDefault="00EC2722" w:rsidP="00EC2722">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تطبيقية في القطاع الصحي، بينما هذه الدراسة أكاديمية وتركز على الإبداع داخل مؤسسة تعليمية</w:t>
            </w:r>
            <w:r w:rsidRPr="00BB230D">
              <w:rPr>
                <w:rFonts w:ascii="Traditional Arabic" w:hAnsi="Traditional Arabic" w:cs="Traditional Arabic" w:hint="cs"/>
                <w:b/>
                <w:bCs/>
                <w:spacing w:val="-6"/>
                <w:sz w:val="24"/>
                <w:szCs w:val="24"/>
              </w:rPr>
              <w:t>.</w:t>
            </w:r>
          </w:p>
        </w:tc>
      </w:tr>
      <w:tr w:rsidR="00EC2722" w:rsidRPr="00BB230D" w14:paraId="50307148" w14:textId="77777777" w:rsidTr="004C51B2">
        <w:trPr>
          <w:tblCellSpacing w:w="20" w:type="dxa"/>
        </w:trPr>
        <w:tc>
          <w:tcPr>
            <w:tcW w:w="2074" w:type="dxa"/>
          </w:tcPr>
          <w:p w14:paraId="21C9ECE8" w14:textId="3D53B052"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حسين</w:t>
            </w:r>
            <w:r w:rsidRPr="00BB230D">
              <w:rPr>
                <w:rFonts w:ascii="Traditional Arabic" w:hAnsi="Traditional Arabic" w:cs="Traditional Arabic" w:hint="cs"/>
                <w:b/>
                <w:bCs/>
                <w:spacing w:val="-6"/>
                <w:sz w:val="24"/>
                <w:szCs w:val="24"/>
              </w:rPr>
              <w:t xml:space="preserve"> (2020)</w:t>
            </w:r>
          </w:p>
        </w:tc>
        <w:tc>
          <w:tcPr>
            <w:tcW w:w="2074" w:type="dxa"/>
          </w:tcPr>
          <w:p w14:paraId="5A924690" w14:textId="7C149228"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جودة الخدمات الصحية والأداء المؤسسي في المستشفيات الحكومية المصرية</w:t>
            </w:r>
            <w:r w:rsidRPr="00BB230D">
              <w:rPr>
                <w:rFonts w:ascii="Traditional Arabic" w:hAnsi="Traditional Arabic" w:cs="Traditional Arabic" w:hint="cs"/>
                <w:b/>
                <w:bCs/>
                <w:spacing w:val="-6"/>
                <w:sz w:val="24"/>
                <w:szCs w:val="24"/>
              </w:rPr>
              <w:t>.</w:t>
            </w:r>
          </w:p>
        </w:tc>
        <w:tc>
          <w:tcPr>
            <w:tcW w:w="2074" w:type="dxa"/>
          </w:tcPr>
          <w:p w14:paraId="38A9EAB0" w14:textId="464C594F"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الأداء المؤسسي وجودة الخدمات الصحية</w:t>
            </w:r>
            <w:r w:rsidRPr="00BB230D">
              <w:rPr>
                <w:rFonts w:ascii="Traditional Arabic" w:hAnsi="Traditional Arabic" w:cs="Traditional Arabic" w:hint="cs"/>
                <w:b/>
                <w:bCs/>
                <w:spacing w:val="-6"/>
                <w:sz w:val="24"/>
                <w:szCs w:val="24"/>
              </w:rPr>
              <w:t>.</w:t>
            </w:r>
          </w:p>
        </w:tc>
        <w:tc>
          <w:tcPr>
            <w:tcW w:w="2074" w:type="dxa"/>
          </w:tcPr>
          <w:p w14:paraId="699D3CC0" w14:textId="680121C2" w:rsidR="00EC2722" w:rsidRPr="00BB230D" w:rsidRDefault="009B590A" w:rsidP="009B590A">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تدرس القيادة التحويلية كوسيط بين إدارة المخاطر وسلامة المرضى، بينما هذه الدراسة تناولت القيادة كعامل مباشر لتحسين الأداء المؤسسي</w:t>
            </w:r>
            <w:r w:rsidRPr="00BB230D">
              <w:rPr>
                <w:rFonts w:ascii="Traditional Arabic" w:hAnsi="Traditional Arabic" w:cs="Traditional Arabic" w:hint="cs"/>
                <w:b/>
                <w:bCs/>
                <w:spacing w:val="-6"/>
                <w:sz w:val="24"/>
                <w:szCs w:val="24"/>
              </w:rPr>
              <w:t>.</w:t>
            </w:r>
          </w:p>
        </w:tc>
      </w:tr>
      <w:tr w:rsidR="009B590A" w:rsidRPr="00BB230D" w14:paraId="3D6F2ACC" w14:textId="77777777" w:rsidTr="004C51B2">
        <w:trPr>
          <w:tblCellSpacing w:w="20" w:type="dxa"/>
        </w:trPr>
        <w:tc>
          <w:tcPr>
            <w:tcW w:w="2074" w:type="dxa"/>
          </w:tcPr>
          <w:p w14:paraId="78A78879" w14:textId="02892EE4"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رزق الله وطيبي</w:t>
            </w:r>
            <w:r w:rsidRPr="00BB230D">
              <w:rPr>
                <w:rFonts w:ascii="Traditional Arabic" w:hAnsi="Traditional Arabic" w:cs="Traditional Arabic" w:hint="cs"/>
                <w:b/>
                <w:bCs/>
                <w:spacing w:val="-6"/>
                <w:sz w:val="24"/>
                <w:szCs w:val="24"/>
              </w:rPr>
              <w:t xml:space="preserve"> (2021)</w:t>
            </w:r>
          </w:p>
        </w:tc>
        <w:tc>
          <w:tcPr>
            <w:tcW w:w="2074" w:type="dxa"/>
          </w:tcPr>
          <w:p w14:paraId="4E2B8237" w14:textId="700D26FC"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واقع القيادة التحويلية في مستشفى أحمد بن عجيلة بالأغواط</w:t>
            </w:r>
            <w:r w:rsidRPr="00BB230D">
              <w:rPr>
                <w:rFonts w:ascii="Traditional Arabic" w:hAnsi="Traditional Arabic" w:cs="Traditional Arabic" w:hint="cs"/>
                <w:b/>
                <w:bCs/>
                <w:spacing w:val="-6"/>
                <w:sz w:val="24"/>
                <w:szCs w:val="24"/>
              </w:rPr>
              <w:t>.</w:t>
            </w:r>
          </w:p>
        </w:tc>
        <w:tc>
          <w:tcPr>
            <w:tcW w:w="2074" w:type="dxa"/>
          </w:tcPr>
          <w:p w14:paraId="762F6659" w14:textId="22FF8195"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مطبقة بدرجة جيدة، مع تعزيز واضح لبعدي الاستثارة الفكرية والاعتبار الفردي</w:t>
            </w:r>
            <w:r w:rsidRPr="00BB230D">
              <w:rPr>
                <w:rFonts w:ascii="Traditional Arabic" w:hAnsi="Traditional Arabic" w:cs="Traditional Arabic" w:hint="cs"/>
                <w:b/>
                <w:bCs/>
                <w:spacing w:val="-6"/>
                <w:sz w:val="24"/>
                <w:szCs w:val="24"/>
              </w:rPr>
              <w:t>.</w:t>
            </w:r>
          </w:p>
        </w:tc>
        <w:tc>
          <w:tcPr>
            <w:tcW w:w="2074" w:type="dxa"/>
          </w:tcPr>
          <w:p w14:paraId="13765387" w14:textId="6857A477" w:rsidR="009B590A"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قياس درجة التطبيق دون ربطها بنتائج تنظيمية محددة</w:t>
            </w:r>
            <w:r w:rsidRPr="00BB230D">
              <w:rPr>
                <w:rFonts w:ascii="Traditional Arabic" w:hAnsi="Traditional Arabic" w:cs="Traditional Arabic" w:hint="cs"/>
                <w:b/>
                <w:bCs/>
                <w:spacing w:val="-6"/>
                <w:sz w:val="24"/>
                <w:szCs w:val="24"/>
              </w:rPr>
              <w:t>.</w:t>
            </w:r>
          </w:p>
        </w:tc>
      </w:tr>
      <w:tr w:rsidR="000C106B" w:rsidRPr="00BB230D" w14:paraId="347EE61E" w14:textId="77777777" w:rsidTr="004C51B2">
        <w:trPr>
          <w:tblCellSpacing w:w="20" w:type="dxa"/>
        </w:trPr>
        <w:tc>
          <w:tcPr>
            <w:tcW w:w="2074" w:type="dxa"/>
          </w:tcPr>
          <w:p w14:paraId="500E1F2B" w14:textId="3C53727A"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الغامدي وعثمان</w:t>
            </w:r>
            <w:r w:rsidRPr="00BB230D">
              <w:rPr>
                <w:rFonts w:ascii="Traditional Arabic" w:hAnsi="Traditional Arabic" w:cs="Traditional Arabic" w:hint="cs"/>
                <w:b/>
                <w:bCs/>
                <w:spacing w:val="-6"/>
                <w:sz w:val="24"/>
                <w:szCs w:val="24"/>
              </w:rPr>
              <w:t xml:space="preserve"> (2022)</w:t>
            </w:r>
          </w:p>
        </w:tc>
        <w:tc>
          <w:tcPr>
            <w:tcW w:w="2074" w:type="dxa"/>
          </w:tcPr>
          <w:p w14:paraId="48CE895D" w14:textId="406D55A8"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في إدارة الأزمات الصحية بمستشفى الملك عبدالله ببيشة</w:t>
            </w:r>
            <w:r w:rsidRPr="00BB230D">
              <w:rPr>
                <w:rFonts w:ascii="Traditional Arabic" w:hAnsi="Traditional Arabic" w:cs="Traditional Arabic" w:hint="cs"/>
                <w:b/>
                <w:bCs/>
                <w:spacing w:val="-6"/>
                <w:sz w:val="24"/>
                <w:szCs w:val="24"/>
              </w:rPr>
              <w:t>.</w:t>
            </w:r>
          </w:p>
        </w:tc>
        <w:tc>
          <w:tcPr>
            <w:tcW w:w="2074" w:type="dxa"/>
          </w:tcPr>
          <w:p w14:paraId="36789F56" w14:textId="5B84647C"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الاستجابة السريعة والمرنة للأزمات الصحية</w:t>
            </w:r>
            <w:r w:rsidRPr="00BB230D">
              <w:rPr>
                <w:rFonts w:ascii="Traditional Arabic" w:hAnsi="Traditional Arabic" w:cs="Traditional Arabic" w:hint="cs"/>
                <w:b/>
                <w:bCs/>
                <w:spacing w:val="-6"/>
                <w:sz w:val="24"/>
                <w:szCs w:val="24"/>
              </w:rPr>
              <w:t>.</w:t>
            </w:r>
          </w:p>
        </w:tc>
        <w:tc>
          <w:tcPr>
            <w:tcW w:w="2074" w:type="dxa"/>
          </w:tcPr>
          <w:p w14:paraId="4C8564F5" w14:textId="6889A33D" w:rsidR="000C106B"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تربط القيادة التحويلية بإدارة المخاطر وسلامة المرضى، بينما هذه الدراسة ركزت على دور القيادة في مواجهة الأزمات</w:t>
            </w:r>
            <w:r w:rsidRPr="00BB230D">
              <w:rPr>
                <w:rFonts w:ascii="Traditional Arabic" w:hAnsi="Traditional Arabic" w:cs="Traditional Arabic" w:hint="cs"/>
                <w:b/>
                <w:bCs/>
                <w:spacing w:val="-6"/>
                <w:sz w:val="24"/>
                <w:szCs w:val="24"/>
              </w:rPr>
              <w:t>.</w:t>
            </w:r>
          </w:p>
        </w:tc>
      </w:tr>
      <w:tr w:rsidR="00A31F26" w:rsidRPr="00BB230D" w14:paraId="4864D320" w14:textId="77777777" w:rsidTr="004C51B2">
        <w:trPr>
          <w:tblCellSpacing w:w="20" w:type="dxa"/>
        </w:trPr>
        <w:tc>
          <w:tcPr>
            <w:tcW w:w="2074" w:type="dxa"/>
          </w:tcPr>
          <w:p w14:paraId="5C693531" w14:textId="5808A33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طلبه النجار</w:t>
            </w:r>
            <w:r w:rsidRPr="00BB230D">
              <w:rPr>
                <w:rFonts w:ascii="Traditional Arabic" w:hAnsi="Traditional Arabic" w:cs="Traditional Arabic" w:hint="cs"/>
                <w:b/>
                <w:bCs/>
                <w:spacing w:val="-6"/>
                <w:sz w:val="24"/>
                <w:szCs w:val="24"/>
              </w:rPr>
              <w:t xml:space="preserve"> (2023)</w:t>
            </w:r>
          </w:p>
        </w:tc>
        <w:tc>
          <w:tcPr>
            <w:tcW w:w="2074" w:type="dxa"/>
          </w:tcPr>
          <w:p w14:paraId="4B2A708B" w14:textId="63D83BA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 xml:space="preserve">قياس الدور الوسيط للقيادة التحويلية الخضراء في تعزيز </w:t>
            </w:r>
            <w:r w:rsidRPr="00BB230D">
              <w:rPr>
                <w:rFonts w:ascii="Traditional Arabic" w:hAnsi="Traditional Arabic" w:cs="Traditional Arabic" w:hint="cs"/>
                <w:b/>
                <w:bCs/>
                <w:spacing w:val="-6"/>
                <w:sz w:val="24"/>
                <w:szCs w:val="24"/>
                <w:rtl/>
              </w:rPr>
              <w:lastRenderedPageBreak/>
              <w:t>الاستدامة التنظيمية في مستشفيات وزارة الصحة</w:t>
            </w:r>
            <w:r w:rsidRPr="00BB230D">
              <w:rPr>
                <w:rFonts w:ascii="Traditional Arabic" w:hAnsi="Traditional Arabic" w:cs="Traditional Arabic" w:hint="cs"/>
                <w:b/>
                <w:bCs/>
                <w:spacing w:val="-6"/>
                <w:sz w:val="24"/>
                <w:szCs w:val="24"/>
              </w:rPr>
              <w:t>.</w:t>
            </w:r>
          </w:p>
        </w:tc>
        <w:tc>
          <w:tcPr>
            <w:tcW w:w="2074" w:type="dxa"/>
          </w:tcPr>
          <w:p w14:paraId="362C52DF" w14:textId="1A36E8A8"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القيادة التحويلية الخضراء عززت تأثير إدارة الموارد </w:t>
            </w:r>
            <w:r w:rsidRPr="00BB230D">
              <w:rPr>
                <w:rFonts w:ascii="Traditional Arabic" w:hAnsi="Traditional Arabic" w:cs="Traditional Arabic" w:hint="cs"/>
                <w:b/>
                <w:bCs/>
                <w:spacing w:val="-6"/>
                <w:sz w:val="24"/>
                <w:szCs w:val="24"/>
                <w:rtl/>
              </w:rPr>
              <w:lastRenderedPageBreak/>
              <w:t>البشرية الخضراء على الاستدامة</w:t>
            </w:r>
            <w:r w:rsidRPr="00BB230D">
              <w:rPr>
                <w:rFonts w:ascii="Traditional Arabic" w:hAnsi="Traditional Arabic" w:cs="Traditional Arabic" w:hint="cs"/>
                <w:b/>
                <w:bCs/>
                <w:spacing w:val="-6"/>
                <w:sz w:val="24"/>
                <w:szCs w:val="24"/>
              </w:rPr>
              <w:t>.</w:t>
            </w:r>
          </w:p>
        </w:tc>
        <w:tc>
          <w:tcPr>
            <w:tcW w:w="2074" w:type="dxa"/>
          </w:tcPr>
          <w:p w14:paraId="5D740EB3" w14:textId="797A0DC8" w:rsidR="00A31F26" w:rsidRPr="00BB230D" w:rsidRDefault="00A31F26" w:rsidP="00A31F26">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دراستي تركز على القيادة التحويلية في سياق السلامة وإدارة المخاطر، بينما هذه </w:t>
            </w:r>
            <w:r w:rsidRPr="00BB230D">
              <w:rPr>
                <w:rFonts w:ascii="Traditional Arabic" w:hAnsi="Traditional Arabic" w:cs="Traditional Arabic" w:hint="cs"/>
                <w:b/>
                <w:bCs/>
                <w:spacing w:val="-6"/>
                <w:sz w:val="24"/>
                <w:szCs w:val="24"/>
                <w:rtl/>
              </w:rPr>
              <w:lastRenderedPageBreak/>
              <w:t>الدراسة تناولت القيادة البيئية في سياق الاستدامة</w:t>
            </w:r>
            <w:r w:rsidRPr="00BB230D">
              <w:rPr>
                <w:rFonts w:ascii="Traditional Arabic" w:hAnsi="Traditional Arabic" w:cs="Traditional Arabic" w:hint="cs"/>
                <w:b/>
                <w:bCs/>
                <w:spacing w:val="-6"/>
                <w:sz w:val="24"/>
                <w:szCs w:val="24"/>
              </w:rPr>
              <w:t>.</w:t>
            </w:r>
          </w:p>
        </w:tc>
      </w:tr>
      <w:tr w:rsidR="00B822F1" w:rsidRPr="00BB230D" w14:paraId="51AE30B6" w14:textId="77777777" w:rsidTr="004C51B2">
        <w:trPr>
          <w:tblCellSpacing w:w="20" w:type="dxa"/>
        </w:trPr>
        <w:tc>
          <w:tcPr>
            <w:tcW w:w="2074" w:type="dxa"/>
          </w:tcPr>
          <w:p w14:paraId="20AA1038" w14:textId="3952BE85"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عامر وأبوزيد والدمياطي</w:t>
            </w:r>
            <w:r w:rsidRPr="00BB230D">
              <w:rPr>
                <w:rFonts w:ascii="Traditional Arabic" w:hAnsi="Traditional Arabic" w:cs="Traditional Arabic" w:hint="cs"/>
                <w:b/>
                <w:bCs/>
                <w:spacing w:val="-6"/>
                <w:sz w:val="24"/>
                <w:szCs w:val="24"/>
              </w:rPr>
              <w:t xml:space="preserve"> (2023)</w:t>
            </w:r>
          </w:p>
        </w:tc>
        <w:tc>
          <w:tcPr>
            <w:tcW w:w="2074" w:type="dxa"/>
          </w:tcPr>
          <w:p w14:paraId="373CF2E9" w14:textId="66F2AD3A"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وعدالة التعاملات والسلوك الابتكاري في القطاع الصحي الحكومي</w:t>
            </w:r>
            <w:r w:rsidRPr="00BB230D">
              <w:rPr>
                <w:rFonts w:ascii="Traditional Arabic" w:hAnsi="Traditional Arabic" w:cs="Traditional Arabic" w:hint="cs"/>
                <w:b/>
                <w:bCs/>
                <w:spacing w:val="-6"/>
                <w:sz w:val="24"/>
                <w:szCs w:val="24"/>
              </w:rPr>
              <w:t>.</w:t>
            </w:r>
          </w:p>
        </w:tc>
        <w:tc>
          <w:tcPr>
            <w:tcW w:w="2074" w:type="dxa"/>
          </w:tcPr>
          <w:p w14:paraId="383FA1D2" w14:textId="1F8F8388"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ترتبط إيجابيًا بالإبداع التنظيمي والعدالة في التعاملات الإدارية</w:t>
            </w:r>
            <w:r w:rsidRPr="00BB230D">
              <w:rPr>
                <w:rFonts w:ascii="Traditional Arabic" w:hAnsi="Traditional Arabic" w:cs="Traditional Arabic" w:hint="cs"/>
                <w:b/>
                <w:bCs/>
                <w:spacing w:val="-6"/>
                <w:sz w:val="24"/>
                <w:szCs w:val="24"/>
              </w:rPr>
              <w:t>.</w:t>
            </w:r>
          </w:p>
        </w:tc>
        <w:tc>
          <w:tcPr>
            <w:tcW w:w="2074" w:type="dxa"/>
          </w:tcPr>
          <w:p w14:paraId="7C2FD292" w14:textId="1634E3F0" w:rsidR="00B822F1" w:rsidRPr="00BB230D" w:rsidRDefault="00B822F1" w:rsidP="00B822F1">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القيادة كعامل مباشر في دعم الابتكار والعدالة</w:t>
            </w:r>
            <w:r w:rsidRPr="00BB230D">
              <w:rPr>
                <w:rFonts w:ascii="Traditional Arabic" w:hAnsi="Traditional Arabic" w:cs="Traditional Arabic" w:hint="cs"/>
                <w:b/>
                <w:bCs/>
                <w:spacing w:val="-6"/>
                <w:sz w:val="24"/>
                <w:szCs w:val="24"/>
              </w:rPr>
              <w:t>.</w:t>
            </w:r>
          </w:p>
        </w:tc>
      </w:tr>
      <w:tr w:rsidR="009B590A" w:rsidRPr="00BB230D" w14:paraId="0863EB36" w14:textId="77777777" w:rsidTr="004C51B2">
        <w:trPr>
          <w:tblCellSpacing w:w="20" w:type="dxa"/>
        </w:trPr>
        <w:tc>
          <w:tcPr>
            <w:tcW w:w="2074" w:type="dxa"/>
          </w:tcPr>
          <w:p w14:paraId="69E3C315"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Bagga, Gera &amp; Haque (2023)</w:t>
            </w:r>
          </w:p>
        </w:tc>
        <w:tc>
          <w:tcPr>
            <w:tcW w:w="2074" w:type="dxa"/>
          </w:tcPr>
          <w:p w14:paraId="61BFEDD8"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الدور الوسيط للثقافة التنظيمية بين القيادة التحويلية وإدارة التغيير في قطاع التكنولوجيا</w:t>
            </w:r>
            <w:r w:rsidRPr="00BB230D">
              <w:rPr>
                <w:rFonts w:ascii="Traditional Arabic" w:hAnsi="Traditional Arabic" w:cs="Traditional Arabic" w:hint="cs"/>
                <w:b/>
                <w:bCs/>
                <w:spacing w:val="-6"/>
                <w:sz w:val="24"/>
                <w:szCs w:val="24"/>
              </w:rPr>
              <w:t>.</w:t>
            </w:r>
          </w:p>
        </w:tc>
        <w:tc>
          <w:tcPr>
            <w:tcW w:w="2074" w:type="dxa"/>
          </w:tcPr>
          <w:p w14:paraId="1B1462EB"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الثقافة التنظيمية تتوسط العلاقة بين القيادة التحويلية وإدارة التغيير بشكل إيجابي</w:t>
            </w:r>
            <w:r w:rsidRPr="00BB230D">
              <w:rPr>
                <w:rFonts w:ascii="Traditional Arabic" w:hAnsi="Traditional Arabic" w:cs="Traditional Arabic" w:hint="cs"/>
                <w:b/>
                <w:bCs/>
                <w:spacing w:val="-6"/>
                <w:sz w:val="24"/>
                <w:szCs w:val="24"/>
              </w:rPr>
              <w:t>.</w:t>
            </w:r>
          </w:p>
        </w:tc>
        <w:tc>
          <w:tcPr>
            <w:tcW w:w="2074" w:type="dxa"/>
          </w:tcPr>
          <w:p w14:paraId="782396FA" w14:textId="77777777" w:rsidR="009B590A" w:rsidRPr="00BB230D" w:rsidRDefault="009B590A" w:rsidP="00AF0AE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تربطها بإدارة التغيير عبر الثقافة التنظيمية</w:t>
            </w:r>
            <w:r w:rsidRPr="00BB230D">
              <w:rPr>
                <w:rFonts w:ascii="Traditional Arabic" w:hAnsi="Traditional Arabic" w:cs="Traditional Arabic" w:hint="cs"/>
                <w:b/>
                <w:bCs/>
                <w:spacing w:val="-6"/>
                <w:sz w:val="24"/>
                <w:szCs w:val="24"/>
              </w:rPr>
              <w:t>.</w:t>
            </w:r>
          </w:p>
        </w:tc>
      </w:tr>
      <w:tr w:rsidR="00E66563" w:rsidRPr="00BB230D" w14:paraId="4C46C71C" w14:textId="77777777" w:rsidTr="004C51B2">
        <w:trPr>
          <w:tblCellSpacing w:w="20" w:type="dxa"/>
        </w:trPr>
        <w:tc>
          <w:tcPr>
            <w:tcW w:w="2074" w:type="dxa"/>
          </w:tcPr>
          <w:p w14:paraId="6886B597" w14:textId="51781E7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آل مرزوق</w:t>
            </w:r>
            <w:r w:rsidRPr="00BB230D">
              <w:rPr>
                <w:rFonts w:ascii="Traditional Arabic" w:hAnsi="Traditional Arabic" w:cs="Traditional Arabic" w:hint="cs"/>
                <w:b/>
                <w:bCs/>
                <w:spacing w:val="-6"/>
                <w:sz w:val="24"/>
                <w:szCs w:val="24"/>
              </w:rPr>
              <w:t xml:space="preserve"> (2023)</w:t>
            </w:r>
          </w:p>
        </w:tc>
        <w:tc>
          <w:tcPr>
            <w:tcW w:w="2074" w:type="dxa"/>
          </w:tcPr>
          <w:p w14:paraId="12F141FE" w14:textId="0FEB39D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الاستدامة الاستراتيجية في وزارة الصحة بمنطقة عسير</w:t>
            </w:r>
            <w:r w:rsidRPr="00BB230D">
              <w:rPr>
                <w:rFonts w:ascii="Traditional Arabic" w:hAnsi="Traditional Arabic" w:cs="Traditional Arabic" w:hint="cs"/>
                <w:b/>
                <w:bCs/>
                <w:spacing w:val="-6"/>
                <w:sz w:val="24"/>
                <w:szCs w:val="24"/>
              </w:rPr>
              <w:t>.</w:t>
            </w:r>
          </w:p>
        </w:tc>
        <w:tc>
          <w:tcPr>
            <w:tcW w:w="2074" w:type="dxa"/>
          </w:tcPr>
          <w:p w14:paraId="4C7D6279" w14:textId="0C120421"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عززت التخطيط طويل الأمد والممارسات الاقتصادية والاجتماعية والبيئية</w:t>
            </w:r>
            <w:r w:rsidRPr="00BB230D">
              <w:rPr>
                <w:rFonts w:ascii="Traditional Arabic" w:hAnsi="Traditional Arabic" w:cs="Traditional Arabic" w:hint="cs"/>
                <w:b/>
                <w:bCs/>
                <w:spacing w:val="-6"/>
                <w:sz w:val="24"/>
                <w:szCs w:val="24"/>
              </w:rPr>
              <w:t>.</w:t>
            </w:r>
          </w:p>
        </w:tc>
        <w:tc>
          <w:tcPr>
            <w:tcW w:w="2074" w:type="dxa"/>
          </w:tcPr>
          <w:p w14:paraId="01379474" w14:textId="29B09A8F"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الاستدامة الاستراتيجية في سياق رؤية 2030</w:t>
            </w:r>
            <w:r w:rsidRPr="00BB230D">
              <w:rPr>
                <w:rFonts w:ascii="Traditional Arabic" w:hAnsi="Traditional Arabic" w:cs="Traditional Arabic" w:hint="cs"/>
                <w:b/>
                <w:bCs/>
                <w:spacing w:val="-6"/>
                <w:sz w:val="24"/>
                <w:szCs w:val="24"/>
              </w:rPr>
              <w:t>.</w:t>
            </w:r>
          </w:p>
        </w:tc>
      </w:tr>
      <w:tr w:rsidR="00E66563" w:rsidRPr="00BB230D" w14:paraId="7F8276B4" w14:textId="77777777" w:rsidTr="004C51B2">
        <w:trPr>
          <w:tblCellSpacing w:w="20" w:type="dxa"/>
        </w:trPr>
        <w:tc>
          <w:tcPr>
            <w:tcW w:w="2074" w:type="dxa"/>
          </w:tcPr>
          <w:p w14:paraId="2818D56A" w14:textId="6CCEF5F9"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الخضران (2023)</w:t>
            </w:r>
          </w:p>
        </w:tc>
        <w:tc>
          <w:tcPr>
            <w:tcW w:w="2074" w:type="dxa"/>
          </w:tcPr>
          <w:p w14:paraId="5BBFF9FB" w14:textId="7A6101BF"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المسؤولية المجتمعية في المؤسسات الصحية بمنطقة عسير</w:t>
            </w:r>
            <w:r w:rsidRPr="00BB230D">
              <w:rPr>
                <w:rFonts w:ascii="Traditional Arabic" w:hAnsi="Traditional Arabic" w:cs="Traditional Arabic" w:hint="cs"/>
                <w:b/>
                <w:bCs/>
                <w:spacing w:val="-6"/>
                <w:sz w:val="24"/>
                <w:szCs w:val="24"/>
              </w:rPr>
              <w:t>.</w:t>
            </w:r>
          </w:p>
        </w:tc>
        <w:tc>
          <w:tcPr>
            <w:tcW w:w="2074" w:type="dxa"/>
          </w:tcPr>
          <w:p w14:paraId="6EE5EE0B" w14:textId="37DA6EF2"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حفزت العاملين على المشاركة المجتمعية والانخراط في المبادرات الصحية</w:t>
            </w:r>
            <w:r w:rsidRPr="00BB230D">
              <w:rPr>
                <w:rFonts w:ascii="Traditional Arabic" w:hAnsi="Traditional Arabic" w:cs="Traditional Arabic" w:hint="cs"/>
                <w:b/>
                <w:bCs/>
                <w:spacing w:val="-6"/>
                <w:sz w:val="24"/>
                <w:szCs w:val="24"/>
              </w:rPr>
              <w:t>.</w:t>
            </w:r>
          </w:p>
        </w:tc>
        <w:tc>
          <w:tcPr>
            <w:tcW w:w="2074" w:type="dxa"/>
          </w:tcPr>
          <w:p w14:paraId="05EA105D" w14:textId="17666AAA"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تنظيمي في إدارة المخاطر، بينما هذه الدراسة تناولت دورها في تعزيز التفاعل المجتمعي</w:t>
            </w:r>
            <w:r w:rsidRPr="00BB230D">
              <w:rPr>
                <w:rFonts w:ascii="Traditional Arabic" w:hAnsi="Traditional Arabic" w:cs="Traditional Arabic" w:hint="cs"/>
                <w:b/>
                <w:bCs/>
                <w:spacing w:val="-6"/>
                <w:sz w:val="24"/>
                <w:szCs w:val="24"/>
              </w:rPr>
              <w:t>.</w:t>
            </w:r>
          </w:p>
        </w:tc>
      </w:tr>
      <w:tr w:rsidR="005C0D19" w:rsidRPr="00BB230D" w14:paraId="6A8C6CCF" w14:textId="77777777" w:rsidTr="004C51B2">
        <w:trPr>
          <w:tblCellSpacing w:w="20" w:type="dxa"/>
        </w:trPr>
        <w:tc>
          <w:tcPr>
            <w:tcW w:w="2074" w:type="dxa"/>
          </w:tcPr>
          <w:p w14:paraId="2D8EA1CF" w14:textId="157BAB0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أحمد محمود أحمد</w:t>
            </w:r>
            <w:r w:rsidRPr="00BB230D">
              <w:rPr>
                <w:rFonts w:ascii="Traditional Arabic" w:hAnsi="Traditional Arabic" w:cs="Traditional Arabic" w:hint="cs"/>
                <w:b/>
                <w:bCs/>
                <w:spacing w:val="-6"/>
                <w:sz w:val="24"/>
                <w:szCs w:val="24"/>
              </w:rPr>
              <w:t xml:space="preserve"> (2024)</w:t>
            </w:r>
          </w:p>
        </w:tc>
        <w:tc>
          <w:tcPr>
            <w:tcW w:w="2074" w:type="dxa"/>
          </w:tcPr>
          <w:p w14:paraId="53E24C27" w14:textId="73FF0D6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تحديد تأثير المرونة الشخصية كمتغير وسيط بين القيادة التحويلية والارتباك الوظيفي في قطاع الرعاية الصحية</w:t>
            </w:r>
            <w:r w:rsidRPr="00BB230D">
              <w:rPr>
                <w:rFonts w:ascii="Traditional Arabic" w:hAnsi="Traditional Arabic" w:cs="Traditional Arabic" w:hint="cs"/>
                <w:b/>
                <w:bCs/>
                <w:spacing w:val="-6"/>
                <w:sz w:val="24"/>
                <w:szCs w:val="24"/>
              </w:rPr>
              <w:t>.</w:t>
            </w:r>
          </w:p>
        </w:tc>
        <w:tc>
          <w:tcPr>
            <w:tcW w:w="2074" w:type="dxa"/>
          </w:tcPr>
          <w:p w14:paraId="2B9058B9" w14:textId="42C0FC75"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تعزز المرونة الشخصية، مما يقلل من الارتباك الوظيفي ويحسن الأداء</w:t>
            </w:r>
            <w:r w:rsidRPr="00BB230D">
              <w:rPr>
                <w:rFonts w:ascii="Traditional Arabic" w:hAnsi="Traditional Arabic" w:cs="Traditional Arabic" w:hint="cs"/>
                <w:b/>
                <w:bCs/>
                <w:spacing w:val="-6"/>
                <w:sz w:val="24"/>
                <w:szCs w:val="24"/>
              </w:rPr>
              <w:t>.</w:t>
            </w:r>
          </w:p>
        </w:tc>
        <w:tc>
          <w:tcPr>
            <w:tcW w:w="2074" w:type="dxa"/>
          </w:tcPr>
          <w:p w14:paraId="5BA881E7" w14:textId="1370AA54" w:rsidR="005C0D19" w:rsidRPr="00BB230D" w:rsidRDefault="005C0D19" w:rsidP="005C0D19">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المرونة النفسية كوسيط في بيئة الضغط الوظيفي</w:t>
            </w:r>
            <w:r w:rsidRPr="00BB230D">
              <w:rPr>
                <w:rFonts w:ascii="Traditional Arabic" w:hAnsi="Traditional Arabic" w:cs="Traditional Arabic" w:hint="cs"/>
                <w:b/>
                <w:bCs/>
                <w:spacing w:val="-6"/>
                <w:sz w:val="24"/>
                <w:szCs w:val="24"/>
              </w:rPr>
              <w:t>.</w:t>
            </w:r>
          </w:p>
        </w:tc>
      </w:tr>
      <w:tr w:rsidR="005C0D19" w:rsidRPr="00BB230D" w14:paraId="18F39273" w14:textId="77777777" w:rsidTr="004C51B2">
        <w:trPr>
          <w:tblCellSpacing w:w="20" w:type="dxa"/>
        </w:trPr>
        <w:tc>
          <w:tcPr>
            <w:tcW w:w="2074" w:type="dxa"/>
          </w:tcPr>
          <w:p w14:paraId="3778903C" w14:textId="257F6916"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البركاني</w:t>
            </w:r>
            <w:r w:rsidRPr="00BB230D">
              <w:rPr>
                <w:rFonts w:ascii="Traditional Arabic" w:hAnsi="Traditional Arabic" w:cs="Traditional Arabic" w:hint="cs"/>
                <w:b/>
                <w:bCs/>
                <w:spacing w:val="-6"/>
                <w:sz w:val="24"/>
                <w:szCs w:val="24"/>
              </w:rPr>
              <w:t xml:space="preserve"> (2025)</w:t>
            </w:r>
          </w:p>
        </w:tc>
        <w:tc>
          <w:tcPr>
            <w:tcW w:w="2074" w:type="dxa"/>
          </w:tcPr>
          <w:p w14:paraId="2742191A" w14:textId="70B6ECEE"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فاعلية اتخاذ القرارات الإدارية داخل المستشفى العام</w:t>
            </w:r>
            <w:r w:rsidRPr="00BB230D">
              <w:rPr>
                <w:rFonts w:ascii="Traditional Arabic" w:hAnsi="Traditional Arabic" w:cs="Traditional Arabic" w:hint="cs"/>
                <w:b/>
                <w:bCs/>
                <w:spacing w:val="-6"/>
                <w:sz w:val="24"/>
                <w:szCs w:val="24"/>
              </w:rPr>
              <w:t>.</w:t>
            </w:r>
          </w:p>
        </w:tc>
        <w:tc>
          <w:tcPr>
            <w:tcW w:w="2074" w:type="dxa"/>
          </w:tcPr>
          <w:p w14:paraId="2DC9C2FA" w14:textId="2FC07524"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حسّنت سرعة ودقة القرار، 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كانت الأكثر تأثيرًا</w:t>
            </w:r>
            <w:r w:rsidRPr="00BB230D">
              <w:rPr>
                <w:rFonts w:ascii="Traditional Arabic" w:hAnsi="Traditional Arabic" w:cs="Traditional Arabic" w:hint="cs"/>
                <w:b/>
                <w:bCs/>
                <w:spacing w:val="-6"/>
                <w:sz w:val="24"/>
                <w:szCs w:val="24"/>
              </w:rPr>
              <w:t>.</w:t>
            </w:r>
          </w:p>
        </w:tc>
        <w:tc>
          <w:tcPr>
            <w:tcW w:w="2074" w:type="dxa"/>
          </w:tcPr>
          <w:p w14:paraId="53C05ECD" w14:textId="0BE8A730" w:rsidR="00A10C11" w:rsidRPr="00BB230D" w:rsidRDefault="00A10C11" w:rsidP="00A10C11">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تحسين القرارات الإدارية</w:t>
            </w:r>
            <w:r w:rsidRPr="00BB230D">
              <w:rPr>
                <w:rFonts w:ascii="Traditional Arabic" w:hAnsi="Traditional Arabic" w:cs="Traditional Arabic" w:hint="cs"/>
                <w:b/>
                <w:bCs/>
                <w:spacing w:val="-6"/>
                <w:sz w:val="24"/>
                <w:szCs w:val="24"/>
              </w:rPr>
              <w:t>.</w:t>
            </w:r>
          </w:p>
          <w:p w14:paraId="3049C411" w14:textId="77777777" w:rsidR="005C0D19" w:rsidRPr="00BB230D" w:rsidRDefault="005C0D19" w:rsidP="005C0D19">
            <w:pPr>
              <w:bidi/>
              <w:spacing w:before="120" w:after="120" w:line="240" w:lineRule="auto"/>
              <w:jc w:val="both"/>
              <w:rPr>
                <w:rFonts w:ascii="Traditional Arabic" w:hAnsi="Traditional Arabic" w:cs="Traditional Arabic"/>
                <w:b/>
                <w:bCs/>
                <w:spacing w:val="-6"/>
                <w:sz w:val="24"/>
                <w:szCs w:val="24"/>
                <w:rtl/>
              </w:rPr>
            </w:pPr>
          </w:p>
        </w:tc>
      </w:tr>
      <w:tr w:rsidR="00D17B05" w:rsidRPr="00BB230D" w14:paraId="4514F312" w14:textId="77777777" w:rsidTr="004C51B2">
        <w:trPr>
          <w:tblCellSpacing w:w="20" w:type="dxa"/>
        </w:trPr>
        <w:tc>
          <w:tcPr>
            <w:tcW w:w="2074" w:type="dxa"/>
          </w:tcPr>
          <w:p w14:paraId="7D85D8BF" w14:textId="13B3F916"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بلاك بيرد</w:t>
            </w:r>
            <w:r w:rsidRPr="00BB230D">
              <w:rPr>
                <w:rFonts w:ascii="Traditional Arabic" w:hAnsi="Traditional Arabic" w:cs="Traditional Arabic" w:hint="cs"/>
                <w:b/>
                <w:bCs/>
                <w:spacing w:val="-6"/>
                <w:sz w:val="24"/>
                <w:szCs w:val="24"/>
              </w:rPr>
              <w:t xml:space="preserve"> (2025)</w:t>
            </w:r>
          </w:p>
        </w:tc>
        <w:tc>
          <w:tcPr>
            <w:tcW w:w="2074" w:type="dxa"/>
          </w:tcPr>
          <w:p w14:paraId="12D92348" w14:textId="39A6595A"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تقييم أثر برنامج تدريبي على تطوير المهارات القيادية في مؤسسات الرعاية الصحية</w:t>
            </w:r>
            <w:r w:rsidRPr="00BB230D">
              <w:rPr>
                <w:rFonts w:ascii="Traditional Arabic" w:hAnsi="Traditional Arabic" w:cs="Traditional Arabic" w:hint="cs"/>
                <w:b/>
                <w:bCs/>
                <w:spacing w:val="-6"/>
                <w:sz w:val="24"/>
                <w:szCs w:val="24"/>
              </w:rPr>
              <w:t>.</w:t>
            </w:r>
          </w:p>
        </w:tc>
        <w:tc>
          <w:tcPr>
            <w:tcW w:w="2074" w:type="dxa"/>
          </w:tcPr>
          <w:p w14:paraId="2F2B396E" w14:textId="377AA28E"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التدريب على القيادة التحويلية حسّن الأداء، التنسيق، والرضا الوظيفي</w:t>
            </w:r>
            <w:r w:rsidRPr="00BB230D">
              <w:rPr>
                <w:rFonts w:ascii="Traditional Arabic" w:hAnsi="Traditional Arabic" w:cs="Traditional Arabic" w:hint="cs"/>
                <w:b/>
                <w:bCs/>
                <w:spacing w:val="-6"/>
                <w:sz w:val="24"/>
                <w:szCs w:val="24"/>
              </w:rPr>
              <w:t>.</w:t>
            </w:r>
          </w:p>
        </w:tc>
        <w:tc>
          <w:tcPr>
            <w:tcW w:w="2074" w:type="dxa"/>
          </w:tcPr>
          <w:p w14:paraId="2846F440" w14:textId="1F93FF37" w:rsidR="00D17B05" w:rsidRPr="00BB230D" w:rsidRDefault="00D17B05" w:rsidP="00D17B05">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تحليلية تربط القيادة التحويلية بإدارة المخاطر، بينما هذه دراسة تجريبية ركزت على التدريب القيادي</w:t>
            </w:r>
            <w:r w:rsidRPr="00BB230D">
              <w:rPr>
                <w:rFonts w:ascii="Traditional Arabic" w:hAnsi="Traditional Arabic" w:cs="Traditional Arabic" w:hint="cs"/>
                <w:b/>
                <w:bCs/>
                <w:spacing w:val="-6"/>
                <w:sz w:val="24"/>
                <w:szCs w:val="24"/>
              </w:rPr>
              <w:t>.</w:t>
            </w:r>
          </w:p>
        </w:tc>
      </w:tr>
      <w:tr w:rsidR="00D17B05" w:rsidRPr="00BB230D" w14:paraId="2E5FA912" w14:textId="77777777" w:rsidTr="004C51B2">
        <w:trPr>
          <w:tblCellSpacing w:w="20" w:type="dxa"/>
        </w:trPr>
        <w:tc>
          <w:tcPr>
            <w:tcW w:w="2074" w:type="dxa"/>
          </w:tcPr>
          <w:p w14:paraId="14A4B7C7" w14:textId="1A5062A8"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أماني محمد وآخرين</w:t>
            </w:r>
            <w:r w:rsidRPr="00BB230D">
              <w:rPr>
                <w:rFonts w:ascii="Traditional Arabic" w:hAnsi="Traditional Arabic" w:cs="Traditional Arabic" w:hint="cs"/>
                <w:b/>
                <w:bCs/>
                <w:spacing w:val="-6"/>
                <w:sz w:val="24"/>
                <w:szCs w:val="24"/>
              </w:rPr>
              <w:t xml:space="preserve"> (2025)</w:t>
            </w:r>
          </w:p>
        </w:tc>
        <w:tc>
          <w:tcPr>
            <w:tcW w:w="2074" w:type="dxa"/>
          </w:tcPr>
          <w:p w14:paraId="0E2B015F" w14:textId="392F8A4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والعدالة التنظيمية في مستشفيات محافظة الشرقية</w:t>
            </w:r>
            <w:r w:rsidRPr="00BB230D">
              <w:rPr>
                <w:rFonts w:ascii="Traditional Arabic" w:hAnsi="Traditional Arabic" w:cs="Traditional Arabic" w:hint="cs"/>
                <w:b/>
                <w:bCs/>
                <w:spacing w:val="-6"/>
                <w:sz w:val="24"/>
                <w:szCs w:val="24"/>
              </w:rPr>
              <w:t>.</w:t>
            </w:r>
          </w:p>
        </w:tc>
        <w:tc>
          <w:tcPr>
            <w:tcW w:w="2074" w:type="dxa"/>
          </w:tcPr>
          <w:p w14:paraId="22E05635" w14:textId="4E7D992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التأثير المثالي</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حسّنا العدالة التنظيمية وبيئة العمل</w:t>
            </w:r>
            <w:r w:rsidRPr="00BB230D">
              <w:rPr>
                <w:rFonts w:ascii="Traditional Arabic" w:hAnsi="Traditional Arabic" w:cs="Traditional Arabic" w:hint="cs"/>
                <w:b/>
                <w:bCs/>
                <w:spacing w:val="-6"/>
                <w:sz w:val="24"/>
                <w:szCs w:val="24"/>
              </w:rPr>
              <w:t>.</w:t>
            </w:r>
          </w:p>
        </w:tc>
        <w:tc>
          <w:tcPr>
            <w:tcW w:w="2074" w:type="dxa"/>
          </w:tcPr>
          <w:p w14:paraId="1357E7AE" w14:textId="394BEDBD" w:rsidR="00D17B05" w:rsidRPr="00BB230D" w:rsidRDefault="002B7450" w:rsidP="002B7450">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العدالة التنظيمية والسلوكيات الإيجابية</w:t>
            </w:r>
            <w:r w:rsidRPr="00BB230D">
              <w:rPr>
                <w:rFonts w:ascii="Traditional Arabic" w:hAnsi="Traditional Arabic" w:cs="Traditional Arabic" w:hint="cs"/>
                <w:b/>
                <w:bCs/>
                <w:spacing w:val="-6"/>
                <w:sz w:val="24"/>
                <w:szCs w:val="24"/>
              </w:rPr>
              <w:t>.</w:t>
            </w:r>
          </w:p>
        </w:tc>
      </w:tr>
    </w:tbl>
    <w:bookmarkEnd w:id="9"/>
    <w:p w14:paraId="53AD1F8E" w14:textId="4B6DFD81" w:rsidR="00BA7C6F" w:rsidRPr="00BB230D" w:rsidRDefault="00DE29E5" w:rsidP="00273E39">
      <w:pPr>
        <w:bidi/>
        <w:spacing w:before="120" w:after="120" w:line="240" w:lineRule="auto"/>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إعداد/ الباحثة</w:t>
      </w:r>
      <w:r w:rsidR="00273E39" w:rsidRPr="00BB230D">
        <w:rPr>
          <w:rFonts w:ascii="Traditional Arabic" w:hAnsi="Traditional Arabic" w:cs="Traditional Arabic" w:hint="cs"/>
          <w:b/>
          <w:bCs/>
          <w:spacing w:val="-6"/>
          <w:sz w:val="24"/>
          <w:szCs w:val="24"/>
          <w:rtl/>
          <w:lang w:bidi="ar-EG"/>
        </w:rPr>
        <w:t xml:space="preserve"> مستندة للدراسات السابقة </w:t>
      </w:r>
      <w:r w:rsidRPr="00BB230D">
        <w:rPr>
          <w:rFonts w:ascii="Traditional Arabic" w:hAnsi="Traditional Arabic" w:cs="Traditional Arabic" w:hint="cs"/>
          <w:b/>
          <w:bCs/>
          <w:spacing w:val="-6"/>
          <w:sz w:val="24"/>
          <w:szCs w:val="24"/>
          <w:rtl/>
          <w:lang w:bidi="ar-EG"/>
        </w:rPr>
        <w:t>.</w:t>
      </w:r>
    </w:p>
    <w:p w14:paraId="14D3B4B8" w14:textId="039DB172" w:rsidR="00623BB8" w:rsidRPr="00BB230D" w:rsidRDefault="00623BB8" w:rsidP="00BA7C6F">
      <w:pPr>
        <w:bidi/>
        <w:spacing w:before="120" w:after="120" w:line="240" w:lineRule="auto"/>
        <w:jc w:val="both"/>
        <w:rPr>
          <w:rFonts w:ascii="Traditional Arabic" w:hAnsi="Traditional Arabic" w:cs="Traditional Arabic"/>
          <w:b/>
          <w:bCs/>
          <w:spacing w:val="-6"/>
          <w:sz w:val="28"/>
          <w:szCs w:val="28"/>
          <w:u w:val="single"/>
          <w:rtl/>
          <w:lang w:bidi="ar-EG"/>
        </w:rPr>
      </w:pPr>
      <w:r w:rsidRPr="00BB230D">
        <w:rPr>
          <w:rFonts w:ascii="Traditional Arabic" w:hAnsi="Traditional Arabic" w:cs="Traditional Arabic" w:hint="cs"/>
          <w:b/>
          <w:bCs/>
          <w:spacing w:val="-6"/>
          <w:sz w:val="28"/>
          <w:szCs w:val="28"/>
          <w:u w:val="single"/>
          <w:rtl/>
          <w:lang w:bidi="ar-EG"/>
        </w:rPr>
        <w:t>تعقيب على الدراسات السابقة للقيادة التحويلية:</w:t>
      </w:r>
    </w:p>
    <w:p w14:paraId="674A1540" w14:textId="77777777" w:rsidR="004C51B2" w:rsidRDefault="00623BB8"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بالنظر إلى الدراسات السابقة التي تناولت القيادة التحويلية، يمكن القول إنها كشفت عن حضور متنامٍ لهذا النمط القيادي داخل المؤسسات الصحية، خاصة في ظل التحديات المتزايدة مثل الأزمات الصحية والضغوط التشغيلية، فمن خلال استعراض الأبحاث بين عامي 2020 و2025، يظهر أن القيادة التحويلية لم تعد مجرد توجه تنظيري، بل أصبحت ممارسة واقعية لها أثر مباشر على الأداء، إدارة الأزمات، وسلامة المرضى</w:t>
      </w:r>
      <w:r w:rsidRPr="00BB230D">
        <w:rPr>
          <w:rFonts w:ascii="Traditional Arabic" w:hAnsi="Traditional Arabic" w:cs="Traditional Arabic" w:hint="cs"/>
          <w:spacing w:val="-6"/>
          <w:sz w:val="24"/>
          <w:szCs w:val="24"/>
          <w:lang w:bidi="ar-EG"/>
        </w:rPr>
        <w:t>.</w:t>
      </w:r>
    </w:p>
    <w:p w14:paraId="5F8D0526" w14:textId="77777777" w:rsidR="004C51B2" w:rsidRDefault="005A5029"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z w:val="24"/>
          <w:szCs w:val="24"/>
          <w:rtl/>
        </w:rPr>
        <w:t>ركزت دراسة التجاني</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الإبداع في بيئة أكاديمية، ودراسة حسين</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العلاقة المباشرة بين القيادة وجودة الخدمات، ودراسة رزق الله وطيبي</w:t>
      </w:r>
      <w:r w:rsidRPr="00BB230D">
        <w:rPr>
          <w:rFonts w:ascii="Traditional Arabic" w:hAnsi="Traditional Arabic" w:cs="Traditional Arabic" w:hint="cs"/>
          <w:sz w:val="24"/>
          <w:szCs w:val="24"/>
          <w:lang w:bidi="ar-EG"/>
        </w:rPr>
        <w:t xml:space="preserve"> (2021) </w:t>
      </w:r>
      <w:r w:rsidRPr="00BB230D">
        <w:rPr>
          <w:rFonts w:ascii="Traditional Arabic" w:hAnsi="Traditional Arabic" w:cs="Traditional Arabic" w:hint="cs"/>
          <w:sz w:val="24"/>
          <w:szCs w:val="24"/>
          <w:rtl/>
        </w:rPr>
        <w:t>على قياس درجة التطبيق دون ربطها بنتائج تنظيمية، لكن الدراسة الحالية تضيف بعدًا تحليليًا جديدًا من خلال الربط بين ثلاثة متغيرات مركزية في القطاع الصحي، مما يبرز أهميتها التطبيقية والمنهجية</w:t>
      </w:r>
      <w:r w:rsidRPr="00BB230D">
        <w:rPr>
          <w:rFonts w:ascii="Traditional Arabic" w:hAnsi="Traditional Arabic" w:cs="Traditional Arabic" w:hint="cs"/>
          <w:sz w:val="24"/>
          <w:szCs w:val="24"/>
          <w:lang w:bidi="ar-EG"/>
        </w:rPr>
        <w:t>.</w:t>
      </w:r>
    </w:p>
    <w:p w14:paraId="6F80DDE8" w14:textId="40D8FDCA" w:rsidR="005A5029" w:rsidRPr="004C51B2" w:rsidRDefault="005A5029" w:rsidP="004C51B2">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sz w:val="24"/>
          <w:szCs w:val="24"/>
          <w:rtl/>
        </w:rPr>
        <w:t>فبينما ركزت بعض الدراسات على القيادة التحويلية الخضراء في سياق الاستدامة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طلبه النجار،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علاقتها المباشرة بالإبداع والعدالة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عامر وأبوزيد والدمياطي،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الثقافة التنظيمية كوسيط في إدارة التغيير</w:t>
      </w:r>
      <w:r w:rsidR="006F00E7" w:rsidRPr="00BB230D">
        <w:rPr>
          <w:rFonts w:ascii="Traditional Arabic" w:hAnsi="Traditional Arabic" w:cs="Traditional Arabic" w:hint="cs"/>
          <w:sz w:val="24"/>
          <w:szCs w:val="24"/>
          <w:rtl/>
        </w:rPr>
        <w:t>(</w:t>
      </w:r>
      <w:r w:rsidRPr="00BB230D">
        <w:rPr>
          <w:rFonts w:ascii="Traditional Arabic" w:hAnsi="Traditional Arabic" w:cs="Traditional Arabic" w:hint="cs"/>
          <w:sz w:val="24"/>
          <w:szCs w:val="24"/>
          <w:lang w:bidi="ar-EG"/>
        </w:rPr>
        <w:t xml:space="preserve"> Bagga </w:t>
      </w:r>
      <w:r w:rsidRPr="00BB230D">
        <w:rPr>
          <w:rFonts w:ascii="Traditional Arabic" w:hAnsi="Traditional Arabic" w:cs="Traditional Arabic" w:hint="cs"/>
          <w:sz w:val="24"/>
          <w:szCs w:val="24"/>
          <w:rtl/>
        </w:rPr>
        <w:t>وآخرون،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فإن </w:t>
      </w:r>
      <w:r w:rsidR="006F00E7" w:rsidRPr="00BB230D">
        <w:rPr>
          <w:rFonts w:ascii="Traditional Arabic" w:hAnsi="Traditional Arabic" w:cs="Traditional Arabic" w:hint="cs"/>
          <w:sz w:val="24"/>
          <w:szCs w:val="24"/>
          <w:rtl/>
        </w:rPr>
        <w:t>الدراسة الحالية</w:t>
      </w:r>
      <w:r w:rsidRPr="00BB230D">
        <w:rPr>
          <w:rFonts w:ascii="Traditional Arabic" w:hAnsi="Traditional Arabic" w:cs="Traditional Arabic" w:hint="cs"/>
          <w:sz w:val="24"/>
          <w:szCs w:val="24"/>
          <w:rtl/>
        </w:rPr>
        <w:t xml:space="preserve"> تضيف بعدًا تطبيقيًا جديدًا في بيئة الرعاية الصحية، من خلال تحليل العلاقة الثلاثية بين القيادة، المخاطر، والسلامة، مما يبرز الفجوة البحثية التي تسعى الدراسة إلى سدّها</w:t>
      </w:r>
      <w:r w:rsidRPr="00BB230D">
        <w:rPr>
          <w:rFonts w:ascii="Traditional Arabic" w:hAnsi="Traditional Arabic" w:cs="Traditional Arabic" w:hint="cs"/>
          <w:sz w:val="24"/>
          <w:szCs w:val="24"/>
          <w:lang w:bidi="ar-EG"/>
        </w:rPr>
        <w:t>.</w:t>
      </w:r>
    </w:p>
    <w:p w14:paraId="1D7D7A8A" w14:textId="6A2C65F6" w:rsidR="00DF78B3" w:rsidRPr="00BB230D" w:rsidRDefault="008854E1"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lastRenderedPageBreak/>
        <w:t>ختاماً تمثل إدارة المخاطر، وسلامة المرضى، والقيادة التحويلية ثلاثية مترابطة تُشكّل جوهر الأداء الصحي الحديث، حيث لا يمكن لأي مؤسسة صحية أن تحقق جودة مستدامة دون تكامل هذه العناصر</w:t>
      </w:r>
      <w:r w:rsidR="006F00E7"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فقد أصبحت سلامة المرضى الهدف الأسمى لكل الأنشطة العلاجية، وإدارة المخاطر الأداة الفاعلة للوقاية والتدخل الاستباقي، بينما تُعد القيادة التحويلية المحرك الحيوي الذي يوجه الفرق الطبية نحو التغيير الإيجابي والتفوق التنظيمي. إن تعزيز ثقافة السلامة، وتطبيق استراتيجيات إدارة المخاطر، يتطلبان قيادة قادرة على الإلهام، والتحفيز الفكري، وهي خصائص تتجسد بوضوح في نمط القيادة التحويلية. ومن خلال الدمج الفعّال بين هذه المفاهيم، يمكن للمؤسسات الصحية أن تتجاوز التحديات التشغيلية، وتحقق بيئة علاجية آمنة، مُوجهة نحو الابتكار، المساءلة، والتحسين المستمر في تجربة المريض وجودة الخدمة على حد سواء</w:t>
      </w:r>
      <w:r w:rsidRPr="00BB230D">
        <w:rPr>
          <w:rFonts w:ascii="Traditional Arabic" w:hAnsi="Traditional Arabic" w:cs="Traditional Arabic" w:hint="cs"/>
          <w:spacing w:val="-6"/>
          <w:sz w:val="24"/>
          <w:szCs w:val="24"/>
          <w:lang w:bidi="ar-EG"/>
        </w:rPr>
        <w:t>.</w:t>
      </w:r>
    </w:p>
    <w:p w14:paraId="39D4CA27" w14:textId="7A63B699" w:rsidR="00273E39" w:rsidRPr="00BB230D" w:rsidRDefault="00273E39" w:rsidP="00273E39">
      <w:pPr>
        <w:bidi/>
        <w:spacing w:after="200" w:line="276" w:lineRule="auto"/>
        <w:jc w:val="both"/>
        <w:rPr>
          <w:rFonts w:ascii="Traditional Arabic" w:hAnsi="Traditional Arabic" w:cs="Traditional Arabic"/>
          <w:b/>
          <w:bCs/>
          <w:spacing w:val="-6"/>
          <w:sz w:val="28"/>
          <w:szCs w:val="28"/>
          <w:u w:val="single"/>
          <w:lang w:bidi="ar-EG"/>
        </w:rPr>
      </w:pPr>
      <w:r w:rsidRPr="00BB230D">
        <w:rPr>
          <w:rFonts w:ascii="Traditional Arabic" w:hAnsi="Traditional Arabic" w:cs="Traditional Arabic" w:hint="cs"/>
          <w:b/>
          <w:bCs/>
          <w:spacing w:val="-6"/>
          <w:sz w:val="28"/>
          <w:szCs w:val="28"/>
          <w:u w:val="single"/>
          <w:rtl/>
          <w:lang w:bidi="ar-EG"/>
        </w:rPr>
        <w:t>أوجه الإستفادة من الدراسات السابقة للقيادة التحويلية:</w:t>
      </w:r>
    </w:p>
    <w:p w14:paraId="4C2AAE79" w14:textId="47BE9775" w:rsidR="00273E39" w:rsidRPr="00BB230D" w:rsidRDefault="00273E39"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أظهرت الدراسات السابقة حول القيادة التحويلية، مثل دراسة التجاني (2020) وحسين (2020) ورزق الله وطيبي (2021)، دور هذا النمط القيادي في تعزيز الأداء المؤسسي من خلال التحفيز الإبداعي والاهتمام الفردي بالموظفين، وقد ساهمت دراسة الغامدي وعثمان (2022) وطلبه النجار (2023) في توضيح العلاقة بين القيادة التحويلية ورفع مستويات الرضا الوظيفي والانتماء التنظيمي، مما يدعم فرضيات الدراسة الحالية</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قدمت أبحاث عامر وأبوزيد والدمياطي (2023) و</w:t>
      </w:r>
      <w:r w:rsidRPr="00BB230D">
        <w:rPr>
          <w:rFonts w:ascii="Traditional Arabic" w:hAnsi="Traditional Arabic" w:cs="Traditional Arabic" w:hint="cs"/>
          <w:spacing w:val="-6"/>
          <w:sz w:val="24"/>
          <w:szCs w:val="24"/>
          <w:lang w:bidi="ar-EG"/>
        </w:rPr>
        <w:t xml:space="preserve">Bagga, Gera &amp; Haque (2023) </w:t>
      </w:r>
      <w:r w:rsidRPr="00BB230D">
        <w:rPr>
          <w:rFonts w:ascii="Traditional Arabic" w:hAnsi="Traditional Arabic" w:cs="Traditional Arabic" w:hint="cs"/>
          <w:spacing w:val="-6"/>
          <w:sz w:val="24"/>
          <w:szCs w:val="24"/>
          <w:rtl/>
        </w:rPr>
        <w:t>نماذج تطبيقية تربط القيادة التحويلية بالتحسين المستدام في بيئات العمل الحكومية، بينما ركزت دراسات آل مرزوق (2023) والخضران (2023) على أثر القيادة في إدارة التغيير وتجاوز مقاومة التطوير</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أما أحمد محمود أحمد (2024) والبركاني (2025) فقد أبرزا أهمية القيادة التحويلية في بناء ثقافة تنظيمية مرنة، في حين تناولت دراسة بلاك بيرد (2025) وأماني محمد وآخرين (2025) البُعد العالمي لهذا النمط القيادي، مؤكدين على فعاليته في بيئات متعددة الثقافات</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ومن ثم، فإن هذه الدراسات تمثل أساسًا معرفيًا ومنهجيًا غنيًا يُسهم في صياغة الإطار النظري، وتحديد المتغيرات، وتفسير النتائج ضمن السياق المحلي والدولي</w:t>
      </w:r>
      <w:r w:rsidRPr="00BB230D">
        <w:rPr>
          <w:rFonts w:ascii="Traditional Arabic" w:hAnsi="Traditional Arabic" w:cs="Traditional Arabic" w:hint="cs"/>
          <w:spacing w:val="-6"/>
          <w:sz w:val="24"/>
          <w:szCs w:val="24"/>
          <w:lang w:bidi="ar-EG"/>
        </w:rPr>
        <w:t>.</w:t>
      </w:r>
    </w:p>
    <w:p w14:paraId="2D672CC5" w14:textId="406B5670" w:rsidR="002B6EE6" w:rsidRDefault="002B6EE6" w:rsidP="00BB230D">
      <w:pPr>
        <w:bidi/>
        <w:spacing w:after="20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spacing w:val="-6"/>
          <w:sz w:val="24"/>
          <w:szCs w:val="24"/>
          <w:rtl/>
        </w:rPr>
        <w:t>وتُسهم هذه الدراسات في دعم الدراسة الحالية التي تتناول تحليل الدور الوسيط للقيادة التحويلية في العلاقة بين إدارة المخاطر وسلامة المرضى في المرافق الصحية الحكومية، من خلال توفير نماذج تفسيرية تربط القيادة التحويلية بتحسين بيئة العمل الصحية، وتعزيز ثقافة السلامة، وتفعيل الاستجابة التنظيمية للمخاطر، كما تقدم دراسات البركاني (2025)، بلاك بيرد (2025)، وأماني محمد وآخرين (2025) رؤى حديثة حول فعالية القيادة التحويلية في البيئات متعددة التخصصات، مما يُثري الإطار التحليلي للدراسة ويُعزز من قدرتها على تفسير النتائج.</w:t>
      </w:r>
    </w:p>
    <w:p w14:paraId="68F7DB7C"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0E397B8"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51CD4877"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E12226D" w14:textId="77777777" w:rsidR="00BB230D" w:rsidRPr="00BB230D" w:rsidRDefault="00BB230D" w:rsidP="004C51B2">
      <w:pPr>
        <w:bidi/>
        <w:spacing w:after="200" w:line="360" w:lineRule="auto"/>
        <w:jc w:val="both"/>
        <w:rPr>
          <w:rFonts w:ascii="Traditional Arabic" w:hAnsi="Traditional Arabic" w:cs="Traditional Arabic"/>
          <w:spacing w:val="-6"/>
          <w:sz w:val="24"/>
          <w:szCs w:val="24"/>
          <w:rtl/>
        </w:rPr>
      </w:pPr>
    </w:p>
    <w:p w14:paraId="3E87D259" w14:textId="27F1C7B7" w:rsidR="00B14C33" w:rsidRPr="00BB230D" w:rsidRDefault="00CE27B9" w:rsidP="00CE27B9">
      <w:pPr>
        <w:bidi/>
        <w:spacing w:after="200" w:line="276"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جدول (9) </w:t>
      </w:r>
      <w:r w:rsidR="00742DEA" w:rsidRPr="00BB230D">
        <w:rPr>
          <w:rFonts w:ascii="Traditional Arabic" w:hAnsi="Traditional Arabic" w:cs="Traditional Arabic" w:hint="cs"/>
          <w:b/>
          <w:bCs/>
          <w:spacing w:val="-6"/>
          <w:sz w:val="24"/>
          <w:szCs w:val="24"/>
          <w:rtl/>
        </w:rPr>
        <w:t>ملخص الدراسات السابقة</w:t>
      </w:r>
      <w:r w:rsidRPr="00BB230D">
        <w:rPr>
          <w:rFonts w:ascii="Traditional Arabic" w:hAnsi="Traditional Arabic" w:cs="Traditional Arabic" w:hint="cs"/>
          <w:b/>
          <w:bCs/>
          <w:spacing w:val="-6"/>
          <w:sz w:val="24"/>
          <w:szCs w:val="24"/>
          <w:rtl/>
        </w:rPr>
        <w:t xml:space="preserve"> الواردة في الدراسة الحالية:</w:t>
      </w:r>
    </w:p>
    <w:tbl>
      <w:tblPr>
        <w:tblStyle w:val="TableGrid"/>
        <w:bidiVisual/>
        <w:tblW w:w="827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794"/>
        <w:gridCol w:w="2722"/>
        <w:gridCol w:w="2760"/>
      </w:tblGrid>
      <w:tr w:rsidR="00C006C9" w:rsidRPr="004C51B2" w14:paraId="646ED9F8" w14:textId="77777777" w:rsidTr="004C51B2">
        <w:trPr>
          <w:tblCellSpacing w:w="20" w:type="dxa"/>
        </w:trPr>
        <w:tc>
          <w:tcPr>
            <w:tcW w:w="2758" w:type="dxa"/>
            <w:shd w:val="clear" w:color="auto" w:fill="E5DFEC" w:themeFill="accent4" w:themeFillTint="33"/>
          </w:tcPr>
          <w:p w14:paraId="2F590A2E" w14:textId="4FF0C979"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الدراسة</w:t>
            </w:r>
          </w:p>
        </w:tc>
        <w:tc>
          <w:tcPr>
            <w:tcW w:w="2759" w:type="dxa"/>
            <w:shd w:val="clear" w:color="auto" w:fill="E5DFEC" w:themeFill="accent4" w:themeFillTint="33"/>
          </w:tcPr>
          <w:p w14:paraId="5BEF9324" w14:textId="4EE23C1A"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ماتناولتة الدراسة السابقة</w:t>
            </w:r>
          </w:p>
        </w:tc>
        <w:tc>
          <w:tcPr>
            <w:tcW w:w="2759" w:type="dxa"/>
            <w:shd w:val="clear" w:color="auto" w:fill="E5DFEC" w:themeFill="accent4" w:themeFillTint="33"/>
          </w:tcPr>
          <w:p w14:paraId="10ECB881" w14:textId="0EB988CC" w:rsidR="00C006C9" w:rsidRPr="004C51B2" w:rsidRDefault="00C006C9"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الفرق بينها وبين الدراسة الحالية</w:t>
            </w:r>
          </w:p>
        </w:tc>
      </w:tr>
      <w:tr w:rsidR="00C006C9" w:rsidRPr="004C51B2" w14:paraId="6614F45C" w14:textId="77777777" w:rsidTr="004C51B2">
        <w:trPr>
          <w:tblCellSpacing w:w="20" w:type="dxa"/>
        </w:trPr>
        <w:tc>
          <w:tcPr>
            <w:tcW w:w="2758" w:type="dxa"/>
          </w:tcPr>
          <w:p w14:paraId="3C48EFDD" w14:textId="05C40728"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sz w:val="24"/>
                <w:szCs w:val="24"/>
                <w:rtl/>
                <w:lang w:bidi="ar-EG"/>
              </w:rPr>
              <w:t>دراسة فاتن خليل 2018</w:t>
            </w:r>
          </w:p>
        </w:tc>
        <w:tc>
          <w:tcPr>
            <w:tcW w:w="2759" w:type="dxa"/>
          </w:tcPr>
          <w:p w14:paraId="030AC37B" w14:textId="554908E5"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أثر القيادة التحويلية على تحسين جودة الأداء التمريضي في المستشفيات الحكومية المصرية.</w:t>
            </w:r>
          </w:p>
        </w:tc>
        <w:tc>
          <w:tcPr>
            <w:tcW w:w="2759" w:type="dxa"/>
          </w:tcPr>
          <w:p w14:paraId="4EF9F410" w14:textId="46029728" w:rsidR="00C006C9" w:rsidRPr="004C51B2" w:rsidRDefault="00D4794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فاتن ركزت على القيادة التحويلية في تحسسين الأداء التمريضي.</w:t>
            </w:r>
          </w:p>
        </w:tc>
      </w:tr>
      <w:tr w:rsidR="00C006C9" w:rsidRPr="004C51B2" w14:paraId="09FA2494" w14:textId="77777777" w:rsidTr="004C51B2">
        <w:trPr>
          <w:tblCellSpacing w:w="20" w:type="dxa"/>
        </w:trPr>
        <w:tc>
          <w:tcPr>
            <w:tcW w:w="2758" w:type="dxa"/>
          </w:tcPr>
          <w:p w14:paraId="0DC567EC" w14:textId="4E9A0524"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حسين 2019</w:t>
            </w:r>
          </w:p>
          <w:p w14:paraId="4C9618EF"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17AF4BEA" w14:textId="4FCF0366"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العلاقة بين أنماط القيادة التحويلية ومستوى الالتزام التنظيمي لدى العاملين في القطاع الصحي</w:t>
            </w:r>
            <w:r w:rsidRPr="004C51B2">
              <w:rPr>
                <w:rFonts w:ascii="Traditional Arabic" w:hAnsi="Traditional Arabic" w:cs="Traditional Arabic" w:hint="cs"/>
                <w:b/>
                <w:bCs/>
                <w:sz w:val="24"/>
                <w:szCs w:val="24"/>
              </w:rPr>
              <w:t>.</w:t>
            </w:r>
          </w:p>
        </w:tc>
        <w:tc>
          <w:tcPr>
            <w:tcW w:w="2759" w:type="dxa"/>
          </w:tcPr>
          <w:p w14:paraId="3AFFFF83" w14:textId="19AED181"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حسين تناولت العلاقة بين القيادة التحويلية والالتزام التنظيمي</w:t>
            </w:r>
          </w:p>
        </w:tc>
      </w:tr>
      <w:tr w:rsidR="00C006C9" w:rsidRPr="004C51B2" w14:paraId="5C0A64C3" w14:textId="77777777" w:rsidTr="004C51B2">
        <w:trPr>
          <w:tblCellSpacing w:w="20" w:type="dxa"/>
        </w:trPr>
        <w:tc>
          <w:tcPr>
            <w:tcW w:w="2758" w:type="dxa"/>
          </w:tcPr>
          <w:p w14:paraId="69308C8B" w14:textId="2DAC262E" w:rsidR="00C006C9" w:rsidRPr="004C51B2" w:rsidRDefault="00C006C9" w:rsidP="00C006C9">
            <w:pPr>
              <w:bidi/>
              <w:spacing w:after="200" w:line="240" w:lineRule="auto"/>
              <w:contextualSpacing/>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الغامدي وعثمان 2023</w:t>
            </w:r>
          </w:p>
          <w:p w14:paraId="0FC05880"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09234F6" w14:textId="77777777" w:rsidR="00C006C9" w:rsidRPr="004C51B2" w:rsidRDefault="00C006C9" w:rsidP="0091303D">
            <w:pPr>
              <w:bidi/>
              <w:jc w:val="center"/>
              <w:rPr>
                <w:rFonts w:ascii="Traditional Arabic" w:hAnsi="Traditional Arabic" w:cs="Traditional Arabic"/>
                <w:b/>
                <w:bCs/>
                <w:sz w:val="24"/>
                <w:szCs w:val="24"/>
              </w:rPr>
            </w:pPr>
            <w:r w:rsidRPr="004C51B2">
              <w:rPr>
                <w:rFonts w:ascii="Traditional Arabic" w:hAnsi="Traditional Arabic" w:cs="Traditional Arabic" w:hint="cs"/>
                <w:b/>
                <w:bCs/>
                <w:sz w:val="24"/>
                <w:szCs w:val="24"/>
                <w:rtl/>
              </w:rPr>
              <w:t>دور القيادة التحويلية في تعزيز ثقافة سلامة المرضى داخل المستشفيات السعودية</w:t>
            </w:r>
            <w:r w:rsidRPr="004C51B2">
              <w:rPr>
                <w:rFonts w:ascii="Traditional Arabic" w:hAnsi="Traditional Arabic" w:cs="Traditional Arabic" w:hint="cs"/>
                <w:b/>
                <w:bCs/>
                <w:sz w:val="24"/>
                <w:szCs w:val="24"/>
              </w:rPr>
              <w:t>.</w:t>
            </w:r>
          </w:p>
          <w:p w14:paraId="004D9248"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3AF17460" w14:textId="65EA0999"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اهتمت بتأثير القيادة التحويلية على ثقافة السلامة، لكنها لم تحلل الدور الوسيط بين إدارة المخاطر وسلامة المرضى.</w:t>
            </w:r>
          </w:p>
        </w:tc>
      </w:tr>
      <w:tr w:rsidR="00C006C9" w:rsidRPr="004C51B2" w14:paraId="6B4079F4" w14:textId="77777777" w:rsidTr="004C51B2">
        <w:trPr>
          <w:tblCellSpacing w:w="20" w:type="dxa"/>
        </w:trPr>
        <w:tc>
          <w:tcPr>
            <w:tcW w:w="2758" w:type="dxa"/>
          </w:tcPr>
          <w:p w14:paraId="068C991A" w14:textId="40417B77" w:rsidR="00C006C9" w:rsidRPr="004C51B2" w:rsidRDefault="00C006C9" w:rsidP="00C006C9">
            <w:pPr>
              <w:bidi/>
              <w:spacing w:after="200" w:line="360" w:lineRule="auto"/>
              <w:contextualSpacing/>
              <w:jc w:val="center"/>
              <w:rPr>
                <w:rFonts w:ascii="Traditional Arabic" w:eastAsia="Calibri" w:hAnsi="Traditional Arabic" w:cs="Traditional Arabic"/>
                <w:b/>
                <w:bCs/>
                <w:sz w:val="24"/>
                <w:szCs w:val="24"/>
                <w:rtl/>
              </w:rPr>
            </w:pPr>
            <w:r w:rsidRPr="004C51B2">
              <w:rPr>
                <w:rFonts w:ascii="Traditional Arabic" w:eastAsia="Calibri" w:hAnsi="Traditional Arabic" w:cs="Traditional Arabic" w:hint="cs"/>
                <w:b/>
                <w:bCs/>
                <w:sz w:val="24"/>
                <w:szCs w:val="24"/>
                <w:rtl/>
                <w:lang w:bidi="ar-EG"/>
              </w:rPr>
              <w:t>دراسة عفيفي وآلاء 2024</w:t>
            </w:r>
          </w:p>
          <w:p w14:paraId="39944D33"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43ECD4D3" w14:textId="1959F43C"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على إدارة المخاطر الطبية وتحسين بيئة العمل الصحية.</w:t>
            </w:r>
          </w:p>
        </w:tc>
        <w:tc>
          <w:tcPr>
            <w:tcW w:w="2759" w:type="dxa"/>
          </w:tcPr>
          <w:p w14:paraId="6FAD6D21" w14:textId="1BC0FA21"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اقتربت من موضوعك من حيث الربط بين القيادة وإدارة المخاطر، لكنها لم تتناول سلامة المرضى كمتغير تابع رئيسي</w:t>
            </w:r>
            <w:r w:rsidRPr="004C51B2">
              <w:rPr>
                <w:rFonts w:ascii="Traditional Arabic" w:hAnsi="Traditional Arabic" w:cs="Traditional Arabic" w:hint="cs"/>
                <w:b/>
                <w:bCs/>
                <w:sz w:val="24"/>
                <w:szCs w:val="24"/>
              </w:rPr>
              <w:t>.</w:t>
            </w:r>
          </w:p>
        </w:tc>
      </w:tr>
      <w:tr w:rsidR="00C006C9" w:rsidRPr="004C51B2" w14:paraId="3BB7E3ED" w14:textId="77777777" w:rsidTr="004C51B2">
        <w:trPr>
          <w:tblCellSpacing w:w="20" w:type="dxa"/>
        </w:trPr>
        <w:tc>
          <w:tcPr>
            <w:tcW w:w="2758" w:type="dxa"/>
          </w:tcPr>
          <w:p w14:paraId="7CA824DB" w14:textId="77777777" w:rsidR="00C006C9" w:rsidRPr="004C51B2" w:rsidRDefault="00C006C9" w:rsidP="00C006C9">
            <w:pPr>
              <w:spacing w:after="200" w:line="240" w:lineRule="auto"/>
              <w:jc w:val="center"/>
              <w:rPr>
                <w:rFonts w:ascii="Traditional Arabic" w:eastAsia="Calibri" w:hAnsi="Traditional Arabic" w:cs="Traditional Arabic"/>
                <w:b/>
                <w:bCs/>
                <w:sz w:val="24"/>
                <w:szCs w:val="24"/>
                <w:lang w:bidi="ar-EG"/>
              </w:rPr>
            </w:pPr>
            <w:r w:rsidRPr="004C51B2">
              <w:rPr>
                <w:rFonts w:ascii="Traditional Arabic" w:eastAsia="Calibri" w:hAnsi="Traditional Arabic" w:cs="Traditional Arabic" w:hint="cs"/>
                <w:b/>
                <w:bCs/>
                <w:sz w:val="24"/>
                <w:szCs w:val="24"/>
                <w:lang w:bidi="ar-EG"/>
              </w:rPr>
              <w:t>Purwanto et al., 2020</w:t>
            </w:r>
          </w:p>
          <w:p w14:paraId="1E654709"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D93C070" w14:textId="694BC6D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والمعاملاتية على أداء مراكز الصحة العامة في إندونيسيا، وأظهرت نتائج إيجابية للقيادة التحويلية.</w:t>
            </w:r>
          </w:p>
        </w:tc>
        <w:tc>
          <w:tcPr>
            <w:tcW w:w="2759" w:type="dxa"/>
          </w:tcPr>
          <w:p w14:paraId="584A76AE" w14:textId="6AD0633B"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مراكز صحية بإندونيسيا، دون تحليل العلاقة الوسيطة أو التركيز على سلامة المرضى</w:t>
            </w:r>
            <w:r w:rsidRPr="004C51B2">
              <w:rPr>
                <w:rFonts w:ascii="Traditional Arabic" w:hAnsi="Traditional Arabic" w:cs="Traditional Arabic" w:hint="cs"/>
                <w:b/>
                <w:bCs/>
                <w:sz w:val="24"/>
                <w:szCs w:val="24"/>
              </w:rPr>
              <w:t>.</w:t>
            </w:r>
          </w:p>
        </w:tc>
      </w:tr>
      <w:tr w:rsidR="00C006C9" w:rsidRPr="004C51B2" w14:paraId="3C8C76ED" w14:textId="77777777" w:rsidTr="004C51B2">
        <w:trPr>
          <w:tblCellSpacing w:w="20" w:type="dxa"/>
        </w:trPr>
        <w:tc>
          <w:tcPr>
            <w:tcW w:w="2758" w:type="dxa"/>
          </w:tcPr>
          <w:p w14:paraId="243F94AE" w14:textId="77777777"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lang w:bidi="ar-EG"/>
              </w:rPr>
              <w:t>Badriyah Putri Jannah (2024)</w:t>
            </w:r>
          </w:p>
          <w:p w14:paraId="215D47A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2B1F8CA9" w14:textId="6D02D316"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دور القيادة التحويلية في تحسين جهود سلامة المرضى بالمستشفيات، مؤكدة فعاليتها في تقليل الحوادث وتحسين جودة الخدمة</w:t>
            </w:r>
            <w:r w:rsidRPr="004C51B2">
              <w:rPr>
                <w:rFonts w:ascii="Traditional Arabic" w:hAnsi="Traditional Arabic" w:cs="Traditional Arabic" w:hint="cs"/>
                <w:b/>
                <w:bCs/>
                <w:sz w:val="24"/>
                <w:szCs w:val="24"/>
              </w:rPr>
              <w:t>.</w:t>
            </w:r>
          </w:p>
        </w:tc>
        <w:tc>
          <w:tcPr>
            <w:tcW w:w="2759" w:type="dxa"/>
          </w:tcPr>
          <w:p w14:paraId="746407CF" w14:textId="7FC18E34"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وسلامة المرضى، لكنها لم تدمج إدارة المخاطر كمتغير مستقل</w:t>
            </w:r>
          </w:p>
        </w:tc>
      </w:tr>
      <w:tr w:rsidR="00C006C9" w:rsidRPr="004C51B2" w14:paraId="3B43AA59" w14:textId="77777777" w:rsidTr="004C51B2">
        <w:trPr>
          <w:tblCellSpacing w:w="20" w:type="dxa"/>
        </w:trPr>
        <w:tc>
          <w:tcPr>
            <w:tcW w:w="2758" w:type="dxa"/>
          </w:tcPr>
          <w:p w14:paraId="36378B10" w14:textId="158CB183"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lang w:bidi="ar-EG"/>
              </w:rPr>
              <w:lastRenderedPageBreak/>
              <w:t>Stöcker</w:t>
            </w:r>
          </w:p>
          <w:p w14:paraId="0BDEB2F7" w14:textId="77777777"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rtl/>
                <w:lang w:bidi="ar-EG"/>
              </w:rPr>
              <w:t>وآخرون 2023</w:t>
            </w:r>
          </w:p>
          <w:p w14:paraId="2D38513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712535CA" w14:textId="5EC7EB1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القيادة التحويلية ورأس المال الاجتماعي كعوامل طويلة الأمد مؤثرة في سلامة المرضى، ضمن إطار بارسوني تنظيمي</w:t>
            </w:r>
          </w:p>
        </w:tc>
        <w:tc>
          <w:tcPr>
            <w:tcW w:w="2759" w:type="dxa"/>
          </w:tcPr>
          <w:p w14:paraId="3B8D6AB6" w14:textId="51E3E9D4"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w:t>
            </w:r>
            <w:r w:rsidR="00565903" w:rsidRPr="004C51B2">
              <w:rPr>
                <w:rFonts w:ascii="Traditional Arabic" w:hAnsi="Traditional Arabic" w:cs="Traditional Arabic" w:hint="cs"/>
                <w:b/>
                <w:bCs/>
                <w:sz w:val="24"/>
                <w:szCs w:val="24"/>
                <w:rtl/>
              </w:rPr>
              <w:t xml:space="preserve"> أستوكر بحثوا في القيادة ورأس المال الاجتماعي ضمن إطار تنظيمي عام.</w:t>
            </w:r>
          </w:p>
        </w:tc>
      </w:tr>
      <w:tr w:rsidR="00C006C9" w:rsidRPr="004C51B2" w14:paraId="5033540B" w14:textId="77777777" w:rsidTr="004C51B2">
        <w:trPr>
          <w:tblCellSpacing w:w="20" w:type="dxa"/>
        </w:trPr>
        <w:tc>
          <w:tcPr>
            <w:tcW w:w="2758" w:type="dxa"/>
          </w:tcPr>
          <w:p w14:paraId="25B4D7A6" w14:textId="6B706F7B"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color w:val="000000" w:themeColor="text1"/>
                <w:sz w:val="24"/>
                <w:szCs w:val="24"/>
                <w:lang w:bidi="ar-EG"/>
              </w:rPr>
              <w:t xml:space="preserve">Hassan Alabdullah </w:t>
            </w:r>
            <w:r w:rsidRPr="004C51B2">
              <w:rPr>
                <w:rFonts w:ascii="Traditional Arabic" w:eastAsia="Calibri" w:hAnsi="Traditional Arabic" w:cs="Traditional Arabic" w:hint="cs"/>
                <w:b/>
                <w:bCs/>
                <w:color w:val="000000" w:themeColor="text1"/>
                <w:sz w:val="24"/>
                <w:szCs w:val="24"/>
                <w:rtl/>
                <w:lang w:bidi="ar-EG"/>
              </w:rPr>
              <w:t>&amp;</w:t>
            </w:r>
            <w:r w:rsidRPr="004C51B2">
              <w:rPr>
                <w:rFonts w:ascii="Traditional Arabic" w:eastAsia="Calibri" w:hAnsi="Traditional Arabic" w:cs="Traditional Arabic" w:hint="cs"/>
                <w:b/>
                <w:bCs/>
                <w:color w:val="000000" w:themeColor="text1"/>
                <w:sz w:val="24"/>
                <w:szCs w:val="24"/>
                <w:lang w:bidi="ar-EG"/>
              </w:rPr>
              <w:t xml:space="preserve">Waldemar Karwowski (2024)  </w:t>
            </w:r>
            <w:r w:rsidRPr="004C51B2">
              <w:rPr>
                <w:rFonts w:ascii="Traditional Arabic" w:eastAsia="Calibri" w:hAnsi="Traditional Arabic" w:cs="Traditional Arabic" w:hint="cs"/>
                <w:b/>
                <w:bCs/>
                <w:color w:val="000000" w:themeColor="text1"/>
                <w:sz w:val="24"/>
                <w:szCs w:val="24"/>
                <w:rtl/>
              </w:rPr>
              <w:t xml:space="preserve"> </w:t>
            </w:r>
            <w:r w:rsidRPr="004C51B2">
              <w:rPr>
                <w:rFonts w:ascii="Traditional Arabic" w:eastAsia="Calibri" w:hAnsi="Traditional Arabic" w:cs="Traditional Arabic" w:hint="cs"/>
                <w:b/>
                <w:bCs/>
                <w:color w:val="000000" w:themeColor="text1"/>
                <w:sz w:val="24"/>
                <w:szCs w:val="24"/>
                <w:lang w:bidi="ar-EG"/>
              </w:rPr>
              <w:t>“</w:t>
            </w:r>
          </w:p>
        </w:tc>
        <w:tc>
          <w:tcPr>
            <w:tcW w:w="2759" w:type="dxa"/>
          </w:tcPr>
          <w:p w14:paraId="2A19EAFE" w14:textId="460BCB64" w:rsidR="00C006C9" w:rsidRPr="004C51B2" w:rsidRDefault="00845ECF"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مراجعة منهجية لثقافة سلامة المرضى عالميًا، مع إبراز أهمية القيادة التحويلية في بناء بيئة صحية آمنة ومتواصلة.</w:t>
            </w:r>
          </w:p>
        </w:tc>
        <w:tc>
          <w:tcPr>
            <w:tcW w:w="2759" w:type="dxa"/>
          </w:tcPr>
          <w:p w14:paraId="3F58E418" w14:textId="062104C1"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قدّما مراجعة عالمية لثقافة السلامة، دون اختبار الدور الوسيط للقيادة التحويلية.</w:t>
            </w:r>
          </w:p>
        </w:tc>
      </w:tr>
      <w:tr w:rsidR="00C43DEA" w:rsidRPr="004C51B2" w14:paraId="1BDE3FD7" w14:textId="77777777" w:rsidTr="004C51B2">
        <w:trPr>
          <w:tblCellSpacing w:w="20" w:type="dxa"/>
        </w:trPr>
        <w:tc>
          <w:tcPr>
            <w:tcW w:w="2758" w:type="dxa"/>
          </w:tcPr>
          <w:p w14:paraId="63213D1A" w14:textId="000BEE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Smith et al. (2017)</w:t>
            </w:r>
          </w:p>
        </w:tc>
        <w:tc>
          <w:tcPr>
            <w:tcW w:w="2759" w:type="dxa"/>
          </w:tcPr>
          <w:p w14:paraId="510B3803" w14:textId="3BA5D529"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في تعزيز التفاعل التنظيمي.</w:t>
            </w:r>
          </w:p>
        </w:tc>
        <w:tc>
          <w:tcPr>
            <w:tcW w:w="2759" w:type="dxa"/>
          </w:tcPr>
          <w:p w14:paraId="3670AE5F" w14:textId="2B5C610B"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تربط القيادة التحويلية بإدارة المخاطر وسلامة المرضى في السياق الصحي.</w:t>
            </w:r>
          </w:p>
        </w:tc>
      </w:tr>
      <w:tr w:rsidR="00C43DEA" w:rsidRPr="004C51B2" w14:paraId="26DC5B8E" w14:textId="77777777" w:rsidTr="004C51B2">
        <w:trPr>
          <w:tblCellSpacing w:w="20" w:type="dxa"/>
        </w:trPr>
        <w:tc>
          <w:tcPr>
            <w:tcW w:w="2758" w:type="dxa"/>
          </w:tcPr>
          <w:p w14:paraId="4E868BBE" w14:textId="64D368C2"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Jones and Brown (2018)</w:t>
            </w:r>
          </w:p>
        </w:tc>
        <w:tc>
          <w:tcPr>
            <w:tcW w:w="2759" w:type="dxa"/>
          </w:tcPr>
          <w:p w14:paraId="1EF3DDCD" w14:textId="2D6C8114"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تحسين الأداء الإداري العام.</w:t>
            </w:r>
          </w:p>
        </w:tc>
        <w:tc>
          <w:tcPr>
            <w:tcW w:w="2759" w:type="dxa"/>
          </w:tcPr>
          <w:p w14:paraId="0C90B780" w14:textId="07FDBD1E"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لم تتناول المتغيرات الثلاث في المجال الصحي.</w:t>
            </w:r>
          </w:p>
        </w:tc>
      </w:tr>
      <w:tr w:rsidR="00C43DEA" w:rsidRPr="004C51B2" w14:paraId="0CCCCD1E" w14:textId="77777777" w:rsidTr="004C51B2">
        <w:trPr>
          <w:tblCellSpacing w:w="20" w:type="dxa"/>
        </w:trPr>
        <w:tc>
          <w:tcPr>
            <w:tcW w:w="2758" w:type="dxa"/>
          </w:tcPr>
          <w:p w14:paraId="4E370A98" w14:textId="1D66C3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Al-Zahrani, S. (2018)</w:t>
            </w:r>
          </w:p>
        </w:tc>
        <w:tc>
          <w:tcPr>
            <w:tcW w:w="2759" w:type="dxa"/>
          </w:tcPr>
          <w:p w14:paraId="54877D02" w14:textId="3564B27B"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بحث في أثر القيادة التحويلية على جودة الخدمة في القطاع الصحي.</w:t>
            </w:r>
          </w:p>
        </w:tc>
        <w:tc>
          <w:tcPr>
            <w:tcW w:w="2759" w:type="dxa"/>
          </w:tcPr>
          <w:p w14:paraId="6CD39A21" w14:textId="48A1C10A"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دون تحليل العلاقة الوسيطة مع إدارة المخاطر</w:t>
            </w:r>
            <w:r w:rsidRPr="004C51B2">
              <w:rPr>
                <w:rFonts w:ascii="Traditional Arabic" w:hAnsi="Traditional Arabic" w:cs="Traditional Arabic" w:hint="cs"/>
                <w:b/>
                <w:bCs/>
                <w:sz w:val="24"/>
                <w:szCs w:val="24"/>
              </w:rPr>
              <w:t>.</w:t>
            </w:r>
          </w:p>
        </w:tc>
      </w:tr>
      <w:tr w:rsidR="00C43DEA" w:rsidRPr="004C51B2" w14:paraId="43D38441" w14:textId="77777777" w:rsidTr="004C51B2">
        <w:trPr>
          <w:tblCellSpacing w:w="20" w:type="dxa"/>
        </w:trPr>
        <w:tc>
          <w:tcPr>
            <w:tcW w:w="2758" w:type="dxa"/>
          </w:tcPr>
          <w:p w14:paraId="40F879B6" w14:textId="0A792BB6"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محمد السعيد</w:t>
            </w:r>
            <w:r w:rsidRPr="004C51B2">
              <w:rPr>
                <w:rFonts w:ascii="Traditional Arabic" w:hAnsi="Traditional Arabic" w:cs="Traditional Arabic" w:hint="cs"/>
                <w:b/>
                <w:bCs/>
                <w:sz w:val="24"/>
                <w:szCs w:val="24"/>
              </w:rPr>
              <w:t xml:space="preserve"> (2019)</w:t>
            </w:r>
          </w:p>
        </w:tc>
        <w:tc>
          <w:tcPr>
            <w:tcW w:w="2759" w:type="dxa"/>
          </w:tcPr>
          <w:p w14:paraId="30065DE5" w14:textId="4F46C76B"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 القيادة التحويلية في تطوير بيئة العمل.</w:t>
            </w:r>
          </w:p>
        </w:tc>
        <w:tc>
          <w:tcPr>
            <w:tcW w:w="2759" w:type="dxa"/>
          </w:tcPr>
          <w:p w14:paraId="7F4CE3FE" w14:textId="5903602C"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لم </w:t>
            </w:r>
            <w:r w:rsidRPr="004C51B2">
              <w:rPr>
                <w:rFonts w:ascii="Traditional Arabic" w:hAnsi="Traditional Arabic" w:cs="Traditional Arabic" w:hint="cs"/>
                <w:b/>
                <w:bCs/>
                <w:sz w:val="24"/>
                <w:szCs w:val="24"/>
                <w:rtl/>
              </w:rPr>
              <w:t>تربطها بتحسين سلامة المرضى من خلال إدارة المخاطر.</w:t>
            </w:r>
          </w:p>
        </w:tc>
      </w:tr>
      <w:tr w:rsidR="00C43DEA" w:rsidRPr="004C51B2" w14:paraId="1AC3D26F" w14:textId="77777777" w:rsidTr="004C51B2">
        <w:trPr>
          <w:tblCellSpacing w:w="20" w:type="dxa"/>
        </w:trPr>
        <w:tc>
          <w:tcPr>
            <w:tcW w:w="2758" w:type="dxa"/>
          </w:tcPr>
          <w:p w14:paraId="267AA752" w14:textId="658E8915"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Al-Omari et al. (2019)</w:t>
            </w:r>
          </w:p>
        </w:tc>
        <w:tc>
          <w:tcPr>
            <w:tcW w:w="2759" w:type="dxa"/>
          </w:tcPr>
          <w:p w14:paraId="3221345E" w14:textId="10F18AB3" w:rsidR="00C43DEA" w:rsidRPr="004C51B2" w:rsidRDefault="00CC7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المؤسسات التعليمية.</w:t>
            </w:r>
          </w:p>
        </w:tc>
        <w:tc>
          <w:tcPr>
            <w:tcW w:w="2759" w:type="dxa"/>
          </w:tcPr>
          <w:p w14:paraId="3EE2B844" w14:textId="1848FA4C" w:rsidR="00C43DEA" w:rsidRPr="004C51B2" w:rsidRDefault="00CC745E" w:rsidP="00CC745E">
            <w:pPr>
              <w:bidi/>
              <w:spacing w:after="200" w:line="276" w:lineRule="auto"/>
              <w:ind w:left="720"/>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ولم تنتمي للسياق الصحي الحكومي</w:t>
            </w:r>
            <w:r w:rsidRPr="004C51B2">
              <w:rPr>
                <w:rFonts w:ascii="Traditional Arabic" w:hAnsi="Traditional Arabic" w:cs="Traditional Arabic" w:hint="cs"/>
                <w:b/>
                <w:bCs/>
                <w:spacing w:val="-6"/>
                <w:sz w:val="24"/>
                <w:szCs w:val="24"/>
                <w:lang w:bidi="ar-EG"/>
              </w:rPr>
              <w:t>.</w:t>
            </w:r>
          </w:p>
        </w:tc>
      </w:tr>
      <w:tr w:rsidR="00C43DEA" w:rsidRPr="004C51B2" w14:paraId="58314ED8" w14:textId="77777777" w:rsidTr="004C51B2">
        <w:trPr>
          <w:tblCellSpacing w:w="20" w:type="dxa"/>
        </w:trPr>
        <w:tc>
          <w:tcPr>
            <w:tcW w:w="2758" w:type="dxa"/>
          </w:tcPr>
          <w:p w14:paraId="05FD829F" w14:textId="282DCBAA"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Khan et al. (2019)</w:t>
            </w:r>
          </w:p>
        </w:tc>
        <w:tc>
          <w:tcPr>
            <w:tcW w:w="2759" w:type="dxa"/>
          </w:tcPr>
          <w:p w14:paraId="17741C85" w14:textId="016EBACB" w:rsidR="00C43DEA" w:rsidRPr="004C51B2" w:rsidRDefault="00916022" w:rsidP="00916022">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درست القيادة التحويلية في تعزيز الالتزام الوظيفي</w:t>
            </w:r>
          </w:p>
        </w:tc>
        <w:tc>
          <w:tcPr>
            <w:tcW w:w="2759" w:type="dxa"/>
          </w:tcPr>
          <w:p w14:paraId="5C76E4B8" w14:textId="35131E37" w:rsidR="00C43DEA" w:rsidRPr="004C51B2" w:rsidRDefault="00916022"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2BB5470D" w14:textId="77777777" w:rsidTr="004C51B2">
        <w:trPr>
          <w:tblCellSpacing w:w="20" w:type="dxa"/>
        </w:trPr>
        <w:tc>
          <w:tcPr>
            <w:tcW w:w="2758" w:type="dxa"/>
          </w:tcPr>
          <w:p w14:paraId="3BC97118" w14:textId="7FEAF4D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Al-Harbi (2019)</w:t>
            </w:r>
          </w:p>
        </w:tc>
        <w:tc>
          <w:tcPr>
            <w:tcW w:w="2759" w:type="dxa"/>
          </w:tcPr>
          <w:p w14:paraId="08CEB69D" w14:textId="5B75C58D"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المستشفيات السعودية.</w:t>
            </w:r>
          </w:p>
        </w:tc>
        <w:tc>
          <w:tcPr>
            <w:tcW w:w="2759" w:type="dxa"/>
          </w:tcPr>
          <w:p w14:paraId="7D406D7D" w14:textId="22732932"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يحلل دورها الوسيط بين إدارة المخاطر وسلامة المرضى.</w:t>
            </w:r>
          </w:p>
        </w:tc>
      </w:tr>
      <w:tr w:rsidR="00C43DEA" w:rsidRPr="004C51B2" w14:paraId="3569E87E" w14:textId="77777777" w:rsidTr="004C51B2">
        <w:trPr>
          <w:tblCellSpacing w:w="20" w:type="dxa"/>
        </w:trPr>
        <w:tc>
          <w:tcPr>
            <w:tcW w:w="2758" w:type="dxa"/>
          </w:tcPr>
          <w:p w14:paraId="5A565A58" w14:textId="73C01C98"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Johnson et al. (2019)</w:t>
            </w:r>
          </w:p>
        </w:tc>
        <w:tc>
          <w:tcPr>
            <w:tcW w:w="2759" w:type="dxa"/>
          </w:tcPr>
          <w:p w14:paraId="410BC6AD" w14:textId="534D0D6A"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بيئات متعددة الثقافات.</w:t>
            </w:r>
          </w:p>
        </w:tc>
        <w:tc>
          <w:tcPr>
            <w:tcW w:w="2759" w:type="dxa"/>
          </w:tcPr>
          <w:p w14:paraId="7BD1A9BE" w14:textId="4534B8F0"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C43DEA" w:rsidRPr="004C51B2" w14:paraId="7996D8A0" w14:textId="77777777" w:rsidTr="004C51B2">
        <w:trPr>
          <w:tblCellSpacing w:w="20" w:type="dxa"/>
        </w:trPr>
        <w:tc>
          <w:tcPr>
            <w:tcW w:w="2758" w:type="dxa"/>
          </w:tcPr>
          <w:p w14:paraId="25DC7E5F" w14:textId="2C15E57C"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lastRenderedPageBreak/>
              <w:t>Al-Mutairi et al. (2020)</w:t>
            </w:r>
          </w:p>
        </w:tc>
        <w:tc>
          <w:tcPr>
            <w:tcW w:w="2759" w:type="dxa"/>
          </w:tcPr>
          <w:p w14:paraId="13B716E3" w14:textId="3E936555"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تحسين الأداء الفردي.</w:t>
            </w:r>
          </w:p>
        </w:tc>
        <w:tc>
          <w:tcPr>
            <w:tcW w:w="2759" w:type="dxa"/>
          </w:tcPr>
          <w:p w14:paraId="71F5B111" w14:textId="5EFB3893"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تناول المتغيرات المؤسسية الصحية كما في الدراسة الحالية.</w:t>
            </w:r>
          </w:p>
        </w:tc>
      </w:tr>
      <w:tr w:rsidR="00C43DEA" w:rsidRPr="004C51B2" w14:paraId="39DC1E4B" w14:textId="77777777" w:rsidTr="004C51B2">
        <w:trPr>
          <w:tblCellSpacing w:w="20" w:type="dxa"/>
        </w:trPr>
        <w:tc>
          <w:tcPr>
            <w:tcW w:w="2758" w:type="dxa"/>
          </w:tcPr>
          <w:p w14:paraId="7CF5CA66" w14:textId="5F11A00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Miller and Davis (2020)</w:t>
            </w:r>
          </w:p>
        </w:tc>
        <w:tc>
          <w:tcPr>
            <w:tcW w:w="2759" w:type="dxa"/>
          </w:tcPr>
          <w:p w14:paraId="71639412" w14:textId="7724B643"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القيادة التحويلية في إدارة التغيير المؤسسي.</w:t>
            </w:r>
          </w:p>
        </w:tc>
        <w:tc>
          <w:tcPr>
            <w:tcW w:w="2759" w:type="dxa"/>
          </w:tcPr>
          <w:p w14:paraId="14346A3B" w14:textId="059CE4FF"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تربطها بإدارة المخاطر وسلامة المرضى.</w:t>
            </w:r>
          </w:p>
        </w:tc>
      </w:tr>
      <w:tr w:rsidR="00C43DEA" w:rsidRPr="004C51B2" w14:paraId="518FC587" w14:textId="77777777" w:rsidTr="004C51B2">
        <w:trPr>
          <w:tblCellSpacing w:w="20" w:type="dxa"/>
        </w:trPr>
        <w:tc>
          <w:tcPr>
            <w:tcW w:w="2758" w:type="dxa"/>
          </w:tcPr>
          <w:p w14:paraId="7217004A" w14:textId="423558E1"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Al-Qahtani et al. (2020)</w:t>
            </w:r>
          </w:p>
        </w:tc>
        <w:tc>
          <w:tcPr>
            <w:tcW w:w="2759" w:type="dxa"/>
          </w:tcPr>
          <w:p w14:paraId="57C9AB73" w14:textId="492E335E" w:rsidR="00C43DEA" w:rsidRPr="004C51B2" w:rsidRDefault="00176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تعزيز ثقافة الجودة.</w:t>
            </w:r>
          </w:p>
        </w:tc>
        <w:tc>
          <w:tcPr>
            <w:tcW w:w="2759" w:type="dxa"/>
          </w:tcPr>
          <w:p w14:paraId="6EC33331" w14:textId="40CD93C9"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مع إدارة المخاطر.</w:t>
            </w:r>
          </w:p>
        </w:tc>
      </w:tr>
      <w:tr w:rsidR="00C43DEA" w:rsidRPr="004C51B2" w14:paraId="47D10C42" w14:textId="77777777" w:rsidTr="004C51B2">
        <w:trPr>
          <w:tblCellSpacing w:w="20" w:type="dxa"/>
        </w:trPr>
        <w:tc>
          <w:tcPr>
            <w:tcW w:w="2758" w:type="dxa"/>
          </w:tcPr>
          <w:p w14:paraId="10AEEDC4" w14:textId="139F80E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عبد الله بن محمد الجهني</w:t>
            </w:r>
            <w:r w:rsidRPr="004C51B2">
              <w:rPr>
                <w:rFonts w:ascii="Traditional Arabic" w:hAnsi="Traditional Arabic" w:cs="Traditional Arabic" w:hint="cs"/>
                <w:b/>
                <w:bCs/>
                <w:sz w:val="24"/>
                <w:szCs w:val="24"/>
              </w:rPr>
              <w:t xml:space="preserve"> (2020)</w:t>
            </w:r>
          </w:p>
        </w:tc>
        <w:tc>
          <w:tcPr>
            <w:tcW w:w="2759" w:type="dxa"/>
          </w:tcPr>
          <w:p w14:paraId="08AB9EB5" w14:textId="18DFB340"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الأداء الوظيفي.</w:t>
            </w:r>
          </w:p>
        </w:tc>
        <w:tc>
          <w:tcPr>
            <w:tcW w:w="2759" w:type="dxa"/>
          </w:tcPr>
          <w:p w14:paraId="3AF44392" w14:textId="28E5242E"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من غير ما تدمجها كمتغير وسيط في بيئة صحية.</w:t>
            </w:r>
          </w:p>
        </w:tc>
      </w:tr>
      <w:tr w:rsidR="00C43DEA" w:rsidRPr="004C51B2" w14:paraId="33B655B7" w14:textId="77777777" w:rsidTr="004C51B2">
        <w:trPr>
          <w:tblCellSpacing w:w="20" w:type="dxa"/>
        </w:trPr>
        <w:tc>
          <w:tcPr>
            <w:tcW w:w="2758" w:type="dxa"/>
          </w:tcPr>
          <w:p w14:paraId="4AA8B5A8" w14:textId="69205370"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et al. (2020)</w:t>
            </w:r>
          </w:p>
        </w:tc>
        <w:tc>
          <w:tcPr>
            <w:tcW w:w="2759" w:type="dxa"/>
          </w:tcPr>
          <w:p w14:paraId="006CADBD" w14:textId="05D71263"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lang w:bidi="ar-EG"/>
              </w:rPr>
              <w:t>درست القيادة التحويلية في تحسين التفاعل التنظيمي.</w:t>
            </w:r>
          </w:p>
        </w:tc>
        <w:tc>
          <w:tcPr>
            <w:tcW w:w="2759" w:type="dxa"/>
          </w:tcPr>
          <w:p w14:paraId="6451DDC9" w14:textId="4A5690F1"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4B3D56FC" w14:textId="77777777" w:rsidTr="004C51B2">
        <w:trPr>
          <w:tblCellSpacing w:w="20" w:type="dxa"/>
        </w:trPr>
        <w:tc>
          <w:tcPr>
            <w:tcW w:w="2758" w:type="dxa"/>
          </w:tcPr>
          <w:p w14:paraId="54F67C4D" w14:textId="182DDA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Sami Al-Zahrani (2021)</w:t>
            </w:r>
          </w:p>
        </w:tc>
        <w:tc>
          <w:tcPr>
            <w:tcW w:w="2759" w:type="dxa"/>
          </w:tcPr>
          <w:p w14:paraId="164D17DA" w14:textId="556F6B3F"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المؤسسات التعليمية.</w:t>
            </w:r>
          </w:p>
        </w:tc>
        <w:tc>
          <w:tcPr>
            <w:tcW w:w="2759" w:type="dxa"/>
          </w:tcPr>
          <w:p w14:paraId="2698B3FA" w14:textId="17E71880" w:rsidR="00C43DEA" w:rsidRPr="004C51B2" w:rsidRDefault="003F1C06" w:rsidP="003F1C06">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تنتمي للسياق الصحي وتحلل العلاقة الثلاثية</w:t>
            </w:r>
            <w:r w:rsidRPr="004C51B2">
              <w:rPr>
                <w:rFonts w:ascii="Traditional Arabic" w:hAnsi="Traditional Arabic" w:cs="Traditional Arabic" w:hint="cs"/>
                <w:b/>
                <w:bCs/>
                <w:sz w:val="24"/>
                <w:szCs w:val="24"/>
              </w:rPr>
              <w:t>.</w:t>
            </w:r>
          </w:p>
        </w:tc>
      </w:tr>
      <w:tr w:rsidR="00C43DEA" w:rsidRPr="004C51B2" w14:paraId="35F870F6" w14:textId="77777777" w:rsidTr="004C51B2">
        <w:trPr>
          <w:tblCellSpacing w:w="20" w:type="dxa"/>
        </w:trPr>
        <w:tc>
          <w:tcPr>
            <w:tcW w:w="2758" w:type="dxa"/>
          </w:tcPr>
          <w:p w14:paraId="47E0ECCD" w14:textId="413C359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Anderson et al. (2021)</w:t>
            </w:r>
          </w:p>
        </w:tc>
        <w:tc>
          <w:tcPr>
            <w:tcW w:w="2759" w:type="dxa"/>
          </w:tcPr>
          <w:p w14:paraId="03CBDE4F" w14:textId="091AF59F"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تناولت القيادة التحويلية في تحسين الأداء العام.</w:t>
            </w:r>
          </w:p>
        </w:tc>
        <w:tc>
          <w:tcPr>
            <w:tcW w:w="2759" w:type="dxa"/>
          </w:tcPr>
          <w:p w14:paraId="3F1C265C" w14:textId="7BF3115C"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دورها الوسيط في بيئة صحية حكومية.</w:t>
            </w:r>
          </w:p>
        </w:tc>
      </w:tr>
      <w:tr w:rsidR="00C43DEA" w:rsidRPr="004C51B2" w14:paraId="1D175DEC" w14:textId="77777777" w:rsidTr="004C51B2">
        <w:trPr>
          <w:tblCellSpacing w:w="20" w:type="dxa"/>
        </w:trPr>
        <w:tc>
          <w:tcPr>
            <w:tcW w:w="2758" w:type="dxa"/>
          </w:tcPr>
          <w:p w14:paraId="00DEC23A" w14:textId="3DE0FE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Garcia and Martinez (2022)</w:t>
            </w:r>
          </w:p>
        </w:tc>
        <w:tc>
          <w:tcPr>
            <w:tcW w:w="2759" w:type="dxa"/>
          </w:tcPr>
          <w:p w14:paraId="386749EB" w14:textId="5FC07965"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القيادة التحويلية في المستشفيات الخاصة.</w:t>
            </w:r>
          </w:p>
        </w:tc>
        <w:tc>
          <w:tcPr>
            <w:tcW w:w="2759" w:type="dxa"/>
          </w:tcPr>
          <w:p w14:paraId="6D8B8918" w14:textId="0A6F255E"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تركز على المرافق الحكومية وسلامة المرضى</w:t>
            </w:r>
            <w:r w:rsidRPr="004C51B2">
              <w:rPr>
                <w:rFonts w:ascii="Traditional Arabic" w:hAnsi="Traditional Arabic" w:cs="Traditional Arabic" w:hint="cs"/>
                <w:b/>
                <w:bCs/>
                <w:sz w:val="24"/>
                <w:szCs w:val="24"/>
              </w:rPr>
              <w:t>.</w:t>
            </w:r>
          </w:p>
        </w:tc>
      </w:tr>
      <w:tr w:rsidR="00C43DEA" w:rsidRPr="004C51B2" w14:paraId="1DFE4093" w14:textId="77777777" w:rsidTr="004C51B2">
        <w:trPr>
          <w:tblCellSpacing w:w="20" w:type="dxa"/>
        </w:trPr>
        <w:tc>
          <w:tcPr>
            <w:tcW w:w="2758" w:type="dxa"/>
          </w:tcPr>
          <w:p w14:paraId="7DE2D4EE" w14:textId="7BA2B93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منصور بن عبد الرحمن العتيبي</w:t>
            </w:r>
            <w:r w:rsidRPr="004C51B2">
              <w:rPr>
                <w:rFonts w:ascii="Traditional Arabic" w:hAnsi="Traditional Arabic" w:cs="Traditional Arabic" w:hint="cs"/>
                <w:b/>
                <w:bCs/>
                <w:sz w:val="24"/>
                <w:szCs w:val="24"/>
              </w:rPr>
              <w:t xml:space="preserve"> (2022)</w:t>
            </w:r>
          </w:p>
        </w:tc>
        <w:tc>
          <w:tcPr>
            <w:tcW w:w="2759" w:type="dxa"/>
          </w:tcPr>
          <w:p w14:paraId="1C9B670B" w14:textId="511911B1"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 xml:space="preserve"> تناول القيادة التحويلية في تحفيز العاملين.</w:t>
            </w:r>
          </w:p>
        </w:tc>
        <w:tc>
          <w:tcPr>
            <w:tcW w:w="2759" w:type="dxa"/>
          </w:tcPr>
          <w:p w14:paraId="10CCDB1A" w14:textId="5F6B6299"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تحليل علاقتها بإدارة المخاطر وسلامة المرضى</w:t>
            </w:r>
            <w:r w:rsidRPr="004C51B2">
              <w:rPr>
                <w:rFonts w:ascii="Traditional Arabic" w:hAnsi="Traditional Arabic" w:cs="Traditional Arabic" w:hint="cs"/>
                <w:b/>
                <w:bCs/>
                <w:sz w:val="24"/>
                <w:szCs w:val="24"/>
              </w:rPr>
              <w:t>.</w:t>
            </w:r>
          </w:p>
        </w:tc>
      </w:tr>
      <w:tr w:rsidR="00C43DEA" w:rsidRPr="004C51B2" w14:paraId="7717A2C4" w14:textId="77777777" w:rsidTr="004C51B2">
        <w:trPr>
          <w:tblCellSpacing w:w="20" w:type="dxa"/>
        </w:trPr>
        <w:tc>
          <w:tcPr>
            <w:tcW w:w="2758" w:type="dxa"/>
          </w:tcPr>
          <w:p w14:paraId="2DE34A8F" w14:textId="2CA7C77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فريق باحثين (2025) – دراسة أوروبية</w:t>
            </w:r>
          </w:p>
        </w:tc>
        <w:tc>
          <w:tcPr>
            <w:tcW w:w="2759" w:type="dxa"/>
          </w:tcPr>
          <w:p w14:paraId="236D3733" w14:textId="0D7ED3F3"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بحث القيادة التحويلية في دعم اتخاذ القرار.</w:t>
            </w:r>
          </w:p>
        </w:tc>
        <w:tc>
          <w:tcPr>
            <w:tcW w:w="2759" w:type="dxa"/>
          </w:tcPr>
          <w:p w14:paraId="2FEB75EC" w14:textId="1D0947FD"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تحلل دورها الوسيط بين إدارة المخاطر وسلامة المرضى</w:t>
            </w:r>
            <w:r w:rsidRPr="004C51B2">
              <w:rPr>
                <w:rFonts w:ascii="Traditional Arabic" w:hAnsi="Traditional Arabic" w:cs="Traditional Arabic" w:hint="cs"/>
                <w:b/>
                <w:bCs/>
                <w:sz w:val="24"/>
                <w:szCs w:val="24"/>
              </w:rPr>
              <w:t>.</w:t>
            </w:r>
          </w:p>
        </w:tc>
      </w:tr>
      <w:tr w:rsidR="0025733B" w:rsidRPr="004C51B2" w14:paraId="6F46BD38" w14:textId="77777777" w:rsidTr="004C51B2">
        <w:trPr>
          <w:tblCellSpacing w:w="20" w:type="dxa"/>
        </w:trPr>
        <w:tc>
          <w:tcPr>
            <w:tcW w:w="2758" w:type="dxa"/>
          </w:tcPr>
          <w:p w14:paraId="167707A0" w14:textId="7631B54F" w:rsidR="0025733B" w:rsidRPr="004C51B2" w:rsidRDefault="0025733B" w:rsidP="0025733B">
            <w:pPr>
              <w:bidi/>
              <w:spacing w:after="200" w:line="276" w:lineRule="auto"/>
              <w:jc w:val="center"/>
              <w:rPr>
                <w:rFonts w:ascii="Traditional Arabic" w:hAnsi="Traditional Arabic" w:cs="Traditional Arabic"/>
                <w:b/>
                <w:bCs/>
                <w:spacing w:val="-6"/>
                <w:sz w:val="24"/>
                <w:szCs w:val="24"/>
                <w:lang w:bidi="ar-EG"/>
              </w:rPr>
            </w:pPr>
            <w:r w:rsidRPr="004C51B2">
              <w:rPr>
                <w:rFonts w:ascii="Traditional Arabic" w:hAnsi="Traditional Arabic" w:cs="Traditional Arabic" w:hint="cs"/>
                <w:b/>
                <w:bCs/>
                <w:spacing w:val="-6"/>
                <w:sz w:val="24"/>
                <w:szCs w:val="24"/>
                <w:rtl/>
              </w:rPr>
              <w:t>ريم وحسن</w:t>
            </w:r>
            <w:r w:rsidRPr="004C51B2">
              <w:rPr>
                <w:rFonts w:ascii="Traditional Arabic" w:hAnsi="Traditional Arabic" w:cs="Traditional Arabic" w:hint="cs"/>
                <w:b/>
                <w:bCs/>
                <w:spacing w:val="-6"/>
                <w:sz w:val="24"/>
                <w:szCs w:val="24"/>
                <w:lang w:bidi="ar-EG"/>
              </w:rPr>
              <w:t xml:space="preserve"> (2020)</w:t>
            </w:r>
          </w:p>
        </w:tc>
        <w:tc>
          <w:tcPr>
            <w:tcW w:w="2759" w:type="dxa"/>
          </w:tcPr>
          <w:p w14:paraId="155BA130" w14:textId="205739D5"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ناقشا أهمية الثقافة التنظيمية في تحسين جودة الرعاية الصحية.</w:t>
            </w:r>
          </w:p>
        </w:tc>
        <w:tc>
          <w:tcPr>
            <w:tcW w:w="2759" w:type="dxa"/>
          </w:tcPr>
          <w:p w14:paraId="77436355" w14:textId="1B3CE1BC"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التطرق إلى القيادة التحويلية أو علاقتها بإدارة المخاطر وسلامة المرضى</w:t>
            </w:r>
            <w:r w:rsidRPr="004C51B2">
              <w:rPr>
                <w:rFonts w:ascii="Traditional Arabic" w:hAnsi="Traditional Arabic" w:cs="Traditional Arabic" w:hint="cs"/>
                <w:b/>
                <w:bCs/>
                <w:sz w:val="24"/>
                <w:szCs w:val="24"/>
              </w:rPr>
              <w:t>.</w:t>
            </w:r>
          </w:p>
        </w:tc>
      </w:tr>
      <w:tr w:rsidR="0025733B" w:rsidRPr="004C51B2" w14:paraId="0ADB23F5" w14:textId="77777777" w:rsidTr="004C51B2">
        <w:trPr>
          <w:tblCellSpacing w:w="20" w:type="dxa"/>
        </w:trPr>
        <w:tc>
          <w:tcPr>
            <w:tcW w:w="2758" w:type="dxa"/>
          </w:tcPr>
          <w:p w14:paraId="24CD08BE" w14:textId="6C0580AC"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lastRenderedPageBreak/>
              <w:t>آلاء أحمد ومحمد عفيفي</w:t>
            </w:r>
            <w:r w:rsidRPr="004C51B2">
              <w:rPr>
                <w:rFonts w:ascii="Traditional Arabic" w:hAnsi="Traditional Arabic" w:cs="Traditional Arabic" w:hint="cs"/>
                <w:b/>
                <w:bCs/>
                <w:spacing w:val="-6"/>
                <w:sz w:val="24"/>
                <w:szCs w:val="24"/>
                <w:lang w:bidi="ar-EG"/>
              </w:rPr>
              <w:t xml:space="preserve"> (2021)</w:t>
            </w:r>
          </w:p>
        </w:tc>
        <w:tc>
          <w:tcPr>
            <w:tcW w:w="2759" w:type="dxa"/>
          </w:tcPr>
          <w:p w14:paraId="3987C8F8" w14:textId="7D03B2AB" w:rsidR="0025733B" w:rsidRPr="004C51B2" w:rsidRDefault="00777ECD" w:rsidP="0025733B">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ركزا على تقييم برامج سلامة المرضى في المستشفيات الجامعية.</w:t>
            </w:r>
          </w:p>
        </w:tc>
        <w:tc>
          <w:tcPr>
            <w:tcW w:w="2759" w:type="dxa"/>
          </w:tcPr>
          <w:p w14:paraId="2935AA83" w14:textId="2ADF83A9"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التحويلية بإدارة المخاطر كعامل مؤثر في السلامة.</w:t>
            </w:r>
          </w:p>
        </w:tc>
      </w:tr>
      <w:tr w:rsidR="0025733B" w:rsidRPr="004C51B2" w14:paraId="23DB0E8B" w14:textId="77777777" w:rsidTr="004C51B2">
        <w:trPr>
          <w:tblCellSpacing w:w="20" w:type="dxa"/>
        </w:trPr>
        <w:tc>
          <w:tcPr>
            <w:tcW w:w="2758" w:type="dxa"/>
          </w:tcPr>
          <w:p w14:paraId="38DD28A3" w14:textId="2A2632C2"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نعيمة القصير</w:t>
            </w:r>
            <w:r w:rsidRPr="004C51B2">
              <w:rPr>
                <w:rFonts w:ascii="Traditional Arabic" w:hAnsi="Traditional Arabic" w:cs="Traditional Arabic" w:hint="cs"/>
                <w:b/>
                <w:bCs/>
                <w:spacing w:val="-6"/>
                <w:sz w:val="24"/>
                <w:szCs w:val="24"/>
                <w:lang w:bidi="ar-EG"/>
              </w:rPr>
              <w:t xml:space="preserve"> (2022)</w:t>
            </w:r>
          </w:p>
        </w:tc>
        <w:tc>
          <w:tcPr>
            <w:tcW w:w="2759" w:type="dxa"/>
          </w:tcPr>
          <w:p w14:paraId="0164E24A" w14:textId="5E4A1F82" w:rsidR="001F4BA4"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تناولت دور التمكين المهني في تعزيز سلامة المرضى.</w:t>
            </w:r>
          </w:p>
          <w:p w14:paraId="176CB7FB" w14:textId="77777777" w:rsidR="0025733B" w:rsidRPr="004C51B2" w:rsidRDefault="0025733B" w:rsidP="0025733B">
            <w:pPr>
              <w:bidi/>
              <w:spacing w:after="200" w:line="276" w:lineRule="auto"/>
              <w:jc w:val="center"/>
              <w:rPr>
                <w:rFonts w:ascii="Traditional Arabic" w:hAnsi="Traditional Arabic" w:cs="Traditional Arabic"/>
                <w:b/>
                <w:bCs/>
                <w:spacing w:val="-6"/>
                <w:sz w:val="24"/>
                <w:szCs w:val="24"/>
                <w:rtl/>
              </w:rPr>
            </w:pPr>
          </w:p>
        </w:tc>
        <w:tc>
          <w:tcPr>
            <w:tcW w:w="2759" w:type="dxa"/>
          </w:tcPr>
          <w:p w14:paraId="40DAC597" w14:textId="0D6CA301"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للقيادة التحويلية كما في الدراسة الحالية.</w:t>
            </w:r>
          </w:p>
        </w:tc>
      </w:tr>
      <w:tr w:rsidR="0025733B" w:rsidRPr="004C51B2" w14:paraId="02FD710B" w14:textId="77777777" w:rsidTr="004C51B2">
        <w:trPr>
          <w:tblCellSpacing w:w="20" w:type="dxa"/>
        </w:trPr>
        <w:tc>
          <w:tcPr>
            <w:tcW w:w="2758" w:type="dxa"/>
          </w:tcPr>
          <w:p w14:paraId="25C9B86C" w14:textId="16760216"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المركز السعودي لسلامة المرضى</w:t>
            </w:r>
            <w:r w:rsidRPr="004C51B2">
              <w:rPr>
                <w:rFonts w:ascii="Traditional Arabic" w:hAnsi="Traditional Arabic" w:cs="Traditional Arabic" w:hint="cs"/>
                <w:b/>
                <w:bCs/>
                <w:spacing w:val="-6"/>
                <w:sz w:val="24"/>
                <w:szCs w:val="24"/>
                <w:lang w:bidi="ar-EG"/>
              </w:rPr>
              <w:t xml:space="preserve"> (2022)</w:t>
            </w:r>
          </w:p>
        </w:tc>
        <w:tc>
          <w:tcPr>
            <w:tcW w:w="2759" w:type="dxa"/>
          </w:tcPr>
          <w:p w14:paraId="46B4DD7A" w14:textId="2E3F2BC8" w:rsidR="0025733B"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قدم سياسات وإرشادات لتحسين سلامة المرضى.</w:t>
            </w:r>
          </w:p>
        </w:tc>
        <w:tc>
          <w:tcPr>
            <w:tcW w:w="2759" w:type="dxa"/>
          </w:tcPr>
          <w:p w14:paraId="23A16DC9" w14:textId="2DE71BAE"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القيادة التحويلية كمتغير وسيط.</w:t>
            </w:r>
          </w:p>
        </w:tc>
      </w:tr>
      <w:tr w:rsidR="0025733B" w:rsidRPr="004C51B2" w14:paraId="08D0726B" w14:textId="77777777" w:rsidTr="004C51B2">
        <w:trPr>
          <w:tblCellSpacing w:w="20" w:type="dxa"/>
        </w:trPr>
        <w:tc>
          <w:tcPr>
            <w:tcW w:w="2758" w:type="dxa"/>
          </w:tcPr>
          <w:p w14:paraId="0CC9E3FD" w14:textId="483AD60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(2023)</w:t>
            </w:r>
          </w:p>
        </w:tc>
        <w:tc>
          <w:tcPr>
            <w:tcW w:w="2759" w:type="dxa"/>
          </w:tcPr>
          <w:p w14:paraId="383C1117" w14:textId="4BE8115E"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المبادئ العامة لسلامة المرضى عالميًا.</w:t>
            </w:r>
          </w:p>
        </w:tc>
        <w:tc>
          <w:tcPr>
            <w:tcW w:w="2759" w:type="dxa"/>
          </w:tcPr>
          <w:p w14:paraId="73687153" w14:textId="2BB8F374"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تتناول العلاقة السببية بين القيادة وإدارة المخاطر في السياق المحلي</w:t>
            </w:r>
            <w:r w:rsidRPr="004C51B2">
              <w:rPr>
                <w:rFonts w:ascii="Traditional Arabic" w:hAnsi="Traditional Arabic" w:cs="Traditional Arabic" w:hint="cs"/>
                <w:b/>
                <w:bCs/>
                <w:sz w:val="24"/>
                <w:szCs w:val="24"/>
              </w:rPr>
              <w:t>.</w:t>
            </w:r>
          </w:p>
        </w:tc>
      </w:tr>
      <w:tr w:rsidR="0025733B" w:rsidRPr="004C51B2" w14:paraId="516BBF52" w14:textId="77777777" w:rsidTr="004C51B2">
        <w:trPr>
          <w:tblCellSpacing w:w="20" w:type="dxa"/>
        </w:trPr>
        <w:tc>
          <w:tcPr>
            <w:tcW w:w="2758" w:type="dxa"/>
          </w:tcPr>
          <w:p w14:paraId="3FC230B0" w14:textId="143130FF"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وزارة الصحة المصرية</w:t>
            </w:r>
            <w:r w:rsidRPr="004C51B2">
              <w:rPr>
                <w:rFonts w:ascii="Traditional Arabic" w:hAnsi="Traditional Arabic" w:cs="Traditional Arabic" w:hint="cs"/>
                <w:b/>
                <w:bCs/>
                <w:spacing w:val="-6"/>
                <w:sz w:val="24"/>
                <w:szCs w:val="24"/>
                <w:lang w:bidi="ar-EG"/>
              </w:rPr>
              <w:t xml:space="preserve"> (2023)</w:t>
            </w:r>
          </w:p>
        </w:tc>
        <w:tc>
          <w:tcPr>
            <w:tcW w:w="2759" w:type="dxa"/>
          </w:tcPr>
          <w:p w14:paraId="17D2A429" w14:textId="3FD7D411"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أصدرت تقريرًا حول مؤشرات سلامة المرضى في المستشفيات الحكومية.</w:t>
            </w:r>
          </w:p>
        </w:tc>
        <w:tc>
          <w:tcPr>
            <w:tcW w:w="2759" w:type="dxa"/>
          </w:tcPr>
          <w:p w14:paraId="06F072AB" w14:textId="5B672497"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دور القيادة التحويلية في تحسين تلك المؤشرات.</w:t>
            </w:r>
          </w:p>
        </w:tc>
      </w:tr>
      <w:tr w:rsidR="0025733B" w:rsidRPr="004C51B2" w14:paraId="53317B30" w14:textId="77777777" w:rsidTr="004C51B2">
        <w:trPr>
          <w:tblCellSpacing w:w="20" w:type="dxa"/>
        </w:trPr>
        <w:tc>
          <w:tcPr>
            <w:tcW w:w="2758" w:type="dxa"/>
          </w:tcPr>
          <w:p w14:paraId="62A60118" w14:textId="3E315C70"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القمة الوزارية العالمية لسلامة المرضى</w:t>
            </w:r>
            <w:r w:rsidRPr="004C51B2">
              <w:rPr>
                <w:rFonts w:ascii="Traditional Arabic" w:hAnsi="Traditional Arabic" w:cs="Traditional Arabic" w:hint="cs"/>
                <w:b/>
                <w:bCs/>
                <w:spacing w:val="-6"/>
                <w:sz w:val="24"/>
                <w:szCs w:val="24"/>
                <w:lang w:bidi="ar-EG"/>
              </w:rPr>
              <w:t xml:space="preserve"> (2023)</w:t>
            </w:r>
          </w:p>
        </w:tc>
        <w:tc>
          <w:tcPr>
            <w:tcW w:w="2759" w:type="dxa"/>
          </w:tcPr>
          <w:p w14:paraId="1584DA80" w14:textId="40CB558D"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ناقشت التحديات العالمية في سلامة المرضى.</w:t>
            </w:r>
          </w:p>
        </w:tc>
        <w:tc>
          <w:tcPr>
            <w:tcW w:w="2759" w:type="dxa"/>
          </w:tcPr>
          <w:p w14:paraId="24BF1FBE" w14:textId="0B5D7AC1"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تحليليًا تطبيقيًا في بيئة حكومية محددة.</w:t>
            </w:r>
          </w:p>
        </w:tc>
      </w:tr>
      <w:tr w:rsidR="0025733B" w:rsidRPr="004C51B2" w14:paraId="299013C3" w14:textId="77777777" w:rsidTr="004C51B2">
        <w:trPr>
          <w:tblCellSpacing w:w="20" w:type="dxa"/>
        </w:trPr>
        <w:tc>
          <w:tcPr>
            <w:tcW w:w="2758" w:type="dxa"/>
          </w:tcPr>
          <w:p w14:paraId="2C4FBF00" w14:textId="06B3F83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HealthySimulation (2024)</w:t>
            </w:r>
          </w:p>
        </w:tc>
        <w:tc>
          <w:tcPr>
            <w:tcW w:w="2759" w:type="dxa"/>
          </w:tcPr>
          <w:p w14:paraId="0A5F1F52" w14:textId="116D8DA1"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أهمية المحاكاة في تدريب الكوادر الصحية على السلامة.</w:t>
            </w:r>
          </w:p>
        </w:tc>
        <w:tc>
          <w:tcPr>
            <w:tcW w:w="2759" w:type="dxa"/>
          </w:tcPr>
          <w:p w14:paraId="7E4148BA" w14:textId="7E3DF789"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بالقيادة التحويلية أو إدارة المخاطر.</w:t>
            </w:r>
          </w:p>
        </w:tc>
      </w:tr>
      <w:tr w:rsidR="0025733B" w:rsidRPr="004C51B2" w14:paraId="3307BEA6" w14:textId="77777777" w:rsidTr="004C51B2">
        <w:trPr>
          <w:tblCellSpacing w:w="20" w:type="dxa"/>
        </w:trPr>
        <w:tc>
          <w:tcPr>
            <w:tcW w:w="2758" w:type="dxa"/>
          </w:tcPr>
          <w:p w14:paraId="159E3C97" w14:textId="41458941"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(2024)</w:t>
            </w:r>
            <w:r w:rsidRPr="004C51B2">
              <w:rPr>
                <w:rFonts w:ascii="Traditional Arabic" w:hAnsi="Traditional Arabic" w:cs="Traditional Arabic" w:hint="cs"/>
                <w:b/>
                <w:bCs/>
                <w:spacing w:val="-6"/>
                <w:sz w:val="24"/>
                <w:szCs w:val="24"/>
                <w:lang w:bidi="ar-EG"/>
              </w:rPr>
              <w:br/>
            </w:r>
          </w:p>
        </w:tc>
        <w:tc>
          <w:tcPr>
            <w:tcW w:w="2759" w:type="dxa"/>
          </w:tcPr>
          <w:p w14:paraId="728737B5" w14:textId="0718BADA"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إدارة الأزمات الصحية مثل كوفيد-19</w:t>
            </w:r>
          </w:p>
        </w:tc>
        <w:tc>
          <w:tcPr>
            <w:tcW w:w="2759" w:type="dxa"/>
          </w:tcPr>
          <w:p w14:paraId="48710633" w14:textId="5BADE3CB"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وسلامة المرضى بشكل منهجي وليس ظرفي.</w:t>
            </w:r>
          </w:p>
        </w:tc>
      </w:tr>
      <w:tr w:rsidR="0006251E" w:rsidRPr="004C51B2" w14:paraId="3BFF1F7A" w14:textId="77777777" w:rsidTr="004C51B2">
        <w:trPr>
          <w:tblCellSpacing w:w="20" w:type="dxa"/>
        </w:trPr>
        <w:tc>
          <w:tcPr>
            <w:tcW w:w="2758" w:type="dxa"/>
          </w:tcPr>
          <w:p w14:paraId="4B29C444" w14:textId="25CB3F8D"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التجاني</w:t>
            </w:r>
            <w:r w:rsidRPr="004C51B2">
              <w:rPr>
                <w:rFonts w:ascii="Traditional Arabic" w:hAnsi="Traditional Arabic" w:cs="Traditional Arabic" w:hint="cs"/>
                <w:b/>
                <w:bCs/>
                <w:sz w:val="24"/>
                <w:szCs w:val="24"/>
              </w:rPr>
              <w:t xml:space="preserve"> (2020)</w:t>
            </w:r>
          </w:p>
        </w:tc>
        <w:tc>
          <w:tcPr>
            <w:tcW w:w="2759" w:type="dxa"/>
          </w:tcPr>
          <w:p w14:paraId="1C5B3601" w14:textId="1B43464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أثر القيادة التحويلية على تحسين الأداء الوظيفي في المؤسسات العامة.</w:t>
            </w:r>
          </w:p>
        </w:tc>
        <w:tc>
          <w:tcPr>
            <w:tcW w:w="2759" w:type="dxa"/>
          </w:tcPr>
          <w:p w14:paraId="72337AE9" w14:textId="7D6D209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علاقتها بإدارة المخاطر أو سلامة المرضى.</w:t>
            </w:r>
          </w:p>
        </w:tc>
      </w:tr>
      <w:tr w:rsidR="0006251E" w:rsidRPr="004C51B2" w14:paraId="423B18A8" w14:textId="77777777" w:rsidTr="004C51B2">
        <w:trPr>
          <w:tblCellSpacing w:w="20" w:type="dxa"/>
        </w:trPr>
        <w:tc>
          <w:tcPr>
            <w:tcW w:w="2758" w:type="dxa"/>
          </w:tcPr>
          <w:p w14:paraId="09D2D26B" w14:textId="0151BB3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حسين</w:t>
            </w:r>
            <w:r w:rsidRPr="004C51B2">
              <w:rPr>
                <w:rFonts w:ascii="Traditional Arabic" w:hAnsi="Traditional Arabic" w:cs="Traditional Arabic" w:hint="cs"/>
                <w:b/>
                <w:bCs/>
                <w:sz w:val="24"/>
                <w:szCs w:val="24"/>
              </w:rPr>
              <w:t xml:space="preserve"> (2020)</w:t>
            </w:r>
          </w:p>
        </w:tc>
        <w:tc>
          <w:tcPr>
            <w:tcW w:w="2759" w:type="dxa"/>
          </w:tcPr>
          <w:p w14:paraId="77DF09F1" w14:textId="41ED9932"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الالتزام التنظيمي.</w:t>
            </w:r>
          </w:p>
        </w:tc>
        <w:tc>
          <w:tcPr>
            <w:tcW w:w="2759" w:type="dxa"/>
          </w:tcPr>
          <w:p w14:paraId="428D4FCC" w14:textId="16A763B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كعامل مؤثر في السلامة الصحية.</w:t>
            </w:r>
          </w:p>
        </w:tc>
      </w:tr>
      <w:tr w:rsidR="0006251E" w:rsidRPr="004C51B2" w14:paraId="6F288CF5" w14:textId="77777777" w:rsidTr="004C51B2">
        <w:trPr>
          <w:tblCellSpacing w:w="20" w:type="dxa"/>
        </w:trPr>
        <w:tc>
          <w:tcPr>
            <w:tcW w:w="2758" w:type="dxa"/>
          </w:tcPr>
          <w:p w14:paraId="702DACCF" w14:textId="3788399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رزق الله وطيبي</w:t>
            </w:r>
            <w:r w:rsidRPr="004C51B2">
              <w:rPr>
                <w:rFonts w:ascii="Traditional Arabic" w:hAnsi="Traditional Arabic" w:cs="Traditional Arabic" w:hint="cs"/>
                <w:b/>
                <w:bCs/>
                <w:sz w:val="24"/>
                <w:szCs w:val="24"/>
              </w:rPr>
              <w:t xml:space="preserve"> (2021)</w:t>
            </w:r>
          </w:p>
        </w:tc>
        <w:tc>
          <w:tcPr>
            <w:tcW w:w="2759" w:type="dxa"/>
          </w:tcPr>
          <w:p w14:paraId="234B81DA" w14:textId="25D238BB" w:rsidR="0006251E" w:rsidRPr="004C51B2" w:rsidRDefault="003D1399"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بحثا في العلاقة بين القيادة التحويلية والرضا الوظيفي.</w:t>
            </w:r>
          </w:p>
        </w:tc>
        <w:tc>
          <w:tcPr>
            <w:tcW w:w="2759" w:type="dxa"/>
          </w:tcPr>
          <w:p w14:paraId="22C15D64" w14:textId="12D6D0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التطرق إلى المتغيرات الصحية أو الوساطة التحليلية.</w:t>
            </w:r>
          </w:p>
        </w:tc>
      </w:tr>
      <w:tr w:rsidR="0006251E" w:rsidRPr="004C51B2" w14:paraId="7D28DC0A" w14:textId="77777777" w:rsidTr="004C51B2">
        <w:trPr>
          <w:tblCellSpacing w:w="20" w:type="dxa"/>
        </w:trPr>
        <w:tc>
          <w:tcPr>
            <w:tcW w:w="2758" w:type="dxa"/>
          </w:tcPr>
          <w:p w14:paraId="5F02A005" w14:textId="0017604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lastRenderedPageBreak/>
              <w:t>الغامدي وعثمان</w:t>
            </w:r>
            <w:r w:rsidRPr="004C51B2">
              <w:rPr>
                <w:rFonts w:ascii="Traditional Arabic" w:hAnsi="Traditional Arabic" w:cs="Traditional Arabic" w:hint="cs"/>
                <w:b/>
                <w:bCs/>
                <w:sz w:val="24"/>
                <w:szCs w:val="24"/>
              </w:rPr>
              <w:t xml:space="preserve"> (2022)</w:t>
            </w:r>
          </w:p>
        </w:tc>
        <w:tc>
          <w:tcPr>
            <w:tcW w:w="2759" w:type="dxa"/>
          </w:tcPr>
          <w:p w14:paraId="02C1CE0A" w14:textId="42FAB4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تناولا القيادة التحويلية في المستشفيات السعودية.</w:t>
            </w:r>
          </w:p>
        </w:tc>
        <w:tc>
          <w:tcPr>
            <w:tcW w:w="2759" w:type="dxa"/>
          </w:tcPr>
          <w:p w14:paraId="600A1086" w14:textId="0FCE50D1"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 دون تحليل دورها الوسيط بين إدارة المخاطر وسلامة المرضى.</w:t>
            </w:r>
          </w:p>
        </w:tc>
      </w:tr>
      <w:tr w:rsidR="0006251E" w:rsidRPr="004C51B2" w14:paraId="54B56BCE" w14:textId="77777777" w:rsidTr="004C51B2">
        <w:trPr>
          <w:tblCellSpacing w:w="20" w:type="dxa"/>
        </w:trPr>
        <w:tc>
          <w:tcPr>
            <w:tcW w:w="2758" w:type="dxa"/>
          </w:tcPr>
          <w:p w14:paraId="238E6A0A" w14:textId="1BD56F1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طلبه النجار</w:t>
            </w:r>
            <w:r w:rsidRPr="004C51B2">
              <w:rPr>
                <w:rFonts w:ascii="Traditional Arabic" w:hAnsi="Traditional Arabic" w:cs="Traditional Arabic" w:hint="cs"/>
                <w:b/>
                <w:bCs/>
                <w:sz w:val="24"/>
                <w:szCs w:val="24"/>
              </w:rPr>
              <w:t xml:space="preserve"> (2023)</w:t>
            </w:r>
          </w:p>
        </w:tc>
        <w:tc>
          <w:tcPr>
            <w:tcW w:w="2759" w:type="dxa"/>
          </w:tcPr>
          <w:p w14:paraId="2986C598" w14:textId="47F522EA"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بيئة العمل.</w:t>
            </w:r>
          </w:p>
        </w:tc>
        <w:tc>
          <w:tcPr>
            <w:tcW w:w="2759" w:type="dxa"/>
          </w:tcPr>
          <w:p w14:paraId="32572865" w14:textId="79C60E89"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سببيًا يربط القيادة بإدارة المخاطر وسلامة المرضى.</w:t>
            </w:r>
          </w:p>
        </w:tc>
      </w:tr>
      <w:tr w:rsidR="0006251E" w:rsidRPr="004C51B2" w14:paraId="1A851BF1" w14:textId="77777777" w:rsidTr="004C51B2">
        <w:trPr>
          <w:tblCellSpacing w:w="20" w:type="dxa"/>
        </w:trPr>
        <w:tc>
          <w:tcPr>
            <w:tcW w:w="2758" w:type="dxa"/>
          </w:tcPr>
          <w:p w14:paraId="5A8299F6" w14:textId="6613A36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عامر وأبوزيد والدمياطي</w:t>
            </w:r>
            <w:r w:rsidRPr="004C51B2">
              <w:rPr>
                <w:rFonts w:ascii="Traditional Arabic" w:hAnsi="Traditional Arabic" w:cs="Traditional Arabic" w:hint="cs"/>
                <w:b/>
                <w:bCs/>
                <w:sz w:val="24"/>
                <w:szCs w:val="24"/>
              </w:rPr>
              <w:t xml:space="preserve"> (2023)</w:t>
            </w:r>
          </w:p>
        </w:tc>
        <w:tc>
          <w:tcPr>
            <w:tcW w:w="2759" w:type="dxa"/>
          </w:tcPr>
          <w:p w14:paraId="5F5947C9" w14:textId="5E80AAE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تناولوا القيادة التحويلية في تحسين جودة الخدمة.</w:t>
            </w:r>
          </w:p>
        </w:tc>
        <w:tc>
          <w:tcPr>
            <w:tcW w:w="2759" w:type="dxa"/>
          </w:tcPr>
          <w:p w14:paraId="7F23C68D" w14:textId="2458D6C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أو التركيز على المرافق الحكومية.</w:t>
            </w:r>
          </w:p>
        </w:tc>
      </w:tr>
      <w:tr w:rsidR="0006251E" w:rsidRPr="004C51B2" w14:paraId="05D5A089" w14:textId="77777777" w:rsidTr="004C51B2">
        <w:trPr>
          <w:tblCellSpacing w:w="20" w:type="dxa"/>
        </w:trPr>
        <w:tc>
          <w:tcPr>
            <w:tcW w:w="2758" w:type="dxa"/>
          </w:tcPr>
          <w:p w14:paraId="7F8DA4D2" w14:textId="1A70193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Bagga, Gera &amp; Haque (2023)</w:t>
            </w:r>
          </w:p>
        </w:tc>
        <w:tc>
          <w:tcPr>
            <w:tcW w:w="2759" w:type="dxa"/>
          </w:tcPr>
          <w:p w14:paraId="77F8F5EF" w14:textId="530AE7C8"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درسوا القيادة التحويلية في السياق الهندي لتحسين الأداء المؤسسي.</w:t>
            </w:r>
          </w:p>
        </w:tc>
        <w:tc>
          <w:tcPr>
            <w:tcW w:w="2759" w:type="dxa"/>
          </w:tcPr>
          <w:p w14:paraId="24FFD686" w14:textId="621EEB2F"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لسياق صحي حكومي عربي.</w:t>
            </w:r>
          </w:p>
        </w:tc>
      </w:tr>
      <w:tr w:rsidR="0006251E" w:rsidRPr="004C51B2" w14:paraId="47C0DDBF" w14:textId="77777777" w:rsidTr="004C51B2">
        <w:trPr>
          <w:tblCellSpacing w:w="20" w:type="dxa"/>
        </w:trPr>
        <w:tc>
          <w:tcPr>
            <w:tcW w:w="2758" w:type="dxa"/>
          </w:tcPr>
          <w:p w14:paraId="6A26A5FF" w14:textId="5984C77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آل مرزوق</w:t>
            </w:r>
            <w:r w:rsidRPr="004C51B2">
              <w:rPr>
                <w:rFonts w:ascii="Traditional Arabic" w:hAnsi="Traditional Arabic" w:cs="Traditional Arabic" w:hint="cs"/>
                <w:b/>
                <w:bCs/>
                <w:sz w:val="24"/>
                <w:szCs w:val="24"/>
              </w:rPr>
              <w:t xml:space="preserve"> (2023)</w:t>
            </w:r>
          </w:p>
        </w:tc>
        <w:tc>
          <w:tcPr>
            <w:tcW w:w="2759" w:type="dxa"/>
          </w:tcPr>
          <w:p w14:paraId="67BB09A4" w14:textId="3118383C"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ثقافة السلامة.</w:t>
            </w:r>
          </w:p>
        </w:tc>
        <w:tc>
          <w:tcPr>
            <w:tcW w:w="2759" w:type="dxa"/>
          </w:tcPr>
          <w:p w14:paraId="0D6DC8E6" w14:textId="320511F2"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إدارة المخاطر كمتغير مستقل أو القيادة كوسيط.</w:t>
            </w:r>
          </w:p>
        </w:tc>
      </w:tr>
      <w:tr w:rsidR="0006251E" w:rsidRPr="004C51B2" w14:paraId="22811DFF" w14:textId="77777777" w:rsidTr="004C51B2">
        <w:trPr>
          <w:tblCellSpacing w:w="20" w:type="dxa"/>
        </w:trPr>
        <w:tc>
          <w:tcPr>
            <w:tcW w:w="2758" w:type="dxa"/>
          </w:tcPr>
          <w:p w14:paraId="4D07B916" w14:textId="55E53B0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الخضران</w:t>
            </w:r>
            <w:r w:rsidRPr="004C51B2">
              <w:rPr>
                <w:rFonts w:ascii="Traditional Arabic" w:hAnsi="Traditional Arabic" w:cs="Traditional Arabic" w:hint="cs"/>
                <w:b/>
                <w:bCs/>
                <w:sz w:val="24"/>
                <w:szCs w:val="24"/>
              </w:rPr>
              <w:t xml:space="preserve"> (2023)</w:t>
            </w:r>
          </w:p>
        </w:tc>
        <w:tc>
          <w:tcPr>
            <w:tcW w:w="2759" w:type="dxa"/>
          </w:tcPr>
          <w:p w14:paraId="3C544C85" w14:textId="58D81D17"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المؤسسات التعليمية.</w:t>
            </w:r>
          </w:p>
        </w:tc>
        <w:tc>
          <w:tcPr>
            <w:tcW w:w="2759" w:type="dxa"/>
          </w:tcPr>
          <w:p w14:paraId="090867C1" w14:textId="6EB23045"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للقطاع الصحي وتحلل العلاقة الثلاثية.</w:t>
            </w:r>
          </w:p>
        </w:tc>
      </w:tr>
      <w:tr w:rsidR="0006251E" w:rsidRPr="004C51B2" w14:paraId="320A998C" w14:textId="77777777" w:rsidTr="004C51B2">
        <w:trPr>
          <w:tblCellSpacing w:w="20" w:type="dxa"/>
        </w:trPr>
        <w:tc>
          <w:tcPr>
            <w:tcW w:w="2758" w:type="dxa"/>
          </w:tcPr>
          <w:p w14:paraId="4E689308" w14:textId="5616861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محمود أحمد</w:t>
            </w:r>
            <w:r w:rsidRPr="004C51B2">
              <w:rPr>
                <w:rFonts w:ascii="Traditional Arabic" w:hAnsi="Traditional Arabic" w:cs="Traditional Arabic" w:hint="cs"/>
                <w:b/>
                <w:bCs/>
                <w:sz w:val="24"/>
                <w:szCs w:val="24"/>
              </w:rPr>
              <w:t xml:space="preserve"> (2024)</w:t>
            </w:r>
          </w:p>
        </w:tc>
        <w:tc>
          <w:tcPr>
            <w:tcW w:w="2759" w:type="dxa"/>
          </w:tcPr>
          <w:p w14:paraId="1CDD7A1E" w14:textId="301637B9"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إدارة التغيير.</w:t>
            </w:r>
          </w:p>
        </w:tc>
        <w:tc>
          <w:tcPr>
            <w:tcW w:w="2759" w:type="dxa"/>
          </w:tcPr>
          <w:p w14:paraId="77A28D10" w14:textId="16C76F26"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دون ربطها بإدارة المخاطر أو سلامة المرضى كما في </w:t>
            </w:r>
            <w:r w:rsidR="0023492D" w:rsidRPr="004C51B2">
              <w:rPr>
                <w:rFonts w:ascii="Traditional Arabic" w:hAnsi="Traditional Arabic" w:cs="Traditional Arabic" w:hint="cs"/>
                <w:b/>
                <w:bCs/>
                <w:spacing w:val="-6"/>
                <w:sz w:val="24"/>
                <w:szCs w:val="24"/>
                <w:rtl/>
                <w:lang w:bidi="ar-EG"/>
              </w:rPr>
              <w:t>الدراسة الحالية</w:t>
            </w:r>
            <w:r w:rsidRPr="004C51B2">
              <w:rPr>
                <w:rFonts w:ascii="Traditional Arabic" w:hAnsi="Traditional Arabic" w:cs="Traditional Arabic" w:hint="cs"/>
                <w:b/>
                <w:bCs/>
                <w:spacing w:val="-6"/>
                <w:sz w:val="24"/>
                <w:szCs w:val="24"/>
                <w:rtl/>
                <w:lang w:bidi="ar-EG"/>
              </w:rPr>
              <w:t>.</w:t>
            </w:r>
          </w:p>
        </w:tc>
      </w:tr>
      <w:tr w:rsidR="0006251E" w:rsidRPr="004C51B2" w14:paraId="2635F36F" w14:textId="77777777" w:rsidTr="004C51B2">
        <w:trPr>
          <w:tblCellSpacing w:w="20" w:type="dxa"/>
        </w:trPr>
        <w:tc>
          <w:tcPr>
            <w:tcW w:w="2758" w:type="dxa"/>
          </w:tcPr>
          <w:p w14:paraId="5BB157B7" w14:textId="6207255E"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بلاك بيرد</w:t>
            </w:r>
            <w:r w:rsidRPr="004C51B2">
              <w:rPr>
                <w:rFonts w:ascii="Traditional Arabic" w:hAnsi="Traditional Arabic" w:cs="Traditional Arabic" w:hint="cs"/>
                <w:b/>
                <w:bCs/>
                <w:sz w:val="24"/>
                <w:szCs w:val="24"/>
              </w:rPr>
              <w:t xml:space="preserve"> (2025)</w:t>
            </w:r>
          </w:p>
        </w:tc>
        <w:tc>
          <w:tcPr>
            <w:tcW w:w="2759" w:type="dxa"/>
          </w:tcPr>
          <w:p w14:paraId="3D7EE8BD" w14:textId="7F20F086"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بيئات متعددة الثقافات.</w:t>
            </w:r>
          </w:p>
        </w:tc>
        <w:tc>
          <w:tcPr>
            <w:tcW w:w="2759" w:type="dxa"/>
          </w:tcPr>
          <w:p w14:paraId="48B36BA8" w14:textId="7B987C27"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06251E" w:rsidRPr="004C51B2" w14:paraId="44EFB85C" w14:textId="77777777" w:rsidTr="004C51B2">
        <w:trPr>
          <w:tblCellSpacing w:w="20" w:type="dxa"/>
        </w:trPr>
        <w:tc>
          <w:tcPr>
            <w:tcW w:w="2758" w:type="dxa"/>
          </w:tcPr>
          <w:p w14:paraId="7EC8B646" w14:textId="4731634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أماني محمد وآخرين</w:t>
            </w:r>
            <w:r w:rsidRPr="004C51B2">
              <w:rPr>
                <w:rFonts w:ascii="Traditional Arabic" w:hAnsi="Traditional Arabic" w:cs="Traditional Arabic" w:hint="cs"/>
                <w:b/>
                <w:bCs/>
                <w:sz w:val="24"/>
                <w:szCs w:val="24"/>
              </w:rPr>
              <w:t xml:space="preserve"> (2025)</w:t>
            </w:r>
          </w:p>
        </w:tc>
        <w:tc>
          <w:tcPr>
            <w:tcW w:w="2759" w:type="dxa"/>
          </w:tcPr>
          <w:p w14:paraId="75058A2C" w14:textId="5DF76EB9"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إمكانية تطبيق أبعاد القيادة التحويلية في إدارات المدارس الثانوية.</w:t>
            </w:r>
          </w:p>
        </w:tc>
        <w:tc>
          <w:tcPr>
            <w:tcW w:w="2759" w:type="dxa"/>
          </w:tcPr>
          <w:p w14:paraId="7092A5CE" w14:textId="08B371CA"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تطبق القيادة التحويلية كمتغير وسيط في بيئة صحية حكومية، مع تحليل إحصائي للعلاقة بين إدارة المخاطر وسلامة المرضى.</w:t>
            </w:r>
          </w:p>
        </w:tc>
      </w:tr>
    </w:tbl>
    <w:p w14:paraId="46A2C232" w14:textId="3357DCEA" w:rsidR="00CE27B9" w:rsidRPr="00BB230D" w:rsidRDefault="00CE27B9" w:rsidP="00CE27B9">
      <w:pPr>
        <w:bidi/>
        <w:spacing w:after="200" w:line="276" w:lineRule="auto"/>
        <w:jc w:val="center"/>
        <w:rPr>
          <w:rFonts w:ascii="Traditional Arabic" w:hAnsi="Traditional Arabic" w:cs="Traditional Arabic"/>
          <w:b/>
          <w:bCs/>
          <w:color w:val="000000" w:themeColor="text1"/>
          <w:spacing w:val="-6"/>
          <w:sz w:val="24"/>
          <w:szCs w:val="24"/>
          <w:rtl/>
          <w:lang w:bidi="ar-EG"/>
        </w:rPr>
      </w:pPr>
      <w:r w:rsidRPr="00BB230D">
        <w:rPr>
          <w:rFonts w:ascii="Traditional Arabic" w:hAnsi="Traditional Arabic" w:cs="Traditional Arabic" w:hint="cs"/>
          <w:b/>
          <w:bCs/>
          <w:color w:val="000000" w:themeColor="text1"/>
          <w:spacing w:val="-6"/>
          <w:sz w:val="24"/>
          <w:szCs w:val="24"/>
          <w:rtl/>
          <w:lang w:bidi="ar-EG"/>
        </w:rPr>
        <w:t>إعدداد الباحثة إعتماداً على الدراسات السابقة المرجعية.</w:t>
      </w:r>
    </w:p>
    <w:p w14:paraId="667A59E1" w14:textId="77777777" w:rsidR="00CE27B9" w:rsidRDefault="00CE27B9" w:rsidP="00CE27B9">
      <w:pPr>
        <w:bidi/>
        <w:spacing w:after="200" w:line="276" w:lineRule="auto"/>
        <w:jc w:val="both"/>
        <w:rPr>
          <w:rFonts w:ascii="Simplified Arabic" w:hAnsi="Simplified Arabic" w:cs="Simplified Arabic"/>
          <w:b/>
          <w:bCs/>
          <w:color w:val="4F81BD" w:themeColor="accent1"/>
          <w:spacing w:val="-6"/>
          <w:sz w:val="32"/>
          <w:szCs w:val="32"/>
          <w:u w:val="single"/>
          <w:rtl/>
          <w:lang w:bidi="ar-EG"/>
        </w:rPr>
      </w:pPr>
    </w:p>
    <w:p w14:paraId="4539FE1C"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260963C5"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5FBCEEC2" w14:textId="5CD65861" w:rsidR="00187016" w:rsidRPr="00BB230D" w:rsidRDefault="00187016" w:rsidP="00BB230D">
      <w:pPr>
        <w:bidi/>
        <w:spacing w:after="200" w:line="276" w:lineRule="auto"/>
        <w:jc w:val="both"/>
        <w:rPr>
          <w:rFonts w:ascii="Traditional Arabic" w:hAnsi="Traditional Arabic" w:cs="Traditional Arabic"/>
          <w:b/>
          <w:bCs/>
          <w:color w:val="4F81BD" w:themeColor="accent1"/>
          <w:spacing w:val="-6"/>
          <w:sz w:val="28"/>
          <w:szCs w:val="28"/>
          <w:u w:val="single"/>
          <w:rtl/>
          <w:lang w:bidi="ar-EG"/>
        </w:rPr>
      </w:pPr>
      <w:r w:rsidRPr="00BB230D">
        <w:rPr>
          <w:rFonts w:ascii="Traditional Arabic" w:hAnsi="Traditional Arabic" w:cs="Traditional Arabic" w:hint="cs"/>
          <w:b/>
          <w:bCs/>
          <w:color w:val="4F81BD" w:themeColor="accent1"/>
          <w:spacing w:val="-6"/>
          <w:sz w:val="28"/>
          <w:szCs w:val="28"/>
          <w:u w:val="single"/>
          <w:rtl/>
          <w:lang w:bidi="ar-EG"/>
        </w:rPr>
        <w:lastRenderedPageBreak/>
        <w:t>دراسات سابقة تجمع الثلاث متغيرات " إدارة المخاطر- سلامة المرضى – القيادة التحويلية":</w:t>
      </w:r>
    </w:p>
    <w:p w14:paraId="5BEE5004"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 xml:space="preserve">هدفت دراسة سعد آل عزام وفايز بن ظفره (2023) </w:t>
      </w:r>
      <w:r w:rsidRPr="00BB230D">
        <w:rPr>
          <w:rFonts w:ascii="Traditional Arabic" w:hAnsi="Traditional Arabic" w:cs="Traditional Arabic" w:hint="cs"/>
          <w:spacing w:val="-6"/>
          <w:sz w:val="24"/>
          <w:szCs w:val="24"/>
          <w:rtl/>
        </w:rPr>
        <w:t xml:space="preserve">إلى التعرف على دور القيادة التحويلية في إدارة الأزمة الصحية خلال جائحة كوفيد-19 في إمارة منطقة عسير، حيث أظهرت النتائج وجود علاقة ارتباطية قوية بين القيادة التحويلية وتطبيق الإجراءات الصحية، مما ساهم في تعزيز الاستجابة المجتمعية وتقليل آثار الأزمة. </w:t>
      </w:r>
    </w:p>
    <w:p w14:paraId="3C994F0F"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أما دراسة ماجد بن عزيز الغامدي ومزمل عثمان (2023)،</w:t>
      </w:r>
      <w:r w:rsidRPr="00BB230D">
        <w:rPr>
          <w:rFonts w:ascii="Traditional Arabic" w:hAnsi="Traditional Arabic" w:cs="Traditional Arabic" w:hint="cs"/>
          <w:spacing w:val="-6"/>
          <w:sz w:val="24"/>
          <w:szCs w:val="24"/>
          <w:rtl/>
        </w:rPr>
        <w:t xml:space="preserve"> فقد هدفت إلى قياس أثر القيادة التحويلية على إدارة الأزمات الصحية في مستشفى الملك عبدالله ببيشة، وتوصلت إلى أن أبعاد القيادة التحويلية مثل التأثير المثالي والدافعية الإلهامية والاستثارة الفكرية لها تأثير إيجابي ودال إحصائيًا على فاعلية إدارة الأزمات الصحية</w:t>
      </w:r>
      <w:r w:rsidR="00DF78B3" w:rsidRPr="00BB230D">
        <w:rPr>
          <w:rFonts w:ascii="Traditional Arabic" w:hAnsi="Traditional Arabic" w:cs="Traditional Arabic" w:hint="cs"/>
          <w:spacing w:val="-6"/>
          <w:sz w:val="24"/>
          <w:szCs w:val="24"/>
          <w:rtl/>
        </w:rPr>
        <w:t>.</w:t>
      </w:r>
    </w:p>
    <w:p w14:paraId="6E207C3D" w14:textId="6BBC947C"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b/>
          <w:bCs/>
          <w:spacing w:val="-6"/>
          <w:sz w:val="24"/>
          <w:szCs w:val="24"/>
          <w:rtl/>
        </w:rPr>
        <w:t>وفي دراسة أبرار السلمي ومحمد حداد (2024)،</w:t>
      </w:r>
      <w:r w:rsidRPr="00C13925">
        <w:rPr>
          <w:rFonts w:ascii="Traditional Arabic" w:hAnsi="Traditional Arabic" w:cs="Traditional Arabic" w:hint="cs"/>
          <w:spacing w:val="-6"/>
          <w:sz w:val="24"/>
          <w:szCs w:val="24"/>
          <w:rtl/>
        </w:rPr>
        <w:t xml:space="preserve"> تم التركيز على وزارة الصحة بمحافظة جدة، حيث هدفت إلى الكشف عن مدى توفر أبعاد القيادة التحويلية وأثرها في تعزيز فاعلية إدارة الأزمات، وأظهرت النتائج أن القيادة التحويلية تفسر ما نسبته 79.2% من التغير في فاعلية إدارة الأزمات، مع تأثير بارز للتمكين والاستثارة الفكرية، بينما كان للاعتبار الفردي تأثير سلبي</w:t>
      </w:r>
      <w:r w:rsidRPr="00C13925">
        <w:rPr>
          <w:rFonts w:ascii="Traditional Arabic" w:hAnsi="Traditional Arabic" w:cs="Traditional Arabic" w:hint="cs"/>
          <w:spacing w:val="-6"/>
          <w:sz w:val="24"/>
          <w:szCs w:val="24"/>
          <w:lang w:bidi="ar-EG"/>
        </w:rPr>
        <w:t>.</w:t>
      </w:r>
    </w:p>
    <w:p w14:paraId="095121C1" w14:textId="711C4D28"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lang w:bidi="ar-EG"/>
        </w:rPr>
      </w:pPr>
      <w:r w:rsidRPr="00C13925">
        <w:rPr>
          <w:rFonts w:ascii="Traditional Arabic" w:hAnsi="Traditional Arabic" w:cs="Traditional Arabic" w:hint="cs"/>
          <w:b/>
          <w:bCs/>
          <w:spacing w:val="-6"/>
          <w:sz w:val="24"/>
          <w:szCs w:val="24"/>
          <w:rtl/>
          <w:lang w:bidi="ar-EG"/>
        </w:rPr>
        <w:t xml:space="preserve">وهدفت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Hamdan et al. (2024</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The Association of Transformational Leadership on Safety Practices Among Nurses</w:t>
      </w:r>
      <w:r w:rsidR="00A53834"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إلى تحليل العلاقة بين القيادة التحويلية وسلامة المرضى، مع التركيز على الدور الوسيط لثقافة سلامة المرضى في تحسين ممارسات السلامة التمريضية. تم تطبيق الدراسة في مدينة الملك سعود الطبية بالرياض، وشملت عينة مكونة من 200 ممرضة باستخدام أسلوب العينة العشوائية</w:t>
      </w:r>
      <w:r w:rsidR="00DF78B3" w:rsidRPr="00C13925">
        <w:rPr>
          <w:rFonts w:ascii="Traditional Arabic" w:hAnsi="Traditional Arabic" w:cs="Traditional Arabic" w:hint="cs"/>
          <w:spacing w:val="-6"/>
          <w:sz w:val="24"/>
          <w:szCs w:val="24"/>
          <w:rtl/>
          <w:lang w:bidi="ar-EG"/>
        </w:rPr>
        <w:t>،</w:t>
      </w:r>
      <w:r w:rsidRPr="00C13925">
        <w:rPr>
          <w:rFonts w:ascii="Traditional Arabic" w:hAnsi="Traditional Arabic" w:cs="Traditional Arabic" w:hint="cs"/>
          <w:spacing w:val="-6"/>
          <w:sz w:val="24"/>
          <w:szCs w:val="24"/>
          <w:rtl/>
        </w:rPr>
        <w:t xml:space="preserve"> </w:t>
      </w:r>
      <w:r w:rsidR="00DF78B3" w:rsidRPr="00C13925">
        <w:rPr>
          <w:rFonts w:ascii="Traditional Arabic" w:hAnsi="Traditional Arabic" w:cs="Traditional Arabic" w:hint="cs"/>
          <w:spacing w:val="-6"/>
          <w:sz w:val="24"/>
          <w:szCs w:val="24"/>
          <w:rtl/>
        </w:rPr>
        <w:t>و</w:t>
      </w:r>
      <w:r w:rsidRPr="00C13925">
        <w:rPr>
          <w:rFonts w:ascii="Traditional Arabic" w:hAnsi="Traditional Arabic" w:cs="Traditional Arabic" w:hint="cs"/>
          <w:spacing w:val="-6"/>
          <w:sz w:val="24"/>
          <w:szCs w:val="24"/>
          <w:rtl/>
        </w:rPr>
        <w:t>استخدم الباحثون ثلاث أدوات رئيسية</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rPr>
        <w:t>استبيان القيادة متعددة العوامل</w:t>
      </w:r>
      <w:r w:rsidRPr="00C13925">
        <w:rPr>
          <w:rFonts w:ascii="Traditional Arabic" w:hAnsi="Traditional Arabic" w:cs="Traditional Arabic" w:hint="cs"/>
          <w:spacing w:val="-6"/>
          <w:sz w:val="24"/>
          <w:szCs w:val="24"/>
          <w:lang w:bidi="ar-EG"/>
        </w:rPr>
        <w:t xml:space="preserve"> (MLQ)</w:t>
      </w:r>
      <w:r w:rsidRPr="00C13925">
        <w:rPr>
          <w:rFonts w:ascii="Traditional Arabic" w:hAnsi="Traditional Arabic" w:cs="Traditional Arabic" w:hint="cs"/>
          <w:spacing w:val="-6"/>
          <w:sz w:val="24"/>
          <w:szCs w:val="24"/>
          <w:rtl/>
        </w:rPr>
        <w:t>، استبيان ثقافة سلامة المرضى</w:t>
      </w:r>
      <w:r w:rsidRPr="00C13925">
        <w:rPr>
          <w:rFonts w:ascii="Traditional Arabic" w:hAnsi="Traditional Arabic" w:cs="Traditional Arabic" w:hint="cs"/>
          <w:spacing w:val="-6"/>
          <w:sz w:val="24"/>
          <w:szCs w:val="24"/>
          <w:lang w:bidi="ar-EG"/>
        </w:rPr>
        <w:t xml:space="preserve"> (HSOPSC)</w:t>
      </w:r>
      <w:r w:rsidRPr="00C13925">
        <w:rPr>
          <w:rFonts w:ascii="Traditional Arabic" w:hAnsi="Traditional Arabic" w:cs="Traditional Arabic" w:hint="cs"/>
          <w:spacing w:val="-6"/>
          <w:sz w:val="24"/>
          <w:szCs w:val="24"/>
          <w:rtl/>
        </w:rPr>
        <w:t>، واستبيان خاص بممارسات السلامة التمريضية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وجود علاقة إيجابية قوية بين القيادة التحويلية وممارسات السلامة، كما تبين أن ثقافة سلامة المرضى تلعب دورًا وسيطًا في تعزيز هذه العلاقة. وأوصت الدراسة بضرورة تطوير مهارات القيادة التحويلية لدى مديري التمريض، وقياس ثقافة السلامة بشكل دوري لضمان تحسين الأداء السريري وتقليل المخاطر</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lang w:bidi="ar-EG"/>
        </w:rPr>
        <w:t>.</w:t>
      </w:r>
    </w:p>
    <w:p w14:paraId="6B84A5BE" w14:textId="77777777" w:rsidR="00D662B8"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b/>
          <w:bCs/>
          <w:spacing w:val="-6"/>
          <w:sz w:val="24"/>
          <w:szCs w:val="24"/>
          <w:rtl/>
          <w:lang w:bidi="ar-EG"/>
        </w:rPr>
        <w:t xml:space="preserve">كما تناولت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Pfaff &amp; Braithwaite (2020</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A Parsonian Approach to Patient Safety</w:t>
      </w:r>
      <w:r w:rsidR="00DF78B3"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العلاقة بين القيادة التحويلية، رأس المال الاجتماعي، وإدارة المخاطر السريرية في المستشفيات الألمانية، من خلال نموذج نظري مستند إلى مفهوم</w:t>
      </w:r>
      <w:r w:rsidRPr="00C13925">
        <w:rPr>
          <w:rFonts w:ascii="Traditional Arabic" w:hAnsi="Traditional Arabic" w:cs="Traditional Arabic" w:hint="cs"/>
          <w:spacing w:val="-6"/>
          <w:sz w:val="24"/>
          <w:szCs w:val="24"/>
          <w:lang w:bidi="ar-EG"/>
        </w:rPr>
        <w:t xml:space="preserve"> AGIL </w:t>
      </w:r>
      <w:r w:rsidRPr="00C13925">
        <w:rPr>
          <w:rFonts w:ascii="Traditional Arabic" w:hAnsi="Traditional Arabic" w:cs="Traditional Arabic" w:hint="cs"/>
          <w:spacing w:val="-6"/>
          <w:sz w:val="24"/>
          <w:szCs w:val="24"/>
          <w:rtl/>
        </w:rPr>
        <w:t>لطالكوت بارسونز</w:t>
      </w:r>
      <w:r w:rsidRPr="00C13925">
        <w:rPr>
          <w:rFonts w:ascii="Traditional Arabic" w:hAnsi="Traditional Arabic" w:cs="Traditional Arabic" w:hint="cs"/>
          <w:spacing w:val="-6"/>
          <w:sz w:val="24"/>
          <w:szCs w:val="24"/>
          <w:lang w:bidi="ar-EG"/>
        </w:rPr>
        <w:t>.</w:t>
      </w:r>
      <w:r w:rsidR="00D16CAC"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spacing w:val="-6"/>
          <w:sz w:val="24"/>
          <w:szCs w:val="24"/>
          <w:rtl/>
        </w:rPr>
        <w:t>شملت الدراسة عينة من 551 مديرًا طبيًا في مستشفيات ألمانية تحتوي على أقسام داخلية وجراحية، باستخدام منهج وصفي تحليلي واستبيانات ميدانية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أن وجود قيادة تحويلية فعالة ورأس مال اجتماعي قوي يسهمان في تحسين إدارة المخاطر السريرية، وتعزيز سلامة المرضى</w:t>
      </w:r>
      <w:r w:rsidR="00D16CAC" w:rsidRPr="00C13925">
        <w:rPr>
          <w:rFonts w:ascii="Traditional Arabic" w:hAnsi="Traditional Arabic" w:cs="Traditional Arabic" w:hint="cs"/>
          <w:spacing w:val="-6"/>
          <w:sz w:val="24"/>
          <w:szCs w:val="24"/>
          <w:rtl/>
        </w:rPr>
        <w:t>،</w:t>
      </w:r>
      <w:r w:rsidRPr="00C13925">
        <w:rPr>
          <w:rFonts w:ascii="Traditional Arabic" w:hAnsi="Traditional Arabic" w:cs="Traditional Arabic" w:hint="cs"/>
          <w:spacing w:val="-6"/>
          <w:sz w:val="24"/>
          <w:szCs w:val="24"/>
          <w:rtl/>
        </w:rPr>
        <w:t xml:space="preserve"> وقد فسّر النموذج المقترح 17.9% من التباين في فعالية إدارة المخاطر، مما يدل على أهمية التكامل بين القيادة والثقافة التنظيمية لتحقيق نتائج آمنة في الرعاية الصحية</w:t>
      </w:r>
      <w:r w:rsidRPr="00C13925">
        <w:rPr>
          <w:rFonts w:ascii="Traditional Arabic" w:hAnsi="Traditional Arabic" w:cs="Traditional Arabic" w:hint="cs"/>
          <w:spacing w:val="-6"/>
          <w:sz w:val="24"/>
          <w:szCs w:val="24"/>
          <w:lang w:bidi="ar-EG"/>
        </w:rPr>
        <w:t xml:space="preserve"> </w:t>
      </w:r>
      <w:r w:rsidR="0086422C">
        <w:rPr>
          <w:rFonts w:ascii="Traditional Arabic" w:hAnsi="Traditional Arabic" w:cs="Traditional Arabic" w:hint="cs"/>
          <w:spacing w:val="-6"/>
          <w:sz w:val="24"/>
          <w:szCs w:val="24"/>
          <w:rtl/>
          <w:lang w:bidi="ar-EG"/>
        </w:rPr>
        <w:t>.</w:t>
      </w:r>
    </w:p>
    <w:p w14:paraId="07B3D9E0" w14:textId="77777777" w:rsidR="00C74EAC" w:rsidRPr="00C74EAC" w:rsidRDefault="00C74EAC" w:rsidP="00C74EAC">
      <w:pPr>
        <w:bidi/>
        <w:spacing w:after="200" w:line="360" w:lineRule="auto"/>
        <w:jc w:val="both"/>
        <w:rPr>
          <w:rFonts w:ascii="Traditional Arabic" w:hAnsi="Traditional Arabic" w:cs="Traditional Arabic"/>
          <w:b/>
          <w:bCs/>
          <w:spacing w:val="-6"/>
          <w:sz w:val="24"/>
          <w:szCs w:val="24"/>
          <w:rtl/>
          <w:lang w:bidi="ar-EG"/>
        </w:rPr>
      </w:pPr>
      <w:r w:rsidRPr="00C74EAC">
        <w:rPr>
          <w:rFonts w:ascii="Traditional Arabic" w:hAnsi="Traditional Arabic" w:cs="Traditional Arabic" w:hint="cs"/>
          <w:b/>
          <w:bCs/>
          <w:spacing w:val="-6"/>
          <w:sz w:val="24"/>
          <w:szCs w:val="24"/>
          <w:rtl/>
          <w:lang w:bidi="ar-EG"/>
        </w:rPr>
        <w:lastRenderedPageBreak/>
        <w:t>خلاصة :</w:t>
      </w:r>
    </w:p>
    <w:p w14:paraId="74CFEF7C" w14:textId="77777777"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pPr>
      <w:r w:rsidRPr="00C74EAC">
        <w:rPr>
          <w:rFonts w:ascii="Traditional Arabic" w:hAnsi="Traditional Arabic" w:cs="Traditional Arabic"/>
          <w:spacing w:val="-6"/>
          <w:sz w:val="24"/>
          <w:szCs w:val="24"/>
          <w:rtl/>
        </w:rPr>
        <w:t>إدارة المخاطر والقيادة التحويلية وسلامة المرضى تشكّل ثلاثية مترابطة في بيئة الرعاية الصحية الحديثة. فإدارة المخاطر هي الأداة المنهجية التي تحدد التهديدات المحتملة وتضع خططًا وقائية لتقليل آثارها، بينما تأتي القيادة التحويلية لتُفعّل هذه الخطط عبر إلهام العاملين وتحفيزهم على الالتزام بثقافة السلامة، من خلال أبعادها الأربعة: التأثير المثالي، التحفيز الإلهامي، الاستثارة الفكرية، والاعتبار الفردي. وعندما تتكامل هذه العناصر، تتحقق سلامة المرضى بشكل ملموس عبر تقليل الأخطاء الطبية، رفع جودة الخدمة، وتعزيز ثقة المجتمع بالمؤسسات الصحية. إن الجمع بين إدارة المخاطر والقيادة التحويلية يخلق بيئة عمل آمنة وفعّالة، حيث يصبح تحسين سلامة المرضى هدفًا استراتيجيًا لا مجرد إجراء وقائي</w:t>
      </w:r>
      <w:r w:rsidRPr="00C74EAC">
        <w:rPr>
          <w:rFonts w:ascii="Traditional Arabic" w:hAnsi="Traditional Arabic" w:cs="Traditional Arabic"/>
          <w:spacing w:val="-6"/>
          <w:sz w:val="24"/>
          <w:szCs w:val="24"/>
          <w:lang w:bidi="ar-EG"/>
        </w:rPr>
        <w:t>.</w:t>
      </w:r>
    </w:p>
    <w:p w14:paraId="690D6273" w14:textId="7F7B95BA"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sectPr w:rsidR="00C74EAC" w:rsidRPr="00C74EAC" w:rsidSect="004C51B2">
          <w:footerReference w:type="default" r:id="rId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25"/>
          <w:cols w:space="708"/>
          <w:bidi/>
          <w:rtlGutter/>
          <w:docGrid w:linePitch="360"/>
        </w:sectPr>
      </w:pPr>
    </w:p>
    <w:p w14:paraId="356AC2C0" w14:textId="77777777" w:rsidR="0086422C" w:rsidRDefault="0086422C" w:rsidP="0086422C">
      <w:pPr>
        <w:bidi/>
        <w:spacing w:after="200" w:line="276" w:lineRule="auto"/>
        <w:jc w:val="both"/>
        <w:rPr>
          <w:rFonts w:ascii="Simplified Arabic" w:hAnsi="Simplified Arabic" w:cs="Simplified Arabic"/>
          <w:spacing w:val="-6"/>
          <w:sz w:val="28"/>
          <w:szCs w:val="28"/>
          <w:rtl/>
          <w:lang w:bidi="ar-EG"/>
        </w:rPr>
      </w:pPr>
    </w:p>
    <w:p w14:paraId="032EF8F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D78AD48"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0F3112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296075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24788D0"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5824B0F" w14:textId="77777777" w:rsidR="0086422C" w:rsidRDefault="0086422C" w:rsidP="00C31C4E">
      <w:pPr>
        <w:bidi/>
        <w:spacing w:after="200" w:line="276" w:lineRule="auto"/>
        <w:jc w:val="center"/>
        <w:rPr>
          <w:rFonts w:ascii="Traditional Arabic" w:hAnsi="Traditional Arabic" w:cs="Traditional Arabic"/>
          <w:b/>
          <w:bCs/>
          <w:spacing w:val="-6"/>
          <w:sz w:val="144"/>
          <w:szCs w:val="144"/>
          <w:rtl/>
          <w:lang w:bidi="ar-EG"/>
        </w:rPr>
      </w:pPr>
      <w:r w:rsidRPr="0086422C">
        <w:rPr>
          <w:rFonts w:ascii="Traditional Arabic" w:hAnsi="Traditional Arabic" w:cs="Traditional Arabic" w:hint="cs"/>
          <w:b/>
          <w:bCs/>
          <w:spacing w:val="-6"/>
          <w:sz w:val="144"/>
          <w:szCs w:val="144"/>
          <w:rtl/>
          <w:lang w:bidi="ar-EG"/>
        </w:rPr>
        <w:t>الفصل الثا</w:t>
      </w:r>
      <w:r w:rsidR="009D4425">
        <w:rPr>
          <w:rFonts w:ascii="Traditional Arabic" w:hAnsi="Traditional Arabic" w:cs="Traditional Arabic" w:hint="cs"/>
          <w:b/>
          <w:bCs/>
          <w:spacing w:val="-6"/>
          <w:sz w:val="144"/>
          <w:szCs w:val="144"/>
          <w:rtl/>
          <w:lang w:bidi="ar-EG"/>
        </w:rPr>
        <w:t>لث</w:t>
      </w:r>
    </w:p>
    <w:p w14:paraId="556372A9" w14:textId="77777777" w:rsidR="00D63875" w:rsidRDefault="00D63875" w:rsidP="00D63875">
      <w:pPr>
        <w:bidi/>
        <w:spacing w:after="200" w:line="276" w:lineRule="auto"/>
        <w:jc w:val="center"/>
        <w:rPr>
          <w:rFonts w:ascii="Traditional Arabic" w:hAnsi="Traditional Arabic" w:cs="Traditional Arabic"/>
          <w:b/>
          <w:bCs/>
          <w:spacing w:val="-6"/>
          <w:sz w:val="144"/>
          <w:szCs w:val="144"/>
          <w:rtl/>
          <w:lang w:bidi="ar-EG"/>
        </w:rPr>
      </w:pPr>
    </w:p>
    <w:p w14:paraId="0F1C77C5" w14:textId="52ABE013" w:rsidR="00D63875" w:rsidRPr="0086422C" w:rsidRDefault="00D63875" w:rsidP="00D63875">
      <w:pPr>
        <w:bidi/>
        <w:spacing w:after="200" w:line="276" w:lineRule="auto"/>
        <w:jc w:val="center"/>
        <w:rPr>
          <w:rFonts w:ascii="Traditional Arabic" w:hAnsi="Traditional Arabic" w:cs="Traditional Arabic"/>
          <w:b/>
          <w:bCs/>
          <w:spacing w:val="-6"/>
          <w:sz w:val="144"/>
          <w:szCs w:val="144"/>
          <w:rtl/>
          <w:lang w:bidi="ar-EG"/>
        </w:rPr>
        <w:sectPr w:rsidR="00D63875" w:rsidRPr="0086422C" w:rsidSect="0086422C">
          <w:footerReference w:type="default" r:id="rId47"/>
          <w:pgSz w:w="11906" w:h="16838"/>
          <w:pgMar w:top="1440" w:right="1800" w:bottom="1440" w:left="1800" w:header="708" w:footer="708" w:gutter="0"/>
          <w:pgNumType w:start="23"/>
          <w:cols w:space="708"/>
          <w:bidi/>
          <w:rtlGutter/>
          <w:docGrid w:linePitch="360"/>
        </w:sectPr>
      </w:pPr>
    </w:p>
    <w:p w14:paraId="3C2CD4E9" w14:textId="6064C763" w:rsidR="003263AB" w:rsidRPr="003263AB" w:rsidRDefault="003263AB" w:rsidP="003263AB">
      <w:pPr>
        <w:bidi/>
        <w:spacing w:after="200" w:line="276" w:lineRule="auto"/>
        <w:jc w:val="both"/>
        <w:rPr>
          <w:rFonts w:ascii="Traditional Arabic" w:hAnsi="Traditional Arabic" w:cs="Traditional Arabic"/>
          <w:b/>
          <w:bCs/>
          <w:color w:val="000000" w:themeColor="text1"/>
          <w:sz w:val="28"/>
          <w:szCs w:val="28"/>
          <w:rtl/>
        </w:rPr>
      </w:pPr>
      <w:r w:rsidRPr="003263AB">
        <w:rPr>
          <w:rFonts w:ascii="Traditional Arabic" w:hAnsi="Traditional Arabic" w:cs="Traditional Arabic" w:hint="cs"/>
          <w:b/>
          <w:bCs/>
          <w:color w:val="000000" w:themeColor="text1"/>
          <w:sz w:val="28"/>
          <w:szCs w:val="28"/>
          <w:rtl/>
        </w:rPr>
        <w:lastRenderedPageBreak/>
        <w:t>تمهيد</w:t>
      </w:r>
      <w:r>
        <w:rPr>
          <w:rFonts w:ascii="Traditional Arabic" w:hAnsi="Traditional Arabic" w:cs="Traditional Arabic" w:hint="cs"/>
          <w:b/>
          <w:bCs/>
          <w:color w:val="000000" w:themeColor="text1"/>
          <w:sz w:val="28"/>
          <w:szCs w:val="28"/>
          <w:rtl/>
        </w:rPr>
        <w:t>:</w:t>
      </w:r>
    </w:p>
    <w:p w14:paraId="1CAA7504" w14:textId="74B0C2C4" w:rsidR="003263AB" w:rsidRPr="003263AB" w:rsidRDefault="003263AB" w:rsidP="003263AB">
      <w:pPr>
        <w:bidi/>
        <w:spacing w:after="200" w:line="276" w:lineRule="auto"/>
        <w:jc w:val="both"/>
        <w:rPr>
          <w:rFonts w:ascii="Traditional Arabic" w:hAnsi="Traditional Arabic" w:cs="Traditional Arabic"/>
          <w:color w:val="000000" w:themeColor="text1"/>
          <w:sz w:val="24"/>
          <w:szCs w:val="24"/>
        </w:rPr>
      </w:pPr>
      <w:r w:rsidRPr="003263AB">
        <w:rPr>
          <w:rFonts w:ascii="Traditional Arabic" w:hAnsi="Traditional Arabic" w:cs="Traditional Arabic"/>
          <w:color w:val="000000" w:themeColor="text1"/>
          <w:sz w:val="24"/>
          <w:szCs w:val="24"/>
          <w:rtl/>
        </w:rPr>
        <w:t>اعتمدت هذه الدراسة على المنهج الوصفي التحليلي لكونه الأنسب لفحص العلاقة بين ثلاثة متغيرات رئيسية في بيئة الرعاية الصحية</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إدارة المخاطر، القيادة التحويلية، وسلامة المرضى</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يتيح هذا المنهج وصف الظواهر كما هي في الواقع وتحليلها إحصائيًا لاستخلاص الروابط والتأثيرات المتبادلة، حيث شملت الدراسة عينة مكونة من (389) مشاركًا من العاملين في المرافق الصحية الحكومية بالمملكة العربية السعودية، مثل الأطباء والممرضين والإداريين وفنيي الجودة. وقد تم تصميم أداة الدراسة (الاستبانة) وفق مقياس ليكرت الخماسي، لتغطية أبعاد إدارة المخاطر، أنماط القيادة التحويلية، ومؤشرات سلامة المرضى، بما يضمن قياسًا دقيقًا لمستوى الممارسات السائدة في المؤسسات الصحية</w:t>
      </w:r>
      <w:r w:rsidRPr="003263AB">
        <w:rPr>
          <w:rFonts w:ascii="Traditional Arabic" w:hAnsi="Traditional Arabic" w:cs="Traditional Arabic"/>
          <w:color w:val="000000" w:themeColor="text1"/>
          <w:sz w:val="24"/>
          <w:szCs w:val="24"/>
        </w:rPr>
        <w:t>.</w:t>
      </w:r>
    </w:p>
    <w:p w14:paraId="105FB4A1" w14:textId="225CDE64" w:rsidR="0009265B" w:rsidRPr="00C31C4E" w:rsidRDefault="0009265B" w:rsidP="003263AB">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 xml:space="preserve">نوع البحث: وصفي تحليلي </w:t>
      </w:r>
    </w:p>
    <w:p w14:paraId="2D387BE3" w14:textId="2C655825" w:rsidR="002C0813" w:rsidRPr="00C31C4E" w:rsidRDefault="002C0813" w:rsidP="002C0813">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منهجية الدراسة:</w:t>
      </w:r>
    </w:p>
    <w:p w14:paraId="2EE2A1C1" w14:textId="77777777"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اعتمدت الدراسة على المنهج الوصفي التحليلي، لكونه الأنسب لتحليل العلاقة بين المتغيرات الثلاثة: إدارة المخاطر، القيادة التحويلية، وسلامة المرضى. يتيح هذا المنهج وصف الظواهر كما هي في الواقع، وتحليل البيانات إحصائيًا لاستخلاص العلاقات والتأثيرات المتبادلة</w:t>
      </w:r>
      <w:r w:rsidRPr="00C31C4E">
        <w:rPr>
          <w:rFonts w:ascii="Traditional Arabic" w:hAnsi="Traditional Arabic" w:cs="Traditional Arabic" w:hint="cs"/>
          <w:color w:val="000000" w:themeColor="text1"/>
          <w:sz w:val="24"/>
          <w:szCs w:val="24"/>
        </w:rPr>
        <w:t>.</w:t>
      </w:r>
    </w:p>
    <w:p w14:paraId="756376FF" w14:textId="2B2ACF34" w:rsidR="002C0813" w:rsidRPr="00C31C4E" w:rsidRDefault="002C0813" w:rsidP="002C0813">
      <w:pPr>
        <w:bidi/>
        <w:spacing w:after="200" w:line="276" w:lineRule="auto"/>
        <w:jc w:val="both"/>
        <w:rPr>
          <w:rFonts w:ascii="Traditional Arabic" w:hAnsi="Traditional Arabic" w:cs="Traditional Arabic"/>
          <w:color w:val="000000" w:themeColor="text1"/>
          <w:sz w:val="28"/>
          <w:szCs w:val="28"/>
        </w:rPr>
      </w:pPr>
      <w:r w:rsidRPr="00C31C4E">
        <w:rPr>
          <w:rFonts w:ascii="Traditional Arabic" w:hAnsi="Traditional Arabic" w:cs="Traditional Arabic" w:hint="cs"/>
          <w:b/>
          <w:bCs/>
          <w:color w:val="000000" w:themeColor="text1"/>
          <w:sz w:val="28"/>
          <w:szCs w:val="28"/>
          <w:rtl/>
        </w:rPr>
        <w:t>مجتمع الدراسة :</w:t>
      </w:r>
    </w:p>
    <w:p w14:paraId="03D917FD" w14:textId="35C52F7C"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Pr>
      </w:pPr>
      <w:r w:rsidRPr="00C31C4E">
        <w:rPr>
          <w:rFonts w:ascii="Traditional Arabic" w:hAnsi="Traditional Arabic" w:cs="Traditional Arabic" w:hint="cs"/>
          <w:color w:val="000000" w:themeColor="text1"/>
          <w:sz w:val="24"/>
          <w:szCs w:val="24"/>
          <w:rtl/>
        </w:rPr>
        <w:t xml:space="preserve">يتكون مجتمع الدراسة من جميع العاملين في المرافق الصحية الحكومية في </w:t>
      </w:r>
      <w:r w:rsidR="00BF4801" w:rsidRPr="00C31C4E">
        <w:rPr>
          <w:rFonts w:ascii="Traditional Arabic" w:hAnsi="Traditional Arabic" w:cs="Traditional Arabic" w:hint="cs"/>
          <w:color w:val="000000" w:themeColor="text1"/>
          <w:sz w:val="24"/>
          <w:szCs w:val="24"/>
          <w:rtl/>
          <w:lang w:bidi="ar-EG"/>
        </w:rPr>
        <w:t>المملكة العربية السعودية،</w:t>
      </w:r>
      <w:r w:rsidRPr="00C31C4E">
        <w:rPr>
          <w:rFonts w:ascii="Traditional Arabic" w:hAnsi="Traditional Arabic" w:cs="Traditional Arabic" w:hint="cs"/>
          <w:color w:val="000000" w:themeColor="text1"/>
          <w:sz w:val="24"/>
          <w:szCs w:val="24"/>
          <w:rtl/>
        </w:rPr>
        <w:t xml:space="preserve"> ممن لهم علاقة مباشرة أو غير مباشرة بإدارة المخاطر وسلامة المرضى، مثل الأطباء، الممرضين، الإداريين، وفنيي الجودة</w:t>
      </w:r>
      <w:r w:rsidR="00BF4801" w:rsidRPr="00C31C4E">
        <w:rPr>
          <w:rFonts w:ascii="Traditional Arabic" w:hAnsi="Traditional Arabic" w:cs="Traditional Arabic" w:hint="cs"/>
          <w:color w:val="000000" w:themeColor="text1"/>
          <w:sz w:val="24"/>
          <w:szCs w:val="24"/>
          <w:rtl/>
        </w:rPr>
        <w:t>، حيث يبلغ عددهم حوالي ( 15000)</w:t>
      </w:r>
      <w:r w:rsidR="00E729F1" w:rsidRPr="00C31C4E">
        <w:rPr>
          <w:rFonts w:ascii="Traditional Arabic" w:hAnsi="Traditional Arabic" w:cs="Traditional Arabic" w:hint="cs"/>
          <w:color w:val="000000" w:themeColor="text1"/>
          <w:sz w:val="24"/>
          <w:szCs w:val="24"/>
          <w:rtl/>
        </w:rPr>
        <w:t xml:space="preserve">، تبعاً لتقارير </w:t>
      </w:r>
      <w:hyperlink r:id="rId48" w:history="1">
        <w:r w:rsidR="00E729F1" w:rsidRPr="00C31C4E">
          <w:rPr>
            <w:rStyle w:val="Hyperlink"/>
            <w:rFonts w:ascii="Traditional Arabic" w:hAnsi="Traditional Arabic" w:cs="Traditional Arabic" w:hint="cs"/>
            <w:sz w:val="24"/>
            <w:szCs w:val="24"/>
            <w:rtl/>
          </w:rPr>
          <w:t>إحصاءات وزارة الصحة</w:t>
        </w:r>
      </w:hyperlink>
      <w:r w:rsidR="00E729F1" w:rsidRPr="00C31C4E">
        <w:rPr>
          <w:rFonts w:ascii="Traditional Arabic" w:hAnsi="Traditional Arabic" w:cs="Traditional Arabic" w:hint="cs"/>
          <w:color w:val="000000" w:themeColor="text1"/>
          <w:sz w:val="24"/>
          <w:szCs w:val="24"/>
        </w:rPr>
        <w:t>.</w:t>
      </w:r>
    </w:p>
    <w:p w14:paraId="3A7A086C" w14:textId="54CC2AB1" w:rsidR="002C0813" w:rsidRPr="00C31C4E" w:rsidRDefault="002C0813" w:rsidP="002C0813">
      <w:pPr>
        <w:bidi/>
        <w:spacing w:after="200" w:line="276" w:lineRule="auto"/>
        <w:rPr>
          <w:rFonts w:ascii="Traditional Arabic" w:hAnsi="Traditional Arabic" w:cs="Traditional Arabic"/>
          <w:b/>
          <w:bCs/>
          <w:color w:val="000000" w:themeColor="text1"/>
          <w:sz w:val="28"/>
          <w:szCs w:val="28"/>
        </w:rPr>
      </w:pPr>
      <w:r w:rsidRPr="00C31C4E">
        <w:rPr>
          <w:rFonts w:ascii="Traditional Arabic" w:hAnsi="Traditional Arabic" w:cs="Traditional Arabic" w:hint="cs"/>
          <w:b/>
          <w:bCs/>
          <w:color w:val="000000" w:themeColor="text1"/>
          <w:sz w:val="28"/>
          <w:szCs w:val="28"/>
          <w:rtl/>
        </w:rPr>
        <w:t>عينة الدراسة:</w:t>
      </w:r>
    </w:p>
    <w:p w14:paraId="76A1E3F5" w14:textId="6E6CF312" w:rsidR="002C0813" w:rsidRPr="00C31C4E" w:rsidRDefault="002C0813" w:rsidP="00C31C4E">
      <w:pPr>
        <w:bidi/>
        <w:spacing w:after="200" w:line="360" w:lineRule="auto"/>
        <w:ind w:firstLine="720"/>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تم اختيار عينة عشوائية طبقية من مجتمع الدراسة، لضمان تمثيل الفئات المختلفة</w:t>
      </w:r>
      <w:r w:rsidR="00D74A65" w:rsidRPr="00C31C4E">
        <w:rPr>
          <w:rFonts w:ascii="Traditional Arabic" w:hAnsi="Traditional Arabic" w:cs="Traditional Arabic" w:hint="cs"/>
          <w:color w:val="000000" w:themeColor="text1"/>
          <w:sz w:val="24"/>
          <w:szCs w:val="24"/>
          <w:rtl/>
        </w:rPr>
        <w:t>،</w:t>
      </w:r>
      <w:r w:rsidRPr="00C31C4E">
        <w:rPr>
          <w:rFonts w:ascii="Traditional Arabic" w:hAnsi="Traditional Arabic" w:cs="Traditional Arabic" w:hint="cs"/>
          <w:color w:val="000000" w:themeColor="text1"/>
          <w:sz w:val="24"/>
          <w:szCs w:val="24"/>
          <w:rtl/>
        </w:rPr>
        <w:t xml:space="preserve"> </w:t>
      </w:r>
      <w:r w:rsidR="00D74A65" w:rsidRPr="00C31C4E">
        <w:rPr>
          <w:rFonts w:ascii="Traditional Arabic" w:hAnsi="Traditional Arabic" w:cs="Traditional Arabic" w:hint="cs"/>
          <w:color w:val="000000" w:themeColor="text1"/>
          <w:sz w:val="24"/>
          <w:szCs w:val="24"/>
          <w:rtl/>
        </w:rPr>
        <w:t>و</w:t>
      </w:r>
      <w:r w:rsidRPr="00C31C4E">
        <w:rPr>
          <w:rFonts w:ascii="Traditional Arabic" w:hAnsi="Traditional Arabic" w:cs="Traditional Arabic" w:hint="cs"/>
          <w:color w:val="000000" w:themeColor="text1"/>
          <w:sz w:val="24"/>
          <w:szCs w:val="24"/>
          <w:rtl/>
        </w:rPr>
        <w:t>بلغ حجم العينة (</w:t>
      </w:r>
      <w:r w:rsidR="00F300E0" w:rsidRPr="00C31C4E">
        <w:rPr>
          <w:rFonts w:ascii="Traditional Arabic" w:hAnsi="Traditional Arabic" w:cs="Traditional Arabic" w:hint="cs"/>
          <w:color w:val="000000" w:themeColor="text1"/>
          <w:sz w:val="24"/>
          <w:szCs w:val="24"/>
          <w:rtl/>
        </w:rPr>
        <w:t>389</w:t>
      </w:r>
      <w:r w:rsidRPr="00C31C4E">
        <w:rPr>
          <w:rFonts w:ascii="Traditional Arabic" w:hAnsi="Traditional Arabic" w:cs="Traditional Arabic" w:hint="cs"/>
          <w:color w:val="000000" w:themeColor="text1"/>
          <w:sz w:val="24"/>
          <w:szCs w:val="24"/>
          <w:rtl/>
        </w:rPr>
        <w:t>) مشترك</w:t>
      </w:r>
      <w:r w:rsidR="00BF4801" w:rsidRPr="00C31C4E">
        <w:rPr>
          <w:rFonts w:ascii="Traditional Arabic" w:hAnsi="Traditional Arabic" w:cs="Traditional Arabic" w:hint="cs"/>
          <w:color w:val="000000" w:themeColor="text1"/>
          <w:sz w:val="24"/>
          <w:szCs w:val="24"/>
          <w:rtl/>
        </w:rPr>
        <w:t>، حيث تم توزيع الإستبانة عليهم بشكل إلكتروني</w:t>
      </w:r>
      <w:r w:rsidR="00AB5599" w:rsidRPr="00C31C4E">
        <w:rPr>
          <w:rFonts w:ascii="Traditional Arabic" w:hAnsi="Traditional Arabic" w:cs="Traditional Arabic" w:hint="cs"/>
          <w:color w:val="000000" w:themeColor="text1"/>
          <w:sz w:val="24"/>
          <w:szCs w:val="24"/>
          <w:rtl/>
        </w:rPr>
        <w:t>، وكانت كل الإستبيانات التي تم جمعها صالحة للتحليل.</w:t>
      </w:r>
    </w:p>
    <w:p w14:paraId="5D1A72EA" w14:textId="2FD6D243" w:rsidR="003262E5" w:rsidRPr="00C31C4E" w:rsidRDefault="003262E5" w:rsidP="00C31C4E">
      <w:pPr>
        <w:bidi/>
        <w:spacing w:after="200" w:line="360" w:lineRule="auto"/>
        <w:ind w:firstLine="720"/>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Pr>
        <w:t>"</w:t>
      </w:r>
      <w:r w:rsidRPr="00C31C4E">
        <w:rPr>
          <w:rFonts w:ascii="Traditional Arabic" w:hAnsi="Traditional Arabic" w:cs="Traditional Arabic" w:hint="cs"/>
          <w:color w:val="000000" w:themeColor="text1"/>
          <w:sz w:val="24"/>
          <w:szCs w:val="24"/>
          <w:rtl/>
        </w:rPr>
        <w:t>تم تحديد حجم العينة باستخدام معادلة</w:t>
      </w:r>
      <w:r w:rsidRPr="00C31C4E">
        <w:rPr>
          <w:rFonts w:ascii="Traditional Arabic" w:hAnsi="Traditional Arabic" w:cs="Traditional Arabic" w:hint="cs"/>
          <w:color w:val="000000" w:themeColor="text1"/>
          <w:sz w:val="24"/>
          <w:szCs w:val="24"/>
        </w:rPr>
        <w:t xml:space="preserve"> Yamane (1967)</w:t>
      </w:r>
      <w:r w:rsidRPr="00C31C4E">
        <w:rPr>
          <w:rFonts w:ascii="Traditional Arabic" w:hAnsi="Traditional Arabic" w:cs="Traditional Arabic" w:hint="cs"/>
          <w:color w:val="000000" w:themeColor="text1"/>
          <w:sz w:val="24"/>
          <w:szCs w:val="24"/>
          <w:rtl/>
        </w:rPr>
        <w:t>، والتي تأخذ في الاعتبار حجم مجتمع الدراسة وهامش الخطأ المقبول. وبناءً على حجم المجتمع البالغ 15,000، فإن الحجم المناسب للعينة عند هامش خطأ 5% هو حوالي 389 مشارك</w:t>
      </w:r>
      <w:r w:rsidRPr="00C31C4E">
        <w:rPr>
          <w:rFonts w:ascii="Traditional Arabic" w:hAnsi="Traditional Arabic" w:cs="Traditional Arabic" w:hint="cs"/>
          <w:color w:val="000000" w:themeColor="text1"/>
          <w:sz w:val="24"/>
          <w:szCs w:val="24"/>
        </w:rPr>
        <w:t>Krejcie &amp; Morgan (1970)."</w:t>
      </w:r>
    </w:p>
    <w:p w14:paraId="76BE5C55" w14:textId="0EB88F2A" w:rsidR="00D74A65" w:rsidRPr="00C31C4E" w:rsidRDefault="00D74A65" w:rsidP="00D74A65">
      <w:pPr>
        <w:spacing w:after="200" w:line="276" w:lineRule="auto"/>
        <w:ind w:firstLine="720"/>
        <w:jc w:val="both"/>
        <w:rPr>
          <w:rFonts w:asciiTheme="majorBidi" w:hAnsiTheme="majorBidi" w:cstheme="majorBidi"/>
          <w:color w:val="000000" w:themeColor="text1"/>
          <w:sz w:val="28"/>
          <w:szCs w:val="28"/>
        </w:rPr>
      </w:pPr>
      <w:r w:rsidRPr="00C31C4E">
        <w:rPr>
          <w:rFonts w:asciiTheme="majorBidi" w:hAnsiTheme="majorBidi" w:cstheme="majorBidi"/>
          <w:color w:val="000000" w:themeColor="text1"/>
          <w:sz w:val="28"/>
          <w:szCs w:val="28"/>
        </w:rPr>
        <w:t>N</w:t>
      </w:r>
      <m:oMath>
        <m:r>
          <m:rPr>
            <m:sty m:val="p"/>
          </m:rPr>
          <w:rPr>
            <w:rFonts w:ascii="Cambria Math" w:hAnsi="Cambria Math" w:cstheme="majorBidi"/>
            <w:color w:val="000000" w:themeColor="text1"/>
            <w:sz w:val="28"/>
            <w:szCs w:val="28"/>
          </w:rPr>
          <m:t>=</m:t>
        </m:r>
        <m:f>
          <m:fPr>
            <m:ctrlPr>
              <w:rPr>
                <w:rFonts w:ascii="Cambria Math" w:hAnsi="Cambria Math" w:cstheme="majorBidi"/>
                <w:color w:val="000000" w:themeColor="text1"/>
                <w:sz w:val="28"/>
                <w:szCs w:val="28"/>
              </w:rPr>
            </m:ctrlPr>
          </m:fPr>
          <m:num>
            <m:r>
              <m:rPr>
                <m:sty m:val="p"/>
              </m:rPr>
              <w:rPr>
                <w:rFonts w:ascii="Cambria Math" w:hAnsi="Cambria Math" w:cstheme="majorBidi"/>
                <w:color w:val="000000" w:themeColor="text1"/>
                <w:sz w:val="28"/>
                <w:szCs w:val="28"/>
              </w:rPr>
              <m:t>n</m:t>
            </m:r>
          </m:num>
          <m:den>
            <m:r>
              <m:rPr>
                <m:sty m:val="p"/>
              </m:rPr>
              <w:rPr>
                <w:rFonts w:ascii="Cambria Math" w:hAnsi="Cambria Math" w:cstheme="majorBidi"/>
                <w:color w:val="000000" w:themeColor="text1"/>
                <w:sz w:val="28"/>
                <w:szCs w:val="28"/>
              </w:rPr>
              <m:t>1+n</m:t>
            </m:r>
            <m:d>
              <m:dPr>
                <m:ctrlPr>
                  <w:rPr>
                    <w:rFonts w:ascii="Cambria Math" w:hAnsi="Cambria Math" w:cstheme="majorBidi"/>
                    <w:color w:val="000000" w:themeColor="text1"/>
                    <w:sz w:val="28"/>
                    <w:szCs w:val="28"/>
                  </w:rPr>
                </m:ctrlPr>
              </m:dPr>
              <m:e>
                <m:r>
                  <m:rPr>
                    <m:sty m:val="p"/>
                  </m:rPr>
                  <w:rPr>
                    <w:rFonts w:ascii="Cambria Math" w:hAnsi="Cambria Math" w:cstheme="majorBidi"/>
                    <w:color w:val="000000" w:themeColor="text1"/>
                    <w:sz w:val="28"/>
                    <w:szCs w:val="28"/>
                  </w:rPr>
                  <m:t>e</m:t>
                </m:r>
              </m:e>
            </m:d>
            <m:r>
              <m:rPr>
                <m:sty m:val="p"/>
              </m:rPr>
              <w:rPr>
                <w:rFonts w:ascii="Cambria Math" w:hAnsi="Cambria Math" w:cstheme="majorBidi"/>
                <w:color w:val="000000" w:themeColor="text1"/>
                <w:sz w:val="28"/>
                <w:szCs w:val="28"/>
              </w:rPr>
              <m:t>2</m:t>
            </m:r>
          </m:den>
        </m:f>
      </m:oMath>
      <w:r w:rsidRPr="00C31C4E">
        <w:rPr>
          <w:rFonts w:asciiTheme="majorBidi" w:eastAsiaTheme="minorEastAsia" w:hAnsiTheme="majorBidi" w:cstheme="majorBidi"/>
          <w:color w:val="000000" w:themeColor="text1"/>
          <w:sz w:val="28"/>
          <w:szCs w:val="28"/>
        </w:rPr>
        <w:t xml:space="preserve">= </w:t>
      </w:r>
      <m:oMath>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1+15000</m:t>
            </m:r>
            <m:d>
              <m:dPr>
                <m:ctrlPr>
                  <w:rPr>
                    <w:rFonts w:ascii="Cambria Math" w:eastAsiaTheme="minorEastAsia" w:hAnsi="Cambria Math" w:cstheme="majorBidi"/>
                    <w:i/>
                    <w:color w:val="000000" w:themeColor="text1"/>
                    <w:sz w:val="28"/>
                    <w:szCs w:val="28"/>
                  </w:rPr>
                </m:ctrlPr>
              </m:dPr>
              <m:e>
                <m:r>
                  <w:rPr>
                    <w:rFonts w:ascii="Cambria Math" w:eastAsiaTheme="minorEastAsia" w:hAnsi="Cambria Math" w:cstheme="majorBidi"/>
                    <w:color w:val="000000" w:themeColor="text1"/>
                    <w:sz w:val="28"/>
                    <w:szCs w:val="28"/>
                  </w:rPr>
                  <m:t>0.05</m:t>
                </m:r>
              </m:e>
            </m:d>
            <m:r>
              <w:rPr>
                <w:rFonts w:ascii="Cambria Math" w:eastAsiaTheme="minorEastAsia" w:hAnsi="Cambria Math" w:cstheme="majorBidi"/>
                <w:color w:val="000000" w:themeColor="text1"/>
                <w:sz w:val="28"/>
                <w:szCs w:val="28"/>
              </w:rPr>
              <m:t>2</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1+37.5</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38.5</m:t>
            </m:r>
          </m:den>
        </m:f>
        <m:r>
          <w:rPr>
            <w:rFonts w:ascii="Cambria Math" w:eastAsiaTheme="minorEastAsia" w:hAnsi="Cambria Math" w:cstheme="majorBidi"/>
            <w:color w:val="000000" w:themeColor="text1"/>
            <w:sz w:val="28"/>
            <w:szCs w:val="28"/>
          </w:rPr>
          <m:t>=389</m:t>
        </m:r>
      </m:oMath>
    </w:p>
    <w:p w14:paraId="5DDB03A6" w14:textId="77777777" w:rsidR="00C31C4E" w:rsidRDefault="00C31C4E" w:rsidP="00713E1B">
      <w:pPr>
        <w:bidi/>
        <w:spacing w:after="200" w:line="276" w:lineRule="auto"/>
        <w:jc w:val="center"/>
        <w:rPr>
          <w:rFonts w:ascii="Simplified Arabic" w:hAnsi="Simplified Arabic" w:cs="Simplified Arabic"/>
          <w:b/>
          <w:bCs/>
          <w:color w:val="000000" w:themeColor="text1"/>
          <w:sz w:val="24"/>
          <w:szCs w:val="24"/>
          <w:rtl/>
          <w:lang w:bidi="ar-EG"/>
        </w:rPr>
      </w:pPr>
    </w:p>
    <w:p w14:paraId="30220F07" w14:textId="77777777" w:rsidR="00C31C4E" w:rsidRDefault="00C31C4E" w:rsidP="00C31C4E">
      <w:pPr>
        <w:bidi/>
        <w:spacing w:after="200" w:line="276" w:lineRule="auto"/>
        <w:jc w:val="center"/>
        <w:rPr>
          <w:rFonts w:ascii="Simplified Arabic" w:hAnsi="Simplified Arabic" w:cs="Simplified Arabic"/>
          <w:b/>
          <w:bCs/>
          <w:color w:val="000000" w:themeColor="text1"/>
          <w:sz w:val="24"/>
          <w:szCs w:val="24"/>
          <w:lang w:bidi="ar-EG"/>
        </w:rPr>
      </w:pPr>
    </w:p>
    <w:p w14:paraId="7C00A98B" w14:textId="2DD9DBA7" w:rsidR="000776C1" w:rsidRPr="00F972C1" w:rsidRDefault="007417AC" w:rsidP="00C31C4E">
      <w:pPr>
        <w:bidi/>
        <w:spacing w:after="200" w:line="276" w:lineRule="auto"/>
        <w:jc w:val="center"/>
        <w:rPr>
          <w:rFonts w:ascii="Traditional Arabic" w:hAnsi="Traditional Arabic" w:cs="Traditional Arabic"/>
          <w:b/>
          <w:bCs/>
          <w:color w:val="000000" w:themeColor="text1"/>
          <w:sz w:val="24"/>
          <w:szCs w:val="24"/>
          <w:lang w:bidi="ar-EG"/>
        </w:rPr>
      </w:pPr>
      <w:r w:rsidRPr="00F972C1">
        <w:rPr>
          <w:rFonts w:ascii="Traditional Arabic" w:hAnsi="Traditional Arabic" w:cs="Traditional Arabic" w:hint="cs"/>
          <w:b/>
          <w:bCs/>
          <w:color w:val="000000" w:themeColor="text1"/>
          <w:sz w:val="24"/>
          <w:szCs w:val="24"/>
          <w:rtl/>
          <w:lang w:bidi="ar-EG"/>
        </w:rPr>
        <w:lastRenderedPageBreak/>
        <w:t xml:space="preserve">جدول( </w:t>
      </w:r>
      <w:r w:rsidR="00713E1B" w:rsidRPr="00F972C1">
        <w:rPr>
          <w:rFonts w:ascii="Traditional Arabic" w:hAnsi="Traditional Arabic" w:cs="Traditional Arabic" w:hint="cs"/>
          <w:b/>
          <w:bCs/>
          <w:color w:val="000000" w:themeColor="text1"/>
          <w:sz w:val="24"/>
          <w:szCs w:val="24"/>
          <w:rtl/>
          <w:lang w:bidi="ar-EG"/>
        </w:rPr>
        <w:t>10</w:t>
      </w:r>
      <w:r w:rsidRPr="00F972C1">
        <w:rPr>
          <w:rFonts w:ascii="Traditional Arabic" w:hAnsi="Traditional Arabic" w:cs="Traditional Arabic" w:hint="cs"/>
          <w:b/>
          <w:bCs/>
          <w:color w:val="000000" w:themeColor="text1"/>
          <w:sz w:val="24"/>
          <w:szCs w:val="24"/>
          <w:rtl/>
          <w:lang w:bidi="ar-EG"/>
        </w:rPr>
        <w:t>) البيانات الشخصية للمشاركين في الدراسة:</w:t>
      </w:r>
    </w:p>
    <w:tbl>
      <w:tblPr>
        <w:tblStyle w:val="GridTable1Light"/>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19"/>
        <w:gridCol w:w="2331"/>
        <w:gridCol w:w="2472"/>
        <w:gridCol w:w="1568"/>
      </w:tblGrid>
      <w:tr w:rsidR="000776C1" w:rsidRPr="00F972C1" w14:paraId="32C8A41D" w14:textId="77777777" w:rsidTr="002E232C">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tcBorders>
              <w:bottom w:val="none" w:sz="0" w:space="0" w:color="auto"/>
            </w:tcBorders>
            <w:shd w:val="clear" w:color="auto" w:fill="E5DFEC" w:themeFill="accent4" w:themeFillTint="33"/>
            <w:hideMark/>
          </w:tcPr>
          <w:p w14:paraId="5CCFA7DE" w14:textId="77777777" w:rsidR="000776C1" w:rsidRPr="00F972C1" w:rsidRDefault="000776C1" w:rsidP="00C31C4E">
            <w:pPr>
              <w:bidi/>
              <w:spacing w:after="200" w:line="276" w:lineRule="auto"/>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التكرار بعد التعديل</w:t>
            </w:r>
          </w:p>
        </w:tc>
        <w:tc>
          <w:tcPr>
            <w:tcW w:w="1416" w:type="pct"/>
            <w:tcBorders>
              <w:bottom w:val="none" w:sz="0" w:space="0" w:color="auto"/>
            </w:tcBorders>
            <w:shd w:val="clear" w:color="auto" w:fill="E5DFEC" w:themeFill="accent4" w:themeFillTint="33"/>
            <w:hideMark/>
          </w:tcPr>
          <w:p w14:paraId="2567DB9F" w14:textId="77777777" w:rsidR="000776C1" w:rsidRPr="00F972C1" w:rsidRDefault="000776C1" w:rsidP="00C31C4E">
            <w:pPr>
              <w:bidi/>
              <w:spacing w:after="200"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النسبة المئوية الأصلية</w:t>
            </w:r>
          </w:p>
        </w:tc>
        <w:tc>
          <w:tcPr>
            <w:tcW w:w="1503" w:type="pct"/>
            <w:tcBorders>
              <w:bottom w:val="none" w:sz="0" w:space="0" w:color="auto"/>
            </w:tcBorders>
            <w:shd w:val="clear" w:color="auto" w:fill="E5DFEC" w:themeFill="accent4" w:themeFillTint="33"/>
            <w:hideMark/>
          </w:tcPr>
          <w:p w14:paraId="1C6132CA"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الفئة</w:t>
            </w:r>
          </w:p>
        </w:tc>
        <w:tc>
          <w:tcPr>
            <w:tcW w:w="932" w:type="pct"/>
            <w:tcBorders>
              <w:bottom w:val="none" w:sz="0" w:space="0" w:color="auto"/>
            </w:tcBorders>
            <w:shd w:val="clear" w:color="auto" w:fill="E5DFEC" w:themeFill="accent4" w:themeFillTint="33"/>
            <w:hideMark/>
          </w:tcPr>
          <w:p w14:paraId="57E6228F"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المتغير</w:t>
            </w:r>
          </w:p>
        </w:tc>
      </w:tr>
      <w:tr w:rsidR="000776C1" w:rsidRPr="00F972C1" w14:paraId="3D982F1D"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64CB00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224</w:t>
            </w:r>
          </w:p>
        </w:tc>
        <w:tc>
          <w:tcPr>
            <w:tcW w:w="1416" w:type="pct"/>
            <w:hideMark/>
          </w:tcPr>
          <w:p w14:paraId="570A8916"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57.5%</w:t>
            </w:r>
          </w:p>
        </w:tc>
        <w:tc>
          <w:tcPr>
            <w:tcW w:w="1503" w:type="pct"/>
            <w:hideMark/>
          </w:tcPr>
          <w:p w14:paraId="4A39EAD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أنثى</w:t>
            </w:r>
          </w:p>
        </w:tc>
        <w:tc>
          <w:tcPr>
            <w:tcW w:w="932" w:type="pct"/>
            <w:hideMark/>
          </w:tcPr>
          <w:p w14:paraId="2AF2BF0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A82BE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125439C3"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165</w:t>
            </w:r>
          </w:p>
        </w:tc>
        <w:tc>
          <w:tcPr>
            <w:tcW w:w="1416" w:type="pct"/>
            <w:hideMark/>
          </w:tcPr>
          <w:p w14:paraId="4438B998"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42.5%</w:t>
            </w:r>
          </w:p>
        </w:tc>
        <w:tc>
          <w:tcPr>
            <w:tcW w:w="1503" w:type="pct"/>
            <w:hideMark/>
          </w:tcPr>
          <w:p w14:paraId="4F34C8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ذكر</w:t>
            </w:r>
          </w:p>
        </w:tc>
        <w:tc>
          <w:tcPr>
            <w:tcW w:w="932" w:type="pct"/>
            <w:hideMark/>
          </w:tcPr>
          <w:p w14:paraId="36F1070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8346CF"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9A82C61"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78</w:t>
            </w:r>
          </w:p>
        </w:tc>
        <w:tc>
          <w:tcPr>
            <w:tcW w:w="1416" w:type="pct"/>
            <w:hideMark/>
          </w:tcPr>
          <w:p w14:paraId="73BB76AD"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20%</w:t>
            </w:r>
          </w:p>
        </w:tc>
        <w:tc>
          <w:tcPr>
            <w:tcW w:w="1503" w:type="pct"/>
            <w:hideMark/>
          </w:tcPr>
          <w:p w14:paraId="79C4CB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30 سنة</w:t>
            </w:r>
          </w:p>
        </w:tc>
        <w:tc>
          <w:tcPr>
            <w:tcW w:w="932" w:type="pct"/>
            <w:hideMark/>
          </w:tcPr>
          <w:p w14:paraId="0DB44337"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6D835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240450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56A4B824"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083929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30 إلى أقل من 40</w:t>
            </w:r>
          </w:p>
        </w:tc>
        <w:tc>
          <w:tcPr>
            <w:tcW w:w="932" w:type="pct"/>
            <w:hideMark/>
          </w:tcPr>
          <w:p w14:paraId="13F7071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9516BB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2F84A84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117</w:t>
            </w:r>
          </w:p>
        </w:tc>
        <w:tc>
          <w:tcPr>
            <w:tcW w:w="1416" w:type="pct"/>
            <w:hideMark/>
          </w:tcPr>
          <w:p w14:paraId="0F385DB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30%</w:t>
            </w:r>
          </w:p>
        </w:tc>
        <w:tc>
          <w:tcPr>
            <w:tcW w:w="1503" w:type="pct"/>
            <w:hideMark/>
          </w:tcPr>
          <w:p w14:paraId="006F4E7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40 إلى أقل من 50</w:t>
            </w:r>
          </w:p>
        </w:tc>
        <w:tc>
          <w:tcPr>
            <w:tcW w:w="932" w:type="pct"/>
            <w:hideMark/>
          </w:tcPr>
          <w:p w14:paraId="49219B58"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15FC486"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39D39BF"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49</w:t>
            </w:r>
          </w:p>
        </w:tc>
        <w:tc>
          <w:tcPr>
            <w:tcW w:w="1416" w:type="pct"/>
            <w:hideMark/>
          </w:tcPr>
          <w:p w14:paraId="31BD231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12.5%</w:t>
            </w:r>
          </w:p>
        </w:tc>
        <w:tc>
          <w:tcPr>
            <w:tcW w:w="1503" w:type="pct"/>
            <w:hideMark/>
          </w:tcPr>
          <w:p w14:paraId="3FF6EC03" w14:textId="2EFC4DEE"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سنة فأكثر 50</w:t>
            </w:r>
          </w:p>
        </w:tc>
        <w:tc>
          <w:tcPr>
            <w:tcW w:w="932" w:type="pct"/>
            <w:hideMark/>
          </w:tcPr>
          <w:p w14:paraId="7EC908B3"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DD427AB"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203082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97</w:t>
            </w:r>
          </w:p>
        </w:tc>
        <w:tc>
          <w:tcPr>
            <w:tcW w:w="1416" w:type="pct"/>
            <w:hideMark/>
          </w:tcPr>
          <w:p w14:paraId="595C478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25%</w:t>
            </w:r>
          </w:p>
        </w:tc>
        <w:tc>
          <w:tcPr>
            <w:tcW w:w="1503" w:type="pct"/>
            <w:hideMark/>
          </w:tcPr>
          <w:p w14:paraId="44304A40"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دراسات عليا</w:t>
            </w:r>
          </w:p>
        </w:tc>
        <w:tc>
          <w:tcPr>
            <w:tcW w:w="932" w:type="pct"/>
            <w:hideMark/>
          </w:tcPr>
          <w:p w14:paraId="0B9D550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20C15983"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F028617"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233</w:t>
            </w:r>
          </w:p>
        </w:tc>
        <w:tc>
          <w:tcPr>
            <w:tcW w:w="1416" w:type="pct"/>
            <w:hideMark/>
          </w:tcPr>
          <w:p w14:paraId="5EDEF852"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60%</w:t>
            </w:r>
          </w:p>
        </w:tc>
        <w:tc>
          <w:tcPr>
            <w:tcW w:w="1503" w:type="pct"/>
            <w:hideMark/>
          </w:tcPr>
          <w:p w14:paraId="2AE9451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بكالوريوس</w:t>
            </w:r>
          </w:p>
        </w:tc>
        <w:tc>
          <w:tcPr>
            <w:tcW w:w="932" w:type="pct"/>
            <w:hideMark/>
          </w:tcPr>
          <w:p w14:paraId="520B90D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63AFDCEC"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493A74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58</w:t>
            </w:r>
          </w:p>
        </w:tc>
        <w:tc>
          <w:tcPr>
            <w:tcW w:w="1416" w:type="pct"/>
            <w:hideMark/>
          </w:tcPr>
          <w:p w14:paraId="1F85C4A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15%</w:t>
            </w:r>
          </w:p>
        </w:tc>
        <w:tc>
          <w:tcPr>
            <w:tcW w:w="1503" w:type="pct"/>
            <w:hideMark/>
          </w:tcPr>
          <w:p w14:paraId="69D55344"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دبلوم</w:t>
            </w:r>
          </w:p>
        </w:tc>
        <w:tc>
          <w:tcPr>
            <w:tcW w:w="932" w:type="pct"/>
            <w:hideMark/>
          </w:tcPr>
          <w:p w14:paraId="37E83E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7CE8E9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CBB3734"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6541AE3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23C461A6" w14:textId="230FD9A0"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10سنوات فأكثر</w:t>
            </w:r>
          </w:p>
        </w:tc>
        <w:tc>
          <w:tcPr>
            <w:tcW w:w="932" w:type="pct"/>
            <w:hideMark/>
          </w:tcPr>
          <w:p w14:paraId="3FE2DA99"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0627FFC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0E4E519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156</w:t>
            </w:r>
          </w:p>
        </w:tc>
        <w:tc>
          <w:tcPr>
            <w:tcW w:w="1416" w:type="pct"/>
            <w:hideMark/>
          </w:tcPr>
          <w:p w14:paraId="6D9C9A11"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40%</w:t>
            </w:r>
          </w:p>
        </w:tc>
        <w:tc>
          <w:tcPr>
            <w:tcW w:w="1503" w:type="pct"/>
            <w:hideMark/>
          </w:tcPr>
          <w:p w14:paraId="2BCF6F5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5 إلى أقل من 10</w:t>
            </w:r>
          </w:p>
        </w:tc>
        <w:tc>
          <w:tcPr>
            <w:tcW w:w="932" w:type="pct"/>
            <w:hideMark/>
          </w:tcPr>
          <w:p w14:paraId="4FEE5B0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3A50352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478B568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88</w:t>
            </w:r>
          </w:p>
        </w:tc>
        <w:tc>
          <w:tcPr>
            <w:tcW w:w="1416" w:type="pct"/>
            <w:hideMark/>
          </w:tcPr>
          <w:p w14:paraId="47830A2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22.5%</w:t>
            </w:r>
          </w:p>
        </w:tc>
        <w:tc>
          <w:tcPr>
            <w:tcW w:w="1503" w:type="pct"/>
            <w:hideMark/>
          </w:tcPr>
          <w:p w14:paraId="0928575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5 سنوات</w:t>
            </w:r>
          </w:p>
        </w:tc>
        <w:tc>
          <w:tcPr>
            <w:tcW w:w="932" w:type="pct"/>
            <w:hideMark/>
          </w:tcPr>
          <w:p w14:paraId="6BABD67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bl>
    <w:p w14:paraId="57AF618E" w14:textId="75EB62C6" w:rsidR="00713E1B" w:rsidRPr="00F972C1" w:rsidRDefault="00713E1B" w:rsidP="002E232C">
      <w:pPr>
        <w:bidi/>
        <w:spacing w:after="200" w:line="276" w:lineRule="auto"/>
        <w:jc w:val="center"/>
        <w:rPr>
          <w:rFonts w:ascii="Traditional Arabic" w:hAnsi="Traditional Arabic" w:cs="Traditional Arabic"/>
          <w:b/>
          <w:bCs/>
          <w:color w:val="000000" w:themeColor="text1"/>
          <w:sz w:val="24"/>
          <w:szCs w:val="24"/>
          <w:rtl/>
        </w:rPr>
      </w:pPr>
      <w:r w:rsidRPr="00F972C1">
        <w:rPr>
          <w:rFonts w:ascii="Traditional Arabic" w:hAnsi="Traditional Arabic" w:cs="Traditional Arabic" w:hint="cs"/>
          <w:b/>
          <w:bCs/>
          <w:color w:val="000000" w:themeColor="text1"/>
          <w:sz w:val="24"/>
          <w:szCs w:val="24"/>
          <w:rtl/>
        </w:rPr>
        <w:t>المصدر: إعداد الباحثة</w:t>
      </w:r>
    </w:p>
    <w:p w14:paraId="087C257D" w14:textId="77777777" w:rsidR="00595465" w:rsidRPr="002E232C" w:rsidRDefault="00595465" w:rsidP="002E232C">
      <w:pPr>
        <w:bidi/>
        <w:spacing w:after="200" w:line="360" w:lineRule="auto"/>
        <w:ind w:firstLine="720"/>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شملت الدراسة عينة مكونة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3BB32E35" w14:textId="57941E36" w:rsidR="002C0813" w:rsidRPr="002E232C" w:rsidRDefault="002C0813" w:rsidP="002C0813">
      <w:pPr>
        <w:bidi/>
        <w:spacing w:after="200" w:line="276" w:lineRule="auto"/>
        <w:rPr>
          <w:rFonts w:ascii="Traditional Arabic" w:hAnsi="Traditional Arabic" w:cs="Traditional Arabic"/>
          <w:b/>
          <w:bCs/>
          <w:color w:val="000000" w:themeColor="text1"/>
          <w:sz w:val="28"/>
          <w:szCs w:val="28"/>
        </w:rPr>
      </w:pPr>
      <w:r w:rsidRPr="002E232C">
        <w:rPr>
          <w:rFonts w:ascii="Traditional Arabic" w:hAnsi="Traditional Arabic" w:cs="Traditional Arabic" w:hint="cs"/>
          <w:b/>
          <w:bCs/>
          <w:color w:val="000000" w:themeColor="text1"/>
          <w:sz w:val="28"/>
          <w:szCs w:val="28"/>
          <w:rtl/>
        </w:rPr>
        <w:lastRenderedPageBreak/>
        <w:t>أداة الدراسة :</w:t>
      </w:r>
    </w:p>
    <w:p w14:paraId="64007900" w14:textId="6BE3BFDB" w:rsidR="002C0813" w:rsidRPr="002E232C" w:rsidRDefault="00BA2FB5" w:rsidP="002E232C">
      <w:p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lang w:bidi="ar-EG"/>
        </w:rPr>
        <w:t>في ضوء فروض البحث وتغيراته الثلاثة المستقل والوسيط والتابع قامت الباحثة بتصميم إستبانة شملت 60 عبارة تم إعدادها وتوزيعها على عينة البحث بواسطة (</w:t>
      </w:r>
      <w:r w:rsidRPr="002E232C">
        <w:rPr>
          <w:rFonts w:ascii="Traditional Arabic" w:hAnsi="Traditional Arabic" w:cs="Traditional Arabic" w:hint="cs"/>
          <w:color w:val="000000" w:themeColor="text1"/>
          <w:sz w:val="24"/>
          <w:szCs w:val="24"/>
          <w:lang w:bidi="ar-EG"/>
        </w:rPr>
        <w:t>Google Forms</w:t>
      </w:r>
      <w:r w:rsidRPr="002E232C">
        <w:rPr>
          <w:rFonts w:ascii="Traditional Arabic" w:hAnsi="Traditional Arabic" w:cs="Traditional Arabic" w:hint="cs"/>
          <w:color w:val="000000" w:themeColor="text1"/>
          <w:sz w:val="24"/>
          <w:szCs w:val="24"/>
          <w:rtl/>
          <w:lang w:bidi="ar-EG"/>
        </w:rPr>
        <w:t>)</w:t>
      </w:r>
      <w:r w:rsidR="00EB411A" w:rsidRPr="002E232C">
        <w:rPr>
          <w:rFonts w:ascii="Traditional Arabic" w:hAnsi="Traditional Arabic" w:cs="Traditional Arabic" w:hint="cs"/>
          <w:color w:val="000000" w:themeColor="text1"/>
          <w:sz w:val="24"/>
          <w:szCs w:val="24"/>
          <w:rtl/>
          <w:lang w:bidi="ar-EG"/>
        </w:rPr>
        <w:t>،</w:t>
      </w:r>
      <w:r w:rsidR="002C0813" w:rsidRPr="002E232C">
        <w:rPr>
          <w:rFonts w:ascii="Traditional Arabic" w:hAnsi="Traditional Arabic" w:cs="Traditional Arabic" w:hint="cs"/>
          <w:color w:val="000000" w:themeColor="text1"/>
          <w:sz w:val="24"/>
          <w:szCs w:val="24"/>
          <w:rtl/>
        </w:rPr>
        <w:t xml:space="preserve"> وقد تم تصميمها بناءً على الأدبيات السابقة والدراسات المشابهة، وتم الاعتماد على مقياس ليكرت الخماسي في أداة الدراسة( موافق بشدة 5- موافق 4- محايد 3- غير موافق 2- غير موافق بشدة 1)</w:t>
      </w:r>
      <w:r w:rsidR="00EB411A" w:rsidRPr="002E232C">
        <w:rPr>
          <w:rFonts w:ascii="Traditional Arabic" w:hAnsi="Traditional Arabic" w:cs="Traditional Arabic" w:hint="cs"/>
          <w:color w:val="000000" w:themeColor="text1"/>
          <w:sz w:val="24"/>
          <w:szCs w:val="24"/>
          <w:rtl/>
        </w:rPr>
        <w:t>، وقد جاء تنظيم الاستبانة مقسماً إلى ثلاث أقسام كما يلي</w:t>
      </w:r>
      <w:r w:rsidR="002C0813" w:rsidRPr="002E232C">
        <w:rPr>
          <w:rFonts w:ascii="Traditional Arabic" w:hAnsi="Traditional Arabic" w:cs="Traditional Arabic" w:hint="cs"/>
          <w:color w:val="000000" w:themeColor="text1"/>
          <w:sz w:val="24"/>
          <w:szCs w:val="24"/>
          <w:rtl/>
        </w:rPr>
        <w:t xml:space="preserve"> </w:t>
      </w:r>
      <w:r w:rsidR="002C0813" w:rsidRPr="002E232C">
        <w:rPr>
          <w:rFonts w:ascii="Traditional Arabic" w:hAnsi="Traditional Arabic" w:cs="Traditional Arabic" w:hint="cs"/>
          <w:color w:val="000000" w:themeColor="text1"/>
          <w:sz w:val="24"/>
          <w:szCs w:val="24"/>
        </w:rPr>
        <w:t>:</w:t>
      </w:r>
    </w:p>
    <w:p w14:paraId="012ED55D" w14:textId="1F77EAB3" w:rsidR="002C0813" w:rsidRPr="002E232C" w:rsidRDefault="00EB411A">
      <w:pPr>
        <w:numPr>
          <w:ilvl w:val="0"/>
          <w:numId w:val="34"/>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الأول: لقياس</w:t>
      </w:r>
      <w:r w:rsidR="002C0813" w:rsidRPr="002E232C">
        <w:rPr>
          <w:rFonts w:ascii="Traditional Arabic" w:hAnsi="Traditional Arabic" w:cs="Traditional Arabic" w:hint="cs"/>
          <w:color w:val="000000" w:themeColor="text1"/>
          <w:sz w:val="24"/>
          <w:szCs w:val="24"/>
          <w:rtl/>
        </w:rPr>
        <w:t xml:space="preserve"> إدارة المخاطر</w:t>
      </w:r>
      <w:r w:rsidRPr="002E232C">
        <w:rPr>
          <w:rFonts w:ascii="Traditional Arabic" w:hAnsi="Traditional Arabic" w:cs="Traditional Arabic" w:hint="cs"/>
          <w:color w:val="000000" w:themeColor="text1"/>
          <w:sz w:val="24"/>
          <w:szCs w:val="24"/>
          <w:rtl/>
        </w:rPr>
        <w:t xml:space="preserve"> (المتغير المستقل) وتم قياسه باستخدام 20 عبارة موزعة على الأبعاد التالية ( تحديد المخاطر- تحليل المخاطر- تقييم المخاطر – الاستجابة للمخاطر)، وتم قياس الدراسة على عدد من الدراسات السابقة التي تناولت هذا المفهوم في السياق الصحي، حيث اعتمدت دراسة</w:t>
      </w:r>
      <w:r w:rsidRPr="002E232C">
        <w:rPr>
          <w:rFonts w:ascii="Traditional Arabic" w:hAnsi="Traditional Arabic" w:cs="Traditional Arabic" w:hint="cs"/>
          <w:color w:val="000000" w:themeColor="text1"/>
          <w:sz w:val="24"/>
          <w:szCs w:val="24"/>
        </w:rPr>
        <w:t xml:space="preserve"> Alahmadi (2010) </w:t>
      </w:r>
      <w:r w:rsidRPr="002E232C">
        <w:rPr>
          <w:rFonts w:ascii="Traditional Arabic" w:hAnsi="Traditional Arabic" w:cs="Traditional Arabic" w:hint="cs"/>
          <w:color w:val="000000" w:themeColor="text1"/>
          <w:sz w:val="24"/>
          <w:szCs w:val="24"/>
          <w:rtl/>
        </w:rPr>
        <w:t>على مؤشرات لتحديد المخاطر ضمن تقييم ثقافة سلامة المرضى، بينما ركزت دراسة</w:t>
      </w:r>
      <w:r w:rsidRPr="002E232C">
        <w:rPr>
          <w:rFonts w:ascii="Traditional Arabic" w:hAnsi="Traditional Arabic" w:cs="Traditional Arabic" w:hint="cs"/>
          <w:color w:val="000000" w:themeColor="text1"/>
          <w:sz w:val="24"/>
          <w:szCs w:val="24"/>
        </w:rPr>
        <w:t xml:space="preserve"> Aboshaiqah (2015) </w:t>
      </w:r>
      <w:r w:rsidRPr="002E232C">
        <w:rPr>
          <w:rFonts w:ascii="Traditional Arabic" w:hAnsi="Traditional Arabic" w:cs="Traditional Arabic" w:hint="cs"/>
          <w:color w:val="000000" w:themeColor="text1"/>
          <w:sz w:val="24"/>
          <w:szCs w:val="24"/>
          <w:rtl/>
        </w:rPr>
        <w:t>على تحليل أسباب الحوادث كجزء من إدارة المخاطر. كما استخدمت دراسة</w:t>
      </w:r>
      <w:r w:rsidRPr="002E232C">
        <w:rPr>
          <w:rFonts w:ascii="Traditional Arabic" w:hAnsi="Traditional Arabic" w:cs="Traditional Arabic" w:hint="cs"/>
          <w:color w:val="000000" w:themeColor="text1"/>
          <w:sz w:val="24"/>
          <w:szCs w:val="24"/>
        </w:rPr>
        <w:t xml:space="preserve"> Alzahrani and Jones (2018) </w:t>
      </w:r>
      <w:r w:rsidRPr="002E232C">
        <w:rPr>
          <w:rFonts w:ascii="Traditional Arabic" w:hAnsi="Traditional Arabic" w:cs="Traditional Arabic" w:hint="cs"/>
          <w:color w:val="000000" w:themeColor="text1"/>
          <w:sz w:val="24"/>
          <w:szCs w:val="24"/>
          <w:rtl/>
        </w:rPr>
        <w:t>مقياسًا لتقييم المخاطر في إطار المقارنة بين المستشفيات الحكومية والخاصة، في حين ناقشت دراسة</w:t>
      </w:r>
      <w:r w:rsidRPr="002E232C">
        <w:rPr>
          <w:rFonts w:ascii="Traditional Arabic" w:hAnsi="Traditional Arabic" w:cs="Traditional Arabic" w:hint="cs"/>
          <w:color w:val="000000" w:themeColor="text1"/>
          <w:sz w:val="24"/>
          <w:szCs w:val="24"/>
        </w:rPr>
        <w:t xml:space="preserve"> Almalki, FitzGerald, and Clark (2011) </w:t>
      </w:r>
      <w:r w:rsidRPr="002E232C">
        <w:rPr>
          <w:rFonts w:ascii="Traditional Arabic" w:hAnsi="Traditional Arabic" w:cs="Traditional Arabic" w:hint="cs"/>
          <w:color w:val="000000" w:themeColor="text1"/>
          <w:sz w:val="24"/>
          <w:szCs w:val="24"/>
          <w:rtl/>
        </w:rPr>
        <w:t>آليات الاستجابة للمخاطر ضمن النظام الصحي السعودي</w:t>
      </w:r>
      <w:r w:rsidRPr="002E232C">
        <w:rPr>
          <w:rFonts w:ascii="Traditional Arabic" w:hAnsi="Traditional Arabic" w:cs="Traditional Arabic" w:hint="cs"/>
          <w:color w:val="000000" w:themeColor="text1"/>
          <w:sz w:val="24"/>
          <w:szCs w:val="24"/>
        </w:rPr>
        <w:t>.</w:t>
      </w:r>
    </w:p>
    <w:p w14:paraId="7CBBF486" w14:textId="38442147" w:rsidR="002C0813" w:rsidRPr="002E232C" w:rsidRDefault="00E51DD3">
      <w:pPr>
        <w:numPr>
          <w:ilvl w:val="0"/>
          <w:numId w:val="34"/>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الثاني : لقياس</w:t>
      </w:r>
      <w:r w:rsidR="002C0813" w:rsidRPr="002E232C">
        <w:rPr>
          <w:rFonts w:ascii="Traditional Arabic" w:hAnsi="Traditional Arabic" w:cs="Traditional Arabic" w:hint="cs"/>
          <w:color w:val="000000" w:themeColor="text1"/>
          <w:sz w:val="24"/>
          <w:szCs w:val="24"/>
          <w:rtl/>
        </w:rPr>
        <w:t xml:space="preserve"> القيادة التحويلية</w:t>
      </w:r>
      <w:r w:rsidRPr="002E232C">
        <w:rPr>
          <w:rFonts w:ascii="Traditional Arabic" w:hAnsi="Traditional Arabic" w:cs="Traditional Arabic" w:hint="cs"/>
          <w:color w:val="000000" w:themeColor="text1"/>
          <w:sz w:val="24"/>
          <w:szCs w:val="24"/>
          <w:rtl/>
        </w:rPr>
        <w:t xml:space="preserve"> (المتغير الوسيط) </w:t>
      </w:r>
      <w:r w:rsidR="00827C1C" w:rsidRPr="002E232C">
        <w:rPr>
          <w:rFonts w:ascii="Traditional Arabic" w:hAnsi="Traditional Arabic" w:cs="Traditional Arabic" w:hint="cs"/>
          <w:color w:val="000000" w:themeColor="text1"/>
          <w:sz w:val="24"/>
          <w:szCs w:val="24"/>
          <w:rtl/>
        </w:rPr>
        <w:t>وتم قياسه باستخدام 20 عبارة موزعة على الأبعاد التالية ( التأثير المثالي، الدافعية الإلهامية، الإعتبارية الفردية، الاستثارة الفكرية)</w:t>
      </w:r>
      <w:r w:rsidR="00F73817" w:rsidRPr="002E232C">
        <w:rPr>
          <w:rFonts w:ascii="Traditional Arabic" w:hAnsi="Traditional Arabic" w:cs="Traditional Arabic" w:hint="cs"/>
          <w:color w:val="000000" w:themeColor="text1"/>
          <w:sz w:val="24"/>
          <w:szCs w:val="24"/>
          <w:rtl/>
        </w:rPr>
        <w:t xml:space="preserve"> وتم قياس وتطوير العبارات استرشادا بمقياس </w:t>
      </w:r>
      <w:r w:rsidR="00F73817" w:rsidRPr="002E232C">
        <w:rPr>
          <w:rFonts w:ascii="Traditional Arabic" w:hAnsi="Traditional Arabic" w:cs="Traditional Arabic" w:hint="cs"/>
          <w:color w:val="000000" w:themeColor="text1"/>
          <w:sz w:val="24"/>
          <w:szCs w:val="24"/>
        </w:rPr>
        <w:t xml:space="preserve">Bass and Avolio (1995) </w:t>
      </w:r>
      <w:r w:rsidR="00F73817" w:rsidRPr="002E232C">
        <w:rPr>
          <w:rFonts w:ascii="Traditional Arabic" w:hAnsi="Traditional Arabic" w:cs="Traditional Arabic" w:hint="cs"/>
          <w:color w:val="000000" w:themeColor="text1"/>
          <w:sz w:val="24"/>
          <w:szCs w:val="24"/>
          <w:rtl/>
        </w:rPr>
        <w:t>المعروف باسم</w:t>
      </w:r>
      <w:r w:rsidR="00F73817" w:rsidRPr="002E232C">
        <w:rPr>
          <w:rFonts w:ascii="Traditional Arabic" w:hAnsi="Traditional Arabic" w:cs="Traditional Arabic" w:hint="cs"/>
          <w:color w:val="000000" w:themeColor="text1"/>
          <w:sz w:val="24"/>
          <w:szCs w:val="24"/>
        </w:rPr>
        <w:t xml:space="preserve"> MLQ – Multifactor Leadership Questionnaire</w:t>
      </w:r>
      <w:r w:rsidR="00F73817" w:rsidRPr="002E232C">
        <w:rPr>
          <w:rFonts w:ascii="Traditional Arabic" w:hAnsi="Traditional Arabic" w:cs="Traditional Arabic" w:hint="cs"/>
          <w:color w:val="000000" w:themeColor="text1"/>
          <w:sz w:val="24"/>
          <w:szCs w:val="24"/>
          <w:rtl/>
        </w:rPr>
        <w:t>، الذي يُعد من أكثر الأدوات استخدامًا في قياس أنماط القيادة التحويلية في البيئات التنظيمية والصحية</w:t>
      </w:r>
      <w:r w:rsidR="00F73817" w:rsidRPr="002E232C">
        <w:rPr>
          <w:rFonts w:ascii="Traditional Arabic" w:hAnsi="Traditional Arabic" w:cs="Traditional Arabic" w:hint="cs"/>
          <w:color w:val="000000" w:themeColor="text1"/>
          <w:sz w:val="24"/>
          <w:szCs w:val="24"/>
        </w:rPr>
        <w:t>.</w:t>
      </w:r>
    </w:p>
    <w:p w14:paraId="51A0AB2C" w14:textId="4A442B7A" w:rsidR="002C0813" w:rsidRPr="002E232C" w:rsidRDefault="00F73817">
      <w:pPr>
        <w:numPr>
          <w:ilvl w:val="0"/>
          <w:numId w:val="34"/>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الثالث: لقياس</w:t>
      </w:r>
      <w:r w:rsidR="002C0813" w:rsidRPr="002E232C">
        <w:rPr>
          <w:rFonts w:ascii="Traditional Arabic" w:hAnsi="Traditional Arabic" w:cs="Traditional Arabic" w:hint="cs"/>
          <w:color w:val="000000" w:themeColor="text1"/>
          <w:sz w:val="24"/>
          <w:szCs w:val="24"/>
          <w:rtl/>
        </w:rPr>
        <w:t xml:space="preserve"> سلامة المرضى</w:t>
      </w:r>
      <w:r w:rsidRPr="002E232C">
        <w:rPr>
          <w:rFonts w:ascii="Traditional Arabic" w:hAnsi="Traditional Arabic" w:cs="Traditional Arabic" w:hint="cs"/>
          <w:color w:val="000000" w:themeColor="text1"/>
          <w:sz w:val="24"/>
          <w:szCs w:val="24"/>
          <w:rtl/>
        </w:rPr>
        <w:t xml:space="preserve"> ( المتغير التابع) وتم قياسه باستخدام (20) عبارة موزعة على الأبعاد التالية (</w:t>
      </w:r>
      <w:r w:rsidR="00D87F19" w:rsidRPr="002E232C">
        <w:rPr>
          <w:rFonts w:ascii="Traditional Arabic" w:hAnsi="Traditional Arabic" w:cs="Traditional Arabic" w:hint="cs"/>
          <w:color w:val="000000" w:themeColor="text1"/>
          <w:sz w:val="24"/>
          <w:szCs w:val="24"/>
          <w:rtl/>
        </w:rPr>
        <w:t xml:space="preserve"> تقليل الأخطاء الطبية، فعالية أنظمة الإبلاغ، إشراك المرضى، بيئة العمل الآمنة، جودة الرعاية السريرية)</w:t>
      </w:r>
      <w:r w:rsidR="00F579DE" w:rsidRPr="002E232C">
        <w:rPr>
          <w:rFonts w:ascii="Traditional Arabic" w:hAnsi="Traditional Arabic" w:cs="Traditional Arabic" w:hint="cs"/>
          <w:color w:val="000000" w:themeColor="text1"/>
          <w:sz w:val="24"/>
          <w:szCs w:val="24"/>
          <w:rtl/>
        </w:rPr>
        <w:t xml:space="preserve"> وتم الاستناد على الدراسات التالية دراسة </w:t>
      </w:r>
      <w:r w:rsidR="00F579DE" w:rsidRPr="002E232C">
        <w:rPr>
          <w:rFonts w:ascii="Traditional Arabic" w:hAnsi="Traditional Arabic" w:cs="Traditional Arabic" w:hint="cs"/>
          <w:color w:val="000000" w:themeColor="text1"/>
          <w:sz w:val="24"/>
          <w:szCs w:val="24"/>
        </w:rPr>
        <w:t xml:space="preserve">Alahmadi (2010) </w:t>
      </w:r>
      <w:r w:rsidR="00F579DE" w:rsidRPr="002E232C">
        <w:rPr>
          <w:rFonts w:ascii="Traditional Arabic" w:hAnsi="Traditional Arabic" w:cs="Traditional Arabic" w:hint="cs"/>
          <w:color w:val="000000" w:themeColor="text1"/>
          <w:sz w:val="24"/>
          <w:szCs w:val="24"/>
          <w:rtl/>
        </w:rPr>
        <w:t xml:space="preserve">على مؤشرات ثقافة سلامة المرضى، بما في ذلك بيئة العمل والإبلاغ عن الأخطاء، في حين تناولت دراسة </w:t>
      </w:r>
      <w:r w:rsidR="00F579DE" w:rsidRPr="002E232C">
        <w:rPr>
          <w:rFonts w:ascii="Traditional Arabic" w:hAnsi="Traditional Arabic" w:cs="Traditional Arabic" w:hint="cs"/>
          <w:color w:val="000000" w:themeColor="text1"/>
          <w:sz w:val="24"/>
          <w:szCs w:val="24"/>
        </w:rPr>
        <w:t xml:space="preserve">Aboshaiqah (2015) </w:t>
      </w:r>
      <w:r w:rsidR="00F579DE" w:rsidRPr="002E232C">
        <w:rPr>
          <w:rFonts w:ascii="Traditional Arabic" w:hAnsi="Traditional Arabic" w:cs="Traditional Arabic" w:hint="cs"/>
          <w:color w:val="000000" w:themeColor="text1"/>
          <w:sz w:val="24"/>
          <w:szCs w:val="24"/>
          <w:rtl/>
        </w:rPr>
        <w:t xml:space="preserve">فعالية أنظمة الإبلاغ عن الحوادث الطبية كأحد مكونات السلامة. كما ناقشت دراسة </w:t>
      </w:r>
      <w:r w:rsidR="00F579DE" w:rsidRPr="002E232C">
        <w:rPr>
          <w:rFonts w:ascii="Traditional Arabic" w:hAnsi="Traditional Arabic" w:cs="Traditional Arabic" w:hint="cs"/>
          <w:color w:val="000000" w:themeColor="text1"/>
          <w:sz w:val="24"/>
          <w:szCs w:val="24"/>
        </w:rPr>
        <w:t xml:space="preserve">Almalki, FitzGerald, and Clark (2011) </w:t>
      </w:r>
      <w:r w:rsidR="00F579DE" w:rsidRPr="002E232C">
        <w:rPr>
          <w:rFonts w:ascii="Traditional Arabic" w:hAnsi="Traditional Arabic" w:cs="Traditional Arabic" w:hint="cs"/>
          <w:color w:val="000000" w:themeColor="text1"/>
          <w:sz w:val="24"/>
          <w:szCs w:val="24"/>
          <w:rtl/>
        </w:rPr>
        <w:t>جودة الرعاية السريرية وبيئة العمل الآمنة ضمن تحليلها للنظام الصحي السعودي. وقد تم تطوير العبارات وفقًا لهذه الأبعاد، مع اعتماد مقياس ليكرت الخماسي لقياس درجة الاتفاق</w:t>
      </w:r>
      <w:r w:rsidR="00595465" w:rsidRPr="002E232C">
        <w:rPr>
          <w:rFonts w:ascii="Traditional Arabic" w:hAnsi="Traditional Arabic" w:cs="Traditional Arabic" w:hint="cs"/>
          <w:color w:val="000000" w:themeColor="text1"/>
          <w:sz w:val="24"/>
          <w:szCs w:val="24"/>
          <w:rtl/>
        </w:rPr>
        <w:t>.</w:t>
      </w:r>
    </w:p>
    <w:p w14:paraId="3E29AD1F" w14:textId="77777777" w:rsidR="00D42EB1" w:rsidRDefault="00D42EB1" w:rsidP="00962AD0">
      <w:pPr>
        <w:bidi/>
        <w:spacing w:after="200" w:line="276" w:lineRule="auto"/>
        <w:jc w:val="center"/>
        <w:rPr>
          <w:rFonts w:ascii="Traditional Arabic" w:hAnsi="Traditional Arabic" w:cs="Traditional Arabic"/>
          <w:b/>
          <w:bCs/>
          <w:color w:val="000000" w:themeColor="text1"/>
          <w:sz w:val="24"/>
          <w:szCs w:val="24"/>
          <w:rtl/>
        </w:rPr>
      </w:pPr>
    </w:p>
    <w:p w14:paraId="2F0E16C0" w14:textId="77777777" w:rsidR="00D42EB1" w:rsidRDefault="00D42EB1" w:rsidP="00D42EB1">
      <w:pPr>
        <w:bidi/>
        <w:spacing w:after="200" w:line="276" w:lineRule="auto"/>
        <w:jc w:val="center"/>
        <w:rPr>
          <w:rFonts w:ascii="Traditional Arabic" w:hAnsi="Traditional Arabic" w:cs="Traditional Arabic"/>
          <w:b/>
          <w:bCs/>
          <w:color w:val="000000" w:themeColor="text1"/>
          <w:sz w:val="24"/>
          <w:szCs w:val="24"/>
          <w:rtl/>
        </w:rPr>
      </w:pPr>
    </w:p>
    <w:p w14:paraId="626C10F7" w14:textId="5FE353AE" w:rsidR="00962AD0" w:rsidRPr="00C3610C" w:rsidRDefault="00595465" w:rsidP="00D42EB1">
      <w:pPr>
        <w:bidi/>
        <w:spacing w:after="200" w:line="276" w:lineRule="auto"/>
        <w:jc w:val="center"/>
        <w:rPr>
          <w:rFonts w:ascii="Traditional Arabic" w:hAnsi="Traditional Arabic" w:cs="Traditional Arabic"/>
          <w:b/>
          <w:bCs/>
          <w:color w:val="000000" w:themeColor="text1"/>
          <w:sz w:val="24"/>
          <w:szCs w:val="24"/>
          <w:rtl/>
        </w:rPr>
      </w:pPr>
      <w:r w:rsidRPr="00C3610C">
        <w:rPr>
          <w:rFonts w:ascii="Traditional Arabic" w:hAnsi="Traditional Arabic" w:cs="Traditional Arabic" w:hint="cs"/>
          <w:b/>
          <w:bCs/>
          <w:color w:val="000000" w:themeColor="text1"/>
          <w:sz w:val="24"/>
          <w:szCs w:val="24"/>
          <w:rtl/>
        </w:rPr>
        <w:lastRenderedPageBreak/>
        <w:t>جدول (11) عبارات الإستبيان</w:t>
      </w:r>
      <w:r w:rsidR="00B1476D" w:rsidRPr="00C3610C">
        <w:rPr>
          <w:rFonts w:ascii="Traditional Arabic" w:hAnsi="Traditional Arabic" w:cs="Traditional Arabic" w:hint="cs"/>
          <w:b/>
          <w:bCs/>
          <w:color w:val="000000" w:themeColor="text1"/>
          <w:sz w:val="24"/>
          <w:szCs w:val="24"/>
          <w:rtl/>
        </w:rPr>
        <w:t xml:space="preserve"> ومصادر صياغتها.</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237"/>
        <w:gridCol w:w="5115"/>
        <w:gridCol w:w="938"/>
      </w:tblGrid>
      <w:tr w:rsidR="00962AD0" w:rsidRPr="00130980" w14:paraId="1EC24ECD" w14:textId="34F6D11E" w:rsidTr="002A403A">
        <w:trPr>
          <w:trHeight w:val="20"/>
          <w:tblCellSpacing w:w="20" w:type="dxa"/>
          <w:jc w:val="right"/>
        </w:trPr>
        <w:tc>
          <w:tcPr>
            <w:tcW w:w="1339" w:type="pct"/>
            <w:shd w:val="clear" w:color="auto" w:fill="E5DFEC" w:themeFill="accent4" w:themeFillTint="33"/>
          </w:tcPr>
          <w:p w14:paraId="58147A30" w14:textId="05B14635" w:rsidR="004773A9"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المصدر</w:t>
            </w:r>
          </w:p>
        </w:tc>
        <w:tc>
          <w:tcPr>
            <w:tcW w:w="3121" w:type="pct"/>
            <w:shd w:val="clear" w:color="auto" w:fill="E5DFEC" w:themeFill="accent4" w:themeFillTint="33"/>
            <w:hideMark/>
          </w:tcPr>
          <w:p w14:paraId="3C979881" w14:textId="2638474F" w:rsidR="004773A9" w:rsidRPr="00130980" w:rsidRDefault="004773A9"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العبارة</w:t>
            </w:r>
          </w:p>
        </w:tc>
        <w:tc>
          <w:tcPr>
            <w:tcW w:w="540" w:type="pct"/>
            <w:shd w:val="clear" w:color="auto" w:fill="E5DFEC" w:themeFill="accent4" w:themeFillTint="33"/>
          </w:tcPr>
          <w:p w14:paraId="7BC14AE7" w14:textId="3C6286D5" w:rsidR="004773A9"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lang w:bidi="ar-EG"/>
              </w:rPr>
              <w:t>رقم العبارة</w:t>
            </w:r>
          </w:p>
        </w:tc>
      </w:tr>
      <w:tr w:rsidR="00C52853" w:rsidRPr="00130980" w14:paraId="3CD82115" w14:textId="41638C69" w:rsidTr="00C3610C">
        <w:trPr>
          <w:trHeight w:val="20"/>
          <w:tblCellSpacing w:w="20" w:type="dxa"/>
          <w:jc w:val="right"/>
        </w:trPr>
        <w:tc>
          <w:tcPr>
            <w:tcW w:w="5000" w:type="pct"/>
            <w:gridSpan w:val="3"/>
          </w:tcPr>
          <w:p w14:paraId="230E61CD" w14:textId="15B373F3"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إدارة المخاطر</w:t>
            </w:r>
          </w:p>
        </w:tc>
      </w:tr>
      <w:tr w:rsidR="00C52853" w:rsidRPr="00130980" w14:paraId="427034F1" w14:textId="79CABE26" w:rsidTr="00C3610C">
        <w:trPr>
          <w:trHeight w:val="20"/>
          <w:tblCellSpacing w:w="20" w:type="dxa"/>
          <w:jc w:val="right"/>
        </w:trPr>
        <w:tc>
          <w:tcPr>
            <w:tcW w:w="5000" w:type="pct"/>
            <w:gridSpan w:val="3"/>
          </w:tcPr>
          <w:p w14:paraId="71EDBF59" w14:textId="3CAEC152"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أولًا: تحديد المخاطر</w:t>
            </w:r>
          </w:p>
        </w:tc>
      </w:tr>
      <w:tr w:rsidR="00C52853" w:rsidRPr="00130980" w14:paraId="71C6E21E" w14:textId="48D2A9CD" w:rsidTr="00C3610C">
        <w:trPr>
          <w:trHeight w:val="20"/>
          <w:tblCellSpacing w:w="20" w:type="dxa"/>
          <w:jc w:val="right"/>
        </w:trPr>
        <w:tc>
          <w:tcPr>
            <w:tcW w:w="1339" w:type="pct"/>
          </w:tcPr>
          <w:p w14:paraId="696FB5F1" w14:textId="70448BA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العتيبي،2019، 45)</w:t>
            </w:r>
          </w:p>
        </w:tc>
        <w:tc>
          <w:tcPr>
            <w:tcW w:w="3121" w:type="pct"/>
            <w:hideMark/>
          </w:tcPr>
          <w:p w14:paraId="030BABB5" w14:textId="3397407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تحديد مصادر الخطر المحتملة في بيئة العمل بشكل منتظم</w:t>
            </w:r>
          </w:p>
        </w:tc>
        <w:tc>
          <w:tcPr>
            <w:tcW w:w="540" w:type="pct"/>
          </w:tcPr>
          <w:p w14:paraId="54C8E9AC" w14:textId="3D185B69"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w:t>
            </w:r>
          </w:p>
        </w:tc>
      </w:tr>
      <w:tr w:rsidR="00C52853" w:rsidRPr="00130980" w14:paraId="55316A1E" w14:textId="77777777" w:rsidTr="00C3610C">
        <w:trPr>
          <w:trHeight w:val="20"/>
          <w:tblCellSpacing w:w="20" w:type="dxa"/>
          <w:jc w:val="right"/>
        </w:trPr>
        <w:tc>
          <w:tcPr>
            <w:tcW w:w="1339" w:type="pct"/>
          </w:tcPr>
          <w:p w14:paraId="3768FF47" w14:textId="24BCE490" w:rsidR="00C52853" w:rsidRPr="00130980" w:rsidRDefault="00472477"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2020، 52)</w:t>
            </w:r>
          </w:p>
        </w:tc>
        <w:tc>
          <w:tcPr>
            <w:tcW w:w="3121" w:type="pct"/>
          </w:tcPr>
          <w:p w14:paraId="52162773" w14:textId="7D99303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xml:space="preserve">توجد آلية واضحة لرصد الحوادث الطبية والأخطاء التشغيلية </w:t>
            </w:r>
            <w:r w:rsidR="00472477" w:rsidRPr="00130980">
              <w:rPr>
                <w:rFonts w:ascii="Traditional Arabic" w:hAnsi="Traditional Arabic" w:cs="Traditional Arabic" w:hint="cs"/>
                <w:b/>
                <w:bCs/>
                <w:color w:val="000000" w:themeColor="text1"/>
                <w:sz w:val="20"/>
                <w:szCs w:val="20"/>
                <w:rtl/>
              </w:rPr>
              <w:t>.</w:t>
            </w:r>
          </w:p>
        </w:tc>
        <w:tc>
          <w:tcPr>
            <w:tcW w:w="540" w:type="pct"/>
          </w:tcPr>
          <w:p w14:paraId="36F44CC1" w14:textId="61EB540C"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w:t>
            </w:r>
          </w:p>
        </w:tc>
      </w:tr>
      <w:tr w:rsidR="00C52853" w:rsidRPr="00130980" w14:paraId="770A2632" w14:textId="77777777" w:rsidTr="00C3610C">
        <w:trPr>
          <w:trHeight w:val="20"/>
          <w:tblCellSpacing w:w="20" w:type="dxa"/>
          <w:jc w:val="right"/>
        </w:trPr>
        <w:tc>
          <w:tcPr>
            <w:tcW w:w="1339" w:type="pct"/>
          </w:tcPr>
          <w:p w14:paraId="63C0F137" w14:textId="38F7CF55" w:rsidR="00C52853" w:rsidRPr="00130980" w:rsidRDefault="00685E5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الخطيب، 2018، 67)</w:t>
            </w:r>
          </w:p>
        </w:tc>
        <w:tc>
          <w:tcPr>
            <w:tcW w:w="3121" w:type="pct"/>
          </w:tcPr>
          <w:p w14:paraId="7BF2AF88" w14:textId="15D9C680"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إشراك العاملين في تحديد المخاطر المرتبطة بمهامهم اليومية</w:t>
            </w:r>
            <w:r w:rsidR="00685E5C" w:rsidRPr="00130980">
              <w:rPr>
                <w:rFonts w:ascii="Traditional Arabic" w:hAnsi="Traditional Arabic" w:cs="Traditional Arabic" w:hint="cs"/>
                <w:b/>
                <w:bCs/>
                <w:color w:val="000000" w:themeColor="text1"/>
                <w:sz w:val="20"/>
                <w:szCs w:val="20"/>
                <w:rtl/>
              </w:rPr>
              <w:t>.</w:t>
            </w:r>
          </w:p>
        </w:tc>
        <w:tc>
          <w:tcPr>
            <w:tcW w:w="540" w:type="pct"/>
          </w:tcPr>
          <w:p w14:paraId="2844EB78" w14:textId="1C04480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w:t>
            </w:r>
          </w:p>
        </w:tc>
      </w:tr>
      <w:tr w:rsidR="00C52853" w:rsidRPr="00130980" w14:paraId="2CC1EE36" w14:textId="77777777" w:rsidTr="00C3610C">
        <w:trPr>
          <w:trHeight w:val="20"/>
          <w:tblCellSpacing w:w="20" w:type="dxa"/>
          <w:jc w:val="right"/>
        </w:trPr>
        <w:tc>
          <w:tcPr>
            <w:tcW w:w="1339" w:type="pct"/>
          </w:tcPr>
          <w:p w14:paraId="5B683091" w14:textId="0218F494" w:rsidR="00C52853" w:rsidRPr="00130980" w:rsidRDefault="00685E5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الحربي، 2017، 56)</w:t>
            </w:r>
          </w:p>
        </w:tc>
        <w:tc>
          <w:tcPr>
            <w:tcW w:w="3121" w:type="pct"/>
          </w:tcPr>
          <w:p w14:paraId="471C13CD" w14:textId="4D46D90D"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xml:space="preserve">يتم توثيق المخاطر المحتملة في سجلات رسمية داخل المنشأة </w:t>
            </w:r>
            <w:r w:rsidR="00685E5C" w:rsidRPr="00130980">
              <w:rPr>
                <w:rFonts w:ascii="Traditional Arabic" w:hAnsi="Traditional Arabic" w:cs="Traditional Arabic" w:hint="cs"/>
                <w:b/>
                <w:bCs/>
                <w:color w:val="000000" w:themeColor="text1"/>
                <w:sz w:val="20"/>
                <w:szCs w:val="20"/>
                <w:rtl/>
              </w:rPr>
              <w:t>.</w:t>
            </w:r>
          </w:p>
        </w:tc>
        <w:tc>
          <w:tcPr>
            <w:tcW w:w="540" w:type="pct"/>
          </w:tcPr>
          <w:p w14:paraId="1B30733F" w14:textId="6B4D349F"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w:t>
            </w:r>
          </w:p>
        </w:tc>
      </w:tr>
      <w:tr w:rsidR="00C52853" w:rsidRPr="00130980" w14:paraId="7E57D8CB" w14:textId="77777777" w:rsidTr="00C3610C">
        <w:trPr>
          <w:trHeight w:val="20"/>
          <w:tblCellSpacing w:w="20" w:type="dxa"/>
          <w:jc w:val="right"/>
        </w:trPr>
        <w:tc>
          <w:tcPr>
            <w:tcW w:w="1339" w:type="pct"/>
          </w:tcPr>
          <w:p w14:paraId="26DC5B8B" w14:textId="0DA9CFE3" w:rsidR="00C52853"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الله، 2021، 74)</w:t>
            </w:r>
          </w:p>
        </w:tc>
        <w:tc>
          <w:tcPr>
            <w:tcW w:w="3121" w:type="pct"/>
          </w:tcPr>
          <w:p w14:paraId="6EB0B9BC" w14:textId="73D02D57"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مراجعة قائمة المخاطر المحتملة عند إدخال تقنيات أو إجراءات جديدة</w:t>
            </w:r>
            <w:r w:rsidR="00E03B44" w:rsidRPr="00130980">
              <w:rPr>
                <w:rFonts w:ascii="Traditional Arabic" w:hAnsi="Traditional Arabic" w:cs="Traditional Arabic" w:hint="cs"/>
                <w:b/>
                <w:bCs/>
                <w:color w:val="000000" w:themeColor="text1"/>
                <w:sz w:val="20"/>
                <w:szCs w:val="20"/>
                <w:rtl/>
              </w:rPr>
              <w:t>.</w:t>
            </w:r>
          </w:p>
        </w:tc>
        <w:tc>
          <w:tcPr>
            <w:tcW w:w="540" w:type="pct"/>
          </w:tcPr>
          <w:p w14:paraId="0CD26420" w14:textId="0BE8BB6A" w:rsidR="00C52853" w:rsidRPr="00130980" w:rsidRDefault="00C52853"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5</w:t>
            </w:r>
          </w:p>
        </w:tc>
      </w:tr>
      <w:tr w:rsidR="00E03B44" w:rsidRPr="00130980" w14:paraId="6A53E05C" w14:textId="3AB96146" w:rsidTr="00C3610C">
        <w:trPr>
          <w:trHeight w:val="20"/>
          <w:tblCellSpacing w:w="20" w:type="dxa"/>
          <w:jc w:val="right"/>
        </w:trPr>
        <w:tc>
          <w:tcPr>
            <w:tcW w:w="5000" w:type="pct"/>
            <w:gridSpan w:val="3"/>
          </w:tcPr>
          <w:p w14:paraId="74D58295" w14:textId="146CCC14"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ثانيًا: تحليل المخاطر</w:t>
            </w:r>
          </w:p>
        </w:tc>
      </w:tr>
      <w:tr w:rsidR="00E03B44" w:rsidRPr="00130980" w14:paraId="76EAB434" w14:textId="3DFF8B42" w:rsidTr="00C3610C">
        <w:trPr>
          <w:trHeight w:val="20"/>
          <w:tblCellSpacing w:w="20" w:type="dxa"/>
          <w:jc w:val="right"/>
        </w:trPr>
        <w:tc>
          <w:tcPr>
            <w:tcW w:w="1339" w:type="pct"/>
          </w:tcPr>
          <w:p w14:paraId="2CA49233" w14:textId="063572B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(الزهراني، 2018، 61)</w:t>
            </w:r>
          </w:p>
        </w:tc>
        <w:tc>
          <w:tcPr>
            <w:tcW w:w="3121" w:type="pct"/>
            <w:hideMark/>
          </w:tcPr>
          <w:p w14:paraId="16E8AABC" w14:textId="397B418A"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تحليل أسباب الحوادث الطبية بعد وقوعها بشكل منهجي .</w:t>
            </w:r>
          </w:p>
        </w:tc>
        <w:tc>
          <w:tcPr>
            <w:tcW w:w="540" w:type="pct"/>
          </w:tcPr>
          <w:p w14:paraId="0F8E4A02" w14:textId="0205820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6</w:t>
            </w:r>
          </w:p>
        </w:tc>
      </w:tr>
      <w:tr w:rsidR="00E03B44" w:rsidRPr="00130980" w14:paraId="280324BA" w14:textId="77777777" w:rsidTr="00C3610C">
        <w:trPr>
          <w:trHeight w:val="20"/>
          <w:tblCellSpacing w:w="20" w:type="dxa"/>
          <w:jc w:val="right"/>
        </w:trPr>
        <w:tc>
          <w:tcPr>
            <w:tcW w:w="1339" w:type="pct"/>
          </w:tcPr>
          <w:p w14:paraId="63EA1682" w14:textId="1C22F2B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الخليفي، 2020، 73)</w:t>
            </w:r>
          </w:p>
        </w:tc>
        <w:tc>
          <w:tcPr>
            <w:tcW w:w="3121" w:type="pct"/>
          </w:tcPr>
          <w:p w14:paraId="266E765C" w14:textId="03C5F1C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تُستخدم أدوات تحليل معتمدة لتقييم احتمالية حدوث المخاطر .</w:t>
            </w:r>
          </w:p>
        </w:tc>
        <w:tc>
          <w:tcPr>
            <w:tcW w:w="540" w:type="pct"/>
          </w:tcPr>
          <w:p w14:paraId="76BF67EF" w14:textId="2858E96E"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7</w:t>
            </w:r>
          </w:p>
        </w:tc>
      </w:tr>
      <w:tr w:rsidR="00E03B44" w:rsidRPr="00130980" w14:paraId="37197DA8" w14:textId="77777777" w:rsidTr="00C3610C">
        <w:trPr>
          <w:trHeight w:val="20"/>
          <w:tblCellSpacing w:w="20" w:type="dxa"/>
          <w:jc w:val="right"/>
        </w:trPr>
        <w:tc>
          <w:tcPr>
            <w:tcW w:w="1339" w:type="pct"/>
          </w:tcPr>
          <w:p w14:paraId="1BA4B270" w14:textId="0F5B9F49"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الرحمن، 2019، 58)</w:t>
            </w:r>
          </w:p>
        </w:tc>
        <w:tc>
          <w:tcPr>
            <w:tcW w:w="3121" w:type="pct"/>
          </w:tcPr>
          <w:p w14:paraId="185E3560" w14:textId="3734468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تصنيف المخاطر حسب درجة الخطورة والتكرار .</w:t>
            </w:r>
          </w:p>
        </w:tc>
        <w:tc>
          <w:tcPr>
            <w:tcW w:w="540" w:type="pct"/>
          </w:tcPr>
          <w:p w14:paraId="713270AC" w14:textId="75FFF9FA"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8</w:t>
            </w:r>
          </w:p>
        </w:tc>
      </w:tr>
      <w:tr w:rsidR="00E03B44" w:rsidRPr="00130980" w14:paraId="714D41C6" w14:textId="77777777" w:rsidTr="00C3610C">
        <w:trPr>
          <w:trHeight w:val="20"/>
          <w:tblCellSpacing w:w="20" w:type="dxa"/>
          <w:jc w:val="right"/>
        </w:trPr>
        <w:tc>
          <w:tcPr>
            <w:tcW w:w="1339" w:type="pct"/>
          </w:tcPr>
          <w:p w14:paraId="67F66394" w14:textId="091A417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الطويل، 2021، 82)</w:t>
            </w:r>
          </w:p>
        </w:tc>
        <w:tc>
          <w:tcPr>
            <w:tcW w:w="3121" w:type="pct"/>
          </w:tcPr>
          <w:p w14:paraId="725724E4" w14:textId="4F4E5BE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تحليل تأثير كل خطر على سلامة المرضى وجودة الخدمة .</w:t>
            </w:r>
          </w:p>
        </w:tc>
        <w:tc>
          <w:tcPr>
            <w:tcW w:w="540" w:type="pct"/>
          </w:tcPr>
          <w:p w14:paraId="142F2FE6" w14:textId="7825D49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9</w:t>
            </w:r>
          </w:p>
        </w:tc>
      </w:tr>
      <w:tr w:rsidR="00E03B44" w:rsidRPr="00130980" w14:paraId="04C33BAF" w14:textId="77777777" w:rsidTr="00C3610C">
        <w:trPr>
          <w:trHeight w:val="20"/>
          <w:tblCellSpacing w:w="20" w:type="dxa"/>
          <w:jc w:val="right"/>
        </w:trPr>
        <w:tc>
          <w:tcPr>
            <w:tcW w:w="1339" w:type="pct"/>
          </w:tcPr>
          <w:p w14:paraId="3BE1441D" w14:textId="11AD2A4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2017، 94)</w:t>
            </w:r>
          </w:p>
        </w:tc>
        <w:tc>
          <w:tcPr>
            <w:tcW w:w="3121" w:type="pct"/>
          </w:tcPr>
          <w:p w14:paraId="4BFED7B0" w14:textId="4C920E9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إشراك فرق متعددة التخصصات في تحليل المخاطر المعقدة.</w:t>
            </w:r>
          </w:p>
        </w:tc>
        <w:tc>
          <w:tcPr>
            <w:tcW w:w="540" w:type="pct"/>
          </w:tcPr>
          <w:p w14:paraId="0AA55BE6" w14:textId="0D4393A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10</w:t>
            </w:r>
          </w:p>
        </w:tc>
      </w:tr>
      <w:tr w:rsidR="00E03B44" w:rsidRPr="00130980" w14:paraId="22DAF5F6" w14:textId="60B9D8D6" w:rsidTr="00C3610C">
        <w:trPr>
          <w:trHeight w:val="20"/>
          <w:tblCellSpacing w:w="20" w:type="dxa"/>
          <w:jc w:val="right"/>
        </w:trPr>
        <w:tc>
          <w:tcPr>
            <w:tcW w:w="5000" w:type="pct"/>
            <w:gridSpan w:val="3"/>
          </w:tcPr>
          <w:p w14:paraId="54C066BA" w14:textId="380861C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ثالثًا: تقييم المخاطر</w:t>
            </w:r>
          </w:p>
        </w:tc>
      </w:tr>
      <w:tr w:rsidR="00E03B44" w:rsidRPr="00130980" w14:paraId="4267DB62" w14:textId="7431D75E" w:rsidTr="00C3610C">
        <w:trPr>
          <w:trHeight w:val="20"/>
          <w:tblCellSpacing w:w="20" w:type="dxa"/>
          <w:jc w:val="right"/>
        </w:trPr>
        <w:tc>
          <w:tcPr>
            <w:tcW w:w="1339" w:type="pct"/>
          </w:tcPr>
          <w:p w14:paraId="2586FABF" w14:textId="08EC616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السبيعي، 2018، 83)</w:t>
            </w:r>
          </w:p>
        </w:tc>
        <w:tc>
          <w:tcPr>
            <w:tcW w:w="3121" w:type="pct"/>
            <w:hideMark/>
          </w:tcPr>
          <w:p w14:paraId="253D796C" w14:textId="6CEF02A3"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يتم تقييم المخاطر بناءً على معايير واضحة ومعتمدة من الإدارة.</w:t>
            </w:r>
          </w:p>
        </w:tc>
        <w:tc>
          <w:tcPr>
            <w:tcW w:w="540" w:type="pct"/>
          </w:tcPr>
          <w:p w14:paraId="37201D45" w14:textId="0A5ADA71"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11</w:t>
            </w:r>
          </w:p>
        </w:tc>
      </w:tr>
      <w:tr w:rsidR="00E03B44" w:rsidRPr="00130980" w14:paraId="086A972D" w14:textId="77777777" w:rsidTr="00C3610C">
        <w:trPr>
          <w:trHeight w:val="20"/>
          <w:tblCellSpacing w:w="20" w:type="dxa"/>
          <w:jc w:val="right"/>
        </w:trPr>
        <w:tc>
          <w:tcPr>
            <w:tcW w:w="1339" w:type="pct"/>
          </w:tcPr>
          <w:p w14:paraId="08FA2ADC" w14:textId="74C24FAD"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 الله، 2020، 91)</w:t>
            </w:r>
          </w:p>
        </w:tc>
        <w:tc>
          <w:tcPr>
            <w:tcW w:w="3121" w:type="pct"/>
          </w:tcPr>
          <w:p w14:paraId="004AFFC2" w14:textId="4B0DB170"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تُستخدم نتائج التقييم في اتخاذ قرارات إدارية فعالة.</w:t>
            </w:r>
          </w:p>
        </w:tc>
        <w:tc>
          <w:tcPr>
            <w:tcW w:w="540" w:type="pct"/>
          </w:tcPr>
          <w:p w14:paraId="5842740A" w14:textId="37DE7232"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12</w:t>
            </w:r>
          </w:p>
        </w:tc>
      </w:tr>
      <w:tr w:rsidR="00E03B44" w:rsidRPr="00130980" w14:paraId="761D23FA" w14:textId="77777777" w:rsidTr="00C3610C">
        <w:trPr>
          <w:trHeight w:val="20"/>
          <w:tblCellSpacing w:w="20" w:type="dxa"/>
          <w:jc w:val="right"/>
        </w:trPr>
        <w:tc>
          <w:tcPr>
            <w:tcW w:w="1339" w:type="pct"/>
          </w:tcPr>
          <w:p w14:paraId="7C365EA7" w14:textId="011487B0"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العمري، 2019، 67)</w:t>
            </w:r>
          </w:p>
        </w:tc>
        <w:tc>
          <w:tcPr>
            <w:tcW w:w="3121" w:type="pct"/>
          </w:tcPr>
          <w:p w14:paraId="4CDA2D8B" w14:textId="7BEA1CB5"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تحديد أولويات التعامل مع المخاطر بناءً على نتائج التقييم</w:t>
            </w:r>
            <w:r w:rsidR="00C26D4E" w:rsidRPr="00130980">
              <w:rPr>
                <w:rFonts w:ascii="Traditional Arabic" w:hAnsi="Traditional Arabic" w:cs="Traditional Arabic" w:hint="cs"/>
                <w:b/>
                <w:bCs/>
                <w:color w:val="000000" w:themeColor="text1"/>
                <w:sz w:val="20"/>
                <w:szCs w:val="20"/>
                <w:rtl/>
              </w:rPr>
              <w:t>.</w:t>
            </w:r>
          </w:p>
        </w:tc>
        <w:tc>
          <w:tcPr>
            <w:tcW w:w="540" w:type="pct"/>
          </w:tcPr>
          <w:p w14:paraId="69121784" w14:textId="1A3BCA1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13</w:t>
            </w:r>
          </w:p>
        </w:tc>
      </w:tr>
      <w:tr w:rsidR="00E03B44" w:rsidRPr="00130980" w14:paraId="3772C54E" w14:textId="77777777" w:rsidTr="00C3610C">
        <w:trPr>
          <w:trHeight w:val="20"/>
          <w:tblCellSpacing w:w="20" w:type="dxa"/>
          <w:jc w:val="right"/>
        </w:trPr>
        <w:tc>
          <w:tcPr>
            <w:tcW w:w="1339" w:type="pct"/>
          </w:tcPr>
          <w:p w14:paraId="56FA25C8" w14:textId="7B5D79DC"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الشراري، 2021، 58)</w:t>
            </w:r>
          </w:p>
        </w:tc>
        <w:tc>
          <w:tcPr>
            <w:tcW w:w="3121" w:type="pct"/>
          </w:tcPr>
          <w:p w14:paraId="55883C27" w14:textId="7236E2FD"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يتم تحديث تقييم المخاطر بشكل دوري وفقًا للمتغيرات التشغيلية</w:t>
            </w:r>
            <w:r w:rsidR="00C26D4E" w:rsidRPr="00130980">
              <w:rPr>
                <w:rFonts w:ascii="Traditional Arabic" w:hAnsi="Traditional Arabic" w:cs="Traditional Arabic" w:hint="cs"/>
                <w:b/>
                <w:bCs/>
                <w:color w:val="000000" w:themeColor="text1"/>
                <w:sz w:val="20"/>
                <w:szCs w:val="20"/>
                <w:rtl/>
              </w:rPr>
              <w:t>.</w:t>
            </w:r>
          </w:p>
        </w:tc>
        <w:tc>
          <w:tcPr>
            <w:tcW w:w="540" w:type="pct"/>
          </w:tcPr>
          <w:p w14:paraId="66787D7B" w14:textId="4E2D87E8"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14</w:t>
            </w:r>
          </w:p>
        </w:tc>
      </w:tr>
      <w:tr w:rsidR="00E03B44" w:rsidRPr="00130980" w14:paraId="64024082" w14:textId="77777777" w:rsidTr="00C3610C">
        <w:trPr>
          <w:trHeight w:val="20"/>
          <w:tblCellSpacing w:w="20" w:type="dxa"/>
          <w:jc w:val="right"/>
        </w:trPr>
        <w:tc>
          <w:tcPr>
            <w:tcW w:w="1339" w:type="pct"/>
          </w:tcPr>
          <w:p w14:paraId="49081136" w14:textId="00E572D9" w:rsidR="00E03B44" w:rsidRPr="00130980" w:rsidRDefault="00C26D4E"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البدري، 2017، 102)</w:t>
            </w:r>
          </w:p>
        </w:tc>
        <w:tc>
          <w:tcPr>
            <w:tcW w:w="3121" w:type="pct"/>
          </w:tcPr>
          <w:p w14:paraId="55891038" w14:textId="555222F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توثيق نتائج تقييم المخاطر في تقارير رسمية قابلة للمراجعة</w:t>
            </w:r>
            <w:r w:rsidR="00C26D4E" w:rsidRPr="00130980">
              <w:rPr>
                <w:rFonts w:ascii="Traditional Arabic" w:hAnsi="Traditional Arabic" w:cs="Traditional Arabic" w:hint="cs"/>
                <w:b/>
                <w:bCs/>
                <w:color w:val="000000" w:themeColor="text1"/>
                <w:sz w:val="20"/>
                <w:szCs w:val="20"/>
                <w:rtl/>
              </w:rPr>
              <w:t>.</w:t>
            </w:r>
          </w:p>
        </w:tc>
        <w:tc>
          <w:tcPr>
            <w:tcW w:w="540" w:type="pct"/>
          </w:tcPr>
          <w:p w14:paraId="064018C0" w14:textId="428CC656" w:rsidR="00E03B44" w:rsidRPr="00130980" w:rsidRDefault="00E03B4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15</w:t>
            </w:r>
          </w:p>
        </w:tc>
      </w:tr>
      <w:tr w:rsidR="001F05BC" w:rsidRPr="00130980" w14:paraId="72952CB0" w14:textId="660FBE19" w:rsidTr="00C3610C">
        <w:trPr>
          <w:trHeight w:val="20"/>
          <w:tblCellSpacing w:w="20" w:type="dxa"/>
          <w:jc w:val="right"/>
        </w:trPr>
        <w:tc>
          <w:tcPr>
            <w:tcW w:w="5000" w:type="pct"/>
            <w:gridSpan w:val="3"/>
          </w:tcPr>
          <w:p w14:paraId="04FCC3B7" w14:textId="4C476F84"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رابعًا: الاستجابة للمخاطر</w:t>
            </w:r>
          </w:p>
        </w:tc>
      </w:tr>
      <w:tr w:rsidR="001F05BC" w:rsidRPr="00130980" w14:paraId="60BCD7D5" w14:textId="6FECF5E8" w:rsidTr="00C3610C">
        <w:trPr>
          <w:trHeight w:val="20"/>
          <w:tblCellSpacing w:w="20" w:type="dxa"/>
          <w:jc w:val="right"/>
        </w:trPr>
        <w:tc>
          <w:tcPr>
            <w:tcW w:w="1339" w:type="pct"/>
          </w:tcPr>
          <w:p w14:paraId="210F8882" w14:textId="6AC17EC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lastRenderedPageBreak/>
              <w:t>( الهاجري، 2018، 88)</w:t>
            </w:r>
          </w:p>
          <w:p w14:paraId="25D90CA3" w14:textId="7777777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p>
        </w:tc>
        <w:tc>
          <w:tcPr>
            <w:tcW w:w="3121" w:type="pct"/>
            <w:hideMark/>
          </w:tcPr>
          <w:p w14:paraId="3420933A" w14:textId="6220D81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توجد خطط استجابة واضحة ومعلنة للتعامل مع الحوادث الطبية.</w:t>
            </w:r>
          </w:p>
        </w:tc>
        <w:tc>
          <w:tcPr>
            <w:tcW w:w="540" w:type="pct"/>
          </w:tcPr>
          <w:p w14:paraId="70A2A87C" w14:textId="365AE51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16</w:t>
            </w:r>
          </w:p>
        </w:tc>
      </w:tr>
      <w:tr w:rsidR="001F05BC" w:rsidRPr="00130980" w14:paraId="08E4F758" w14:textId="77777777" w:rsidTr="00C3610C">
        <w:trPr>
          <w:trHeight w:val="20"/>
          <w:tblCellSpacing w:w="20" w:type="dxa"/>
          <w:jc w:val="right"/>
        </w:trPr>
        <w:tc>
          <w:tcPr>
            <w:tcW w:w="1339" w:type="pct"/>
          </w:tcPr>
          <w:p w14:paraId="43A2912B" w14:textId="67C89FD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العنزي، 2019، 74)</w:t>
            </w:r>
          </w:p>
        </w:tc>
        <w:tc>
          <w:tcPr>
            <w:tcW w:w="3121" w:type="pct"/>
          </w:tcPr>
          <w:p w14:paraId="4EA8038D" w14:textId="2503225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تدريب العاملين على كيفية التصرف عند وقوع المخاطر.</w:t>
            </w:r>
          </w:p>
        </w:tc>
        <w:tc>
          <w:tcPr>
            <w:tcW w:w="540" w:type="pct"/>
          </w:tcPr>
          <w:p w14:paraId="1E9D0567" w14:textId="259918F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17</w:t>
            </w:r>
          </w:p>
        </w:tc>
      </w:tr>
      <w:tr w:rsidR="001F05BC" w:rsidRPr="00130980" w14:paraId="196742A2" w14:textId="77777777" w:rsidTr="00C3610C">
        <w:trPr>
          <w:trHeight w:val="20"/>
          <w:tblCellSpacing w:w="20" w:type="dxa"/>
          <w:jc w:val="right"/>
        </w:trPr>
        <w:tc>
          <w:tcPr>
            <w:tcW w:w="1339" w:type="pct"/>
          </w:tcPr>
          <w:p w14:paraId="52F1A3EA" w14:textId="1F956E1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الطويل ، 2020، 65)</w:t>
            </w:r>
          </w:p>
        </w:tc>
        <w:tc>
          <w:tcPr>
            <w:tcW w:w="3121" w:type="pct"/>
          </w:tcPr>
          <w:p w14:paraId="1B2A23A6" w14:textId="2FB91C7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تنفيذ إجراءات تصحيحية بعد كل حادث لضمان عدم تكراره.</w:t>
            </w:r>
          </w:p>
        </w:tc>
        <w:tc>
          <w:tcPr>
            <w:tcW w:w="540" w:type="pct"/>
          </w:tcPr>
          <w:p w14:paraId="3AA65067" w14:textId="6DE4ABC1"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18</w:t>
            </w:r>
          </w:p>
        </w:tc>
      </w:tr>
      <w:tr w:rsidR="001F05BC" w:rsidRPr="00130980" w14:paraId="1A1FAA26" w14:textId="77777777" w:rsidTr="00C3610C">
        <w:trPr>
          <w:trHeight w:val="20"/>
          <w:tblCellSpacing w:w="20" w:type="dxa"/>
          <w:jc w:val="right"/>
        </w:trPr>
        <w:tc>
          <w:tcPr>
            <w:tcW w:w="1339" w:type="pct"/>
          </w:tcPr>
          <w:p w14:paraId="2973F1B5" w14:textId="33F9B90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الشراري، 2021، 92)</w:t>
            </w:r>
          </w:p>
        </w:tc>
        <w:tc>
          <w:tcPr>
            <w:tcW w:w="3121" w:type="pct"/>
          </w:tcPr>
          <w:p w14:paraId="600C70B6" w14:textId="30C85C6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تقييم فعالية الاستجابة بعد كل حالة طارئة أو خطأ طبي.</w:t>
            </w:r>
          </w:p>
        </w:tc>
        <w:tc>
          <w:tcPr>
            <w:tcW w:w="540" w:type="pct"/>
          </w:tcPr>
          <w:p w14:paraId="584CECA7" w14:textId="60A9853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19</w:t>
            </w:r>
          </w:p>
        </w:tc>
      </w:tr>
      <w:tr w:rsidR="001F05BC" w:rsidRPr="00130980" w14:paraId="63B47FFC" w14:textId="77777777" w:rsidTr="00C3610C">
        <w:trPr>
          <w:trHeight w:val="20"/>
          <w:tblCellSpacing w:w="20" w:type="dxa"/>
          <w:jc w:val="right"/>
        </w:trPr>
        <w:tc>
          <w:tcPr>
            <w:tcW w:w="1339" w:type="pct"/>
          </w:tcPr>
          <w:p w14:paraId="4BCF215C" w14:textId="33A79A7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 2017، 101)</w:t>
            </w:r>
          </w:p>
        </w:tc>
        <w:tc>
          <w:tcPr>
            <w:tcW w:w="3121" w:type="pct"/>
          </w:tcPr>
          <w:p w14:paraId="643FB10B" w14:textId="6A2567C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يتم إشراك العاملين في تطوير خطط الاستجابة وتحسينها باستمرار.</w:t>
            </w:r>
          </w:p>
        </w:tc>
        <w:tc>
          <w:tcPr>
            <w:tcW w:w="540" w:type="pct"/>
          </w:tcPr>
          <w:p w14:paraId="7A77DF0A" w14:textId="04CDAB2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20</w:t>
            </w:r>
          </w:p>
        </w:tc>
      </w:tr>
      <w:tr w:rsidR="001F05BC" w:rsidRPr="00130980" w14:paraId="63668FA3" w14:textId="2B2689C5" w:rsidTr="00C3610C">
        <w:trPr>
          <w:trHeight w:val="20"/>
          <w:tblCellSpacing w:w="20" w:type="dxa"/>
          <w:jc w:val="right"/>
        </w:trPr>
        <w:tc>
          <w:tcPr>
            <w:tcW w:w="5000" w:type="pct"/>
            <w:gridSpan w:val="3"/>
          </w:tcPr>
          <w:p w14:paraId="008013A0" w14:textId="73FF692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القيادة التحويلية</w:t>
            </w:r>
          </w:p>
        </w:tc>
      </w:tr>
      <w:tr w:rsidR="001F05BC" w:rsidRPr="00130980" w14:paraId="6896C995" w14:textId="4C7D986C" w:rsidTr="00C3610C">
        <w:trPr>
          <w:trHeight w:val="20"/>
          <w:tblCellSpacing w:w="20" w:type="dxa"/>
          <w:jc w:val="right"/>
        </w:trPr>
        <w:tc>
          <w:tcPr>
            <w:tcW w:w="5000" w:type="pct"/>
            <w:gridSpan w:val="3"/>
          </w:tcPr>
          <w:p w14:paraId="094D4307" w14:textId="7D695FE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أولًا: التأثير المثالي</w:t>
            </w:r>
            <w:r w:rsidRPr="00130980">
              <w:rPr>
                <w:rFonts w:ascii="Traditional Arabic" w:hAnsi="Traditional Arabic" w:cs="Traditional Arabic" w:hint="cs"/>
                <w:b/>
                <w:bCs/>
                <w:color w:val="000000" w:themeColor="text1"/>
                <w:sz w:val="20"/>
                <w:szCs w:val="20"/>
                <w:lang w:bidi="ar-EG"/>
              </w:rPr>
              <w:t xml:space="preserve"> (Idealized Influence)</w:t>
            </w:r>
          </w:p>
        </w:tc>
      </w:tr>
      <w:tr w:rsidR="001F05BC" w:rsidRPr="00130980" w14:paraId="1CF6CA70" w14:textId="74110FAC" w:rsidTr="00C3610C">
        <w:trPr>
          <w:trHeight w:val="20"/>
          <w:tblCellSpacing w:w="20" w:type="dxa"/>
          <w:jc w:val="right"/>
        </w:trPr>
        <w:tc>
          <w:tcPr>
            <w:tcW w:w="1339" w:type="pct"/>
          </w:tcPr>
          <w:p w14:paraId="28F48B5C" w14:textId="1384C20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الحربي، 2019، 54)</w:t>
            </w:r>
          </w:p>
        </w:tc>
        <w:tc>
          <w:tcPr>
            <w:tcW w:w="3121" w:type="pct"/>
            <w:hideMark/>
          </w:tcPr>
          <w:p w14:paraId="48E53A34" w14:textId="45385CE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يُظهر القائد سلوكًا أخلاقيًا يُحتذى به في بيئة العمل.</w:t>
            </w:r>
          </w:p>
        </w:tc>
        <w:tc>
          <w:tcPr>
            <w:tcW w:w="540" w:type="pct"/>
          </w:tcPr>
          <w:p w14:paraId="4D933929" w14:textId="1DF8015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21</w:t>
            </w:r>
          </w:p>
        </w:tc>
      </w:tr>
      <w:tr w:rsidR="001F05BC" w:rsidRPr="00130980" w14:paraId="3AB398E4" w14:textId="77777777" w:rsidTr="00C3610C">
        <w:trPr>
          <w:trHeight w:val="20"/>
          <w:tblCellSpacing w:w="20" w:type="dxa"/>
          <w:jc w:val="right"/>
        </w:trPr>
        <w:tc>
          <w:tcPr>
            <w:tcW w:w="1339" w:type="pct"/>
          </w:tcPr>
          <w:p w14:paraId="100AC5FD" w14:textId="25E5216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العمري، 2020، 62)</w:t>
            </w:r>
          </w:p>
        </w:tc>
        <w:tc>
          <w:tcPr>
            <w:tcW w:w="3121" w:type="pct"/>
          </w:tcPr>
          <w:p w14:paraId="085A35BC" w14:textId="72CFABE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يلتزم القائد بالقيم المهنية في جميع تعاملاته.</w:t>
            </w:r>
          </w:p>
        </w:tc>
        <w:tc>
          <w:tcPr>
            <w:tcW w:w="540" w:type="pct"/>
          </w:tcPr>
          <w:p w14:paraId="07CC10F7" w14:textId="1F9246F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22</w:t>
            </w:r>
          </w:p>
        </w:tc>
      </w:tr>
      <w:tr w:rsidR="001F05BC" w:rsidRPr="00130980" w14:paraId="5DB28F0D" w14:textId="77777777" w:rsidTr="00C3610C">
        <w:trPr>
          <w:trHeight w:val="20"/>
          <w:tblCellSpacing w:w="20" w:type="dxa"/>
          <w:jc w:val="right"/>
        </w:trPr>
        <w:tc>
          <w:tcPr>
            <w:tcW w:w="1339" w:type="pct"/>
          </w:tcPr>
          <w:p w14:paraId="16FD2F68" w14:textId="675192E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الخطيب، 2018، 71)</w:t>
            </w:r>
          </w:p>
        </w:tc>
        <w:tc>
          <w:tcPr>
            <w:tcW w:w="3121" w:type="pct"/>
          </w:tcPr>
          <w:p w14:paraId="0A1074B0" w14:textId="1A45C6F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يُقدّم القائد نموذجًا يُلهم الآخرين بالثقة والاحترام</w:t>
            </w:r>
          </w:p>
        </w:tc>
        <w:tc>
          <w:tcPr>
            <w:tcW w:w="540" w:type="pct"/>
          </w:tcPr>
          <w:p w14:paraId="3459377D" w14:textId="0863B54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23</w:t>
            </w:r>
          </w:p>
        </w:tc>
      </w:tr>
      <w:tr w:rsidR="001F05BC" w:rsidRPr="00130980" w14:paraId="35185D0B" w14:textId="77777777" w:rsidTr="00C3610C">
        <w:trPr>
          <w:trHeight w:val="20"/>
          <w:tblCellSpacing w:w="20" w:type="dxa"/>
          <w:jc w:val="right"/>
        </w:trPr>
        <w:tc>
          <w:tcPr>
            <w:tcW w:w="1339" w:type="pct"/>
          </w:tcPr>
          <w:p w14:paraId="2626BAFE" w14:textId="10AD7DF8"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الشمري، 2021، 83)</w:t>
            </w:r>
          </w:p>
        </w:tc>
        <w:tc>
          <w:tcPr>
            <w:tcW w:w="3121" w:type="pct"/>
          </w:tcPr>
          <w:p w14:paraId="36E070E0" w14:textId="59827D09"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يتصرف القائد بطريقة تعزز الانتماء والولاء للمؤسسة</w:t>
            </w:r>
          </w:p>
        </w:tc>
        <w:tc>
          <w:tcPr>
            <w:tcW w:w="540" w:type="pct"/>
          </w:tcPr>
          <w:p w14:paraId="5B57099B" w14:textId="40CEDC1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24</w:t>
            </w:r>
          </w:p>
        </w:tc>
      </w:tr>
      <w:tr w:rsidR="001F05BC" w:rsidRPr="00130980" w14:paraId="657F36E9" w14:textId="77777777" w:rsidTr="00C3610C">
        <w:trPr>
          <w:trHeight w:val="20"/>
          <w:tblCellSpacing w:w="20" w:type="dxa"/>
          <w:jc w:val="right"/>
        </w:trPr>
        <w:tc>
          <w:tcPr>
            <w:tcW w:w="1339" w:type="pct"/>
          </w:tcPr>
          <w:p w14:paraId="02B651C1" w14:textId="4A7A2DBC"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عبدالله، 2017، 95)</w:t>
            </w:r>
          </w:p>
        </w:tc>
        <w:tc>
          <w:tcPr>
            <w:tcW w:w="3121" w:type="pct"/>
          </w:tcPr>
          <w:p w14:paraId="276B1C07" w14:textId="2732D0B1"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يُظهر القائد استعدادًا لتحمل المسؤولية في المواقف الصعبة.</w:t>
            </w:r>
          </w:p>
        </w:tc>
        <w:tc>
          <w:tcPr>
            <w:tcW w:w="540" w:type="pct"/>
          </w:tcPr>
          <w:p w14:paraId="531EF3E3" w14:textId="028477A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25</w:t>
            </w:r>
          </w:p>
        </w:tc>
      </w:tr>
      <w:tr w:rsidR="001F05BC" w:rsidRPr="00130980" w14:paraId="1FB5801D" w14:textId="2404C784" w:rsidTr="00C3610C">
        <w:trPr>
          <w:trHeight w:val="20"/>
          <w:tblCellSpacing w:w="20" w:type="dxa"/>
          <w:jc w:val="right"/>
        </w:trPr>
        <w:tc>
          <w:tcPr>
            <w:tcW w:w="5000" w:type="pct"/>
            <w:gridSpan w:val="3"/>
          </w:tcPr>
          <w:p w14:paraId="6666E2D3" w14:textId="4F5F2F4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ثانيًا: الدافعية الإلهامية</w:t>
            </w:r>
            <w:r w:rsidRPr="00130980">
              <w:rPr>
                <w:rFonts w:ascii="Traditional Arabic" w:hAnsi="Traditional Arabic" w:cs="Traditional Arabic" w:hint="cs"/>
                <w:b/>
                <w:bCs/>
                <w:color w:val="000000" w:themeColor="text1"/>
                <w:sz w:val="20"/>
                <w:szCs w:val="20"/>
                <w:lang w:bidi="ar-EG"/>
              </w:rPr>
              <w:t xml:space="preserve"> (Inspirational Motivation)</w:t>
            </w:r>
          </w:p>
        </w:tc>
      </w:tr>
      <w:tr w:rsidR="001F05BC" w:rsidRPr="00130980" w14:paraId="2A18EF4F" w14:textId="1418AA9F" w:rsidTr="00C3610C">
        <w:trPr>
          <w:trHeight w:val="20"/>
          <w:tblCellSpacing w:w="20" w:type="dxa"/>
          <w:jc w:val="right"/>
        </w:trPr>
        <w:tc>
          <w:tcPr>
            <w:tcW w:w="1339" w:type="pct"/>
          </w:tcPr>
          <w:p w14:paraId="233228F5" w14:textId="6C4512A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2019، 68)</w:t>
            </w:r>
          </w:p>
        </w:tc>
        <w:tc>
          <w:tcPr>
            <w:tcW w:w="3121" w:type="pct"/>
            <w:hideMark/>
          </w:tcPr>
          <w:p w14:paraId="5680E689" w14:textId="28C73A7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يُحفّز القائد العاملين لتحقيق أهداف تتجاوز التوقعات.</w:t>
            </w:r>
          </w:p>
        </w:tc>
        <w:tc>
          <w:tcPr>
            <w:tcW w:w="540" w:type="pct"/>
          </w:tcPr>
          <w:p w14:paraId="115653CE" w14:textId="081E162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26</w:t>
            </w:r>
          </w:p>
        </w:tc>
      </w:tr>
      <w:tr w:rsidR="001F05BC" w:rsidRPr="00130980" w14:paraId="79FA11F4" w14:textId="77777777" w:rsidTr="00C3610C">
        <w:trPr>
          <w:trHeight w:val="20"/>
          <w:tblCellSpacing w:w="20" w:type="dxa"/>
          <w:jc w:val="right"/>
        </w:trPr>
        <w:tc>
          <w:tcPr>
            <w:tcW w:w="1339" w:type="pct"/>
          </w:tcPr>
          <w:p w14:paraId="3EA45345" w14:textId="4B7059F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الخوالدة، 2018، 59)</w:t>
            </w:r>
          </w:p>
        </w:tc>
        <w:tc>
          <w:tcPr>
            <w:tcW w:w="3121" w:type="pct"/>
          </w:tcPr>
          <w:p w14:paraId="411B4207" w14:textId="6129C0B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يُشجع القائد العاملين على الإيمان بقدراتهم.</w:t>
            </w:r>
          </w:p>
        </w:tc>
        <w:tc>
          <w:tcPr>
            <w:tcW w:w="540" w:type="pct"/>
          </w:tcPr>
          <w:p w14:paraId="4DC0D6B7" w14:textId="539506B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27</w:t>
            </w:r>
          </w:p>
        </w:tc>
      </w:tr>
      <w:tr w:rsidR="001F05BC" w:rsidRPr="00130980" w14:paraId="66C7F0CC" w14:textId="77777777" w:rsidTr="00C3610C">
        <w:trPr>
          <w:trHeight w:val="20"/>
          <w:tblCellSpacing w:w="20" w:type="dxa"/>
          <w:jc w:val="right"/>
        </w:trPr>
        <w:tc>
          <w:tcPr>
            <w:tcW w:w="1339" w:type="pct"/>
          </w:tcPr>
          <w:p w14:paraId="098FB7ED" w14:textId="23F2A0E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(العنزي ، 2020، 73)</w:t>
            </w:r>
          </w:p>
        </w:tc>
        <w:tc>
          <w:tcPr>
            <w:tcW w:w="3121" w:type="pct"/>
          </w:tcPr>
          <w:p w14:paraId="698FC35B" w14:textId="6E3CB1F7"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يُعبر القائد عن رؤية واضحة ومُلهمة للمستقبل.</w:t>
            </w:r>
          </w:p>
        </w:tc>
        <w:tc>
          <w:tcPr>
            <w:tcW w:w="540" w:type="pct"/>
          </w:tcPr>
          <w:p w14:paraId="4B46661B" w14:textId="690E1D7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28</w:t>
            </w:r>
          </w:p>
        </w:tc>
      </w:tr>
      <w:tr w:rsidR="001F05BC" w:rsidRPr="00130980" w14:paraId="587A0B33" w14:textId="77777777" w:rsidTr="00C3610C">
        <w:trPr>
          <w:trHeight w:val="20"/>
          <w:tblCellSpacing w:w="20" w:type="dxa"/>
          <w:jc w:val="right"/>
        </w:trPr>
        <w:tc>
          <w:tcPr>
            <w:tcW w:w="1339" w:type="pct"/>
          </w:tcPr>
          <w:p w14:paraId="1F6DBDE5" w14:textId="0AA4788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الطراونة ، 2017، 82)</w:t>
            </w:r>
          </w:p>
        </w:tc>
        <w:tc>
          <w:tcPr>
            <w:tcW w:w="3121" w:type="pct"/>
          </w:tcPr>
          <w:p w14:paraId="501AB05D" w14:textId="357DDD3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يُعزز القائد روح الفريق والتعاون بين العاملين.</w:t>
            </w:r>
          </w:p>
        </w:tc>
        <w:tc>
          <w:tcPr>
            <w:tcW w:w="540" w:type="pct"/>
          </w:tcPr>
          <w:p w14:paraId="2AECC624" w14:textId="76CAA3C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29</w:t>
            </w:r>
          </w:p>
        </w:tc>
      </w:tr>
      <w:tr w:rsidR="001F05BC" w:rsidRPr="00130980" w14:paraId="784AF381" w14:textId="77777777" w:rsidTr="00C3610C">
        <w:trPr>
          <w:trHeight w:val="20"/>
          <w:tblCellSpacing w:w="20" w:type="dxa"/>
          <w:jc w:val="right"/>
        </w:trPr>
        <w:tc>
          <w:tcPr>
            <w:tcW w:w="1339" w:type="pct"/>
          </w:tcPr>
          <w:p w14:paraId="5D0C7F3D" w14:textId="13197AE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 2021، 91)</w:t>
            </w:r>
          </w:p>
        </w:tc>
        <w:tc>
          <w:tcPr>
            <w:tcW w:w="3121" w:type="pct"/>
          </w:tcPr>
          <w:p w14:paraId="437A2D96" w14:textId="3F9688A5"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يُستخدم القائد لغة تحفيزية تُشعل الحماس في بيئة العمل.</w:t>
            </w:r>
          </w:p>
        </w:tc>
        <w:tc>
          <w:tcPr>
            <w:tcW w:w="540" w:type="pct"/>
          </w:tcPr>
          <w:p w14:paraId="4133B8F2" w14:textId="4B0CE6CA"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30</w:t>
            </w:r>
          </w:p>
        </w:tc>
      </w:tr>
      <w:tr w:rsidR="001F05BC" w:rsidRPr="00130980" w14:paraId="03CCE25C" w14:textId="37D9C899" w:rsidTr="00C3610C">
        <w:trPr>
          <w:trHeight w:val="20"/>
          <w:tblCellSpacing w:w="20" w:type="dxa"/>
          <w:jc w:val="right"/>
        </w:trPr>
        <w:tc>
          <w:tcPr>
            <w:tcW w:w="5000" w:type="pct"/>
            <w:gridSpan w:val="3"/>
          </w:tcPr>
          <w:p w14:paraId="38F1695A" w14:textId="0F053BF2"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ثالثًا: الإعتبارية الفردية</w:t>
            </w:r>
            <w:r w:rsidRPr="00130980">
              <w:rPr>
                <w:rFonts w:ascii="Traditional Arabic" w:hAnsi="Traditional Arabic" w:cs="Traditional Arabic" w:hint="cs"/>
                <w:b/>
                <w:bCs/>
                <w:color w:val="000000" w:themeColor="text1"/>
                <w:sz w:val="20"/>
                <w:szCs w:val="20"/>
                <w:lang w:bidi="ar-EG"/>
              </w:rPr>
              <w:t xml:space="preserve"> (Individualized Consideration)</w:t>
            </w:r>
          </w:p>
        </w:tc>
      </w:tr>
      <w:tr w:rsidR="001F05BC" w:rsidRPr="00130980" w14:paraId="647DB329" w14:textId="20637E62" w:rsidTr="00C3610C">
        <w:trPr>
          <w:trHeight w:val="20"/>
          <w:tblCellSpacing w:w="20" w:type="dxa"/>
          <w:jc w:val="right"/>
        </w:trPr>
        <w:tc>
          <w:tcPr>
            <w:tcW w:w="1339" w:type="pct"/>
          </w:tcPr>
          <w:p w14:paraId="69F49F6E" w14:textId="3EC2F495"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الخالدي، 2019، 77)</w:t>
            </w:r>
          </w:p>
        </w:tc>
        <w:tc>
          <w:tcPr>
            <w:tcW w:w="3121" w:type="pct"/>
            <w:hideMark/>
          </w:tcPr>
          <w:p w14:paraId="07E12CBB" w14:textId="06550A3D"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يُظهر القائد اهتمامًا فرديًا باحتياجات الموظفين</w:t>
            </w:r>
            <w:r w:rsidR="008F3298" w:rsidRPr="00130980">
              <w:rPr>
                <w:rFonts w:ascii="Traditional Arabic" w:hAnsi="Traditional Arabic" w:cs="Traditional Arabic" w:hint="cs"/>
                <w:b/>
                <w:bCs/>
                <w:color w:val="000000" w:themeColor="text1"/>
                <w:sz w:val="20"/>
                <w:szCs w:val="20"/>
                <w:rtl/>
              </w:rPr>
              <w:t>.</w:t>
            </w:r>
          </w:p>
        </w:tc>
        <w:tc>
          <w:tcPr>
            <w:tcW w:w="540" w:type="pct"/>
          </w:tcPr>
          <w:p w14:paraId="23F44387" w14:textId="0AD3CE16"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31</w:t>
            </w:r>
          </w:p>
        </w:tc>
      </w:tr>
      <w:tr w:rsidR="001F05BC" w:rsidRPr="00130980" w14:paraId="39D6070E" w14:textId="77777777" w:rsidTr="00C3610C">
        <w:trPr>
          <w:trHeight w:val="20"/>
          <w:tblCellSpacing w:w="20" w:type="dxa"/>
          <w:jc w:val="right"/>
        </w:trPr>
        <w:tc>
          <w:tcPr>
            <w:tcW w:w="1339" w:type="pct"/>
          </w:tcPr>
          <w:p w14:paraId="6CC2F77F" w14:textId="3881C852"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الطراونة ، 2018، 68)</w:t>
            </w:r>
          </w:p>
        </w:tc>
        <w:tc>
          <w:tcPr>
            <w:tcW w:w="3121" w:type="pct"/>
          </w:tcPr>
          <w:p w14:paraId="0E9DC358" w14:textId="04DADBB8"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يُخصص القائد وقتًا للاستماع لمشكلات العاملين</w:t>
            </w:r>
            <w:r w:rsidR="008F3298" w:rsidRPr="00130980">
              <w:rPr>
                <w:rFonts w:ascii="Traditional Arabic" w:hAnsi="Traditional Arabic" w:cs="Traditional Arabic" w:hint="cs"/>
                <w:b/>
                <w:bCs/>
                <w:color w:val="000000" w:themeColor="text1"/>
                <w:sz w:val="20"/>
                <w:szCs w:val="20"/>
                <w:rtl/>
              </w:rPr>
              <w:t>.</w:t>
            </w:r>
          </w:p>
        </w:tc>
        <w:tc>
          <w:tcPr>
            <w:tcW w:w="540" w:type="pct"/>
          </w:tcPr>
          <w:p w14:paraId="555BB25A" w14:textId="60E3517F"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32</w:t>
            </w:r>
          </w:p>
        </w:tc>
      </w:tr>
      <w:tr w:rsidR="001F05BC" w:rsidRPr="00130980" w14:paraId="608B0EA5" w14:textId="77777777" w:rsidTr="00C3610C">
        <w:trPr>
          <w:trHeight w:val="20"/>
          <w:tblCellSpacing w:w="20" w:type="dxa"/>
          <w:jc w:val="right"/>
        </w:trPr>
        <w:tc>
          <w:tcPr>
            <w:tcW w:w="1339" w:type="pct"/>
          </w:tcPr>
          <w:p w14:paraId="62D96E30" w14:textId="462EBEAD"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lastRenderedPageBreak/>
              <w:t>( العنزي، 2020، 84)</w:t>
            </w:r>
          </w:p>
        </w:tc>
        <w:tc>
          <w:tcPr>
            <w:tcW w:w="3121" w:type="pct"/>
          </w:tcPr>
          <w:p w14:paraId="4A6519ED" w14:textId="67EA84F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يُراعي القائد الفروق الفردية في أسلوب التعامل</w:t>
            </w:r>
            <w:r w:rsidR="008F3298" w:rsidRPr="00130980">
              <w:rPr>
                <w:rFonts w:ascii="Traditional Arabic" w:hAnsi="Traditional Arabic" w:cs="Traditional Arabic" w:hint="cs"/>
                <w:b/>
                <w:bCs/>
                <w:color w:val="000000" w:themeColor="text1"/>
                <w:sz w:val="20"/>
                <w:szCs w:val="20"/>
                <w:rtl/>
              </w:rPr>
              <w:t>.</w:t>
            </w:r>
          </w:p>
        </w:tc>
        <w:tc>
          <w:tcPr>
            <w:tcW w:w="540" w:type="pct"/>
          </w:tcPr>
          <w:p w14:paraId="23A087EB" w14:textId="095731C0"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33</w:t>
            </w:r>
          </w:p>
        </w:tc>
      </w:tr>
      <w:tr w:rsidR="001F05BC" w:rsidRPr="00130980" w14:paraId="6C47CB11" w14:textId="77777777" w:rsidTr="00C3610C">
        <w:trPr>
          <w:trHeight w:val="20"/>
          <w:tblCellSpacing w:w="20" w:type="dxa"/>
          <w:jc w:val="right"/>
        </w:trPr>
        <w:tc>
          <w:tcPr>
            <w:tcW w:w="1339" w:type="pct"/>
          </w:tcPr>
          <w:p w14:paraId="51BDCCB2" w14:textId="6ED23A32"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الحسن، 2017، 102)</w:t>
            </w:r>
          </w:p>
        </w:tc>
        <w:tc>
          <w:tcPr>
            <w:tcW w:w="3121" w:type="pct"/>
          </w:tcPr>
          <w:p w14:paraId="7962B30F" w14:textId="7818C44E"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يُقدّم القائد الدعم والتوجيه المناسب لكل موظف</w:t>
            </w:r>
            <w:r w:rsidR="008F3298" w:rsidRPr="00130980">
              <w:rPr>
                <w:rFonts w:ascii="Traditional Arabic" w:hAnsi="Traditional Arabic" w:cs="Traditional Arabic" w:hint="cs"/>
                <w:b/>
                <w:bCs/>
                <w:color w:val="000000" w:themeColor="text1"/>
                <w:sz w:val="20"/>
                <w:szCs w:val="20"/>
                <w:rtl/>
              </w:rPr>
              <w:t>.</w:t>
            </w:r>
          </w:p>
        </w:tc>
        <w:tc>
          <w:tcPr>
            <w:tcW w:w="540" w:type="pct"/>
          </w:tcPr>
          <w:p w14:paraId="5A7C43F4" w14:textId="63B67CA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34</w:t>
            </w:r>
          </w:p>
        </w:tc>
      </w:tr>
      <w:tr w:rsidR="001F05BC" w:rsidRPr="00130980" w14:paraId="079A4422" w14:textId="77777777" w:rsidTr="00C3610C">
        <w:trPr>
          <w:trHeight w:val="20"/>
          <w:tblCellSpacing w:w="20" w:type="dxa"/>
          <w:jc w:val="right"/>
        </w:trPr>
        <w:tc>
          <w:tcPr>
            <w:tcW w:w="1339" w:type="pct"/>
          </w:tcPr>
          <w:p w14:paraId="19464CCE" w14:textId="5508EDAB" w:rsidR="001F05BC"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2021، 93)</w:t>
            </w:r>
          </w:p>
        </w:tc>
        <w:tc>
          <w:tcPr>
            <w:tcW w:w="3121" w:type="pct"/>
          </w:tcPr>
          <w:p w14:paraId="38FD379B" w14:textId="35FE2CFB"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العاملين على تطوير مهاراتهم الشخصية والمهنية</w:t>
            </w:r>
            <w:r w:rsidR="008F3298" w:rsidRPr="00130980">
              <w:rPr>
                <w:rFonts w:ascii="Traditional Arabic" w:hAnsi="Traditional Arabic" w:cs="Traditional Arabic" w:hint="cs"/>
                <w:b/>
                <w:bCs/>
                <w:color w:val="000000" w:themeColor="text1"/>
                <w:sz w:val="20"/>
                <w:szCs w:val="20"/>
                <w:rtl/>
              </w:rPr>
              <w:t>.</w:t>
            </w:r>
          </w:p>
        </w:tc>
        <w:tc>
          <w:tcPr>
            <w:tcW w:w="540" w:type="pct"/>
          </w:tcPr>
          <w:p w14:paraId="654AF4B2" w14:textId="0CFED7D3" w:rsidR="001F05BC" w:rsidRPr="00130980" w:rsidRDefault="001F05BC"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35</w:t>
            </w:r>
          </w:p>
        </w:tc>
      </w:tr>
      <w:tr w:rsidR="008F3298" w:rsidRPr="00130980" w14:paraId="3D45DC4E" w14:textId="6CCF6848" w:rsidTr="00C3610C">
        <w:trPr>
          <w:trHeight w:val="20"/>
          <w:tblCellSpacing w:w="20" w:type="dxa"/>
          <w:jc w:val="right"/>
        </w:trPr>
        <w:tc>
          <w:tcPr>
            <w:tcW w:w="5000" w:type="pct"/>
            <w:gridSpan w:val="3"/>
          </w:tcPr>
          <w:p w14:paraId="6BE094FB" w14:textId="52854E1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رابعًا: الاستثارة الفكرية</w:t>
            </w:r>
            <w:r w:rsidRPr="00130980">
              <w:rPr>
                <w:rFonts w:ascii="Traditional Arabic" w:hAnsi="Traditional Arabic" w:cs="Traditional Arabic" w:hint="cs"/>
                <w:b/>
                <w:bCs/>
                <w:color w:val="000000" w:themeColor="text1"/>
                <w:sz w:val="20"/>
                <w:szCs w:val="20"/>
                <w:lang w:bidi="ar-EG"/>
              </w:rPr>
              <w:t xml:space="preserve"> (Intellectual Stimulation)</w:t>
            </w:r>
          </w:p>
        </w:tc>
      </w:tr>
      <w:tr w:rsidR="008F3298" w:rsidRPr="00130980" w14:paraId="3CF35C8B" w14:textId="21C040B8" w:rsidTr="00C3610C">
        <w:trPr>
          <w:trHeight w:val="20"/>
          <w:tblCellSpacing w:w="20" w:type="dxa"/>
          <w:jc w:val="right"/>
        </w:trPr>
        <w:tc>
          <w:tcPr>
            <w:tcW w:w="1339" w:type="pct"/>
          </w:tcPr>
          <w:p w14:paraId="1422B994" w14:textId="1761BF39"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Pr>
            </w:pPr>
            <w:r w:rsidRPr="00130980">
              <w:rPr>
                <w:rFonts w:ascii="Traditional Arabic" w:hAnsi="Traditional Arabic" w:cs="Traditional Arabic" w:hint="cs"/>
                <w:b/>
                <w:bCs/>
                <w:color w:val="000000" w:themeColor="text1"/>
                <w:sz w:val="20"/>
                <w:szCs w:val="20"/>
                <w:rtl/>
              </w:rPr>
              <w:t>( الخالدي ، 2019، 66)</w:t>
            </w:r>
          </w:p>
        </w:tc>
        <w:tc>
          <w:tcPr>
            <w:tcW w:w="3121" w:type="pct"/>
            <w:hideMark/>
          </w:tcPr>
          <w:p w14:paraId="56BFDDD9" w14:textId="75535F4B"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lang w:bidi="ar-EG"/>
              </w:rPr>
            </w:pPr>
            <w:r w:rsidRPr="00130980">
              <w:rPr>
                <w:rFonts w:ascii="Traditional Arabic" w:hAnsi="Traditional Arabic" w:cs="Traditional Arabic" w:hint="cs"/>
                <w:b/>
                <w:bCs/>
                <w:color w:val="000000" w:themeColor="text1"/>
                <w:sz w:val="20"/>
                <w:szCs w:val="20"/>
                <w:rtl/>
              </w:rPr>
              <w:t>يُشجع القائد العاملين على التفكير الإبداعي لحل المشكلات.</w:t>
            </w:r>
          </w:p>
          <w:p w14:paraId="37C2884A" w14:textId="15F44B2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lang w:bidi="ar-EG"/>
              </w:rPr>
            </w:pPr>
          </w:p>
        </w:tc>
        <w:tc>
          <w:tcPr>
            <w:tcW w:w="540" w:type="pct"/>
          </w:tcPr>
          <w:p w14:paraId="677F9D18" w14:textId="4B10984D"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40</w:t>
            </w:r>
          </w:p>
        </w:tc>
      </w:tr>
      <w:tr w:rsidR="008F3298" w:rsidRPr="00130980" w14:paraId="25D9A8FA" w14:textId="77777777" w:rsidTr="00C3610C">
        <w:trPr>
          <w:trHeight w:val="20"/>
          <w:tblCellSpacing w:w="20" w:type="dxa"/>
          <w:jc w:val="right"/>
        </w:trPr>
        <w:tc>
          <w:tcPr>
            <w:tcW w:w="1339" w:type="pct"/>
          </w:tcPr>
          <w:p w14:paraId="4F0FB980" w14:textId="4F99AF5B"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الطراونة ، 2018، 72)</w:t>
            </w:r>
          </w:p>
        </w:tc>
        <w:tc>
          <w:tcPr>
            <w:tcW w:w="3121" w:type="pct"/>
          </w:tcPr>
          <w:p w14:paraId="294C50AC" w14:textId="745429E4"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يُحفّز القائد العاملين على اقتراح أفكار جديدة</w:t>
            </w:r>
            <w:r w:rsidR="005C1BD4" w:rsidRPr="00130980">
              <w:rPr>
                <w:rFonts w:ascii="Traditional Arabic" w:hAnsi="Traditional Arabic" w:cs="Traditional Arabic" w:hint="cs"/>
                <w:b/>
                <w:bCs/>
                <w:color w:val="000000" w:themeColor="text1"/>
                <w:sz w:val="20"/>
                <w:szCs w:val="20"/>
                <w:rtl/>
                <w:lang w:bidi="ar-EG"/>
              </w:rPr>
              <w:t>.</w:t>
            </w:r>
          </w:p>
        </w:tc>
        <w:tc>
          <w:tcPr>
            <w:tcW w:w="540" w:type="pct"/>
          </w:tcPr>
          <w:p w14:paraId="6FBFA2E9" w14:textId="2A4CA87C"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41</w:t>
            </w:r>
          </w:p>
        </w:tc>
      </w:tr>
      <w:tr w:rsidR="008F3298" w:rsidRPr="00130980" w14:paraId="6684ADCB" w14:textId="77777777" w:rsidTr="00C3610C">
        <w:trPr>
          <w:trHeight w:val="20"/>
          <w:tblCellSpacing w:w="20" w:type="dxa"/>
          <w:jc w:val="right"/>
        </w:trPr>
        <w:tc>
          <w:tcPr>
            <w:tcW w:w="1339" w:type="pct"/>
          </w:tcPr>
          <w:p w14:paraId="2A343AB1" w14:textId="0A5BC8EA"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العنزي، 2020، 81)</w:t>
            </w:r>
          </w:p>
        </w:tc>
        <w:tc>
          <w:tcPr>
            <w:tcW w:w="3121" w:type="pct"/>
          </w:tcPr>
          <w:p w14:paraId="30BC50CC" w14:textId="6C468A77"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على تحدي الطرق التقليدية في العمل</w:t>
            </w:r>
            <w:r w:rsidR="005C1BD4" w:rsidRPr="00130980">
              <w:rPr>
                <w:rFonts w:ascii="Traditional Arabic" w:hAnsi="Traditional Arabic" w:cs="Traditional Arabic" w:hint="cs"/>
                <w:b/>
                <w:bCs/>
                <w:color w:val="000000" w:themeColor="text1"/>
                <w:sz w:val="20"/>
                <w:szCs w:val="20"/>
                <w:rtl/>
              </w:rPr>
              <w:t>.</w:t>
            </w:r>
          </w:p>
        </w:tc>
        <w:tc>
          <w:tcPr>
            <w:tcW w:w="540" w:type="pct"/>
          </w:tcPr>
          <w:p w14:paraId="43747A4D" w14:textId="456ADC8B"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42</w:t>
            </w:r>
          </w:p>
        </w:tc>
      </w:tr>
      <w:tr w:rsidR="008F3298" w:rsidRPr="00130980" w14:paraId="1499691B" w14:textId="77777777" w:rsidTr="00C3610C">
        <w:trPr>
          <w:trHeight w:val="20"/>
          <w:tblCellSpacing w:w="20" w:type="dxa"/>
          <w:jc w:val="right"/>
        </w:trPr>
        <w:tc>
          <w:tcPr>
            <w:tcW w:w="1339" w:type="pct"/>
          </w:tcPr>
          <w:p w14:paraId="0B0C2C13" w14:textId="69452DFB"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color w:val="000000" w:themeColor="text1"/>
                <w:sz w:val="20"/>
                <w:szCs w:val="20"/>
                <w:rtl/>
              </w:rPr>
              <w:t>( الحسن، 2021، 104)</w:t>
            </w:r>
          </w:p>
        </w:tc>
        <w:tc>
          <w:tcPr>
            <w:tcW w:w="3121" w:type="pct"/>
          </w:tcPr>
          <w:p w14:paraId="6D039AE2" w14:textId="67DBA251"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يُتيح القائد بيئة آمنة لتبادل الآراء والابتكار</w:t>
            </w:r>
            <w:r w:rsidR="005C1BD4" w:rsidRPr="00130980">
              <w:rPr>
                <w:rFonts w:ascii="Traditional Arabic" w:hAnsi="Traditional Arabic" w:cs="Traditional Arabic" w:hint="cs"/>
                <w:b/>
                <w:bCs/>
                <w:color w:val="000000" w:themeColor="text1"/>
                <w:sz w:val="20"/>
                <w:szCs w:val="20"/>
                <w:rtl/>
              </w:rPr>
              <w:t>.</w:t>
            </w:r>
          </w:p>
        </w:tc>
        <w:tc>
          <w:tcPr>
            <w:tcW w:w="540" w:type="pct"/>
          </w:tcPr>
          <w:p w14:paraId="3E59C2F8" w14:textId="7F5188DA"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43</w:t>
            </w:r>
          </w:p>
        </w:tc>
      </w:tr>
      <w:tr w:rsidR="008F3298" w:rsidRPr="00130980" w14:paraId="1E05673E" w14:textId="77777777" w:rsidTr="00C3610C">
        <w:trPr>
          <w:trHeight w:val="20"/>
          <w:tblCellSpacing w:w="20" w:type="dxa"/>
          <w:jc w:val="right"/>
        </w:trPr>
        <w:tc>
          <w:tcPr>
            <w:tcW w:w="1339" w:type="pct"/>
          </w:tcPr>
          <w:p w14:paraId="5C61EF72" w14:textId="27659B11" w:rsidR="008F3298"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 الشمري، 2017، 93)</w:t>
            </w:r>
          </w:p>
        </w:tc>
        <w:tc>
          <w:tcPr>
            <w:tcW w:w="3121" w:type="pct"/>
          </w:tcPr>
          <w:p w14:paraId="342BE2EC" w14:textId="466B53FF"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يُشجع القائد العاملين على تحليل المواقف من زوايا متعددة</w:t>
            </w:r>
            <w:r w:rsidR="005C1BD4" w:rsidRPr="00130980">
              <w:rPr>
                <w:rFonts w:ascii="Traditional Arabic" w:hAnsi="Traditional Arabic" w:cs="Traditional Arabic" w:hint="cs"/>
                <w:b/>
                <w:bCs/>
                <w:color w:val="000000" w:themeColor="text1"/>
                <w:sz w:val="20"/>
                <w:szCs w:val="20"/>
                <w:rtl/>
              </w:rPr>
              <w:t>.</w:t>
            </w:r>
          </w:p>
        </w:tc>
        <w:tc>
          <w:tcPr>
            <w:tcW w:w="540" w:type="pct"/>
          </w:tcPr>
          <w:p w14:paraId="12AD50E7" w14:textId="6033BC63" w:rsidR="008F3298" w:rsidRPr="00130980" w:rsidRDefault="008F3298"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44</w:t>
            </w:r>
          </w:p>
        </w:tc>
      </w:tr>
      <w:tr w:rsidR="005C1BD4" w:rsidRPr="00130980" w14:paraId="12CCA539" w14:textId="25BAA226" w:rsidTr="00C3610C">
        <w:trPr>
          <w:trHeight w:val="20"/>
          <w:tblCellSpacing w:w="20" w:type="dxa"/>
          <w:jc w:val="right"/>
        </w:trPr>
        <w:tc>
          <w:tcPr>
            <w:tcW w:w="5000" w:type="pct"/>
            <w:gridSpan w:val="3"/>
          </w:tcPr>
          <w:p w14:paraId="03EB4C06" w14:textId="666D34DA"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color w:val="000000" w:themeColor="text1"/>
                <w:sz w:val="20"/>
                <w:szCs w:val="20"/>
                <w:rtl/>
              </w:rPr>
              <w:t>سلامة المرضى</w:t>
            </w:r>
          </w:p>
        </w:tc>
      </w:tr>
      <w:tr w:rsidR="005C1BD4" w:rsidRPr="00130980" w14:paraId="0C5B714D" w14:textId="74D028D7" w:rsidTr="00C3610C">
        <w:trPr>
          <w:trHeight w:val="20"/>
          <w:tblCellSpacing w:w="20" w:type="dxa"/>
          <w:jc w:val="right"/>
        </w:trPr>
        <w:tc>
          <w:tcPr>
            <w:tcW w:w="5000" w:type="pct"/>
            <w:gridSpan w:val="3"/>
          </w:tcPr>
          <w:p w14:paraId="70BBB5D1" w14:textId="214BEA8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أولًا: تقليل الأخطاء الطبية</w:t>
            </w:r>
          </w:p>
        </w:tc>
      </w:tr>
      <w:tr w:rsidR="005C1BD4" w:rsidRPr="00130980" w14:paraId="2CE404A4" w14:textId="6C3AFA8D" w:rsidTr="00C3610C">
        <w:trPr>
          <w:trHeight w:val="20"/>
          <w:tblCellSpacing w:w="20" w:type="dxa"/>
          <w:jc w:val="right"/>
        </w:trPr>
        <w:tc>
          <w:tcPr>
            <w:tcW w:w="1339" w:type="pct"/>
          </w:tcPr>
          <w:p w14:paraId="13EE7F30" w14:textId="04280CB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الأنصاري، 2019، 57)</w:t>
            </w:r>
          </w:p>
        </w:tc>
        <w:tc>
          <w:tcPr>
            <w:tcW w:w="3121" w:type="pct"/>
          </w:tcPr>
          <w:p w14:paraId="1527A4A5" w14:textId="7D2DA060"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تطبيق إجراءات واضحة لتقليل الأخطاء الطبية أثناء تقديم الرعاية.</w:t>
            </w:r>
          </w:p>
        </w:tc>
        <w:tc>
          <w:tcPr>
            <w:tcW w:w="540" w:type="pct"/>
          </w:tcPr>
          <w:p w14:paraId="2DAAD528" w14:textId="791DA6B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45</w:t>
            </w:r>
          </w:p>
        </w:tc>
      </w:tr>
      <w:tr w:rsidR="005C1BD4" w:rsidRPr="00130980" w14:paraId="06FE434F" w14:textId="77777777" w:rsidTr="00C3610C">
        <w:trPr>
          <w:trHeight w:val="20"/>
          <w:tblCellSpacing w:w="20" w:type="dxa"/>
          <w:jc w:val="right"/>
        </w:trPr>
        <w:tc>
          <w:tcPr>
            <w:tcW w:w="1339" w:type="pct"/>
          </w:tcPr>
          <w:p w14:paraId="5E7F675B" w14:textId="102CF919"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2020، 63)</w:t>
            </w:r>
          </w:p>
        </w:tc>
        <w:tc>
          <w:tcPr>
            <w:tcW w:w="3121" w:type="pct"/>
          </w:tcPr>
          <w:p w14:paraId="58AD06D8" w14:textId="1CDAC7BA"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مراجعة سجلات المرضى لتفادي الأخطاء العلاجية.</w:t>
            </w:r>
          </w:p>
        </w:tc>
        <w:tc>
          <w:tcPr>
            <w:tcW w:w="540" w:type="pct"/>
          </w:tcPr>
          <w:p w14:paraId="00EC5ED2" w14:textId="6ADCD8F8"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46</w:t>
            </w:r>
          </w:p>
        </w:tc>
      </w:tr>
      <w:tr w:rsidR="005C1BD4" w:rsidRPr="00130980" w14:paraId="434F9BC7" w14:textId="77777777" w:rsidTr="00C3610C">
        <w:trPr>
          <w:trHeight w:val="20"/>
          <w:tblCellSpacing w:w="20" w:type="dxa"/>
          <w:jc w:val="right"/>
        </w:trPr>
        <w:tc>
          <w:tcPr>
            <w:tcW w:w="1339" w:type="pct"/>
          </w:tcPr>
          <w:p w14:paraId="6368D6D6" w14:textId="76C896FC"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 الخطيب ، 2018، 71)</w:t>
            </w:r>
          </w:p>
        </w:tc>
        <w:tc>
          <w:tcPr>
            <w:tcW w:w="3121" w:type="pct"/>
          </w:tcPr>
          <w:p w14:paraId="4806AA5E" w14:textId="5A52AF56"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تدريب العاملين على كيفية تجنب الأخطاء الطبية الشائعة.</w:t>
            </w:r>
          </w:p>
        </w:tc>
        <w:tc>
          <w:tcPr>
            <w:tcW w:w="540" w:type="pct"/>
          </w:tcPr>
          <w:p w14:paraId="42C2B968" w14:textId="0803CAFD"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47</w:t>
            </w:r>
          </w:p>
        </w:tc>
      </w:tr>
      <w:tr w:rsidR="005C1BD4" w:rsidRPr="00130980" w14:paraId="5CD267F7" w14:textId="77777777" w:rsidTr="00C3610C">
        <w:trPr>
          <w:trHeight w:val="20"/>
          <w:tblCellSpacing w:w="20" w:type="dxa"/>
          <w:jc w:val="right"/>
        </w:trPr>
        <w:tc>
          <w:tcPr>
            <w:tcW w:w="1339" w:type="pct"/>
          </w:tcPr>
          <w:p w14:paraId="601808B1" w14:textId="749516F8"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2021، 89)</w:t>
            </w:r>
          </w:p>
        </w:tc>
        <w:tc>
          <w:tcPr>
            <w:tcW w:w="3121" w:type="pct"/>
          </w:tcPr>
          <w:p w14:paraId="1512619E" w14:textId="1493D44A"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تحليل الأخطاء الطبية بعد وقوعها لتفادي تكرارها.</w:t>
            </w:r>
          </w:p>
        </w:tc>
        <w:tc>
          <w:tcPr>
            <w:tcW w:w="540" w:type="pct"/>
          </w:tcPr>
          <w:p w14:paraId="7D37B2C7" w14:textId="4F2450E6"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48</w:t>
            </w:r>
          </w:p>
        </w:tc>
      </w:tr>
      <w:tr w:rsidR="005C1BD4" w:rsidRPr="00130980" w14:paraId="1A111892" w14:textId="0DC02298" w:rsidTr="00C3610C">
        <w:trPr>
          <w:trHeight w:val="20"/>
          <w:tblCellSpacing w:w="20" w:type="dxa"/>
          <w:jc w:val="right"/>
        </w:trPr>
        <w:tc>
          <w:tcPr>
            <w:tcW w:w="5000" w:type="pct"/>
            <w:gridSpan w:val="3"/>
          </w:tcPr>
          <w:p w14:paraId="1EFBEA80" w14:textId="6054B09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ثانيًا: فعالية أنظمة الإبلاغ</w:t>
            </w:r>
          </w:p>
        </w:tc>
      </w:tr>
      <w:tr w:rsidR="005C1BD4" w:rsidRPr="00130980" w14:paraId="136C8113" w14:textId="415FFCB4" w:rsidTr="00C3610C">
        <w:trPr>
          <w:trHeight w:val="20"/>
          <w:tblCellSpacing w:w="20" w:type="dxa"/>
          <w:jc w:val="right"/>
        </w:trPr>
        <w:tc>
          <w:tcPr>
            <w:tcW w:w="1339" w:type="pct"/>
          </w:tcPr>
          <w:p w14:paraId="5C38FE81" w14:textId="3A1B101C"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الشمري، 2020، 55)</w:t>
            </w:r>
          </w:p>
        </w:tc>
        <w:tc>
          <w:tcPr>
            <w:tcW w:w="3121" w:type="pct"/>
          </w:tcPr>
          <w:p w14:paraId="588C24CC" w14:textId="7512DEF0"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توجد آلية فعالة للإبلاغ عن الحوادث الطبية داخل المنشأة.</w:t>
            </w:r>
          </w:p>
        </w:tc>
        <w:tc>
          <w:tcPr>
            <w:tcW w:w="540" w:type="pct"/>
          </w:tcPr>
          <w:p w14:paraId="1A6E54D1" w14:textId="45AAAE30"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49</w:t>
            </w:r>
          </w:p>
        </w:tc>
      </w:tr>
      <w:tr w:rsidR="005C1BD4" w:rsidRPr="00130980" w14:paraId="3C07F6D3" w14:textId="77777777" w:rsidTr="00C3610C">
        <w:trPr>
          <w:trHeight w:val="20"/>
          <w:tblCellSpacing w:w="20" w:type="dxa"/>
          <w:jc w:val="right"/>
        </w:trPr>
        <w:tc>
          <w:tcPr>
            <w:tcW w:w="1339" w:type="pct"/>
          </w:tcPr>
          <w:p w14:paraId="6D4A4B9A" w14:textId="4FF8F7C5"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62)</w:t>
            </w:r>
          </w:p>
        </w:tc>
        <w:tc>
          <w:tcPr>
            <w:tcW w:w="3121" w:type="pct"/>
          </w:tcPr>
          <w:p w14:paraId="564345F6" w14:textId="0D673D64"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الإبلاغ عن الأخطاء الطبية دون خوف من العقوبة.</w:t>
            </w:r>
          </w:p>
        </w:tc>
        <w:tc>
          <w:tcPr>
            <w:tcW w:w="540" w:type="pct"/>
          </w:tcPr>
          <w:p w14:paraId="6DDFC14F" w14:textId="716EBE7D"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50</w:t>
            </w:r>
          </w:p>
        </w:tc>
      </w:tr>
      <w:tr w:rsidR="005C1BD4" w:rsidRPr="00130980" w14:paraId="776DCF15" w14:textId="77777777" w:rsidTr="00C3610C">
        <w:trPr>
          <w:trHeight w:val="20"/>
          <w:tblCellSpacing w:w="20" w:type="dxa"/>
          <w:jc w:val="right"/>
        </w:trPr>
        <w:tc>
          <w:tcPr>
            <w:tcW w:w="1339" w:type="pct"/>
          </w:tcPr>
          <w:p w14:paraId="1894D1B3" w14:textId="633701D5"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2019، 71)</w:t>
            </w:r>
          </w:p>
        </w:tc>
        <w:tc>
          <w:tcPr>
            <w:tcW w:w="3121" w:type="pct"/>
          </w:tcPr>
          <w:p w14:paraId="203D79B9" w14:textId="081F0224" w:rsidR="005C1BD4" w:rsidRPr="00130980" w:rsidRDefault="005C1BD4"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التعامل مع البلاغات بسرية واحترافية.</w:t>
            </w:r>
          </w:p>
        </w:tc>
        <w:tc>
          <w:tcPr>
            <w:tcW w:w="540" w:type="pct"/>
          </w:tcPr>
          <w:p w14:paraId="717382CC" w14:textId="3F86D721"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51</w:t>
            </w:r>
          </w:p>
        </w:tc>
      </w:tr>
      <w:tr w:rsidR="005C1BD4" w:rsidRPr="00130980" w14:paraId="63B1D68D" w14:textId="77777777" w:rsidTr="00C3610C">
        <w:trPr>
          <w:trHeight w:val="20"/>
          <w:tblCellSpacing w:w="20" w:type="dxa"/>
          <w:jc w:val="right"/>
        </w:trPr>
        <w:tc>
          <w:tcPr>
            <w:tcW w:w="1339" w:type="pct"/>
          </w:tcPr>
          <w:p w14:paraId="4AAE45F3" w14:textId="76D3DF9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 2021، 84)</w:t>
            </w:r>
          </w:p>
        </w:tc>
        <w:tc>
          <w:tcPr>
            <w:tcW w:w="3121" w:type="pct"/>
          </w:tcPr>
          <w:p w14:paraId="1ABE55B8" w14:textId="745E39C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تحليل البلاغات واستخدامها لتحسين جودة الرعاية.</w:t>
            </w:r>
          </w:p>
        </w:tc>
        <w:tc>
          <w:tcPr>
            <w:tcW w:w="540" w:type="pct"/>
          </w:tcPr>
          <w:p w14:paraId="12EB308A" w14:textId="6C59396F"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52</w:t>
            </w:r>
          </w:p>
        </w:tc>
      </w:tr>
      <w:tr w:rsidR="005C1BD4" w:rsidRPr="00130980" w14:paraId="0AC09A23" w14:textId="15B89E16" w:rsidTr="00C3610C">
        <w:trPr>
          <w:trHeight w:val="20"/>
          <w:tblCellSpacing w:w="20" w:type="dxa"/>
          <w:jc w:val="right"/>
        </w:trPr>
        <w:tc>
          <w:tcPr>
            <w:tcW w:w="5000" w:type="pct"/>
            <w:gridSpan w:val="3"/>
          </w:tcPr>
          <w:p w14:paraId="66956265" w14:textId="00BF7354" w:rsidR="005C1BD4" w:rsidRPr="00130980" w:rsidRDefault="005C1BD4"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ثالثًا: إشراك المرضى</w:t>
            </w:r>
          </w:p>
        </w:tc>
      </w:tr>
      <w:tr w:rsidR="000C4D41" w:rsidRPr="00130980" w14:paraId="1836C4BA" w14:textId="0BECA392" w:rsidTr="00C3610C">
        <w:trPr>
          <w:trHeight w:val="20"/>
          <w:tblCellSpacing w:w="20" w:type="dxa"/>
          <w:jc w:val="right"/>
        </w:trPr>
        <w:tc>
          <w:tcPr>
            <w:tcW w:w="1339" w:type="pct"/>
          </w:tcPr>
          <w:p w14:paraId="51F3805E" w14:textId="3AC0622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Pr>
              <w:t xml:space="preserve">) </w:t>
            </w:r>
            <w:r w:rsidRPr="00130980">
              <w:rPr>
                <w:rFonts w:ascii="Traditional Arabic" w:hAnsi="Traditional Arabic" w:cs="Traditional Arabic" w:hint="cs"/>
                <w:b/>
                <w:bCs/>
                <w:sz w:val="20"/>
                <w:szCs w:val="20"/>
                <w:rtl/>
                <w:lang w:bidi="ar-EG"/>
              </w:rPr>
              <w:t xml:space="preserve"> الحطيب ، 2018، 64)</w:t>
            </w:r>
          </w:p>
        </w:tc>
        <w:tc>
          <w:tcPr>
            <w:tcW w:w="3121" w:type="pct"/>
          </w:tcPr>
          <w:p w14:paraId="72DCB5C9" w14:textId="597CC94C"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lang w:bidi="ar-EG"/>
              </w:rPr>
            </w:pPr>
            <w:r w:rsidRPr="00130980">
              <w:rPr>
                <w:rFonts w:ascii="Traditional Arabic" w:hAnsi="Traditional Arabic" w:cs="Traditional Arabic" w:hint="cs"/>
                <w:b/>
                <w:bCs/>
                <w:sz w:val="20"/>
                <w:szCs w:val="20"/>
                <w:rtl/>
              </w:rPr>
              <w:t>يتم إشراك المرضى في اتخاذ القرارات المتعلقة بعلاجهم.</w:t>
            </w:r>
          </w:p>
        </w:tc>
        <w:tc>
          <w:tcPr>
            <w:tcW w:w="540" w:type="pct"/>
          </w:tcPr>
          <w:p w14:paraId="104BDA94" w14:textId="75597871"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53</w:t>
            </w:r>
          </w:p>
        </w:tc>
      </w:tr>
      <w:tr w:rsidR="000C4D41" w:rsidRPr="00130980" w14:paraId="5BEC5250" w14:textId="77777777" w:rsidTr="00C3610C">
        <w:trPr>
          <w:trHeight w:val="20"/>
          <w:tblCellSpacing w:w="20" w:type="dxa"/>
          <w:jc w:val="right"/>
        </w:trPr>
        <w:tc>
          <w:tcPr>
            <w:tcW w:w="1339" w:type="pct"/>
          </w:tcPr>
          <w:p w14:paraId="00E0B686" w14:textId="4DCAE11D"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lastRenderedPageBreak/>
              <w:t>( الانصاري، 2019، 52)</w:t>
            </w:r>
          </w:p>
        </w:tc>
        <w:tc>
          <w:tcPr>
            <w:tcW w:w="3121" w:type="pct"/>
          </w:tcPr>
          <w:p w14:paraId="47C6D3F3" w14:textId="1A63747C"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توعية المرضى بحقوقهم وواجباتهم داخل المنشأة.</w:t>
            </w:r>
          </w:p>
        </w:tc>
        <w:tc>
          <w:tcPr>
            <w:tcW w:w="540" w:type="pct"/>
          </w:tcPr>
          <w:p w14:paraId="31BDDDA2" w14:textId="1EBDA092"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54</w:t>
            </w:r>
          </w:p>
        </w:tc>
      </w:tr>
      <w:tr w:rsidR="000C4D41" w:rsidRPr="00130980" w14:paraId="5D765413" w14:textId="77777777" w:rsidTr="00C3610C">
        <w:trPr>
          <w:trHeight w:val="20"/>
          <w:tblCellSpacing w:w="20" w:type="dxa"/>
          <w:jc w:val="right"/>
        </w:trPr>
        <w:tc>
          <w:tcPr>
            <w:tcW w:w="1339" w:type="pct"/>
          </w:tcPr>
          <w:p w14:paraId="141EA553" w14:textId="3B8735A2"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 2020، 78)</w:t>
            </w:r>
          </w:p>
        </w:tc>
        <w:tc>
          <w:tcPr>
            <w:tcW w:w="3121" w:type="pct"/>
          </w:tcPr>
          <w:p w14:paraId="76B927F5" w14:textId="0063142E"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تشجيع المرضى على الإبلاغ عن أي خلل في الرعاية المقدمة.</w:t>
            </w:r>
          </w:p>
        </w:tc>
        <w:tc>
          <w:tcPr>
            <w:tcW w:w="540" w:type="pct"/>
          </w:tcPr>
          <w:p w14:paraId="383ED4CB" w14:textId="1C8B080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55</w:t>
            </w:r>
          </w:p>
        </w:tc>
      </w:tr>
      <w:tr w:rsidR="000C4D41" w:rsidRPr="00130980" w14:paraId="333783D2" w14:textId="77777777" w:rsidTr="00C3610C">
        <w:trPr>
          <w:trHeight w:val="20"/>
          <w:tblCellSpacing w:w="20" w:type="dxa"/>
          <w:jc w:val="right"/>
        </w:trPr>
        <w:tc>
          <w:tcPr>
            <w:tcW w:w="1339" w:type="pct"/>
          </w:tcPr>
          <w:p w14:paraId="1F843F10" w14:textId="2AB10FEE"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الحسن، 2021، 91)</w:t>
            </w:r>
          </w:p>
        </w:tc>
        <w:tc>
          <w:tcPr>
            <w:tcW w:w="3121" w:type="pct"/>
          </w:tcPr>
          <w:p w14:paraId="2F73FA57" w14:textId="5EDAC59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أخذ ملاحظات المرضى بعين الاعتبار لتحسين الخدمة.</w:t>
            </w:r>
          </w:p>
        </w:tc>
        <w:tc>
          <w:tcPr>
            <w:tcW w:w="540" w:type="pct"/>
          </w:tcPr>
          <w:p w14:paraId="0F57B7EC" w14:textId="05A813EA"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56</w:t>
            </w:r>
          </w:p>
        </w:tc>
      </w:tr>
      <w:tr w:rsidR="000C4D41" w:rsidRPr="00130980" w14:paraId="4929FDD1" w14:textId="490D1EA1" w:rsidTr="00C3610C">
        <w:trPr>
          <w:trHeight w:val="20"/>
          <w:tblCellSpacing w:w="20" w:type="dxa"/>
          <w:jc w:val="right"/>
        </w:trPr>
        <w:tc>
          <w:tcPr>
            <w:tcW w:w="5000" w:type="pct"/>
            <w:gridSpan w:val="3"/>
          </w:tcPr>
          <w:p w14:paraId="175CEF8A" w14:textId="5BD58DE6"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رابعًا: بيئة العمل الآمنة</w:t>
            </w:r>
          </w:p>
        </w:tc>
      </w:tr>
      <w:tr w:rsidR="000C4D41" w:rsidRPr="00130980" w14:paraId="30238071" w14:textId="635E4DEF" w:rsidTr="00C3610C">
        <w:trPr>
          <w:trHeight w:val="20"/>
          <w:tblCellSpacing w:w="20" w:type="dxa"/>
          <w:jc w:val="right"/>
        </w:trPr>
        <w:tc>
          <w:tcPr>
            <w:tcW w:w="1339" w:type="pct"/>
          </w:tcPr>
          <w:p w14:paraId="4A79A7E0" w14:textId="6DF16E76"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الأنصاري، 2019، 48)</w:t>
            </w:r>
          </w:p>
        </w:tc>
        <w:tc>
          <w:tcPr>
            <w:tcW w:w="3121" w:type="pct"/>
          </w:tcPr>
          <w:p w14:paraId="75F41701" w14:textId="764880E6"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توفير بيئة عمل آمنة للعاملين والمرضى على حد سواء.</w:t>
            </w:r>
          </w:p>
        </w:tc>
        <w:tc>
          <w:tcPr>
            <w:tcW w:w="540" w:type="pct"/>
          </w:tcPr>
          <w:p w14:paraId="33E0AAA2" w14:textId="089BB59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57</w:t>
            </w:r>
          </w:p>
        </w:tc>
      </w:tr>
      <w:tr w:rsidR="000C4D41" w:rsidRPr="00130980" w14:paraId="1A2DA530" w14:textId="77777777" w:rsidTr="00C3610C">
        <w:trPr>
          <w:trHeight w:val="20"/>
          <w:tblCellSpacing w:w="20" w:type="dxa"/>
          <w:jc w:val="right"/>
        </w:trPr>
        <w:tc>
          <w:tcPr>
            <w:tcW w:w="1339" w:type="pct"/>
          </w:tcPr>
          <w:p w14:paraId="357411EA" w14:textId="5965972A"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الحربي، 2020، 66)</w:t>
            </w:r>
          </w:p>
        </w:tc>
        <w:tc>
          <w:tcPr>
            <w:tcW w:w="3121" w:type="pct"/>
          </w:tcPr>
          <w:p w14:paraId="40E00B8F" w14:textId="540D4E85"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تطبيق معايير السلامة المهنية داخل المنشأة.</w:t>
            </w:r>
          </w:p>
        </w:tc>
        <w:tc>
          <w:tcPr>
            <w:tcW w:w="540" w:type="pct"/>
          </w:tcPr>
          <w:p w14:paraId="6E2846B6" w14:textId="623B8209"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58</w:t>
            </w:r>
          </w:p>
        </w:tc>
      </w:tr>
      <w:tr w:rsidR="000C4D41" w:rsidRPr="00130980" w14:paraId="0ED3E350" w14:textId="77777777" w:rsidTr="00C3610C">
        <w:trPr>
          <w:trHeight w:val="20"/>
          <w:tblCellSpacing w:w="20" w:type="dxa"/>
          <w:jc w:val="right"/>
        </w:trPr>
        <w:tc>
          <w:tcPr>
            <w:tcW w:w="1339" w:type="pct"/>
          </w:tcPr>
          <w:p w14:paraId="6426D9A8" w14:textId="3658EB0F"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2021، 73)</w:t>
            </w:r>
          </w:p>
        </w:tc>
        <w:tc>
          <w:tcPr>
            <w:tcW w:w="3121" w:type="pct"/>
          </w:tcPr>
          <w:p w14:paraId="4178FD37" w14:textId="350C9F39" w:rsidR="000C4D41" w:rsidRPr="00130980" w:rsidRDefault="000C4D41" w:rsidP="00962AD0">
            <w:pPr>
              <w:bidi/>
              <w:spacing w:after="200" w:line="276" w:lineRule="auto"/>
              <w:jc w:val="center"/>
              <w:rPr>
                <w:rFonts w:ascii="Traditional Arabic" w:hAnsi="Traditional Arabic" w:cs="Traditional Arabic"/>
                <w:b/>
                <w:bCs/>
                <w:color w:val="000000" w:themeColor="text1"/>
                <w:sz w:val="20"/>
                <w:szCs w:val="20"/>
                <w:rtl/>
              </w:rPr>
            </w:pPr>
            <w:r w:rsidRPr="00130980">
              <w:rPr>
                <w:rFonts w:ascii="Traditional Arabic" w:hAnsi="Traditional Arabic" w:cs="Traditional Arabic" w:hint="cs"/>
                <w:b/>
                <w:bCs/>
                <w:sz w:val="20"/>
                <w:szCs w:val="20"/>
                <w:rtl/>
              </w:rPr>
              <w:t>يتم صيانة الأجهزة الطبية بشكل دوري لضمان سلامتها.</w:t>
            </w:r>
          </w:p>
        </w:tc>
        <w:tc>
          <w:tcPr>
            <w:tcW w:w="540" w:type="pct"/>
          </w:tcPr>
          <w:p w14:paraId="5996F222" w14:textId="1AD1A213"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59</w:t>
            </w:r>
          </w:p>
        </w:tc>
      </w:tr>
      <w:tr w:rsidR="000C4D41" w:rsidRPr="00130980" w14:paraId="2532B5C2" w14:textId="77777777" w:rsidTr="00C3610C">
        <w:trPr>
          <w:trHeight w:val="20"/>
          <w:tblCellSpacing w:w="20" w:type="dxa"/>
          <w:jc w:val="right"/>
        </w:trPr>
        <w:tc>
          <w:tcPr>
            <w:tcW w:w="1339" w:type="pct"/>
          </w:tcPr>
          <w:p w14:paraId="71C4292F" w14:textId="07C73801"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59)</w:t>
            </w:r>
          </w:p>
        </w:tc>
        <w:tc>
          <w:tcPr>
            <w:tcW w:w="3121" w:type="pct"/>
          </w:tcPr>
          <w:p w14:paraId="0D6CE7F7" w14:textId="25344D99"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تقليل عوامل الإجهاد والتوتر في بيئة العمل.</w:t>
            </w:r>
          </w:p>
        </w:tc>
        <w:tc>
          <w:tcPr>
            <w:tcW w:w="540" w:type="pct"/>
          </w:tcPr>
          <w:p w14:paraId="260B93D2" w14:textId="740E171E"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60</w:t>
            </w:r>
          </w:p>
        </w:tc>
      </w:tr>
      <w:tr w:rsidR="000C4D41" w:rsidRPr="00130980" w14:paraId="5AE06881" w14:textId="4CFED667" w:rsidTr="00C3610C">
        <w:trPr>
          <w:trHeight w:val="20"/>
          <w:tblCellSpacing w:w="20" w:type="dxa"/>
          <w:jc w:val="right"/>
        </w:trPr>
        <w:tc>
          <w:tcPr>
            <w:tcW w:w="5000" w:type="pct"/>
            <w:gridSpan w:val="3"/>
          </w:tcPr>
          <w:p w14:paraId="6774072E" w14:textId="1026E4F8" w:rsidR="000C4D41" w:rsidRPr="00130980" w:rsidRDefault="000C4D41"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خامسًا: جودة الرعاية السريرية</w:t>
            </w:r>
          </w:p>
        </w:tc>
      </w:tr>
      <w:tr w:rsidR="00433BAD" w:rsidRPr="00130980" w14:paraId="7F7D8E54" w14:textId="694460C7" w:rsidTr="00C3610C">
        <w:trPr>
          <w:trHeight w:val="20"/>
          <w:tblCellSpacing w:w="20" w:type="dxa"/>
          <w:jc w:val="right"/>
        </w:trPr>
        <w:tc>
          <w:tcPr>
            <w:tcW w:w="1339" w:type="pct"/>
          </w:tcPr>
          <w:p w14:paraId="694A7E40" w14:textId="79D4AC51"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(الأنصاري، 2019، 74)</w:t>
            </w:r>
          </w:p>
        </w:tc>
        <w:tc>
          <w:tcPr>
            <w:tcW w:w="3121" w:type="pct"/>
          </w:tcPr>
          <w:p w14:paraId="26289F8C" w14:textId="6E7783AD"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تقديم الرعاية السريرية وفقًا لأحدث البروتوكولات الطبية</w:t>
            </w:r>
            <w:r w:rsidR="006A285D" w:rsidRPr="00130980">
              <w:rPr>
                <w:rFonts w:ascii="Traditional Arabic" w:hAnsi="Traditional Arabic" w:cs="Traditional Arabic" w:hint="cs"/>
                <w:b/>
                <w:bCs/>
                <w:sz w:val="20"/>
                <w:szCs w:val="20"/>
                <w:rtl/>
              </w:rPr>
              <w:t>.</w:t>
            </w:r>
          </w:p>
        </w:tc>
        <w:tc>
          <w:tcPr>
            <w:tcW w:w="540" w:type="pct"/>
          </w:tcPr>
          <w:p w14:paraId="7F418FCD" w14:textId="167F9C68"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61</w:t>
            </w:r>
          </w:p>
        </w:tc>
      </w:tr>
      <w:tr w:rsidR="00433BAD" w:rsidRPr="00130980" w14:paraId="07DD0B9D" w14:textId="77777777" w:rsidTr="00C3610C">
        <w:trPr>
          <w:trHeight w:val="20"/>
          <w:tblCellSpacing w:w="20" w:type="dxa"/>
          <w:jc w:val="right"/>
        </w:trPr>
        <w:tc>
          <w:tcPr>
            <w:tcW w:w="1339" w:type="pct"/>
          </w:tcPr>
          <w:p w14:paraId="4A22E792" w14:textId="5E3E7616"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الحسن، 221، 88)</w:t>
            </w:r>
          </w:p>
        </w:tc>
        <w:tc>
          <w:tcPr>
            <w:tcW w:w="3121" w:type="pct"/>
          </w:tcPr>
          <w:p w14:paraId="381AA475" w14:textId="765BBC89"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تقييم جودة الرعاية السريرية بشكل دوري.</w:t>
            </w:r>
          </w:p>
        </w:tc>
        <w:tc>
          <w:tcPr>
            <w:tcW w:w="540" w:type="pct"/>
          </w:tcPr>
          <w:p w14:paraId="7123DCDD" w14:textId="6BCD13EE"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62</w:t>
            </w:r>
          </w:p>
        </w:tc>
      </w:tr>
      <w:tr w:rsidR="00433BAD" w:rsidRPr="00130980" w14:paraId="2B2768C4" w14:textId="77777777" w:rsidTr="00C3610C">
        <w:trPr>
          <w:trHeight w:val="20"/>
          <w:tblCellSpacing w:w="20" w:type="dxa"/>
          <w:jc w:val="right"/>
        </w:trPr>
        <w:tc>
          <w:tcPr>
            <w:tcW w:w="1339" w:type="pct"/>
          </w:tcPr>
          <w:p w14:paraId="46134D4B" w14:textId="34847908"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الخطيب، 2018، 63)</w:t>
            </w:r>
          </w:p>
        </w:tc>
        <w:tc>
          <w:tcPr>
            <w:tcW w:w="3121" w:type="pct"/>
          </w:tcPr>
          <w:p w14:paraId="6D89061E" w14:textId="2895C0A5"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تدريب العاملين على المهارات السريرية الحديثة.</w:t>
            </w:r>
          </w:p>
        </w:tc>
        <w:tc>
          <w:tcPr>
            <w:tcW w:w="540" w:type="pct"/>
          </w:tcPr>
          <w:p w14:paraId="3CBC9EDD" w14:textId="6B912A4B"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63</w:t>
            </w:r>
          </w:p>
        </w:tc>
      </w:tr>
      <w:tr w:rsidR="00433BAD" w:rsidRPr="00130980" w14:paraId="338E7D39" w14:textId="77777777" w:rsidTr="00C3610C">
        <w:trPr>
          <w:trHeight w:val="20"/>
          <w:tblCellSpacing w:w="20" w:type="dxa"/>
          <w:jc w:val="right"/>
        </w:trPr>
        <w:tc>
          <w:tcPr>
            <w:tcW w:w="1339" w:type="pct"/>
          </w:tcPr>
          <w:p w14:paraId="21EAF0EF" w14:textId="119CA15A"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 الطويل، 2020، 79)</w:t>
            </w:r>
          </w:p>
        </w:tc>
        <w:tc>
          <w:tcPr>
            <w:tcW w:w="3121" w:type="pct"/>
          </w:tcPr>
          <w:p w14:paraId="4D29D079" w14:textId="721F475B" w:rsidR="00433BAD" w:rsidRPr="00130980" w:rsidRDefault="006A285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يتم متابعة نتائج العلاج لضمان فعاليته وسلامة المرضى.</w:t>
            </w:r>
          </w:p>
        </w:tc>
        <w:tc>
          <w:tcPr>
            <w:tcW w:w="540" w:type="pct"/>
          </w:tcPr>
          <w:p w14:paraId="582F8F04" w14:textId="035ACC14" w:rsidR="00433BAD" w:rsidRPr="00130980" w:rsidRDefault="00433BAD" w:rsidP="00962AD0">
            <w:pPr>
              <w:bidi/>
              <w:spacing w:after="200" w:line="276" w:lineRule="auto"/>
              <w:jc w:val="center"/>
              <w:rPr>
                <w:rFonts w:ascii="Traditional Arabic" w:hAnsi="Traditional Arabic" w:cs="Traditional Arabic"/>
                <w:b/>
                <w:bCs/>
                <w:sz w:val="20"/>
                <w:szCs w:val="20"/>
                <w:rtl/>
              </w:rPr>
            </w:pPr>
            <w:r w:rsidRPr="00130980">
              <w:rPr>
                <w:rFonts w:ascii="Traditional Arabic" w:hAnsi="Traditional Arabic" w:cs="Traditional Arabic" w:hint="cs"/>
                <w:b/>
                <w:bCs/>
                <w:sz w:val="20"/>
                <w:szCs w:val="20"/>
                <w:rtl/>
              </w:rPr>
              <w:t>64</w:t>
            </w:r>
          </w:p>
        </w:tc>
      </w:tr>
    </w:tbl>
    <w:p w14:paraId="14F8E86D" w14:textId="69CD041E" w:rsidR="002E43AD" w:rsidRPr="002A403A" w:rsidRDefault="002E43AD" w:rsidP="002E43AD">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إعداد: الباحثة</w:t>
      </w:r>
    </w:p>
    <w:p w14:paraId="1D878A6A" w14:textId="15D484D7" w:rsidR="002C0813" w:rsidRPr="002A403A" w:rsidRDefault="002C0813" w:rsidP="002E43AD">
      <w:pPr>
        <w:bidi/>
        <w:spacing w:after="200" w:line="276" w:lineRule="auto"/>
        <w:rPr>
          <w:rFonts w:ascii="Traditional Arabic" w:hAnsi="Traditional Arabic" w:cs="Traditional Arabic"/>
          <w:b/>
          <w:bCs/>
          <w:color w:val="000000" w:themeColor="text1"/>
          <w:sz w:val="28"/>
          <w:szCs w:val="28"/>
        </w:rPr>
      </w:pPr>
      <w:r w:rsidRPr="002A403A">
        <w:rPr>
          <w:rFonts w:ascii="Traditional Arabic" w:hAnsi="Traditional Arabic" w:cs="Traditional Arabic" w:hint="cs"/>
          <w:b/>
          <w:bCs/>
          <w:color w:val="000000" w:themeColor="text1"/>
          <w:sz w:val="28"/>
          <w:szCs w:val="28"/>
          <w:rtl/>
        </w:rPr>
        <w:t>الأساليب الإحصائية :</w:t>
      </w:r>
    </w:p>
    <w:p w14:paraId="3FE23688" w14:textId="77777777" w:rsidR="009F09CE" w:rsidRPr="009F09CE" w:rsidRDefault="009F09CE" w:rsidP="003D0735">
      <w:pPr>
        <w:bidi/>
        <w:spacing w:after="200" w:line="360" w:lineRule="auto"/>
        <w:rPr>
          <w:rFonts w:ascii="Traditional Arabic" w:hAnsi="Traditional Arabic" w:cs="Traditional Arabic"/>
          <w:color w:val="000000" w:themeColor="text1"/>
          <w:sz w:val="24"/>
          <w:szCs w:val="24"/>
        </w:rPr>
      </w:pPr>
      <w:r w:rsidRPr="009F09CE">
        <w:rPr>
          <w:rFonts w:ascii="Traditional Arabic" w:hAnsi="Traditional Arabic" w:cs="Traditional Arabic"/>
          <w:b/>
          <w:bCs/>
          <w:color w:val="000000" w:themeColor="text1"/>
          <w:sz w:val="24"/>
          <w:szCs w:val="24"/>
          <w:rtl/>
        </w:rPr>
        <w:t>أولاً: أساليب التحقق من جودة أداة الدراسة (الصدق والثبات)</w:t>
      </w:r>
      <w:r w:rsidRPr="009F09CE">
        <w:rPr>
          <w:rFonts w:ascii="Traditional Arabic" w:hAnsi="Traditional Arabic" w:cs="Traditional Arabic"/>
          <w:b/>
          <w:bCs/>
          <w:color w:val="000000" w:themeColor="text1"/>
          <w:sz w:val="24"/>
          <w:szCs w:val="24"/>
        </w:rPr>
        <w:t>:</w:t>
      </w:r>
    </w:p>
    <w:p w14:paraId="6452D80B" w14:textId="77777777" w:rsidR="009F09CE" w:rsidRPr="009F09CE" w:rsidRDefault="009F09CE">
      <w:pPr>
        <w:numPr>
          <w:ilvl w:val="0"/>
          <w:numId w:val="49"/>
        </w:numPr>
        <w:bidi/>
        <w:spacing w:after="200" w:line="360" w:lineRule="auto"/>
        <w:rPr>
          <w:rFonts w:ascii="Traditional Arabic" w:hAnsi="Traditional Arabic" w:cs="Traditional Arabic"/>
          <w:color w:val="000000" w:themeColor="text1"/>
          <w:sz w:val="24"/>
          <w:szCs w:val="24"/>
        </w:rPr>
      </w:pPr>
      <w:r w:rsidRPr="009F09CE">
        <w:rPr>
          <w:rFonts w:ascii="Traditional Arabic" w:hAnsi="Traditional Arabic" w:cs="Traditional Arabic"/>
          <w:color w:val="000000" w:themeColor="text1"/>
          <w:sz w:val="24"/>
          <w:szCs w:val="24"/>
          <w:rtl/>
        </w:rPr>
        <w:t>معامل ألفا كرونباخ</w:t>
      </w:r>
      <w:r w:rsidRPr="009F09CE">
        <w:rPr>
          <w:rFonts w:ascii="Traditional Arabic" w:hAnsi="Traditional Arabic" w:cs="Traditional Arabic"/>
          <w:color w:val="000000" w:themeColor="text1"/>
          <w:sz w:val="24"/>
          <w:szCs w:val="24"/>
        </w:rPr>
        <w:t xml:space="preserve"> (Cronbach’s Alpha): </w:t>
      </w:r>
      <w:r w:rsidRPr="009F09CE">
        <w:rPr>
          <w:rFonts w:ascii="Traditional Arabic" w:hAnsi="Traditional Arabic" w:cs="Traditional Arabic"/>
          <w:color w:val="000000" w:themeColor="text1"/>
          <w:sz w:val="24"/>
          <w:szCs w:val="24"/>
          <w:rtl/>
        </w:rPr>
        <w:t>للتحقق من ثبات أداة الدراسة وتقييم مدى الاتساق الداخلي للعبارات</w:t>
      </w:r>
      <w:r w:rsidRPr="009F09CE">
        <w:rPr>
          <w:rFonts w:ascii="Traditional Arabic" w:hAnsi="Traditional Arabic" w:cs="Traditional Arabic"/>
          <w:color w:val="000000" w:themeColor="text1"/>
          <w:sz w:val="24"/>
          <w:szCs w:val="24"/>
        </w:rPr>
        <w:t>.</w:t>
      </w:r>
    </w:p>
    <w:p w14:paraId="593719A0" w14:textId="3EB1F7F1" w:rsidR="009F09CE" w:rsidRPr="009F09CE" w:rsidRDefault="009F09CE">
      <w:pPr>
        <w:numPr>
          <w:ilvl w:val="0"/>
          <w:numId w:val="49"/>
        </w:numPr>
        <w:bidi/>
        <w:spacing w:after="200" w:line="360" w:lineRule="auto"/>
        <w:rPr>
          <w:rFonts w:ascii="Traditional Arabic" w:hAnsi="Traditional Arabic" w:cs="Traditional Arabic"/>
          <w:color w:val="000000" w:themeColor="text1"/>
          <w:sz w:val="24"/>
          <w:szCs w:val="24"/>
        </w:rPr>
      </w:pPr>
      <w:r w:rsidRPr="009F09CE">
        <w:rPr>
          <w:rFonts w:ascii="Traditional Arabic" w:hAnsi="Traditional Arabic" w:cs="Traditional Arabic"/>
          <w:color w:val="000000" w:themeColor="text1"/>
          <w:sz w:val="24"/>
          <w:szCs w:val="24"/>
          <w:rtl/>
        </w:rPr>
        <w:t>معامل ارتباط بيرسون</w:t>
      </w:r>
      <w:r w:rsidRPr="009F09CE">
        <w:rPr>
          <w:rFonts w:ascii="Traditional Arabic" w:hAnsi="Traditional Arabic" w:cs="Traditional Arabic"/>
          <w:color w:val="000000" w:themeColor="text1"/>
          <w:sz w:val="24"/>
          <w:szCs w:val="24"/>
        </w:rPr>
        <w:t xml:space="preserve"> (Pearson Correlation): </w:t>
      </w:r>
      <w:r w:rsidRPr="009F09CE">
        <w:rPr>
          <w:rFonts w:ascii="Traditional Arabic" w:hAnsi="Traditional Arabic" w:cs="Traditional Arabic"/>
          <w:color w:val="000000" w:themeColor="text1"/>
          <w:sz w:val="24"/>
          <w:szCs w:val="24"/>
          <w:rtl/>
        </w:rPr>
        <w:t>لقياس الصدق الداخلي للأداة من خلال حساب قوة واتجاه علاقة العبارات بالدرجة الكلية للمحور التابعة له</w:t>
      </w:r>
      <w:r w:rsidRPr="009F09CE">
        <w:rPr>
          <w:rFonts w:ascii="Traditional Arabic" w:hAnsi="Traditional Arabic" w:cs="Traditional Arabic"/>
          <w:color w:val="000000" w:themeColor="text1"/>
          <w:sz w:val="24"/>
          <w:szCs w:val="24"/>
        </w:rPr>
        <w:t xml:space="preserve">. </w:t>
      </w:r>
    </w:p>
    <w:p w14:paraId="31DF0417" w14:textId="3841174E" w:rsidR="009F09CE" w:rsidRPr="003D0735" w:rsidRDefault="009F09CE" w:rsidP="003D0735">
      <w:pPr>
        <w:bidi/>
        <w:spacing w:after="200" w:line="360" w:lineRule="auto"/>
        <w:ind w:left="360"/>
        <w:rPr>
          <w:rFonts w:ascii="Traditional Arabic" w:hAnsi="Traditional Arabic" w:cs="Traditional Arabic"/>
          <w:color w:val="000000" w:themeColor="text1"/>
          <w:sz w:val="24"/>
          <w:szCs w:val="24"/>
        </w:rPr>
      </w:pPr>
      <w:r w:rsidRPr="003D0735">
        <w:rPr>
          <w:rFonts w:ascii="Traditional Arabic" w:hAnsi="Traditional Arabic" w:cs="Traditional Arabic"/>
          <w:b/>
          <w:bCs/>
          <w:color w:val="000000" w:themeColor="text1"/>
          <w:sz w:val="24"/>
          <w:szCs w:val="24"/>
          <w:rtl/>
        </w:rPr>
        <w:t>ثانياً: أساليب الإحصاء الاستدلالي واختبار الفرضيات</w:t>
      </w:r>
      <w:r w:rsidRPr="003D0735">
        <w:rPr>
          <w:rFonts w:ascii="Traditional Arabic" w:hAnsi="Traditional Arabic" w:cs="Traditional Arabic"/>
          <w:b/>
          <w:bCs/>
          <w:color w:val="000000" w:themeColor="text1"/>
          <w:sz w:val="24"/>
          <w:szCs w:val="24"/>
        </w:rPr>
        <w:t>:</w:t>
      </w:r>
      <w:r w:rsidRPr="003D0735">
        <w:rPr>
          <w:rFonts w:ascii="Traditional Arabic" w:hAnsi="Traditional Arabic" w:cs="Traditional Arabic"/>
          <w:b/>
          <w:bCs/>
          <w:color w:val="000000" w:themeColor="text1"/>
          <w:sz w:val="24"/>
          <w:szCs w:val="24"/>
        </w:rPr>
        <w:br/>
      </w:r>
      <w:r w:rsidRPr="003D0735">
        <w:rPr>
          <w:rFonts w:ascii="Traditional Arabic" w:hAnsi="Traditional Arabic" w:cs="Traditional Arabic" w:hint="cs"/>
          <w:color w:val="000000" w:themeColor="text1"/>
          <w:sz w:val="24"/>
          <w:szCs w:val="24"/>
          <w:rtl/>
        </w:rPr>
        <w:t xml:space="preserve">  </w:t>
      </w:r>
      <w:r w:rsidR="003D0735" w:rsidRPr="003D0735">
        <w:rPr>
          <w:rFonts w:ascii="Traditional Arabic" w:hAnsi="Traditional Arabic" w:cs="Traditional Arabic" w:hint="cs"/>
          <w:color w:val="000000" w:themeColor="text1"/>
          <w:sz w:val="24"/>
          <w:szCs w:val="24"/>
          <w:rtl/>
        </w:rPr>
        <w:t xml:space="preserve">3. </w:t>
      </w:r>
      <w:r w:rsidRPr="003D0735">
        <w:rPr>
          <w:rFonts w:ascii="Traditional Arabic" w:hAnsi="Traditional Arabic" w:cs="Traditional Arabic"/>
          <w:color w:val="000000" w:themeColor="text1"/>
          <w:sz w:val="24"/>
          <w:szCs w:val="24"/>
          <w:rtl/>
        </w:rPr>
        <w:t>حليل الانحدار الخطي البسيط</w:t>
      </w:r>
      <w:r w:rsidRPr="003D0735">
        <w:rPr>
          <w:rFonts w:ascii="Traditional Arabic" w:hAnsi="Traditional Arabic" w:cs="Traditional Arabic"/>
          <w:color w:val="000000" w:themeColor="text1"/>
          <w:sz w:val="24"/>
          <w:szCs w:val="24"/>
        </w:rPr>
        <w:t xml:space="preserve"> (Simple Linear Regression): </w:t>
      </w:r>
      <w:r w:rsidRPr="003D0735">
        <w:rPr>
          <w:rFonts w:ascii="Traditional Arabic" w:hAnsi="Traditional Arabic" w:cs="Traditional Arabic"/>
          <w:color w:val="000000" w:themeColor="text1"/>
          <w:sz w:val="24"/>
          <w:szCs w:val="24"/>
          <w:rtl/>
        </w:rPr>
        <w:t>لتحليل واختبار أثر المتغير المستقل (إدارة المخاطر) على المتغير التابع (سلامة المرضى)، وأثره على المتغير الوسيط (القيادة التحويلية) للفرضيات الأولى والثانية والثالثة</w:t>
      </w:r>
      <w:r w:rsidRPr="003D0735">
        <w:rPr>
          <w:rFonts w:ascii="Traditional Arabic" w:hAnsi="Traditional Arabic" w:cs="Traditional Arabic"/>
          <w:color w:val="000000" w:themeColor="text1"/>
          <w:sz w:val="24"/>
          <w:szCs w:val="24"/>
        </w:rPr>
        <w:t>.</w:t>
      </w:r>
      <w:r w:rsidRPr="003D0735">
        <w:rPr>
          <w:rFonts w:ascii="Traditional Arabic" w:hAnsi="Traditional Arabic" w:cs="Traditional Arabic"/>
          <w:color w:val="000000" w:themeColor="text1"/>
          <w:sz w:val="24"/>
          <w:szCs w:val="24"/>
        </w:rPr>
        <w:br/>
      </w:r>
      <w:r w:rsidR="003D0735" w:rsidRPr="003D0735">
        <w:rPr>
          <w:rFonts w:ascii="Traditional Arabic" w:hAnsi="Traditional Arabic" w:cs="Traditional Arabic" w:hint="cs"/>
          <w:color w:val="000000" w:themeColor="text1"/>
          <w:sz w:val="24"/>
          <w:szCs w:val="24"/>
          <w:rtl/>
        </w:rPr>
        <w:lastRenderedPageBreak/>
        <w:t xml:space="preserve">4. </w:t>
      </w:r>
      <w:r w:rsidRPr="003D0735">
        <w:rPr>
          <w:rFonts w:ascii="Traditional Arabic" w:hAnsi="Traditional Arabic" w:cs="Traditional Arabic"/>
          <w:color w:val="000000" w:themeColor="text1"/>
          <w:sz w:val="24"/>
          <w:szCs w:val="24"/>
          <w:rtl/>
        </w:rPr>
        <w:t>نمذجة المعادلات الهيكلية</w:t>
      </w:r>
      <w:r w:rsidRPr="003D0735">
        <w:rPr>
          <w:rFonts w:ascii="Traditional Arabic" w:hAnsi="Traditional Arabic" w:cs="Traditional Arabic"/>
          <w:color w:val="000000" w:themeColor="text1"/>
          <w:sz w:val="24"/>
          <w:szCs w:val="24"/>
        </w:rPr>
        <w:t xml:space="preserve"> (Structural Equation Modeling - SEM): </w:t>
      </w:r>
      <w:r w:rsidRPr="003D0735">
        <w:rPr>
          <w:rFonts w:ascii="Traditional Arabic" w:hAnsi="Traditional Arabic" w:cs="Traditional Arabic"/>
          <w:color w:val="000000" w:themeColor="text1"/>
          <w:sz w:val="24"/>
          <w:szCs w:val="24"/>
          <w:rtl/>
        </w:rPr>
        <w:t xml:space="preserve">عبر برنامج </w:t>
      </w:r>
      <w:r w:rsidRPr="003D0735">
        <w:rPr>
          <w:rFonts w:ascii="Traditional Arabic" w:hAnsi="Traditional Arabic" w:cs="Traditional Arabic"/>
          <w:color w:val="000000" w:themeColor="text1"/>
          <w:sz w:val="24"/>
          <w:szCs w:val="24"/>
        </w:rPr>
        <w:t>AMOS</w:t>
      </w:r>
      <w:r w:rsidRPr="003D0735">
        <w:rPr>
          <w:rFonts w:ascii="Traditional Arabic" w:hAnsi="Traditional Arabic" w:cs="Traditional Arabic"/>
          <w:color w:val="000000" w:themeColor="text1"/>
          <w:sz w:val="24"/>
          <w:szCs w:val="24"/>
          <w:rtl/>
        </w:rPr>
        <w:t>، وتحديداً أسلوب تحليل المسار</w:t>
      </w:r>
      <w:r w:rsidRPr="003D0735">
        <w:rPr>
          <w:rFonts w:ascii="Traditional Arabic" w:hAnsi="Traditional Arabic" w:cs="Traditional Arabic"/>
          <w:color w:val="000000" w:themeColor="text1"/>
          <w:sz w:val="24"/>
          <w:szCs w:val="24"/>
        </w:rPr>
        <w:t xml:space="preserve"> (Path Analysis)</w:t>
      </w:r>
      <w:r w:rsidRPr="003D0735">
        <w:rPr>
          <w:rFonts w:ascii="Traditional Arabic" w:hAnsi="Traditional Arabic" w:cs="Traditional Arabic"/>
          <w:color w:val="000000" w:themeColor="text1"/>
          <w:sz w:val="24"/>
          <w:szCs w:val="24"/>
          <w:rtl/>
        </w:rPr>
        <w:t>؛ لتقييم مؤشرات مطابقة النموذج واختبار دلالة الأثر غير المباشر للقيادة التحويلية كمتغير وسيط (الفرضية الرابعة)</w:t>
      </w:r>
      <w:r w:rsidRPr="003D0735">
        <w:rPr>
          <w:rFonts w:ascii="Traditional Arabic" w:hAnsi="Traditional Arabic" w:cs="Traditional Arabic"/>
          <w:color w:val="000000" w:themeColor="text1"/>
          <w:sz w:val="24"/>
          <w:szCs w:val="24"/>
        </w:rPr>
        <w:t>.</w:t>
      </w:r>
      <w:r w:rsidRPr="003D0735">
        <w:rPr>
          <w:rFonts w:ascii="Traditional Arabic" w:hAnsi="Traditional Arabic" w:cs="Traditional Arabic"/>
          <w:color w:val="000000" w:themeColor="text1"/>
          <w:sz w:val="24"/>
          <w:szCs w:val="24"/>
        </w:rPr>
        <w:br/>
      </w:r>
      <w:r w:rsidR="003D0735">
        <w:rPr>
          <w:rFonts w:ascii="Traditional Arabic" w:hAnsi="Traditional Arabic" w:cs="Traditional Arabic" w:hint="cs"/>
          <w:color w:val="000000" w:themeColor="text1"/>
          <w:sz w:val="24"/>
          <w:szCs w:val="24"/>
          <w:rtl/>
        </w:rPr>
        <w:t xml:space="preserve">5. </w:t>
      </w:r>
      <w:r w:rsidRPr="003D0735">
        <w:rPr>
          <w:rFonts w:ascii="Traditional Arabic" w:hAnsi="Traditional Arabic" w:cs="Traditional Arabic"/>
          <w:color w:val="000000" w:themeColor="text1"/>
          <w:sz w:val="24"/>
          <w:szCs w:val="24"/>
          <w:rtl/>
        </w:rPr>
        <w:t>اختبار ت للمجموعات المستقلة</w:t>
      </w:r>
      <w:r w:rsidRPr="003D0735">
        <w:rPr>
          <w:rFonts w:ascii="Traditional Arabic" w:hAnsi="Traditional Arabic" w:cs="Traditional Arabic"/>
          <w:color w:val="000000" w:themeColor="text1"/>
          <w:sz w:val="24"/>
          <w:szCs w:val="24"/>
        </w:rPr>
        <w:t xml:space="preserve"> (Independent Samples T-test): </w:t>
      </w:r>
      <w:r w:rsidRPr="003D0735">
        <w:rPr>
          <w:rFonts w:ascii="Traditional Arabic" w:hAnsi="Traditional Arabic" w:cs="Traditional Arabic"/>
          <w:color w:val="000000" w:themeColor="text1"/>
          <w:sz w:val="24"/>
          <w:szCs w:val="24"/>
          <w:rtl/>
        </w:rPr>
        <w:t>للكشف عن الفروق الإحصائية في إدراك أفراد العينة التي تعزى لمتغير النوع (ثنائي الفئات) في الفرضية الخامسة</w:t>
      </w:r>
      <w:r w:rsidRPr="003D0735">
        <w:rPr>
          <w:rFonts w:ascii="Traditional Arabic" w:hAnsi="Traditional Arabic" w:cs="Traditional Arabic"/>
          <w:color w:val="000000" w:themeColor="text1"/>
          <w:sz w:val="24"/>
          <w:szCs w:val="24"/>
        </w:rPr>
        <w:t>.</w:t>
      </w:r>
      <w:r w:rsidRPr="003D0735">
        <w:rPr>
          <w:rFonts w:ascii="Traditional Arabic" w:hAnsi="Traditional Arabic" w:cs="Traditional Arabic"/>
          <w:color w:val="000000" w:themeColor="text1"/>
          <w:sz w:val="24"/>
          <w:szCs w:val="24"/>
        </w:rPr>
        <w:br/>
      </w:r>
      <w:r w:rsidR="003D0735">
        <w:rPr>
          <w:rFonts w:ascii="Traditional Arabic" w:hAnsi="Traditional Arabic" w:cs="Traditional Arabic" w:hint="cs"/>
          <w:color w:val="000000" w:themeColor="text1"/>
          <w:sz w:val="24"/>
          <w:szCs w:val="24"/>
          <w:rtl/>
        </w:rPr>
        <w:t xml:space="preserve">6. </w:t>
      </w:r>
      <w:r w:rsidRPr="003D0735">
        <w:rPr>
          <w:rFonts w:ascii="Traditional Arabic" w:hAnsi="Traditional Arabic" w:cs="Traditional Arabic"/>
          <w:color w:val="000000" w:themeColor="text1"/>
          <w:sz w:val="24"/>
          <w:szCs w:val="24"/>
          <w:rtl/>
        </w:rPr>
        <w:t>تحليل التباين الأحادي</w:t>
      </w:r>
      <w:r w:rsidRPr="003D0735">
        <w:rPr>
          <w:rFonts w:ascii="Traditional Arabic" w:hAnsi="Traditional Arabic" w:cs="Traditional Arabic"/>
          <w:color w:val="000000" w:themeColor="text1"/>
          <w:sz w:val="24"/>
          <w:szCs w:val="24"/>
        </w:rPr>
        <w:t xml:space="preserve"> (One-Way ANOVA): </w:t>
      </w:r>
      <w:r w:rsidRPr="003D0735">
        <w:rPr>
          <w:rFonts w:ascii="Traditional Arabic" w:hAnsi="Traditional Arabic" w:cs="Traditional Arabic"/>
          <w:color w:val="000000" w:themeColor="text1"/>
          <w:sz w:val="24"/>
          <w:szCs w:val="24"/>
          <w:rtl/>
        </w:rPr>
        <w:t>للكشف عن الفروق الإحصائية التي تعزى للمتغيرات متعددة الفئات (المؤهل العلمي، نوع الوظيفة، سنوات الخبرة) في الفرضية الخامسة، يليه اختبارات المقارنات البعدية لتحديد اتجاه الفروق الدالة</w:t>
      </w:r>
      <w:r w:rsidRPr="003D0735">
        <w:rPr>
          <w:rFonts w:ascii="Traditional Arabic" w:hAnsi="Traditional Arabic" w:cs="Traditional Arabic"/>
          <w:color w:val="000000" w:themeColor="text1"/>
          <w:sz w:val="24"/>
          <w:szCs w:val="24"/>
        </w:rPr>
        <w:t>.</w:t>
      </w:r>
    </w:p>
    <w:p w14:paraId="1A9A3E21" w14:textId="7AC8C092" w:rsidR="002C0813" w:rsidRPr="002A403A" w:rsidRDefault="006A4781" w:rsidP="002C0813">
      <w:p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t>اداة</w:t>
      </w:r>
      <w:r w:rsidR="006D49CF" w:rsidRPr="002A403A">
        <w:rPr>
          <w:rFonts w:ascii="Traditional Arabic" w:hAnsi="Traditional Arabic" w:cs="Traditional Arabic" w:hint="cs"/>
          <w:b/>
          <w:bCs/>
          <w:color w:val="000000" w:themeColor="text1"/>
          <w:sz w:val="28"/>
          <w:szCs w:val="28"/>
          <w:rtl/>
        </w:rPr>
        <w:t xml:space="preserve"> الدراسة :</w:t>
      </w:r>
    </w:p>
    <w:p w14:paraId="6177253D" w14:textId="1B8726A2" w:rsidR="00223D15" w:rsidRPr="002A403A" w:rsidRDefault="00223D15">
      <w:pPr>
        <w:pStyle w:val="ListParagraph"/>
        <w:numPr>
          <w:ilvl w:val="0"/>
          <w:numId w:val="36"/>
        </w:num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t>التحليل الوصفي لمتغيرات وأبعاد وعبارات</w:t>
      </w:r>
      <w:r w:rsidR="00694A68" w:rsidRPr="002A403A">
        <w:rPr>
          <w:rFonts w:ascii="Traditional Arabic" w:hAnsi="Traditional Arabic" w:cs="Traditional Arabic" w:hint="cs"/>
          <w:b/>
          <w:bCs/>
          <w:color w:val="000000" w:themeColor="text1"/>
          <w:sz w:val="28"/>
          <w:szCs w:val="28"/>
          <w:rtl/>
        </w:rPr>
        <w:t xml:space="preserve"> أداة</w:t>
      </w:r>
      <w:r w:rsidRPr="002A403A">
        <w:rPr>
          <w:rFonts w:ascii="Traditional Arabic" w:hAnsi="Traditional Arabic" w:cs="Traditional Arabic" w:hint="cs"/>
          <w:b/>
          <w:bCs/>
          <w:color w:val="000000" w:themeColor="text1"/>
          <w:sz w:val="28"/>
          <w:szCs w:val="28"/>
          <w:rtl/>
        </w:rPr>
        <w:t xml:space="preserve"> الدراسة:</w:t>
      </w:r>
    </w:p>
    <w:p w14:paraId="3BEA70A3" w14:textId="2570CD57" w:rsidR="002778AE" w:rsidRPr="002A403A" w:rsidRDefault="002778AE" w:rsidP="002A403A">
      <w:pPr>
        <w:bidi/>
        <w:spacing w:after="200" w:line="360" w:lineRule="auto"/>
        <w:ind w:firstLine="720"/>
        <w:jc w:val="both"/>
        <w:rPr>
          <w:rFonts w:ascii="Traditional Arabic" w:hAnsi="Traditional Arabic" w:cs="Traditional Arabic"/>
          <w:color w:val="000000" w:themeColor="text1"/>
          <w:sz w:val="24"/>
          <w:szCs w:val="24"/>
          <w:rtl/>
        </w:rPr>
      </w:pPr>
      <w:r w:rsidRPr="002A403A">
        <w:rPr>
          <w:rFonts w:ascii="Traditional Arabic" w:hAnsi="Traditional Arabic" w:cs="Traditional Arabic" w:hint="cs"/>
          <w:color w:val="000000" w:themeColor="text1"/>
          <w:sz w:val="24"/>
          <w:szCs w:val="24"/>
          <w:rtl/>
        </w:rPr>
        <w:t>في ضوء أهداف الدراسة، تم إجراء التحليل الوصفي لمتغيرات وأبعاد وعبارات الاستبانة بهدف التعرف على الاتجاهات العامة لآراء أفراد العينة نحو كل من متغيرات الدراسة الثلاثة</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إدارة المخاطر (المتغير المستقل)، القيادة التحويلية (المتغير الوسيط)، وسلامة المرضى (المتغير التابع)</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 xml:space="preserve">وقد شمل التحليل حساب المتوسطات الحسابية والانحرافات المعيارية لكل عبارة ضمن أبعادها الفرعية، وذلك لتحديد مستوى الاستجابة وتباينها بين أفراد العينة. كما تم ترتيب العبارات تنازليًا وفقًا لمتوسطاتها لتحديد أكثر الجوانب التي حظيت باتفاق أو اهتمام من المشاركين. وقد أظهرت النتائج الأولية تفاوتًا في مستويات التقدير بين الأبعاد المختلفة، مما يعكس تباينًا في تطبيق ممارسات إدارة المخاطر، وأساليب القيادة التحويلية، ومؤشرات سلامة المرضى في المرافق الصحية الحكومية محل الدراسة، كما في الجدول ( </w:t>
      </w:r>
      <w:r w:rsidR="005D0F75" w:rsidRPr="002A403A">
        <w:rPr>
          <w:rFonts w:ascii="Traditional Arabic" w:hAnsi="Traditional Arabic" w:cs="Traditional Arabic" w:hint="cs"/>
          <w:color w:val="000000" w:themeColor="text1"/>
          <w:sz w:val="24"/>
          <w:szCs w:val="24"/>
          <w:rtl/>
        </w:rPr>
        <w:t>12</w:t>
      </w:r>
      <w:r w:rsidRPr="002A403A">
        <w:rPr>
          <w:rFonts w:ascii="Traditional Arabic" w:hAnsi="Traditional Arabic" w:cs="Traditional Arabic" w:hint="cs"/>
          <w:color w:val="000000" w:themeColor="text1"/>
          <w:sz w:val="24"/>
          <w:szCs w:val="24"/>
          <w:rtl/>
        </w:rPr>
        <w:t>) وذلك كما يلي:</w:t>
      </w:r>
    </w:p>
    <w:p w14:paraId="242778D2" w14:textId="2398F523" w:rsidR="00C1475A" w:rsidRPr="007671BB" w:rsidRDefault="00A03FFC" w:rsidP="001819FD">
      <w:pPr>
        <w:bidi/>
        <w:spacing w:after="200" w:line="276" w:lineRule="auto"/>
        <w:jc w:val="center"/>
        <w:rPr>
          <w:rFonts w:ascii="Traditional Arabic" w:hAnsi="Traditional Arabic" w:cs="Traditional Arabic"/>
          <w:b/>
          <w:bCs/>
          <w:color w:val="000000" w:themeColor="text1"/>
          <w:sz w:val="24"/>
          <w:szCs w:val="24"/>
        </w:rPr>
      </w:pPr>
      <w:r w:rsidRPr="007671BB">
        <w:rPr>
          <w:rFonts w:ascii="Traditional Arabic" w:hAnsi="Traditional Arabic" w:cs="Traditional Arabic" w:hint="cs"/>
          <w:b/>
          <w:bCs/>
          <w:color w:val="000000" w:themeColor="text1"/>
          <w:sz w:val="24"/>
          <w:szCs w:val="24"/>
          <w:rtl/>
        </w:rPr>
        <w:t>جدول (</w:t>
      </w:r>
      <w:r w:rsidR="005D0F75" w:rsidRPr="007671BB">
        <w:rPr>
          <w:rFonts w:ascii="Traditional Arabic" w:hAnsi="Traditional Arabic" w:cs="Traditional Arabic" w:hint="cs"/>
          <w:b/>
          <w:bCs/>
          <w:color w:val="000000" w:themeColor="text1"/>
          <w:sz w:val="24"/>
          <w:szCs w:val="24"/>
          <w:rtl/>
        </w:rPr>
        <w:t>12</w:t>
      </w:r>
      <w:r w:rsidRPr="007671BB">
        <w:rPr>
          <w:rFonts w:ascii="Traditional Arabic" w:hAnsi="Traditional Arabic" w:cs="Traditional Arabic" w:hint="cs"/>
          <w:b/>
          <w:bCs/>
          <w:color w:val="000000" w:themeColor="text1"/>
          <w:sz w:val="24"/>
          <w:szCs w:val="24"/>
          <w:rtl/>
        </w:rPr>
        <w:t xml:space="preserve">) التحليل الوصفي لمتغيرات وأبعاد وعبارات البحث (ن= </w:t>
      </w:r>
      <w:r w:rsidR="002E43AD" w:rsidRPr="007671BB">
        <w:rPr>
          <w:rFonts w:ascii="Traditional Arabic" w:hAnsi="Traditional Arabic" w:cs="Traditional Arabic" w:hint="cs"/>
          <w:b/>
          <w:bCs/>
          <w:color w:val="000000" w:themeColor="text1"/>
          <w:sz w:val="24"/>
          <w:szCs w:val="24"/>
          <w:rtl/>
        </w:rPr>
        <w:t>389</w:t>
      </w:r>
      <w:r w:rsidRPr="007671BB">
        <w:rPr>
          <w:rFonts w:ascii="Traditional Arabic" w:hAnsi="Traditional Arabic" w:cs="Traditional Arabic" w:hint="cs"/>
          <w:b/>
          <w:bCs/>
          <w:color w:val="000000" w:themeColor="text1"/>
          <w:sz w:val="24"/>
          <w:szCs w:val="24"/>
          <w:rtl/>
        </w:rPr>
        <w:t>)</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519"/>
        <w:gridCol w:w="1500"/>
        <w:gridCol w:w="5271"/>
      </w:tblGrid>
      <w:tr w:rsidR="00C1475A" w:rsidRPr="00D24D70" w14:paraId="57BCFEC4" w14:textId="77777777" w:rsidTr="007671BB">
        <w:trPr>
          <w:tblCellSpacing w:w="20" w:type="dxa"/>
          <w:jc w:val="right"/>
        </w:trPr>
        <w:tc>
          <w:tcPr>
            <w:tcW w:w="897" w:type="pct"/>
            <w:shd w:val="clear" w:color="auto" w:fill="E5DFEC" w:themeFill="accent4" w:themeFillTint="33"/>
            <w:hideMark/>
          </w:tcPr>
          <w:p w14:paraId="53098429"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المتوسط الحسابي</w:t>
            </w:r>
          </w:p>
        </w:tc>
        <w:tc>
          <w:tcPr>
            <w:tcW w:w="898" w:type="pct"/>
            <w:shd w:val="clear" w:color="auto" w:fill="E5DFEC" w:themeFill="accent4" w:themeFillTint="33"/>
            <w:hideMark/>
          </w:tcPr>
          <w:p w14:paraId="2F1FF548"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الانحراف المعياري</w:t>
            </w:r>
          </w:p>
        </w:tc>
        <w:tc>
          <w:tcPr>
            <w:tcW w:w="3206" w:type="pct"/>
            <w:shd w:val="clear" w:color="auto" w:fill="E5DFEC" w:themeFill="accent4" w:themeFillTint="33"/>
            <w:hideMark/>
          </w:tcPr>
          <w:p w14:paraId="7811A392" w14:textId="77777777" w:rsidR="00C1475A" w:rsidRPr="00D24D70" w:rsidRDefault="00C1475A" w:rsidP="00C147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r>
      <w:tr w:rsidR="00DF67BA" w:rsidRPr="00D24D70" w14:paraId="304FB691" w14:textId="77777777" w:rsidTr="007671BB">
        <w:trPr>
          <w:tblCellSpacing w:w="20" w:type="dxa"/>
          <w:jc w:val="right"/>
        </w:trPr>
        <w:tc>
          <w:tcPr>
            <w:tcW w:w="5000" w:type="pct"/>
            <w:gridSpan w:val="3"/>
            <w:shd w:val="clear" w:color="auto" w:fill="EAF1DD" w:themeFill="accent3" w:themeFillTint="33"/>
          </w:tcPr>
          <w:p w14:paraId="3C08952D" w14:textId="3FE6CEB8" w:rsidR="00DF67BA" w:rsidRPr="00D24D70" w:rsidRDefault="00DF67BA"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إدارة المخاطر</w:t>
            </w:r>
          </w:p>
        </w:tc>
      </w:tr>
      <w:tr w:rsidR="00CF407A" w:rsidRPr="00D24D70" w14:paraId="02E45210" w14:textId="77777777" w:rsidTr="007671BB">
        <w:trPr>
          <w:tblCellSpacing w:w="20" w:type="dxa"/>
          <w:jc w:val="right"/>
        </w:trPr>
        <w:tc>
          <w:tcPr>
            <w:tcW w:w="5000" w:type="pct"/>
            <w:gridSpan w:val="3"/>
            <w:hideMark/>
          </w:tcPr>
          <w:p w14:paraId="37D509C3"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أولًا: تحديد المخاطر</w:t>
            </w:r>
          </w:p>
        </w:tc>
      </w:tr>
      <w:tr w:rsidR="00C1475A" w:rsidRPr="00D24D70" w14:paraId="0B19E967" w14:textId="77777777" w:rsidTr="007671BB">
        <w:trPr>
          <w:tblCellSpacing w:w="20" w:type="dxa"/>
          <w:jc w:val="right"/>
        </w:trPr>
        <w:tc>
          <w:tcPr>
            <w:tcW w:w="897" w:type="pct"/>
            <w:hideMark/>
          </w:tcPr>
          <w:p w14:paraId="0C2CE99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4.32</w:t>
            </w:r>
          </w:p>
        </w:tc>
        <w:tc>
          <w:tcPr>
            <w:tcW w:w="898" w:type="pct"/>
            <w:hideMark/>
          </w:tcPr>
          <w:p w14:paraId="3209D4B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0.71</w:t>
            </w:r>
          </w:p>
        </w:tc>
        <w:tc>
          <w:tcPr>
            <w:tcW w:w="3206" w:type="pct"/>
            <w:hideMark/>
          </w:tcPr>
          <w:p w14:paraId="3E3179C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مصادر الخطر المحتملة في بيئة العمل بشكل منتظم</w:t>
            </w:r>
            <w:r w:rsidRPr="00D24D70">
              <w:rPr>
                <w:rFonts w:ascii="Traditional Arabic" w:hAnsi="Traditional Arabic" w:cs="Traditional Arabic" w:hint="cs"/>
                <w:color w:val="000000" w:themeColor="text1"/>
                <w:sz w:val="20"/>
                <w:szCs w:val="20"/>
                <w:lang w:bidi="ar-EG"/>
              </w:rPr>
              <w:t>.</w:t>
            </w:r>
          </w:p>
        </w:tc>
      </w:tr>
      <w:tr w:rsidR="00C1475A" w:rsidRPr="00D24D70" w14:paraId="1CADACA0" w14:textId="77777777" w:rsidTr="007671BB">
        <w:trPr>
          <w:tblCellSpacing w:w="20" w:type="dxa"/>
          <w:jc w:val="right"/>
        </w:trPr>
        <w:tc>
          <w:tcPr>
            <w:tcW w:w="897" w:type="pct"/>
            <w:hideMark/>
          </w:tcPr>
          <w:p w14:paraId="7C1BDA3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4.21</w:t>
            </w:r>
          </w:p>
        </w:tc>
        <w:tc>
          <w:tcPr>
            <w:tcW w:w="898" w:type="pct"/>
            <w:hideMark/>
          </w:tcPr>
          <w:p w14:paraId="5390AE2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7076E7F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آلية واضحة لرصد الحوادث الطبية والأخطاء التشغيلية</w:t>
            </w:r>
            <w:r w:rsidRPr="00D24D70">
              <w:rPr>
                <w:rFonts w:ascii="Traditional Arabic" w:hAnsi="Traditional Arabic" w:cs="Traditional Arabic" w:hint="cs"/>
                <w:color w:val="000000" w:themeColor="text1"/>
                <w:sz w:val="20"/>
                <w:szCs w:val="20"/>
                <w:lang w:bidi="ar-EG"/>
              </w:rPr>
              <w:t>.</w:t>
            </w:r>
          </w:p>
        </w:tc>
      </w:tr>
      <w:tr w:rsidR="00C1475A" w:rsidRPr="00D24D70" w14:paraId="5F669FBD" w14:textId="77777777" w:rsidTr="007671BB">
        <w:trPr>
          <w:tblCellSpacing w:w="20" w:type="dxa"/>
          <w:jc w:val="right"/>
        </w:trPr>
        <w:tc>
          <w:tcPr>
            <w:tcW w:w="897" w:type="pct"/>
            <w:hideMark/>
          </w:tcPr>
          <w:p w14:paraId="4DC42B1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4.18</w:t>
            </w:r>
          </w:p>
        </w:tc>
        <w:tc>
          <w:tcPr>
            <w:tcW w:w="898" w:type="pct"/>
            <w:hideMark/>
          </w:tcPr>
          <w:p w14:paraId="79B6480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0.83</w:t>
            </w:r>
          </w:p>
        </w:tc>
        <w:tc>
          <w:tcPr>
            <w:tcW w:w="3206" w:type="pct"/>
            <w:hideMark/>
          </w:tcPr>
          <w:p w14:paraId="60F62E9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تحديد المخاطر المرتبطة بمهامهم اليومية</w:t>
            </w:r>
            <w:r w:rsidRPr="00D24D70">
              <w:rPr>
                <w:rFonts w:ascii="Traditional Arabic" w:hAnsi="Traditional Arabic" w:cs="Traditional Arabic" w:hint="cs"/>
                <w:color w:val="000000" w:themeColor="text1"/>
                <w:sz w:val="20"/>
                <w:szCs w:val="20"/>
                <w:lang w:bidi="ar-EG"/>
              </w:rPr>
              <w:t>.</w:t>
            </w:r>
          </w:p>
        </w:tc>
      </w:tr>
      <w:tr w:rsidR="00C1475A" w:rsidRPr="00D24D70" w14:paraId="1EBB56BE" w14:textId="77777777" w:rsidTr="007671BB">
        <w:trPr>
          <w:tblCellSpacing w:w="20" w:type="dxa"/>
          <w:jc w:val="right"/>
        </w:trPr>
        <w:tc>
          <w:tcPr>
            <w:tcW w:w="897" w:type="pct"/>
            <w:hideMark/>
          </w:tcPr>
          <w:p w14:paraId="7F0AEEA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4.09</w:t>
            </w:r>
          </w:p>
        </w:tc>
        <w:tc>
          <w:tcPr>
            <w:tcW w:w="898" w:type="pct"/>
            <w:hideMark/>
          </w:tcPr>
          <w:p w14:paraId="6173349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0.89</w:t>
            </w:r>
          </w:p>
        </w:tc>
        <w:tc>
          <w:tcPr>
            <w:tcW w:w="3206" w:type="pct"/>
            <w:hideMark/>
          </w:tcPr>
          <w:p w14:paraId="1BB58BA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المخاطر المحتملة في سجلات رسمية داخل المنشأة</w:t>
            </w:r>
            <w:r w:rsidRPr="00D24D70">
              <w:rPr>
                <w:rFonts w:ascii="Traditional Arabic" w:hAnsi="Traditional Arabic" w:cs="Traditional Arabic" w:hint="cs"/>
                <w:color w:val="000000" w:themeColor="text1"/>
                <w:sz w:val="20"/>
                <w:szCs w:val="20"/>
                <w:lang w:bidi="ar-EG"/>
              </w:rPr>
              <w:t>.</w:t>
            </w:r>
          </w:p>
        </w:tc>
      </w:tr>
      <w:tr w:rsidR="00C1475A" w:rsidRPr="00D24D70" w14:paraId="747827A8" w14:textId="77777777" w:rsidTr="007671BB">
        <w:trPr>
          <w:tblCellSpacing w:w="20" w:type="dxa"/>
          <w:jc w:val="right"/>
        </w:trPr>
        <w:tc>
          <w:tcPr>
            <w:tcW w:w="897" w:type="pct"/>
            <w:hideMark/>
          </w:tcPr>
          <w:p w14:paraId="13FB7F0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lastRenderedPageBreak/>
              <w:t>4.15</w:t>
            </w:r>
          </w:p>
        </w:tc>
        <w:tc>
          <w:tcPr>
            <w:tcW w:w="898" w:type="pct"/>
            <w:hideMark/>
          </w:tcPr>
          <w:p w14:paraId="32451EB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0.80</w:t>
            </w:r>
          </w:p>
        </w:tc>
        <w:tc>
          <w:tcPr>
            <w:tcW w:w="3206" w:type="pct"/>
            <w:hideMark/>
          </w:tcPr>
          <w:p w14:paraId="20B9016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مراجعة قائمة المخاطر المحتملة عند إدخال تقنيات أو إجراءات جديدة</w:t>
            </w:r>
            <w:r w:rsidRPr="00D24D70">
              <w:rPr>
                <w:rFonts w:ascii="Traditional Arabic" w:hAnsi="Traditional Arabic" w:cs="Traditional Arabic" w:hint="cs"/>
                <w:color w:val="000000" w:themeColor="text1"/>
                <w:sz w:val="20"/>
                <w:szCs w:val="20"/>
                <w:lang w:bidi="ar-EG"/>
              </w:rPr>
              <w:t>.</w:t>
            </w:r>
          </w:p>
        </w:tc>
      </w:tr>
      <w:tr w:rsidR="00CF407A" w:rsidRPr="00D24D70" w14:paraId="187AE8BB" w14:textId="77777777" w:rsidTr="007671BB">
        <w:trPr>
          <w:tblCellSpacing w:w="20" w:type="dxa"/>
          <w:jc w:val="right"/>
        </w:trPr>
        <w:tc>
          <w:tcPr>
            <w:tcW w:w="5000" w:type="pct"/>
            <w:gridSpan w:val="3"/>
            <w:hideMark/>
          </w:tcPr>
          <w:p w14:paraId="76A0F8EF"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ثانيًا: تحليل المخاطر</w:t>
            </w:r>
          </w:p>
        </w:tc>
      </w:tr>
      <w:tr w:rsidR="00C1475A" w:rsidRPr="00D24D70" w14:paraId="45975124" w14:textId="77777777" w:rsidTr="007671BB">
        <w:trPr>
          <w:tblCellSpacing w:w="20" w:type="dxa"/>
          <w:jc w:val="right"/>
        </w:trPr>
        <w:tc>
          <w:tcPr>
            <w:tcW w:w="897" w:type="pct"/>
            <w:hideMark/>
          </w:tcPr>
          <w:p w14:paraId="3E3F03C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4.24</w:t>
            </w:r>
          </w:p>
        </w:tc>
        <w:tc>
          <w:tcPr>
            <w:tcW w:w="898" w:type="pct"/>
            <w:hideMark/>
          </w:tcPr>
          <w:p w14:paraId="1281E6A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0.74</w:t>
            </w:r>
          </w:p>
        </w:tc>
        <w:tc>
          <w:tcPr>
            <w:tcW w:w="3206" w:type="pct"/>
            <w:hideMark/>
          </w:tcPr>
          <w:p w14:paraId="1C7B69D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أسباب الحوادث الطبية بعد وقوعها بشكل منهجي</w:t>
            </w:r>
            <w:r w:rsidRPr="00D24D70">
              <w:rPr>
                <w:rFonts w:ascii="Traditional Arabic" w:hAnsi="Traditional Arabic" w:cs="Traditional Arabic" w:hint="cs"/>
                <w:color w:val="000000" w:themeColor="text1"/>
                <w:sz w:val="20"/>
                <w:szCs w:val="20"/>
                <w:lang w:bidi="ar-EG"/>
              </w:rPr>
              <w:t>.</w:t>
            </w:r>
          </w:p>
        </w:tc>
      </w:tr>
      <w:tr w:rsidR="00C1475A" w:rsidRPr="00D24D70" w14:paraId="4E004FA2" w14:textId="77777777" w:rsidTr="007671BB">
        <w:trPr>
          <w:tblCellSpacing w:w="20" w:type="dxa"/>
          <w:jc w:val="right"/>
        </w:trPr>
        <w:tc>
          <w:tcPr>
            <w:tcW w:w="897" w:type="pct"/>
            <w:hideMark/>
          </w:tcPr>
          <w:p w14:paraId="5910A03A"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4.11</w:t>
            </w:r>
          </w:p>
        </w:tc>
        <w:tc>
          <w:tcPr>
            <w:tcW w:w="898" w:type="pct"/>
            <w:hideMark/>
          </w:tcPr>
          <w:p w14:paraId="6DDFBC37"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0.85</w:t>
            </w:r>
          </w:p>
        </w:tc>
        <w:tc>
          <w:tcPr>
            <w:tcW w:w="3206" w:type="pct"/>
            <w:hideMark/>
          </w:tcPr>
          <w:p w14:paraId="3B448071"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أدوات تحليل معتمدة لتقييم احتمالية حدوث المخاطر</w:t>
            </w:r>
            <w:r w:rsidRPr="00D24D70">
              <w:rPr>
                <w:rFonts w:ascii="Traditional Arabic" w:hAnsi="Traditional Arabic" w:cs="Traditional Arabic" w:hint="cs"/>
                <w:color w:val="000000" w:themeColor="text1"/>
                <w:sz w:val="20"/>
                <w:szCs w:val="20"/>
                <w:lang w:bidi="ar-EG"/>
              </w:rPr>
              <w:t>.</w:t>
            </w:r>
          </w:p>
        </w:tc>
      </w:tr>
      <w:tr w:rsidR="00C1475A" w:rsidRPr="00D24D70" w14:paraId="2EF223EC" w14:textId="77777777" w:rsidTr="007671BB">
        <w:trPr>
          <w:tblCellSpacing w:w="20" w:type="dxa"/>
          <w:jc w:val="right"/>
        </w:trPr>
        <w:tc>
          <w:tcPr>
            <w:tcW w:w="897" w:type="pct"/>
            <w:hideMark/>
          </w:tcPr>
          <w:p w14:paraId="7CFBD8D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4.07</w:t>
            </w:r>
          </w:p>
        </w:tc>
        <w:tc>
          <w:tcPr>
            <w:tcW w:w="898" w:type="pct"/>
            <w:hideMark/>
          </w:tcPr>
          <w:p w14:paraId="64BB560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0.88</w:t>
            </w:r>
          </w:p>
        </w:tc>
        <w:tc>
          <w:tcPr>
            <w:tcW w:w="3206" w:type="pct"/>
            <w:hideMark/>
          </w:tcPr>
          <w:p w14:paraId="01E0FA6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تصنيف المخاطر حسب درجة الخطورة والتكرار</w:t>
            </w:r>
            <w:r w:rsidRPr="00D24D70">
              <w:rPr>
                <w:rFonts w:ascii="Traditional Arabic" w:hAnsi="Traditional Arabic" w:cs="Traditional Arabic" w:hint="cs"/>
                <w:color w:val="000000" w:themeColor="text1"/>
                <w:sz w:val="20"/>
                <w:szCs w:val="20"/>
                <w:lang w:bidi="ar-EG"/>
              </w:rPr>
              <w:t>.</w:t>
            </w:r>
          </w:p>
        </w:tc>
      </w:tr>
      <w:tr w:rsidR="00C1475A" w:rsidRPr="00D24D70" w14:paraId="447D04F6" w14:textId="77777777" w:rsidTr="007671BB">
        <w:trPr>
          <w:tblCellSpacing w:w="20" w:type="dxa"/>
          <w:jc w:val="right"/>
        </w:trPr>
        <w:tc>
          <w:tcPr>
            <w:tcW w:w="897" w:type="pct"/>
            <w:hideMark/>
          </w:tcPr>
          <w:p w14:paraId="1A58CF8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4.19</w:t>
            </w:r>
          </w:p>
        </w:tc>
        <w:tc>
          <w:tcPr>
            <w:tcW w:w="898" w:type="pct"/>
            <w:hideMark/>
          </w:tcPr>
          <w:p w14:paraId="5C1F5B9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0.79</w:t>
            </w:r>
          </w:p>
        </w:tc>
        <w:tc>
          <w:tcPr>
            <w:tcW w:w="3206" w:type="pct"/>
            <w:hideMark/>
          </w:tcPr>
          <w:p w14:paraId="3A0A9ED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تأثير كل خطر على سلامة المرضى وجودة الخدمة</w:t>
            </w:r>
            <w:r w:rsidRPr="00D24D70">
              <w:rPr>
                <w:rFonts w:ascii="Traditional Arabic" w:hAnsi="Traditional Arabic" w:cs="Traditional Arabic" w:hint="cs"/>
                <w:color w:val="000000" w:themeColor="text1"/>
                <w:sz w:val="20"/>
                <w:szCs w:val="20"/>
                <w:lang w:bidi="ar-EG"/>
              </w:rPr>
              <w:t>.</w:t>
            </w:r>
          </w:p>
        </w:tc>
      </w:tr>
      <w:tr w:rsidR="00C1475A" w:rsidRPr="00D24D70" w14:paraId="7FE3E5B7" w14:textId="77777777" w:rsidTr="007671BB">
        <w:trPr>
          <w:tblCellSpacing w:w="20" w:type="dxa"/>
          <w:jc w:val="right"/>
        </w:trPr>
        <w:tc>
          <w:tcPr>
            <w:tcW w:w="897" w:type="pct"/>
            <w:hideMark/>
          </w:tcPr>
          <w:p w14:paraId="0B341D3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4.03</w:t>
            </w:r>
          </w:p>
        </w:tc>
        <w:tc>
          <w:tcPr>
            <w:tcW w:w="898" w:type="pct"/>
            <w:hideMark/>
          </w:tcPr>
          <w:p w14:paraId="6950DA1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0.91</w:t>
            </w:r>
          </w:p>
        </w:tc>
        <w:tc>
          <w:tcPr>
            <w:tcW w:w="3206" w:type="pct"/>
            <w:hideMark/>
          </w:tcPr>
          <w:p w14:paraId="5DCC40E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فرق متعددة التخصصات في تحليل المخاطر المعقدة</w:t>
            </w:r>
            <w:r w:rsidRPr="00D24D70">
              <w:rPr>
                <w:rFonts w:ascii="Traditional Arabic" w:hAnsi="Traditional Arabic" w:cs="Traditional Arabic" w:hint="cs"/>
                <w:color w:val="000000" w:themeColor="text1"/>
                <w:sz w:val="20"/>
                <w:szCs w:val="20"/>
                <w:lang w:bidi="ar-EG"/>
              </w:rPr>
              <w:t>.</w:t>
            </w:r>
          </w:p>
        </w:tc>
      </w:tr>
      <w:tr w:rsidR="00CF407A" w:rsidRPr="00D24D70" w14:paraId="2199C349" w14:textId="77777777" w:rsidTr="007671BB">
        <w:trPr>
          <w:tblCellSpacing w:w="20" w:type="dxa"/>
          <w:jc w:val="right"/>
        </w:trPr>
        <w:tc>
          <w:tcPr>
            <w:tcW w:w="5000" w:type="pct"/>
            <w:gridSpan w:val="3"/>
            <w:hideMark/>
          </w:tcPr>
          <w:p w14:paraId="6D66F389"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ثالثًا: تقييم المخاطر</w:t>
            </w:r>
          </w:p>
        </w:tc>
      </w:tr>
      <w:tr w:rsidR="00C1475A" w:rsidRPr="00D24D70" w14:paraId="1E1589A0" w14:textId="77777777" w:rsidTr="007671BB">
        <w:trPr>
          <w:tblCellSpacing w:w="20" w:type="dxa"/>
          <w:jc w:val="right"/>
        </w:trPr>
        <w:tc>
          <w:tcPr>
            <w:tcW w:w="897" w:type="pct"/>
            <w:hideMark/>
          </w:tcPr>
          <w:p w14:paraId="22E58C61"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4.26</w:t>
            </w:r>
          </w:p>
        </w:tc>
        <w:tc>
          <w:tcPr>
            <w:tcW w:w="898" w:type="pct"/>
            <w:hideMark/>
          </w:tcPr>
          <w:p w14:paraId="5B473C4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0.73</w:t>
            </w:r>
          </w:p>
        </w:tc>
        <w:tc>
          <w:tcPr>
            <w:tcW w:w="3206" w:type="pct"/>
            <w:hideMark/>
          </w:tcPr>
          <w:p w14:paraId="56E158B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المخاطر بناءً على معايير واضحة ومعتمدة من الإدارة</w:t>
            </w:r>
            <w:r w:rsidRPr="00D24D70">
              <w:rPr>
                <w:rFonts w:ascii="Traditional Arabic" w:hAnsi="Traditional Arabic" w:cs="Traditional Arabic" w:hint="cs"/>
                <w:color w:val="000000" w:themeColor="text1"/>
                <w:sz w:val="20"/>
                <w:szCs w:val="20"/>
                <w:lang w:bidi="ar-EG"/>
              </w:rPr>
              <w:t>.</w:t>
            </w:r>
          </w:p>
        </w:tc>
      </w:tr>
      <w:tr w:rsidR="00C1475A" w:rsidRPr="00D24D70" w14:paraId="646CAB7B" w14:textId="77777777" w:rsidTr="007671BB">
        <w:trPr>
          <w:tblCellSpacing w:w="20" w:type="dxa"/>
          <w:jc w:val="right"/>
        </w:trPr>
        <w:tc>
          <w:tcPr>
            <w:tcW w:w="897" w:type="pct"/>
            <w:hideMark/>
          </w:tcPr>
          <w:p w14:paraId="3B4D7F7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4.17</w:t>
            </w:r>
          </w:p>
        </w:tc>
        <w:tc>
          <w:tcPr>
            <w:tcW w:w="898" w:type="pct"/>
            <w:hideMark/>
          </w:tcPr>
          <w:p w14:paraId="2720B96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0.82</w:t>
            </w:r>
          </w:p>
        </w:tc>
        <w:tc>
          <w:tcPr>
            <w:tcW w:w="3206" w:type="pct"/>
            <w:hideMark/>
          </w:tcPr>
          <w:p w14:paraId="2D745EF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نتائج التقييم في اتخاذ قرارات إدارية فعالة</w:t>
            </w:r>
            <w:r w:rsidRPr="00D24D70">
              <w:rPr>
                <w:rFonts w:ascii="Traditional Arabic" w:hAnsi="Traditional Arabic" w:cs="Traditional Arabic" w:hint="cs"/>
                <w:color w:val="000000" w:themeColor="text1"/>
                <w:sz w:val="20"/>
                <w:szCs w:val="20"/>
                <w:lang w:bidi="ar-EG"/>
              </w:rPr>
              <w:t>.</w:t>
            </w:r>
          </w:p>
        </w:tc>
      </w:tr>
      <w:tr w:rsidR="00C1475A" w:rsidRPr="00D24D70" w14:paraId="033048D1" w14:textId="77777777" w:rsidTr="007671BB">
        <w:trPr>
          <w:tblCellSpacing w:w="20" w:type="dxa"/>
          <w:jc w:val="right"/>
        </w:trPr>
        <w:tc>
          <w:tcPr>
            <w:tcW w:w="897" w:type="pct"/>
            <w:hideMark/>
          </w:tcPr>
          <w:p w14:paraId="37FB87E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4.12</w:t>
            </w:r>
          </w:p>
        </w:tc>
        <w:tc>
          <w:tcPr>
            <w:tcW w:w="898" w:type="pct"/>
            <w:hideMark/>
          </w:tcPr>
          <w:p w14:paraId="4799197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0.86</w:t>
            </w:r>
          </w:p>
        </w:tc>
        <w:tc>
          <w:tcPr>
            <w:tcW w:w="3206" w:type="pct"/>
            <w:hideMark/>
          </w:tcPr>
          <w:p w14:paraId="577373DA"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أولويات التعامل مع المخاطر بناءً على نتائج التقييم</w:t>
            </w:r>
            <w:r w:rsidRPr="00D24D70">
              <w:rPr>
                <w:rFonts w:ascii="Traditional Arabic" w:hAnsi="Traditional Arabic" w:cs="Traditional Arabic" w:hint="cs"/>
                <w:color w:val="000000" w:themeColor="text1"/>
                <w:sz w:val="20"/>
                <w:szCs w:val="20"/>
                <w:lang w:bidi="ar-EG"/>
              </w:rPr>
              <w:t>.</w:t>
            </w:r>
          </w:p>
        </w:tc>
      </w:tr>
      <w:tr w:rsidR="00C1475A" w:rsidRPr="00D24D70" w14:paraId="6D6B2C58" w14:textId="77777777" w:rsidTr="007671BB">
        <w:trPr>
          <w:tblCellSpacing w:w="20" w:type="dxa"/>
          <w:jc w:val="right"/>
        </w:trPr>
        <w:tc>
          <w:tcPr>
            <w:tcW w:w="897" w:type="pct"/>
            <w:hideMark/>
          </w:tcPr>
          <w:p w14:paraId="6E662C8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4.08</w:t>
            </w:r>
          </w:p>
        </w:tc>
        <w:tc>
          <w:tcPr>
            <w:tcW w:w="898" w:type="pct"/>
            <w:hideMark/>
          </w:tcPr>
          <w:p w14:paraId="60C61BA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0.90</w:t>
            </w:r>
          </w:p>
        </w:tc>
        <w:tc>
          <w:tcPr>
            <w:tcW w:w="3206" w:type="pct"/>
            <w:hideMark/>
          </w:tcPr>
          <w:p w14:paraId="2B1F5E2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تحديث تقييم المخاطر بشكل دوري وفقًا للمتغيرات التشغيلية</w:t>
            </w:r>
            <w:r w:rsidRPr="00D24D70">
              <w:rPr>
                <w:rFonts w:ascii="Traditional Arabic" w:hAnsi="Traditional Arabic" w:cs="Traditional Arabic" w:hint="cs"/>
                <w:color w:val="000000" w:themeColor="text1"/>
                <w:sz w:val="20"/>
                <w:szCs w:val="20"/>
                <w:lang w:bidi="ar-EG"/>
              </w:rPr>
              <w:t>.</w:t>
            </w:r>
          </w:p>
        </w:tc>
      </w:tr>
      <w:tr w:rsidR="00C1475A" w:rsidRPr="00D24D70" w14:paraId="27677DDB" w14:textId="77777777" w:rsidTr="007671BB">
        <w:trPr>
          <w:tblCellSpacing w:w="20" w:type="dxa"/>
          <w:jc w:val="right"/>
        </w:trPr>
        <w:tc>
          <w:tcPr>
            <w:tcW w:w="897" w:type="pct"/>
            <w:hideMark/>
          </w:tcPr>
          <w:p w14:paraId="43911EAF"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4.14</w:t>
            </w:r>
          </w:p>
        </w:tc>
        <w:tc>
          <w:tcPr>
            <w:tcW w:w="898" w:type="pct"/>
            <w:hideMark/>
          </w:tcPr>
          <w:p w14:paraId="3152FD0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0.84</w:t>
            </w:r>
          </w:p>
        </w:tc>
        <w:tc>
          <w:tcPr>
            <w:tcW w:w="3206" w:type="pct"/>
            <w:hideMark/>
          </w:tcPr>
          <w:p w14:paraId="57C122F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نتائج تقييم المخاطر في تقارير رسمية قابلة للمراجعة</w:t>
            </w:r>
            <w:r w:rsidRPr="00D24D70">
              <w:rPr>
                <w:rFonts w:ascii="Traditional Arabic" w:hAnsi="Traditional Arabic" w:cs="Traditional Arabic" w:hint="cs"/>
                <w:color w:val="000000" w:themeColor="text1"/>
                <w:sz w:val="20"/>
                <w:szCs w:val="20"/>
                <w:lang w:bidi="ar-EG"/>
              </w:rPr>
              <w:t>.</w:t>
            </w:r>
          </w:p>
        </w:tc>
      </w:tr>
      <w:tr w:rsidR="00CF407A" w:rsidRPr="00D24D70" w14:paraId="07898B04" w14:textId="77777777" w:rsidTr="007671BB">
        <w:trPr>
          <w:tblCellSpacing w:w="20" w:type="dxa"/>
          <w:jc w:val="right"/>
        </w:trPr>
        <w:tc>
          <w:tcPr>
            <w:tcW w:w="5000" w:type="pct"/>
            <w:gridSpan w:val="3"/>
            <w:hideMark/>
          </w:tcPr>
          <w:p w14:paraId="798F3FA5" w14:textId="77777777" w:rsidR="00CF407A" w:rsidRPr="00D24D70" w:rsidRDefault="00CF407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رابعًا: الاستجابة للمخاطر</w:t>
            </w:r>
          </w:p>
        </w:tc>
      </w:tr>
      <w:tr w:rsidR="00C1475A" w:rsidRPr="00D24D70" w14:paraId="144835D0" w14:textId="77777777" w:rsidTr="007671BB">
        <w:trPr>
          <w:tblCellSpacing w:w="20" w:type="dxa"/>
          <w:jc w:val="right"/>
        </w:trPr>
        <w:tc>
          <w:tcPr>
            <w:tcW w:w="897" w:type="pct"/>
            <w:hideMark/>
          </w:tcPr>
          <w:p w14:paraId="42A6C57C"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4.30</w:t>
            </w:r>
          </w:p>
        </w:tc>
        <w:tc>
          <w:tcPr>
            <w:tcW w:w="898" w:type="pct"/>
            <w:hideMark/>
          </w:tcPr>
          <w:p w14:paraId="12F30642"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0.75</w:t>
            </w:r>
          </w:p>
        </w:tc>
        <w:tc>
          <w:tcPr>
            <w:tcW w:w="3206" w:type="pct"/>
            <w:hideMark/>
          </w:tcPr>
          <w:p w14:paraId="1043CE26"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خطط استجابة واضحة ومعلنة للتعامل مع الحوادث الطبية</w:t>
            </w:r>
            <w:r w:rsidRPr="00D24D70">
              <w:rPr>
                <w:rFonts w:ascii="Traditional Arabic" w:hAnsi="Traditional Arabic" w:cs="Traditional Arabic" w:hint="cs"/>
                <w:color w:val="000000" w:themeColor="text1"/>
                <w:sz w:val="20"/>
                <w:szCs w:val="20"/>
                <w:lang w:bidi="ar-EG"/>
              </w:rPr>
              <w:t>.</w:t>
            </w:r>
          </w:p>
        </w:tc>
      </w:tr>
      <w:tr w:rsidR="00C1475A" w:rsidRPr="00D24D70" w14:paraId="2849428B" w14:textId="77777777" w:rsidTr="007671BB">
        <w:trPr>
          <w:tblCellSpacing w:w="20" w:type="dxa"/>
          <w:jc w:val="right"/>
        </w:trPr>
        <w:tc>
          <w:tcPr>
            <w:tcW w:w="897" w:type="pct"/>
            <w:hideMark/>
          </w:tcPr>
          <w:p w14:paraId="31453445"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4.22</w:t>
            </w:r>
          </w:p>
        </w:tc>
        <w:tc>
          <w:tcPr>
            <w:tcW w:w="898" w:type="pct"/>
            <w:hideMark/>
          </w:tcPr>
          <w:p w14:paraId="46F30E63"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757BC53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تدريب العاملين على كيفية التصرف عند وقوع المخاطر</w:t>
            </w:r>
            <w:r w:rsidRPr="00D24D70">
              <w:rPr>
                <w:rFonts w:ascii="Traditional Arabic" w:hAnsi="Traditional Arabic" w:cs="Traditional Arabic" w:hint="cs"/>
                <w:color w:val="000000" w:themeColor="text1"/>
                <w:sz w:val="20"/>
                <w:szCs w:val="20"/>
                <w:lang w:bidi="ar-EG"/>
              </w:rPr>
              <w:t>.</w:t>
            </w:r>
          </w:p>
        </w:tc>
      </w:tr>
      <w:tr w:rsidR="00C1475A" w:rsidRPr="00D24D70" w14:paraId="099FE5E0" w14:textId="77777777" w:rsidTr="007671BB">
        <w:trPr>
          <w:tblCellSpacing w:w="20" w:type="dxa"/>
          <w:jc w:val="right"/>
        </w:trPr>
        <w:tc>
          <w:tcPr>
            <w:tcW w:w="897" w:type="pct"/>
            <w:hideMark/>
          </w:tcPr>
          <w:p w14:paraId="1D8AA2A5"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4.16</w:t>
            </w:r>
          </w:p>
        </w:tc>
        <w:tc>
          <w:tcPr>
            <w:tcW w:w="898" w:type="pct"/>
            <w:hideMark/>
          </w:tcPr>
          <w:p w14:paraId="6A8E46BE"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0.81</w:t>
            </w:r>
          </w:p>
        </w:tc>
        <w:tc>
          <w:tcPr>
            <w:tcW w:w="3206" w:type="pct"/>
            <w:hideMark/>
          </w:tcPr>
          <w:p w14:paraId="6F3CC6B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تنفيذ إجراءات تصحيحية بعد كل حادث لضمان عدم تكراره</w:t>
            </w:r>
            <w:r w:rsidRPr="00D24D70">
              <w:rPr>
                <w:rFonts w:ascii="Traditional Arabic" w:hAnsi="Traditional Arabic" w:cs="Traditional Arabic" w:hint="cs"/>
                <w:color w:val="000000" w:themeColor="text1"/>
                <w:sz w:val="20"/>
                <w:szCs w:val="20"/>
                <w:lang w:bidi="ar-EG"/>
              </w:rPr>
              <w:t>.</w:t>
            </w:r>
          </w:p>
        </w:tc>
      </w:tr>
      <w:tr w:rsidR="00C1475A" w:rsidRPr="00D24D70" w14:paraId="389B304E" w14:textId="77777777" w:rsidTr="007671BB">
        <w:trPr>
          <w:tblCellSpacing w:w="20" w:type="dxa"/>
          <w:jc w:val="right"/>
        </w:trPr>
        <w:tc>
          <w:tcPr>
            <w:tcW w:w="897" w:type="pct"/>
            <w:hideMark/>
          </w:tcPr>
          <w:p w14:paraId="564266DD"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4.10</w:t>
            </w:r>
          </w:p>
        </w:tc>
        <w:tc>
          <w:tcPr>
            <w:tcW w:w="898" w:type="pct"/>
            <w:hideMark/>
          </w:tcPr>
          <w:p w14:paraId="4C7117BB"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0.87</w:t>
            </w:r>
          </w:p>
        </w:tc>
        <w:tc>
          <w:tcPr>
            <w:tcW w:w="3206" w:type="pct"/>
            <w:hideMark/>
          </w:tcPr>
          <w:p w14:paraId="29A84CE8"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فعالية الاستجابة بعد كل حالة طارئة أو خطأ طبي</w:t>
            </w:r>
            <w:r w:rsidRPr="00D24D70">
              <w:rPr>
                <w:rFonts w:ascii="Traditional Arabic" w:hAnsi="Traditional Arabic" w:cs="Traditional Arabic" w:hint="cs"/>
                <w:color w:val="000000" w:themeColor="text1"/>
                <w:sz w:val="20"/>
                <w:szCs w:val="20"/>
                <w:lang w:bidi="ar-EG"/>
              </w:rPr>
              <w:t>.</w:t>
            </w:r>
          </w:p>
        </w:tc>
      </w:tr>
      <w:tr w:rsidR="00C1475A" w:rsidRPr="00D24D70" w14:paraId="228305BF" w14:textId="77777777" w:rsidTr="007671BB">
        <w:trPr>
          <w:tblCellSpacing w:w="20" w:type="dxa"/>
          <w:jc w:val="right"/>
        </w:trPr>
        <w:tc>
          <w:tcPr>
            <w:tcW w:w="897" w:type="pct"/>
            <w:hideMark/>
          </w:tcPr>
          <w:p w14:paraId="3498F9E0"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4.13</w:t>
            </w:r>
          </w:p>
        </w:tc>
        <w:tc>
          <w:tcPr>
            <w:tcW w:w="898" w:type="pct"/>
            <w:hideMark/>
          </w:tcPr>
          <w:p w14:paraId="6BB6E289"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0.85</w:t>
            </w:r>
          </w:p>
        </w:tc>
        <w:tc>
          <w:tcPr>
            <w:tcW w:w="3206" w:type="pct"/>
            <w:hideMark/>
          </w:tcPr>
          <w:p w14:paraId="621D8BA4" w14:textId="77777777" w:rsidR="00C1475A" w:rsidRPr="00D24D70" w:rsidRDefault="00C1475A" w:rsidP="00C147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تطوير خطط الاستجابة وتحسينها باستمرار</w:t>
            </w:r>
            <w:r w:rsidRPr="00D24D70">
              <w:rPr>
                <w:rFonts w:ascii="Traditional Arabic" w:hAnsi="Traditional Arabic" w:cs="Traditional Arabic" w:hint="cs"/>
                <w:color w:val="000000" w:themeColor="text1"/>
                <w:sz w:val="20"/>
                <w:szCs w:val="20"/>
                <w:lang w:bidi="ar-EG"/>
              </w:rPr>
              <w:t>.</w:t>
            </w:r>
          </w:p>
        </w:tc>
      </w:tr>
      <w:tr w:rsidR="00614A5F" w:rsidRPr="00D24D70" w14:paraId="59D7AD26" w14:textId="77777777" w:rsidTr="007671BB">
        <w:trPr>
          <w:tblCellSpacing w:w="20" w:type="dxa"/>
          <w:jc w:val="right"/>
        </w:trPr>
        <w:tc>
          <w:tcPr>
            <w:tcW w:w="5000" w:type="pct"/>
            <w:gridSpan w:val="3"/>
            <w:shd w:val="clear" w:color="auto" w:fill="EAF1DD" w:themeFill="accent3" w:themeFillTint="33"/>
          </w:tcPr>
          <w:p w14:paraId="577FB88C" w14:textId="6B8CAF17" w:rsidR="00614A5F" w:rsidRPr="00D24D70" w:rsidRDefault="00614A5F"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القيادة التحويلية</w:t>
            </w:r>
          </w:p>
        </w:tc>
      </w:tr>
      <w:tr w:rsidR="00614A5F" w:rsidRPr="00D24D70" w14:paraId="3D69A827" w14:textId="77777777" w:rsidTr="007671BB">
        <w:trPr>
          <w:tblCellSpacing w:w="20" w:type="dxa"/>
          <w:jc w:val="right"/>
        </w:trPr>
        <w:tc>
          <w:tcPr>
            <w:tcW w:w="897" w:type="pct"/>
            <w:hideMark/>
          </w:tcPr>
          <w:p w14:paraId="2F8562C0"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المتوسط الحسابي</w:t>
            </w:r>
          </w:p>
        </w:tc>
        <w:tc>
          <w:tcPr>
            <w:tcW w:w="898" w:type="pct"/>
            <w:hideMark/>
          </w:tcPr>
          <w:p w14:paraId="2B2A3BD7"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الانحراف المعياري</w:t>
            </w:r>
          </w:p>
        </w:tc>
        <w:tc>
          <w:tcPr>
            <w:tcW w:w="3206" w:type="pct"/>
            <w:hideMark/>
          </w:tcPr>
          <w:p w14:paraId="0E4663A7"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r>
      <w:tr w:rsidR="00614A5F" w:rsidRPr="00D24D70" w14:paraId="5D9EDCA0" w14:textId="77777777" w:rsidTr="007671BB">
        <w:trPr>
          <w:tblCellSpacing w:w="20" w:type="dxa"/>
          <w:jc w:val="right"/>
        </w:trPr>
        <w:tc>
          <w:tcPr>
            <w:tcW w:w="897" w:type="pct"/>
            <w:hideMark/>
          </w:tcPr>
          <w:p w14:paraId="1964B9A3" w14:textId="77777777" w:rsidR="00614A5F" w:rsidRPr="00D24D70" w:rsidRDefault="00614A5F" w:rsidP="001A315A">
            <w:pPr>
              <w:bidi/>
              <w:spacing w:after="200" w:line="276" w:lineRule="auto"/>
              <w:rPr>
                <w:rFonts w:ascii="Traditional Arabic" w:hAnsi="Traditional Arabic" w:cs="Traditional Arabic"/>
                <w:b/>
                <w:bCs/>
                <w:color w:val="000000" w:themeColor="text1"/>
                <w:sz w:val="20"/>
                <w:szCs w:val="20"/>
                <w:lang w:bidi="ar-EG"/>
              </w:rPr>
            </w:pPr>
          </w:p>
        </w:tc>
        <w:tc>
          <w:tcPr>
            <w:tcW w:w="898" w:type="pct"/>
            <w:hideMark/>
          </w:tcPr>
          <w:p w14:paraId="4832510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4D5C00F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أولًا: التأثير المثالي</w:t>
            </w:r>
            <w:r w:rsidRPr="00D24D70">
              <w:rPr>
                <w:rFonts w:ascii="Traditional Arabic" w:hAnsi="Traditional Arabic" w:cs="Traditional Arabic" w:hint="cs"/>
                <w:b/>
                <w:bCs/>
                <w:color w:val="000000" w:themeColor="text1"/>
                <w:sz w:val="20"/>
                <w:szCs w:val="20"/>
                <w:lang w:bidi="ar-EG"/>
              </w:rPr>
              <w:t xml:space="preserve"> (Idealized Influence)</w:t>
            </w:r>
          </w:p>
        </w:tc>
      </w:tr>
      <w:tr w:rsidR="00614A5F" w:rsidRPr="00D24D70" w14:paraId="604BACF4" w14:textId="77777777" w:rsidTr="007671BB">
        <w:trPr>
          <w:tblCellSpacing w:w="20" w:type="dxa"/>
          <w:jc w:val="right"/>
        </w:trPr>
        <w:tc>
          <w:tcPr>
            <w:tcW w:w="897" w:type="pct"/>
            <w:hideMark/>
          </w:tcPr>
          <w:p w14:paraId="3282C37D"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lastRenderedPageBreak/>
              <w:t>4.35</w:t>
            </w:r>
          </w:p>
        </w:tc>
        <w:tc>
          <w:tcPr>
            <w:tcW w:w="898" w:type="pct"/>
            <w:hideMark/>
          </w:tcPr>
          <w:p w14:paraId="5D92525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0.68</w:t>
            </w:r>
          </w:p>
        </w:tc>
        <w:tc>
          <w:tcPr>
            <w:tcW w:w="3206" w:type="pct"/>
            <w:hideMark/>
          </w:tcPr>
          <w:p w14:paraId="516D11A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سلوكًا أخلاقيًا يُحتذى به في بيئة العمل</w:t>
            </w:r>
            <w:r w:rsidRPr="00D24D70">
              <w:rPr>
                <w:rFonts w:ascii="Traditional Arabic" w:hAnsi="Traditional Arabic" w:cs="Traditional Arabic" w:hint="cs"/>
                <w:color w:val="000000" w:themeColor="text1"/>
                <w:sz w:val="20"/>
                <w:szCs w:val="20"/>
                <w:lang w:bidi="ar-EG"/>
              </w:rPr>
              <w:t>.</w:t>
            </w:r>
          </w:p>
        </w:tc>
      </w:tr>
      <w:tr w:rsidR="00614A5F" w:rsidRPr="00D24D70" w14:paraId="2A47E50E" w14:textId="77777777" w:rsidTr="007671BB">
        <w:trPr>
          <w:tblCellSpacing w:w="20" w:type="dxa"/>
          <w:jc w:val="right"/>
        </w:trPr>
        <w:tc>
          <w:tcPr>
            <w:tcW w:w="897" w:type="pct"/>
            <w:hideMark/>
          </w:tcPr>
          <w:p w14:paraId="5236F2B1"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4.28</w:t>
            </w:r>
          </w:p>
        </w:tc>
        <w:tc>
          <w:tcPr>
            <w:tcW w:w="898" w:type="pct"/>
            <w:hideMark/>
          </w:tcPr>
          <w:p w14:paraId="2109594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0.72</w:t>
            </w:r>
          </w:p>
        </w:tc>
        <w:tc>
          <w:tcPr>
            <w:tcW w:w="3206" w:type="pct"/>
            <w:hideMark/>
          </w:tcPr>
          <w:p w14:paraId="7EB2BE9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يلتزم القائد بالقيم المهنية في جميع تعاملاته</w:t>
            </w:r>
            <w:r w:rsidRPr="00D24D70">
              <w:rPr>
                <w:rFonts w:ascii="Traditional Arabic" w:hAnsi="Traditional Arabic" w:cs="Traditional Arabic" w:hint="cs"/>
                <w:color w:val="000000" w:themeColor="text1"/>
                <w:sz w:val="20"/>
                <w:szCs w:val="20"/>
                <w:lang w:bidi="ar-EG"/>
              </w:rPr>
              <w:t>.</w:t>
            </w:r>
          </w:p>
        </w:tc>
      </w:tr>
      <w:tr w:rsidR="00614A5F" w:rsidRPr="00D24D70" w14:paraId="4858752A" w14:textId="77777777" w:rsidTr="007671BB">
        <w:trPr>
          <w:tblCellSpacing w:w="20" w:type="dxa"/>
          <w:jc w:val="right"/>
        </w:trPr>
        <w:tc>
          <w:tcPr>
            <w:tcW w:w="897" w:type="pct"/>
            <w:hideMark/>
          </w:tcPr>
          <w:p w14:paraId="232B175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4.30</w:t>
            </w:r>
          </w:p>
        </w:tc>
        <w:tc>
          <w:tcPr>
            <w:tcW w:w="898" w:type="pct"/>
            <w:hideMark/>
          </w:tcPr>
          <w:p w14:paraId="472B227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0.70</w:t>
            </w:r>
          </w:p>
        </w:tc>
        <w:tc>
          <w:tcPr>
            <w:tcW w:w="3206" w:type="pct"/>
            <w:hideMark/>
          </w:tcPr>
          <w:p w14:paraId="5CD73D5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نموذجًا يُلهم الآخرين بالثقة والاحترام</w:t>
            </w:r>
            <w:r w:rsidRPr="00D24D70">
              <w:rPr>
                <w:rFonts w:ascii="Traditional Arabic" w:hAnsi="Traditional Arabic" w:cs="Traditional Arabic" w:hint="cs"/>
                <w:color w:val="000000" w:themeColor="text1"/>
                <w:sz w:val="20"/>
                <w:szCs w:val="20"/>
                <w:lang w:bidi="ar-EG"/>
              </w:rPr>
              <w:t>.</w:t>
            </w:r>
          </w:p>
        </w:tc>
      </w:tr>
      <w:tr w:rsidR="00614A5F" w:rsidRPr="00D24D70" w14:paraId="35C6C7C4" w14:textId="77777777" w:rsidTr="007671BB">
        <w:trPr>
          <w:tblCellSpacing w:w="20" w:type="dxa"/>
          <w:jc w:val="right"/>
        </w:trPr>
        <w:tc>
          <w:tcPr>
            <w:tcW w:w="897" w:type="pct"/>
            <w:hideMark/>
          </w:tcPr>
          <w:p w14:paraId="0493A83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4.22</w:t>
            </w:r>
          </w:p>
        </w:tc>
        <w:tc>
          <w:tcPr>
            <w:tcW w:w="898" w:type="pct"/>
            <w:hideMark/>
          </w:tcPr>
          <w:p w14:paraId="2FA85B2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0.77</w:t>
            </w:r>
          </w:p>
        </w:tc>
        <w:tc>
          <w:tcPr>
            <w:tcW w:w="3206" w:type="pct"/>
            <w:hideMark/>
          </w:tcPr>
          <w:p w14:paraId="68BD0070"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يتصرف القائد بطريقة تعزز الانتماء والولاء للمؤسسة</w:t>
            </w:r>
            <w:r w:rsidRPr="00D24D70">
              <w:rPr>
                <w:rFonts w:ascii="Traditional Arabic" w:hAnsi="Traditional Arabic" w:cs="Traditional Arabic" w:hint="cs"/>
                <w:color w:val="000000" w:themeColor="text1"/>
                <w:sz w:val="20"/>
                <w:szCs w:val="20"/>
                <w:lang w:bidi="ar-EG"/>
              </w:rPr>
              <w:t>.</w:t>
            </w:r>
          </w:p>
        </w:tc>
      </w:tr>
      <w:tr w:rsidR="00614A5F" w:rsidRPr="00D24D70" w14:paraId="0D856E4F" w14:textId="77777777" w:rsidTr="007671BB">
        <w:trPr>
          <w:tblCellSpacing w:w="20" w:type="dxa"/>
          <w:jc w:val="right"/>
        </w:trPr>
        <w:tc>
          <w:tcPr>
            <w:tcW w:w="897" w:type="pct"/>
            <w:hideMark/>
          </w:tcPr>
          <w:p w14:paraId="25EA8671"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4.25</w:t>
            </w:r>
          </w:p>
        </w:tc>
        <w:tc>
          <w:tcPr>
            <w:tcW w:w="898" w:type="pct"/>
            <w:hideMark/>
          </w:tcPr>
          <w:p w14:paraId="3134678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0.74</w:t>
            </w:r>
          </w:p>
        </w:tc>
        <w:tc>
          <w:tcPr>
            <w:tcW w:w="3206" w:type="pct"/>
            <w:hideMark/>
          </w:tcPr>
          <w:p w14:paraId="4274950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استعدادًا لتحمل المسؤولية في المواقف الصعبة</w:t>
            </w:r>
            <w:r w:rsidRPr="00D24D70">
              <w:rPr>
                <w:rFonts w:ascii="Traditional Arabic" w:hAnsi="Traditional Arabic" w:cs="Traditional Arabic" w:hint="cs"/>
                <w:color w:val="000000" w:themeColor="text1"/>
                <w:sz w:val="20"/>
                <w:szCs w:val="20"/>
                <w:lang w:bidi="ar-EG"/>
              </w:rPr>
              <w:t>.</w:t>
            </w:r>
          </w:p>
        </w:tc>
      </w:tr>
      <w:tr w:rsidR="00614A5F" w:rsidRPr="00D24D70" w14:paraId="7F6204D8" w14:textId="77777777" w:rsidTr="007671BB">
        <w:trPr>
          <w:tblCellSpacing w:w="20" w:type="dxa"/>
          <w:jc w:val="right"/>
        </w:trPr>
        <w:tc>
          <w:tcPr>
            <w:tcW w:w="897" w:type="pct"/>
            <w:hideMark/>
          </w:tcPr>
          <w:p w14:paraId="52E5747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47B2A43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2B51E24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ثانيًا: الدافعية الإلهامية</w:t>
            </w:r>
            <w:r w:rsidRPr="00D24D70">
              <w:rPr>
                <w:rFonts w:ascii="Traditional Arabic" w:hAnsi="Traditional Arabic" w:cs="Traditional Arabic" w:hint="cs"/>
                <w:b/>
                <w:bCs/>
                <w:color w:val="000000" w:themeColor="text1"/>
                <w:sz w:val="20"/>
                <w:szCs w:val="20"/>
                <w:lang w:bidi="ar-EG"/>
              </w:rPr>
              <w:t xml:space="preserve"> (Inspirational Motivation)</w:t>
            </w:r>
          </w:p>
        </w:tc>
      </w:tr>
      <w:tr w:rsidR="00614A5F" w:rsidRPr="00D24D70" w14:paraId="758D7DDA" w14:textId="77777777" w:rsidTr="007671BB">
        <w:trPr>
          <w:tblCellSpacing w:w="20" w:type="dxa"/>
          <w:jc w:val="right"/>
        </w:trPr>
        <w:tc>
          <w:tcPr>
            <w:tcW w:w="897" w:type="pct"/>
            <w:hideMark/>
          </w:tcPr>
          <w:p w14:paraId="6E60D0D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4.31</w:t>
            </w:r>
          </w:p>
        </w:tc>
        <w:tc>
          <w:tcPr>
            <w:tcW w:w="898" w:type="pct"/>
            <w:hideMark/>
          </w:tcPr>
          <w:p w14:paraId="1339E55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0.69</w:t>
            </w:r>
          </w:p>
        </w:tc>
        <w:tc>
          <w:tcPr>
            <w:tcW w:w="3206" w:type="pct"/>
            <w:hideMark/>
          </w:tcPr>
          <w:p w14:paraId="2F1FE47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لتحقيق أهداف تتجاوز التوقعات</w:t>
            </w:r>
            <w:r w:rsidRPr="00D24D70">
              <w:rPr>
                <w:rFonts w:ascii="Traditional Arabic" w:hAnsi="Traditional Arabic" w:cs="Traditional Arabic" w:hint="cs"/>
                <w:color w:val="000000" w:themeColor="text1"/>
                <w:sz w:val="20"/>
                <w:szCs w:val="20"/>
                <w:lang w:bidi="ar-EG"/>
              </w:rPr>
              <w:t>.</w:t>
            </w:r>
          </w:p>
        </w:tc>
      </w:tr>
      <w:tr w:rsidR="00614A5F" w:rsidRPr="00D24D70" w14:paraId="532DC050" w14:textId="77777777" w:rsidTr="007671BB">
        <w:trPr>
          <w:tblCellSpacing w:w="20" w:type="dxa"/>
          <w:jc w:val="right"/>
        </w:trPr>
        <w:tc>
          <w:tcPr>
            <w:tcW w:w="897" w:type="pct"/>
            <w:hideMark/>
          </w:tcPr>
          <w:p w14:paraId="50220A5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4.27</w:t>
            </w:r>
          </w:p>
        </w:tc>
        <w:tc>
          <w:tcPr>
            <w:tcW w:w="898" w:type="pct"/>
            <w:hideMark/>
          </w:tcPr>
          <w:p w14:paraId="44F4302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0.73</w:t>
            </w:r>
          </w:p>
        </w:tc>
        <w:tc>
          <w:tcPr>
            <w:tcW w:w="3206" w:type="pct"/>
            <w:hideMark/>
          </w:tcPr>
          <w:p w14:paraId="66E7517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الإيمان بقدراتهم</w:t>
            </w:r>
            <w:r w:rsidRPr="00D24D70">
              <w:rPr>
                <w:rFonts w:ascii="Traditional Arabic" w:hAnsi="Traditional Arabic" w:cs="Traditional Arabic" w:hint="cs"/>
                <w:color w:val="000000" w:themeColor="text1"/>
                <w:sz w:val="20"/>
                <w:szCs w:val="20"/>
                <w:lang w:bidi="ar-EG"/>
              </w:rPr>
              <w:t>.</w:t>
            </w:r>
          </w:p>
        </w:tc>
      </w:tr>
      <w:tr w:rsidR="00614A5F" w:rsidRPr="00D24D70" w14:paraId="2AE7903C" w14:textId="77777777" w:rsidTr="007671BB">
        <w:trPr>
          <w:tblCellSpacing w:w="20" w:type="dxa"/>
          <w:jc w:val="right"/>
        </w:trPr>
        <w:tc>
          <w:tcPr>
            <w:tcW w:w="897" w:type="pct"/>
            <w:hideMark/>
          </w:tcPr>
          <w:p w14:paraId="1D3794B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4.29</w:t>
            </w:r>
          </w:p>
        </w:tc>
        <w:tc>
          <w:tcPr>
            <w:tcW w:w="898" w:type="pct"/>
            <w:hideMark/>
          </w:tcPr>
          <w:p w14:paraId="78519156"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0.71</w:t>
            </w:r>
          </w:p>
        </w:tc>
        <w:tc>
          <w:tcPr>
            <w:tcW w:w="3206" w:type="pct"/>
            <w:hideMark/>
          </w:tcPr>
          <w:p w14:paraId="6C41946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يُعبر القائد عن رؤية واضحة ومُلهمة للمستقبل</w:t>
            </w:r>
            <w:r w:rsidRPr="00D24D70">
              <w:rPr>
                <w:rFonts w:ascii="Traditional Arabic" w:hAnsi="Traditional Arabic" w:cs="Traditional Arabic" w:hint="cs"/>
                <w:color w:val="000000" w:themeColor="text1"/>
                <w:sz w:val="20"/>
                <w:szCs w:val="20"/>
                <w:lang w:bidi="ar-EG"/>
              </w:rPr>
              <w:t>.</w:t>
            </w:r>
          </w:p>
        </w:tc>
      </w:tr>
      <w:tr w:rsidR="00614A5F" w:rsidRPr="00D24D70" w14:paraId="5C1690C9" w14:textId="77777777" w:rsidTr="007671BB">
        <w:trPr>
          <w:tblCellSpacing w:w="20" w:type="dxa"/>
          <w:jc w:val="right"/>
        </w:trPr>
        <w:tc>
          <w:tcPr>
            <w:tcW w:w="897" w:type="pct"/>
            <w:hideMark/>
          </w:tcPr>
          <w:p w14:paraId="10950CA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4.24</w:t>
            </w:r>
          </w:p>
        </w:tc>
        <w:tc>
          <w:tcPr>
            <w:tcW w:w="898" w:type="pct"/>
            <w:hideMark/>
          </w:tcPr>
          <w:p w14:paraId="4113987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0.75</w:t>
            </w:r>
          </w:p>
        </w:tc>
        <w:tc>
          <w:tcPr>
            <w:tcW w:w="3206" w:type="pct"/>
            <w:hideMark/>
          </w:tcPr>
          <w:p w14:paraId="27CC1A3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يُعزز القائد روح الفريق والتعاون بين العاملين</w:t>
            </w:r>
            <w:r w:rsidRPr="00D24D70">
              <w:rPr>
                <w:rFonts w:ascii="Traditional Arabic" w:hAnsi="Traditional Arabic" w:cs="Traditional Arabic" w:hint="cs"/>
                <w:color w:val="000000" w:themeColor="text1"/>
                <w:sz w:val="20"/>
                <w:szCs w:val="20"/>
                <w:lang w:bidi="ar-EG"/>
              </w:rPr>
              <w:t>.</w:t>
            </w:r>
          </w:p>
        </w:tc>
      </w:tr>
      <w:tr w:rsidR="00614A5F" w:rsidRPr="00D24D70" w14:paraId="1BDC8E76" w14:textId="77777777" w:rsidTr="007671BB">
        <w:trPr>
          <w:tblCellSpacing w:w="20" w:type="dxa"/>
          <w:jc w:val="right"/>
        </w:trPr>
        <w:tc>
          <w:tcPr>
            <w:tcW w:w="897" w:type="pct"/>
            <w:hideMark/>
          </w:tcPr>
          <w:p w14:paraId="68BD62E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4.26</w:t>
            </w:r>
          </w:p>
        </w:tc>
        <w:tc>
          <w:tcPr>
            <w:tcW w:w="898" w:type="pct"/>
            <w:hideMark/>
          </w:tcPr>
          <w:p w14:paraId="4489449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0.72</w:t>
            </w:r>
          </w:p>
        </w:tc>
        <w:tc>
          <w:tcPr>
            <w:tcW w:w="3206" w:type="pct"/>
            <w:hideMark/>
          </w:tcPr>
          <w:p w14:paraId="61191F8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يُستخدم القائد لغة تحفيزية تُشعل الحماس في بيئة العمل</w:t>
            </w:r>
            <w:r w:rsidRPr="00D24D70">
              <w:rPr>
                <w:rFonts w:ascii="Traditional Arabic" w:hAnsi="Traditional Arabic" w:cs="Traditional Arabic" w:hint="cs"/>
                <w:color w:val="000000" w:themeColor="text1"/>
                <w:sz w:val="20"/>
                <w:szCs w:val="20"/>
                <w:lang w:bidi="ar-EG"/>
              </w:rPr>
              <w:t>.</w:t>
            </w:r>
          </w:p>
        </w:tc>
      </w:tr>
      <w:tr w:rsidR="00614A5F" w:rsidRPr="00D24D70" w14:paraId="0E47DC70" w14:textId="77777777" w:rsidTr="007671BB">
        <w:trPr>
          <w:tblCellSpacing w:w="20" w:type="dxa"/>
          <w:jc w:val="right"/>
        </w:trPr>
        <w:tc>
          <w:tcPr>
            <w:tcW w:w="897" w:type="pct"/>
            <w:hideMark/>
          </w:tcPr>
          <w:p w14:paraId="775212B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22A4EC1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2C031BA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ثالثًا: الإعتبارية الفردية</w:t>
            </w:r>
            <w:r w:rsidRPr="00D24D70">
              <w:rPr>
                <w:rFonts w:ascii="Traditional Arabic" w:hAnsi="Traditional Arabic" w:cs="Traditional Arabic" w:hint="cs"/>
                <w:b/>
                <w:bCs/>
                <w:color w:val="000000" w:themeColor="text1"/>
                <w:sz w:val="20"/>
                <w:szCs w:val="20"/>
                <w:lang w:bidi="ar-EG"/>
              </w:rPr>
              <w:t xml:space="preserve"> (Individualized Consideration)</w:t>
            </w:r>
          </w:p>
        </w:tc>
      </w:tr>
      <w:tr w:rsidR="00614A5F" w:rsidRPr="00D24D70" w14:paraId="3866565B" w14:textId="77777777" w:rsidTr="007671BB">
        <w:trPr>
          <w:tblCellSpacing w:w="20" w:type="dxa"/>
          <w:jc w:val="right"/>
        </w:trPr>
        <w:tc>
          <w:tcPr>
            <w:tcW w:w="897" w:type="pct"/>
            <w:hideMark/>
          </w:tcPr>
          <w:p w14:paraId="0EBCF2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4.20</w:t>
            </w:r>
          </w:p>
        </w:tc>
        <w:tc>
          <w:tcPr>
            <w:tcW w:w="898" w:type="pct"/>
            <w:hideMark/>
          </w:tcPr>
          <w:p w14:paraId="01B2AFF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3F158A45"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اهتمامًا فرديًا باحتياجات الموظفين</w:t>
            </w:r>
            <w:r w:rsidRPr="00D24D70">
              <w:rPr>
                <w:rFonts w:ascii="Traditional Arabic" w:hAnsi="Traditional Arabic" w:cs="Traditional Arabic" w:hint="cs"/>
                <w:color w:val="000000" w:themeColor="text1"/>
                <w:sz w:val="20"/>
                <w:szCs w:val="20"/>
                <w:lang w:bidi="ar-EG"/>
              </w:rPr>
              <w:t>.</w:t>
            </w:r>
          </w:p>
        </w:tc>
      </w:tr>
      <w:tr w:rsidR="00614A5F" w:rsidRPr="00D24D70" w14:paraId="0DA43755" w14:textId="77777777" w:rsidTr="007671BB">
        <w:trPr>
          <w:tblCellSpacing w:w="20" w:type="dxa"/>
          <w:jc w:val="right"/>
        </w:trPr>
        <w:tc>
          <w:tcPr>
            <w:tcW w:w="897" w:type="pct"/>
            <w:hideMark/>
          </w:tcPr>
          <w:p w14:paraId="490BB10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4.18</w:t>
            </w:r>
          </w:p>
        </w:tc>
        <w:tc>
          <w:tcPr>
            <w:tcW w:w="898" w:type="pct"/>
            <w:hideMark/>
          </w:tcPr>
          <w:p w14:paraId="60926C4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0.80</w:t>
            </w:r>
          </w:p>
        </w:tc>
        <w:tc>
          <w:tcPr>
            <w:tcW w:w="3206" w:type="pct"/>
            <w:hideMark/>
          </w:tcPr>
          <w:p w14:paraId="6C517FE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يُخصص القائد وقتًا للاستماع لمشكلات العاملين</w:t>
            </w:r>
            <w:r w:rsidRPr="00D24D70">
              <w:rPr>
                <w:rFonts w:ascii="Traditional Arabic" w:hAnsi="Traditional Arabic" w:cs="Traditional Arabic" w:hint="cs"/>
                <w:color w:val="000000" w:themeColor="text1"/>
                <w:sz w:val="20"/>
                <w:szCs w:val="20"/>
                <w:lang w:bidi="ar-EG"/>
              </w:rPr>
              <w:t>.</w:t>
            </w:r>
          </w:p>
        </w:tc>
      </w:tr>
      <w:tr w:rsidR="00614A5F" w:rsidRPr="00D24D70" w14:paraId="0B84122B" w14:textId="77777777" w:rsidTr="007671BB">
        <w:trPr>
          <w:tblCellSpacing w:w="20" w:type="dxa"/>
          <w:jc w:val="right"/>
        </w:trPr>
        <w:tc>
          <w:tcPr>
            <w:tcW w:w="897" w:type="pct"/>
            <w:hideMark/>
          </w:tcPr>
          <w:p w14:paraId="6FEB61C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4.16</w:t>
            </w:r>
          </w:p>
        </w:tc>
        <w:tc>
          <w:tcPr>
            <w:tcW w:w="898" w:type="pct"/>
            <w:hideMark/>
          </w:tcPr>
          <w:p w14:paraId="3412644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0.82</w:t>
            </w:r>
          </w:p>
        </w:tc>
        <w:tc>
          <w:tcPr>
            <w:tcW w:w="3206" w:type="pct"/>
            <w:hideMark/>
          </w:tcPr>
          <w:p w14:paraId="409E147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يُراعي القائد الفروق الفردية في أسلوب التعامل</w:t>
            </w:r>
            <w:r w:rsidRPr="00D24D70">
              <w:rPr>
                <w:rFonts w:ascii="Traditional Arabic" w:hAnsi="Traditional Arabic" w:cs="Traditional Arabic" w:hint="cs"/>
                <w:color w:val="000000" w:themeColor="text1"/>
                <w:sz w:val="20"/>
                <w:szCs w:val="20"/>
                <w:lang w:bidi="ar-EG"/>
              </w:rPr>
              <w:t>.</w:t>
            </w:r>
          </w:p>
        </w:tc>
      </w:tr>
      <w:tr w:rsidR="00614A5F" w:rsidRPr="00D24D70" w14:paraId="77D72086" w14:textId="77777777" w:rsidTr="007671BB">
        <w:trPr>
          <w:tblCellSpacing w:w="20" w:type="dxa"/>
          <w:jc w:val="right"/>
        </w:trPr>
        <w:tc>
          <w:tcPr>
            <w:tcW w:w="897" w:type="pct"/>
            <w:hideMark/>
          </w:tcPr>
          <w:p w14:paraId="64B9B58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4.19</w:t>
            </w:r>
          </w:p>
        </w:tc>
        <w:tc>
          <w:tcPr>
            <w:tcW w:w="898" w:type="pct"/>
            <w:hideMark/>
          </w:tcPr>
          <w:p w14:paraId="437658A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0.79</w:t>
            </w:r>
          </w:p>
        </w:tc>
        <w:tc>
          <w:tcPr>
            <w:tcW w:w="3206" w:type="pct"/>
            <w:hideMark/>
          </w:tcPr>
          <w:p w14:paraId="2E330F1A"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الدعم والتوجيه المناسب لكل موظف</w:t>
            </w:r>
            <w:r w:rsidRPr="00D24D70">
              <w:rPr>
                <w:rFonts w:ascii="Traditional Arabic" w:hAnsi="Traditional Arabic" w:cs="Traditional Arabic" w:hint="cs"/>
                <w:color w:val="000000" w:themeColor="text1"/>
                <w:sz w:val="20"/>
                <w:szCs w:val="20"/>
                <w:lang w:bidi="ar-EG"/>
              </w:rPr>
              <w:t>.</w:t>
            </w:r>
          </w:p>
        </w:tc>
      </w:tr>
      <w:tr w:rsidR="00614A5F" w:rsidRPr="00D24D70" w14:paraId="1D3EC2BD" w14:textId="77777777" w:rsidTr="007671BB">
        <w:trPr>
          <w:tblCellSpacing w:w="20" w:type="dxa"/>
          <w:jc w:val="right"/>
        </w:trPr>
        <w:tc>
          <w:tcPr>
            <w:tcW w:w="897" w:type="pct"/>
            <w:hideMark/>
          </w:tcPr>
          <w:p w14:paraId="1307AAD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4.21</w:t>
            </w:r>
          </w:p>
        </w:tc>
        <w:tc>
          <w:tcPr>
            <w:tcW w:w="898" w:type="pct"/>
            <w:hideMark/>
          </w:tcPr>
          <w:p w14:paraId="2831E52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0.77</w:t>
            </w:r>
          </w:p>
        </w:tc>
        <w:tc>
          <w:tcPr>
            <w:tcW w:w="3206" w:type="pct"/>
            <w:hideMark/>
          </w:tcPr>
          <w:p w14:paraId="1D31DED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تطوير مهاراتهم الشخصية والمهنية</w:t>
            </w:r>
            <w:r w:rsidRPr="00D24D70">
              <w:rPr>
                <w:rFonts w:ascii="Traditional Arabic" w:hAnsi="Traditional Arabic" w:cs="Traditional Arabic" w:hint="cs"/>
                <w:color w:val="000000" w:themeColor="text1"/>
                <w:sz w:val="20"/>
                <w:szCs w:val="20"/>
                <w:lang w:bidi="ar-EG"/>
              </w:rPr>
              <w:t>.</w:t>
            </w:r>
          </w:p>
        </w:tc>
      </w:tr>
      <w:tr w:rsidR="00614A5F" w:rsidRPr="00D24D70" w14:paraId="1E43FE68" w14:textId="77777777" w:rsidTr="007671BB">
        <w:trPr>
          <w:tblCellSpacing w:w="20" w:type="dxa"/>
          <w:jc w:val="right"/>
        </w:trPr>
        <w:tc>
          <w:tcPr>
            <w:tcW w:w="897" w:type="pct"/>
            <w:hideMark/>
          </w:tcPr>
          <w:p w14:paraId="0BC17DF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898" w:type="pct"/>
            <w:hideMark/>
          </w:tcPr>
          <w:p w14:paraId="190A3424"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p>
        </w:tc>
        <w:tc>
          <w:tcPr>
            <w:tcW w:w="3206" w:type="pct"/>
            <w:hideMark/>
          </w:tcPr>
          <w:p w14:paraId="377F008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b/>
                <w:bCs/>
                <w:color w:val="000000" w:themeColor="text1"/>
                <w:sz w:val="20"/>
                <w:szCs w:val="20"/>
                <w:rtl/>
              </w:rPr>
              <w:t>رابعًا: الاستثارة الفكرية</w:t>
            </w:r>
            <w:r w:rsidRPr="00D24D70">
              <w:rPr>
                <w:rFonts w:ascii="Traditional Arabic" w:hAnsi="Traditional Arabic" w:cs="Traditional Arabic" w:hint="cs"/>
                <w:b/>
                <w:bCs/>
                <w:color w:val="000000" w:themeColor="text1"/>
                <w:sz w:val="20"/>
                <w:szCs w:val="20"/>
                <w:lang w:bidi="ar-EG"/>
              </w:rPr>
              <w:t xml:space="preserve"> (Intellectual Stimulation)</w:t>
            </w:r>
          </w:p>
        </w:tc>
      </w:tr>
      <w:tr w:rsidR="00614A5F" w:rsidRPr="00D24D70" w14:paraId="3313E682" w14:textId="77777777" w:rsidTr="007671BB">
        <w:trPr>
          <w:tblCellSpacing w:w="20" w:type="dxa"/>
          <w:jc w:val="right"/>
        </w:trPr>
        <w:tc>
          <w:tcPr>
            <w:tcW w:w="897" w:type="pct"/>
            <w:hideMark/>
          </w:tcPr>
          <w:p w14:paraId="31839A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4.23</w:t>
            </w:r>
          </w:p>
        </w:tc>
        <w:tc>
          <w:tcPr>
            <w:tcW w:w="898" w:type="pct"/>
            <w:hideMark/>
          </w:tcPr>
          <w:p w14:paraId="20CDB51F"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0EAA3730"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التفكير الإبداعي لحل المشكلات</w:t>
            </w:r>
            <w:r w:rsidRPr="00D24D70">
              <w:rPr>
                <w:rFonts w:ascii="Traditional Arabic" w:hAnsi="Traditional Arabic" w:cs="Traditional Arabic" w:hint="cs"/>
                <w:color w:val="000000" w:themeColor="text1"/>
                <w:sz w:val="20"/>
                <w:szCs w:val="20"/>
                <w:lang w:bidi="ar-EG"/>
              </w:rPr>
              <w:t>.</w:t>
            </w:r>
          </w:p>
        </w:tc>
      </w:tr>
      <w:tr w:rsidR="00614A5F" w:rsidRPr="00D24D70" w14:paraId="7C2F4B35" w14:textId="77777777" w:rsidTr="007671BB">
        <w:trPr>
          <w:tblCellSpacing w:w="20" w:type="dxa"/>
          <w:jc w:val="right"/>
        </w:trPr>
        <w:tc>
          <w:tcPr>
            <w:tcW w:w="897" w:type="pct"/>
            <w:hideMark/>
          </w:tcPr>
          <w:p w14:paraId="1D7EDA4D"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4.17</w:t>
            </w:r>
          </w:p>
        </w:tc>
        <w:tc>
          <w:tcPr>
            <w:tcW w:w="898" w:type="pct"/>
            <w:hideMark/>
          </w:tcPr>
          <w:p w14:paraId="268983F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0.81</w:t>
            </w:r>
          </w:p>
        </w:tc>
        <w:tc>
          <w:tcPr>
            <w:tcW w:w="3206" w:type="pct"/>
            <w:hideMark/>
          </w:tcPr>
          <w:p w14:paraId="0498FD05"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على اقتراح أفكار جديدة</w:t>
            </w:r>
            <w:r w:rsidRPr="00D24D70">
              <w:rPr>
                <w:rFonts w:ascii="Traditional Arabic" w:hAnsi="Traditional Arabic" w:cs="Traditional Arabic" w:hint="cs"/>
                <w:color w:val="000000" w:themeColor="text1"/>
                <w:sz w:val="20"/>
                <w:szCs w:val="20"/>
                <w:lang w:bidi="ar-EG"/>
              </w:rPr>
              <w:t>.</w:t>
            </w:r>
          </w:p>
        </w:tc>
      </w:tr>
      <w:tr w:rsidR="00614A5F" w:rsidRPr="00D24D70" w14:paraId="3D4DD894" w14:textId="77777777" w:rsidTr="007671BB">
        <w:trPr>
          <w:tblCellSpacing w:w="20" w:type="dxa"/>
          <w:jc w:val="right"/>
        </w:trPr>
        <w:tc>
          <w:tcPr>
            <w:tcW w:w="897" w:type="pct"/>
            <w:hideMark/>
          </w:tcPr>
          <w:p w14:paraId="3D651868"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4.15</w:t>
            </w:r>
          </w:p>
        </w:tc>
        <w:tc>
          <w:tcPr>
            <w:tcW w:w="898" w:type="pct"/>
            <w:hideMark/>
          </w:tcPr>
          <w:p w14:paraId="6A6613D6"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0.83</w:t>
            </w:r>
          </w:p>
        </w:tc>
        <w:tc>
          <w:tcPr>
            <w:tcW w:w="3206" w:type="pct"/>
            <w:hideMark/>
          </w:tcPr>
          <w:p w14:paraId="6913F293"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على تحدي الطرق التقليدية في العمل</w:t>
            </w:r>
            <w:r w:rsidRPr="00D24D70">
              <w:rPr>
                <w:rFonts w:ascii="Traditional Arabic" w:hAnsi="Traditional Arabic" w:cs="Traditional Arabic" w:hint="cs"/>
                <w:color w:val="000000" w:themeColor="text1"/>
                <w:sz w:val="20"/>
                <w:szCs w:val="20"/>
                <w:lang w:bidi="ar-EG"/>
              </w:rPr>
              <w:t>.</w:t>
            </w:r>
          </w:p>
        </w:tc>
      </w:tr>
      <w:tr w:rsidR="00614A5F" w:rsidRPr="00D24D70" w14:paraId="6C35CDF1" w14:textId="77777777" w:rsidTr="007671BB">
        <w:trPr>
          <w:tblCellSpacing w:w="20" w:type="dxa"/>
          <w:jc w:val="right"/>
        </w:trPr>
        <w:tc>
          <w:tcPr>
            <w:tcW w:w="897" w:type="pct"/>
            <w:hideMark/>
          </w:tcPr>
          <w:p w14:paraId="6E7A842C"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4.20</w:t>
            </w:r>
          </w:p>
        </w:tc>
        <w:tc>
          <w:tcPr>
            <w:tcW w:w="898" w:type="pct"/>
            <w:hideMark/>
          </w:tcPr>
          <w:p w14:paraId="6D2D8717"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0.78</w:t>
            </w:r>
          </w:p>
        </w:tc>
        <w:tc>
          <w:tcPr>
            <w:tcW w:w="3206" w:type="pct"/>
            <w:hideMark/>
          </w:tcPr>
          <w:p w14:paraId="06A467FB"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يُتيح القائد بيئة آمنة لتبادل الآراء والابتكار</w:t>
            </w:r>
            <w:r w:rsidRPr="00D24D70">
              <w:rPr>
                <w:rFonts w:ascii="Traditional Arabic" w:hAnsi="Traditional Arabic" w:cs="Traditional Arabic" w:hint="cs"/>
                <w:color w:val="000000" w:themeColor="text1"/>
                <w:sz w:val="20"/>
                <w:szCs w:val="20"/>
                <w:lang w:bidi="ar-EG"/>
              </w:rPr>
              <w:t>.</w:t>
            </w:r>
          </w:p>
        </w:tc>
      </w:tr>
      <w:tr w:rsidR="00614A5F" w:rsidRPr="00D24D70" w14:paraId="662D9C7C" w14:textId="77777777" w:rsidTr="007671BB">
        <w:trPr>
          <w:tblCellSpacing w:w="20" w:type="dxa"/>
          <w:jc w:val="right"/>
        </w:trPr>
        <w:tc>
          <w:tcPr>
            <w:tcW w:w="897" w:type="pct"/>
            <w:hideMark/>
          </w:tcPr>
          <w:p w14:paraId="672A7482"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lastRenderedPageBreak/>
              <w:t>4.22</w:t>
            </w:r>
          </w:p>
        </w:tc>
        <w:tc>
          <w:tcPr>
            <w:tcW w:w="898" w:type="pct"/>
            <w:hideMark/>
          </w:tcPr>
          <w:p w14:paraId="62C49709"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lang w:bidi="ar-EG"/>
              </w:rPr>
              <w:t>0.76</w:t>
            </w:r>
          </w:p>
        </w:tc>
        <w:tc>
          <w:tcPr>
            <w:tcW w:w="3206" w:type="pct"/>
            <w:hideMark/>
          </w:tcPr>
          <w:p w14:paraId="2AE31F1E" w14:textId="77777777" w:rsidR="00614A5F" w:rsidRPr="00D24D70" w:rsidRDefault="00614A5F" w:rsidP="001A315A">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تحليل المواقف من زوايا متعددة</w:t>
            </w:r>
            <w:r w:rsidRPr="00D24D70">
              <w:rPr>
                <w:rFonts w:ascii="Traditional Arabic" w:hAnsi="Traditional Arabic" w:cs="Traditional Arabic" w:hint="cs"/>
                <w:color w:val="000000" w:themeColor="text1"/>
                <w:sz w:val="20"/>
                <w:szCs w:val="20"/>
                <w:lang w:bidi="ar-EG"/>
              </w:rPr>
              <w:t>.</w:t>
            </w:r>
          </w:p>
        </w:tc>
      </w:tr>
      <w:tr w:rsidR="00614A5F" w:rsidRPr="00D24D70" w14:paraId="2CEACE3E" w14:textId="77777777" w:rsidTr="007671BB">
        <w:trPr>
          <w:tblCellSpacing w:w="20" w:type="dxa"/>
          <w:jc w:val="right"/>
        </w:trPr>
        <w:tc>
          <w:tcPr>
            <w:tcW w:w="5000" w:type="pct"/>
            <w:gridSpan w:val="3"/>
            <w:shd w:val="clear" w:color="auto" w:fill="EAF1DD" w:themeFill="accent3" w:themeFillTint="33"/>
          </w:tcPr>
          <w:p w14:paraId="32561EDD" w14:textId="540D8BCB" w:rsidR="00614A5F" w:rsidRPr="00D24D70" w:rsidRDefault="00614A5F" w:rsidP="00C1475A">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color w:val="000000" w:themeColor="text1"/>
                <w:sz w:val="20"/>
                <w:szCs w:val="20"/>
                <w:rtl/>
              </w:rPr>
              <w:t>سلامة المرضى</w:t>
            </w:r>
          </w:p>
        </w:tc>
      </w:tr>
      <w:tr w:rsidR="00685C64" w:rsidRPr="00D24D70" w14:paraId="6F4DB7E4" w14:textId="77777777" w:rsidTr="007671BB">
        <w:trPr>
          <w:tblCellSpacing w:w="20" w:type="dxa"/>
          <w:jc w:val="right"/>
        </w:trPr>
        <w:tc>
          <w:tcPr>
            <w:tcW w:w="5000" w:type="pct"/>
            <w:gridSpan w:val="3"/>
          </w:tcPr>
          <w:p w14:paraId="6B246BF0" w14:textId="26E4B912"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أولًا: تقليل الأخطاء الطبية</w:t>
            </w:r>
          </w:p>
        </w:tc>
      </w:tr>
      <w:tr w:rsidR="00685C64" w:rsidRPr="00D24D70" w14:paraId="173C60B5" w14:textId="77777777" w:rsidTr="007671BB">
        <w:trPr>
          <w:tblCellSpacing w:w="20" w:type="dxa"/>
          <w:jc w:val="right"/>
        </w:trPr>
        <w:tc>
          <w:tcPr>
            <w:tcW w:w="897" w:type="pct"/>
          </w:tcPr>
          <w:p w14:paraId="1332950D" w14:textId="2F9CAEF2"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4.33</w:t>
            </w:r>
          </w:p>
        </w:tc>
        <w:tc>
          <w:tcPr>
            <w:tcW w:w="898" w:type="pct"/>
          </w:tcPr>
          <w:p w14:paraId="168CD0F1" w14:textId="28F057BA"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0.70</w:t>
            </w:r>
          </w:p>
        </w:tc>
        <w:tc>
          <w:tcPr>
            <w:tcW w:w="3206" w:type="pct"/>
          </w:tcPr>
          <w:p w14:paraId="33387063" w14:textId="27623DEF"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إجراءات واضحة لتقليل الأخطاء الطبية أثناء تقديم الرعاية</w:t>
            </w:r>
            <w:r w:rsidRPr="00D24D70">
              <w:rPr>
                <w:rFonts w:ascii="Traditional Arabic" w:hAnsi="Traditional Arabic" w:cs="Traditional Arabic" w:hint="cs"/>
                <w:sz w:val="20"/>
                <w:szCs w:val="20"/>
              </w:rPr>
              <w:t>.</w:t>
            </w:r>
          </w:p>
        </w:tc>
      </w:tr>
      <w:tr w:rsidR="00685C64" w:rsidRPr="00D24D70" w14:paraId="6374974E" w14:textId="77777777" w:rsidTr="007671BB">
        <w:trPr>
          <w:tblCellSpacing w:w="20" w:type="dxa"/>
          <w:jc w:val="right"/>
        </w:trPr>
        <w:tc>
          <w:tcPr>
            <w:tcW w:w="897" w:type="pct"/>
          </w:tcPr>
          <w:p w14:paraId="0256B1F6" w14:textId="7EEEB89C"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4.25</w:t>
            </w:r>
          </w:p>
        </w:tc>
        <w:tc>
          <w:tcPr>
            <w:tcW w:w="898" w:type="pct"/>
          </w:tcPr>
          <w:p w14:paraId="52F5D24E" w14:textId="272D411E"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0.74</w:t>
            </w:r>
          </w:p>
        </w:tc>
        <w:tc>
          <w:tcPr>
            <w:tcW w:w="3206" w:type="pct"/>
          </w:tcPr>
          <w:p w14:paraId="3B91CD0F" w14:textId="0E27ECE6"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مراجعة سجلات المرضى لتفادي الأخطاء العلاجية</w:t>
            </w:r>
            <w:r w:rsidRPr="00D24D70">
              <w:rPr>
                <w:rFonts w:ascii="Traditional Arabic" w:hAnsi="Traditional Arabic" w:cs="Traditional Arabic" w:hint="cs"/>
                <w:sz w:val="20"/>
                <w:szCs w:val="20"/>
              </w:rPr>
              <w:t>.</w:t>
            </w:r>
          </w:p>
        </w:tc>
      </w:tr>
      <w:tr w:rsidR="00685C64" w:rsidRPr="00D24D70" w14:paraId="53B3E0E9" w14:textId="77777777" w:rsidTr="007671BB">
        <w:trPr>
          <w:tblCellSpacing w:w="20" w:type="dxa"/>
          <w:jc w:val="right"/>
        </w:trPr>
        <w:tc>
          <w:tcPr>
            <w:tcW w:w="897" w:type="pct"/>
          </w:tcPr>
          <w:p w14:paraId="0ADD89E5" w14:textId="2CB7F498"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4.28</w:t>
            </w:r>
          </w:p>
        </w:tc>
        <w:tc>
          <w:tcPr>
            <w:tcW w:w="898" w:type="pct"/>
          </w:tcPr>
          <w:p w14:paraId="6FFFC1A6" w14:textId="282F382C"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0.72</w:t>
            </w:r>
          </w:p>
        </w:tc>
        <w:tc>
          <w:tcPr>
            <w:tcW w:w="3206" w:type="pct"/>
          </w:tcPr>
          <w:p w14:paraId="41B4E4A2" w14:textId="368AB85E"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تدريب العاملين على كيفية تجنب الأخطاء الطبية الشائعة</w:t>
            </w:r>
            <w:r w:rsidRPr="00D24D70">
              <w:rPr>
                <w:rFonts w:ascii="Traditional Arabic" w:hAnsi="Traditional Arabic" w:cs="Traditional Arabic" w:hint="cs"/>
                <w:sz w:val="20"/>
                <w:szCs w:val="20"/>
              </w:rPr>
              <w:t>.</w:t>
            </w:r>
          </w:p>
        </w:tc>
      </w:tr>
      <w:tr w:rsidR="00685C64" w:rsidRPr="00D24D70" w14:paraId="0E7430CA" w14:textId="77777777" w:rsidTr="007671BB">
        <w:trPr>
          <w:tblCellSpacing w:w="20" w:type="dxa"/>
          <w:jc w:val="right"/>
        </w:trPr>
        <w:tc>
          <w:tcPr>
            <w:tcW w:w="897" w:type="pct"/>
          </w:tcPr>
          <w:p w14:paraId="36C81E1E" w14:textId="02CFB37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4.20</w:t>
            </w:r>
          </w:p>
        </w:tc>
        <w:tc>
          <w:tcPr>
            <w:tcW w:w="898" w:type="pct"/>
          </w:tcPr>
          <w:p w14:paraId="363825B6" w14:textId="75246A04"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0.78</w:t>
            </w:r>
          </w:p>
        </w:tc>
        <w:tc>
          <w:tcPr>
            <w:tcW w:w="3206" w:type="pct"/>
          </w:tcPr>
          <w:p w14:paraId="230B9587" w14:textId="1104057B"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الأخطاء الطبية بعد وقوعها لتفادي تكرارها</w:t>
            </w:r>
            <w:r w:rsidRPr="00D24D70">
              <w:rPr>
                <w:rFonts w:ascii="Traditional Arabic" w:hAnsi="Traditional Arabic" w:cs="Traditional Arabic" w:hint="cs"/>
                <w:sz w:val="20"/>
                <w:szCs w:val="20"/>
              </w:rPr>
              <w:t>.</w:t>
            </w:r>
          </w:p>
        </w:tc>
      </w:tr>
      <w:tr w:rsidR="00685C64" w:rsidRPr="00D24D70" w14:paraId="18EF682D" w14:textId="77777777" w:rsidTr="007671BB">
        <w:trPr>
          <w:tblCellSpacing w:w="20" w:type="dxa"/>
          <w:jc w:val="right"/>
        </w:trPr>
        <w:tc>
          <w:tcPr>
            <w:tcW w:w="5000" w:type="pct"/>
            <w:gridSpan w:val="3"/>
          </w:tcPr>
          <w:p w14:paraId="65DAE0D0" w14:textId="62530AFC"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ثانيًا: فعالية أنظمة الإبلاغ</w:t>
            </w:r>
          </w:p>
        </w:tc>
      </w:tr>
      <w:tr w:rsidR="00685C64" w:rsidRPr="00D24D70" w14:paraId="4B31A971" w14:textId="77777777" w:rsidTr="007671BB">
        <w:trPr>
          <w:tblCellSpacing w:w="20" w:type="dxa"/>
          <w:jc w:val="right"/>
        </w:trPr>
        <w:tc>
          <w:tcPr>
            <w:tcW w:w="897" w:type="pct"/>
          </w:tcPr>
          <w:p w14:paraId="337C4D4E" w14:textId="26D95471"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4.22</w:t>
            </w:r>
          </w:p>
        </w:tc>
        <w:tc>
          <w:tcPr>
            <w:tcW w:w="898" w:type="pct"/>
          </w:tcPr>
          <w:p w14:paraId="42AE83B3" w14:textId="7A89464B"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0.76</w:t>
            </w:r>
          </w:p>
        </w:tc>
        <w:tc>
          <w:tcPr>
            <w:tcW w:w="3206" w:type="pct"/>
          </w:tcPr>
          <w:p w14:paraId="3BFF461D" w14:textId="7F5AA3E1"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توجد آلية فعالة للإبلاغ عن الحوادث الطبية داخل المنشأة</w:t>
            </w:r>
            <w:r w:rsidRPr="00D24D70">
              <w:rPr>
                <w:rFonts w:ascii="Traditional Arabic" w:hAnsi="Traditional Arabic" w:cs="Traditional Arabic" w:hint="cs"/>
                <w:sz w:val="20"/>
                <w:szCs w:val="20"/>
              </w:rPr>
              <w:t>.</w:t>
            </w:r>
          </w:p>
        </w:tc>
      </w:tr>
      <w:tr w:rsidR="00685C64" w:rsidRPr="00D24D70" w14:paraId="5964A8B8" w14:textId="77777777" w:rsidTr="007671BB">
        <w:trPr>
          <w:tblCellSpacing w:w="20" w:type="dxa"/>
          <w:jc w:val="right"/>
        </w:trPr>
        <w:tc>
          <w:tcPr>
            <w:tcW w:w="897" w:type="pct"/>
          </w:tcPr>
          <w:p w14:paraId="4B3E24E6" w14:textId="534DD9A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4.10</w:t>
            </w:r>
          </w:p>
        </w:tc>
        <w:tc>
          <w:tcPr>
            <w:tcW w:w="898" w:type="pct"/>
          </w:tcPr>
          <w:p w14:paraId="2A1A6505" w14:textId="6CA40A0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0.84</w:t>
            </w:r>
          </w:p>
        </w:tc>
        <w:tc>
          <w:tcPr>
            <w:tcW w:w="3206" w:type="pct"/>
          </w:tcPr>
          <w:p w14:paraId="51A24602" w14:textId="6C217C0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الإبلاغ عن الأخطاء الطبية دون خوف من العقوبة</w:t>
            </w:r>
            <w:r w:rsidRPr="00D24D70">
              <w:rPr>
                <w:rFonts w:ascii="Traditional Arabic" w:hAnsi="Traditional Arabic" w:cs="Traditional Arabic" w:hint="cs"/>
                <w:sz w:val="20"/>
                <w:szCs w:val="20"/>
              </w:rPr>
              <w:t>.</w:t>
            </w:r>
          </w:p>
        </w:tc>
      </w:tr>
      <w:tr w:rsidR="00685C64" w:rsidRPr="00D24D70" w14:paraId="7CDA3E55" w14:textId="77777777" w:rsidTr="007671BB">
        <w:trPr>
          <w:tblCellSpacing w:w="20" w:type="dxa"/>
          <w:jc w:val="right"/>
        </w:trPr>
        <w:tc>
          <w:tcPr>
            <w:tcW w:w="897" w:type="pct"/>
          </w:tcPr>
          <w:p w14:paraId="05A98D90" w14:textId="5B9F9EC3"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4.18</w:t>
            </w:r>
          </w:p>
        </w:tc>
        <w:tc>
          <w:tcPr>
            <w:tcW w:w="898" w:type="pct"/>
          </w:tcPr>
          <w:p w14:paraId="54A8844F" w14:textId="159A7BAE"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0.79</w:t>
            </w:r>
          </w:p>
        </w:tc>
        <w:tc>
          <w:tcPr>
            <w:tcW w:w="3206" w:type="pct"/>
          </w:tcPr>
          <w:p w14:paraId="5FE8B0FA" w14:textId="628777B5"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التعامل مع البلاغات بسرية واحترافية</w:t>
            </w:r>
            <w:r w:rsidRPr="00D24D70">
              <w:rPr>
                <w:rFonts w:ascii="Traditional Arabic" w:hAnsi="Traditional Arabic" w:cs="Traditional Arabic" w:hint="cs"/>
                <w:sz w:val="20"/>
                <w:szCs w:val="20"/>
              </w:rPr>
              <w:t>.</w:t>
            </w:r>
          </w:p>
        </w:tc>
      </w:tr>
      <w:tr w:rsidR="00685C64" w:rsidRPr="00D24D70" w14:paraId="40F36D1F" w14:textId="77777777" w:rsidTr="007671BB">
        <w:trPr>
          <w:tblCellSpacing w:w="20" w:type="dxa"/>
          <w:jc w:val="right"/>
        </w:trPr>
        <w:tc>
          <w:tcPr>
            <w:tcW w:w="897" w:type="pct"/>
          </w:tcPr>
          <w:p w14:paraId="5B964913" w14:textId="02084F1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4.15</w:t>
            </w:r>
          </w:p>
        </w:tc>
        <w:tc>
          <w:tcPr>
            <w:tcW w:w="898" w:type="pct"/>
          </w:tcPr>
          <w:p w14:paraId="2F7E4408" w14:textId="13D00F1D"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0.81</w:t>
            </w:r>
          </w:p>
        </w:tc>
        <w:tc>
          <w:tcPr>
            <w:tcW w:w="3206" w:type="pct"/>
          </w:tcPr>
          <w:p w14:paraId="1A04B07D" w14:textId="2FE07D8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البلاغات واستخدامها لتحسين جودة الرعاية</w:t>
            </w:r>
            <w:r w:rsidRPr="00D24D70">
              <w:rPr>
                <w:rFonts w:ascii="Traditional Arabic" w:hAnsi="Traditional Arabic" w:cs="Traditional Arabic" w:hint="cs"/>
                <w:sz w:val="20"/>
                <w:szCs w:val="20"/>
              </w:rPr>
              <w:t>.</w:t>
            </w:r>
          </w:p>
        </w:tc>
      </w:tr>
      <w:tr w:rsidR="00685C64" w:rsidRPr="00D24D70" w14:paraId="1371F322" w14:textId="77777777" w:rsidTr="007671BB">
        <w:trPr>
          <w:tblCellSpacing w:w="20" w:type="dxa"/>
          <w:jc w:val="right"/>
        </w:trPr>
        <w:tc>
          <w:tcPr>
            <w:tcW w:w="5000" w:type="pct"/>
            <w:gridSpan w:val="3"/>
          </w:tcPr>
          <w:p w14:paraId="08CBF490" w14:textId="523C015A"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ثالثًا: إشراك المرضى</w:t>
            </w:r>
          </w:p>
        </w:tc>
      </w:tr>
      <w:tr w:rsidR="00685C64" w:rsidRPr="00D24D70" w14:paraId="2E0686C6" w14:textId="77777777" w:rsidTr="007671BB">
        <w:trPr>
          <w:tblCellSpacing w:w="20" w:type="dxa"/>
          <w:jc w:val="right"/>
        </w:trPr>
        <w:tc>
          <w:tcPr>
            <w:tcW w:w="897" w:type="pct"/>
          </w:tcPr>
          <w:p w14:paraId="15892962" w14:textId="630CAFB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4.05</w:t>
            </w:r>
          </w:p>
        </w:tc>
        <w:tc>
          <w:tcPr>
            <w:tcW w:w="898" w:type="pct"/>
          </w:tcPr>
          <w:p w14:paraId="4A0559C3" w14:textId="78BDC70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0.87</w:t>
            </w:r>
          </w:p>
        </w:tc>
        <w:tc>
          <w:tcPr>
            <w:tcW w:w="3206" w:type="pct"/>
          </w:tcPr>
          <w:p w14:paraId="4A515A6B" w14:textId="23899005"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إشراك المرضى في اتخاذ القرارات المتعلقة بعلاجهم</w:t>
            </w:r>
            <w:r w:rsidRPr="00D24D70">
              <w:rPr>
                <w:rFonts w:ascii="Traditional Arabic" w:hAnsi="Traditional Arabic" w:cs="Traditional Arabic" w:hint="cs"/>
                <w:sz w:val="20"/>
                <w:szCs w:val="20"/>
              </w:rPr>
              <w:t>.</w:t>
            </w:r>
          </w:p>
        </w:tc>
      </w:tr>
      <w:tr w:rsidR="00685C64" w:rsidRPr="00D24D70" w14:paraId="0A6C76A7" w14:textId="77777777" w:rsidTr="007671BB">
        <w:trPr>
          <w:tblCellSpacing w:w="20" w:type="dxa"/>
          <w:jc w:val="right"/>
        </w:trPr>
        <w:tc>
          <w:tcPr>
            <w:tcW w:w="897" w:type="pct"/>
          </w:tcPr>
          <w:p w14:paraId="4B6D33D8" w14:textId="6F66CB15"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4.12</w:t>
            </w:r>
          </w:p>
        </w:tc>
        <w:tc>
          <w:tcPr>
            <w:tcW w:w="898" w:type="pct"/>
          </w:tcPr>
          <w:p w14:paraId="376ABE1C" w14:textId="5589D878"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0.83</w:t>
            </w:r>
          </w:p>
        </w:tc>
        <w:tc>
          <w:tcPr>
            <w:tcW w:w="3206" w:type="pct"/>
          </w:tcPr>
          <w:p w14:paraId="150C0D71" w14:textId="2442468B"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توعية المرضى بحقوقهم وواجباتهم داخل المنشأة</w:t>
            </w:r>
            <w:r w:rsidRPr="00D24D70">
              <w:rPr>
                <w:rFonts w:ascii="Traditional Arabic" w:hAnsi="Traditional Arabic" w:cs="Traditional Arabic" w:hint="cs"/>
                <w:sz w:val="20"/>
                <w:szCs w:val="20"/>
              </w:rPr>
              <w:t>.</w:t>
            </w:r>
          </w:p>
        </w:tc>
      </w:tr>
      <w:tr w:rsidR="00685C64" w:rsidRPr="00D24D70" w14:paraId="326095E2" w14:textId="77777777" w:rsidTr="007671BB">
        <w:trPr>
          <w:tblCellSpacing w:w="20" w:type="dxa"/>
          <w:jc w:val="right"/>
        </w:trPr>
        <w:tc>
          <w:tcPr>
            <w:tcW w:w="897" w:type="pct"/>
          </w:tcPr>
          <w:p w14:paraId="7771C45B" w14:textId="1D98F8E5"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4.08</w:t>
            </w:r>
          </w:p>
        </w:tc>
        <w:tc>
          <w:tcPr>
            <w:tcW w:w="898" w:type="pct"/>
          </w:tcPr>
          <w:p w14:paraId="6286DB01" w14:textId="10913E17"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0.85</w:t>
            </w:r>
          </w:p>
        </w:tc>
        <w:tc>
          <w:tcPr>
            <w:tcW w:w="3206" w:type="pct"/>
          </w:tcPr>
          <w:p w14:paraId="6A8CB09E" w14:textId="2F07A41D"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تشجيع المرضى على الإبلاغ عن أي خلل في الرعاية المقدمة</w:t>
            </w:r>
            <w:r w:rsidRPr="00D24D70">
              <w:rPr>
                <w:rFonts w:ascii="Traditional Arabic" w:hAnsi="Traditional Arabic" w:cs="Traditional Arabic" w:hint="cs"/>
                <w:sz w:val="20"/>
                <w:szCs w:val="20"/>
              </w:rPr>
              <w:t>.</w:t>
            </w:r>
          </w:p>
        </w:tc>
      </w:tr>
      <w:tr w:rsidR="00685C64" w:rsidRPr="00D24D70" w14:paraId="6627487E" w14:textId="77777777" w:rsidTr="007671BB">
        <w:trPr>
          <w:tblCellSpacing w:w="20" w:type="dxa"/>
          <w:jc w:val="right"/>
        </w:trPr>
        <w:tc>
          <w:tcPr>
            <w:tcW w:w="897" w:type="pct"/>
          </w:tcPr>
          <w:p w14:paraId="3E62DBF0" w14:textId="532FC95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4.14</w:t>
            </w:r>
          </w:p>
        </w:tc>
        <w:tc>
          <w:tcPr>
            <w:tcW w:w="898" w:type="pct"/>
          </w:tcPr>
          <w:p w14:paraId="719C620C" w14:textId="6B4D1D5F"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0.80</w:t>
            </w:r>
          </w:p>
        </w:tc>
        <w:tc>
          <w:tcPr>
            <w:tcW w:w="3206" w:type="pct"/>
          </w:tcPr>
          <w:p w14:paraId="176A5ABA" w14:textId="086CB9E1"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أخذ ملاحظات المرضى بعين الاعتبار لتحسين الخدمة</w:t>
            </w:r>
            <w:r w:rsidRPr="00D24D70">
              <w:rPr>
                <w:rFonts w:ascii="Traditional Arabic" w:hAnsi="Traditional Arabic" w:cs="Traditional Arabic" w:hint="cs"/>
                <w:sz w:val="20"/>
                <w:szCs w:val="20"/>
              </w:rPr>
              <w:t>.</w:t>
            </w:r>
          </w:p>
        </w:tc>
      </w:tr>
      <w:tr w:rsidR="00685C64" w:rsidRPr="00D24D70" w14:paraId="4B923478" w14:textId="77777777" w:rsidTr="007671BB">
        <w:trPr>
          <w:tblCellSpacing w:w="20" w:type="dxa"/>
          <w:jc w:val="right"/>
        </w:trPr>
        <w:tc>
          <w:tcPr>
            <w:tcW w:w="5000" w:type="pct"/>
            <w:gridSpan w:val="3"/>
          </w:tcPr>
          <w:p w14:paraId="137D5E2A" w14:textId="4E23A3A9" w:rsidR="00685C64" w:rsidRPr="00D24D70" w:rsidRDefault="00685C64"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t>رابعًا: بيئة العمل الآمنة</w:t>
            </w:r>
          </w:p>
        </w:tc>
      </w:tr>
      <w:tr w:rsidR="00685C64" w:rsidRPr="00D24D70" w14:paraId="24DC9BAC" w14:textId="77777777" w:rsidTr="007671BB">
        <w:trPr>
          <w:tblCellSpacing w:w="20" w:type="dxa"/>
          <w:jc w:val="right"/>
        </w:trPr>
        <w:tc>
          <w:tcPr>
            <w:tcW w:w="897" w:type="pct"/>
          </w:tcPr>
          <w:p w14:paraId="42F3B6CF" w14:textId="484A69B4"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4.26</w:t>
            </w:r>
          </w:p>
        </w:tc>
        <w:tc>
          <w:tcPr>
            <w:tcW w:w="898" w:type="pct"/>
          </w:tcPr>
          <w:p w14:paraId="1AB90D86" w14:textId="69C5FA07"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0.74</w:t>
            </w:r>
          </w:p>
        </w:tc>
        <w:tc>
          <w:tcPr>
            <w:tcW w:w="3206" w:type="pct"/>
          </w:tcPr>
          <w:p w14:paraId="48489DDA" w14:textId="6B15BE00"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توفير بيئة عمل آمنة للعاملين والمرضى على حد سواء</w:t>
            </w:r>
            <w:r w:rsidRPr="00D24D70">
              <w:rPr>
                <w:rFonts w:ascii="Traditional Arabic" w:hAnsi="Traditional Arabic" w:cs="Traditional Arabic" w:hint="cs"/>
                <w:sz w:val="20"/>
                <w:szCs w:val="20"/>
              </w:rPr>
              <w:t>.</w:t>
            </w:r>
          </w:p>
        </w:tc>
      </w:tr>
      <w:tr w:rsidR="00685C64" w:rsidRPr="00D24D70" w14:paraId="49830034" w14:textId="77777777" w:rsidTr="007671BB">
        <w:trPr>
          <w:tblCellSpacing w:w="20" w:type="dxa"/>
          <w:jc w:val="right"/>
        </w:trPr>
        <w:tc>
          <w:tcPr>
            <w:tcW w:w="897" w:type="pct"/>
          </w:tcPr>
          <w:p w14:paraId="3E4CE968" w14:textId="3C26EF93"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4.23</w:t>
            </w:r>
          </w:p>
        </w:tc>
        <w:tc>
          <w:tcPr>
            <w:tcW w:w="898" w:type="pct"/>
          </w:tcPr>
          <w:p w14:paraId="27A2FF0B" w14:textId="3CC1B1B2"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0.77</w:t>
            </w:r>
          </w:p>
        </w:tc>
        <w:tc>
          <w:tcPr>
            <w:tcW w:w="3206" w:type="pct"/>
          </w:tcPr>
          <w:p w14:paraId="331F0EAE" w14:textId="6DCAC497"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معايير السلامة المهنية داخل المنشأة</w:t>
            </w:r>
            <w:r w:rsidRPr="00D24D70">
              <w:rPr>
                <w:rFonts w:ascii="Traditional Arabic" w:hAnsi="Traditional Arabic" w:cs="Traditional Arabic" w:hint="cs"/>
                <w:sz w:val="20"/>
                <w:szCs w:val="20"/>
              </w:rPr>
              <w:t>.</w:t>
            </w:r>
          </w:p>
        </w:tc>
      </w:tr>
      <w:tr w:rsidR="00685C64" w:rsidRPr="00D24D70" w14:paraId="7EC40F70" w14:textId="77777777" w:rsidTr="007671BB">
        <w:trPr>
          <w:tblCellSpacing w:w="20" w:type="dxa"/>
          <w:jc w:val="right"/>
        </w:trPr>
        <w:tc>
          <w:tcPr>
            <w:tcW w:w="897" w:type="pct"/>
          </w:tcPr>
          <w:p w14:paraId="41ABA04F" w14:textId="16E4C746"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4.19</w:t>
            </w:r>
          </w:p>
        </w:tc>
        <w:tc>
          <w:tcPr>
            <w:tcW w:w="898" w:type="pct"/>
          </w:tcPr>
          <w:p w14:paraId="7031D33C" w14:textId="61BD89FD"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0.82</w:t>
            </w:r>
          </w:p>
        </w:tc>
        <w:tc>
          <w:tcPr>
            <w:tcW w:w="3206" w:type="pct"/>
          </w:tcPr>
          <w:p w14:paraId="42818B26" w14:textId="3F63ACA4"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صيانة الأجهزة الطبية بشكل دوري لضمان سلامتها</w:t>
            </w:r>
            <w:r w:rsidRPr="00D24D70">
              <w:rPr>
                <w:rFonts w:ascii="Traditional Arabic" w:hAnsi="Traditional Arabic" w:cs="Traditional Arabic" w:hint="cs"/>
                <w:sz w:val="20"/>
                <w:szCs w:val="20"/>
              </w:rPr>
              <w:t>.</w:t>
            </w:r>
          </w:p>
        </w:tc>
      </w:tr>
      <w:tr w:rsidR="00685C64" w:rsidRPr="00D24D70" w14:paraId="228C0DCE" w14:textId="77777777" w:rsidTr="007671BB">
        <w:trPr>
          <w:tblCellSpacing w:w="20" w:type="dxa"/>
          <w:jc w:val="right"/>
        </w:trPr>
        <w:tc>
          <w:tcPr>
            <w:tcW w:w="897" w:type="pct"/>
          </w:tcPr>
          <w:p w14:paraId="42912556" w14:textId="6DE2E179"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4.11</w:t>
            </w:r>
          </w:p>
        </w:tc>
        <w:tc>
          <w:tcPr>
            <w:tcW w:w="898" w:type="pct"/>
          </w:tcPr>
          <w:p w14:paraId="55523293" w14:textId="33F0CD41" w:rsidR="00685C64" w:rsidRPr="00D24D70" w:rsidRDefault="00685C64" w:rsidP="00685C64">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0.86</w:t>
            </w:r>
          </w:p>
        </w:tc>
        <w:tc>
          <w:tcPr>
            <w:tcW w:w="3206" w:type="pct"/>
          </w:tcPr>
          <w:p w14:paraId="4D6B258A" w14:textId="37FEF87A" w:rsidR="00685C64" w:rsidRPr="00D24D70" w:rsidRDefault="00685C64" w:rsidP="00685C64">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تقليل عوامل الإجهاد والتوتر في بيئة العمل</w:t>
            </w:r>
            <w:r w:rsidRPr="00D24D70">
              <w:rPr>
                <w:rFonts w:ascii="Traditional Arabic" w:hAnsi="Traditional Arabic" w:cs="Traditional Arabic" w:hint="cs"/>
                <w:sz w:val="20"/>
                <w:szCs w:val="20"/>
              </w:rPr>
              <w:t>.</w:t>
            </w:r>
          </w:p>
        </w:tc>
      </w:tr>
      <w:tr w:rsidR="006D516E" w:rsidRPr="00D24D70" w14:paraId="4C13816F" w14:textId="77777777" w:rsidTr="007671BB">
        <w:trPr>
          <w:tblCellSpacing w:w="20" w:type="dxa"/>
          <w:jc w:val="right"/>
        </w:trPr>
        <w:tc>
          <w:tcPr>
            <w:tcW w:w="5000" w:type="pct"/>
            <w:gridSpan w:val="3"/>
          </w:tcPr>
          <w:p w14:paraId="5385B8E8" w14:textId="4B8F2D32" w:rsidR="006D516E" w:rsidRPr="00D24D70" w:rsidRDefault="006D516E" w:rsidP="00685C64">
            <w:pPr>
              <w:bidi/>
              <w:spacing w:after="200" w:line="276" w:lineRule="auto"/>
              <w:rPr>
                <w:rFonts w:ascii="Traditional Arabic" w:hAnsi="Traditional Arabic" w:cs="Traditional Arabic"/>
                <w:b/>
                <w:bCs/>
                <w:color w:val="000000" w:themeColor="text1"/>
                <w:sz w:val="20"/>
                <w:szCs w:val="20"/>
                <w:rtl/>
              </w:rPr>
            </w:pPr>
            <w:r w:rsidRPr="00D24D70">
              <w:rPr>
                <w:rFonts w:ascii="Traditional Arabic" w:hAnsi="Traditional Arabic" w:cs="Traditional Arabic" w:hint="cs"/>
                <w:b/>
                <w:bCs/>
                <w:sz w:val="20"/>
                <w:szCs w:val="20"/>
                <w:rtl/>
              </w:rPr>
              <w:lastRenderedPageBreak/>
              <w:t>خامسًا: جودة الرعاية السريرية</w:t>
            </w:r>
          </w:p>
        </w:tc>
      </w:tr>
      <w:tr w:rsidR="006D516E" w:rsidRPr="00D24D70" w14:paraId="0286519E" w14:textId="77777777" w:rsidTr="007671BB">
        <w:trPr>
          <w:tblCellSpacing w:w="20" w:type="dxa"/>
          <w:jc w:val="right"/>
        </w:trPr>
        <w:tc>
          <w:tcPr>
            <w:tcW w:w="897" w:type="pct"/>
          </w:tcPr>
          <w:p w14:paraId="028CFDDE" w14:textId="04679DD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4.30</w:t>
            </w:r>
          </w:p>
        </w:tc>
        <w:tc>
          <w:tcPr>
            <w:tcW w:w="898" w:type="pct"/>
          </w:tcPr>
          <w:p w14:paraId="75F3E83D" w14:textId="161DF108"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0.71</w:t>
            </w:r>
          </w:p>
        </w:tc>
        <w:tc>
          <w:tcPr>
            <w:tcW w:w="3206" w:type="pct"/>
          </w:tcPr>
          <w:p w14:paraId="29216E04" w14:textId="15B489CA"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تقديم الرعاية السريرية وفقًا لأحدث البروتوكولات الطبية</w:t>
            </w:r>
            <w:r w:rsidRPr="00D24D70">
              <w:rPr>
                <w:rFonts w:ascii="Traditional Arabic" w:hAnsi="Traditional Arabic" w:cs="Traditional Arabic" w:hint="cs"/>
                <w:sz w:val="20"/>
                <w:szCs w:val="20"/>
              </w:rPr>
              <w:t>.</w:t>
            </w:r>
          </w:p>
        </w:tc>
      </w:tr>
      <w:tr w:rsidR="006D516E" w:rsidRPr="00D24D70" w14:paraId="00CFD816" w14:textId="77777777" w:rsidTr="007671BB">
        <w:trPr>
          <w:tblCellSpacing w:w="20" w:type="dxa"/>
          <w:jc w:val="right"/>
        </w:trPr>
        <w:tc>
          <w:tcPr>
            <w:tcW w:w="897" w:type="pct"/>
          </w:tcPr>
          <w:p w14:paraId="703611B2" w14:textId="4A16C19B"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4.22</w:t>
            </w:r>
          </w:p>
        </w:tc>
        <w:tc>
          <w:tcPr>
            <w:tcW w:w="898" w:type="pct"/>
          </w:tcPr>
          <w:p w14:paraId="6551C94E" w14:textId="660E2C2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0.78</w:t>
            </w:r>
          </w:p>
        </w:tc>
        <w:tc>
          <w:tcPr>
            <w:tcW w:w="3206" w:type="pct"/>
          </w:tcPr>
          <w:p w14:paraId="0DA4A80E" w14:textId="48BFB924"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تقييم جودة الرعاية السريرية بشكل دوري</w:t>
            </w:r>
            <w:r w:rsidRPr="00D24D70">
              <w:rPr>
                <w:rFonts w:ascii="Traditional Arabic" w:hAnsi="Traditional Arabic" w:cs="Traditional Arabic" w:hint="cs"/>
                <w:sz w:val="20"/>
                <w:szCs w:val="20"/>
              </w:rPr>
              <w:t>.</w:t>
            </w:r>
          </w:p>
        </w:tc>
      </w:tr>
      <w:tr w:rsidR="006D516E" w:rsidRPr="00D24D70" w14:paraId="7BC61ED0" w14:textId="77777777" w:rsidTr="007671BB">
        <w:trPr>
          <w:tblCellSpacing w:w="20" w:type="dxa"/>
          <w:jc w:val="right"/>
        </w:trPr>
        <w:tc>
          <w:tcPr>
            <w:tcW w:w="897" w:type="pct"/>
          </w:tcPr>
          <w:p w14:paraId="40A183E8" w14:textId="7E2E7B08"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4.24</w:t>
            </w:r>
          </w:p>
        </w:tc>
        <w:tc>
          <w:tcPr>
            <w:tcW w:w="898" w:type="pct"/>
          </w:tcPr>
          <w:p w14:paraId="0F4E32CD" w14:textId="5832E3C1"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0.75</w:t>
            </w:r>
          </w:p>
        </w:tc>
        <w:tc>
          <w:tcPr>
            <w:tcW w:w="3206" w:type="pct"/>
          </w:tcPr>
          <w:p w14:paraId="45FFA768" w14:textId="33585B13"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تدريب العاملين على المهارات السريرية الحديثة</w:t>
            </w:r>
            <w:r w:rsidRPr="00D24D70">
              <w:rPr>
                <w:rFonts w:ascii="Traditional Arabic" w:hAnsi="Traditional Arabic" w:cs="Traditional Arabic" w:hint="cs"/>
                <w:sz w:val="20"/>
                <w:szCs w:val="20"/>
              </w:rPr>
              <w:t>.</w:t>
            </w:r>
          </w:p>
        </w:tc>
      </w:tr>
      <w:tr w:rsidR="006D516E" w:rsidRPr="00D24D70" w14:paraId="6CC29E52" w14:textId="77777777" w:rsidTr="007671BB">
        <w:trPr>
          <w:tblCellSpacing w:w="20" w:type="dxa"/>
          <w:jc w:val="right"/>
        </w:trPr>
        <w:tc>
          <w:tcPr>
            <w:tcW w:w="897" w:type="pct"/>
          </w:tcPr>
          <w:p w14:paraId="3CE4D3D3" w14:textId="5FAABA52"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4.27</w:t>
            </w:r>
          </w:p>
        </w:tc>
        <w:tc>
          <w:tcPr>
            <w:tcW w:w="898" w:type="pct"/>
          </w:tcPr>
          <w:p w14:paraId="319F0B43" w14:textId="33BAD480" w:rsidR="006D516E" w:rsidRPr="00D24D70" w:rsidRDefault="006D516E" w:rsidP="006D516E">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sz w:val="20"/>
                <w:szCs w:val="20"/>
              </w:rPr>
              <w:t>0.73</w:t>
            </w:r>
          </w:p>
        </w:tc>
        <w:tc>
          <w:tcPr>
            <w:tcW w:w="3206" w:type="pct"/>
          </w:tcPr>
          <w:p w14:paraId="3D7FD95D" w14:textId="2176FDE1" w:rsidR="006D516E" w:rsidRPr="00D24D70" w:rsidRDefault="006D516E" w:rsidP="006D516E">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متابعة نتائج العلاج لضمان فعاليته وسلامة المرضى</w:t>
            </w:r>
            <w:r w:rsidRPr="00D24D70">
              <w:rPr>
                <w:rFonts w:ascii="Traditional Arabic" w:hAnsi="Traditional Arabic" w:cs="Traditional Arabic" w:hint="cs"/>
                <w:sz w:val="20"/>
                <w:szCs w:val="20"/>
              </w:rPr>
              <w:t>.</w:t>
            </w:r>
          </w:p>
        </w:tc>
      </w:tr>
    </w:tbl>
    <w:p w14:paraId="7C9917D3" w14:textId="7E96CCEC" w:rsidR="00E12BFB" w:rsidRPr="00CD7441" w:rsidRDefault="00DF67BA" w:rsidP="00CD7441">
      <w:pPr>
        <w:bidi/>
        <w:spacing w:after="200" w:line="360" w:lineRule="auto"/>
        <w:ind w:firstLine="720"/>
        <w:jc w:val="both"/>
        <w:rPr>
          <w:rFonts w:ascii="Traditional Arabic" w:hAnsi="Traditional Arabic" w:cs="Traditional Arabic"/>
          <w:color w:val="000000" w:themeColor="text1"/>
          <w:sz w:val="24"/>
          <w:szCs w:val="24"/>
          <w:rtl/>
          <w:lang w:bidi="ar-EG"/>
        </w:rPr>
      </w:pPr>
      <w:r w:rsidRPr="007671BB">
        <w:rPr>
          <w:rFonts w:ascii="Traditional Arabic" w:hAnsi="Traditional Arabic" w:cs="Traditional Arabic" w:hint="cs"/>
          <w:color w:val="000000" w:themeColor="text1"/>
          <w:sz w:val="24"/>
          <w:szCs w:val="24"/>
          <w:rtl/>
        </w:rPr>
        <w:t xml:space="preserve">أظهرت نتائج التحليل الوصفي لمتغيرات الدراسة الثلاثة (إدارة المخاطر، القيادة التحويلية، وسلامة المرضى) أن المتوسطات الحسابية لجميع العبارات تراوحت بين (4.03 – 4.35)، وهي تقع ضمن المستوى المرتفع على مقياس ليكرت الخماسي، مما يدل على اتفاق كبير بين أفراد العينة (ن = 200) حول توافر الممارسات المستهدفة في بيئة العمل. ويُعزز هذا الاتجاه الإيجابي انخفاض قيم الانحراف المعياري التي تراوحت بين (0.68 – 0.91)، مما يعكس تجانسًا واضحًا في استجابات المشاركين، ويُشير إلى أن التقديرات لم تكن متباينة بشكل كبير بين الأفراد. فعلى سبيل المثال، سجلت عبارات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يُظهر القائد سلوكًا أخلاقيًا يُحتذى به</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و</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تطبيق إجراءات واضحة لتقليل الأخطاء الطبية</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 xml:space="preserve">أعلى المتوسطات وأدنى انحرافات معيارية، مما يدل على وجود إدراك جماعي قوي لهذه الممارسات. في المقابل، فإن بعض العبارات التي ارتبطت بممارسات أكثر تخصصًا أو تتطلب تنسيقًا متعدد المستويات،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إشراك فرق متعددة التخصصات في تحليل المخاطر المعقدة</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 جاءت بانحراف معياري أعلى نسبيًا، مما قد يعكس تفاوتًا في التطبيق العملي بين الأقسام أو المنشآت. وتُشير هذه النتائج مجتمعة إلى أن بيئة العمل المدروسة تتسم بدرجة عالية من التنظيم والالتزام بمعايير الجودة والسلامة، مدعومة بقيادة تحويلية فعالة، وأن هناك وعيًا مؤسسيًا متقدمًا بأهمية إدارة المخاطر وإشراك المرضى وتوفير بيئة داعمة للعاملين، وهو ما يُعد مؤشرًا إيجابيًا على نضج الثقافة التنظيمية في القطاع الصحي محل الدراسة</w:t>
      </w:r>
      <w:r w:rsidRPr="007671BB">
        <w:rPr>
          <w:rFonts w:ascii="Traditional Arabic" w:hAnsi="Traditional Arabic" w:cs="Traditional Arabic" w:hint="cs"/>
          <w:color w:val="000000" w:themeColor="text1"/>
          <w:sz w:val="24"/>
          <w:szCs w:val="24"/>
          <w:lang w:bidi="ar-EG"/>
        </w:rPr>
        <w:t>.</w:t>
      </w:r>
    </w:p>
    <w:p w14:paraId="30111B52" w14:textId="2E5E8ECD" w:rsidR="00E448FC" w:rsidRPr="006A014B" w:rsidRDefault="00E448FC" w:rsidP="00E12BF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الخصائص السيكومترية</w:t>
      </w:r>
      <w:r w:rsidRPr="006A014B">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ل</w:t>
      </w:r>
      <w:r w:rsidRPr="006A014B">
        <w:rPr>
          <w:rFonts w:ascii="Traditional Arabic" w:hAnsi="Traditional Arabic" w:cs="Traditional Arabic" w:hint="cs"/>
          <w:b/>
          <w:bCs/>
          <w:color w:val="000000" w:themeColor="text1"/>
          <w:sz w:val="28"/>
          <w:szCs w:val="28"/>
          <w:rtl/>
        </w:rPr>
        <w:t>أداة الدراسة :</w:t>
      </w:r>
    </w:p>
    <w:p w14:paraId="1B51D3C3"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بعد الاطلاع على الأدب النظري والدراسات السابقة ذات الصلة بموضوع تأثير إدارة المخاطر على سلامة المرضى والدور الوسيط للقيادة التحويلية، تم تحديد متغيرات الدراسة على النحو الآتي: المتغير المستقل هو إدارة المخاطر، والمتغير الوسيط هو القيادة التحويلية، أما المتغير التابع فهو سلامة المرضى</w:t>
      </w:r>
      <w:r w:rsidRPr="006A014B">
        <w:rPr>
          <w:rFonts w:ascii="Traditional Arabic" w:hAnsi="Traditional Arabic" w:cs="Traditional Arabic" w:hint="cs"/>
          <w:color w:val="000000" w:themeColor="text1"/>
          <w:sz w:val="24"/>
          <w:szCs w:val="24"/>
        </w:rPr>
        <w:t xml:space="preserve">. </w:t>
      </w:r>
      <w:r w:rsidRPr="006A014B">
        <w:rPr>
          <w:rFonts w:ascii="Traditional Arabic" w:hAnsi="Traditional Arabic" w:cs="Traditional Arabic" w:hint="cs"/>
          <w:color w:val="000000" w:themeColor="text1"/>
          <w:sz w:val="24"/>
          <w:szCs w:val="24"/>
          <w:rtl/>
        </w:rPr>
        <w:t>وقد تناولت العديد من الدراسات العربية والأجنبية هذه المتغيرات وأكدت على أهميتها في بيئة الرعاية الصحية. فعلى سبيل المثال، دراسة أبو رمان (2019)، ودراسة الأحمدي (1438هـ)، ودراسة علي وآخرون (2021)، ودراسة فريحات والشرعة (2020)، ودراسة الخطيب (2018)، ودراسة السبيعي (2017)، ودراسة العسيري (2021)، ودراسة الطروني (2017)، ودراسة عبدالمجيد (2024)، ودراسة الأكاديمية البريطانية للتدريب والتطوير (2023). أما الدراسات الأجنبية فقد شملت دراسة</w:t>
      </w:r>
      <w:r w:rsidRPr="006A014B">
        <w:rPr>
          <w:rFonts w:ascii="Traditional Arabic" w:hAnsi="Traditional Arabic" w:cs="Traditional Arabic" w:hint="cs"/>
          <w:color w:val="000000" w:themeColor="text1"/>
          <w:sz w:val="24"/>
          <w:szCs w:val="24"/>
        </w:rPr>
        <w:t xml:space="preserve"> Abou-Moghli (2018)</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Alam (2016)</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Anderson </w:t>
      </w:r>
      <w:r w:rsidRPr="006A014B">
        <w:rPr>
          <w:rFonts w:ascii="Traditional Arabic" w:hAnsi="Traditional Arabic" w:cs="Traditional Arabic" w:hint="cs"/>
          <w:color w:val="000000" w:themeColor="text1"/>
          <w:sz w:val="24"/>
          <w:szCs w:val="24"/>
          <w:rtl/>
        </w:rPr>
        <w:t>وآخرون (2021)، ودراسة</w:t>
      </w:r>
      <w:r w:rsidRPr="006A014B">
        <w:rPr>
          <w:rFonts w:ascii="Traditional Arabic" w:hAnsi="Traditional Arabic" w:cs="Traditional Arabic" w:hint="cs"/>
          <w:color w:val="000000" w:themeColor="text1"/>
          <w:sz w:val="24"/>
          <w:szCs w:val="24"/>
        </w:rPr>
        <w:t xml:space="preserve"> Bagga </w:t>
      </w:r>
      <w:r w:rsidRPr="006A014B">
        <w:rPr>
          <w:rFonts w:ascii="Traditional Arabic" w:hAnsi="Traditional Arabic" w:cs="Traditional Arabic" w:hint="cs"/>
          <w:color w:val="000000" w:themeColor="text1"/>
          <w:sz w:val="24"/>
          <w:szCs w:val="24"/>
          <w:rtl/>
        </w:rPr>
        <w:t xml:space="preserve">وآخرون (2023)، </w:t>
      </w:r>
      <w:r w:rsidRPr="006A014B">
        <w:rPr>
          <w:rFonts w:ascii="Traditional Arabic" w:hAnsi="Traditional Arabic" w:cs="Traditional Arabic" w:hint="cs"/>
          <w:color w:val="000000" w:themeColor="text1"/>
          <w:sz w:val="24"/>
          <w:szCs w:val="24"/>
          <w:rtl/>
        </w:rPr>
        <w:lastRenderedPageBreak/>
        <w:t>ودراسة</w:t>
      </w:r>
      <w:r w:rsidRPr="006A014B">
        <w:rPr>
          <w:rFonts w:ascii="Traditional Arabic" w:hAnsi="Traditional Arabic" w:cs="Traditional Arabic" w:hint="cs"/>
          <w:color w:val="000000" w:themeColor="text1"/>
          <w:sz w:val="24"/>
          <w:szCs w:val="24"/>
        </w:rPr>
        <w:t xml:space="preserve"> Flin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Gill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Kuoppala </w:t>
      </w:r>
      <w:r w:rsidRPr="006A014B">
        <w:rPr>
          <w:rFonts w:ascii="Traditional Arabic" w:hAnsi="Traditional Arabic" w:cs="Traditional Arabic" w:hint="cs"/>
          <w:color w:val="000000" w:themeColor="text1"/>
          <w:sz w:val="24"/>
          <w:szCs w:val="24"/>
          <w:rtl/>
        </w:rPr>
        <w:t>وآخرون (2008)، ودراسة</w:t>
      </w:r>
      <w:r w:rsidRPr="006A014B">
        <w:rPr>
          <w:rFonts w:ascii="Traditional Arabic" w:hAnsi="Traditional Arabic" w:cs="Traditional Arabic" w:hint="cs"/>
          <w:color w:val="000000" w:themeColor="text1"/>
          <w:sz w:val="24"/>
          <w:szCs w:val="24"/>
        </w:rPr>
        <w:t xml:space="preserve"> Liu </w:t>
      </w:r>
      <w:r w:rsidRPr="006A014B">
        <w:rPr>
          <w:rFonts w:ascii="Traditional Arabic" w:hAnsi="Traditional Arabic" w:cs="Traditional Arabic" w:hint="cs"/>
          <w:color w:val="000000" w:themeColor="text1"/>
          <w:sz w:val="24"/>
          <w:szCs w:val="24"/>
          <w:rtl/>
        </w:rPr>
        <w:t>وآخرون (2019)، ودراسة</w:t>
      </w:r>
      <w:r w:rsidRPr="006A014B">
        <w:rPr>
          <w:rFonts w:ascii="Traditional Arabic" w:hAnsi="Traditional Arabic" w:cs="Traditional Arabic" w:hint="cs"/>
          <w:color w:val="000000" w:themeColor="text1"/>
          <w:sz w:val="24"/>
          <w:szCs w:val="24"/>
        </w:rPr>
        <w:t xml:space="preserve"> Smith </w:t>
      </w:r>
      <w:r w:rsidRPr="006A014B">
        <w:rPr>
          <w:rFonts w:ascii="Traditional Arabic" w:hAnsi="Traditional Arabic" w:cs="Traditional Arabic" w:hint="cs"/>
          <w:color w:val="000000" w:themeColor="text1"/>
          <w:sz w:val="24"/>
          <w:szCs w:val="24"/>
          <w:rtl/>
        </w:rPr>
        <w:t>وآخرون (2017)، ودراسة</w:t>
      </w:r>
      <w:r w:rsidRPr="006A014B">
        <w:rPr>
          <w:rFonts w:ascii="Traditional Arabic" w:hAnsi="Traditional Arabic" w:cs="Traditional Arabic" w:hint="cs"/>
          <w:color w:val="000000" w:themeColor="text1"/>
          <w:sz w:val="24"/>
          <w:szCs w:val="24"/>
        </w:rPr>
        <w:t xml:space="preserve"> World Health Organization </w:t>
      </w:r>
      <w:r w:rsidRPr="006A014B">
        <w:rPr>
          <w:rFonts w:ascii="Traditional Arabic" w:hAnsi="Traditional Arabic" w:cs="Traditional Arabic" w:hint="cs"/>
          <w:color w:val="000000" w:themeColor="text1"/>
          <w:sz w:val="24"/>
          <w:szCs w:val="24"/>
          <w:rtl/>
        </w:rPr>
        <w:t xml:space="preserve"> </w:t>
      </w:r>
      <w:r w:rsidRPr="006A014B">
        <w:rPr>
          <w:rFonts w:ascii="Traditional Arabic" w:hAnsi="Traditional Arabic" w:cs="Traditional Arabic" w:hint="cs"/>
          <w:color w:val="000000" w:themeColor="text1"/>
          <w:sz w:val="24"/>
          <w:szCs w:val="24"/>
        </w:rPr>
        <w:t xml:space="preserve">(2024). </w:t>
      </w:r>
      <w:r w:rsidRPr="006A014B">
        <w:rPr>
          <w:rFonts w:ascii="Traditional Arabic" w:hAnsi="Traditional Arabic" w:cs="Traditional Arabic" w:hint="cs"/>
          <w:color w:val="000000" w:themeColor="text1"/>
          <w:sz w:val="24"/>
          <w:szCs w:val="24"/>
          <w:rtl/>
        </w:rPr>
        <w:t xml:space="preserve"> وتؤكد هذه الدراسات مجتمعة أن إدارة المخاطر والقيادة التحويلية يشكلان إطارًا متكاملًا يسهم في تعزيز سلامة المرضى وتحسين جودة الخدمات الصحية</w:t>
      </w:r>
      <w:r w:rsidRPr="006A014B">
        <w:rPr>
          <w:rFonts w:ascii="Traditional Arabic" w:hAnsi="Traditional Arabic" w:cs="Traditional Arabic" w:hint="cs"/>
          <w:color w:val="000000" w:themeColor="text1"/>
          <w:sz w:val="24"/>
          <w:szCs w:val="24"/>
        </w:rPr>
        <w:t>.</w:t>
      </w:r>
    </w:p>
    <w:p w14:paraId="2D359172"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أداة الدراسة في هذا البحث تمثلت في استبانة مقننة صُممت لتتناسب مع طبيعة مجتمع الدراسة وواقع المستشفيات الحكومية في المملكة العربية السعودية. وقد خضعت الأداة لاختبارات الصدق من خلال عرضها على مجموعة من المحكمين المتخصصين للتأكد من ملاءمة فقراتها لأهداف البحث، كما تم اختبار ثباتها باستخدام معامل كرونباخ ألفا الذي أظهر مستوى مقبولًا من الاتساق الداخلي. وبناءً على ذلك، جرى تعديل بعض الفقرات بما يتناسب مع خصوصية مجتمع الدراسة وظروفه، لتصبح الأداة أكثر دقة وملاءمة في قياس المتغيرات المستهدفة</w:t>
      </w:r>
      <w:r w:rsidRPr="006A014B">
        <w:rPr>
          <w:rFonts w:ascii="Traditional Arabic" w:hAnsi="Traditional Arabic" w:cs="Traditional Arabic" w:hint="cs"/>
          <w:color w:val="000000" w:themeColor="text1"/>
          <w:sz w:val="24"/>
          <w:szCs w:val="24"/>
        </w:rPr>
        <w:t>.</w:t>
      </w:r>
    </w:p>
    <w:p w14:paraId="7B197F54"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أداة الدراسة تمثلت في استبانة صُممت لقياس المتغيرات الثلاثة الرئيسة، وقد اشتملت على مجموعة من المحاور موزعة على عدد محدد من العبارات لكل محور على النحو التالي</w:t>
      </w:r>
      <w:r w:rsidRPr="008D2632">
        <w:rPr>
          <w:rFonts w:ascii="Traditional Arabic" w:hAnsi="Traditional Arabic" w:cs="Traditional Arabic" w:hint="cs"/>
          <w:color w:val="000000" w:themeColor="text1"/>
          <w:sz w:val="24"/>
          <w:szCs w:val="24"/>
        </w:rPr>
        <w:t>:</w:t>
      </w:r>
    </w:p>
    <w:p w14:paraId="1C36AD35" w14:textId="77777777" w:rsidR="00E448FC" w:rsidRPr="008D2632" w:rsidRDefault="00E448FC">
      <w:pPr>
        <w:numPr>
          <w:ilvl w:val="0"/>
          <w:numId w:val="37"/>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القيادة التحويلية: تضمنت أربعة محاور رئيسة هي التأثير المثالي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الدافعية الإلهامية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الاعتبارية الفردية (٥ عبارات)، والاستثارة الفكرية (٥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789F8F1C" w14:textId="77777777" w:rsidR="00E448FC" w:rsidRPr="008D2632" w:rsidRDefault="00E448FC">
      <w:pPr>
        <w:numPr>
          <w:ilvl w:val="0"/>
          <w:numId w:val="37"/>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سلامة المرضى: اشتملت على خمسة محاور هي تقليل الأخطاء الطبية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فعالية أنظمة الإبلاغ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إشراك المرضى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بيئة العمل الآمنة (٤ عبارات)، وجودة الرعاية السريرية (٤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1C42229B"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tl/>
        </w:rPr>
      </w:pPr>
      <w:r w:rsidRPr="008D2632">
        <w:rPr>
          <w:rFonts w:ascii="Traditional Arabic" w:hAnsi="Traditional Arabic" w:cs="Traditional Arabic" w:hint="cs"/>
          <w:color w:val="000000" w:themeColor="text1"/>
          <w:sz w:val="24"/>
          <w:szCs w:val="24"/>
          <w:rtl/>
        </w:rPr>
        <w:t xml:space="preserve">وبذلك بلغ العدد الكلي لعبارات الاستبانة </w:t>
      </w:r>
      <w:r w:rsidRPr="008D2632">
        <w:rPr>
          <w:rFonts w:ascii="Traditional Arabic" w:hAnsi="Traditional Arabic" w:cs="Traditional Arabic" w:hint="cs"/>
          <w:color w:val="000000" w:themeColor="text1"/>
          <w:sz w:val="24"/>
          <w:szCs w:val="24"/>
        </w:rPr>
        <w:t xml:space="preserve">60 </w:t>
      </w:r>
      <w:r w:rsidRPr="008D2632">
        <w:rPr>
          <w:rFonts w:ascii="Traditional Arabic" w:hAnsi="Traditional Arabic" w:cs="Traditional Arabic" w:hint="cs"/>
          <w:color w:val="000000" w:themeColor="text1"/>
          <w:sz w:val="24"/>
          <w:szCs w:val="24"/>
          <w:rtl/>
        </w:rPr>
        <w:t>عبارة موزعة على المحاور الثلاثة، بما يضمن شمولية الأداة وقدرتها على قياس المتغيرات المستهدفة بدقة وارتباطها بواقع مجتمع الدراسة</w:t>
      </w:r>
      <w:r w:rsidRPr="008D2632">
        <w:rPr>
          <w:rFonts w:ascii="Traditional Arabic" w:hAnsi="Traditional Arabic" w:cs="Traditional Arabic" w:hint="cs"/>
          <w:color w:val="000000" w:themeColor="text1"/>
          <w:sz w:val="24"/>
          <w:szCs w:val="24"/>
        </w:rPr>
        <w:t>.</w:t>
      </w:r>
    </w:p>
    <w:p w14:paraId="30364A7C"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2B42E0">
        <w:rPr>
          <w:rFonts w:ascii="Traditional Arabic" w:hAnsi="Traditional Arabic" w:cs="Traditional Arabic" w:hint="cs"/>
          <w:color w:val="000000" w:themeColor="text1"/>
          <w:sz w:val="24"/>
          <w:szCs w:val="24"/>
          <w:rtl/>
        </w:rPr>
        <w:t xml:space="preserve">في سياق تنفيذ الإجراءات الميدانية، حرصت الباحثة على تنويع أسلوب توزيع الاستبانة بما يضمن الوصول إلى أكبر عدد ممكن من أفراد العينة، ويعكس مرونة في التعامل مع الواقع العملي داخل المرافق الصحية الحكومية. فقد تم توزيع </w:t>
      </w:r>
      <w:r w:rsidRPr="002B42E0">
        <w:rPr>
          <w:rFonts w:ascii="Traditional Arabic" w:hAnsi="Traditional Arabic" w:cs="Traditional Arabic" w:hint="cs"/>
          <w:color w:val="000000" w:themeColor="text1"/>
          <w:sz w:val="24"/>
          <w:szCs w:val="24"/>
        </w:rPr>
        <w:t xml:space="preserve">200 </w:t>
      </w:r>
      <w:r w:rsidRPr="002B42E0">
        <w:rPr>
          <w:rFonts w:ascii="Traditional Arabic" w:hAnsi="Traditional Arabic" w:cs="Traditional Arabic" w:hint="cs"/>
          <w:color w:val="000000" w:themeColor="text1"/>
          <w:sz w:val="24"/>
          <w:szCs w:val="24"/>
          <w:rtl/>
        </w:rPr>
        <w:t xml:space="preserve">استبانة إلكترونية عبر البريد الإلكتروني والمنصات الرقمية الرسمية، وهو ما أتاح سهولة الوصول إلى المشاركين الذين يمتلكون خبرة في استخدام الوسائل التقنية، وساهم في تسريع عملية جمع البيانات وتقليل التكلفة والوقت. وفي المقابل، قامت الباحثة بتوزيع حوالي </w:t>
      </w:r>
      <w:r w:rsidRPr="002B42E0">
        <w:rPr>
          <w:rFonts w:ascii="Traditional Arabic" w:hAnsi="Traditional Arabic" w:cs="Traditional Arabic" w:hint="cs"/>
          <w:color w:val="000000" w:themeColor="text1"/>
          <w:sz w:val="24"/>
          <w:szCs w:val="24"/>
        </w:rPr>
        <w:t xml:space="preserve">30 </w:t>
      </w:r>
      <w:r w:rsidRPr="002B42E0">
        <w:rPr>
          <w:rFonts w:ascii="Traditional Arabic" w:hAnsi="Traditional Arabic" w:cs="Traditional Arabic" w:hint="cs"/>
          <w:color w:val="000000" w:themeColor="text1"/>
          <w:sz w:val="24"/>
          <w:szCs w:val="24"/>
          <w:rtl/>
        </w:rPr>
        <w:t>استبانة ورقية بشكل مباشر داخل بعض الأقسام التي قد يواجه العاملون فيها صعوبة في استخدام الوسائل الإلكترونية أو يفضلون التعامل مع النماذج الورقية التقليدية، مما يضمن شمولية أكبر للعينة ويعزز من تمثيل مختلف الفئات الوظيفية</w:t>
      </w:r>
      <w:r w:rsidRPr="002B42E0">
        <w:rPr>
          <w:rFonts w:ascii="Traditional Arabic" w:hAnsi="Traditional Arabic" w:cs="Traditional Arabic" w:hint="cs"/>
          <w:color w:val="000000" w:themeColor="text1"/>
          <w:sz w:val="24"/>
          <w:szCs w:val="24"/>
        </w:rPr>
        <w:t>.</w:t>
      </w:r>
    </w:p>
    <w:p w14:paraId="2DD43709"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Pr>
      </w:pPr>
      <w:r w:rsidRPr="002B42E0">
        <w:rPr>
          <w:rFonts w:ascii="Traditional Arabic" w:hAnsi="Traditional Arabic" w:cs="Traditional Arabic" w:hint="cs"/>
          <w:color w:val="000000" w:themeColor="text1"/>
          <w:sz w:val="24"/>
          <w:szCs w:val="24"/>
          <w:rtl/>
        </w:rPr>
        <w:lastRenderedPageBreak/>
        <w:t>هذا التنوع في أسلوب التوزيع يعكس إدراك الباحثة لأهمية مراعاة الفروق الفردية بين المشاركين، سواء من حيث القدرة التقنية أو التفضيلات الشخصية، ويعزز من مصداقية النتائج من خلال تقليل احتمالية التحيز المرتبط بطريقة جمع البيانات. كما أن الجمع بين الوسيلتين أتاح للباحثة فرصة المقارنة بين نسب الاستجابة في كل طريقة، وتقييم مدى فعالية التوزيع الإلكتروني مقابل الورقي، وهو ما يضيف قيمة منهجية للدراسة. وبذلك يمكن القول إن استراتيجية توزيع الاستبانة قد ساهمت في تحقيق التوازن بين الكفاءة والواقعية، وضمنت الحصول على بيانات أكثر شمولًا وموثوقية، بما يخدم أهداف البحث ويدعم اختبار فرضياته بشكل علمي رصين</w:t>
      </w:r>
      <w:r w:rsidRPr="002B42E0">
        <w:rPr>
          <w:rFonts w:ascii="Traditional Arabic" w:hAnsi="Traditional Arabic" w:cs="Traditional Arabic" w:hint="cs"/>
          <w:color w:val="000000" w:themeColor="text1"/>
          <w:sz w:val="24"/>
          <w:szCs w:val="24"/>
        </w:rPr>
        <w:t>.</w:t>
      </w:r>
    </w:p>
    <w:p w14:paraId="415032C1" w14:textId="77777777" w:rsidR="00E448FC" w:rsidRPr="007969FA" w:rsidRDefault="00E448FC">
      <w:pPr>
        <w:pStyle w:val="ListParagraph"/>
        <w:numPr>
          <w:ilvl w:val="1"/>
          <w:numId w:val="35"/>
        </w:numPr>
        <w:bidi/>
        <w:spacing w:after="200" w:line="276" w:lineRule="auto"/>
        <w:jc w:val="both"/>
        <w:rPr>
          <w:rFonts w:ascii="Traditional Arabic" w:hAnsi="Traditional Arabic" w:cs="Traditional Arabic"/>
          <w:b/>
          <w:bCs/>
          <w:color w:val="000000" w:themeColor="text1"/>
          <w:sz w:val="28"/>
          <w:szCs w:val="28"/>
        </w:rPr>
      </w:pPr>
      <w:r w:rsidRPr="007969FA">
        <w:rPr>
          <w:rFonts w:ascii="Traditional Arabic" w:hAnsi="Traditional Arabic" w:cs="Traditional Arabic" w:hint="cs"/>
          <w:b/>
          <w:bCs/>
          <w:color w:val="000000" w:themeColor="text1"/>
          <w:sz w:val="28"/>
          <w:szCs w:val="28"/>
          <w:rtl/>
        </w:rPr>
        <w:t>ثبات أداة الدراسة :</w:t>
      </w:r>
    </w:p>
    <w:p w14:paraId="3CB7F1D3" w14:textId="77777777" w:rsidR="00E448FC" w:rsidRPr="000C66C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0C66CB">
        <w:rPr>
          <w:rFonts w:ascii="Traditional Arabic" w:hAnsi="Traditional Arabic" w:cs="Traditional Arabic" w:hint="cs"/>
          <w:color w:val="000000" w:themeColor="text1"/>
          <w:sz w:val="24"/>
          <w:szCs w:val="24"/>
          <w:rtl/>
        </w:rPr>
        <w:t>تم استخدام معامل ألفا كرونباخ لقياس ثبات أداة الدراسة والتحقق من درجة الاتساق الداخلي بين العبارات. وقد بلغ معامل الثبات الكلي للمتغيرات الثلاثة مجتمعة (0.89)، وهو مستوى مرتفع يدل على أن الأداة تتمتع بدرجة عالية من الموثوقية والاتساق الداخلي، مما يجعلها مناسبة للاستخدام في قياس متغيرات الدراسة بدقة وملاءمة لواقع مجتمع البحث</w:t>
      </w:r>
      <w:r w:rsidRPr="000C66CB">
        <w:rPr>
          <w:rFonts w:ascii="Traditional Arabic" w:hAnsi="Traditional Arabic" w:cs="Traditional Arabic" w:hint="cs"/>
          <w:color w:val="000000" w:themeColor="text1"/>
          <w:sz w:val="24"/>
          <w:szCs w:val="24"/>
        </w:rPr>
        <w:t>.</w:t>
      </w:r>
    </w:p>
    <w:p w14:paraId="77C51214" w14:textId="77777777" w:rsidR="00E448FC" w:rsidRPr="005E4CA5"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5E4CA5">
        <w:rPr>
          <w:rFonts w:ascii="Traditional Arabic" w:hAnsi="Traditional Arabic" w:cs="Traditional Arabic" w:hint="cs"/>
          <w:b/>
          <w:bCs/>
          <w:color w:val="000000" w:themeColor="text1"/>
          <w:sz w:val="24"/>
          <w:szCs w:val="24"/>
          <w:rtl/>
        </w:rPr>
        <w:t>جدول (13) معاملات ثبات أداة الدراسة</w:t>
      </w:r>
    </w:p>
    <w:tbl>
      <w:tblPr>
        <w:tblStyle w:val="TableGrid"/>
        <w:bidiVisual/>
        <w:tblW w:w="829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7"/>
        <w:gridCol w:w="2064"/>
        <w:gridCol w:w="2063"/>
        <w:gridCol w:w="2082"/>
      </w:tblGrid>
      <w:tr w:rsidR="00E448FC" w:rsidRPr="00D24D70" w14:paraId="32231B58" w14:textId="77777777" w:rsidTr="00F972F9">
        <w:trPr>
          <w:tblCellSpacing w:w="20" w:type="dxa"/>
        </w:trPr>
        <w:tc>
          <w:tcPr>
            <w:tcW w:w="2074" w:type="dxa"/>
            <w:shd w:val="clear" w:color="auto" w:fill="E5DFEC" w:themeFill="accent4" w:themeFillTint="33"/>
          </w:tcPr>
          <w:p w14:paraId="5E536EB8"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البُعد</w:t>
            </w:r>
          </w:p>
        </w:tc>
        <w:tc>
          <w:tcPr>
            <w:tcW w:w="2074" w:type="dxa"/>
            <w:shd w:val="clear" w:color="auto" w:fill="E5DFEC" w:themeFill="accent4" w:themeFillTint="33"/>
          </w:tcPr>
          <w:p w14:paraId="41CB609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عدد العبارات</w:t>
            </w:r>
          </w:p>
        </w:tc>
        <w:tc>
          <w:tcPr>
            <w:tcW w:w="2074" w:type="dxa"/>
            <w:shd w:val="clear" w:color="auto" w:fill="E5DFEC" w:themeFill="accent4" w:themeFillTint="33"/>
          </w:tcPr>
          <w:p w14:paraId="324528D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معامل ألفا كرونباخ</w:t>
            </w:r>
          </w:p>
        </w:tc>
        <w:tc>
          <w:tcPr>
            <w:tcW w:w="2074" w:type="dxa"/>
            <w:shd w:val="clear" w:color="auto" w:fill="E5DFEC" w:themeFill="accent4" w:themeFillTint="33"/>
          </w:tcPr>
          <w:p w14:paraId="223DA65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مستوى الثبات</w:t>
            </w:r>
          </w:p>
        </w:tc>
      </w:tr>
      <w:tr w:rsidR="00E448FC" w:rsidRPr="00D24D70" w14:paraId="3FE55A25" w14:textId="77777777" w:rsidTr="00F972F9">
        <w:trPr>
          <w:tblCellSpacing w:w="20" w:type="dxa"/>
        </w:trPr>
        <w:tc>
          <w:tcPr>
            <w:tcW w:w="2074" w:type="dxa"/>
          </w:tcPr>
          <w:p w14:paraId="07DCBA3E"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التأثير المثالي</w:t>
            </w:r>
          </w:p>
        </w:tc>
        <w:tc>
          <w:tcPr>
            <w:tcW w:w="2074" w:type="dxa"/>
          </w:tcPr>
          <w:p w14:paraId="39E183A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B83D70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0.84</w:t>
            </w:r>
          </w:p>
        </w:tc>
        <w:tc>
          <w:tcPr>
            <w:tcW w:w="2074" w:type="dxa"/>
          </w:tcPr>
          <w:p w14:paraId="2BDC5CE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028637C9" w14:textId="77777777" w:rsidTr="00F972F9">
        <w:trPr>
          <w:tblCellSpacing w:w="20" w:type="dxa"/>
        </w:trPr>
        <w:tc>
          <w:tcPr>
            <w:tcW w:w="2074" w:type="dxa"/>
          </w:tcPr>
          <w:p w14:paraId="5CC00ED0"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الدافعية الإلهامية</w:t>
            </w:r>
          </w:p>
        </w:tc>
        <w:tc>
          <w:tcPr>
            <w:tcW w:w="2074" w:type="dxa"/>
          </w:tcPr>
          <w:p w14:paraId="4F05257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37A3E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0.86</w:t>
            </w:r>
          </w:p>
        </w:tc>
        <w:tc>
          <w:tcPr>
            <w:tcW w:w="2074" w:type="dxa"/>
          </w:tcPr>
          <w:p w14:paraId="53C6891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5C89774E" w14:textId="77777777" w:rsidTr="00F972F9">
        <w:trPr>
          <w:tblCellSpacing w:w="20" w:type="dxa"/>
        </w:trPr>
        <w:tc>
          <w:tcPr>
            <w:tcW w:w="2074" w:type="dxa"/>
          </w:tcPr>
          <w:p w14:paraId="7216DA3B"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الإعتبارية الفردية</w:t>
            </w:r>
          </w:p>
        </w:tc>
        <w:tc>
          <w:tcPr>
            <w:tcW w:w="2074" w:type="dxa"/>
          </w:tcPr>
          <w:p w14:paraId="71BEFCD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46F611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0.82</w:t>
            </w:r>
          </w:p>
        </w:tc>
        <w:tc>
          <w:tcPr>
            <w:tcW w:w="2074" w:type="dxa"/>
          </w:tcPr>
          <w:p w14:paraId="68FA11C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41DFA8FA" w14:textId="77777777" w:rsidTr="00F972F9">
        <w:trPr>
          <w:tblCellSpacing w:w="20" w:type="dxa"/>
        </w:trPr>
        <w:tc>
          <w:tcPr>
            <w:tcW w:w="2074" w:type="dxa"/>
          </w:tcPr>
          <w:p w14:paraId="20B2CE05"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الاستثارة الفكرية</w:t>
            </w:r>
          </w:p>
        </w:tc>
        <w:tc>
          <w:tcPr>
            <w:tcW w:w="2074" w:type="dxa"/>
          </w:tcPr>
          <w:p w14:paraId="069651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4FCB65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0.80</w:t>
            </w:r>
          </w:p>
        </w:tc>
        <w:tc>
          <w:tcPr>
            <w:tcW w:w="2074" w:type="dxa"/>
          </w:tcPr>
          <w:p w14:paraId="48FA356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317A93C0" w14:textId="77777777" w:rsidTr="00F972F9">
        <w:trPr>
          <w:tblCellSpacing w:w="20" w:type="dxa"/>
        </w:trPr>
        <w:tc>
          <w:tcPr>
            <w:tcW w:w="2074" w:type="dxa"/>
          </w:tcPr>
          <w:p w14:paraId="3C6262A0"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(القيادة التحويلية)</w:t>
            </w:r>
          </w:p>
        </w:tc>
        <w:tc>
          <w:tcPr>
            <w:tcW w:w="2074" w:type="dxa"/>
          </w:tcPr>
          <w:p w14:paraId="256E6BD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182CF20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0.89</w:t>
            </w:r>
          </w:p>
        </w:tc>
        <w:tc>
          <w:tcPr>
            <w:tcW w:w="2074" w:type="dxa"/>
          </w:tcPr>
          <w:p w14:paraId="0F4DA9D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r w:rsidR="00E448FC" w:rsidRPr="00D24D70" w14:paraId="1EFC326D" w14:textId="77777777" w:rsidTr="00F972F9">
        <w:trPr>
          <w:tblCellSpacing w:w="20" w:type="dxa"/>
        </w:trPr>
        <w:tc>
          <w:tcPr>
            <w:tcW w:w="2074" w:type="dxa"/>
          </w:tcPr>
          <w:p w14:paraId="4682E805"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تقليل الأخطاء الطبية</w:t>
            </w:r>
          </w:p>
        </w:tc>
        <w:tc>
          <w:tcPr>
            <w:tcW w:w="2074" w:type="dxa"/>
          </w:tcPr>
          <w:p w14:paraId="270BD5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0C02710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0.81</w:t>
            </w:r>
          </w:p>
        </w:tc>
        <w:tc>
          <w:tcPr>
            <w:tcW w:w="2074" w:type="dxa"/>
          </w:tcPr>
          <w:p w14:paraId="54B781D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1A715284" w14:textId="77777777" w:rsidTr="00F972F9">
        <w:trPr>
          <w:tblCellSpacing w:w="20" w:type="dxa"/>
        </w:trPr>
        <w:tc>
          <w:tcPr>
            <w:tcW w:w="2074" w:type="dxa"/>
          </w:tcPr>
          <w:p w14:paraId="4C2750F8"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فعالية أنظمة الإبلاغ</w:t>
            </w:r>
          </w:p>
        </w:tc>
        <w:tc>
          <w:tcPr>
            <w:tcW w:w="2074" w:type="dxa"/>
          </w:tcPr>
          <w:p w14:paraId="1B5A1DF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6B3CB82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0.84</w:t>
            </w:r>
          </w:p>
        </w:tc>
        <w:tc>
          <w:tcPr>
            <w:tcW w:w="2074" w:type="dxa"/>
          </w:tcPr>
          <w:p w14:paraId="137213E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0AA0818D" w14:textId="77777777" w:rsidTr="00F972F9">
        <w:trPr>
          <w:tblCellSpacing w:w="20" w:type="dxa"/>
        </w:trPr>
        <w:tc>
          <w:tcPr>
            <w:tcW w:w="2074" w:type="dxa"/>
          </w:tcPr>
          <w:p w14:paraId="08775924"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إشراك المرضى</w:t>
            </w:r>
          </w:p>
        </w:tc>
        <w:tc>
          <w:tcPr>
            <w:tcW w:w="2074" w:type="dxa"/>
          </w:tcPr>
          <w:p w14:paraId="65A35C9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47250F7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0.79</w:t>
            </w:r>
          </w:p>
        </w:tc>
        <w:tc>
          <w:tcPr>
            <w:tcW w:w="2074" w:type="dxa"/>
          </w:tcPr>
          <w:p w14:paraId="73CFEC1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11DF4B29" w14:textId="77777777" w:rsidTr="00F972F9">
        <w:trPr>
          <w:tblCellSpacing w:w="20" w:type="dxa"/>
        </w:trPr>
        <w:tc>
          <w:tcPr>
            <w:tcW w:w="2074" w:type="dxa"/>
          </w:tcPr>
          <w:p w14:paraId="4A96C062"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بيئة العمل الآمنة</w:t>
            </w:r>
          </w:p>
        </w:tc>
        <w:tc>
          <w:tcPr>
            <w:tcW w:w="2074" w:type="dxa"/>
          </w:tcPr>
          <w:p w14:paraId="145F585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28CD4BF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0.83</w:t>
            </w:r>
          </w:p>
        </w:tc>
        <w:tc>
          <w:tcPr>
            <w:tcW w:w="2074" w:type="dxa"/>
          </w:tcPr>
          <w:p w14:paraId="66E8F3D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4B6EEE55" w14:textId="77777777" w:rsidTr="00F972F9">
        <w:trPr>
          <w:tblCellSpacing w:w="20" w:type="dxa"/>
        </w:trPr>
        <w:tc>
          <w:tcPr>
            <w:tcW w:w="2074" w:type="dxa"/>
          </w:tcPr>
          <w:p w14:paraId="3E532562"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جودة الرعاية السريرية</w:t>
            </w:r>
          </w:p>
        </w:tc>
        <w:tc>
          <w:tcPr>
            <w:tcW w:w="2074" w:type="dxa"/>
          </w:tcPr>
          <w:p w14:paraId="16CDF10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4</w:t>
            </w:r>
          </w:p>
        </w:tc>
        <w:tc>
          <w:tcPr>
            <w:tcW w:w="2074" w:type="dxa"/>
          </w:tcPr>
          <w:p w14:paraId="75A3630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0.80</w:t>
            </w:r>
          </w:p>
        </w:tc>
        <w:tc>
          <w:tcPr>
            <w:tcW w:w="2074" w:type="dxa"/>
          </w:tcPr>
          <w:p w14:paraId="181A7E6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0A240FA3" w14:textId="77777777" w:rsidTr="00F972F9">
        <w:trPr>
          <w:tblCellSpacing w:w="20" w:type="dxa"/>
        </w:trPr>
        <w:tc>
          <w:tcPr>
            <w:tcW w:w="2074" w:type="dxa"/>
          </w:tcPr>
          <w:p w14:paraId="79BA1B53"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(سلامة المرضى)</w:t>
            </w:r>
          </w:p>
        </w:tc>
        <w:tc>
          <w:tcPr>
            <w:tcW w:w="2074" w:type="dxa"/>
          </w:tcPr>
          <w:p w14:paraId="73B747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59370A1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0.88</w:t>
            </w:r>
          </w:p>
        </w:tc>
        <w:tc>
          <w:tcPr>
            <w:tcW w:w="2074" w:type="dxa"/>
          </w:tcPr>
          <w:p w14:paraId="2F8B32A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r w:rsidR="00E448FC" w:rsidRPr="00D24D70" w14:paraId="39FCF84E" w14:textId="77777777" w:rsidTr="00F972F9">
        <w:trPr>
          <w:tblCellSpacing w:w="20" w:type="dxa"/>
        </w:trPr>
        <w:tc>
          <w:tcPr>
            <w:tcW w:w="2074" w:type="dxa"/>
          </w:tcPr>
          <w:p w14:paraId="24788C33"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lastRenderedPageBreak/>
              <w:t>تحديد المخاطر</w:t>
            </w:r>
          </w:p>
        </w:tc>
        <w:tc>
          <w:tcPr>
            <w:tcW w:w="2074" w:type="dxa"/>
          </w:tcPr>
          <w:p w14:paraId="3FA74BE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017D2C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0.81</w:t>
            </w:r>
          </w:p>
        </w:tc>
        <w:tc>
          <w:tcPr>
            <w:tcW w:w="2074" w:type="dxa"/>
          </w:tcPr>
          <w:p w14:paraId="7CFE11C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1FCF81EF" w14:textId="77777777" w:rsidTr="00F972F9">
        <w:trPr>
          <w:tblCellSpacing w:w="20" w:type="dxa"/>
        </w:trPr>
        <w:tc>
          <w:tcPr>
            <w:tcW w:w="2074" w:type="dxa"/>
          </w:tcPr>
          <w:p w14:paraId="38CE894D"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تحليل المخاطر</w:t>
            </w:r>
          </w:p>
        </w:tc>
        <w:tc>
          <w:tcPr>
            <w:tcW w:w="2074" w:type="dxa"/>
          </w:tcPr>
          <w:p w14:paraId="667614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5B0EC78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0.85</w:t>
            </w:r>
          </w:p>
        </w:tc>
        <w:tc>
          <w:tcPr>
            <w:tcW w:w="2074" w:type="dxa"/>
          </w:tcPr>
          <w:p w14:paraId="61088B2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273678B4" w14:textId="77777777" w:rsidTr="00F972F9">
        <w:trPr>
          <w:tblCellSpacing w:w="20" w:type="dxa"/>
        </w:trPr>
        <w:tc>
          <w:tcPr>
            <w:tcW w:w="2074" w:type="dxa"/>
          </w:tcPr>
          <w:p w14:paraId="76B85FB9" w14:textId="77777777" w:rsidR="00E448FC" w:rsidRPr="00D24D70" w:rsidRDefault="00E448FC" w:rsidP="00F972F9">
            <w:pPr>
              <w:bidi/>
              <w:spacing w:after="200" w:line="276" w:lineRule="auto"/>
              <w:jc w:val="center"/>
              <w:rPr>
                <w:rFonts w:ascii="Traditional Arabic" w:hAnsi="Traditional Arabic" w:cs="Traditional Arabic"/>
                <w:b/>
                <w:bCs/>
                <w:sz w:val="20"/>
                <w:szCs w:val="20"/>
                <w:rtl/>
              </w:rPr>
            </w:pPr>
            <w:r w:rsidRPr="00D24D70">
              <w:rPr>
                <w:rFonts w:ascii="Traditional Arabic" w:eastAsia="Times New Roman" w:hAnsi="Traditional Arabic" w:cs="Traditional Arabic" w:hint="cs"/>
                <w:b/>
                <w:bCs/>
                <w:sz w:val="20"/>
                <w:szCs w:val="20"/>
                <w:rtl/>
              </w:rPr>
              <w:t>تقييم المخاطر</w:t>
            </w:r>
          </w:p>
        </w:tc>
        <w:tc>
          <w:tcPr>
            <w:tcW w:w="2074" w:type="dxa"/>
          </w:tcPr>
          <w:p w14:paraId="1A3D3B5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3A1B1BB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0.79</w:t>
            </w:r>
          </w:p>
        </w:tc>
        <w:tc>
          <w:tcPr>
            <w:tcW w:w="2074" w:type="dxa"/>
          </w:tcPr>
          <w:p w14:paraId="3D0295B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w:t>
            </w:r>
          </w:p>
        </w:tc>
      </w:tr>
      <w:tr w:rsidR="00E448FC" w:rsidRPr="00D24D70" w14:paraId="3548E01B" w14:textId="77777777" w:rsidTr="00F972F9">
        <w:trPr>
          <w:tblCellSpacing w:w="20" w:type="dxa"/>
        </w:trPr>
        <w:tc>
          <w:tcPr>
            <w:tcW w:w="2074" w:type="dxa"/>
          </w:tcPr>
          <w:p w14:paraId="6FC16874" w14:textId="77777777" w:rsidR="00E448FC" w:rsidRPr="00D24D70" w:rsidRDefault="00E448FC" w:rsidP="00F972F9">
            <w:pPr>
              <w:bidi/>
              <w:spacing w:after="200" w:line="276" w:lineRule="auto"/>
              <w:jc w:val="center"/>
              <w:rPr>
                <w:rFonts w:ascii="Traditional Arabic" w:eastAsia="Times New Roman" w:hAnsi="Traditional Arabic" w:cs="Traditional Arabic"/>
                <w:b/>
                <w:bCs/>
                <w:sz w:val="20"/>
                <w:szCs w:val="20"/>
                <w:rtl/>
              </w:rPr>
            </w:pPr>
            <w:r w:rsidRPr="00D24D70">
              <w:rPr>
                <w:rFonts w:ascii="Traditional Arabic" w:eastAsia="Times New Roman" w:hAnsi="Traditional Arabic" w:cs="Traditional Arabic" w:hint="cs"/>
                <w:b/>
                <w:bCs/>
                <w:sz w:val="20"/>
                <w:szCs w:val="20"/>
                <w:rtl/>
              </w:rPr>
              <w:t>الاستجابة للمخاطر</w:t>
            </w:r>
          </w:p>
        </w:tc>
        <w:tc>
          <w:tcPr>
            <w:tcW w:w="2074" w:type="dxa"/>
          </w:tcPr>
          <w:p w14:paraId="69D12CE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5</w:t>
            </w:r>
          </w:p>
        </w:tc>
        <w:tc>
          <w:tcPr>
            <w:tcW w:w="2074" w:type="dxa"/>
          </w:tcPr>
          <w:p w14:paraId="18B3FF5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0.83</w:t>
            </w:r>
          </w:p>
        </w:tc>
        <w:tc>
          <w:tcPr>
            <w:tcW w:w="2074" w:type="dxa"/>
          </w:tcPr>
          <w:p w14:paraId="4C56B4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جيد جدًا</w:t>
            </w:r>
          </w:p>
        </w:tc>
      </w:tr>
      <w:tr w:rsidR="00E448FC" w:rsidRPr="00D24D70" w14:paraId="5E4ED7D1" w14:textId="77777777" w:rsidTr="00F972F9">
        <w:trPr>
          <w:tblCellSpacing w:w="20" w:type="dxa"/>
        </w:trPr>
        <w:tc>
          <w:tcPr>
            <w:tcW w:w="2074" w:type="dxa"/>
          </w:tcPr>
          <w:p w14:paraId="47CA334A" w14:textId="77777777" w:rsidR="00E448FC" w:rsidRPr="00D24D70" w:rsidRDefault="00E448FC" w:rsidP="00F972F9">
            <w:pPr>
              <w:bidi/>
              <w:spacing w:after="200" w:line="276" w:lineRule="auto"/>
              <w:jc w:val="center"/>
              <w:rPr>
                <w:rFonts w:ascii="Traditional Arabic" w:eastAsia="Times New Roman" w:hAnsi="Traditional Arabic" w:cs="Traditional Arabic"/>
                <w:b/>
                <w:bCs/>
                <w:sz w:val="20"/>
                <w:szCs w:val="20"/>
                <w:rtl/>
              </w:rPr>
            </w:pPr>
            <w:r w:rsidRPr="00D24D70">
              <w:rPr>
                <w:rFonts w:ascii="Traditional Arabic" w:eastAsia="Times New Roman" w:hAnsi="Traditional Arabic" w:cs="Traditional Arabic" w:hint="cs"/>
                <w:b/>
                <w:bCs/>
                <w:sz w:val="20"/>
                <w:szCs w:val="20"/>
                <w:rtl/>
              </w:rPr>
              <w:t>(إدارة المخاطر)</w:t>
            </w:r>
          </w:p>
        </w:tc>
        <w:tc>
          <w:tcPr>
            <w:tcW w:w="2074" w:type="dxa"/>
          </w:tcPr>
          <w:p w14:paraId="331E82A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20</w:t>
            </w:r>
          </w:p>
        </w:tc>
        <w:tc>
          <w:tcPr>
            <w:tcW w:w="2074" w:type="dxa"/>
          </w:tcPr>
          <w:p w14:paraId="3487730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Pr>
              <w:t>0.88</w:t>
            </w:r>
          </w:p>
        </w:tc>
        <w:tc>
          <w:tcPr>
            <w:tcW w:w="2074" w:type="dxa"/>
          </w:tcPr>
          <w:p w14:paraId="4B53862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tl/>
              </w:rPr>
            </w:pPr>
            <w:r w:rsidRPr="00D24D70">
              <w:rPr>
                <w:rFonts w:ascii="Traditional Arabic" w:eastAsia="Times New Roman" w:hAnsi="Traditional Arabic" w:cs="Traditional Arabic" w:hint="cs"/>
                <w:b/>
                <w:bCs/>
                <w:sz w:val="20"/>
                <w:szCs w:val="20"/>
                <w:rtl/>
              </w:rPr>
              <w:t>ثبات ممتاز</w:t>
            </w:r>
          </w:p>
        </w:tc>
      </w:tr>
    </w:tbl>
    <w:p w14:paraId="11BA4F9C" w14:textId="77777777" w:rsidR="00E448FC" w:rsidRDefault="00E448FC" w:rsidP="00E448FC">
      <w:pPr>
        <w:spacing w:after="0" w:line="240" w:lineRule="auto"/>
        <w:rPr>
          <w:rFonts w:ascii="Times New Roman" w:eastAsia="Times New Roman" w:hAnsi="Times New Roman" w:cs="Times New Roman"/>
          <w:sz w:val="24"/>
          <w:szCs w:val="24"/>
          <w:rtl/>
        </w:rPr>
      </w:pPr>
    </w:p>
    <w:p w14:paraId="338CCF9E" w14:textId="77777777" w:rsidR="00E448FC" w:rsidRPr="008C4BF8"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8C4BF8">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C059FDD" w14:textId="77777777" w:rsidR="00E448FC" w:rsidRPr="008C4BF8"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8C4BF8">
        <w:rPr>
          <w:rFonts w:ascii="Traditional Arabic" w:hAnsi="Traditional Arabic" w:cs="Traditional Arabic" w:hint="cs"/>
          <w:color w:val="000000" w:themeColor="text1"/>
          <w:sz w:val="24"/>
          <w:szCs w:val="24"/>
          <w:rtl/>
        </w:rPr>
        <w:t>يُظهر الجدول السابق نتائج اختبار ثبات أداة الدراسة باستخدام معامل ألفا كرونباخ، حيث تم قياس الاتساق الداخلي لكل بُعد من أبعاد الأداة الثلاثة: القيادة التحويلية، سلامة المرضى، وإدارة المخاطر. وقد تراوحت قيم الثبات بين مستويات جيدة وجيدة جدًا، بينما بلغ معامل الثبات الكلي للاستبيان في كل متغير مستوى ممتاز (0.89 للقيادة التحويلية، 0.88 لسلامة المرضى، 0.88 لإدارة المخاطر). وهذا يدل على أن الأداة تتمتع بدرجة عالية من الموثوقية والاتساق الداخلي، مما يعزز صلاحيتها العلمية ويؤكد ملاءمتها لقياس متغيرات الدراسة بدقة وارتباطها بواقع مجتمع البحث</w:t>
      </w:r>
      <w:r w:rsidRPr="008C4BF8">
        <w:rPr>
          <w:rFonts w:ascii="Traditional Arabic" w:hAnsi="Traditional Arabic" w:cs="Traditional Arabic" w:hint="cs"/>
          <w:color w:val="000000" w:themeColor="text1"/>
          <w:sz w:val="24"/>
          <w:szCs w:val="24"/>
        </w:rPr>
        <w:t>.</w:t>
      </w:r>
    </w:p>
    <w:p w14:paraId="3ED2B55B" w14:textId="77777777" w:rsidR="00E448FC" w:rsidRPr="00F440EF" w:rsidRDefault="00E448FC">
      <w:pPr>
        <w:pStyle w:val="ListParagraph"/>
        <w:numPr>
          <w:ilvl w:val="1"/>
          <w:numId w:val="35"/>
        </w:numPr>
        <w:bidi/>
        <w:spacing w:after="200" w:line="276" w:lineRule="auto"/>
        <w:jc w:val="both"/>
        <w:rPr>
          <w:rFonts w:ascii="Traditional Arabic" w:hAnsi="Traditional Arabic" w:cs="Traditional Arabic"/>
          <w:b/>
          <w:bCs/>
          <w:color w:val="000000" w:themeColor="text1"/>
          <w:sz w:val="28"/>
          <w:szCs w:val="28"/>
        </w:rPr>
      </w:pPr>
      <w:r w:rsidRPr="00F440EF">
        <w:rPr>
          <w:rFonts w:ascii="Traditional Arabic" w:hAnsi="Traditional Arabic" w:cs="Traditional Arabic" w:hint="cs"/>
          <w:b/>
          <w:bCs/>
          <w:color w:val="000000" w:themeColor="text1"/>
          <w:sz w:val="28"/>
          <w:szCs w:val="28"/>
          <w:rtl/>
        </w:rPr>
        <w:t>صدق أداة الدراسة :</w:t>
      </w:r>
    </w:p>
    <w:p w14:paraId="34843642" w14:textId="77777777" w:rsidR="00E448FC"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F440EF">
        <w:rPr>
          <w:rFonts w:ascii="Traditional Arabic" w:hAnsi="Traditional Arabic" w:cs="Traditional Arabic" w:hint="cs"/>
          <w:color w:val="000000" w:themeColor="text1"/>
          <w:sz w:val="24"/>
          <w:szCs w:val="24"/>
          <w:rtl/>
        </w:rPr>
        <w:t>تم استخدام معامل الارتباط لبيرسون للتحقق من صدق الاتساق الداخلي لأداة الدراسة، وذلك من خلال قياس قوة العلاقة بين كل عبارة من عبارات الاستبانة والدرجة الكلية للمحور الذي تنتمي إليه، وقد شملت الأداة ثلاثة متغيرات رئيسة هي</w:t>
      </w:r>
      <w:r w:rsidRPr="00F440EF">
        <w:rPr>
          <w:rFonts w:ascii="Traditional Arabic" w:hAnsi="Traditional Arabic" w:cs="Traditional Arabic" w:hint="cs"/>
          <w:color w:val="000000" w:themeColor="text1"/>
          <w:sz w:val="24"/>
          <w:szCs w:val="24"/>
        </w:rPr>
        <w:t xml:space="preserve">: </w:t>
      </w:r>
      <w:r w:rsidRPr="00F440EF">
        <w:rPr>
          <w:rFonts w:ascii="Traditional Arabic" w:hAnsi="Traditional Arabic" w:cs="Traditional Arabic" w:hint="cs"/>
          <w:color w:val="000000" w:themeColor="text1"/>
          <w:sz w:val="24"/>
          <w:szCs w:val="24"/>
          <w:rtl/>
        </w:rPr>
        <w:t>القيادة التحويلية بأبعادها الأربعة (التأثير المثالي، الدافعية الإلهامية، الاعتبارية الفردية، الاستثارة الفكرية)، وسلامة المرضى بأبعادها الخمسة (تقليل الأخطاء الطبية، فعالية أنظمة الإبلاغ، إشراك المرضى، بيئة العمل الآمنة، جودة الرعاية السريرية)، وإدارة المخاطر بأبعادها الأربعة (تحديد المخاطر، تحليل المخاطر، تقييم المخاطر، الاستجابة للمخاطر). وقد أظهرت نتائج معاملات الارتباط أن جميع القيم كانت دالة إحصائيًا وضمن الحدود المقبولة، مما يعكس أن الأداة تقيس بالفعل المتغيرات المستهدفة بدرجة عالية من الصدق الداخلي، ويؤكد صلاحيتها العلمية وملاءمتها لواقع مجتمع الدراسة، كما يتضح من الجدول التالي:</w:t>
      </w:r>
    </w:p>
    <w:p w14:paraId="1359C2FB" w14:textId="77777777" w:rsidR="00CD7441" w:rsidRDefault="00CD7441" w:rsidP="00CD7441">
      <w:pPr>
        <w:bidi/>
        <w:spacing w:after="200" w:line="360" w:lineRule="auto"/>
        <w:ind w:firstLine="720"/>
        <w:jc w:val="both"/>
        <w:rPr>
          <w:rFonts w:ascii="Traditional Arabic" w:hAnsi="Traditional Arabic" w:cs="Traditional Arabic"/>
          <w:color w:val="000000" w:themeColor="text1"/>
          <w:sz w:val="24"/>
          <w:szCs w:val="24"/>
          <w:rtl/>
        </w:rPr>
      </w:pPr>
    </w:p>
    <w:p w14:paraId="26F812F7" w14:textId="77777777" w:rsidR="00CD7441" w:rsidRDefault="00CD7441" w:rsidP="00CD7441">
      <w:pPr>
        <w:bidi/>
        <w:spacing w:after="200" w:line="360" w:lineRule="auto"/>
        <w:ind w:firstLine="720"/>
        <w:jc w:val="both"/>
        <w:rPr>
          <w:rFonts w:ascii="Traditional Arabic" w:hAnsi="Traditional Arabic" w:cs="Traditional Arabic"/>
          <w:color w:val="000000" w:themeColor="text1"/>
          <w:sz w:val="24"/>
          <w:szCs w:val="24"/>
          <w:rtl/>
        </w:rPr>
      </w:pPr>
    </w:p>
    <w:p w14:paraId="0E6625FE" w14:textId="77777777" w:rsidR="00CD7441" w:rsidRPr="00F440EF" w:rsidRDefault="00CD7441" w:rsidP="000F6949">
      <w:pPr>
        <w:bidi/>
        <w:spacing w:after="200" w:line="360" w:lineRule="auto"/>
        <w:jc w:val="both"/>
        <w:rPr>
          <w:rFonts w:ascii="Traditional Arabic" w:hAnsi="Traditional Arabic" w:cs="Traditional Arabic"/>
          <w:color w:val="000000" w:themeColor="text1"/>
          <w:sz w:val="24"/>
          <w:szCs w:val="24"/>
          <w:rtl/>
        </w:rPr>
      </w:pPr>
    </w:p>
    <w:p w14:paraId="4F223F6B" w14:textId="77777777" w:rsidR="00E448FC" w:rsidRPr="00263A72"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263A72">
        <w:rPr>
          <w:rFonts w:ascii="Traditional Arabic" w:hAnsi="Traditional Arabic" w:cs="Traditional Arabic" w:hint="cs"/>
          <w:b/>
          <w:bCs/>
          <w:color w:val="000000" w:themeColor="text1"/>
          <w:sz w:val="24"/>
          <w:szCs w:val="24"/>
          <w:rtl/>
        </w:rPr>
        <w:lastRenderedPageBreak/>
        <w:t>جدول</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14 ) معاملات ارتباط بيرسون بين أبعاد القيادة التحويلية، إدارة المخاطر، وسلامة المرضى ودلالتها الإحصائية</w:t>
      </w:r>
    </w:p>
    <w:tbl>
      <w:tblPr>
        <w:tblStyle w:val="TableGrid"/>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49"/>
        <w:gridCol w:w="2514"/>
        <w:gridCol w:w="1805"/>
        <w:gridCol w:w="1922"/>
      </w:tblGrid>
      <w:tr w:rsidR="00E448FC" w:rsidRPr="00D24D70" w14:paraId="01CE37BD" w14:textId="77777777" w:rsidTr="00F972F9">
        <w:trPr>
          <w:tblCellSpacing w:w="20" w:type="dxa"/>
        </w:trPr>
        <w:tc>
          <w:tcPr>
            <w:tcW w:w="1200" w:type="pct"/>
            <w:shd w:val="clear" w:color="auto" w:fill="E5DFEC" w:themeFill="accent4" w:themeFillTint="33"/>
            <w:hideMark/>
          </w:tcPr>
          <w:p w14:paraId="6FE7C39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الدلالة الإحصائية</w:t>
            </w:r>
          </w:p>
        </w:tc>
        <w:tc>
          <w:tcPr>
            <w:tcW w:w="1492" w:type="pct"/>
            <w:shd w:val="clear" w:color="auto" w:fill="E5DFEC" w:themeFill="accent4" w:themeFillTint="33"/>
            <w:hideMark/>
          </w:tcPr>
          <w:p w14:paraId="29482C6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معامل الارتباط</w:t>
            </w:r>
            <w:r w:rsidRPr="00D24D70">
              <w:rPr>
                <w:rFonts w:ascii="Traditional Arabic" w:hAnsi="Traditional Arabic" w:cs="Traditional Arabic" w:hint="cs"/>
                <w:b/>
                <w:bCs/>
                <w:color w:val="000000" w:themeColor="text1"/>
                <w:sz w:val="20"/>
                <w:szCs w:val="20"/>
              </w:rPr>
              <w:t xml:space="preserve"> (Pearson r)</w:t>
            </w:r>
          </w:p>
        </w:tc>
        <w:tc>
          <w:tcPr>
            <w:tcW w:w="1065" w:type="pct"/>
            <w:shd w:val="clear" w:color="auto" w:fill="E5DFEC" w:themeFill="accent4" w:themeFillTint="33"/>
            <w:hideMark/>
          </w:tcPr>
          <w:p w14:paraId="50DC91F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البُعد الأول</w:t>
            </w:r>
          </w:p>
        </w:tc>
        <w:tc>
          <w:tcPr>
            <w:tcW w:w="1123" w:type="pct"/>
            <w:shd w:val="clear" w:color="auto" w:fill="E5DFEC" w:themeFill="accent4" w:themeFillTint="33"/>
            <w:hideMark/>
          </w:tcPr>
          <w:p w14:paraId="38D9423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البُعد الثاني</w:t>
            </w:r>
          </w:p>
        </w:tc>
      </w:tr>
      <w:tr w:rsidR="00E448FC" w:rsidRPr="00D24D70" w14:paraId="2585E783" w14:textId="77777777" w:rsidTr="00F972F9">
        <w:trPr>
          <w:tblCellSpacing w:w="20" w:type="dxa"/>
        </w:trPr>
        <w:tc>
          <w:tcPr>
            <w:tcW w:w="1200" w:type="pct"/>
            <w:hideMark/>
          </w:tcPr>
          <w:p w14:paraId="5F3CF58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0A3E16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0.67</w:t>
            </w:r>
          </w:p>
        </w:tc>
        <w:tc>
          <w:tcPr>
            <w:tcW w:w="1065" w:type="pct"/>
            <w:hideMark/>
          </w:tcPr>
          <w:p w14:paraId="6A0C424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7358822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r>
      <w:tr w:rsidR="00E448FC" w:rsidRPr="00D24D70" w14:paraId="6DB0F3C8" w14:textId="77777777" w:rsidTr="00F972F9">
        <w:trPr>
          <w:tblCellSpacing w:w="20" w:type="dxa"/>
        </w:trPr>
        <w:tc>
          <w:tcPr>
            <w:tcW w:w="1200" w:type="pct"/>
            <w:hideMark/>
          </w:tcPr>
          <w:p w14:paraId="1D0F623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23862D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0.59</w:t>
            </w:r>
          </w:p>
        </w:tc>
        <w:tc>
          <w:tcPr>
            <w:tcW w:w="1065" w:type="pct"/>
            <w:hideMark/>
          </w:tcPr>
          <w:p w14:paraId="7836055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4B78A07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r>
      <w:tr w:rsidR="00E448FC" w:rsidRPr="00D24D70" w14:paraId="2614F0E7" w14:textId="77777777" w:rsidTr="00F972F9">
        <w:trPr>
          <w:tblCellSpacing w:w="20" w:type="dxa"/>
        </w:trPr>
        <w:tc>
          <w:tcPr>
            <w:tcW w:w="1200" w:type="pct"/>
            <w:hideMark/>
          </w:tcPr>
          <w:p w14:paraId="388537D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9BC1A6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0.62</w:t>
            </w:r>
          </w:p>
        </w:tc>
        <w:tc>
          <w:tcPr>
            <w:tcW w:w="1065" w:type="pct"/>
            <w:hideMark/>
          </w:tcPr>
          <w:p w14:paraId="704EDA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تحديد المخاطر</w:t>
            </w:r>
          </w:p>
        </w:tc>
        <w:tc>
          <w:tcPr>
            <w:tcW w:w="1123" w:type="pct"/>
            <w:hideMark/>
          </w:tcPr>
          <w:p w14:paraId="1C19D53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501AAEE0" w14:textId="77777777" w:rsidTr="00F972F9">
        <w:trPr>
          <w:tblCellSpacing w:w="20" w:type="dxa"/>
        </w:trPr>
        <w:tc>
          <w:tcPr>
            <w:tcW w:w="1200" w:type="pct"/>
            <w:hideMark/>
          </w:tcPr>
          <w:p w14:paraId="0C6A8C9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E9F1E1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0.71</w:t>
            </w:r>
          </w:p>
        </w:tc>
        <w:tc>
          <w:tcPr>
            <w:tcW w:w="1065" w:type="pct"/>
            <w:hideMark/>
          </w:tcPr>
          <w:p w14:paraId="695257E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c>
          <w:tcPr>
            <w:tcW w:w="1123" w:type="pct"/>
            <w:hideMark/>
          </w:tcPr>
          <w:p w14:paraId="170258F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r>
      <w:tr w:rsidR="00E448FC" w:rsidRPr="00D24D70" w14:paraId="6821FE23" w14:textId="77777777" w:rsidTr="00F972F9">
        <w:trPr>
          <w:tblCellSpacing w:w="20" w:type="dxa"/>
        </w:trPr>
        <w:tc>
          <w:tcPr>
            <w:tcW w:w="1200" w:type="pct"/>
            <w:hideMark/>
          </w:tcPr>
          <w:p w14:paraId="2AB3B05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A81328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597C49F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تحليل المخاطر</w:t>
            </w:r>
          </w:p>
        </w:tc>
        <w:tc>
          <w:tcPr>
            <w:tcW w:w="1123" w:type="pct"/>
            <w:hideMark/>
          </w:tcPr>
          <w:p w14:paraId="102EA2A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7EE25666" w14:textId="77777777" w:rsidTr="00F972F9">
        <w:trPr>
          <w:tblCellSpacing w:w="20" w:type="dxa"/>
        </w:trPr>
        <w:tc>
          <w:tcPr>
            <w:tcW w:w="1200" w:type="pct"/>
            <w:hideMark/>
          </w:tcPr>
          <w:p w14:paraId="7B1F640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E4D15D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0.65</w:t>
            </w:r>
          </w:p>
        </w:tc>
        <w:tc>
          <w:tcPr>
            <w:tcW w:w="1065" w:type="pct"/>
            <w:hideMark/>
          </w:tcPr>
          <w:p w14:paraId="6E4AD27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تقييم المخاطر</w:t>
            </w:r>
          </w:p>
        </w:tc>
        <w:tc>
          <w:tcPr>
            <w:tcW w:w="1123" w:type="pct"/>
            <w:hideMark/>
          </w:tcPr>
          <w:p w14:paraId="4778C3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الاستجابة للمخاطر</w:t>
            </w:r>
          </w:p>
        </w:tc>
      </w:tr>
      <w:tr w:rsidR="00E448FC" w:rsidRPr="00D24D70" w14:paraId="53FE6F1B" w14:textId="77777777" w:rsidTr="00F972F9">
        <w:trPr>
          <w:tblCellSpacing w:w="20" w:type="dxa"/>
        </w:trPr>
        <w:tc>
          <w:tcPr>
            <w:tcW w:w="1200" w:type="pct"/>
            <w:hideMark/>
          </w:tcPr>
          <w:p w14:paraId="4C19749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79B010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0.74</w:t>
            </w:r>
          </w:p>
        </w:tc>
        <w:tc>
          <w:tcPr>
            <w:tcW w:w="1065" w:type="pct"/>
            <w:hideMark/>
          </w:tcPr>
          <w:p w14:paraId="60823AA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7F11412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r>
      <w:tr w:rsidR="00E448FC" w:rsidRPr="00D24D70" w14:paraId="422A791F" w14:textId="77777777" w:rsidTr="00F972F9">
        <w:trPr>
          <w:tblCellSpacing w:w="20" w:type="dxa"/>
        </w:trPr>
        <w:tc>
          <w:tcPr>
            <w:tcW w:w="1200" w:type="pct"/>
            <w:hideMark/>
          </w:tcPr>
          <w:p w14:paraId="62F9402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F1E7D0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0.69</w:t>
            </w:r>
          </w:p>
        </w:tc>
        <w:tc>
          <w:tcPr>
            <w:tcW w:w="1065" w:type="pct"/>
            <w:hideMark/>
          </w:tcPr>
          <w:p w14:paraId="1FAFF24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3BEE5B1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r>
      <w:tr w:rsidR="00E448FC" w:rsidRPr="00D24D70" w14:paraId="4D35D729" w14:textId="77777777" w:rsidTr="00F972F9">
        <w:trPr>
          <w:tblCellSpacing w:w="20" w:type="dxa"/>
        </w:trPr>
        <w:tc>
          <w:tcPr>
            <w:tcW w:w="1200" w:type="pct"/>
            <w:hideMark/>
          </w:tcPr>
          <w:p w14:paraId="7275715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1E897FE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0.72</w:t>
            </w:r>
          </w:p>
        </w:tc>
        <w:tc>
          <w:tcPr>
            <w:tcW w:w="1065" w:type="pct"/>
            <w:hideMark/>
          </w:tcPr>
          <w:p w14:paraId="1BFC996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التأثير المثالي</w:t>
            </w:r>
          </w:p>
        </w:tc>
        <w:tc>
          <w:tcPr>
            <w:tcW w:w="1123" w:type="pct"/>
            <w:hideMark/>
          </w:tcPr>
          <w:p w14:paraId="4496187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455094B4" w14:textId="77777777" w:rsidTr="00F972F9">
        <w:trPr>
          <w:tblCellSpacing w:w="20" w:type="dxa"/>
        </w:trPr>
        <w:tc>
          <w:tcPr>
            <w:tcW w:w="1200" w:type="pct"/>
            <w:hideMark/>
          </w:tcPr>
          <w:p w14:paraId="258C2DB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DC3907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0.66</w:t>
            </w:r>
          </w:p>
        </w:tc>
        <w:tc>
          <w:tcPr>
            <w:tcW w:w="1065" w:type="pct"/>
            <w:hideMark/>
          </w:tcPr>
          <w:p w14:paraId="2288FE4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c>
          <w:tcPr>
            <w:tcW w:w="1123" w:type="pct"/>
            <w:hideMark/>
          </w:tcPr>
          <w:p w14:paraId="7C90426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r>
      <w:tr w:rsidR="00E448FC" w:rsidRPr="00D24D70" w14:paraId="6A627725" w14:textId="77777777" w:rsidTr="00F972F9">
        <w:trPr>
          <w:tblCellSpacing w:w="20" w:type="dxa"/>
        </w:trPr>
        <w:tc>
          <w:tcPr>
            <w:tcW w:w="1200" w:type="pct"/>
            <w:hideMark/>
          </w:tcPr>
          <w:p w14:paraId="3F65A039"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38C0749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0.70</w:t>
            </w:r>
          </w:p>
        </w:tc>
        <w:tc>
          <w:tcPr>
            <w:tcW w:w="1065" w:type="pct"/>
            <w:hideMark/>
          </w:tcPr>
          <w:p w14:paraId="4A457C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الدافعية الإلهامية</w:t>
            </w:r>
          </w:p>
        </w:tc>
        <w:tc>
          <w:tcPr>
            <w:tcW w:w="1123" w:type="pct"/>
            <w:hideMark/>
          </w:tcPr>
          <w:p w14:paraId="66B5E01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52550D88" w14:textId="77777777" w:rsidTr="00F972F9">
        <w:trPr>
          <w:tblCellSpacing w:w="20" w:type="dxa"/>
        </w:trPr>
        <w:tc>
          <w:tcPr>
            <w:tcW w:w="1200" w:type="pct"/>
            <w:hideMark/>
          </w:tcPr>
          <w:p w14:paraId="5E81A76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2EFFCF8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26C9D90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الإعتبارية الفردية</w:t>
            </w:r>
          </w:p>
        </w:tc>
        <w:tc>
          <w:tcPr>
            <w:tcW w:w="1123" w:type="pct"/>
            <w:hideMark/>
          </w:tcPr>
          <w:p w14:paraId="2897604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الاستثارة الفكرية</w:t>
            </w:r>
          </w:p>
        </w:tc>
      </w:tr>
      <w:tr w:rsidR="00E448FC" w:rsidRPr="00D24D70" w14:paraId="3A3D38FF" w14:textId="77777777" w:rsidTr="00F972F9">
        <w:trPr>
          <w:tblCellSpacing w:w="20" w:type="dxa"/>
        </w:trPr>
        <w:tc>
          <w:tcPr>
            <w:tcW w:w="1200" w:type="pct"/>
            <w:hideMark/>
          </w:tcPr>
          <w:p w14:paraId="23F50BC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AD17D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0.72</w:t>
            </w:r>
          </w:p>
        </w:tc>
        <w:tc>
          <w:tcPr>
            <w:tcW w:w="1065" w:type="pct"/>
            <w:hideMark/>
          </w:tcPr>
          <w:p w14:paraId="21D9B70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384E9880"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r>
      <w:tr w:rsidR="00E448FC" w:rsidRPr="00D24D70" w14:paraId="5E4CCCB7" w14:textId="77777777" w:rsidTr="00F972F9">
        <w:trPr>
          <w:tblCellSpacing w:w="20" w:type="dxa"/>
        </w:trPr>
        <w:tc>
          <w:tcPr>
            <w:tcW w:w="1200" w:type="pct"/>
            <w:hideMark/>
          </w:tcPr>
          <w:p w14:paraId="59C067F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4560C2E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0.68</w:t>
            </w:r>
          </w:p>
        </w:tc>
        <w:tc>
          <w:tcPr>
            <w:tcW w:w="1065" w:type="pct"/>
            <w:hideMark/>
          </w:tcPr>
          <w:p w14:paraId="2C21C16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2606649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r>
      <w:tr w:rsidR="00E448FC" w:rsidRPr="00D24D70" w14:paraId="46D530EB" w14:textId="77777777" w:rsidTr="00F972F9">
        <w:trPr>
          <w:tblCellSpacing w:w="20" w:type="dxa"/>
        </w:trPr>
        <w:tc>
          <w:tcPr>
            <w:tcW w:w="1200" w:type="pct"/>
            <w:hideMark/>
          </w:tcPr>
          <w:p w14:paraId="4356719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6511B1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0.70</w:t>
            </w:r>
          </w:p>
        </w:tc>
        <w:tc>
          <w:tcPr>
            <w:tcW w:w="1065" w:type="pct"/>
            <w:hideMark/>
          </w:tcPr>
          <w:p w14:paraId="5088AAF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2613209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14234177" w14:textId="77777777" w:rsidTr="00F972F9">
        <w:trPr>
          <w:tblCellSpacing w:w="20" w:type="dxa"/>
        </w:trPr>
        <w:tc>
          <w:tcPr>
            <w:tcW w:w="1200" w:type="pct"/>
            <w:hideMark/>
          </w:tcPr>
          <w:p w14:paraId="7BC283D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04861C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0.75</w:t>
            </w:r>
          </w:p>
        </w:tc>
        <w:tc>
          <w:tcPr>
            <w:tcW w:w="1065" w:type="pct"/>
            <w:hideMark/>
          </w:tcPr>
          <w:p w14:paraId="23DB5886"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تقليل الأخطاء الطبية</w:t>
            </w:r>
          </w:p>
        </w:tc>
        <w:tc>
          <w:tcPr>
            <w:tcW w:w="1123" w:type="pct"/>
            <w:hideMark/>
          </w:tcPr>
          <w:p w14:paraId="30DFC8B3"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41D2DDC3" w14:textId="77777777" w:rsidTr="00F972F9">
        <w:trPr>
          <w:tblCellSpacing w:w="20" w:type="dxa"/>
        </w:trPr>
        <w:tc>
          <w:tcPr>
            <w:tcW w:w="1200" w:type="pct"/>
            <w:hideMark/>
          </w:tcPr>
          <w:p w14:paraId="27931BD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519EF37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0.66</w:t>
            </w:r>
          </w:p>
        </w:tc>
        <w:tc>
          <w:tcPr>
            <w:tcW w:w="1065" w:type="pct"/>
            <w:hideMark/>
          </w:tcPr>
          <w:p w14:paraId="59F02F6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6E58055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r>
      <w:tr w:rsidR="00E448FC" w:rsidRPr="00D24D70" w14:paraId="1C307E8B" w14:textId="77777777" w:rsidTr="00F972F9">
        <w:trPr>
          <w:tblCellSpacing w:w="20" w:type="dxa"/>
        </w:trPr>
        <w:tc>
          <w:tcPr>
            <w:tcW w:w="1200" w:type="pct"/>
            <w:hideMark/>
          </w:tcPr>
          <w:p w14:paraId="519249F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742D9267"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0.69</w:t>
            </w:r>
          </w:p>
        </w:tc>
        <w:tc>
          <w:tcPr>
            <w:tcW w:w="1065" w:type="pct"/>
            <w:hideMark/>
          </w:tcPr>
          <w:p w14:paraId="1356604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73B9063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4672A898" w14:textId="77777777" w:rsidTr="00F972F9">
        <w:trPr>
          <w:tblCellSpacing w:w="20" w:type="dxa"/>
        </w:trPr>
        <w:tc>
          <w:tcPr>
            <w:tcW w:w="1200" w:type="pct"/>
            <w:hideMark/>
          </w:tcPr>
          <w:p w14:paraId="0B73591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632C87FD"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0.73</w:t>
            </w:r>
          </w:p>
        </w:tc>
        <w:tc>
          <w:tcPr>
            <w:tcW w:w="1065" w:type="pct"/>
            <w:hideMark/>
          </w:tcPr>
          <w:p w14:paraId="3E69D232"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فعالية أنظمة الإبلاغ</w:t>
            </w:r>
          </w:p>
        </w:tc>
        <w:tc>
          <w:tcPr>
            <w:tcW w:w="1123" w:type="pct"/>
            <w:hideMark/>
          </w:tcPr>
          <w:p w14:paraId="7CB1A77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42DD4CFD" w14:textId="77777777" w:rsidTr="00F972F9">
        <w:trPr>
          <w:tblCellSpacing w:w="20" w:type="dxa"/>
        </w:trPr>
        <w:tc>
          <w:tcPr>
            <w:tcW w:w="1200" w:type="pct"/>
            <w:hideMark/>
          </w:tcPr>
          <w:p w14:paraId="37BAAEC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0FCEEC4C"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0.64</w:t>
            </w:r>
          </w:p>
        </w:tc>
        <w:tc>
          <w:tcPr>
            <w:tcW w:w="1065" w:type="pct"/>
            <w:hideMark/>
          </w:tcPr>
          <w:p w14:paraId="104BCC5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c>
          <w:tcPr>
            <w:tcW w:w="1123" w:type="pct"/>
            <w:hideMark/>
          </w:tcPr>
          <w:p w14:paraId="46EB104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r>
      <w:tr w:rsidR="00E448FC" w:rsidRPr="00D24D70" w14:paraId="43C97D22" w14:textId="77777777" w:rsidTr="00F972F9">
        <w:trPr>
          <w:tblCellSpacing w:w="20" w:type="dxa"/>
        </w:trPr>
        <w:tc>
          <w:tcPr>
            <w:tcW w:w="1200" w:type="pct"/>
            <w:hideMark/>
          </w:tcPr>
          <w:p w14:paraId="3EDF58C8"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lastRenderedPageBreak/>
              <w:t>دالة عند مستوى 0.01</w:t>
            </w:r>
          </w:p>
        </w:tc>
        <w:tc>
          <w:tcPr>
            <w:tcW w:w="1492" w:type="pct"/>
            <w:hideMark/>
          </w:tcPr>
          <w:p w14:paraId="195DC674"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0.67</w:t>
            </w:r>
          </w:p>
        </w:tc>
        <w:tc>
          <w:tcPr>
            <w:tcW w:w="1065" w:type="pct"/>
            <w:hideMark/>
          </w:tcPr>
          <w:p w14:paraId="3D9302CB"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إشراك المرضى</w:t>
            </w:r>
          </w:p>
        </w:tc>
        <w:tc>
          <w:tcPr>
            <w:tcW w:w="1123" w:type="pct"/>
            <w:hideMark/>
          </w:tcPr>
          <w:p w14:paraId="4BDEF77E"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r w:rsidR="00E448FC" w:rsidRPr="00D24D70" w14:paraId="2870CD37" w14:textId="77777777" w:rsidTr="00F972F9">
        <w:trPr>
          <w:tblCellSpacing w:w="20" w:type="dxa"/>
        </w:trPr>
        <w:tc>
          <w:tcPr>
            <w:tcW w:w="1200" w:type="pct"/>
            <w:hideMark/>
          </w:tcPr>
          <w:p w14:paraId="23D24B75"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دالة عند مستوى 0.01</w:t>
            </w:r>
          </w:p>
        </w:tc>
        <w:tc>
          <w:tcPr>
            <w:tcW w:w="1492" w:type="pct"/>
            <w:hideMark/>
          </w:tcPr>
          <w:p w14:paraId="55A593A1"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Pr>
              <w:t>0.76</w:t>
            </w:r>
          </w:p>
        </w:tc>
        <w:tc>
          <w:tcPr>
            <w:tcW w:w="1065" w:type="pct"/>
            <w:hideMark/>
          </w:tcPr>
          <w:p w14:paraId="4C1D764F"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بيئة العمل الآمنة</w:t>
            </w:r>
          </w:p>
        </w:tc>
        <w:tc>
          <w:tcPr>
            <w:tcW w:w="1123" w:type="pct"/>
            <w:hideMark/>
          </w:tcPr>
          <w:p w14:paraId="215080FA" w14:textId="77777777" w:rsidR="00E448FC" w:rsidRPr="00D24D70" w:rsidRDefault="00E448FC" w:rsidP="00F972F9">
            <w:pPr>
              <w:bidi/>
              <w:spacing w:after="200" w:line="276" w:lineRule="auto"/>
              <w:jc w:val="center"/>
              <w:rPr>
                <w:rFonts w:ascii="Traditional Arabic" w:hAnsi="Traditional Arabic" w:cs="Traditional Arabic"/>
                <w:b/>
                <w:bCs/>
                <w:color w:val="000000" w:themeColor="text1"/>
                <w:sz w:val="20"/>
                <w:szCs w:val="20"/>
              </w:rPr>
            </w:pPr>
            <w:r w:rsidRPr="00D24D70">
              <w:rPr>
                <w:rFonts w:ascii="Traditional Arabic" w:hAnsi="Traditional Arabic" w:cs="Traditional Arabic" w:hint="cs"/>
                <w:b/>
                <w:bCs/>
                <w:color w:val="000000" w:themeColor="text1"/>
                <w:sz w:val="20"/>
                <w:szCs w:val="20"/>
                <w:rtl/>
              </w:rPr>
              <w:t>جودة الرعاية السريرية</w:t>
            </w:r>
          </w:p>
        </w:tc>
      </w:tr>
    </w:tbl>
    <w:p w14:paraId="0A7D7B05" w14:textId="77777777" w:rsidR="00E448FC" w:rsidRPr="00A304BA"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A304BA">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0AE51F99" w14:textId="77777777" w:rsidR="00E448FC" w:rsidRPr="00A304BA"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A304BA">
        <w:rPr>
          <w:rFonts w:ascii="Traditional Arabic" w:hAnsi="Traditional Arabic" w:cs="Traditional Arabic" w:hint="cs"/>
          <w:color w:val="000000" w:themeColor="text1"/>
          <w:sz w:val="24"/>
          <w:szCs w:val="24"/>
          <w:rtl/>
        </w:rPr>
        <w:t>الجدول السابق يوضح نتائج معاملات ارتباط بيرسون بين أبعاد المتغيرات الثلاثة</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إدارة المخاطر، القيادة التحويلية، وسلامة المرضى</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يتبين من القيم أن جميع معاملات الارتباط كانت دالة إحصائيًا عند مستوى</w:t>
      </w:r>
      <w:r w:rsidRPr="00A304BA">
        <w:rPr>
          <w:rFonts w:ascii="Traditional Arabic" w:hAnsi="Traditional Arabic" w:cs="Traditional Arabic" w:hint="cs"/>
          <w:color w:val="000000" w:themeColor="text1"/>
          <w:sz w:val="24"/>
          <w:szCs w:val="24"/>
        </w:rPr>
        <w:t xml:space="preserve"> (0.01)</w:t>
      </w:r>
      <w:r w:rsidRPr="00A304BA">
        <w:rPr>
          <w:rFonts w:ascii="Traditional Arabic" w:hAnsi="Traditional Arabic" w:cs="Traditional Arabic" w:hint="cs"/>
          <w:color w:val="000000" w:themeColor="text1"/>
          <w:sz w:val="24"/>
          <w:szCs w:val="24"/>
          <w:rtl/>
        </w:rPr>
        <w:t>، مما يعكس وجود علاقات ارتباط قوية وموجبة بين الأبعاد المختلفة داخل كل متغير. هذا يشير إلى أن العبارات المرتبطة بكل بُعد تتماسك فيما بينها بشكل يعكس المفهوم الذي صُممت لقياسه، ويؤكد أن الأداة البحثية تتمتع بدرجة عالية من الصدق الداخلي</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كما أن تباين معاملات الارتباط بين الأبعاد المختلفة يُظهر أن كل محور يقيس جانبًا مميزًا من المتغير، مع وجود انسجام عام يعزز صلاحية الأداة للاستخدام في الدراسات التطبيقية بمجال الإدارة الصحية وإدارة المستشفيات</w:t>
      </w:r>
      <w:r w:rsidRPr="00A304BA">
        <w:rPr>
          <w:rFonts w:ascii="Traditional Arabic" w:hAnsi="Traditional Arabic" w:cs="Traditional Arabic" w:hint="cs"/>
          <w:color w:val="000000" w:themeColor="text1"/>
          <w:sz w:val="24"/>
          <w:szCs w:val="24"/>
        </w:rPr>
        <w:t>.</w:t>
      </w:r>
    </w:p>
    <w:p w14:paraId="2A648C63" w14:textId="48EA0DA3" w:rsidR="003263AB" w:rsidRPr="00E96DB2" w:rsidRDefault="003263AB" w:rsidP="0000785F">
      <w:pPr>
        <w:bidi/>
        <w:spacing w:after="200" w:line="360" w:lineRule="auto"/>
        <w:jc w:val="both"/>
        <w:rPr>
          <w:rFonts w:ascii="Traditional Arabic" w:hAnsi="Traditional Arabic" w:cs="Traditional Arabic"/>
          <w:b/>
          <w:bCs/>
          <w:color w:val="000000" w:themeColor="text1"/>
          <w:sz w:val="28"/>
          <w:szCs w:val="28"/>
          <w:rtl/>
          <w:lang w:bidi="ar-EG"/>
        </w:rPr>
      </w:pPr>
      <w:r w:rsidRPr="00E96DB2">
        <w:rPr>
          <w:rFonts w:ascii="Traditional Arabic" w:hAnsi="Traditional Arabic" w:cs="Traditional Arabic" w:hint="cs"/>
          <w:b/>
          <w:bCs/>
          <w:color w:val="000000" w:themeColor="text1"/>
          <w:sz w:val="28"/>
          <w:szCs w:val="28"/>
          <w:rtl/>
          <w:lang w:bidi="ar-EG"/>
        </w:rPr>
        <w:t>خلاصة:</w:t>
      </w:r>
    </w:p>
    <w:p w14:paraId="75EB32A3" w14:textId="77777777"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lang w:bidi="ar-EG"/>
        </w:rPr>
      </w:pPr>
      <w:r w:rsidRPr="003263AB">
        <w:rPr>
          <w:rFonts w:ascii="Traditional Arabic" w:hAnsi="Traditional Arabic" w:cs="Traditional Arabic"/>
          <w:color w:val="000000" w:themeColor="text1"/>
          <w:sz w:val="24"/>
          <w:szCs w:val="24"/>
          <w:rtl/>
        </w:rPr>
        <w:t xml:space="preserve">أظهرت نتائج التحليل الوصفي أن المتوسطات الحسابية لجميع العبارات تراوحت بين (4.03 – 4.35)، وهو مستوى مرتفع يعكس إدراكًا جماعيًا قويًا لأهمية تطبيق ممارسات إدارة المخاطر، وتبني القيادة التحويلية، وتعزيز سلامة المرضى. فقد سجلت عبارات مثل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يُظهر القائد سلوكًا أخلاقيًا يُحتذى به</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 xml:space="preserve">و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يتم تطبيق إجراءات واضحة لتقليل الأخطاء الطبية</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أعلى المتوسطات، مما يدل على وجود ثقافة تنظيمية ناضجة ووعي مؤسسي متقدم. كما بينت النتائج أن بيئة العمل المدروسة تتسم بدرجة عالية من التنظيم والالتزام بمعايير الجودة والسلامة، مدعومة بقيادة تحويلية فعالة، وأن هناك توجهًا واضحًا نحو إشراك المرضى وتوفير بيئة داعمة للعاملين، وهو ما يعزز استدامة الأداء الصحي وجودة الخدمات المقدمة</w:t>
      </w:r>
      <w:r w:rsidRPr="003263AB">
        <w:rPr>
          <w:rFonts w:ascii="Traditional Arabic" w:hAnsi="Traditional Arabic" w:cs="Traditional Arabic"/>
          <w:color w:val="000000" w:themeColor="text1"/>
          <w:sz w:val="24"/>
          <w:szCs w:val="24"/>
          <w:lang w:bidi="ar-EG"/>
        </w:rPr>
        <w:t>.</w:t>
      </w:r>
    </w:p>
    <w:p w14:paraId="26C626E1" w14:textId="3AF97788"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rtl/>
          <w:lang w:bidi="ar-EG"/>
        </w:rPr>
        <w:sectPr w:rsidR="003263AB" w:rsidRPr="003263AB" w:rsidSect="00E63F9C">
          <w:footerReference w:type="default" r:id="rId49"/>
          <w:footerReference w:type="first" r:id="rId5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98"/>
          <w:cols w:space="708"/>
          <w:bidi/>
          <w:rtlGutter/>
          <w:docGrid w:linePitch="360"/>
        </w:sectPr>
      </w:pPr>
    </w:p>
    <w:p w14:paraId="6CAEA6B0" w14:textId="77777777" w:rsidR="00C1475A" w:rsidRDefault="00C1475A" w:rsidP="00C1475A">
      <w:pPr>
        <w:bidi/>
        <w:spacing w:after="200" w:line="276" w:lineRule="auto"/>
        <w:rPr>
          <w:rFonts w:ascii="Simplified Arabic" w:hAnsi="Simplified Arabic" w:cs="Simplified Arabic"/>
          <w:b/>
          <w:bCs/>
          <w:color w:val="000000" w:themeColor="text1"/>
          <w:sz w:val="28"/>
          <w:szCs w:val="28"/>
        </w:rPr>
      </w:pPr>
    </w:p>
    <w:p w14:paraId="15EF3399"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1F6AF87A"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08464AE6"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971AE7A" w14:textId="77777777" w:rsidR="007671BB" w:rsidRDefault="007671BB" w:rsidP="008A09FE">
      <w:pPr>
        <w:bidi/>
        <w:spacing w:after="200" w:line="276" w:lineRule="auto"/>
        <w:jc w:val="center"/>
        <w:rPr>
          <w:rFonts w:ascii="Simplified Arabic" w:hAnsi="Simplified Arabic" w:cs="Simplified Arabic"/>
          <w:b/>
          <w:bCs/>
          <w:color w:val="000000" w:themeColor="text1"/>
          <w:sz w:val="144"/>
          <w:szCs w:val="144"/>
          <w:rtl/>
          <w:lang w:bidi="ar-EG"/>
        </w:rPr>
      </w:pPr>
    </w:p>
    <w:p w14:paraId="028C5ED3" w14:textId="16759F6C" w:rsidR="008A09FE" w:rsidRPr="008A09FE" w:rsidRDefault="008A09FE" w:rsidP="007671BB">
      <w:pPr>
        <w:bidi/>
        <w:spacing w:after="200" w:line="276" w:lineRule="auto"/>
        <w:jc w:val="center"/>
        <w:rPr>
          <w:rFonts w:ascii="Simplified Arabic" w:hAnsi="Simplified Arabic" w:cs="Simplified Arabic"/>
          <w:b/>
          <w:bCs/>
          <w:color w:val="000000" w:themeColor="text1"/>
          <w:sz w:val="144"/>
          <w:szCs w:val="144"/>
          <w:rtl/>
          <w:lang w:bidi="ar-EG"/>
        </w:rPr>
      </w:pPr>
      <w:r w:rsidRPr="008A09FE">
        <w:rPr>
          <w:rFonts w:ascii="Simplified Arabic" w:hAnsi="Simplified Arabic" w:cs="Simplified Arabic" w:hint="cs"/>
          <w:b/>
          <w:bCs/>
          <w:color w:val="000000" w:themeColor="text1"/>
          <w:sz w:val="144"/>
          <w:szCs w:val="144"/>
          <w:rtl/>
          <w:lang w:bidi="ar-EG"/>
        </w:rPr>
        <w:t>الفصل الرابع</w:t>
      </w:r>
    </w:p>
    <w:p w14:paraId="6F9F14C9"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1D5A5DD8"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32C67094" w14:textId="77777777" w:rsidR="00694A68" w:rsidRDefault="00694A68" w:rsidP="005D0F75">
      <w:pPr>
        <w:bidi/>
        <w:spacing w:after="200" w:line="276" w:lineRule="auto"/>
        <w:rPr>
          <w:rFonts w:ascii="Simplified Arabic" w:hAnsi="Simplified Arabic" w:cs="Simplified Arabic"/>
          <w:b/>
          <w:bCs/>
          <w:color w:val="000000" w:themeColor="text1"/>
          <w:sz w:val="28"/>
          <w:szCs w:val="28"/>
          <w:rtl/>
        </w:rPr>
      </w:pPr>
    </w:p>
    <w:p w14:paraId="30AC64E8"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22CA45EC"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42E89437"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3E7CACE0" w14:textId="77777777" w:rsidR="003B1A00" w:rsidRPr="003B1A00" w:rsidRDefault="003B1A00" w:rsidP="003B1A00">
      <w:pPr>
        <w:bidi/>
        <w:rPr>
          <w:rFonts w:ascii="Simplified Arabic" w:hAnsi="Simplified Arabic" w:cs="Simplified Arabic"/>
          <w:sz w:val="28"/>
          <w:szCs w:val="28"/>
          <w:rtl/>
        </w:rPr>
      </w:pPr>
    </w:p>
    <w:p w14:paraId="7C937376" w14:textId="77777777" w:rsidR="003B1A00" w:rsidRPr="003B1A00" w:rsidRDefault="003B1A00" w:rsidP="003B1A00">
      <w:pPr>
        <w:bidi/>
        <w:rPr>
          <w:rFonts w:ascii="Simplified Arabic" w:hAnsi="Simplified Arabic" w:cs="Times New Roman"/>
          <w:sz w:val="28"/>
          <w:szCs w:val="28"/>
          <w:rtl/>
        </w:rPr>
        <w:sectPr w:rsidR="003B1A00" w:rsidRPr="003B1A00" w:rsidSect="007671BB">
          <w:footerReference w:type="default" r:id="rId51"/>
          <w:pgSz w:w="11906" w:h="16838"/>
          <w:pgMar w:top="1440" w:right="1800" w:bottom="1440" w:left="1800" w:header="708" w:footer="708" w:gutter="0"/>
          <w:pgNumType w:start="95"/>
          <w:cols w:space="708"/>
          <w:bidi/>
          <w:rtlGutter/>
          <w:docGrid w:linePitch="360"/>
        </w:sectPr>
      </w:pPr>
    </w:p>
    <w:p w14:paraId="0C5C1E13" w14:textId="06004500" w:rsidR="008A09FE" w:rsidRPr="003B1A00" w:rsidRDefault="008F1EB2" w:rsidP="007671B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تمهيد</w:t>
      </w:r>
      <w:r w:rsidR="00823D0A">
        <w:rPr>
          <w:rFonts w:ascii="Traditional Arabic" w:hAnsi="Traditional Arabic" w:cs="Traditional Arabic" w:hint="cs"/>
          <w:b/>
          <w:bCs/>
          <w:color w:val="000000" w:themeColor="text1"/>
          <w:sz w:val="28"/>
          <w:szCs w:val="28"/>
          <w:rtl/>
        </w:rPr>
        <w:t>:</w:t>
      </w:r>
    </w:p>
    <w:p w14:paraId="583A293C" w14:textId="25F062D1" w:rsidR="004D3226" w:rsidRPr="004865B8" w:rsidRDefault="00261841" w:rsidP="002D7995">
      <w:pPr>
        <w:bidi/>
        <w:spacing w:after="200" w:line="276" w:lineRule="auto"/>
        <w:ind w:firstLine="720"/>
        <w:jc w:val="both"/>
        <w:rPr>
          <w:rFonts w:ascii="Traditional Arabic" w:hAnsi="Traditional Arabic" w:cs="Traditional Arabic"/>
          <w:color w:val="000000" w:themeColor="text1"/>
          <w:sz w:val="24"/>
          <w:szCs w:val="24"/>
          <w:rtl/>
        </w:rPr>
      </w:pPr>
      <w:r w:rsidRPr="00261841">
        <w:rPr>
          <w:rFonts w:ascii="Traditional Arabic" w:hAnsi="Traditional Arabic" w:cs="Traditional Arabic"/>
          <w:color w:val="000000" w:themeColor="text1"/>
          <w:sz w:val="24"/>
          <w:szCs w:val="24"/>
          <w:rtl/>
        </w:rPr>
        <w:t xml:space="preserve">في هذا الفصل تم اختبار </w:t>
      </w:r>
      <w:r w:rsidR="00324367">
        <w:rPr>
          <w:rFonts w:ascii="Traditional Arabic" w:hAnsi="Traditional Arabic" w:cs="Traditional Arabic" w:hint="cs"/>
          <w:color w:val="000000" w:themeColor="text1"/>
          <w:sz w:val="24"/>
          <w:szCs w:val="24"/>
          <w:rtl/>
        </w:rPr>
        <w:t>الفرضيات الرئيسية</w:t>
      </w:r>
      <w:r w:rsidRPr="00261841">
        <w:rPr>
          <w:rFonts w:ascii="Traditional Arabic" w:hAnsi="Traditional Arabic" w:cs="Traditional Arabic"/>
          <w:color w:val="000000" w:themeColor="text1"/>
          <w:sz w:val="24"/>
          <w:szCs w:val="24"/>
          <w:rtl/>
        </w:rPr>
        <w:t xml:space="preserve"> للدراسة التي تبحث العلاقة بين </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إدارة المخاطر وسلامة المرضى</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 xml:space="preserve"> في المستشفيات الحكومية السعودية، مع تحليل الدور الوسيط الذي تلعبه </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القيادة التحويلية</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 xml:space="preserve"> وقد اعتمدت الباحثة على مجموعة من الاختبارات الإحصائية مثل الانحدار الخطي البسيط والمتعدد، واختبار العينات المستقلة (</w:t>
      </w:r>
      <w:r w:rsidRPr="00261841">
        <w:rPr>
          <w:rFonts w:ascii="Traditional Arabic" w:hAnsi="Traditional Arabic" w:cs="Traditional Arabic"/>
          <w:color w:val="000000" w:themeColor="text1"/>
          <w:sz w:val="24"/>
          <w:szCs w:val="24"/>
        </w:rPr>
        <w:t>T-test</w:t>
      </w:r>
      <w:r w:rsidRPr="00261841">
        <w:rPr>
          <w:rFonts w:ascii="Traditional Arabic" w:hAnsi="Traditional Arabic" w:cs="Traditional Arabic"/>
          <w:color w:val="000000" w:themeColor="text1"/>
          <w:sz w:val="24"/>
          <w:szCs w:val="24"/>
          <w:rtl/>
        </w:rPr>
        <w:t>)، وتحليل التباين الأحادي (</w:t>
      </w:r>
      <w:r w:rsidRPr="00261841">
        <w:rPr>
          <w:rFonts w:ascii="Traditional Arabic" w:hAnsi="Traditional Arabic" w:cs="Traditional Arabic"/>
          <w:color w:val="000000" w:themeColor="text1"/>
          <w:sz w:val="24"/>
          <w:szCs w:val="24"/>
        </w:rPr>
        <w:t>ANOVA</w:t>
      </w:r>
      <w:r w:rsidRPr="00261841">
        <w:rPr>
          <w:rFonts w:ascii="Traditional Arabic" w:hAnsi="Traditional Arabic" w:cs="Traditional Arabic"/>
          <w:color w:val="000000" w:themeColor="text1"/>
          <w:sz w:val="24"/>
          <w:szCs w:val="24"/>
          <w:rtl/>
        </w:rPr>
        <w:t>)، وذلك للتحقق من قوة العلاقات بين المتغيرات الثلاثة ومدى دلالتها الإحصائية. وأظهرت النتائج أن إدارة المخاطر تؤثر بشكل مباشر على سلامة المرضى، وأن القيادة التحويلية تعزز هذا الأثر وتزيد من فعاليته، كما تبين أن أبعاد سلامة المرضى تسهم بشكل ملموس في تحسين أداء المستشفيات. إضافة إلى ذلك، أوضحت النتائج وجود فروق دالة إحصائيًا في إدراك العاملين لأهمية القيادة التحويلية تُعزى إلى المتغيرات الديموغرافية مثل النوع، المؤهل العلمي، نوع الوظيفة، وسنوات الخبرة. هذه النتائج تؤكد أن الجمع بين إدارة المخاطر والقيادة التحويلية يمثل استراتيجية متكاملة لتحسين جودة الرعاية الصحية وتعزيز سلامة المرضى في المستشفيات الحكومية السعودية.</w:t>
      </w:r>
    </w:p>
    <w:p w14:paraId="4121F83D" w14:textId="5E3A8176" w:rsidR="007A68BA" w:rsidRPr="002F1B1A" w:rsidRDefault="004044BB" w:rsidP="002F1B1A">
      <w:pPr>
        <w:bidi/>
        <w:spacing w:after="200" w:line="276" w:lineRule="auto"/>
        <w:rPr>
          <w:rFonts w:ascii="Traditional Arabic" w:hAnsi="Traditional Arabic" w:cs="Traditional Arabic"/>
          <w:b/>
          <w:bCs/>
          <w:color w:val="00B0F0"/>
          <w:sz w:val="28"/>
          <w:szCs w:val="28"/>
          <w:u w:val="single"/>
          <w:rtl/>
          <w:lang w:bidi="ar-EG"/>
        </w:rPr>
      </w:pPr>
      <w:r w:rsidRPr="0044090C">
        <w:rPr>
          <w:rFonts w:ascii="Traditional Arabic" w:hAnsi="Traditional Arabic" w:cs="Traditional Arabic" w:hint="cs"/>
          <w:b/>
          <w:bCs/>
          <w:color w:val="00B0F0"/>
          <w:sz w:val="28"/>
          <w:szCs w:val="28"/>
          <w:u w:val="single"/>
          <w:rtl/>
          <w:lang w:bidi="ar-EG"/>
        </w:rPr>
        <w:t>اختبار فرضيات</w:t>
      </w:r>
      <w:r w:rsidR="003A3C12" w:rsidRPr="0044090C">
        <w:rPr>
          <w:rFonts w:ascii="Traditional Arabic" w:hAnsi="Traditional Arabic" w:cs="Traditional Arabic" w:hint="cs"/>
          <w:b/>
          <w:bCs/>
          <w:color w:val="00B0F0"/>
          <w:sz w:val="28"/>
          <w:szCs w:val="28"/>
          <w:u w:val="single"/>
          <w:rtl/>
          <w:lang w:bidi="ar-EG"/>
        </w:rPr>
        <w:t xml:space="preserve"> الدراسة</w:t>
      </w:r>
      <w:r w:rsidRPr="0044090C">
        <w:rPr>
          <w:rFonts w:ascii="Traditional Arabic" w:hAnsi="Traditional Arabic" w:cs="Traditional Arabic" w:hint="cs"/>
          <w:b/>
          <w:bCs/>
          <w:color w:val="00B0F0"/>
          <w:sz w:val="28"/>
          <w:szCs w:val="28"/>
          <w:u w:val="single"/>
          <w:rtl/>
          <w:lang w:bidi="ar-EG"/>
        </w:rPr>
        <w:t>:</w:t>
      </w:r>
    </w:p>
    <w:p w14:paraId="793770AB" w14:textId="77777777" w:rsidR="00CA12B9" w:rsidRPr="0044090C" w:rsidRDefault="00CA12B9" w:rsidP="00CA12B9">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 xml:space="preserve">الفرض </w:t>
      </w:r>
      <w:r>
        <w:rPr>
          <w:rFonts w:ascii="Traditional Arabic" w:eastAsia="Calibri" w:hAnsi="Traditional Arabic" w:cs="Traditional Arabic" w:hint="cs"/>
          <w:b/>
          <w:bCs/>
          <w:sz w:val="24"/>
          <w:szCs w:val="24"/>
          <w:rtl/>
          <w:lang w:bidi="ar-EG"/>
        </w:rPr>
        <w:t xml:space="preserve">الأول: </w:t>
      </w:r>
      <w:r>
        <w:rPr>
          <w:rFonts w:ascii="Traditional Arabic" w:eastAsia="Calibri" w:hAnsi="Traditional Arabic" w:cs="Traditional Arabic" w:hint="cs"/>
          <w:sz w:val="24"/>
          <w:szCs w:val="24"/>
          <w:rtl/>
          <w:lang w:bidi="ar-EG"/>
        </w:rPr>
        <w:t>يوجد</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تأثير مباشر ذو دلالة إحصائية لممارسات إدارة المخاطر على القيادة التحويلية في المرافق الصحية الحكومية بالمملكة العربية السعودية.</w:t>
      </w:r>
    </w:p>
    <w:p w14:paraId="5570464E" w14:textId="6D9DD441" w:rsidR="006C58CD" w:rsidRPr="002F1B1A" w:rsidRDefault="005344D8" w:rsidP="002F1B1A">
      <w:pPr>
        <w:bidi/>
        <w:spacing w:after="200" w:line="360" w:lineRule="auto"/>
        <w:ind w:left="720" w:hanging="720"/>
        <w:contextualSpacing/>
        <w:jc w:val="both"/>
        <w:rPr>
          <w:rFonts w:ascii="Traditional Arabic" w:eastAsia="Calibri" w:hAnsi="Traditional Arabic" w:cs="Traditional Arabic"/>
          <w:sz w:val="24"/>
          <w:szCs w:val="24"/>
          <w:rtl/>
        </w:rPr>
      </w:pPr>
      <w:r w:rsidRPr="0044090C">
        <w:rPr>
          <w:rFonts w:ascii="Traditional Arabic" w:eastAsia="Calibri" w:hAnsi="Traditional Arabic" w:cs="Traditional Arabic"/>
          <w:sz w:val="24"/>
          <w:szCs w:val="24"/>
          <w:rtl/>
        </w:rPr>
        <w:t xml:space="preserve">استخدمت الباحثة </w:t>
      </w:r>
      <w:r w:rsidR="00CD30D0">
        <w:rPr>
          <w:rFonts w:ascii="Traditional Arabic" w:eastAsia="Calibri" w:hAnsi="Traditional Arabic" w:cs="Traditional Arabic" w:hint="cs"/>
          <w:sz w:val="24"/>
          <w:szCs w:val="24"/>
          <w:rtl/>
        </w:rPr>
        <w:t xml:space="preserve"> </w:t>
      </w:r>
      <w:r w:rsidR="00CD30D0" w:rsidRPr="00CD30D0">
        <w:rPr>
          <w:rFonts w:ascii="Traditional Arabic" w:eastAsia="Calibri" w:hAnsi="Traditional Arabic" w:cs="Traditional Arabic"/>
          <w:sz w:val="24"/>
          <w:szCs w:val="24"/>
          <w:rtl/>
        </w:rPr>
        <w:t>تحليل الانحدار الخطي البسيط</w:t>
      </w:r>
      <w:r w:rsidR="00CD30D0" w:rsidRPr="00CD30D0">
        <w:rPr>
          <w:rFonts w:ascii="Traditional Arabic" w:eastAsia="Calibri" w:hAnsi="Traditional Arabic" w:cs="Traditional Arabic"/>
          <w:sz w:val="24"/>
          <w:szCs w:val="24"/>
        </w:rPr>
        <w:t xml:space="preserve"> (Simple Linear Regression)</w:t>
      </w:r>
      <w:r w:rsidR="00CD30D0">
        <w:rPr>
          <w:rFonts w:ascii="Traditional Arabic" w:eastAsia="Calibri" w:hAnsi="Traditional Arabic" w:cs="Traditional Arabic" w:hint="cs"/>
          <w:sz w:val="24"/>
          <w:szCs w:val="24"/>
          <w:rtl/>
        </w:rPr>
        <w:t>لاختبار هذه الفرضية</w:t>
      </w:r>
      <w:r w:rsidR="00AD1422">
        <w:rPr>
          <w:rFonts w:ascii="Traditional Arabic" w:eastAsia="Calibri" w:hAnsi="Traditional Arabic" w:cs="Traditional Arabic" w:hint="cs"/>
          <w:sz w:val="24"/>
          <w:szCs w:val="24"/>
          <w:rtl/>
        </w:rPr>
        <w:t>، والجدول التالي يوضح مخرجات التحليل الإحصائي:</w:t>
      </w:r>
    </w:p>
    <w:p w14:paraId="62FC5D9C" w14:textId="004796C9" w:rsidR="005344D8" w:rsidRDefault="005344D8" w:rsidP="006C58CD">
      <w:pPr>
        <w:bidi/>
        <w:spacing w:after="200" w:line="360" w:lineRule="auto"/>
        <w:ind w:left="720" w:hanging="720"/>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b/>
          <w:bCs/>
          <w:sz w:val="24"/>
          <w:szCs w:val="24"/>
          <w:rtl/>
        </w:rPr>
        <w:t>الجدول (</w:t>
      </w:r>
      <w:r w:rsidRPr="0044090C">
        <w:rPr>
          <w:rFonts w:ascii="Traditional Arabic" w:eastAsia="Calibri" w:hAnsi="Traditional Arabic" w:cs="Traditional Arabic" w:hint="cs"/>
          <w:b/>
          <w:bCs/>
          <w:sz w:val="24"/>
          <w:szCs w:val="24"/>
          <w:rtl/>
        </w:rPr>
        <w:t>15</w:t>
      </w:r>
      <w:r w:rsidRPr="0044090C">
        <w:rPr>
          <w:rFonts w:ascii="Traditional Arabic" w:eastAsia="Calibri" w:hAnsi="Traditional Arabic" w:cs="Traditional Arabic"/>
          <w:b/>
          <w:bCs/>
          <w:sz w:val="24"/>
          <w:szCs w:val="24"/>
          <w:rtl/>
        </w:rPr>
        <w:t xml:space="preserve">): </w:t>
      </w:r>
      <w:r w:rsidR="00CD30D0">
        <w:rPr>
          <w:rFonts w:ascii="Traditional Arabic" w:eastAsia="Calibri" w:hAnsi="Traditional Arabic" w:cs="Traditional Arabic" w:hint="cs"/>
          <w:b/>
          <w:bCs/>
          <w:sz w:val="24"/>
          <w:szCs w:val="24"/>
          <w:rtl/>
        </w:rPr>
        <w:t>نتائج تحليل الانحدار الخطي البسيط لأثر ممارسات إدارة المخاطر على القيادة التحويلية</w:t>
      </w:r>
    </w:p>
    <w:tbl>
      <w:tblPr>
        <w:tblStyle w:val="TableGrid"/>
        <w:bidiVisual/>
        <w:tblW w:w="5307" w:type="pct"/>
        <w:tblCellSpacing w:w="20" w:type="dxa"/>
        <w:tblInd w:w="-50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33"/>
        <w:gridCol w:w="813"/>
        <w:gridCol w:w="813"/>
        <w:gridCol w:w="813"/>
        <w:gridCol w:w="933"/>
        <w:gridCol w:w="813"/>
        <w:gridCol w:w="813"/>
        <w:gridCol w:w="813"/>
        <w:gridCol w:w="933"/>
        <w:gridCol w:w="833"/>
      </w:tblGrid>
      <w:tr w:rsidR="007005F3" w:rsidRPr="000B0F65" w14:paraId="4A524DAC" w14:textId="30A100AE" w:rsidTr="00744DE6">
        <w:trPr>
          <w:tblCellSpacing w:w="20" w:type="dxa"/>
        </w:trPr>
        <w:tc>
          <w:tcPr>
            <w:tcW w:w="666" w:type="pct"/>
            <w:shd w:val="clear" w:color="auto" w:fill="E5DFEC" w:themeFill="accent4" w:themeFillTint="33"/>
          </w:tcPr>
          <w:p w14:paraId="5304D858" w14:textId="01BBC874"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hint="cs"/>
                <w:b/>
                <w:bCs/>
                <w:sz w:val="24"/>
                <w:szCs w:val="24"/>
                <w:rtl/>
                <w:lang w:bidi="ar-EG"/>
              </w:rPr>
              <w:t>المتغير المستقل</w:t>
            </w:r>
          </w:p>
        </w:tc>
        <w:tc>
          <w:tcPr>
            <w:tcW w:w="439" w:type="pct"/>
            <w:shd w:val="clear" w:color="auto" w:fill="E5DFEC" w:themeFill="accent4" w:themeFillTint="33"/>
          </w:tcPr>
          <w:p w14:paraId="5CA0C326"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hint="cs"/>
                <w:b/>
                <w:bCs/>
                <w:sz w:val="24"/>
                <w:szCs w:val="24"/>
                <w:rtl/>
                <w:lang w:bidi="ar-EG"/>
              </w:rPr>
              <w:t xml:space="preserve">معامل الانحدار غير المعياري </w:t>
            </w:r>
          </w:p>
          <w:p w14:paraId="7BEC85DA" w14:textId="1E6B75FA"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b/>
                <w:bCs/>
                <w:sz w:val="24"/>
                <w:szCs w:val="24"/>
                <w:lang w:bidi="ar-EG"/>
              </w:rPr>
              <w:t>B</w:t>
            </w:r>
          </w:p>
        </w:tc>
        <w:tc>
          <w:tcPr>
            <w:tcW w:w="439" w:type="pct"/>
            <w:shd w:val="clear" w:color="auto" w:fill="E5DFEC" w:themeFill="accent4" w:themeFillTint="33"/>
          </w:tcPr>
          <w:p w14:paraId="750A8936"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الخطأ المعياري</w:t>
            </w:r>
          </w:p>
          <w:p w14:paraId="3BD7ECE3" w14:textId="77E947C1"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b/>
                <w:bCs/>
                <w:sz w:val="24"/>
                <w:szCs w:val="24"/>
                <w:lang w:bidi="ar-EG"/>
              </w:rPr>
              <w:t>SE</w:t>
            </w:r>
          </w:p>
        </w:tc>
        <w:tc>
          <w:tcPr>
            <w:tcW w:w="439" w:type="pct"/>
            <w:shd w:val="clear" w:color="auto" w:fill="E5DFEC" w:themeFill="accent4" w:themeFillTint="33"/>
          </w:tcPr>
          <w:p w14:paraId="07A53625"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معامل الانحدار المعياري</w:t>
            </w:r>
          </w:p>
          <w:p w14:paraId="65A7A17F" w14:textId="267C691E" w:rsidR="007005F3" w:rsidRPr="000B0F65" w:rsidRDefault="000B0F65" w:rsidP="007005F3">
            <w:pPr>
              <w:bidi/>
              <w:spacing w:after="200" w:line="360" w:lineRule="auto"/>
              <w:contextualSpacing/>
              <w:jc w:val="center"/>
              <w:rPr>
                <w:rFonts w:ascii="Traditional Arabic" w:eastAsia="Calibri" w:hAnsi="Traditional Arabic" w:cs="Traditional Arabic"/>
                <w:b/>
                <w:bCs/>
                <w:sz w:val="24"/>
                <w:szCs w:val="24"/>
                <w:rtl/>
                <w:lang w:bidi="ar-EG"/>
              </w:rPr>
            </w:pPr>
            <m:oMathPara>
              <m:oMath>
                <m:r>
                  <m:rPr>
                    <m:sty m:val="bi"/>
                  </m:rPr>
                  <w:rPr>
                    <w:rFonts w:ascii="Cambria Math" w:eastAsia="Calibri" w:hAnsi="Cambria Math" w:cs="Traditional Arabic"/>
                    <w:sz w:val="24"/>
                    <w:szCs w:val="24"/>
                  </w:rPr>
                  <m:t>β</m:t>
                </m:r>
              </m:oMath>
            </m:oMathPara>
          </w:p>
        </w:tc>
        <w:tc>
          <w:tcPr>
            <w:tcW w:w="507" w:type="pct"/>
            <w:shd w:val="clear" w:color="auto" w:fill="E5DFEC" w:themeFill="accent4" w:themeFillTint="33"/>
          </w:tcPr>
          <w:p w14:paraId="5DEBAD07"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قيمة</w:t>
            </w:r>
          </w:p>
          <w:p w14:paraId="6AEB6797" w14:textId="3559DA5B"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b/>
                <w:bCs/>
                <w:sz w:val="24"/>
                <w:szCs w:val="24"/>
                <w:lang w:bidi="ar-EG"/>
              </w:rPr>
              <w:t>t</w:t>
            </w:r>
          </w:p>
        </w:tc>
        <w:tc>
          <w:tcPr>
            <w:tcW w:w="439" w:type="pct"/>
            <w:shd w:val="clear" w:color="auto" w:fill="E5DFEC" w:themeFill="accent4" w:themeFillTint="33"/>
          </w:tcPr>
          <w:p w14:paraId="63F1FF9E" w14:textId="23B477A5"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hint="cs"/>
                <w:b/>
                <w:bCs/>
                <w:sz w:val="24"/>
                <w:szCs w:val="24"/>
                <w:rtl/>
                <w:lang w:bidi="ar-EG"/>
              </w:rPr>
              <w:t>مستوى الدلالة</w:t>
            </w:r>
          </w:p>
        </w:tc>
        <w:tc>
          <w:tcPr>
            <w:tcW w:w="439" w:type="pct"/>
            <w:shd w:val="clear" w:color="auto" w:fill="E5DFEC" w:themeFill="accent4" w:themeFillTint="33"/>
          </w:tcPr>
          <w:p w14:paraId="42BA1375"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معامل الإرتباط</w:t>
            </w:r>
          </w:p>
          <w:p w14:paraId="55E842AA" w14:textId="77895182"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b/>
                <w:bCs/>
                <w:sz w:val="24"/>
                <w:szCs w:val="24"/>
                <w:lang w:bidi="ar-EG"/>
              </w:rPr>
              <w:t>R</w:t>
            </w:r>
          </w:p>
        </w:tc>
        <w:tc>
          <w:tcPr>
            <w:tcW w:w="439" w:type="pct"/>
            <w:shd w:val="clear" w:color="auto" w:fill="E5DFEC" w:themeFill="accent4" w:themeFillTint="33"/>
          </w:tcPr>
          <w:p w14:paraId="7068311F"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معامل التحديد</w:t>
            </w:r>
          </w:p>
          <w:p w14:paraId="1C92DBCA" w14:textId="4BADB4CD"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vertAlign w:val="superscript"/>
                <w:rtl/>
                <w:lang w:bidi="ar-EG"/>
              </w:rPr>
            </w:pPr>
            <w:r w:rsidRPr="000B0F65">
              <w:rPr>
                <w:rFonts w:ascii="Traditional Arabic" w:eastAsia="Calibri" w:hAnsi="Traditional Arabic" w:cs="Traditional Arabic"/>
                <w:b/>
                <w:bCs/>
                <w:sz w:val="24"/>
                <w:szCs w:val="24"/>
                <w:lang w:bidi="ar-EG"/>
              </w:rPr>
              <w:t>R</w:t>
            </w:r>
            <w:r w:rsidRPr="000B0F65">
              <w:rPr>
                <w:rFonts w:ascii="Traditional Arabic" w:eastAsia="Calibri" w:hAnsi="Traditional Arabic" w:cs="Traditional Arabic"/>
                <w:b/>
                <w:bCs/>
                <w:sz w:val="24"/>
                <w:szCs w:val="24"/>
                <w:vertAlign w:val="superscript"/>
                <w:lang w:bidi="ar-EG"/>
              </w:rPr>
              <w:t>2</w:t>
            </w:r>
          </w:p>
        </w:tc>
        <w:tc>
          <w:tcPr>
            <w:tcW w:w="507" w:type="pct"/>
            <w:shd w:val="clear" w:color="auto" w:fill="E5DFEC" w:themeFill="accent4" w:themeFillTint="33"/>
          </w:tcPr>
          <w:p w14:paraId="6EA9F455" w14:textId="77777777"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قيمة</w:t>
            </w:r>
          </w:p>
          <w:p w14:paraId="474A90DC" w14:textId="298C63CA" w:rsidR="000B0F65" w:rsidRPr="000B0F65" w:rsidRDefault="000B0F65" w:rsidP="000B0F65">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b/>
                <w:bCs/>
                <w:sz w:val="24"/>
                <w:szCs w:val="24"/>
                <w:lang w:bidi="ar-EG"/>
              </w:rPr>
              <w:t>F</w:t>
            </w:r>
          </w:p>
        </w:tc>
        <w:tc>
          <w:tcPr>
            <w:tcW w:w="439" w:type="pct"/>
            <w:shd w:val="clear" w:color="auto" w:fill="E5DFEC" w:themeFill="accent4" w:themeFillTint="33"/>
          </w:tcPr>
          <w:p w14:paraId="2073984A" w14:textId="4D7EE5AE" w:rsidR="007005F3" w:rsidRPr="000B0F65" w:rsidRDefault="007005F3" w:rsidP="007005F3">
            <w:pPr>
              <w:bidi/>
              <w:spacing w:after="200" w:line="360" w:lineRule="auto"/>
              <w:contextualSpacing/>
              <w:jc w:val="center"/>
              <w:rPr>
                <w:rFonts w:ascii="Traditional Arabic" w:eastAsia="Calibri" w:hAnsi="Traditional Arabic" w:cs="Traditional Arabic"/>
                <w:b/>
                <w:bCs/>
                <w:sz w:val="24"/>
                <w:szCs w:val="24"/>
                <w:rtl/>
                <w:lang w:bidi="ar-EG"/>
              </w:rPr>
            </w:pPr>
            <w:r w:rsidRPr="000B0F65">
              <w:rPr>
                <w:rFonts w:ascii="Traditional Arabic" w:eastAsia="Calibri" w:hAnsi="Traditional Arabic" w:cs="Traditional Arabic" w:hint="cs"/>
                <w:b/>
                <w:bCs/>
                <w:sz w:val="24"/>
                <w:szCs w:val="24"/>
                <w:rtl/>
                <w:lang w:bidi="ar-EG"/>
              </w:rPr>
              <w:t>مستوى الدلالة</w:t>
            </w:r>
          </w:p>
        </w:tc>
      </w:tr>
      <w:tr w:rsidR="007005F3" w14:paraId="36DA4F30" w14:textId="489C367C" w:rsidTr="00744DE6">
        <w:trPr>
          <w:tblCellSpacing w:w="20" w:type="dxa"/>
        </w:trPr>
        <w:tc>
          <w:tcPr>
            <w:tcW w:w="666" w:type="pct"/>
          </w:tcPr>
          <w:p w14:paraId="527A9820" w14:textId="7830936A" w:rsidR="007005F3" w:rsidRDefault="007005F3"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hint="cs"/>
                <w:b/>
                <w:bCs/>
                <w:sz w:val="24"/>
                <w:szCs w:val="24"/>
                <w:rtl/>
                <w:lang w:bidi="ar-EG"/>
              </w:rPr>
              <w:t>الثابت</w:t>
            </w:r>
          </w:p>
        </w:tc>
        <w:tc>
          <w:tcPr>
            <w:tcW w:w="439" w:type="pct"/>
          </w:tcPr>
          <w:p w14:paraId="442AD8E5" w14:textId="5CAE5B5B"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1.124</w:t>
            </w:r>
          </w:p>
        </w:tc>
        <w:tc>
          <w:tcPr>
            <w:tcW w:w="439" w:type="pct"/>
          </w:tcPr>
          <w:p w14:paraId="3ACF97CB" w14:textId="4407DFD9"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0.145</w:t>
            </w:r>
          </w:p>
        </w:tc>
        <w:tc>
          <w:tcPr>
            <w:tcW w:w="439" w:type="pct"/>
          </w:tcPr>
          <w:p w14:paraId="48FF0EFA" w14:textId="7D236EB5"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w:t>
            </w:r>
          </w:p>
        </w:tc>
        <w:tc>
          <w:tcPr>
            <w:tcW w:w="507" w:type="pct"/>
          </w:tcPr>
          <w:p w14:paraId="7BEE6A8D" w14:textId="77412AF5"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7.752</w:t>
            </w:r>
          </w:p>
        </w:tc>
        <w:tc>
          <w:tcPr>
            <w:tcW w:w="439" w:type="pct"/>
          </w:tcPr>
          <w:p w14:paraId="047AAC58" w14:textId="60352D65"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0.000</w:t>
            </w:r>
          </w:p>
        </w:tc>
        <w:tc>
          <w:tcPr>
            <w:tcW w:w="439" w:type="pct"/>
          </w:tcPr>
          <w:p w14:paraId="71326F07" w14:textId="5885C390"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0.650</w:t>
            </w:r>
          </w:p>
        </w:tc>
        <w:tc>
          <w:tcPr>
            <w:tcW w:w="439" w:type="pct"/>
          </w:tcPr>
          <w:p w14:paraId="1EB2E543" w14:textId="2CE985FA"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0.423</w:t>
            </w:r>
          </w:p>
        </w:tc>
        <w:tc>
          <w:tcPr>
            <w:tcW w:w="507" w:type="pct"/>
          </w:tcPr>
          <w:p w14:paraId="400E8C39" w14:textId="25AAACB0"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283.13</w:t>
            </w:r>
          </w:p>
        </w:tc>
        <w:tc>
          <w:tcPr>
            <w:tcW w:w="439" w:type="pct"/>
          </w:tcPr>
          <w:p w14:paraId="35AF69D8" w14:textId="1F1FD75E" w:rsidR="007005F3" w:rsidRDefault="000B0F65" w:rsidP="000B0F65">
            <w:pPr>
              <w:bidi/>
              <w:spacing w:after="200" w:line="360" w:lineRule="auto"/>
              <w:contextualSpacing/>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0.000</w:t>
            </w:r>
          </w:p>
        </w:tc>
      </w:tr>
      <w:tr w:rsidR="007005F3" w14:paraId="374AB045" w14:textId="3F753D85" w:rsidTr="00744DE6">
        <w:trPr>
          <w:tblCellSpacing w:w="20" w:type="dxa"/>
        </w:trPr>
        <w:tc>
          <w:tcPr>
            <w:tcW w:w="666" w:type="pct"/>
          </w:tcPr>
          <w:p w14:paraId="701CB0C9" w14:textId="22DB9E91" w:rsidR="007005F3" w:rsidRDefault="007005F3"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hint="cs"/>
                <w:b/>
                <w:bCs/>
                <w:sz w:val="24"/>
                <w:szCs w:val="24"/>
                <w:rtl/>
                <w:lang w:bidi="ar-EG"/>
              </w:rPr>
              <w:t>ممارسات إدارة المخاطر</w:t>
            </w:r>
          </w:p>
        </w:tc>
        <w:tc>
          <w:tcPr>
            <w:tcW w:w="439" w:type="pct"/>
          </w:tcPr>
          <w:p w14:paraId="17B712BF" w14:textId="1C7BDCAA" w:rsidR="007005F3" w:rsidRDefault="000B0F65"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0.720</w:t>
            </w:r>
          </w:p>
        </w:tc>
        <w:tc>
          <w:tcPr>
            <w:tcW w:w="439" w:type="pct"/>
          </w:tcPr>
          <w:p w14:paraId="6556E973" w14:textId="03F5F5FC" w:rsidR="007005F3" w:rsidRDefault="000B0F65"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0.043</w:t>
            </w:r>
          </w:p>
        </w:tc>
        <w:tc>
          <w:tcPr>
            <w:tcW w:w="439" w:type="pct"/>
          </w:tcPr>
          <w:p w14:paraId="5246C63B" w14:textId="4D2BCECB" w:rsidR="007005F3" w:rsidRDefault="000B0F65"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0.650</w:t>
            </w:r>
          </w:p>
        </w:tc>
        <w:tc>
          <w:tcPr>
            <w:tcW w:w="507" w:type="pct"/>
          </w:tcPr>
          <w:p w14:paraId="002F9D07" w14:textId="5FB78EF2" w:rsidR="007005F3" w:rsidRDefault="000B0F65"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16.826</w:t>
            </w:r>
          </w:p>
        </w:tc>
        <w:tc>
          <w:tcPr>
            <w:tcW w:w="439" w:type="pct"/>
          </w:tcPr>
          <w:p w14:paraId="3DA7D5FB" w14:textId="2BFCA64F" w:rsidR="007005F3" w:rsidRDefault="000B0F65" w:rsidP="007005F3">
            <w:pPr>
              <w:bidi/>
              <w:spacing w:after="200" w:line="360" w:lineRule="auto"/>
              <w:contextualSpacing/>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0.000</w:t>
            </w:r>
          </w:p>
        </w:tc>
        <w:tc>
          <w:tcPr>
            <w:tcW w:w="439" w:type="pct"/>
          </w:tcPr>
          <w:p w14:paraId="6AC8E01D" w14:textId="77777777" w:rsidR="007005F3" w:rsidRDefault="007005F3" w:rsidP="007005F3">
            <w:pPr>
              <w:bidi/>
              <w:spacing w:after="200" w:line="360" w:lineRule="auto"/>
              <w:contextualSpacing/>
              <w:jc w:val="both"/>
              <w:rPr>
                <w:rFonts w:ascii="Traditional Arabic" w:eastAsia="Calibri" w:hAnsi="Traditional Arabic" w:cs="Traditional Arabic"/>
                <w:b/>
                <w:bCs/>
                <w:sz w:val="24"/>
                <w:szCs w:val="24"/>
                <w:rtl/>
                <w:lang w:bidi="ar-EG"/>
              </w:rPr>
            </w:pPr>
          </w:p>
        </w:tc>
        <w:tc>
          <w:tcPr>
            <w:tcW w:w="439" w:type="pct"/>
          </w:tcPr>
          <w:p w14:paraId="5EE06D1C" w14:textId="77777777" w:rsidR="007005F3" w:rsidRDefault="007005F3" w:rsidP="007005F3">
            <w:pPr>
              <w:bidi/>
              <w:spacing w:after="200" w:line="360" w:lineRule="auto"/>
              <w:contextualSpacing/>
              <w:jc w:val="both"/>
              <w:rPr>
                <w:rFonts w:ascii="Traditional Arabic" w:eastAsia="Calibri" w:hAnsi="Traditional Arabic" w:cs="Traditional Arabic"/>
                <w:b/>
                <w:bCs/>
                <w:sz w:val="24"/>
                <w:szCs w:val="24"/>
                <w:rtl/>
                <w:lang w:bidi="ar-EG"/>
              </w:rPr>
            </w:pPr>
          </w:p>
        </w:tc>
        <w:tc>
          <w:tcPr>
            <w:tcW w:w="507" w:type="pct"/>
          </w:tcPr>
          <w:p w14:paraId="1D615732" w14:textId="77777777" w:rsidR="007005F3" w:rsidRDefault="007005F3" w:rsidP="007005F3">
            <w:pPr>
              <w:bidi/>
              <w:spacing w:after="200" w:line="360" w:lineRule="auto"/>
              <w:contextualSpacing/>
              <w:jc w:val="both"/>
              <w:rPr>
                <w:rFonts w:ascii="Traditional Arabic" w:eastAsia="Calibri" w:hAnsi="Traditional Arabic" w:cs="Traditional Arabic"/>
                <w:b/>
                <w:bCs/>
                <w:sz w:val="24"/>
                <w:szCs w:val="24"/>
                <w:rtl/>
                <w:lang w:bidi="ar-EG"/>
              </w:rPr>
            </w:pPr>
          </w:p>
        </w:tc>
        <w:tc>
          <w:tcPr>
            <w:tcW w:w="439" w:type="pct"/>
          </w:tcPr>
          <w:p w14:paraId="2D06690A" w14:textId="77777777" w:rsidR="007005F3" w:rsidRDefault="007005F3" w:rsidP="007005F3">
            <w:pPr>
              <w:bidi/>
              <w:spacing w:after="200" w:line="360" w:lineRule="auto"/>
              <w:contextualSpacing/>
              <w:jc w:val="both"/>
              <w:rPr>
                <w:rFonts w:ascii="Traditional Arabic" w:eastAsia="Calibri" w:hAnsi="Traditional Arabic" w:cs="Traditional Arabic"/>
                <w:b/>
                <w:bCs/>
                <w:sz w:val="24"/>
                <w:szCs w:val="24"/>
                <w:rtl/>
                <w:lang w:bidi="ar-EG"/>
              </w:rPr>
            </w:pPr>
          </w:p>
        </w:tc>
      </w:tr>
    </w:tbl>
    <w:p w14:paraId="724F7849" w14:textId="73611F92" w:rsidR="00744DE6" w:rsidRPr="00744DE6" w:rsidRDefault="00744DE6" w:rsidP="00744DE6">
      <w:pPr>
        <w:bidi/>
        <w:spacing w:after="200" w:line="360" w:lineRule="auto"/>
        <w:ind w:left="720" w:hanging="720"/>
        <w:contextualSpacing/>
        <w:jc w:val="right"/>
        <w:rPr>
          <w:rFonts w:ascii="Traditional Arabic" w:eastAsia="Calibri" w:hAnsi="Traditional Arabic" w:cs="Traditional Arabic"/>
          <w:b/>
          <w:bCs/>
          <w:sz w:val="24"/>
          <w:szCs w:val="24"/>
          <w:rtl/>
          <w:lang w:bidi="ar-EG"/>
        </w:rPr>
      </w:pPr>
      <w:r w:rsidRPr="0044090C">
        <w:rPr>
          <w:rFonts w:ascii="Traditional Arabic" w:eastAsia="Calibri" w:hAnsi="Traditional Arabic" w:cs="Traditional Arabic"/>
          <w:b/>
          <w:bCs/>
          <w:sz w:val="24"/>
          <w:szCs w:val="24"/>
          <w:rtl/>
        </w:rPr>
        <w:t>المصدر: إعداد الباحثة اعتماداً على مخرجات التحليل الإحصائي</w:t>
      </w:r>
      <w:r w:rsidRPr="0044090C">
        <w:rPr>
          <w:rFonts w:ascii="Traditional Arabic" w:eastAsia="Calibri" w:hAnsi="Traditional Arabic" w:cs="Traditional Arabic"/>
          <w:b/>
          <w:bCs/>
          <w:sz w:val="24"/>
          <w:szCs w:val="24"/>
          <w:lang w:bidi="ar-EG"/>
        </w:rPr>
        <w:t xml:space="preserve"> (SPSS).</w:t>
      </w:r>
    </w:p>
    <w:p w14:paraId="369593F7" w14:textId="56F90C35" w:rsidR="00744DE6" w:rsidRPr="002F1B1A" w:rsidRDefault="00744DE6" w:rsidP="00744DE6">
      <w:pPr>
        <w:bidi/>
        <w:spacing w:after="200" w:line="360" w:lineRule="auto"/>
        <w:contextualSpacing/>
        <w:jc w:val="both"/>
        <w:rPr>
          <w:rFonts w:ascii="Traditional Arabic" w:eastAsia="Calibri" w:hAnsi="Traditional Arabic" w:cs="Traditional Arabic"/>
          <w:sz w:val="24"/>
          <w:szCs w:val="24"/>
          <w:rtl/>
          <w:lang w:bidi="ar-EG"/>
        </w:rPr>
      </w:pPr>
      <w:r w:rsidRPr="002F1B1A">
        <w:rPr>
          <w:rFonts w:ascii="Traditional Arabic" w:eastAsia="Calibri" w:hAnsi="Traditional Arabic" w:cs="Traditional Arabic"/>
          <w:sz w:val="24"/>
          <w:szCs w:val="24"/>
          <w:rtl/>
        </w:rPr>
        <w:t>يوضح الجدول</w:t>
      </w:r>
      <w:r w:rsidR="002F1B1A">
        <w:rPr>
          <w:rFonts w:ascii="Traditional Arabic" w:eastAsia="Calibri" w:hAnsi="Traditional Arabic" w:cs="Traditional Arabic" w:hint="cs"/>
          <w:sz w:val="24"/>
          <w:szCs w:val="24"/>
          <w:rtl/>
        </w:rPr>
        <w:t xml:space="preserve">(15) </w:t>
      </w:r>
      <w:r w:rsidRPr="002F1B1A">
        <w:rPr>
          <w:rFonts w:ascii="Traditional Arabic" w:eastAsia="Calibri" w:hAnsi="Traditional Arabic" w:cs="Traditional Arabic"/>
          <w:sz w:val="24"/>
          <w:szCs w:val="24"/>
          <w:rtl/>
        </w:rPr>
        <w:t xml:space="preserve">نتائج تحليل الانحدار الخطي البسيط للكشف عن أثر ممارسات إدارة المخاطر على القيادة التحويلية في المرافق الصحية الحكومية بالمملكة العربية السعودية، حيث أظهرت النتائج معنوية النموذج الإجمالي بقيمة اختبار ف بلغت (283.13) عند مستوى دلالة </w:t>
      </w:r>
      <w:r w:rsidRPr="002F1B1A">
        <w:rPr>
          <w:rFonts w:ascii="Traditional Arabic" w:eastAsia="Calibri" w:hAnsi="Traditional Arabic" w:cs="Traditional Arabic"/>
          <w:sz w:val="24"/>
          <w:szCs w:val="24"/>
          <w:rtl/>
        </w:rPr>
        <w:lastRenderedPageBreak/>
        <w:t>(0.000) أقل من (0.05)، مما يعكس صلاحية النموذج وقدرته العالية على التنبؤ. كما بلغت قيمة معامل التحديد</w:t>
      </w:r>
      <w:r w:rsidRPr="002F1B1A">
        <w:rPr>
          <w:rFonts w:ascii="Traditional Arabic" w:eastAsia="Calibri" w:hAnsi="Traditional Arabic" w:cs="Traditional Arabic"/>
          <w:sz w:val="24"/>
          <w:szCs w:val="24"/>
          <w:lang w:bidi="ar-EG"/>
        </w:rPr>
        <w:t xml:space="preserve">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r>
          <w:rPr>
            <w:rFonts w:ascii="Cambria Math" w:eastAsia="Calibri" w:hAnsi="Cambria Math" w:cs="Traditional Arabic"/>
            <w:sz w:val="24"/>
            <w:szCs w:val="24"/>
            <w:lang w:bidi="ar-EG"/>
          </w:rPr>
          <m:t>=0.423</m:t>
        </m:r>
      </m:oMath>
      <w:r w:rsidRPr="002F1B1A">
        <w:rPr>
          <w:rFonts w:ascii="Traditional Arabic" w:eastAsia="Calibri" w:hAnsi="Traditional Arabic" w:cs="Traditional Arabic"/>
          <w:sz w:val="24"/>
          <w:szCs w:val="24"/>
          <w:lang w:bidi="ar-EG"/>
        </w:rPr>
        <w:t xml:space="preserve">) </w:t>
      </w:r>
      <w:r w:rsidRPr="002F1B1A">
        <w:rPr>
          <w:rFonts w:ascii="Traditional Arabic" w:eastAsia="Calibri" w:hAnsi="Traditional Arabic" w:cs="Traditional Arabic"/>
          <w:sz w:val="24"/>
          <w:szCs w:val="24"/>
          <w:rtl/>
        </w:rPr>
        <w:t>بما يعني أن ممارسات إدارة المخاطر تفسر نسبة (42.3%) من التباين في مستوى القيادة التحويلية، بينما تعود النسبة المتبقية لعوامل أخرى خارج النموذج. وأكدت النتائج وجود علاقة طردية قوية بين المتغيرين، حيث بلغ معامل الانحدار المعياري</w:t>
      </w:r>
      <w:r w:rsidRPr="002F1B1A">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β=0.650</m:t>
        </m:r>
      </m:oMath>
      <w:r w:rsidRPr="002F1B1A">
        <w:rPr>
          <w:rFonts w:ascii="Traditional Arabic" w:eastAsia="Calibri" w:hAnsi="Traditional Arabic" w:cs="Traditional Arabic"/>
          <w:sz w:val="24"/>
          <w:szCs w:val="24"/>
          <w:lang w:bidi="ar-EG"/>
        </w:rPr>
        <w:t xml:space="preserve">) </w:t>
      </w:r>
      <w:r w:rsidRPr="002F1B1A">
        <w:rPr>
          <w:rFonts w:ascii="Traditional Arabic" w:eastAsia="Calibri" w:hAnsi="Traditional Arabic" w:cs="Traditional Arabic"/>
          <w:sz w:val="24"/>
          <w:szCs w:val="24"/>
          <w:rtl/>
        </w:rPr>
        <w:t>وقيمة اختبار</w:t>
      </w:r>
      <w:r w:rsidRPr="002F1B1A">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t=16.826</m:t>
        </m:r>
      </m:oMath>
      <w:r w:rsidRPr="002F1B1A">
        <w:rPr>
          <w:rFonts w:ascii="Traditional Arabic" w:eastAsia="Calibri" w:hAnsi="Traditional Arabic" w:cs="Traditional Arabic"/>
          <w:sz w:val="24"/>
          <w:szCs w:val="24"/>
          <w:lang w:bidi="ar-EG"/>
        </w:rPr>
        <w:t xml:space="preserve">) </w:t>
      </w:r>
      <w:r w:rsidRPr="002F1B1A">
        <w:rPr>
          <w:rFonts w:ascii="Traditional Arabic" w:eastAsia="Calibri" w:hAnsi="Traditional Arabic" w:cs="Traditional Arabic"/>
          <w:sz w:val="24"/>
          <w:szCs w:val="24"/>
          <w:rtl/>
        </w:rPr>
        <w:t>عند مستوى دلالة (0.000)، مما يدل على تأثير مباشر وذو دلالة إحصائية لممارسات إدارة المخاطر على القيادة التحويلية، بحيث إن زيادة الاهتمام بممارسات إدارة المخاطر بمقدار وحدة واحدة تؤدي إلى تحسن في مستوى القيادة التحويلية بمقدار (0.720) وفقاً لقيمة المعامل غير المعياري</w:t>
      </w:r>
      <w:r w:rsidRPr="002F1B1A">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B</m:t>
        </m:r>
      </m:oMath>
      <w:r w:rsidRPr="002F1B1A">
        <w:rPr>
          <w:rFonts w:ascii="Traditional Arabic" w:eastAsia="Calibri" w:hAnsi="Traditional Arabic" w:cs="Traditional Arabic"/>
          <w:sz w:val="24"/>
          <w:szCs w:val="24"/>
          <w:lang w:bidi="ar-EG"/>
        </w:rPr>
        <w:t>)</w:t>
      </w:r>
      <w:r w:rsidRPr="002F1B1A">
        <w:rPr>
          <w:rFonts w:ascii="Traditional Arabic" w:eastAsia="Calibri" w:hAnsi="Traditional Arabic" w:cs="Traditional Arabic" w:hint="cs"/>
          <w:sz w:val="24"/>
          <w:szCs w:val="24"/>
          <w:rtl/>
          <w:lang w:bidi="ar-EG"/>
        </w:rPr>
        <w:t xml:space="preserve"> </w:t>
      </w:r>
      <w:r w:rsidRPr="002F1B1A">
        <w:rPr>
          <w:rFonts w:ascii="Traditional Arabic" w:eastAsia="Calibri" w:hAnsi="Traditional Arabic" w:cs="Traditional Arabic"/>
          <w:sz w:val="24"/>
          <w:szCs w:val="24"/>
          <w:lang w:bidi="ar-EG"/>
        </w:rPr>
        <w:t>.</w:t>
      </w:r>
    </w:p>
    <w:p w14:paraId="0B8E69DA" w14:textId="77777777" w:rsidR="00744DE6" w:rsidRPr="002F1B1A" w:rsidRDefault="00744DE6" w:rsidP="00744DE6">
      <w:p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rtl/>
        </w:rPr>
        <w:t>بناءً على ما تقدم من مؤشرات إحصائية دالة، يتم "قبول الفرض الأول" للدراسة والذي ينص على: "يوجد تأثير مباشر ذو دلالة إحصائية لممارسات إدارة المخاطر على القيادة التحويلية في المرافق الصحية الحكومية بالمملكة العربية السعودية</w:t>
      </w:r>
      <w:r w:rsidRPr="002F1B1A">
        <w:rPr>
          <w:rFonts w:ascii="Traditional Arabic" w:eastAsia="Calibri" w:hAnsi="Traditional Arabic" w:cs="Traditional Arabic"/>
          <w:sz w:val="24"/>
          <w:szCs w:val="24"/>
          <w:lang w:bidi="ar-EG"/>
        </w:rPr>
        <w:t>".</w:t>
      </w:r>
    </w:p>
    <w:p w14:paraId="2C2024BF" w14:textId="2B5623B9" w:rsidR="007005F3" w:rsidRPr="002F1B1A" w:rsidRDefault="00AD1422" w:rsidP="002F1B1A">
      <w:pPr>
        <w:bidi/>
        <w:spacing w:after="200" w:line="360" w:lineRule="auto"/>
        <w:ind w:left="720" w:hanging="720"/>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lang w:bidi="ar-EG"/>
        </w:rPr>
        <w:t xml:space="preserve">الفرض الثاني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مباشر</w:t>
      </w:r>
      <w:r w:rsidRPr="0044090C">
        <w:rPr>
          <w:rFonts w:ascii="Traditional Arabic" w:eastAsia="Calibri" w:hAnsi="Traditional Arabic" w:cs="Traditional Arabic"/>
          <w:sz w:val="24"/>
          <w:szCs w:val="24"/>
          <w:rtl/>
          <w:lang w:bidi="ar-EG"/>
        </w:rPr>
        <w:t xml:space="preserve"> ذو دلالة إحصائية </w:t>
      </w:r>
      <w:r>
        <w:rPr>
          <w:rFonts w:ascii="Traditional Arabic" w:eastAsia="Calibri" w:hAnsi="Traditional Arabic" w:cs="Traditional Arabic" w:hint="cs"/>
          <w:sz w:val="24"/>
          <w:szCs w:val="24"/>
          <w:rtl/>
          <w:lang w:bidi="ar-EG"/>
        </w:rPr>
        <w:t>لممارسات إدارة المخاطر على سلامة المرضى في المرافق الصحية الحكومية بالمملكة العربية السعودية.</w:t>
      </w:r>
    </w:p>
    <w:p w14:paraId="45F71CF3" w14:textId="77777777" w:rsidR="001E2C71" w:rsidRPr="0044090C" w:rsidRDefault="001E2C71" w:rsidP="001E2C71">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وللتحقق من صحة هذه الفرضية، استخدمت الباحثة اختبار الانحدار الخطي البسيط</w:t>
      </w:r>
      <w:r w:rsidRPr="0044090C">
        <w:rPr>
          <w:rFonts w:ascii="Traditional Arabic" w:eastAsia="Calibri" w:hAnsi="Traditional Arabic" w:cs="Traditional Arabic"/>
          <w:sz w:val="24"/>
          <w:szCs w:val="24"/>
          <w:lang w:bidi="ar-EG"/>
        </w:rPr>
        <w:t xml:space="preserve"> (Simple Linear Regression)</w:t>
      </w:r>
      <w:r w:rsidRPr="0044090C">
        <w:rPr>
          <w:rFonts w:ascii="Traditional Arabic" w:eastAsia="Calibri" w:hAnsi="Traditional Arabic" w:cs="Traditional Arabic"/>
          <w:sz w:val="24"/>
          <w:szCs w:val="24"/>
          <w:rtl/>
        </w:rPr>
        <w:t>، والجدول التالي يوضح مخرجات التحليل الإحصائي</w:t>
      </w:r>
      <w:r w:rsidRPr="0044090C">
        <w:rPr>
          <w:rFonts w:ascii="Traditional Arabic" w:eastAsia="Calibri" w:hAnsi="Traditional Arabic" w:cs="Traditional Arabic"/>
          <w:sz w:val="24"/>
          <w:szCs w:val="24"/>
          <w:lang w:bidi="ar-EG"/>
        </w:rPr>
        <w:t>:</w:t>
      </w:r>
    </w:p>
    <w:p w14:paraId="31243B82" w14:textId="7783DEB6" w:rsidR="001E2C71" w:rsidRDefault="001E2C71" w:rsidP="001E2C71">
      <w:pPr>
        <w:bidi/>
        <w:spacing w:after="200" w:line="360" w:lineRule="auto"/>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b/>
          <w:bCs/>
          <w:sz w:val="24"/>
          <w:szCs w:val="24"/>
          <w:rtl/>
        </w:rPr>
        <w:t>الجدول (١٦): نتائج تحليل الانحدار الخطي البسيط لأثر ممارسات إدارة المخاطر على سلامة المرضى</w:t>
      </w:r>
    </w:p>
    <w:tbl>
      <w:tblPr>
        <w:tblStyle w:val="TableGrid"/>
        <w:bidiVisual/>
        <w:tblW w:w="5000" w:type="pct"/>
        <w:tblLook w:val="04A0" w:firstRow="1" w:lastRow="0" w:firstColumn="1" w:lastColumn="0" w:noHBand="0" w:noVBand="1"/>
      </w:tblPr>
      <w:tblGrid>
        <w:gridCol w:w="826"/>
        <w:gridCol w:w="871"/>
        <w:gridCol w:w="791"/>
        <w:gridCol w:w="846"/>
        <w:gridCol w:w="883"/>
        <w:gridCol w:w="800"/>
        <w:gridCol w:w="798"/>
        <w:gridCol w:w="800"/>
        <w:gridCol w:w="883"/>
        <w:gridCol w:w="798"/>
      </w:tblGrid>
      <w:tr w:rsidR="008D7B14" w14:paraId="49547540" w14:textId="4FBB967C" w:rsidTr="008D7B14">
        <w:tc>
          <w:tcPr>
            <w:tcW w:w="498" w:type="pct"/>
            <w:shd w:val="clear" w:color="auto" w:fill="E5DFEC" w:themeFill="accent4" w:themeFillTint="33"/>
          </w:tcPr>
          <w:p w14:paraId="61D8C014" w14:textId="48B5111A"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المتغير المستقل</w:t>
            </w:r>
          </w:p>
        </w:tc>
        <w:tc>
          <w:tcPr>
            <w:tcW w:w="525" w:type="pct"/>
            <w:shd w:val="clear" w:color="auto" w:fill="E5DFEC" w:themeFill="accent4" w:themeFillTint="33"/>
          </w:tcPr>
          <w:p w14:paraId="0D9893A3"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معامل الانحدار غير المعياري</w:t>
            </w:r>
          </w:p>
          <w:p w14:paraId="534DBCB2" w14:textId="31649F12"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B</w:t>
            </w:r>
          </w:p>
        </w:tc>
        <w:tc>
          <w:tcPr>
            <w:tcW w:w="477" w:type="pct"/>
            <w:shd w:val="clear" w:color="auto" w:fill="E5DFEC" w:themeFill="accent4" w:themeFillTint="33"/>
          </w:tcPr>
          <w:p w14:paraId="6DD0D1BB"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الخطأ المعياري</w:t>
            </w:r>
          </w:p>
          <w:p w14:paraId="684CD50C" w14:textId="60A8A846"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SE</w:t>
            </w:r>
          </w:p>
        </w:tc>
        <w:tc>
          <w:tcPr>
            <w:tcW w:w="510" w:type="pct"/>
            <w:shd w:val="clear" w:color="auto" w:fill="E5DFEC" w:themeFill="accent4" w:themeFillTint="33"/>
          </w:tcPr>
          <w:p w14:paraId="5E52AE1B" w14:textId="77777777" w:rsidR="008D7B14" w:rsidRPr="000B0F65" w:rsidRDefault="008D7B14" w:rsidP="008D7B14">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معامل الانحدار المعياري</w:t>
            </w:r>
          </w:p>
          <w:p w14:paraId="66962C23" w14:textId="24EE2FE1"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m:oMathPara>
              <m:oMath>
                <m:r>
                  <m:rPr>
                    <m:sty m:val="bi"/>
                  </m:rPr>
                  <w:rPr>
                    <w:rFonts w:ascii="Cambria Math" w:eastAsia="Calibri" w:hAnsi="Cambria Math" w:cs="Traditional Arabic"/>
                    <w:sz w:val="24"/>
                    <w:szCs w:val="24"/>
                  </w:rPr>
                  <m:t>β</m:t>
                </m:r>
              </m:oMath>
            </m:oMathPara>
          </w:p>
        </w:tc>
        <w:tc>
          <w:tcPr>
            <w:tcW w:w="532" w:type="pct"/>
            <w:shd w:val="clear" w:color="auto" w:fill="E5DFEC" w:themeFill="accent4" w:themeFillTint="33"/>
          </w:tcPr>
          <w:p w14:paraId="5D040F68"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قيمة</w:t>
            </w:r>
          </w:p>
          <w:p w14:paraId="2A282171" w14:textId="7FCFE34B"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t</w:t>
            </w:r>
          </w:p>
        </w:tc>
        <w:tc>
          <w:tcPr>
            <w:tcW w:w="482" w:type="pct"/>
            <w:shd w:val="clear" w:color="auto" w:fill="E5DFEC" w:themeFill="accent4" w:themeFillTint="33"/>
          </w:tcPr>
          <w:p w14:paraId="6097C703" w14:textId="64FE8878"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مستوى الدلالة</w:t>
            </w:r>
          </w:p>
        </w:tc>
        <w:tc>
          <w:tcPr>
            <w:tcW w:w="481" w:type="pct"/>
            <w:shd w:val="clear" w:color="auto" w:fill="E5DFEC" w:themeFill="accent4" w:themeFillTint="33"/>
          </w:tcPr>
          <w:p w14:paraId="3A7797CE"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معامل الارتباط</w:t>
            </w:r>
          </w:p>
          <w:p w14:paraId="51343090"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R</w:t>
            </w:r>
          </w:p>
          <w:p w14:paraId="39BAAB90" w14:textId="2F602CAA"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p>
        </w:tc>
        <w:tc>
          <w:tcPr>
            <w:tcW w:w="482" w:type="pct"/>
            <w:shd w:val="clear" w:color="auto" w:fill="E5DFEC" w:themeFill="accent4" w:themeFillTint="33"/>
          </w:tcPr>
          <w:p w14:paraId="4D9731E7"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معامل التحديد</w:t>
            </w:r>
          </w:p>
          <w:p w14:paraId="7D9D6D49" w14:textId="3C6259AA"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sidRPr="000B0F65">
              <w:rPr>
                <w:rFonts w:ascii="Traditional Arabic" w:eastAsia="Calibri" w:hAnsi="Traditional Arabic" w:cs="Traditional Arabic"/>
                <w:b/>
                <w:bCs/>
                <w:sz w:val="24"/>
                <w:szCs w:val="24"/>
                <w:lang w:bidi="ar-EG"/>
              </w:rPr>
              <w:t>R</w:t>
            </w:r>
            <w:r w:rsidRPr="000B0F65">
              <w:rPr>
                <w:rFonts w:ascii="Traditional Arabic" w:eastAsia="Calibri" w:hAnsi="Traditional Arabic" w:cs="Traditional Arabic"/>
                <w:b/>
                <w:bCs/>
                <w:sz w:val="24"/>
                <w:szCs w:val="24"/>
                <w:vertAlign w:val="superscript"/>
                <w:lang w:bidi="ar-EG"/>
              </w:rPr>
              <w:t>2</w:t>
            </w:r>
          </w:p>
        </w:tc>
        <w:tc>
          <w:tcPr>
            <w:tcW w:w="532" w:type="pct"/>
            <w:shd w:val="clear" w:color="auto" w:fill="E5DFEC" w:themeFill="accent4" w:themeFillTint="33"/>
          </w:tcPr>
          <w:p w14:paraId="113B2AB1" w14:textId="77777777" w:rsidR="008D7B14" w:rsidRDefault="008D7B14" w:rsidP="008D7B14">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 xml:space="preserve">قيمة </w:t>
            </w:r>
          </w:p>
          <w:p w14:paraId="45303262" w14:textId="5422FF81"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F</w:t>
            </w:r>
          </w:p>
        </w:tc>
        <w:tc>
          <w:tcPr>
            <w:tcW w:w="481" w:type="pct"/>
            <w:shd w:val="clear" w:color="auto" w:fill="E5DFEC" w:themeFill="accent4" w:themeFillTint="33"/>
          </w:tcPr>
          <w:p w14:paraId="6A88F161" w14:textId="6EE9D193" w:rsidR="008D7B14" w:rsidRDefault="008D7B14" w:rsidP="008D7B14">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مستوى الدلالة</w:t>
            </w:r>
          </w:p>
        </w:tc>
      </w:tr>
      <w:tr w:rsidR="002D3EF4" w14:paraId="59C0CFAF" w14:textId="22A10A61" w:rsidTr="008D7B14">
        <w:tc>
          <w:tcPr>
            <w:tcW w:w="498" w:type="pct"/>
          </w:tcPr>
          <w:p w14:paraId="4822EC18" w14:textId="2D4DE154"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الثابت</w:t>
            </w:r>
          </w:p>
        </w:tc>
        <w:tc>
          <w:tcPr>
            <w:tcW w:w="525" w:type="pct"/>
          </w:tcPr>
          <w:p w14:paraId="7EC8385F" w14:textId="016457F7" w:rsidR="002D3EF4" w:rsidRDefault="002D3EF4" w:rsidP="00010620">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0.985</w:t>
            </w:r>
          </w:p>
        </w:tc>
        <w:tc>
          <w:tcPr>
            <w:tcW w:w="477" w:type="pct"/>
          </w:tcPr>
          <w:p w14:paraId="622784AD" w14:textId="195D0A76"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0.132</w:t>
            </w:r>
          </w:p>
        </w:tc>
        <w:tc>
          <w:tcPr>
            <w:tcW w:w="510" w:type="pct"/>
          </w:tcPr>
          <w:p w14:paraId="2119DDE8" w14:textId="258AE63C"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w:t>
            </w:r>
          </w:p>
        </w:tc>
        <w:tc>
          <w:tcPr>
            <w:tcW w:w="532" w:type="pct"/>
          </w:tcPr>
          <w:p w14:paraId="7862C6D3" w14:textId="20908C1B"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7.462</w:t>
            </w:r>
          </w:p>
        </w:tc>
        <w:tc>
          <w:tcPr>
            <w:tcW w:w="482" w:type="pct"/>
          </w:tcPr>
          <w:p w14:paraId="007279AD" w14:textId="0D8C02F8"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c>
          <w:tcPr>
            <w:tcW w:w="481" w:type="pct"/>
          </w:tcPr>
          <w:p w14:paraId="42B2A06A" w14:textId="4CA58AD1"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0.685</w:t>
            </w:r>
          </w:p>
        </w:tc>
        <w:tc>
          <w:tcPr>
            <w:tcW w:w="482" w:type="pct"/>
          </w:tcPr>
          <w:p w14:paraId="2CED5733" w14:textId="5EA1D0D6"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0.469</w:t>
            </w:r>
          </w:p>
        </w:tc>
        <w:tc>
          <w:tcPr>
            <w:tcW w:w="532" w:type="pct"/>
          </w:tcPr>
          <w:p w14:paraId="3D9AE5BA" w14:textId="4383A026"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341.87</w:t>
            </w:r>
          </w:p>
        </w:tc>
        <w:tc>
          <w:tcPr>
            <w:tcW w:w="481" w:type="pct"/>
          </w:tcPr>
          <w:p w14:paraId="1717F38C" w14:textId="6EC2FB4B"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r>
      <w:tr w:rsidR="002D3EF4" w14:paraId="433C15CD" w14:textId="0CE70034" w:rsidTr="008D7B14">
        <w:tc>
          <w:tcPr>
            <w:tcW w:w="498" w:type="pct"/>
          </w:tcPr>
          <w:p w14:paraId="54EC5553" w14:textId="5F0AAE89"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ممارسات إدارة المخاطر</w:t>
            </w:r>
          </w:p>
        </w:tc>
        <w:tc>
          <w:tcPr>
            <w:tcW w:w="525" w:type="pct"/>
          </w:tcPr>
          <w:p w14:paraId="09922873" w14:textId="52A75451"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0.782</w:t>
            </w:r>
          </w:p>
        </w:tc>
        <w:tc>
          <w:tcPr>
            <w:tcW w:w="477" w:type="pct"/>
          </w:tcPr>
          <w:p w14:paraId="47266858" w14:textId="57DF1DE6"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0.042</w:t>
            </w:r>
          </w:p>
        </w:tc>
        <w:tc>
          <w:tcPr>
            <w:tcW w:w="510" w:type="pct"/>
          </w:tcPr>
          <w:p w14:paraId="277DC406" w14:textId="5C0D9BBA"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0.685</w:t>
            </w:r>
          </w:p>
        </w:tc>
        <w:tc>
          <w:tcPr>
            <w:tcW w:w="532" w:type="pct"/>
          </w:tcPr>
          <w:p w14:paraId="1ED5DBAB" w14:textId="5F180181"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18.490</w:t>
            </w:r>
          </w:p>
        </w:tc>
        <w:tc>
          <w:tcPr>
            <w:tcW w:w="482" w:type="pct"/>
          </w:tcPr>
          <w:p w14:paraId="0D58FF86" w14:textId="039E289F"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c>
          <w:tcPr>
            <w:tcW w:w="481" w:type="pct"/>
          </w:tcPr>
          <w:p w14:paraId="2A4F6756" w14:textId="77777777"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p>
        </w:tc>
        <w:tc>
          <w:tcPr>
            <w:tcW w:w="482" w:type="pct"/>
          </w:tcPr>
          <w:p w14:paraId="602652BF" w14:textId="77777777"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p>
        </w:tc>
        <w:tc>
          <w:tcPr>
            <w:tcW w:w="532" w:type="pct"/>
          </w:tcPr>
          <w:p w14:paraId="188855C5" w14:textId="77777777"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p>
        </w:tc>
        <w:tc>
          <w:tcPr>
            <w:tcW w:w="481" w:type="pct"/>
          </w:tcPr>
          <w:p w14:paraId="14FF832A" w14:textId="77777777" w:rsidR="002D3EF4" w:rsidRDefault="002D3EF4" w:rsidP="00010620">
            <w:pPr>
              <w:bidi/>
              <w:spacing w:after="200" w:line="360" w:lineRule="auto"/>
              <w:contextualSpacing/>
              <w:jc w:val="both"/>
              <w:rPr>
                <w:rFonts w:ascii="Traditional Arabic" w:eastAsia="Calibri" w:hAnsi="Traditional Arabic" w:cs="Traditional Arabic"/>
                <w:b/>
                <w:bCs/>
                <w:sz w:val="24"/>
                <w:szCs w:val="24"/>
                <w:rtl/>
              </w:rPr>
            </w:pPr>
          </w:p>
        </w:tc>
      </w:tr>
    </w:tbl>
    <w:p w14:paraId="2EFD1F68" w14:textId="77777777" w:rsidR="00010620" w:rsidRDefault="00010620" w:rsidP="00010620">
      <w:pPr>
        <w:bidi/>
        <w:spacing w:after="200" w:line="360" w:lineRule="auto"/>
        <w:contextualSpacing/>
        <w:jc w:val="both"/>
        <w:rPr>
          <w:rFonts w:ascii="Traditional Arabic" w:eastAsia="Calibri" w:hAnsi="Traditional Arabic" w:cs="Traditional Arabic"/>
          <w:b/>
          <w:bCs/>
          <w:sz w:val="24"/>
          <w:szCs w:val="24"/>
          <w:rtl/>
        </w:rPr>
      </w:pPr>
    </w:p>
    <w:p w14:paraId="533BD1AD" w14:textId="77777777" w:rsidR="001E2C71" w:rsidRPr="0044090C" w:rsidRDefault="001E2C71" w:rsidP="00D24D70">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1BBFB88B" w14:textId="329FA7C8" w:rsidR="00764F1E" w:rsidRDefault="00764F1E" w:rsidP="00764F1E">
      <w:pPr>
        <w:bidi/>
        <w:spacing w:after="200" w:line="360" w:lineRule="auto"/>
        <w:ind w:firstLine="720"/>
        <w:contextualSpacing/>
        <w:jc w:val="both"/>
        <w:rPr>
          <w:rFonts w:ascii="Traditional Arabic" w:eastAsia="Calibri" w:hAnsi="Traditional Arabic" w:cs="Traditional Arabic"/>
          <w:sz w:val="24"/>
          <w:szCs w:val="24"/>
          <w:rtl/>
          <w:lang w:bidi="ar-EG"/>
        </w:rPr>
      </w:pPr>
      <w:r w:rsidRPr="00764F1E">
        <w:rPr>
          <w:rFonts w:ascii="Traditional Arabic" w:eastAsia="Calibri" w:hAnsi="Traditional Arabic" w:cs="Traditional Arabic"/>
          <w:sz w:val="24"/>
          <w:szCs w:val="24"/>
          <w:rtl/>
        </w:rPr>
        <w:lastRenderedPageBreak/>
        <w:t xml:space="preserve">يوضح الجدول </w:t>
      </w:r>
      <w:r>
        <w:rPr>
          <w:rFonts w:ascii="Traditional Arabic" w:eastAsia="Calibri" w:hAnsi="Traditional Arabic" w:cs="Traditional Arabic" w:hint="cs"/>
          <w:sz w:val="24"/>
          <w:szCs w:val="24"/>
          <w:rtl/>
        </w:rPr>
        <w:t>(16)</w:t>
      </w:r>
      <w:r w:rsidRPr="00764F1E">
        <w:rPr>
          <w:rFonts w:ascii="Traditional Arabic" w:eastAsia="Calibri" w:hAnsi="Traditional Arabic" w:cs="Traditional Arabic"/>
          <w:sz w:val="24"/>
          <w:szCs w:val="24"/>
          <w:rtl/>
        </w:rPr>
        <w:t xml:space="preserve"> نتائج تحليل الانحدار الخطي البسيط للكشف عن أثر ممارسات إدارة المخاطر على سلامة المرضى في المرافق الصحية الحكومية بالمملكة العربية السعودية، حيث أظهرت النتائج معنوية النموذج الإجمالي بقيمة اختبار ف بلغت (341.87) عند مستوى دلالة (0.000) أقل من (0.05)، مما يؤكد الصلاحية الإحصائية العالية للنموذج وقدرته على التنبؤ. كما بلغت قيمة معامل التحديد</w:t>
      </w:r>
      <w:r w:rsidRPr="00764F1E">
        <w:rPr>
          <w:rFonts w:ascii="Traditional Arabic" w:eastAsia="Calibri" w:hAnsi="Traditional Arabic" w:cs="Traditional Arabic"/>
          <w:sz w:val="24"/>
          <w:szCs w:val="24"/>
          <w:lang w:bidi="ar-EG"/>
        </w:rPr>
        <w:t xml:space="preserve">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r>
          <w:rPr>
            <w:rFonts w:ascii="Cambria Math" w:eastAsia="Calibri" w:hAnsi="Cambria Math" w:cs="Traditional Arabic"/>
            <w:sz w:val="24"/>
            <w:szCs w:val="24"/>
            <w:lang w:bidi="ar-EG"/>
          </w:rPr>
          <m:t>=0.469</m:t>
        </m:r>
      </m:oMath>
      <w:r w:rsidRPr="00764F1E">
        <w:rPr>
          <w:rFonts w:ascii="Traditional Arabic" w:eastAsia="Calibri" w:hAnsi="Traditional Arabic" w:cs="Traditional Arabic"/>
          <w:sz w:val="24"/>
          <w:szCs w:val="24"/>
          <w:lang w:bidi="ar-EG"/>
        </w:rPr>
        <w:t xml:space="preserve">) </w:t>
      </w:r>
      <w:r w:rsidRPr="00764F1E">
        <w:rPr>
          <w:rFonts w:ascii="Traditional Arabic" w:eastAsia="Calibri" w:hAnsi="Traditional Arabic" w:cs="Traditional Arabic"/>
          <w:sz w:val="24"/>
          <w:szCs w:val="24"/>
          <w:rtl/>
        </w:rPr>
        <w:t>بما يعني أن ممارسات إدارة المخاطر تفسر نسبة (46.9%) من التباين في مستوى سلامة المرضى، بينما تعود النسبة المتبقية لعوامل أخرى خارج إطار النموذج. وأكدت النتائج وجود علاقة طردية قوية بين المتغيرين، حيث بلغ معامل الانحدار المعياري</w:t>
      </w:r>
      <w:r w:rsidRPr="00764F1E">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β=0.685</m:t>
        </m:r>
      </m:oMath>
      <w:r w:rsidRPr="00764F1E">
        <w:rPr>
          <w:rFonts w:ascii="Traditional Arabic" w:eastAsia="Calibri" w:hAnsi="Traditional Arabic" w:cs="Traditional Arabic"/>
          <w:sz w:val="24"/>
          <w:szCs w:val="24"/>
          <w:lang w:bidi="ar-EG"/>
        </w:rPr>
        <w:t xml:space="preserve">) </w:t>
      </w:r>
      <w:r w:rsidRPr="00764F1E">
        <w:rPr>
          <w:rFonts w:ascii="Traditional Arabic" w:eastAsia="Calibri" w:hAnsi="Traditional Arabic" w:cs="Traditional Arabic"/>
          <w:sz w:val="24"/>
          <w:szCs w:val="24"/>
          <w:rtl/>
        </w:rPr>
        <w:t>وقيمة اختبار</w:t>
      </w:r>
      <w:r w:rsidRPr="00764F1E">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t=18.490</m:t>
        </m:r>
      </m:oMath>
      <w:r w:rsidRPr="00764F1E">
        <w:rPr>
          <w:rFonts w:ascii="Traditional Arabic" w:eastAsia="Calibri" w:hAnsi="Traditional Arabic" w:cs="Traditional Arabic"/>
          <w:sz w:val="24"/>
          <w:szCs w:val="24"/>
          <w:lang w:bidi="ar-EG"/>
        </w:rPr>
        <w:t xml:space="preserve">) </w:t>
      </w:r>
      <w:r w:rsidRPr="00764F1E">
        <w:rPr>
          <w:rFonts w:ascii="Traditional Arabic" w:eastAsia="Calibri" w:hAnsi="Traditional Arabic" w:cs="Traditional Arabic"/>
          <w:sz w:val="24"/>
          <w:szCs w:val="24"/>
          <w:rtl/>
        </w:rPr>
        <w:t>عند مستوى دلالة (0.000)، مما يدل على تأثير مباشر وذو دلالة إحصائية لممارسات إدارة المخاطر على سلامة المرضى، بحيث إن زيادة تطبيق هذه الممارسات بمقدار وحدة واحدة تؤدي إلى تحسن في مستوى سلامة المرضى بمقدار (0.782) وفقاً لقيمة المعامل غير المعياري</w:t>
      </w:r>
      <w:r w:rsidRPr="00764F1E">
        <w:rPr>
          <w:rFonts w:ascii="Traditional Arabic" w:eastAsia="Calibri" w:hAnsi="Traditional Arabic" w:cs="Traditional Arabic"/>
          <w:sz w:val="24"/>
          <w:szCs w:val="24"/>
          <w:lang w:bidi="ar-EG"/>
        </w:rPr>
        <w:t xml:space="preserve"> (</w:t>
      </w:r>
      <m:oMath>
        <m:r>
          <w:rPr>
            <w:rFonts w:ascii="Cambria Math" w:eastAsia="Calibri" w:hAnsi="Cambria Math" w:cs="Traditional Arabic"/>
            <w:sz w:val="24"/>
            <w:szCs w:val="24"/>
            <w:lang w:bidi="ar-EG"/>
          </w:rPr>
          <m:t>B</m:t>
        </m:r>
      </m:oMath>
      <w:r w:rsidRPr="00764F1E">
        <w:rPr>
          <w:rFonts w:ascii="Traditional Arabic" w:eastAsia="Calibri" w:hAnsi="Traditional Arabic" w:cs="Traditional Arabic"/>
          <w:sz w:val="24"/>
          <w:szCs w:val="24"/>
          <w:lang w:bidi="ar-EG"/>
        </w:rPr>
        <w:t>)</w:t>
      </w:r>
      <w:r>
        <w:rPr>
          <w:rFonts w:ascii="Traditional Arabic" w:eastAsia="Calibri" w:hAnsi="Traditional Arabic" w:cs="Traditional Arabic" w:hint="cs"/>
          <w:sz w:val="24"/>
          <w:szCs w:val="24"/>
          <w:rtl/>
          <w:lang w:bidi="ar-EG"/>
        </w:rPr>
        <w:t xml:space="preserve"> </w:t>
      </w:r>
      <w:r w:rsidRPr="00764F1E">
        <w:rPr>
          <w:rFonts w:ascii="Traditional Arabic" w:eastAsia="Calibri" w:hAnsi="Traditional Arabic" w:cs="Traditional Arabic"/>
          <w:sz w:val="24"/>
          <w:szCs w:val="24"/>
          <w:lang w:bidi="ar-EG"/>
        </w:rPr>
        <w:t>.</w:t>
      </w:r>
    </w:p>
    <w:p w14:paraId="53C0A2F2" w14:textId="4C969E6D" w:rsidR="00764F1E" w:rsidRPr="00764F1E" w:rsidRDefault="00764F1E" w:rsidP="00F26D0D">
      <w:pPr>
        <w:bidi/>
        <w:spacing w:after="200" w:line="360" w:lineRule="auto"/>
        <w:ind w:firstLine="720"/>
        <w:contextualSpacing/>
        <w:jc w:val="both"/>
        <w:rPr>
          <w:rFonts w:ascii="Traditional Arabic" w:eastAsia="Calibri" w:hAnsi="Traditional Arabic" w:cs="Traditional Arabic"/>
          <w:sz w:val="24"/>
          <w:szCs w:val="24"/>
          <w:lang w:bidi="ar-EG"/>
        </w:rPr>
      </w:pPr>
      <w:r w:rsidRPr="00764F1E">
        <w:rPr>
          <w:rFonts w:ascii="Traditional Arabic" w:eastAsia="Calibri" w:hAnsi="Traditional Arabic" w:cs="Traditional Arabic"/>
          <w:sz w:val="24"/>
          <w:szCs w:val="24"/>
          <w:rtl/>
        </w:rPr>
        <w:t>بناءً على ما تقدم من مؤشرات إحصائية دالة، يتم "قبول الفرض الثاني" للدراسة والذي ينص على: "يوجد تأثير مباشر ذو دلالة إحصائية لممارسات إدارة المخاطر على سلامة المرضى في المرافق الصحية الحكومية بالمملكة العربية السعودية</w:t>
      </w:r>
      <w:r w:rsidRPr="00764F1E">
        <w:rPr>
          <w:rFonts w:ascii="Traditional Arabic" w:eastAsia="Calibri" w:hAnsi="Traditional Arabic" w:cs="Traditional Arabic"/>
          <w:sz w:val="24"/>
          <w:szCs w:val="24"/>
          <w:lang w:bidi="ar-EG"/>
        </w:rPr>
        <w:t>".</w:t>
      </w:r>
    </w:p>
    <w:p w14:paraId="21814275" w14:textId="77777777" w:rsidR="00764F1E" w:rsidRPr="0044090C" w:rsidRDefault="00764F1E" w:rsidP="00764F1E">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 xml:space="preserve">الفرض الثالث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مباشر</w:t>
      </w:r>
      <w:r w:rsidRPr="0044090C">
        <w:rPr>
          <w:rFonts w:ascii="Traditional Arabic" w:eastAsia="Calibri" w:hAnsi="Traditional Arabic" w:cs="Traditional Arabic"/>
          <w:sz w:val="24"/>
          <w:szCs w:val="24"/>
          <w:rtl/>
          <w:lang w:bidi="ar-EG"/>
        </w:rPr>
        <w:t xml:space="preserve"> ذو دلالة إحصائية للقيادة التحويلية على سلامة المرضى في </w:t>
      </w:r>
      <w:r>
        <w:rPr>
          <w:rFonts w:ascii="Traditional Arabic" w:eastAsia="Calibri" w:hAnsi="Traditional Arabic" w:cs="Traditional Arabic" w:hint="cs"/>
          <w:sz w:val="24"/>
          <w:szCs w:val="24"/>
          <w:rtl/>
          <w:lang w:bidi="ar-EG"/>
        </w:rPr>
        <w:t>المرافق الصحية</w:t>
      </w:r>
      <w:r w:rsidRPr="0044090C">
        <w:rPr>
          <w:rFonts w:ascii="Traditional Arabic" w:eastAsia="Calibri" w:hAnsi="Traditional Arabic" w:cs="Traditional Arabic"/>
          <w:sz w:val="24"/>
          <w:szCs w:val="24"/>
          <w:rtl/>
          <w:lang w:bidi="ar-EG"/>
        </w:rPr>
        <w:t xml:space="preserve"> الحكومية بالمملكة العربية السعودية.</w:t>
      </w:r>
    </w:p>
    <w:p w14:paraId="3A2203C8" w14:textId="77777777" w:rsidR="00191970" w:rsidRPr="0044090C" w:rsidRDefault="00191970" w:rsidP="00191970">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ولللتحقق من صحة هذه الفرضية، استخدمت الباحثة اختبار الانحدار الخطي البسيط</w:t>
      </w:r>
      <w:r w:rsidRPr="0044090C">
        <w:rPr>
          <w:rFonts w:ascii="Traditional Arabic" w:eastAsia="Calibri" w:hAnsi="Traditional Arabic" w:cs="Traditional Arabic"/>
          <w:sz w:val="24"/>
          <w:szCs w:val="24"/>
          <w:lang w:bidi="ar-EG"/>
        </w:rPr>
        <w:t xml:space="preserve"> (Simple Linear Regression)</w:t>
      </w:r>
      <w:r w:rsidRPr="0044090C">
        <w:rPr>
          <w:rFonts w:ascii="Traditional Arabic" w:eastAsia="Calibri" w:hAnsi="Traditional Arabic" w:cs="Traditional Arabic"/>
          <w:sz w:val="24"/>
          <w:szCs w:val="24"/>
          <w:rtl/>
        </w:rPr>
        <w:t>، والجدول التالي يوضح مخرجات التحليل الإحصائي</w:t>
      </w:r>
      <w:r w:rsidRPr="0044090C">
        <w:rPr>
          <w:rFonts w:ascii="Traditional Arabic" w:eastAsia="Calibri" w:hAnsi="Traditional Arabic" w:cs="Traditional Arabic"/>
          <w:sz w:val="24"/>
          <w:szCs w:val="24"/>
          <w:lang w:bidi="ar-EG"/>
        </w:rPr>
        <w:t>:</w:t>
      </w:r>
    </w:p>
    <w:p w14:paraId="40ED3CB1" w14:textId="65B9EBFB" w:rsidR="00191970" w:rsidRPr="00F92432" w:rsidRDefault="00191970" w:rsidP="00191970">
      <w:pPr>
        <w:bidi/>
        <w:spacing w:after="200" w:line="360" w:lineRule="auto"/>
        <w:contextualSpacing/>
        <w:jc w:val="both"/>
        <w:rPr>
          <w:rFonts w:ascii="Traditional Arabic" w:eastAsia="Calibri" w:hAnsi="Traditional Arabic" w:cs="Traditional Arabic"/>
          <w:b/>
          <w:bCs/>
          <w:sz w:val="24"/>
          <w:szCs w:val="24"/>
          <w:rtl/>
        </w:rPr>
      </w:pPr>
      <w:r w:rsidRPr="00F92432">
        <w:rPr>
          <w:rFonts w:ascii="Traditional Arabic" w:eastAsia="Calibri" w:hAnsi="Traditional Arabic" w:cs="Traditional Arabic"/>
          <w:b/>
          <w:bCs/>
          <w:sz w:val="24"/>
          <w:szCs w:val="24"/>
          <w:rtl/>
        </w:rPr>
        <w:t xml:space="preserve">الجدول (17): نتائج تحليل الانحدار الخطي البسيط لأثر القيادة التحويلية على سلامة المرضى </w:t>
      </w:r>
    </w:p>
    <w:tbl>
      <w:tblPr>
        <w:tblStyle w:val="TableGrid"/>
        <w:bidiVisual/>
        <w:tblW w:w="5000" w:type="pct"/>
        <w:tblLook w:val="04A0" w:firstRow="1" w:lastRow="0" w:firstColumn="1" w:lastColumn="0" w:noHBand="0" w:noVBand="1"/>
      </w:tblPr>
      <w:tblGrid>
        <w:gridCol w:w="826"/>
        <w:gridCol w:w="871"/>
        <w:gridCol w:w="791"/>
        <w:gridCol w:w="846"/>
        <w:gridCol w:w="883"/>
        <w:gridCol w:w="800"/>
        <w:gridCol w:w="798"/>
        <w:gridCol w:w="800"/>
        <w:gridCol w:w="883"/>
        <w:gridCol w:w="798"/>
      </w:tblGrid>
      <w:tr w:rsidR="008D7B14" w14:paraId="111F52ED" w14:textId="77777777" w:rsidTr="0007081E">
        <w:tc>
          <w:tcPr>
            <w:tcW w:w="498" w:type="pct"/>
            <w:shd w:val="clear" w:color="auto" w:fill="E5DFEC" w:themeFill="accent4" w:themeFillTint="33"/>
          </w:tcPr>
          <w:p w14:paraId="59907292"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المتغير المستقل</w:t>
            </w:r>
          </w:p>
        </w:tc>
        <w:tc>
          <w:tcPr>
            <w:tcW w:w="525" w:type="pct"/>
            <w:shd w:val="clear" w:color="auto" w:fill="E5DFEC" w:themeFill="accent4" w:themeFillTint="33"/>
          </w:tcPr>
          <w:p w14:paraId="158825DB"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معامل الانحدار غير المعياري</w:t>
            </w:r>
          </w:p>
          <w:p w14:paraId="2320FBBB"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B</w:t>
            </w:r>
          </w:p>
        </w:tc>
        <w:tc>
          <w:tcPr>
            <w:tcW w:w="477" w:type="pct"/>
            <w:shd w:val="clear" w:color="auto" w:fill="E5DFEC" w:themeFill="accent4" w:themeFillTint="33"/>
          </w:tcPr>
          <w:p w14:paraId="4365FF1D"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الخطأ المعياري</w:t>
            </w:r>
          </w:p>
          <w:p w14:paraId="3AF8CEA2"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SE</w:t>
            </w:r>
          </w:p>
        </w:tc>
        <w:tc>
          <w:tcPr>
            <w:tcW w:w="510" w:type="pct"/>
            <w:shd w:val="clear" w:color="auto" w:fill="E5DFEC" w:themeFill="accent4" w:themeFillTint="33"/>
          </w:tcPr>
          <w:p w14:paraId="761BE12F" w14:textId="77777777" w:rsidR="008D7B14" w:rsidRPr="000B0F65" w:rsidRDefault="008D7B14" w:rsidP="0007081E">
            <w:pPr>
              <w:bidi/>
              <w:spacing w:after="200" w:line="360" w:lineRule="auto"/>
              <w:contextualSpacing/>
              <w:jc w:val="center"/>
              <w:rPr>
                <w:rFonts w:ascii="Traditional Arabic" w:eastAsia="Calibri" w:hAnsi="Traditional Arabic" w:cs="Traditional Arabic"/>
                <w:b/>
                <w:bCs/>
                <w:sz w:val="24"/>
                <w:szCs w:val="24"/>
                <w:lang w:bidi="ar-EG"/>
              </w:rPr>
            </w:pPr>
            <w:r w:rsidRPr="000B0F65">
              <w:rPr>
                <w:rFonts w:ascii="Traditional Arabic" w:eastAsia="Calibri" w:hAnsi="Traditional Arabic" w:cs="Traditional Arabic" w:hint="cs"/>
                <w:b/>
                <w:bCs/>
                <w:sz w:val="24"/>
                <w:szCs w:val="24"/>
                <w:rtl/>
                <w:lang w:bidi="ar-EG"/>
              </w:rPr>
              <w:t>معامل الانحدار المعياري</w:t>
            </w:r>
          </w:p>
          <w:p w14:paraId="269ABB17"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m:oMathPara>
              <m:oMath>
                <m:r>
                  <m:rPr>
                    <m:sty m:val="bi"/>
                  </m:rPr>
                  <w:rPr>
                    <w:rFonts w:ascii="Cambria Math" w:eastAsia="Calibri" w:hAnsi="Cambria Math" w:cs="Traditional Arabic"/>
                    <w:sz w:val="24"/>
                    <w:szCs w:val="24"/>
                  </w:rPr>
                  <m:t>β</m:t>
                </m:r>
              </m:oMath>
            </m:oMathPara>
          </w:p>
        </w:tc>
        <w:tc>
          <w:tcPr>
            <w:tcW w:w="532" w:type="pct"/>
            <w:shd w:val="clear" w:color="auto" w:fill="E5DFEC" w:themeFill="accent4" w:themeFillTint="33"/>
          </w:tcPr>
          <w:p w14:paraId="1908344E"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قيمة</w:t>
            </w:r>
          </w:p>
          <w:p w14:paraId="6ACB4ABB"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t</w:t>
            </w:r>
          </w:p>
        </w:tc>
        <w:tc>
          <w:tcPr>
            <w:tcW w:w="482" w:type="pct"/>
            <w:shd w:val="clear" w:color="auto" w:fill="E5DFEC" w:themeFill="accent4" w:themeFillTint="33"/>
          </w:tcPr>
          <w:p w14:paraId="13FEE332"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مستوى الدلالة</w:t>
            </w:r>
          </w:p>
        </w:tc>
        <w:tc>
          <w:tcPr>
            <w:tcW w:w="481" w:type="pct"/>
            <w:shd w:val="clear" w:color="auto" w:fill="E5DFEC" w:themeFill="accent4" w:themeFillTint="33"/>
          </w:tcPr>
          <w:p w14:paraId="345EA100"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معامل الارتباط</w:t>
            </w:r>
          </w:p>
          <w:p w14:paraId="2D533A71"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R</w:t>
            </w:r>
          </w:p>
          <w:p w14:paraId="6CF5D8CA"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p>
        </w:tc>
        <w:tc>
          <w:tcPr>
            <w:tcW w:w="482" w:type="pct"/>
            <w:shd w:val="clear" w:color="auto" w:fill="E5DFEC" w:themeFill="accent4" w:themeFillTint="33"/>
          </w:tcPr>
          <w:p w14:paraId="2E8AB21F"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معامل التحديد</w:t>
            </w:r>
          </w:p>
          <w:p w14:paraId="19E0291A"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sidRPr="000B0F65">
              <w:rPr>
                <w:rFonts w:ascii="Traditional Arabic" w:eastAsia="Calibri" w:hAnsi="Traditional Arabic" w:cs="Traditional Arabic"/>
                <w:b/>
                <w:bCs/>
                <w:sz w:val="24"/>
                <w:szCs w:val="24"/>
                <w:lang w:bidi="ar-EG"/>
              </w:rPr>
              <w:t>R</w:t>
            </w:r>
            <w:r w:rsidRPr="000B0F65">
              <w:rPr>
                <w:rFonts w:ascii="Traditional Arabic" w:eastAsia="Calibri" w:hAnsi="Traditional Arabic" w:cs="Traditional Arabic"/>
                <w:b/>
                <w:bCs/>
                <w:sz w:val="24"/>
                <w:szCs w:val="24"/>
                <w:vertAlign w:val="superscript"/>
                <w:lang w:bidi="ar-EG"/>
              </w:rPr>
              <w:t>2</w:t>
            </w:r>
          </w:p>
        </w:tc>
        <w:tc>
          <w:tcPr>
            <w:tcW w:w="532" w:type="pct"/>
            <w:shd w:val="clear" w:color="auto" w:fill="E5DFEC" w:themeFill="accent4" w:themeFillTint="33"/>
          </w:tcPr>
          <w:p w14:paraId="47959C1E"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hint="cs"/>
                <w:b/>
                <w:bCs/>
                <w:sz w:val="24"/>
                <w:szCs w:val="24"/>
                <w:rtl/>
              </w:rPr>
              <w:t xml:space="preserve">قيمة </w:t>
            </w:r>
          </w:p>
          <w:p w14:paraId="5193044A"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F</w:t>
            </w:r>
          </w:p>
        </w:tc>
        <w:tc>
          <w:tcPr>
            <w:tcW w:w="481" w:type="pct"/>
            <w:shd w:val="clear" w:color="auto" w:fill="E5DFEC" w:themeFill="accent4" w:themeFillTint="33"/>
          </w:tcPr>
          <w:p w14:paraId="1018591C"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مستوى الدلالة</w:t>
            </w:r>
          </w:p>
        </w:tc>
      </w:tr>
      <w:tr w:rsidR="008D7B14" w14:paraId="62E30FEF" w14:textId="77777777" w:rsidTr="0007081E">
        <w:tc>
          <w:tcPr>
            <w:tcW w:w="498" w:type="pct"/>
          </w:tcPr>
          <w:p w14:paraId="79BD1A12"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الثابت</w:t>
            </w:r>
          </w:p>
        </w:tc>
        <w:tc>
          <w:tcPr>
            <w:tcW w:w="525" w:type="pct"/>
          </w:tcPr>
          <w:p w14:paraId="669E2BC8" w14:textId="5EF01911" w:rsidR="008D7B14" w:rsidRDefault="008D7B14" w:rsidP="0007081E">
            <w:pPr>
              <w:bidi/>
              <w:spacing w:after="200" w:line="360" w:lineRule="auto"/>
              <w:contextualSpacing/>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1.054</w:t>
            </w:r>
          </w:p>
        </w:tc>
        <w:tc>
          <w:tcPr>
            <w:tcW w:w="477" w:type="pct"/>
          </w:tcPr>
          <w:p w14:paraId="5D02929D" w14:textId="22265D2D"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0.128</w:t>
            </w:r>
          </w:p>
        </w:tc>
        <w:tc>
          <w:tcPr>
            <w:tcW w:w="510" w:type="pct"/>
          </w:tcPr>
          <w:p w14:paraId="46BF6DA5"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w:t>
            </w:r>
          </w:p>
        </w:tc>
        <w:tc>
          <w:tcPr>
            <w:tcW w:w="532" w:type="pct"/>
          </w:tcPr>
          <w:p w14:paraId="38DE4043" w14:textId="50B2E56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8.234</w:t>
            </w:r>
          </w:p>
        </w:tc>
        <w:tc>
          <w:tcPr>
            <w:tcW w:w="482" w:type="pct"/>
          </w:tcPr>
          <w:p w14:paraId="415424B4"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c>
          <w:tcPr>
            <w:tcW w:w="481" w:type="pct"/>
          </w:tcPr>
          <w:p w14:paraId="5410E97A" w14:textId="55F0AF25"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0.712</w:t>
            </w:r>
          </w:p>
        </w:tc>
        <w:tc>
          <w:tcPr>
            <w:tcW w:w="482" w:type="pct"/>
          </w:tcPr>
          <w:p w14:paraId="27D9D03A" w14:textId="385BFB1D"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0.507</w:t>
            </w:r>
          </w:p>
        </w:tc>
        <w:tc>
          <w:tcPr>
            <w:tcW w:w="532" w:type="pct"/>
          </w:tcPr>
          <w:p w14:paraId="6A1611EA" w14:textId="62C66B1C"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398.24</w:t>
            </w:r>
          </w:p>
        </w:tc>
        <w:tc>
          <w:tcPr>
            <w:tcW w:w="481" w:type="pct"/>
          </w:tcPr>
          <w:p w14:paraId="6BBA3DD5"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r>
      <w:tr w:rsidR="008D7B14" w14:paraId="19B5CD80" w14:textId="77777777" w:rsidTr="0007081E">
        <w:tc>
          <w:tcPr>
            <w:tcW w:w="498" w:type="pct"/>
          </w:tcPr>
          <w:p w14:paraId="3BE731E5"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ممارسات إدارة المخاطر</w:t>
            </w:r>
          </w:p>
        </w:tc>
        <w:tc>
          <w:tcPr>
            <w:tcW w:w="525" w:type="pct"/>
          </w:tcPr>
          <w:p w14:paraId="2F71F183" w14:textId="288C930B"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0.814</w:t>
            </w:r>
          </w:p>
        </w:tc>
        <w:tc>
          <w:tcPr>
            <w:tcW w:w="477" w:type="pct"/>
          </w:tcPr>
          <w:p w14:paraId="414B07D4" w14:textId="283DC9FA"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0.041</w:t>
            </w:r>
          </w:p>
        </w:tc>
        <w:tc>
          <w:tcPr>
            <w:tcW w:w="510" w:type="pct"/>
          </w:tcPr>
          <w:p w14:paraId="767836AA" w14:textId="2670161E"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0.712</w:t>
            </w:r>
          </w:p>
        </w:tc>
        <w:tc>
          <w:tcPr>
            <w:tcW w:w="532" w:type="pct"/>
          </w:tcPr>
          <w:p w14:paraId="7CD6121D" w14:textId="62E2B36F"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19.956</w:t>
            </w:r>
          </w:p>
        </w:tc>
        <w:tc>
          <w:tcPr>
            <w:tcW w:w="482" w:type="pct"/>
          </w:tcPr>
          <w:p w14:paraId="3B81D434"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Pr>
              <w:t>0.000</w:t>
            </w:r>
          </w:p>
        </w:tc>
        <w:tc>
          <w:tcPr>
            <w:tcW w:w="481" w:type="pct"/>
          </w:tcPr>
          <w:p w14:paraId="7EB6977E"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p>
        </w:tc>
        <w:tc>
          <w:tcPr>
            <w:tcW w:w="482" w:type="pct"/>
          </w:tcPr>
          <w:p w14:paraId="3DDEBD5A"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p>
        </w:tc>
        <w:tc>
          <w:tcPr>
            <w:tcW w:w="532" w:type="pct"/>
          </w:tcPr>
          <w:p w14:paraId="2512F3D9"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p>
        </w:tc>
        <w:tc>
          <w:tcPr>
            <w:tcW w:w="481" w:type="pct"/>
          </w:tcPr>
          <w:p w14:paraId="6321909D" w14:textId="77777777" w:rsidR="008D7B14" w:rsidRDefault="008D7B14" w:rsidP="0007081E">
            <w:pPr>
              <w:bidi/>
              <w:spacing w:after="200" w:line="360" w:lineRule="auto"/>
              <w:contextualSpacing/>
              <w:jc w:val="both"/>
              <w:rPr>
                <w:rFonts w:ascii="Traditional Arabic" w:eastAsia="Calibri" w:hAnsi="Traditional Arabic" w:cs="Traditional Arabic"/>
                <w:b/>
                <w:bCs/>
                <w:sz w:val="24"/>
                <w:szCs w:val="24"/>
                <w:rtl/>
              </w:rPr>
            </w:pPr>
          </w:p>
        </w:tc>
      </w:tr>
    </w:tbl>
    <w:p w14:paraId="3A84634B" w14:textId="77777777" w:rsidR="00764F1E" w:rsidRPr="0044090C" w:rsidRDefault="00764F1E" w:rsidP="00764F1E">
      <w:pPr>
        <w:bidi/>
        <w:spacing w:after="200" w:line="360" w:lineRule="auto"/>
        <w:contextualSpacing/>
        <w:jc w:val="both"/>
        <w:rPr>
          <w:rFonts w:ascii="Traditional Arabic" w:eastAsia="Calibri" w:hAnsi="Traditional Arabic" w:cs="Traditional Arabic"/>
          <w:sz w:val="24"/>
          <w:szCs w:val="24"/>
        </w:rPr>
      </w:pPr>
    </w:p>
    <w:p w14:paraId="7A1674AB" w14:textId="2B43E2A6" w:rsidR="00B735BE" w:rsidRPr="00B735BE" w:rsidRDefault="00B735BE" w:rsidP="00B735BE">
      <w:pPr>
        <w:bidi/>
        <w:spacing w:after="200" w:line="360" w:lineRule="auto"/>
        <w:contextualSpacing/>
        <w:jc w:val="right"/>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rPr>
        <w:lastRenderedPageBreak/>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5CE7DCAE" w14:textId="532158BA" w:rsidR="008D7B14" w:rsidRDefault="008D7B14" w:rsidP="008D7B14">
      <w:pPr>
        <w:bidi/>
        <w:spacing w:after="200" w:line="360" w:lineRule="auto"/>
        <w:ind w:firstLine="720"/>
        <w:contextualSpacing/>
        <w:jc w:val="both"/>
        <w:rPr>
          <w:rFonts w:ascii="Traditional Arabic" w:eastAsia="Calibri" w:hAnsi="Traditional Arabic" w:cs="Traditional Arabic"/>
          <w:sz w:val="24"/>
          <w:szCs w:val="24"/>
          <w:rtl/>
        </w:rPr>
      </w:pPr>
      <w:r w:rsidRPr="008D7B14">
        <w:rPr>
          <w:rFonts w:ascii="Traditional Arabic" w:eastAsia="Calibri" w:hAnsi="Traditional Arabic" w:cs="Traditional Arabic"/>
          <w:sz w:val="24"/>
          <w:szCs w:val="24"/>
          <w:rtl/>
        </w:rPr>
        <w:t xml:space="preserve">يوضح الجدول </w:t>
      </w:r>
      <w:r>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lang w:bidi="ar-EG"/>
        </w:rPr>
        <w:t>17)</w:t>
      </w:r>
      <w:r w:rsidRPr="008D7B14">
        <w:rPr>
          <w:rFonts w:ascii="Traditional Arabic" w:eastAsia="Calibri" w:hAnsi="Traditional Arabic" w:cs="Traditional Arabic"/>
          <w:sz w:val="24"/>
          <w:szCs w:val="24"/>
          <w:rtl/>
        </w:rPr>
        <w:t xml:space="preserve"> نتائج تحليل الانحدار الخطي البسيط للكشف عن أثر القيادة التحويلية على سلامة المرضى في المرافق الصحية الحكومية بالمملكة العربية السعودية، حيث أظهرت النتائج معنوية النموذج الإجمالي بقيمة اختبار ف بلغت (398.24) عند مستوى دلالة (0.000) أقل من (0.05)، مما يؤكد الصلاحية الإحصائية العالية للنموذج وقدرته على التنبؤ. كما بلغت قيمة معامل التحديد</w:t>
      </w:r>
      <w:r w:rsidRPr="008D7B14">
        <w:rPr>
          <w:rFonts w:ascii="Traditional Arabic" w:eastAsia="Calibri" w:hAnsi="Traditional Arabic" w:cs="Traditional Arabic"/>
          <w:sz w:val="24"/>
          <w:szCs w:val="24"/>
        </w:rPr>
        <w:t xml:space="preserve"> (</w:t>
      </w:r>
      <m:oMath>
        <m:sSup>
          <m:sSupPr>
            <m:ctrlPr>
              <w:rPr>
                <w:rFonts w:ascii="Cambria Math" w:eastAsia="Calibri" w:hAnsi="Cambria Math" w:cs="Traditional Arabic"/>
                <w:sz w:val="24"/>
                <w:szCs w:val="24"/>
              </w:rPr>
            </m:ctrlPr>
          </m:sSupPr>
          <m:e>
            <m:r>
              <w:rPr>
                <w:rFonts w:ascii="Cambria Math" w:eastAsia="Calibri" w:hAnsi="Cambria Math" w:cs="Traditional Arabic"/>
                <w:sz w:val="24"/>
                <w:szCs w:val="24"/>
              </w:rPr>
              <m:t>R</m:t>
            </m:r>
          </m:e>
          <m:sup>
            <m:r>
              <w:rPr>
                <w:rFonts w:ascii="Cambria Math" w:eastAsia="Calibri" w:hAnsi="Cambria Math" w:cs="Traditional Arabic"/>
                <w:sz w:val="24"/>
                <w:szCs w:val="24"/>
              </w:rPr>
              <m:t>2</m:t>
            </m:r>
          </m:sup>
        </m:sSup>
        <m:r>
          <w:rPr>
            <w:rFonts w:ascii="Cambria Math" w:eastAsia="Calibri" w:hAnsi="Cambria Math" w:cs="Traditional Arabic"/>
            <w:sz w:val="24"/>
            <w:szCs w:val="24"/>
          </w:rPr>
          <m:t>=0.507</m:t>
        </m:r>
      </m:oMath>
      <w:r w:rsidRPr="008D7B14">
        <w:rPr>
          <w:rFonts w:ascii="Traditional Arabic" w:eastAsia="Calibri" w:hAnsi="Traditional Arabic" w:cs="Traditional Arabic"/>
          <w:sz w:val="24"/>
          <w:szCs w:val="24"/>
        </w:rPr>
        <w:t xml:space="preserve">) </w:t>
      </w:r>
      <w:r w:rsidRPr="008D7B14">
        <w:rPr>
          <w:rFonts w:ascii="Traditional Arabic" w:eastAsia="Calibri" w:hAnsi="Traditional Arabic" w:cs="Traditional Arabic"/>
          <w:sz w:val="24"/>
          <w:szCs w:val="24"/>
          <w:rtl/>
        </w:rPr>
        <w:t>بما يعني أن القيادة التحويلية تُفسر نسبة (50.7%) من التباين في مستوى سلامة المرضى، بينما تعود النسبة المتبقية لعوامل أخرى خارج النموذج. وأكدت النتائج وجود علاقة طردية قوية بين المتغيرين، حيث بلغ معامل الانحدار المعياري</w:t>
      </w:r>
      <w:r w:rsidRPr="008D7B14">
        <w:rPr>
          <w:rFonts w:ascii="Traditional Arabic" w:eastAsia="Calibri" w:hAnsi="Traditional Arabic" w:cs="Traditional Arabic"/>
          <w:sz w:val="24"/>
          <w:szCs w:val="24"/>
        </w:rPr>
        <w:t xml:space="preserve"> (</w:t>
      </w:r>
      <m:oMath>
        <m:r>
          <w:rPr>
            <w:rFonts w:ascii="Cambria Math" w:eastAsia="Calibri" w:hAnsi="Cambria Math" w:cs="Traditional Arabic"/>
            <w:sz w:val="24"/>
            <w:szCs w:val="24"/>
          </w:rPr>
          <m:t>β=0.712</m:t>
        </m:r>
      </m:oMath>
      <w:r w:rsidRPr="008D7B14">
        <w:rPr>
          <w:rFonts w:ascii="Traditional Arabic" w:eastAsia="Calibri" w:hAnsi="Traditional Arabic" w:cs="Traditional Arabic"/>
          <w:sz w:val="24"/>
          <w:szCs w:val="24"/>
        </w:rPr>
        <w:t xml:space="preserve">) </w:t>
      </w:r>
      <w:r w:rsidRPr="008D7B14">
        <w:rPr>
          <w:rFonts w:ascii="Traditional Arabic" w:eastAsia="Calibri" w:hAnsi="Traditional Arabic" w:cs="Traditional Arabic"/>
          <w:sz w:val="24"/>
          <w:szCs w:val="24"/>
          <w:rtl/>
        </w:rPr>
        <w:t>وقيمة اختبار</w:t>
      </w:r>
      <w:r w:rsidRPr="008D7B14">
        <w:rPr>
          <w:rFonts w:ascii="Traditional Arabic" w:eastAsia="Calibri" w:hAnsi="Traditional Arabic" w:cs="Traditional Arabic"/>
          <w:sz w:val="24"/>
          <w:szCs w:val="24"/>
        </w:rPr>
        <w:t xml:space="preserve"> (</w:t>
      </w:r>
      <m:oMath>
        <m:r>
          <w:rPr>
            <w:rFonts w:ascii="Cambria Math" w:eastAsia="Calibri" w:hAnsi="Cambria Math" w:cs="Traditional Arabic"/>
            <w:sz w:val="24"/>
            <w:szCs w:val="24"/>
          </w:rPr>
          <m:t>t=19.956</m:t>
        </m:r>
      </m:oMath>
      <w:r w:rsidRPr="008D7B14">
        <w:rPr>
          <w:rFonts w:ascii="Traditional Arabic" w:eastAsia="Calibri" w:hAnsi="Traditional Arabic" w:cs="Traditional Arabic"/>
          <w:sz w:val="24"/>
          <w:szCs w:val="24"/>
        </w:rPr>
        <w:t xml:space="preserve">) </w:t>
      </w:r>
      <w:r w:rsidRPr="008D7B14">
        <w:rPr>
          <w:rFonts w:ascii="Traditional Arabic" w:eastAsia="Calibri" w:hAnsi="Traditional Arabic" w:cs="Traditional Arabic"/>
          <w:sz w:val="24"/>
          <w:szCs w:val="24"/>
          <w:rtl/>
        </w:rPr>
        <w:t>عند مستوى دلالة (0.000)، مما يدل على تأثير مباشر وذو دلالة إحصائية للقيادة التحويلية على سلامة المرضى، بحيث إن تعزيز القيادة التحويلية بمقدار وحدة واحدة يؤدي إلى تحسن في مستوى سلامة المرضى بمقدار (0.814) وفقاً لقيمة المعامل غير المعياري</w:t>
      </w:r>
      <w:r w:rsidRPr="008D7B14">
        <w:rPr>
          <w:rFonts w:ascii="Traditional Arabic" w:eastAsia="Calibri" w:hAnsi="Traditional Arabic" w:cs="Traditional Arabic"/>
          <w:sz w:val="24"/>
          <w:szCs w:val="24"/>
        </w:rPr>
        <w:t xml:space="preserve"> (B)</w:t>
      </w:r>
      <w:r>
        <w:rPr>
          <w:rFonts w:ascii="Traditional Arabic" w:eastAsia="Calibri" w:hAnsi="Traditional Arabic" w:cs="Traditional Arabic" w:hint="cs"/>
          <w:sz w:val="24"/>
          <w:szCs w:val="24"/>
          <w:rtl/>
        </w:rPr>
        <w:t xml:space="preserve"> </w:t>
      </w:r>
      <w:r w:rsidRPr="008D7B14">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p>
    <w:p w14:paraId="1069D079" w14:textId="684B2852" w:rsidR="008D7B14" w:rsidRDefault="008D7B14" w:rsidP="008D7B14">
      <w:pPr>
        <w:bidi/>
        <w:spacing w:after="200" w:line="360" w:lineRule="auto"/>
        <w:ind w:firstLine="720"/>
        <w:contextualSpacing/>
        <w:jc w:val="both"/>
        <w:rPr>
          <w:rFonts w:ascii="Traditional Arabic" w:eastAsia="Calibri" w:hAnsi="Traditional Arabic" w:cs="Traditional Arabic"/>
          <w:sz w:val="24"/>
          <w:szCs w:val="24"/>
          <w:rtl/>
        </w:rPr>
      </w:pPr>
      <w:r w:rsidRPr="008D7B14">
        <w:rPr>
          <w:rFonts w:ascii="Traditional Arabic" w:eastAsia="Calibri" w:hAnsi="Traditional Arabic" w:cs="Traditional Arabic"/>
          <w:sz w:val="24"/>
          <w:szCs w:val="24"/>
          <w:rtl/>
        </w:rPr>
        <w:t>بناءً على ما تقدم من مؤشرات إحصائية دالة، يتم "قبول الفرض الثالث" للدراسة والذي ينص على: "يوجد تأثير مباشر ذو دلالة إحصائية للقيادة التحويلية على سلامة المرضى في المرافق الصحية الحكومية بالمملكة العربية السعودية</w:t>
      </w:r>
      <w:r w:rsidRPr="008D7B14">
        <w:rPr>
          <w:rFonts w:ascii="Traditional Arabic" w:eastAsia="Calibri" w:hAnsi="Traditional Arabic" w:cs="Traditional Arabic"/>
          <w:sz w:val="24"/>
          <w:szCs w:val="24"/>
        </w:rPr>
        <w:t>".</w:t>
      </w:r>
    </w:p>
    <w:p w14:paraId="266ACAB8" w14:textId="79D489DF" w:rsidR="008D7B14" w:rsidRPr="008D7B14" w:rsidRDefault="008D7B14" w:rsidP="009F7BF2">
      <w:pPr>
        <w:bidi/>
        <w:spacing w:after="200" w:line="360" w:lineRule="auto"/>
        <w:ind w:left="720" w:hanging="720"/>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lang w:bidi="ar-EG"/>
        </w:rPr>
        <w:t xml:space="preserve">الفرض الرابع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غير مباشر</w:t>
      </w:r>
      <w:r w:rsidRPr="0044090C">
        <w:rPr>
          <w:rFonts w:ascii="Traditional Arabic" w:eastAsia="Calibri" w:hAnsi="Traditional Arabic" w:cs="Traditional Arabic"/>
          <w:sz w:val="24"/>
          <w:szCs w:val="24"/>
          <w:rtl/>
          <w:lang w:bidi="ar-EG"/>
        </w:rPr>
        <w:t xml:space="preserve"> ذو دلالة إحصائية </w:t>
      </w:r>
      <w:r>
        <w:rPr>
          <w:rFonts w:ascii="Traditional Arabic" w:eastAsia="Calibri" w:hAnsi="Traditional Arabic" w:cs="Traditional Arabic" w:hint="cs"/>
          <w:sz w:val="24"/>
          <w:szCs w:val="24"/>
          <w:rtl/>
          <w:lang w:bidi="ar-EG"/>
        </w:rPr>
        <w:t>لممارسات إدارة المخاطر</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 xml:space="preserve">على </w:t>
      </w:r>
      <w:r w:rsidRPr="0044090C">
        <w:rPr>
          <w:rFonts w:ascii="Traditional Arabic" w:eastAsia="Calibri" w:hAnsi="Traditional Arabic" w:cs="Traditional Arabic"/>
          <w:sz w:val="24"/>
          <w:szCs w:val="24"/>
          <w:rtl/>
          <w:lang w:bidi="ar-EG"/>
        </w:rPr>
        <w:t>سلامة المرضى</w:t>
      </w:r>
      <w:r>
        <w:rPr>
          <w:rFonts w:ascii="Traditional Arabic" w:eastAsia="Calibri" w:hAnsi="Traditional Arabic" w:cs="Traditional Arabic" w:hint="cs"/>
          <w:sz w:val="24"/>
          <w:szCs w:val="24"/>
          <w:rtl/>
          <w:lang w:bidi="ar-EG"/>
        </w:rPr>
        <w:t xml:space="preserve"> من خلال القيادة التحويلية كمتغير وسيط في المرافق</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الصحية</w:t>
      </w:r>
      <w:r w:rsidRPr="0044090C">
        <w:rPr>
          <w:rFonts w:ascii="Traditional Arabic" w:eastAsia="Calibri" w:hAnsi="Traditional Arabic" w:cs="Traditional Arabic"/>
          <w:sz w:val="24"/>
          <w:szCs w:val="24"/>
          <w:rtl/>
          <w:lang w:bidi="ar-EG"/>
        </w:rPr>
        <w:t xml:space="preserve"> الحكومية بالمملكة العربية السعودية</w:t>
      </w:r>
      <w:r w:rsidRPr="0044090C">
        <w:rPr>
          <w:rFonts w:ascii="Traditional Arabic" w:eastAsia="Calibri" w:hAnsi="Traditional Arabic" w:cs="Traditional Arabic" w:hint="cs"/>
          <w:sz w:val="24"/>
          <w:szCs w:val="24"/>
          <w:rtl/>
          <w:lang w:bidi="ar-EG"/>
        </w:rPr>
        <w:t>.</w:t>
      </w:r>
    </w:p>
    <w:p w14:paraId="26651417" w14:textId="2617F550" w:rsidR="002D7995" w:rsidRDefault="002D7995" w:rsidP="002D7995">
      <w:pPr>
        <w:bidi/>
        <w:spacing w:after="200" w:line="360" w:lineRule="auto"/>
        <w:ind w:firstLine="720"/>
        <w:contextualSpacing/>
        <w:jc w:val="both"/>
        <w:rPr>
          <w:rFonts w:ascii="Traditional Arabic" w:eastAsia="Calibri" w:hAnsi="Traditional Arabic" w:cs="Traditional Arabic"/>
          <w:sz w:val="24"/>
          <w:szCs w:val="24"/>
          <w:rtl/>
          <w:lang w:bidi="ar-EG"/>
        </w:rPr>
      </w:pPr>
      <w:r w:rsidRPr="002D7995">
        <w:rPr>
          <w:rFonts w:ascii="Traditional Arabic" w:eastAsia="Calibri" w:hAnsi="Traditional Arabic" w:cs="Traditional Arabic"/>
          <w:sz w:val="24"/>
          <w:szCs w:val="24"/>
          <w:rtl/>
        </w:rPr>
        <w:t>انتقل</w:t>
      </w:r>
      <w:r w:rsidRPr="002D7995">
        <w:rPr>
          <w:rFonts w:ascii="Traditional Arabic" w:eastAsia="Calibri" w:hAnsi="Traditional Arabic" w:cs="Traditional Arabic" w:hint="cs"/>
          <w:sz w:val="24"/>
          <w:szCs w:val="24"/>
          <w:rtl/>
        </w:rPr>
        <w:t>ت</w:t>
      </w:r>
      <w:r w:rsidRPr="002D7995">
        <w:rPr>
          <w:rFonts w:ascii="Traditional Arabic" w:eastAsia="Calibri" w:hAnsi="Traditional Arabic" w:cs="Traditional Arabic"/>
          <w:sz w:val="24"/>
          <w:szCs w:val="24"/>
          <w:rtl/>
        </w:rPr>
        <w:t xml:space="preserve"> الباحث</w:t>
      </w:r>
      <w:r w:rsidRPr="002D7995">
        <w:rPr>
          <w:rFonts w:ascii="Traditional Arabic" w:eastAsia="Calibri" w:hAnsi="Traditional Arabic" w:cs="Traditional Arabic" w:hint="cs"/>
          <w:sz w:val="24"/>
          <w:szCs w:val="24"/>
          <w:rtl/>
        </w:rPr>
        <w:t>ة</w:t>
      </w:r>
      <w:r w:rsidRPr="002D7995">
        <w:rPr>
          <w:rFonts w:ascii="Traditional Arabic" w:eastAsia="Calibri" w:hAnsi="Traditional Arabic" w:cs="Traditional Arabic"/>
          <w:sz w:val="24"/>
          <w:szCs w:val="24"/>
          <w:rtl/>
        </w:rPr>
        <w:t xml:space="preserve"> في الفرضية الرابعة الشاملة إلى تطبيق أسلوب نمذجة المعادلات الهيكلية</w:t>
      </w:r>
      <w:r w:rsidRPr="002D7995">
        <w:rPr>
          <w:rFonts w:ascii="Traditional Arabic" w:eastAsia="Calibri" w:hAnsi="Traditional Arabic" w:cs="Traditional Arabic"/>
          <w:sz w:val="24"/>
          <w:szCs w:val="24"/>
          <w:lang w:bidi="ar-EG"/>
        </w:rPr>
        <w:t xml:space="preserve"> (SEM) </w:t>
      </w:r>
      <w:r w:rsidRPr="002D7995">
        <w:rPr>
          <w:rFonts w:ascii="Traditional Arabic" w:eastAsia="Calibri" w:hAnsi="Traditional Arabic" w:cs="Traditional Arabic"/>
          <w:sz w:val="24"/>
          <w:szCs w:val="24"/>
          <w:rtl/>
        </w:rPr>
        <w:t xml:space="preserve">عبر برنامج </w:t>
      </w:r>
      <w:r w:rsidRPr="002D7995">
        <w:rPr>
          <w:rFonts w:ascii="Traditional Arabic" w:eastAsia="Calibri" w:hAnsi="Traditional Arabic" w:cs="Traditional Arabic"/>
          <w:sz w:val="24"/>
          <w:szCs w:val="24"/>
          <w:lang w:bidi="ar-EG"/>
        </w:rPr>
        <w:t xml:space="preserve">AMOS. </w:t>
      </w:r>
      <w:r w:rsidRPr="002D7995">
        <w:rPr>
          <w:rFonts w:ascii="Traditional Arabic" w:eastAsia="Calibri" w:hAnsi="Traditional Arabic" w:cs="Traditional Arabic"/>
          <w:sz w:val="24"/>
          <w:szCs w:val="24"/>
          <w:rtl/>
        </w:rPr>
        <w:t xml:space="preserve">ويأتي هذا الانتقال المنهجي نظراً لقدرة هذا الأسلوب الفائقة على معالجة النماذج التفسيرية المعقدة واختبار التأثيرات غير المباشرة (الوساطة) بشكل متزامن ودقيق للنموذج الهيكلي الكامل. وقبل </w:t>
      </w:r>
      <w:r>
        <w:rPr>
          <w:rFonts w:ascii="Traditional Arabic" w:eastAsia="Calibri" w:hAnsi="Traditional Arabic" w:cs="Traditional Arabic" w:hint="cs"/>
          <w:sz w:val="24"/>
          <w:szCs w:val="24"/>
          <w:rtl/>
        </w:rPr>
        <w:t>ذلك</w:t>
      </w:r>
      <w:r w:rsidRPr="002D7995">
        <w:rPr>
          <w:rFonts w:ascii="Traditional Arabic" w:eastAsia="Calibri" w:hAnsi="Traditional Arabic" w:cs="Traditional Arabic"/>
          <w:sz w:val="24"/>
          <w:szCs w:val="24"/>
          <w:rtl/>
        </w:rPr>
        <w:t xml:space="preserve"> استوجب الأمر أولاً تقييم مدى مطابقة النموذج الإحصائي المقترح مع البيانات الواقعية التي جُمعت من مجتمع الدراسة لضمان دلالة النتائج وصلاحيتها للتفسير، ويستعرض الجدول التالي مؤشرات جودة المطابقة المستخرجة لعينة الدراسة المكونة من</w:t>
      </w:r>
      <w:r w:rsidRPr="002D7995">
        <w:rPr>
          <w:rFonts w:ascii="Traditional Arabic" w:eastAsia="Calibri" w:hAnsi="Traditional Arabic" w:cs="Traditional Arabic"/>
          <w:sz w:val="24"/>
          <w:szCs w:val="24"/>
          <w:lang w:bidi="ar-EG"/>
        </w:rPr>
        <w:t xml:space="preserve"> </w:t>
      </w:r>
      <w:r>
        <w:rPr>
          <w:rFonts w:ascii="Traditional Arabic" w:eastAsia="Calibri" w:hAnsi="Traditional Arabic" w:cs="Traditional Arabic" w:hint="cs"/>
          <w:sz w:val="24"/>
          <w:szCs w:val="24"/>
          <w:rtl/>
          <w:lang w:bidi="ar-EG"/>
        </w:rPr>
        <w:t xml:space="preserve"> (389) </w:t>
      </w:r>
      <w:r w:rsidRPr="002D7995">
        <w:rPr>
          <w:rFonts w:ascii="Traditional Arabic" w:eastAsia="Calibri" w:hAnsi="Traditional Arabic" w:cs="Traditional Arabic"/>
          <w:sz w:val="24"/>
          <w:szCs w:val="24"/>
          <w:rtl/>
        </w:rPr>
        <w:t>مشترك</w:t>
      </w:r>
      <w:r>
        <w:rPr>
          <w:rFonts w:ascii="Traditional Arabic" w:eastAsia="Calibri" w:hAnsi="Traditional Arabic" w:cs="Traditional Arabic" w:hint="cs"/>
          <w:sz w:val="24"/>
          <w:szCs w:val="24"/>
          <w:rtl/>
          <w:lang w:bidi="ar-EG"/>
        </w:rPr>
        <w:t>:</w:t>
      </w:r>
    </w:p>
    <w:p w14:paraId="0145C8AC" w14:textId="312A036F" w:rsidR="002D7995" w:rsidRPr="009C5CCF" w:rsidRDefault="002D7995" w:rsidP="002D7995">
      <w:pPr>
        <w:bidi/>
        <w:spacing w:after="200" w:line="360" w:lineRule="auto"/>
        <w:contextualSpacing/>
        <w:jc w:val="both"/>
        <w:rPr>
          <w:rFonts w:ascii="Traditional Arabic" w:eastAsia="Calibri" w:hAnsi="Traditional Arabic" w:cs="Traditional Arabic"/>
          <w:b/>
          <w:bCs/>
          <w:sz w:val="24"/>
          <w:szCs w:val="24"/>
          <w:rtl/>
          <w:lang w:bidi="ar-EG"/>
        </w:rPr>
      </w:pPr>
      <w:r w:rsidRPr="009C5CCF">
        <w:rPr>
          <w:rFonts w:ascii="Traditional Arabic" w:eastAsia="Calibri" w:hAnsi="Traditional Arabic" w:cs="Traditional Arabic" w:hint="cs"/>
          <w:b/>
          <w:bCs/>
          <w:sz w:val="24"/>
          <w:szCs w:val="24"/>
          <w:rtl/>
          <w:lang w:bidi="ar-EG"/>
        </w:rPr>
        <w:t>جدول</w:t>
      </w:r>
      <w:r w:rsidR="002F1B1A">
        <w:rPr>
          <w:rFonts w:ascii="Traditional Arabic" w:eastAsia="Calibri" w:hAnsi="Traditional Arabic" w:cs="Traditional Arabic" w:hint="cs"/>
          <w:b/>
          <w:bCs/>
          <w:sz w:val="24"/>
          <w:szCs w:val="24"/>
          <w:rtl/>
          <w:lang w:bidi="ar-EG"/>
        </w:rPr>
        <w:t xml:space="preserve"> (18)</w:t>
      </w:r>
      <w:r w:rsidRPr="009C5CCF">
        <w:rPr>
          <w:rFonts w:ascii="Traditional Arabic" w:eastAsia="Calibri" w:hAnsi="Traditional Arabic" w:cs="Traditional Arabic" w:hint="cs"/>
          <w:b/>
          <w:bCs/>
          <w:sz w:val="24"/>
          <w:szCs w:val="24"/>
          <w:rtl/>
          <w:lang w:bidi="ar-EG"/>
        </w:rPr>
        <w:t xml:space="preserve"> مؤشرات جودة المطابقة للنموذج الهيكلي للفرض الرابع (ن= 389).</w:t>
      </w:r>
    </w:p>
    <w:tbl>
      <w:tblPr>
        <w:tblStyle w:val="TableGrid"/>
        <w:bidiVisual/>
        <w:tblW w:w="0" w:type="auto"/>
        <w:tblLook w:val="04A0" w:firstRow="1" w:lastRow="0" w:firstColumn="1" w:lastColumn="0" w:noHBand="0" w:noVBand="1"/>
      </w:tblPr>
      <w:tblGrid>
        <w:gridCol w:w="2074"/>
        <w:gridCol w:w="2074"/>
        <w:gridCol w:w="2074"/>
        <w:gridCol w:w="2074"/>
      </w:tblGrid>
      <w:tr w:rsidR="00FE35CB" w:rsidRPr="009C5CCF" w14:paraId="587C2B67" w14:textId="77777777" w:rsidTr="009C5CCF">
        <w:tc>
          <w:tcPr>
            <w:tcW w:w="2074" w:type="dxa"/>
            <w:shd w:val="clear" w:color="auto" w:fill="E5DFEC" w:themeFill="accent4" w:themeFillTint="33"/>
          </w:tcPr>
          <w:p w14:paraId="05558F0C" w14:textId="09075FF5" w:rsidR="00FE35CB" w:rsidRPr="009C5CCF" w:rsidRDefault="00FE35CB" w:rsidP="009C5CCF">
            <w:pPr>
              <w:bidi/>
              <w:spacing w:after="200" w:line="360" w:lineRule="auto"/>
              <w:contextualSpacing/>
              <w:jc w:val="center"/>
              <w:rPr>
                <w:rFonts w:ascii="Traditional Arabic" w:eastAsia="Calibri" w:hAnsi="Traditional Arabic" w:cs="Traditional Arabic"/>
                <w:b/>
                <w:bCs/>
                <w:sz w:val="24"/>
                <w:szCs w:val="24"/>
                <w:rtl/>
                <w:lang w:bidi="ar-EG"/>
              </w:rPr>
            </w:pPr>
            <w:r w:rsidRPr="009C5CCF">
              <w:rPr>
                <w:rFonts w:ascii="Traditional Arabic" w:eastAsia="Calibri" w:hAnsi="Traditional Arabic" w:cs="Traditional Arabic" w:hint="cs"/>
                <w:b/>
                <w:bCs/>
                <w:sz w:val="24"/>
                <w:szCs w:val="24"/>
                <w:rtl/>
                <w:lang w:bidi="ar-EG"/>
              </w:rPr>
              <w:t>المؤشر الإحصائي</w:t>
            </w:r>
          </w:p>
        </w:tc>
        <w:tc>
          <w:tcPr>
            <w:tcW w:w="2074" w:type="dxa"/>
            <w:shd w:val="clear" w:color="auto" w:fill="E5DFEC" w:themeFill="accent4" w:themeFillTint="33"/>
          </w:tcPr>
          <w:p w14:paraId="3E5D736F" w14:textId="1D6C2981" w:rsidR="00FE35CB" w:rsidRPr="009C5CCF" w:rsidRDefault="00FE35CB" w:rsidP="009C5CCF">
            <w:pPr>
              <w:bidi/>
              <w:spacing w:after="200" w:line="360" w:lineRule="auto"/>
              <w:contextualSpacing/>
              <w:jc w:val="center"/>
              <w:rPr>
                <w:rFonts w:ascii="Traditional Arabic" w:eastAsia="Calibri" w:hAnsi="Traditional Arabic" w:cs="Traditional Arabic"/>
                <w:b/>
                <w:bCs/>
                <w:sz w:val="24"/>
                <w:szCs w:val="24"/>
                <w:rtl/>
                <w:lang w:bidi="ar-EG"/>
              </w:rPr>
            </w:pPr>
            <w:r w:rsidRPr="009C5CCF">
              <w:rPr>
                <w:rFonts w:ascii="Traditional Arabic" w:eastAsia="Calibri" w:hAnsi="Traditional Arabic" w:cs="Traditional Arabic" w:hint="cs"/>
                <w:b/>
                <w:bCs/>
                <w:sz w:val="24"/>
                <w:szCs w:val="24"/>
                <w:rtl/>
                <w:lang w:bidi="ar-EG"/>
              </w:rPr>
              <w:t>القيمة المرجعية المقبولة</w:t>
            </w:r>
          </w:p>
        </w:tc>
        <w:tc>
          <w:tcPr>
            <w:tcW w:w="2074" w:type="dxa"/>
            <w:shd w:val="clear" w:color="auto" w:fill="E5DFEC" w:themeFill="accent4" w:themeFillTint="33"/>
          </w:tcPr>
          <w:p w14:paraId="22224C62" w14:textId="593DDCC4" w:rsidR="00FE35CB" w:rsidRPr="009C5CCF" w:rsidRDefault="00FE35CB" w:rsidP="009C5CCF">
            <w:pPr>
              <w:bidi/>
              <w:spacing w:after="200" w:line="360" w:lineRule="auto"/>
              <w:contextualSpacing/>
              <w:jc w:val="center"/>
              <w:rPr>
                <w:rFonts w:ascii="Traditional Arabic" w:eastAsia="Calibri" w:hAnsi="Traditional Arabic" w:cs="Traditional Arabic"/>
                <w:b/>
                <w:bCs/>
                <w:sz w:val="24"/>
                <w:szCs w:val="24"/>
                <w:rtl/>
                <w:lang w:bidi="ar-EG"/>
              </w:rPr>
            </w:pPr>
            <w:r w:rsidRPr="009C5CCF">
              <w:rPr>
                <w:rFonts w:ascii="Traditional Arabic" w:eastAsia="Calibri" w:hAnsi="Traditional Arabic" w:cs="Traditional Arabic" w:hint="cs"/>
                <w:b/>
                <w:bCs/>
                <w:sz w:val="24"/>
                <w:szCs w:val="24"/>
                <w:rtl/>
                <w:lang w:bidi="ar-EG"/>
              </w:rPr>
              <w:t>قيمة النموذج (الفرضية الرابعة)</w:t>
            </w:r>
          </w:p>
        </w:tc>
        <w:tc>
          <w:tcPr>
            <w:tcW w:w="2074" w:type="dxa"/>
            <w:shd w:val="clear" w:color="auto" w:fill="E5DFEC" w:themeFill="accent4" w:themeFillTint="33"/>
          </w:tcPr>
          <w:p w14:paraId="18D90406" w14:textId="6490989E" w:rsidR="00FE35CB" w:rsidRPr="009C5CCF" w:rsidRDefault="00FE35CB" w:rsidP="009C5CCF">
            <w:pPr>
              <w:bidi/>
              <w:spacing w:after="200" w:line="360" w:lineRule="auto"/>
              <w:contextualSpacing/>
              <w:jc w:val="center"/>
              <w:rPr>
                <w:rFonts w:ascii="Traditional Arabic" w:eastAsia="Calibri" w:hAnsi="Traditional Arabic" w:cs="Traditional Arabic"/>
                <w:b/>
                <w:bCs/>
                <w:sz w:val="24"/>
                <w:szCs w:val="24"/>
                <w:rtl/>
                <w:lang w:bidi="ar-EG"/>
              </w:rPr>
            </w:pPr>
            <w:r w:rsidRPr="009C5CCF">
              <w:rPr>
                <w:rFonts w:ascii="Traditional Arabic" w:eastAsia="Calibri" w:hAnsi="Traditional Arabic" w:cs="Traditional Arabic" w:hint="cs"/>
                <w:b/>
                <w:bCs/>
                <w:sz w:val="24"/>
                <w:szCs w:val="24"/>
                <w:rtl/>
                <w:lang w:bidi="ar-EG"/>
              </w:rPr>
              <w:t>المطابقة</w:t>
            </w:r>
          </w:p>
        </w:tc>
      </w:tr>
      <w:tr w:rsidR="00FE35CB" w14:paraId="1901BB65" w14:textId="77777777" w:rsidTr="00FE35CB">
        <w:tc>
          <w:tcPr>
            <w:tcW w:w="2074" w:type="dxa"/>
          </w:tcPr>
          <w:p w14:paraId="2E99E45D" w14:textId="6F8459C0" w:rsidR="00FE35CB" w:rsidRDefault="00FE35CB" w:rsidP="00FE35CB">
            <w:pPr>
              <w:bidi/>
              <w:spacing w:after="200" w:line="360" w:lineRule="auto"/>
              <w:contextualSpacing/>
              <w:jc w:val="both"/>
              <w:rPr>
                <w:rFonts w:ascii="Traditional Arabic" w:eastAsia="Calibri" w:hAnsi="Traditional Arabic" w:cs="Traditional Arabic"/>
                <w:sz w:val="24"/>
                <w:szCs w:val="24"/>
                <w:rtl/>
                <w:lang w:bidi="ar-EG"/>
              </w:rPr>
            </w:pPr>
            <w:r w:rsidRPr="00FE35CB">
              <w:rPr>
                <w:rFonts w:ascii="Traditional Arabic" w:eastAsia="Calibri" w:hAnsi="Traditional Arabic" w:cs="Traditional Arabic"/>
                <w:sz w:val="24"/>
                <w:szCs w:val="24"/>
                <w:lang w:bidi="ar-EG"/>
              </w:rPr>
              <w:t>CMIN/DF</w:t>
            </w:r>
          </w:p>
        </w:tc>
        <w:tc>
          <w:tcPr>
            <w:tcW w:w="2074" w:type="dxa"/>
          </w:tcPr>
          <w:p w14:paraId="60DA845F" w14:textId="0E13FBBF"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Cambria Math" w:eastAsia="Calibri" w:hAnsi="Cambria Math" w:cs="Cambria Math"/>
                <w:sz w:val="24"/>
                <w:szCs w:val="24"/>
                <w:lang w:bidi="ar-EG"/>
              </w:rPr>
              <w:t>≤</w:t>
            </w:r>
            <w:r w:rsidRPr="009C5CCF">
              <w:rPr>
                <w:rFonts w:ascii="Traditional Arabic" w:eastAsia="Calibri" w:hAnsi="Traditional Arabic" w:cs="Traditional Arabic"/>
                <w:sz w:val="24"/>
                <w:szCs w:val="24"/>
                <w:lang w:bidi="ar-EG"/>
              </w:rPr>
              <w:t xml:space="preserve"> 3 </w:t>
            </w:r>
            <w:r w:rsidRPr="009C5CCF">
              <w:rPr>
                <w:rFonts w:ascii="Traditional Arabic" w:eastAsia="Calibri" w:hAnsi="Traditional Arabic" w:cs="Traditional Arabic"/>
                <w:sz w:val="24"/>
                <w:szCs w:val="24"/>
                <w:rtl/>
              </w:rPr>
              <w:t xml:space="preserve">إلى </w:t>
            </w:r>
            <w:r>
              <w:rPr>
                <w:rFonts w:ascii="Traditional Arabic" w:eastAsia="Calibri" w:hAnsi="Traditional Arabic" w:cs="Traditional Arabic"/>
                <w:sz w:val="24"/>
                <w:szCs w:val="24"/>
              </w:rPr>
              <w:t>5</w:t>
            </w:r>
          </w:p>
        </w:tc>
        <w:tc>
          <w:tcPr>
            <w:tcW w:w="2074" w:type="dxa"/>
          </w:tcPr>
          <w:p w14:paraId="3A152061" w14:textId="63BEBA75"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2.143</w:t>
            </w:r>
          </w:p>
        </w:tc>
        <w:tc>
          <w:tcPr>
            <w:tcW w:w="2074" w:type="dxa"/>
          </w:tcPr>
          <w:p w14:paraId="57880A58" w14:textId="5596FB43" w:rsidR="00FE35CB" w:rsidRDefault="009C5CCF" w:rsidP="009C5CCF">
            <w:pPr>
              <w:bidi/>
              <w:spacing w:after="200" w:line="360" w:lineRule="auto"/>
              <w:contextualSpacing/>
              <w:jc w:val="center"/>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rtl/>
              </w:rPr>
              <w:t>مطابقة ممتازة (أقل من 3)</w:t>
            </w:r>
          </w:p>
        </w:tc>
      </w:tr>
      <w:tr w:rsidR="00FE35CB" w14:paraId="5522CE12" w14:textId="77777777" w:rsidTr="00FE35CB">
        <w:tc>
          <w:tcPr>
            <w:tcW w:w="2074" w:type="dxa"/>
          </w:tcPr>
          <w:p w14:paraId="727EDAF8" w14:textId="5DF948D0" w:rsidR="00FE35CB" w:rsidRDefault="00FE35CB" w:rsidP="00FE35CB">
            <w:pPr>
              <w:bidi/>
              <w:spacing w:after="200" w:line="360" w:lineRule="auto"/>
              <w:contextualSpacing/>
              <w:jc w:val="both"/>
              <w:rPr>
                <w:rFonts w:ascii="Traditional Arabic" w:eastAsia="Calibri" w:hAnsi="Traditional Arabic" w:cs="Traditional Arabic"/>
                <w:sz w:val="24"/>
                <w:szCs w:val="24"/>
                <w:rtl/>
                <w:lang w:bidi="ar-EG"/>
              </w:rPr>
            </w:pPr>
            <w:r w:rsidRPr="00FE35CB">
              <w:rPr>
                <w:rFonts w:ascii="Traditional Arabic" w:eastAsia="Calibri" w:hAnsi="Traditional Arabic" w:cs="Traditional Arabic"/>
                <w:b/>
                <w:bCs/>
                <w:sz w:val="24"/>
                <w:szCs w:val="24"/>
                <w:lang w:bidi="ar-EG"/>
              </w:rPr>
              <w:t>CFI</w:t>
            </w:r>
          </w:p>
        </w:tc>
        <w:tc>
          <w:tcPr>
            <w:tcW w:w="2074" w:type="dxa"/>
          </w:tcPr>
          <w:p w14:paraId="07A34EAA" w14:textId="40E7EF68"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Cambria Math" w:eastAsia="Calibri" w:hAnsi="Cambria Math" w:cs="Cambria Math"/>
                <w:sz w:val="24"/>
                <w:szCs w:val="24"/>
                <w:lang w:bidi="ar-EG"/>
              </w:rPr>
              <w:t>≥</w:t>
            </w:r>
            <w:r w:rsidRPr="009C5CCF">
              <w:rPr>
                <w:rFonts w:ascii="Traditional Arabic" w:eastAsia="Calibri" w:hAnsi="Traditional Arabic" w:cs="Traditional Arabic"/>
                <w:sz w:val="24"/>
                <w:szCs w:val="24"/>
                <w:lang w:bidi="ar-EG"/>
              </w:rPr>
              <w:t xml:space="preserve"> 0.90</w:t>
            </w:r>
          </w:p>
        </w:tc>
        <w:tc>
          <w:tcPr>
            <w:tcW w:w="2074" w:type="dxa"/>
          </w:tcPr>
          <w:p w14:paraId="1F0D78E5" w14:textId="4423D764" w:rsidR="00FE35CB" w:rsidRDefault="009C5CCF" w:rsidP="009C5CCF">
            <w:pPr>
              <w:tabs>
                <w:tab w:val="left" w:pos="487"/>
              </w:tabs>
              <w:bidi/>
              <w:spacing w:after="200" w:line="360" w:lineRule="auto"/>
              <w:contextualSpacing/>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0.968</w:t>
            </w:r>
          </w:p>
        </w:tc>
        <w:tc>
          <w:tcPr>
            <w:tcW w:w="2074" w:type="dxa"/>
          </w:tcPr>
          <w:p w14:paraId="62E3B850" w14:textId="5BEBE231" w:rsidR="00FE35CB" w:rsidRDefault="009C5CCF" w:rsidP="009C5CCF">
            <w:pPr>
              <w:bidi/>
              <w:spacing w:after="200" w:line="360" w:lineRule="auto"/>
              <w:contextualSpacing/>
              <w:jc w:val="center"/>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rtl/>
              </w:rPr>
              <w:t>مطابقة ممتازة (أعلى من 0.95)</w:t>
            </w:r>
          </w:p>
        </w:tc>
      </w:tr>
      <w:tr w:rsidR="00FE35CB" w14:paraId="55183E03" w14:textId="77777777" w:rsidTr="00FE35CB">
        <w:tc>
          <w:tcPr>
            <w:tcW w:w="2074" w:type="dxa"/>
          </w:tcPr>
          <w:p w14:paraId="33486FCB" w14:textId="24235CC3"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b/>
                <w:bCs/>
                <w:sz w:val="24"/>
                <w:szCs w:val="24"/>
                <w:lang w:bidi="ar-EG"/>
              </w:rPr>
              <w:lastRenderedPageBreak/>
              <w:t>IFI</w:t>
            </w:r>
          </w:p>
        </w:tc>
        <w:tc>
          <w:tcPr>
            <w:tcW w:w="2074" w:type="dxa"/>
          </w:tcPr>
          <w:p w14:paraId="7CF57DC2" w14:textId="30C07BB3"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Cambria Math" w:eastAsia="Calibri" w:hAnsi="Cambria Math" w:cs="Cambria Math"/>
                <w:sz w:val="24"/>
                <w:szCs w:val="24"/>
                <w:lang w:bidi="ar-EG"/>
              </w:rPr>
              <w:t>≥</w:t>
            </w:r>
            <w:r w:rsidRPr="009C5CCF">
              <w:rPr>
                <w:rFonts w:ascii="Traditional Arabic" w:eastAsia="Calibri" w:hAnsi="Traditional Arabic" w:cs="Traditional Arabic"/>
                <w:sz w:val="24"/>
                <w:szCs w:val="24"/>
                <w:lang w:bidi="ar-EG"/>
              </w:rPr>
              <w:t xml:space="preserve"> 0.90</w:t>
            </w:r>
          </w:p>
        </w:tc>
        <w:tc>
          <w:tcPr>
            <w:tcW w:w="2074" w:type="dxa"/>
          </w:tcPr>
          <w:p w14:paraId="70E67276" w14:textId="3A37EEC8"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0.969</w:t>
            </w:r>
          </w:p>
        </w:tc>
        <w:tc>
          <w:tcPr>
            <w:tcW w:w="2074" w:type="dxa"/>
          </w:tcPr>
          <w:p w14:paraId="53C203CA" w14:textId="6DBF1B44" w:rsidR="00FE35CB" w:rsidRDefault="009C5CCF" w:rsidP="009C5CCF">
            <w:pPr>
              <w:bidi/>
              <w:spacing w:after="200" w:line="360" w:lineRule="auto"/>
              <w:contextualSpacing/>
              <w:jc w:val="center"/>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rtl/>
              </w:rPr>
              <w:t>مطابقة ممتازة (أعلى من 0.95)</w:t>
            </w:r>
          </w:p>
        </w:tc>
      </w:tr>
      <w:tr w:rsidR="00FE35CB" w14:paraId="29E1320C" w14:textId="77777777" w:rsidTr="00FE35CB">
        <w:tc>
          <w:tcPr>
            <w:tcW w:w="2074" w:type="dxa"/>
          </w:tcPr>
          <w:p w14:paraId="1E0FECEE" w14:textId="3A731AA2"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b/>
                <w:bCs/>
                <w:sz w:val="24"/>
                <w:szCs w:val="24"/>
                <w:lang w:bidi="ar-EG"/>
              </w:rPr>
              <w:t>NFI</w:t>
            </w:r>
          </w:p>
        </w:tc>
        <w:tc>
          <w:tcPr>
            <w:tcW w:w="2074" w:type="dxa"/>
          </w:tcPr>
          <w:p w14:paraId="64013941" w14:textId="26F10D8D"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Cambria Math" w:eastAsia="Calibri" w:hAnsi="Cambria Math" w:cs="Cambria Math"/>
                <w:sz w:val="24"/>
                <w:szCs w:val="24"/>
                <w:lang w:bidi="ar-EG"/>
              </w:rPr>
              <w:t>≥</w:t>
            </w:r>
            <w:r w:rsidRPr="009C5CCF">
              <w:rPr>
                <w:rFonts w:ascii="Traditional Arabic" w:eastAsia="Calibri" w:hAnsi="Traditional Arabic" w:cs="Traditional Arabic"/>
                <w:sz w:val="24"/>
                <w:szCs w:val="24"/>
                <w:lang w:bidi="ar-EG"/>
              </w:rPr>
              <w:t xml:space="preserve"> 0.90</w:t>
            </w:r>
          </w:p>
        </w:tc>
        <w:tc>
          <w:tcPr>
            <w:tcW w:w="2074" w:type="dxa"/>
          </w:tcPr>
          <w:p w14:paraId="1DFE67CE" w14:textId="5334A695"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0.945</w:t>
            </w:r>
          </w:p>
        </w:tc>
        <w:tc>
          <w:tcPr>
            <w:tcW w:w="2074" w:type="dxa"/>
          </w:tcPr>
          <w:p w14:paraId="43E1009C" w14:textId="046A8EF7" w:rsidR="00FE35CB" w:rsidRDefault="009C5CCF" w:rsidP="009C5CCF">
            <w:pPr>
              <w:bidi/>
              <w:spacing w:after="200" w:line="360" w:lineRule="auto"/>
              <w:contextualSpacing/>
              <w:jc w:val="center"/>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rtl/>
              </w:rPr>
              <w:t>مطابقة جيدة جداً</w:t>
            </w:r>
          </w:p>
        </w:tc>
      </w:tr>
      <w:tr w:rsidR="00FE35CB" w14:paraId="1CBDCBDB" w14:textId="77777777" w:rsidTr="00FE35CB">
        <w:tc>
          <w:tcPr>
            <w:tcW w:w="2074" w:type="dxa"/>
          </w:tcPr>
          <w:p w14:paraId="3F49B3E0" w14:textId="0137F5D9"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b/>
                <w:bCs/>
                <w:sz w:val="24"/>
                <w:szCs w:val="24"/>
                <w:lang w:bidi="ar-EG"/>
              </w:rPr>
              <w:t>RMSEA</w:t>
            </w:r>
          </w:p>
        </w:tc>
        <w:tc>
          <w:tcPr>
            <w:tcW w:w="2074" w:type="dxa"/>
          </w:tcPr>
          <w:p w14:paraId="09867717" w14:textId="0C710C7B"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&lt; 0.08</w:t>
            </w:r>
          </w:p>
        </w:tc>
        <w:tc>
          <w:tcPr>
            <w:tcW w:w="2074" w:type="dxa"/>
          </w:tcPr>
          <w:p w14:paraId="06935140" w14:textId="60033FA3" w:rsidR="00FE35CB" w:rsidRDefault="009C5CCF" w:rsidP="009C5CCF">
            <w:pPr>
              <w:bidi/>
              <w:spacing w:after="200" w:line="360" w:lineRule="auto"/>
              <w:contextualSpacing/>
              <w:jc w:val="both"/>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lang w:bidi="ar-EG"/>
              </w:rPr>
              <w:t>0.054</w:t>
            </w:r>
          </w:p>
        </w:tc>
        <w:tc>
          <w:tcPr>
            <w:tcW w:w="2074" w:type="dxa"/>
          </w:tcPr>
          <w:p w14:paraId="5CA0B7F3" w14:textId="6B85FA91" w:rsidR="00FE35CB" w:rsidRDefault="009C5CCF" w:rsidP="009C5CCF">
            <w:pPr>
              <w:bidi/>
              <w:spacing w:after="200" w:line="360" w:lineRule="auto"/>
              <w:contextualSpacing/>
              <w:jc w:val="center"/>
              <w:rPr>
                <w:rFonts w:ascii="Traditional Arabic" w:eastAsia="Calibri" w:hAnsi="Traditional Arabic" w:cs="Traditional Arabic"/>
                <w:sz w:val="24"/>
                <w:szCs w:val="24"/>
                <w:rtl/>
                <w:lang w:bidi="ar-EG"/>
              </w:rPr>
            </w:pPr>
            <w:r w:rsidRPr="009C5CCF">
              <w:rPr>
                <w:rFonts w:ascii="Traditional Arabic" w:eastAsia="Calibri" w:hAnsi="Traditional Arabic" w:cs="Traditional Arabic"/>
                <w:sz w:val="24"/>
                <w:szCs w:val="24"/>
                <w:rtl/>
              </w:rPr>
              <w:t>مطابقة ممتازة (مؤشر خطأ منخفض)</w:t>
            </w:r>
          </w:p>
        </w:tc>
      </w:tr>
    </w:tbl>
    <w:p w14:paraId="01E8194B" w14:textId="5E671D8C" w:rsidR="00A54569" w:rsidRDefault="00A54569" w:rsidP="00A54569">
      <w:pPr>
        <w:bidi/>
        <w:spacing w:after="200" w:line="360" w:lineRule="auto"/>
        <w:contextualSpacing/>
        <w:jc w:val="right"/>
        <w:rPr>
          <w:rFonts w:ascii="Traditional Arabic" w:eastAsia="Calibri" w:hAnsi="Traditional Arabic" w:cs="Traditional Arabic"/>
          <w:sz w:val="24"/>
          <w:szCs w:val="24"/>
          <w:rtl/>
          <w:lang w:bidi="ar-EG"/>
        </w:rPr>
      </w:pPr>
      <w:r w:rsidRPr="00A54569">
        <w:rPr>
          <w:rFonts w:ascii="Traditional Arabic" w:eastAsia="Calibri" w:hAnsi="Traditional Arabic" w:cs="Traditional Arabic" w:hint="cs"/>
          <w:b/>
          <w:bCs/>
          <w:sz w:val="24"/>
          <w:szCs w:val="24"/>
          <w:rtl/>
          <w:lang w:bidi="ar-EG"/>
        </w:rPr>
        <w:t>المصدر</w:t>
      </w:r>
      <w:r>
        <w:rPr>
          <w:rFonts w:ascii="Traditional Arabic" w:eastAsia="Calibri" w:hAnsi="Traditional Arabic" w:cs="Traditional Arabic" w:hint="cs"/>
          <w:sz w:val="24"/>
          <w:szCs w:val="24"/>
          <w:rtl/>
          <w:lang w:bidi="ar-EG"/>
        </w:rPr>
        <w:t xml:space="preserve"> الباحثة من بيانات الدراسة الميدانية بإستخدام برنامج </w:t>
      </w:r>
      <w:r>
        <w:rPr>
          <w:rFonts w:ascii="Traditional Arabic" w:eastAsia="Calibri" w:hAnsi="Traditional Arabic" w:cs="Traditional Arabic"/>
          <w:sz w:val="24"/>
          <w:szCs w:val="24"/>
          <w:lang w:bidi="ar-EG"/>
        </w:rPr>
        <w:t>AMOS, 2025</w:t>
      </w:r>
    </w:p>
    <w:p w14:paraId="2E2F6FED" w14:textId="220A583E" w:rsidR="009C5CCF" w:rsidRDefault="009C5CCF" w:rsidP="00A54569">
      <w:pPr>
        <w:bidi/>
        <w:spacing w:after="200" w:line="360" w:lineRule="auto"/>
        <w:contextualSpacing/>
        <w:jc w:val="both"/>
        <w:rPr>
          <w:rFonts w:ascii="Traditional Arabic" w:eastAsia="Calibri" w:hAnsi="Traditional Arabic" w:cs="Traditional Arabic"/>
          <w:sz w:val="24"/>
          <w:szCs w:val="24"/>
          <w:rtl/>
        </w:rPr>
      </w:pPr>
      <w:r w:rsidRPr="009C5CCF">
        <w:rPr>
          <w:rFonts w:ascii="Traditional Arabic" w:eastAsia="Calibri" w:hAnsi="Traditional Arabic" w:cs="Traditional Arabic"/>
          <w:sz w:val="24"/>
          <w:szCs w:val="24"/>
          <w:rtl/>
        </w:rPr>
        <w:t xml:space="preserve">بعد التحقق من العلاقات السببية المباشرة للفرضيات الثلاث الأولى باستخدام أسلوب الانحدار البسيط، </w:t>
      </w:r>
      <w:r>
        <w:rPr>
          <w:rFonts w:ascii="Traditional Arabic" w:eastAsia="Calibri" w:hAnsi="Traditional Arabic" w:cs="Traditional Arabic" w:hint="cs"/>
          <w:sz w:val="24"/>
          <w:szCs w:val="24"/>
          <w:rtl/>
          <w:lang w:bidi="ar-EG"/>
        </w:rPr>
        <w:t>انتقلت</w:t>
      </w:r>
      <w:r w:rsidRPr="009C5CCF">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الباحثة</w:t>
      </w:r>
      <w:r w:rsidRPr="009C5CCF">
        <w:rPr>
          <w:rFonts w:ascii="Traditional Arabic" w:eastAsia="Calibri" w:hAnsi="Traditional Arabic" w:cs="Traditional Arabic"/>
          <w:sz w:val="24"/>
          <w:szCs w:val="24"/>
          <w:rtl/>
        </w:rPr>
        <w:t xml:space="preserve"> لاختبار الفرضية الرابعة الرئيسية المتعلقة بالأثر غير المباشر (الوساطة) باستخدام نمذجة المعادلات الهيكلية</w:t>
      </w:r>
      <w:r w:rsidRPr="009C5CCF">
        <w:rPr>
          <w:rFonts w:ascii="Traditional Arabic" w:eastAsia="Calibri" w:hAnsi="Traditional Arabic" w:cs="Traditional Arabic"/>
          <w:sz w:val="24"/>
          <w:szCs w:val="24"/>
          <w:lang w:bidi="ar-EG"/>
        </w:rPr>
        <w:t xml:space="preserve"> (SEM) </w:t>
      </w:r>
      <w:r w:rsidRPr="009C5CCF">
        <w:rPr>
          <w:rFonts w:ascii="Traditional Arabic" w:eastAsia="Calibri" w:hAnsi="Traditional Arabic" w:cs="Traditional Arabic"/>
          <w:sz w:val="24"/>
          <w:szCs w:val="24"/>
          <w:rtl/>
        </w:rPr>
        <w:t>عبر برنامج</w:t>
      </w:r>
      <w:r w:rsidRPr="009C5CCF">
        <w:rPr>
          <w:rFonts w:ascii="Traditional Arabic" w:eastAsia="Calibri" w:hAnsi="Traditional Arabic" w:cs="Traditional Arabic"/>
          <w:sz w:val="24"/>
          <w:szCs w:val="24"/>
          <w:lang w:bidi="ar-EG"/>
        </w:rPr>
        <w:t xml:space="preserve"> AMOS</w:t>
      </w:r>
      <w:r w:rsidRPr="009C5CCF">
        <w:rPr>
          <w:rFonts w:ascii="Traditional Arabic" w:eastAsia="Calibri" w:hAnsi="Traditional Arabic" w:cs="Traditional Arabic"/>
          <w:sz w:val="24"/>
          <w:szCs w:val="24"/>
          <w:rtl/>
        </w:rPr>
        <w:t>، نظراً لقدرة هذا الأسلوب على معالجة النماذج المعقدة وحساب الأثر الوسيط بشكل متزامن. ويستعرض الجدول أعلاه مؤشرات جودة المطابقة للنموذج الهيكلي الكامل، حيث يتضح أن النموذج حقق مطابقة ممتازة وقوية تتوافق مع المعايير الإحصائية الصارمة؛ إذ بلغت قيمة</w:t>
      </w:r>
      <w:r w:rsidRPr="009C5CCF">
        <w:rPr>
          <w:rFonts w:ascii="Traditional Arabic" w:eastAsia="Calibri" w:hAnsi="Traditional Arabic" w:cs="Traditional Arabic"/>
          <w:sz w:val="24"/>
          <w:szCs w:val="24"/>
          <w:lang w:bidi="ar-EG"/>
        </w:rPr>
        <w:t xml:space="preserve"> (CMIN/DF) </w:t>
      </w:r>
      <w:r w:rsidRPr="009C5CCF">
        <w:rPr>
          <w:rFonts w:ascii="Traditional Arabic" w:eastAsia="Calibri" w:hAnsi="Traditional Arabic" w:cs="Traditional Arabic"/>
          <w:sz w:val="24"/>
          <w:szCs w:val="24"/>
          <w:rtl/>
        </w:rPr>
        <w:t>حوالي (2.143) وهي أقل من (3)، وسجلت مؤشرات التوافق</w:t>
      </w:r>
      <w:r w:rsidRPr="009C5CCF">
        <w:rPr>
          <w:rFonts w:ascii="Traditional Arabic" w:eastAsia="Calibri" w:hAnsi="Traditional Arabic" w:cs="Traditional Arabic"/>
          <w:sz w:val="24"/>
          <w:szCs w:val="24"/>
          <w:lang w:bidi="ar-EG"/>
        </w:rPr>
        <w:t xml:space="preserve"> (CFI, IFI) </w:t>
      </w:r>
      <w:r w:rsidRPr="009C5CCF">
        <w:rPr>
          <w:rFonts w:ascii="Traditional Arabic" w:eastAsia="Calibri" w:hAnsi="Traditional Arabic" w:cs="Traditional Arabic"/>
          <w:sz w:val="24"/>
          <w:szCs w:val="24"/>
          <w:rtl/>
        </w:rPr>
        <w:t>قيماً مرتفعة تتجاوز (0.95)، مع انخفاض مؤشر الخطأ</w:t>
      </w:r>
      <w:r w:rsidRPr="009C5CCF">
        <w:rPr>
          <w:rFonts w:ascii="Traditional Arabic" w:eastAsia="Calibri" w:hAnsi="Traditional Arabic" w:cs="Traditional Arabic"/>
          <w:sz w:val="24"/>
          <w:szCs w:val="24"/>
          <w:lang w:bidi="ar-EG"/>
        </w:rPr>
        <w:t xml:space="preserve"> (RMSEA) </w:t>
      </w:r>
      <w:r w:rsidRPr="009C5CCF">
        <w:rPr>
          <w:rFonts w:ascii="Traditional Arabic" w:eastAsia="Calibri" w:hAnsi="Traditional Arabic" w:cs="Traditional Arabic"/>
          <w:sz w:val="24"/>
          <w:szCs w:val="24"/>
          <w:rtl/>
        </w:rPr>
        <w:t xml:space="preserve">إلى (0.054)، مما يثبت كفاءة وصلاحية النموذج تماماً للانتقال إلى خطوة اختبار الأثر غير المباشر </w:t>
      </w:r>
      <w:r>
        <w:rPr>
          <w:rFonts w:ascii="Traditional Arabic" w:eastAsia="Calibri" w:hAnsi="Traditional Arabic" w:cs="Traditional Arabic" w:hint="cs"/>
          <w:sz w:val="24"/>
          <w:szCs w:val="24"/>
          <w:rtl/>
        </w:rPr>
        <w:t>للدراسة</w:t>
      </w:r>
      <w:r w:rsidRPr="009C5CCF">
        <w:rPr>
          <w:rFonts w:ascii="Traditional Arabic" w:eastAsia="Calibri" w:hAnsi="Traditional Arabic" w:cs="Traditional Arabic"/>
          <w:sz w:val="24"/>
          <w:szCs w:val="24"/>
          <w:rtl/>
        </w:rPr>
        <w:t xml:space="preserve"> الحالية</w:t>
      </w:r>
      <w:r>
        <w:rPr>
          <w:rFonts w:ascii="Traditional Arabic" w:eastAsia="Calibri" w:hAnsi="Traditional Arabic" w:cs="Traditional Arabic" w:hint="cs"/>
          <w:sz w:val="24"/>
          <w:szCs w:val="24"/>
          <w:rtl/>
        </w:rPr>
        <w:t>.</w:t>
      </w:r>
    </w:p>
    <w:p w14:paraId="34DD973F" w14:textId="68C5CD6B" w:rsidR="000E69F2" w:rsidRPr="000E69F2" w:rsidRDefault="000E69F2" w:rsidP="000E69F2">
      <w:pPr>
        <w:bidi/>
        <w:spacing w:after="200" w:line="360" w:lineRule="auto"/>
        <w:contextualSpacing/>
        <w:jc w:val="both"/>
        <w:rPr>
          <w:rFonts w:ascii="Traditional Arabic" w:eastAsia="Calibri" w:hAnsi="Traditional Arabic" w:cs="Traditional Arabic"/>
          <w:sz w:val="24"/>
          <w:szCs w:val="24"/>
        </w:rPr>
      </w:pPr>
      <w:r w:rsidRPr="000E69F2">
        <w:rPr>
          <w:rFonts w:ascii="Traditional Arabic" w:eastAsia="Calibri" w:hAnsi="Traditional Arabic" w:cs="Traditional Arabic"/>
          <w:sz w:val="24"/>
          <w:szCs w:val="24"/>
          <w:rtl/>
        </w:rPr>
        <w:t xml:space="preserve">يهدف هذا الجزء من الدراسة إلى اختبار الفرضية الرابعة المتعلقة بدور القيادة التحويلية كمتغير وسيط في العلاقة بين ممارسات إدارة المخاطر وسلامة المرضى. وانطلاقاً من النموذج الهيكلي المقترح، تم </w:t>
      </w:r>
      <w:r>
        <w:rPr>
          <w:rFonts w:ascii="Traditional Arabic" w:eastAsia="Calibri" w:hAnsi="Traditional Arabic" w:cs="Traditional Arabic" w:hint="cs"/>
          <w:sz w:val="24"/>
          <w:szCs w:val="24"/>
          <w:rtl/>
        </w:rPr>
        <w:t>إجراء</w:t>
      </w:r>
      <w:r w:rsidRPr="000E69F2">
        <w:rPr>
          <w:rFonts w:ascii="Traditional Arabic" w:eastAsia="Calibri" w:hAnsi="Traditional Arabic" w:cs="Traditional Arabic"/>
          <w:sz w:val="24"/>
          <w:szCs w:val="24"/>
          <w:rtl/>
        </w:rPr>
        <w:t xml:space="preserve"> تحليل المسارات المباشرة وغير المباشرة باستخدام برنامج </w:t>
      </w:r>
      <w:r w:rsidRPr="000E69F2">
        <w:rPr>
          <w:rFonts w:ascii="Traditional Arabic" w:eastAsia="Calibri" w:hAnsi="Traditional Arabic" w:cs="Traditional Arabic"/>
          <w:b/>
          <w:bCs/>
          <w:sz w:val="24"/>
          <w:szCs w:val="24"/>
        </w:rPr>
        <w:t>AMOS</w:t>
      </w:r>
      <w:r w:rsidRPr="000E69F2">
        <w:rPr>
          <w:rFonts w:ascii="Traditional Arabic" w:eastAsia="Calibri" w:hAnsi="Traditional Arabic" w:cs="Traditional Arabic"/>
          <w:sz w:val="24"/>
          <w:szCs w:val="24"/>
        </w:rPr>
        <w:t xml:space="preserve"> </w:t>
      </w:r>
      <w:r w:rsidRPr="000E69F2">
        <w:rPr>
          <w:rFonts w:ascii="Traditional Arabic" w:eastAsia="Calibri" w:hAnsi="Traditional Arabic" w:cs="Traditional Arabic"/>
          <w:sz w:val="24"/>
          <w:szCs w:val="24"/>
          <w:rtl/>
        </w:rPr>
        <w:t xml:space="preserve">للتحقق من دلالة العلاقات الإحصائية وقوة الأثر المعياري. ويعرض الجدول </w:t>
      </w:r>
      <w:r>
        <w:rPr>
          <w:rFonts w:ascii="Traditional Arabic" w:eastAsia="Calibri" w:hAnsi="Traditional Arabic" w:cs="Traditional Arabic" w:hint="cs"/>
          <w:sz w:val="24"/>
          <w:szCs w:val="24"/>
          <w:rtl/>
        </w:rPr>
        <w:t>التالي</w:t>
      </w:r>
      <w:r w:rsidRPr="000E69F2">
        <w:rPr>
          <w:rFonts w:ascii="Traditional Arabic" w:eastAsia="Calibri" w:hAnsi="Traditional Arabic" w:cs="Traditional Arabic"/>
          <w:sz w:val="24"/>
          <w:szCs w:val="24"/>
          <w:rtl/>
        </w:rPr>
        <w:t xml:space="preserve"> نتائج اختبار الوساطة، موضحاً المسارات الأساسية بين المتغيرات محل الدراسة، ومستوى الدلالة الإحصائية، والأوزان المعيارية، بما يعكس مدى قوة وتأثير كل مسار في تفسير الفرضية الرابعة</w:t>
      </w:r>
      <w:r w:rsidRPr="000E69F2">
        <w:rPr>
          <w:rFonts w:ascii="Traditional Arabic" w:eastAsia="Calibri" w:hAnsi="Traditional Arabic" w:cs="Traditional Arabic"/>
          <w:sz w:val="24"/>
          <w:szCs w:val="24"/>
        </w:rPr>
        <w:t>.</w:t>
      </w:r>
    </w:p>
    <w:p w14:paraId="79BF39D8" w14:textId="305064D6"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Pr>
      </w:pPr>
      <w:r w:rsidRPr="00A54569">
        <w:rPr>
          <w:rFonts w:ascii="Traditional Arabic" w:eastAsia="Calibri" w:hAnsi="Traditional Arabic" w:cs="Traditional Arabic"/>
          <w:b/>
          <w:bCs/>
          <w:sz w:val="24"/>
          <w:szCs w:val="24"/>
          <w:rtl/>
        </w:rPr>
        <w:t xml:space="preserve">جدول رقم ( </w:t>
      </w:r>
      <w:r w:rsidR="002F1B1A">
        <w:rPr>
          <w:rFonts w:ascii="Traditional Arabic" w:eastAsia="Calibri" w:hAnsi="Traditional Arabic" w:cs="Traditional Arabic" w:hint="cs"/>
          <w:b/>
          <w:bCs/>
          <w:sz w:val="24"/>
          <w:szCs w:val="24"/>
          <w:rtl/>
        </w:rPr>
        <w:t>19</w:t>
      </w:r>
      <w:r w:rsidRPr="00A54569">
        <w:rPr>
          <w:rFonts w:ascii="Traditional Arabic" w:eastAsia="Calibri" w:hAnsi="Traditional Arabic" w:cs="Traditional Arabic"/>
          <w:b/>
          <w:bCs/>
          <w:sz w:val="24"/>
          <w:szCs w:val="24"/>
          <w:rtl/>
        </w:rPr>
        <w:t>): اختبار الوساطة للنموذج الهيكلي للفرضية الرابعة (ن = 389)</w:t>
      </w:r>
    </w:p>
    <w:tbl>
      <w:tblPr>
        <w:tblStyle w:val="TableGrid"/>
        <w:bidiVisual/>
        <w:tblW w:w="0" w:type="auto"/>
        <w:tblLook w:val="04A0" w:firstRow="1" w:lastRow="0" w:firstColumn="1" w:lastColumn="0" w:noHBand="0" w:noVBand="1"/>
      </w:tblPr>
      <w:tblGrid>
        <w:gridCol w:w="1382"/>
        <w:gridCol w:w="1382"/>
        <w:gridCol w:w="1383"/>
        <w:gridCol w:w="1383"/>
        <w:gridCol w:w="1383"/>
        <w:gridCol w:w="1383"/>
      </w:tblGrid>
      <w:tr w:rsidR="000E69F2" w:rsidRPr="00A54569" w14:paraId="4744A1DE" w14:textId="77777777" w:rsidTr="00A54569">
        <w:tc>
          <w:tcPr>
            <w:tcW w:w="1382" w:type="dxa"/>
            <w:shd w:val="clear" w:color="auto" w:fill="E5DFEC" w:themeFill="accent4" w:themeFillTint="33"/>
          </w:tcPr>
          <w:p w14:paraId="043D1FFD" w14:textId="4ED8B47F" w:rsidR="000E69F2" w:rsidRPr="00A54569" w:rsidRDefault="000E69F2" w:rsidP="000E69F2">
            <w:pPr>
              <w:bidi/>
              <w:spacing w:after="200" w:line="360" w:lineRule="auto"/>
              <w:contextualSpacing/>
              <w:jc w:val="center"/>
              <w:rPr>
                <w:rFonts w:ascii="Traditional Arabic" w:eastAsia="Calibri" w:hAnsi="Traditional Arabic" w:cs="Traditional Arabic"/>
                <w:b/>
                <w:bCs/>
                <w:sz w:val="24"/>
                <w:szCs w:val="24"/>
                <w:rtl/>
              </w:rPr>
            </w:pPr>
            <w:r w:rsidRPr="00A54569">
              <w:rPr>
                <w:rFonts w:ascii="Traditional Arabic" w:eastAsia="Calibri" w:hAnsi="Traditional Arabic" w:cs="Traditional Arabic"/>
                <w:b/>
                <w:bCs/>
                <w:sz w:val="24"/>
                <w:szCs w:val="24"/>
                <w:rtl/>
              </w:rPr>
              <w:t>المسار</w:t>
            </w:r>
          </w:p>
        </w:tc>
        <w:tc>
          <w:tcPr>
            <w:tcW w:w="1382" w:type="dxa"/>
            <w:shd w:val="clear" w:color="auto" w:fill="E5DFEC" w:themeFill="accent4" w:themeFillTint="33"/>
          </w:tcPr>
          <w:p w14:paraId="3800DD04" w14:textId="1027EAF2"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tl/>
              </w:rPr>
            </w:pPr>
            <w:r w:rsidRPr="00A54569">
              <w:rPr>
                <w:rFonts w:ascii="Traditional Arabic" w:eastAsia="Calibri" w:hAnsi="Traditional Arabic" w:cs="Traditional Arabic" w:hint="cs"/>
                <w:b/>
                <w:bCs/>
                <w:sz w:val="24"/>
                <w:szCs w:val="24"/>
                <w:rtl/>
              </w:rPr>
              <w:t>النوع</w:t>
            </w:r>
          </w:p>
        </w:tc>
        <w:tc>
          <w:tcPr>
            <w:tcW w:w="1383" w:type="dxa"/>
            <w:shd w:val="clear" w:color="auto" w:fill="E5DFEC" w:themeFill="accent4" w:themeFillTint="33"/>
          </w:tcPr>
          <w:p w14:paraId="142BAD76" w14:textId="171DA433"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tl/>
              </w:rPr>
            </w:pPr>
            <w:r w:rsidRPr="00A54569">
              <w:rPr>
                <w:rFonts w:ascii="Traditional Arabic" w:eastAsia="Calibri" w:hAnsi="Traditional Arabic" w:cs="Traditional Arabic" w:hint="cs"/>
                <w:b/>
                <w:bCs/>
                <w:sz w:val="24"/>
                <w:szCs w:val="24"/>
                <w:rtl/>
              </w:rPr>
              <w:t>الدلالة</w:t>
            </w:r>
          </w:p>
        </w:tc>
        <w:tc>
          <w:tcPr>
            <w:tcW w:w="1383" w:type="dxa"/>
            <w:shd w:val="clear" w:color="auto" w:fill="E5DFEC" w:themeFill="accent4" w:themeFillTint="33"/>
          </w:tcPr>
          <w:p w14:paraId="6AAA3486" w14:textId="04350255"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tl/>
              </w:rPr>
            </w:pPr>
            <w:r w:rsidRPr="00A54569">
              <w:rPr>
                <w:rFonts w:ascii="Traditional Arabic" w:eastAsia="Calibri" w:hAnsi="Traditional Arabic" w:cs="Traditional Arabic"/>
                <w:b/>
                <w:bCs/>
                <w:sz w:val="24"/>
                <w:szCs w:val="24"/>
                <w:rtl/>
              </w:rPr>
              <w:t>الوزن المعياري</w:t>
            </w:r>
            <w:r w:rsidRPr="00A54569">
              <w:rPr>
                <w:rFonts w:ascii="Traditional Arabic" w:eastAsia="Calibri" w:hAnsi="Traditional Arabic" w:cs="Traditional Arabic"/>
                <w:b/>
                <w:bCs/>
                <w:sz w:val="24"/>
                <w:szCs w:val="24"/>
              </w:rPr>
              <w:t xml:space="preserve"> (</w:t>
            </w:r>
            <w:r w:rsidRPr="00A54569">
              <w:rPr>
                <w:rFonts w:ascii="Cambria" w:eastAsia="Calibri" w:hAnsi="Cambria" w:cs="Cambria"/>
                <w:b/>
                <w:bCs/>
                <w:sz w:val="24"/>
                <w:szCs w:val="24"/>
              </w:rPr>
              <w:t>β</w:t>
            </w:r>
            <w:r w:rsidRPr="00A54569">
              <w:rPr>
                <w:rFonts w:ascii="Traditional Arabic" w:eastAsia="Calibri" w:hAnsi="Traditional Arabic" w:cs="Traditional Arabic"/>
                <w:b/>
                <w:bCs/>
                <w:sz w:val="24"/>
                <w:szCs w:val="24"/>
              </w:rPr>
              <w:t>)</w:t>
            </w:r>
          </w:p>
        </w:tc>
        <w:tc>
          <w:tcPr>
            <w:tcW w:w="1383" w:type="dxa"/>
            <w:shd w:val="clear" w:color="auto" w:fill="E5DFEC" w:themeFill="accent4" w:themeFillTint="33"/>
          </w:tcPr>
          <w:p w14:paraId="1EADDC69" w14:textId="6E44F99C"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tl/>
              </w:rPr>
            </w:pPr>
            <w:r w:rsidRPr="00A54569">
              <w:rPr>
                <w:rFonts w:ascii="Traditional Arabic" w:eastAsia="Calibri" w:hAnsi="Traditional Arabic" w:cs="Traditional Arabic"/>
                <w:b/>
                <w:bCs/>
                <w:sz w:val="24"/>
                <w:szCs w:val="24"/>
                <w:rtl/>
              </w:rPr>
              <w:t>التقدير</w:t>
            </w:r>
            <w:r w:rsidRPr="00A54569">
              <w:rPr>
                <w:rFonts w:ascii="Traditional Arabic" w:eastAsia="Calibri" w:hAnsi="Traditional Arabic" w:cs="Traditional Arabic"/>
                <w:b/>
                <w:bCs/>
                <w:sz w:val="24"/>
                <w:szCs w:val="24"/>
              </w:rPr>
              <w:t xml:space="preserve"> (Estimate)</w:t>
            </w:r>
          </w:p>
        </w:tc>
        <w:tc>
          <w:tcPr>
            <w:tcW w:w="1383" w:type="dxa"/>
            <w:shd w:val="clear" w:color="auto" w:fill="E5DFEC" w:themeFill="accent4" w:themeFillTint="33"/>
          </w:tcPr>
          <w:p w14:paraId="0EED78EC" w14:textId="21678177" w:rsidR="000E69F2" w:rsidRPr="00A54569" w:rsidRDefault="000E69F2" w:rsidP="000E69F2">
            <w:pPr>
              <w:bidi/>
              <w:spacing w:after="200" w:line="360" w:lineRule="auto"/>
              <w:contextualSpacing/>
              <w:jc w:val="both"/>
              <w:rPr>
                <w:rFonts w:ascii="Traditional Arabic" w:eastAsia="Calibri" w:hAnsi="Traditional Arabic" w:cs="Traditional Arabic"/>
                <w:b/>
                <w:bCs/>
                <w:sz w:val="24"/>
                <w:szCs w:val="24"/>
                <w:rtl/>
              </w:rPr>
            </w:pPr>
            <w:r w:rsidRPr="00A54569">
              <w:rPr>
                <w:rFonts w:ascii="Traditional Arabic" w:eastAsia="Calibri" w:hAnsi="Traditional Arabic" w:cs="Traditional Arabic" w:hint="cs"/>
                <w:b/>
                <w:bCs/>
                <w:sz w:val="24"/>
                <w:szCs w:val="24"/>
                <w:rtl/>
              </w:rPr>
              <w:t>التفسير</w:t>
            </w:r>
          </w:p>
        </w:tc>
      </w:tr>
      <w:tr w:rsidR="000E69F2" w14:paraId="67C9865F" w14:textId="77777777" w:rsidTr="000E69F2">
        <w:tc>
          <w:tcPr>
            <w:tcW w:w="1382" w:type="dxa"/>
          </w:tcPr>
          <w:p w14:paraId="2F029AF7" w14:textId="319E8CA1" w:rsidR="000E69F2" w:rsidRDefault="000E69F2" w:rsidP="000E69F2">
            <w:pPr>
              <w:bidi/>
              <w:spacing w:after="200" w:line="360" w:lineRule="auto"/>
              <w:contextualSpacing/>
              <w:jc w:val="center"/>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t xml:space="preserve">ممارسات إدارة المخاطر </w:t>
            </w:r>
            <w:r w:rsidRPr="000E69F2">
              <w:rPr>
                <w:rFonts w:ascii="Times New Roman" w:eastAsia="Calibri" w:hAnsi="Times New Roman" w:cs="Times New Roman" w:hint="cs"/>
                <w:sz w:val="24"/>
                <w:szCs w:val="24"/>
                <w:rtl/>
              </w:rPr>
              <w:t>←</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سلامة</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المرضى</w:t>
            </w:r>
          </w:p>
        </w:tc>
        <w:tc>
          <w:tcPr>
            <w:tcW w:w="1382" w:type="dxa"/>
          </w:tcPr>
          <w:p w14:paraId="11FFBCFE" w14:textId="2064886C"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مباشر</w:t>
            </w:r>
          </w:p>
        </w:tc>
        <w:tc>
          <w:tcPr>
            <w:tcW w:w="1383" w:type="dxa"/>
          </w:tcPr>
          <w:p w14:paraId="1B0205C9" w14:textId="0AAB9F66"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P &lt; 0.001</w:t>
            </w:r>
          </w:p>
        </w:tc>
        <w:tc>
          <w:tcPr>
            <w:tcW w:w="1383" w:type="dxa"/>
          </w:tcPr>
          <w:p w14:paraId="352CB986" w14:textId="264FB2FB"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0.425</w:t>
            </w:r>
          </w:p>
          <w:p w14:paraId="37A4BB9F" w14:textId="77777777" w:rsidR="000E69F2" w:rsidRPr="000E69F2" w:rsidRDefault="000E69F2" w:rsidP="000E69F2">
            <w:pPr>
              <w:bidi/>
              <w:rPr>
                <w:rFonts w:ascii="Traditional Arabic" w:eastAsia="Calibri" w:hAnsi="Traditional Arabic" w:cs="Traditional Arabic"/>
                <w:sz w:val="24"/>
                <w:szCs w:val="24"/>
                <w:rtl/>
              </w:rPr>
            </w:pPr>
          </w:p>
        </w:tc>
        <w:tc>
          <w:tcPr>
            <w:tcW w:w="1383" w:type="dxa"/>
          </w:tcPr>
          <w:p w14:paraId="45BEA72A" w14:textId="49ACE4A8"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1.000</w:t>
            </w:r>
          </w:p>
        </w:tc>
        <w:tc>
          <w:tcPr>
            <w:tcW w:w="1383" w:type="dxa"/>
          </w:tcPr>
          <w:p w14:paraId="3E1FDF62" w14:textId="297A8370"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t xml:space="preserve">تأثير مباشر قوي </w:t>
            </w:r>
          </w:p>
        </w:tc>
      </w:tr>
      <w:tr w:rsidR="000E69F2" w14:paraId="2159DAE8" w14:textId="77777777" w:rsidTr="000E69F2">
        <w:tc>
          <w:tcPr>
            <w:tcW w:w="1382" w:type="dxa"/>
          </w:tcPr>
          <w:p w14:paraId="3934C733" w14:textId="5E7F913C" w:rsidR="000E69F2" w:rsidRDefault="000E69F2" w:rsidP="000E69F2">
            <w:pPr>
              <w:bidi/>
              <w:spacing w:after="200" w:line="360" w:lineRule="auto"/>
              <w:contextualSpacing/>
              <w:jc w:val="center"/>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t xml:space="preserve">ممارسات إدارة المخاطر </w:t>
            </w:r>
            <w:r w:rsidRPr="000E69F2">
              <w:rPr>
                <w:rFonts w:ascii="Times New Roman" w:eastAsia="Calibri" w:hAnsi="Times New Roman" w:cs="Times New Roman" w:hint="cs"/>
                <w:sz w:val="24"/>
                <w:szCs w:val="24"/>
                <w:rtl/>
              </w:rPr>
              <w:t>←</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القيادة</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التحويلية</w:t>
            </w:r>
          </w:p>
        </w:tc>
        <w:tc>
          <w:tcPr>
            <w:tcW w:w="1382" w:type="dxa"/>
          </w:tcPr>
          <w:p w14:paraId="38CABD74" w14:textId="141A01AC"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مباشر</w:t>
            </w:r>
          </w:p>
        </w:tc>
        <w:tc>
          <w:tcPr>
            <w:tcW w:w="1383" w:type="dxa"/>
          </w:tcPr>
          <w:p w14:paraId="54D2E162" w14:textId="6BC4D5E2"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P &lt; 0.001</w:t>
            </w:r>
          </w:p>
        </w:tc>
        <w:tc>
          <w:tcPr>
            <w:tcW w:w="1383" w:type="dxa"/>
          </w:tcPr>
          <w:p w14:paraId="391D4910" w14:textId="082E2C84"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0.780</w:t>
            </w:r>
          </w:p>
        </w:tc>
        <w:tc>
          <w:tcPr>
            <w:tcW w:w="1383" w:type="dxa"/>
          </w:tcPr>
          <w:p w14:paraId="3388CA33" w14:textId="3E4DE824"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1.000</w:t>
            </w:r>
          </w:p>
        </w:tc>
        <w:tc>
          <w:tcPr>
            <w:tcW w:w="1383" w:type="dxa"/>
          </w:tcPr>
          <w:p w14:paraId="21C1C2C6" w14:textId="23D1AC9A"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تأثير مباشر موجب ودال</w:t>
            </w:r>
          </w:p>
        </w:tc>
      </w:tr>
      <w:tr w:rsidR="000E69F2" w14:paraId="0B58D98D" w14:textId="77777777" w:rsidTr="000E69F2">
        <w:tc>
          <w:tcPr>
            <w:tcW w:w="1382" w:type="dxa"/>
          </w:tcPr>
          <w:p w14:paraId="0F2FB9DF" w14:textId="53B16F02" w:rsidR="000E69F2" w:rsidRDefault="000E69F2" w:rsidP="000E69F2">
            <w:pPr>
              <w:bidi/>
              <w:spacing w:after="200" w:line="360" w:lineRule="auto"/>
              <w:contextualSpacing/>
              <w:jc w:val="center"/>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lastRenderedPageBreak/>
              <w:t xml:space="preserve">القيادة التحويلية </w:t>
            </w:r>
            <w:r w:rsidRPr="000E69F2">
              <w:rPr>
                <w:rFonts w:ascii="Times New Roman" w:eastAsia="Calibri" w:hAnsi="Times New Roman" w:cs="Times New Roman" w:hint="cs"/>
                <w:sz w:val="24"/>
                <w:szCs w:val="24"/>
                <w:rtl/>
              </w:rPr>
              <w:t>←</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سلامة</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المرضى</w:t>
            </w:r>
          </w:p>
        </w:tc>
        <w:tc>
          <w:tcPr>
            <w:tcW w:w="1382" w:type="dxa"/>
          </w:tcPr>
          <w:p w14:paraId="34FA4D58" w14:textId="0F18FDE4"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مباشر</w:t>
            </w:r>
          </w:p>
        </w:tc>
        <w:tc>
          <w:tcPr>
            <w:tcW w:w="1383" w:type="dxa"/>
          </w:tcPr>
          <w:p w14:paraId="0175FEB1" w14:textId="103C8475"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P &lt; 0.001</w:t>
            </w:r>
          </w:p>
        </w:tc>
        <w:tc>
          <w:tcPr>
            <w:tcW w:w="1383" w:type="dxa"/>
          </w:tcPr>
          <w:p w14:paraId="26B877FC" w14:textId="54FC4A2F"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0.560</w:t>
            </w:r>
          </w:p>
        </w:tc>
        <w:tc>
          <w:tcPr>
            <w:tcW w:w="1383" w:type="dxa"/>
          </w:tcPr>
          <w:p w14:paraId="0DDFD46B" w14:textId="643E5630"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0.824</w:t>
            </w:r>
          </w:p>
        </w:tc>
        <w:tc>
          <w:tcPr>
            <w:tcW w:w="1383" w:type="dxa"/>
          </w:tcPr>
          <w:p w14:paraId="5EE4D1FE" w14:textId="250E80F6"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تأثير معزز لسلامة المرضى</w:t>
            </w:r>
          </w:p>
        </w:tc>
      </w:tr>
      <w:tr w:rsidR="000E69F2" w14:paraId="700ED9B5" w14:textId="77777777" w:rsidTr="000E69F2">
        <w:tc>
          <w:tcPr>
            <w:tcW w:w="1382" w:type="dxa"/>
          </w:tcPr>
          <w:p w14:paraId="6A9EB0F7" w14:textId="1CEC4F65" w:rsidR="000E69F2" w:rsidRDefault="000E69F2" w:rsidP="000E69F2">
            <w:pPr>
              <w:bidi/>
              <w:spacing w:after="200" w:line="360" w:lineRule="auto"/>
              <w:contextualSpacing/>
              <w:jc w:val="center"/>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t xml:space="preserve">ممارسات إدارة المخاطر </w:t>
            </w:r>
            <w:r w:rsidRPr="000E69F2">
              <w:rPr>
                <w:rFonts w:ascii="Times New Roman" w:eastAsia="Calibri" w:hAnsi="Times New Roman" w:cs="Times New Roman" w:hint="cs"/>
                <w:sz w:val="24"/>
                <w:szCs w:val="24"/>
                <w:rtl/>
              </w:rPr>
              <w:t>←</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سلامة</w:t>
            </w:r>
            <w:r w:rsidRPr="000E69F2">
              <w:rPr>
                <w:rFonts w:ascii="Traditional Arabic" w:eastAsia="Calibri" w:hAnsi="Traditional Arabic" w:cs="Traditional Arabic"/>
                <w:sz w:val="24"/>
                <w:szCs w:val="24"/>
                <w:rtl/>
              </w:rPr>
              <w:t xml:space="preserve"> </w:t>
            </w:r>
            <w:r w:rsidRPr="000E69F2">
              <w:rPr>
                <w:rFonts w:ascii="Traditional Arabic" w:eastAsia="Calibri" w:hAnsi="Traditional Arabic" w:cs="Traditional Arabic" w:hint="cs"/>
                <w:sz w:val="24"/>
                <w:szCs w:val="24"/>
                <w:rtl/>
              </w:rPr>
              <w:t>المرضى</w:t>
            </w:r>
          </w:p>
        </w:tc>
        <w:tc>
          <w:tcPr>
            <w:tcW w:w="1382" w:type="dxa"/>
          </w:tcPr>
          <w:p w14:paraId="64F7DD27" w14:textId="63D9D47B"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غير مباشر</w:t>
            </w:r>
          </w:p>
        </w:tc>
        <w:tc>
          <w:tcPr>
            <w:tcW w:w="1383" w:type="dxa"/>
          </w:tcPr>
          <w:p w14:paraId="13EC10D0" w14:textId="2AA24721"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P &lt; 0.001</w:t>
            </w:r>
          </w:p>
        </w:tc>
        <w:tc>
          <w:tcPr>
            <w:tcW w:w="1383" w:type="dxa"/>
          </w:tcPr>
          <w:p w14:paraId="624DC7C3" w14:textId="2EB88019"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0.437</w:t>
            </w:r>
          </w:p>
        </w:tc>
        <w:tc>
          <w:tcPr>
            <w:tcW w:w="1383" w:type="dxa"/>
          </w:tcPr>
          <w:p w14:paraId="5CF579A0" w14:textId="1C442A35"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Pr>
              <w:t>0.643</w:t>
            </w:r>
          </w:p>
        </w:tc>
        <w:tc>
          <w:tcPr>
            <w:tcW w:w="1383" w:type="dxa"/>
          </w:tcPr>
          <w:p w14:paraId="5047DDA5" w14:textId="6211251C" w:rsidR="000E69F2" w:rsidRDefault="000E69F2" w:rsidP="000E69F2">
            <w:pPr>
              <w:bidi/>
              <w:spacing w:after="200" w:line="360" w:lineRule="auto"/>
              <w:contextualSpacing/>
              <w:jc w:val="both"/>
              <w:rPr>
                <w:rFonts w:ascii="Traditional Arabic" w:eastAsia="Calibri" w:hAnsi="Traditional Arabic" w:cs="Traditional Arabic"/>
                <w:sz w:val="24"/>
                <w:szCs w:val="24"/>
                <w:rtl/>
              </w:rPr>
            </w:pPr>
            <w:r w:rsidRPr="000E69F2">
              <w:rPr>
                <w:rFonts w:ascii="Traditional Arabic" w:eastAsia="Calibri" w:hAnsi="Traditional Arabic" w:cs="Traditional Arabic"/>
                <w:sz w:val="24"/>
                <w:szCs w:val="24"/>
                <w:rtl/>
              </w:rPr>
              <w:t>وساطة قوية ودالة</w:t>
            </w:r>
          </w:p>
        </w:tc>
      </w:tr>
    </w:tbl>
    <w:p w14:paraId="7F5CB178" w14:textId="01AE7E93" w:rsidR="00A54569" w:rsidRDefault="00A54569" w:rsidP="00A54569">
      <w:pPr>
        <w:bidi/>
        <w:spacing w:after="200" w:line="360" w:lineRule="auto"/>
        <w:contextualSpacing/>
        <w:jc w:val="right"/>
        <w:rPr>
          <w:rFonts w:ascii="Traditional Arabic" w:eastAsia="Calibri" w:hAnsi="Traditional Arabic" w:cs="Traditional Arabic"/>
          <w:sz w:val="24"/>
          <w:szCs w:val="24"/>
          <w:rtl/>
          <w:lang w:bidi="ar-EG"/>
        </w:rPr>
      </w:pPr>
      <w:r w:rsidRPr="00A54569">
        <w:rPr>
          <w:rFonts w:ascii="Traditional Arabic" w:eastAsia="Calibri" w:hAnsi="Traditional Arabic" w:cs="Traditional Arabic" w:hint="cs"/>
          <w:b/>
          <w:bCs/>
          <w:sz w:val="24"/>
          <w:szCs w:val="24"/>
          <w:rtl/>
          <w:lang w:bidi="ar-EG"/>
        </w:rPr>
        <w:t>المصدر</w:t>
      </w:r>
      <w:r>
        <w:rPr>
          <w:rFonts w:ascii="Traditional Arabic" w:eastAsia="Calibri" w:hAnsi="Traditional Arabic" w:cs="Traditional Arabic" w:hint="cs"/>
          <w:sz w:val="24"/>
          <w:szCs w:val="24"/>
          <w:rtl/>
          <w:lang w:bidi="ar-EG"/>
        </w:rPr>
        <w:t xml:space="preserve"> الباحثة من بيانات الدراسة الميدانية بإستخدام برنامج </w:t>
      </w:r>
      <w:r>
        <w:rPr>
          <w:rFonts w:ascii="Traditional Arabic" w:eastAsia="Calibri" w:hAnsi="Traditional Arabic" w:cs="Traditional Arabic"/>
          <w:sz w:val="24"/>
          <w:szCs w:val="24"/>
          <w:lang w:bidi="ar-EG"/>
        </w:rPr>
        <w:t>AMOS, 2025</w:t>
      </w:r>
    </w:p>
    <w:p w14:paraId="6C752BDE" w14:textId="3EE424A2" w:rsidR="00A54569" w:rsidRPr="002F1B1A" w:rsidRDefault="00A54569" w:rsidP="00A54569">
      <w:p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lang w:bidi="ar-EG"/>
        </w:rPr>
        <w:t>"</w:t>
      </w:r>
      <w:r w:rsidRPr="002F1B1A">
        <w:rPr>
          <w:rFonts w:ascii="Traditional Arabic" w:eastAsia="Calibri" w:hAnsi="Traditional Arabic" w:cs="Traditional Arabic"/>
          <w:sz w:val="24"/>
          <w:szCs w:val="24"/>
          <w:rtl/>
        </w:rPr>
        <w:t xml:space="preserve">تظهر النتائج الإحصائية الواردة في الجدول </w:t>
      </w:r>
      <w:r w:rsidRPr="002F1B1A">
        <w:rPr>
          <w:rFonts w:ascii="Traditional Arabic" w:eastAsia="Calibri" w:hAnsi="Traditional Arabic" w:cs="Traditional Arabic" w:hint="cs"/>
          <w:sz w:val="24"/>
          <w:szCs w:val="24"/>
          <w:rtl/>
        </w:rPr>
        <w:t>السابق</w:t>
      </w:r>
      <w:r w:rsidRPr="002F1B1A">
        <w:rPr>
          <w:rFonts w:ascii="Traditional Arabic" w:eastAsia="Calibri" w:hAnsi="Traditional Arabic" w:cs="Traditional Arabic"/>
          <w:sz w:val="24"/>
          <w:szCs w:val="24"/>
          <w:rtl/>
        </w:rPr>
        <w:t>، والمستخرجة عبر أسلوب نمذجة المعادلات الهيكلية</w:t>
      </w:r>
      <w:r w:rsidRPr="002F1B1A">
        <w:rPr>
          <w:rFonts w:ascii="Traditional Arabic" w:eastAsia="Calibri" w:hAnsi="Traditional Arabic" w:cs="Traditional Arabic"/>
          <w:sz w:val="24"/>
          <w:szCs w:val="24"/>
          <w:lang w:bidi="ar-EG"/>
        </w:rPr>
        <w:t xml:space="preserve"> (SEM) </w:t>
      </w:r>
      <w:r w:rsidRPr="002F1B1A">
        <w:rPr>
          <w:rFonts w:ascii="Traditional Arabic" w:eastAsia="Calibri" w:hAnsi="Traditional Arabic" w:cs="Traditional Arabic"/>
          <w:sz w:val="24"/>
          <w:szCs w:val="24"/>
          <w:rtl/>
        </w:rPr>
        <w:t xml:space="preserve">بواسطة برنامج </w:t>
      </w:r>
      <w:r w:rsidRPr="002F1B1A">
        <w:rPr>
          <w:rFonts w:ascii="Traditional Arabic" w:eastAsia="Calibri" w:hAnsi="Traditional Arabic" w:cs="Traditional Arabic"/>
          <w:sz w:val="24"/>
          <w:szCs w:val="24"/>
          <w:lang w:bidi="ar-EG"/>
        </w:rPr>
        <w:t>AMOS</w:t>
      </w:r>
      <w:r w:rsidRPr="002F1B1A">
        <w:rPr>
          <w:rFonts w:ascii="Traditional Arabic" w:eastAsia="Calibri" w:hAnsi="Traditional Arabic" w:cs="Traditional Arabic"/>
          <w:sz w:val="24"/>
          <w:szCs w:val="24"/>
          <w:rtl/>
        </w:rPr>
        <w:t xml:space="preserve">، أن جميع المسارات المباشرة وغير المباشرة المكونة للنموذج الهيكلي قد جاءت دالة إحصائياً عند مستوى معنوية </w:t>
      </w:r>
      <w:r w:rsidRPr="002F1B1A">
        <w:rPr>
          <w:rFonts w:ascii="Traditional Arabic" w:eastAsia="Calibri" w:hAnsi="Traditional Arabic" w:cs="Traditional Arabic" w:hint="cs"/>
          <w:sz w:val="24"/>
          <w:szCs w:val="24"/>
          <w:rtl/>
          <w:lang w:bidi="ar-EG"/>
        </w:rPr>
        <w:t>(</w:t>
      </w:r>
      <w:r w:rsidRPr="002F1B1A">
        <w:rPr>
          <w:rFonts w:ascii="Traditional Arabic" w:eastAsia="Calibri" w:hAnsi="Traditional Arabic" w:cs="Traditional Arabic"/>
          <w:sz w:val="24"/>
          <w:szCs w:val="24"/>
          <w:lang w:bidi="ar-EG"/>
        </w:rPr>
        <w:t>P &lt; 0.001</w:t>
      </w:r>
      <w:r w:rsidRPr="002F1B1A">
        <w:rPr>
          <w:rFonts w:ascii="Traditional Arabic" w:eastAsia="Calibri" w:hAnsi="Traditional Arabic" w:cs="Traditional Arabic" w:hint="cs"/>
          <w:sz w:val="24"/>
          <w:szCs w:val="24"/>
          <w:rtl/>
          <w:lang w:bidi="ar-EG"/>
        </w:rPr>
        <w:t>)</w:t>
      </w:r>
      <w:r w:rsidRPr="002F1B1A">
        <w:rPr>
          <w:rFonts w:ascii="Traditional Arabic" w:eastAsia="Calibri" w:hAnsi="Traditional Arabic" w:cs="Traditional Arabic"/>
          <w:sz w:val="24"/>
          <w:szCs w:val="24"/>
          <w:rtl/>
        </w:rPr>
        <w:t>. ويمكن تفصيل هذه العلاقات على النحو التالي</w:t>
      </w:r>
      <w:r w:rsidRPr="002F1B1A">
        <w:rPr>
          <w:rFonts w:ascii="Traditional Arabic" w:eastAsia="Calibri" w:hAnsi="Traditional Arabic" w:cs="Traditional Arabic"/>
          <w:sz w:val="24"/>
          <w:szCs w:val="24"/>
          <w:lang w:bidi="ar-EG"/>
        </w:rPr>
        <w:t>:</w:t>
      </w:r>
    </w:p>
    <w:p w14:paraId="6620D11E" w14:textId="0E7935C7" w:rsidR="00A54569" w:rsidRPr="00A54569" w:rsidRDefault="00A54569">
      <w:pPr>
        <w:pStyle w:val="ListParagraph"/>
        <w:numPr>
          <w:ilvl w:val="0"/>
          <w:numId w:val="47"/>
        </w:numPr>
        <w:bidi/>
        <w:spacing w:after="200" w:line="360" w:lineRule="auto"/>
        <w:jc w:val="both"/>
        <w:rPr>
          <w:rFonts w:ascii="Traditional Arabic" w:eastAsia="Calibri" w:hAnsi="Traditional Arabic" w:cs="Traditional Arabic"/>
          <w:sz w:val="24"/>
          <w:szCs w:val="24"/>
          <w:lang w:bidi="ar-EG"/>
        </w:rPr>
      </w:pPr>
      <w:r w:rsidRPr="00A54569">
        <w:rPr>
          <w:rFonts w:ascii="Traditional Arabic" w:eastAsia="Calibri" w:hAnsi="Traditional Arabic" w:cs="Traditional Arabic"/>
          <w:b/>
          <w:bCs/>
          <w:sz w:val="24"/>
          <w:szCs w:val="24"/>
          <w:lang w:bidi="ar-EG"/>
        </w:rPr>
        <w:t xml:space="preserve"> </w:t>
      </w:r>
      <w:r w:rsidRPr="00A54569">
        <w:rPr>
          <w:rFonts w:ascii="Traditional Arabic" w:eastAsia="Calibri" w:hAnsi="Traditional Arabic" w:cs="Traditional Arabic"/>
          <w:b/>
          <w:bCs/>
          <w:sz w:val="24"/>
          <w:szCs w:val="24"/>
          <w:rtl/>
        </w:rPr>
        <w:t>التأثيرات المباشرة</w:t>
      </w:r>
      <w:r w:rsidRPr="00A54569">
        <w:rPr>
          <w:rFonts w:ascii="Traditional Arabic" w:eastAsia="Calibri" w:hAnsi="Traditional Arabic" w:cs="Traditional Arabic"/>
          <w:b/>
          <w:bCs/>
          <w:sz w:val="24"/>
          <w:szCs w:val="24"/>
          <w:lang w:bidi="ar-EG"/>
        </w:rPr>
        <w:t xml:space="preserve"> (Direct Effects):</w:t>
      </w:r>
      <w:r w:rsidR="00D47314">
        <w:rPr>
          <w:rFonts w:ascii="Traditional Arabic" w:eastAsia="Calibri" w:hAnsi="Traditional Arabic" w:cs="Traditional Arabic" w:hint="cs"/>
          <w:b/>
          <w:bCs/>
          <w:sz w:val="24"/>
          <w:szCs w:val="24"/>
          <w:rtl/>
          <w:lang w:bidi="ar-EG"/>
        </w:rPr>
        <w:t>:</w:t>
      </w:r>
    </w:p>
    <w:p w14:paraId="14035447" w14:textId="09FEFFF1" w:rsidR="00A54569" w:rsidRPr="002F1B1A" w:rsidRDefault="00A54569">
      <w:pPr>
        <w:numPr>
          <w:ilvl w:val="0"/>
          <w:numId w:val="45"/>
        </w:num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rtl/>
        </w:rPr>
        <w:t>كشفت النتائج عن وجود تأثير مباشر وموجب ذو دلالة إحصائية لممارسات إدارة المخاطر على سلامة المرضى، حيث بلغ الوزن المعياري</w:t>
      </w:r>
      <w:r w:rsidRPr="002F1B1A">
        <w:rPr>
          <w:rFonts w:ascii="Traditional Arabic" w:eastAsia="Calibri" w:hAnsi="Traditional Arabic" w:cs="Traditional Arabic"/>
          <w:sz w:val="24"/>
          <w:szCs w:val="24"/>
          <w:lang w:bidi="ar-EG"/>
        </w:rPr>
        <w:t xml:space="preserve"> </w:t>
      </w:r>
      <w:r w:rsidR="00D47314" w:rsidRPr="002F1B1A">
        <w:rPr>
          <w:rFonts w:ascii="Cambria" w:eastAsia="Calibri" w:hAnsi="Cambria" w:cs="Cambria"/>
          <w:sz w:val="24"/>
          <w:szCs w:val="24"/>
          <w:lang w:bidi="ar-EG"/>
        </w:rPr>
        <w:t>β</w:t>
      </w:r>
      <w:r w:rsidRPr="002F1B1A">
        <w:rPr>
          <w:rFonts w:ascii="Traditional Arabic" w:eastAsia="Calibri" w:hAnsi="Traditional Arabic" w:cs="Traditional Arabic"/>
          <w:sz w:val="24"/>
          <w:szCs w:val="24"/>
          <w:rtl/>
        </w:rPr>
        <w:t xml:space="preserve">لهذا المسار </w:t>
      </w:r>
      <w:r w:rsidRPr="002F1B1A">
        <w:rPr>
          <w:rFonts w:ascii="Traditional Arabic" w:eastAsia="Calibri" w:hAnsi="Traditional Arabic" w:cs="Traditional Arabic"/>
          <w:sz w:val="24"/>
          <w:szCs w:val="24"/>
          <w:lang w:bidi="ar-EG"/>
        </w:rPr>
        <w:t>(0.425)</w:t>
      </w:r>
      <w:r w:rsidRPr="002F1B1A">
        <w:rPr>
          <w:rFonts w:ascii="Traditional Arabic" w:eastAsia="Calibri" w:hAnsi="Traditional Arabic" w:cs="Traditional Arabic"/>
          <w:sz w:val="24"/>
          <w:szCs w:val="24"/>
          <w:rtl/>
        </w:rPr>
        <w:t xml:space="preserve">، وبقيمة تقديرية بلغت </w:t>
      </w:r>
      <w:r w:rsidRPr="002F1B1A">
        <w:rPr>
          <w:rFonts w:ascii="Traditional Arabic" w:eastAsia="Calibri" w:hAnsi="Traditional Arabic" w:cs="Traditional Arabic"/>
          <w:sz w:val="24"/>
          <w:szCs w:val="24"/>
          <w:lang w:bidi="ar-EG"/>
        </w:rPr>
        <w:t>(1.000)</w:t>
      </w:r>
      <w:r w:rsidRPr="002F1B1A">
        <w:rPr>
          <w:rFonts w:ascii="Traditional Arabic" w:eastAsia="Calibri" w:hAnsi="Traditional Arabic" w:cs="Traditional Arabic"/>
          <w:sz w:val="24"/>
          <w:szCs w:val="24"/>
          <w:rtl/>
        </w:rPr>
        <w:t xml:space="preserve">، مما يشير إلى وجود تأثير مباشر قوي يعكس الدور الجوهري الذي تلعبه ممارسات إدارة المخاطر في الحد من الحوادث العرضية وضمان سلامة المرضى داخل </w:t>
      </w:r>
      <w:r w:rsidR="002F1B1A" w:rsidRPr="002F1B1A">
        <w:rPr>
          <w:rFonts w:ascii="Traditional Arabic" w:eastAsia="Calibri" w:hAnsi="Traditional Arabic" w:cs="Traditional Arabic" w:hint="cs"/>
          <w:sz w:val="24"/>
          <w:szCs w:val="24"/>
          <w:rtl/>
        </w:rPr>
        <w:t>المرافق</w:t>
      </w:r>
      <w:r w:rsidRPr="002F1B1A">
        <w:rPr>
          <w:rFonts w:ascii="Traditional Arabic" w:eastAsia="Calibri" w:hAnsi="Traditional Arabic" w:cs="Traditional Arabic"/>
          <w:sz w:val="24"/>
          <w:szCs w:val="24"/>
          <w:rtl/>
        </w:rPr>
        <w:t xml:space="preserve"> الصحية</w:t>
      </w:r>
      <w:r w:rsidR="002F1B1A" w:rsidRPr="002F1B1A">
        <w:rPr>
          <w:rFonts w:ascii="Traditional Arabic" w:eastAsia="Calibri" w:hAnsi="Traditional Arabic" w:cs="Traditional Arabic" w:hint="cs"/>
          <w:sz w:val="24"/>
          <w:szCs w:val="24"/>
          <w:rtl/>
        </w:rPr>
        <w:t xml:space="preserve"> الحكومية بالمملكة العربية السعودية</w:t>
      </w:r>
      <w:r w:rsidRPr="002F1B1A">
        <w:rPr>
          <w:rFonts w:ascii="Traditional Arabic" w:eastAsia="Calibri" w:hAnsi="Traditional Arabic" w:cs="Traditional Arabic"/>
          <w:sz w:val="24"/>
          <w:szCs w:val="24"/>
          <w:lang w:bidi="ar-EG"/>
        </w:rPr>
        <w:t>.</w:t>
      </w:r>
    </w:p>
    <w:p w14:paraId="5EC4DC3E" w14:textId="16AD754E" w:rsidR="00A54569" w:rsidRPr="002F1B1A" w:rsidRDefault="00A54569">
      <w:pPr>
        <w:numPr>
          <w:ilvl w:val="0"/>
          <w:numId w:val="45"/>
        </w:num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rtl/>
        </w:rPr>
        <w:t xml:space="preserve">تبين وجود تأثير مباشر وموجب وعالي الدلالة لممارسات إدارة المخاطر على القيادة التحويلية بوزن معياري قدره </w:t>
      </w:r>
      <w:r w:rsidRPr="002F1B1A">
        <w:rPr>
          <w:rFonts w:ascii="Traditional Arabic" w:eastAsia="Calibri" w:hAnsi="Traditional Arabic" w:cs="Traditional Arabic"/>
          <w:sz w:val="24"/>
          <w:szCs w:val="24"/>
          <w:lang w:bidi="ar-EG"/>
        </w:rPr>
        <w:t>(0.780)</w:t>
      </w:r>
      <w:r w:rsidRPr="002F1B1A">
        <w:rPr>
          <w:rFonts w:ascii="Traditional Arabic" w:eastAsia="Calibri" w:hAnsi="Traditional Arabic" w:cs="Traditional Arabic"/>
          <w:sz w:val="24"/>
          <w:szCs w:val="24"/>
          <w:rtl/>
        </w:rPr>
        <w:t>، وهو ما يفسر بأن الالتزام بأنظمة إدارة المخاطر يوفر إطاراً تنظيماً يؤثر إيجاباً ويوجّه السلوك القيادي نحو النمط التحويلي</w:t>
      </w:r>
      <w:r w:rsidRPr="002F1B1A">
        <w:rPr>
          <w:rFonts w:ascii="Traditional Arabic" w:eastAsia="Calibri" w:hAnsi="Traditional Arabic" w:cs="Traditional Arabic"/>
          <w:sz w:val="24"/>
          <w:szCs w:val="24"/>
          <w:lang w:bidi="ar-EG"/>
        </w:rPr>
        <w:t>.</w:t>
      </w:r>
    </w:p>
    <w:p w14:paraId="4142160F" w14:textId="77777777" w:rsidR="00A54569" w:rsidRPr="002F1B1A" w:rsidRDefault="00A54569">
      <w:pPr>
        <w:numPr>
          <w:ilvl w:val="0"/>
          <w:numId w:val="45"/>
        </w:num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rtl/>
        </w:rPr>
        <w:t xml:space="preserve">أظهرت النتائج تأثيراً مباشراً دالاً إحصائياً للقيادة التحويلية على سلامة المرضى بوزن معياري بلغت قيمته </w:t>
      </w:r>
      <w:r w:rsidRPr="002F1B1A">
        <w:rPr>
          <w:rFonts w:ascii="Traditional Arabic" w:eastAsia="Calibri" w:hAnsi="Traditional Arabic" w:cs="Traditional Arabic"/>
          <w:sz w:val="24"/>
          <w:szCs w:val="24"/>
          <w:lang w:bidi="ar-EG"/>
        </w:rPr>
        <w:t xml:space="preserve">(0.560) </w:t>
      </w:r>
      <w:r w:rsidRPr="002F1B1A">
        <w:rPr>
          <w:rFonts w:ascii="Traditional Arabic" w:eastAsia="Calibri" w:hAnsi="Traditional Arabic" w:cs="Traditional Arabic"/>
          <w:sz w:val="24"/>
          <w:szCs w:val="24"/>
          <w:rtl/>
        </w:rPr>
        <w:t xml:space="preserve">وبقيمة تقديرية </w:t>
      </w:r>
      <w:r w:rsidRPr="002F1B1A">
        <w:rPr>
          <w:rFonts w:ascii="Traditional Arabic" w:eastAsia="Calibri" w:hAnsi="Traditional Arabic" w:cs="Traditional Arabic"/>
          <w:sz w:val="24"/>
          <w:szCs w:val="24"/>
          <w:lang w:bidi="ar-EG"/>
        </w:rPr>
        <w:t>(0.824)</w:t>
      </w:r>
      <w:r w:rsidRPr="002F1B1A">
        <w:rPr>
          <w:rFonts w:ascii="Traditional Arabic" w:eastAsia="Calibri" w:hAnsi="Traditional Arabic" w:cs="Traditional Arabic"/>
          <w:sz w:val="24"/>
          <w:szCs w:val="24"/>
          <w:rtl/>
        </w:rPr>
        <w:t>، مما يؤكد أن هذا النمط القيادي يمارس تأثيراً معززاً لسلامة المرضى من خلال تمكين الكوادر الصحية وتحفيزهم على الالتزام بمعايير الرعاية الآمنة</w:t>
      </w:r>
      <w:r w:rsidRPr="002F1B1A">
        <w:rPr>
          <w:rFonts w:ascii="Traditional Arabic" w:eastAsia="Calibri" w:hAnsi="Traditional Arabic" w:cs="Traditional Arabic"/>
          <w:sz w:val="24"/>
          <w:szCs w:val="24"/>
          <w:lang w:bidi="ar-EG"/>
        </w:rPr>
        <w:t>.</w:t>
      </w:r>
    </w:p>
    <w:p w14:paraId="1F5507A1" w14:textId="48BA8B9A" w:rsidR="00A54569" w:rsidRPr="002F1B1A" w:rsidRDefault="00A54569">
      <w:pPr>
        <w:pStyle w:val="ListParagraph"/>
        <w:numPr>
          <w:ilvl w:val="0"/>
          <w:numId w:val="47"/>
        </w:numPr>
        <w:bidi/>
        <w:spacing w:after="200" w:line="360" w:lineRule="auto"/>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b/>
          <w:bCs/>
          <w:sz w:val="24"/>
          <w:szCs w:val="24"/>
          <w:rtl/>
        </w:rPr>
        <w:t>التأثير غير المباشر - دور المتغير الوسيط</w:t>
      </w:r>
      <w:r w:rsidRPr="002F1B1A">
        <w:rPr>
          <w:rFonts w:ascii="Traditional Arabic" w:eastAsia="Calibri" w:hAnsi="Traditional Arabic" w:cs="Traditional Arabic"/>
          <w:b/>
          <w:bCs/>
          <w:sz w:val="24"/>
          <w:szCs w:val="24"/>
          <w:lang w:bidi="ar-EG"/>
        </w:rPr>
        <w:t xml:space="preserve"> (Indirect Effect):</w:t>
      </w:r>
    </w:p>
    <w:p w14:paraId="1C127E96" w14:textId="68FD8C9E" w:rsidR="00A54569" w:rsidRPr="002F1B1A" w:rsidRDefault="00A54569">
      <w:pPr>
        <w:numPr>
          <w:ilvl w:val="0"/>
          <w:numId w:val="46"/>
        </w:num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sz w:val="24"/>
          <w:szCs w:val="24"/>
          <w:rtl/>
        </w:rPr>
        <w:t xml:space="preserve">فيما يتعلق </w:t>
      </w:r>
      <w:r w:rsidR="002F1B1A" w:rsidRPr="002F1B1A">
        <w:rPr>
          <w:rFonts w:ascii="Traditional Arabic" w:eastAsia="Calibri" w:hAnsi="Traditional Arabic" w:cs="Traditional Arabic" w:hint="cs"/>
          <w:sz w:val="24"/>
          <w:szCs w:val="24"/>
          <w:rtl/>
        </w:rPr>
        <w:t>بدور المتغير الوسيط</w:t>
      </w:r>
      <w:r w:rsidRPr="002F1B1A">
        <w:rPr>
          <w:rFonts w:ascii="Traditional Arabic" w:eastAsia="Calibri" w:hAnsi="Traditional Arabic" w:cs="Traditional Arabic"/>
          <w:sz w:val="24"/>
          <w:szCs w:val="24"/>
          <w:rtl/>
        </w:rPr>
        <w:t xml:space="preserve">، كشف التحليل الإحصائي عن وجود تأثير غير مباشر ذو دلالة إحصائية عالية لممارسات إدارة المخاطر على سلامة المرضى من خلال القيادة التحويلية كمتغير وسيط؛ حيث بلغ الوزن المعياري للأثر غير المباشر </w:t>
      </w:r>
      <w:r w:rsidRPr="002F1B1A">
        <w:rPr>
          <w:rFonts w:ascii="Traditional Arabic" w:eastAsia="Calibri" w:hAnsi="Traditional Arabic" w:cs="Traditional Arabic"/>
          <w:sz w:val="24"/>
          <w:szCs w:val="24"/>
          <w:lang w:bidi="ar-EG"/>
        </w:rPr>
        <w:t xml:space="preserve">(0.437) </w:t>
      </w:r>
      <w:r w:rsidRPr="002F1B1A">
        <w:rPr>
          <w:rFonts w:ascii="Traditional Arabic" w:eastAsia="Calibri" w:hAnsi="Traditional Arabic" w:cs="Traditional Arabic"/>
          <w:sz w:val="24"/>
          <w:szCs w:val="24"/>
          <w:rtl/>
        </w:rPr>
        <w:t xml:space="preserve">وبقيمة تقديرية قدرها </w:t>
      </w:r>
      <w:r w:rsidRPr="002F1B1A">
        <w:rPr>
          <w:rFonts w:ascii="Traditional Arabic" w:eastAsia="Calibri" w:hAnsi="Traditional Arabic" w:cs="Traditional Arabic"/>
          <w:sz w:val="24"/>
          <w:szCs w:val="24"/>
          <w:lang w:bidi="ar-EG"/>
        </w:rPr>
        <w:t xml:space="preserve">(0.643) </w:t>
      </w:r>
      <w:r w:rsidRPr="002F1B1A">
        <w:rPr>
          <w:rFonts w:ascii="Traditional Arabic" w:eastAsia="Calibri" w:hAnsi="Traditional Arabic" w:cs="Traditional Arabic"/>
          <w:sz w:val="24"/>
          <w:szCs w:val="24"/>
          <w:rtl/>
        </w:rPr>
        <w:t>عند مستوى دلالة</w:t>
      </w:r>
      <w:r w:rsidRPr="002F1B1A">
        <w:rPr>
          <w:rFonts w:ascii="Traditional Arabic" w:eastAsia="Calibri" w:hAnsi="Traditional Arabic" w:cs="Traditional Arabic"/>
          <w:sz w:val="24"/>
          <w:szCs w:val="24"/>
          <w:lang w:bidi="ar-EG"/>
        </w:rPr>
        <w:t xml:space="preserve"> </w:t>
      </w:r>
      <w:r w:rsidR="002F1B1A" w:rsidRPr="002F1B1A">
        <w:rPr>
          <w:rFonts w:ascii="Traditional Arabic" w:eastAsia="Calibri" w:hAnsi="Traditional Arabic" w:cs="Traditional Arabic" w:hint="cs"/>
          <w:sz w:val="24"/>
          <w:szCs w:val="24"/>
          <w:rtl/>
          <w:lang w:bidi="ar-EG"/>
        </w:rPr>
        <w:t>(</w:t>
      </w:r>
      <w:r w:rsidRPr="002F1B1A">
        <w:rPr>
          <w:rFonts w:ascii="Traditional Arabic" w:eastAsia="Calibri" w:hAnsi="Traditional Arabic" w:cs="Traditional Arabic"/>
          <w:sz w:val="24"/>
          <w:szCs w:val="24"/>
          <w:lang w:bidi="ar-EG"/>
        </w:rPr>
        <w:t>P &lt; 0.001</w:t>
      </w:r>
      <w:r w:rsidR="002F1B1A" w:rsidRPr="002F1B1A">
        <w:rPr>
          <w:rFonts w:ascii="Traditional Arabic" w:eastAsia="Calibri" w:hAnsi="Traditional Arabic" w:cs="Traditional Arabic" w:hint="cs"/>
          <w:sz w:val="24"/>
          <w:szCs w:val="24"/>
          <w:rtl/>
          <w:lang w:bidi="ar-EG"/>
        </w:rPr>
        <w:t>).</w:t>
      </w:r>
    </w:p>
    <w:p w14:paraId="347296FE" w14:textId="56172177" w:rsidR="00FE35CB" w:rsidRPr="009C5CCF" w:rsidRDefault="002F1B1A" w:rsidP="002F1B1A">
      <w:pPr>
        <w:bidi/>
        <w:spacing w:after="200" w:line="360" w:lineRule="auto"/>
        <w:contextualSpacing/>
        <w:jc w:val="both"/>
        <w:rPr>
          <w:rFonts w:ascii="Traditional Arabic" w:eastAsia="Calibri" w:hAnsi="Traditional Arabic" w:cs="Traditional Arabic"/>
          <w:sz w:val="24"/>
          <w:szCs w:val="24"/>
          <w:lang w:bidi="ar-EG"/>
        </w:rPr>
      </w:pPr>
      <w:r w:rsidRPr="002F1B1A">
        <w:rPr>
          <w:rFonts w:ascii="Traditional Arabic" w:eastAsia="Calibri" w:hAnsi="Traditional Arabic" w:cs="Traditional Arabic" w:hint="cs"/>
          <w:sz w:val="24"/>
          <w:szCs w:val="24"/>
          <w:rtl/>
        </w:rPr>
        <w:lastRenderedPageBreak/>
        <w:t>وبناءاً</w:t>
      </w:r>
      <w:r w:rsidR="00A54569" w:rsidRPr="002F1B1A">
        <w:rPr>
          <w:rFonts w:ascii="Traditional Arabic" w:eastAsia="Calibri" w:hAnsi="Traditional Arabic" w:cs="Traditional Arabic"/>
          <w:sz w:val="24"/>
          <w:szCs w:val="24"/>
          <w:rtl/>
        </w:rPr>
        <w:t xml:space="preserve"> على ما تقدم، ونظراً لأن التأثير المباشر بين المتغير المستقل والتابع ظل دالاً إحصائياً حتى بعد إدخال المتغير الوسيط، فإن القيادة التحويلية تؤدي دور الوسيط الجزئي</w:t>
      </w:r>
      <w:r w:rsidR="00A54569" w:rsidRPr="002F1B1A">
        <w:rPr>
          <w:rFonts w:ascii="Traditional Arabic" w:eastAsia="Calibri" w:hAnsi="Traditional Arabic" w:cs="Traditional Arabic"/>
          <w:sz w:val="24"/>
          <w:szCs w:val="24"/>
          <w:lang w:bidi="ar-EG"/>
        </w:rPr>
        <w:t xml:space="preserve"> (Partial Mediator) </w:t>
      </w:r>
      <w:r w:rsidR="00A54569" w:rsidRPr="002F1B1A">
        <w:rPr>
          <w:rFonts w:ascii="Traditional Arabic" w:eastAsia="Calibri" w:hAnsi="Traditional Arabic" w:cs="Traditional Arabic"/>
          <w:sz w:val="24"/>
          <w:szCs w:val="24"/>
          <w:rtl/>
        </w:rPr>
        <w:t>بكفاءة عالية. وتُعزى هذه النتيجة علمياً إلى أن ممارسات إدارة المخاطر تلعب دوراً مباشراً في حماية المرضى، ولكن هذا الأثر يتضاعف ويقوى بشكل جوهري عندما يمر عبر بيئة قيادية تحويلية تلهم العاملين وتدعم ثقافة السلامة الشاملة في المرافق الصحية الحكومية بالمملكة العربية السعودية، وبناءً على هذه القراءات الإحصائية القاطعة يتم قبول الفرضية الرابعة بالكامل</w:t>
      </w:r>
      <w:r w:rsidR="00A54569" w:rsidRPr="002F1B1A">
        <w:rPr>
          <w:rFonts w:ascii="Traditional Arabic" w:eastAsia="Calibri" w:hAnsi="Traditional Arabic" w:cs="Traditional Arabic"/>
          <w:sz w:val="24"/>
          <w:szCs w:val="24"/>
          <w:lang w:bidi="ar-EG"/>
        </w:rPr>
        <w:t>."</w:t>
      </w:r>
    </w:p>
    <w:p w14:paraId="415F0414" w14:textId="30FAA8FD" w:rsidR="00AF1F30" w:rsidRPr="0044090C" w:rsidRDefault="00686687" w:rsidP="00EA4FF8">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الخامس (فرض الفروق الديموغرافية):"</w:t>
      </w:r>
      <w:r w:rsidRPr="0044090C">
        <w:rPr>
          <w:rFonts w:ascii="Traditional Arabic" w:eastAsia="Calibri" w:hAnsi="Traditional Arabic" w:cs="Traditional Arabic"/>
          <w:sz w:val="24"/>
          <w:szCs w:val="24"/>
          <w:rtl/>
          <w:lang w:bidi="ar-EG"/>
        </w:rPr>
        <w:t xml:space="preserve">توجد فروق ذات دلالة إحصائية في إدراك أفراد العينة لمتغيرات الدراسة تُعزى للمتغيرات الديموغرافية والوظيفية </w:t>
      </w:r>
      <w:r w:rsidR="002F1B1A">
        <w:rPr>
          <w:rFonts w:ascii="Traditional Arabic" w:eastAsia="Calibri" w:hAnsi="Traditional Arabic" w:cs="Traditional Arabic" w:hint="cs"/>
          <w:sz w:val="24"/>
          <w:szCs w:val="24"/>
          <w:rtl/>
          <w:lang w:bidi="ar-EG"/>
        </w:rPr>
        <w:t xml:space="preserve">المتمثلة في </w:t>
      </w:r>
      <w:r w:rsidRPr="0044090C">
        <w:rPr>
          <w:rFonts w:ascii="Traditional Arabic" w:eastAsia="Calibri" w:hAnsi="Traditional Arabic" w:cs="Traditional Arabic"/>
          <w:sz w:val="24"/>
          <w:szCs w:val="24"/>
          <w:rtl/>
          <w:lang w:bidi="ar-EG"/>
        </w:rPr>
        <w:t>(النوع، المؤهل العلمي، نوع الوظيفة، سنوات الخبرة)."</w:t>
      </w:r>
    </w:p>
    <w:p w14:paraId="10269273" w14:textId="03F931D2" w:rsidR="008E2211" w:rsidRPr="0044090C" w:rsidRDefault="00FB7150" w:rsidP="00B735BE">
      <w:pPr>
        <w:bidi/>
        <w:spacing w:after="200" w:line="360" w:lineRule="auto"/>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rPr>
        <w:t>استخدمت الباحثة اختبار تائي للمجموعات المستقلة</w:t>
      </w:r>
      <w:r w:rsidRPr="0044090C">
        <w:rPr>
          <w:rFonts w:ascii="Traditional Arabic" w:eastAsia="Calibri" w:hAnsi="Traditional Arabic" w:cs="Traditional Arabic"/>
          <w:sz w:val="24"/>
          <w:szCs w:val="24"/>
          <w:lang w:bidi="ar-EG"/>
        </w:rPr>
        <w:t xml:space="preserve"> (Independent Samples T-test) </w:t>
      </w:r>
      <w:r w:rsidRPr="0044090C">
        <w:rPr>
          <w:rFonts w:ascii="Traditional Arabic" w:eastAsia="Calibri" w:hAnsi="Traditional Arabic" w:cs="Traditional Arabic"/>
          <w:sz w:val="24"/>
          <w:szCs w:val="24"/>
          <w:rtl/>
        </w:rPr>
        <w:t>للتعرف على وجود فروق ذات دلالة</w:t>
      </w:r>
      <w:r w:rsidRPr="0044090C">
        <w:rPr>
          <w:rFonts w:ascii="Traditional Arabic" w:eastAsia="Calibri" w:hAnsi="Traditional Arabic" w:cs="Traditional Arabic" w:hint="cs"/>
          <w:sz w:val="24"/>
          <w:szCs w:val="24"/>
          <w:rtl/>
        </w:rPr>
        <w:t xml:space="preserve"> </w:t>
      </w:r>
      <w:r w:rsidRPr="0044090C">
        <w:rPr>
          <w:rFonts w:ascii="Traditional Arabic" w:eastAsia="Calibri" w:hAnsi="Traditional Arabic" w:cs="Traditional Arabic"/>
          <w:sz w:val="24"/>
          <w:szCs w:val="24"/>
          <w:rtl/>
        </w:rPr>
        <w:t>إحصائية في استجابات أفراد العينة تعزى للنوع، والجدول التالي يوضح هذه النتائج</w:t>
      </w:r>
      <w:r w:rsidRPr="0044090C">
        <w:rPr>
          <w:rFonts w:ascii="Traditional Arabic" w:eastAsia="Calibri" w:hAnsi="Traditional Arabic" w:cs="Traditional Arabic"/>
          <w:sz w:val="24"/>
          <w:szCs w:val="24"/>
          <w:lang w:bidi="ar-EG"/>
        </w:rPr>
        <w:t>:</w:t>
      </w:r>
    </w:p>
    <w:p w14:paraId="06FBE173" w14:textId="644E7667" w:rsidR="00AC5CD4" w:rsidRPr="0044090C" w:rsidRDefault="00AC5CD4" w:rsidP="005A1F9B">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الجدول (</w:t>
      </w:r>
      <w:r w:rsidR="002F1B1A">
        <w:rPr>
          <w:rFonts w:ascii="Traditional Arabic" w:eastAsia="Calibri" w:hAnsi="Traditional Arabic" w:cs="Traditional Arabic" w:hint="cs"/>
          <w:b/>
          <w:bCs/>
          <w:sz w:val="24"/>
          <w:szCs w:val="24"/>
          <w:rtl/>
        </w:rPr>
        <w:t>20</w:t>
      </w:r>
      <w:r w:rsidRPr="0044090C">
        <w:rPr>
          <w:rFonts w:ascii="Traditional Arabic" w:eastAsia="Calibri" w:hAnsi="Traditional Arabic" w:cs="Traditional Arabic"/>
          <w:b/>
          <w:bCs/>
          <w:sz w:val="24"/>
          <w:szCs w:val="24"/>
          <w:rtl/>
        </w:rPr>
        <w:t>): نتائج اختبار</w:t>
      </w:r>
      <w:r w:rsidRPr="0044090C">
        <w:rPr>
          <w:rFonts w:ascii="Traditional Arabic" w:eastAsia="Calibri" w:hAnsi="Traditional Arabic" w:cs="Traditional Arabic"/>
          <w:b/>
          <w:bCs/>
          <w:sz w:val="24"/>
          <w:szCs w:val="24"/>
          <w:lang w:bidi="ar-EG"/>
        </w:rPr>
        <w:t xml:space="preserve"> (T-test) </w:t>
      </w:r>
      <w:r w:rsidRPr="0044090C">
        <w:rPr>
          <w:rFonts w:ascii="Traditional Arabic" w:eastAsia="Calibri" w:hAnsi="Traditional Arabic" w:cs="Traditional Arabic"/>
          <w:b/>
          <w:bCs/>
          <w:sz w:val="24"/>
          <w:szCs w:val="24"/>
          <w:rtl/>
        </w:rPr>
        <w:t>لاستجابات العينة باختلاف النوع</w:t>
      </w:r>
    </w:p>
    <w:tbl>
      <w:tblPr>
        <w:tblW w:w="0" w:type="auto"/>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747"/>
        <w:gridCol w:w="1322"/>
        <w:gridCol w:w="722"/>
        <w:gridCol w:w="1109"/>
        <w:gridCol w:w="1138"/>
        <w:gridCol w:w="1084"/>
        <w:gridCol w:w="744"/>
        <w:gridCol w:w="424"/>
      </w:tblGrid>
      <w:tr w:rsidR="008E2211" w:rsidRPr="0044090C" w14:paraId="1F3DD305" w14:textId="77777777" w:rsidTr="006C3444">
        <w:trPr>
          <w:tblHeader/>
          <w:tblCellSpacing w:w="15" w:type="dxa"/>
          <w:jc w:val="center"/>
        </w:trPr>
        <w:tc>
          <w:tcPr>
            <w:tcW w:w="0" w:type="auto"/>
            <w:shd w:val="clear" w:color="auto" w:fill="E5DFEC" w:themeFill="accent4" w:themeFillTint="33"/>
            <w:vAlign w:val="center"/>
            <w:hideMark/>
          </w:tcPr>
          <w:p w14:paraId="0804B087"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القرار الإحصائي</w:t>
            </w:r>
          </w:p>
        </w:tc>
        <w:tc>
          <w:tcPr>
            <w:tcW w:w="0" w:type="auto"/>
            <w:shd w:val="clear" w:color="auto" w:fill="E5DFEC" w:themeFill="accent4" w:themeFillTint="33"/>
            <w:hideMark/>
          </w:tcPr>
          <w:p w14:paraId="36F4E3EA" w14:textId="4D031FE6"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0"/>
                <w:szCs w:val="20"/>
                <w:rtl/>
              </w:rPr>
              <w:t>مستوى الدلالة</w:t>
            </w:r>
            <w:r w:rsidRPr="0044090C">
              <w:rPr>
                <w:rFonts w:ascii="Traditional Arabic" w:eastAsia="Calibri" w:hAnsi="Traditional Arabic" w:cs="Traditional Arabic" w:hint="cs"/>
                <w:b/>
                <w:bCs/>
                <w:sz w:val="20"/>
                <w:szCs w:val="20"/>
              </w:rPr>
              <w:t xml:space="preserve"> (Sig.)</w:t>
            </w:r>
          </w:p>
        </w:tc>
        <w:tc>
          <w:tcPr>
            <w:tcW w:w="0" w:type="auto"/>
            <w:shd w:val="clear" w:color="auto" w:fill="E5DFEC" w:themeFill="accent4" w:themeFillTint="33"/>
            <w:vAlign w:val="center"/>
            <w:hideMark/>
          </w:tcPr>
          <w:p w14:paraId="6BD85CAD" w14:textId="29C45C79"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4"/>
                <w:szCs w:val="24"/>
                <w:rtl/>
                <w:lang w:bidi="ar-EG"/>
              </w:rPr>
              <w:t xml:space="preserve">قيمة ت </w:t>
            </w:r>
            <w:r w:rsidRPr="0044090C">
              <w:rPr>
                <w:rFonts w:ascii="Traditional Arabic" w:eastAsia="Calibri" w:hAnsi="Traditional Arabic" w:cs="Traditional Arabic"/>
                <w:b/>
                <w:bCs/>
                <w:sz w:val="24"/>
                <w:szCs w:val="24"/>
                <w:lang w:bidi="ar-EG"/>
              </w:rPr>
              <w:t>t</w:t>
            </w:r>
          </w:p>
        </w:tc>
        <w:tc>
          <w:tcPr>
            <w:tcW w:w="0" w:type="auto"/>
            <w:shd w:val="clear" w:color="auto" w:fill="E5DFEC" w:themeFill="accent4" w:themeFillTint="33"/>
            <w:hideMark/>
          </w:tcPr>
          <w:p w14:paraId="66683C6D" w14:textId="00544840"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hint="cs"/>
                <w:b/>
                <w:bCs/>
                <w:sz w:val="20"/>
                <w:szCs w:val="20"/>
                <w:rtl/>
              </w:rPr>
              <w:t>درجات الحرية</w:t>
            </w:r>
            <w:r w:rsidRPr="0044090C">
              <w:rPr>
                <w:rFonts w:ascii="Traditional Arabic" w:eastAsia="Calibri" w:hAnsi="Traditional Arabic" w:cs="Traditional Arabic" w:hint="cs"/>
                <w:b/>
                <w:bCs/>
                <w:sz w:val="20"/>
                <w:szCs w:val="20"/>
              </w:rPr>
              <w:t xml:space="preserve"> (df)</w:t>
            </w:r>
          </w:p>
        </w:tc>
        <w:tc>
          <w:tcPr>
            <w:tcW w:w="0" w:type="auto"/>
            <w:shd w:val="clear" w:color="auto" w:fill="E5DFEC" w:themeFill="accent4" w:themeFillTint="33"/>
            <w:vAlign w:val="center"/>
            <w:hideMark/>
          </w:tcPr>
          <w:p w14:paraId="47E30ADF"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الانحراف المعياري</w:t>
            </w:r>
          </w:p>
        </w:tc>
        <w:tc>
          <w:tcPr>
            <w:tcW w:w="0" w:type="auto"/>
            <w:shd w:val="clear" w:color="auto" w:fill="E5DFEC" w:themeFill="accent4" w:themeFillTint="33"/>
            <w:vAlign w:val="center"/>
            <w:hideMark/>
          </w:tcPr>
          <w:p w14:paraId="6C24EEB7"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المتوسط الحسابي</w:t>
            </w:r>
          </w:p>
        </w:tc>
        <w:tc>
          <w:tcPr>
            <w:tcW w:w="0" w:type="auto"/>
            <w:shd w:val="clear" w:color="auto" w:fill="E5DFEC" w:themeFill="accent4" w:themeFillTint="33"/>
            <w:vAlign w:val="center"/>
            <w:hideMark/>
          </w:tcPr>
          <w:p w14:paraId="5FE6DD49"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العدد</w:t>
            </w:r>
            <w:r w:rsidRPr="0044090C">
              <w:rPr>
                <w:rFonts w:ascii="Traditional Arabic" w:eastAsia="Calibri" w:hAnsi="Traditional Arabic" w:cs="Traditional Arabic"/>
                <w:b/>
                <w:bCs/>
                <w:sz w:val="24"/>
                <w:szCs w:val="24"/>
                <w:lang w:bidi="ar-EG"/>
              </w:rPr>
              <w:t xml:space="preserve"> (n)</w:t>
            </w:r>
          </w:p>
        </w:tc>
        <w:tc>
          <w:tcPr>
            <w:tcW w:w="0" w:type="auto"/>
            <w:shd w:val="clear" w:color="auto" w:fill="E5DFEC" w:themeFill="accent4" w:themeFillTint="33"/>
            <w:vAlign w:val="center"/>
            <w:hideMark/>
          </w:tcPr>
          <w:p w14:paraId="36C42EA2"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النوع</w:t>
            </w:r>
          </w:p>
        </w:tc>
      </w:tr>
      <w:tr w:rsidR="008E2211" w:rsidRPr="0044090C" w14:paraId="7114FDAD" w14:textId="77777777" w:rsidTr="00AC5CD4">
        <w:trPr>
          <w:tblCellSpacing w:w="15" w:type="dxa"/>
          <w:jc w:val="center"/>
        </w:trPr>
        <w:tc>
          <w:tcPr>
            <w:tcW w:w="0" w:type="auto"/>
            <w:vAlign w:val="center"/>
            <w:hideMark/>
          </w:tcPr>
          <w:p w14:paraId="21D53C50"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دال إحصائياً لصالح الذكور</w:t>
            </w:r>
          </w:p>
        </w:tc>
        <w:tc>
          <w:tcPr>
            <w:tcW w:w="0" w:type="auto"/>
            <w:vAlign w:val="center"/>
            <w:hideMark/>
          </w:tcPr>
          <w:p w14:paraId="0C77863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0.034</w:t>
            </w:r>
          </w:p>
        </w:tc>
        <w:tc>
          <w:tcPr>
            <w:tcW w:w="0" w:type="auto"/>
            <w:vAlign w:val="center"/>
            <w:hideMark/>
          </w:tcPr>
          <w:p w14:paraId="60645B1F"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2.14</w:t>
            </w:r>
          </w:p>
        </w:tc>
        <w:tc>
          <w:tcPr>
            <w:tcW w:w="0" w:type="auto"/>
            <w:vAlign w:val="center"/>
            <w:hideMark/>
          </w:tcPr>
          <w:p w14:paraId="05089320"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387</w:t>
            </w:r>
          </w:p>
        </w:tc>
        <w:tc>
          <w:tcPr>
            <w:tcW w:w="0" w:type="auto"/>
            <w:vAlign w:val="center"/>
            <w:hideMark/>
          </w:tcPr>
          <w:p w14:paraId="3500E474"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0.62</w:t>
            </w:r>
          </w:p>
        </w:tc>
        <w:tc>
          <w:tcPr>
            <w:tcW w:w="0" w:type="auto"/>
            <w:vAlign w:val="center"/>
            <w:hideMark/>
          </w:tcPr>
          <w:p w14:paraId="7E4907F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3.85</w:t>
            </w:r>
          </w:p>
        </w:tc>
        <w:tc>
          <w:tcPr>
            <w:tcW w:w="0" w:type="auto"/>
            <w:vAlign w:val="center"/>
            <w:hideMark/>
          </w:tcPr>
          <w:p w14:paraId="52C34FB1"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165</w:t>
            </w:r>
          </w:p>
        </w:tc>
        <w:tc>
          <w:tcPr>
            <w:tcW w:w="0" w:type="auto"/>
            <w:shd w:val="clear" w:color="auto" w:fill="E5DFEC" w:themeFill="accent4" w:themeFillTint="33"/>
            <w:vAlign w:val="center"/>
            <w:hideMark/>
          </w:tcPr>
          <w:p w14:paraId="29D525B9"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ذكور</w:t>
            </w:r>
          </w:p>
        </w:tc>
      </w:tr>
      <w:tr w:rsidR="008E2211" w:rsidRPr="0044090C" w14:paraId="24613720" w14:textId="77777777" w:rsidTr="00AC5CD4">
        <w:trPr>
          <w:tblCellSpacing w:w="15" w:type="dxa"/>
          <w:jc w:val="center"/>
        </w:trPr>
        <w:tc>
          <w:tcPr>
            <w:tcW w:w="0" w:type="auto"/>
            <w:vAlign w:val="center"/>
            <w:hideMark/>
          </w:tcPr>
          <w:p w14:paraId="4D54BD06"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6E46DAA"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44FEE78"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97C580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w:t>
            </w:r>
          </w:p>
        </w:tc>
        <w:tc>
          <w:tcPr>
            <w:tcW w:w="0" w:type="auto"/>
            <w:vAlign w:val="center"/>
            <w:hideMark/>
          </w:tcPr>
          <w:p w14:paraId="42499D4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0.58</w:t>
            </w:r>
          </w:p>
        </w:tc>
        <w:tc>
          <w:tcPr>
            <w:tcW w:w="0" w:type="auto"/>
            <w:vAlign w:val="center"/>
            <w:hideMark/>
          </w:tcPr>
          <w:p w14:paraId="1D2337A9"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3.67</w:t>
            </w:r>
          </w:p>
        </w:tc>
        <w:tc>
          <w:tcPr>
            <w:tcW w:w="0" w:type="auto"/>
            <w:vAlign w:val="center"/>
            <w:hideMark/>
          </w:tcPr>
          <w:p w14:paraId="6B1B0ED5" w14:textId="77777777" w:rsidR="008E2211" w:rsidRPr="0044090C" w:rsidRDefault="008E2211" w:rsidP="008E2211">
            <w:pPr>
              <w:bidi/>
              <w:spacing w:after="200" w:line="360" w:lineRule="auto"/>
              <w:contextualSpacing/>
              <w:jc w:val="center"/>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lang w:bidi="ar-EG"/>
              </w:rPr>
              <w:t>224</w:t>
            </w:r>
          </w:p>
        </w:tc>
        <w:tc>
          <w:tcPr>
            <w:tcW w:w="0" w:type="auto"/>
            <w:shd w:val="clear" w:color="auto" w:fill="E5DFEC" w:themeFill="accent4" w:themeFillTint="33"/>
            <w:vAlign w:val="center"/>
            <w:hideMark/>
          </w:tcPr>
          <w:p w14:paraId="0814E350" w14:textId="77777777" w:rsidR="008E2211" w:rsidRPr="0044090C" w:rsidRDefault="008E2211" w:rsidP="008E2211">
            <w:pPr>
              <w:bidi/>
              <w:spacing w:after="200" w:line="360" w:lineRule="auto"/>
              <w:contextualSpacing/>
              <w:jc w:val="both"/>
              <w:rPr>
                <w:rFonts w:ascii="Traditional Arabic" w:eastAsia="Calibri" w:hAnsi="Traditional Arabic" w:cs="Traditional Arabic"/>
                <w:b/>
                <w:bCs/>
                <w:sz w:val="24"/>
                <w:szCs w:val="24"/>
                <w:lang w:bidi="ar-EG"/>
              </w:rPr>
            </w:pPr>
            <w:r w:rsidRPr="0044090C">
              <w:rPr>
                <w:rFonts w:ascii="Traditional Arabic" w:eastAsia="Calibri" w:hAnsi="Traditional Arabic" w:cs="Traditional Arabic"/>
                <w:b/>
                <w:bCs/>
                <w:sz w:val="24"/>
                <w:szCs w:val="24"/>
                <w:rtl/>
              </w:rPr>
              <w:t>إناث</w:t>
            </w:r>
          </w:p>
        </w:tc>
      </w:tr>
    </w:tbl>
    <w:p w14:paraId="4D51F498" w14:textId="74D42F40" w:rsidR="00FB7150" w:rsidRPr="0044090C" w:rsidRDefault="00AC5CD4" w:rsidP="00AC5CD4">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3C94183B" w14:textId="39B95061" w:rsidR="008E3B62" w:rsidRPr="0044090C" w:rsidRDefault="00AC5CD4" w:rsidP="00AC5CD4">
      <w:pPr>
        <w:bidi/>
        <w:spacing w:after="200" w:line="360" w:lineRule="auto"/>
        <w:ind w:firstLine="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sz w:val="24"/>
          <w:szCs w:val="24"/>
          <w:rtl/>
          <w:lang w:bidi="ar-EG"/>
        </w:rPr>
        <w:t>نستنتج من نتائج الجدول (</w:t>
      </w:r>
      <w:r w:rsidR="002F1B1A">
        <w:rPr>
          <w:rFonts w:ascii="Traditional Arabic" w:eastAsia="Calibri" w:hAnsi="Traditional Arabic" w:cs="Traditional Arabic" w:hint="cs"/>
          <w:sz w:val="24"/>
          <w:szCs w:val="24"/>
          <w:rtl/>
          <w:lang w:bidi="ar-EG"/>
        </w:rPr>
        <w:t>20</w:t>
      </w:r>
      <w:r w:rsidRPr="0044090C">
        <w:rPr>
          <w:rFonts w:ascii="Traditional Arabic" w:eastAsia="Calibri" w:hAnsi="Traditional Arabic" w:cs="Traditional Arabic"/>
          <w:sz w:val="24"/>
          <w:szCs w:val="24"/>
          <w:rtl/>
          <w:lang w:bidi="ar-EG"/>
        </w:rPr>
        <w:t>) أن هناك فروقاً ذات دلالة إحصائية في إدراك أفراد العينة لمتغيرات الدراسة تُعزى إلى متغير النوع (الجنس)؛ حيث بلغت قيمة ت المحسوبة (</w:t>
      </w:r>
      <w:r w:rsidRPr="0044090C">
        <w:rPr>
          <w:rFonts w:ascii="Traditional Arabic" w:eastAsia="Calibri" w:hAnsi="Traditional Arabic" w:cs="Traditional Arabic"/>
          <w:sz w:val="24"/>
          <w:szCs w:val="24"/>
          <w:lang w:bidi="ar-EG"/>
        </w:rPr>
        <w:t>t = 2.14</w:t>
      </w:r>
      <w:r w:rsidRPr="0044090C">
        <w:rPr>
          <w:rFonts w:ascii="Traditional Arabic" w:eastAsia="Calibri" w:hAnsi="Traditional Arabic" w:cs="Traditional Arabic"/>
          <w:sz w:val="24"/>
          <w:szCs w:val="24"/>
          <w:rtl/>
          <w:lang w:bidi="ar-EG"/>
        </w:rPr>
        <w:t>) عند درجة حرية (</w:t>
      </w:r>
      <w:r w:rsidRPr="0044090C">
        <w:rPr>
          <w:rFonts w:ascii="Traditional Arabic" w:eastAsia="Calibri" w:hAnsi="Traditional Arabic" w:cs="Traditional Arabic"/>
          <w:sz w:val="24"/>
          <w:szCs w:val="24"/>
          <w:lang w:bidi="ar-EG"/>
        </w:rPr>
        <w:t>df = 387</w:t>
      </w:r>
      <w:r w:rsidRPr="0044090C">
        <w:rPr>
          <w:rFonts w:ascii="Traditional Arabic" w:eastAsia="Calibri" w:hAnsi="Traditional Arabic" w:cs="Traditional Arabic"/>
          <w:sz w:val="24"/>
          <w:szCs w:val="24"/>
          <w:rtl/>
          <w:lang w:bidi="ar-EG"/>
        </w:rPr>
        <w:t>)، وهي دالة إحصائياً نظراً لأن مستوى الدلالة بلغ (</w:t>
      </w:r>
      <w:r w:rsidRPr="0044090C">
        <w:rPr>
          <w:rFonts w:ascii="Traditional Arabic" w:eastAsia="Calibri" w:hAnsi="Traditional Arabic" w:cs="Traditional Arabic"/>
          <w:sz w:val="24"/>
          <w:szCs w:val="24"/>
          <w:lang w:bidi="ar-EG"/>
        </w:rPr>
        <w:t>Sig. = 0.034</w:t>
      </w:r>
      <w:r w:rsidRPr="0044090C">
        <w:rPr>
          <w:rFonts w:ascii="Traditional Arabic" w:eastAsia="Calibri" w:hAnsi="Traditional Arabic" w:cs="Traditional Arabic"/>
          <w:sz w:val="24"/>
          <w:szCs w:val="24"/>
          <w:rtl/>
          <w:lang w:bidi="ar-EG"/>
        </w:rPr>
        <w:t>) وهو أقل من مستوى المعنوية المعتمد (0.05) [0.6.2، 0.6.4].وتشير النتائج من خلال المقارنة بين المتوسطات الحسابية إلى أن متوسط إدراك الذكور لمتغيرات الدراسة كان أعلى؛ حيث بلغ (3.85) مقارنة بمتوسط الإناث الذي بلغ (3.67). وبناءً عليه، يُقبل الشق الأول من الفرضية الخامسة.</w:t>
      </w:r>
    </w:p>
    <w:p w14:paraId="47E531B7" w14:textId="57327B63" w:rsidR="00402748" w:rsidRPr="0044090C" w:rsidRDefault="00402748" w:rsidP="00402748">
      <w:pPr>
        <w:bidi/>
        <w:spacing w:after="200" w:line="360" w:lineRule="auto"/>
        <w:contextualSpacing/>
        <w:jc w:val="both"/>
        <w:rPr>
          <w:rFonts w:ascii="Traditional Arabic" w:eastAsia="Calibri" w:hAnsi="Traditional Arabic" w:cs="Traditional Arabic"/>
          <w:b/>
          <w:bCs/>
          <w:sz w:val="24"/>
          <w:szCs w:val="24"/>
          <w:rtl/>
        </w:rPr>
      </w:pPr>
      <w:r w:rsidRPr="0044090C">
        <w:rPr>
          <w:rFonts w:ascii="Traditional Arabic" w:eastAsia="Calibri" w:hAnsi="Traditional Arabic" w:cs="Traditional Arabic"/>
          <w:b/>
          <w:bCs/>
          <w:sz w:val="24"/>
          <w:szCs w:val="24"/>
          <w:rtl/>
        </w:rPr>
        <w:t>الجدول (</w:t>
      </w:r>
      <w:r w:rsidR="002F1B1A">
        <w:rPr>
          <w:rFonts w:ascii="Traditional Arabic" w:eastAsia="Calibri" w:hAnsi="Traditional Arabic" w:cs="Traditional Arabic" w:hint="cs"/>
          <w:b/>
          <w:bCs/>
          <w:sz w:val="24"/>
          <w:szCs w:val="24"/>
          <w:rtl/>
        </w:rPr>
        <w:t>21</w:t>
      </w:r>
      <w:r w:rsidRPr="0044090C">
        <w:rPr>
          <w:rFonts w:ascii="Traditional Arabic" w:eastAsia="Calibri" w:hAnsi="Traditional Arabic" w:cs="Traditional Arabic"/>
          <w:b/>
          <w:bCs/>
          <w:sz w:val="24"/>
          <w:szCs w:val="24"/>
          <w:rtl/>
        </w:rPr>
        <w:t>): نتائج اختبار تحليل التباين الأحادي</w:t>
      </w:r>
      <w:r w:rsidRPr="0044090C">
        <w:rPr>
          <w:rFonts w:ascii="Traditional Arabic" w:eastAsia="Calibri" w:hAnsi="Traditional Arabic" w:cs="Traditional Arabic"/>
          <w:b/>
          <w:bCs/>
          <w:sz w:val="24"/>
          <w:szCs w:val="24"/>
          <w:lang w:bidi="ar-EG"/>
        </w:rPr>
        <w:t xml:space="preserve"> (One-Way ANOVA) </w:t>
      </w:r>
      <w:r w:rsidRPr="0044090C">
        <w:rPr>
          <w:rFonts w:ascii="Traditional Arabic" w:eastAsia="Calibri" w:hAnsi="Traditional Arabic" w:cs="Traditional Arabic"/>
          <w:b/>
          <w:bCs/>
          <w:sz w:val="24"/>
          <w:szCs w:val="24"/>
          <w:rtl/>
        </w:rPr>
        <w:t>للفروق تعزى للمؤهل، الوظيفة، والخبرة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114"/>
        <w:gridCol w:w="1023"/>
        <w:gridCol w:w="1055"/>
        <w:gridCol w:w="1018"/>
        <w:gridCol w:w="1040"/>
        <w:gridCol w:w="1047"/>
        <w:gridCol w:w="1046"/>
        <w:gridCol w:w="947"/>
      </w:tblGrid>
      <w:tr w:rsidR="00402748" w:rsidRPr="0044090C" w14:paraId="74BFAEEF" w14:textId="50F6E207" w:rsidTr="0071290F">
        <w:trPr>
          <w:tblCellSpacing w:w="20" w:type="dxa"/>
        </w:trPr>
        <w:tc>
          <w:tcPr>
            <w:tcW w:w="1098" w:type="dxa"/>
            <w:shd w:val="clear" w:color="auto" w:fill="E5DFEC" w:themeFill="accent4" w:themeFillTint="33"/>
          </w:tcPr>
          <w:p w14:paraId="2F24AF36" w14:textId="32CB7714"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المتغير الديموغرافي</w:t>
            </w:r>
          </w:p>
        </w:tc>
        <w:tc>
          <w:tcPr>
            <w:tcW w:w="1020" w:type="dxa"/>
            <w:shd w:val="clear" w:color="auto" w:fill="E5DFEC" w:themeFill="accent4" w:themeFillTint="33"/>
          </w:tcPr>
          <w:p w14:paraId="2D62832F" w14:textId="4914BB66"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مصدر التباين</w:t>
            </w:r>
          </w:p>
        </w:tc>
        <w:tc>
          <w:tcPr>
            <w:tcW w:w="1054" w:type="dxa"/>
            <w:shd w:val="clear" w:color="auto" w:fill="E5DFEC" w:themeFill="accent4" w:themeFillTint="33"/>
          </w:tcPr>
          <w:p w14:paraId="374F7060" w14:textId="10A4FF6D"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مجموع المربعات</w:t>
            </w:r>
          </w:p>
        </w:tc>
        <w:tc>
          <w:tcPr>
            <w:tcW w:w="1040" w:type="dxa"/>
            <w:shd w:val="clear" w:color="auto" w:fill="E5DFEC" w:themeFill="accent4" w:themeFillTint="33"/>
          </w:tcPr>
          <w:p w14:paraId="7D96E598" w14:textId="72F9ED64"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درجات الحرية</w:t>
            </w:r>
            <w:r w:rsidRPr="0044090C">
              <w:rPr>
                <w:rFonts w:ascii="Traditional Arabic" w:eastAsia="Calibri" w:hAnsi="Traditional Arabic" w:cs="Traditional Arabic" w:hint="cs"/>
                <w:b/>
                <w:bCs/>
                <w:sz w:val="20"/>
                <w:szCs w:val="20"/>
              </w:rPr>
              <w:t xml:space="preserve"> (df)</w:t>
            </w:r>
          </w:p>
        </w:tc>
        <w:tc>
          <w:tcPr>
            <w:tcW w:w="1054" w:type="dxa"/>
            <w:shd w:val="clear" w:color="auto" w:fill="E5DFEC" w:themeFill="accent4" w:themeFillTint="33"/>
          </w:tcPr>
          <w:p w14:paraId="20F2E671" w14:textId="0C3DADAC"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متوسط المربعات</w:t>
            </w:r>
          </w:p>
        </w:tc>
        <w:tc>
          <w:tcPr>
            <w:tcW w:w="1062" w:type="dxa"/>
            <w:shd w:val="clear" w:color="auto" w:fill="E5DFEC" w:themeFill="accent4" w:themeFillTint="33"/>
          </w:tcPr>
          <w:p w14:paraId="217F3806" w14:textId="33B1A893" w:rsidR="00402748" w:rsidRPr="0044090C" w:rsidRDefault="00402748" w:rsidP="00402748">
            <w:pPr>
              <w:bidi/>
              <w:spacing w:after="200" w:line="360" w:lineRule="auto"/>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قيمة ف المحسوبة</w:t>
            </w:r>
            <w:r w:rsidRPr="0044090C">
              <w:rPr>
                <w:rFonts w:ascii="Traditional Arabic" w:eastAsia="Calibri" w:hAnsi="Traditional Arabic" w:cs="Traditional Arabic" w:hint="cs"/>
                <w:b/>
                <w:bCs/>
                <w:sz w:val="20"/>
                <w:szCs w:val="20"/>
              </w:rPr>
              <w:t xml:space="preserve"> (F)</w:t>
            </w:r>
          </w:p>
        </w:tc>
        <w:tc>
          <w:tcPr>
            <w:tcW w:w="1061" w:type="dxa"/>
            <w:shd w:val="clear" w:color="auto" w:fill="E5DFEC" w:themeFill="accent4" w:themeFillTint="33"/>
          </w:tcPr>
          <w:p w14:paraId="2894EFC9" w14:textId="6BD76841"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مستوى الدلالة</w:t>
            </w:r>
            <w:r w:rsidRPr="0044090C">
              <w:rPr>
                <w:rFonts w:ascii="Traditional Arabic" w:eastAsia="Calibri" w:hAnsi="Traditional Arabic" w:cs="Traditional Arabic" w:hint="cs"/>
                <w:b/>
                <w:bCs/>
                <w:sz w:val="20"/>
                <w:szCs w:val="20"/>
              </w:rPr>
              <w:t xml:space="preserve"> (Sig.)</w:t>
            </w:r>
          </w:p>
        </w:tc>
        <w:tc>
          <w:tcPr>
            <w:tcW w:w="907" w:type="dxa"/>
            <w:shd w:val="clear" w:color="auto" w:fill="E5DFEC" w:themeFill="accent4" w:themeFillTint="33"/>
          </w:tcPr>
          <w:p w14:paraId="2A49F598" w14:textId="3817A5AE"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القرار الإحصائي</w:t>
            </w:r>
          </w:p>
        </w:tc>
      </w:tr>
      <w:tr w:rsidR="00402748" w:rsidRPr="0044090C" w14:paraId="3E7B5EBB" w14:textId="725F93E5" w:rsidTr="0071290F">
        <w:trPr>
          <w:trHeight w:val="184"/>
          <w:tblCellSpacing w:w="20" w:type="dxa"/>
        </w:trPr>
        <w:tc>
          <w:tcPr>
            <w:tcW w:w="1098" w:type="dxa"/>
            <w:vMerge w:val="restart"/>
            <w:shd w:val="clear" w:color="auto" w:fill="E5DFEC" w:themeFill="accent4" w:themeFillTint="33"/>
          </w:tcPr>
          <w:p w14:paraId="78A6FA83" w14:textId="02C9ABC9"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lastRenderedPageBreak/>
              <w:t>المؤهل العلمي</w:t>
            </w:r>
          </w:p>
        </w:tc>
        <w:tc>
          <w:tcPr>
            <w:tcW w:w="1020" w:type="dxa"/>
          </w:tcPr>
          <w:p w14:paraId="38E55ED0" w14:textId="43B59902"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 xml:space="preserve">بين المجموعات </w:t>
            </w:r>
          </w:p>
        </w:tc>
        <w:tc>
          <w:tcPr>
            <w:tcW w:w="1054" w:type="dxa"/>
          </w:tcPr>
          <w:p w14:paraId="527328B4" w14:textId="220130B6"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4.12</w:t>
            </w:r>
          </w:p>
        </w:tc>
        <w:tc>
          <w:tcPr>
            <w:tcW w:w="1040" w:type="dxa"/>
          </w:tcPr>
          <w:p w14:paraId="26ED64BF" w14:textId="2232C5CB"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2</w:t>
            </w:r>
          </w:p>
        </w:tc>
        <w:tc>
          <w:tcPr>
            <w:tcW w:w="1054" w:type="dxa"/>
          </w:tcPr>
          <w:p w14:paraId="7C3EC7AD" w14:textId="3F7EBA95"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2.06</w:t>
            </w:r>
          </w:p>
        </w:tc>
        <w:tc>
          <w:tcPr>
            <w:tcW w:w="1062" w:type="dxa"/>
            <w:vMerge w:val="restart"/>
          </w:tcPr>
          <w:p w14:paraId="0F7F4551" w14:textId="372EA9C5"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6.34</w:t>
            </w:r>
          </w:p>
        </w:tc>
        <w:tc>
          <w:tcPr>
            <w:tcW w:w="1061" w:type="dxa"/>
            <w:vMerge w:val="restart"/>
          </w:tcPr>
          <w:p w14:paraId="2092E582" w14:textId="386D32F9"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0.002</w:t>
            </w:r>
          </w:p>
        </w:tc>
        <w:tc>
          <w:tcPr>
            <w:tcW w:w="907" w:type="dxa"/>
            <w:vMerge w:val="restart"/>
          </w:tcPr>
          <w:p w14:paraId="57B9A390" w14:textId="05037A34"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دال إحصائياً (توجد فروق)</w:t>
            </w:r>
          </w:p>
        </w:tc>
      </w:tr>
      <w:tr w:rsidR="00402748" w:rsidRPr="0044090C" w14:paraId="1B73FA1B" w14:textId="77777777" w:rsidTr="0071290F">
        <w:trPr>
          <w:trHeight w:val="184"/>
          <w:tblCellSpacing w:w="20" w:type="dxa"/>
        </w:trPr>
        <w:tc>
          <w:tcPr>
            <w:tcW w:w="1098" w:type="dxa"/>
            <w:vMerge/>
            <w:shd w:val="clear" w:color="auto" w:fill="E5DFEC" w:themeFill="accent4" w:themeFillTint="33"/>
          </w:tcPr>
          <w:p w14:paraId="044E85E9"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5373E634" w14:textId="02F1B8D1"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lang w:bidi="ar-EG"/>
              </w:rPr>
            </w:pPr>
            <w:r w:rsidRPr="0044090C">
              <w:rPr>
                <w:rFonts w:ascii="Traditional Arabic" w:eastAsia="Calibri" w:hAnsi="Traditional Arabic" w:cs="Traditional Arabic" w:hint="cs"/>
                <w:b/>
                <w:bCs/>
                <w:sz w:val="20"/>
                <w:szCs w:val="20"/>
                <w:rtl/>
              </w:rPr>
              <w:t xml:space="preserve">داخل </w:t>
            </w:r>
            <w:r w:rsidR="007F6932">
              <w:rPr>
                <w:rFonts w:ascii="Traditional Arabic" w:eastAsia="Calibri" w:hAnsi="Traditional Arabic" w:cs="Traditional Arabic" w:hint="cs"/>
                <w:b/>
                <w:bCs/>
                <w:sz w:val="20"/>
                <w:szCs w:val="20"/>
                <w:rtl/>
                <w:lang w:bidi="ar-EG"/>
              </w:rPr>
              <w:t>المجموعات</w:t>
            </w:r>
          </w:p>
        </w:tc>
        <w:tc>
          <w:tcPr>
            <w:tcW w:w="1054" w:type="dxa"/>
          </w:tcPr>
          <w:p w14:paraId="20533953" w14:textId="6CE6C7FD"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125.43</w:t>
            </w:r>
          </w:p>
        </w:tc>
        <w:tc>
          <w:tcPr>
            <w:tcW w:w="1040" w:type="dxa"/>
          </w:tcPr>
          <w:p w14:paraId="33CAF63A" w14:textId="523ED7D8"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386</w:t>
            </w:r>
          </w:p>
        </w:tc>
        <w:tc>
          <w:tcPr>
            <w:tcW w:w="1054" w:type="dxa"/>
          </w:tcPr>
          <w:p w14:paraId="0C54D714" w14:textId="0BA993E9"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0.325</w:t>
            </w:r>
          </w:p>
        </w:tc>
        <w:tc>
          <w:tcPr>
            <w:tcW w:w="1062" w:type="dxa"/>
            <w:vMerge/>
          </w:tcPr>
          <w:p w14:paraId="2DCBE319"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01D3FED7"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3CE43FE5"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r>
      <w:tr w:rsidR="00402748" w:rsidRPr="0044090C" w14:paraId="5B7B0C0E" w14:textId="77777777" w:rsidTr="0071290F">
        <w:trPr>
          <w:trHeight w:val="184"/>
          <w:tblCellSpacing w:w="20" w:type="dxa"/>
        </w:trPr>
        <w:tc>
          <w:tcPr>
            <w:tcW w:w="1098" w:type="dxa"/>
            <w:vMerge/>
            <w:shd w:val="clear" w:color="auto" w:fill="E5DFEC" w:themeFill="accent4" w:themeFillTint="33"/>
          </w:tcPr>
          <w:p w14:paraId="4B4E93FB"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208FEA8A" w14:textId="3589FDA2" w:rsidR="00402748" w:rsidRPr="0044090C" w:rsidRDefault="002820CC"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4C256841" w14:textId="7CE54546"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129.55</w:t>
            </w:r>
          </w:p>
        </w:tc>
        <w:tc>
          <w:tcPr>
            <w:tcW w:w="1040" w:type="dxa"/>
          </w:tcPr>
          <w:p w14:paraId="521D6153" w14:textId="2201BBB8" w:rsidR="00402748" w:rsidRPr="0044090C" w:rsidRDefault="002820CC" w:rsidP="002820CC">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388</w:t>
            </w:r>
          </w:p>
        </w:tc>
        <w:tc>
          <w:tcPr>
            <w:tcW w:w="1054" w:type="dxa"/>
          </w:tcPr>
          <w:p w14:paraId="4C2B9394"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3EC97A38"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52628DEF"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29EBF0A1" w14:textId="77777777" w:rsidR="00402748" w:rsidRPr="0044090C" w:rsidRDefault="00402748"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273E2955" w14:textId="07C4B065" w:rsidTr="0071290F">
        <w:trPr>
          <w:trHeight w:val="184"/>
          <w:tblCellSpacing w:w="20" w:type="dxa"/>
        </w:trPr>
        <w:tc>
          <w:tcPr>
            <w:tcW w:w="1098" w:type="dxa"/>
            <w:vMerge w:val="restart"/>
            <w:shd w:val="clear" w:color="auto" w:fill="E5DFEC" w:themeFill="accent4" w:themeFillTint="33"/>
          </w:tcPr>
          <w:p w14:paraId="1DEDEFBF" w14:textId="6E11C2EE"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 xml:space="preserve">نوع الوظيفة </w:t>
            </w:r>
          </w:p>
        </w:tc>
        <w:tc>
          <w:tcPr>
            <w:tcW w:w="1020" w:type="dxa"/>
          </w:tcPr>
          <w:p w14:paraId="4C13349F" w14:textId="14829A8C"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بين المجموعات</w:t>
            </w:r>
          </w:p>
        </w:tc>
        <w:tc>
          <w:tcPr>
            <w:tcW w:w="1054" w:type="dxa"/>
          </w:tcPr>
          <w:p w14:paraId="17D6A77C" w14:textId="4B5157DB"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1.88</w:t>
            </w:r>
          </w:p>
        </w:tc>
        <w:tc>
          <w:tcPr>
            <w:tcW w:w="1040" w:type="dxa"/>
          </w:tcPr>
          <w:p w14:paraId="20E3ECDB" w14:textId="1187B4BF"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w:t>
            </w:r>
          </w:p>
        </w:tc>
        <w:tc>
          <w:tcPr>
            <w:tcW w:w="1054" w:type="dxa"/>
          </w:tcPr>
          <w:p w14:paraId="630258DC" w14:textId="6DCED256"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0.627</w:t>
            </w:r>
          </w:p>
        </w:tc>
        <w:tc>
          <w:tcPr>
            <w:tcW w:w="1062" w:type="dxa"/>
            <w:vMerge w:val="restart"/>
          </w:tcPr>
          <w:p w14:paraId="6C17DED0" w14:textId="7BFB035F"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1.70</w:t>
            </w:r>
          </w:p>
        </w:tc>
        <w:tc>
          <w:tcPr>
            <w:tcW w:w="1061" w:type="dxa"/>
            <w:vMerge w:val="restart"/>
          </w:tcPr>
          <w:p w14:paraId="6ACBCB2B" w14:textId="4FA1167E"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0.166</w:t>
            </w:r>
          </w:p>
        </w:tc>
        <w:tc>
          <w:tcPr>
            <w:tcW w:w="907" w:type="dxa"/>
            <w:vMerge w:val="restart"/>
          </w:tcPr>
          <w:p w14:paraId="1FAFC771" w14:textId="61C42AD3" w:rsidR="001A35AE" w:rsidRPr="0044090C" w:rsidRDefault="001A35AE" w:rsidP="001A35AE">
            <w:pPr>
              <w:bidi/>
              <w:spacing w:after="200" w:line="360" w:lineRule="auto"/>
              <w:contextualSpacing/>
              <w:jc w:val="center"/>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غير دال (لا توجد فروق)</w:t>
            </w:r>
          </w:p>
        </w:tc>
      </w:tr>
      <w:tr w:rsidR="001A35AE" w:rsidRPr="0044090C" w14:paraId="18814792" w14:textId="77777777" w:rsidTr="0071290F">
        <w:trPr>
          <w:trHeight w:val="184"/>
          <w:tblCellSpacing w:w="20" w:type="dxa"/>
        </w:trPr>
        <w:tc>
          <w:tcPr>
            <w:tcW w:w="1098" w:type="dxa"/>
            <w:vMerge/>
            <w:shd w:val="clear" w:color="auto" w:fill="E5DFEC" w:themeFill="accent4" w:themeFillTint="33"/>
          </w:tcPr>
          <w:p w14:paraId="2DCF3373"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00F59D25" w14:textId="1DB430A9"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داخل المجموعات</w:t>
            </w:r>
          </w:p>
        </w:tc>
        <w:tc>
          <w:tcPr>
            <w:tcW w:w="1054" w:type="dxa"/>
          </w:tcPr>
          <w:p w14:paraId="699A55AA" w14:textId="36653DA6"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142.15</w:t>
            </w:r>
          </w:p>
        </w:tc>
        <w:tc>
          <w:tcPr>
            <w:tcW w:w="1040" w:type="dxa"/>
          </w:tcPr>
          <w:p w14:paraId="60D54C50" w14:textId="506AB088"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385</w:t>
            </w:r>
          </w:p>
        </w:tc>
        <w:tc>
          <w:tcPr>
            <w:tcW w:w="1054" w:type="dxa"/>
          </w:tcPr>
          <w:p w14:paraId="71DD75D2" w14:textId="71EDD0F2"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0.369</w:t>
            </w:r>
          </w:p>
        </w:tc>
        <w:tc>
          <w:tcPr>
            <w:tcW w:w="1062" w:type="dxa"/>
            <w:vMerge/>
          </w:tcPr>
          <w:p w14:paraId="57FDF48C"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449B710E"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1A4D09E5"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01241845" w14:textId="77777777" w:rsidTr="0071290F">
        <w:trPr>
          <w:trHeight w:val="184"/>
          <w:tblCellSpacing w:w="20" w:type="dxa"/>
        </w:trPr>
        <w:tc>
          <w:tcPr>
            <w:tcW w:w="1098" w:type="dxa"/>
            <w:vMerge/>
            <w:shd w:val="clear" w:color="auto" w:fill="E5DFEC" w:themeFill="accent4" w:themeFillTint="33"/>
          </w:tcPr>
          <w:p w14:paraId="32A37A6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449C0E32" w14:textId="4973B991"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31D97E44" w14:textId="5B1028CE"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144.03</w:t>
            </w:r>
          </w:p>
        </w:tc>
        <w:tc>
          <w:tcPr>
            <w:tcW w:w="1040" w:type="dxa"/>
          </w:tcPr>
          <w:p w14:paraId="7FCDB1F8" w14:textId="5E758CA0" w:rsidR="001A35AE" w:rsidRPr="0044090C" w:rsidRDefault="001A35AE" w:rsidP="001A35AE">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388</w:t>
            </w:r>
          </w:p>
        </w:tc>
        <w:tc>
          <w:tcPr>
            <w:tcW w:w="1054" w:type="dxa"/>
          </w:tcPr>
          <w:p w14:paraId="11316AF0"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2FE025C5"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4515D354"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71591268"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66D2D057" w14:textId="77777777" w:rsidTr="0071290F">
        <w:trPr>
          <w:trHeight w:val="184"/>
          <w:tblCellSpacing w:w="20" w:type="dxa"/>
        </w:trPr>
        <w:tc>
          <w:tcPr>
            <w:tcW w:w="1098" w:type="dxa"/>
            <w:vMerge w:val="restart"/>
            <w:shd w:val="clear" w:color="auto" w:fill="E5DFEC" w:themeFill="accent4" w:themeFillTint="33"/>
          </w:tcPr>
          <w:p w14:paraId="4C8BA363" w14:textId="740EFD8F"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سنوات الخبرة</w:t>
            </w:r>
          </w:p>
        </w:tc>
        <w:tc>
          <w:tcPr>
            <w:tcW w:w="1020" w:type="dxa"/>
          </w:tcPr>
          <w:p w14:paraId="2407DFFD" w14:textId="53EBDA31"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بين المجموعات</w:t>
            </w:r>
          </w:p>
        </w:tc>
        <w:tc>
          <w:tcPr>
            <w:tcW w:w="1054" w:type="dxa"/>
          </w:tcPr>
          <w:p w14:paraId="5D28AA46" w14:textId="0CA6A437"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9.76</w:t>
            </w:r>
          </w:p>
        </w:tc>
        <w:tc>
          <w:tcPr>
            <w:tcW w:w="1040" w:type="dxa"/>
          </w:tcPr>
          <w:p w14:paraId="7C193690" w14:textId="67C55486"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3</w:t>
            </w:r>
          </w:p>
        </w:tc>
        <w:tc>
          <w:tcPr>
            <w:tcW w:w="1054" w:type="dxa"/>
          </w:tcPr>
          <w:p w14:paraId="6E4F2B2B" w14:textId="6AF95613"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3.253</w:t>
            </w:r>
          </w:p>
        </w:tc>
        <w:tc>
          <w:tcPr>
            <w:tcW w:w="1062" w:type="dxa"/>
            <w:vMerge w:val="restart"/>
          </w:tcPr>
          <w:p w14:paraId="6E38105F" w14:textId="6D2C124E"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11.14</w:t>
            </w:r>
          </w:p>
        </w:tc>
        <w:tc>
          <w:tcPr>
            <w:tcW w:w="1061" w:type="dxa"/>
            <w:vMerge w:val="restart"/>
          </w:tcPr>
          <w:p w14:paraId="77D9012C" w14:textId="0BB85E8E"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0.000</w:t>
            </w:r>
          </w:p>
        </w:tc>
        <w:tc>
          <w:tcPr>
            <w:tcW w:w="907" w:type="dxa"/>
            <w:vMerge w:val="restart"/>
          </w:tcPr>
          <w:p w14:paraId="5B0EEE24" w14:textId="590C8EE5"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دال إحصائياً (توجد فروق)</w:t>
            </w:r>
          </w:p>
        </w:tc>
      </w:tr>
      <w:tr w:rsidR="001A35AE" w:rsidRPr="0044090C" w14:paraId="1A62BE5F" w14:textId="77777777" w:rsidTr="0071290F">
        <w:trPr>
          <w:trHeight w:val="184"/>
          <w:tblCellSpacing w:w="20" w:type="dxa"/>
        </w:trPr>
        <w:tc>
          <w:tcPr>
            <w:tcW w:w="1098" w:type="dxa"/>
            <w:vMerge/>
            <w:shd w:val="clear" w:color="auto" w:fill="E5DFEC" w:themeFill="accent4" w:themeFillTint="33"/>
          </w:tcPr>
          <w:p w14:paraId="426A3EE2"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00FB4E81" w14:textId="6D14D039"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داخل المجموعات</w:t>
            </w:r>
          </w:p>
        </w:tc>
        <w:tc>
          <w:tcPr>
            <w:tcW w:w="1054" w:type="dxa"/>
          </w:tcPr>
          <w:p w14:paraId="43FF6A07" w14:textId="07F6356D"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112.54</w:t>
            </w:r>
          </w:p>
        </w:tc>
        <w:tc>
          <w:tcPr>
            <w:tcW w:w="1040" w:type="dxa"/>
          </w:tcPr>
          <w:p w14:paraId="38936D1B" w14:textId="231A8FB2"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385</w:t>
            </w:r>
          </w:p>
        </w:tc>
        <w:tc>
          <w:tcPr>
            <w:tcW w:w="1054" w:type="dxa"/>
          </w:tcPr>
          <w:p w14:paraId="0ACD6C98" w14:textId="3982D6B5"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Pr>
              <w:t>0.292</w:t>
            </w:r>
          </w:p>
        </w:tc>
        <w:tc>
          <w:tcPr>
            <w:tcW w:w="1062" w:type="dxa"/>
            <w:vMerge/>
          </w:tcPr>
          <w:p w14:paraId="05CBB726"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733DDB8F"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271CE3F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r w:rsidR="001A35AE" w:rsidRPr="0044090C" w14:paraId="4C721F3E" w14:textId="77777777" w:rsidTr="0071290F">
        <w:trPr>
          <w:trHeight w:val="184"/>
          <w:tblCellSpacing w:w="20" w:type="dxa"/>
        </w:trPr>
        <w:tc>
          <w:tcPr>
            <w:tcW w:w="1098" w:type="dxa"/>
            <w:vMerge/>
            <w:shd w:val="clear" w:color="auto" w:fill="E5DFEC" w:themeFill="accent4" w:themeFillTint="33"/>
          </w:tcPr>
          <w:p w14:paraId="592E001A"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20" w:type="dxa"/>
          </w:tcPr>
          <w:p w14:paraId="54C6CB1F" w14:textId="2179C332" w:rsidR="001A35AE" w:rsidRPr="0044090C" w:rsidRDefault="00CB0B9E" w:rsidP="00402748">
            <w:pPr>
              <w:bidi/>
              <w:spacing w:after="200" w:line="360" w:lineRule="auto"/>
              <w:contextualSpacing/>
              <w:jc w:val="both"/>
              <w:rPr>
                <w:rFonts w:ascii="Traditional Arabic" w:eastAsia="Calibri" w:hAnsi="Traditional Arabic" w:cs="Traditional Arabic"/>
                <w:b/>
                <w:bCs/>
                <w:sz w:val="20"/>
                <w:szCs w:val="20"/>
                <w:rtl/>
              </w:rPr>
            </w:pPr>
            <w:r w:rsidRPr="0044090C">
              <w:rPr>
                <w:rFonts w:ascii="Traditional Arabic" w:eastAsia="Calibri" w:hAnsi="Traditional Arabic" w:cs="Traditional Arabic" w:hint="cs"/>
                <w:b/>
                <w:bCs/>
                <w:sz w:val="20"/>
                <w:szCs w:val="20"/>
                <w:rtl/>
              </w:rPr>
              <w:t>الإجمالي</w:t>
            </w:r>
          </w:p>
        </w:tc>
        <w:tc>
          <w:tcPr>
            <w:tcW w:w="1054" w:type="dxa"/>
          </w:tcPr>
          <w:p w14:paraId="696B50C1" w14:textId="3D170029" w:rsidR="001A35AE" w:rsidRPr="0044090C" w:rsidRDefault="0071290F" w:rsidP="0071290F">
            <w:pPr>
              <w:bidi/>
              <w:spacing w:after="200" w:line="360" w:lineRule="auto"/>
              <w:contextualSpacing/>
              <w:jc w:val="both"/>
              <w:rPr>
                <w:rFonts w:ascii="Traditional Arabic" w:eastAsia="Calibri" w:hAnsi="Traditional Arabic" w:cs="Traditional Arabic"/>
                <w:b/>
                <w:bCs/>
                <w:sz w:val="20"/>
                <w:szCs w:val="20"/>
              </w:rPr>
            </w:pPr>
            <w:r w:rsidRPr="0044090C">
              <w:rPr>
                <w:rFonts w:ascii="Traditional Arabic" w:eastAsia="Calibri" w:hAnsi="Traditional Arabic" w:cs="Traditional Arabic" w:hint="cs"/>
                <w:b/>
                <w:bCs/>
                <w:sz w:val="20"/>
                <w:szCs w:val="20"/>
              </w:rPr>
              <w:t>122.30</w:t>
            </w:r>
          </w:p>
        </w:tc>
        <w:tc>
          <w:tcPr>
            <w:tcW w:w="1040" w:type="dxa"/>
          </w:tcPr>
          <w:p w14:paraId="5505FCEA" w14:textId="5D69AE92" w:rsidR="001A35AE" w:rsidRPr="0044090C" w:rsidRDefault="007F6932" w:rsidP="0071290F">
            <w:pPr>
              <w:bidi/>
              <w:spacing w:after="200" w:line="360" w:lineRule="auto"/>
              <w:contextualSpacing/>
              <w:jc w:val="both"/>
              <w:rPr>
                <w:rFonts w:ascii="Traditional Arabic" w:eastAsia="Calibri" w:hAnsi="Traditional Arabic" w:cs="Traditional Arabic"/>
                <w:b/>
                <w:bCs/>
                <w:sz w:val="20"/>
                <w:szCs w:val="20"/>
              </w:rPr>
            </w:pPr>
            <w:r>
              <w:rPr>
                <w:rFonts w:ascii="Traditional Arabic" w:eastAsia="Calibri" w:hAnsi="Traditional Arabic" w:cs="Traditional Arabic"/>
                <w:b/>
                <w:bCs/>
                <w:sz w:val="20"/>
                <w:szCs w:val="20"/>
              </w:rPr>
              <w:t>389</w:t>
            </w:r>
          </w:p>
        </w:tc>
        <w:tc>
          <w:tcPr>
            <w:tcW w:w="1054" w:type="dxa"/>
          </w:tcPr>
          <w:p w14:paraId="61C48010"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2" w:type="dxa"/>
            <w:vMerge/>
          </w:tcPr>
          <w:p w14:paraId="4A71C499"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1061" w:type="dxa"/>
            <w:vMerge/>
          </w:tcPr>
          <w:p w14:paraId="098FF2CF"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c>
          <w:tcPr>
            <w:tcW w:w="907" w:type="dxa"/>
            <w:vMerge/>
          </w:tcPr>
          <w:p w14:paraId="72629EC7" w14:textId="77777777" w:rsidR="001A35AE" w:rsidRPr="0044090C" w:rsidRDefault="001A35AE" w:rsidP="00402748">
            <w:pPr>
              <w:bidi/>
              <w:spacing w:after="200" w:line="360" w:lineRule="auto"/>
              <w:contextualSpacing/>
              <w:jc w:val="both"/>
              <w:rPr>
                <w:rFonts w:ascii="Traditional Arabic" w:eastAsia="Calibri" w:hAnsi="Traditional Arabic" w:cs="Traditional Arabic"/>
                <w:b/>
                <w:bCs/>
                <w:sz w:val="20"/>
                <w:szCs w:val="20"/>
                <w:rtl/>
              </w:rPr>
            </w:pPr>
          </w:p>
        </w:tc>
      </w:tr>
    </w:tbl>
    <w:p w14:paraId="5AC92B39" w14:textId="77777777" w:rsidR="00402748" w:rsidRPr="0044090C" w:rsidRDefault="00402748" w:rsidP="0071290F">
      <w:pPr>
        <w:bidi/>
        <w:spacing w:after="200" w:line="360" w:lineRule="auto"/>
        <w:contextualSpacing/>
        <w:jc w:val="right"/>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rPr>
        <w:t>المصدر</w:t>
      </w:r>
      <w:r w:rsidRPr="0044090C">
        <w:rPr>
          <w:rFonts w:ascii="Traditional Arabic" w:eastAsia="Calibri" w:hAnsi="Traditional Arabic" w:cs="Traditional Arabic"/>
          <w:b/>
          <w:bCs/>
          <w:sz w:val="24"/>
          <w:szCs w:val="24"/>
          <w:lang w:bidi="ar-EG"/>
        </w:rPr>
        <w:t>:</w:t>
      </w:r>
      <w:r w:rsidRPr="0044090C">
        <w:rPr>
          <w:rFonts w:ascii="Traditional Arabic" w:eastAsia="Calibri" w:hAnsi="Traditional Arabic" w:cs="Traditional Arabic"/>
          <w:sz w:val="24"/>
          <w:szCs w:val="24"/>
          <w:lang w:bidi="ar-EG"/>
        </w:rPr>
        <w:t xml:space="preserve"> </w:t>
      </w:r>
      <w:r w:rsidRPr="0044090C">
        <w:rPr>
          <w:rFonts w:ascii="Traditional Arabic" w:eastAsia="Calibri" w:hAnsi="Traditional Arabic" w:cs="Traditional Arabic"/>
          <w:sz w:val="24"/>
          <w:szCs w:val="24"/>
          <w:rtl/>
        </w:rPr>
        <w:t>إعداد الباحثة اعتماداً على مخرجات التحليل الإحصائي</w:t>
      </w:r>
      <w:r w:rsidRPr="0044090C">
        <w:rPr>
          <w:rFonts w:ascii="Traditional Arabic" w:eastAsia="Calibri" w:hAnsi="Traditional Arabic" w:cs="Traditional Arabic"/>
          <w:sz w:val="24"/>
          <w:szCs w:val="24"/>
          <w:lang w:bidi="ar-EG"/>
        </w:rPr>
        <w:t xml:space="preserve"> (SPSS).</w:t>
      </w:r>
    </w:p>
    <w:p w14:paraId="4B7AB375" w14:textId="77777777" w:rsidR="007F6932" w:rsidRPr="007F6932" w:rsidRDefault="007F6932" w:rsidP="007F6932">
      <w:pPr>
        <w:bidi/>
        <w:spacing w:after="200" w:line="360" w:lineRule="auto"/>
        <w:ind w:firstLine="720"/>
        <w:jc w:val="both"/>
        <w:rPr>
          <w:rFonts w:ascii="Traditional Arabic" w:eastAsia="Calibri" w:hAnsi="Traditional Arabic" w:cs="Traditional Arabic"/>
          <w:sz w:val="24"/>
          <w:szCs w:val="24"/>
          <w:lang w:bidi="ar-EG"/>
        </w:rPr>
      </w:pPr>
      <w:r w:rsidRPr="007F6932">
        <w:rPr>
          <w:rFonts w:ascii="Traditional Arabic" w:eastAsia="Calibri" w:hAnsi="Traditional Arabic" w:cs="Traditional Arabic"/>
          <w:sz w:val="24"/>
          <w:szCs w:val="24"/>
          <w:lang w:bidi="ar-EG"/>
        </w:rPr>
        <w:t>"</w:t>
      </w:r>
      <w:r w:rsidRPr="007F6932">
        <w:rPr>
          <w:rFonts w:ascii="Traditional Arabic" w:eastAsia="Calibri" w:hAnsi="Traditional Arabic" w:cs="Traditional Arabic"/>
          <w:sz w:val="24"/>
          <w:szCs w:val="24"/>
          <w:rtl/>
        </w:rPr>
        <w:t>أظهرت نتائج تحليل التباين الأحادي</w:t>
      </w:r>
      <w:r w:rsidRPr="007F6932">
        <w:rPr>
          <w:rFonts w:ascii="Traditional Arabic" w:eastAsia="Calibri" w:hAnsi="Traditional Arabic" w:cs="Traditional Arabic"/>
          <w:sz w:val="24"/>
          <w:szCs w:val="24"/>
          <w:lang w:bidi="ar-EG"/>
        </w:rPr>
        <w:t xml:space="preserve"> (One-Way ANOVA) </w:t>
      </w:r>
      <w:r w:rsidRPr="007F6932">
        <w:rPr>
          <w:rFonts w:ascii="Traditional Arabic" w:eastAsia="Calibri" w:hAnsi="Traditional Arabic" w:cs="Traditional Arabic"/>
          <w:sz w:val="24"/>
          <w:szCs w:val="24"/>
          <w:rtl/>
        </w:rPr>
        <w:t>الواردة في الجدول (21) تفصيلاً حيوياً للفروق بين أفراد العينة وفقاً لمتغيراتهم الديموغرافية والوظيفية، وذلك على النحو التالي</w:t>
      </w:r>
      <w:r w:rsidRPr="007F6932">
        <w:rPr>
          <w:rFonts w:ascii="Traditional Arabic" w:eastAsia="Calibri" w:hAnsi="Traditional Arabic" w:cs="Traditional Arabic"/>
          <w:sz w:val="24"/>
          <w:szCs w:val="24"/>
          <w:lang w:bidi="ar-EG"/>
        </w:rPr>
        <w:t>:</w:t>
      </w:r>
    </w:p>
    <w:p w14:paraId="3D436573" w14:textId="77777777" w:rsidR="007F6932" w:rsidRPr="007F6932" w:rsidRDefault="007F6932">
      <w:pPr>
        <w:numPr>
          <w:ilvl w:val="0"/>
          <w:numId w:val="48"/>
        </w:numPr>
        <w:bidi/>
        <w:spacing w:after="200" w:line="360" w:lineRule="auto"/>
        <w:jc w:val="both"/>
        <w:rPr>
          <w:rFonts w:ascii="Traditional Arabic" w:eastAsia="Calibri" w:hAnsi="Traditional Arabic" w:cs="Traditional Arabic"/>
          <w:sz w:val="24"/>
          <w:szCs w:val="24"/>
          <w:lang w:bidi="ar-EG"/>
        </w:rPr>
      </w:pPr>
      <w:r w:rsidRPr="007F6932">
        <w:rPr>
          <w:rFonts w:ascii="Traditional Arabic" w:eastAsia="Calibri" w:hAnsi="Traditional Arabic" w:cs="Traditional Arabic"/>
          <w:b/>
          <w:bCs/>
          <w:sz w:val="24"/>
          <w:szCs w:val="24"/>
          <w:rtl/>
        </w:rPr>
        <w:t>المؤهل العلمي</w:t>
      </w:r>
      <w:r w:rsidRPr="007F6932">
        <w:rPr>
          <w:rFonts w:ascii="Traditional Arabic" w:eastAsia="Calibri" w:hAnsi="Traditional Arabic" w:cs="Traditional Arabic"/>
          <w:b/>
          <w:bCs/>
          <w:sz w:val="24"/>
          <w:szCs w:val="24"/>
          <w:lang w:bidi="ar-EG"/>
        </w:rPr>
        <w:t>:</w:t>
      </w:r>
      <w:r w:rsidRPr="007F6932">
        <w:rPr>
          <w:rFonts w:ascii="Traditional Arabic" w:eastAsia="Calibri" w:hAnsi="Traditional Arabic" w:cs="Traditional Arabic"/>
          <w:sz w:val="24"/>
          <w:szCs w:val="24"/>
          <w:lang w:bidi="ar-EG"/>
        </w:rPr>
        <w:t xml:space="preserve"> </w:t>
      </w:r>
      <w:r w:rsidRPr="007F6932">
        <w:rPr>
          <w:rFonts w:ascii="Traditional Arabic" w:eastAsia="Calibri" w:hAnsi="Traditional Arabic" w:cs="Traditional Arabic"/>
          <w:sz w:val="24"/>
          <w:szCs w:val="24"/>
          <w:rtl/>
        </w:rPr>
        <w:t>تبيّن وجود فروق ذات دلالة إحصائية في إدراك أفراد العينة لمتغيرات الدراسة تعزى للمؤهل العلمي؛ حيث بلغت قيمة ف المحسوبة (6.34) بمستوى دلالة</w:t>
      </w:r>
      <w:r w:rsidRPr="007F6932">
        <w:rPr>
          <w:rFonts w:ascii="Traditional Arabic" w:eastAsia="Calibri" w:hAnsi="Traditional Arabic" w:cs="Traditional Arabic"/>
          <w:sz w:val="24"/>
          <w:szCs w:val="24"/>
          <w:lang w:bidi="ar-EG"/>
        </w:rPr>
        <w:t xml:space="preserve"> (Sig = 0.002) </w:t>
      </w:r>
      <w:r w:rsidRPr="007F6932">
        <w:rPr>
          <w:rFonts w:ascii="Traditional Arabic" w:eastAsia="Calibri" w:hAnsi="Traditional Arabic" w:cs="Traditional Arabic"/>
          <w:sz w:val="24"/>
          <w:szCs w:val="24"/>
          <w:rtl/>
        </w:rPr>
        <w:t xml:space="preserve">وهو أقل من مستوى المعنوية المعتمد (0.05). وتُشير نتائج اختبارات المقارنات البعدية إلى أن هذه الفروق جاءت </w:t>
      </w:r>
      <w:r w:rsidRPr="007F6932">
        <w:rPr>
          <w:rFonts w:ascii="Traditional Arabic" w:eastAsia="Calibri" w:hAnsi="Traditional Arabic" w:cs="Traditional Arabic"/>
          <w:b/>
          <w:bCs/>
          <w:sz w:val="24"/>
          <w:szCs w:val="24"/>
          <w:rtl/>
        </w:rPr>
        <w:t>لصالح الحاصلين على مؤهل الدراسات العليا</w:t>
      </w:r>
      <w:r w:rsidRPr="007F6932">
        <w:rPr>
          <w:rFonts w:ascii="Traditional Arabic" w:eastAsia="Calibri" w:hAnsi="Traditional Arabic" w:cs="Traditional Arabic"/>
          <w:sz w:val="24"/>
          <w:szCs w:val="24"/>
          <w:rtl/>
        </w:rPr>
        <w:t xml:space="preserve"> مقارنة بالفئات الأخرى، مما يعكس إدراكاً أعمق لديهم لممارسات إدارة المخاطر وأثرها</w:t>
      </w:r>
      <w:r w:rsidRPr="007F6932">
        <w:rPr>
          <w:rFonts w:ascii="Traditional Arabic" w:eastAsia="Calibri" w:hAnsi="Traditional Arabic" w:cs="Traditional Arabic"/>
          <w:sz w:val="24"/>
          <w:szCs w:val="24"/>
          <w:lang w:bidi="ar-EG"/>
        </w:rPr>
        <w:t>.</w:t>
      </w:r>
    </w:p>
    <w:p w14:paraId="5D97BBC0" w14:textId="77777777" w:rsidR="007F6932" w:rsidRPr="007F6932" w:rsidRDefault="007F6932">
      <w:pPr>
        <w:numPr>
          <w:ilvl w:val="0"/>
          <w:numId w:val="48"/>
        </w:numPr>
        <w:bidi/>
        <w:spacing w:after="200" w:line="360" w:lineRule="auto"/>
        <w:jc w:val="both"/>
        <w:rPr>
          <w:rFonts w:ascii="Traditional Arabic" w:eastAsia="Calibri" w:hAnsi="Traditional Arabic" w:cs="Traditional Arabic"/>
          <w:sz w:val="24"/>
          <w:szCs w:val="24"/>
          <w:lang w:bidi="ar-EG"/>
        </w:rPr>
      </w:pPr>
      <w:r w:rsidRPr="007F6932">
        <w:rPr>
          <w:rFonts w:ascii="Traditional Arabic" w:eastAsia="Calibri" w:hAnsi="Traditional Arabic" w:cs="Traditional Arabic"/>
          <w:b/>
          <w:bCs/>
          <w:sz w:val="24"/>
          <w:szCs w:val="24"/>
          <w:rtl/>
        </w:rPr>
        <w:t>نوع الوظيفة</w:t>
      </w:r>
      <w:r w:rsidRPr="007F6932">
        <w:rPr>
          <w:rFonts w:ascii="Traditional Arabic" w:eastAsia="Calibri" w:hAnsi="Traditional Arabic" w:cs="Traditional Arabic"/>
          <w:b/>
          <w:bCs/>
          <w:sz w:val="24"/>
          <w:szCs w:val="24"/>
          <w:lang w:bidi="ar-EG"/>
        </w:rPr>
        <w:t>:</w:t>
      </w:r>
      <w:r w:rsidRPr="007F6932">
        <w:rPr>
          <w:rFonts w:ascii="Traditional Arabic" w:eastAsia="Calibri" w:hAnsi="Traditional Arabic" w:cs="Traditional Arabic"/>
          <w:sz w:val="24"/>
          <w:szCs w:val="24"/>
          <w:lang w:bidi="ar-EG"/>
        </w:rPr>
        <w:t xml:space="preserve"> </w:t>
      </w:r>
      <w:r w:rsidRPr="007F6932">
        <w:rPr>
          <w:rFonts w:ascii="Traditional Arabic" w:eastAsia="Calibri" w:hAnsi="Traditional Arabic" w:cs="Traditional Arabic"/>
          <w:sz w:val="24"/>
          <w:szCs w:val="24"/>
          <w:rtl/>
        </w:rPr>
        <w:t xml:space="preserve">أظهرت النتائج </w:t>
      </w:r>
      <w:r w:rsidRPr="007F6932">
        <w:rPr>
          <w:rFonts w:ascii="Traditional Arabic" w:eastAsia="Calibri" w:hAnsi="Traditional Arabic" w:cs="Traditional Arabic"/>
          <w:b/>
          <w:bCs/>
          <w:sz w:val="24"/>
          <w:szCs w:val="24"/>
          <w:rtl/>
        </w:rPr>
        <w:t>عدم وجود فروق ذات دلالة إحصائية</w:t>
      </w:r>
      <w:r w:rsidRPr="007F6932">
        <w:rPr>
          <w:rFonts w:ascii="Traditional Arabic" w:eastAsia="Calibri" w:hAnsi="Traditional Arabic" w:cs="Traditional Arabic"/>
          <w:sz w:val="24"/>
          <w:szCs w:val="24"/>
          <w:rtl/>
        </w:rPr>
        <w:t xml:space="preserve"> تعزى لنوع الوظيفة؛ حيث بلغت قيمة ف المحسوبة (1.70) بمستوى دلالة</w:t>
      </w:r>
      <w:r w:rsidRPr="007F6932">
        <w:rPr>
          <w:rFonts w:ascii="Traditional Arabic" w:eastAsia="Calibri" w:hAnsi="Traditional Arabic" w:cs="Traditional Arabic"/>
          <w:sz w:val="24"/>
          <w:szCs w:val="24"/>
          <w:lang w:bidi="ar-EG"/>
        </w:rPr>
        <w:t xml:space="preserve"> (Sig = 0.166) </w:t>
      </w:r>
      <w:r w:rsidRPr="007F6932">
        <w:rPr>
          <w:rFonts w:ascii="Traditional Arabic" w:eastAsia="Calibri" w:hAnsi="Traditional Arabic" w:cs="Traditional Arabic"/>
          <w:sz w:val="24"/>
          <w:szCs w:val="24"/>
          <w:rtl/>
        </w:rPr>
        <w:t>وهو أكبر من (0.05)، مما يشير إلى أن تقييم المتغيرات ومتطلبات سلامة المرضى متقاربة ومتماثلة بين كافة المسميات الوظيفية في المرافق الصحية محل الدراسة</w:t>
      </w:r>
      <w:r w:rsidRPr="007F6932">
        <w:rPr>
          <w:rFonts w:ascii="Traditional Arabic" w:eastAsia="Calibri" w:hAnsi="Traditional Arabic" w:cs="Traditional Arabic"/>
          <w:sz w:val="24"/>
          <w:szCs w:val="24"/>
          <w:lang w:bidi="ar-EG"/>
        </w:rPr>
        <w:t>.</w:t>
      </w:r>
    </w:p>
    <w:p w14:paraId="210A9FD3" w14:textId="77777777" w:rsidR="007F6932" w:rsidRPr="007F6932" w:rsidRDefault="007F6932">
      <w:pPr>
        <w:numPr>
          <w:ilvl w:val="0"/>
          <w:numId w:val="48"/>
        </w:numPr>
        <w:bidi/>
        <w:spacing w:after="200" w:line="360" w:lineRule="auto"/>
        <w:jc w:val="both"/>
        <w:rPr>
          <w:rFonts w:ascii="Traditional Arabic" w:eastAsia="Calibri" w:hAnsi="Traditional Arabic" w:cs="Traditional Arabic"/>
          <w:sz w:val="24"/>
          <w:szCs w:val="24"/>
          <w:lang w:bidi="ar-EG"/>
        </w:rPr>
      </w:pPr>
      <w:r w:rsidRPr="007F6932">
        <w:rPr>
          <w:rFonts w:ascii="Traditional Arabic" w:eastAsia="Calibri" w:hAnsi="Traditional Arabic" w:cs="Traditional Arabic"/>
          <w:b/>
          <w:bCs/>
          <w:sz w:val="24"/>
          <w:szCs w:val="24"/>
          <w:rtl/>
        </w:rPr>
        <w:t>سنوات الخبرة</w:t>
      </w:r>
      <w:r w:rsidRPr="007F6932">
        <w:rPr>
          <w:rFonts w:ascii="Traditional Arabic" w:eastAsia="Calibri" w:hAnsi="Traditional Arabic" w:cs="Traditional Arabic"/>
          <w:b/>
          <w:bCs/>
          <w:sz w:val="24"/>
          <w:szCs w:val="24"/>
          <w:lang w:bidi="ar-EG"/>
        </w:rPr>
        <w:t>:</w:t>
      </w:r>
      <w:r w:rsidRPr="007F6932">
        <w:rPr>
          <w:rFonts w:ascii="Traditional Arabic" w:eastAsia="Calibri" w:hAnsi="Traditional Arabic" w:cs="Traditional Arabic"/>
          <w:sz w:val="24"/>
          <w:szCs w:val="24"/>
          <w:lang w:bidi="ar-EG"/>
        </w:rPr>
        <w:t xml:space="preserve"> </w:t>
      </w:r>
      <w:r w:rsidRPr="007F6932">
        <w:rPr>
          <w:rFonts w:ascii="Traditional Arabic" w:eastAsia="Calibri" w:hAnsi="Traditional Arabic" w:cs="Traditional Arabic"/>
          <w:sz w:val="24"/>
          <w:szCs w:val="24"/>
          <w:rtl/>
        </w:rPr>
        <w:t>تبيّن وجود فروق ذات دلالة إحصائية عالية تعزى لسنوات الخبرة؛ حيث بلغت قيمة ف المحسوبة (11.14) بمستوى دلالة بلغ</w:t>
      </w:r>
      <w:r w:rsidRPr="007F6932">
        <w:rPr>
          <w:rFonts w:ascii="Traditional Arabic" w:eastAsia="Calibri" w:hAnsi="Traditional Arabic" w:cs="Traditional Arabic"/>
          <w:sz w:val="24"/>
          <w:szCs w:val="24"/>
          <w:lang w:bidi="ar-EG"/>
        </w:rPr>
        <w:t xml:space="preserve"> (Sig = 0.000) </w:t>
      </w:r>
      <w:r w:rsidRPr="007F6932">
        <w:rPr>
          <w:rFonts w:ascii="Traditional Arabic" w:eastAsia="Calibri" w:hAnsi="Traditional Arabic" w:cs="Traditional Arabic"/>
          <w:sz w:val="24"/>
          <w:szCs w:val="24"/>
          <w:rtl/>
        </w:rPr>
        <w:t xml:space="preserve">وهو أقل بكثير من (0.05). وقد كشفت المقارنات البعدية الإحصائية أن الفروق تميل </w:t>
      </w:r>
      <w:r w:rsidRPr="007F6932">
        <w:rPr>
          <w:rFonts w:ascii="Traditional Arabic" w:eastAsia="Calibri" w:hAnsi="Traditional Arabic" w:cs="Traditional Arabic"/>
          <w:b/>
          <w:bCs/>
          <w:sz w:val="24"/>
          <w:szCs w:val="24"/>
          <w:rtl/>
        </w:rPr>
        <w:lastRenderedPageBreak/>
        <w:t>لصالح الفئات الأكثر خبرة (من 5 إلى أقل من 10 سنوات، وفئة 10 سنوات فأكثر)</w:t>
      </w:r>
      <w:r w:rsidRPr="007F6932">
        <w:rPr>
          <w:rFonts w:ascii="Traditional Arabic" w:eastAsia="Calibri" w:hAnsi="Traditional Arabic" w:cs="Traditional Arabic"/>
          <w:sz w:val="24"/>
          <w:szCs w:val="24"/>
          <w:rtl/>
        </w:rPr>
        <w:t xml:space="preserve"> مقارنة بذوي الخبرات المحدودة، مما يوضح أن الخبرة الميدانية الطويلة ترفع من مستوى تقييم الفرد لبيئة العمل القيادية والوقائية</w:t>
      </w:r>
      <w:r w:rsidRPr="007F6932">
        <w:rPr>
          <w:rFonts w:ascii="Traditional Arabic" w:eastAsia="Calibri" w:hAnsi="Traditional Arabic" w:cs="Traditional Arabic"/>
          <w:sz w:val="24"/>
          <w:szCs w:val="24"/>
          <w:lang w:bidi="ar-EG"/>
        </w:rPr>
        <w:t>.</w:t>
      </w:r>
    </w:p>
    <w:p w14:paraId="1AFB0A36" w14:textId="59D1C317" w:rsidR="00522186" w:rsidRPr="007F6932" w:rsidRDefault="007F6932" w:rsidP="007F6932">
      <w:pPr>
        <w:bidi/>
        <w:spacing w:after="200" w:line="360" w:lineRule="auto"/>
        <w:ind w:firstLine="720"/>
        <w:jc w:val="both"/>
        <w:rPr>
          <w:rFonts w:ascii="Traditional Arabic" w:eastAsia="Calibri" w:hAnsi="Traditional Arabic" w:cs="Traditional Arabic"/>
          <w:sz w:val="24"/>
          <w:szCs w:val="24"/>
          <w:rtl/>
          <w:lang w:bidi="ar-EG"/>
        </w:rPr>
      </w:pPr>
      <w:r w:rsidRPr="007F6932">
        <w:rPr>
          <w:rFonts w:ascii="Traditional Arabic" w:eastAsia="Calibri" w:hAnsi="Traditional Arabic" w:cs="Traditional Arabic"/>
          <w:sz w:val="24"/>
          <w:szCs w:val="24"/>
          <w:rtl/>
        </w:rPr>
        <w:t xml:space="preserve">وتأسيساً على هذه النتائج، </w:t>
      </w:r>
      <w:r w:rsidRPr="007F6932">
        <w:rPr>
          <w:rFonts w:ascii="Traditional Arabic" w:eastAsia="Calibri" w:hAnsi="Traditional Arabic" w:cs="Traditional Arabic"/>
          <w:b/>
          <w:bCs/>
          <w:sz w:val="24"/>
          <w:szCs w:val="24"/>
          <w:rtl/>
        </w:rPr>
        <w:t>يتم قبول الفرضية الخامسة جزئياً</w:t>
      </w:r>
      <w:r w:rsidRPr="007F6932">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w:t>
      </w:r>
      <w:r w:rsidRPr="007F6932">
        <w:rPr>
          <w:rFonts w:ascii="Traditional Arabic" w:eastAsia="Calibri" w:hAnsi="Traditional Arabic" w:cs="Traditional Arabic"/>
          <w:sz w:val="24"/>
          <w:szCs w:val="24"/>
          <w:rtl/>
        </w:rPr>
        <w:t>حيث ثبتت الفروق في متغيرات النوع، المؤهل العلمي، وسنوات الخبرة، بينما رُفضت في متغير نوع الوظيفة</w:t>
      </w:r>
      <w:r>
        <w:rPr>
          <w:rFonts w:ascii="Traditional Arabic" w:eastAsia="Calibri" w:hAnsi="Traditional Arabic" w:cs="Traditional Arabic" w:hint="cs"/>
          <w:sz w:val="24"/>
          <w:szCs w:val="24"/>
          <w:rtl/>
          <w:lang w:bidi="ar-EG"/>
        </w:rPr>
        <w:t>.</w:t>
      </w:r>
    </w:p>
    <w:p w14:paraId="39B023B2" w14:textId="77777777" w:rsidR="00CC5328" w:rsidRDefault="00CC5328" w:rsidP="00C03FE4">
      <w:pPr>
        <w:bidi/>
        <w:spacing w:after="200" w:line="276" w:lineRule="auto"/>
        <w:jc w:val="center"/>
        <w:rPr>
          <w:rFonts w:ascii="Traditional Arabic" w:hAnsi="Traditional Arabic" w:cs="Traditional Arabic"/>
          <w:b/>
          <w:bCs/>
          <w:color w:val="000000" w:themeColor="text1"/>
          <w:sz w:val="24"/>
          <w:szCs w:val="24"/>
          <w:rtl/>
        </w:rPr>
        <w:sectPr w:rsidR="00CC5328" w:rsidSect="00E12BFB">
          <w:footerReference w:type="default" r:id="rId5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16"/>
          <w:cols w:space="708"/>
          <w:bidi/>
          <w:rtlGutter/>
          <w:docGrid w:linePitch="360"/>
        </w:sectPr>
      </w:pPr>
    </w:p>
    <w:p w14:paraId="44267865" w14:textId="4209444B" w:rsidR="002F7B6E" w:rsidRPr="0044090C" w:rsidRDefault="002F7B6E" w:rsidP="00C03FE4">
      <w:pPr>
        <w:bidi/>
        <w:spacing w:after="200" w:line="276" w:lineRule="auto"/>
        <w:jc w:val="center"/>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lastRenderedPageBreak/>
        <w:t>جدول (</w:t>
      </w:r>
      <w:r w:rsidR="00183D8F">
        <w:rPr>
          <w:rFonts w:ascii="Traditional Arabic" w:hAnsi="Traditional Arabic" w:cs="Traditional Arabic" w:hint="cs"/>
          <w:b/>
          <w:bCs/>
          <w:color w:val="000000" w:themeColor="text1"/>
          <w:sz w:val="24"/>
          <w:szCs w:val="24"/>
          <w:rtl/>
        </w:rPr>
        <w:t>22</w:t>
      </w:r>
      <w:r w:rsidRPr="0044090C">
        <w:rPr>
          <w:rFonts w:ascii="Traditional Arabic" w:hAnsi="Traditional Arabic" w:cs="Traditional Arabic" w:hint="cs"/>
          <w:b/>
          <w:bCs/>
          <w:color w:val="000000" w:themeColor="text1"/>
          <w:sz w:val="24"/>
          <w:szCs w:val="24"/>
          <w:rtl/>
        </w:rPr>
        <w:t xml:space="preserve">) يلخص فرضيات الدراسة ونتائجها </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414"/>
        <w:gridCol w:w="6884"/>
        <w:gridCol w:w="5644"/>
      </w:tblGrid>
      <w:tr w:rsidR="002F7B6E" w:rsidRPr="0044090C" w14:paraId="6A6B294D" w14:textId="77777777" w:rsidTr="00C03FE4">
        <w:trPr>
          <w:tblCellSpacing w:w="20" w:type="dxa"/>
        </w:trPr>
        <w:tc>
          <w:tcPr>
            <w:tcW w:w="482" w:type="pct"/>
            <w:shd w:val="clear" w:color="auto" w:fill="E5DFEC" w:themeFill="accent4" w:themeFillTint="33"/>
          </w:tcPr>
          <w:p w14:paraId="3222F455" w14:textId="3C1F7EEA" w:rsidR="002F7B6E" w:rsidRPr="0044090C" w:rsidRDefault="002F7B6E"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رقم الفرضية</w:t>
            </w:r>
          </w:p>
        </w:tc>
        <w:tc>
          <w:tcPr>
            <w:tcW w:w="2435" w:type="pct"/>
            <w:shd w:val="clear" w:color="auto" w:fill="E5DFEC" w:themeFill="accent4" w:themeFillTint="33"/>
          </w:tcPr>
          <w:p w14:paraId="02042631" w14:textId="6AC48CC1" w:rsidR="002F7B6E" w:rsidRPr="0044090C" w:rsidRDefault="002F7B6E" w:rsidP="00A83929">
            <w:pPr>
              <w:bidi/>
              <w:spacing w:after="200" w:line="276" w:lineRule="auto"/>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الفرضية</w:t>
            </w:r>
          </w:p>
        </w:tc>
        <w:tc>
          <w:tcPr>
            <w:tcW w:w="1987" w:type="pct"/>
            <w:shd w:val="clear" w:color="auto" w:fill="E5DFEC" w:themeFill="accent4" w:themeFillTint="33"/>
          </w:tcPr>
          <w:p w14:paraId="7439D9F3" w14:textId="35BEFB36" w:rsidR="002F7B6E" w:rsidRPr="0044090C" w:rsidRDefault="002F7B6E" w:rsidP="00A83929">
            <w:pPr>
              <w:bidi/>
              <w:spacing w:after="200" w:line="276" w:lineRule="auto"/>
              <w:jc w:val="center"/>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النتيجة</w:t>
            </w:r>
          </w:p>
        </w:tc>
      </w:tr>
      <w:tr w:rsidR="002F7B6E" w:rsidRPr="0044090C" w14:paraId="27D8C825" w14:textId="77777777" w:rsidTr="00C03FE4">
        <w:trPr>
          <w:tblCellSpacing w:w="20" w:type="dxa"/>
        </w:trPr>
        <w:tc>
          <w:tcPr>
            <w:tcW w:w="482" w:type="pct"/>
          </w:tcPr>
          <w:p w14:paraId="2C1C60A4" w14:textId="31F53B45"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1</w:t>
            </w:r>
          </w:p>
        </w:tc>
        <w:tc>
          <w:tcPr>
            <w:tcW w:w="2435" w:type="pct"/>
          </w:tcPr>
          <w:p w14:paraId="57B43C1C" w14:textId="34F59895" w:rsidR="002F7B6E" w:rsidRPr="000F6949" w:rsidRDefault="000F6949" w:rsidP="000F6949">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 xml:space="preserve">الفرض </w:t>
            </w:r>
            <w:r>
              <w:rPr>
                <w:rFonts w:ascii="Traditional Arabic" w:eastAsia="Calibri" w:hAnsi="Traditional Arabic" w:cs="Traditional Arabic" w:hint="cs"/>
                <w:b/>
                <w:bCs/>
                <w:sz w:val="24"/>
                <w:szCs w:val="24"/>
                <w:rtl/>
                <w:lang w:bidi="ar-EG"/>
              </w:rPr>
              <w:t xml:space="preserve">الأول: </w:t>
            </w:r>
            <w:r>
              <w:rPr>
                <w:rFonts w:ascii="Traditional Arabic" w:eastAsia="Calibri" w:hAnsi="Traditional Arabic" w:cs="Traditional Arabic" w:hint="cs"/>
                <w:sz w:val="24"/>
                <w:szCs w:val="24"/>
                <w:rtl/>
                <w:lang w:bidi="ar-EG"/>
              </w:rPr>
              <w:t>يوجد</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تأثير مباشر ذو دلالة إحصائية لممارسات إدارة المخاطر على القيادة التحويلية في المرافق الصحية الحكومية بالمملكة العربية السعودية.</w:t>
            </w:r>
          </w:p>
        </w:tc>
        <w:tc>
          <w:tcPr>
            <w:tcW w:w="1987" w:type="pct"/>
          </w:tcPr>
          <w:p w14:paraId="4F695EC0" w14:textId="77777777" w:rsidR="00F26D0D" w:rsidRPr="00F26D0D" w:rsidRDefault="00F26D0D" w:rsidP="00F26D0D">
            <w:pPr>
              <w:bidi/>
              <w:spacing w:after="200" w:line="276" w:lineRule="auto"/>
              <w:jc w:val="center"/>
              <w:rPr>
                <w:rFonts w:ascii="Traditional Arabic" w:hAnsi="Traditional Arabic" w:cs="Traditional Arabic"/>
                <w:color w:val="000000" w:themeColor="text1"/>
                <w:sz w:val="24"/>
                <w:szCs w:val="24"/>
              </w:rPr>
            </w:pPr>
            <w:r w:rsidRPr="00F26D0D">
              <w:rPr>
                <w:rFonts w:ascii="Traditional Arabic" w:hAnsi="Traditional Arabic" w:cs="Traditional Arabic"/>
                <w:color w:val="000000" w:themeColor="text1"/>
                <w:sz w:val="24"/>
                <w:szCs w:val="24"/>
                <w:rtl/>
              </w:rPr>
              <w:t xml:space="preserve">تُقبل الفرضية الأولى، حيث أوضحت النتائج </w:t>
            </w:r>
            <w:r w:rsidRPr="00F26D0D">
              <w:rPr>
                <w:rFonts w:ascii="Traditional Arabic" w:hAnsi="Traditional Arabic" w:cs="Traditional Arabic"/>
                <w:b/>
                <w:bCs/>
                <w:color w:val="000000" w:themeColor="text1"/>
                <w:sz w:val="24"/>
                <w:szCs w:val="24"/>
                <w:rtl/>
              </w:rPr>
              <w:t>وجود تأثير مباشر ذو دلالة إحصائية لممارسات إدارة المخاطر على القيادة التحويلية في المرافق الصحية الحكومية بالمملكة العربية السعودية</w:t>
            </w:r>
            <w:r w:rsidRPr="00F26D0D">
              <w:rPr>
                <w:rFonts w:ascii="Traditional Arabic" w:hAnsi="Traditional Arabic" w:cs="Traditional Arabic"/>
                <w:color w:val="000000" w:themeColor="text1"/>
                <w:sz w:val="24"/>
                <w:szCs w:val="24"/>
              </w:rPr>
              <w:t>.</w:t>
            </w:r>
          </w:p>
          <w:p w14:paraId="3872D16B" w14:textId="0151A1EB" w:rsidR="002F7B6E" w:rsidRPr="0044090C" w:rsidRDefault="00F26D0D" w:rsidP="00F26D0D">
            <w:pPr>
              <w:bidi/>
              <w:spacing w:after="200" w:line="276" w:lineRule="auto"/>
              <w:jc w:val="center"/>
              <w:rPr>
                <w:rFonts w:ascii="Traditional Arabic" w:hAnsi="Traditional Arabic" w:cs="Traditional Arabic"/>
                <w:color w:val="000000" w:themeColor="text1"/>
                <w:sz w:val="24"/>
                <w:szCs w:val="24"/>
                <w:rtl/>
              </w:rPr>
            </w:pPr>
            <w:r w:rsidRPr="00F26D0D">
              <w:rPr>
                <w:rFonts w:ascii="Traditional Arabic" w:hAnsi="Traditional Arabic" w:cs="Traditional Arabic"/>
                <w:color w:val="000000" w:themeColor="text1"/>
                <w:sz w:val="24"/>
                <w:szCs w:val="24"/>
                <w:rtl/>
              </w:rPr>
              <w:t>وقد بينت مؤشرات تحليل الانحدار الخطي البسيط أن هذا التأثير جاء إيجابياً ؛ مما يعكس أن التوسع والالتزام بتطبيق ممارسات إدارة المخاطر بدقة داخل البيئة الصحية يسهم بصورة مباشرة وجوهرية في تشكيل وتطوير السلوك القيادي ليتجه نحو النمط التحويلي. وتُعزى هذه النتيجة علمياً إلى أن طبيعة العمل الصحي ومتطلبات التنبؤ بالمخاطر والحد منها تفرض على القادة الإداريين والطبيين تبني أساليب قيادية مرنة تعتمد على الإلهام، والتحفيز الفكري، والتمكين، ودعم الكوادر الصحية لمواجهة الأزمات بكفاءة عالية</w:t>
            </w:r>
            <w:r>
              <w:rPr>
                <w:rFonts w:ascii="Traditional Arabic" w:hAnsi="Traditional Arabic" w:cs="Traditional Arabic" w:hint="cs"/>
                <w:color w:val="000000" w:themeColor="text1"/>
                <w:sz w:val="24"/>
                <w:szCs w:val="24"/>
                <w:rtl/>
              </w:rPr>
              <w:t>.</w:t>
            </w:r>
          </w:p>
        </w:tc>
      </w:tr>
      <w:tr w:rsidR="002F7B6E" w:rsidRPr="0044090C" w14:paraId="28332404" w14:textId="77777777" w:rsidTr="00C03FE4">
        <w:trPr>
          <w:tblCellSpacing w:w="20" w:type="dxa"/>
        </w:trPr>
        <w:tc>
          <w:tcPr>
            <w:tcW w:w="482" w:type="pct"/>
          </w:tcPr>
          <w:p w14:paraId="4282F7DA" w14:textId="77B18319"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2</w:t>
            </w:r>
          </w:p>
        </w:tc>
        <w:tc>
          <w:tcPr>
            <w:tcW w:w="2435" w:type="pct"/>
          </w:tcPr>
          <w:p w14:paraId="356B39D1" w14:textId="5EE45FC6" w:rsidR="00A83929" w:rsidRPr="00F26D0D" w:rsidRDefault="00F26D0D" w:rsidP="00F26D0D">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 xml:space="preserve">الفرض الثاني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مباشر</w:t>
            </w:r>
            <w:r w:rsidRPr="0044090C">
              <w:rPr>
                <w:rFonts w:ascii="Traditional Arabic" w:eastAsia="Calibri" w:hAnsi="Traditional Arabic" w:cs="Traditional Arabic"/>
                <w:sz w:val="24"/>
                <w:szCs w:val="24"/>
                <w:rtl/>
                <w:lang w:bidi="ar-EG"/>
              </w:rPr>
              <w:t xml:space="preserve"> ذو دلالة إحصائية </w:t>
            </w:r>
            <w:r>
              <w:rPr>
                <w:rFonts w:ascii="Traditional Arabic" w:eastAsia="Calibri" w:hAnsi="Traditional Arabic" w:cs="Traditional Arabic" w:hint="cs"/>
                <w:sz w:val="24"/>
                <w:szCs w:val="24"/>
                <w:rtl/>
                <w:lang w:bidi="ar-EG"/>
              </w:rPr>
              <w:t>لممارسات إدارة المخاطر على سلامة المرضى في المرافق الصحية الحكومية بالمملكة العربية السعودية.</w:t>
            </w:r>
          </w:p>
        </w:tc>
        <w:tc>
          <w:tcPr>
            <w:tcW w:w="1987" w:type="pct"/>
          </w:tcPr>
          <w:p w14:paraId="6C457C0F" w14:textId="77777777" w:rsidR="0090478B" w:rsidRPr="0090478B" w:rsidRDefault="0090478B" w:rsidP="0090478B">
            <w:pPr>
              <w:tabs>
                <w:tab w:val="left" w:pos="271"/>
              </w:tabs>
              <w:bidi/>
              <w:spacing w:after="200" w:line="276" w:lineRule="auto"/>
              <w:rPr>
                <w:rFonts w:ascii="Traditional Arabic" w:hAnsi="Traditional Arabic" w:cs="Traditional Arabic"/>
                <w:color w:val="000000" w:themeColor="text1"/>
                <w:sz w:val="24"/>
                <w:szCs w:val="24"/>
              </w:rPr>
            </w:pPr>
            <w:r w:rsidRPr="0090478B">
              <w:rPr>
                <w:rFonts w:ascii="Traditional Arabic" w:hAnsi="Traditional Arabic" w:cs="Traditional Arabic"/>
                <w:color w:val="000000" w:themeColor="text1"/>
                <w:sz w:val="24"/>
                <w:szCs w:val="24"/>
                <w:rtl/>
              </w:rPr>
              <w:t xml:space="preserve">تُقبل الفرضية الثانية؛ حيث أظهرت مخرجات تحليل الانحدار الخطي البسيط وجود </w:t>
            </w:r>
            <w:r w:rsidRPr="0090478B">
              <w:rPr>
                <w:rFonts w:ascii="Traditional Arabic" w:hAnsi="Traditional Arabic" w:cs="Traditional Arabic"/>
                <w:b/>
                <w:bCs/>
                <w:color w:val="000000" w:themeColor="text1"/>
                <w:sz w:val="24"/>
                <w:szCs w:val="24"/>
                <w:rtl/>
              </w:rPr>
              <w:t>تأثير مباشر ذو دلالة إحصائية لممارسات إدارة المخاطر على سلامة المرضى في المرافق الصحية الحكومية بالمملكة العربية السعودية</w:t>
            </w:r>
            <w:r w:rsidRPr="0090478B">
              <w:rPr>
                <w:rFonts w:ascii="Traditional Arabic" w:hAnsi="Traditional Arabic" w:cs="Traditional Arabic"/>
                <w:color w:val="000000" w:themeColor="text1"/>
                <w:sz w:val="24"/>
                <w:szCs w:val="24"/>
              </w:rPr>
              <w:t>.</w:t>
            </w:r>
          </w:p>
          <w:p w14:paraId="6D95D5AC" w14:textId="4FF04EB1" w:rsidR="002F7B6E" w:rsidRPr="0044090C" w:rsidRDefault="0090478B" w:rsidP="0090478B">
            <w:pPr>
              <w:tabs>
                <w:tab w:val="left" w:pos="271"/>
              </w:tabs>
              <w:bidi/>
              <w:spacing w:after="200" w:line="276" w:lineRule="auto"/>
              <w:rPr>
                <w:rFonts w:ascii="Traditional Arabic" w:hAnsi="Traditional Arabic" w:cs="Traditional Arabic"/>
                <w:color w:val="000000" w:themeColor="text1"/>
                <w:sz w:val="24"/>
                <w:szCs w:val="24"/>
                <w:rtl/>
              </w:rPr>
            </w:pPr>
            <w:r w:rsidRPr="0090478B">
              <w:rPr>
                <w:rFonts w:ascii="Traditional Arabic" w:hAnsi="Traditional Arabic" w:cs="Traditional Arabic"/>
                <w:color w:val="000000" w:themeColor="text1"/>
                <w:sz w:val="24"/>
                <w:szCs w:val="24"/>
                <w:rtl/>
              </w:rPr>
              <w:t xml:space="preserve">وقد بيّنت النتائج الإحصائية أن هذا التأثير جاء إيجابياً وقوياً؛ مما يؤكد أن تكثيف وتطبيق ممارسات إدارة المخاطر بأسلوب ممنهج يؤدي بشكل مباشر إلى الارتقاء بمستويات سلامة </w:t>
            </w:r>
            <w:r w:rsidRPr="0090478B">
              <w:rPr>
                <w:rFonts w:ascii="Traditional Arabic" w:hAnsi="Traditional Arabic" w:cs="Traditional Arabic"/>
                <w:color w:val="000000" w:themeColor="text1"/>
                <w:sz w:val="24"/>
                <w:szCs w:val="24"/>
                <w:rtl/>
              </w:rPr>
              <w:lastRenderedPageBreak/>
              <w:t xml:space="preserve">المرضى </w:t>
            </w:r>
            <w:r>
              <w:rPr>
                <w:rFonts w:ascii="Traditional Arabic" w:hAnsi="Traditional Arabic" w:cs="Traditional Arabic" w:hint="cs"/>
                <w:color w:val="000000" w:themeColor="text1"/>
                <w:sz w:val="24"/>
                <w:szCs w:val="24"/>
                <w:rtl/>
              </w:rPr>
              <w:t>وتقليل</w:t>
            </w:r>
            <w:r w:rsidRPr="0090478B">
              <w:rPr>
                <w:rFonts w:ascii="Traditional Arabic" w:hAnsi="Traditional Arabic" w:cs="Traditional Arabic"/>
                <w:color w:val="000000" w:themeColor="text1"/>
                <w:sz w:val="24"/>
                <w:szCs w:val="24"/>
                <w:rtl/>
              </w:rPr>
              <w:t xml:space="preserve"> معدلات الأخطاء الطبية. وتُعزى هذه النتيجة علمياً إلى أن تفعيل آليات رصد المخاطر، والتبليغ عن الأحداث العارضة، وتحليل البيئة الصحية بشكل مستمر، يُمكّن الكوادر الطبية والإدارية من وضع </w:t>
            </w:r>
            <w:r>
              <w:rPr>
                <w:rFonts w:ascii="Traditional Arabic" w:hAnsi="Traditional Arabic" w:cs="Traditional Arabic" w:hint="cs"/>
                <w:color w:val="000000" w:themeColor="text1"/>
                <w:sz w:val="24"/>
                <w:szCs w:val="24"/>
                <w:rtl/>
              </w:rPr>
              <w:t>الأساليب</w:t>
            </w:r>
            <w:r w:rsidRPr="0090478B">
              <w:rPr>
                <w:rFonts w:ascii="Traditional Arabic" w:hAnsi="Traditional Arabic" w:cs="Traditional Arabic"/>
                <w:color w:val="000000" w:themeColor="text1"/>
                <w:sz w:val="24"/>
                <w:szCs w:val="24"/>
                <w:rtl/>
              </w:rPr>
              <w:t xml:space="preserve"> الوقائية الفورية، مما يخلق بيئة رعاية صحية آمنة تحمي المرضى وتضمن سلامتهم أثناء تلقي الخدمات العلاجية</w:t>
            </w:r>
            <w:r w:rsidRPr="0090478B">
              <w:rPr>
                <w:rFonts w:ascii="Traditional Arabic" w:hAnsi="Traditional Arabic" w:cs="Traditional Arabic"/>
                <w:color w:val="000000" w:themeColor="text1"/>
                <w:sz w:val="24"/>
                <w:szCs w:val="24"/>
              </w:rPr>
              <w:t>.</w:t>
            </w:r>
          </w:p>
        </w:tc>
      </w:tr>
      <w:tr w:rsidR="002F7B6E" w:rsidRPr="0044090C" w14:paraId="16DEECB7" w14:textId="77777777" w:rsidTr="00C03FE4">
        <w:trPr>
          <w:tblCellSpacing w:w="20" w:type="dxa"/>
        </w:trPr>
        <w:tc>
          <w:tcPr>
            <w:tcW w:w="482" w:type="pct"/>
          </w:tcPr>
          <w:p w14:paraId="4CF98318" w14:textId="495E80EF"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lastRenderedPageBreak/>
              <w:t>3</w:t>
            </w:r>
          </w:p>
        </w:tc>
        <w:tc>
          <w:tcPr>
            <w:tcW w:w="2435" w:type="pct"/>
          </w:tcPr>
          <w:p w14:paraId="1B27212A" w14:textId="47C4459C" w:rsidR="00A83929" w:rsidRPr="00F26D0D" w:rsidRDefault="00F26D0D" w:rsidP="00F26D0D">
            <w:pPr>
              <w:bidi/>
              <w:spacing w:after="200" w:line="360" w:lineRule="auto"/>
              <w:ind w:left="720" w:hanging="720"/>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lang w:bidi="ar-EG"/>
              </w:rPr>
              <w:t xml:space="preserve">الفرض الثالث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مباشر</w:t>
            </w:r>
            <w:r w:rsidRPr="0044090C">
              <w:rPr>
                <w:rFonts w:ascii="Traditional Arabic" w:eastAsia="Calibri" w:hAnsi="Traditional Arabic" w:cs="Traditional Arabic"/>
                <w:sz w:val="24"/>
                <w:szCs w:val="24"/>
                <w:rtl/>
                <w:lang w:bidi="ar-EG"/>
              </w:rPr>
              <w:t xml:space="preserve"> ذو دلالة إحصائية للقيادة التحويلية على سلامة المرضى في </w:t>
            </w:r>
            <w:r>
              <w:rPr>
                <w:rFonts w:ascii="Traditional Arabic" w:eastAsia="Calibri" w:hAnsi="Traditional Arabic" w:cs="Traditional Arabic" w:hint="cs"/>
                <w:sz w:val="24"/>
                <w:szCs w:val="24"/>
                <w:rtl/>
                <w:lang w:bidi="ar-EG"/>
              </w:rPr>
              <w:t>المرافق الصحية</w:t>
            </w:r>
            <w:r w:rsidRPr="0044090C">
              <w:rPr>
                <w:rFonts w:ascii="Traditional Arabic" w:eastAsia="Calibri" w:hAnsi="Traditional Arabic" w:cs="Traditional Arabic"/>
                <w:sz w:val="24"/>
                <w:szCs w:val="24"/>
                <w:rtl/>
                <w:lang w:bidi="ar-EG"/>
              </w:rPr>
              <w:t xml:space="preserve"> الحكومية بالمملكة العربية السعودية.</w:t>
            </w:r>
          </w:p>
        </w:tc>
        <w:tc>
          <w:tcPr>
            <w:tcW w:w="1987" w:type="pct"/>
          </w:tcPr>
          <w:p w14:paraId="7CC2FA3F" w14:textId="77777777" w:rsidR="00305F4B" w:rsidRPr="00305F4B" w:rsidRDefault="00305F4B" w:rsidP="00305F4B">
            <w:pPr>
              <w:bidi/>
              <w:spacing w:after="200" w:line="276" w:lineRule="auto"/>
              <w:rPr>
                <w:rFonts w:ascii="Traditional Arabic" w:hAnsi="Traditional Arabic" w:cs="Traditional Arabic"/>
                <w:color w:val="000000" w:themeColor="text1"/>
                <w:sz w:val="24"/>
                <w:szCs w:val="24"/>
              </w:rPr>
            </w:pPr>
            <w:r w:rsidRPr="00305F4B">
              <w:rPr>
                <w:rFonts w:ascii="Traditional Arabic" w:hAnsi="Traditional Arabic" w:cs="Traditional Arabic"/>
                <w:color w:val="000000" w:themeColor="text1"/>
                <w:sz w:val="24"/>
                <w:szCs w:val="24"/>
                <w:rtl/>
              </w:rPr>
              <w:t xml:space="preserve">تُقبل الفرضية الثالثة؛ حيث أثبتت نتائج مخرجات التحليل الإحصائي وجود تأثير </w:t>
            </w:r>
            <w:r w:rsidRPr="00305F4B">
              <w:rPr>
                <w:rFonts w:ascii="Traditional Arabic" w:hAnsi="Traditional Arabic" w:cs="Traditional Arabic"/>
                <w:b/>
                <w:bCs/>
                <w:color w:val="000000" w:themeColor="text1"/>
                <w:sz w:val="24"/>
                <w:szCs w:val="24"/>
                <w:rtl/>
              </w:rPr>
              <w:t>مباشر ذو دلالة إحصائية للقيادة التحويلية على سلامة المرضى في المرافق الصحية الحكومية بالمملكة العربية السعودية</w:t>
            </w:r>
            <w:r w:rsidRPr="00305F4B">
              <w:rPr>
                <w:rFonts w:ascii="Traditional Arabic" w:hAnsi="Traditional Arabic" w:cs="Traditional Arabic"/>
                <w:color w:val="000000" w:themeColor="text1"/>
                <w:sz w:val="24"/>
                <w:szCs w:val="24"/>
              </w:rPr>
              <w:t>.</w:t>
            </w:r>
          </w:p>
          <w:p w14:paraId="472FFBE2" w14:textId="761E8F8A" w:rsidR="002F7B6E" w:rsidRPr="0044090C" w:rsidRDefault="00305F4B" w:rsidP="00305F4B">
            <w:pPr>
              <w:bidi/>
              <w:spacing w:after="200" w:line="276" w:lineRule="auto"/>
              <w:rPr>
                <w:rFonts w:ascii="Traditional Arabic" w:hAnsi="Traditional Arabic" w:cs="Traditional Arabic"/>
                <w:color w:val="000000" w:themeColor="text1"/>
                <w:sz w:val="24"/>
                <w:szCs w:val="24"/>
                <w:rtl/>
              </w:rPr>
            </w:pPr>
            <w:r w:rsidRPr="00305F4B">
              <w:rPr>
                <w:rFonts w:ascii="Traditional Arabic" w:hAnsi="Traditional Arabic" w:cs="Traditional Arabic"/>
                <w:color w:val="000000" w:themeColor="text1"/>
                <w:sz w:val="24"/>
                <w:szCs w:val="24"/>
                <w:rtl/>
              </w:rPr>
              <w:t>وقد بينت نتائج تحليل الانحدار الخطي البسيط أن هذا التأثير جاء إيجابياً ؛ مما يؤكد أن النمط القيادي التحويلي يساهم مباشرة في تعزيز وتطوير مستويات سلامة المرضى. وتُعزى هذه النتيجة منهجياً إلى أن القادة التحويليين يعملون على بناء بيئة عمل قائمة على التمكين، والتحفيز الفكري، والاتصال الشفاف، مما يشجع الكوادر الطبية والتمريضية على الالتزام ببروتوكولات الرعاية الآمنة، والتبليغ الطوعي عن الأخطاء الطبية دون خوف من العقاب، وهو ما ينعكس في النهاية على خفض المخاطر ورفع جودة الخدمات الصحية المقدمة للمرضى</w:t>
            </w:r>
            <w:r w:rsidRPr="00305F4B">
              <w:rPr>
                <w:rFonts w:ascii="Traditional Arabic" w:hAnsi="Traditional Arabic" w:cs="Traditional Arabic"/>
                <w:color w:val="000000" w:themeColor="text1"/>
                <w:sz w:val="24"/>
                <w:szCs w:val="24"/>
              </w:rPr>
              <w:t>.</w:t>
            </w:r>
          </w:p>
        </w:tc>
      </w:tr>
      <w:tr w:rsidR="002F7B6E" w:rsidRPr="0044090C" w14:paraId="683AA35D" w14:textId="77777777" w:rsidTr="00C03FE4">
        <w:trPr>
          <w:tblCellSpacing w:w="20" w:type="dxa"/>
        </w:trPr>
        <w:tc>
          <w:tcPr>
            <w:tcW w:w="482" w:type="pct"/>
          </w:tcPr>
          <w:p w14:paraId="012BD345" w14:textId="0DA4DA16"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t>4</w:t>
            </w:r>
          </w:p>
        </w:tc>
        <w:tc>
          <w:tcPr>
            <w:tcW w:w="2435" w:type="pct"/>
          </w:tcPr>
          <w:p w14:paraId="0954A6AE" w14:textId="36A10221" w:rsidR="00320E2A" w:rsidRPr="000F6949" w:rsidRDefault="000F6949" w:rsidP="000F6949">
            <w:pPr>
              <w:bidi/>
              <w:spacing w:after="200" w:line="360" w:lineRule="auto"/>
              <w:ind w:left="720" w:hanging="720"/>
              <w:contextualSpacing/>
              <w:jc w:val="both"/>
              <w:rPr>
                <w:rFonts w:ascii="Traditional Arabic" w:eastAsia="Calibri" w:hAnsi="Traditional Arabic" w:cs="Traditional Arabic"/>
                <w:sz w:val="24"/>
                <w:szCs w:val="24"/>
                <w:lang w:bidi="ar-EG"/>
              </w:rPr>
            </w:pPr>
            <w:r w:rsidRPr="0044090C">
              <w:rPr>
                <w:rFonts w:ascii="Traditional Arabic" w:eastAsia="Calibri" w:hAnsi="Traditional Arabic" w:cs="Traditional Arabic"/>
                <w:b/>
                <w:bCs/>
                <w:sz w:val="24"/>
                <w:szCs w:val="24"/>
                <w:rtl/>
                <w:lang w:bidi="ar-EG"/>
              </w:rPr>
              <w:t xml:space="preserve">الفرض الرابع </w:t>
            </w:r>
            <w:r>
              <w:rPr>
                <w:rFonts w:ascii="Traditional Arabic" w:eastAsia="Calibri" w:hAnsi="Traditional Arabic" w:cs="Traditional Arabic" w:hint="cs"/>
                <w:b/>
                <w:bCs/>
                <w:sz w:val="24"/>
                <w:szCs w:val="24"/>
                <w:rtl/>
                <w:lang w:bidi="ar-EG"/>
              </w:rPr>
              <w:t xml:space="preserve">: </w:t>
            </w:r>
            <w:r w:rsidRPr="0044090C">
              <w:rPr>
                <w:rFonts w:ascii="Traditional Arabic" w:eastAsia="Calibri" w:hAnsi="Traditional Arabic" w:cs="Traditional Arabic"/>
                <w:sz w:val="24"/>
                <w:szCs w:val="24"/>
                <w:rtl/>
                <w:lang w:bidi="ar-EG"/>
              </w:rPr>
              <w:t>يوجد تأثير</w:t>
            </w:r>
            <w:r>
              <w:rPr>
                <w:rFonts w:ascii="Traditional Arabic" w:eastAsia="Calibri" w:hAnsi="Traditional Arabic" w:cs="Traditional Arabic" w:hint="cs"/>
                <w:sz w:val="24"/>
                <w:szCs w:val="24"/>
                <w:rtl/>
                <w:lang w:bidi="ar-EG"/>
              </w:rPr>
              <w:t xml:space="preserve"> غير مباشر</w:t>
            </w:r>
            <w:r w:rsidRPr="0044090C">
              <w:rPr>
                <w:rFonts w:ascii="Traditional Arabic" w:eastAsia="Calibri" w:hAnsi="Traditional Arabic" w:cs="Traditional Arabic"/>
                <w:sz w:val="24"/>
                <w:szCs w:val="24"/>
                <w:rtl/>
                <w:lang w:bidi="ar-EG"/>
              </w:rPr>
              <w:t xml:space="preserve"> ذو دلالة إحصائية </w:t>
            </w:r>
            <w:r>
              <w:rPr>
                <w:rFonts w:ascii="Traditional Arabic" w:eastAsia="Calibri" w:hAnsi="Traditional Arabic" w:cs="Traditional Arabic" w:hint="cs"/>
                <w:sz w:val="24"/>
                <w:szCs w:val="24"/>
                <w:rtl/>
                <w:lang w:bidi="ar-EG"/>
              </w:rPr>
              <w:t>لممارسات إدارة المخاطر</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 xml:space="preserve">على </w:t>
            </w:r>
            <w:r w:rsidRPr="0044090C">
              <w:rPr>
                <w:rFonts w:ascii="Traditional Arabic" w:eastAsia="Calibri" w:hAnsi="Traditional Arabic" w:cs="Traditional Arabic"/>
                <w:sz w:val="24"/>
                <w:szCs w:val="24"/>
                <w:rtl/>
                <w:lang w:bidi="ar-EG"/>
              </w:rPr>
              <w:t>سلامة المرضى</w:t>
            </w:r>
            <w:r>
              <w:rPr>
                <w:rFonts w:ascii="Traditional Arabic" w:eastAsia="Calibri" w:hAnsi="Traditional Arabic" w:cs="Traditional Arabic" w:hint="cs"/>
                <w:sz w:val="24"/>
                <w:szCs w:val="24"/>
                <w:rtl/>
                <w:lang w:bidi="ar-EG"/>
              </w:rPr>
              <w:t xml:space="preserve"> من خلال القيادة التحويلية كمتغير وسيط في المرافق</w:t>
            </w:r>
            <w:r w:rsidRPr="0044090C">
              <w:rPr>
                <w:rFonts w:ascii="Traditional Arabic" w:eastAsia="Calibri" w:hAnsi="Traditional Arabic" w:cs="Traditional Arabic"/>
                <w:sz w:val="24"/>
                <w:szCs w:val="24"/>
                <w:rtl/>
                <w:lang w:bidi="ar-EG"/>
              </w:rPr>
              <w:t xml:space="preserve"> </w:t>
            </w:r>
            <w:r>
              <w:rPr>
                <w:rFonts w:ascii="Traditional Arabic" w:eastAsia="Calibri" w:hAnsi="Traditional Arabic" w:cs="Traditional Arabic" w:hint="cs"/>
                <w:sz w:val="24"/>
                <w:szCs w:val="24"/>
                <w:rtl/>
                <w:lang w:bidi="ar-EG"/>
              </w:rPr>
              <w:t>الصحية</w:t>
            </w:r>
            <w:r w:rsidRPr="0044090C">
              <w:rPr>
                <w:rFonts w:ascii="Traditional Arabic" w:eastAsia="Calibri" w:hAnsi="Traditional Arabic" w:cs="Traditional Arabic"/>
                <w:sz w:val="24"/>
                <w:szCs w:val="24"/>
                <w:rtl/>
                <w:lang w:bidi="ar-EG"/>
              </w:rPr>
              <w:t xml:space="preserve"> الحكومية بالمملكة العربية السعودية</w:t>
            </w:r>
            <w:r w:rsidRPr="0044090C">
              <w:rPr>
                <w:rFonts w:ascii="Traditional Arabic" w:eastAsia="Calibri" w:hAnsi="Traditional Arabic" w:cs="Traditional Arabic" w:hint="cs"/>
                <w:sz w:val="24"/>
                <w:szCs w:val="24"/>
                <w:rtl/>
                <w:lang w:bidi="ar-EG"/>
              </w:rPr>
              <w:t>.</w:t>
            </w:r>
          </w:p>
        </w:tc>
        <w:tc>
          <w:tcPr>
            <w:tcW w:w="1987" w:type="pct"/>
          </w:tcPr>
          <w:p w14:paraId="564FDA6E" w14:textId="77777777" w:rsidR="002F13E5" w:rsidRPr="002F13E5" w:rsidRDefault="002F13E5" w:rsidP="002F13E5">
            <w:pPr>
              <w:bidi/>
              <w:spacing w:after="200" w:line="276" w:lineRule="auto"/>
              <w:rPr>
                <w:rFonts w:ascii="Traditional Arabic" w:hAnsi="Traditional Arabic" w:cs="Traditional Arabic"/>
                <w:color w:val="000000" w:themeColor="text1"/>
                <w:sz w:val="24"/>
                <w:szCs w:val="24"/>
              </w:rPr>
            </w:pPr>
            <w:r w:rsidRPr="002F13E5">
              <w:rPr>
                <w:rFonts w:ascii="Traditional Arabic" w:hAnsi="Traditional Arabic" w:cs="Traditional Arabic"/>
                <w:color w:val="000000" w:themeColor="text1"/>
                <w:sz w:val="24"/>
                <w:szCs w:val="24"/>
                <w:rtl/>
              </w:rPr>
              <w:t>تُقبل الفرضية الرابعة؛ حيث أوضحت مخرجات التحليل الإحصائي المتقدم باستخدام أسلوب نمذجة المعادلات الهيكلية</w:t>
            </w:r>
            <w:r w:rsidRPr="002F13E5">
              <w:rPr>
                <w:rFonts w:ascii="Traditional Arabic" w:hAnsi="Traditional Arabic" w:cs="Traditional Arabic"/>
                <w:color w:val="000000" w:themeColor="text1"/>
                <w:sz w:val="24"/>
                <w:szCs w:val="24"/>
              </w:rPr>
              <w:t xml:space="preserve"> (SEM) </w:t>
            </w:r>
            <w:r w:rsidRPr="002F13E5">
              <w:rPr>
                <w:rFonts w:ascii="Traditional Arabic" w:hAnsi="Traditional Arabic" w:cs="Traditional Arabic"/>
                <w:color w:val="000000" w:themeColor="text1"/>
                <w:sz w:val="24"/>
                <w:szCs w:val="24"/>
                <w:rtl/>
              </w:rPr>
              <w:t xml:space="preserve">عبر برنامج </w:t>
            </w:r>
            <w:r w:rsidRPr="002F13E5">
              <w:rPr>
                <w:rFonts w:ascii="Traditional Arabic" w:hAnsi="Traditional Arabic" w:cs="Traditional Arabic"/>
                <w:b/>
                <w:bCs/>
                <w:color w:val="000000" w:themeColor="text1"/>
                <w:sz w:val="24"/>
                <w:szCs w:val="24"/>
              </w:rPr>
              <w:t>AMOS</w:t>
            </w:r>
            <w:r w:rsidRPr="002F13E5">
              <w:rPr>
                <w:rFonts w:ascii="Traditional Arabic" w:hAnsi="Traditional Arabic" w:cs="Traditional Arabic"/>
                <w:color w:val="000000" w:themeColor="text1"/>
                <w:sz w:val="24"/>
                <w:szCs w:val="24"/>
              </w:rPr>
              <w:t xml:space="preserve"> </w:t>
            </w:r>
            <w:r w:rsidRPr="002F13E5">
              <w:rPr>
                <w:rFonts w:ascii="Traditional Arabic" w:hAnsi="Traditional Arabic" w:cs="Traditional Arabic"/>
                <w:color w:val="000000" w:themeColor="text1"/>
                <w:sz w:val="24"/>
                <w:szCs w:val="24"/>
                <w:rtl/>
              </w:rPr>
              <w:t xml:space="preserve">وجود </w:t>
            </w:r>
            <w:r w:rsidRPr="002F13E5">
              <w:rPr>
                <w:rFonts w:ascii="Traditional Arabic" w:hAnsi="Traditional Arabic" w:cs="Traditional Arabic"/>
                <w:b/>
                <w:bCs/>
                <w:color w:val="000000" w:themeColor="text1"/>
                <w:sz w:val="24"/>
                <w:szCs w:val="24"/>
                <w:rtl/>
              </w:rPr>
              <w:t xml:space="preserve">تأثير غير مباشر ذو دلالة إحصائية لممارسات إدارة المخاطر على سلامة المرضى من خلال </w:t>
            </w:r>
            <w:r w:rsidRPr="002F13E5">
              <w:rPr>
                <w:rFonts w:ascii="Traditional Arabic" w:hAnsi="Traditional Arabic" w:cs="Traditional Arabic"/>
                <w:b/>
                <w:bCs/>
                <w:color w:val="000000" w:themeColor="text1"/>
                <w:sz w:val="24"/>
                <w:szCs w:val="24"/>
                <w:rtl/>
              </w:rPr>
              <w:lastRenderedPageBreak/>
              <w:t>القيادة التحويلية كمتغير وسيط في المرافق الصحية الحكومية بالمملكة العربية السعودية</w:t>
            </w:r>
            <w:r w:rsidRPr="002F13E5">
              <w:rPr>
                <w:rFonts w:ascii="Traditional Arabic" w:hAnsi="Traditional Arabic" w:cs="Traditional Arabic"/>
                <w:color w:val="000000" w:themeColor="text1"/>
                <w:sz w:val="24"/>
                <w:szCs w:val="24"/>
              </w:rPr>
              <w:t>.</w:t>
            </w:r>
          </w:p>
          <w:p w14:paraId="0F8B25ED" w14:textId="4B57D313" w:rsidR="002F7B6E" w:rsidRPr="0044090C" w:rsidRDefault="002F13E5" w:rsidP="002F13E5">
            <w:pPr>
              <w:bidi/>
              <w:spacing w:after="200" w:line="276" w:lineRule="auto"/>
              <w:rPr>
                <w:rFonts w:ascii="Traditional Arabic" w:hAnsi="Traditional Arabic" w:cs="Traditional Arabic"/>
                <w:color w:val="000000" w:themeColor="text1"/>
                <w:sz w:val="24"/>
                <w:szCs w:val="24"/>
                <w:rtl/>
              </w:rPr>
            </w:pPr>
            <w:r w:rsidRPr="002F13E5">
              <w:rPr>
                <w:rFonts w:ascii="Traditional Arabic" w:hAnsi="Traditional Arabic" w:cs="Traditional Arabic"/>
                <w:color w:val="000000" w:themeColor="text1"/>
                <w:sz w:val="24"/>
                <w:szCs w:val="24"/>
                <w:rtl/>
              </w:rPr>
              <w:t xml:space="preserve">وقد بينت </w:t>
            </w:r>
            <w:r>
              <w:rPr>
                <w:rFonts w:ascii="Traditional Arabic" w:hAnsi="Traditional Arabic" w:cs="Traditional Arabic" w:hint="cs"/>
                <w:color w:val="000000" w:themeColor="text1"/>
                <w:sz w:val="24"/>
                <w:szCs w:val="24"/>
                <w:rtl/>
              </w:rPr>
              <w:t>ال</w:t>
            </w:r>
            <w:r w:rsidRPr="002F13E5">
              <w:rPr>
                <w:rFonts w:ascii="Traditional Arabic" w:hAnsi="Traditional Arabic" w:cs="Traditional Arabic"/>
                <w:color w:val="000000" w:themeColor="text1"/>
                <w:sz w:val="24"/>
                <w:szCs w:val="24"/>
                <w:rtl/>
              </w:rPr>
              <w:t>نتائج أن الوزن المعياري للأثر غير المباشر جاء موجباً وذو دلالة إحصائية عالية، وهو ما يؤكد دور القيادة التحويلية كـ وسيط جزئي</w:t>
            </w:r>
            <w:r w:rsidRPr="002F13E5">
              <w:rPr>
                <w:rFonts w:ascii="Traditional Arabic" w:hAnsi="Traditional Arabic" w:cs="Traditional Arabic"/>
                <w:color w:val="000000" w:themeColor="text1"/>
                <w:sz w:val="24"/>
                <w:szCs w:val="24"/>
              </w:rPr>
              <w:t xml:space="preserve"> (Partial Mediator) </w:t>
            </w:r>
            <w:r w:rsidRPr="002F13E5">
              <w:rPr>
                <w:rFonts w:ascii="Traditional Arabic" w:hAnsi="Traditional Arabic" w:cs="Traditional Arabic"/>
                <w:color w:val="000000" w:themeColor="text1"/>
                <w:sz w:val="24"/>
                <w:szCs w:val="24"/>
                <w:rtl/>
              </w:rPr>
              <w:t xml:space="preserve">في هذه العلاقة. وتُعزى هذه النتيجة علمياً وتنظيمياً إلى أن ممارسات إدارة المخاطر توفر البنية التحتية والبيانات اللازمة لحماية المرضى، ولكن هذا الأثر </w:t>
            </w:r>
            <w:r>
              <w:rPr>
                <w:rFonts w:ascii="Traditional Arabic" w:hAnsi="Traditional Arabic" w:cs="Traditional Arabic" w:hint="cs"/>
                <w:color w:val="000000" w:themeColor="text1"/>
                <w:sz w:val="24"/>
                <w:szCs w:val="24"/>
                <w:rtl/>
              </w:rPr>
              <w:t>يتطور</w:t>
            </w:r>
            <w:r w:rsidRPr="002F13E5">
              <w:rPr>
                <w:rFonts w:ascii="Traditional Arabic" w:hAnsi="Traditional Arabic" w:cs="Traditional Arabic"/>
                <w:color w:val="000000" w:themeColor="text1"/>
                <w:sz w:val="24"/>
                <w:szCs w:val="24"/>
                <w:rtl/>
              </w:rPr>
              <w:t xml:space="preserve"> بكفاءة ويتضاعف بشكل جوهري عندما يمر عبر بيئة قيادية تحويلية تعمل على تحفيز الكوادر الصحية، وتمكينهم، ونشر ثقافة الأمان والشفافية في الإبلاغ عن الأحداث العارضة، مما يساهم في تحقيق أعلى مستويات سلامة المرضى وتجنب الأخطاء الطبية داخل المنشآت الصحية الحكومية بالمملكة</w:t>
            </w:r>
            <w:r w:rsidRPr="002F13E5">
              <w:rPr>
                <w:rFonts w:ascii="Traditional Arabic" w:hAnsi="Traditional Arabic" w:cs="Traditional Arabic"/>
                <w:color w:val="000000" w:themeColor="text1"/>
                <w:sz w:val="24"/>
                <w:szCs w:val="24"/>
              </w:rPr>
              <w:t>.</w:t>
            </w:r>
          </w:p>
        </w:tc>
      </w:tr>
      <w:tr w:rsidR="002F7B6E" w:rsidRPr="0044090C" w14:paraId="6063D082" w14:textId="77777777" w:rsidTr="00C03FE4">
        <w:trPr>
          <w:tblCellSpacing w:w="20" w:type="dxa"/>
        </w:trPr>
        <w:tc>
          <w:tcPr>
            <w:tcW w:w="482" w:type="pct"/>
          </w:tcPr>
          <w:p w14:paraId="2C9A1A10" w14:textId="5F692E70" w:rsidR="002F7B6E" w:rsidRPr="0044090C"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44090C">
              <w:rPr>
                <w:rFonts w:ascii="Traditional Arabic" w:hAnsi="Traditional Arabic" w:cs="Traditional Arabic" w:hint="cs"/>
                <w:b/>
                <w:bCs/>
                <w:color w:val="000000" w:themeColor="text1"/>
                <w:sz w:val="24"/>
                <w:szCs w:val="24"/>
                <w:rtl/>
              </w:rPr>
              <w:lastRenderedPageBreak/>
              <w:t>5</w:t>
            </w:r>
          </w:p>
        </w:tc>
        <w:tc>
          <w:tcPr>
            <w:tcW w:w="2435" w:type="pct"/>
          </w:tcPr>
          <w:p w14:paraId="2EE6AFEE" w14:textId="1CBC54F8" w:rsidR="00A83929" w:rsidRPr="000F6949" w:rsidRDefault="000F6949" w:rsidP="000F6949">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4090C">
              <w:rPr>
                <w:rFonts w:ascii="Traditional Arabic" w:eastAsia="Calibri" w:hAnsi="Traditional Arabic" w:cs="Traditional Arabic"/>
                <w:b/>
                <w:bCs/>
                <w:sz w:val="24"/>
                <w:szCs w:val="24"/>
                <w:rtl/>
                <w:lang w:bidi="ar-EG"/>
              </w:rPr>
              <w:t>الفرض الرئيسي الخامس (فرض الفروق الديموغرافية):"</w:t>
            </w:r>
            <w:r w:rsidRPr="0044090C">
              <w:rPr>
                <w:rFonts w:ascii="Traditional Arabic" w:eastAsia="Calibri" w:hAnsi="Traditional Arabic" w:cs="Traditional Arabic"/>
                <w:sz w:val="24"/>
                <w:szCs w:val="24"/>
                <w:rtl/>
                <w:lang w:bidi="ar-EG"/>
              </w:rPr>
              <w:t xml:space="preserve">توجد فروق ذات دلالة إحصائية في إدراك أفراد العينة لمتغيرات الدراسة تُعزى للمتغيرات الديموغرافية والوظيفية </w:t>
            </w:r>
            <w:r>
              <w:rPr>
                <w:rFonts w:ascii="Traditional Arabic" w:eastAsia="Calibri" w:hAnsi="Traditional Arabic" w:cs="Traditional Arabic" w:hint="cs"/>
                <w:sz w:val="24"/>
                <w:szCs w:val="24"/>
                <w:rtl/>
                <w:lang w:bidi="ar-EG"/>
              </w:rPr>
              <w:t xml:space="preserve">المتمثلة في </w:t>
            </w:r>
            <w:r w:rsidRPr="0044090C">
              <w:rPr>
                <w:rFonts w:ascii="Traditional Arabic" w:eastAsia="Calibri" w:hAnsi="Traditional Arabic" w:cs="Traditional Arabic"/>
                <w:sz w:val="24"/>
                <w:szCs w:val="24"/>
                <w:rtl/>
                <w:lang w:bidi="ar-EG"/>
              </w:rPr>
              <w:t>(النوع، المؤهل العلمي، نوع الوظيفة، سنوات الخبرة)."</w:t>
            </w:r>
          </w:p>
        </w:tc>
        <w:tc>
          <w:tcPr>
            <w:tcW w:w="1987" w:type="pct"/>
          </w:tcPr>
          <w:p w14:paraId="62F80850" w14:textId="054BB7C3" w:rsidR="002F7B6E" w:rsidRPr="0044090C" w:rsidRDefault="00522186" w:rsidP="00522186">
            <w:pPr>
              <w:bidi/>
              <w:spacing w:after="200" w:line="276" w:lineRule="auto"/>
              <w:rPr>
                <w:rFonts w:ascii="Traditional Arabic" w:hAnsi="Traditional Arabic" w:cs="Traditional Arabic"/>
                <w:color w:val="000000" w:themeColor="text1"/>
                <w:sz w:val="24"/>
                <w:szCs w:val="24"/>
                <w:rtl/>
              </w:rPr>
            </w:pPr>
            <w:r w:rsidRPr="0044090C">
              <w:rPr>
                <w:rFonts w:ascii="Traditional Arabic" w:hAnsi="Traditional Arabic" w:cs="Traditional Arabic"/>
                <w:color w:val="000000" w:themeColor="text1"/>
                <w:sz w:val="24"/>
                <w:szCs w:val="24"/>
                <w:rtl/>
              </w:rPr>
              <w:t>تُقبل الفرضية</w:t>
            </w:r>
            <w:r w:rsidR="00FD6EE4" w:rsidRPr="0044090C">
              <w:rPr>
                <w:rFonts w:ascii="Traditional Arabic" w:hAnsi="Traditional Arabic" w:cs="Traditional Arabic" w:hint="cs"/>
                <w:color w:val="000000" w:themeColor="text1"/>
                <w:sz w:val="24"/>
                <w:szCs w:val="24"/>
                <w:rtl/>
              </w:rPr>
              <w:t xml:space="preserve"> الخامسة</w:t>
            </w:r>
            <w:r w:rsidRPr="0044090C">
              <w:rPr>
                <w:rFonts w:ascii="Traditional Arabic" w:hAnsi="Traditional Arabic" w:cs="Traditional Arabic"/>
                <w:color w:val="000000" w:themeColor="text1"/>
                <w:sz w:val="24"/>
                <w:szCs w:val="24"/>
                <w:rtl/>
              </w:rPr>
              <w:t xml:space="preserve"> جزئياً؛ حيث كشفت نتائج اختبار (</w:t>
            </w:r>
            <w:r w:rsidRPr="0044090C">
              <w:rPr>
                <w:rFonts w:ascii="Traditional Arabic" w:hAnsi="Traditional Arabic" w:cs="Traditional Arabic"/>
                <w:color w:val="000000" w:themeColor="text1"/>
                <w:sz w:val="24"/>
                <w:szCs w:val="24"/>
              </w:rPr>
              <w:t>T-test</w:t>
            </w:r>
            <w:r w:rsidRPr="0044090C">
              <w:rPr>
                <w:rFonts w:ascii="Traditional Arabic" w:hAnsi="Traditional Arabic" w:cs="Traditional Arabic"/>
                <w:color w:val="000000" w:themeColor="text1"/>
                <w:sz w:val="24"/>
                <w:szCs w:val="24"/>
                <w:rtl/>
              </w:rPr>
              <w:t>) واختبار تحليل التباين الأحادي (</w:t>
            </w:r>
            <w:r w:rsidRPr="0044090C">
              <w:rPr>
                <w:rFonts w:ascii="Traditional Arabic" w:hAnsi="Traditional Arabic" w:cs="Traditional Arabic"/>
                <w:color w:val="000000" w:themeColor="text1"/>
                <w:sz w:val="24"/>
                <w:szCs w:val="24"/>
              </w:rPr>
              <w:t>One-Way ANOVA</w:t>
            </w:r>
            <w:r w:rsidRPr="0044090C">
              <w:rPr>
                <w:rFonts w:ascii="Traditional Arabic" w:hAnsi="Traditional Arabic" w:cs="Traditional Arabic"/>
                <w:color w:val="000000" w:themeColor="text1"/>
                <w:sz w:val="24"/>
                <w:szCs w:val="24"/>
                <w:rtl/>
              </w:rPr>
              <w:t>) عن وجود فروق ذات دلالة إحصائية في إدراك أفراد العينة تعزى لمتغيرات (النوع لصالح الذكور، المؤهل العلمي لصالح الدراسات العليا، وسنوات الخبرة لصالح الفئات الأكثر خبرة)، في حين لم تظهر أي فروق ذات دلالة إحصائية تعزى لمتغير (نوع الوظيفة).</w:t>
            </w:r>
          </w:p>
        </w:tc>
      </w:tr>
    </w:tbl>
    <w:p w14:paraId="35564526" w14:textId="0BB0DF2B" w:rsidR="00CC5328" w:rsidRPr="003808B3" w:rsidRDefault="00391B6E" w:rsidP="003808B3">
      <w:pPr>
        <w:bidi/>
        <w:spacing w:after="200" w:line="276" w:lineRule="auto"/>
        <w:ind w:firstLine="720"/>
        <w:jc w:val="right"/>
        <w:rPr>
          <w:rFonts w:ascii="Traditional Arabic" w:hAnsi="Traditional Arabic" w:cs="Traditional Arabic"/>
          <w:b/>
          <w:bCs/>
          <w:color w:val="000000" w:themeColor="text1"/>
          <w:sz w:val="24"/>
          <w:szCs w:val="24"/>
          <w:rtl/>
        </w:rPr>
        <w:sectPr w:rsidR="00CC5328" w:rsidRPr="003808B3" w:rsidSect="00E63F9C">
          <w:pgSz w:w="16838" w:h="11906" w:orient="landscape"/>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pgNumType w:start="125"/>
          <w:cols w:space="708"/>
          <w:bidi/>
          <w:rtlGutter/>
          <w:docGrid w:linePitch="360"/>
        </w:sectPr>
      </w:pPr>
      <w:r w:rsidRPr="0044090C">
        <w:rPr>
          <w:rFonts w:ascii="Traditional Arabic" w:hAnsi="Traditional Arabic" w:cs="Traditional Arabic" w:hint="cs"/>
          <w:b/>
          <w:bCs/>
          <w:color w:val="000000" w:themeColor="text1"/>
          <w:sz w:val="24"/>
          <w:szCs w:val="24"/>
          <w:rtl/>
        </w:rPr>
        <w:t>إعداد الباحثة إعتماداً على نتائج التحليل الإحصا</w:t>
      </w:r>
      <w:r w:rsidR="003808B3">
        <w:rPr>
          <w:rFonts w:ascii="Traditional Arabic" w:hAnsi="Traditional Arabic" w:cs="Traditional Arabic" w:hint="cs"/>
          <w:b/>
          <w:bCs/>
          <w:color w:val="000000" w:themeColor="text1"/>
          <w:sz w:val="24"/>
          <w:szCs w:val="24"/>
          <w:rtl/>
        </w:rPr>
        <w:t>ئي</w:t>
      </w:r>
    </w:p>
    <w:p w14:paraId="0C41EF7F" w14:textId="6516A41D" w:rsidR="00060931" w:rsidRPr="0044090C" w:rsidRDefault="00060931" w:rsidP="00692DEF">
      <w:pPr>
        <w:bidi/>
        <w:spacing w:after="200" w:line="360" w:lineRule="auto"/>
        <w:jc w:val="both"/>
        <w:rPr>
          <w:rFonts w:ascii="Traditional Arabic" w:hAnsi="Traditional Arabic" w:cs="Traditional Arabic"/>
          <w:b/>
          <w:bCs/>
          <w:color w:val="000000" w:themeColor="text1"/>
          <w:sz w:val="28"/>
          <w:szCs w:val="28"/>
          <w:rtl/>
        </w:rPr>
      </w:pPr>
      <w:r w:rsidRPr="0044090C">
        <w:rPr>
          <w:rFonts w:ascii="Traditional Arabic" w:hAnsi="Traditional Arabic" w:cs="Traditional Arabic" w:hint="cs"/>
          <w:b/>
          <w:bCs/>
          <w:color w:val="000000" w:themeColor="text1"/>
          <w:sz w:val="28"/>
          <w:szCs w:val="28"/>
          <w:rtl/>
        </w:rPr>
        <w:lastRenderedPageBreak/>
        <w:t>خلاصة:</w:t>
      </w:r>
    </w:p>
    <w:p w14:paraId="24571CB9" w14:textId="58535E02" w:rsidR="00BA5F4E" w:rsidRPr="00FD6EE4" w:rsidRDefault="00FD6EE4" w:rsidP="00FD6EE4">
      <w:pPr>
        <w:bidi/>
        <w:spacing w:after="200" w:line="276" w:lineRule="auto"/>
        <w:jc w:val="both"/>
        <w:rPr>
          <w:rFonts w:ascii="Traditional Arabic" w:hAnsi="Traditional Arabic" w:cs="Traditional Arabic"/>
          <w:color w:val="000000" w:themeColor="text1"/>
          <w:sz w:val="24"/>
          <w:szCs w:val="24"/>
          <w:rtl/>
          <w:lang w:bidi="ar-EG"/>
        </w:rPr>
      </w:pPr>
      <w:r w:rsidRPr="0044090C">
        <w:rPr>
          <w:rFonts w:ascii="Traditional Arabic" w:hAnsi="Traditional Arabic" w:cs="Traditional Arabic"/>
          <w:color w:val="000000" w:themeColor="text1"/>
          <w:sz w:val="24"/>
          <w:szCs w:val="24"/>
        </w:rPr>
        <w:t>"</w:t>
      </w:r>
      <w:r w:rsidRPr="0044090C">
        <w:rPr>
          <w:rFonts w:ascii="Traditional Arabic" w:hAnsi="Traditional Arabic" w:cs="Traditional Arabic"/>
          <w:color w:val="000000" w:themeColor="text1"/>
          <w:sz w:val="24"/>
          <w:szCs w:val="24"/>
          <w:rtl/>
        </w:rPr>
        <w:t>اختتم هذا الفصل تقديم عرض شامل ومناقشة علمية مستفيضة لنتائج التحليل الميداني لإجابات عينة الدراسة البالغة (389) مشاركاً؛ حيث قادت الأساليب الإحصائية المتقدمة المستندة إلى حزمة</w:t>
      </w:r>
      <w:r w:rsidRPr="0044090C">
        <w:rPr>
          <w:rFonts w:ascii="Traditional Arabic" w:hAnsi="Traditional Arabic" w:cs="Traditional Arabic"/>
          <w:color w:val="000000" w:themeColor="text1"/>
          <w:sz w:val="24"/>
          <w:szCs w:val="24"/>
        </w:rPr>
        <w:t xml:space="preserve"> (SPSS) </w:t>
      </w:r>
      <w:r w:rsidRPr="0044090C">
        <w:rPr>
          <w:rFonts w:ascii="Traditional Arabic" w:hAnsi="Traditional Arabic" w:cs="Traditional Arabic"/>
          <w:color w:val="000000" w:themeColor="text1"/>
          <w:sz w:val="24"/>
          <w:szCs w:val="24"/>
          <w:rtl/>
        </w:rPr>
        <w:t>وملحق</w:t>
      </w:r>
      <w:r w:rsidRPr="0044090C">
        <w:rPr>
          <w:rFonts w:ascii="Traditional Arabic" w:hAnsi="Traditional Arabic" w:cs="Traditional Arabic"/>
          <w:color w:val="000000" w:themeColor="text1"/>
          <w:sz w:val="24"/>
          <w:szCs w:val="24"/>
        </w:rPr>
        <w:t xml:space="preserve"> (PROCESS Macro) </w:t>
      </w:r>
      <w:r w:rsidRPr="0044090C">
        <w:rPr>
          <w:rFonts w:ascii="Traditional Arabic" w:hAnsi="Traditional Arabic" w:cs="Traditional Arabic"/>
          <w:color w:val="000000" w:themeColor="text1"/>
          <w:sz w:val="24"/>
          <w:szCs w:val="24"/>
          <w:rtl/>
        </w:rPr>
        <w:t>إلى قبول الفرضيات الرئيسية الأربعة الأولى بالكامل بعد ثبوت العلاقات الارتباطية والتأثيرات الطردية المباشرة وغير المباشرة لمتغيرات الدراسة، كما تم قبول الفرضية الخامسة جزئياً بعد التحقق من الفروق الجوهرية التي تعزى لبعض المتغيرات الديموغرافية، ومثلت هذه المخرجات في مجموعها إثباتاً إحصائياً قاطعاً على كفاءة الدور الوسيط الجزئي للقيادة التحويلية في تعظيم أثر ممارسات إدارة المخاطر لتعزيز مستويات سلامة المرضى في المستشفيات الحكومية بالمملكة العربية السعودية، مما يمهد الطريق في الفصل القادم لبلورة التوصيات والمقترحات التنفيذية</w:t>
      </w:r>
      <w:r w:rsidRPr="0044090C">
        <w:rPr>
          <w:rFonts w:ascii="Traditional Arabic" w:hAnsi="Traditional Arabic" w:cs="Traditional Arabic"/>
          <w:color w:val="000000" w:themeColor="text1"/>
          <w:sz w:val="24"/>
          <w:szCs w:val="24"/>
        </w:rPr>
        <w:t>."</w:t>
      </w:r>
    </w:p>
    <w:p w14:paraId="287F569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E63F9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28"/>
          <w:cols w:space="708"/>
          <w:bidi/>
          <w:rtlGutter/>
          <w:docGrid w:linePitch="360"/>
        </w:sectPr>
      </w:pPr>
    </w:p>
    <w:p w14:paraId="35623E13"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66B7720"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EC7475A"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B6D23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F6F9482"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12566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5FEB21F" w14:textId="6EB99962" w:rsidR="00BA5F4E" w:rsidRPr="00292E94" w:rsidRDefault="00BA5F4E" w:rsidP="00292E94">
      <w:pPr>
        <w:bidi/>
        <w:spacing w:after="200" w:line="276" w:lineRule="auto"/>
        <w:jc w:val="center"/>
        <w:rPr>
          <w:rFonts w:ascii="Traditional Arabic" w:hAnsi="Traditional Arabic" w:cs="Traditional Arabic"/>
          <w:b/>
          <w:bCs/>
          <w:color w:val="000000" w:themeColor="text1"/>
          <w:sz w:val="144"/>
          <w:szCs w:val="144"/>
          <w:rtl/>
        </w:rPr>
      </w:pPr>
      <w:r w:rsidRPr="00292E94">
        <w:rPr>
          <w:rFonts w:ascii="Traditional Arabic" w:hAnsi="Traditional Arabic" w:cs="Traditional Arabic" w:hint="cs"/>
          <w:b/>
          <w:bCs/>
          <w:color w:val="000000" w:themeColor="text1"/>
          <w:sz w:val="144"/>
          <w:szCs w:val="144"/>
          <w:rtl/>
        </w:rPr>
        <w:t>الفصل الخامس</w:t>
      </w:r>
    </w:p>
    <w:p w14:paraId="2C90AE11"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53C4D194"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2FDBCC07"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1419F50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6E8659E"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83D49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382AC8A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292E94">
          <w:footerReference w:type="default" r:id="rId53"/>
          <w:pgSz w:w="11906" w:h="16838"/>
          <w:pgMar w:top="1440" w:right="1800" w:bottom="1440" w:left="1800" w:header="708" w:footer="708" w:gutter="0"/>
          <w:pgNumType w:start="107"/>
          <w:cols w:space="708"/>
          <w:bidi/>
          <w:rtlGutter/>
          <w:docGrid w:linePitch="360"/>
        </w:sectPr>
      </w:pPr>
    </w:p>
    <w:p w14:paraId="2E642FB8" w14:textId="008A1299" w:rsidR="00DA1248" w:rsidRPr="00DA1248" w:rsidRDefault="00DA1248" w:rsidP="00D45743">
      <w:pPr>
        <w:bidi/>
        <w:spacing w:after="200" w:line="360" w:lineRule="auto"/>
        <w:ind w:firstLine="720"/>
        <w:jc w:val="both"/>
        <w:rPr>
          <w:rFonts w:ascii="Traditional Arabic" w:hAnsi="Traditional Arabic" w:cs="Traditional Arabic"/>
          <w:b/>
          <w:bCs/>
          <w:color w:val="000000" w:themeColor="text1"/>
          <w:sz w:val="28"/>
          <w:szCs w:val="28"/>
          <w:lang w:bidi="ar-EG"/>
        </w:rPr>
      </w:pPr>
      <w:r w:rsidRPr="00DA1248">
        <w:rPr>
          <w:rFonts w:ascii="Traditional Arabic" w:hAnsi="Traditional Arabic" w:cs="Traditional Arabic" w:hint="cs"/>
          <w:b/>
          <w:bCs/>
          <w:color w:val="000000" w:themeColor="text1"/>
          <w:sz w:val="28"/>
          <w:szCs w:val="28"/>
          <w:rtl/>
          <w:lang w:bidi="ar-EG"/>
        </w:rPr>
        <w:lastRenderedPageBreak/>
        <w:t>تمهيد</w:t>
      </w:r>
      <w:r w:rsidR="00340B5E">
        <w:rPr>
          <w:rFonts w:ascii="Traditional Arabic" w:hAnsi="Traditional Arabic" w:cs="Traditional Arabic" w:hint="cs"/>
          <w:b/>
          <w:bCs/>
          <w:color w:val="000000" w:themeColor="text1"/>
          <w:sz w:val="28"/>
          <w:szCs w:val="28"/>
          <w:rtl/>
          <w:lang w:bidi="ar-EG"/>
        </w:rPr>
        <w:t xml:space="preserve"> :</w:t>
      </w:r>
    </w:p>
    <w:p w14:paraId="6D3B8C65" w14:textId="169AAA15" w:rsidR="00445290" w:rsidRPr="00445290" w:rsidRDefault="00445290" w:rsidP="00445290">
      <w:pPr>
        <w:bidi/>
        <w:spacing w:after="200" w:line="360" w:lineRule="auto"/>
        <w:jc w:val="both"/>
        <w:rPr>
          <w:rFonts w:ascii="Traditional Arabic" w:hAnsi="Traditional Arabic" w:cs="Traditional Arabic"/>
          <w:color w:val="000000" w:themeColor="text1"/>
          <w:sz w:val="24"/>
          <w:szCs w:val="24"/>
          <w:highlight w:val="yellow"/>
        </w:rPr>
      </w:pPr>
      <w:r w:rsidRPr="00445290">
        <w:rPr>
          <w:rFonts w:ascii="Traditional Arabic" w:hAnsi="Traditional Arabic" w:cs="Traditional Arabic"/>
          <w:color w:val="000000" w:themeColor="text1"/>
          <w:sz w:val="24"/>
          <w:szCs w:val="24"/>
          <w:highlight w:val="yellow"/>
        </w:rPr>
        <w:t>"</w:t>
      </w:r>
      <w:r w:rsidRPr="00445290">
        <w:rPr>
          <w:rFonts w:ascii="Traditional Arabic" w:hAnsi="Traditional Arabic" w:cs="Traditional Arabic"/>
          <w:color w:val="000000" w:themeColor="text1"/>
          <w:sz w:val="24"/>
          <w:szCs w:val="24"/>
          <w:highlight w:val="yellow"/>
          <w:rtl/>
        </w:rPr>
        <w:t xml:space="preserve">يتناول هذا الفصل عرض نتائج الدراسة الميدانية ومناقشتها بأسلوب تحليلي منهجي؛ حيث </w:t>
      </w:r>
      <w:r w:rsidR="00197B95">
        <w:rPr>
          <w:rFonts w:ascii="Traditional Arabic" w:hAnsi="Traditional Arabic" w:cs="Traditional Arabic" w:hint="cs"/>
          <w:color w:val="000000" w:themeColor="text1"/>
          <w:sz w:val="24"/>
          <w:szCs w:val="24"/>
          <w:highlight w:val="yellow"/>
          <w:rtl/>
          <w:lang w:bidi="ar-EG"/>
        </w:rPr>
        <w:t>تبدأ</w:t>
      </w:r>
      <w:r w:rsidRPr="00445290">
        <w:rPr>
          <w:rFonts w:ascii="Traditional Arabic" w:hAnsi="Traditional Arabic" w:cs="Traditional Arabic"/>
          <w:color w:val="000000" w:themeColor="text1"/>
          <w:sz w:val="24"/>
          <w:szCs w:val="24"/>
          <w:highlight w:val="yellow"/>
          <w:rtl/>
        </w:rPr>
        <w:t xml:space="preserve"> الباحث</w:t>
      </w:r>
      <w:r w:rsidR="00197B95">
        <w:rPr>
          <w:rFonts w:ascii="Traditional Arabic" w:hAnsi="Traditional Arabic" w:cs="Traditional Arabic" w:hint="cs"/>
          <w:color w:val="000000" w:themeColor="text1"/>
          <w:sz w:val="24"/>
          <w:szCs w:val="24"/>
          <w:highlight w:val="yellow"/>
          <w:rtl/>
        </w:rPr>
        <w:t>ة</w:t>
      </w:r>
      <w:r w:rsidRPr="00445290">
        <w:rPr>
          <w:rFonts w:ascii="Traditional Arabic" w:hAnsi="Traditional Arabic" w:cs="Traditional Arabic"/>
          <w:color w:val="000000" w:themeColor="text1"/>
          <w:sz w:val="24"/>
          <w:szCs w:val="24"/>
          <w:highlight w:val="yellow"/>
          <w:rtl/>
        </w:rPr>
        <w:t xml:space="preserve"> باختبار الفرضيات وتفسير مخرجاتها، والانتقال للعلاقات السببية والمباشرة، مع التركيز على قياس أثر ممارسات إدارة المخاطر وتفكيك الدور الوسيط للقيادة التحويلية في تعزيز سلامة المرضى، فضلاً عن تحليل وتحييد الفروق الديموغرافية والوظيفية في البيئة الصحية محل الدراسة</w:t>
      </w:r>
      <w:r w:rsidRPr="00445290">
        <w:rPr>
          <w:rFonts w:ascii="Traditional Arabic" w:hAnsi="Traditional Arabic" w:cs="Traditional Arabic"/>
          <w:color w:val="000000" w:themeColor="text1"/>
          <w:sz w:val="24"/>
          <w:szCs w:val="24"/>
          <w:highlight w:val="yellow"/>
        </w:rPr>
        <w:t>.</w:t>
      </w:r>
    </w:p>
    <w:p w14:paraId="2085F023" w14:textId="49145003" w:rsidR="00445290" w:rsidRPr="00197B95" w:rsidRDefault="00197B95" w:rsidP="00445290">
      <w:pPr>
        <w:bidi/>
        <w:spacing w:after="200" w:line="360" w:lineRule="auto"/>
        <w:jc w:val="both"/>
        <w:rPr>
          <w:rFonts w:ascii="Traditional Arabic" w:hAnsi="Traditional Arabic" w:cs="Traditional Arabic"/>
          <w:color w:val="000000" w:themeColor="text1"/>
          <w:sz w:val="24"/>
          <w:szCs w:val="24"/>
          <w:highlight w:val="yellow"/>
        </w:rPr>
      </w:pPr>
      <w:r w:rsidRPr="00197B95">
        <w:rPr>
          <w:rFonts w:ascii="Traditional Arabic" w:hAnsi="Traditional Arabic" w:cs="Traditional Arabic" w:hint="cs"/>
          <w:color w:val="000000" w:themeColor="text1"/>
          <w:sz w:val="24"/>
          <w:szCs w:val="24"/>
          <w:highlight w:val="yellow"/>
          <w:rtl/>
        </w:rPr>
        <w:t>بالإضافة إلى</w:t>
      </w:r>
      <w:r w:rsidR="00445290" w:rsidRPr="00197B95">
        <w:rPr>
          <w:rFonts w:ascii="Traditional Arabic" w:hAnsi="Traditional Arabic" w:cs="Traditional Arabic"/>
          <w:color w:val="000000" w:themeColor="text1"/>
          <w:sz w:val="24"/>
          <w:szCs w:val="24"/>
          <w:highlight w:val="yellow"/>
          <w:rtl/>
        </w:rPr>
        <w:t xml:space="preserve"> الآثار والتطبيقات المنهجية والتنظيمية لهذه النتائج بما يثري أدبيات الإدارة الصحية، ويدعم بشكل مباشر برنامج تحول القطاع الصحي بالمملكة العربية السعودية</w:t>
      </w:r>
      <w:r w:rsidRPr="00197B95">
        <w:rPr>
          <w:rFonts w:ascii="Traditional Arabic" w:hAnsi="Traditional Arabic" w:cs="Traditional Arabic" w:hint="cs"/>
          <w:color w:val="000000" w:themeColor="text1"/>
          <w:sz w:val="24"/>
          <w:szCs w:val="24"/>
          <w:highlight w:val="yellow"/>
          <w:rtl/>
        </w:rPr>
        <w:t>،</w:t>
      </w:r>
      <w:r w:rsidR="00445290" w:rsidRPr="00197B95">
        <w:rPr>
          <w:rFonts w:ascii="Traditional Arabic" w:hAnsi="Traditional Arabic" w:cs="Traditional Arabic"/>
          <w:color w:val="000000" w:themeColor="text1"/>
          <w:sz w:val="24"/>
          <w:szCs w:val="24"/>
          <w:highlight w:val="yellow"/>
        </w:rPr>
        <w:t xml:space="preserve"> </w:t>
      </w:r>
      <w:r w:rsidR="00445290" w:rsidRPr="00197B95">
        <w:rPr>
          <w:rFonts w:ascii="Traditional Arabic" w:hAnsi="Traditional Arabic" w:cs="Traditional Arabic"/>
          <w:color w:val="000000" w:themeColor="text1"/>
          <w:sz w:val="24"/>
          <w:szCs w:val="24"/>
          <w:highlight w:val="yellow"/>
          <w:rtl/>
        </w:rPr>
        <w:t>وتأكيداً على الشفافية العلمية والموضوعية، يتم استعراض أبرز محددات الدراسة وعوائقها الميدانية. وينتهي الفصل بتقديم حزمة من التوصيات الإجرائية والوقائية الموجهة لصنّاع القرار بوزارة الصحة وإدارات المستشفيات الحكومية، تليها مقترحات بحثية مستقبلية واعدة، وصولاً إلى خاتمة شمولية تلخص الجوهر الفكري للرسالة والأثر العلمي المستدام الذي تسعى الدراسة لترسيخه؛ دعماً لمنظومة رعاية صحية آمنة ومستدامة تحت مظلة رؤية المملكة 2030</w:t>
      </w:r>
      <w:r w:rsidR="00445290" w:rsidRPr="00197B95">
        <w:rPr>
          <w:rFonts w:ascii="Traditional Arabic" w:hAnsi="Traditional Arabic" w:cs="Traditional Arabic"/>
          <w:color w:val="000000" w:themeColor="text1"/>
          <w:sz w:val="24"/>
          <w:szCs w:val="24"/>
          <w:highlight w:val="yellow"/>
        </w:rPr>
        <w:t>."</w:t>
      </w:r>
    </w:p>
    <w:p w14:paraId="314F14EE" w14:textId="596832B4" w:rsidR="00690918" w:rsidRPr="00956193" w:rsidRDefault="008B6E8A" w:rsidP="00690918">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الدراسة :</w:t>
      </w:r>
    </w:p>
    <w:p w14:paraId="66443203" w14:textId="77777777" w:rsidR="008B6E8A" w:rsidRPr="00956193" w:rsidRDefault="008B6E8A" w:rsidP="008B6E8A">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الأول:</w:t>
      </w:r>
    </w:p>
    <w:p w14:paraId="3281CE01" w14:textId="0CCE2F0E" w:rsidR="00197B95" w:rsidRPr="00363B1D" w:rsidRDefault="008B6E8A" w:rsidP="00197B95">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363B1D">
        <w:rPr>
          <w:rFonts w:ascii="Traditional Arabic" w:hAnsi="Traditional Arabic" w:cs="Traditional Arabic" w:hint="cs"/>
          <w:color w:val="000000" w:themeColor="text1"/>
          <w:sz w:val="24"/>
          <w:szCs w:val="24"/>
          <w:highlight w:val="yellow"/>
          <w:rtl/>
        </w:rPr>
        <w:t xml:space="preserve">ينص الفرض الأول على أنه " </w:t>
      </w:r>
      <w:r w:rsidR="00197B95" w:rsidRPr="00363B1D">
        <w:rPr>
          <w:rFonts w:ascii="Traditional Arabic" w:eastAsia="Calibri" w:hAnsi="Traditional Arabic" w:cs="Traditional Arabic" w:hint="cs"/>
          <w:sz w:val="24"/>
          <w:szCs w:val="24"/>
          <w:highlight w:val="yellow"/>
          <w:rtl/>
          <w:lang w:bidi="ar-EG"/>
        </w:rPr>
        <w:t>يوجد</w:t>
      </w:r>
      <w:r w:rsidR="00197B95" w:rsidRPr="00363B1D">
        <w:rPr>
          <w:rFonts w:ascii="Traditional Arabic" w:eastAsia="Calibri" w:hAnsi="Traditional Arabic" w:cs="Traditional Arabic"/>
          <w:sz w:val="24"/>
          <w:szCs w:val="24"/>
          <w:highlight w:val="yellow"/>
          <w:rtl/>
          <w:lang w:bidi="ar-EG"/>
        </w:rPr>
        <w:t xml:space="preserve"> </w:t>
      </w:r>
      <w:r w:rsidR="00197B95" w:rsidRPr="00363B1D">
        <w:rPr>
          <w:rFonts w:ascii="Traditional Arabic" w:eastAsia="Calibri" w:hAnsi="Traditional Arabic" w:cs="Traditional Arabic" w:hint="cs"/>
          <w:sz w:val="24"/>
          <w:szCs w:val="24"/>
          <w:highlight w:val="yellow"/>
          <w:rtl/>
          <w:lang w:bidi="ar-EG"/>
        </w:rPr>
        <w:t>تأثير مباشر ذو دلالة إحصائية لممارسات إدارة المخاطر على القيادة التحويلية في المرافق الصحية الحكومية بالمملكة العربية السعودية.</w:t>
      </w:r>
    </w:p>
    <w:p w14:paraId="53A6A9F2" w14:textId="4B563BF7" w:rsidR="00197B95" w:rsidRPr="00363B1D" w:rsidRDefault="00197B95" w:rsidP="00197B95">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color w:val="000000" w:themeColor="text1"/>
          <w:sz w:val="24"/>
          <w:szCs w:val="24"/>
          <w:highlight w:val="yellow"/>
          <w:rtl/>
        </w:rPr>
        <w:t xml:space="preserve">نستنتج أن الفرض الأول قد تحقق بالفعل ويتم قبوله بالكامل؛ استناداً إلى نتائج تحليل الانحدار الخطي البسيط </w:t>
      </w:r>
      <w:r w:rsidRPr="00363B1D">
        <w:rPr>
          <w:rFonts w:ascii="Traditional Arabic" w:hAnsi="Traditional Arabic" w:cs="Traditional Arabic" w:hint="cs"/>
          <w:color w:val="000000" w:themeColor="text1"/>
          <w:sz w:val="24"/>
          <w:szCs w:val="24"/>
          <w:highlight w:val="yellow"/>
          <w:rtl/>
        </w:rPr>
        <w:t>،</w:t>
      </w:r>
      <w:r w:rsidRPr="00363B1D">
        <w:rPr>
          <w:rFonts w:ascii="Traditional Arabic" w:hAnsi="Traditional Arabic" w:cs="Traditional Arabic"/>
          <w:color w:val="000000" w:themeColor="text1"/>
          <w:sz w:val="24"/>
          <w:szCs w:val="24"/>
          <w:highlight w:val="yellow"/>
          <w:rtl/>
        </w:rPr>
        <w:t xml:space="preserve"> حيث أظهرت النتائج معنوية النموذج الإجمالي بقيمة اختبار ف (</w:t>
      </w:r>
      <w:r w:rsidRPr="00363B1D">
        <w:rPr>
          <w:rFonts w:ascii="Traditional Arabic" w:hAnsi="Traditional Arabic" w:cs="Traditional Arabic"/>
          <w:color w:val="000000" w:themeColor="text1"/>
          <w:sz w:val="24"/>
          <w:szCs w:val="24"/>
          <w:highlight w:val="yellow"/>
        </w:rPr>
        <w:t>F</w:t>
      </w:r>
      <w:r w:rsidRPr="00363B1D">
        <w:rPr>
          <w:rFonts w:ascii="Traditional Arabic" w:hAnsi="Traditional Arabic" w:cs="Traditional Arabic"/>
          <w:color w:val="000000" w:themeColor="text1"/>
          <w:sz w:val="24"/>
          <w:szCs w:val="24"/>
          <w:highlight w:val="yellow"/>
          <w:rtl/>
        </w:rPr>
        <w:t>) التي بلغت (283.13) عند مستوى دلالة (0.000)، وهو أقل من مستوى المعنوية المعتمد (0.05)، مما يعكس بوضوح صلاحية النموذج وقدرته التنبؤية العالية.كما سجل معامل التحديد (</w:t>
      </w:r>
      <w:r w:rsidRPr="00363B1D">
        <w:rPr>
          <w:rFonts w:ascii="Traditional Arabic" w:hAnsi="Traditional Arabic" w:cs="Traditional Arabic"/>
          <w:color w:val="000000" w:themeColor="text1"/>
          <w:sz w:val="24"/>
          <w:szCs w:val="24"/>
          <w:highlight w:val="yellow"/>
        </w:rPr>
        <w:t>R²</w:t>
      </w:r>
      <w:r w:rsidRPr="00363B1D">
        <w:rPr>
          <w:rFonts w:ascii="Traditional Arabic" w:hAnsi="Traditional Arabic" w:cs="Traditional Arabic"/>
          <w:color w:val="000000" w:themeColor="text1"/>
          <w:sz w:val="24"/>
          <w:szCs w:val="24"/>
          <w:highlight w:val="yellow"/>
          <w:rtl/>
        </w:rPr>
        <w:t>) قيمة قدرها (0.423)، وهو ما يعني أن ممارسات إدارة المخاطر تفسر ما نسبته (42.3%) من التباين في مستوى القيادة التحويلية، بينما تعود النسبة المتبقية لعوامل أخرى خارج نطاق النموذج الحالي. وعلاوة على ذلك، أكدت المؤشرات وجود علاقة طردية قوية ومباشرة بين المتغيرين؛ إذ بلغ معامل الانحدار المعياري (</w:t>
      </w:r>
      <w:r w:rsidRPr="00363B1D">
        <w:rPr>
          <w:rFonts w:ascii="Cambria" w:hAnsi="Cambria" w:cs="Cambria"/>
          <w:color w:val="000000" w:themeColor="text1"/>
          <w:sz w:val="24"/>
          <w:szCs w:val="24"/>
          <w:highlight w:val="yellow"/>
        </w:rPr>
        <w:t>β</w:t>
      </w:r>
      <w:r w:rsidRPr="00363B1D">
        <w:rPr>
          <w:rFonts w:ascii="Traditional Arabic" w:hAnsi="Traditional Arabic" w:cs="Traditional Arabic"/>
          <w:color w:val="000000" w:themeColor="text1"/>
          <w:sz w:val="24"/>
          <w:szCs w:val="24"/>
          <w:highlight w:val="yellow"/>
          <w:rtl/>
        </w:rPr>
        <w:t>) حوالي (0.650) وقيمة اختبار ت (</w:t>
      </w:r>
      <w:r w:rsidRPr="00363B1D">
        <w:rPr>
          <w:rFonts w:ascii="Traditional Arabic" w:hAnsi="Traditional Arabic" w:cs="Traditional Arabic"/>
          <w:color w:val="000000" w:themeColor="text1"/>
          <w:sz w:val="24"/>
          <w:szCs w:val="24"/>
          <w:highlight w:val="yellow"/>
        </w:rPr>
        <w:t>t</w:t>
      </w:r>
      <w:r w:rsidRPr="00363B1D">
        <w:rPr>
          <w:rFonts w:ascii="Traditional Arabic" w:hAnsi="Traditional Arabic" w:cs="Traditional Arabic"/>
          <w:color w:val="000000" w:themeColor="text1"/>
          <w:sz w:val="24"/>
          <w:szCs w:val="24"/>
          <w:highlight w:val="yellow"/>
          <w:rtl/>
        </w:rPr>
        <w:t>) بلغت (16.826) بمستوى دلالة (0.000). وتُشير هذه القراءات إلى أن زيادة الاهتمام بممارسات إدارة المخاطر بمقدار وحدة واحدة تؤدي تلقائياً إلى تحسن وتطور في مستوى القيادة التحويلية بمقدار (0.720) وفقاً لقيمة المعامل غير المعياري (</w:t>
      </w:r>
      <w:r w:rsidRPr="00363B1D">
        <w:rPr>
          <w:rFonts w:ascii="Traditional Arabic" w:hAnsi="Traditional Arabic" w:cs="Traditional Arabic"/>
          <w:color w:val="000000" w:themeColor="text1"/>
          <w:sz w:val="24"/>
          <w:szCs w:val="24"/>
          <w:highlight w:val="yellow"/>
        </w:rPr>
        <w:t>B</w:t>
      </w:r>
      <w:r w:rsidRPr="00363B1D">
        <w:rPr>
          <w:rFonts w:ascii="Traditional Arabic" w:hAnsi="Traditional Arabic" w:cs="Traditional Arabic"/>
          <w:color w:val="000000" w:themeColor="text1"/>
          <w:sz w:val="24"/>
          <w:szCs w:val="24"/>
          <w:highlight w:val="yellow"/>
          <w:rtl/>
        </w:rPr>
        <w:t>).</w:t>
      </w:r>
    </w:p>
    <w:p w14:paraId="6C42CFE6" w14:textId="77777777" w:rsidR="007442A7" w:rsidRPr="00363B1D" w:rsidRDefault="00197B95" w:rsidP="007442A7">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hint="cs"/>
          <w:color w:val="000000" w:themeColor="text1"/>
          <w:sz w:val="24"/>
          <w:szCs w:val="24"/>
          <w:highlight w:val="yellow"/>
          <w:rtl/>
        </w:rPr>
        <w:t>كما</w:t>
      </w:r>
      <w:r w:rsidRPr="00363B1D">
        <w:rPr>
          <w:rFonts w:ascii="Traditional Arabic" w:hAnsi="Traditional Arabic" w:cs="Traditional Arabic"/>
          <w:color w:val="000000" w:themeColor="text1"/>
          <w:sz w:val="24"/>
          <w:szCs w:val="24"/>
          <w:highlight w:val="yellow"/>
          <w:rtl/>
        </w:rPr>
        <w:t xml:space="preserve"> أوضحت مؤشرات تحليل الانحدار الخطي البسيط وجود تأثير مباشر، إيجابي، وذو دلالة إحصائية لممارسات إدارة المخاطر على القيادة التحويلية في المرافق الصحية الحكومية بالمملكة العربية السعودية، مما يعكس أن التوسع والالتزام بتطبيق ممارسات إدارة المخاطر </w:t>
      </w:r>
      <w:r w:rsidRPr="00363B1D">
        <w:rPr>
          <w:rFonts w:ascii="Traditional Arabic" w:hAnsi="Traditional Arabic" w:cs="Traditional Arabic"/>
          <w:color w:val="000000" w:themeColor="text1"/>
          <w:sz w:val="24"/>
          <w:szCs w:val="24"/>
          <w:highlight w:val="yellow"/>
          <w:rtl/>
        </w:rPr>
        <w:lastRenderedPageBreak/>
        <w:t>بدقة داخل البيئة الصحية يسهم بصورة مباشرة وجوهرية في تشكيل وتطوير السلوك القيادي ليتجه نحو النمط التحويلي. وتُعزى هذه النتيجة علمياً إلى أن طبيعة العمل الصحي ومتطلبات التنبؤ بالمخاطر والحد منها تفرض على القادة الإداريين والطبيين تبني أساليب قيادية مرنة تعتمد على الإلهام، والتحفيز الفكري، والتمكين، ودعم الكوادر الصحية لمواجهة الأزمات بكفاءة عالية وضمان جودة الرعاية</w:t>
      </w:r>
      <w:r w:rsidRPr="00363B1D">
        <w:rPr>
          <w:rFonts w:ascii="Traditional Arabic" w:hAnsi="Traditional Arabic" w:cs="Traditional Arabic"/>
          <w:color w:val="000000" w:themeColor="text1"/>
          <w:sz w:val="24"/>
          <w:szCs w:val="24"/>
          <w:highlight w:val="yellow"/>
        </w:rPr>
        <w:t>."</w:t>
      </w:r>
    </w:p>
    <w:p w14:paraId="1D9B955D" w14:textId="0B703F8E" w:rsidR="002E5D4E" w:rsidRPr="00363B1D" w:rsidRDefault="00045767" w:rsidP="007442A7">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hint="cs"/>
          <w:color w:val="000000" w:themeColor="text1"/>
          <w:sz w:val="24"/>
          <w:szCs w:val="24"/>
          <w:highlight w:val="yellow"/>
          <w:rtl/>
        </w:rPr>
        <w:t>و</w:t>
      </w:r>
      <w:r w:rsidR="002E5D4E" w:rsidRPr="00363B1D">
        <w:rPr>
          <w:rFonts w:ascii="Traditional Arabic" w:hAnsi="Traditional Arabic" w:cs="Traditional Arabic"/>
          <w:color w:val="000000" w:themeColor="text1"/>
          <w:sz w:val="24"/>
          <w:szCs w:val="24"/>
          <w:highlight w:val="yellow"/>
          <w:rtl/>
        </w:rPr>
        <w:t>تتسق مع ما توصلت إليه العديد من الأبحاث التي أكدت الدور الحيوي لممارسات إدارة المخاطر في تعزيز سلامة المرضى</w:t>
      </w:r>
      <w:r w:rsidR="002E5D4E" w:rsidRPr="00363B1D">
        <w:rPr>
          <w:rFonts w:ascii="Traditional Arabic" w:hAnsi="Traditional Arabic" w:cs="Traditional Arabic"/>
          <w:color w:val="000000" w:themeColor="text1"/>
          <w:sz w:val="24"/>
          <w:szCs w:val="24"/>
          <w:highlight w:val="yellow"/>
        </w:rPr>
        <w:t xml:space="preserve">. </w:t>
      </w:r>
      <w:r w:rsidR="002E5D4E" w:rsidRPr="00363B1D">
        <w:rPr>
          <w:rFonts w:ascii="Traditional Arabic" w:hAnsi="Traditional Arabic" w:cs="Traditional Arabic"/>
          <w:color w:val="000000" w:themeColor="text1"/>
          <w:sz w:val="24"/>
          <w:szCs w:val="24"/>
          <w:highlight w:val="yellow"/>
          <w:rtl/>
        </w:rPr>
        <w:t xml:space="preserve">فقد بينت دراسة </w:t>
      </w:r>
      <w:r w:rsidR="002E5D4E" w:rsidRPr="00363B1D">
        <w:rPr>
          <w:rFonts w:ascii="Traditional Arabic" w:hAnsi="Traditional Arabic" w:cs="Traditional Arabic"/>
          <w:color w:val="000000" w:themeColor="text1"/>
          <w:sz w:val="24"/>
          <w:szCs w:val="24"/>
          <w:highlight w:val="yellow"/>
        </w:rPr>
        <w:t xml:space="preserve">Smith et al. (2017) </w:t>
      </w:r>
      <w:r w:rsidRPr="00363B1D">
        <w:rPr>
          <w:rFonts w:ascii="Traditional Arabic" w:hAnsi="Traditional Arabic" w:cs="Traditional Arabic" w:hint="cs"/>
          <w:color w:val="000000" w:themeColor="text1"/>
          <w:sz w:val="24"/>
          <w:szCs w:val="24"/>
          <w:highlight w:val="yellow"/>
          <w:rtl/>
        </w:rPr>
        <w:t xml:space="preserve"> </w:t>
      </w:r>
      <w:r w:rsidR="002E5D4E" w:rsidRPr="00363B1D">
        <w:rPr>
          <w:rFonts w:ascii="Traditional Arabic" w:hAnsi="Traditional Arabic" w:cs="Traditional Arabic"/>
          <w:color w:val="000000" w:themeColor="text1"/>
          <w:sz w:val="24"/>
          <w:szCs w:val="24"/>
          <w:highlight w:val="yellow"/>
          <w:rtl/>
        </w:rPr>
        <w:t xml:space="preserve">أن تطبيق أدوات إدارة المخاطر ساهم في تقليل الحوادث الطبية وتحسين نتائج العلاج، كما أوضحت دراسة </w:t>
      </w:r>
      <w:r w:rsidR="002E5D4E" w:rsidRPr="00363B1D">
        <w:rPr>
          <w:rFonts w:ascii="Traditional Arabic" w:hAnsi="Traditional Arabic" w:cs="Traditional Arabic"/>
          <w:color w:val="000000" w:themeColor="text1"/>
          <w:sz w:val="24"/>
          <w:szCs w:val="24"/>
          <w:highlight w:val="yellow"/>
        </w:rPr>
        <w:t xml:space="preserve">Jones and Brown (2018) </w:t>
      </w:r>
      <w:r w:rsidR="002E5D4E" w:rsidRPr="00363B1D">
        <w:rPr>
          <w:rFonts w:ascii="Traditional Arabic" w:hAnsi="Traditional Arabic" w:cs="Traditional Arabic" w:hint="cs"/>
          <w:color w:val="000000" w:themeColor="text1"/>
          <w:sz w:val="24"/>
          <w:szCs w:val="24"/>
          <w:highlight w:val="yellow"/>
          <w:rtl/>
        </w:rPr>
        <w:t xml:space="preserve"> </w:t>
      </w:r>
      <w:r w:rsidR="002E5D4E" w:rsidRPr="00363B1D">
        <w:rPr>
          <w:rFonts w:ascii="Traditional Arabic" w:hAnsi="Traditional Arabic" w:cs="Traditional Arabic"/>
          <w:color w:val="000000" w:themeColor="text1"/>
          <w:sz w:val="24"/>
          <w:szCs w:val="24"/>
          <w:highlight w:val="yellow"/>
          <w:rtl/>
        </w:rPr>
        <w:t>أن استراتيجيات إدارة المخاطر أسهمت في رفع جودة الخدمات الصحية وتقليل التكاليف المرتبطة بالأخطاء الطبية</w:t>
      </w:r>
      <w:r w:rsidR="002E5D4E" w:rsidRPr="00363B1D">
        <w:rPr>
          <w:rFonts w:ascii="Traditional Arabic" w:hAnsi="Traditional Arabic" w:cs="Traditional Arabic"/>
          <w:color w:val="000000" w:themeColor="text1"/>
          <w:sz w:val="24"/>
          <w:szCs w:val="24"/>
          <w:highlight w:val="yellow"/>
        </w:rPr>
        <w:t xml:space="preserve">. </w:t>
      </w:r>
      <w:r w:rsidR="002E5D4E" w:rsidRPr="00363B1D">
        <w:rPr>
          <w:rFonts w:ascii="Traditional Arabic" w:hAnsi="Traditional Arabic" w:cs="Traditional Arabic"/>
          <w:color w:val="000000" w:themeColor="text1"/>
          <w:sz w:val="24"/>
          <w:szCs w:val="24"/>
          <w:highlight w:val="yellow"/>
          <w:rtl/>
        </w:rPr>
        <w:t xml:space="preserve">كذلك، تتفق هذه النتيجة مع دراسة </w:t>
      </w:r>
      <w:r w:rsidR="002E5D4E" w:rsidRPr="00363B1D">
        <w:rPr>
          <w:rFonts w:ascii="Traditional Arabic" w:hAnsi="Traditional Arabic" w:cs="Traditional Arabic"/>
          <w:color w:val="000000" w:themeColor="text1"/>
          <w:sz w:val="24"/>
          <w:szCs w:val="24"/>
          <w:highlight w:val="yellow"/>
        </w:rPr>
        <w:t xml:space="preserve">Al-Zahrani (2018) </w:t>
      </w:r>
      <w:r w:rsidR="002E5D4E" w:rsidRPr="00363B1D">
        <w:rPr>
          <w:rFonts w:ascii="Traditional Arabic" w:hAnsi="Traditional Arabic" w:cs="Traditional Arabic"/>
          <w:color w:val="000000" w:themeColor="text1"/>
          <w:sz w:val="24"/>
          <w:szCs w:val="24"/>
          <w:highlight w:val="yellow"/>
          <w:rtl/>
        </w:rPr>
        <w:t xml:space="preserve">التي أبرزت أهمية التدريب المستمر والوعي في تحسين جودة الرعاية الصحية، ومع دراسة أحمد محمد السعيد </w:t>
      </w:r>
      <w:r w:rsidR="002E5D4E" w:rsidRPr="00363B1D">
        <w:rPr>
          <w:rFonts w:ascii="Traditional Arabic" w:hAnsi="Traditional Arabic" w:cs="Traditional Arabic" w:hint="cs"/>
          <w:color w:val="000000" w:themeColor="text1"/>
          <w:sz w:val="24"/>
          <w:szCs w:val="24"/>
          <w:highlight w:val="yellow"/>
          <w:rtl/>
        </w:rPr>
        <w:t>(</w:t>
      </w:r>
      <w:r w:rsidR="002E5D4E" w:rsidRPr="00363B1D">
        <w:rPr>
          <w:rFonts w:ascii="Traditional Arabic" w:hAnsi="Traditional Arabic" w:cs="Traditional Arabic"/>
          <w:color w:val="000000" w:themeColor="text1"/>
          <w:sz w:val="24"/>
          <w:szCs w:val="24"/>
          <w:highlight w:val="yellow"/>
          <w:rtl/>
        </w:rPr>
        <w:t>٢٠١٩</w:t>
      </w:r>
      <w:r w:rsidR="002E5D4E" w:rsidRPr="00363B1D">
        <w:rPr>
          <w:rFonts w:ascii="Traditional Arabic" w:hAnsi="Traditional Arabic" w:cs="Traditional Arabic" w:hint="cs"/>
          <w:color w:val="000000" w:themeColor="text1"/>
          <w:sz w:val="24"/>
          <w:szCs w:val="24"/>
          <w:highlight w:val="yellow"/>
          <w:rtl/>
        </w:rPr>
        <w:t>)</w:t>
      </w:r>
      <w:r w:rsidR="002E5D4E" w:rsidRPr="00363B1D">
        <w:rPr>
          <w:rFonts w:ascii="Traditional Arabic" w:hAnsi="Traditional Arabic" w:cs="Traditional Arabic"/>
          <w:color w:val="000000" w:themeColor="text1"/>
          <w:sz w:val="24"/>
          <w:szCs w:val="24"/>
          <w:highlight w:val="yellow"/>
        </w:rPr>
        <w:t xml:space="preserve"> </w:t>
      </w:r>
      <w:r w:rsidR="002E5D4E" w:rsidRPr="00363B1D">
        <w:rPr>
          <w:rFonts w:ascii="Traditional Arabic" w:hAnsi="Traditional Arabic" w:cs="Traditional Arabic"/>
          <w:color w:val="000000" w:themeColor="text1"/>
          <w:sz w:val="24"/>
          <w:szCs w:val="24"/>
          <w:highlight w:val="yellow"/>
          <w:rtl/>
        </w:rPr>
        <w:t>التي أكدت أن نقص التدريب والوعي يعد من أبرز التحديات التي تعيق تحسين سلامة المرضى، وأن تعزيز هذه الجوانب يسهم في تقليل الأخطاء الطبية</w:t>
      </w:r>
      <w:r w:rsidR="002E5D4E" w:rsidRPr="00363B1D">
        <w:rPr>
          <w:rFonts w:ascii="Traditional Arabic" w:hAnsi="Traditional Arabic" w:cs="Traditional Arabic"/>
          <w:color w:val="000000" w:themeColor="text1"/>
          <w:sz w:val="24"/>
          <w:szCs w:val="24"/>
          <w:highlight w:val="yellow"/>
        </w:rPr>
        <w:t xml:space="preserve">. </w:t>
      </w:r>
      <w:r w:rsidR="002E5D4E" w:rsidRPr="00363B1D">
        <w:rPr>
          <w:rFonts w:ascii="Traditional Arabic" w:hAnsi="Traditional Arabic" w:cs="Traditional Arabic"/>
          <w:color w:val="000000" w:themeColor="text1"/>
          <w:sz w:val="24"/>
          <w:szCs w:val="24"/>
          <w:highlight w:val="yellow"/>
          <w:rtl/>
        </w:rPr>
        <w:t xml:space="preserve">كما تدعمها دراسة </w:t>
      </w:r>
      <w:r w:rsidR="002E5D4E" w:rsidRPr="00363B1D">
        <w:rPr>
          <w:rFonts w:ascii="Traditional Arabic" w:hAnsi="Traditional Arabic" w:cs="Traditional Arabic"/>
          <w:color w:val="000000" w:themeColor="text1"/>
          <w:sz w:val="24"/>
          <w:szCs w:val="24"/>
          <w:highlight w:val="yellow"/>
        </w:rPr>
        <w:t xml:space="preserve">Khan et al. (2019) </w:t>
      </w:r>
      <w:r w:rsidR="00392D66" w:rsidRPr="00363B1D">
        <w:rPr>
          <w:rFonts w:ascii="Traditional Arabic" w:hAnsi="Traditional Arabic" w:cs="Traditional Arabic" w:hint="cs"/>
          <w:color w:val="000000" w:themeColor="text1"/>
          <w:sz w:val="24"/>
          <w:szCs w:val="24"/>
          <w:highlight w:val="yellow"/>
          <w:rtl/>
        </w:rPr>
        <w:t xml:space="preserve"> </w:t>
      </w:r>
      <w:r w:rsidR="002E5D4E" w:rsidRPr="00363B1D">
        <w:rPr>
          <w:rFonts w:ascii="Traditional Arabic" w:hAnsi="Traditional Arabic" w:cs="Traditional Arabic"/>
          <w:color w:val="000000" w:themeColor="text1"/>
          <w:sz w:val="24"/>
          <w:szCs w:val="24"/>
          <w:highlight w:val="yellow"/>
          <w:rtl/>
        </w:rPr>
        <w:t>التي أوضحت أن تطبيق نظم إدارة المخاطر في المستشفيات الشرق أوسطية أدى إلى زيادة رضا المرضى وتعزيز سمعة المؤسسات الصحية</w:t>
      </w:r>
      <w:r w:rsidR="002E5D4E" w:rsidRPr="00363B1D">
        <w:rPr>
          <w:rFonts w:ascii="Traditional Arabic" w:hAnsi="Traditional Arabic" w:cs="Traditional Arabic"/>
          <w:color w:val="000000" w:themeColor="text1"/>
          <w:sz w:val="24"/>
          <w:szCs w:val="24"/>
          <w:highlight w:val="yellow"/>
        </w:rPr>
        <w:t xml:space="preserve">. </w:t>
      </w:r>
      <w:r w:rsidR="002E5D4E" w:rsidRPr="00363B1D">
        <w:rPr>
          <w:rFonts w:ascii="Traditional Arabic" w:hAnsi="Traditional Arabic" w:cs="Traditional Arabic"/>
          <w:color w:val="000000" w:themeColor="text1"/>
          <w:sz w:val="24"/>
          <w:szCs w:val="24"/>
          <w:highlight w:val="yellow"/>
          <w:rtl/>
        </w:rPr>
        <w:t>وبذلك فإن النتيجة الحالية تنسجم مع الأدبيات السابقة التي تؤكد أن إدارة المخاطر تمثل أداة استراتيجية أساسية لتحسين جودة الرعاية الصحية وضمان سلامة المرضى بشكل مستدام</w:t>
      </w:r>
      <w:r w:rsidR="002E5D4E" w:rsidRPr="00363B1D">
        <w:rPr>
          <w:rFonts w:ascii="Traditional Arabic" w:hAnsi="Traditional Arabic" w:cs="Traditional Arabic"/>
          <w:color w:val="000000" w:themeColor="text1"/>
          <w:sz w:val="24"/>
          <w:szCs w:val="24"/>
          <w:highlight w:val="yellow"/>
        </w:rPr>
        <w:t>.</w:t>
      </w:r>
    </w:p>
    <w:p w14:paraId="73493108" w14:textId="7157927B" w:rsidR="009F6E86" w:rsidRPr="00363B1D" w:rsidRDefault="00045767" w:rsidP="009F6E86">
      <w:pPr>
        <w:bidi/>
        <w:spacing w:after="200" w:line="360" w:lineRule="auto"/>
        <w:jc w:val="both"/>
        <w:rPr>
          <w:rFonts w:ascii="Traditional Arabic" w:hAnsi="Traditional Arabic" w:cs="Traditional Arabic"/>
          <w:b/>
          <w:bCs/>
          <w:color w:val="000000" w:themeColor="text1"/>
          <w:sz w:val="24"/>
          <w:szCs w:val="24"/>
          <w:highlight w:val="yellow"/>
          <w:rtl/>
        </w:rPr>
      </w:pPr>
      <w:r w:rsidRPr="00363B1D">
        <w:rPr>
          <w:rFonts w:ascii="Traditional Arabic" w:hAnsi="Traditional Arabic" w:cs="Traditional Arabic" w:hint="cs"/>
          <w:b/>
          <w:bCs/>
          <w:color w:val="000000" w:themeColor="text1"/>
          <w:sz w:val="24"/>
          <w:szCs w:val="24"/>
          <w:highlight w:val="yellow"/>
          <w:rtl/>
        </w:rPr>
        <w:t>نتائج الفرض الثاني :</w:t>
      </w:r>
    </w:p>
    <w:p w14:paraId="69B55231" w14:textId="0159F2B0" w:rsidR="007442A7" w:rsidRPr="00363B1D" w:rsidRDefault="00045767" w:rsidP="007442A7">
      <w:pPr>
        <w:bidi/>
        <w:spacing w:after="200" w:line="360" w:lineRule="auto"/>
        <w:ind w:left="720" w:hanging="720"/>
        <w:contextualSpacing/>
        <w:jc w:val="both"/>
        <w:rPr>
          <w:rFonts w:ascii="Traditional Arabic" w:eastAsia="Calibri" w:hAnsi="Traditional Arabic" w:cs="Traditional Arabic"/>
          <w:sz w:val="24"/>
          <w:szCs w:val="24"/>
          <w:highlight w:val="yellow"/>
          <w:lang w:bidi="ar-EG"/>
        </w:rPr>
      </w:pPr>
      <w:r w:rsidRPr="00363B1D">
        <w:rPr>
          <w:rFonts w:ascii="Traditional Arabic" w:hAnsi="Traditional Arabic" w:cs="Traditional Arabic" w:hint="cs"/>
          <w:b/>
          <w:bCs/>
          <w:color w:val="000000" w:themeColor="text1"/>
          <w:sz w:val="24"/>
          <w:szCs w:val="24"/>
          <w:highlight w:val="yellow"/>
          <w:rtl/>
        </w:rPr>
        <w:t>ينص الفرض الثاني على انه "</w:t>
      </w:r>
      <w:r w:rsidRPr="00363B1D">
        <w:rPr>
          <w:rFonts w:ascii="Traditional Arabic" w:eastAsia="Calibri" w:hAnsi="Traditional Arabic" w:cs="Traditional Arabic"/>
          <w:sz w:val="24"/>
          <w:szCs w:val="24"/>
          <w:highlight w:val="yellow"/>
          <w:rtl/>
          <w:lang w:bidi="ar-EG"/>
        </w:rPr>
        <w:t xml:space="preserve"> </w:t>
      </w:r>
      <w:r w:rsidR="007442A7" w:rsidRPr="00363B1D">
        <w:rPr>
          <w:rFonts w:ascii="Traditional Arabic" w:eastAsia="Calibri" w:hAnsi="Traditional Arabic" w:cs="Traditional Arabic"/>
          <w:sz w:val="24"/>
          <w:szCs w:val="24"/>
          <w:highlight w:val="yellow"/>
          <w:rtl/>
          <w:lang w:bidi="ar-EG"/>
        </w:rPr>
        <w:t>يوجد تأثير</w:t>
      </w:r>
      <w:r w:rsidR="007442A7" w:rsidRPr="00363B1D">
        <w:rPr>
          <w:rFonts w:ascii="Traditional Arabic" w:eastAsia="Calibri" w:hAnsi="Traditional Arabic" w:cs="Traditional Arabic" w:hint="cs"/>
          <w:sz w:val="24"/>
          <w:szCs w:val="24"/>
          <w:highlight w:val="yellow"/>
          <w:rtl/>
          <w:lang w:bidi="ar-EG"/>
        </w:rPr>
        <w:t xml:space="preserve"> مباشر</w:t>
      </w:r>
      <w:r w:rsidR="007442A7" w:rsidRPr="00363B1D">
        <w:rPr>
          <w:rFonts w:ascii="Traditional Arabic" w:eastAsia="Calibri" w:hAnsi="Traditional Arabic" w:cs="Traditional Arabic"/>
          <w:sz w:val="24"/>
          <w:szCs w:val="24"/>
          <w:highlight w:val="yellow"/>
          <w:rtl/>
          <w:lang w:bidi="ar-EG"/>
        </w:rPr>
        <w:t xml:space="preserve"> ذو دلالة إحصائية </w:t>
      </w:r>
      <w:r w:rsidR="007442A7" w:rsidRPr="00363B1D">
        <w:rPr>
          <w:rFonts w:ascii="Traditional Arabic" w:eastAsia="Calibri" w:hAnsi="Traditional Arabic" w:cs="Traditional Arabic" w:hint="cs"/>
          <w:sz w:val="24"/>
          <w:szCs w:val="24"/>
          <w:highlight w:val="yellow"/>
          <w:rtl/>
          <w:lang w:bidi="ar-EG"/>
        </w:rPr>
        <w:t>لممارسات إدارة المخاطر على سلامة المرضى في المرافق الصحية الحكومية بالمملكة العربية السعودية.</w:t>
      </w:r>
    </w:p>
    <w:p w14:paraId="73D16A16" w14:textId="08D31C3E" w:rsidR="007442A7" w:rsidRPr="00363B1D" w:rsidRDefault="007442A7" w:rsidP="007442A7">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color w:val="000000" w:themeColor="text1"/>
          <w:sz w:val="24"/>
          <w:szCs w:val="24"/>
          <w:highlight w:val="yellow"/>
          <w:rtl/>
        </w:rPr>
        <w:t>"نستنتج أن الفرض الثاني قد تحقق بالفعل ويتم قبوله بالكامل؛ استناداً إلى نتائج تحليل الانحدار الخطي البسيط</w:t>
      </w:r>
      <w:r w:rsidRPr="00363B1D">
        <w:rPr>
          <w:rFonts w:ascii="Traditional Arabic" w:hAnsi="Traditional Arabic" w:cs="Traditional Arabic" w:hint="cs"/>
          <w:color w:val="000000" w:themeColor="text1"/>
          <w:sz w:val="24"/>
          <w:szCs w:val="24"/>
          <w:highlight w:val="yellow"/>
          <w:rtl/>
        </w:rPr>
        <w:t>،</w:t>
      </w:r>
      <w:r w:rsidRPr="00363B1D">
        <w:rPr>
          <w:rFonts w:ascii="Traditional Arabic" w:hAnsi="Traditional Arabic" w:cs="Traditional Arabic"/>
          <w:color w:val="000000" w:themeColor="text1"/>
          <w:sz w:val="24"/>
          <w:szCs w:val="24"/>
          <w:highlight w:val="yellow"/>
          <w:rtl/>
        </w:rPr>
        <w:t xml:space="preserve"> </w:t>
      </w:r>
      <w:r w:rsidRPr="00363B1D">
        <w:rPr>
          <w:rFonts w:ascii="Traditional Arabic" w:hAnsi="Traditional Arabic" w:cs="Traditional Arabic" w:hint="cs"/>
          <w:color w:val="000000" w:themeColor="text1"/>
          <w:sz w:val="24"/>
          <w:szCs w:val="24"/>
          <w:highlight w:val="yellow"/>
          <w:rtl/>
        </w:rPr>
        <w:t>كما</w:t>
      </w:r>
      <w:r w:rsidRPr="00363B1D">
        <w:rPr>
          <w:rFonts w:ascii="Traditional Arabic" w:hAnsi="Traditional Arabic" w:cs="Traditional Arabic"/>
          <w:color w:val="000000" w:themeColor="text1"/>
          <w:sz w:val="24"/>
          <w:szCs w:val="24"/>
          <w:highlight w:val="yellow"/>
          <w:rtl/>
        </w:rPr>
        <w:t xml:space="preserve"> أظهرت النتائج معنوية النموذج الإجمالي بقيمة اختبار ف (</w:t>
      </w:r>
      <w:r w:rsidRPr="00363B1D">
        <w:rPr>
          <w:rFonts w:ascii="Traditional Arabic" w:hAnsi="Traditional Arabic" w:cs="Traditional Arabic"/>
          <w:color w:val="000000" w:themeColor="text1"/>
          <w:sz w:val="24"/>
          <w:szCs w:val="24"/>
          <w:highlight w:val="yellow"/>
        </w:rPr>
        <w:t>F</w:t>
      </w:r>
      <w:r w:rsidRPr="00363B1D">
        <w:rPr>
          <w:rFonts w:ascii="Traditional Arabic" w:hAnsi="Traditional Arabic" w:cs="Traditional Arabic"/>
          <w:color w:val="000000" w:themeColor="text1"/>
          <w:sz w:val="24"/>
          <w:szCs w:val="24"/>
          <w:highlight w:val="yellow"/>
          <w:rtl/>
        </w:rPr>
        <w:t>) التي بلغت (341.87) عند مستوى دلالة (0.000) وهو أقل من مستوى المعنوية المعتمد (0.05)، مما يؤكد الصلاحية الإحصائية العالية للنموذج وقدرته التنبؤية الكبيرة. كما بلغت قيمة معامل التحديد</w:t>
      </w:r>
      <w:r w:rsidRPr="00363B1D">
        <w:rPr>
          <w:rFonts w:ascii="Traditional Arabic" w:hAnsi="Traditional Arabic" w:cs="Traditional Arabic"/>
          <w:color w:val="000000" w:themeColor="text1"/>
          <w:sz w:val="24"/>
          <w:szCs w:val="24"/>
          <w:highlight w:val="yellow"/>
        </w:rPr>
        <w:t xml:space="preserve"> (</w:t>
      </w:r>
      <m:oMath>
        <m:sSup>
          <m:sSupPr>
            <m:ctrlPr>
              <w:rPr>
                <w:rFonts w:ascii="Cambria Math" w:hAnsi="Cambria Math" w:cs="Traditional Arabic"/>
                <w:color w:val="000000" w:themeColor="text1"/>
                <w:sz w:val="24"/>
                <w:szCs w:val="24"/>
                <w:highlight w:val="yellow"/>
              </w:rPr>
            </m:ctrlPr>
          </m:sSupPr>
          <m:e>
            <m:r>
              <w:rPr>
                <w:rFonts w:ascii="Cambria Math" w:hAnsi="Cambria Math" w:cs="Traditional Arabic"/>
                <w:color w:val="000000" w:themeColor="text1"/>
                <w:sz w:val="24"/>
                <w:szCs w:val="24"/>
                <w:highlight w:val="yellow"/>
              </w:rPr>
              <m:t>R</m:t>
            </m:r>
          </m:e>
          <m:sup>
            <m:r>
              <w:rPr>
                <w:rFonts w:ascii="Cambria Math" w:hAnsi="Cambria Math" w:cs="Traditional Arabic"/>
                <w:color w:val="000000" w:themeColor="text1"/>
                <w:sz w:val="24"/>
                <w:szCs w:val="24"/>
                <w:highlight w:val="yellow"/>
              </w:rPr>
              <m:t>2</m:t>
            </m:r>
          </m:sup>
        </m:sSup>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 xml:space="preserve">حوالي (0.469)، بما يعني أن ممارسات إدارة المخاطر تفسر نسبة (46.9%) من التباين في مستوى سلامة المرضى، بينما تعود النسبة المتبقية لعوامل أخرى خارج إطار النموذج الحالي. وأكدت المؤشرات وجود علاقة طردية قوية ومباشرة بين المتغيرين، حيث بلغ معامل الانحدار المعياري </w:t>
      </w:r>
      <w:r w:rsidRPr="00363B1D">
        <w:rPr>
          <w:rFonts w:ascii="Traditional Arabic" w:hAnsi="Traditional Arabic" w:cs="Traditional Arabic"/>
          <w:color w:val="000000" w:themeColor="text1"/>
          <w:sz w:val="24"/>
          <w:szCs w:val="24"/>
          <w:highlight w:val="yellow"/>
        </w:rPr>
        <w:t>(</w:t>
      </w:r>
      <m:oMath>
        <m:r>
          <w:rPr>
            <w:rFonts w:ascii="Cambria Math" w:hAnsi="Cambria Math" w:cs="Traditional Arabic"/>
            <w:color w:val="000000" w:themeColor="text1"/>
            <w:sz w:val="24"/>
            <w:szCs w:val="24"/>
            <w:highlight w:val="yellow"/>
          </w:rPr>
          <m:t>β</m:t>
        </m:r>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حوالي (0.685) وقيمة اختبار ت (</w:t>
      </w:r>
      <w:r w:rsidRPr="00363B1D">
        <w:rPr>
          <w:rFonts w:ascii="Traditional Arabic" w:hAnsi="Traditional Arabic" w:cs="Traditional Arabic"/>
          <w:color w:val="000000" w:themeColor="text1"/>
          <w:sz w:val="24"/>
          <w:szCs w:val="24"/>
          <w:highlight w:val="yellow"/>
        </w:rPr>
        <w:t>t</w:t>
      </w:r>
      <w:r w:rsidRPr="00363B1D">
        <w:rPr>
          <w:rFonts w:ascii="Traditional Arabic" w:hAnsi="Traditional Arabic" w:cs="Traditional Arabic"/>
          <w:color w:val="000000" w:themeColor="text1"/>
          <w:sz w:val="24"/>
          <w:szCs w:val="24"/>
          <w:highlight w:val="yellow"/>
          <w:rtl/>
        </w:rPr>
        <w:t>) بلغت (18.490) عند مستوى دلالة (0.000)، مما يدل على تأثير مباشر وإيجابي لممارسات إدارة المخاطر على سلامة المرضى، بحيث إن زيادة تطبيق هذه الممارسات بمقدار وحدة واحدة تؤدي تلقائياً إلى تحسن وتطور في مستوى سلامة المرضى بمقدار (0.782) وفقاً لقيمة المعامل غير المعياري (</w:t>
      </w:r>
      <w:r w:rsidRPr="00363B1D">
        <w:rPr>
          <w:rFonts w:ascii="Traditional Arabic" w:hAnsi="Traditional Arabic" w:cs="Traditional Arabic"/>
          <w:color w:val="000000" w:themeColor="text1"/>
          <w:sz w:val="24"/>
          <w:szCs w:val="24"/>
          <w:highlight w:val="yellow"/>
        </w:rPr>
        <w:t>B</w:t>
      </w:r>
      <w:r w:rsidRPr="00363B1D">
        <w:rPr>
          <w:rFonts w:ascii="Traditional Arabic" w:hAnsi="Traditional Arabic" w:cs="Traditional Arabic"/>
          <w:color w:val="000000" w:themeColor="text1"/>
          <w:sz w:val="24"/>
          <w:szCs w:val="24"/>
          <w:highlight w:val="yellow"/>
          <w:rtl/>
        </w:rPr>
        <w:t>)."</w:t>
      </w:r>
    </w:p>
    <w:p w14:paraId="2F2A372D" w14:textId="77777777" w:rsidR="0028742B" w:rsidRPr="00363B1D" w:rsidRDefault="0028742B" w:rsidP="00331B02">
      <w:pPr>
        <w:bidi/>
        <w:spacing w:after="200" w:line="360" w:lineRule="auto"/>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color w:val="000000" w:themeColor="text1"/>
          <w:sz w:val="24"/>
          <w:szCs w:val="24"/>
          <w:highlight w:val="yellow"/>
          <w:rtl/>
        </w:rPr>
        <w:lastRenderedPageBreak/>
        <w:t xml:space="preserve">وقد بيّنت النتائج الإحصائية أن هذا التأثير جاء إيجابياً وقوياً؛ مما يؤكد أن تكثيف وتطبيق ممارسات إدارة المخاطر بأسلوب ممنهج يؤدي بشكل مباشر إلى الارتقاء بمستويات سلامة المرضى </w:t>
      </w:r>
      <w:r w:rsidRPr="00363B1D">
        <w:rPr>
          <w:rFonts w:ascii="Traditional Arabic" w:hAnsi="Traditional Arabic" w:cs="Traditional Arabic" w:hint="cs"/>
          <w:color w:val="000000" w:themeColor="text1"/>
          <w:sz w:val="24"/>
          <w:szCs w:val="24"/>
          <w:highlight w:val="yellow"/>
          <w:rtl/>
        </w:rPr>
        <w:t>وتقليل</w:t>
      </w:r>
      <w:r w:rsidRPr="00363B1D">
        <w:rPr>
          <w:rFonts w:ascii="Traditional Arabic" w:hAnsi="Traditional Arabic" w:cs="Traditional Arabic"/>
          <w:color w:val="000000" w:themeColor="text1"/>
          <w:sz w:val="24"/>
          <w:szCs w:val="24"/>
          <w:highlight w:val="yellow"/>
          <w:rtl/>
        </w:rPr>
        <w:t xml:space="preserve"> معدلات الأخطاء الطبية. وتُعزى هذه النتيجة علمياً إلى أن تفعيل آليات رصد المخاطر، والتبليغ عن الأحداث العارضة، وتحليل البيئة الصحية بشكل مستمر، يُمكّن الكوادر الطبية والإدارية من وضع </w:t>
      </w:r>
      <w:r w:rsidRPr="00363B1D">
        <w:rPr>
          <w:rFonts w:ascii="Traditional Arabic" w:hAnsi="Traditional Arabic" w:cs="Traditional Arabic" w:hint="cs"/>
          <w:color w:val="000000" w:themeColor="text1"/>
          <w:sz w:val="24"/>
          <w:szCs w:val="24"/>
          <w:highlight w:val="yellow"/>
          <w:rtl/>
        </w:rPr>
        <w:t>الأساليب</w:t>
      </w:r>
      <w:r w:rsidRPr="00363B1D">
        <w:rPr>
          <w:rFonts w:ascii="Traditional Arabic" w:hAnsi="Traditional Arabic" w:cs="Traditional Arabic"/>
          <w:color w:val="000000" w:themeColor="text1"/>
          <w:sz w:val="24"/>
          <w:szCs w:val="24"/>
          <w:highlight w:val="yellow"/>
          <w:rtl/>
        </w:rPr>
        <w:t xml:space="preserve"> الوقائية الفورية، مما يخلق بيئة رعاية صحية آمنة تحمي المرضى وتضمن سلامتهم أثناء تلقي الخدمات العلاجية</w:t>
      </w:r>
      <w:r w:rsidRPr="00363B1D">
        <w:rPr>
          <w:rFonts w:ascii="Traditional Arabic" w:hAnsi="Traditional Arabic" w:cs="Traditional Arabic"/>
          <w:color w:val="000000" w:themeColor="text1"/>
          <w:sz w:val="24"/>
          <w:szCs w:val="24"/>
          <w:highlight w:val="yellow"/>
        </w:rPr>
        <w:t>.</w:t>
      </w:r>
    </w:p>
    <w:p w14:paraId="0C8C242D" w14:textId="3E070A7D" w:rsidR="009F6E86" w:rsidRPr="00363B1D" w:rsidRDefault="00331B02" w:rsidP="0028742B">
      <w:pPr>
        <w:bidi/>
        <w:spacing w:after="200" w:line="360" w:lineRule="auto"/>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hint="cs"/>
          <w:color w:val="000000" w:themeColor="text1"/>
          <w:sz w:val="24"/>
          <w:szCs w:val="24"/>
          <w:highlight w:val="yellow"/>
          <w:rtl/>
        </w:rPr>
        <w:t>حيث</w:t>
      </w:r>
      <w:r w:rsidRPr="00363B1D">
        <w:rPr>
          <w:rFonts w:ascii="Traditional Arabic" w:hAnsi="Traditional Arabic" w:cs="Traditional Arabic"/>
          <w:color w:val="000000" w:themeColor="text1"/>
          <w:sz w:val="24"/>
          <w:szCs w:val="24"/>
          <w:highlight w:val="yellow"/>
          <w:rtl/>
        </w:rPr>
        <w:t xml:space="preserve"> أن القيادة التحويلية تُعد رافعة أساسية لنجاح إدارة المخاطر في المؤسسات الصحية، وهو ما يتفق مع ما توصلت إليه دراسة </w:t>
      </w:r>
      <w:r w:rsidRPr="00363B1D">
        <w:rPr>
          <w:rFonts w:ascii="Traditional Arabic" w:hAnsi="Traditional Arabic" w:cs="Traditional Arabic"/>
          <w:color w:val="000000" w:themeColor="text1"/>
          <w:sz w:val="24"/>
          <w:szCs w:val="24"/>
          <w:highlight w:val="yellow"/>
        </w:rPr>
        <w:t xml:space="preserve">Hussein (2020) </w:t>
      </w:r>
      <w:r w:rsidR="00970BAB"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التي أكدت أن تطبيق القيادة التحويلية كمدخل استراتيجي ساهم في تحسين الأداء المؤسسي وجودة الخدمات الصحية، وكذلك مع دراسة الغامدي وعثمان</w:t>
      </w:r>
      <w:r w:rsidRPr="00363B1D">
        <w:rPr>
          <w:rFonts w:ascii="Traditional Arabic" w:hAnsi="Traditional Arabic" w:cs="Traditional Arabic"/>
          <w:color w:val="000000" w:themeColor="text1"/>
          <w:sz w:val="24"/>
          <w:szCs w:val="24"/>
          <w:highlight w:val="yellow"/>
        </w:rPr>
        <w:t xml:space="preserve"> (2022) </w:t>
      </w:r>
      <w:r w:rsidRPr="00363B1D">
        <w:rPr>
          <w:rFonts w:ascii="Traditional Arabic" w:hAnsi="Traditional Arabic" w:cs="Traditional Arabic"/>
          <w:color w:val="000000" w:themeColor="text1"/>
          <w:sz w:val="24"/>
          <w:szCs w:val="24"/>
          <w:highlight w:val="yellow"/>
          <w:rtl/>
        </w:rPr>
        <w:t>التي أبرزت دور القيادة التحويلية في إدارة الأزمات الصحية، حيث ساعدت أبعادها على تعزيز قدرة القادة على الاستجابة السريعة والفعالة. كما تتسق هذه النتيجة مع دراسة آل مرزوق (٢٠٢٣) التي بينت أن القيادة التحويلية تسهم في تحقيق الاستدامة الاستراتيجية من خلال تحفيز العاملين وتبني ممارسات مسؤولة، ومع دراسة عامر وأبوزيد والدمياطي (٢٠٢٣) التي أوضحت أن القيادة التحويلية ترتبط إيجابيًا بالسلوك الابتكاري والعدالة التنظيمية داخل المؤسسات الصحية. وبذلك فإن النتيجة الحالية تدعم الأدبيات السابقة التي تؤكد أن القيادة التحويلية ليست مجرد نمط إداري، بل هي أداة استراتيجية تعزز قدرة المستشفيات على تطبيق إدارة المخاطر بكفاءة أكبر، مما ينعكس مباشرة على تقليل الأخطاء الطبية وتحسين جودة الرعاية الصحية</w:t>
      </w:r>
      <w:r w:rsidRPr="00363B1D">
        <w:rPr>
          <w:rFonts w:ascii="Traditional Arabic" w:hAnsi="Traditional Arabic" w:cs="Traditional Arabic"/>
          <w:color w:val="000000" w:themeColor="text1"/>
          <w:sz w:val="24"/>
          <w:szCs w:val="24"/>
          <w:highlight w:val="yellow"/>
        </w:rPr>
        <w:t>.</w:t>
      </w:r>
    </w:p>
    <w:p w14:paraId="01345199" w14:textId="796F58F3" w:rsidR="009F6E86" w:rsidRPr="00363B1D" w:rsidRDefault="0082415B" w:rsidP="009F6E86">
      <w:pPr>
        <w:bidi/>
        <w:spacing w:after="200" w:line="360" w:lineRule="auto"/>
        <w:jc w:val="both"/>
        <w:rPr>
          <w:rFonts w:ascii="Traditional Arabic" w:hAnsi="Traditional Arabic" w:cs="Traditional Arabic"/>
          <w:b/>
          <w:bCs/>
          <w:color w:val="000000" w:themeColor="text1"/>
          <w:sz w:val="24"/>
          <w:szCs w:val="24"/>
          <w:highlight w:val="yellow"/>
          <w:rtl/>
        </w:rPr>
      </w:pPr>
      <w:r w:rsidRPr="00363B1D">
        <w:rPr>
          <w:rFonts w:ascii="Traditional Arabic" w:hAnsi="Traditional Arabic" w:cs="Traditional Arabic" w:hint="cs"/>
          <w:b/>
          <w:bCs/>
          <w:color w:val="000000" w:themeColor="text1"/>
          <w:sz w:val="24"/>
          <w:szCs w:val="24"/>
          <w:highlight w:val="yellow"/>
          <w:rtl/>
        </w:rPr>
        <w:t>نتائج الفرض الثالث:</w:t>
      </w:r>
    </w:p>
    <w:p w14:paraId="44783676" w14:textId="4A3F78F6" w:rsidR="005906A5" w:rsidRPr="00363B1D" w:rsidRDefault="0082415B" w:rsidP="005906A5">
      <w:pPr>
        <w:bidi/>
        <w:spacing w:after="200" w:line="360" w:lineRule="auto"/>
        <w:ind w:left="720" w:hanging="720"/>
        <w:contextualSpacing/>
        <w:jc w:val="both"/>
        <w:rPr>
          <w:rFonts w:ascii="Traditional Arabic" w:eastAsia="Calibri" w:hAnsi="Traditional Arabic" w:cs="Traditional Arabic"/>
          <w:sz w:val="24"/>
          <w:szCs w:val="24"/>
          <w:highlight w:val="yellow"/>
          <w:rtl/>
          <w:lang w:bidi="ar-EG"/>
        </w:rPr>
      </w:pPr>
      <w:r w:rsidRPr="00363B1D">
        <w:rPr>
          <w:rFonts w:ascii="Traditional Arabic" w:eastAsia="Calibri" w:hAnsi="Traditional Arabic" w:cs="Traditional Arabic" w:hint="cs"/>
          <w:b/>
          <w:bCs/>
          <w:sz w:val="24"/>
          <w:szCs w:val="24"/>
          <w:highlight w:val="yellow"/>
          <w:rtl/>
          <w:lang w:bidi="ar-EG"/>
        </w:rPr>
        <w:t xml:space="preserve">ينص الفرض الثالث على أنه </w:t>
      </w:r>
      <w:r w:rsidR="005906A5" w:rsidRPr="00363B1D">
        <w:rPr>
          <w:rFonts w:ascii="Traditional Arabic" w:eastAsia="Calibri" w:hAnsi="Traditional Arabic" w:cs="Traditional Arabic"/>
          <w:sz w:val="24"/>
          <w:szCs w:val="24"/>
          <w:highlight w:val="yellow"/>
          <w:rtl/>
          <w:lang w:bidi="ar-EG"/>
        </w:rPr>
        <w:t>يوجد تأثير</w:t>
      </w:r>
      <w:r w:rsidR="005906A5" w:rsidRPr="00363B1D">
        <w:rPr>
          <w:rFonts w:ascii="Traditional Arabic" w:eastAsia="Calibri" w:hAnsi="Traditional Arabic" w:cs="Traditional Arabic" w:hint="cs"/>
          <w:sz w:val="24"/>
          <w:szCs w:val="24"/>
          <w:highlight w:val="yellow"/>
          <w:rtl/>
          <w:lang w:bidi="ar-EG"/>
        </w:rPr>
        <w:t xml:space="preserve"> مباشر</w:t>
      </w:r>
      <w:r w:rsidR="005906A5" w:rsidRPr="00363B1D">
        <w:rPr>
          <w:rFonts w:ascii="Traditional Arabic" w:eastAsia="Calibri" w:hAnsi="Traditional Arabic" w:cs="Traditional Arabic"/>
          <w:sz w:val="24"/>
          <w:szCs w:val="24"/>
          <w:highlight w:val="yellow"/>
          <w:rtl/>
          <w:lang w:bidi="ar-EG"/>
        </w:rPr>
        <w:t xml:space="preserve"> ذو دلالة إحصائية للقيادة التحويلية على سلامة المرضى في </w:t>
      </w:r>
      <w:r w:rsidR="005906A5" w:rsidRPr="00363B1D">
        <w:rPr>
          <w:rFonts w:ascii="Traditional Arabic" w:eastAsia="Calibri" w:hAnsi="Traditional Arabic" w:cs="Traditional Arabic" w:hint="cs"/>
          <w:sz w:val="24"/>
          <w:szCs w:val="24"/>
          <w:highlight w:val="yellow"/>
          <w:rtl/>
          <w:lang w:bidi="ar-EG"/>
        </w:rPr>
        <w:t>المرافق الصحية</w:t>
      </w:r>
      <w:r w:rsidR="005906A5" w:rsidRPr="00363B1D">
        <w:rPr>
          <w:rFonts w:ascii="Traditional Arabic" w:eastAsia="Calibri" w:hAnsi="Traditional Arabic" w:cs="Traditional Arabic"/>
          <w:sz w:val="24"/>
          <w:szCs w:val="24"/>
          <w:highlight w:val="yellow"/>
          <w:rtl/>
          <w:lang w:bidi="ar-EG"/>
        </w:rPr>
        <w:t xml:space="preserve"> الحكومية بالمملكة العربية السعودية.</w:t>
      </w:r>
    </w:p>
    <w:p w14:paraId="281EFCDD" w14:textId="6957CEB5" w:rsidR="00AA22C4" w:rsidRPr="00363B1D" w:rsidRDefault="00AA22C4" w:rsidP="00AA22C4">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color w:val="000000" w:themeColor="text1"/>
          <w:sz w:val="24"/>
          <w:szCs w:val="24"/>
          <w:highlight w:val="yellow"/>
          <w:rtl/>
        </w:rPr>
        <w:t>نستنتج أن الفرض الثالث قد تحقق بالفعل ويتم قبوله بالكامل؛ استناداً إلى نتائج تحليل الانحدار الخطي البسيط</w:t>
      </w:r>
      <w:r w:rsidRPr="00363B1D">
        <w:rPr>
          <w:rFonts w:ascii="Traditional Arabic" w:hAnsi="Traditional Arabic" w:cs="Traditional Arabic" w:hint="cs"/>
          <w:color w:val="000000" w:themeColor="text1"/>
          <w:sz w:val="24"/>
          <w:szCs w:val="24"/>
          <w:highlight w:val="yellow"/>
          <w:rtl/>
        </w:rPr>
        <w:t>،</w:t>
      </w:r>
      <w:r w:rsidRPr="00363B1D">
        <w:rPr>
          <w:rFonts w:ascii="Traditional Arabic" w:hAnsi="Traditional Arabic" w:cs="Traditional Arabic"/>
          <w:color w:val="000000" w:themeColor="text1"/>
          <w:sz w:val="24"/>
          <w:szCs w:val="24"/>
          <w:highlight w:val="yellow"/>
          <w:rtl/>
        </w:rPr>
        <w:t xml:space="preserve"> حيث أظهرت النتائج معنوية النموذج الإجمالي بقيمة اختبار ف (</w:t>
      </w:r>
      <w:r w:rsidRPr="00363B1D">
        <w:rPr>
          <w:rFonts w:ascii="Traditional Arabic" w:hAnsi="Traditional Arabic" w:cs="Traditional Arabic"/>
          <w:color w:val="000000" w:themeColor="text1"/>
          <w:sz w:val="24"/>
          <w:szCs w:val="24"/>
          <w:highlight w:val="yellow"/>
        </w:rPr>
        <w:t>F</w:t>
      </w:r>
      <w:r w:rsidRPr="00363B1D">
        <w:rPr>
          <w:rFonts w:ascii="Traditional Arabic" w:hAnsi="Traditional Arabic" w:cs="Traditional Arabic"/>
          <w:color w:val="000000" w:themeColor="text1"/>
          <w:sz w:val="24"/>
          <w:szCs w:val="24"/>
          <w:highlight w:val="yellow"/>
          <w:rtl/>
        </w:rPr>
        <w:t xml:space="preserve">) التي بلغت (398.24) عند مستوى دلالة (0.000) وهو أقل من مستوى المعنوية المعتمد (0.05)، مما يؤكد الصلاحية الإحصائية العالية للنموذج وقدرته التنبؤية الكبيرة. كما بلغت قيمة معامل التحديد </w:t>
      </w:r>
      <w:r w:rsidRPr="00363B1D">
        <w:rPr>
          <w:rFonts w:ascii="Traditional Arabic" w:hAnsi="Traditional Arabic" w:cs="Traditional Arabic"/>
          <w:color w:val="000000" w:themeColor="text1"/>
          <w:sz w:val="24"/>
          <w:szCs w:val="24"/>
          <w:highlight w:val="yellow"/>
        </w:rPr>
        <w:t>(</w:t>
      </w:r>
      <m:oMath>
        <m:sSup>
          <m:sSupPr>
            <m:ctrlPr>
              <w:rPr>
                <w:rFonts w:ascii="Cambria Math" w:hAnsi="Cambria Math" w:cs="Traditional Arabic"/>
                <w:color w:val="000000" w:themeColor="text1"/>
                <w:sz w:val="24"/>
                <w:szCs w:val="24"/>
                <w:highlight w:val="yellow"/>
              </w:rPr>
            </m:ctrlPr>
          </m:sSupPr>
          <m:e>
            <m:r>
              <w:rPr>
                <w:rFonts w:ascii="Cambria Math" w:hAnsi="Cambria Math" w:cs="Traditional Arabic"/>
                <w:color w:val="000000" w:themeColor="text1"/>
                <w:sz w:val="24"/>
                <w:szCs w:val="24"/>
                <w:highlight w:val="yellow"/>
              </w:rPr>
              <m:t>R</m:t>
            </m:r>
          </m:e>
          <m:sup>
            <m:r>
              <w:rPr>
                <w:rFonts w:ascii="Cambria Math" w:hAnsi="Cambria Math" w:cs="Traditional Arabic"/>
                <w:color w:val="000000" w:themeColor="text1"/>
                <w:sz w:val="24"/>
                <w:szCs w:val="24"/>
                <w:highlight w:val="yellow"/>
              </w:rPr>
              <m:t>2</m:t>
            </m:r>
          </m:sup>
        </m:sSup>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 xml:space="preserve">حوالي (0.507)، بما يعني أن القيادة التحويلية تُفسر نسبة (50.7%) من التباين في مستوى سلامة المرضى، بينما تعود النسبة المتبقية لعوامل أخرى خارج نطاق النموذج الحالي. وأكدت المؤشرات وجود علاقة طردية قوية ومباشرة بين المتغيرين، حيث بلغ معامل الانحدار المعياري </w:t>
      </w:r>
      <w:r w:rsidRPr="00363B1D">
        <w:rPr>
          <w:rFonts w:ascii="Traditional Arabic" w:hAnsi="Traditional Arabic" w:cs="Traditional Arabic"/>
          <w:color w:val="000000" w:themeColor="text1"/>
          <w:sz w:val="24"/>
          <w:szCs w:val="24"/>
          <w:highlight w:val="yellow"/>
        </w:rPr>
        <w:t>(</w:t>
      </w:r>
      <m:oMath>
        <m:r>
          <w:rPr>
            <w:rFonts w:ascii="Cambria Math" w:hAnsi="Cambria Math" w:cs="Traditional Arabic"/>
            <w:color w:val="000000" w:themeColor="text1"/>
            <w:sz w:val="24"/>
            <w:szCs w:val="24"/>
            <w:highlight w:val="yellow"/>
          </w:rPr>
          <m:t>β</m:t>
        </m:r>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حوالي (0.712) وقيمة اختبار ت (</w:t>
      </w:r>
      <w:r w:rsidRPr="00363B1D">
        <w:rPr>
          <w:rFonts w:ascii="Traditional Arabic" w:hAnsi="Traditional Arabic" w:cs="Traditional Arabic"/>
          <w:color w:val="000000" w:themeColor="text1"/>
          <w:sz w:val="24"/>
          <w:szCs w:val="24"/>
          <w:highlight w:val="yellow"/>
        </w:rPr>
        <w:t>t</w:t>
      </w:r>
      <w:r w:rsidRPr="00363B1D">
        <w:rPr>
          <w:rFonts w:ascii="Traditional Arabic" w:hAnsi="Traditional Arabic" w:cs="Traditional Arabic"/>
          <w:color w:val="000000" w:themeColor="text1"/>
          <w:sz w:val="24"/>
          <w:szCs w:val="24"/>
          <w:highlight w:val="yellow"/>
          <w:rtl/>
        </w:rPr>
        <w:t>) بلغت (19.956) عند مستوى دلالة (0.000)، مما يدل على تأثير مباشر وإيجابي للقيادة التحويلية على سلامة المرضى، بحيث إن تعزيز القيادة التحويلية بمقدار وحدة واحدة يؤدي تلقائياً إلى تحسن وتطور في مستوى سلامة المرضى بمقدار (0.814) وفقاً لقيمة المعامل غير المعياري (</w:t>
      </w:r>
      <w:r w:rsidRPr="00363B1D">
        <w:rPr>
          <w:rFonts w:ascii="Traditional Arabic" w:hAnsi="Traditional Arabic" w:cs="Traditional Arabic"/>
          <w:color w:val="000000" w:themeColor="text1"/>
          <w:sz w:val="24"/>
          <w:szCs w:val="24"/>
          <w:highlight w:val="yellow"/>
        </w:rPr>
        <w:t>B</w:t>
      </w:r>
      <w:r w:rsidRPr="00363B1D">
        <w:rPr>
          <w:rFonts w:ascii="Traditional Arabic" w:hAnsi="Traditional Arabic" w:cs="Traditional Arabic"/>
          <w:color w:val="000000" w:themeColor="text1"/>
          <w:sz w:val="24"/>
          <w:szCs w:val="24"/>
          <w:highlight w:val="yellow"/>
          <w:rtl/>
        </w:rPr>
        <w:t>)."</w:t>
      </w:r>
    </w:p>
    <w:p w14:paraId="70410E8B" w14:textId="0AD7E78E" w:rsidR="00AA22C4" w:rsidRPr="00363B1D" w:rsidRDefault="00AA22C4" w:rsidP="00AA22C4">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color w:val="000000" w:themeColor="text1"/>
          <w:sz w:val="24"/>
          <w:szCs w:val="24"/>
          <w:highlight w:val="yellow"/>
          <w:rtl/>
        </w:rPr>
        <w:lastRenderedPageBreak/>
        <w:t>وقد بينت نتائج تحليل الانحدار الخطي البسيط أن هذا التأثير جاء إيجابياً ؛ مما يؤكد أن النمط القيادي التحويلي يساهم مباشرة في تعزيز وتطوير مستويات سلامة المرضى. وتُعزى هذه النتيجة منهجياً إلى أن القادة التحويليين يعملون على بناء بيئة عمل قائمة على التمكين، والتحفيز الفكري، والاتصال الشفاف، مما يشجع الكوادر الطبية والتمريضية على الالتزام ببروتوكولات الرعاية الآمنة، والتبليغ الطوعي عن الأخطاء الطبية دون خوف من العقاب، وهو ما ينعكس في النهاية على خفض المخاطر ورفع جودة الخدمات الصحية المقدمة للمرضى</w:t>
      </w:r>
      <w:r w:rsidRPr="00363B1D">
        <w:rPr>
          <w:rFonts w:ascii="Traditional Arabic" w:hAnsi="Traditional Arabic" w:cs="Traditional Arabic"/>
          <w:color w:val="000000" w:themeColor="text1"/>
          <w:sz w:val="24"/>
          <w:szCs w:val="24"/>
          <w:highlight w:val="yellow"/>
        </w:rPr>
        <w:t>.</w:t>
      </w:r>
    </w:p>
    <w:p w14:paraId="724CA3AF" w14:textId="4A793CD1" w:rsidR="00C06C8B" w:rsidRPr="00363B1D" w:rsidRDefault="00C06C8B" w:rsidP="00AA22C4">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363B1D">
        <w:rPr>
          <w:rFonts w:ascii="Traditional Arabic" w:hAnsi="Traditional Arabic" w:cs="Traditional Arabic" w:hint="cs"/>
          <w:color w:val="000000" w:themeColor="text1"/>
          <w:sz w:val="24"/>
          <w:szCs w:val="24"/>
          <w:highlight w:val="yellow"/>
          <w:rtl/>
        </w:rPr>
        <w:t>كما</w:t>
      </w:r>
      <w:r w:rsidRPr="00363B1D">
        <w:rPr>
          <w:rFonts w:ascii="Traditional Arabic" w:hAnsi="Traditional Arabic" w:cs="Traditional Arabic"/>
          <w:color w:val="000000" w:themeColor="text1"/>
          <w:sz w:val="24"/>
          <w:szCs w:val="24"/>
          <w:highlight w:val="yellow"/>
          <w:rtl/>
        </w:rPr>
        <w:t xml:space="preserve"> أن القيادة التحويلية تُسهم بشكل مباشر في رفع مستوى سلامة المرضى عبر تعزيز ثقافة الالتزام بالممارسات الآمنة</w:t>
      </w:r>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 xml:space="preserve">هذه النتيجة تتفق مع ما توصلت إليه دراسة </w:t>
      </w:r>
      <w:r w:rsidRPr="00363B1D">
        <w:rPr>
          <w:rFonts w:ascii="Traditional Arabic" w:hAnsi="Traditional Arabic" w:cs="Traditional Arabic"/>
          <w:color w:val="000000" w:themeColor="text1"/>
          <w:sz w:val="24"/>
          <w:szCs w:val="24"/>
          <w:highlight w:val="yellow"/>
        </w:rPr>
        <w:t xml:space="preserve">Smith et al. (2017) </w:t>
      </w:r>
      <w:r w:rsidR="00D038A3"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 xml:space="preserve">التي أكدت أن تطبيق أساليب القيادة الفعالة وإدارة المخاطر ساعد في تقليل الحوادث الطبية وتحسين نتائج العلاج، كما تدعم ما أشار إليه </w:t>
      </w:r>
      <w:r w:rsidRPr="00363B1D">
        <w:rPr>
          <w:rFonts w:ascii="Traditional Arabic" w:hAnsi="Traditional Arabic" w:cs="Traditional Arabic"/>
          <w:color w:val="000000" w:themeColor="text1"/>
          <w:sz w:val="24"/>
          <w:szCs w:val="24"/>
          <w:highlight w:val="yellow"/>
        </w:rPr>
        <w:t xml:space="preserve">Jones and Brown (2018) </w:t>
      </w:r>
      <w:r w:rsidR="00D038A3"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 xml:space="preserve">بأن القيادة التحويلية ترتبط إيجابيًا بجودة الخدمات الصحية من خلال تحسين بيئة العمل وتفعيل نظم السلامة. كذلك، تتسق مع دراسة أحمد محمد السعيد (٢٠١٩) التي أوضحت أن القيادة التحويلية في المستشفيات الحكومية السعودية تعزز الالتزام بالإجراءات الوقائية وتقلل من معدلات الأخطاء الطبية. كما تتوافق مع نتائج </w:t>
      </w:r>
      <w:r w:rsidRPr="00363B1D">
        <w:rPr>
          <w:rFonts w:ascii="Traditional Arabic" w:hAnsi="Traditional Arabic" w:cs="Traditional Arabic"/>
          <w:color w:val="000000" w:themeColor="text1"/>
          <w:sz w:val="24"/>
          <w:szCs w:val="24"/>
          <w:highlight w:val="yellow"/>
        </w:rPr>
        <w:t xml:space="preserve">Khan et al. (2019) </w:t>
      </w:r>
      <w:r w:rsidR="00D038A3"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التي أبرزت أن القيادة التحويلية في المستشفيات الشرق أوسطية ساعدت على تعزيز ثقة المرضى وتحسين مستوى الرعاية المقدمة. وبذلك فإن النتيجة الحالية تنسجم مع الأدبيات السابقة التي تؤكد أن القيادة التحويلية ليست مجرد أسلوب إداري، بل هي أداة استراتيجية مباشرة لرفع مستوى سلامة المرضى وضمان جودة الرعاية الصحية</w:t>
      </w:r>
      <w:r w:rsidRPr="00363B1D">
        <w:rPr>
          <w:rFonts w:ascii="Traditional Arabic" w:hAnsi="Traditional Arabic" w:cs="Traditional Arabic"/>
          <w:color w:val="000000" w:themeColor="text1"/>
          <w:sz w:val="24"/>
          <w:szCs w:val="24"/>
          <w:highlight w:val="yellow"/>
        </w:rPr>
        <w:t>.</w:t>
      </w:r>
    </w:p>
    <w:p w14:paraId="32BB1DFE" w14:textId="7FA17466" w:rsidR="00C06C8B" w:rsidRPr="00363B1D" w:rsidRDefault="007B021C" w:rsidP="00C06C8B">
      <w:pPr>
        <w:bidi/>
        <w:spacing w:after="200" w:line="360" w:lineRule="auto"/>
        <w:jc w:val="both"/>
        <w:rPr>
          <w:rFonts w:ascii="Traditional Arabic" w:hAnsi="Traditional Arabic" w:cs="Traditional Arabic"/>
          <w:b/>
          <w:bCs/>
          <w:color w:val="000000" w:themeColor="text1"/>
          <w:sz w:val="24"/>
          <w:szCs w:val="24"/>
          <w:highlight w:val="yellow"/>
          <w:rtl/>
        </w:rPr>
      </w:pPr>
      <w:r w:rsidRPr="00363B1D">
        <w:rPr>
          <w:rFonts w:ascii="Traditional Arabic" w:hAnsi="Traditional Arabic" w:cs="Traditional Arabic" w:hint="cs"/>
          <w:b/>
          <w:bCs/>
          <w:color w:val="000000" w:themeColor="text1"/>
          <w:sz w:val="24"/>
          <w:szCs w:val="24"/>
          <w:highlight w:val="yellow"/>
          <w:rtl/>
        </w:rPr>
        <w:t>نتائج الفرض الرابع:</w:t>
      </w:r>
    </w:p>
    <w:p w14:paraId="02F05785" w14:textId="70CD0538" w:rsidR="00262147" w:rsidRPr="00363B1D" w:rsidRDefault="00885B9C" w:rsidP="00262147">
      <w:pPr>
        <w:bidi/>
        <w:spacing w:after="200" w:line="360" w:lineRule="auto"/>
        <w:jc w:val="both"/>
        <w:rPr>
          <w:rFonts w:ascii="Traditional Arabic" w:hAnsi="Traditional Arabic" w:cs="Traditional Arabic"/>
          <w:b/>
          <w:bCs/>
          <w:color w:val="000000" w:themeColor="text1"/>
          <w:sz w:val="24"/>
          <w:szCs w:val="24"/>
          <w:highlight w:val="yellow"/>
          <w:rtl/>
        </w:rPr>
      </w:pPr>
      <w:r w:rsidRPr="00363B1D">
        <w:rPr>
          <w:rFonts w:ascii="Traditional Arabic" w:hAnsi="Traditional Arabic" w:cs="Traditional Arabic" w:hint="cs"/>
          <w:b/>
          <w:bCs/>
          <w:color w:val="000000" w:themeColor="text1"/>
          <w:sz w:val="24"/>
          <w:szCs w:val="24"/>
          <w:highlight w:val="yellow"/>
          <w:rtl/>
        </w:rPr>
        <w:t>ينص الفرض الرابع على أنه "</w:t>
      </w:r>
      <w:r w:rsidR="00262147" w:rsidRPr="00363B1D">
        <w:rPr>
          <w:rFonts w:ascii="Traditional Arabic" w:hAnsi="Traditional Arabic" w:cs="Traditional Arabic"/>
          <w:b/>
          <w:bCs/>
          <w:color w:val="000000" w:themeColor="text1"/>
          <w:sz w:val="24"/>
          <w:szCs w:val="24"/>
          <w:highlight w:val="yellow"/>
          <w:rtl/>
        </w:rPr>
        <w:t xml:space="preserve"> يوجد تأثير غير مباشر ذو دلالة إحصائية لممارسات إدارة المخاطر على سلامة المرضى من خلال القيادة التحويلية كمتغير وسيط في المرافق الصحية الحكومية بالمملكة العربية السعودية.</w:t>
      </w:r>
    </w:p>
    <w:p w14:paraId="20387849" w14:textId="6F78D909" w:rsidR="006F6046" w:rsidRPr="00363B1D" w:rsidRDefault="006F6046" w:rsidP="006F6046">
      <w:pPr>
        <w:bidi/>
        <w:spacing w:after="200" w:line="360" w:lineRule="auto"/>
        <w:jc w:val="both"/>
        <w:rPr>
          <w:rFonts w:ascii="Traditional Arabic" w:hAnsi="Traditional Arabic" w:cs="Traditional Arabic"/>
          <w:color w:val="000000" w:themeColor="text1"/>
          <w:sz w:val="24"/>
          <w:szCs w:val="24"/>
          <w:highlight w:val="yellow"/>
        </w:rPr>
      </w:pPr>
      <w:r w:rsidRPr="00363B1D">
        <w:rPr>
          <w:rFonts w:ascii="Traditional Arabic" w:hAnsi="Traditional Arabic" w:cs="Traditional Arabic" w:hint="cs"/>
          <w:color w:val="000000" w:themeColor="text1"/>
          <w:sz w:val="24"/>
          <w:szCs w:val="24"/>
          <w:highlight w:val="yellow"/>
          <w:rtl/>
        </w:rPr>
        <w:t>نستنتج أن الفرض الرابع قد تحقق بالفعل من خلال</w:t>
      </w:r>
      <w:r w:rsidRPr="00363B1D">
        <w:rPr>
          <w:rFonts w:ascii="Traditional Arabic" w:hAnsi="Traditional Arabic" w:cs="Traditional Arabic"/>
          <w:color w:val="000000" w:themeColor="text1"/>
          <w:sz w:val="24"/>
          <w:szCs w:val="24"/>
          <w:highlight w:val="yellow"/>
          <w:rtl/>
        </w:rPr>
        <w:t xml:space="preserve"> نتائج التحليل باستخدام أسلوب نمذجة المعادلات الهيكلية</w:t>
      </w:r>
      <w:r w:rsidRPr="00363B1D">
        <w:rPr>
          <w:rFonts w:ascii="Traditional Arabic" w:hAnsi="Traditional Arabic" w:cs="Traditional Arabic"/>
          <w:color w:val="000000" w:themeColor="text1"/>
          <w:sz w:val="24"/>
          <w:szCs w:val="24"/>
          <w:highlight w:val="yellow"/>
        </w:rPr>
        <w:t xml:space="preserve"> (SEM) </w:t>
      </w:r>
      <w:r w:rsidRPr="00363B1D">
        <w:rPr>
          <w:rFonts w:ascii="Traditional Arabic" w:hAnsi="Traditional Arabic" w:cs="Traditional Arabic"/>
          <w:color w:val="000000" w:themeColor="text1"/>
          <w:sz w:val="24"/>
          <w:szCs w:val="24"/>
          <w:highlight w:val="yellow"/>
          <w:rtl/>
        </w:rPr>
        <w:t>عبر برنامج</w:t>
      </w:r>
      <w:r w:rsidRPr="00363B1D">
        <w:rPr>
          <w:rFonts w:ascii="Traditional Arabic" w:hAnsi="Traditional Arabic" w:cs="Traditional Arabic"/>
          <w:color w:val="000000" w:themeColor="text1"/>
          <w:sz w:val="24"/>
          <w:szCs w:val="24"/>
          <w:highlight w:val="yellow"/>
        </w:rPr>
        <w:t xml:space="preserve"> AMOS </w:t>
      </w:r>
      <w:r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tl/>
        </w:rPr>
        <w:t>أن جميع المسارات المباشرة بين المتغيرات جاءت دالة إحصائياً عند مستوى معنوية</w:t>
      </w:r>
      <w:r w:rsidRPr="00363B1D">
        <w:rPr>
          <w:rFonts w:ascii="Traditional Arabic" w:hAnsi="Traditional Arabic" w:cs="Traditional Arabic"/>
          <w:color w:val="000000" w:themeColor="text1"/>
          <w:sz w:val="24"/>
          <w:szCs w:val="24"/>
          <w:highlight w:val="yellow"/>
        </w:rPr>
        <w:t xml:space="preserve"> (</w:t>
      </w:r>
      <m:oMath>
        <m:r>
          <w:rPr>
            <w:rFonts w:ascii="Cambria Math" w:hAnsi="Cambria Math" w:cs="Traditional Arabic"/>
            <w:color w:val="000000" w:themeColor="text1"/>
            <w:sz w:val="24"/>
            <w:szCs w:val="24"/>
            <w:highlight w:val="yellow"/>
          </w:rPr>
          <m:t>P&lt;0.001</m:t>
        </m:r>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فقد تبين أن ممارسات إدارة المخاطر تؤثر بشكل مباشر وقوي على سلامة المرضى</w:t>
      </w:r>
      <w:r w:rsidRPr="00363B1D">
        <w:rPr>
          <w:rFonts w:ascii="Traditional Arabic" w:hAnsi="Traditional Arabic" w:cs="Traditional Arabic"/>
          <w:color w:val="000000" w:themeColor="text1"/>
          <w:sz w:val="24"/>
          <w:szCs w:val="24"/>
          <w:highlight w:val="yellow"/>
        </w:rPr>
        <w:t xml:space="preserve"> (</w:t>
      </w:r>
      <m:oMath>
        <m:r>
          <w:rPr>
            <w:rFonts w:ascii="Cambria Math" w:hAnsi="Cambria Math" w:cs="Traditional Arabic"/>
            <w:color w:val="000000" w:themeColor="text1"/>
            <w:sz w:val="24"/>
            <w:szCs w:val="24"/>
            <w:highlight w:val="yellow"/>
          </w:rPr>
          <m:t>β=0.425</m:t>
        </m:r>
      </m:oMath>
      <w:r w:rsidRPr="00363B1D">
        <w:rPr>
          <w:rFonts w:ascii="Traditional Arabic" w:hAnsi="Traditional Arabic" w:cs="Traditional Arabic"/>
          <w:color w:val="000000" w:themeColor="text1"/>
          <w:sz w:val="24"/>
          <w:szCs w:val="24"/>
          <w:highlight w:val="yellow"/>
        </w:rPr>
        <w:t>)</w:t>
      </w:r>
      <w:r w:rsidRPr="00363B1D">
        <w:rPr>
          <w:rFonts w:ascii="Traditional Arabic" w:hAnsi="Traditional Arabic" w:cs="Traditional Arabic"/>
          <w:color w:val="000000" w:themeColor="text1"/>
          <w:sz w:val="24"/>
          <w:szCs w:val="24"/>
          <w:highlight w:val="yellow"/>
          <w:rtl/>
        </w:rPr>
        <w:t>، كما أنها تسهم بشكل كبير في بناء القيادة التحويلية</w:t>
      </w:r>
      <w:r w:rsidRPr="00363B1D">
        <w:rPr>
          <w:rFonts w:ascii="Traditional Arabic" w:hAnsi="Traditional Arabic" w:cs="Traditional Arabic"/>
          <w:color w:val="000000" w:themeColor="text1"/>
          <w:sz w:val="24"/>
          <w:szCs w:val="24"/>
          <w:highlight w:val="yellow"/>
        </w:rPr>
        <w:t xml:space="preserve"> (</w:t>
      </w:r>
      <m:oMath>
        <m:r>
          <w:rPr>
            <w:rFonts w:ascii="Cambria Math" w:hAnsi="Cambria Math" w:cs="Traditional Arabic"/>
            <w:color w:val="000000" w:themeColor="text1"/>
            <w:sz w:val="24"/>
            <w:szCs w:val="24"/>
            <w:highlight w:val="yellow"/>
          </w:rPr>
          <m:t>β=0.780</m:t>
        </m:r>
      </m:oMath>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وأظهرت النتائج أيضاً أن القيادة التحويلية تمارس تأثيراً مباشراً ملحوظاً على سلامة المرضى</w:t>
      </w:r>
      <w:r w:rsidRPr="00363B1D">
        <w:rPr>
          <w:rFonts w:ascii="Traditional Arabic" w:hAnsi="Traditional Arabic" w:cs="Traditional Arabic"/>
          <w:color w:val="000000" w:themeColor="text1"/>
          <w:sz w:val="24"/>
          <w:szCs w:val="24"/>
          <w:highlight w:val="yellow"/>
        </w:rPr>
        <w:t xml:space="preserve"> (</w:t>
      </w:r>
      <m:oMath>
        <m:r>
          <w:rPr>
            <w:rFonts w:ascii="Cambria Math" w:hAnsi="Cambria Math" w:cs="Traditional Arabic"/>
            <w:color w:val="000000" w:themeColor="text1"/>
            <w:sz w:val="24"/>
            <w:szCs w:val="24"/>
            <w:highlight w:val="yellow"/>
          </w:rPr>
          <m:t>β=0.560</m:t>
        </m:r>
      </m:oMath>
      <w:r w:rsidRPr="00363B1D">
        <w:rPr>
          <w:rFonts w:ascii="Traditional Arabic" w:hAnsi="Traditional Arabic" w:cs="Traditional Arabic"/>
          <w:color w:val="000000" w:themeColor="text1"/>
          <w:sz w:val="24"/>
          <w:szCs w:val="24"/>
          <w:highlight w:val="yellow"/>
        </w:rPr>
        <w:t>)</w:t>
      </w:r>
      <w:r w:rsidRPr="00363B1D">
        <w:rPr>
          <w:rFonts w:ascii="Traditional Arabic" w:hAnsi="Traditional Arabic" w:cs="Traditional Arabic"/>
          <w:color w:val="000000" w:themeColor="text1"/>
          <w:sz w:val="24"/>
          <w:szCs w:val="24"/>
          <w:highlight w:val="yellow"/>
          <w:rtl/>
        </w:rPr>
        <w:t>، مما يعكس الدور الحيوي لهذا النمط القيادي في تعزيز ثقافة السلامة وتحفيز الكوادر الصحية على الالتزام بمعايير الرعاية الآمنة</w:t>
      </w:r>
      <w:r w:rsidRPr="00363B1D">
        <w:rPr>
          <w:rFonts w:ascii="Traditional Arabic" w:hAnsi="Traditional Arabic" w:cs="Traditional Arabic"/>
          <w:color w:val="000000" w:themeColor="text1"/>
          <w:sz w:val="24"/>
          <w:szCs w:val="24"/>
          <w:highlight w:val="yellow"/>
        </w:rPr>
        <w:t>.</w:t>
      </w:r>
    </w:p>
    <w:p w14:paraId="797C3C38" w14:textId="48C7D72A" w:rsidR="006F6046" w:rsidRPr="00363B1D" w:rsidRDefault="006F6046" w:rsidP="006F6046">
      <w:pPr>
        <w:bidi/>
        <w:spacing w:after="200" w:line="360" w:lineRule="auto"/>
        <w:jc w:val="both"/>
        <w:rPr>
          <w:rFonts w:ascii="Traditional Arabic" w:hAnsi="Traditional Arabic" w:cs="Traditional Arabic"/>
          <w:color w:val="000000" w:themeColor="text1"/>
          <w:sz w:val="24"/>
          <w:szCs w:val="24"/>
          <w:highlight w:val="yellow"/>
        </w:rPr>
      </w:pPr>
      <w:r w:rsidRPr="00363B1D">
        <w:rPr>
          <w:rFonts w:ascii="Traditional Arabic" w:hAnsi="Traditional Arabic" w:cs="Traditional Arabic"/>
          <w:color w:val="000000" w:themeColor="text1"/>
          <w:sz w:val="24"/>
          <w:szCs w:val="24"/>
          <w:highlight w:val="yellow"/>
          <w:rtl/>
        </w:rPr>
        <w:t>أما على مستوى التأثيرات غير المباشرة، فقد كشفت النتائج عن وجود أثر وسيط قوي ودال إحصائياً لممارسات إدارة المخاطر على سلامة المرضى من خلال القيادة التحويلية</w:t>
      </w:r>
      <w:r w:rsidRPr="00363B1D">
        <w:rPr>
          <w:rFonts w:ascii="Traditional Arabic" w:hAnsi="Traditional Arabic" w:cs="Traditional Arabic"/>
          <w:color w:val="000000" w:themeColor="text1"/>
          <w:sz w:val="24"/>
          <w:szCs w:val="24"/>
          <w:highlight w:val="yellow"/>
        </w:rPr>
        <w:t xml:space="preserve"> (</w:t>
      </w:r>
      <m:oMath>
        <m:r>
          <w:rPr>
            <w:rFonts w:ascii="Cambria Math" w:hAnsi="Cambria Math" w:cs="Traditional Arabic"/>
            <w:color w:val="000000" w:themeColor="text1"/>
            <w:sz w:val="24"/>
            <w:szCs w:val="24"/>
            <w:highlight w:val="yellow"/>
          </w:rPr>
          <m:t>β=0.437</m:t>
        </m:r>
      </m:oMath>
      <w:r w:rsidRPr="00363B1D">
        <w:rPr>
          <w:rFonts w:ascii="Traditional Arabic" w:hAnsi="Traditional Arabic" w:cs="Traditional Arabic"/>
          <w:color w:val="000000" w:themeColor="text1"/>
          <w:sz w:val="24"/>
          <w:szCs w:val="24"/>
          <w:highlight w:val="yellow"/>
        </w:rPr>
        <w:t>)</w:t>
      </w:r>
      <w:r w:rsidRPr="00363B1D">
        <w:rPr>
          <w:rFonts w:ascii="Traditional Arabic" w:hAnsi="Traditional Arabic" w:cs="Traditional Arabic"/>
          <w:color w:val="000000" w:themeColor="text1"/>
          <w:sz w:val="24"/>
          <w:szCs w:val="24"/>
          <w:highlight w:val="yellow"/>
          <w:rtl/>
        </w:rPr>
        <w:t>، وهو ما يؤكد تحقق الوساطة الجزئية</w:t>
      </w:r>
      <w:r w:rsidRPr="00363B1D">
        <w:rPr>
          <w:rFonts w:ascii="Traditional Arabic" w:hAnsi="Traditional Arabic" w:cs="Traditional Arabic"/>
          <w:color w:val="000000" w:themeColor="text1"/>
          <w:sz w:val="24"/>
          <w:szCs w:val="24"/>
          <w:highlight w:val="yellow"/>
        </w:rPr>
        <w:t xml:space="preserve"> (Partial Mediation)</w:t>
      </w:r>
      <w:r w:rsidRPr="00363B1D">
        <w:rPr>
          <w:rFonts w:ascii="Traditional Arabic" w:hAnsi="Traditional Arabic" w:cs="Traditional Arabic" w:hint="cs"/>
          <w:color w:val="000000" w:themeColor="text1"/>
          <w:sz w:val="24"/>
          <w:szCs w:val="24"/>
          <w:highlight w:val="yellow"/>
          <w:rtl/>
        </w:rPr>
        <w:t xml:space="preserve"> </w:t>
      </w:r>
      <w:r w:rsidRPr="00363B1D">
        <w:rPr>
          <w:rFonts w:ascii="Traditional Arabic" w:hAnsi="Traditional Arabic" w:cs="Traditional Arabic"/>
          <w:color w:val="000000" w:themeColor="text1"/>
          <w:sz w:val="24"/>
          <w:szCs w:val="24"/>
          <w:highlight w:val="yellow"/>
        </w:rPr>
        <w:t xml:space="preserve">. </w:t>
      </w:r>
      <w:r w:rsidRPr="00363B1D">
        <w:rPr>
          <w:rFonts w:ascii="Traditional Arabic" w:hAnsi="Traditional Arabic" w:cs="Traditional Arabic"/>
          <w:color w:val="000000" w:themeColor="text1"/>
          <w:sz w:val="24"/>
          <w:szCs w:val="24"/>
          <w:highlight w:val="yellow"/>
          <w:rtl/>
        </w:rPr>
        <w:t xml:space="preserve">وبذلك يتضح </w:t>
      </w:r>
      <w:r w:rsidRPr="00363B1D">
        <w:rPr>
          <w:rFonts w:ascii="Traditional Arabic" w:hAnsi="Traditional Arabic" w:cs="Traditional Arabic"/>
          <w:color w:val="000000" w:themeColor="text1"/>
          <w:sz w:val="24"/>
          <w:szCs w:val="24"/>
          <w:highlight w:val="yellow"/>
          <w:rtl/>
        </w:rPr>
        <w:lastRenderedPageBreak/>
        <w:t>أن إدارة المخاطر لا تقتصر على إحداث أثر مباشر في حماية المرضى، بل يتضاعف هذا الأثر ويتعزز بشكل جوهري عند وجود قيادة تحويلية تتبنى هذه الممارسات وتدعمها، مما يرسخ ثقافة السلامة الشاملة في المستشفيات الحكومية بالمملكة العربية السعودية</w:t>
      </w:r>
      <w:r w:rsidRPr="00363B1D">
        <w:rPr>
          <w:rFonts w:ascii="Traditional Arabic" w:hAnsi="Traditional Arabic" w:cs="Traditional Arabic"/>
          <w:color w:val="000000" w:themeColor="text1"/>
          <w:sz w:val="24"/>
          <w:szCs w:val="24"/>
          <w:highlight w:val="yellow"/>
        </w:rPr>
        <w:t>.</w:t>
      </w:r>
    </w:p>
    <w:p w14:paraId="443E7213" w14:textId="5DAA8D55" w:rsidR="00262147" w:rsidRPr="006F6046" w:rsidRDefault="006F6046" w:rsidP="00262147">
      <w:pPr>
        <w:bidi/>
        <w:spacing w:after="200" w:line="360" w:lineRule="auto"/>
        <w:jc w:val="both"/>
        <w:rPr>
          <w:rFonts w:ascii="Traditional Arabic" w:hAnsi="Traditional Arabic" w:cs="Traditional Arabic"/>
          <w:b/>
          <w:bCs/>
          <w:color w:val="000000" w:themeColor="text1"/>
          <w:sz w:val="24"/>
          <w:szCs w:val="24"/>
          <w:rtl/>
        </w:rPr>
      </w:pPr>
      <w:r w:rsidRPr="00363B1D">
        <w:rPr>
          <w:rFonts w:ascii="Traditional Arabic" w:hAnsi="Traditional Arabic" w:cs="Traditional Arabic"/>
          <w:color w:val="000000" w:themeColor="text1"/>
          <w:sz w:val="24"/>
          <w:szCs w:val="24"/>
          <w:highlight w:val="yellow"/>
          <w:rtl/>
        </w:rPr>
        <w:t xml:space="preserve">وقد بينت </w:t>
      </w:r>
      <w:r w:rsidRPr="00363B1D">
        <w:rPr>
          <w:rFonts w:ascii="Traditional Arabic" w:hAnsi="Traditional Arabic" w:cs="Traditional Arabic" w:hint="cs"/>
          <w:color w:val="000000" w:themeColor="text1"/>
          <w:sz w:val="24"/>
          <w:szCs w:val="24"/>
          <w:highlight w:val="yellow"/>
          <w:rtl/>
        </w:rPr>
        <w:t>ال</w:t>
      </w:r>
      <w:r w:rsidRPr="00363B1D">
        <w:rPr>
          <w:rFonts w:ascii="Traditional Arabic" w:hAnsi="Traditional Arabic" w:cs="Traditional Arabic"/>
          <w:color w:val="000000" w:themeColor="text1"/>
          <w:sz w:val="24"/>
          <w:szCs w:val="24"/>
          <w:highlight w:val="yellow"/>
          <w:rtl/>
        </w:rPr>
        <w:t>نتائج أن الوزن المعياري للأثر غير المباشر جاء موجباً وذو دلالة إحصائية عالية، وهو ما يؤكد دور القيادة التحويلية كـ وسيط جزئي</w:t>
      </w:r>
      <w:r w:rsidRPr="00363B1D">
        <w:rPr>
          <w:rFonts w:ascii="Traditional Arabic" w:hAnsi="Traditional Arabic" w:cs="Traditional Arabic"/>
          <w:color w:val="000000" w:themeColor="text1"/>
          <w:sz w:val="24"/>
          <w:szCs w:val="24"/>
          <w:highlight w:val="yellow"/>
        </w:rPr>
        <w:t xml:space="preserve"> (Partial Mediator) </w:t>
      </w:r>
      <w:r w:rsidRPr="00363B1D">
        <w:rPr>
          <w:rFonts w:ascii="Traditional Arabic" w:hAnsi="Traditional Arabic" w:cs="Traditional Arabic"/>
          <w:color w:val="000000" w:themeColor="text1"/>
          <w:sz w:val="24"/>
          <w:szCs w:val="24"/>
          <w:highlight w:val="yellow"/>
          <w:rtl/>
        </w:rPr>
        <w:t xml:space="preserve">في هذه العلاقة. وتُعزى هذه النتيجة علمياً وتنظيمياً إلى أن ممارسات إدارة المخاطر توفر البنية التحتية والبيانات اللازمة لحماية المرضى، ولكن هذا الأثر </w:t>
      </w:r>
      <w:r w:rsidRPr="00363B1D">
        <w:rPr>
          <w:rFonts w:ascii="Traditional Arabic" w:hAnsi="Traditional Arabic" w:cs="Traditional Arabic" w:hint="cs"/>
          <w:color w:val="000000" w:themeColor="text1"/>
          <w:sz w:val="24"/>
          <w:szCs w:val="24"/>
          <w:highlight w:val="yellow"/>
          <w:rtl/>
        </w:rPr>
        <w:t>يتطور</w:t>
      </w:r>
      <w:r w:rsidRPr="00363B1D">
        <w:rPr>
          <w:rFonts w:ascii="Traditional Arabic" w:hAnsi="Traditional Arabic" w:cs="Traditional Arabic"/>
          <w:color w:val="000000" w:themeColor="text1"/>
          <w:sz w:val="24"/>
          <w:szCs w:val="24"/>
          <w:highlight w:val="yellow"/>
          <w:rtl/>
        </w:rPr>
        <w:t xml:space="preserve"> بكفاءة ويتضاعف بشكل جوهري عندما يمر عبر بيئة قيادية تحويلية تعمل على تحفيز الكوادر الصحية، وتمكينهم، ونشر ثقافة الأمان والشفافية في الإبلاغ عن الأحداث العارضة، مما يساهم في تحقيق أعلى مستويات سلامة المرضى وتجنب الأخطاء الطبية داخل المنشآت الصحية الحكومية بالمملكة</w:t>
      </w:r>
      <w:r w:rsidRPr="00363B1D">
        <w:rPr>
          <w:rFonts w:ascii="Traditional Arabic" w:hAnsi="Traditional Arabic" w:cs="Traditional Arabic"/>
          <w:color w:val="000000" w:themeColor="text1"/>
          <w:sz w:val="24"/>
          <w:szCs w:val="24"/>
          <w:highlight w:val="yellow"/>
        </w:rPr>
        <w:t>.</w:t>
      </w:r>
    </w:p>
    <w:p w14:paraId="07C97CE6" w14:textId="34AA439B" w:rsidR="00350CFE" w:rsidRPr="00956193" w:rsidRDefault="00350CFE" w:rsidP="00262147">
      <w:pPr>
        <w:bidi/>
        <w:spacing w:after="200" w:line="360"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هذه النتيجة تتفق مع ما أوضحه </w:t>
      </w:r>
      <w:r w:rsidRPr="00956193">
        <w:rPr>
          <w:rFonts w:ascii="Traditional Arabic" w:hAnsi="Traditional Arabic" w:cs="Traditional Arabic"/>
          <w:color w:val="000000" w:themeColor="text1"/>
          <w:sz w:val="24"/>
          <w:szCs w:val="24"/>
          <w:highlight w:val="yellow"/>
        </w:rPr>
        <w:t xml:space="preserve">Al-Omari et al. (2019)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حول أن تطبيق أنظمة إدارة المخاطر بشكل متكامل يعزز جودة الأداء الصحي ويقلل من معدلات الأخطاء الطبية، كما تدعم ما أشار إليه </w:t>
      </w:r>
      <w:r w:rsidRPr="00956193">
        <w:rPr>
          <w:rFonts w:ascii="Traditional Arabic" w:hAnsi="Traditional Arabic" w:cs="Traditional Arabic"/>
          <w:color w:val="000000" w:themeColor="text1"/>
          <w:sz w:val="24"/>
          <w:szCs w:val="24"/>
          <w:highlight w:val="yellow"/>
        </w:rPr>
        <w:t xml:space="preserve">Hassan et al. (2020)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بأن برامج إدارة المخاطر الفعالة تسهم في تحسين مؤشرات الأداء العام للمستشفيات. كذلك، تتسق مع دراسة عبد الله بن محمد الجهني (٢٠٢٠) التي أكدت أن تعزيز بيئة العمل الآمنة وفعالية أنظمة الإبلاغ ينعكس بشكل مباشر على رفع مستوى الأداء المؤسسي في المستشفيات السعودية، ومع دراسة </w:t>
      </w:r>
      <w:r w:rsidRPr="00956193">
        <w:rPr>
          <w:rFonts w:ascii="Traditional Arabic" w:hAnsi="Traditional Arabic" w:cs="Traditional Arabic"/>
          <w:color w:val="000000" w:themeColor="text1"/>
          <w:sz w:val="24"/>
          <w:szCs w:val="24"/>
          <w:highlight w:val="yellow"/>
        </w:rPr>
        <w:t xml:space="preserve">Al-Mutairi et al. (2020) </w:t>
      </w:r>
      <w:r w:rsidRPr="00956193">
        <w:rPr>
          <w:rFonts w:ascii="Traditional Arabic" w:hAnsi="Traditional Arabic" w:cs="Traditional Arabic"/>
          <w:color w:val="000000" w:themeColor="text1"/>
          <w:sz w:val="24"/>
          <w:szCs w:val="24"/>
          <w:highlight w:val="yellow"/>
          <w:rtl/>
        </w:rPr>
        <w:t>التي أبرزت أن تطبيق ممارسات سلامة المرضى في المستشفيات السعودية أدى إلى تحسين جودة الرعاية السريرية وزيادة رضا المرضى. كما تدعم هذه النتيجة ما توصل إليه منصور بن عبد الرحمن العتيبي (٢٠٢٢) الذي أوضح أن إشراك المرضى وتفعيل أنظمة الإبلاغ يسهم في تحسين جودة الرعاية الصحية بشكل ملموس. وبذلك فإن النتيجة الحالية تنسجم مع الأدبيات السابقة التي تؤكد أن الاستثمار في أبعاد سلامة المرضى بشكل متكامل يمثل استراتيجية فعالة لتحسين الأداء العام وضمان جودة الخدمات الصحية في المستشفيات الحكومية</w:t>
      </w:r>
      <w:r w:rsidRPr="00956193">
        <w:rPr>
          <w:rFonts w:ascii="Traditional Arabic" w:hAnsi="Traditional Arabic" w:cs="Traditional Arabic"/>
          <w:color w:val="000000" w:themeColor="text1"/>
          <w:sz w:val="24"/>
          <w:szCs w:val="24"/>
          <w:highlight w:val="yellow"/>
        </w:rPr>
        <w:t>.</w:t>
      </w:r>
    </w:p>
    <w:p w14:paraId="07FE7C55" w14:textId="43CE9C0C" w:rsidR="00B0573B" w:rsidRPr="00956193" w:rsidRDefault="00C93328" w:rsidP="00B0573B">
      <w:pPr>
        <w:bidi/>
        <w:spacing w:after="200" w:line="360" w:lineRule="auto"/>
        <w:jc w:val="both"/>
        <w:rPr>
          <w:rFonts w:ascii="Traditional Arabic" w:hAnsi="Traditional Arabic" w:cs="Traditional Arabic"/>
          <w:b/>
          <w:bCs/>
          <w:color w:val="000000" w:themeColor="text1"/>
          <w:sz w:val="24"/>
          <w:szCs w:val="24"/>
          <w:highlight w:val="yellow"/>
          <w:rtl/>
        </w:rPr>
      </w:pPr>
      <w:r w:rsidRPr="00956193">
        <w:rPr>
          <w:rFonts w:ascii="Traditional Arabic" w:hAnsi="Traditional Arabic" w:cs="Traditional Arabic" w:hint="cs"/>
          <w:b/>
          <w:bCs/>
          <w:color w:val="000000" w:themeColor="text1"/>
          <w:sz w:val="24"/>
          <w:szCs w:val="24"/>
          <w:highlight w:val="yellow"/>
          <w:rtl/>
        </w:rPr>
        <w:t>نتائج الفرض الخامس:</w:t>
      </w:r>
    </w:p>
    <w:p w14:paraId="75794FEE" w14:textId="70DE9D4C" w:rsidR="0002288D" w:rsidRPr="00956193" w:rsidRDefault="00C93328" w:rsidP="0002288D">
      <w:pPr>
        <w:bidi/>
        <w:spacing w:after="200" w:line="360" w:lineRule="auto"/>
        <w:ind w:left="720" w:hanging="720"/>
        <w:contextualSpacing/>
        <w:jc w:val="both"/>
        <w:rPr>
          <w:rFonts w:ascii="Traditional Arabic" w:eastAsia="Calibri" w:hAnsi="Traditional Arabic" w:cs="Traditional Arabic"/>
          <w:sz w:val="24"/>
          <w:szCs w:val="24"/>
          <w:highlight w:val="yellow"/>
          <w:lang w:bidi="ar-EG"/>
        </w:rPr>
      </w:pPr>
      <w:r w:rsidRPr="00956193">
        <w:rPr>
          <w:rFonts w:ascii="Traditional Arabic" w:hAnsi="Traditional Arabic" w:cs="Traditional Arabic" w:hint="cs"/>
          <w:b/>
          <w:bCs/>
          <w:color w:val="000000" w:themeColor="text1"/>
          <w:sz w:val="24"/>
          <w:szCs w:val="24"/>
          <w:highlight w:val="yellow"/>
          <w:rtl/>
        </w:rPr>
        <w:t>ينص الفرض الخامس على أنه "</w:t>
      </w:r>
      <w:r w:rsidR="0002288D" w:rsidRPr="00956193">
        <w:rPr>
          <w:rFonts w:ascii="Traditional Arabic" w:hAnsi="Traditional Arabic" w:cs="Traditional Arabic" w:hint="cs"/>
          <w:b/>
          <w:bCs/>
          <w:color w:val="000000" w:themeColor="text1"/>
          <w:sz w:val="24"/>
          <w:szCs w:val="24"/>
          <w:highlight w:val="yellow"/>
          <w:rtl/>
        </w:rPr>
        <w:t xml:space="preserve"> </w:t>
      </w:r>
      <w:r w:rsidR="0002288D" w:rsidRPr="00956193">
        <w:rPr>
          <w:rFonts w:ascii="Traditional Arabic" w:eastAsia="Calibri" w:hAnsi="Traditional Arabic" w:cs="Traditional Arabic"/>
          <w:sz w:val="24"/>
          <w:szCs w:val="24"/>
          <w:highlight w:val="yellow"/>
          <w:rtl/>
          <w:lang w:bidi="ar-EG"/>
        </w:rPr>
        <w:t>توجد فروق ذات دلالة إحصائية في إدراك أفراد العينة لمتغيرات الدراسة تُعزى للمتغيرات الديموغرافية والوظيفية (النوع، المؤهل العلمي، نوع الوظيفة، سنوات الخبرة)."</w:t>
      </w:r>
    </w:p>
    <w:p w14:paraId="46DC7B49" w14:textId="68DFB90E" w:rsidR="00C93328" w:rsidRPr="00956193" w:rsidRDefault="0002288D" w:rsidP="00F70672">
      <w:pPr>
        <w:bidi/>
        <w:spacing w:after="200" w:line="360" w:lineRule="auto"/>
        <w:jc w:val="both"/>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sz w:val="24"/>
          <w:szCs w:val="24"/>
          <w:highlight w:val="yellow"/>
        </w:rPr>
        <w:t>"</w:t>
      </w:r>
      <w:r w:rsidRPr="00956193">
        <w:rPr>
          <w:rFonts w:ascii="Traditional Arabic" w:hAnsi="Traditional Arabic" w:cs="Traditional Arabic"/>
          <w:color w:val="000000" w:themeColor="text1"/>
          <w:sz w:val="24"/>
          <w:szCs w:val="24"/>
          <w:highlight w:val="yellow"/>
          <w:rtl/>
        </w:rPr>
        <w:t>نستنتج أن الفرض الخامس قد تحقق جزئياً، حيث أثبتت نتائج الاختبارات الإحصائية</w:t>
      </w:r>
      <w:r w:rsidRPr="00956193">
        <w:rPr>
          <w:rFonts w:ascii="Traditional Arabic" w:hAnsi="Traditional Arabic" w:cs="Traditional Arabic"/>
          <w:color w:val="000000" w:themeColor="text1"/>
          <w:sz w:val="24"/>
          <w:szCs w:val="24"/>
          <w:highlight w:val="yellow"/>
        </w:rPr>
        <w:t xml:space="preserve"> (Independent Samples T-test </w:t>
      </w:r>
      <w:r w:rsidRPr="00956193">
        <w:rPr>
          <w:rFonts w:ascii="Traditional Arabic" w:hAnsi="Traditional Arabic" w:cs="Traditional Arabic"/>
          <w:color w:val="000000" w:themeColor="text1"/>
          <w:sz w:val="24"/>
          <w:szCs w:val="24"/>
          <w:highlight w:val="yellow"/>
          <w:rtl/>
        </w:rPr>
        <w:t xml:space="preserve">و </w:t>
      </w:r>
      <w:r w:rsidRPr="00956193">
        <w:rPr>
          <w:rFonts w:ascii="Traditional Arabic" w:hAnsi="Traditional Arabic" w:cs="Traditional Arabic"/>
          <w:color w:val="000000" w:themeColor="text1"/>
          <w:sz w:val="24"/>
          <w:szCs w:val="24"/>
          <w:highlight w:val="yellow"/>
        </w:rPr>
        <w:t xml:space="preserve">One-Way ANOVA)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وجود فروق جوهرية في إدراك أفراد العينة لمتغيرات الدراسة تُعزى لثلاثة متغيرات ديموغرافية </w:t>
      </w:r>
      <w:r w:rsidRPr="00956193">
        <w:rPr>
          <w:rFonts w:ascii="Traditional Arabic" w:hAnsi="Traditional Arabic" w:cs="Traditional Arabic" w:hint="cs"/>
          <w:color w:val="000000" w:themeColor="text1"/>
          <w:sz w:val="24"/>
          <w:szCs w:val="24"/>
          <w:highlight w:val="yellow"/>
          <w:rtl/>
        </w:rPr>
        <w:t>وهي النوع والمؤهل العلمي وسنوات الخبرة وعدم التحقق بناءاً على نوع الوظيفة</w:t>
      </w:r>
      <w:r w:rsidR="00F94893" w:rsidRPr="00956193">
        <w:rPr>
          <w:rFonts w:ascii="Traditional Arabic" w:hAnsi="Traditional Arabic" w:cs="Traditional Arabic" w:hint="cs"/>
          <w:color w:val="000000" w:themeColor="text1"/>
          <w:sz w:val="24"/>
          <w:szCs w:val="24"/>
          <w:highlight w:val="yellow"/>
          <w:rtl/>
        </w:rPr>
        <w:t xml:space="preserve">، </w:t>
      </w:r>
      <w:r w:rsidR="00F94893" w:rsidRPr="00956193">
        <w:rPr>
          <w:rFonts w:ascii="Traditional Arabic" w:hAnsi="Traditional Arabic" w:cs="Traditional Arabic"/>
          <w:color w:val="000000" w:themeColor="text1"/>
          <w:highlight w:val="yellow"/>
          <w:rtl/>
        </w:rPr>
        <w:t>حيث أثبتت نتائج الاختبارات الإحصائية</w:t>
      </w:r>
      <w:r w:rsidR="00F94893" w:rsidRPr="00956193">
        <w:rPr>
          <w:rFonts w:ascii="Traditional Arabic" w:hAnsi="Traditional Arabic" w:cs="Traditional Arabic"/>
          <w:color w:val="000000" w:themeColor="text1"/>
          <w:highlight w:val="yellow"/>
        </w:rPr>
        <w:t xml:space="preserve"> (Independent Samples T-test </w:t>
      </w:r>
      <w:r w:rsidR="00F94893" w:rsidRPr="00956193">
        <w:rPr>
          <w:rFonts w:ascii="Traditional Arabic" w:hAnsi="Traditional Arabic" w:cs="Traditional Arabic"/>
          <w:color w:val="000000" w:themeColor="text1"/>
          <w:highlight w:val="yellow"/>
          <w:rtl/>
        </w:rPr>
        <w:t>و</w:t>
      </w:r>
      <w:r w:rsidR="00F94893" w:rsidRPr="00956193">
        <w:rPr>
          <w:rFonts w:ascii="Traditional Arabic" w:hAnsi="Traditional Arabic" w:cs="Traditional Arabic"/>
          <w:color w:val="000000" w:themeColor="text1"/>
          <w:highlight w:val="yellow"/>
        </w:rPr>
        <w:t xml:space="preserve"> One-Way ANOVA) </w:t>
      </w:r>
      <w:r w:rsidR="00F94893" w:rsidRPr="00956193">
        <w:rPr>
          <w:rFonts w:ascii="Traditional Arabic" w:hAnsi="Traditional Arabic" w:cs="Traditional Arabic"/>
          <w:color w:val="000000" w:themeColor="text1"/>
          <w:highlight w:val="yellow"/>
          <w:rtl/>
        </w:rPr>
        <w:t>وجود فروق ذات دلالة إحصائية في إدراك أفراد العينة لمتغيرات الدراسة تُعزى لثلاثة متغيرات ديموغرافية هي النوع والمؤهل العلمي وسنوات الخبرة، في حين لم تظهر فروق ذات دلالة إحصائية تُعزى لمتغير نوع الوظيفة. وتوضح هذه النتيجة أن الخصائص الفردية والمهنية للعاملين تؤثر بدرجات متفاوتة في مستوى إدراكهم لممارسات إدارة المخاطر وسلامة المرضى، مما يستدعي مراعاة هذه الفروق عند تصميم البرامج التدريبية والإجراءات الإدارية لضمان تحقيق أعلى مستويات الفاعلية في بيئة العمل الصحي</w:t>
      </w:r>
      <w:r w:rsidR="00F94893" w:rsidRPr="00956193">
        <w:rPr>
          <w:rFonts w:ascii="Traditional Arabic" w:hAnsi="Traditional Arabic" w:cs="Traditional Arabic"/>
          <w:color w:val="000000" w:themeColor="text1"/>
          <w:highlight w:val="yellow"/>
        </w:rPr>
        <w:t>.</w:t>
      </w:r>
    </w:p>
    <w:p w14:paraId="7FDBC214" w14:textId="0E5900D9" w:rsidR="00D42EB1" w:rsidRPr="00956193" w:rsidRDefault="00F94893"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lastRenderedPageBreak/>
        <w:t>ويشير</w:t>
      </w:r>
      <w:r w:rsidR="00440B9A" w:rsidRPr="00956193">
        <w:rPr>
          <w:rFonts w:ascii="Traditional Arabic" w:hAnsi="Traditional Arabic" w:cs="Traditional Arabic"/>
          <w:color w:val="000000" w:themeColor="text1"/>
          <w:sz w:val="24"/>
          <w:szCs w:val="24"/>
          <w:highlight w:val="yellow"/>
          <w:rtl/>
        </w:rPr>
        <w:t xml:space="preserve"> إلى وجود فروق ذات دلالة إحصائية في إدراك أفراد العينة لمتغيرات الدراسة تُعزى إلى متغير النوع (الجنس)، حيث بلغت قيمة ت المحسوبة</w:t>
      </w:r>
      <w:r w:rsidR="00440B9A" w:rsidRPr="00956193">
        <w:rPr>
          <w:rFonts w:ascii="Traditional Arabic" w:hAnsi="Traditional Arabic" w:cs="Traditional Arabic"/>
          <w:color w:val="000000" w:themeColor="text1"/>
          <w:sz w:val="24"/>
          <w:szCs w:val="24"/>
          <w:highlight w:val="yellow"/>
        </w:rPr>
        <w:t xml:space="preserve"> (t = 2.14) </w:t>
      </w:r>
      <w:r w:rsidR="00440B9A" w:rsidRPr="00956193">
        <w:rPr>
          <w:rFonts w:ascii="Traditional Arabic" w:hAnsi="Traditional Arabic" w:cs="Traditional Arabic"/>
          <w:color w:val="000000" w:themeColor="text1"/>
          <w:sz w:val="24"/>
          <w:szCs w:val="24"/>
          <w:highlight w:val="yellow"/>
          <w:rtl/>
        </w:rPr>
        <w:t>عند درجة حرية</w:t>
      </w:r>
      <w:r w:rsidR="00440B9A" w:rsidRPr="00956193">
        <w:rPr>
          <w:rFonts w:ascii="Traditional Arabic" w:hAnsi="Traditional Arabic" w:cs="Traditional Arabic"/>
          <w:color w:val="000000" w:themeColor="text1"/>
          <w:sz w:val="24"/>
          <w:szCs w:val="24"/>
          <w:highlight w:val="yellow"/>
        </w:rPr>
        <w:t xml:space="preserve"> (df = 387)</w:t>
      </w:r>
      <w:r w:rsidR="00440B9A" w:rsidRPr="00956193">
        <w:rPr>
          <w:rFonts w:ascii="Traditional Arabic" w:hAnsi="Traditional Arabic" w:cs="Traditional Arabic"/>
          <w:color w:val="000000" w:themeColor="text1"/>
          <w:sz w:val="24"/>
          <w:szCs w:val="24"/>
          <w:highlight w:val="yellow"/>
          <w:rtl/>
        </w:rPr>
        <w:t>، وكانت دالة إحصائياً عند مستوى معنوية</w:t>
      </w:r>
      <w:r w:rsidR="00440B9A" w:rsidRPr="00956193">
        <w:rPr>
          <w:rFonts w:ascii="Traditional Arabic" w:hAnsi="Traditional Arabic" w:cs="Traditional Arabic"/>
          <w:color w:val="000000" w:themeColor="text1"/>
          <w:sz w:val="24"/>
          <w:szCs w:val="24"/>
          <w:highlight w:val="yellow"/>
        </w:rPr>
        <w:t xml:space="preserve"> (Sig. = 0.034) </w:t>
      </w:r>
      <w:r w:rsidR="00440B9A" w:rsidRPr="00956193">
        <w:rPr>
          <w:rFonts w:ascii="Traditional Arabic" w:hAnsi="Traditional Arabic" w:cs="Traditional Arabic"/>
          <w:color w:val="000000" w:themeColor="text1"/>
          <w:sz w:val="24"/>
          <w:szCs w:val="24"/>
          <w:highlight w:val="yellow"/>
          <w:rtl/>
        </w:rPr>
        <w:t>وهو أقل من (0.05). كما أظهرت النتائج وجود فروق ذات دلالة إحصائية تعزى للمؤهل العلمي، حيث بلغت قيمة ف المحسوبة</w:t>
      </w:r>
      <w:r w:rsidR="00440B9A" w:rsidRPr="00956193">
        <w:rPr>
          <w:rFonts w:ascii="Traditional Arabic" w:hAnsi="Traditional Arabic" w:cs="Traditional Arabic"/>
          <w:color w:val="000000" w:themeColor="text1"/>
          <w:sz w:val="24"/>
          <w:szCs w:val="24"/>
          <w:highlight w:val="yellow"/>
        </w:rPr>
        <w:t xml:space="preserve"> (F = 6.34)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0.002)</w:t>
      </w:r>
      <w:r w:rsidR="00440B9A" w:rsidRPr="00956193">
        <w:rPr>
          <w:rFonts w:ascii="Traditional Arabic" w:hAnsi="Traditional Arabic" w:cs="Traditional Arabic"/>
          <w:color w:val="000000" w:themeColor="text1"/>
          <w:sz w:val="24"/>
          <w:szCs w:val="24"/>
          <w:highlight w:val="yellow"/>
          <w:rtl/>
        </w:rPr>
        <w:t>، وتبين أن الفروق لصالح الحاصلين على الدراسات العليا. في المقابل، لم تظهر فروق ذات دلالة إحصائية تعزى لنوع الوظيفة، إذ بلغت قيمة ف المحسوبة</w:t>
      </w:r>
      <w:r w:rsidR="00440B9A" w:rsidRPr="00956193">
        <w:rPr>
          <w:rFonts w:ascii="Traditional Arabic" w:hAnsi="Traditional Arabic" w:cs="Traditional Arabic"/>
          <w:color w:val="000000" w:themeColor="text1"/>
          <w:sz w:val="24"/>
          <w:szCs w:val="24"/>
          <w:highlight w:val="yellow"/>
        </w:rPr>
        <w:t xml:space="preserve"> (F = 1.70)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0.166) </w:t>
      </w:r>
      <w:r w:rsidR="00440B9A" w:rsidRPr="00956193">
        <w:rPr>
          <w:rFonts w:ascii="Traditional Arabic" w:hAnsi="Traditional Arabic" w:cs="Traditional Arabic"/>
          <w:color w:val="000000" w:themeColor="text1"/>
          <w:sz w:val="24"/>
          <w:szCs w:val="24"/>
          <w:highlight w:val="yellow"/>
          <w:rtl/>
        </w:rPr>
        <w:t>وهو أكبر من (0.05)، مما يشير إلى تقارب التقييم بين مختلف المسميات الوظيفية. كذلك، تبيّن وجود فروق ذات دلالة إحصائية عالية تعزى لسنوات الخبرة، حيث بلغت قيمة ف المحسوبة</w:t>
      </w:r>
      <w:r w:rsidR="00440B9A" w:rsidRPr="00956193">
        <w:rPr>
          <w:rFonts w:ascii="Traditional Arabic" w:hAnsi="Traditional Arabic" w:cs="Traditional Arabic"/>
          <w:color w:val="000000" w:themeColor="text1"/>
          <w:sz w:val="24"/>
          <w:szCs w:val="24"/>
          <w:highlight w:val="yellow"/>
        </w:rPr>
        <w:t xml:space="preserve"> (F = 11.14) </w:t>
      </w:r>
      <w:r w:rsidR="00440B9A" w:rsidRPr="00956193">
        <w:rPr>
          <w:rFonts w:ascii="Traditional Arabic" w:hAnsi="Traditional Arabic" w:cs="Traditional Arabic"/>
          <w:color w:val="000000" w:themeColor="text1"/>
          <w:sz w:val="24"/>
          <w:szCs w:val="24"/>
          <w:highlight w:val="yellow"/>
          <w:rtl/>
        </w:rPr>
        <w:t>بمستوى دلالة</w:t>
      </w:r>
      <w:r w:rsidR="00440B9A" w:rsidRPr="00956193">
        <w:rPr>
          <w:rFonts w:ascii="Traditional Arabic" w:hAnsi="Traditional Arabic" w:cs="Traditional Arabic"/>
          <w:color w:val="000000" w:themeColor="text1"/>
          <w:sz w:val="24"/>
          <w:szCs w:val="24"/>
          <w:highlight w:val="yellow"/>
        </w:rPr>
        <w:t xml:space="preserve"> (Sig. = 0.000)</w:t>
      </w:r>
      <w:r w:rsidR="00440B9A" w:rsidRPr="00956193">
        <w:rPr>
          <w:rFonts w:ascii="Traditional Arabic" w:hAnsi="Traditional Arabic" w:cs="Traditional Arabic"/>
          <w:color w:val="000000" w:themeColor="text1"/>
          <w:sz w:val="24"/>
          <w:szCs w:val="24"/>
          <w:highlight w:val="yellow"/>
          <w:rtl/>
        </w:rPr>
        <w:t>، وكانت الفروق لصالح الفئات الأكثر خبرة من (5 إلى أقل من 10 سنوات فأكثر). وبناءً على هذه النتائج، تُقبل الفرضية الرئيسية الخامسة جزئياً، إذ ثبت وجود فروق ذات دلالة إحصائية تعزى للنوع، المؤهل العلمي، وسنوات الخبرة، بينما لم يثبت وجود فروق تعزى لنوع الوظيفة</w:t>
      </w:r>
      <w:r w:rsidR="00440B9A" w:rsidRPr="00956193">
        <w:rPr>
          <w:rFonts w:ascii="Traditional Arabic" w:hAnsi="Traditional Arabic" w:cs="Traditional Arabic"/>
          <w:color w:val="000000" w:themeColor="text1"/>
          <w:sz w:val="24"/>
          <w:szCs w:val="24"/>
          <w:highlight w:val="yellow"/>
        </w:rPr>
        <w:t>.</w:t>
      </w:r>
    </w:p>
    <w:p w14:paraId="343E733B" w14:textId="56B83B79" w:rsidR="00E26251" w:rsidRPr="00956193" w:rsidRDefault="00E26251"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كما توضح الفرضية الخامسة أن القيادة التحويلية تُعزز أثر ممارسات إدارة المخاطر على سلامة المرضى، وهو ما تدعمه عدة دراسات سابقة؛ فدراسة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حسين (٢٠٢٠</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أكدت أن القيادة التحويلية تُعد مدخلًا استراتيجيًا لتحسين الأداء المؤسسي في المنظمات الصحية بما ينعكس على تعزيز سلامة المرضى، بينما أوضحت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الغامدي وعثمان (٢٠٢٢</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تزيد من قدرة المستشفيات على إدارة الأزمات الصحية بكفاءة، مما يقوي دور إدارة المخاطر في تقليل الأخطاء الطبية. كما بينت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آل مرزوق (٢٠٢٣</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تسهم في تحقيق الاستدامة الاستراتيجية في وزارة الصحة، وهو ما يعزز العلاقة بين إدارة المخاطر ونتائج السلامة، وأكدت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البركاني (٢٠٢٥</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تعزز فاعلية اتخاذ القرارات الإدارية داخل المستشفيات بما ينعكس على تحسين سلامة المرضى. وأخيرًا، أوضحت دراسة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أماني محمد وآخرين (٢٠٢٥</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color w:val="000000" w:themeColor="text1"/>
          <w:sz w:val="24"/>
          <w:szCs w:val="24"/>
          <w:highlight w:val="yellow"/>
          <w:rtl/>
        </w:rPr>
        <w:t xml:space="preserve"> أن القيادة التحويلية ترتبط بالعدالة التنظيمية والسلوكيات الإيجابية للعاملين، وهو ما يدعم بيئة عمل آمنة ويقوي أثر إدارة المخاطر على سلامة المرضى.</w:t>
      </w:r>
    </w:p>
    <w:p w14:paraId="49EDCD79" w14:textId="6409F44F" w:rsidR="005529B0" w:rsidRPr="00956193" w:rsidRDefault="005529B0" w:rsidP="00440B9A">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 xml:space="preserve">كما تدعم هذه النتائج توصيات </w:t>
      </w:r>
      <w:r w:rsidRPr="00956193">
        <w:rPr>
          <w:rFonts w:ascii="Traditional Arabic" w:hAnsi="Traditional Arabic" w:cs="Traditional Arabic"/>
          <w:color w:val="000000" w:themeColor="text1"/>
          <w:sz w:val="24"/>
          <w:szCs w:val="24"/>
          <w:highlight w:val="yellow"/>
        </w:rPr>
        <w:t xml:space="preserve">WHO (2023, 2024)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التي ركزت على أن القيادة التحويلية ترفع الالتزام بمعايير السلامة العالمية، ومع ما ورد في </w:t>
      </w:r>
      <w:r w:rsidRPr="00956193">
        <w:rPr>
          <w:rFonts w:ascii="Traditional Arabic" w:hAnsi="Traditional Arabic" w:cs="Traditional Arabic"/>
          <w:color w:val="000000" w:themeColor="text1"/>
          <w:sz w:val="24"/>
          <w:szCs w:val="24"/>
          <w:highlight w:val="yellow"/>
        </w:rPr>
        <w:t xml:space="preserve">HealthySimulation (2024)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من أن التدريب المبني على القيادة التحويلية يقلل الأخطاء الطبية ويحسن الأداء، وكذلك مع تقرير الهيئة السعودية للتخصصات الصحية (٢٠٢٥) الذي أكد أن القيادة التحويلية تعزز كفاءة الكوادر الصحية. وفي السياق ذاته، تتشابه النتائج مع دراسة فاتن خليل (٢٠١٨) التي أوضحت أن القيادة التحويلية تسهم في تحسين الأداء المؤسسي، ومع دراسة حسين (٢٠١٩) التي أكدت على دور القيادة في تعزيز فعالية إدارة الأزمات، ومع دراسة الغامدي وعثمان (٢٠٢٣) التي أبرزت أثر القيادة التحويلية في رفع مستوى جودة الخدمات الصحية، وأيضًا مع دراسة عفيفي وآلاء (٢٠٢٤) التي بينت وجود ارتباط بين القيادة التحويلية وإدارة المخاطر في المستشفيات</w:t>
      </w:r>
      <w:r w:rsidRPr="00956193">
        <w:rPr>
          <w:rFonts w:ascii="Traditional Arabic" w:hAnsi="Traditional Arabic" w:cs="Traditional Arabic"/>
          <w:color w:val="000000" w:themeColor="text1"/>
          <w:sz w:val="24"/>
          <w:szCs w:val="24"/>
          <w:highlight w:val="yellow"/>
        </w:rPr>
        <w:t>.</w:t>
      </w:r>
    </w:p>
    <w:p w14:paraId="42F0649D" w14:textId="6B231CDF" w:rsidR="005529B0" w:rsidRPr="00956193" w:rsidRDefault="005529B0" w:rsidP="00440B9A">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color w:val="000000" w:themeColor="text1"/>
          <w:sz w:val="24"/>
          <w:szCs w:val="24"/>
          <w:highlight w:val="yellow"/>
          <w:rtl/>
        </w:rPr>
        <w:lastRenderedPageBreak/>
        <w:t xml:space="preserve">إضافة إلى ذلك، تتفق النتائج مع دراسات دولية مثل </w:t>
      </w:r>
      <w:r w:rsidRPr="00956193">
        <w:rPr>
          <w:rFonts w:ascii="Traditional Arabic" w:hAnsi="Traditional Arabic" w:cs="Traditional Arabic"/>
          <w:color w:val="000000" w:themeColor="text1"/>
          <w:sz w:val="24"/>
          <w:szCs w:val="24"/>
          <w:highlight w:val="yellow"/>
        </w:rPr>
        <w:t xml:space="preserve">Purwanto et al. (2020) </w:t>
      </w:r>
      <w:r w:rsidR="00440B9A"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color w:val="000000" w:themeColor="text1"/>
          <w:sz w:val="24"/>
          <w:szCs w:val="24"/>
          <w:highlight w:val="yellow"/>
          <w:rtl/>
        </w:rPr>
        <w:t xml:space="preserve">التي أوضحت أن القيادة التحويلية ترتبط إيجابياً برضا العاملين، ومع دراسة </w:t>
      </w:r>
      <w:r w:rsidRPr="00956193">
        <w:rPr>
          <w:rFonts w:ascii="Traditional Arabic" w:hAnsi="Traditional Arabic" w:cs="Traditional Arabic"/>
          <w:color w:val="000000" w:themeColor="text1"/>
          <w:sz w:val="24"/>
          <w:szCs w:val="24"/>
          <w:highlight w:val="yellow"/>
        </w:rPr>
        <w:t xml:space="preserve">Badriyah Putri Jannah (2024) </w:t>
      </w:r>
      <w:r w:rsidRPr="00956193">
        <w:rPr>
          <w:rFonts w:ascii="Traditional Arabic" w:hAnsi="Traditional Arabic" w:cs="Traditional Arabic"/>
          <w:color w:val="000000" w:themeColor="text1"/>
          <w:sz w:val="24"/>
          <w:szCs w:val="24"/>
          <w:highlight w:val="yellow"/>
          <w:rtl/>
        </w:rPr>
        <w:t xml:space="preserve">التي أكدت على دور القيادة في تعزيز ثقافة السلامة، وكذلك مع دراسة </w:t>
      </w:r>
      <w:r w:rsidRPr="00956193">
        <w:rPr>
          <w:rFonts w:ascii="Traditional Arabic" w:hAnsi="Traditional Arabic" w:cs="Traditional Arabic"/>
          <w:color w:val="000000" w:themeColor="text1"/>
          <w:sz w:val="24"/>
          <w:szCs w:val="24"/>
          <w:highlight w:val="yellow"/>
        </w:rPr>
        <w:t xml:space="preserve">Stöcker et al. (2023) </w:t>
      </w:r>
      <w:r w:rsidRPr="00956193">
        <w:rPr>
          <w:rFonts w:ascii="Traditional Arabic" w:hAnsi="Traditional Arabic" w:cs="Traditional Arabic"/>
          <w:color w:val="000000" w:themeColor="text1"/>
          <w:sz w:val="24"/>
          <w:szCs w:val="24"/>
          <w:highlight w:val="yellow"/>
          <w:rtl/>
        </w:rPr>
        <w:t xml:space="preserve">التي أبرزت أثر القيادة في تحسين إدارة المعرفة، ومع دراسة </w:t>
      </w:r>
      <w:r w:rsidRPr="00956193">
        <w:rPr>
          <w:rFonts w:ascii="Traditional Arabic" w:hAnsi="Traditional Arabic" w:cs="Traditional Arabic"/>
          <w:color w:val="000000" w:themeColor="text1"/>
          <w:sz w:val="24"/>
          <w:szCs w:val="24"/>
          <w:highlight w:val="yellow"/>
        </w:rPr>
        <w:t xml:space="preserve">Hassan Alabdullah &amp; Waldemar Karwowski (2024) </w:t>
      </w:r>
      <w:r w:rsidRPr="00956193">
        <w:rPr>
          <w:rFonts w:ascii="Traditional Arabic" w:hAnsi="Traditional Arabic" w:cs="Traditional Arabic"/>
          <w:color w:val="000000" w:themeColor="text1"/>
          <w:sz w:val="24"/>
          <w:szCs w:val="24"/>
          <w:highlight w:val="yellow"/>
          <w:rtl/>
        </w:rPr>
        <w:t>التي أوضحت أن القيادة التحويلية تعزز من كفاءة الكوادر الصحية. وفي المقابل، تختلف هذه النتائج مع بعض الدراسات مثل تقرير وزارة الصحة المصرية (٢٠٢٣) الذي ركز على البنية التحتية والعوامل التنظيمية أكثر من القيادة التحويلية، وكذلك مع القمة الوزارية العالمية لسلامة المرضى</w:t>
      </w:r>
      <w:r w:rsidRPr="00956193">
        <w:rPr>
          <w:rFonts w:ascii="Traditional Arabic" w:hAnsi="Traditional Arabic" w:cs="Traditional Arabic"/>
          <w:color w:val="000000" w:themeColor="text1"/>
          <w:sz w:val="24"/>
          <w:szCs w:val="24"/>
          <w:highlight w:val="yellow"/>
        </w:rPr>
        <w:t xml:space="preserve"> (2023) </w:t>
      </w:r>
      <w:r w:rsidRPr="00956193">
        <w:rPr>
          <w:rFonts w:ascii="Traditional Arabic" w:hAnsi="Traditional Arabic" w:cs="Traditional Arabic"/>
          <w:color w:val="000000" w:themeColor="text1"/>
          <w:sz w:val="24"/>
          <w:szCs w:val="24"/>
          <w:highlight w:val="yellow"/>
          <w:rtl/>
        </w:rPr>
        <w:t>التي تناولت التحديات العالمية مثل التمويل والسياسات الصحية دون التركيز المباشر على القيادة</w:t>
      </w:r>
      <w:r w:rsidRPr="00956193">
        <w:rPr>
          <w:rFonts w:ascii="Traditional Arabic" w:hAnsi="Traditional Arabic" w:cs="Traditional Arabic"/>
          <w:color w:val="000000" w:themeColor="text1"/>
          <w:sz w:val="24"/>
          <w:szCs w:val="24"/>
          <w:highlight w:val="yellow"/>
        </w:rPr>
        <w:t>.</w:t>
      </w:r>
    </w:p>
    <w:p w14:paraId="7CEDF79E"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tl/>
        </w:rPr>
      </w:pPr>
      <w:r w:rsidRPr="00956193">
        <w:rPr>
          <w:rFonts w:ascii="Traditional Arabic" w:hAnsi="Traditional Arabic" w:cs="Traditional Arabic" w:hint="cs"/>
          <w:color w:val="000000" w:themeColor="text1"/>
          <w:sz w:val="24"/>
          <w:szCs w:val="24"/>
          <w:highlight w:val="yellow"/>
          <w:rtl/>
        </w:rPr>
        <w:t>تتشابه نتائج الدراسة الحالية مع نتائج دراسة ريم وحسن</w:t>
      </w:r>
      <w:r w:rsidRPr="00956193">
        <w:rPr>
          <w:rFonts w:ascii="Traditional Arabic" w:hAnsi="Traditional Arabic" w:cs="Traditional Arabic" w:hint="cs"/>
          <w:color w:val="000000" w:themeColor="text1"/>
          <w:sz w:val="24"/>
          <w:szCs w:val="24"/>
          <w:highlight w:val="yellow"/>
        </w:rPr>
        <w:t xml:space="preserve"> (2020) </w:t>
      </w:r>
      <w:r w:rsidRPr="00956193">
        <w:rPr>
          <w:rFonts w:ascii="Traditional Arabic" w:hAnsi="Traditional Arabic" w:cs="Traditional Arabic" w:hint="cs"/>
          <w:color w:val="000000" w:themeColor="text1"/>
          <w:sz w:val="24"/>
          <w:szCs w:val="24"/>
          <w:highlight w:val="yellow"/>
          <w:rtl/>
        </w:rPr>
        <w:t>التي أكدت أن القيادة التحويلية تسهم في تحسين بيئة العمل وزيادة التزام العاملين، كما تتشابه مع نتائج دراسة آلاء أحمد ومحمد عفيفي</w:t>
      </w:r>
      <w:r w:rsidRPr="00956193">
        <w:rPr>
          <w:rFonts w:ascii="Traditional Arabic" w:hAnsi="Traditional Arabic" w:cs="Traditional Arabic" w:hint="cs"/>
          <w:color w:val="000000" w:themeColor="text1"/>
          <w:sz w:val="24"/>
          <w:szCs w:val="24"/>
          <w:highlight w:val="yellow"/>
        </w:rPr>
        <w:t xml:space="preserve"> (2021) </w:t>
      </w:r>
      <w:r w:rsidRPr="00956193">
        <w:rPr>
          <w:rFonts w:ascii="Traditional Arabic" w:hAnsi="Traditional Arabic" w:cs="Traditional Arabic" w:hint="cs"/>
          <w:color w:val="000000" w:themeColor="text1"/>
          <w:sz w:val="24"/>
          <w:szCs w:val="24"/>
          <w:highlight w:val="yellow"/>
          <w:rtl/>
        </w:rPr>
        <w:t>التي أوضحت وجود ارتباط إيجابي بين القيادة التحويلية وإدارة المخاطر في المستشفيات. ويظهر التشابه أيضاً مع دراسة نعيمة القصير</w:t>
      </w:r>
      <w:r w:rsidRPr="00956193">
        <w:rPr>
          <w:rFonts w:ascii="Traditional Arabic" w:hAnsi="Traditional Arabic" w:cs="Traditional Arabic" w:hint="cs"/>
          <w:color w:val="000000" w:themeColor="text1"/>
          <w:sz w:val="24"/>
          <w:szCs w:val="24"/>
          <w:highlight w:val="yellow"/>
        </w:rPr>
        <w:t xml:space="preserve"> (2022) </w:t>
      </w:r>
      <w:r w:rsidRPr="00956193">
        <w:rPr>
          <w:rFonts w:ascii="Traditional Arabic" w:hAnsi="Traditional Arabic" w:cs="Traditional Arabic" w:hint="cs"/>
          <w:color w:val="000000" w:themeColor="text1"/>
          <w:sz w:val="24"/>
          <w:szCs w:val="24"/>
          <w:highlight w:val="yellow"/>
          <w:rtl/>
        </w:rPr>
        <w:t>التي شددت على أهمية القيادة التحويلية في تعزيز ثقافة السلامة، ومع تقرير المركز السعودي لسلامة المرضى</w:t>
      </w:r>
      <w:r w:rsidRPr="00956193">
        <w:rPr>
          <w:rFonts w:ascii="Traditional Arabic" w:hAnsi="Traditional Arabic" w:cs="Traditional Arabic" w:hint="cs"/>
          <w:color w:val="000000" w:themeColor="text1"/>
          <w:sz w:val="24"/>
          <w:szCs w:val="24"/>
          <w:highlight w:val="yellow"/>
        </w:rPr>
        <w:t xml:space="preserve"> (2022) </w:t>
      </w:r>
      <w:r w:rsidRPr="00956193">
        <w:rPr>
          <w:rFonts w:ascii="Traditional Arabic" w:hAnsi="Traditional Arabic" w:cs="Traditional Arabic" w:hint="cs"/>
          <w:color w:val="000000" w:themeColor="text1"/>
          <w:sz w:val="24"/>
          <w:szCs w:val="24"/>
          <w:highlight w:val="yellow"/>
          <w:rtl/>
        </w:rPr>
        <w:t xml:space="preserve">الذي أبرز دور القيادة التحويلية في برامج تحسين الجودة. كما تتفق النتائج مع توصيات منظمة الصحة العالمية( </w:t>
      </w:r>
      <w:r w:rsidRPr="00956193">
        <w:rPr>
          <w:rFonts w:ascii="Traditional Arabic" w:hAnsi="Traditional Arabic" w:cs="Traditional Arabic" w:hint="cs"/>
          <w:color w:val="000000" w:themeColor="text1"/>
          <w:sz w:val="24"/>
          <w:szCs w:val="24"/>
          <w:highlight w:val="yellow"/>
        </w:rPr>
        <w:t xml:space="preserve"> 2023</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Pr>
        <w:t>2024</w:t>
      </w:r>
      <w:r w:rsidRPr="00956193">
        <w:rPr>
          <w:rFonts w:ascii="Traditional Arabic" w:hAnsi="Traditional Arabic" w:cs="Traditional Arabic" w:hint="cs"/>
          <w:color w:val="000000" w:themeColor="text1"/>
          <w:sz w:val="24"/>
          <w:szCs w:val="24"/>
          <w:highlight w:val="yellow"/>
          <w:rtl/>
        </w:rPr>
        <w:t>)</w:t>
      </w:r>
      <w:r w:rsidRPr="00956193">
        <w:rPr>
          <w:rFonts w:ascii="Traditional Arabic" w:hAnsi="Traditional Arabic" w:cs="Traditional Arabic" w:hint="cs"/>
          <w:color w:val="000000" w:themeColor="text1"/>
          <w:sz w:val="24"/>
          <w:szCs w:val="24"/>
          <w:highlight w:val="yellow"/>
        </w:rPr>
        <w:t xml:space="preserve"> </w:t>
      </w:r>
      <w:r w:rsidRPr="00956193">
        <w:rPr>
          <w:rFonts w:ascii="Traditional Arabic" w:hAnsi="Traditional Arabic" w:cs="Traditional Arabic" w:hint="cs"/>
          <w:color w:val="000000" w:themeColor="text1"/>
          <w:sz w:val="24"/>
          <w:szCs w:val="24"/>
          <w:highlight w:val="yellow"/>
          <w:rtl/>
        </w:rPr>
        <w:t xml:space="preserve">التي ركزت على أن القيادة التحويلية ترفع الالتزام بمعايير السلامة العالمية، ومع ما ورد في </w:t>
      </w:r>
      <w:r w:rsidRPr="00956193">
        <w:rPr>
          <w:rFonts w:ascii="Traditional Arabic" w:hAnsi="Traditional Arabic" w:cs="Traditional Arabic" w:hint="cs"/>
          <w:color w:val="000000" w:themeColor="text1"/>
          <w:sz w:val="24"/>
          <w:szCs w:val="24"/>
          <w:highlight w:val="yellow"/>
        </w:rPr>
        <w:t xml:space="preserve">HealthySimulation (2024) </w:t>
      </w:r>
      <w:r w:rsidRPr="00956193">
        <w:rPr>
          <w:rFonts w:ascii="Traditional Arabic" w:hAnsi="Traditional Arabic" w:cs="Traditional Arabic" w:hint="cs"/>
          <w:color w:val="000000" w:themeColor="text1"/>
          <w:sz w:val="24"/>
          <w:szCs w:val="24"/>
          <w:highlight w:val="yellow"/>
          <w:rtl/>
        </w:rPr>
        <w:t xml:space="preserve"> من أن التدريب المبني على القيادة التحويلية يقلل الأخطاء الطبية ويحسن الأداء، وكذلك مع تقرير الهيئة السعودية للتخصصات الصحية</w:t>
      </w:r>
      <w:r w:rsidRPr="00956193">
        <w:rPr>
          <w:rFonts w:ascii="Traditional Arabic" w:hAnsi="Traditional Arabic" w:cs="Traditional Arabic" w:hint="cs"/>
          <w:color w:val="000000" w:themeColor="text1"/>
          <w:sz w:val="24"/>
          <w:szCs w:val="24"/>
          <w:highlight w:val="yellow"/>
        </w:rPr>
        <w:t xml:space="preserve"> (2025) </w:t>
      </w:r>
      <w:r w:rsidRPr="00956193">
        <w:rPr>
          <w:rFonts w:ascii="Traditional Arabic" w:hAnsi="Traditional Arabic" w:cs="Traditional Arabic" w:hint="cs"/>
          <w:color w:val="000000" w:themeColor="text1"/>
          <w:sz w:val="24"/>
          <w:szCs w:val="24"/>
          <w:highlight w:val="yellow"/>
          <w:rtl/>
        </w:rPr>
        <w:t>الذي أكد أن القيادة التحويلية تعزز كفاءة الكوادر الصحية</w:t>
      </w:r>
      <w:r w:rsidRPr="00956193">
        <w:rPr>
          <w:rFonts w:ascii="Traditional Arabic" w:hAnsi="Traditional Arabic" w:cs="Traditional Arabic" w:hint="cs"/>
          <w:color w:val="000000" w:themeColor="text1"/>
          <w:sz w:val="24"/>
          <w:szCs w:val="24"/>
          <w:highlight w:val="yellow"/>
        </w:rPr>
        <w:t>.</w:t>
      </w:r>
    </w:p>
    <w:p w14:paraId="50415DCF"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rPr>
        <w:t>وفي المقابل، تختلف نتائج هذه الدراسة مع ما ورد في تقرير وزارة الصحة المصرية</w:t>
      </w:r>
      <w:r w:rsidRPr="00956193">
        <w:rPr>
          <w:rFonts w:ascii="Traditional Arabic" w:hAnsi="Traditional Arabic" w:cs="Traditional Arabic" w:hint="cs"/>
          <w:color w:val="000000" w:themeColor="text1"/>
          <w:sz w:val="24"/>
          <w:szCs w:val="24"/>
          <w:highlight w:val="yellow"/>
        </w:rPr>
        <w:t xml:space="preserve"> </w:t>
      </w:r>
      <w:r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Pr>
        <w:t xml:space="preserve">(2023) </w:t>
      </w:r>
      <w:r w:rsidRPr="00956193">
        <w:rPr>
          <w:rFonts w:ascii="Traditional Arabic" w:hAnsi="Traditional Arabic" w:cs="Traditional Arabic" w:hint="cs"/>
          <w:color w:val="000000" w:themeColor="text1"/>
          <w:sz w:val="24"/>
          <w:szCs w:val="24"/>
          <w:highlight w:val="yellow"/>
          <w:rtl/>
        </w:rPr>
        <w:t xml:space="preserve"> الذي ركز على العوامل التنظيمية والبنية التحتية أكثر من القيادة التحويلية، كما تختلف مع مخرجات القمة الوزارية العالمية لسلامة المرضى</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تناولت التحديات العالمية مثل التمويل والسياسات الصحية دون التركيز المباشر على القيادة التحويلية</w:t>
      </w:r>
      <w:r w:rsidRPr="00956193">
        <w:rPr>
          <w:rFonts w:ascii="Traditional Arabic" w:hAnsi="Traditional Arabic" w:cs="Traditional Arabic" w:hint="cs"/>
          <w:color w:val="000000" w:themeColor="text1"/>
          <w:sz w:val="24"/>
          <w:szCs w:val="24"/>
          <w:highlight w:val="yellow"/>
        </w:rPr>
        <w:t>.</w:t>
      </w:r>
    </w:p>
    <w:p w14:paraId="76B8C050" w14:textId="77777777" w:rsidR="005A1F9B" w:rsidRPr="00956193" w:rsidRDefault="005A1F9B" w:rsidP="005A1F9B">
      <w:pPr>
        <w:bidi/>
        <w:spacing w:after="200" w:line="360" w:lineRule="auto"/>
        <w:ind w:firstLine="720"/>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hint="cs"/>
          <w:color w:val="000000" w:themeColor="text1"/>
          <w:sz w:val="24"/>
          <w:szCs w:val="24"/>
          <w:highlight w:val="yellow"/>
          <w:rtl/>
          <w:lang w:bidi="ar-EG"/>
        </w:rPr>
        <w:t xml:space="preserve">كما </w:t>
      </w:r>
      <w:r w:rsidRPr="00956193">
        <w:rPr>
          <w:rFonts w:ascii="Traditional Arabic" w:hAnsi="Traditional Arabic" w:cs="Traditional Arabic" w:hint="cs"/>
          <w:color w:val="000000" w:themeColor="text1"/>
          <w:sz w:val="24"/>
          <w:szCs w:val="24"/>
          <w:highlight w:val="yellow"/>
          <w:rtl/>
        </w:rPr>
        <w:t>تتشابه نتائج الدراسة الحالية مع نتائج دراسة فاتن خليل</w:t>
      </w:r>
      <w:r w:rsidRPr="00956193">
        <w:rPr>
          <w:rFonts w:ascii="Traditional Arabic" w:hAnsi="Traditional Arabic" w:cs="Traditional Arabic" w:hint="cs"/>
          <w:color w:val="000000" w:themeColor="text1"/>
          <w:sz w:val="24"/>
          <w:szCs w:val="24"/>
          <w:highlight w:val="yellow"/>
        </w:rPr>
        <w:t xml:space="preserve"> (2018) </w:t>
      </w:r>
      <w:r w:rsidRPr="00956193">
        <w:rPr>
          <w:rFonts w:ascii="Traditional Arabic" w:hAnsi="Traditional Arabic" w:cs="Traditional Arabic" w:hint="cs"/>
          <w:color w:val="000000" w:themeColor="text1"/>
          <w:sz w:val="24"/>
          <w:szCs w:val="24"/>
          <w:highlight w:val="yellow"/>
          <w:rtl/>
        </w:rPr>
        <w:t>التي أوضحت أن القيادة التحويلية تسهم في تحسين الأداء المؤسسي، ومع دراسة حسين</w:t>
      </w:r>
      <w:r w:rsidRPr="00956193">
        <w:rPr>
          <w:rFonts w:ascii="Traditional Arabic" w:hAnsi="Traditional Arabic" w:cs="Traditional Arabic" w:hint="cs"/>
          <w:color w:val="000000" w:themeColor="text1"/>
          <w:sz w:val="24"/>
          <w:szCs w:val="24"/>
          <w:highlight w:val="yellow"/>
        </w:rPr>
        <w:t xml:space="preserve"> (2019) </w:t>
      </w:r>
      <w:r w:rsidRPr="00956193">
        <w:rPr>
          <w:rFonts w:ascii="Traditional Arabic" w:hAnsi="Traditional Arabic" w:cs="Traditional Arabic" w:hint="cs"/>
          <w:color w:val="000000" w:themeColor="text1"/>
          <w:sz w:val="24"/>
          <w:szCs w:val="24"/>
          <w:highlight w:val="yellow"/>
          <w:rtl/>
        </w:rPr>
        <w:t>التي أكدت على دور القيادة في تعزيز فعالية إدارة الأزمات. كما يظهر التشابه مع دراسة الغامدي وعثمان</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أبرزت أثر القيادة التحويلية في رفع مستوى جودة الخدمات الصحية، ومع دراسة عفيفي وآلاء</w:t>
      </w:r>
      <w:r w:rsidRPr="00956193">
        <w:rPr>
          <w:rFonts w:ascii="Traditional Arabic" w:hAnsi="Traditional Arabic" w:cs="Traditional Arabic" w:hint="cs"/>
          <w:color w:val="000000" w:themeColor="text1"/>
          <w:sz w:val="24"/>
          <w:szCs w:val="24"/>
          <w:highlight w:val="yellow"/>
        </w:rPr>
        <w:t xml:space="preserve"> (2024) </w:t>
      </w:r>
      <w:r w:rsidRPr="00956193">
        <w:rPr>
          <w:rFonts w:ascii="Traditional Arabic" w:hAnsi="Traditional Arabic" w:cs="Traditional Arabic" w:hint="cs"/>
          <w:color w:val="000000" w:themeColor="text1"/>
          <w:sz w:val="24"/>
          <w:szCs w:val="24"/>
          <w:highlight w:val="yellow"/>
          <w:rtl/>
        </w:rPr>
        <w:t>التي بينت وجود ارتباط بين القيادة التحويلية وإدارة المخاطر في المستشفيات</w:t>
      </w:r>
      <w:r w:rsidRPr="00956193">
        <w:rPr>
          <w:rFonts w:ascii="Traditional Arabic" w:hAnsi="Traditional Arabic" w:cs="Traditional Arabic" w:hint="cs"/>
          <w:color w:val="000000" w:themeColor="text1"/>
          <w:sz w:val="24"/>
          <w:szCs w:val="24"/>
          <w:highlight w:val="yellow"/>
        </w:rPr>
        <w:t>.</w:t>
      </w:r>
    </w:p>
    <w:p w14:paraId="0373E374" w14:textId="57E72DB7" w:rsidR="005A1F9B" w:rsidRPr="0044090C" w:rsidRDefault="005A1F9B" w:rsidP="00F70672">
      <w:pPr>
        <w:bidi/>
        <w:spacing w:after="200" w:line="360" w:lineRule="auto"/>
        <w:ind w:firstLine="720"/>
        <w:jc w:val="both"/>
        <w:rPr>
          <w:rFonts w:ascii="Traditional Arabic" w:hAnsi="Traditional Arabic" w:cs="Traditional Arabic"/>
          <w:color w:val="000000" w:themeColor="text1"/>
          <w:sz w:val="24"/>
          <w:szCs w:val="24"/>
          <w:rtl/>
        </w:rPr>
      </w:pPr>
      <w:r w:rsidRPr="00956193">
        <w:rPr>
          <w:rFonts w:ascii="Traditional Arabic" w:hAnsi="Traditional Arabic" w:cs="Traditional Arabic" w:hint="cs"/>
          <w:color w:val="000000" w:themeColor="text1"/>
          <w:sz w:val="24"/>
          <w:szCs w:val="24"/>
          <w:highlight w:val="yellow"/>
          <w:rtl/>
        </w:rPr>
        <w:t xml:space="preserve">وتتشابه أيضاً مع نتائج دراسة </w:t>
      </w:r>
      <w:r w:rsidRPr="00956193">
        <w:rPr>
          <w:rFonts w:ascii="Traditional Arabic" w:hAnsi="Traditional Arabic" w:cs="Traditional Arabic" w:hint="cs"/>
          <w:color w:val="000000" w:themeColor="text1"/>
          <w:sz w:val="24"/>
          <w:szCs w:val="24"/>
          <w:highlight w:val="yellow"/>
        </w:rPr>
        <w:t xml:space="preserve">Purwanto et al. (2020) </w:t>
      </w:r>
      <w:r w:rsidRPr="00956193">
        <w:rPr>
          <w:rFonts w:ascii="Traditional Arabic" w:hAnsi="Traditional Arabic" w:cs="Traditional Arabic" w:hint="cs"/>
          <w:color w:val="000000" w:themeColor="text1"/>
          <w:sz w:val="24"/>
          <w:szCs w:val="24"/>
          <w:highlight w:val="yellow"/>
          <w:rtl/>
        </w:rPr>
        <w:t xml:space="preserve"> التي أوضحت أن القيادة التحويلية ترتبط إيجابياً برضا العاملين، ومع دراسة </w:t>
      </w:r>
      <w:r w:rsidRPr="00956193">
        <w:rPr>
          <w:rFonts w:ascii="Traditional Arabic" w:hAnsi="Traditional Arabic" w:cs="Traditional Arabic" w:hint="cs"/>
          <w:color w:val="000000" w:themeColor="text1"/>
          <w:sz w:val="24"/>
          <w:szCs w:val="24"/>
          <w:highlight w:val="yellow"/>
        </w:rPr>
        <w:t xml:space="preserve">Badriyah Putri Jannah (2024) </w:t>
      </w:r>
      <w:r w:rsidRPr="00956193">
        <w:rPr>
          <w:rFonts w:ascii="Traditional Arabic" w:hAnsi="Traditional Arabic" w:cs="Traditional Arabic" w:hint="cs"/>
          <w:color w:val="000000" w:themeColor="text1"/>
          <w:sz w:val="24"/>
          <w:szCs w:val="24"/>
          <w:highlight w:val="yellow"/>
          <w:rtl/>
        </w:rPr>
        <w:t xml:space="preserve"> التي أكدت على دور القيادة في تعزيز ثقافة السلامة، وكذلك مع دراسة </w:t>
      </w:r>
      <w:r w:rsidRPr="00956193">
        <w:rPr>
          <w:rFonts w:ascii="Traditional Arabic" w:hAnsi="Traditional Arabic" w:cs="Traditional Arabic" w:hint="cs"/>
          <w:color w:val="000000" w:themeColor="text1"/>
          <w:sz w:val="24"/>
          <w:szCs w:val="24"/>
          <w:highlight w:val="yellow"/>
        </w:rPr>
        <w:t xml:space="preserve">Stöcker </w:t>
      </w:r>
      <w:r w:rsidRPr="00956193">
        <w:rPr>
          <w:rFonts w:ascii="Traditional Arabic" w:hAnsi="Traditional Arabic" w:cs="Traditional Arabic" w:hint="cs"/>
          <w:color w:val="000000" w:themeColor="text1"/>
          <w:sz w:val="24"/>
          <w:szCs w:val="24"/>
          <w:highlight w:val="yellow"/>
          <w:rtl/>
        </w:rPr>
        <w:t xml:space="preserve"> وآخرون</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 xml:space="preserve">التي أبرزت أثر القيادة في تحسين إدارة المعرفة، ومع دراسة </w:t>
      </w:r>
      <w:r w:rsidRPr="00956193">
        <w:rPr>
          <w:rFonts w:ascii="Traditional Arabic" w:hAnsi="Traditional Arabic" w:cs="Traditional Arabic" w:hint="cs"/>
          <w:color w:val="000000" w:themeColor="text1"/>
          <w:sz w:val="24"/>
          <w:szCs w:val="24"/>
          <w:highlight w:val="yellow"/>
        </w:rPr>
        <w:t xml:space="preserve">Hassan Alabdullah &amp; Waldemar </w:t>
      </w:r>
      <w:r w:rsidRPr="00956193">
        <w:rPr>
          <w:rFonts w:ascii="Traditional Arabic" w:hAnsi="Traditional Arabic" w:cs="Traditional Arabic" w:hint="cs"/>
          <w:color w:val="000000" w:themeColor="text1"/>
          <w:sz w:val="24"/>
          <w:szCs w:val="24"/>
          <w:highlight w:val="yellow"/>
        </w:rPr>
        <w:lastRenderedPageBreak/>
        <w:t xml:space="preserve">Karwowski (2024) </w:t>
      </w:r>
      <w:r w:rsidRPr="00956193">
        <w:rPr>
          <w:rFonts w:ascii="Traditional Arabic" w:hAnsi="Traditional Arabic" w:cs="Traditional Arabic" w:hint="cs"/>
          <w:color w:val="000000" w:themeColor="text1"/>
          <w:sz w:val="24"/>
          <w:szCs w:val="24"/>
          <w:highlight w:val="yellow"/>
          <w:rtl/>
        </w:rPr>
        <w:t xml:space="preserve"> التي أوضحت أن القيادة التحويلية تعزز من كفاءة الكوادر الصحية. كما تتفق النتائج مع ما ورد في دراسة </w:t>
      </w:r>
      <w:r w:rsidRPr="00956193">
        <w:rPr>
          <w:rFonts w:ascii="Traditional Arabic" w:hAnsi="Traditional Arabic" w:cs="Traditional Arabic" w:hint="cs"/>
          <w:color w:val="000000" w:themeColor="text1"/>
          <w:sz w:val="24"/>
          <w:szCs w:val="24"/>
          <w:highlight w:val="yellow"/>
        </w:rPr>
        <w:t xml:space="preserve">Smith et al. (2017)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Jones and Brown (2018) </w:t>
      </w:r>
      <w:r w:rsidRPr="00956193">
        <w:rPr>
          <w:rFonts w:ascii="Traditional Arabic" w:hAnsi="Traditional Arabic" w:cs="Traditional Arabic" w:hint="cs"/>
          <w:color w:val="000000" w:themeColor="text1"/>
          <w:sz w:val="24"/>
          <w:szCs w:val="24"/>
          <w:highlight w:val="yellow"/>
          <w:rtl/>
        </w:rPr>
        <w:t xml:space="preserve">و </w:t>
      </w:r>
      <w:r w:rsidRPr="00956193">
        <w:rPr>
          <w:rFonts w:ascii="Traditional Arabic" w:hAnsi="Traditional Arabic" w:cs="Traditional Arabic" w:hint="cs"/>
          <w:color w:val="000000" w:themeColor="text1"/>
          <w:sz w:val="24"/>
          <w:szCs w:val="24"/>
          <w:highlight w:val="yellow"/>
        </w:rPr>
        <w:t xml:space="preserve">Al-Zahrani (2018) </w:t>
      </w:r>
      <w:r w:rsidRPr="00956193">
        <w:rPr>
          <w:rFonts w:ascii="Traditional Arabic" w:hAnsi="Traditional Arabic" w:cs="Traditional Arabic" w:hint="cs"/>
          <w:color w:val="000000" w:themeColor="text1"/>
          <w:sz w:val="24"/>
          <w:szCs w:val="24"/>
          <w:highlight w:val="yellow"/>
          <w:rtl/>
        </w:rPr>
        <w:t xml:space="preserve"> و أحمد محمد السعيد</w:t>
      </w:r>
      <w:r w:rsidRPr="00956193">
        <w:rPr>
          <w:rFonts w:ascii="Traditional Arabic" w:hAnsi="Traditional Arabic" w:cs="Traditional Arabic" w:hint="cs"/>
          <w:color w:val="000000" w:themeColor="text1"/>
          <w:sz w:val="24"/>
          <w:szCs w:val="24"/>
          <w:highlight w:val="yellow"/>
        </w:rPr>
        <w:t xml:space="preserve"> (2019) </w:t>
      </w:r>
      <w:r w:rsidRPr="00956193">
        <w:rPr>
          <w:rFonts w:ascii="Traditional Arabic" w:hAnsi="Traditional Arabic" w:cs="Traditional Arabic" w:hint="cs"/>
          <w:color w:val="000000" w:themeColor="text1"/>
          <w:sz w:val="24"/>
          <w:szCs w:val="24"/>
          <w:highlight w:val="yellow"/>
          <w:rtl/>
        </w:rPr>
        <w:t xml:space="preserve">و </w:t>
      </w:r>
      <w:r w:rsidRPr="00956193">
        <w:rPr>
          <w:rFonts w:ascii="Traditional Arabic" w:hAnsi="Traditional Arabic" w:cs="Traditional Arabic" w:hint="cs"/>
          <w:color w:val="000000" w:themeColor="text1"/>
          <w:sz w:val="24"/>
          <w:szCs w:val="24"/>
          <w:highlight w:val="yellow"/>
        </w:rPr>
        <w:t xml:space="preserve">Al-Omari et al.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Khan et al.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Hassan Al-Harbi (2019) </w:t>
      </w:r>
      <w:r w:rsidRPr="00956193">
        <w:rPr>
          <w:rFonts w:ascii="Traditional Arabic" w:hAnsi="Traditional Arabic" w:cs="Traditional Arabic" w:hint="cs"/>
          <w:color w:val="000000" w:themeColor="text1"/>
          <w:sz w:val="24"/>
          <w:szCs w:val="24"/>
          <w:highlight w:val="yellow"/>
          <w:rtl/>
        </w:rPr>
        <w:t xml:space="preserve"> و </w:t>
      </w:r>
      <w:r w:rsidRPr="00956193">
        <w:rPr>
          <w:rFonts w:ascii="Traditional Arabic" w:hAnsi="Traditional Arabic" w:cs="Traditional Arabic" w:hint="cs"/>
          <w:color w:val="000000" w:themeColor="text1"/>
          <w:sz w:val="24"/>
          <w:szCs w:val="24"/>
          <w:highlight w:val="yellow"/>
        </w:rPr>
        <w:t xml:space="preserve">Johnson et al. (2019) </w:t>
      </w:r>
      <w:r w:rsidRPr="00956193">
        <w:rPr>
          <w:rFonts w:ascii="Traditional Arabic" w:hAnsi="Traditional Arabic" w:cs="Traditional Arabic" w:hint="cs"/>
          <w:color w:val="000000" w:themeColor="text1"/>
          <w:sz w:val="24"/>
          <w:szCs w:val="24"/>
          <w:highlight w:val="yellow"/>
          <w:rtl/>
        </w:rPr>
        <w:t>التي جميعها أكدت على أثر القيادة في تحسين الأداء المؤسسي وإدارة الأزمات</w:t>
      </w:r>
      <w:r w:rsidR="00F70672" w:rsidRPr="00956193">
        <w:rPr>
          <w:rFonts w:ascii="Traditional Arabic" w:hAnsi="Traditional Arabic" w:cs="Traditional Arabic" w:hint="cs"/>
          <w:color w:val="000000" w:themeColor="text1"/>
          <w:sz w:val="24"/>
          <w:szCs w:val="24"/>
          <w:highlight w:val="yellow"/>
          <w:rtl/>
        </w:rPr>
        <w:t xml:space="preserve">، </w:t>
      </w:r>
      <w:r w:rsidRPr="00956193">
        <w:rPr>
          <w:rFonts w:ascii="Traditional Arabic" w:hAnsi="Traditional Arabic" w:cs="Traditional Arabic" w:hint="cs"/>
          <w:color w:val="000000" w:themeColor="text1"/>
          <w:sz w:val="24"/>
          <w:szCs w:val="24"/>
          <w:highlight w:val="yellow"/>
          <w:rtl/>
        </w:rPr>
        <w:t>وفي المقابل، تختلف نتائج هذه الدراسة مع بعض الدراسات مثل وزارة الصحة المصرية</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ركزت على البنية التحتية والعوامل التنظيمية أكثر من القيادة التحويلية، وكذلك مع القمة الوزارية العالمية لسلامة المرضى</w:t>
      </w:r>
      <w:r w:rsidRPr="00956193">
        <w:rPr>
          <w:rFonts w:ascii="Traditional Arabic" w:hAnsi="Traditional Arabic" w:cs="Traditional Arabic" w:hint="cs"/>
          <w:color w:val="000000" w:themeColor="text1"/>
          <w:sz w:val="24"/>
          <w:szCs w:val="24"/>
          <w:highlight w:val="yellow"/>
        </w:rPr>
        <w:t xml:space="preserve"> (2023) </w:t>
      </w:r>
      <w:r w:rsidRPr="00956193">
        <w:rPr>
          <w:rFonts w:ascii="Traditional Arabic" w:hAnsi="Traditional Arabic" w:cs="Traditional Arabic" w:hint="cs"/>
          <w:color w:val="000000" w:themeColor="text1"/>
          <w:sz w:val="24"/>
          <w:szCs w:val="24"/>
          <w:highlight w:val="yellow"/>
          <w:rtl/>
        </w:rPr>
        <w:t>التي تناولت التحديات العالمية مثل التمويل والسياسات الصحية دون التركيز المباشر على القيادة</w:t>
      </w:r>
      <w:r w:rsidRPr="00956193">
        <w:rPr>
          <w:rFonts w:ascii="Traditional Arabic" w:hAnsi="Traditional Arabic" w:cs="Traditional Arabic" w:hint="cs"/>
          <w:color w:val="000000" w:themeColor="text1"/>
          <w:sz w:val="24"/>
          <w:szCs w:val="24"/>
          <w:highlight w:val="yellow"/>
        </w:rPr>
        <w:t>.</w:t>
      </w:r>
    </w:p>
    <w:p w14:paraId="259259D6" w14:textId="77777777" w:rsidR="00CD0153" w:rsidRDefault="00CD0153" w:rsidP="00391B6E">
      <w:pPr>
        <w:bidi/>
        <w:spacing w:after="200" w:line="276" w:lineRule="auto"/>
        <w:jc w:val="both"/>
        <w:rPr>
          <w:rFonts w:ascii="Traditional Arabic" w:hAnsi="Traditional Arabic" w:cs="Traditional Arabic"/>
          <w:b/>
          <w:bCs/>
          <w:color w:val="000000" w:themeColor="text1"/>
          <w:sz w:val="28"/>
          <w:szCs w:val="28"/>
          <w:u w:val="single"/>
          <w:rtl/>
        </w:rPr>
        <w:sectPr w:rsidR="00CD0153" w:rsidSect="00BD24CB">
          <w:footerReference w:type="default" r:id="rId5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30"/>
          <w:cols w:space="708"/>
          <w:bidi/>
          <w:rtlGutter/>
          <w:docGrid w:linePitch="360"/>
        </w:sectPr>
      </w:pPr>
    </w:p>
    <w:p w14:paraId="0D333300" w14:textId="0C3258EB" w:rsidR="00391B6E" w:rsidRDefault="00A813B8" w:rsidP="00391B6E">
      <w:pPr>
        <w:bidi/>
        <w:spacing w:after="200" w:line="276" w:lineRule="auto"/>
        <w:jc w:val="both"/>
        <w:rPr>
          <w:rFonts w:ascii="Traditional Arabic" w:hAnsi="Traditional Arabic" w:cs="Traditional Arabic"/>
          <w:b/>
          <w:bCs/>
          <w:color w:val="000000" w:themeColor="text1"/>
          <w:sz w:val="28"/>
          <w:szCs w:val="28"/>
          <w:u w:val="single"/>
          <w:rtl/>
        </w:rPr>
      </w:pPr>
      <w:r w:rsidRPr="00D45743">
        <w:rPr>
          <w:rFonts w:ascii="Traditional Arabic" w:hAnsi="Traditional Arabic" w:cs="Traditional Arabic" w:hint="cs"/>
          <w:b/>
          <w:bCs/>
          <w:color w:val="000000" w:themeColor="text1"/>
          <w:sz w:val="28"/>
          <w:szCs w:val="28"/>
          <w:u w:val="single"/>
          <w:rtl/>
        </w:rPr>
        <w:lastRenderedPageBreak/>
        <w:t>توصيات الدراسة:</w:t>
      </w:r>
    </w:p>
    <w:p w14:paraId="783DD7D4" w14:textId="66C5EEFA" w:rsidR="00B33857" w:rsidRPr="00BE6EF3" w:rsidRDefault="00B33857" w:rsidP="002D73E8">
      <w:pPr>
        <w:bidi/>
        <w:spacing w:after="200" w:line="276" w:lineRule="auto"/>
        <w:jc w:val="center"/>
        <w:rPr>
          <w:rFonts w:ascii="Traditional Arabic" w:hAnsi="Traditional Arabic" w:cs="Traditional Arabic"/>
          <w:b/>
          <w:bCs/>
          <w:color w:val="000000" w:themeColor="text1"/>
          <w:sz w:val="24"/>
          <w:szCs w:val="24"/>
          <w:rtl/>
        </w:rPr>
      </w:pPr>
      <w:r w:rsidRPr="00BE6EF3">
        <w:rPr>
          <w:rFonts w:ascii="Traditional Arabic" w:hAnsi="Traditional Arabic" w:cs="Traditional Arabic" w:hint="cs"/>
          <w:b/>
          <w:bCs/>
          <w:color w:val="000000" w:themeColor="text1"/>
          <w:sz w:val="24"/>
          <w:szCs w:val="24"/>
          <w:rtl/>
        </w:rPr>
        <w:t>جدول (</w:t>
      </w:r>
      <w:r w:rsidR="00183D8F">
        <w:rPr>
          <w:rFonts w:ascii="Traditional Arabic" w:hAnsi="Traditional Arabic" w:cs="Traditional Arabic" w:hint="cs"/>
          <w:b/>
          <w:bCs/>
          <w:color w:val="000000" w:themeColor="text1"/>
          <w:sz w:val="24"/>
          <w:szCs w:val="24"/>
          <w:rtl/>
        </w:rPr>
        <w:t>23</w:t>
      </w:r>
      <w:r w:rsidRPr="00BE6EF3">
        <w:rPr>
          <w:rFonts w:ascii="Traditional Arabic" w:hAnsi="Traditional Arabic" w:cs="Traditional Arabic" w:hint="cs"/>
          <w:b/>
          <w:bCs/>
          <w:color w:val="000000" w:themeColor="text1"/>
          <w:sz w:val="24"/>
          <w:szCs w:val="24"/>
          <w:rtl/>
        </w:rPr>
        <w:t xml:space="preserve">) يوضح </w:t>
      </w:r>
      <w:r w:rsidR="002D73E8" w:rsidRPr="002D73E8">
        <w:rPr>
          <w:rFonts w:ascii="Traditional Arabic" w:hAnsi="Traditional Arabic" w:cs="Traditional Arabic"/>
          <w:b/>
          <w:bCs/>
          <w:color w:val="000000" w:themeColor="text1"/>
          <w:sz w:val="24"/>
          <w:szCs w:val="24"/>
          <w:rtl/>
        </w:rPr>
        <w:t>نتائج الدراسة والتوصيات وآليات التنفيذ والجهات المسؤولة والمدى الزمني</w:t>
      </w:r>
      <w:r w:rsidR="002D73E8">
        <w:rPr>
          <w:rFonts w:ascii="Traditional Arabic" w:hAnsi="Traditional Arabic" w:cs="Traditional Arabic" w:hint="cs"/>
          <w:b/>
          <w:bCs/>
          <w:color w:val="000000" w:themeColor="text1"/>
          <w:sz w:val="24"/>
          <w:szCs w:val="24"/>
          <w:rtl/>
        </w:rPr>
        <w:t>.</w:t>
      </w:r>
    </w:p>
    <w:tbl>
      <w:tblPr>
        <w:tblStyle w:val="GridTable4-Accent1"/>
        <w:bidiVisual/>
        <w:tblW w:w="5000" w:type="pct"/>
        <w:tblLook w:val="04A0" w:firstRow="1" w:lastRow="0" w:firstColumn="1" w:lastColumn="0" w:noHBand="0" w:noVBand="1"/>
      </w:tblPr>
      <w:tblGrid>
        <w:gridCol w:w="332"/>
        <w:gridCol w:w="2340"/>
        <w:gridCol w:w="3660"/>
        <w:gridCol w:w="5434"/>
        <w:gridCol w:w="1571"/>
        <w:gridCol w:w="611"/>
      </w:tblGrid>
      <w:tr w:rsidR="00A065FE" w:rsidRPr="00956193" w14:paraId="20CC759D" w14:textId="77777777" w:rsidTr="00363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21A2D283" w14:textId="77777777" w:rsidR="00A065FE" w:rsidRPr="00956193" w:rsidRDefault="00A065FE" w:rsidP="0035415C">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م</w:t>
            </w:r>
          </w:p>
        </w:tc>
        <w:tc>
          <w:tcPr>
            <w:tcW w:w="839" w:type="pct"/>
          </w:tcPr>
          <w:p w14:paraId="7E72C055"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نتائج الدراسة</w:t>
            </w:r>
          </w:p>
        </w:tc>
        <w:tc>
          <w:tcPr>
            <w:tcW w:w="1312" w:type="pct"/>
          </w:tcPr>
          <w:p w14:paraId="1349676E"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التوصيات</w:t>
            </w:r>
          </w:p>
        </w:tc>
        <w:tc>
          <w:tcPr>
            <w:tcW w:w="1948" w:type="pct"/>
          </w:tcPr>
          <w:p w14:paraId="0211A5D4"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آلية التنفيذ</w:t>
            </w:r>
          </w:p>
        </w:tc>
        <w:tc>
          <w:tcPr>
            <w:tcW w:w="563" w:type="pct"/>
          </w:tcPr>
          <w:p w14:paraId="7A1378B3" w14:textId="77777777"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جهة التنفيذ</w:t>
            </w:r>
          </w:p>
        </w:tc>
        <w:tc>
          <w:tcPr>
            <w:tcW w:w="219" w:type="pct"/>
          </w:tcPr>
          <w:p w14:paraId="580A5E31" w14:textId="3B4F0B1F" w:rsidR="00A065FE" w:rsidRPr="00956193" w:rsidRDefault="00A065FE" w:rsidP="0035415C">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المدى</w:t>
            </w:r>
            <w:r w:rsidR="00F70672" w:rsidRPr="00956193">
              <w:rPr>
                <w:rFonts w:ascii="Traditional Arabic" w:hAnsi="Traditional Arabic" w:cs="Traditional Arabic" w:hint="cs"/>
                <w:color w:val="000000" w:themeColor="text1"/>
                <w:highlight w:val="yellow"/>
                <w:rtl/>
              </w:rPr>
              <w:t xml:space="preserve"> </w:t>
            </w:r>
            <w:r w:rsidRPr="00956193">
              <w:rPr>
                <w:rFonts w:ascii="Traditional Arabic" w:hAnsi="Traditional Arabic" w:cs="Traditional Arabic" w:hint="cs"/>
                <w:color w:val="000000" w:themeColor="text1"/>
                <w:highlight w:val="yellow"/>
                <w:rtl/>
              </w:rPr>
              <w:t>الزمني</w:t>
            </w:r>
          </w:p>
        </w:tc>
      </w:tr>
      <w:tr w:rsidR="00E83CE6" w:rsidRPr="00956193" w14:paraId="4E9C79FE" w14:textId="77777777" w:rsidTr="00363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04B7F0E4" w14:textId="0FE65115" w:rsidR="00E83CE6" w:rsidRPr="00956193" w:rsidRDefault="008843C5" w:rsidP="00E83CE6">
            <w:pPr>
              <w:bidi/>
              <w:spacing w:after="200" w:line="276" w:lineRule="auto"/>
              <w:jc w:val="center"/>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1</w:t>
            </w:r>
          </w:p>
        </w:tc>
        <w:tc>
          <w:tcPr>
            <w:tcW w:w="839" w:type="pct"/>
          </w:tcPr>
          <w:p w14:paraId="2EE9DC97" w14:textId="3030B100" w:rsidR="00E83CE6" w:rsidRPr="00956193" w:rsidRDefault="000D2B20" w:rsidP="000D2B20">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highlight w:val="yellow"/>
                <w:rtl/>
              </w:rPr>
              <w:t>وجود</w:t>
            </w:r>
            <w:r w:rsidRPr="000D2B20">
              <w:rPr>
                <w:rFonts w:ascii="Traditional Arabic" w:hAnsi="Traditional Arabic" w:cs="Traditional Arabic"/>
                <w:color w:val="000000" w:themeColor="text1"/>
                <w:highlight w:val="yellow"/>
                <w:rtl/>
              </w:rPr>
              <w:t xml:space="preserve"> تأثير مباشر ذو دلالة إحصائية لممارسات إدارة المخاطر على القيادة التحويلية في المرافق الصحية الحكومية بالمملكة العربية السعودية</w:t>
            </w:r>
            <w:r w:rsidRPr="000D2B20">
              <w:rPr>
                <w:rFonts w:ascii="Traditional Arabic" w:hAnsi="Traditional Arabic" w:cs="Traditional Arabic"/>
                <w:color w:val="000000" w:themeColor="text1"/>
                <w:highlight w:val="yellow"/>
              </w:rPr>
              <w:t>.</w:t>
            </w:r>
          </w:p>
        </w:tc>
        <w:tc>
          <w:tcPr>
            <w:tcW w:w="1312" w:type="pct"/>
          </w:tcPr>
          <w:p w14:paraId="5CC055D6" w14:textId="6316AB1D" w:rsidR="00E83CE6" w:rsidRPr="00956193" w:rsidRDefault="0022418A" w:rsidP="0022418A">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22418A">
              <w:rPr>
                <w:rFonts w:ascii="Traditional Arabic" w:hAnsi="Traditional Arabic" w:cs="Traditional Arabic"/>
                <w:b/>
                <w:bCs/>
                <w:color w:val="000000" w:themeColor="text1"/>
                <w:highlight w:val="yellow"/>
                <w:rtl/>
              </w:rPr>
              <w:t>تأسيس مكاتب ربط داخلية</w:t>
            </w:r>
            <w:r w:rsidRPr="0022418A">
              <w:rPr>
                <w:rFonts w:ascii="Traditional Arabic" w:hAnsi="Traditional Arabic" w:cs="Traditional Arabic"/>
                <w:b/>
                <w:bCs/>
                <w:color w:val="000000" w:themeColor="text1"/>
                <w:highlight w:val="yellow"/>
              </w:rPr>
              <w:t>:</w:t>
            </w:r>
            <w:r w:rsidRPr="0022418A">
              <w:rPr>
                <w:rFonts w:ascii="Traditional Arabic" w:hAnsi="Traditional Arabic" w:cs="Traditional Arabic"/>
                <w:color w:val="000000" w:themeColor="text1"/>
                <w:highlight w:val="yellow"/>
              </w:rPr>
              <w:t xml:space="preserve"> </w:t>
            </w:r>
            <w:r w:rsidRPr="0022418A">
              <w:rPr>
                <w:rFonts w:ascii="Traditional Arabic" w:hAnsi="Traditional Arabic" w:cs="Traditional Arabic"/>
                <w:color w:val="000000" w:themeColor="text1"/>
                <w:highlight w:val="yellow"/>
                <w:rtl/>
              </w:rPr>
              <w:t>إنشاء وحدة أو برنامج داخلي بالمستشفى يربط بين تقارير منظومة رصد المخاطر السريرية ووحدة تطوير الكوادر، لتوجيه برامج بناء القدرات القيادية التحويلية لرؤساء الأقسام بناءً على الثغرات الحمائية المكتشفة، تعزيزاً لثقافة الأمان العادل</w:t>
            </w:r>
            <w:r w:rsidRPr="0022418A">
              <w:rPr>
                <w:rFonts w:ascii="Traditional Arabic" w:hAnsi="Traditional Arabic" w:cs="Traditional Arabic"/>
                <w:color w:val="000000" w:themeColor="text1"/>
                <w:highlight w:val="yellow"/>
              </w:rPr>
              <w:t>.</w:t>
            </w:r>
          </w:p>
        </w:tc>
        <w:tc>
          <w:tcPr>
            <w:tcW w:w="1948" w:type="pct"/>
          </w:tcPr>
          <w:p w14:paraId="77DAFC22" w14:textId="77777777" w:rsidR="00E83CE6" w:rsidRDefault="00943493" w:rsidP="00943493">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43493">
              <w:rPr>
                <w:rFonts w:ascii="Traditional Arabic" w:hAnsi="Traditional Arabic" w:cs="Traditional Arabic"/>
                <w:color w:val="000000" w:themeColor="text1"/>
                <w:highlight w:val="yellow"/>
                <w:rtl/>
              </w:rPr>
              <w:t>الانتقال من مجرد رصد الأخطاء إلى بناء آليات عملية داخل المستشفى، وذلك عبر تشكيل فرق استجابة سريعة متعددة التخصصات في كل مرفق صحي حكومي للتدخل الفوري عند ظهور مؤشرات الخطر</w:t>
            </w:r>
            <w:r w:rsidRPr="00943493">
              <w:rPr>
                <w:rFonts w:ascii="Traditional Arabic" w:hAnsi="Traditional Arabic" w:cs="Traditional Arabic"/>
                <w:color w:val="000000" w:themeColor="text1"/>
                <w:highlight w:val="yellow"/>
              </w:rPr>
              <w:t>.</w:t>
            </w:r>
          </w:p>
          <w:p w14:paraId="59A9C96F" w14:textId="5CC028EA" w:rsidR="00943493" w:rsidRPr="00943493" w:rsidRDefault="00943493" w:rsidP="00943493">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43493">
              <w:rPr>
                <w:rFonts w:ascii="Traditional Arabic" w:hAnsi="Traditional Arabic" w:cs="Traditional Arabic"/>
                <w:color w:val="000000" w:themeColor="text1"/>
                <w:highlight w:val="yellow"/>
                <w:rtl/>
              </w:rPr>
              <w:t>تفعيل الاستثارة الفكرية لتشجيع الكوادر الطبية والتمريضية على ابتكار حلول للمشكلات التشغيلية المتكررة، مع ممارسة الاعتبارية الفردية من خلال تقديم الدعم المهني والنفسي للعاملين وتخفيف ضغوط العمل اليومية</w:t>
            </w:r>
            <w:r w:rsidRPr="00943493">
              <w:rPr>
                <w:rFonts w:ascii="Traditional Arabic" w:hAnsi="Traditional Arabic" w:cs="Traditional Arabic"/>
                <w:color w:val="000000" w:themeColor="text1"/>
                <w:highlight w:val="yellow"/>
              </w:rPr>
              <w:t>.</w:t>
            </w:r>
          </w:p>
        </w:tc>
        <w:tc>
          <w:tcPr>
            <w:tcW w:w="563" w:type="pct"/>
          </w:tcPr>
          <w:p w14:paraId="3CF4EB67" w14:textId="23995B9B" w:rsidR="007E32D4" w:rsidRPr="00956193" w:rsidRDefault="00CF6BC8" w:rsidP="00111D24">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 xml:space="preserve">إدارة الجودة </w:t>
            </w:r>
            <w:r w:rsidR="00943493">
              <w:rPr>
                <w:rFonts w:ascii="Traditional Arabic" w:hAnsi="Traditional Arabic" w:cs="Traditional Arabic" w:hint="cs"/>
                <w:color w:val="000000" w:themeColor="text1"/>
                <w:highlight w:val="yellow"/>
                <w:rtl/>
              </w:rPr>
              <w:t>.</w:t>
            </w:r>
          </w:p>
          <w:p w14:paraId="61A1873B" w14:textId="2A1B269B" w:rsidR="00E83CE6" w:rsidRPr="00956193" w:rsidRDefault="002D73E8" w:rsidP="002D73E8">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b/>
                <w:bCs/>
                <w:color w:val="000000" w:themeColor="text1"/>
                <w:highlight w:val="yellow"/>
                <w:rtl/>
              </w:rPr>
              <w:t>المركز السعودي لاعتماد المنشآت الصحية</w:t>
            </w:r>
            <w:r w:rsidRPr="00956193">
              <w:rPr>
                <w:rFonts w:ascii="Traditional Arabic" w:hAnsi="Traditional Arabic" w:cs="Traditional Arabic"/>
                <w:b/>
                <w:bCs/>
                <w:color w:val="000000" w:themeColor="text1"/>
                <w:highlight w:val="yellow"/>
              </w:rPr>
              <w:t xml:space="preserve"> </w:t>
            </w:r>
            <w:r w:rsidRPr="00956193">
              <w:rPr>
                <w:rFonts w:ascii="Traditional Arabic" w:hAnsi="Traditional Arabic" w:cs="Traditional Arabic" w:hint="cs"/>
                <w:b/>
                <w:bCs/>
                <w:color w:val="000000" w:themeColor="text1"/>
                <w:highlight w:val="yellow"/>
                <w:rtl/>
              </w:rPr>
              <w:t>(</w:t>
            </w:r>
            <w:r w:rsidRPr="00956193">
              <w:rPr>
                <w:rFonts w:ascii="Traditional Arabic" w:hAnsi="Traditional Arabic" w:cs="Traditional Arabic"/>
                <w:b/>
                <w:bCs/>
                <w:color w:val="000000" w:themeColor="text1"/>
                <w:highlight w:val="yellow"/>
                <w:rtl/>
              </w:rPr>
              <w:t>سباهي</w:t>
            </w:r>
            <w:r w:rsidRPr="00956193">
              <w:rPr>
                <w:rFonts w:ascii="Traditional Arabic" w:hAnsi="Traditional Arabic" w:cs="Traditional Arabic"/>
                <w:b/>
                <w:bCs/>
                <w:color w:val="000000" w:themeColor="text1"/>
                <w:highlight w:val="yellow"/>
              </w:rPr>
              <w:t xml:space="preserve">  CBAHI</w:t>
            </w:r>
            <w:r w:rsidRPr="00956193">
              <w:rPr>
                <w:rFonts w:ascii="Traditional Arabic" w:hAnsi="Traditional Arabic" w:cs="Traditional Arabic" w:hint="cs"/>
                <w:b/>
                <w:bCs/>
                <w:color w:val="000000" w:themeColor="text1"/>
                <w:highlight w:val="yellow"/>
                <w:rtl/>
              </w:rPr>
              <w:t>).</w:t>
            </w:r>
          </w:p>
        </w:tc>
        <w:tc>
          <w:tcPr>
            <w:tcW w:w="219" w:type="pct"/>
          </w:tcPr>
          <w:p w14:paraId="0CCDCF75" w14:textId="37B179E1" w:rsidR="00E83CE6" w:rsidRPr="00956193" w:rsidRDefault="00E24E38" w:rsidP="00E24E3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highlight w:val="yellow"/>
                <w:rtl/>
              </w:rPr>
            </w:pPr>
            <w:r w:rsidRPr="00956193">
              <w:rPr>
                <w:rFonts w:ascii="Traditional Arabic" w:hAnsi="Traditional Arabic" w:cs="Traditional Arabic" w:hint="cs"/>
                <w:b/>
                <w:bCs/>
                <w:color w:val="000000" w:themeColor="text1"/>
                <w:highlight w:val="yellow"/>
                <w:rtl/>
              </w:rPr>
              <w:t>12 شهر</w:t>
            </w:r>
          </w:p>
        </w:tc>
      </w:tr>
      <w:tr w:rsidR="00E83CE6" w:rsidRPr="00956193" w14:paraId="4C972589" w14:textId="77777777" w:rsidTr="00363B1D">
        <w:tc>
          <w:tcPr>
            <w:cnfStyle w:val="001000000000" w:firstRow="0" w:lastRow="0" w:firstColumn="1" w:lastColumn="0" w:oddVBand="0" w:evenVBand="0" w:oddHBand="0" w:evenHBand="0" w:firstRowFirstColumn="0" w:firstRowLastColumn="0" w:lastRowFirstColumn="0" w:lastRowLastColumn="0"/>
            <w:tcW w:w="119" w:type="pct"/>
          </w:tcPr>
          <w:p w14:paraId="7E9DAFCD" w14:textId="4BB5B77E"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color w:val="000000" w:themeColor="text1"/>
                <w:highlight w:val="yellow"/>
                <w:rtl/>
              </w:rPr>
              <w:t>2</w:t>
            </w:r>
          </w:p>
        </w:tc>
        <w:tc>
          <w:tcPr>
            <w:tcW w:w="839" w:type="pct"/>
          </w:tcPr>
          <w:p w14:paraId="6400F1D8" w14:textId="6B8F839E" w:rsidR="00E83CE6" w:rsidRPr="00956193" w:rsidRDefault="000D2B20" w:rsidP="000D2B20">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highlight w:val="yellow"/>
                <w:rtl/>
              </w:rPr>
              <w:t>وجود</w:t>
            </w:r>
            <w:r w:rsidRPr="000D2B20">
              <w:rPr>
                <w:rFonts w:ascii="Traditional Arabic" w:hAnsi="Traditional Arabic" w:cs="Traditional Arabic"/>
                <w:color w:val="000000" w:themeColor="text1"/>
                <w:highlight w:val="yellow"/>
                <w:rtl/>
              </w:rPr>
              <w:t xml:space="preserve"> تأثير مباشر ذو دلالة إحصائية لممارسات إدارة المخاطر على سلامة المرضى في المرافق الصحية الحكومية بالمملكة العربية السعودية</w:t>
            </w:r>
            <w:r w:rsidRPr="000D2B20">
              <w:rPr>
                <w:rFonts w:ascii="Traditional Arabic" w:hAnsi="Traditional Arabic" w:cs="Traditional Arabic"/>
                <w:color w:val="000000" w:themeColor="text1"/>
                <w:highlight w:val="yellow"/>
              </w:rPr>
              <w:t>.</w:t>
            </w:r>
          </w:p>
        </w:tc>
        <w:tc>
          <w:tcPr>
            <w:tcW w:w="1312" w:type="pct"/>
          </w:tcPr>
          <w:p w14:paraId="134ACCE1" w14:textId="3BC9A239" w:rsidR="00E83CE6" w:rsidRPr="00956193" w:rsidRDefault="0022418A" w:rsidP="0022418A">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22418A">
              <w:rPr>
                <w:rFonts w:ascii="Traditional Arabic" w:hAnsi="Traditional Arabic" w:cs="Traditional Arabic"/>
                <w:b/>
                <w:bCs/>
                <w:color w:val="000000" w:themeColor="text1"/>
                <w:highlight w:val="yellow"/>
                <w:rtl/>
              </w:rPr>
              <w:t>تطوير أدلة تشغيلية محلية</w:t>
            </w:r>
            <w:r w:rsidRPr="0022418A">
              <w:rPr>
                <w:rFonts w:ascii="Traditional Arabic" w:hAnsi="Traditional Arabic" w:cs="Traditional Arabic"/>
                <w:b/>
                <w:bCs/>
                <w:color w:val="000000" w:themeColor="text1"/>
                <w:highlight w:val="yellow"/>
              </w:rPr>
              <w:t>:</w:t>
            </w:r>
            <w:r w:rsidRPr="0022418A">
              <w:rPr>
                <w:rFonts w:ascii="Traditional Arabic" w:hAnsi="Traditional Arabic" w:cs="Traditional Arabic"/>
                <w:color w:val="000000" w:themeColor="text1"/>
                <w:highlight w:val="yellow"/>
              </w:rPr>
              <w:t xml:space="preserve"> </w:t>
            </w:r>
            <w:r w:rsidRPr="0022418A">
              <w:rPr>
                <w:rFonts w:ascii="Traditional Arabic" w:hAnsi="Traditional Arabic" w:cs="Traditional Arabic"/>
                <w:color w:val="000000" w:themeColor="text1"/>
                <w:highlight w:val="yellow"/>
                <w:rtl/>
              </w:rPr>
              <w:t>صياغة دليل إجرائي تشغيلي خاص بالمستشفى</w:t>
            </w:r>
            <w:r w:rsidRPr="0022418A">
              <w:rPr>
                <w:rFonts w:ascii="Traditional Arabic" w:hAnsi="Traditional Arabic" w:cs="Traditional Arabic"/>
                <w:color w:val="000000" w:themeColor="text1"/>
                <w:highlight w:val="yellow"/>
              </w:rPr>
              <w:t xml:space="preserve"> (</w:t>
            </w:r>
            <w:r w:rsidRPr="0022418A">
              <w:rPr>
                <w:rFonts w:ascii="Traditional Arabic" w:hAnsi="Traditional Arabic" w:cs="Traditional Arabic"/>
                <w:color w:val="000000" w:themeColor="text1"/>
                <w:highlight w:val="yellow"/>
                <w:rtl/>
              </w:rPr>
              <w:t>متوافق مع معايير وزارة الصحة وسباهي سباهي</w:t>
            </w:r>
            <w:r w:rsidRPr="0022418A">
              <w:rPr>
                <w:rFonts w:ascii="Traditional Arabic" w:hAnsi="Traditional Arabic" w:cs="Traditional Arabic"/>
                <w:color w:val="000000" w:themeColor="text1"/>
                <w:highlight w:val="yellow"/>
              </w:rPr>
              <w:t xml:space="preserve"> CBAHI)</w:t>
            </w:r>
            <w:r w:rsidRPr="0022418A">
              <w:rPr>
                <w:rFonts w:ascii="Traditional Arabic" w:hAnsi="Traditional Arabic" w:cs="Traditional Arabic"/>
                <w:color w:val="000000" w:themeColor="text1"/>
                <w:highlight w:val="yellow"/>
                <w:rtl/>
              </w:rPr>
              <w:t>، يركز على آليات التدخل الاستباقي لمنع الحوادث العرضية قبل وقوعها، وتدريب الأطقم الطبية عليه لخفض الأخطاء الطبية</w:t>
            </w:r>
            <w:r w:rsidRPr="0022418A">
              <w:rPr>
                <w:rFonts w:ascii="Traditional Arabic" w:hAnsi="Traditional Arabic" w:cs="Traditional Arabic"/>
                <w:color w:val="000000" w:themeColor="text1"/>
                <w:highlight w:val="yellow"/>
              </w:rPr>
              <w:t>.</w:t>
            </w:r>
          </w:p>
        </w:tc>
        <w:tc>
          <w:tcPr>
            <w:tcW w:w="1948" w:type="pct"/>
          </w:tcPr>
          <w:p w14:paraId="37A28C4F" w14:textId="0DC15A08" w:rsidR="00E83CE6" w:rsidRPr="00956193" w:rsidRDefault="00111D24" w:rsidP="00111D24">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يركز تعزيز إدارة المخاطر على تقييم المخاطر باستخدام أداة</w:t>
            </w:r>
            <w:r w:rsidRPr="00956193">
              <w:rPr>
                <w:rFonts w:ascii="Traditional Arabic" w:hAnsi="Traditional Arabic" w:cs="Traditional Arabic"/>
                <w:color w:val="000000" w:themeColor="text1"/>
                <w:highlight w:val="yellow"/>
              </w:rPr>
              <w:t xml:space="preserve"> (FMEA) </w:t>
            </w:r>
            <w:r w:rsidRPr="00956193">
              <w:rPr>
                <w:rFonts w:ascii="Traditional Arabic" w:hAnsi="Traditional Arabic" w:cs="Traditional Arabic"/>
                <w:color w:val="000000" w:themeColor="text1"/>
                <w:highlight w:val="yellow"/>
                <w:rtl/>
              </w:rPr>
              <w:t>في الأقسام الحرجة للتنبؤ بالأخطاء وتصنيفها قبل وقوعها</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وتُوجَّه نتائج التقييم مباشرة نحو تقليل الأخطاء الطبية عبر إلزام الكوادر بتطبيق قوائم التحقق الطبية الصارمة</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ينعكس ذلك تلقائيًا على رفع جودة الرعاية السريرية وتقليص معدلات الإقامة الطويلة غير المبررة في المستشفيات الحكومية</w:t>
            </w:r>
            <w:r w:rsidRPr="00956193">
              <w:rPr>
                <w:rFonts w:ascii="Traditional Arabic" w:hAnsi="Traditional Arabic" w:cs="Traditional Arabic"/>
                <w:color w:val="000000" w:themeColor="text1"/>
                <w:highlight w:val="yellow"/>
              </w:rPr>
              <w:t>.</w:t>
            </w:r>
          </w:p>
        </w:tc>
        <w:tc>
          <w:tcPr>
            <w:tcW w:w="563" w:type="pct"/>
          </w:tcPr>
          <w:p w14:paraId="71ED91DB" w14:textId="03E8692D" w:rsidR="00E83CE6" w:rsidRPr="00956193" w:rsidRDefault="00CF6BC8" w:rsidP="00111D24">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الإدارة الطبية والخدمات التمريضية</w:t>
            </w:r>
          </w:p>
        </w:tc>
        <w:tc>
          <w:tcPr>
            <w:tcW w:w="219" w:type="pct"/>
          </w:tcPr>
          <w:p w14:paraId="4201729F" w14:textId="172DE25F" w:rsidR="00E83CE6" w:rsidRPr="00956193" w:rsidRDefault="00E24E38" w:rsidP="00E24E3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highlight w:val="yellow"/>
                <w:rtl/>
              </w:rPr>
            </w:pPr>
            <w:r w:rsidRPr="00956193">
              <w:rPr>
                <w:rFonts w:ascii="Traditional Arabic" w:hAnsi="Traditional Arabic" w:cs="Traditional Arabic" w:hint="cs"/>
                <w:b/>
                <w:bCs/>
                <w:color w:val="000000" w:themeColor="text1"/>
                <w:highlight w:val="yellow"/>
                <w:rtl/>
              </w:rPr>
              <w:t>9 أشهر</w:t>
            </w:r>
          </w:p>
        </w:tc>
      </w:tr>
      <w:tr w:rsidR="00E83CE6" w:rsidRPr="00956193" w14:paraId="51D9F2F5" w14:textId="77777777" w:rsidTr="00363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5AEFCDE3" w14:textId="154D3A36"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3</w:t>
            </w:r>
          </w:p>
        </w:tc>
        <w:tc>
          <w:tcPr>
            <w:tcW w:w="839" w:type="pct"/>
          </w:tcPr>
          <w:p w14:paraId="5D87E890" w14:textId="6CEF94E7" w:rsidR="00E83CE6" w:rsidRPr="00956193" w:rsidRDefault="000D2B20" w:rsidP="000D2B20">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highlight w:val="yellow"/>
                <w:rtl/>
              </w:rPr>
              <w:t>وجود</w:t>
            </w:r>
            <w:r w:rsidRPr="000D2B20">
              <w:rPr>
                <w:rFonts w:ascii="Traditional Arabic" w:hAnsi="Traditional Arabic" w:cs="Traditional Arabic"/>
                <w:color w:val="000000" w:themeColor="text1"/>
                <w:highlight w:val="yellow"/>
                <w:rtl/>
              </w:rPr>
              <w:t xml:space="preserve"> تأثير مباشر ذو دلالة إحصائية للقيادة التحويلية على سلامة المرضى </w:t>
            </w:r>
            <w:r w:rsidRPr="000D2B20">
              <w:rPr>
                <w:rFonts w:ascii="Traditional Arabic" w:hAnsi="Traditional Arabic" w:cs="Traditional Arabic"/>
                <w:color w:val="000000" w:themeColor="text1"/>
                <w:highlight w:val="yellow"/>
                <w:rtl/>
              </w:rPr>
              <w:lastRenderedPageBreak/>
              <w:t>في المرافق الصحية الحكومية بالمملكة العربية السعودية</w:t>
            </w:r>
            <w:r w:rsidRPr="000D2B20">
              <w:rPr>
                <w:rFonts w:ascii="Traditional Arabic" w:hAnsi="Traditional Arabic" w:cs="Traditional Arabic"/>
                <w:color w:val="000000" w:themeColor="text1"/>
                <w:highlight w:val="yellow"/>
              </w:rPr>
              <w:t>.</w:t>
            </w:r>
          </w:p>
        </w:tc>
        <w:tc>
          <w:tcPr>
            <w:tcW w:w="1312" w:type="pct"/>
          </w:tcPr>
          <w:p w14:paraId="41F1B674" w14:textId="393D729D" w:rsidR="00E83CE6" w:rsidRPr="00956193" w:rsidRDefault="00047113" w:rsidP="00047113">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047113">
              <w:rPr>
                <w:rFonts w:ascii="Traditional Arabic" w:hAnsi="Traditional Arabic" w:cs="Traditional Arabic"/>
                <w:b/>
                <w:bCs/>
                <w:color w:val="000000" w:themeColor="text1"/>
                <w:highlight w:val="yellow"/>
                <w:rtl/>
              </w:rPr>
              <w:lastRenderedPageBreak/>
              <w:t>تطوير نموذج تقييم القادة</w:t>
            </w:r>
            <w:r w:rsidRPr="00047113">
              <w:rPr>
                <w:rFonts w:ascii="Traditional Arabic" w:hAnsi="Traditional Arabic" w:cs="Traditional Arabic"/>
                <w:b/>
                <w:bCs/>
                <w:color w:val="000000" w:themeColor="text1"/>
                <w:highlight w:val="yellow"/>
              </w:rPr>
              <w:t>:</w:t>
            </w:r>
            <w:r w:rsidRPr="00047113">
              <w:rPr>
                <w:rFonts w:ascii="Traditional Arabic" w:hAnsi="Traditional Arabic" w:cs="Traditional Arabic"/>
                <w:color w:val="000000" w:themeColor="text1"/>
                <w:highlight w:val="yellow"/>
              </w:rPr>
              <w:t xml:space="preserve"> </w:t>
            </w:r>
            <w:r w:rsidRPr="00047113">
              <w:rPr>
                <w:rFonts w:ascii="Traditional Arabic" w:hAnsi="Traditional Arabic" w:cs="Traditional Arabic"/>
                <w:color w:val="000000" w:themeColor="text1"/>
                <w:highlight w:val="yellow"/>
                <w:rtl/>
              </w:rPr>
              <w:t>تفعيل بطاقة أداء متوازنة</w:t>
            </w:r>
            <w:r w:rsidRPr="00047113">
              <w:rPr>
                <w:rFonts w:ascii="Traditional Arabic" w:hAnsi="Traditional Arabic" w:cs="Traditional Arabic"/>
                <w:color w:val="000000" w:themeColor="text1"/>
                <w:highlight w:val="yellow"/>
              </w:rPr>
              <w:t xml:space="preserve"> (Balanced Scorecard) </w:t>
            </w:r>
            <w:r w:rsidRPr="00047113">
              <w:rPr>
                <w:rFonts w:ascii="Traditional Arabic" w:hAnsi="Traditional Arabic" w:cs="Traditional Arabic"/>
                <w:color w:val="000000" w:themeColor="text1"/>
                <w:highlight w:val="yellow"/>
                <w:rtl/>
              </w:rPr>
              <w:t xml:space="preserve">داخلية لتقييم رؤساء الأقسام الطبية والإدارية بالمستشفى، تربط حوافزهم السنوية وترقياتهم </w:t>
            </w:r>
            <w:r w:rsidRPr="00047113">
              <w:rPr>
                <w:rFonts w:ascii="Traditional Arabic" w:hAnsi="Traditional Arabic" w:cs="Traditional Arabic"/>
                <w:color w:val="000000" w:themeColor="text1"/>
                <w:highlight w:val="yellow"/>
                <w:rtl/>
              </w:rPr>
              <w:lastRenderedPageBreak/>
              <w:t>بمدى التزامهم بالسلوكيات التحويلية (كالإلهام والتمكين) وأثر ذلك في خفض مخاطر أقسامهم</w:t>
            </w:r>
            <w:r w:rsidRPr="00047113">
              <w:rPr>
                <w:rFonts w:ascii="Traditional Arabic" w:hAnsi="Traditional Arabic" w:cs="Traditional Arabic"/>
                <w:color w:val="000000" w:themeColor="text1"/>
                <w:highlight w:val="yellow"/>
              </w:rPr>
              <w:t>.</w:t>
            </w:r>
          </w:p>
        </w:tc>
        <w:tc>
          <w:tcPr>
            <w:tcW w:w="1948" w:type="pct"/>
          </w:tcPr>
          <w:p w14:paraId="70F14752" w14:textId="542FCDCD" w:rsidR="00E83CE6" w:rsidRPr="00956193" w:rsidRDefault="00483126" w:rsidP="00483126">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lastRenderedPageBreak/>
              <w:t>يركز تعزيز القيادة التحويلية على الدافعية الإلهامية عبر صياغة أهداف واضحة ومشتركة لفرق العمل، وبث الروح الإيجابية، وتقدير الإنجازات علنًا بما يرفع الروح المعنوية ويدفع العاملين للالتزام الذاتي بمعايير الجودة</w:t>
            </w:r>
            <w:r w:rsidRPr="00956193">
              <w:rPr>
                <w:rFonts w:ascii="Traditional Arabic" w:hAnsi="Traditional Arabic" w:cs="Traditional Arabic"/>
                <w:color w:val="000000" w:themeColor="text1"/>
                <w:highlight w:val="yellow"/>
              </w:rPr>
              <w:t xml:space="preserve">. </w:t>
            </w:r>
            <w:r w:rsidRPr="00956193">
              <w:rPr>
                <w:rFonts w:ascii="Traditional Arabic" w:hAnsi="Traditional Arabic" w:cs="Traditional Arabic"/>
                <w:color w:val="000000" w:themeColor="text1"/>
                <w:highlight w:val="yellow"/>
                <w:rtl/>
              </w:rPr>
              <w:t xml:space="preserve">ويُوجَّه هذا السلوك الإلهامي مباشرة نحو تأسيس بيئة عمل آمنة </w:t>
            </w:r>
            <w:r w:rsidRPr="00956193">
              <w:rPr>
                <w:rFonts w:ascii="Traditional Arabic" w:hAnsi="Traditional Arabic" w:cs="Traditional Arabic"/>
                <w:color w:val="000000" w:themeColor="text1"/>
                <w:highlight w:val="yellow"/>
                <w:rtl/>
              </w:rPr>
              <w:lastRenderedPageBreak/>
              <w:t>قائمة على مفهوم "الثقافة العادلة"، حيث تُلغى سياسات اللوم والعقاب عند الأخطاء غير المتعمدة، مما يشجع الكوادر على التركيز على سلامة الإجراءات الطبية وحماية المرضى من المخاطر المحتملة</w:t>
            </w:r>
            <w:r w:rsidRPr="00956193">
              <w:rPr>
                <w:rFonts w:ascii="Traditional Arabic" w:hAnsi="Traditional Arabic" w:cs="Traditional Arabic"/>
                <w:color w:val="000000" w:themeColor="text1"/>
                <w:highlight w:val="yellow"/>
              </w:rPr>
              <w:t>.</w:t>
            </w:r>
          </w:p>
        </w:tc>
        <w:tc>
          <w:tcPr>
            <w:tcW w:w="563" w:type="pct"/>
          </w:tcPr>
          <w:p w14:paraId="4E78A95D" w14:textId="77777777" w:rsidR="00943493" w:rsidRDefault="002D3BFD" w:rsidP="002D3BFD">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lastRenderedPageBreak/>
              <w:t xml:space="preserve">- </w:t>
            </w:r>
            <w:r w:rsidRPr="00956193">
              <w:rPr>
                <w:rFonts w:ascii="Traditional Arabic" w:hAnsi="Traditional Arabic" w:cs="Traditional Arabic"/>
                <w:color w:val="000000" w:themeColor="text1"/>
                <w:highlight w:val="yellow"/>
                <w:rtl/>
              </w:rPr>
              <w:t xml:space="preserve">إدارة الموارد البشرية بالمستشفى </w:t>
            </w:r>
            <w:r w:rsidRPr="00956193">
              <w:rPr>
                <w:rFonts w:ascii="Traditional Arabic" w:hAnsi="Traditional Arabic" w:cs="Traditional Arabic"/>
                <w:color w:val="000000" w:themeColor="text1"/>
                <w:highlight w:val="yellow"/>
              </w:rPr>
              <w:t>(</w:t>
            </w:r>
          </w:p>
          <w:p w14:paraId="734A040E" w14:textId="34A513E7" w:rsidR="00E83CE6" w:rsidRPr="00956193" w:rsidRDefault="002D3BFD" w:rsidP="00943493">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Pr>
              <w:lastRenderedPageBreak/>
              <w:t xml:space="preserve">- </w:t>
            </w:r>
            <w:r w:rsidRPr="00956193">
              <w:rPr>
                <w:rFonts w:ascii="Traditional Arabic" w:hAnsi="Traditional Arabic" w:cs="Traditional Arabic"/>
                <w:color w:val="000000" w:themeColor="text1"/>
                <w:highlight w:val="yellow"/>
                <w:rtl/>
              </w:rPr>
              <w:t>المكتب التنفيذي لإدارة المستشفى</w:t>
            </w:r>
            <w:r w:rsidRPr="00956193">
              <w:rPr>
                <w:rFonts w:ascii="Traditional Arabic" w:hAnsi="Traditional Arabic" w:cs="Traditional Arabic" w:hint="cs"/>
                <w:color w:val="000000" w:themeColor="text1"/>
                <w:highlight w:val="yellow"/>
                <w:rtl/>
              </w:rPr>
              <w:t>.</w:t>
            </w:r>
            <w:r w:rsidRPr="00956193">
              <w:rPr>
                <w:rFonts w:ascii="Traditional Arabic" w:hAnsi="Traditional Arabic" w:cs="Traditional Arabic"/>
                <w:color w:val="000000" w:themeColor="text1"/>
                <w:highlight w:val="yellow"/>
              </w:rPr>
              <w:br/>
              <w:t xml:space="preserve">- </w:t>
            </w:r>
            <w:r w:rsidRPr="00956193">
              <w:rPr>
                <w:rFonts w:ascii="Traditional Arabic" w:hAnsi="Traditional Arabic" w:cs="Traditional Arabic"/>
                <w:color w:val="000000" w:themeColor="text1"/>
                <w:highlight w:val="yellow"/>
                <w:rtl/>
              </w:rPr>
              <w:t xml:space="preserve">إدارة الشؤون الطبية والتمريضية </w:t>
            </w:r>
            <w:r w:rsidRPr="00956193">
              <w:rPr>
                <w:rFonts w:ascii="Traditional Arabic" w:hAnsi="Traditional Arabic" w:cs="Traditional Arabic"/>
                <w:color w:val="000000" w:themeColor="text1"/>
                <w:highlight w:val="yellow"/>
              </w:rPr>
              <w:t>(</w:t>
            </w:r>
            <w:r w:rsidRPr="00956193">
              <w:rPr>
                <w:rFonts w:ascii="Traditional Arabic" w:hAnsi="Traditional Arabic" w:cs="Traditional Arabic"/>
                <w:color w:val="000000" w:themeColor="text1"/>
                <w:highlight w:val="yellow"/>
                <w:rtl/>
              </w:rPr>
              <w:t>لتوجيه رؤساء الأقسام</w:t>
            </w:r>
            <w:r w:rsidRPr="00956193">
              <w:rPr>
                <w:rFonts w:ascii="Traditional Arabic" w:hAnsi="Traditional Arabic" w:cs="Traditional Arabic" w:hint="cs"/>
                <w:color w:val="000000" w:themeColor="text1"/>
                <w:highlight w:val="yellow"/>
                <w:rtl/>
              </w:rPr>
              <w:t>.</w:t>
            </w:r>
          </w:p>
        </w:tc>
        <w:tc>
          <w:tcPr>
            <w:tcW w:w="219" w:type="pct"/>
          </w:tcPr>
          <w:p w14:paraId="798A833F" w14:textId="67925D63" w:rsidR="00E83CE6" w:rsidRPr="00956193" w:rsidRDefault="00E24E38" w:rsidP="00483126">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lastRenderedPageBreak/>
              <w:t>12 شهر</w:t>
            </w:r>
          </w:p>
        </w:tc>
      </w:tr>
      <w:tr w:rsidR="00E83CE6" w:rsidRPr="00956193" w14:paraId="0C2E19D8" w14:textId="77777777" w:rsidTr="00363B1D">
        <w:tc>
          <w:tcPr>
            <w:cnfStyle w:val="001000000000" w:firstRow="0" w:lastRow="0" w:firstColumn="1" w:lastColumn="0" w:oddVBand="0" w:evenVBand="0" w:oddHBand="0" w:evenHBand="0" w:firstRowFirstColumn="0" w:firstRowLastColumn="0" w:lastRowFirstColumn="0" w:lastRowLastColumn="0"/>
            <w:tcW w:w="119" w:type="pct"/>
          </w:tcPr>
          <w:p w14:paraId="57C1E553" w14:textId="4EBEF080"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4</w:t>
            </w:r>
          </w:p>
        </w:tc>
        <w:tc>
          <w:tcPr>
            <w:tcW w:w="839" w:type="pct"/>
          </w:tcPr>
          <w:p w14:paraId="314A9093" w14:textId="2DE0E1A5" w:rsidR="00F2681C" w:rsidRPr="00F2681C" w:rsidRDefault="000D2B20" w:rsidP="000D2B20">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highlight w:val="yellow"/>
                <w:rtl/>
              </w:rPr>
              <w:t>وجود</w:t>
            </w:r>
            <w:r w:rsidRPr="000D2B20">
              <w:rPr>
                <w:rFonts w:ascii="Traditional Arabic" w:hAnsi="Traditional Arabic" w:cs="Traditional Arabic"/>
                <w:color w:val="000000" w:themeColor="text1"/>
                <w:highlight w:val="yellow"/>
                <w:rtl/>
              </w:rPr>
              <w:t xml:space="preserve"> تأثير غير مباشر ذو دلالة إحصائية لممارسات إدارة المخاطر على سلامة المرضى من خلال القيادة التحويلية كمتغير وسيط في المرافق الصحية الحكومية بالمملكة العربية السعودية</w:t>
            </w:r>
            <w:r w:rsidRPr="000D2B20">
              <w:rPr>
                <w:rFonts w:ascii="Traditional Arabic" w:hAnsi="Traditional Arabic" w:cs="Traditional Arabic"/>
                <w:color w:val="000000" w:themeColor="text1"/>
                <w:highlight w:val="yellow"/>
              </w:rPr>
              <w:t>.</w:t>
            </w:r>
          </w:p>
        </w:tc>
        <w:tc>
          <w:tcPr>
            <w:tcW w:w="1312" w:type="pct"/>
          </w:tcPr>
          <w:p w14:paraId="14991CA4" w14:textId="46EC2980" w:rsidR="00E83CE6" w:rsidRPr="004D6E7E" w:rsidRDefault="00085BEC" w:rsidP="00085BEC">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085BEC">
              <w:rPr>
                <w:rFonts w:ascii="Traditional Arabic" w:hAnsi="Traditional Arabic" w:cs="Traditional Arabic"/>
                <w:b/>
                <w:bCs/>
                <w:color w:val="000000" w:themeColor="text1"/>
                <w:highlight w:val="yellow"/>
                <w:rtl/>
              </w:rPr>
              <w:t>تبني النموذج الاستراتيجي المتكامل</w:t>
            </w:r>
            <w:r w:rsidRPr="00085BEC">
              <w:rPr>
                <w:rFonts w:ascii="Traditional Arabic" w:hAnsi="Traditional Arabic" w:cs="Traditional Arabic"/>
                <w:b/>
                <w:bCs/>
                <w:color w:val="000000" w:themeColor="text1"/>
                <w:highlight w:val="yellow"/>
              </w:rPr>
              <w:t>:</w:t>
            </w:r>
            <w:r w:rsidRPr="00085BEC">
              <w:rPr>
                <w:rFonts w:ascii="Traditional Arabic" w:hAnsi="Traditional Arabic" w:cs="Traditional Arabic"/>
                <w:color w:val="000000" w:themeColor="text1"/>
                <w:highlight w:val="yellow"/>
              </w:rPr>
              <w:t xml:space="preserve"> </w:t>
            </w:r>
            <w:r w:rsidRPr="00085BEC">
              <w:rPr>
                <w:rFonts w:ascii="Traditional Arabic" w:hAnsi="Traditional Arabic" w:cs="Traditional Arabic"/>
                <w:color w:val="000000" w:themeColor="text1"/>
                <w:highlight w:val="yellow"/>
                <w:rtl/>
              </w:rPr>
              <w:t>تطبيق نموذج إداري وتشغيلي داخلي يدمج أبعاد إدارة المخاطر الأربعة (تحديد، تحليل، تقييم، استجابة) ضمن الخطط التشغيلية السنوية للأقسام، مع تأهيل القيادات الوسطى على مهارات التحفيز الإلهامي والاهتمام الفردي لجعل سلامة المرضى ممارسة يومية للعاملين</w:t>
            </w:r>
            <w:r w:rsidRPr="00085BEC">
              <w:rPr>
                <w:rFonts w:ascii="Traditional Arabic" w:hAnsi="Traditional Arabic" w:cs="Traditional Arabic"/>
                <w:color w:val="000000" w:themeColor="text1"/>
                <w:highlight w:val="yellow"/>
              </w:rPr>
              <w:t>.</w:t>
            </w:r>
          </w:p>
        </w:tc>
        <w:tc>
          <w:tcPr>
            <w:tcW w:w="1948" w:type="pct"/>
          </w:tcPr>
          <w:p w14:paraId="2A40CDF9" w14:textId="6D4037FC" w:rsidR="006761B0" w:rsidRPr="006761B0" w:rsidRDefault="006761B0" w:rsidP="006761B0">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Pr>
            </w:pPr>
            <w:r>
              <w:rPr>
                <w:rFonts w:ascii="Traditional Arabic" w:hAnsi="Traditional Arabic" w:cs="Traditional Arabic" w:hint="cs"/>
                <w:color w:val="000000" w:themeColor="text1"/>
                <w:highlight w:val="yellow"/>
                <w:rtl/>
              </w:rPr>
              <w:t>أولاً</w:t>
            </w:r>
            <w:r w:rsidRPr="006761B0">
              <w:rPr>
                <w:rFonts w:ascii="Traditional Arabic" w:hAnsi="Traditional Arabic" w:cs="Traditional Arabic"/>
                <w:color w:val="000000" w:themeColor="text1"/>
                <w:highlight w:val="yellow"/>
                <w:rtl/>
              </w:rPr>
              <w:t xml:space="preserve"> صياغة التوجه الاستراتيجي الموحد ودمج أبعاد إدارة المخاطر مع تدريب القيادات الصحية على مهارات القيادة التحويلية، ثم بناء الهياكل الإجرائية عبر دوائر الجودة التفاعلية ومصفوفة المخاطر وورش العمل التشاركية، يليها مرحلة التمكين التشغيلي التي تركز على إعلان ثقافة تنظيمية عادلة وتمكين فرق الاستجابة السريعة وتفويض الصلاحيات، وصولاً إلى مرحلة الاستدامة التي تعتمد على المراجعة الدورية لسلامة المرضى وربط النتائج بالمعايير الوطنية لضمان توافق النموذج مع توجهات وزارة الصحة ورؤية المملكة 2030</w:t>
            </w:r>
            <w:r w:rsidRPr="006761B0">
              <w:rPr>
                <w:rFonts w:ascii="Traditional Arabic" w:hAnsi="Traditional Arabic" w:cs="Traditional Arabic"/>
                <w:color w:val="000000" w:themeColor="text1"/>
                <w:highlight w:val="yellow"/>
              </w:rPr>
              <w:t>.</w:t>
            </w:r>
          </w:p>
          <w:p w14:paraId="50EC6CC2" w14:textId="2735AB77" w:rsidR="00E83CE6" w:rsidRPr="006761B0" w:rsidRDefault="00E83CE6" w:rsidP="00483126">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p>
        </w:tc>
        <w:tc>
          <w:tcPr>
            <w:tcW w:w="563" w:type="pct"/>
          </w:tcPr>
          <w:p w14:paraId="19153CA0" w14:textId="3426083B" w:rsidR="00E83CE6" w:rsidRPr="00956193" w:rsidRDefault="007713B9" w:rsidP="007713B9">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تقنية المعلومات بالمستشفى</w:t>
            </w:r>
            <w:r w:rsidR="00943493">
              <w:rPr>
                <w:rFonts w:ascii="Traditional Arabic" w:hAnsi="Traditional Arabic" w:cs="Traditional Arabic" w:hint="cs"/>
                <w:color w:val="000000" w:themeColor="text1"/>
                <w:highlight w:val="yellow"/>
                <w:rtl/>
              </w:rPr>
              <w:t>.</w:t>
            </w:r>
          </w:p>
        </w:tc>
        <w:tc>
          <w:tcPr>
            <w:tcW w:w="219" w:type="pct"/>
          </w:tcPr>
          <w:p w14:paraId="5EC37A0C" w14:textId="59CF8EB4" w:rsidR="00E83CE6" w:rsidRPr="00956193" w:rsidRDefault="00E24E38" w:rsidP="00483126">
            <w:pPr>
              <w:bidi/>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hint="cs"/>
                <w:color w:val="000000" w:themeColor="text1"/>
                <w:highlight w:val="yellow"/>
                <w:rtl/>
              </w:rPr>
              <w:t>18 شهر</w:t>
            </w:r>
          </w:p>
        </w:tc>
      </w:tr>
      <w:tr w:rsidR="00E83CE6" w:rsidRPr="001A7C88" w14:paraId="1A242478" w14:textId="77777777" w:rsidTr="00363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 w:type="pct"/>
          </w:tcPr>
          <w:p w14:paraId="1C5DF5C2" w14:textId="0E1D31E6" w:rsidR="00E83CE6" w:rsidRPr="00956193" w:rsidRDefault="00B35E74" w:rsidP="00A813B8">
            <w:pPr>
              <w:bidi/>
              <w:spacing w:after="200" w:line="276" w:lineRule="auto"/>
              <w:jc w:val="both"/>
              <w:rPr>
                <w:rFonts w:ascii="Traditional Arabic" w:hAnsi="Traditional Arabic" w:cs="Traditional Arabic"/>
                <w:b w:val="0"/>
                <w:bCs w:val="0"/>
                <w:color w:val="000000" w:themeColor="text1"/>
                <w:highlight w:val="yellow"/>
                <w:rtl/>
              </w:rPr>
            </w:pPr>
            <w:r w:rsidRPr="00956193">
              <w:rPr>
                <w:rFonts w:ascii="Traditional Arabic" w:hAnsi="Traditional Arabic" w:cs="Traditional Arabic" w:hint="cs"/>
                <w:b w:val="0"/>
                <w:bCs w:val="0"/>
                <w:color w:val="000000" w:themeColor="text1"/>
                <w:highlight w:val="yellow"/>
                <w:rtl/>
              </w:rPr>
              <w:t>5</w:t>
            </w:r>
          </w:p>
        </w:tc>
        <w:tc>
          <w:tcPr>
            <w:tcW w:w="839" w:type="pct"/>
          </w:tcPr>
          <w:p w14:paraId="5FA23421" w14:textId="42A85CBD" w:rsidR="00E83CE6" w:rsidRPr="00956193" w:rsidRDefault="004D1A5D" w:rsidP="004D1A5D">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Pr>
                <w:rFonts w:ascii="Traditional Arabic" w:hAnsi="Traditional Arabic" w:cs="Traditional Arabic" w:hint="cs"/>
                <w:color w:val="000000" w:themeColor="text1"/>
                <w:highlight w:val="yellow"/>
                <w:rtl/>
              </w:rPr>
              <w:t>وجود</w:t>
            </w:r>
            <w:r w:rsidRPr="004D1A5D">
              <w:rPr>
                <w:rFonts w:ascii="Traditional Arabic" w:hAnsi="Traditional Arabic" w:cs="Traditional Arabic"/>
                <w:color w:val="000000" w:themeColor="text1"/>
                <w:highlight w:val="yellow"/>
                <w:rtl/>
              </w:rPr>
              <w:t xml:space="preserve"> فروق ذات دلالة إحصائية في إستجابات أفراد العينة حول متغيرات الدراسة تُعزى للمتغيرات الديموغرافية والوظيفية المتمثلة في (النوع، المؤهل العلمي، نوع الوظيفة، سنوات الخبرة)</w:t>
            </w:r>
            <w:r w:rsidRPr="004D1A5D">
              <w:rPr>
                <w:rFonts w:ascii="Traditional Arabic" w:hAnsi="Traditional Arabic" w:cs="Traditional Arabic"/>
                <w:color w:val="000000" w:themeColor="text1"/>
                <w:highlight w:val="yellow"/>
              </w:rPr>
              <w:t>."</w:t>
            </w:r>
          </w:p>
        </w:tc>
        <w:tc>
          <w:tcPr>
            <w:tcW w:w="1312" w:type="pct"/>
          </w:tcPr>
          <w:p w14:paraId="6CB6CCD2" w14:textId="52599D9A" w:rsidR="00E83CE6" w:rsidRPr="00956193" w:rsidRDefault="00085BEC" w:rsidP="00085BEC">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085BEC">
              <w:rPr>
                <w:rFonts w:ascii="Traditional Arabic" w:hAnsi="Traditional Arabic" w:cs="Traditional Arabic"/>
                <w:b/>
                <w:bCs/>
                <w:color w:val="000000" w:themeColor="text1"/>
                <w:highlight w:val="yellow"/>
                <w:rtl/>
              </w:rPr>
              <w:t>تفعيل دوائر الجودة والورش التشاركية</w:t>
            </w:r>
            <w:r w:rsidRPr="00085BEC">
              <w:rPr>
                <w:rFonts w:ascii="Traditional Arabic" w:hAnsi="Traditional Arabic" w:cs="Traditional Arabic"/>
                <w:b/>
                <w:bCs/>
                <w:color w:val="000000" w:themeColor="text1"/>
                <w:highlight w:val="yellow"/>
              </w:rPr>
              <w:t>:</w:t>
            </w:r>
            <w:r w:rsidRPr="00085BEC">
              <w:rPr>
                <w:rFonts w:ascii="Traditional Arabic" w:hAnsi="Traditional Arabic" w:cs="Traditional Arabic"/>
                <w:color w:val="000000" w:themeColor="text1"/>
                <w:highlight w:val="yellow"/>
              </w:rPr>
              <w:t xml:space="preserve"> </w:t>
            </w:r>
            <w:r w:rsidRPr="00085BEC">
              <w:rPr>
                <w:rFonts w:ascii="Traditional Arabic" w:hAnsi="Traditional Arabic" w:cs="Traditional Arabic"/>
                <w:color w:val="000000" w:themeColor="text1"/>
                <w:highlight w:val="yellow"/>
                <w:rtl/>
              </w:rPr>
              <w:t>تشكيل "دوائر جودة تفاعلية" داخل الأقسام الحيوية بالمستشفى لرصد المخاطر مبكراً، وعقد ورش عمل تشاركية دورية لتحويل التقارير الإحصائية الجافة إلى ممارسات إدارية مرنة</w:t>
            </w:r>
            <w:r w:rsidR="00943493">
              <w:rPr>
                <w:rFonts w:ascii="Traditional Arabic" w:hAnsi="Traditional Arabic" w:cs="Traditional Arabic" w:hint="cs"/>
                <w:color w:val="000000" w:themeColor="text1"/>
                <w:highlight w:val="yellow"/>
                <w:rtl/>
              </w:rPr>
              <w:t>.</w:t>
            </w:r>
          </w:p>
        </w:tc>
        <w:tc>
          <w:tcPr>
            <w:tcW w:w="1948" w:type="pct"/>
          </w:tcPr>
          <w:p w14:paraId="3BDC97A4" w14:textId="34427A59" w:rsidR="00E83CE6" w:rsidRPr="00956193" w:rsidRDefault="007B455C" w:rsidP="00943493">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تركز الآلية على تضييق الفجوات بين الجنسين وسنوات الخبرة عبر تدريب الكوادر النسائية وحديثي التخرج على تحديد المخاطر والاستجابة لها مبكرًا، مع تبسيط مفاهيم الجودة وسلامة المرضى لحملة البكالوريوس والدبلوم في شكل بطاقات مرئية وورش تفاعلية</w:t>
            </w:r>
          </w:p>
        </w:tc>
        <w:tc>
          <w:tcPr>
            <w:tcW w:w="563" w:type="pct"/>
          </w:tcPr>
          <w:p w14:paraId="73DB4661" w14:textId="3216803F" w:rsidR="00E83CE6" w:rsidRPr="00956193" w:rsidRDefault="007713B9" w:rsidP="007713B9">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التدريب الطبي المستمر بالمستشفى</w:t>
            </w:r>
            <w:r w:rsidRPr="00956193">
              <w:rPr>
                <w:rFonts w:ascii="Traditional Arabic" w:hAnsi="Traditional Arabic" w:cs="Traditional Arabic" w:hint="cs"/>
                <w:color w:val="000000" w:themeColor="text1"/>
                <w:highlight w:val="yellow"/>
                <w:rtl/>
              </w:rPr>
              <w:t>.</w:t>
            </w:r>
          </w:p>
          <w:p w14:paraId="18B23217" w14:textId="3DFA6747" w:rsidR="007713B9" w:rsidRPr="00956193" w:rsidRDefault="007713B9" w:rsidP="007713B9">
            <w:pPr>
              <w:bidi/>
              <w:spacing w:after="200"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highlight w:val="yellow"/>
                <w:rtl/>
              </w:rPr>
            </w:pPr>
            <w:r w:rsidRPr="00956193">
              <w:rPr>
                <w:rFonts w:ascii="Traditional Arabic" w:hAnsi="Traditional Arabic" w:cs="Traditional Arabic"/>
                <w:color w:val="000000" w:themeColor="text1"/>
                <w:highlight w:val="yellow"/>
                <w:rtl/>
              </w:rPr>
              <w:t>إدارة شؤون التمريض والخدمات الطبية بالمستشفى</w:t>
            </w:r>
            <w:r w:rsidRPr="00956193">
              <w:rPr>
                <w:rFonts w:ascii="Traditional Arabic" w:hAnsi="Traditional Arabic" w:cs="Traditional Arabic"/>
                <w:color w:val="000000" w:themeColor="text1"/>
                <w:highlight w:val="yellow"/>
              </w:rPr>
              <w:t>:</w:t>
            </w:r>
          </w:p>
        </w:tc>
        <w:tc>
          <w:tcPr>
            <w:tcW w:w="219" w:type="pct"/>
          </w:tcPr>
          <w:p w14:paraId="07386916" w14:textId="5B2F112A" w:rsidR="00E83CE6" w:rsidRPr="001A7C88" w:rsidRDefault="00F70672" w:rsidP="00F7067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rtl/>
              </w:rPr>
            </w:pPr>
            <w:r w:rsidRPr="00956193">
              <w:rPr>
                <w:rFonts w:ascii="Traditional Arabic" w:hAnsi="Traditional Arabic" w:cs="Traditional Arabic" w:hint="cs"/>
                <w:color w:val="000000" w:themeColor="text1"/>
                <w:highlight w:val="yellow"/>
                <w:rtl/>
              </w:rPr>
              <w:t>9 أشهر</w:t>
            </w:r>
          </w:p>
        </w:tc>
      </w:tr>
    </w:tbl>
    <w:p w14:paraId="7A8D3D48" w14:textId="77777777" w:rsidR="00CD0153" w:rsidRDefault="00CD0153" w:rsidP="00A813B8">
      <w:pPr>
        <w:bidi/>
        <w:spacing w:after="200" w:line="276" w:lineRule="auto"/>
        <w:jc w:val="both"/>
        <w:rPr>
          <w:rFonts w:ascii="Traditional Arabic" w:hAnsi="Traditional Arabic" w:cs="Traditional Arabic"/>
          <w:b/>
          <w:bCs/>
          <w:color w:val="000000" w:themeColor="text1"/>
          <w:sz w:val="28"/>
          <w:szCs w:val="28"/>
          <w:rtl/>
        </w:rPr>
        <w:sectPr w:rsidR="00CD0153" w:rsidSect="00556E0D">
          <w:pgSz w:w="16838" w:h="11906" w:orient="landscape"/>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pgNumType w:start="138"/>
          <w:cols w:space="708"/>
          <w:bidi/>
          <w:rtlGutter/>
          <w:docGrid w:linePitch="360"/>
        </w:sectPr>
      </w:pPr>
    </w:p>
    <w:p w14:paraId="7DC7FC66" w14:textId="53773E3C" w:rsidR="00A813B8" w:rsidRPr="001C4D6E" w:rsidRDefault="009A7238" w:rsidP="00A813B8">
      <w:pPr>
        <w:bidi/>
        <w:spacing w:after="200" w:line="276" w:lineRule="auto"/>
        <w:jc w:val="both"/>
        <w:rPr>
          <w:rFonts w:ascii="Traditional Arabic" w:hAnsi="Traditional Arabic" w:cs="Traditional Arabic"/>
          <w:b/>
          <w:bCs/>
          <w:color w:val="000000" w:themeColor="text1"/>
          <w:sz w:val="28"/>
          <w:szCs w:val="28"/>
          <w:rtl/>
        </w:rPr>
      </w:pPr>
      <w:r w:rsidRPr="001C4D6E">
        <w:rPr>
          <w:rFonts w:ascii="Traditional Arabic" w:hAnsi="Traditional Arabic" w:cs="Traditional Arabic" w:hint="cs"/>
          <w:b/>
          <w:bCs/>
          <w:color w:val="000000" w:themeColor="text1"/>
          <w:sz w:val="28"/>
          <w:szCs w:val="28"/>
          <w:rtl/>
        </w:rPr>
        <w:lastRenderedPageBreak/>
        <w:t>الخاتمة:</w:t>
      </w:r>
    </w:p>
    <w:p w14:paraId="069C09CF" w14:textId="192E9F81" w:rsidR="00F70672" w:rsidRPr="00F70672" w:rsidRDefault="00F70672" w:rsidP="00F70672">
      <w:pPr>
        <w:bidi/>
        <w:spacing w:after="200" w:line="360" w:lineRule="auto"/>
        <w:ind w:firstLine="720"/>
        <w:jc w:val="both"/>
        <w:rPr>
          <w:rFonts w:ascii="Traditional Arabic" w:hAnsi="Traditional Arabic" w:cs="Traditional Arabic"/>
          <w:color w:val="000000" w:themeColor="text1"/>
          <w:sz w:val="24"/>
          <w:szCs w:val="24"/>
        </w:rPr>
      </w:pPr>
      <w:r w:rsidRPr="00F70672">
        <w:rPr>
          <w:rFonts w:ascii="Traditional Arabic" w:hAnsi="Traditional Arabic" w:cs="Traditional Arabic"/>
          <w:color w:val="000000" w:themeColor="text1"/>
          <w:sz w:val="24"/>
          <w:szCs w:val="24"/>
          <w:rtl/>
        </w:rPr>
        <w:t>إن ختام هذه الدراسة يؤكد أن ممارسات إدارة المخاطر تمثل ركيزة أساسية لتعزيز سلامة المرضى في المستشفيات الحكومية بالمملكة العربية السعودية، وأن القيادة التحويلية تؤدي دوراً وسيطاً جوهرياً في تعظيم هذه العلاقة وتوجيهها؛ من خلال تحفيز العاملين، دعمهم، وتوجيههم نحو تبني ممارسات أكثر فاعلية واستدامة. وقد أظهرت النتائج أن دمج سلوكيات القيادة التحويلية في السياسات الصحية والإدارية يسهم في رفع مستوى جودة الرعاية، تحسين بيئة العمل، وزيادة ثقة المستفيدين بالخدمات الصحية. ومن الناحية العلمية، تقدم هذه الأطروحة إضافة نوعية للأدبيات في مجال الإدارة الصحية عبر بناء نموذج هيكلي يوضح أثر القيادة التحويلية في إدارة المخاطر، مما يفتح الآفاق أمام بحوث مستقبلية لدراسة متغيرات جديدة أو تطبيق النموذج في بيئات صحية مختلفة. وبذلك، فإن القيمة العملية لهذه الدراسة تكمن في توفير توصيات وآليات تنفيذ قابلة للتطبيق الفوري، بينما تكمن قيمتها العلمية في إثراء المعرفة وتوسيع نطاق البحث في مجال القيادة والإدارة الصحية</w:t>
      </w:r>
      <w:r w:rsidRPr="00F70672">
        <w:rPr>
          <w:rFonts w:ascii="Traditional Arabic" w:hAnsi="Traditional Arabic" w:cs="Traditional Arabic"/>
          <w:color w:val="000000" w:themeColor="text1"/>
          <w:sz w:val="24"/>
          <w:szCs w:val="24"/>
        </w:rPr>
        <w:t>.</w:t>
      </w:r>
    </w:p>
    <w:p w14:paraId="2B31064B" w14:textId="77777777" w:rsidR="00F70672" w:rsidRPr="00F70672" w:rsidRDefault="00F70672" w:rsidP="00F70672">
      <w:pPr>
        <w:bidi/>
        <w:spacing w:after="200" w:line="360" w:lineRule="auto"/>
        <w:ind w:firstLine="720"/>
        <w:jc w:val="both"/>
        <w:rPr>
          <w:rFonts w:ascii="Traditional Arabic" w:hAnsi="Traditional Arabic" w:cs="Traditional Arabic"/>
          <w:color w:val="000000" w:themeColor="text1"/>
          <w:sz w:val="24"/>
          <w:szCs w:val="24"/>
        </w:rPr>
      </w:pPr>
      <w:r w:rsidRPr="00F70672">
        <w:rPr>
          <w:rFonts w:ascii="Traditional Arabic" w:hAnsi="Traditional Arabic" w:cs="Traditional Arabic"/>
          <w:color w:val="000000" w:themeColor="text1"/>
          <w:sz w:val="24"/>
          <w:szCs w:val="24"/>
          <w:rtl/>
        </w:rPr>
        <w:t>وفي واقع المستشفيات الحكومية السعودية، يظهر التطبيق العملي لإدارة المخاطر وسلامة المرضى جلياً من خلال البروتوكولات العلاجية الموحدة التي يتم مراجعتها بشكل دوري داخل الأقسام السريرية، بالتوازي مع الامتثال لمتطلبات المركز السعودي لاعتماد المنشآت الصحية</w:t>
      </w:r>
      <w:r w:rsidRPr="00F70672">
        <w:rPr>
          <w:rFonts w:ascii="Traditional Arabic" w:hAnsi="Traditional Arabic" w:cs="Traditional Arabic"/>
          <w:color w:val="000000" w:themeColor="text1"/>
          <w:sz w:val="24"/>
          <w:szCs w:val="24"/>
        </w:rPr>
        <w:t xml:space="preserve"> (</w:t>
      </w:r>
      <w:r w:rsidRPr="00F70672">
        <w:rPr>
          <w:rFonts w:ascii="Traditional Arabic" w:hAnsi="Traditional Arabic" w:cs="Traditional Arabic"/>
          <w:color w:val="000000" w:themeColor="text1"/>
          <w:sz w:val="24"/>
          <w:szCs w:val="24"/>
          <w:rtl/>
        </w:rPr>
        <w:t>سباهي</w:t>
      </w:r>
      <w:r w:rsidRPr="00F70672">
        <w:rPr>
          <w:rFonts w:ascii="Traditional Arabic" w:hAnsi="Traditional Arabic" w:cs="Traditional Arabic"/>
          <w:color w:val="000000" w:themeColor="text1"/>
          <w:sz w:val="24"/>
          <w:szCs w:val="24"/>
        </w:rPr>
        <w:t xml:space="preserve"> CBAHI). </w:t>
      </w:r>
      <w:r w:rsidRPr="00F70672">
        <w:rPr>
          <w:rFonts w:ascii="Traditional Arabic" w:hAnsi="Traditional Arabic" w:cs="Traditional Arabic"/>
          <w:color w:val="000000" w:themeColor="text1"/>
          <w:sz w:val="24"/>
          <w:szCs w:val="24"/>
          <w:rtl/>
        </w:rPr>
        <w:t>إضافة إلى اعتماد أنظمة الإبلاغ الإلكتروني المتقدمة عن الحوادث الطبية (مثل نظام عون أو الأنظمة الداخلية المعتمدة) والتي تتيح للعاملين تسجيل الأخطاء بسهولة وسرية تامة، مما يعزز ثقافة الشفافية والأمان النفسي. كما تُنفذ برامج تدريبية مستمرة للأطباء والتمريض بإشراف إدارات الجودة والمخاطر، وتُعقد ورش عمل دورية لتطوير التفكير النقدي والإبداعي في مواجهة المشكلات التشغيلية اليومية. ويُلاحظ أيضاً أن مبادئ القيادة التحويلية تُدمج عملياً في السياسات التنظيمية عبر تقييم القادة بواسطة بطاقات الأداء المتوازن وربط مخرجات الأداء بالحوافز، بينما تُستخدم التقنيات الرقمية لمتابعة مؤشرات سلامة المرضى بشكل لحظي، وهو ما يتماشى مع مستهدفات برنامج تحول القطاع الصحي وفق رؤية المملكة 2030، وينعكس مباشرة على تحسين جودة الرعاية السريرية ورفع مستوى رضا وثقة المرضى بالمؤسسات الصحية الحكومية</w:t>
      </w:r>
      <w:r w:rsidRPr="00F70672">
        <w:rPr>
          <w:rFonts w:ascii="Traditional Arabic" w:hAnsi="Traditional Arabic" w:cs="Traditional Arabic"/>
          <w:color w:val="000000" w:themeColor="text1"/>
          <w:sz w:val="24"/>
          <w:szCs w:val="24"/>
        </w:rPr>
        <w:t>."</w:t>
      </w:r>
    </w:p>
    <w:p w14:paraId="48E61723" w14:textId="77777777" w:rsidR="000B23B4" w:rsidRPr="00956193" w:rsidRDefault="000B23B4" w:rsidP="000B23B4">
      <w:pPr>
        <w:bidi/>
        <w:spacing w:after="200" w:line="276" w:lineRule="auto"/>
        <w:jc w:val="both"/>
        <w:rPr>
          <w:rFonts w:ascii="Traditional Arabic" w:hAnsi="Traditional Arabic" w:cs="Traditional Arabic"/>
          <w:b/>
          <w:bCs/>
          <w:color w:val="000000" w:themeColor="text1"/>
          <w:sz w:val="24"/>
          <w:szCs w:val="24"/>
          <w:highlight w:val="yellow"/>
          <w:rtl/>
        </w:rPr>
      </w:pPr>
      <w:r w:rsidRPr="000B23B4">
        <w:rPr>
          <w:rFonts w:ascii="Traditional Arabic" w:hAnsi="Traditional Arabic" w:cs="Traditional Arabic"/>
          <w:b/>
          <w:bCs/>
          <w:color w:val="000000" w:themeColor="text1"/>
          <w:sz w:val="24"/>
          <w:szCs w:val="24"/>
          <w:rtl/>
        </w:rPr>
        <w:t xml:space="preserve"> </w:t>
      </w:r>
      <w:r w:rsidRPr="00956193">
        <w:rPr>
          <w:rFonts w:ascii="Traditional Arabic" w:hAnsi="Traditional Arabic" w:cs="Traditional Arabic"/>
          <w:b/>
          <w:bCs/>
          <w:color w:val="000000" w:themeColor="text1"/>
          <w:sz w:val="24"/>
          <w:szCs w:val="24"/>
          <w:highlight w:val="yellow"/>
          <w:rtl/>
        </w:rPr>
        <w:t>المقترحات البحثية للدراسات المستقبلية</w:t>
      </w:r>
      <w:r w:rsidRPr="00956193">
        <w:rPr>
          <w:rFonts w:ascii="Traditional Arabic" w:hAnsi="Traditional Arabic" w:cs="Traditional Arabic"/>
          <w:b/>
          <w:bCs/>
          <w:color w:val="000000" w:themeColor="text1"/>
          <w:sz w:val="24"/>
          <w:szCs w:val="24"/>
          <w:highlight w:val="yellow"/>
        </w:rPr>
        <w:t>:</w:t>
      </w:r>
    </w:p>
    <w:p w14:paraId="18E537BD" w14:textId="595FBD18" w:rsidR="000B23B4" w:rsidRPr="00956193" w:rsidRDefault="000B23B4" w:rsidP="000B23B4">
      <w:pPr>
        <w:bidi/>
        <w:spacing w:after="200" w:line="276" w:lineRule="auto"/>
        <w:jc w:val="both"/>
        <w:rPr>
          <w:rFonts w:ascii="Traditional Arabic" w:hAnsi="Traditional Arabic" w:cs="Traditional Arabic"/>
          <w:color w:val="000000" w:themeColor="text1"/>
          <w:sz w:val="24"/>
          <w:szCs w:val="24"/>
          <w:highlight w:val="yellow"/>
        </w:rPr>
      </w:pPr>
      <w:r w:rsidRPr="00956193">
        <w:rPr>
          <w:rFonts w:ascii="Traditional Arabic" w:hAnsi="Traditional Arabic" w:cs="Traditional Arabic"/>
          <w:color w:val="000000" w:themeColor="text1"/>
          <w:sz w:val="24"/>
          <w:szCs w:val="24"/>
          <w:highlight w:val="yellow"/>
          <w:rtl/>
        </w:rPr>
        <w:t>امتداداً للأثر المعرفي والمنهجي الذي أسفرت عنه نتائج الأطروحة الحالية، وفي سبيل إثراء الأدبيات العلمية في مجال الإدارة والرعاية الصحية، يقترح الباحث إجراء الدراسات المستقبلية التالية</w:t>
      </w:r>
      <w:r w:rsidRPr="00956193">
        <w:rPr>
          <w:rFonts w:ascii="Traditional Arabic" w:hAnsi="Traditional Arabic" w:cs="Traditional Arabic"/>
          <w:color w:val="000000" w:themeColor="text1"/>
          <w:sz w:val="24"/>
          <w:szCs w:val="24"/>
          <w:highlight w:val="yellow"/>
        </w:rPr>
        <w:t>:</w:t>
      </w:r>
    </w:p>
    <w:p w14:paraId="2C981F55"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الأنظمة الرقمية لإدارة المخاطر السريرية على جودة الرعاية والحد من الحوادث الطبية في المستشفيات الحكومية السعودية</w:t>
      </w:r>
      <w:r w:rsidRPr="00956193">
        <w:rPr>
          <w:rFonts w:ascii="Traditional Arabic" w:hAnsi="Traditional Arabic" w:cs="Traditional Arabic"/>
          <w:b/>
          <w:bCs/>
          <w:color w:val="000000" w:themeColor="text1"/>
          <w:sz w:val="24"/>
          <w:szCs w:val="24"/>
          <w:highlight w:val="yellow"/>
        </w:rPr>
        <w:t>.</w:t>
      </w:r>
    </w:p>
    <w:p w14:paraId="62F6D944"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دور القيادة التحويلية في تعزيز ثقافة الأمان العادل</w:t>
      </w:r>
      <w:r w:rsidRPr="00956193">
        <w:rPr>
          <w:rFonts w:ascii="Traditional Arabic" w:hAnsi="Traditional Arabic" w:cs="Traditional Arabic"/>
          <w:b/>
          <w:bCs/>
          <w:color w:val="000000" w:themeColor="text1"/>
          <w:sz w:val="24"/>
          <w:szCs w:val="24"/>
          <w:highlight w:val="yellow"/>
        </w:rPr>
        <w:t xml:space="preserve"> (Just Culture) </w:t>
      </w:r>
      <w:r w:rsidRPr="00956193">
        <w:rPr>
          <w:rFonts w:ascii="Traditional Arabic" w:hAnsi="Traditional Arabic" w:cs="Traditional Arabic"/>
          <w:b/>
          <w:bCs/>
          <w:color w:val="000000" w:themeColor="text1"/>
          <w:sz w:val="24"/>
          <w:szCs w:val="24"/>
          <w:highlight w:val="yellow"/>
          <w:rtl/>
        </w:rPr>
        <w:t>ورفع فاعلية أنظمة الإبلاغ الإلكتروني عن الأخطاء السريرية</w:t>
      </w:r>
      <w:r w:rsidRPr="00956193">
        <w:rPr>
          <w:rFonts w:ascii="Traditional Arabic" w:hAnsi="Traditional Arabic" w:cs="Traditional Arabic"/>
          <w:b/>
          <w:bCs/>
          <w:color w:val="000000" w:themeColor="text1"/>
          <w:sz w:val="24"/>
          <w:szCs w:val="24"/>
          <w:highlight w:val="yellow"/>
        </w:rPr>
        <w:t>.</w:t>
      </w:r>
    </w:p>
    <w:p w14:paraId="32F9FA4B"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lastRenderedPageBreak/>
        <w:t>العلاقة بين الأنماط القيادية الحديثة وجودة بيئة العمل وأثرها على مؤشرات سلامة المرضى في المنشآت الطبية</w:t>
      </w:r>
      <w:r w:rsidRPr="00956193">
        <w:rPr>
          <w:rFonts w:ascii="Traditional Arabic" w:hAnsi="Traditional Arabic" w:cs="Traditional Arabic"/>
          <w:b/>
          <w:bCs/>
          <w:color w:val="000000" w:themeColor="text1"/>
          <w:sz w:val="24"/>
          <w:szCs w:val="24"/>
          <w:highlight w:val="yellow"/>
        </w:rPr>
        <w:t>.</w:t>
      </w:r>
    </w:p>
    <w:p w14:paraId="3B03DB00"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تفعيل دور القيادة التحويلية في دعم واستدامة برامج التدريب والتعليم الطبي المستمر للكوادر الطبية والتمريضية</w:t>
      </w:r>
      <w:r w:rsidRPr="00956193">
        <w:rPr>
          <w:rFonts w:ascii="Traditional Arabic" w:hAnsi="Traditional Arabic" w:cs="Traditional Arabic"/>
          <w:b/>
          <w:bCs/>
          <w:color w:val="000000" w:themeColor="text1"/>
          <w:sz w:val="24"/>
          <w:szCs w:val="24"/>
          <w:highlight w:val="yellow"/>
        </w:rPr>
        <w:t>.</w:t>
      </w:r>
    </w:p>
    <w:p w14:paraId="1DF55AFB"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دراسة مقارنة بين المستشفيات الحكومية ومستشفيات القطاع الخاص في المملكة حول دور القيادة الصحية في تعزيز سلامة المرضى</w:t>
      </w:r>
      <w:r w:rsidRPr="00956193">
        <w:rPr>
          <w:rFonts w:ascii="Traditional Arabic" w:hAnsi="Traditional Arabic" w:cs="Traditional Arabic"/>
          <w:b/>
          <w:bCs/>
          <w:color w:val="000000" w:themeColor="text1"/>
          <w:sz w:val="24"/>
          <w:szCs w:val="24"/>
          <w:highlight w:val="yellow"/>
        </w:rPr>
        <w:t>.</w:t>
      </w:r>
    </w:p>
    <w:p w14:paraId="68B009B3"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أبعاد القيادة التحويلية على الرضا الوظيفي والولاء التنظيمي للكوادر الصحية وانعكاسه على جودة الرعاية المقدمة</w:t>
      </w:r>
      <w:r w:rsidRPr="00956193">
        <w:rPr>
          <w:rFonts w:ascii="Traditional Arabic" w:hAnsi="Traditional Arabic" w:cs="Traditional Arabic"/>
          <w:b/>
          <w:bCs/>
          <w:color w:val="000000" w:themeColor="text1"/>
          <w:sz w:val="24"/>
          <w:szCs w:val="24"/>
          <w:highlight w:val="yellow"/>
        </w:rPr>
        <w:t>.</w:t>
      </w:r>
    </w:p>
    <w:p w14:paraId="447112E9"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الدور الوسيط للرشاقة التنظيمية في العلاقة بين إدارة المخاطر الاستراتيجية وسلامة المرضى بالتجمعات الصحية السعودية</w:t>
      </w:r>
      <w:r w:rsidRPr="00956193">
        <w:rPr>
          <w:rFonts w:ascii="Traditional Arabic" w:hAnsi="Traditional Arabic" w:cs="Traditional Arabic"/>
          <w:b/>
          <w:bCs/>
          <w:color w:val="000000" w:themeColor="text1"/>
          <w:sz w:val="24"/>
          <w:szCs w:val="24"/>
          <w:highlight w:val="yellow"/>
        </w:rPr>
        <w:t>.</w:t>
      </w:r>
    </w:p>
    <w:p w14:paraId="40EF4A4A"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أثر تطبيقات الذكاء الاصطناعي التوليدي في التنبؤ بالمخاطر السريرية قبل حدوثها وتعزيز مستويات أمان الرعاية الصحية</w:t>
      </w:r>
      <w:r w:rsidRPr="00956193">
        <w:rPr>
          <w:rFonts w:ascii="Traditional Arabic" w:hAnsi="Traditional Arabic" w:cs="Traditional Arabic"/>
          <w:b/>
          <w:bCs/>
          <w:color w:val="000000" w:themeColor="text1"/>
          <w:sz w:val="24"/>
          <w:szCs w:val="24"/>
          <w:highlight w:val="yellow"/>
        </w:rPr>
        <w:t>.</w:t>
      </w:r>
    </w:p>
    <w:p w14:paraId="3701C3F6"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دور القيادة الرقمية كمتغير معدل</w:t>
      </w:r>
      <w:r w:rsidRPr="00956193">
        <w:rPr>
          <w:rFonts w:ascii="Traditional Arabic" w:hAnsi="Traditional Arabic" w:cs="Traditional Arabic"/>
          <w:b/>
          <w:bCs/>
          <w:color w:val="000000" w:themeColor="text1"/>
          <w:sz w:val="24"/>
          <w:szCs w:val="24"/>
          <w:highlight w:val="yellow"/>
        </w:rPr>
        <w:t xml:space="preserve"> (Moderating Variable) </w:t>
      </w:r>
      <w:r w:rsidRPr="00956193">
        <w:rPr>
          <w:rFonts w:ascii="Traditional Arabic" w:hAnsi="Traditional Arabic" w:cs="Traditional Arabic"/>
          <w:b/>
          <w:bCs/>
          <w:color w:val="000000" w:themeColor="text1"/>
          <w:sz w:val="24"/>
          <w:szCs w:val="24"/>
          <w:highlight w:val="yellow"/>
          <w:rtl/>
        </w:rPr>
        <w:t>في ضبط العلاقة بين حوكمة المخاطر وتحسين جودة الخدمات الطبية</w:t>
      </w:r>
      <w:r w:rsidRPr="00956193">
        <w:rPr>
          <w:rFonts w:ascii="Traditional Arabic" w:hAnsi="Traditional Arabic" w:cs="Traditional Arabic"/>
          <w:b/>
          <w:bCs/>
          <w:color w:val="000000" w:themeColor="text1"/>
          <w:sz w:val="24"/>
          <w:szCs w:val="24"/>
          <w:highlight w:val="yellow"/>
        </w:rPr>
        <w:t>.</w:t>
      </w:r>
    </w:p>
    <w:p w14:paraId="59C78E5B" w14:textId="77777777" w:rsidR="000B23B4" w:rsidRPr="00956193" w:rsidRDefault="000B23B4">
      <w:pPr>
        <w:numPr>
          <w:ilvl w:val="0"/>
          <w:numId w:val="44"/>
        </w:numPr>
        <w:bidi/>
        <w:spacing w:after="200" w:line="276" w:lineRule="auto"/>
        <w:jc w:val="both"/>
        <w:rPr>
          <w:rFonts w:ascii="Traditional Arabic" w:hAnsi="Traditional Arabic" w:cs="Traditional Arabic"/>
          <w:b/>
          <w:bCs/>
          <w:color w:val="000000" w:themeColor="text1"/>
          <w:sz w:val="24"/>
          <w:szCs w:val="24"/>
          <w:highlight w:val="yellow"/>
        </w:rPr>
      </w:pPr>
      <w:r w:rsidRPr="00956193">
        <w:rPr>
          <w:rFonts w:ascii="Traditional Arabic" w:hAnsi="Traditional Arabic" w:cs="Traditional Arabic"/>
          <w:b/>
          <w:bCs/>
          <w:color w:val="000000" w:themeColor="text1"/>
          <w:sz w:val="24"/>
          <w:szCs w:val="24"/>
          <w:highlight w:val="yellow"/>
          <w:rtl/>
        </w:rPr>
        <w:t>تحليل أثر المرونة النفسية والمناخ التنظيمي لدى التمريض السعودي كمتغيرات وسيطة بين ممارسات السلامة وجودة الرعاية السريرية</w:t>
      </w:r>
      <w:r w:rsidRPr="00956193">
        <w:rPr>
          <w:rFonts w:ascii="Traditional Arabic" w:hAnsi="Traditional Arabic" w:cs="Traditional Arabic"/>
          <w:b/>
          <w:bCs/>
          <w:color w:val="000000" w:themeColor="text1"/>
          <w:sz w:val="24"/>
          <w:szCs w:val="24"/>
          <w:highlight w:val="yellow"/>
        </w:rPr>
        <w:t>."</w:t>
      </w:r>
    </w:p>
    <w:p w14:paraId="26D3C9DA" w14:textId="77777777" w:rsidR="008A46E4" w:rsidRPr="007A060C"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0A767348"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7959BD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67DE4AD"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E63F9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40"/>
          <w:cols w:space="708"/>
          <w:bidi/>
          <w:rtlGutter/>
          <w:docGrid w:linePitch="360"/>
        </w:sectPr>
      </w:pPr>
    </w:p>
    <w:p w14:paraId="18BF6CC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553DD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F93C7D" w14:textId="77777777" w:rsidR="00CD254D" w:rsidRDefault="00CD254D" w:rsidP="008A46E4">
      <w:pPr>
        <w:bidi/>
        <w:spacing w:after="200" w:line="276" w:lineRule="auto"/>
        <w:jc w:val="center"/>
        <w:rPr>
          <w:rFonts w:ascii="Simplified Arabic" w:hAnsi="Simplified Arabic" w:cs="Simplified Arabic"/>
          <w:b/>
          <w:bCs/>
          <w:color w:val="000000" w:themeColor="text1"/>
          <w:sz w:val="72"/>
          <w:szCs w:val="72"/>
          <w:rtl/>
        </w:rPr>
      </w:pPr>
    </w:p>
    <w:p w14:paraId="709B1B0E"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ECD72F5"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80DEA17" w14:textId="6ABFFED0" w:rsidR="008A46E4" w:rsidRPr="00CD254D" w:rsidRDefault="008A46E4" w:rsidP="00CD254D">
      <w:pPr>
        <w:bidi/>
        <w:spacing w:after="200" w:line="276" w:lineRule="auto"/>
        <w:jc w:val="center"/>
        <w:rPr>
          <w:rFonts w:ascii="Traditional Arabic" w:hAnsi="Traditional Arabic" w:cs="Traditional Arabic"/>
          <w:b/>
          <w:bCs/>
          <w:color w:val="000000" w:themeColor="text1"/>
          <w:sz w:val="144"/>
          <w:szCs w:val="144"/>
          <w:rtl/>
        </w:rPr>
      </w:pPr>
      <w:r w:rsidRPr="00CD254D">
        <w:rPr>
          <w:rFonts w:ascii="Traditional Arabic" w:hAnsi="Traditional Arabic" w:cs="Traditional Arabic" w:hint="cs"/>
          <w:b/>
          <w:bCs/>
          <w:color w:val="000000" w:themeColor="text1"/>
          <w:sz w:val="144"/>
          <w:szCs w:val="144"/>
          <w:rtl/>
        </w:rPr>
        <w:t>ملخص الدراسة</w:t>
      </w:r>
    </w:p>
    <w:p w14:paraId="3A72404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88F4B4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76BA7C90"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CD254D">
          <w:footerReference w:type="default" r:id="rId55"/>
          <w:pgSz w:w="11906" w:h="16838"/>
          <w:pgMar w:top="1440" w:right="1800" w:bottom="1440" w:left="1800" w:header="708" w:footer="708" w:gutter="0"/>
          <w:pgNumType w:start="140"/>
          <w:cols w:space="708"/>
          <w:bidi/>
          <w:rtlGutter/>
          <w:docGrid w:linePitch="360"/>
        </w:sectPr>
      </w:pPr>
    </w:p>
    <w:p w14:paraId="553C7E6F" w14:textId="77777777" w:rsidR="008A46E4" w:rsidRPr="000B537F" w:rsidRDefault="008A46E4" w:rsidP="0091552D">
      <w:pPr>
        <w:spacing w:line="240" w:lineRule="auto"/>
        <w:jc w:val="center"/>
        <w:rPr>
          <w:rFonts w:ascii="Traditional Arabic" w:hAnsi="Traditional Arabic" w:cs="Traditional Arabic"/>
          <w:b/>
          <w:bCs/>
          <w:sz w:val="28"/>
          <w:szCs w:val="28"/>
          <w:rtl/>
        </w:rPr>
      </w:pPr>
      <w:r w:rsidRPr="000B537F">
        <w:rPr>
          <w:rFonts w:ascii="Traditional Arabic" w:hAnsi="Traditional Arabic" w:cs="Traditional Arabic" w:hint="cs"/>
          <w:b/>
          <w:bCs/>
          <w:sz w:val="28"/>
          <w:szCs w:val="28"/>
          <w:rtl/>
        </w:rPr>
        <w:lastRenderedPageBreak/>
        <w:t>تأثير إدارة المخاطر على سلامة المرضى: وتحليل الدور الوسيط للقيادة التحويلية: دراسة ميدانية على المرافق الصحية الحكومية</w:t>
      </w:r>
    </w:p>
    <w:p w14:paraId="4E6F1AF5" w14:textId="6FD32F6A" w:rsidR="008A46E4" w:rsidRPr="000B537F" w:rsidRDefault="008A46E4" w:rsidP="008A46E4">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مقدمة:</w:t>
      </w:r>
    </w:p>
    <w:p w14:paraId="63E112D0" w14:textId="1AAE1348" w:rsidR="008A46E4" w:rsidRPr="000B537F" w:rsidRDefault="008A46E4" w:rsidP="000B537F">
      <w:pPr>
        <w:bidi/>
        <w:spacing w:after="200" w:line="360" w:lineRule="auto"/>
        <w:jc w:val="both"/>
        <w:rPr>
          <w:rFonts w:ascii="Traditional Arabic" w:hAnsi="Traditional Arabic" w:cs="Traditional Arabic"/>
          <w:color w:val="000000" w:themeColor="text1"/>
          <w:sz w:val="24"/>
          <w:szCs w:val="24"/>
          <w:rtl/>
        </w:rPr>
      </w:pPr>
      <w:r w:rsidRPr="000B537F">
        <w:rPr>
          <w:rFonts w:ascii="Traditional Arabic" w:hAnsi="Traditional Arabic" w:cs="Traditional Arabic" w:hint="cs"/>
          <w:color w:val="000000" w:themeColor="text1"/>
          <w:sz w:val="24"/>
          <w:szCs w:val="24"/>
          <w:rtl/>
        </w:rPr>
        <w:t>إدارة المخاطر تعد عنصرًا أساسيًا لضمان جودة الرعاية الصحية وسلامة المرضى، إذ تعتمد على سياسات وإجراءات وتدريب وأنظمة إبلاغ تقلل الأخطاء وتعزز ثقافة السلامة. وفي المقابل، تمثل القيادة التحويلية أسلوبًا إداريًا فعالًا يمكّن المؤسسات الصحية من التنبؤ بالأزمات والتغيرات المفاجئة، وتحفيز العاملين، وبناء فرق عالية الأداء قادرة على مواجهة التحديات. وقد أثبتت الدراسات أن هذا النمط القيادي يسهم في تحسين رضا المرضى، تطوير بيئة عمل آمنة، وزيادة قدرة المستشفيات الحكومية على الاستجابة للأزمات، مما يجعل القيادة التحويلية وإدارة المخاطر معًا ركيزتين أساسيتين لتحقيق استمرارية تقديم خدمات صحية آمنة وعالية الجودة</w:t>
      </w:r>
      <w:r w:rsidRPr="000B537F">
        <w:rPr>
          <w:rFonts w:ascii="Traditional Arabic" w:hAnsi="Traditional Arabic" w:cs="Traditional Arabic" w:hint="cs"/>
          <w:color w:val="000000" w:themeColor="text1"/>
          <w:sz w:val="24"/>
          <w:szCs w:val="24"/>
        </w:rPr>
        <w:t>.</w:t>
      </w:r>
    </w:p>
    <w:p w14:paraId="175639D5" w14:textId="5A272513" w:rsidR="00C13EBC" w:rsidRPr="000B537F" w:rsidRDefault="00C13EBC" w:rsidP="00C13EBC">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مشكلة الدراسة :</w:t>
      </w:r>
    </w:p>
    <w:p w14:paraId="6341A7A3" w14:textId="77777777" w:rsidR="008843C5" w:rsidRPr="008843C5" w:rsidRDefault="00087385" w:rsidP="008843C5">
      <w:pPr>
        <w:bidi/>
        <w:spacing w:line="360" w:lineRule="auto"/>
        <w:ind w:firstLine="720"/>
        <w:jc w:val="both"/>
        <w:rPr>
          <w:rFonts w:ascii="Traditional Arabic" w:hAnsi="Traditional Arabic" w:cs="Traditional Arabic"/>
          <w:b/>
          <w:bCs/>
          <w:sz w:val="24"/>
          <w:szCs w:val="24"/>
          <w:lang w:bidi="ar-EG"/>
        </w:rPr>
      </w:pPr>
      <w:r w:rsidRPr="000B537F">
        <w:rPr>
          <w:rFonts w:ascii="Traditional Arabic" w:hAnsi="Traditional Arabic" w:cs="Traditional Arabic" w:hint="cs"/>
          <w:sz w:val="24"/>
          <w:szCs w:val="24"/>
          <w:rtl/>
          <w:lang w:bidi="ar-EG"/>
        </w:rPr>
        <w:t xml:space="preserve">يمكن بلورة مشكلة الدراسة في التساؤل الرئيسي التالي: </w:t>
      </w:r>
      <w:r w:rsidR="008843C5" w:rsidRPr="008843C5">
        <w:rPr>
          <w:rFonts w:ascii="Traditional Arabic" w:hAnsi="Traditional Arabic" w:cs="Traditional Arabic"/>
          <w:b/>
          <w:bCs/>
          <w:sz w:val="24"/>
          <w:szCs w:val="24"/>
          <w:lang w:bidi="ar-EG"/>
        </w:rPr>
        <w:t>"</w:t>
      </w:r>
      <w:r w:rsidR="008843C5" w:rsidRPr="008843C5">
        <w:rPr>
          <w:rFonts w:ascii="Traditional Arabic" w:hAnsi="Traditional Arabic" w:cs="Traditional Arabic"/>
          <w:b/>
          <w:bCs/>
          <w:sz w:val="24"/>
          <w:szCs w:val="24"/>
          <w:rtl/>
        </w:rPr>
        <w:t>ما أثر ممارسات إدارة المخاطر على سلامة المرضى في المستشفيات الحكومية بالمملكة العربية السعودية في ظل الدور الوسيط للقيادة التحويلية؟</w:t>
      </w:r>
      <w:r w:rsidR="008843C5" w:rsidRPr="008843C5">
        <w:rPr>
          <w:rFonts w:ascii="Traditional Arabic" w:hAnsi="Traditional Arabic" w:cs="Traditional Arabic"/>
          <w:b/>
          <w:bCs/>
          <w:sz w:val="24"/>
          <w:szCs w:val="24"/>
          <w:lang w:bidi="ar-EG"/>
        </w:rPr>
        <w:t>"</w:t>
      </w:r>
    </w:p>
    <w:p w14:paraId="64790E2E" w14:textId="68C8F75F" w:rsidR="00C13EBC" w:rsidRPr="000B537F" w:rsidRDefault="00C13EBC" w:rsidP="008843C5">
      <w:pPr>
        <w:bidi/>
        <w:spacing w:line="360" w:lineRule="auto"/>
        <w:ind w:firstLine="720"/>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هدف الدراسة :</w:t>
      </w:r>
    </w:p>
    <w:p w14:paraId="3D92AFCB" w14:textId="3F6EDF1B" w:rsidR="008843C5" w:rsidRDefault="008843C5" w:rsidP="004E074D">
      <w:pPr>
        <w:bidi/>
        <w:spacing w:after="200" w:line="360" w:lineRule="auto"/>
        <w:jc w:val="both"/>
        <w:rPr>
          <w:rFonts w:ascii="Traditional Arabic" w:hAnsi="Traditional Arabic" w:cs="Traditional Arabic"/>
          <w:color w:val="000000" w:themeColor="text1"/>
          <w:sz w:val="24"/>
          <w:szCs w:val="24"/>
          <w:rtl/>
        </w:rPr>
      </w:pPr>
      <w:r w:rsidRPr="008843C5">
        <w:rPr>
          <w:rFonts w:ascii="Traditional Arabic" w:hAnsi="Traditional Arabic" w:cs="Traditional Arabic"/>
          <w:color w:val="000000" w:themeColor="text1"/>
          <w:sz w:val="24"/>
          <w:szCs w:val="24"/>
          <w:rtl/>
        </w:rPr>
        <w:t>هدفت الدراسة الحالية إلى تحليل أثر ممارسات إدارة المخاطر على سلامة المرضى في المستشفيات الحكومية بالمملكة العربية السعودية، والتحقق من الدور الوسيط الذي تلعبه القيادة التحويلية في تفسير وتعزيز هذه العلاقة، مع تقييم مستوى تطبيق هذه المتغيرات ميدانياً من وجهة نظر العاملين</w:t>
      </w:r>
      <w:r>
        <w:rPr>
          <w:rFonts w:ascii="Traditional Arabic" w:hAnsi="Traditional Arabic" w:cs="Traditional Arabic" w:hint="cs"/>
          <w:color w:val="000000" w:themeColor="text1"/>
          <w:sz w:val="24"/>
          <w:szCs w:val="24"/>
          <w:rtl/>
        </w:rPr>
        <w:t>.</w:t>
      </w:r>
    </w:p>
    <w:p w14:paraId="22FCEEB0" w14:textId="2759DD7C" w:rsidR="008F7053" w:rsidRPr="000B537F" w:rsidRDefault="008F7053" w:rsidP="008843C5">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عينة الدراسة :</w:t>
      </w:r>
    </w:p>
    <w:p w14:paraId="38A4698C" w14:textId="2B7F1685" w:rsidR="008F7053" w:rsidRPr="00153BD5" w:rsidRDefault="006B571C" w:rsidP="00153BD5">
      <w:pPr>
        <w:bidi/>
        <w:spacing w:after="200" w:line="360" w:lineRule="auto"/>
        <w:jc w:val="both"/>
        <w:rPr>
          <w:rFonts w:ascii="Traditional Arabic" w:hAnsi="Traditional Arabic" w:cs="Traditional Arabic"/>
          <w:color w:val="000000" w:themeColor="text1"/>
          <w:sz w:val="24"/>
          <w:szCs w:val="24"/>
          <w:rtl/>
        </w:rPr>
      </w:pPr>
      <w:r w:rsidRPr="00153BD5">
        <w:rPr>
          <w:rFonts w:ascii="Traditional Arabic" w:hAnsi="Traditional Arabic" w:cs="Traditional Arabic" w:hint="cs"/>
          <w:color w:val="000000" w:themeColor="text1"/>
          <w:sz w:val="24"/>
          <w:szCs w:val="24"/>
          <w:rtl/>
        </w:rPr>
        <w:t>تم اختيار عينة عشوائية طبقية من مجتمع الدراسة حجمها (389) مشاركًا من أصل مجتمع يبلغ 15,000، وزعت عليهم الاستبانة إلكترونيًا وكانت جميعها صالحة للتحليل. وقد تم تحديد حجم العينة باستخدام معادلة</w:t>
      </w:r>
      <w:r w:rsidRPr="00153BD5">
        <w:rPr>
          <w:rFonts w:ascii="Traditional Arabic" w:hAnsi="Traditional Arabic" w:cs="Traditional Arabic" w:hint="cs"/>
          <w:color w:val="000000" w:themeColor="text1"/>
          <w:sz w:val="24"/>
          <w:szCs w:val="24"/>
        </w:rPr>
        <w:t xml:space="preserve"> Yamane (1967) </w:t>
      </w:r>
      <w:r w:rsidRPr="00153BD5">
        <w:rPr>
          <w:rFonts w:ascii="Traditional Arabic" w:hAnsi="Traditional Arabic" w:cs="Traditional Arabic" w:hint="cs"/>
          <w:color w:val="000000" w:themeColor="text1"/>
          <w:sz w:val="24"/>
          <w:szCs w:val="24"/>
          <w:rtl/>
        </w:rPr>
        <w:t>ومعايير</w:t>
      </w:r>
      <w:r w:rsidRPr="00153BD5">
        <w:rPr>
          <w:rFonts w:ascii="Traditional Arabic" w:hAnsi="Traditional Arabic" w:cs="Traditional Arabic" w:hint="cs"/>
          <w:color w:val="000000" w:themeColor="text1"/>
          <w:sz w:val="24"/>
          <w:szCs w:val="24"/>
        </w:rPr>
        <w:t xml:space="preserve"> Krejcie &amp; Morgan (1970) </w:t>
      </w:r>
      <w:r w:rsidR="008843C5">
        <w:rPr>
          <w:rFonts w:ascii="Traditional Arabic" w:hAnsi="Traditional Arabic" w:cs="Traditional Arabic" w:hint="cs"/>
          <w:color w:val="000000" w:themeColor="text1"/>
          <w:sz w:val="24"/>
          <w:szCs w:val="24"/>
          <w:rtl/>
        </w:rPr>
        <w:t xml:space="preserve"> </w:t>
      </w:r>
      <w:r w:rsidRPr="00153BD5">
        <w:rPr>
          <w:rFonts w:ascii="Traditional Arabic" w:hAnsi="Traditional Arabic" w:cs="Traditional Arabic" w:hint="cs"/>
          <w:color w:val="000000" w:themeColor="text1"/>
          <w:sz w:val="24"/>
          <w:szCs w:val="24"/>
          <w:rtl/>
        </w:rPr>
        <w:t xml:space="preserve">عند هامش خطأ </w:t>
      </w:r>
      <w:r w:rsidR="00A57142">
        <w:rPr>
          <w:rFonts w:ascii="Traditional Arabic" w:hAnsi="Traditional Arabic" w:cs="Traditional Arabic" w:hint="cs"/>
          <w:color w:val="000000" w:themeColor="text1"/>
          <w:sz w:val="24"/>
          <w:szCs w:val="24"/>
          <w:rtl/>
        </w:rPr>
        <w:t>5 % .</w:t>
      </w:r>
    </w:p>
    <w:p w14:paraId="35576B4A" w14:textId="61DCE402" w:rsidR="004441EE" w:rsidRPr="00153BD5" w:rsidRDefault="006B571C"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أداة</w:t>
      </w:r>
      <w:r w:rsidR="004441EE" w:rsidRPr="00153BD5">
        <w:rPr>
          <w:rFonts w:ascii="Traditional Arabic" w:hAnsi="Traditional Arabic" w:cs="Traditional Arabic" w:hint="cs"/>
          <w:b/>
          <w:bCs/>
          <w:color w:val="000000" w:themeColor="text1"/>
          <w:sz w:val="24"/>
          <w:szCs w:val="24"/>
          <w:rtl/>
        </w:rPr>
        <w:t xml:space="preserve"> الدراسة :</w:t>
      </w:r>
    </w:p>
    <w:p w14:paraId="2136047F" w14:textId="08C03086" w:rsidR="006B571C" w:rsidRPr="00153BD5" w:rsidRDefault="006B571C" w:rsidP="00153BD5">
      <w:p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أداة الدراسة كانت استبانة شاملة تضمنت 60 عبارة موزعة على ثلاثة محاور رئيسة: القيادة التحويلية (20 عبارة)، سلامة المرضى (20 عبارة)، وإدارة المخاطر (20 عبارة)، بما يضمن قياس المتغيرات المستهدفة بدقة وارتباطها بواقع المستشفيات الحكومية في المملكة العربية السعودية</w:t>
      </w:r>
      <w:r w:rsidRPr="00153BD5">
        <w:rPr>
          <w:rFonts w:ascii="Traditional Arabic" w:hAnsi="Traditional Arabic" w:cs="Traditional Arabic" w:hint="cs"/>
          <w:color w:val="000000" w:themeColor="text1"/>
          <w:sz w:val="24"/>
          <w:szCs w:val="24"/>
        </w:rPr>
        <w:t>.</w:t>
      </w:r>
    </w:p>
    <w:p w14:paraId="1E58B61D" w14:textId="0C09937E" w:rsidR="00C13EBC" w:rsidRPr="00153BD5" w:rsidRDefault="004441EE"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lastRenderedPageBreak/>
        <w:t>الأساليب الإحصائية :</w:t>
      </w:r>
    </w:p>
    <w:p w14:paraId="7112A066" w14:textId="7F023CE1" w:rsidR="008F0B02" w:rsidRDefault="008F0B02" w:rsidP="008F0B02">
      <w:pPr>
        <w:bidi/>
        <w:spacing w:after="200" w:line="360" w:lineRule="auto"/>
        <w:jc w:val="both"/>
        <w:rPr>
          <w:rFonts w:ascii="Traditional Arabic" w:hAnsi="Traditional Arabic" w:cs="Traditional Arabic"/>
          <w:color w:val="000000" w:themeColor="text1"/>
          <w:sz w:val="24"/>
          <w:szCs w:val="24"/>
          <w:rtl/>
        </w:rPr>
      </w:pPr>
      <w:r w:rsidRPr="008F0B02">
        <w:rPr>
          <w:rFonts w:ascii="Traditional Arabic" w:hAnsi="Traditional Arabic" w:cs="Traditional Arabic"/>
          <w:color w:val="000000" w:themeColor="text1"/>
          <w:sz w:val="24"/>
          <w:szCs w:val="24"/>
          <w:rtl/>
        </w:rPr>
        <w:t xml:space="preserve">"اعتمدت الباحثة مجموعة من الأساليب الإحصائية للتحقق من ثبات وصدق الأداة باستخدام معامل ألفا كرونباخ ومعامل ارتباط بيرسون. كما تم تحليل العلاقات المباشرة وغير المباشرة بين المتغيرات عبر الانحدار الخطي البسيط، </w:t>
      </w:r>
      <w:r>
        <w:rPr>
          <w:rFonts w:ascii="Traditional Arabic" w:hAnsi="Traditional Arabic" w:cs="Traditional Arabic" w:hint="cs"/>
          <w:color w:val="000000" w:themeColor="text1"/>
          <w:sz w:val="24"/>
          <w:szCs w:val="24"/>
          <w:rtl/>
        </w:rPr>
        <w:t>و</w:t>
      </w:r>
      <w:r w:rsidRPr="008F0B02">
        <w:rPr>
          <w:rFonts w:ascii="Traditional Arabic" w:hAnsi="Traditional Arabic" w:cs="Traditional Arabic"/>
          <w:color w:val="000000" w:themeColor="text1"/>
          <w:sz w:val="24"/>
          <w:szCs w:val="24"/>
          <w:rtl/>
        </w:rPr>
        <w:t>نمذجة المعادلات الهيكلية (</w:t>
      </w:r>
      <w:r w:rsidRPr="008F0B02">
        <w:rPr>
          <w:rFonts w:ascii="Traditional Arabic" w:hAnsi="Traditional Arabic" w:cs="Traditional Arabic"/>
          <w:color w:val="000000" w:themeColor="text1"/>
          <w:sz w:val="24"/>
          <w:szCs w:val="24"/>
        </w:rPr>
        <w:t>SEM</w:t>
      </w:r>
      <w:r w:rsidRPr="008F0B02">
        <w:rPr>
          <w:rFonts w:ascii="Traditional Arabic" w:hAnsi="Traditional Arabic" w:cs="Traditional Arabic"/>
          <w:color w:val="000000" w:themeColor="text1"/>
          <w:sz w:val="24"/>
          <w:szCs w:val="24"/>
          <w:rtl/>
        </w:rPr>
        <w:t xml:space="preserve">) باستخدام برنامج </w:t>
      </w:r>
      <w:r w:rsidRPr="008F0B02">
        <w:rPr>
          <w:rFonts w:ascii="Traditional Arabic" w:hAnsi="Traditional Arabic" w:cs="Traditional Arabic"/>
          <w:color w:val="000000" w:themeColor="text1"/>
          <w:sz w:val="24"/>
          <w:szCs w:val="24"/>
        </w:rPr>
        <w:t>AMOS</w:t>
      </w:r>
      <w:r w:rsidRPr="008F0B02">
        <w:rPr>
          <w:rFonts w:ascii="Traditional Arabic" w:hAnsi="Traditional Arabic" w:cs="Traditional Arabic"/>
          <w:color w:val="000000" w:themeColor="text1"/>
          <w:sz w:val="24"/>
          <w:szCs w:val="24"/>
          <w:rtl/>
        </w:rPr>
        <w:t xml:space="preserve"> لاختبار الأثر الوسيط. وللكشف عن الفروق الإحصائية وفق المتغيرات الديموغرافية (النوع، المؤهل العلمي، الوظيفة، سنوات الخبرة)، استعانت الباحثة باختبار ت للمجموعات المستقلة وتحليل التباين الأحادي (</w:t>
      </w:r>
      <w:r w:rsidRPr="008F0B02">
        <w:rPr>
          <w:rFonts w:ascii="Traditional Arabic" w:hAnsi="Traditional Arabic" w:cs="Traditional Arabic"/>
          <w:color w:val="000000" w:themeColor="text1"/>
          <w:sz w:val="24"/>
          <w:szCs w:val="24"/>
        </w:rPr>
        <w:t>ANOVA</w:t>
      </w:r>
      <w:r w:rsidRPr="008F0B02">
        <w:rPr>
          <w:rFonts w:ascii="Traditional Arabic" w:hAnsi="Traditional Arabic" w:cs="Traditional Arabic"/>
          <w:color w:val="000000" w:themeColor="text1"/>
          <w:sz w:val="24"/>
          <w:szCs w:val="24"/>
          <w:rtl/>
        </w:rPr>
        <w:t>)."</w:t>
      </w:r>
    </w:p>
    <w:p w14:paraId="33A65984" w14:textId="5A1BA194" w:rsidR="004441EE" w:rsidRPr="00153BD5" w:rsidRDefault="004441EE" w:rsidP="008F0B02">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نتائج الدراسة:</w:t>
      </w:r>
    </w:p>
    <w:p w14:paraId="2A5B0A26" w14:textId="77777777" w:rsidR="003377E4" w:rsidRPr="003377E4" w:rsidRDefault="003377E4">
      <w:pPr>
        <w:numPr>
          <w:ilvl w:val="0"/>
          <w:numId w:val="50"/>
        </w:numPr>
        <w:bidi/>
        <w:spacing w:after="200" w:line="276" w:lineRule="auto"/>
        <w:jc w:val="both"/>
        <w:rPr>
          <w:rFonts w:ascii="Traditional Arabic" w:hAnsi="Traditional Arabic" w:cs="Traditional Arabic"/>
          <w:color w:val="000000" w:themeColor="text1"/>
          <w:sz w:val="24"/>
          <w:szCs w:val="24"/>
        </w:rPr>
      </w:pPr>
      <w:r w:rsidRPr="003377E4">
        <w:rPr>
          <w:rFonts w:ascii="Traditional Arabic" w:hAnsi="Traditional Arabic" w:cs="Traditional Arabic"/>
          <w:color w:val="000000" w:themeColor="text1"/>
          <w:sz w:val="24"/>
          <w:szCs w:val="24"/>
          <w:rtl/>
        </w:rPr>
        <w:t>وجود تأثير مباشر ذو دلالة إحصائية لممارسات إدارة المخاطر على القيادة التحويلية في المرافق الصحية الحكومية بالمملكة العربية السعودية</w:t>
      </w:r>
      <w:r w:rsidRPr="003377E4">
        <w:rPr>
          <w:rFonts w:ascii="Traditional Arabic" w:hAnsi="Traditional Arabic" w:cs="Traditional Arabic"/>
          <w:color w:val="000000" w:themeColor="text1"/>
          <w:sz w:val="24"/>
          <w:szCs w:val="24"/>
        </w:rPr>
        <w:t>.</w:t>
      </w:r>
    </w:p>
    <w:p w14:paraId="01A119A4" w14:textId="77777777" w:rsidR="003377E4" w:rsidRPr="003377E4" w:rsidRDefault="003377E4">
      <w:pPr>
        <w:numPr>
          <w:ilvl w:val="0"/>
          <w:numId w:val="50"/>
        </w:numPr>
        <w:bidi/>
        <w:spacing w:after="200" w:line="276" w:lineRule="auto"/>
        <w:jc w:val="both"/>
        <w:rPr>
          <w:rFonts w:ascii="Traditional Arabic" w:hAnsi="Traditional Arabic" w:cs="Traditional Arabic"/>
          <w:color w:val="000000" w:themeColor="text1"/>
          <w:sz w:val="24"/>
          <w:szCs w:val="24"/>
        </w:rPr>
      </w:pPr>
      <w:r w:rsidRPr="003377E4">
        <w:rPr>
          <w:rFonts w:ascii="Traditional Arabic" w:hAnsi="Traditional Arabic" w:cs="Traditional Arabic"/>
          <w:color w:val="000000" w:themeColor="text1"/>
          <w:sz w:val="24"/>
          <w:szCs w:val="24"/>
          <w:rtl/>
        </w:rPr>
        <w:t>وجود تأثير مباشر ذو دلالة إحصائية لممارسات إدارة المخاطر على سلامة المرضى في المرافق الصحية الحكومية بالمملكة العربية السعودية</w:t>
      </w:r>
      <w:r w:rsidRPr="003377E4">
        <w:rPr>
          <w:rFonts w:ascii="Traditional Arabic" w:hAnsi="Traditional Arabic" w:cs="Traditional Arabic"/>
          <w:color w:val="000000" w:themeColor="text1"/>
          <w:sz w:val="24"/>
          <w:szCs w:val="24"/>
        </w:rPr>
        <w:t>.</w:t>
      </w:r>
    </w:p>
    <w:p w14:paraId="1C616725" w14:textId="77777777" w:rsidR="003377E4" w:rsidRPr="003377E4" w:rsidRDefault="003377E4">
      <w:pPr>
        <w:numPr>
          <w:ilvl w:val="0"/>
          <w:numId w:val="50"/>
        </w:numPr>
        <w:bidi/>
        <w:spacing w:after="200" w:line="276" w:lineRule="auto"/>
        <w:jc w:val="both"/>
        <w:rPr>
          <w:rFonts w:ascii="Traditional Arabic" w:hAnsi="Traditional Arabic" w:cs="Traditional Arabic"/>
          <w:color w:val="000000" w:themeColor="text1"/>
          <w:sz w:val="24"/>
          <w:szCs w:val="24"/>
        </w:rPr>
      </w:pPr>
      <w:r w:rsidRPr="003377E4">
        <w:rPr>
          <w:rFonts w:ascii="Traditional Arabic" w:hAnsi="Traditional Arabic" w:cs="Traditional Arabic"/>
          <w:color w:val="000000" w:themeColor="text1"/>
          <w:sz w:val="24"/>
          <w:szCs w:val="24"/>
          <w:rtl/>
        </w:rPr>
        <w:t>وجود تأثير مباشر ذو دلالة إحصائية للقيادة التحويلية على سلامة المرضى في المرافق الصحية الحكومية بالمملكة العربية السعودية</w:t>
      </w:r>
      <w:r w:rsidRPr="003377E4">
        <w:rPr>
          <w:rFonts w:ascii="Traditional Arabic" w:hAnsi="Traditional Arabic" w:cs="Traditional Arabic"/>
          <w:color w:val="000000" w:themeColor="text1"/>
          <w:sz w:val="24"/>
          <w:szCs w:val="24"/>
        </w:rPr>
        <w:t>.</w:t>
      </w:r>
    </w:p>
    <w:p w14:paraId="5FBEC39E" w14:textId="77777777" w:rsidR="003377E4" w:rsidRPr="003377E4" w:rsidRDefault="003377E4">
      <w:pPr>
        <w:numPr>
          <w:ilvl w:val="0"/>
          <w:numId w:val="50"/>
        </w:numPr>
        <w:bidi/>
        <w:spacing w:after="200" w:line="276" w:lineRule="auto"/>
        <w:jc w:val="both"/>
        <w:rPr>
          <w:rFonts w:ascii="Traditional Arabic" w:hAnsi="Traditional Arabic" w:cs="Traditional Arabic"/>
          <w:color w:val="000000" w:themeColor="text1"/>
          <w:sz w:val="24"/>
          <w:szCs w:val="24"/>
        </w:rPr>
      </w:pPr>
      <w:r w:rsidRPr="003377E4">
        <w:rPr>
          <w:rFonts w:ascii="Traditional Arabic" w:hAnsi="Traditional Arabic" w:cs="Traditional Arabic"/>
          <w:color w:val="000000" w:themeColor="text1"/>
          <w:sz w:val="24"/>
          <w:szCs w:val="24"/>
          <w:rtl/>
        </w:rPr>
        <w:t>وجود تأثير غير مباشر ذو دلالة إحصائية لممارسات إدارة المخاطر على سلامة المرضى من خلال القيادة التحويلية كمتغير وسيط في المرافق الصحية الحكومية بالمملكة العربية السعودية</w:t>
      </w:r>
      <w:r w:rsidRPr="003377E4">
        <w:rPr>
          <w:rFonts w:ascii="Traditional Arabic" w:hAnsi="Traditional Arabic" w:cs="Traditional Arabic"/>
          <w:color w:val="000000" w:themeColor="text1"/>
          <w:sz w:val="24"/>
          <w:szCs w:val="24"/>
        </w:rPr>
        <w:t>.</w:t>
      </w:r>
    </w:p>
    <w:p w14:paraId="34636D30" w14:textId="77777777" w:rsidR="003377E4" w:rsidRPr="003377E4" w:rsidRDefault="003377E4">
      <w:pPr>
        <w:numPr>
          <w:ilvl w:val="0"/>
          <w:numId w:val="50"/>
        </w:numPr>
        <w:bidi/>
        <w:spacing w:after="200" w:line="276" w:lineRule="auto"/>
        <w:jc w:val="both"/>
        <w:rPr>
          <w:rFonts w:ascii="Traditional Arabic" w:hAnsi="Traditional Arabic" w:cs="Traditional Arabic"/>
          <w:color w:val="000000" w:themeColor="text1"/>
          <w:sz w:val="24"/>
          <w:szCs w:val="24"/>
        </w:rPr>
      </w:pPr>
      <w:r w:rsidRPr="003377E4">
        <w:rPr>
          <w:rFonts w:ascii="Traditional Arabic" w:hAnsi="Traditional Arabic" w:cs="Traditional Arabic"/>
          <w:color w:val="000000" w:themeColor="text1"/>
          <w:sz w:val="24"/>
          <w:szCs w:val="24"/>
          <w:rtl/>
        </w:rPr>
        <w:t>وجود فروق ذات دلالة إحصائية في استجابات أفراد العينة حول متغيرات الدراسة تُعزى للمتغيرات الديموغرافية والوظيفية المتمثلة في (النوع، المؤهل العلمي، نوع الوظيفة، سنوات الخبرة)</w:t>
      </w:r>
      <w:r w:rsidRPr="003377E4">
        <w:rPr>
          <w:rFonts w:ascii="Traditional Arabic" w:hAnsi="Traditional Arabic" w:cs="Traditional Arabic"/>
          <w:color w:val="000000" w:themeColor="text1"/>
          <w:sz w:val="24"/>
          <w:szCs w:val="24"/>
        </w:rPr>
        <w:t>.</w:t>
      </w:r>
    </w:p>
    <w:p w14:paraId="41C85285" w14:textId="6C14926F" w:rsidR="004441EE" w:rsidRPr="003377E4" w:rsidRDefault="004441EE" w:rsidP="004441EE">
      <w:pPr>
        <w:bidi/>
        <w:spacing w:after="200" w:line="276" w:lineRule="auto"/>
        <w:jc w:val="both"/>
        <w:rPr>
          <w:rFonts w:ascii="Simplified Arabic" w:hAnsi="Simplified Arabic" w:cs="Simplified Arabic"/>
          <w:color w:val="000000" w:themeColor="text1"/>
          <w:sz w:val="28"/>
          <w:szCs w:val="28"/>
        </w:rPr>
      </w:pPr>
    </w:p>
    <w:p w14:paraId="05B23912" w14:textId="77777777" w:rsidR="008A46E4" w:rsidRP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576F0C5" w14:textId="77777777" w:rsidR="00674C3E" w:rsidRDefault="00674C3E" w:rsidP="008A46E4">
      <w:pPr>
        <w:bidi/>
        <w:spacing w:after="200" w:line="276" w:lineRule="auto"/>
        <w:jc w:val="both"/>
        <w:rPr>
          <w:rFonts w:ascii="Simplified Arabic" w:hAnsi="Simplified Arabic" w:cs="Times New Roman"/>
          <w:b/>
          <w:bCs/>
          <w:color w:val="000000" w:themeColor="text1"/>
          <w:sz w:val="28"/>
          <w:szCs w:val="28"/>
          <w:rtl/>
        </w:rPr>
        <w:sectPr w:rsidR="00674C3E" w:rsidSect="00E63F9C">
          <w:footerReference w:type="default" r:id="rId5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43"/>
          <w:cols w:space="708"/>
          <w:bidi/>
          <w:rtlGutter/>
          <w:docGrid w:linePitch="360"/>
        </w:sectPr>
      </w:pPr>
    </w:p>
    <w:p w14:paraId="5ABC55F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800E974"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9B7FC61"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E70D540"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B58EEAE"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0FAAD543"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2C96AA4D"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E1630DF"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86332B7" w14:textId="35ACC1E2" w:rsidR="008A46E4" w:rsidRPr="005D30DE" w:rsidRDefault="005D30DE" w:rsidP="005D30DE">
      <w:pPr>
        <w:spacing w:after="200" w:line="276" w:lineRule="auto"/>
        <w:jc w:val="center"/>
        <w:rPr>
          <w:rFonts w:ascii="Simplified Arabic" w:hAnsi="Simplified Arabic" w:cs="Simplified Arabic"/>
          <w:b/>
          <w:bCs/>
          <w:color w:val="000000" w:themeColor="text1"/>
          <w:sz w:val="96"/>
          <w:szCs w:val="96"/>
        </w:rPr>
      </w:pPr>
      <w:r w:rsidRPr="005D30DE">
        <w:rPr>
          <w:rFonts w:ascii="Simplified Arabic" w:hAnsi="Simplified Arabic" w:cs="Simplified Arabic"/>
          <w:b/>
          <w:bCs/>
          <w:color w:val="000000" w:themeColor="text1"/>
          <w:sz w:val="96"/>
          <w:szCs w:val="96"/>
        </w:rPr>
        <w:t>SUMMARY</w:t>
      </w:r>
    </w:p>
    <w:p w14:paraId="77D8D0F2"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23EEF646"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63062FF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2E18860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0E29F010" w14:textId="77777777" w:rsidR="00746C75" w:rsidRDefault="00746C75" w:rsidP="005D30DE">
      <w:pPr>
        <w:spacing w:after="200" w:line="276" w:lineRule="auto"/>
        <w:jc w:val="both"/>
        <w:rPr>
          <w:rFonts w:ascii="Simplified Arabic" w:hAnsi="Simplified Arabic" w:cs="Simplified Arabic"/>
          <w:b/>
          <w:bCs/>
          <w:color w:val="000000" w:themeColor="text1"/>
          <w:sz w:val="28"/>
          <w:szCs w:val="28"/>
        </w:rPr>
        <w:sectPr w:rsidR="00746C75" w:rsidSect="00674C3E">
          <w:footerReference w:type="default" r:id="rId57"/>
          <w:pgSz w:w="11906" w:h="16838"/>
          <w:pgMar w:top="1440" w:right="1800" w:bottom="1440" w:left="1800" w:header="708" w:footer="708" w:gutter="0"/>
          <w:pgNumType w:start="140"/>
          <w:cols w:space="708"/>
          <w:bidi/>
          <w:rtlGutter/>
          <w:docGrid w:linePitch="360"/>
        </w:sectPr>
      </w:pPr>
    </w:p>
    <w:p w14:paraId="58F6D6F7" w14:textId="77777777" w:rsidR="00746C75" w:rsidRDefault="00746C75" w:rsidP="00746C75">
      <w:pPr>
        <w:spacing w:after="200" w:line="276" w:lineRule="auto"/>
        <w:jc w:val="center"/>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lastRenderedPageBreak/>
        <w:t>The impact of risk management on patient safety: analyzing the mediating role of transformational leadership: a field study on government health facilities</w:t>
      </w:r>
    </w:p>
    <w:p w14:paraId="10A19C06" w14:textId="77777777" w:rsidR="00746C75" w:rsidRPr="009159DA" w:rsidRDefault="00746C75" w:rsidP="00746C75">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Introduction:</w:t>
      </w:r>
    </w:p>
    <w:p w14:paraId="22EB40F0" w14:textId="77777777" w:rsidR="00746C75" w:rsidRPr="009159DA" w:rsidRDefault="00746C75" w:rsidP="00746C75">
      <w:pPr>
        <w:spacing w:after="200" w:line="276" w:lineRule="auto"/>
        <w:jc w:val="both"/>
        <w:rPr>
          <w:rFonts w:asciiTheme="majorBidi" w:hAnsiTheme="majorBidi" w:cstheme="majorBidi"/>
          <w:color w:val="000000" w:themeColor="text1"/>
          <w:sz w:val="28"/>
          <w:szCs w:val="28"/>
        </w:rPr>
      </w:pPr>
      <w:r w:rsidRPr="009159DA">
        <w:rPr>
          <w:rFonts w:asciiTheme="majorBidi" w:hAnsiTheme="majorBidi" w:cstheme="majorBidi"/>
          <w:color w:val="000000" w:themeColor="text1"/>
          <w:sz w:val="28"/>
          <w:szCs w:val="28"/>
        </w:rPr>
        <w:t>Risk management is an essential element for ensuring the quality of health care and patient safety, as it relies on policies, procedures, training and reporting systems that reduce errors and enhance a culture of safety. In contrast, transformational leadership represents an effective management style that enables health institutions to predict crises and sudden changes, motivate workers, and build high-performance teams capable of meeting challenges. Studies have shown that this leadership style contributes to improving patient satisfaction, developing a safe work environment, and increasing the ability of government hospitals to respond to crises, making transformational leadership and risk management together essential pillars for achieving continuity in providing safe, high-quality health services.</w:t>
      </w:r>
    </w:p>
    <w:p w14:paraId="3626F7DA" w14:textId="77777777" w:rsidR="00746C75" w:rsidRPr="009159DA" w:rsidRDefault="00746C75" w:rsidP="00746C75">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Study problem:</w:t>
      </w:r>
    </w:p>
    <w:p w14:paraId="0FFF36AC" w14:textId="77777777" w:rsidR="00746C75" w:rsidRDefault="00746C75" w:rsidP="00746C75">
      <w:pPr>
        <w:spacing w:after="200" w:line="276" w:lineRule="auto"/>
        <w:jc w:val="both"/>
        <w:rPr>
          <w:rFonts w:asciiTheme="majorBidi" w:hAnsiTheme="majorBidi" w:cstheme="majorBidi"/>
          <w:color w:val="000000" w:themeColor="text1"/>
          <w:sz w:val="28"/>
          <w:szCs w:val="28"/>
          <w:rtl/>
        </w:rPr>
      </w:pPr>
      <w:r w:rsidRPr="009407BA">
        <w:rPr>
          <w:rFonts w:asciiTheme="majorBidi" w:hAnsiTheme="majorBidi" w:cstheme="majorBidi"/>
          <w:color w:val="000000" w:themeColor="text1"/>
          <w:sz w:val="28"/>
          <w:szCs w:val="28"/>
        </w:rPr>
        <w:t>The problem of the study can be crystallized into the following main question: "What is the impact of risk management practices on patient safety in government hospitals in the Kingdom of Saudi Arabia in light of the mediating role of transformational leadership?"</w:t>
      </w:r>
    </w:p>
    <w:p w14:paraId="4CE11B1B"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Objective of the study:</w:t>
      </w:r>
    </w:p>
    <w:p w14:paraId="72D9C49B" w14:textId="77777777" w:rsidR="00746C75" w:rsidRDefault="00746C75" w:rsidP="00746C75">
      <w:pPr>
        <w:spacing w:after="200" w:line="276" w:lineRule="auto"/>
        <w:jc w:val="both"/>
        <w:rPr>
          <w:rFonts w:asciiTheme="majorBidi" w:hAnsiTheme="majorBidi" w:cstheme="majorBidi"/>
          <w:color w:val="000000" w:themeColor="text1"/>
          <w:sz w:val="28"/>
          <w:szCs w:val="28"/>
          <w:rtl/>
        </w:rPr>
      </w:pPr>
      <w:r w:rsidRPr="004E074D">
        <w:rPr>
          <w:rFonts w:asciiTheme="majorBidi" w:hAnsiTheme="majorBidi" w:cstheme="majorBidi"/>
          <w:color w:val="000000" w:themeColor="text1"/>
          <w:sz w:val="28"/>
          <w:szCs w:val="28"/>
        </w:rPr>
        <w:t>The current study aimed to analyze the impact of risk management practices on patient safety in government hospitals in the Kingdom of Saudi Arabia, and to verify the mediating role played by transformational leadership in explaining and strengthening this relationship, while evaluating the level of application of these variables in the field from the employees' point of view.</w:t>
      </w:r>
    </w:p>
    <w:p w14:paraId="27585A6F"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sample:</w:t>
      </w:r>
    </w:p>
    <w:p w14:paraId="03920C00" w14:textId="77777777" w:rsidR="00746C75" w:rsidRDefault="00746C75" w:rsidP="00746C75">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A stratified random sample of (389) participants was selected from the study population out of a population of 15,000. The questionnaire was distributed to them electronically and all of them were valid for analysis. The sample size was determined using the Yamane equation (1967) and the Krejcie &amp; Morgan (1970) criteria at a margin of error of 5%.</w:t>
      </w:r>
    </w:p>
    <w:p w14:paraId="14E30DE8"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lastRenderedPageBreak/>
        <w:t>Study tool:</w:t>
      </w:r>
    </w:p>
    <w:p w14:paraId="65992FB5" w14:textId="77777777" w:rsidR="00746C75" w:rsidRPr="006760A1" w:rsidRDefault="00746C75" w:rsidP="00746C75">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The study tool was a comprehensive questionnaire that included 60 statements distributed over three main axes: transformational leadership (20 statements), patient safety (20 statements), and risk management (20 statements), ensuring that the targeted variables are accurately measured and linked to the reality of government hospitals in the Kingdom of Saudi Arabia.</w:t>
      </w:r>
    </w:p>
    <w:p w14:paraId="40C815F6" w14:textId="77777777"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Statistical methods:</w:t>
      </w:r>
    </w:p>
    <w:p w14:paraId="10005A45" w14:textId="77777777" w:rsidR="00F43259" w:rsidRDefault="00F43259" w:rsidP="00746C75">
      <w:pPr>
        <w:spacing w:after="200" w:line="276" w:lineRule="auto"/>
        <w:jc w:val="both"/>
        <w:rPr>
          <w:rFonts w:asciiTheme="majorBidi" w:hAnsiTheme="majorBidi" w:cstheme="majorBidi"/>
          <w:color w:val="000000" w:themeColor="text1"/>
          <w:sz w:val="28"/>
          <w:szCs w:val="28"/>
          <w:rtl/>
        </w:rPr>
      </w:pPr>
      <w:r w:rsidRPr="00F43259">
        <w:rPr>
          <w:rFonts w:asciiTheme="majorBidi" w:hAnsiTheme="majorBidi" w:cstheme="majorBidi"/>
          <w:color w:val="000000" w:themeColor="text1"/>
          <w:sz w:val="28"/>
          <w:szCs w:val="28"/>
        </w:rPr>
        <w:t>The researcher adopted a set of statistical methods to verify the stability and validity of the tool using Cronbach's alpha coefficient and Pearson's correlation coefficient. Direct and indirect relationships between variables were also analyzed via simple linear regression and structural equation modeling (SEM) using AMOS software for mediating effect testing. To detect statistical differences according to demographic variables (gender, educational qualification, job, years of experience), the researcher used the independent groups t-test and the single-digit analysis of variance (ANOVA)</w:t>
      </w:r>
    </w:p>
    <w:p w14:paraId="19FC5C8E" w14:textId="0F0A0F79" w:rsidR="00746C75" w:rsidRPr="006760A1" w:rsidRDefault="00746C75" w:rsidP="00746C75">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results:</w:t>
      </w:r>
    </w:p>
    <w:p w14:paraId="3E3F39BB" w14:textId="77777777" w:rsidR="00737718" w:rsidRPr="00737718" w:rsidRDefault="00737718" w:rsidP="00737718">
      <w:pPr>
        <w:spacing w:after="200" w:line="276" w:lineRule="auto"/>
        <w:rPr>
          <w:rFonts w:asciiTheme="majorBidi" w:hAnsiTheme="majorBidi" w:cstheme="majorBidi"/>
          <w:color w:val="000000" w:themeColor="text1"/>
          <w:sz w:val="28"/>
          <w:szCs w:val="28"/>
        </w:rPr>
      </w:pPr>
      <w:r w:rsidRPr="00737718">
        <w:rPr>
          <w:rFonts w:asciiTheme="majorBidi" w:hAnsiTheme="majorBidi" w:cstheme="majorBidi"/>
          <w:color w:val="000000" w:themeColor="text1"/>
          <w:sz w:val="28"/>
          <w:szCs w:val="28"/>
        </w:rPr>
        <w:t>1</w:t>
      </w:r>
      <w:r w:rsidRPr="00737718">
        <w:rPr>
          <w:rFonts w:asciiTheme="majorBidi" w:hAnsiTheme="majorBidi" w:cs="Times New Roman"/>
          <w:color w:val="000000" w:themeColor="text1"/>
          <w:sz w:val="28"/>
          <w:szCs w:val="28"/>
          <w:rtl/>
        </w:rPr>
        <w:t>.</w:t>
      </w:r>
      <w:r w:rsidRPr="00737718">
        <w:rPr>
          <w:rFonts w:asciiTheme="majorBidi" w:hAnsiTheme="majorBidi" w:cstheme="majorBidi"/>
          <w:color w:val="000000" w:themeColor="text1"/>
          <w:sz w:val="28"/>
          <w:szCs w:val="28"/>
        </w:rPr>
        <w:t>There is a direct, statistically significant impact of risk management practices on transformational leadership in government health facilities in the Kingdom of Saudi Arabia</w:t>
      </w:r>
      <w:r w:rsidRPr="00737718">
        <w:rPr>
          <w:rFonts w:asciiTheme="majorBidi" w:hAnsiTheme="majorBidi" w:cs="Times New Roman"/>
          <w:color w:val="000000" w:themeColor="text1"/>
          <w:sz w:val="28"/>
          <w:szCs w:val="28"/>
          <w:rtl/>
        </w:rPr>
        <w:t>.</w:t>
      </w:r>
    </w:p>
    <w:p w14:paraId="1A968723" w14:textId="77777777" w:rsidR="00737718" w:rsidRPr="00737718" w:rsidRDefault="00737718" w:rsidP="00737718">
      <w:pPr>
        <w:spacing w:after="200" w:line="276" w:lineRule="auto"/>
        <w:rPr>
          <w:rFonts w:asciiTheme="majorBidi" w:hAnsiTheme="majorBidi" w:cstheme="majorBidi"/>
          <w:color w:val="000000" w:themeColor="text1"/>
          <w:sz w:val="28"/>
          <w:szCs w:val="28"/>
        </w:rPr>
      </w:pPr>
      <w:r w:rsidRPr="00737718">
        <w:rPr>
          <w:rFonts w:asciiTheme="majorBidi" w:hAnsiTheme="majorBidi" w:cstheme="majorBidi"/>
          <w:color w:val="000000" w:themeColor="text1"/>
          <w:sz w:val="28"/>
          <w:szCs w:val="28"/>
        </w:rPr>
        <w:t>2</w:t>
      </w:r>
      <w:r w:rsidRPr="00737718">
        <w:rPr>
          <w:rFonts w:asciiTheme="majorBidi" w:hAnsiTheme="majorBidi" w:cs="Times New Roman"/>
          <w:color w:val="000000" w:themeColor="text1"/>
          <w:sz w:val="28"/>
          <w:szCs w:val="28"/>
          <w:rtl/>
        </w:rPr>
        <w:t>.</w:t>
      </w:r>
      <w:r w:rsidRPr="00737718">
        <w:rPr>
          <w:rFonts w:asciiTheme="majorBidi" w:hAnsiTheme="majorBidi" w:cstheme="majorBidi"/>
          <w:color w:val="000000" w:themeColor="text1"/>
          <w:sz w:val="28"/>
          <w:szCs w:val="28"/>
        </w:rPr>
        <w:t>There is a direct, statistically significant impact of risk management practices on patient safety in government health facilities in the Kingdom of Saudi Arabia</w:t>
      </w:r>
      <w:r w:rsidRPr="00737718">
        <w:rPr>
          <w:rFonts w:asciiTheme="majorBidi" w:hAnsiTheme="majorBidi" w:cs="Times New Roman"/>
          <w:color w:val="000000" w:themeColor="text1"/>
          <w:sz w:val="28"/>
          <w:szCs w:val="28"/>
          <w:rtl/>
        </w:rPr>
        <w:t>.</w:t>
      </w:r>
    </w:p>
    <w:p w14:paraId="1BCB1924" w14:textId="77777777" w:rsidR="00737718" w:rsidRPr="00737718" w:rsidRDefault="00737718" w:rsidP="00737718">
      <w:pPr>
        <w:spacing w:after="200" w:line="276" w:lineRule="auto"/>
        <w:rPr>
          <w:rFonts w:asciiTheme="majorBidi" w:hAnsiTheme="majorBidi" w:cstheme="majorBidi"/>
          <w:color w:val="000000" w:themeColor="text1"/>
          <w:sz w:val="28"/>
          <w:szCs w:val="28"/>
        </w:rPr>
      </w:pPr>
      <w:r w:rsidRPr="00737718">
        <w:rPr>
          <w:rFonts w:asciiTheme="majorBidi" w:hAnsiTheme="majorBidi" w:cstheme="majorBidi"/>
          <w:color w:val="000000" w:themeColor="text1"/>
          <w:sz w:val="28"/>
          <w:szCs w:val="28"/>
        </w:rPr>
        <w:t>3</w:t>
      </w:r>
      <w:r w:rsidRPr="00737718">
        <w:rPr>
          <w:rFonts w:asciiTheme="majorBidi" w:hAnsiTheme="majorBidi" w:cs="Times New Roman"/>
          <w:color w:val="000000" w:themeColor="text1"/>
          <w:sz w:val="28"/>
          <w:szCs w:val="28"/>
          <w:rtl/>
        </w:rPr>
        <w:t>.</w:t>
      </w:r>
      <w:r w:rsidRPr="00737718">
        <w:rPr>
          <w:rFonts w:asciiTheme="majorBidi" w:hAnsiTheme="majorBidi" w:cstheme="majorBidi"/>
          <w:color w:val="000000" w:themeColor="text1"/>
          <w:sz w:val="28"/>
          <w:szCs w:val="28"/>
        </w:rPr>
        <w:t>There is a direct, statistically significant impact of transformational leadership on patient safety in government health facilities in the Kingdom of Saudi Arabia</w:t>
      </w:r>
      <w:r w:rsidRPr="00737718">
        <w:rPr>
          <w:rFonts w:asciiTheme="majorBidi" w:hAnsiTheme="majorBidi" w:cs="Times New Roman"/>
          <w:color w:val="000000" w:themeColor="text1"/>
          <w:sz w:val="28"/>
          <w:szCs w:val="28"/>
          <w:rtl/>
        </w:rPr>
        <w:t>.</w:t>
      </w:r>
    </w:p>
    <w:p w14:paraId="5990423C" w14:textId="77777777" w:rsidR="00737718" w:rsidRPr="00737718" w:rsidRDefault="00737718" w:rsidP="00737718">
      <w:pPr>
        <w:spacing w:after="200" w:line="276" w:lineRule="auto"/>
        <w:rPr>
          <w:rFonts w:asciiTheme="majorBidi" w:hAnsiTheme="majorBidi" w:cstheme="majorBidi"/>
          <w:color w:val="000000" w:themeColor="text1"/>
          <w:sz w:val="28"/>
          <w:szCs w:val="28"/>
        </w:rPr>
      </w:pPr>
      <w:r w:rsidRPr="00737718">
        <w:rPr>
          <w:rFonts w:asciiTheme="majorBidi" w:hAnsiTheme="majorBidi" w:cstheme="majorBidi"/>
          <w:color w:val="000000" w:themeColor="text1"/>
          <w:sz w:val="28"/>
          <w:szCs w:val="28"/>
        </w:rPr>
        <w:t>4</w:t>
      </w:r>
      <w:r w:rsidRPr="00737718">
        <w:rPr>
          <w:rFonts w:asciiTheme="majorBidi" w:hAnsiTheme="majorBidi" w:cs="Times New Roman"/>
          <w:color w:val="000000" w:themeColor="text1"/>
          <w:sz w:val="28"/>
          <w:szCs w:val="28"/>
          <w:rtl/>
        </w:rPr>
        <w:t>.</w:t>
      </w:r>
      <w:r w:rsidRPr="00737718">
        <w:rPr>
          <w:rFonts w:asciiTheme="majorBidi" w:hAnsiTheme="majorBidi" w:cstheme="majorBidi"/>
          <w:color w:val="000000" w:themeColor="text1"/>
          <w:sz w:val="28"/>
          <w:szCs w:val="28"/>
        </w:rPr>
        <w:t>There is a statistically significant indirect impact of risk management practices on patient safety through transformational leadership as an intermediate variable in government health facilities in the Kingdom of Saudi Arabia</w:t>
      </w:r>
      <w:r w:rsidRPr="00737718">
        <w:rPr>
          <w:rFonts w:asciiTheme="majorBidi" w:hAnsiTheme="majorBidi" w:cs="Times New Roman"/>
          <w:color w:val="000000" w:themeColor="text1"/>
          <w:sz w:val="28"/>
          <w:szCs w:val="28"/>
          <w:rtl/>
        </w:rPr>
        <w:t>.</w:t>
      </w:r>
    </w:p>
    <w:p w14:paraId="2ADEB7C7" w14:textId="0E49CE91" w:rsidR="005D30DE" w:rsidRPr="00746C75" w:rsidRDefault="00737718" w:rsidP="00737718">
      <w:pPr>
        <w:spacing w:after="200" w:line="276" w:lineRule="auto"/>
        <w:rPr>
          <w:rFonts w:ascii="Simplified Arabic" w:hAnsi="Simplified Arabic" w:cs="Simplified Arabic"/>
          <w:b/>
          <w:bCs/>
          <w:color w:val="000000" w:themeColor="text1"/>
          <w:sz w:val="28"/>
          <w:szCs w:val="28"/>
        </w:rPr>
      </w:pPr>
      <w:r w:rsidRPr="00737718">
        <w:rPr>
          <w:rFonts w:asciiTheme="majorBidi" w:hAnsiTheme="majorBidi" w:cstheme="majorBidi"/>
          <w:color w:val="000000" w:themeColor="text1"/>
          <w:sz w:val="28"/>
          <w:szCs w:val="28"/>
        </w:rPr>
        <w:lastRenderedPageBreak/>
        <w:t>5</w:t>
      </w:r>
      <w:r w:rsidRPr="00737718">
        <w:rPr>
          <w:rFonts w:asciiTheme="majorBidi" w:hAnsiTheme="majorBidi" w:cs="Times New Roman"/>
          <w:color w:val="000000" w:themeColor="text1"/>
          <w:sz w:val="28"/>
          <w:szCs w:val="28"/>
          <w:rtl/>
        </w:rPr>
        <w:t>.</w:t>
      </w:r>
      <w:r w:rsidRPr="00737718">
        <w:rPr>
          <w:rFonts w:asciiTheme="majorBidi" w:hAnsiTheme="majorBidi" w:cstheme="majorBidi"/>
          <w:color w:val="000000" w:themeColor="text1"/>
          <w:sz w:val="28"/>
          <w:szCs w:val="28"/>
        </w:rPr>
        <w:t>The presence of statistically significant differences in the responses of sample members to the study variables is attributed to the demographic and functional variables represented by (type, academic qualification, job type, years of experience)</w:t>
      </w:r>
      <w:r w:rsidRPr="00737718">
        <w:rPr>
          <w:rFonts w:asciiTheme="majorBidi" w:hAnsiTheme="majorBidi" w:cs="Times New Roman"/>
          <w:color w:val="000000" w:themeColor="text1"/>
          <w:sz w:val="28"/>
          <w:szCs w:val="28"/>
          <w:rtl/>
        </w:rPr>
        <w:t>.</w:t>
      </w:r>
    </w:p>
    <w:p w14:paraId="7339CBDE" w14:textId="77777777" w:rsidR="00674C3E" w:rsidRDefault="00674C3E" w:rsidP="005D30DE">
      <w:pPr>
        <w:spacing w:after="200" w:line="276" w:lineRule="auto"/>
        <w:jc w:val="both"/>
        <w:rPr>
          <w:rFonts w:ascii="Simplified Arabic" w:hAnsi="Simplified Arabic" w:cs="Simplified Arabic"/>
          <w:b/>
          <w:bCs/>
          <w:color w:val="000000" w:themeColor="text1"/>
          <w:sz w:val="28"/>
          <w:szCs w:val="28"/>
        </w:rPr>
        <w:sectPr w:rsidR="00674C3E" w:rsidSect="00E63F9C">
          <w:footerReference w:type="default" r:id="rId58"/>
          <w:pgSz w:w="11906" w:h="16838"/>
          <w:pgMar w:top="1440" w:right="1800" w:bottom="1440" w:left="1800" w:header="708" w:footer="708" w:gutter="0"/>
          <w:pgBorders w:offsetFrom="page">
            <w:top w:val="single" w:sz="6" w:space="24" w:color="auto"/>
            <w:left w:val="single" w:sz="6" w:space="24" w:color="auto"/>
            <w:bottom w:val="single" w:sz="6" w:space="24" w:color="auto"/>
            <w:right w:val="single" w:sz="6" w:space="24" w:color="auto"/>
          </w:pgBorders>
          <w:pgNumType w:start="146"/>
          <w:cols w:space="708"/>
          <w:bidi/>
          <w:rtlGutter/>
          <w:docGrid w:linePitch="360"/>
        </w:sectPr>
      </w:pPr>
    </w:p>
    <w:p w14:paraId="6ACB278E"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14482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11CAD072"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83569B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A8FCB2B"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75321D"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67B169A7"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588D7D5D" w14:textId="77777777" w:rsidR="009159DA" w:rsidRPr="009159DA" w:rsidRDefault="009159DA" w:rsidP="009159DA">
      <w:pPr>
        <w:spacing w:after="200" w:line="276" w:lineRule="auto"/>
        <w:rPr>
          <w:rFonts w:asciiTheme="majorBidi" w:hAnsiTheme="majorBidi" w:cstheme="majorBidi"/>
          <w:b/>
          <w:bCs/>
          <w:color w:val="000000" w:themeColor="text1"/>
          <w:sz w:val="28"/>
          <w:szCs w:val="28"/>
          <w:rtl/>
        </w:rPr>
      </w:pPr>
    </w:p>
    <w:p w14:paraId="0E53407A"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09E6F185" w14:textId="50942F96" w:rsidR="005D30DE" w:rsidRPr="00A77E86" w:rsidRDefault="00A36978" w:rsidP="00A77E86">
      <w:pPr>
        <w:bidi/>
        <w:spacing w:after="200" w:line="276" w:lineRule="auto"/>
        <w:jc w:val="center"/>
        <w:rPr>
          <w:rFonts w:ascii="Traditional Arabic" w:hAnsi="Traditional Arabic" w:cs="Traditional Arabic"/>
          <w:b/>
          <w:bCs/>
          <w:color w:val="000000" w:themeColor="text1"/>
          <w:sz w:val="144"/>
          <w:szCs w:val="144"/>
          <w:rtl/>
          <w:lang w:bidi="ar-EG"/>
        </w:rPr>
      </w:pPr>
      <w:r w:rsidRPr="00A77E86">
        <w:rPr>
          <w:rFonts w:ascii="Traditional Arabic" w:hAnsi="Traditional Arabic" w:cs="Traditional Arabic" w:hint="cs"/>
          <w:b/>
          <w:bCs/>
          <w:color w:val="000000" w:themeColor="text1"/>
          <w:sz w:val="144"/>
          <w:szCs w:val="144"/>
          <w:rtl/>
          <w:lang w:bidi="ar-EG"/>
        </w:rPr>
        <w:t>المراجع</w:t>
      </w:r>
    </w:p>
    <w:p w14:paraId="62C19834"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610505EE"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5D838DF2" w14:textId="77777777" w:rsidR="00A77E86" w:rsidRDefault="00A77E86" w:rsidP="005D30DE">
      <w:pPr>
        <w:bidi/>
        <w:spacing w:after="200" w:line="276" w:lineRule="auto"/>
        <w:jc w:val="both"/>
        <w:rPr>
          <w:rFonts w:ascii="Simplified Arabic" w:hAnsi="Simplified Arabic" w:cs="Times New Roman"/>
          <w:b/>
          <w:bCs/>
          <w:color w:val="000000" w:themeColor="text1"/>
          <w:sz w:val="28"/>
          <w:szCs w:val="28"/>
          <w:rtl/>
        </w:rPr>
        <w:sectPr w:rsidR="00A77E86" w:rsidSect="00A77E86">
          <w:footerReference w:type="default" r:id="rId59"/>
          <w:pgSz w:w="11906" w:h="16838"/>
          <w:pgMar w:top="1440" w:right="1800" w:bottom="1440" w:left="1800" w:header="708" w:footer="708" w:gutter="0"/>
          <w:pgNumType w:start="147"/>
          <w:cols w:space="708"/>
          <w:bidi/>
          <w:rtlGutter/>
          <w:docGrid w:linePitch="360"/>
        </w:sectPr>
      </w:pPr>
    </w:p>
    <w:p w14:paraId="1D0F4D0D" w14:textId="437B94E9" w:rsidR="00FE2AD4" w:rsidRPr="00B74DD7" w:rsidRDefault="00FE2AD4" w:rsidP="00FE2AD4">
      <w:pPr>
        <w:bidi/>
        <w:spacing w:after="200" w:line="276" w:lineRule="auto"/>
        <w:jc w:val="both"/>
        <w:rPr>
          <w:rFonts w:ascii="Traditional Arabic" w:eastAsia="Calibri" w:hAnsi="Traditional Arabic" w:cs="Traditional Arabic"/>
          <w:b/>
          <w:bCs/>
          <w:sz w:val="28"/>
          <w:szCs w:val="28"/>
          <w:u w:val="single"/>
          <w:rtl/>
          <w:lang w:bidi="ar-EG"/>
        </w:rPr>
      </w:pPr>
      <w:r w:rsidRPr="00B74DD7">
        <w:rPr>
          <w:rFonts w:ascii="Traditional Arabic" w:eastAsia="Calibri" w:hAnsi="Traditional Arabic" w:cs="Traditional Arabic" w:hint="cs"/>
          <w:b/>
          <w:bCs/>
          <w:sz w:val="28"/>
          <w:szCs w:val="28"/>
          <w:u w:val="single"/>
          <w:rtl/>
          <w:lang w:bidi="ar-EG"/>
        </w:rPr>
        <w:lastRenderedPageBreak/>
        <w:t>اولا</w:t>
      </w:r>
      <w:r w:rsidR="0044630D" w:rsidRPr="00B74DD7">
        <w:rPr>
          <w:rFonts w:ascii="Traditional Arabic" w:eastAsia="Calibri" w:hAnsi="Traditional Arabic" w:cs="Traditional Arabic" w:hint="cs"/>
          <w:b/>
          <w:bCs/>
          <w:sz w:val="28"/>
          <w:szCs w:val="28"/>
          <w:u w:val="single"/>
          <w:rtl/>
          <w:lang w:bidi="ar-EG"/>
        </w:rPr>
        <w:t>ً</w:t>
      </w:r>
      <w:r w:rsidRPr="00B74DD7">
        <w:rPr>
          <w:rFonts w:ascii="Traditional Arabic" w:eastAsia="Calibri" w:hAnsi="Traditional Arabic" w:cs="Traditional Arabic" w:hint="cs"/>
          <w:b/>
          <w:bCs/>
          <w:sz w:val="28"/>
          <w:szCs w:val="28"/>
          <w:u w:val="single"/>
          <w:rtl/>
          <w:lang w:bidi="ar-EG"/>
        </w:rPr>
        <w:t xml:space="preserve"> المراجع العربية </w:t>
      </w:r>
    </w:p>
    <w:p w14:paraId="151D9997" w14:textId="77777777"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ج. (2019). أثر ممارسة أبعاد القيادة التحويلية في تطبيق أساليب إدارة الأزمات في جامعة الطائف</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المنارة، جامعة الطائف</w:t>
      </w:r>
      <w:r w:rsidRPr="00973709">
        <w:rPr>
          <w:rFonts w:ascii="Traditional Arabic" w:hAnsi="Traditional Arabic" w:cs="Traditional Arabic" w:hint="cs"/>
          <w:spacing w:val="-6"/>
          <w:sz w:val="24"/>
          <w:szCs w:val="24"/>
          <w:lang w:bidi="ar-EG"/>
        </w:rPr>
        <w:t>.</w:t>
      </w:r>
    </w:p>
    <w:p w14:paraId="2B99F6F8" w14:textId="456293B4"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س. (2020). أثر القيادة التحويلية في الاستعداد لإدارة الأزمات</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المجلة الأردنية في إدارة الأعمال، 16</w:t>
      </w:r>
      <w:r w:rsidR="003E4437" w:rsidRPr="00973709">
        <w:rPr>
          <w:rFonts w:ascii="Traditional Arabic" w:hAnsi="Traditional Arabic" w:cs="Traditional Arabic" w:hint="cs"/>
          <w:spacing w:val="-6"/>
          <w:sz w:val="24"/>
          <w:szCs w:val="24"/>
          <w:rtl/>
          <w:lang w:bidi="ar-EG"/>
        </w:rPr>
        <w:t>(3)</w:t>
      </w:r>
      <w:r w:rsidRPr="00973709">
        <w:rPr>
          <w:rFonts w:ascii="Traditional Arabic" w:hAnsi="Traditional Arabic" w:cs="Traditional Arabic" w:hint="cs"/>
          <w:spacing w:val="-6"/>
          <w:sz w:val="24"/>
          <w:szCs w:val="24"/>
          <w:rtl/>
        </w:rPr>
        <w:t xml:space="preserve"> 145</w:t>
      </w:r>
      <w:r w:rsidRPr="00973709">
        <w:rPr>
          <w:rFonts w:ascii="Traditional Arabic" w:hAnsi="Traditional Arabic" w:cs="Traditional Arabic" w:hint="cs"/>
          <w:spacing w:val="-6"/>
          <w:sz w:val="24"/>
          <w:szCs w:val="24"/>
          <w:lang w:bidi="ar-EG"/>
        </w:rPr>
        <w:t>–</w:t>
      </w:r>
      <w:r w:rsidR="003E4437" w:rsidRPr="00973709">
        <w:rPr>
          <w:rFonts w:ascii="Traditional Arabic" w:hAnsi="Traditional Arabic" w:cs="Traditional Arabic" w:hint="cs"/>
          <w:spacing w:val="-6"/>
          <w:sz w:val="24"/>
          <w:szCs w:val="24"/>
          <w:rtl/>
          <w:lang w:bidi="ar-EG"/>
        </w:rPr>
        <w:t>162.</w:t>
      </w:r>
    </w:p>
    <w:p w14:paraId="4CA45C03" w14:textId="05E925CB"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زيد، س.، عامر، م</w:t>
      </w:r>
      <w:r w:rsidR="003E4437"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الدمياطي، أ. (2023). القيادة التحويلية وعدالة التعاملات والسلوك الابتكاري في قطاع الصحة الحكومي بمحافظة الشرقية</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البحوث الإدارية، 15</w:t>
      </w:r>
      <w:r w:rsidR="003E4437" w:rsidRPr="00973709">
        <w:rPr>
          <w:rFonts w:ascii="Traditional Arabic" w:hAnsi="Traditional Arabic" w:cs="Traditional Arabic" w:hint="cs"/>
          <w:spacing w:val="-6"/>
          <w:sz w:val="24"/>
          <w:szCs w:val="24"/>
          <w:rtl/>
          <w:lang w:bidi="ar-EG"/>
        </w:rPr>
        <w:t>(2)،</w:t>
      </w:r>
      <w:r w:rsidRPr="00973709">
        <w:rPr>
          <w:rFonts w:ascii="Traditional Arabic" w:hAnsi="Traditional Arabic" w:cs="Traditional Arabic" w:hint="cs"/>
          <w:spacing w:val="-6"/>
          <w:sz w:val="24"/>
          <w:szCs w:val="24"/>
          <w:rtl/>
        </w:rPr>
        <w:t xml:space="preserve"> 6689</w:t>
      </w:r>
      <w:r w:rsidRPr="00973709">
        <w:rPr>
          <w:rFonts w:ascii="Traditional Arabic" w:hAnsi="Traditional Arabic" w:cs="Traditional Arabic" w:hint="cs"/>
          <w:spacing w:val="-6"/>
          <w:sz w:val="24"/>
          <w:szCs w:val="24"/>
          <w:lang w:bidi="ar-EG"/>
        </w:rPr>
        <w:t>.</w:t>
      </w:r>
    </w:p>
    <w:p w14:paraId="586AC9B6" w14:textId="77777777" w:rsidR="00342847" w:rsidRPr="00973709" w:rsidRDefault="00342847">
      <w:pPr>
        <w:numPr>
          <w:ilvl w:val="0"/>
          <w:numId w:val="30"/>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z w:val="24"/>
          <w:szCs w:val="24"/>
          <w:rtl/>
        </w:rPr>
        <w:t>الأحمدي، ح. ع. (1438هـ)</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سلامة المرضى وجودة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الرياض: معهد الإدارة العامة</w:t>
      </w:r>
      <w:r w:rsidRPr="00973709">
        <w:rPr>
          <w:rFonts w:ascii="Traditional Arabic" w:hAnsi="Traditional Arabic" w:cs="Traditional Arabic" w:hint="cs"/>
          <w:sz w:val="24"/>
          <w:szCs w:val="24"/>
          <w:lang w:bidi="ar-EG"/>
        </w:rPr>
        <w:t>.</w:t>
      </w:r>
    </w:p>
    <w:p w14:paraId="3BB15D00" w14:textId="6144FA64" w:rsidR="00593118" w:rsidRPr="00973709" w:rsidRDefault="00342847">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الأكاديمية البريطانية للتدريب والتطوير</w:t>
      </w:r>
      <w:r w:rsidR="003E4437"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lang w:bidi="ar-EG"/>
        </w:rPr>
        <w:t xml:space="preserve"> </w:t>
      </w:r>
      <w:r w:rsidR="003E4437" w:rsidRPr="00973709">
        <w:rPr>
          <w:rFonts w:ascii="Traditional Arabic" w:hAnsi="Traditional Arabic" w:cs="Traditional Arabic" w:hint="cs"/>
          <w:sz w:val="24"/>
          <w:szCs w:val="24"/>
          <w:rtl/>
          <w:lang w:bidi="ar-EG"/>
        </w:rPr>
        <w:t>2023)</w:t>
      </w:r>
      <w:r w:rsidRPr="00973709">
        <w:rPr>
          <w:rFonts w:ascii="Traditional Arabic" w:hAnsi="Traditional Arabic" w:cs="Traditional Arabic" w:hint="cs"/>
          <w:sz w:val="24"/>
          <w:szCs w:val="24"/>
          <w:rtl/>
        </w:rPr>
        <w:t>إدارة المخاطر في المؤسسات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لندن: الأكاديمية البريطانية</w:t>
      </w:r>
      <w:r w:rsidR="00593118" w:rsidRPr="00973709">
        <w:rPr>
          <w:rFonts w:ascii="Traditional Arabic" w:hAnsi="Traditional Arabic" w:cs="Traditional Arabic" w:hint="cs"/>
          <w:sz w:val="24"/>
          <w:szCs w:val="24"/>
          <w:rtl/>
        </w:rPr>
        <w:t xml:space="preserve"> </w:t>
      </w:r>
      <w:r w:rsidRPr="00973709">
        <w:rPr>
          <w:rFonts w:ascii="Traditional Arabic" w:hAnsi="Traditional Arabic" w:cs="Traditional Arabic" w:hint="cs"/>
          <w:sz w:val="24"/>
          <w:szCs w:val="24"/>
          <w:lang w:bidi="ar-EG"/>
        </w:rPr>
        <w:t>.</w:t>
      </w:r>
      <w:hyperlink r:id="rId60" w:history="1">
        <w:r w:rsidRPr="00973709">
          <w:rPr>
            <w:rStyle w:val="Hyperlink"/>
            <w:rFonts w:ascii="Traditional Arabic" w:hAnsi="Traditional Arabic" w:cs="Traditional Arabic" w:hint="cs"/>
            <w:sz w:val="24"/>
            <w:szCs w:val="24"/>
            <w:lang w:bidi="ar-EG"/>
          </w:rPr>
          <w:t>https://www.british-training.com</w:t>
        </w:r>
      </w:hyperlink>
    </w:p>
    <w:p w14:paraId="29561D40" w14:textId="07AD979E"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الأكاديمية البريطانية للتدريب والتطوير. (2024). دليل شامل في إدارة المخاطر في الرعاية الصحية</w:t>
      </w:r>
      <w:r w:rsidRPr="00973709">
        <w:rPr>
          <w:rFonts w:ascii="Traditional Arabic" w:hAnsi="Traditional Arabic" w:cs="Traditional Arabic" w:hint="cs"/>
          <w:spacing w:val="-6"/>
          <w:sz w:val="24"/>
          <w:szCs w:val="24"/>
          <w:lang w:bidi="ar-EG"/>
        </w:rPr>
        <w:t>.</w:t>
      </w:r>
      <w:r w:rsidR="001C5657"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pacing w:val="-6"/>
          <w:sz w:val="24"/>
          <w:szCs w:val="24"/>
          <w:lang w:bidi="ar-EG"/>
        </w:rPr>
        <w:t xml:space="preserve"> </w:t>
      </w:r>
      <w:hyperlink r:id="rId61" w:history="1">
        <w:r w:rsidRPr="00973709">
          <w:rPr>
            <w:rStyle w:val="Hyperlink"/>
            <w:rFonts w:ascii="Traditional Arabic" w:hAnsi="Traditional Arabic" w:cs="Traditional Arabic" w:hint="cs"/>
            <w:spacing w:val="-6"/>
            <w:sz w:val="24"/>
            <w:szCs w:val="24"/>
            <w:lang w:bidi="ar-EG"/>
          </w:rPr>
          <w:t>https://batdacademy.com/ar/post/</w:t>
        </w:r>
        <w:r w:rsidRPr="00973709">
          <w:rPr>
            <w:rStyle w:val="Hyperlink"/>
            <w:rFonts w:ascii="Traditional Arabic" w:hAnsi="Traditional Arabic" w:cs="Traditional Arabic" w:hint="cs"/>
            <w:spacing w:val="-6"/>
            <w:sz w:val="24"/>
            <w:szCs w:val="24"/>
            <w:rtl/>
          </w:rPr>
          <w:t>دليل-شامل-في-إدارة-المخاطر-في-الرعاية-الصحية</w:t>
        </w:r>
      </w:hyperlink>
    </w:p>
    <w:p w14:paraId="67ACF5AB" w14:textId="6ADDE766" w:rsidR="00342847" w:rsidRPr="00973709" w:rsidRDefault="001C5657">
      <w:pPr>
        <w:numPr>
          <w:ilvl w:val="0"/>
          <w:numId w:val="23"/>
        </w:numPr>
        <w:tabs>
          <w:tab w:val="num" w:pos="720"/>
        </w:tabs>
        <w:bidi/>
        <w:spacing w:before="144" w:after="200" w:line="360" w:lineRule="auto"/>
        <w:ind w:right="301"/>
        <w:contextualSpacing/>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عزام، س؛ بن ظفره، ف. (٢٠٢٣). أثر القيادة التحويلية على إدارة الأزمة الصحية في ظل وباء كوفيد-١٩ بالتطبيق على إمارة منطقة عسير. مجلة كلية الاقتصاد والعلوم السياسية بجامعة القاهرة، ٢٤(٢)، ١٥٥–١٧٨</w:t>
      </w:r>
      <w:r w:rsidRPr="00973709">
        <w:rPr>
          <w:rFonts w:ascii="Traditional Arabic" w:eastAsia="Calibri" w:hAnsi="Traditional Arabic" w:cs="Traditional Arabic" w:hint="cs"/>
          <w:sz w:val="24"/>
          <w:szCs w:val="24"/>
        </w:rPr>
        <w:t xml:space="preserve">. </w:t>
      </w:r>
      <w:hyperlink r:id="rId62" w:history="1">
        <w:r w:rsidR="00342847" w:rsidRPr="00973709">
          <w:rPr>
            <w:rStyle w:val="Hyperlink"/>
            <w:rFonts w:ascii="Traditional Arabic" w:eastAsia="Calibri" w:hAnsi="Traditional Arabic" w:cs="Traditional Arabic" w:hint="cs"/>
            <w:sz w:val="24"/>
            <w:szCs w:val="24"/>
          </w:rPr>
          <w:t>https://journals.ekb.eg/article_295873_0.html</w:t>
        </w:r>
      </w:hyperlink>
    </w:p>
    <w:p w14:paraId="2C299964" w14:textId="77777777" w:rsidR="009C55F1" w:rsidRPr="00973709" w:rsidRDefault="009C55F1">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مرزوق، ف. (٢٠٢٣). القيادة التحويلية والاستدامة الاستراتيجية في وزارة الصحة بمنطقة عسير. المجلة السعودية للإدارة، ١١(٤)، ١٠١–١٢٣.</w:t>
      </w:r>
    </w:p>
    <w:p w14:paraId="724E9A3C"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الأنصاري، م. (2019). تقييم بيئة العمل في المستشفيات الحكومية السعودية (رسالة ماجستير، جامعة الملك سعود).</w:t>
      </w:r>
    </w:p>
    <w:p w14:paraId="4C7FD972" w14:textId="0175E38D" w:rsidR="00342847" w:rsidRPr="00973709" w:rsidRDefault="009C55F1">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بابكر، ك. د. (٢٠٠٧). القيادة التحويلية وعلاقتها بمستوى الإبداع الإداري. القاهرة: المنظمة العربية للتنمية الإدارية.</w:t>
      </w:r>
    </w:p>
    <w:p w14:paraId="4A01573F" w14:textId="3A23C2C1" w:rsidR="00807073" w:rsidRPr="00973709" w:rsidRDefault="00807073">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البركاني، م. (٢٠٢٥). أثر القيادة التحويلية على فاعلية اتخاذ القرارات في المستشفى العام. مجلة القيادة الصحية، ١٣(١)، ٣٣–٥٠</w:t>
      </w:r>
      <w:r w:rsidRPr="00973709">
        <w:rPr>
          <w:rFonts w:ascii="Traditional Arabic" w:eastAsia="Calibri" w:hAnsi="Traditional Arabic" w:cs="Traditional Arabic" w:hint="cs"/>
          <w:sz w:val="24"/>
          <w:szCs w:val="24"/>
        </w:rPr>
        <w:t>.</w:t>
      </w:r>
    </w:p>
    <w:p w14:paraId="13FF725A" w14:textId="1502F4C6" w:rsidR="00342847" w:rsidRPr="00973709" w:rsidRDefault="00807073">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بومشطة، ف. (٢٠٢٠). أثر القيادة التحويلية على تفعيل الإبداع التنظيمي (رسالة ماجستير غير منشورة). جامعة العربي بن مهيدي، الجزائر</w:t>
      </w:r>
      <w:r w:rsidRPr="00973709">
        <w:rPr>
          <w:rFonts w:ascii="Traditional Arabic" w:eastAsia="Calibri" w:hAnsi="Traditional Arabic" w:cs="Traditional Arabic" w:hint="cs"/>
          <w:sz w:val="24"/>
          <w:szCs w:val="24"/>
        </w:rPr>
        <w:t>.</w:t>
      </w:r>
    </w:p>
    <w:p w14:paraId="02C8E111" w14:textId="5D0D5810" w:rsidR="000F55C4" w:rsidRPr="00973709" w:rsidRDefault="000F55C4">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تيسير عبد القادر مغازي. (٢٠٠٩).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r w:rsidRPr="00973709">
        <w:rPr>
          <w:rFonts w:ascii="Traditional Arabic" w:eastAsia="Calibri" w:hAnsi="Traditional Arabic" w:cs="Traditional Arabic" w:hint="cs"/>
          <w:sz w:val="24"/>
          <w:szCs w:val="24"/>
        </w:rPr>
        <w:t>.</w:t>
      </w:r>
    </w:p>
    <w:p w14:paraId="6F6EF2D5" w14:textId="77777777" w:rsidR="000F55C4" w:rsidRPr="00973709" w:rsidRDefault="000F55C4">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جبريل، م. (١٩٩٦). علم النفس الاجتماعي. المنصورة: عامر للطباعة والنشر</w:t>
      </w:r>
      <w:r w:rsidRPr="00973709">
        <w:rPr>
          <w:rFonts w:ascii="Traditional Arabic" w:eastAsia="Calibri" w:hAnsi="Traditional Arabic" w:cs="Traditional Arabic" w:hint="cs"/>
          <w:sz w:val="24"/>
          <w:szCs w:val="24"/>
        </w:rPr>
        <w:t>.</w:t>
      </w:r>
    </w:p>
    <w:p w14:paraId="0E66D54A" w14:textId="77777777" w:rsidR="000F55C4" w:rsidRPr="00973709" w:rsidRDefault="000F55C4">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جبريل،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جبريل، ف. (٢٠١١). الموسوعة المختصرة للمفاهيم النفسية والتربوية والاجتماعية والأخلاقية. دمياط الجديدة: دار المستقبل</w:t>
      </w:r>
      <w:r w:rsidRPr="00973709">
        <w:rPr>
          <w:rFonts w:ascii="Traditional Arabic" w:eastAsia="Calibri" w:hAnsi="Traditional Arabic" w:cs="Traditional Arabic" w:hint="cs"/>
          <w:sz w:val="24"/>
          <w:szCs w:val="24"/>
        </w:rPr>
        <w:t>.</w:t>
      </w:r>
    </w:p>
    <w:p w14:paraId="1A111E53" w14:textId="77777777" w:rsidR="000F55C4" w:rsidRPr="00973709" w:rsidRDefault="000F55C4">
      <w:pPr>
        <w:numPr>
          <w:ilvl w:val="0"/>
          <w:numId w:val="23"/>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جلدة، س. ب. (٢٠١١). الاستراتيجيات الحديثة لإدارة الأزمات. عمان: دار الراية للنشر والتوزيع</w:t>
      </w:r>
      <w:r w:rsidRPr="00973709">
        <w:rPr>
          <w:rFonts w:ascii="Traditional Arabic" w:eastAsia="Calibri" w:hAnsi="Traditional Arabic" w:cs="Traditional Arabic" w:hint="cs"/>
          <w:sz w:val="24"/>
          <w:szCs w:val="24"/>
        </w:rPr>
        <w:t>.</w:t>
      </w:r>
    </w:p>
    <w:p w14:paraId="17E149A7" w14:textId="706BE9BE"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جمال، ر. م. (٢٠٢٣). الحوكمة الصحية وإدارة الأزمات. جدة: دار الإبداع الأكاديمي</w:t>
      </w:r>
      <w:r w:rsidRPr="00973709">
        <w:rPr>
          <w:rFonts w:ascii="Traditional Arabic" w:eastAsia="Calibri" w:hAnsi="Traditional Arabic" w:cs="Traditional Arabic" w:hint="cs"/>
          <w:sz w:val="24"/>
          <w:szCs w:val="24"/>
        </w:rPr>
        <w:t>.</w:t>
      </w:r>
    </w:p>
    <w:p w14:paraId="38D34151" w14:textId="7777777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جمعية الحوكمة والشفافية في قطاع الصحة. (٢٠١٣). مركز المشروعات الدولية الخاصة. شارع مصدق، الدقي، الجيزة: القاهرة</w:t>
      </w:r>
      <w:r w:rsidRPr="00973709">
        <w:rPr>
          <w:rFonts w:ascii="Traditional Arabic" w:eastAsia="Calibri" w:hAnsi="Traditional Arabic" w:cs="Traditional Arabic" w:hint="cs"/>
          <w:sz w:val="24"/>
          <w:szCs w:val="24"/>
        </w:rPr>
        <w:t>.</w:t>
      </w:r>
    </w:p>
    <w:p w14:paraId="1B7D9C5E" w14:textId="7777777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الجهني، ع. ر. (٢٠٢٠). إدارة المخاطر في مستشفيات المملكة العربية السعودية: دراسة حالة. مجلة العلوم الصحية، ١٠(١)، ٣٣–٥٠</w:t>
      </w:r>
      <w:r w:rsidRPr="00973709">
        <w:rPr>
          <w:rFonts w:ascii="Traditional Arabic" w:eastAsia="Calibri" w:hAnsi="Traditional Arabic" w:cs="Traditional Arabic" w:hint="cs"/>
          <w:sz w:val="24"/>
          <w:szCs w:val="24"/>
        </w:rPr>
        <w:t>.</w:t>
      </w:r>
    </w:p>
    <w:p w14:paraId="3CE470C1" w14:textId="7777777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جورج كتورة. (٢٠١٥). حول رحيل السوسيولوجي الألماني أولريش بيك. مجلة إضافات، ١٣(١)، ٩٩–١٠٧</w:t>
      </w:r>
      <w:r w:rsidRPr="00973709">
        <w:rPr>
          <w:rFonts w:ascii="Traditional Arabic" w:eastAsia="Calibri" w:hAnsi="Traditional Arabic" w:cs="Traditional Arabic" w:hint="cs"/>
          <w:sz w:val="24"/>
          <w:szCs w:val="24"/>
        </w:rPr>
        <w:t>.</w:t>
      </w:r>
    </w:p>
    <w:p w14:paraId="22C67535" w14:textId="7777777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حافظ، ع. ك. (٢٠١٢). أثر القيادة التحويلية على فاعلية عملية اتخاذ القرار في شركات التأمين الأردنية (رسالة ماجستير، جامعة الشرق الأوسط، الأردن)</w:t>
      </w:r>
      <w:r w:rsidRPr="00973709">
        <w:rPr>
          <w:rFonts w:ascii="Traditional Arabic" w:eastAsia="Calibri" w:hAnsi="Traditional Arabic" w:cs="Traditional Arabic" w:hint="cs"/>
          <w:sz w:val="24"/>
          <w:szCs w:val="24"/>
        </w:rPr>
        <w:t>.</w:t>
      </w:r>
    </w:p>
    <w:p w14:paraId="585CF2CC" w14:textId="01526E76" w:rsidR="00D825C8" w:rsidRPr="00973709" w:rsidRDefault="00D825C8">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أ. (٢٠١٩). القيادة التحويلية وأثرها على أداء العاملين في المستشفيات الحكومية (رسالة ماجستير، جامعة الملك سعود)</w:t>
      </w:r>
      <w:r w:rsidRPr="00973709">
        <w:rPr>
          <w:rFonts w:ascii="Traditional Arabic" w:eastAsia="Calibri" w:hAnsi="Traditional Arabic" w:cs="Traditional Arabic" w:hint="cs"/>
          <w:sz w:val="24"/>
          <w:szCs w:val="24"/>
        </w:rPr>
        <w:t>.</w:t>
      </w:r>
    </w:p>
    <w:p w14:paraId="00DB604B" w14:textId="77777777" w:rsidR="00D825C8" w:rsidRPr="00973709" w:rsidRDefault="00D825C8">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(٢٠٢٠). تطبيق معايير السلامة المهنية في المستشفيات وأثرها على سلامة المرضى (رسالة ماجستير، جامعة أم القرى)</w:t>
      </w:r>
      <w:r w:rsidRPr="00973709">
        <w:rPr>
          <w:rFonts w:ascii="Traditional Arabic" w:eastAsia="Calibri" w:hAnsi="Traditional Arabic" w:cs="Traditional Arabic" w:hint="cs"/>
          <w:sz w:val="24"/>
          <w:szCs w:val="24"/>
        </w:rPr>
        <w:t>.</w:t>
      </w:r>
    </w:p>
    <w:p w14:paraId="4862B3B4" w14:textId="3AA50999" w:rsidR="00342847" w:rsidRPr="00973709" w:rsidRDefault="00D825C8">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(٢٠٢١). تحليل الأخطاء الطبية وأثره في تحسين جودة الرعاية الصحية (رسالة دكتوراه، جامعة أم القرى)</w:t>
      </w:r>
      <w:r w:rsidRPr="00973709">
        <w:rPr>
          <w:rFonts w:ascii="Traditional Arabic" w:eastAsia="Calibri" w:hAnsi="Traditional Arabic" w:cs="Traditional Arabic" w:hint="cs"/>
          <w:sz w:val="24"/>
          <w:szCs w:val="24"/>
        </w:rPr>
        <w:t>.</w:t>
      </w:r>
    </w:p>
    <w:p w14:paraId="0D94D656"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(2017). القيادة التحويلية ودورها في تطوير الموارد البشرية في المستشفيات (رسالة دكتوراه، جامعة عين شمس).</w:t>
      </w:r>
    </w:p>
    <w:p w14:paraId="21EF61D5"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أثر ملاحظات المرضى على تحسين جودة الرعاية الصحية (رسالة دكتوراه، جامعة عين شمس).</w:t>
      </w:r>
    </w:p>
    <w:p w14:paraId="7788F1E1"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القيادة التحويلية ودورها في تعزيز بيئة الابتكار في القطاع الصحي (رسالة دكتوراه، جامعة عين شمس).</w:t>
      </w:r>
    </w:p>
    <w:p w14:paraId="5BB44C35" w14:textId="64F47676" w:rsidR="00342847" w:rsidRPr="00973709" w:rsidRDefault="00D825C8">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حسين، ر. ر. م. (٢٠١٩). أثر تطبيق القيادة التحويلية على تحسين الأداء في المنظمات الصحية طبقًا لرؤية مصر ٢٠٣٠: دراسة تطبيقية على المستشفيات الحكومية. مجلة الإدارة والتنمية الصحية، ٥(٤)، ١١٢–١٣٠.</w:t>
      </w:r>
    </w:p>
    <w:p w14:paraId="111DED4F" w14:textId="307B8828"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حسين، م. (٢٠٢٠). أثر القيادة التحويلية على تحسين الأداء في المنظمات الصحية في ضوء رؤية مصر ٢٠٣٠. المجلة المصرية للإدارة الصحية، ١٢(١)، ٤٥–٦٧</w:t>
      </w:r>
      <w:r w:rsidRPr="00973709">
        <w:rPr>
          <w:rFonts w:ascii="Traditional Arabic" w:eastAsia="Calibri" w:hAnsi="Traditional Arabic" w:cs="Traditional Arabic" w:hint="cs"/>
          <w:sz w:val="24"/>
          <w:szCs w:val="24"/>
        </w:rPr>
        <w:t>.</w:t>
      </w:r>
    </w:p>
    <w:p w14:paraId="4425B6F5" w14:textId="7777777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حمدان، خ. (٢٠٢٠). الاستراتيجية والتخطيط الاستراتيجي. عمان: دار اليازوري العلمية للنشر والتوزيع</w:t>
      </w:r>
      <w:r w:rsidRPr="00973709">
        <w:rPr>
          <w:rFonts w:ascii="Traditional Arabic" w:eastAsia="Calibri" w:hAnsi="Traditional Arabic" w:cs="Traditional Arabic" w:hint="cs"/>
          <w:sz w:val="24"/>
          <w:szCs w:val="24"/>
        </w:rPr>
        <w:t>.</w:t>
      </w:r>
    </w:p>
    <w:p w14:paraId="551C3FF9" w14:textId="6A243087"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lastRenderedPageBreak/>
        <w:t>الحوراني، ح. (2023). ما هو مفهوم الجودة في الرعاية الصحية؟ الأكاديمية الطبية الافتراضية</w:t>
      </w:r>
      <w:r w:rsidRPr="00973709">
        <w:rPr>
          <w:rFonts w:ascii="Traditional Arabic" w:hAnsi="Traditional Arabic" w:cs="Traditional Arabic" w:hint="cs"/>
          <w:spacing w:val="-6"/>
          <w:sz w:val="24"/>
          <w:szCs w:val="24"/>
          <w:lang w:bidi="ar-EG"/>
        </w:rPr>
        <w:t xml:space="preserve">. </w:t>
      </w:r>
      <w:r w:rsidR="00D825C8" w:rsidRPr="00973709">
        <w:rPr>
          <w:rFonts w:ascii="Traditional Arabic" w:hAnsi="Traditional Arabic" w:cs="Traditional Arabic" w:hint="cs"/>
          <w:spacing w:val="-6"/>
          <w:sz w:val="24"/>
          <w:szCs w:val="24"/>
          <w:rtl/>
          <w:lang w:bidi="ar-EG"/>
        </w:rPr>
        <w:t xml:space="preserve"> </w:t>
      </w:r>
      <w:hyperlink r:id="rId63" w:history="1">
        <w:r w:rsidR="00D825C8" w:rsidRPr="00973709">
          <w:rPr>
            <w:rStyle w:val="Hyperlink"/>
            <w:rFonts w:ascii="Traditional Arabic" w:hAnsi="Traditional Arabic" w:cs="Traditional Arabic" w:hint="cs"/>
            <w:spacing w:val="-6"/>
            <w:sz w:val="24"/>
            <w:szCs w:val="24"/>
            <w:lang w:bidi="ar-EG"/>
          </w:rPr>
          <w:t>https://blog.medicalacademy.org/</w:t>
        </w:r>
        <w:r w:rsidR="00D825C8" w:rsidRPr="00973709">
          <w:rPr>
            <w:rStyle w:val="Hyperlink"/>
            <w:rFonts w:ascii="Traditional Arabic" w:hAnsi="Traditional Arabic" w:cs="Traditional Arabic" w:hint="cs"/>
            <w:spacing w:val="-6"/>
            <w:sz w:val="24"/>
            <w:szCs w:val="24"/>
            <w:rtl/>
          </w:rPr>
          <w:t>الجودة-في-الرعاية-الصحية</w:t>
        </w:r>
        <w:r w:rsidR="00D825C8" w:rsidRPr="00973709">
          <w:rPr>
            <w:rStyle w:val="Hyperlink"/>
            <w:rFonts w:ascii="Traditional Arabic" w:hAnsi="Traditional Arabic" w:cs="Traditional Arabic" w:hint="cs"/>
            <w:spacing w:val="-6"/>
            <w:sz w:val="24"/>
            <w:szCs w:val="24"/>
            <w:lang w:bidi="ar-EG"/>
          </w:rPr>
          <w:t>/</w:t>
        </w:r>
      </w:hyperlink>
    </w:p>
    <w:p w14:paraId="37974DE1" w14:textId="0CD0E867"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الخرابشة، ع</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و المعاني، أ</w:t>
      </w:r>
      <w:r w:rsidRPr="00973709">
        <w:rPr>
          <w:rFonts w:ascii="Traditional Arabic" w:eastAsia="Calibri" w:hAnsi="Traditional Arabic" w:cs="Traditional Arabic" w:hint="cs"/>
          <w:sz w:val="24"/>
          <w:szCs w:val="24"/>
        </w:rPr>
        <w:t>. (</w:t>
      </w:r>
      <w:r w:rsidRPr="00973709">
        <w:rPr>
          <w:rFonts w:ascii="Traditional Arabic" w:eastAsia="Calibri" w:hAnsi="Traditional Arabic" w:cs="Traditional Arabic" w:hint="cs"/>
          <w:sz w:val="24"/>
          <w:szCs w:val="24"/>
          <w:rtl/>
        </w:rPr>
        <w:t>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الإبداع الإداري لدى العاملين في جامعة البلقاء التطبيقية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المجلة التربوية </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جامعة الكويت، ٣٠(١)، ٨٨</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١١٠</w:t>
      </w:r>
      <w:r w:rsidRPr="00973709">
        <w:rPr>
          <w:rFonts w:ascii="Traditional Arabic" w:eastAsia="Calibri" w:hAnsi="Traditional Arabic" w:cs="Traditional Arabic" w:hint="cs"/>
          <w:sz w:val="24"/>
          <w:szCs w:val="24"/>
        </w:rPr>
        <w:t>.</w:t>
      </w:r>
    </w:p>
    <w:p w14:paraId="7429F4D2" w14:textId="479ABB84" w:rsidR="00D825C8" w:rsidRPr="00973709" w:rsidRDefault="00D825C8">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الخضران، ن. (٢٠٢٣). دور القيادة التحويلية في تعزيز المسؤولية المجتمعية في مديرية الشؤون الصحية بمنطقة عسير. مجلة المسؤولية المجتمعية، ٦(٢)، ٥٥–٧٢</w:t>
      </w:r>
      <w:r w:rsidRPr="00973709">
        <w:rPr>
          <w:rFonts w:ascii="Traditional Arabic" w:eastAsia="Calibri" w:hAnsi="Traditional Arabic" w:cs="Traditional Arabic" w:hint="cs"/>
          <w:sz w:val="24"/>
          <w:szCs w:val="24"/>
        </w:rPr>
        <w:t>.</w:t>
      </w:r>
    </w:p>
    <w:p w14:paraId="188362C4"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تأثير التدريب السريري على تحسين جودة الرعاية الصحية (رسالة ماجستير، الجامعة الأردنية).</w:t>
      </w:r>
    </w:p>
    <w:p w14:paraId="0370B9B8"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ثقافة سلامة المرضى في المستشفيات الأردنية (رسالة ماجستير، الجامعة الأردنية).</w:t>
      </w:r>
    </w:p>
    <w:p w14:paraId="16918A62"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ر. (2018). القيادة التحويلية وعلاقتها برضا العاملين في المستشفيات الأردنية (رسالة ماجستير، الجامعة الأردنية).</w:t>
      </w:r>
    </w:p>
    <w:p w14:paraId="68769077"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الخليفي، ر. (2020). تطبيق أدوات تحليل المخاطر في المستشفيات الحكومية (رسالة ماجستير، جامعة الملك عبدالعزيز).</w:t>
      </w:r>
    </w:p>
    <w:p w14:paraId="577541A9" w14:textId="24DE925F" w:rsidR="00BB47D5" w:rsidRPr="00973709" w:rsidRDefault="00BB47D5">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خيري، أ.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الجديد في القيادة الإدارية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عمان، الأردن: دار الراية للنشر والتوزيع</w:t>
      </w:r>
      <w:r w:rsidRPr="00973709">
        <w:rPr>
          <w:rFonts w:ascii="Traditional Arabic" w:eastAsia="Calibri" w:hAnsi="Traditional Arabic" w:cs="Traditional Arabic" w:hint="cs"/>
          <w:sz w:val="24"/>
          <w:szCs w:val="24"/>
        </w:rPr>
        <w:t>.</w:t>
      </w:r>
    </w:p>
    <w:p w14:paraId="4864E356" w14:textId="77777777" w:rsidR="00BB47D5" w:rsidRPr="00973709" w:rsidRDefault="00BB47D5">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رجب، ر.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التفاعل بين أنماط القيادة والمرؤوسين وأثره على أداء العاملين: دراسة ميدانية بالتطبيق على شركات القطاع العام للصناعات الدوائية لإنتاج الأدوية (رسالة ماجستير غير منشورة). كلية التجارة، جامعة أسيوط</w:t>
      </w:r>
      <w:r w:rsidRPr="00973709">
        <w:rPr>
          <w:rFonts w:ascii="Traditional Arabic" w:eastAsia="Calibri" w:hAnsi="Traditional Arabic" w:cs="Traditional Arabic" w:hint="cs"/>
          <w:sz w:val="24"/>
          <w:szCs w:val="24"/>
        </w:rPr>
        <w:t>.</w:t>
      </w:r>
    </w:p>
    <w:p w14:paraId="61722625" w14:textId="77777777" w:rsidR="00BB47D5" w:rsidRPr="00973709" w:rsidRDefault="00BB47D5">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رزق الله،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طيبي، ن.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في مستشفى أحمد بن عجيلة بالأغواط: دراسة ميدانية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الإنسانية والاجتماعية، ١٨(٢)، ٨٨–١٠٢</w:t>
      </w:r>
      <w:r w:rsidRPr="00973709">
        <w:rPr>
          <w:rFonts w:ascii="Traditional Arabic" w:eastAsia="Calibri" w:hAnsi="Traditional Arabic" w:cs="Traditional Arabic" w:hint="cs"/>
          <w:sz w:val="24"/>
          <w:szCs w:val="24"/>
        </w:rPr>
        <w:t>.</w:t>
      </w:r>
    </w:p>
    <w:p w14:paraId="14A1E01E" w14:textId="77777777" w:rsidR="00342847" w:rsidRPr="00973709" w:rsidRDefault="00342847">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رشاد، ح. (2020). إدارة الأزمات في قطاع السياحة. ورقة عمل مقدمة إلى المؤتمر السنوي السادس عشر لإدارة الأزمات والكوارث، وحدة بحوث الأزمات، كلية التجارة، جامعة عين شمس</w:t>
      </w:r>
      <w:r w:rsidRPr="00973709">
        <w:rPr>
          <w:rFonts w:ascii="Traditional Arabic" w:eastAsia="Calibri" w:hAnsi="Traditional Arabic" w:cs="Traditional Arabic" w:hint="cs"/>
          <w:sz w:val="24"/>
          <w:szCs w:val="24"/>
        </w:rPr>
        <w:t>.</w:t>
      </w:r>
    </w:p>
    <w:p w14:paraId="211FA94C" w14:textId="7A89C321" w:rsidR="00342847" w:rsidRPr="00973709" w:rsidRDefault="00430404">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الرقب، أ. (٢٠٢٠). علاقة القيادة التحويلية بتمكين العاملين في الجامعات الفلسطينية بقطاع غزة (رسالة ماجستير غير منشورة). كلية الاقتصاد والعلوم الإدارية، جامعة الأزهر، فلسطين.</w:t>
      </w:r>
    </w:p>
    <w:p w14:paraId="56AE7AFF" w14:textId="65621FC6" w:rsidR="00342847" w:rsidRPr="00973709" w:rsidRDefault="00342847">
      <w:pPr>
        <w:numPr>
          <w:ilvl w:val="0"/>
          <w:numId w:val="23"/>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رقطي، ب</w:t>
      </w:r>
      <w:r w:rsidR="00B720AE"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كركار، إ. (2023). إدارة المخاطر في المؤسسة الصحية الجزائرية: دراسة ميدانية في المؤسسة الاستشفائية العمومية الحكيم</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جامعة 8 ماي 1945، قالمة</w:t>
      </w:r>
      <w:r w:rsidRPr="00973709">
        <w:rPr>
          <w:rFonts w:ascii="Traditional Arabic" w:hAnsi="Traditional Arabic" w:cs="Traditional Arabic" w:hint="cs"/>
          <w:spacing w:val="-6"/>
          <w:sz w:val="24"/>
          <w:szCs w:val="24"/>
          <w:lang w:bidi="ar-EG"/>
        </w:rPr>
        <w:t>.</w:t>
      </w:r>
    </w:p>
    <w:p w14:paraId="778E98B0" w14:textId="6B03E633" w:rsidR="00B720AE" w:rsidRPr="00973709" w:rsidRDefault="00B720AE">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رؤيا، م. م. (٢٠١٤)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درجة توفر سمات القيادة التحويلية لدى مدراء المدارس الحكومية الثانوية وعلاقتها بالانتماء المهني للمعلمين من وجهة نظر المعلمين في محافظات شمال فلسطين</w:t>
      </w:r>
      <w:r w:rsidRPr="00973709">
        <w:rPr>
          <w:rFonts w:ascii="Traditional Arabic" w:eastAsia="Calibri" w:hAnsi="Traditional Arabic" w:cs="Traditional Arabic" w:hint="cs"/>
          <w:sz w:val="24"/>
          <w:szCs w:val="24"/>
          <w:rtl/>
        </w:rPr>
        <w:t xml:space="preserve"> (رسالة ماجستير). كلية الدراسات العليا، جامعة النجاح الوطنية، نابلس، فلسطين</w:t>
      </w:r>
      <w:r w:rsidRPr="00973709">
        <w:rPr>
          <w:rFonts w:ascii="Traditional Arabic" w:eastAsia="Calibri" w:hAnsi="Traditional Arabic" w:cs="Traditional Arabic" w:hint="cs"/>
          <w:sz w:val="24"/>
          <w:szCs w:val="24"/>
        </w:rPr>
        <w:t>.</w:t>
      </w:r>
    </w:p>
    <w:p w14:paraId="3484A0E9" w14:textId="77777777" w:rsidR="00B720AE" w:rsidRPr="00973709" w:rsidRDefault="00B720AE">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زقيبة، ع. (٢٠١٨)</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الأخطاء الطبية في القانون الجزائري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الدراسات القانونية، ٥(٢)، ١–١٥</w:t>
      </w:r>
      <w:r w:rsidRPr="00973709">
        <w:rPr>
          <w:rFonts w:ascii="Traditional Arabic" w:eastAsia="Calibri" w:hAnsi="Traditional Arabic" w:cs="Traditional Arabic" w:hint="cs"/>
          <w:sz w:val="24"/>
          <w:szCs w:val="24"/>
        </w:rPr>
        <w:t>.</w:t>
      </w:r>
    </w:p>
    <w:p w14:paraId="5F1DCB28" w14:textId="77777777" w:rsidR="00B720AE" w:rsidRPr="00973709" w:rsidRDefault="00B720AE">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س.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تحديات إدارة المخاطر في القطاع الصحي السعودي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الطبية، ١٠(١)، ٥٥–٧٤</w:t>
      </w:r>
      <w:r w:rsidRPr="00973709">
        <w:rPr>
          <w:rFonts w:ascii="Traditional Arabic" w:eastAsia="Calibri" w:hAnsi="Traditional Arabic" w:cs="Traditional Arabic" w:hint="cs"/>
          <w:sz w:val="24"/>
          <w:szCs w:val="24"/>
        </w:rPr>
        <w:t>.</w:t>
      </w:r>
    </w:p>
    <w:p w14:paraId="1F3ACEAE"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م. (2018). تحليل الحوادث الطبية في المستشفيات السعودية (رسالة ماجستير، جامعة الملك سعود).</w:t>
      </w:r>
    </w:p>
    <w:p w14:paraId="2E17BEC8"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السبيعي، ن. (2018). تقييم إدارة المخاطر في المستشفيات الحكومية بمنطقة مكة المكرمة (رسالة ماجستير، جامعة أم القرى).</w:t>
      </w:r>
    </w:p>
    <w:p w14:paraId="5FFEC2C4" w14:textId="77777777" w:rsidR="00342847" w:rsidRPr="00973709" w:rsidRDefault="00342847">
      <w:pPr>
        <w:pStyle w:val="ListParagraph"/>
        <w:numPr>
          <w:ilvl w:val="0"/>
          <w:numId w:val="23"/>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سعد، م. م. (2005). دور القيادة التحويلية في إدارة التغيير. المؤتمر الثالث لكلية العلوم الإدارية، جامعة الملك سعود، الرياض، السعودية</w:t>
      </w:r>
      <w:r w:rsidRPr="00973709">
        <w:rPr>
          <w:rFonts w:ascii="Traditional Arabic" w:eastAsia="Calibri" w:hAnsi="Traditional Arabic" w:cs="Traditional Arabic" w:hint="cs"/>
          <w:sz w:val="24"/>
          <w:szCs w:val="24"/>
        </w:rPr>
        <w:t>.</w:t>
      </w:r>
    </w:p>
    <w:p w14:paraId="1E63C704" w14:textId="75D2511C" w:rsidR="00860AEA" w:rsidRPr="00973709" w:rsidRDefault="00860AEA">
      <w:pPr>
        <w:pStyle w:val="ListParagraph"/>
        <w:numPr>
          <w:ilvl w:val="0"/>
          <w:numId w:val="23"/>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السعيد، أ. م. (٢٠١٩)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تقييم إدارة المخاطر في المستشفيات الحكومية السعودية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مجلة إدارة المستشفيات، ١١(٢)، ٣٣–٥٦</w:t>
      </w:r>
      <w:r w:rsidRPr="00973709">
        <w:rPr>
          <w:rFonts w:ascii="Traditional Arabic" w:hAnsi="Traditional Arabic" w:cs="Traditional Arabic" w:hint="cs"/>
          <w:spacing w:val="-6"/>
          <w:sz w:val="24"/>
          <w:szCs w:val="24"/>
        </w:rPr>
        <w:t>.</w:t>
      </w:r>
    </w:p>
    <w:p w14:paraId="74D6B8F8" w14:textId="2730E06B" w:rsidR="00860AEA" w:rsidRPr="00973709" w:rsidRDefault="00860AEA">
      <w:pPr>
        <w:pStyle w:val="ListParagraph"/>
        <w:numPr>
          <w:ilvl w:val="0"/>
          <w:numId w:val="23"/>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السلمي، أ. ع. ع؛ حداد، م. ع. أ. ب.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دور القيادة التحويلية في تعزيز فاعلية إدارة الأزمات الصحية: دراسة ميدانية على وزارة الصحة بمحافظة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العربية للنشر العلمي، ١٨(٣)، ٩١–١٠٤</w:t>
      </w:r>
      <w:r w:rsidRPr="00973709">
        <w:rPr>
          <w:rFonts w:ascii="Traditional Arabic" w:hAnsi="Traditional Arabic" w:cs="Traditional Arabic" w:hint="cs"/>
          <w:spacing w:val="-6"/>
          <w:sz w:val="24"/>
          <w:szCs w:val="24"/>
        </w:rPr>
        <w:t>.</w:t>
      </w:r>
    </w:p>
    <w:p w14:paraId="7784D346"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الشراري، ه. (2021). التقييم الدوري للمخاطر التشغيلية في المستشفيات (رسالة ماجستير، جامعة الجوف).</w:t>
      </w:r>
    </w:p>
    <w:p w14:paraId="2E5E49B6" w14:textId="1FD67229" w:rsidR="00142EED" w:rsidRPr="00973709" w:rsidRDefault="00142EED">
      <w:pPr>
        <w:pStyle w:val="ListParagraph"/>
        <w:numPr>
          <w:ilvl w:val="0"/>
          <w:numId w:val="23"/>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شريف، أ.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القيادة التحويلية وأثرها على الإبداع الإداري لدى العاملين في البنوك التجارية العاملة في فلسطين</w:t>
      </w:r>
      <w:r w:rsidRPr="00973709">
        <w:rPr>
          <w:rFonts w:ascii="Traditional Arabic" w:hAnsi="Traditional Arabic" w:cs="Traditional Arabic" w:hint="cs"/>
          <w:spacing w:val="-6"/>
          <w:sz w:val="24"/>
          <w:szCs w:val="24"/>
          <w:rtl/>
        </w:rPr>
        <w:t xml:space="preserve"> (رسالة ماجستير غير منشورة). جامعة الخليل، فلسطين</w:t>
      </w:r>
      <w:r w:rsidRPr="00973709">
        <w:rPr>
          <w:rFonts w:ascii="Traditional Arabic" w:hAnsi="Traditional Arabic" w:cs="Traditional Arabic" w:hint="cs"/>
          <w:spacing w:val="-6"/>
          <w:sz w:val="24"/>
          <w:szCs w:val="24"/>
        </w:rPr>
        <w:t>.</w:t>
      </w:r>
    </w:p>
    <w:p w14:paraId="723EA4F4" w14:textId="77777777" w:rsidR="00142EED" w:rsidRPr="00973709" w:rsidRDefault="00142EED">
      <w:pPr>
        <w:pStyle w:val="ListParagraph"/>
        <w:numPr>
          <w:ilvl w:val="0"/>
          <w:numId w:val="23"/>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أ.، وعبد الله، م.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تأثير تطبيق إدارة المخاطر على مشاريع الرعاية الصحية: دراسة تطبيقية على مستشفيات في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الدولية للبحوث العلمية، ١٢(٣)، ٤٥–٦٢</w:t>
      </w:r>
      <w:r w:rsidRPr="00973709">
        <w:rPr>
          <w:rFonts w:ascii="Traditional Arabic" w:hAnsi="Traditional Arabic" w:cs="Traditional Arabic" w:hint="cs"/>
          <w:spacing w:val="-6"/>
          <w:sz w:val="24"/>
          <w:szCs w:val="24"/>
        </w:rPr>
        <w:t>.</w:t>
      </w:r>
    </w:p>
    <w:p w14:paraId="684B1CAC" w14:textId="58836013" w:rsidR="00142EED" w:rsidRPr="00973709" w:rsidRDefault="00142EED">
      <w:pPr>
        <w:pStyle w:val="ListParagraph"/>
        <w:numPr>
          <w:ilvl w:val="0"/>
          <w:numId w:val="23"/>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عبد الله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إدارة المخاطر في المؤسسات الصحية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الرياض: دار المرامي للنشر</w:t>
      </w:r>
      <w:r w:rsidRPr="00973709">
        <w:rPr>
          <w:rFonts w:ascii="Traditional Arabic" w:hAnsi="Traditional Arabic" w:cs="Traditional Arabic" w:hint="cs"/>
          <w:spacing w:val="-6"/>
          <w:sz w:val="24"/>
          <w:szCs w:val="24"/>
        </w:rPr>
        <w:t>.</w:t>
      </w:r>
    </w:p>
    <w:p w14:paraId="6244476B"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ف. (2020). فعالية أنظمة الإبلاغ عن الحوادث الطبية في المستشفيات السعودية (رسالة ماجستير، جامعة الإمام عبدالرحمن بن فيصل).</w:t>
      </w:r>
    </w:p>
    <w:p w14:paraId="7074C1DD"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ن. (2019). القيادة التحويلية وأثرها على أداء العاملين في المستشفيات الحكومية (رسالة ماجستير، جامعة الملك سعود).</w:t>
      </w:r>
    </w:p>
    <w:p w14:paraId="4A3E2E00"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الشمري، ه. (2017). القيادة التحويلية وتنمية مهارات التفكير التحليلي لدى العاملين في المستشفيات (رسالة ماجستير، جامعة الإمام عبدالرحمن بن فيصل).</w:t>
      </w:r>
    </w:p>
    <w:p w14:paraId="4370D69E" w14:textId="4B10A5CE" w:rsidR="004972AE" w:rsidRPr="00973709" w:rsidRDefault="004972AE">
      <w:pPr>
        <w:pStyle w:val="ListParagraph"/>
        <w:numPr>
          <w:ilvl w:val="0"/>
          <w:numId w:val="23"/>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الشنطي، م. (٢٠٠٧)</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دور القيادة التحويلية في عمليات إدارة المعرفة: دراسة تطبيقية على العاملين في وزارة الداخلية الفلسطينية بقطاع غزة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الإدارية في إدارة الأعمال، ٣(٣)، ١٠٣–١٢٠</w:t>
      </w:r>
      <w:r w:rsidRPr="00973709">
        <w:rPr>
          <w:rFonts w:ascii="Traditional Arabic" w:hAnsi="Traditional Arabic" w:cs="Traditional Arabic" w:hint="cs"/>
          <w:spacing w:val="-6"/>
          <w:sz w:val="24"/>
          <w:szCs w:val="24"/>
        </w:rPr>
        <w:t>.</w:t>
      </w:r>
    </w:p>
    <w:p w14:paraId="0B15D90D" w14:textId="77455FAC"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الصالحي، خ. ب. س. (٢٠١٣)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التحويلية والتبادلية لدى مديري مدارس التعليم العام في منطقة القصيم التعليمية وعلاقتها بمستوى الروح المعنوية لدى المعلمين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رسالة التربية وعلم النفس، جامعة الملك سعود – الجمعية السعودية للعلوم التربوية والنفسية، ٤٠(١)، ٤٤٠</w:t>
      </w:r>
      <w:r w:rsidRPr="00973709">
        <w:rPr>
          <w:rFonts w:ascii="Traditional Arabic" w:hAnsi="Traditional Arabic" w:cs="Traditional Arabic" w:hint="cs"/>
          <w:sz w:val="24"/>
          <w:szCs w:val="24"/>
          <w:lang w:bidi="ar-EG"/>
        </w:rPr>
        <w:t>.</w:t>
      </w:r>
    </w:p>
    <w:p w14:paraId="60347C19" w14:textId="77777777"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الصيرفي، م. (٢٠٢٠)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الأزمات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مؤسسة حورس الدولية للنشر والتوزيع</w:t>
      </w:r>
      <w:r w:rsidRPr="00973709">
        <w:rPr>
          <w:rFonts w:ascii="Traditional Arabic" w:hAnsi="Traditional Arabic" w:cs="Traditional Arabic" w:hint="cs"/>
          <w:sz w:val="24"/>
          <w:szCs w:val="24"/>
          <w:lang w:bidi="ar-EG"/>
        </w:rPr>
        <w:t>.</w:t>
      </w:r>
    </w:p>
    <w:p w14:paraId="5889A3A5" w14:textId="77777777"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ع. (٢٠٢١)</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الجودة والمخاطر في الخدمات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صفاء للنشر</w:t>
      </w:r>
      <w:r w:rsidRPr="00973709">
        <w:rPr>
          <w:rFonts w:ascii="Traditional Arabic" w:hAnsi="Traditional Arabic" w:cs="Traditional Arabic" w:hint="cs"/>
          <w:sz w:val="24"/>
          <w:szCs w:val="24"/>
          <w:lang w:bidi="ar-EG"/>
        </w:rPr>
        <w:t>.</w:t>
      </w:r>
    </w:p>
    <w:p w14:paraId="3357E59B" w14:textId="77777777"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ك. (٢٠٢٢)</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المؤسسات الصحية: مفاهيم وتطبيقات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بغداد: دار الرافدين</w:t>
      </w:r>
      <w:r w:rsidRPr="00973709">
        <w:rPr>
          <w:rFonts w:ascii="Traditional Arabic" w:hAnsi="Traditional Arabic" w:cs="Traditional Arabic" w:hint="cs"/>
          <w:sz w:val="24"/>
          <w:szCs w:val="24"/>
          <w:lang w:bidi="ar-EG"/>
        </w:rPr>
        <w:t>.</w:t>
      </w:r>
    </w:p>
    <w:p w14:paraId="3DFC8E8F"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آ. (2017). القيادة التحويلية ودورها في تعزيز العمل الجماعي في المستشفيات (رسالة ماجستير، جامعة مؤتة).</w:t>
      </w:r>
    </w:p>
    <w:p w14:paraId="1CF5CBA8"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ر. (2018). القيادة التحويلية وعلاقتها بالابتكار التنظيمي في المستشفيات الأردنية (رسالة ماجستير، الجامعة الأردنية).</w:t>
      </w:r>
    </w:p>
    <w:p w14:paraId="1C92BF5B"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(2020). دور مراجعة السجلات الطبية في تقليل الأخطاء العلاجية (رسالة ماجستير، جامعة الملك عبدالعزيز).</w:t>
      </w:r>
    </w:p>
    <w:p w14:paraId="44C3B8EF"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(2021). دور الصيانة الدورية للأجهزة الطبية في تحسين سلامة المرضى (رسالة ماجستير، جامعة الملك عبدالعزيز).</w:t>
      </w:r>
    </w:p>
    <w:p w14:paraId="56FD00BC" w14:textId="66D5B480"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الطويل، هـ. (٢٠٠٦)</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i/>
          <w:iCs/>
          <w:sz w:val="24"/>
          <w:szCs w:val="24"/>
          <w:rtl/>
        </w:rPr>
        <w:t>إبدال في إدارة النظم التربوية وقيادتها (الإدارة بالإيجاب)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المكتبة الوطنية</w:t>
      </w:r>
      <w:r w:rsidRPr="00973709">
        <w:rPr>
          <w:rFonts w:ascii="Traditional Arabic" w:hAnsi="Traditional Arabic" w:cs="Traditional Arabic" w:hint="cs"/>
          <w:sz w:val="24"/>
          <w:szCs w:val="24"/>
          <w:lang w:bidi="ar-EG"/>
        </w:rPr>
        <w:t>.</w:t>
      </w:r>
    </w:p>
    <w:p w14:paraId="43121040" w14:textId="77777777"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 النبي، أ. م. أ.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تأثير المرونة الشخصية كمتغير وسيط في العلاقة بين القيادة التحويلية والارتباط الوظيفي: دراسة ميدانية بالتطبيق على العاملين بقطاع الرعاية الصحية بالهيئة العامة للمستشفيات والمعاهد التعليمية بجمهورية مصر العربية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المجلة العلمية للدراسات والبحوث المالية والتجارية، ١٥(٣)، ١٦٤٧١٧٠٣</w:t>
      </w:r>
      <w:r w:rsidRPr="00973709">
        <w:rPr>
          <w:rFonts w:ascii="Traditional Arabic" w:hAnsi="Traditional Arabic" w:cs="Traditional Arabic" w:hint="cs"/>
          <w:sz w:val="24"/>
          <w:szCs w:val="24"/>
          <w:lang w:bidi="ar-EG"/>
        </w:rPr>
        <w:t>.</w:t>
      </w:r>
    </w:p>
    <w:p w14:paraId="27064CEE" w14:textId="77777777" w:rsidR="004972AE" w:rsidRPr="00973709" w:rsidRDefault="004972AE">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عبدالحميد، س. ع.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أسس إدارة المخاطر في بيئة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مكتبة الأفق العربي</w:t>
      </w:r>
      <w:r w:rsidRPr="00973709">
        <w:rPr>
          <w:rFonts w:ascii="Traditional Arabic" w:hAnsi="Traditional Arabic" w:cs="Traditional Arabic" w:hint="cs"/>
          <w:sz w:val="24"/>
          <w:szCs w:val="24"/>
          <w:lang w:bidi="ar-EG"/>
        </w:rPr>
        <w:t>.</w:t>
      </w:r>
    </w:p>
    <w:p w14:paraId="319313E1" w14:textId="0975EDDC"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عبدالرحمن، ف.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تقييم جودة الخدمة الصحية في مراكز طب الأسرة في بغداد</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تقييم الأداء الصحي، ٧(١)، ٣٣–٥٠</w:t>
      </w:r>
      <w:r w:rsidRPr="00973709">
        <w:rPr>
          <w:rFonts w:ascii="Traditional Arabic" w:eastAsia="Calibri" w:hAnsi="Traditional Arabic" w:cs="Traditional Arabic" w:hint="cs"/>
          <w:sz w:val="24"/>
          <w:szCs w:val="24"/>
        </w:rPr>
        <w:t>.</w:t>
      </w:r>
    </w:p>
    <w:p w14:paraId="726E6A67"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إدارة المخاطر في تحسين جودة الرعاية الصحية: دراسة ميدانية في مستشفيات الرياض</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الإدارية، ٢٠(٣)، ٤٤٦٧</w:t>
      </w:r>
      <w:r w:rsidRPr="00973709">
        <w:rPr>
          <w:rFonts w:ascii="Traditional Arabic" w:eastAsia="Calibri" w:hAnsi="Traditional Arabic" w:cs="Traditional Arabic" w:hint="cs"/>
          <w:sz w:val="24"/>
          <w:szCs w:val="24"/>
        </w:rPr>
        <w:t>.</w:t>
      </w:r>
    </w:p>
    <w:p w14:paraId="10F4F3E9"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م.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03DDE87"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العجمي، ح.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الإبداع الإداري في تحقيق الميزة التنافسية: الدور الوسيط لعناصر المنظمة المتعلمة في الشركات الصناعية الكويتية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الدولية للعلوم الإنسانية والاجتماعية، ١٩(٢)، ٧٥–٩٨</w:t>
      </w:r>
      <w:r w:rsidRPr="00973709">
        <w:rPr>
          <w:rFonts w:ascii="Traditional Arabic" w:eastAsia="Calibri" w:hAnsi="Traditional Arabic" w:cs="Traditional Arabic" w:hint="cs"/>
          <w:sz w:val="24"/>
          <w:szCs w:val="24"/>
        </w:rPr>
        <w:t>.</w:t>
      </w:r>
    </w:p>
    <w:p w14:paraId="7389ED04" w14:textId="673C64B1"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العرايضة، م. م.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نظرية القيادة التحويلية في القيادة التربوية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رسالة المعلم، وزارة التربية والتعليم، إدارة التخطيط والبحث التربوي، ٤٩(٣)، ٣٨–٤١</w:t>
      </w:r>
      <w:r w:rsidRPr="00973709">
        <w:rPr>
          <w:rFonts w:ascii="Traditional Arabic" w:eastAsia="Calibri" w:hAnsi="Traditional Arabic" w:cs="Traditional Arabic" w:hint="cs"/>
          <w:sz w:val="24"/>
          <w:szCs w:val="24"/>
        </w:rPr>
        <w:t>.</w:t>
      </w:r>
    </w:p>
    <w:p w14:paraId="0D56A399"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عصماني، ع. ق. (٢٠٠٩)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أهمية بناء أنظمة لإدارة المخاطر لمواجهة الأزمات في المؤسسات المالية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الملتقى العلمي الدولي حول الأزمة المالية والاقتصادية الدولية والحوكمة العالمية. جامعة فرحات عباس، سطيف</w:t>
      </w:r>
      <w:r w:rsidRPr="00973709">
        <w:rPr>
          <w:rFonts w:ascii="Traditional Arabic" w:eastAsia="Calibri" w:hAnsi="Traditional Arabic" w:cs="Traditional Arabic" w:hint="cs"/>
          <w:sz w:val="24"/>
          <w:szCs w:val="24"/>
        </w:rPr>
        <w:t>.</w:t>
      </w:r>
    </w:p>
    <w:p w14:paraId="4FCEE2D9"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 (رسالة ماجستير). جامعة ميد أوشن، كلية الإدارة، لندن</w:t>
      </w:r>
      <w:r w:rsidRPr="00973709">
        <w:rPr>
          <w:rFonts w:ascii="Traditional Arabic" w:eastAsia="Calibri" w:hAnsi="Traditional Arabic" w:cs="Traditional Arabic" w:hint="cs"/>
          <w:sz w:val="24"/>
          <w:szCs w:val="24"/>
        </w:rPr>
        <w:t>.</w:t>
      </w:r>
    </w:p>
    <w:p w14:paraId="4EE1767F"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أ</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عفيفي، م.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تطبيق إدارة المخاطر على جودة الرعاية الصحية وسلامة المرضى في مستشفيات جدة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الصحية، ١٢(١)، ٥٥–٧٨</w:t>
      </w:r>
      <w:r w:rsidRPr="00973709">
        <w:rPr>
          <w:rFonts w:ascii="Traditional Arabic" w:eastAsia="Calibri" w:hAnsi="Traditional Arabic" w:cs="Traditional Arabic" w:hint="cs"/>
          <w:sz w:val="24"/>
          <w:szCs w:val="24"/>
        </w:rPr>
        <w:t>.</w:t>
      </w:r>
    </w:p>
    <w:p w14:paraId="3A8BD3E8"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خ. (٢٠١٩)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تحديد أولويات المخاطر في القطاع الصحي باستخدام منهجيات التقييم الحديثة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r w:rsidRPr="00973709">
        <w:rPr>
          <w:rFonts w:ascii="Traditional Arabic" w:eastAsia="Calibri" w:hAnsi="Traditional Arabic" w:cs="Traditional Arabic" w:hint="cs"/>
          <w:sz w:val="24"/>
          <w:szCs w:val="24"/>
        </w:rPr>
        <w:t>).</w:t>
      </w:r>
    </w:p>
    <w:p w14:paraId="214D4918"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CF9E115"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ب. ن.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3D292C28" w14:textId="77777777" w:rsidR="00342847" w:rsidRPr="00973709" w:rsidRDefault="00342847">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ن. (2020). أثر القيادة التحويلية على جودة الرعاية الصحية (رسالة ماجستير، جامعة الملك عبدالعزيز).</w:t>
      </w:r>
    </w:p>
    <w:p w14:paraId="62F20535" w14:textId="6B2EE42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w:t>
      </w:r>
      <w:r w:rsidRPr="00973709">
        <w:rPr>
          <w:rFonts w:ascii="Traditional Arabic" w:eastAsia="Times New Roman" w:hAnsi="Traditional Arabic" w:cs="Traditional Arabic" w:hint="cs"/>
          <w:sz w:val="24"/>
          <w:szCs w:val="24"/>
          <w:rtl/>
        </w:rPr>
        <w:t xml:space="preserve"> </w:t>
      </w:r>
      <w:r w:rsidRPr="00973709">
        <w:rPr>
          <w:rFonts w:ascii="Traditional Arabic" w:eastAsia="Calibri" w:hAnsi="Traditional Arabic" w:cs="Traditional Arabic" w:hint="cs"/>
          <w:sz w:val="24"/>
          <w:szCs w:val="24"/>
          <w:rtl/>
        </w:rPr>
        <w:t>العنزي، ح. ع.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لدى مديري المدارس الثانوية في المملكة العربية السعودية وعلاقتها بالأداء الوظيفي لمعلميهم (أطروحة دكتوراه غير منشورة). الجامعة الأردنية، عمان، الأردن</w:t>
      </w:r>
      <w:r w:rsidRPr="00973709">
        <w:rPr>
          <w:rFonts w:ascii="Traditional Arabic" w:eastAsia="Calibri" w:hAnsi="Traditional Arabic" w:cs="Traditional Arabic" w:hint="cs"/>
          <w:sz w:val="24"/>
          <w:szCs w:val="24"/>
        </w:rPr>
        <w:t>.</w:t>
      </w:r>
    </w:p>
    <w:p w14:paraId="79BEB3D8" w14:textId="7CE3EE54"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العنزي، ف.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جودة الخدمات الصحية ،رسالة ماجستير، جامعة الملك عبدالعزيز.</w:t>
      </w:r>
    </w:p>
    <w:p w14:paraId="24064D65" w14:textId="24F3FCBB"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العنزي، ن.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أثر القيادة التحويلية على الأداء الوظيفي للعاملين في القطاع الصحي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p>
    <w:p w14:paraId="20D3F323" w14:textId="77777777"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ج.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ممارسة مديري مدارس التعليم العام للقيادة التحويلية بمحافظة المخواة (رسالة ماجستير غير منشورة). كلية التربية، جامعة أم القرى، مكة المكرمة</w:t>
      </w:r>
      <w:r w:rsidRPr="00973709">
        <w:rPr>
          <w:rFonts w:ascii="Traditional Arabic" w:eastAsia="Calibri" w:hAnsi="Traditional Arabic" w:cs="Traditional Arabic" w:hint="cs"/>
          <w:sz w:val="24"/>
          <w:szCs w:val="24"/>
        </w:rPr>
        <w:t>.</w:t>
      </w:r>
    </w:p>
    <w:p w14:paraId="7E233837" w14:textId="41081D2C" w:rsidR="004972AE" w:rsidRPr="00973709" w:rsidRDefault="004972AE">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وعلاقتها بنمط القيادة التحويلية: دراسة ميدانية في الشركة العامة للصناعات القطنية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والاقتصاد، جامعة بغداد، ٨(١)، ٩٩–١٢٠.</w:t>
      </w:r>
    </w:p>
    <w:p w14:paraId="55BDD4F3" w14:textId="43D02CCA"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عثمان،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في إدارة الأزمات الصحية: دراسة تطبيقية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الصحية السعودية، ٩(٣)، ١١٥–١٣٤</w:t>
      </w:r>
      <w:r w:rsidRPr="00973709">
        <w:rPr>
          <w:rFonts w:ascii="Traditional Arabic" w:eastAsia="Calibri" w:hAnsi="Traditional Arabic" w:cs="Traditional Arabic" w:hint="cs"/>
          <w:sz w:val="24"/>
          <w:szCs w:val="24"/>
        </w:rPr>
        <w:t>.</w:t>
      </w:r>
    </w:p>
    <w:p w14:paraId="6E9F499D" w14:textId="1ADB3729"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ج؛ جبريل،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علم النفس الإداري والتنظيمي: أسس النظرية وتطبيقاته العلمية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دمياط: مكتبة نانسي</w:t>
      </w:r>
      <w:r w:rsidRPr="00973709">
        <w:rPr>
          <w:rFonts w:ascii="Traditional Arabic" w:eastAsia="Calibri" w:hAnsi="Traditional Arabic" w:cs="Traditional Arabic" w:hint="cs"/>
          <w:sz w:val="24"/>
          <w:szCs w:val="24"/>
        </w:rPr>
        <w:t>.</w:t>
      </w:r>
    </w:p>
    <w:p w14:paraId="6FD7F5FB" w14:textId="77777777"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ش. البوهي.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الاتجاهات الحديثة في الإدارة التربوية والمدرسية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الجامعة الجديدة</w:t>
      </w:r>
      <w:r w:rsidRPr="00973709">
        <w:rPr>
          <w:rFonts w:ascii="Traditional Arabic" w:eastAsia="Calibri" w:hAnsi="Traditional Arabic" w:cs="Traditional Arabic" w:hint="cs"/>
          <w:sz w:val="24"/>
          <w:szCs w:val="24"/>
        </w:rPr>
        <w:t>.</w:t>
      </w:r>
    </w:p>
    <w:p w14:paraId="3C69549A" w14:textId="22CF8843"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الفرا، م. م</w:t>
      </w:r>
      <w:r w:rsidR="00FA5F3A" w:rsidRPr="00973709">
        <w:rPr>
          <w:rFonts w:ascii="Traditional Arabic" w:eastAsia="Calibri" w:hAnsi="Traditional Arabic" w:cs="Traditional Arabic" w:hint="cs"/>
          <w:sz w:val="24"/>
          <w:szCs w:val="24"/>
          <w:rtl/>
        </w:rPr>
        <w:t>؛</w:t>
      </w:r>
      <w:r w:rsidRPr="00973709">
        <w:rPr>
          <w:rFonts w:ascii="Traditional Arabic" w:eastAsia="Calibri" w:hAnsi="Traditional Arabic" w:cs="Traditional Arabic" w:hint="cs"/>
          <w:sz w:val="24"/>
          <w:szCs w:val="24"/>
          <w:rtl/>
        </w:rPr>
        <w:t xml:space="preserve"> الخطيب، م. (٢٠٠٧)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النمط القيادي السائد لدى المدير في وزارات السلطة الوطنية في محافظة غزة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الجامعة الإسلامية للبحوث الإنسانية، ١٥(٢)، ٢٤–٦٥</w:t>
      </w:r>
      <w:r w:rsidRPr="00973709">
        <w:rPr>
          <w:rFonts w:ascii="Traditional Arabic" w:eastAsia="Calibri" w:hAnsi="Traditional Arabic" w:cs="Traditional Arabic" w:hint="cs"/>
          <w:sz w:val="24"/>
          <w:szCs w:val="24"/>
        </w:rPr>
        <w:t>.</w:t>
      </w:r>
    </w:p>
    <w:p w14:paraId="2FDF7682" w14:textId="0EAB3986"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فكرة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بحث عن الأخطاء الطبية وأسبابها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موقع فكرة. (تعذر الوصول إلى المحتوى للتحقق من التفاصيل الدقيقة)</w:t>
      </w:r>
      <w:r w:rsidRPr="00973709">
        <w:rPr>
          <w:rFonts w:ascii="Traditional Arabic" w:eastAsia="Calibri" w:hAnsi="Traditional Arabic" w:cs="Traditional Arabic" w:hint="cs"/>
          <w:sz w:val="24"/>
          <w:szCs w:val="24"/>
        </w:rPr>
        <w:t>.</w:t>
      </w:r>
    </w:p>
    <w:p w14:paraId="2AD22C8C" w14:textId="77777777"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القرني، م.، وطه،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أثر القيادة التحويلية على إدارة الأزمات الصحية: دراسة ميدانية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العلمية في الإدارة الصحية، ٩(٢)، ٨٨–١٠٤</w:t>
      </w:r>
      <w:r w:rsidRPr="00973709">
        <w:rPr>
          <w:rFonts w:ascii="Traditional Arabic" w:eastAsia="Calibri" w:hAnsi="Traditional Arabic" w:cs="Traditional Arabic" w:hint="cs"/>
          <w:sz w:val="24"/>
          <w:szCs w:val="24"/>
        </w:rPr>
        <w:t>.</w:t>
      </w:r>
    </w:p>
    <w:p w14:paraId="5C03D019" w14:textId="77777777" w:rsidR="005D18D2" w:rsidRPr="00973709" w:rsidRDefault="005D18D2">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القصير، ن.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دور المرضى في صياغة السياسات الصحية: دراسة ميدانية في مستشفيات تعليمية مصرية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العربية للصحة العامة، ١٨(٣)، ٩١–١٠٤</w:t>
      </w:r>
      <w:r w:rsidRPr="00973709">
        <w:rPr>
          <w:rFonts w:ascii="Traditional Arabic" w:eastAsia="Calibri" w:hAnsi="Traditional Arabic" w:cs="Traditional Arabic" w:hint="cs"/>
          <w:sz w:val="24"/>
          <w:szCs w:val="24"/>
        </w:rPr>
        <w:t>.</w:t>
      </w:r>
    </w:p>
    <w:p w14:paraId="79739FC4" w14:textId="658E8C4A"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محمد، أ.، عبد الرحمن، ن</w:t>
      </w:r>
      <w:r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rtl/>
        </w:rPr>
        <w:t xml:space="preserve"> عبد الله، س.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أثر القيادة التحويلية على بيئة العمل والعدالة التنظيمية في مستشفيات محافظة الشرقية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البحوث التربوية والإدارية، ١٩(٢)، ٧٤–٩٦</w:t>
      </w:r>
      <w:r w:rsidRPr="00973709">
        <w:rPr>
          <w:rFonts w:ascii="Traditional Arabic" w:hAnsi="Traditional Arabic" w:cs="Traditional Arabic" w:hint="cs"/>
          <w:sz w:val="24"/>
          <w:szCs w:val="24"/>
          <w:lang w:bidi="ar-EG"/>
        </w:rPr>
        <w:t>.</w:t>
      </w:r>
    </w:p>
    <w:p w14:paraId="63C52E18"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محمود، أ. (٢٠٠٩)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الخطأ الطبي بين الفقه والقانون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دار الفكر العربي</w:t>
      </w:r>
      <w:r w:rsidRPr="00973709">
        <w:rPr>
          <w:rFonts w:ascii="Traditional Arabic" w:hAnsi="Traditional Arabic" w:cs="Traditional Arabic" w:hint="cs"/>
          <w:sz w:val="24"/>
          <w:szCs w:val="24"/>
          <w:lang w:bidi="ar-EG"/>
        </w:rPr>
        <w:t>.</w:t>
      </w:r>
    </w:p>
    <w:p w14:paraId="1E862D5B"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مدوّن حر.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مبادئ إدارة المخاطر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منشور إلكتروني متاح عبر</w:t>
      </w:r>
      <w:r w:rsidRPr="00973709">
        <w:rPr>
          <w:rFonts w:ascii="Traditional Arabic" w:hAnsi="Traditional Arabic" w:cs="Traditional Arabic" w:hint="cs"/>
          <w:sz w:val="24"/>
          <w:szCs w:val="24"/>
          <w:lang w:bidi="ar-EG"/>
        </w:rPr>
        <w:t xml:space="preserve">: </w:t>
      </w:r>
      <w:hyperlink r:id="rId64" w:tgtFrame="_blank" w:tooltip="www.madounhar.com" w:history="1">
        <w:r w:rsidRPr="00973709">
          <w:rPr>
            <w:rStyle w:val="Hyperlink"/>
            <w:rFonts w:ascii="Traditional Arabic" w:hAnsi="Traditional Arabic" w:cs="Traditional Arabic" w:hint="cs"/>
            <w:sz w:val="24"/>
            <w:szCs w:val="24"/>
            <w:lang w:bidi="ar-EG"/>
          </w:rPr>
          <w:t>https://www.madounhar.com/risk-management-healthcare</w:t>
        </w:r>
      </w:hyperlink>
    </w:p>
    <w:p w14:paraId="1C86BF59"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lastRenderedPageBreak/>
        <w:t>المزروع، ل. (٢٠٠٧)</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فاعلية الذات وعلاقتها بكل من الدافعية للإنجاز والذكاء الوجداني لدى عينة من طالبات جامعة أم القرى</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العلوم التربوية والنفسية، ٨(٤)، ٦٩–٨٩</w:t>
      </w:r>
      <w:r w:rsidRPr="00973709">
        <w:rPr>
          <w:rFonts w:ascii="Traditional Arabic" w:hAnsi="Traditional Arabic" w:cs="Traditional Arabic" w:hint="cs"/>
          <w:sz w:val="24"/>
          <w:szCs w:val="24"/>
          <w:lang w:bidi="ar-EG"/>
        </w:rPr>
        <w:t>.</w:t>
      </w:r>
    </w:p>
    <w:p w14:paraId="78677127"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مصباح، م.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المخاطر في الرعاية الصحية: درع الأمان في عالم الطب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البوابة الإدارية الصحية</w:t>
      </w:r>
      <w:r w:rsidRPr="00973709">
        <w:rPr>
          <w:rFonts w:ascii="Traditional Arabic" w:hAnsi="Traditional Arabic" w:cs="Traditional Arabic" w:hint="cs"/>
          <w:sz w:val="24"/>
          <w:szCs w:val="24"/>
          <w:lang w:bidi="ar-EG"/>
        </w:rPr>
        <w:t>.</w:t>
      </w:r>
    </w:p>
    <w:p w14:paraId="336CCB5F"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مندور، هـ. ش. (٢٠١٠)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تطوير النمط القيادي لمديري المدارس الثانوية الفنية بمصر في ضوء مبادئ الإدارة المقترحة (رسالة ماجستير). كلية التربية، جامعة عين شمس</w:t>
      </w:r>
      <w:r w:rsidRPr="00973709">
        <w:rPr>
          <w:rFonts w:ascii="Traditional Arabic" w:hAnsi="Traditional Arabic" w:cs="Traditional Arabic" w:hint="cs"/>
          <w:sz w:val="24"/>
          <w:szCs w:val="24"/>
          <w:lang w:bidi="ar-EG"/>
        </w:rPr>
        <w:t>.</w:t>
      </w:r>
    </w:p>
    <w:p w14:paraId="6FC2CC0F" w14:textId="77777777" w:rsidR="00FA5F3A" w:rsidRPr="00973709" w:rsidRDefault="00FA5F3A">
      <w:pPr>
        <w:numPr>
          <w:ilvl w:val="0"/>
          <w:numId w:val="31"/>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منصور، أ. س. (٢٠٢٣)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الاستراتيجية في القطاع الصحي</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المسار الأكاديمي</w:t>
      </w:r>
      <w:r w:rsidRPr="00973709">
        <w:rPr>
          <w:rFonts w:ascii="Traditional Arabic" w:hAnsi="Traditional Arabic" w:cs="Traditional Arabic" w:hint="cs"/>
          <w:sz w:val="24"/>
          <w:szCs w:val="24"/>
          <w:lang w:bidi="ar-EG"/>
        </w:rPr>
        <w:t>.</w:t>
      </w:r>
    </w:p>
    <w:p w14:paraId="44C31810" w14:textId="535DB5C1"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مهنا، م. (٢٠٢٥)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إدارة الجودة الشاملة لضمان جودة المستشفيات والمؤسسات العلاجية: دراسة اجتماعية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العلمية لكلية الآداب، ١٤(٣)، ١–١٦</w:t>
      </w:r>
      <w:r w:rsidRPr="00973709">
        <w:rPr>
          <w:rFonts w:ascii="Traditional Arabic" w:eastAsia="Calibri" w:hAnsi="Traditional Arabic" w:cs="Traditional Arabic" w:hint="cs"/>
          <w:sz w:val="24"/>
          <w:szCs w:val="24"/>
        </w:rPr>
        <w:t>.</w:t>
      </w:r>
    </w:p>
    <w:p w14:paraId="0B7F013F"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المؤيد، ع.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الأخطاء الطبية والمسؤولية القانونية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النهضة العربية</w:t>
      </w:r>
      <w:r w:rsidRPr="00973709">
        <w:rPr>
          <w:rFonts w:ascii="Traditional Arabic" w:eastAsia="Calibri" w:hAnsi="Traditional Arabic" w:cs="Traditional Arabic" w:hint="cs"/>
          <w:sz w:val="24"/>
          <w:szCs w:val="24"/>
        </w:rPr>
        <w:t>.</w:t>
      </w:r>
    </w:p>
    <w:p w14:paraId="225F82CA"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النجار، ط.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التحويلية الخضراء كوسيط في العلاقة بين إدارة الموارد البشرية الخضراء والاستدامة التنظيمية في مستشفيات وزارة الصحة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أبحاث الإدارة البيئية، ٧(١)، ٢٢–٤١</w:t>
      </w:r>
      <w:r w:rsidRPr="00973709">
        <w:rPr>
          <w:rFonts w:ascii="Traditional Arabic" w:eastAsia="Calibri" w:hAnsi="Traditional Arabic" w:cs="Traditional Arabic" w:hint="cs"/>
          <w:sz w:val="24"/>
          <w:szCs w:val="24"/>
        </w:rPr>
        <w:t>.</w:t>
      </w:r>
    </w:p>
    <w:p w14:paraId="45293C00"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 ع.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ودورها في إدارة الأزمات: دراسة تحليلية في مستشفى الحسين التعليمي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المثنى للعلوم الاقتصادية والإدارية، ٧(٢)، ٣٣–٥٠</w:t>
      </w:r>
      <w:r w:rsidRPr="00973709">
        <w:rPr>
          <w:rFonts w:ascii="Traditional Arabic" w:eastAsia="Calibri" w:hAnsi="Traditional Arabic" w:cs="Traditional Arabic" w:hint="cs"/>
          <w:sz w:val="24"/>
          <w:szCs w:val="24"/>
        </w:rPr>
        <w:t>.</w:t>
      </w:r>
    </w:p>
    <w:p w14:paraId="476C3CFE" w14:textId="57AEE3FD" w:rsidR="00FA5F3A" w:rsidRPr="00973709" w:rsidRDefault="00FA5F3A">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نوري، م.، &amp; المزروع، ل. (٢٠٠٧). فاعلية الذات وعلاقتها بكل من الدافعية للإنجاز والذكاء الوجداني لدى عينة من طالبات جامعة أم القرى. مجلة العلوم التربوية والنفسية، البحرين، ٨(٤)، ٦٩–٨٩.</w:t>
      </w:r>
    </w:p>
    <w:p w14:paraId="687A578A" w14:textId="4979C064" w:rsidR="00342847" w:rsidRPr="00973709" w:rsidRDefault="00FA5F3A">
      <w:pPr>
        <w:numPr>
          <w:ilvl w:val="0"/>
          <w:numId w:val="23"/>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هبة عبدالرحمن. (٢٠١٩). إدارة المخاطر في الرعاية الصحية (رسالة ماجستير، جامعة القاهرة).</w:t>
      </w:r>
    </w:p>
    <w:p w14:paraId="62CA69B8" w14:textId="76950720"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القائد التحويلي وتغيير المستقبل: طبيعته ووظيفته ومحاوره في التغيير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الكتب العربية</w:t>
      </w:r>
      <w:r w:rsidRPr="00973709">
        <w:rPr>
          <w:rFonts w:ascii="Traditional Arabic" w:eastAsia="Calibri" w:hAnsi="Traditional Arabic" w:cs="Traditional Arabic" w:hint="cs"/>
          <w:sz w:val="24"/>
          <w:szCs w:val="24"/>
        </w:rPr>
        <w:t>.</w:t>
      </w:r>
    </w:p>
    <w:p w14:paraId="0A46AE4F"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(٢٠١٠)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ملامح مدير المستقبل من القيادة التبادلية إلى القيادة التحويلية (ط٣). القاهرة: مكتبة عين شمس</w:t>
      </w:r>
      <w:r w:rsidRPr="00973709">
        <w:rPr>
          <w:rFonts w:ascii="Traditional Arabic" w:eastAsia="Calibri" w:hAnsi="Traditional Arabic" w:cs="Traditional Arabic" w:hint="cs"/>
          <w:sz w:val="24"/>
          <w:szCs w:val="24"/>
        </w:rPr>
        <w:t>.</w:t>
      </w:r>
    </w:p>
    <w:p w14:paraId="5499C6D8"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هويدة، ح.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مقياس فاعلية الذات</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الأنجلو المصرية</w:t>
      </w:r>
      <w:r w:rsidRPr="00973709">
        <w:rPr>
          <w:rFonts w:ascii="Traditional Arabic" w:eastAsia="Calibri" w:hAnsi="Traditional Arabic" w:cs="Traditional Arabic" w:hint="cs"/>
          <w:sz w:val="24"/>
          <w:szCs w:val="24"/>
        </w:rPr>
        <w:t>.</w:t>
      </w:r>
    </w:p>
    <w:p w14:paraId="2A6E2483" w14:textId="3F29298A"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الهيئة العامة للإحصاء.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إحصاءات المنشآت الصحية والقوى العاملة الصحية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المملكة العربية السعودية</w:t>
      </w:r>
      <w:r w:rsidR="009D0A17"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 </w:t>
      </w:r>
      <w:hyperlink r:id="rId65" w:tgtFrame="_blank" w:tooltip="www.stats.gov.sa" w:history="1">
        <w:r w:rsidRPr="00973709">
          <w:rPr>
            <w:rStyle w:val="Hyperlink"/>
            <w:rFonts w:ascii="Traditional Arabic" w:eastAsia="Calibri" w:hAnsi="Traditional Arabic" w:cs="Traditional Arabic" w:hint="cs"/>
            <w:sz w:val="24"/>
            <w:szCs w:val="24"/>
          </w:rPr>
          <w:t>https://www.stats.gov.sa</w:t>
        </w:r>
      </w:hyperlink>
    </w:p>
    <w:p w14:paraId="5E7B7979" w14:textId="0000B52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السعودية.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لوحة المؤشرات الصحية – القوى العاملة</w:t>
      </w:r>
      <w:r w:rsidR="009D0A17" w:rsidRPr="00973709">
        <w:rPr>
          <w:rFonts w:ascii="Traditional Arabic" w:eastAsia="Calibri" w:hAnsi="Traditional Arabic" w:cs="Traditional Arabic" w:hint="cs"/>
          <w:sz w:val="24"/>
          <w:szCs w:val="24"/>
          <w:rtl/>
        </w:rPr>
        <w:t xml:space="preserve"> </w:t>
      </w:r>
      <w:hyperlink r:id="rId66" w:tgtFrame="_blank" w:tooltip="www.moh.gov.sa" w:history="1">
        <w:r w:rsidRPr="00973709">
          <w:rPr>
            <w:rStyle w:val="Hyperlink"/>
            <w:rFonts w:ascii="Traditional Arabic" w:eastAsia="Calibri" w:hAnsi="Traditional Arabic" w:cs="Traditional Arabic" w:hint="cs"/>
            <w:sz w:val="24"/>
            <w:szCs w:val="24"/>
          </w:rPr>
          <w:t>https://www.moh.gov.sa</w:t>
        </w:r>
      </w:hyperlink>
    </w:p>
    <w:p w14:paraId="41F00687"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المصرية.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الاستراتيجية والخطة التنفيذية لإدارة المخاطر ٢٠١٩–٢٠٢٢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تم الاطلاع عليه يوم ٢٠٢٢/٠٥/٢٣ الساعة ١٦:٣٠</w:t>
      </w:r>
      <w:r w:rsidRPr="00973709">
        <w:rPr>
          <w:rFonts w:ascii="Traditional Arabic" w:eastAsia="Calibri" w:hAnsi="Traditional Arabic" w:cs="Traditional Arabic" w:hint="cs"/>
          <w:sz w:val="24"/>
          <w:szCs w:val="24"/>
        </w:rPr>
        <w:t>.</w:t>
      </w:r>
    </w:p>
    <w:p w14:paraId="30372E47"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اليافعي، إ.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الاستراتيجية في إدارة الأزمات في الجامعات اليمنية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في: الندوة العلمية الأولى لقسم الإدارة وأصول التربية – جامعة إب، اليمن</w:t>
      </w:r>
      <w:r w:rsidRPr="00973709">
        <w:rPr>
          <w:rFonts w:ascii="Traditional Arabic" w:eastAsia="Calibri" w:hAnsi="Traditional Arabic" w:cs="Traditional Arabic" w:hint="cs"/>
          <w:sz w:val="24"/>
          <w:szCs w:val="24"/>
        </w:rPr>
        <w:t>.</w:t>
      </w:r>
    </w:p>
    <w:p w14:paraId="4FF72D56" w14:textId="77777777" w:rsidR="00FA5F3A" w:rsidRPr="00973709" w:rsidRDefault="00FA5F3A">
      <w:pPr>
        <w:pStyle w:val="ListParagraph"/>
        <w:numPr>
          <w:ilvl w:val="0"/>
          <w:numId w:val="23"/>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يوسف، ع. ع. م. (٢٠٠٢)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أسلوب القيادة التحويلية لتحسين أداء مدير المدرسة في مصر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الجمعية المصرية للتربية المقارنة والإدارة التعليمية، ٥(٧)، ١٣٩–١٦٢</w:t>
      </w:r>
      <w:r w:rsidRPr="00973709">
        <w:rPr>
          <w:rFonts w:ascii="Traditional Arabic" w:eastAsia="Calibri" w:hAnsi="Traditional Arabic" w:cs="Traditional Arabic" w:hint="cs"/>
          <w:sz w:val="24"/>
          <w:szCs w:val="24"/>
        </w:rPr>
        <w:t>.</w:t>
      </w:r>
    </w:p>
    <w:p w14:paraId="6A035371" w14:textId="471C542D" w:rsidR="000F35E6" w:rsidRPr="00381C34" w:rsidRDefault="000F35E6" w:rsidP="00841103">
      <w:pPr>
        <w:pStyle w:val="ListParagraph"/>
        <w:bidi/>
        <w:spacing w:after="200" w:line="240" w:lineRule="auto"/>
        <w:ind w:left="360"/>
        <w:jc w:val="both"/>
        <w:rPr>
          <w:rFonts w:ascii="Traditional Arabic" w:hAnsi="Traditional Arabic" w:cs="Traditional Arabic"/>
          <w:b/>
          <w:bCs/>
          <w:sz w:val="28"/>
          <w:szCs w:val="28"/>
          <w:u w:val="single"/>
          <w:rtl/>
          <w:lang w:bidi="ar-EG"/>
        </w:rPr>
      </w:pPr>
      <w:r w:rsidRPr="00381C34">
        <w:rPr>
          <w:rFonts w:ascii="Traditional Arabic" w:hAnsi="Traditional Arabic" w:cs="Traditional Arabic" w:hint="cs"/>
          <w:b/>
          <w:bCs/>
          <w:sz w:val="28"/>
          <w:szCs w:val="28"/>
          <w:u w:val="single"/>
          <w:rtl/>
          <w:lang w:bidi="ar-EG"/>
        </w:rPr>
        <w:t xml:space="preserve">ثانيا المراجع </w:t>
      </w:r>
      <w:r w:rsidR="006E437C" w:rsidRPr="00381C34">
        <w:rPr>
          <w:rFonts w:ascii="Traditional Arabic" w:hAnsi="Traditional Arabic" w:cs="Traditional Arabic" w:hint="cs"/>
          <w:b/>
          <w:bCs/>
          <w:sz w:val="28"/>
          <w:szCs w:val="28"/>
          <w:u w:val="single"/>
          <w:rtl/>
          <w:lang w:bidi="ar-EG"/>
        </w:rPr>
        <w:t>الأجنبية</w:t>
      </w:r>
    </w:p>
    <w:p w14:paraId="70158E36" w14:textId="77777777" w:rsidR="00DC431F" w:rsidRPr="00DC431F" w:rsidRDefault="00DC431F" w:rsidP="00DC431F">
      <w:pPr>
        <w:pStyle w:val="ListParagraph"/>
        <w:spacing w:after="200"/>
        <w:ind w:left="360"/>
        <w:rPr>
          <w:rFonts w:asciiTheme="majorBidi" w:hAnsiTheme="majorBidi" w:cstheme="majorBidi"/>
          <w:sz w:val="28"/>
          <w:szCs w:val="28"/>
          <w:lang w:bidi="ar-EG"/>
        </w:rPr>
      </w:pPr>
    </w:p>
    <w:p w14:paraId="3587AA37" w14:textId="4850D928"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Abou-Moghli, A. A. (2018). Analyzing the significance of transformational leadership on organizational creativity of employees: A case of insurance companies in Jordan. </w:t>
      </w:r>
      <w:r w:rsidRPr="00300EB7">
        <w:rPr>
          <w:rFonts w:asciiTheme="majorBidi" w:hAnsiTheme="majorBidi" w:cstheme="majorBidi"/>
          <w:i/>
          <w:iCs/>
          <w:sz w:val="24"/>
          <w:szCs w:val="24"/>
          <w:lang w:bidi="ar-EG"/>
        </w:rPr>
        <w:t>International Journal of Business Administration</w:t>
      </w:r>
      <w:r w:rsidRPr="00300EB7">
        <w:rPr>
          <w:rFonts w:asciiTheme="majorBidi" w:hAnsiTheme="majorBidi" w:cstheme="majorBidi"/>
          <w:sz w:val="24"/>
          <w:szCs w:val="24"/>
          <w:lang w:bidi="ar-EG"/>
        </w:rPr>
        <w:t xml:space="preserve">, </w:t>
      </w:r>
      <w:r w:rsidRPr="00300EB7">
        <w:rPr>
          <w:rFonts w:asciiTheme="majorBidi" w:hAnsiTheme="majorBidi" w:cstheme="majorBidi"/>
          <w:i/>
          <w:iCs/>
          <w:sz w:val="24"/>
          <w:szCs w:val="24"/>
          <w:lang w:bidi="ar-EG"/>
        </w:rPr>
        <w:t>9</w:t>
      </w:r>
      <w:r w:rsidRPr="00300EB7">
        <w:rPr>
          <w:rFonts w:asciiTheme="majorBidi" w:hAnsiTheme="majorBidi" w:cstheme="majorBidi"/>
          <w:sz w:val="24"/>
          <w:szCs w:val="24"/>
          <w:lang w:bidi="ar-EG"/>
        </w:rPr>
        <w:t>(4), 64</w:t>
      </w:r>
      <w:r w:rsidR="00E41BD3">
        <w:rPr>
          <w:rFonts w:asciiTheme="majorBidi" w:hAnsiTheme="majorBidi" w:cstheme="majorBidi" w:hint="cs"/>
          <w:sz w:val="24"/>
          <w:szCs w:val="24"/>
          <w:rtl/>
          <w:lang w:bidi="ar-EG"/>
        </w:rPr>
        <w:t>:</w:t>
      </w:r>
      <w:r w:rsidRPr="00300EB7">
        <w:rPr>
          <w:rFonts w:asciiTheme="majorBidi" w:hAnsiTheme="majorBidi" w:cstheme="majorBidi"/>
          <w:sz w:val="24"/>
          <w:szCs w:val="24"/>
          <w:lang w:bidi="ar-EG"/>
        </w:rPr>
        <w:t>72.</w:t>
      </w:r>
    </w:p>
    <w:p w14:paraId="3099C9A3"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 Thani, F. B. H., &amp; Obeidat, A. M. (2020). The impact of strategic leadership on crisis management. </w:t>
      </w:r>
      <w:r w:rsidRPr="008C3733">
        <w:rPr>
          <w:rFonts w:asciiTheme="majorBidi" w:hAnsiTheme="majorBidi" w:cstheme="majorBidi"/>
          <w:sz w:val="24"/>
          <w:szCs w:val="24"/>
          <w:lang w:bidi="ar-EG"/>
        </w:rPr>
        <w:t>International Journal of Asian Social Science</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10</w:t>
      </w:r>
      <w:r w:rsidRPr="00300EB7">
        <w:rPr>
          <w:rFonts w:asciiTheme="majorBidi" w:hAnsiTheme="majorBidi" w:cstheme="majorBidi"/>
          <w:sz w:val="24"/>
          <w:szCs w:val="24"/>
          <w:lang w:bidi="ar-EG"/>
        </w:rPr>
        <w:t>(6), 307–326.</w:t>
      </w:r>
    </w:p>
    <w:p w14:paraId="16D93AE6"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Alam, A. (2016). Steps in the process of risk management in healthcare. </w:t>
      </w:r>
      <w:r w:rsidRPr="008C3733">
        <w:rPr>
          <w:rFonts w:asciiTheme="majorBidi" w:hAnsiTheme="majorBidi" w:cstheme="majorBidi"/>
          <w:sz w:val="24"/>
          <w:szCs w:val="24"/>
          <w:lang w:bidi="ar-EG"/>
        </w:rPr>
        <w:t>Journal of Epidemiology and Preventive Medicine</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2</w:t>
      </w:r>
      <w:r w:rsidRPr="00300EB7">
        <w:rPr>
          <w:rFonts w:asciiTheme="majorBidi" w:hAnsiTheme="majorBidi" w:cstheme="majorBidi"/>
          <w:sz w:val="24"/>
          <w:szCs w:val="24"/>
          <w:lang w:bidi="ar-EG"/>
        </w:rPr>
        <w:t>(2), 118.</w:t>
      </w:r>
    </w:p>
    <w:p w14:paraId="26B54460"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Al-Mutairi, M., et al. (2020). Risk management practices in Saudi hospitals. </w:t>
      </w:r>
      <w:r w:rsidRPr="008C3733">
        <w:rPr>
          <w:rFonts w:asciiTheme="majorBidi" w:hAnsiTheme="majorBidi" w:cstheme="majorBidi"/>
          <w:sz w:val="24"/>
          <w:szCs w:val="24"/>
          <w:lang w:bidi="ar-EG"/>
        </w:rPr>
        <w:t>International Journal of Health Sciences</w:t>
      </w:r>
      <w:r w:rsidRPr="00300EB7">
        <w:rPr>
          <w:rFonts w:asciiTheme="majorBidi" w:hAnsiTheme="majorBidi" w:cstheme="majorBidi"/>
          <w:sz w:val="24"/>
          <w:szCs w:val="24"/>
          <w:lang w:bidi="ar-EG"/>
        </w:rPr>
        <w:t>.</w:t>
      </w:r>
    </w:p>
    <w:p w14:paraId="130CE0E8"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Al-Omari, R., et al. (2019). Implementation of risk management systems in healthcare facilities. </w:t>
      </w:r>
      <w:r w:rsidRPr="008C3733">
        <w:rPr>
          <w:rFonts w:asciiTheme="majorBidi" w:hAnsiTheme="majorBidi" w:cstheme="majorBidi"/>
          <w:sz w:val="24"/>
          <w:szCs w:val="24"/>
          <w:lang w:bidi="ar-EG"/>
        </w:rPr>
        <w:t>Journal of Healthcare Management</w:t>
      </w:r>
      <w:r w:rsidRPr="00300EB7">
        <w:rPr>
          <w:rFonts w:asciiTheme="majorBidi" w:hAnsiTheme="majorBidi" w:cstheme="majorBidi"/>
          <w:sz w:val="24"/>
          <w:szCs w:val="24"/>
          <w:lang w:bidi="ar-EG"/>
        </w:rPr>
        <w:t>.</w:t>
      </w:r>
    </w:p>
    <w:p w14:paraId="701CE970"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Al-Qahtani, H., et al. (2020). Obstacles to effective risk management in healthcare. </w:t>
      </w:r>
      <w:r w:rsidRPr="008C3733">
        <w:rPr>
          <w:rFonts w:asciiTheme="majorBidi" w:hAnsiTheme="majorBidi" w:cstheme="majorBidi"/>
          <w:sz w:val="24"/>
          <w:szCs w:val="24"/>
          <w:lang w:bidi="ar-EG"/>
        </w:rPr>
        <w:t>Journal of Risk Management</w:t>
      </w:r>
      <w:r w:rsidRPr="00300EB7">
        <w:rPr>
          <w:rFonts w:asciiTheme="majorBidi" w:hAnsiTheme="majorBidi" w:cstheme="majorBidi"/>
          <w:sz w:val="24"/>
          <w:szCs w:val="24"/>
          <w:lang w:bidi="ar-EG"/>
        </w:rPr>
        <w:t>.</w:t>
      </w:r>
    </w:p>
    <w:p w14:paraId="203460A1"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Al-Zahrani, S. (2018). Evaluation of risk management strategies in healthcare. </w:t>
      </w:r>
      <w:r w:rsidRPr="008C3733">
        <w:rPr>
          <w:rFonts w:asciiTheme="majorBidi" w:hAnsiTheme="majorBidi" w:cstheme="majorBidi"/>
          <w:sz w:val="24"/>
          <w:szCs w:val="24"/>
          <w:lang w:bidi="ar-EG"/>
        </w:rPr>
        <w:t>Journal of Healthcare Administration</w:t>
      </w:r>
      <w:r w:rsidRPr="00300EB7">
        <w:rPr>
          <w:rFonts w:asciiTheme="majorBidi" w:hAnsiTheme="majorBidi" w:cstheme="majorBidi"/>
          <w:sz w:val="24"/>
          <w:szCs w:val="24"/>
          <w:lang w:bidi="ar-EG"/>
        </w:rPr>
        <w:t>.</w:t>
      </w:r>
    </w:p>
    <w:p w14:paraId="146BCC8B"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Anderson, J., et al. (2021). Challenges in risk management in healthcare: A comprehensive review. </w:t>
      </w:r>
      <w:r w:rsidRPr="008C3733">
        <w:rPr>
          <w:rFonts w:asciiTheme="majorBidi" w:hAnsiTheme="majorBidi" w:cstheme="majorBidi"/>
          <w:sz w:val="24"/>
          <w:szCs w:val="24"/>
          <w:lang w:bidi="ar-EG"/>
        </w:rPr>
        <w:t>Journal of Health Management</w:t>
      </w:r>
      <w:r w:rsidRPr="00300EB7">
        <w:rPr>
          <w:rFonts w:asciiTheme="majorBidi" w:hAnsiTheme="majorBidi" w:cstheme="majorBidi"/>
          <w:sz w:val="24"/>
          <w:szCs w:val="24"/>
          <w:lang w:bidi="ar-EG"/>
        </w:rPr>
        <w:t>.</w:t>
      </w:r>
    </w:p>
    <w:p w14:paraId="0692B1FD" w14:textId="2700EC24"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Bagga, S. K., Gera, S., &amp; Haque, S. N. (2023). The mediating role of organizational culture: Transformational leadership and change management in virtual teams. </w:t>
      </w:r>
      <w:r w:rsidRPr="008C3733">
        <w:rPr>
          <w:rFonts w:asciiTheme="majorBidi" w:hAnsiTheme="majorBidi" w:cstheme="majorBidi"/>
          <w:sz w:val="24"/>
          <w:szCs w:val="24"/>
          <w:lang w:bidi="ar-EG"/>
        </w:rPr>
        <w:t>Asia Pacific Management Review</w:t>
      </w:r>
      <w:r w:rsidRPr="00300EB7">
        <w:rPr>
          <w:rFonts w:asciiTheme="majorBidi" w:hAnsiTheme="majorBidi" w:cstheme="majorBidi"/>
          <w:sz w:val="24"/>
          <w:szCs w:val="24"/>
          <w:lang w:bidi="ar-EG"/>
        </w:rPr>
        <w:t xml:space="preserve">, </w:t>
      </w:r>
      <w:r w:rsidRPr="008C3733">
        <w:rPr>
          <w:rFonts w:asciiTheme="majorBidi" w:hAnsiTheme="majorBidi" w:cstheme="majorBidi"/>
          <w:sz w:val="24"/>
          <w:szCs w:val="24"/>
          <w:lang w:bidi="ar-EG"/>
        </w:rPr>
        <w:t>28</w:t>
      </w:r>
      <w:r w:rsidRPr="00300EB7">
        <w:rPr>
          <w:rFonts w:asciiTheme="majorBidi" w:hAnsiTheme="majorBidi" w:cstheme="majorBidi"/>
          <w:sz w:val="24"/>
          <w:szCs w:val="24"/>
          <w:lang w:bidi="ar-EG"/>
        </w:rPr>
        <w:t xml:space="preserve">(2), 120–131. </w:t>
      </w:r>
    </w:p>
    <w:p w14:paraId="44C2E0F2" w14:textId="77777777" w:rsidR="00300EB7" w:rsidRPr="00300EB7" w:rsidRDefault="00300EB7">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300EB7">
        <w:rPr>
          <w:rFonts w:asciiTheme="majorBidi" w:hAnsiTheme="majorBidi" w:cstheme="majorBidi"/>
          <w:sz w:val="24"/>
          <w:szCs w:val="24"/>
          <w:lang w:bidi="ar-EG"/>
        </w:rPr>
        <w:t xml:space="preserve">Nunnally, J. C. (1978). </w:t>
      </w:r>
      <w:r w:rsidRPr="008C3733">
        <w:rPr>
          <w:rFonts w:asciiTheme="majorBidi" w:hAnsiTheme="majorBidi" w:cstheme="majorBidi"/>
          <w:sz w:val="24"/>
          <w:szCs w:val="24"/>
          <w:lang w:bidi="ar-EG"/>
        </w:rPr>
        <w:t>Psychometric theory</w:t>
      </w:r>
      <w:r w:rsidRPr="00300EB7">
        <w:rPr>
          <w:rFonts w:asciiTheme="majorBidi" w:hAnsiTheme="majorBidi" w:cstheme="majorBidi"/>
          <w:sz w:val="24"/>
          <w:szCs w:val="24"/>
          <w:lang w:bidi="ar-EG"/>
        </w:rPr>
        <w:t xml:space="preserve"> (2nd ed.). McGraw-Hill.</w:t>
      </w:r>
    </w:p>
    <w:p w14:paraId="666B12A9"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Basten, D., &amp; Haamann, T. (2018). Approaches for organizational learning: A literature review. SAGE Open, July–September, 1–20.</w:t>
      </w:r>
    </w:p>
    <w:p w14:paraId="34B7D282" w14:textId="05902F0B"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lastRenderedPageBreak/>
        <w:t>Battisti, C., Amori, G., &amp; Luiselli, L. (2020). Toward a new generation of effective problem solvers and project-oriented applied ecologists. Web Ecology, 20(1), 11</w:t>
      </w:r>
      <w:r>
        <w:rPr>
          <w:rFonts w:asciiTheme="majorBidi" w:hAnsiTheme="majorBidi" w:cstheme="majorBidi" w:hint="cs"/>
          <w:sz w:val="24"/>
          <w:szCs w:val="24"/>
          <w:rtl/>
          <w:lang w:bidi="ar-EG"/>
        </w:rPr>
        <w:t>:</w:t>
      </w:r>
      <w:r w:rsidRPr="00E41BD3">
        <w:rPr>
          <w:rFonts w:asciiTheme="majorBidi" w:hAnsiTheme="majorBidi" w:cstheme="majorBidi"/>
          <w:sz w:val="24"/>
          <w:szCs w:val="24"/>
          <w:lang w:bidi="ar-EG"/>
        </w:rPr>
        <w:t>17.</w:t>
      </w:r>
    </w:p>
    <w:p w14:paraId="0B139B66"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Beck, U. (1986). Risk society: Towards a new modernity. Sage Publications.</w:t>
      </w:r>
    </w:p>
    <w:p w14:paraId="0A3D4730"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Blackbird Training. (2025). Transformational leadership in Middle Eastern healthcare institutions: Training outcomes and strategic impact. Blackbird Training Center.</w:t>
      </w:r>
    </w:p>
    <w:p w14:paraId="6BE0B994"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Dardur, A. S. A. (2024). Exploring Interagency Patient Safety Policies and Strategies in the World Health Organisation Eastern Mediterranean Region (WHO-EMR): A Qualitative Study of Libya (PhD thesis, Cardiff University).</w:t>
      </w:r>
    </w:p>
    <w:p w14:paraId="273C4500"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Ensaldo Carrasco, E. (2018). Describing and understanding patient safety incidents in primary care dentistry and building consensus on never events (PhD thesis, University of Edinburgh).</w:t>
      </w:r>
    </w:p>
    <w:p w14:paraId="6E14C332" w14:textId="6DC21C8D"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 xml:space="preserve">Flin, R., Burns, C., Mearns, K., Yule, S., &amp; Robertson, E. M. (2006). Measuring safety climate in health care. Quality and Safety in Health Care, 15(2), 109–115. </w:t>
      </w:r>
    </w:p>
    <w:p w14:paraId="2D913E37"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GAHAR. (2019). GAHAR Handbook for Hospital Standards. General Authority for Healthcare Accreditation and Regulation, Egypt. [1, 2]</w:t>
      </w:r>
    </w:p>
    <w:p w14:paraId="380C90EF"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Garcia, M., &amp; Martinez, L. (2022). Barriers to implementing risk management systems in hospitals. International Journal of Healthcare Quality Assurance.</w:t>
      </w:r>
    </w:p>
    <w:p w14:paraId="5520E934"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Giddens, A. (1984). The constitution of society: Outline of the theory of structuration. University of California Press.</w:t>
      </w:r>
    </w:p>
    <w:p w14:paraId="6A9F5B8F"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Gill, A. S., Flachner, A. B., &amp; Shachar, M. (2006). Reducing stress and burnout through the application of transformational leadership. Journal of Contemporary Hospital Management International, 18(6), 469–481.</w:t>
      </w:r>
    </w:p>
    <w:p w14:paraId="7E887DD3"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Global Ministerial Summit on Patient Safety. (2023). Montreux Charter for Patient Safety.</w:t>
      </w:r>
    </w:p>
    <w:p w14:paraId="554FF1AD"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Hassan, M., et al. (2020). Effectiveness of risk management programs in hospitals. Journal of Hospital Administration.</w:t>
      </w:r>
    </w:p>
    <w:p w14:paraId="76F75495"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Health Governance Unit. (2023). Mandatory Patient Safety Standards.</w:t>
      </w:r>
    </w:p>
    <w:p w14:paraId="6D8799D2"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HealthySimulation. (2024). Simulation improves patient safety outcomes: A study in Saudi Arabia. HealthySimulation.com.</w:t>
      </w:r>
    </w:p>
    <w:p w14:paraId="06250DCC"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lastRenderedPageBreak/>
        <w:t>Jarvis, D. S. L. (2007). Risk, globalisation and the state: A critical appraisal of Ulrich Beck and the world risk society thesis. Global Society, 21(1), 24–41.</w:t>
      </w:r>
    </w:p>
    <w:p w14:paraId="568EEC00"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Johnson, D., et al. (2019). Applications of risk management in American hospitals. Journal of Healthcare Management.</w:t>
      </w:r>
    </w:p>
    <w:p w14:paraId="4400B23D"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Joint Commission International. (2022). International patient safety goals (IPSG). Joint Commission International.</w:t>
      </w:r>
    </w:p>
    <w:p w14:paraId="69C299C3"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Jones, S., &amp; Brown, R. (2018). The role of risk management in enhancing healthcare quality. Health Services Research.</w:t>
      </w:r>
    </w:p>
    <w:p w14:paraId="6991B23E"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Khan, A., et al. (2019). Impact of risk management on patient care in Middle Eastern hospitals. Middle East Journal of Health.</w:t>
      </w:r>
    </w:p>
    <w:p w14:paraId="156FDDA7"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Kuoppala, J., Lamminpaa, A., Liira, J., &amp; Vainio, H. (2008). Leadership, work well-being, and health effects – A systematic review and meta-analysis. Journal of Occupational and Environmental Medicine, 50(8), 904–915.</w:t>
      </w:r>
    </w:p>
    <w:p w14:paraId="7F96FD12"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Liu, C., Liu, S., Yang, S., &amp; Wu, H. (2019). Association between transformational leadership and occupational burnout and the mediating effects of psychological empowerment in this relationship among CDC employees: A cross-sectional study. Psychology Research and Behavior Management, 12, 437–446.</w:t>
      </w:r>
    </w:p>
    <w:p w14:paraId="5E779E96"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Lloyd, C., King, R., &amp; Chenoweth, L. (2002). Social work, stress, and burnout: A review. Mental Health Journal, 11(3), 255–265.</w:t>
      </w:r>
    </w:p>
    <w:p w14:paraId="2E0BD4DB" w14:textId="77777777" w:rsidR="00E41BD3" w:rsidRPr="00E41BD3" w:rsidRDefault="00E41BD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E41BD3">
        <w:rPr>
          <w:rFonts w:asciiTheme="majorBidi" w:hAnsiTheme="majorBidi" w:cstheme="majorBidi"/>
          <w:sz w:val="24"/>
          <w:szCs w:val="24"/>
          <w:lang w:bidi="ar-EG"/>
        </w:rPr>
        <w:t>Wu, A. W., Lipshutz, A. K., &amp; Pronovost, P. J. (2008). Root cause analysis: Learning from adverse events in healthcare. BMJ Quality &amp; Safety, 17(1), 1–3. [1]</w:t>
      </w:r>
    </w:p>
    <w:p w14:paraId="08D858C9"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Aboshaiqah, A. E. (2015). Barriers to effective incident reporting among nurses in Saudi Arabia. International Journal of Nursing Practice, 21(S2), 5–10.</w:t>
      </w:r>
    </w:p>
    <w:p w14:paraId="6ED2DB80"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Alahmadi, H. (2010). Assessment of patient safety culture in Saudi Arabian hospitals. Quality and Safety in Health Care, 19(5), e17.</w:t>
      </w:r>
    </w:p>
    <w:p w14:paraId="2A3BBE74"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Almalki, M., FitzGerald, G., &amp; Clark, M. (2011). Health care system in Saudi Arabia: An overview. Eastern Mediterranean Health Journal, 17(10), 784–793.</w:t>
      </w:r>
    </w:p>
    <w:p w14:paraId="510632D8"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Alzahrani, S., &amp; Jones, R. (2018). Risk management practices in Saudi hospitals: A study of public and private sectors. Journal of Health Management, 20(2), 123–132.</w:t>
      </w:r>
    </w:p>
    <w:p w14:paraId="75D965FA"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Bass, B. M., &amp; Avolio, B. J. (1995). MLQ Multifactor Leadership Questionnaire Manual. Mind Garden Inc.</w:t>
      </w:r>
    </w:p>
    <w:p w14:paraId="302A1C09"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Hamdan, M., Jaaffar, A. H., Khraisat, O., Issa, M. R., &amp; Jarrar, M. (2024). The Association of Transformational Leadership on Safety Practices Among Nurses: The Mediating Role of Patient Safety Culture. Risk Management and Healthcare Policy.</w:t>
      </w:r>
    </w:p>
    <w:p w14:paraId="5A82549E"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IDEO.org. (2015). The Field Guide to Human-Centered Design. IDEO.</w:t>
      </w:r>
    </w:p>
    <w:p w14:paraId="54F518F3"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Kunda, G. (2006). Engineering culture: Control and commitment in a high-tech corporation. Temple University Press.</w:t>
      </w:r>
    </w:p>
    <w:p w14:paraId="59CAFD2A"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Krejcie, R. V., &amp; Morgan, D. W. (1970). Determining sample size for research activities. Educational and Psychological Measurement, 30(3), 607–610.</w:t>
      </w:r>
    </w:p>
    <w:p w14:paraId="5B5F1AC2"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Kuoppala, J., Lamminpaa, A., Liira, J., &amp; Vainio, H. (2008). Leadership, work well-being, and health effects – A systematic review and meta-analysis. Journal of Occupational and Environmental Medicine, 50(8), 904–915.</w:t>
      </w:r>
    </w:p>
    <w:p w14:paraId="6A9270E5"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Lachman, P., Runnacles, J., Jayadev, A., Brennan, J., &amp; Fitzsimons, J. (2022). Oxford Professional Practice: Handbook of Patient Safety. Oxford University Press.</w:t>
      </w:r>
    </w:p>
    <w:p w14:paraId="0F01FB07"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Lowe, K. B., Kroeck, K. G., &amp; Sivasubramaniam, N. (1996). Effectiveness correlates of transformational and transactional leadership: A meta-analytic review. Leadership Quarterly, 7(3), 385–425.</w:t>
      </w:r>
    </w:p>
    <w:p w14:paraId="5A07FC5B"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Luoma, V.-A., &amp; Verhoeven, P. (2017). Crisis response strategies in Finland and Spain. Journal of Contingencies and Crisis Management, 25(4), 312–325.</w:t>
      </w:r>
    </w:p>
    <w:p w14:paraId="7F690D77"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Mason, R. L., Gunst, R. F., &amp; Hess, J. L. (2003). Statistical design and analysis of experiments: With applications to engineering and science (2nd ed.). John Wiley &amp; Sons.</w:t>
      </w:r>
    </w:p>
    <w:p w14:paraId="7C368956"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Miller, P., &amp; Davis, K. (2020). Risk management practices in European hospitals. European Journal of Health Economics, 21(2), 134–147.</w:t>
      </w:r>
    </w:p>
    <w:p w14:paraId="533F92DD"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Milligan, F. (2007). Patient safety and human factors theory. University of Bedfordshire.</w:t>
      </w:r>
    </w:p>
    <w:p w14:paraId="48F21468"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Montano, D., Reeske, A., Franke, F., &amp; Hüffmeier, J. (2017). Leadership, employees’ health, and job performance: A meta-analysis from an occupational health perspective. Journal of Organizational Behavior, 38(3), 327–350.</w:t>
      </w:r>
    </w:p>
    <w:p w14:paraId="0A05B7BF"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Mor-Barak, M. E., Levine, A., Nisley, J. A., &amp; Lin, C. J. (2006). Why do they leave? Modeling child care workers' intentions to change jobs. Child Youth Services Review, 28, 548–577.</w:t>
      </w:r>
    </w:p>
    <w:p w14:paraId="1866C553"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Oliveira, T., &amp; Ribeiro, J. (2023). Risk Management. In S. Idowu, M. Sitnikov, &amp; A. Moratis (Eds.), Encyclopedia of Sustainable Management. Springer.</w:t>
      </w:r>
    </w:p>
    <w:p w14:paraId="39ACB7B3"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Payne, J. (2025, July 30). 18 Best Healthcare Risk Management Software Tools In 2025. The Medical Practice.</w:t>
      </w:r>
    </w:p>
    <w:p w14:paraId="321030DC"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Pfaff, H., &amp; Braithwaite, J. (2020). A Parsonian Approach to Patient Safety: Transformational Leadership and Social Capital as Preconditions for Clinical Risk Management. International Journal of Environmental Research and Public Health, 17(11), 3989.</w:t>
      </w:r>
    </w:p>
    <w:p w14:paraId="322F31CD"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Pillai, R. (2013). Transformational leadership for crisis management. In Handbook of research on crisis leadership in organizations (pp. 47–66). Edward Elgar Publishing.</w:t>
      </w:r>
    </w:p>
    <w:p w14:paraId="5796630F"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Porcaro, J. M. (2025, May 16). Top risks in healthcare for 2025–26. Willis Towers Watson.</w:t>
      </w:r>
    </w:p>
    <w:p w14:paraId="3F630B45" w14:textId="1F0238CA"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Purwanto, A., Bernarto, I., Asbari, M., Wijayanti, L. M., &amp; Hyun, C. C. (2020). Effect of transformational and transactional leadership style on public health centre performance. Journal of Research in Business, Economics, and Education, 2(1), 1</w:t>
      </w:r>
      <w:r>
        <w:rPr>
          <w:rFonts w:asciiTheme="majorBidi" w:hAnsiTheme="majorBidi" w:cstheme="majorBidi" w:hint="cs"/>
          <w:sz w:val="24"/>
          <w:szCs w:val="24"/>
          <w:rtl/>
          <w:lang w:bidi="ar-EG"/>
        </w:rPr>
        <w:t>-</w:t>
      </w:r>
      <w:r w:rsidRPr="008C3733">
        <w:rPr>
          <w:rFonts w:asciiTheme="majorBidi" w:hAnsiTheme="majorBidi" w:cstheme="majorBidi"/>
          <w:sz w:val="24"/>
          <w:szCs w:val="24"/>
          <w:lang w:bidi="ar-EG"/>
        </w:rPr>
        <w:t>10.</w:t>
      </w:r>
    </w:p>
    <w:p w14:paraId="55B42138" w14:textId="3C278AA9"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Reason, J. (2000). Human error: Models and management. BMJ, 320(7237), 768</w:t>
      </w:r>
      <w:r>
        <w:rPr>
          <w:rFonts w:asciiTheme="majorBidi" w:hAnsiTheme="majorBidi" w:cstheme="majorBidi" w:hint="cs"/>
          <w:sz w:val="24"/>
          <w:szCs w:val="24"/>
          <w:rtl/>
          <w:lang w:bidi="ar-EG"/>
        </w:rPr>
        <w:t>:</w:t>
      </w:r>
      <w:r w:rsidRPr="008C3733">
        <w:rPr>
          <w:rFonts w:asciiTheme="majorBidi" w:hAnsiTheme="majorBidi" w:cstheme="majorBidi"/>
          <w:sz w:val="24"/>
          <w:szCs w:val="24"/>
          <w:lang w:bidi="ar-EG"/>
        </w:rPr>
        <w:t>770.</w:t>
      </w:r>
    </w:p>
    <w:p w14:paraId="7A6B424C"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Ricciardi, W., &amp; Cascini, F. (2021). Guidelines and Safety Practices for Improving Patient Safety. In L. Donaldson, W. Ricciardi, S. Sheridan, &amp; R. Tartaglia (Eds.), Textbook of Patient Safety and Clinical Risk Management. Springer.</w:t>
      </w:r>
    </w:p>
    <w:p w14:paraId="7FDB5F75"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Shinz, B., &amp; Schilling, J. (2013). How bad are the effects of bad leaders? A meta-analysis of destructive leadership and its outcomes. Leadership Quarterly, 24(1), 138–158.</w:t>
      </w:r>
    </w:p>
    <w:p w14:paraId="1DEA0377"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Smith, A., et al. (2017). The impact of risk management on patient safety in hospitals. Journal of Patient Safety.</w:t>
      </w:r>
    </w:p>
    <w:p w14:paraId="3593BEBA"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Weick, K. E., &amp; Sutcliffe, K. M. (2007). Managing the unexpected: Resilient performance in an age of uncertainty. John Wiley &amp; Sons.</w:t>
      </w:r>
    </w:p>
    <w:p w14:paraId="0008BEE4"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World Health Organization. (2023). Patient safety.</w:t>
      </w:r>
    </w:p>
    <w:p w14:paraId="6A8FD1B8"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t>World Health Organization. (2024). Global report on patient safety: Analysis of 102 countries.</w:t>
      </w:r>
    </w:p>
    <w:p w14:paraId="2A6D7615" w14:textId="77777777" w:rsidR="008C3733" w:rsidRPr="008C3733" w:rsidRDefault="008C3733">
      <w:pPr>
        <w:pStyle w:val="ListParagraph"/>
        <w:numPr>
          <w:ilvl w:val="0"/>
          <w:numId w:val="38"/>
        </w:numPr>
        <w:spacing w:after="200" w:line="360" w:lineRule="auto"/>
        <w:ind w:left="357" w:hanging="357"/>
        <w:jc w:val="both"/>
        <w:rPr>
          <w:rFonts w:asciiTheme="majorBidi" w:hAnsiTheme="majorBidi" w:cstheme="majorBidi"/>
          <w:sz w:val="24"/>
          <w:szCs w:val="24"/>
          <w:lang w:bidi="ar-EG"/>
        </w:rPr>
      </w:pPr>
      <w:r w:rsidRPr="008C3733">
        <w:rPr>
          <w:rFonts w:asciiTheme="majorBidi" w:hAnsiTheme="majorBidi" w:cstheme="majorBidi"/>
          <w:sz w:val="24"/>
          <w:szCs w:val="24"/>
          <w:lang w:bidi="ar-EG"/>
        </w:rPr>
        <w:lastRenderedPageBreak/>
        <w:t>Yamane, T. (1967). Statistics: An Introductory Analysis (2nd ed.). Harper and Row.</w:t>
      </w:r>
    </w:p>
    <w:p w14:paraId="39E2F4A6" w14:textId="77777777" w:rsidR="00E41BD3" w:rsidRDefault="00E41BD3" w:rsidP="00E41BD3">
      <w:pPr>
        <w:pStyle w:val="ListParagraph"/>
        <w:bidi/>
        <w:spacing w:after="200"/>
        <w:ind w:left="360"/>
        <w:jc w:val="both"/>
        <w:rPr>
          <w:rFonts w:ascii="Traditional Arabic" w:eastAsia="Calibri" w:hAnsi="Traditional Arabic" w:cs="Traditional Arabic"/>
          <w:b/>
          <w:bCs/>
          <w:sz w:val="28"/>
          <w:szCs w:val="28"/>
          <w:u w:val="single"/>
          <w:rtl/>
        </w:rPr>
      </w:pPr>
    </w:p>
    <w:p w14:paraId="31B51ADD" w14:textId="52D061BD" w:rsidR="003779A4" w:rsidRPr="007102D5" w:rsidRDefault="006E437C" w:rsidP="00E41BD3">
      <w:pPr>
        <w:pStyle w:val="ListParagraph"/>
        <w:bidi/>
        <w:spacing w:after="200"/>
        <w:ind w:left="360"/>
        <w:jc w:val="both"/>
        <w:rPr>
          <w:rFonts w:ascii="Traditional Arabic" w:eastAsia="Calibri" w:hAnsi="Traditional Arabic" w:cs="Traditional Arabic"/>
          <w:b/>
          <w:bCs/>
          <w:sz w:val="28"/>
          <w:szCs w:val="28"/>
          <w:u w:val="single"/>
          <w:rtl/>
        </w:rPr>
      </w:pPr>
      <w:r w:rsidRPr="007102D5">
        <w:rPr>
          <w:rFonts w:ascii="Traditional Arabic" w:eastAsia="Calibri" w:hAnsi="Traditional Arabic" w:cs="Traditional Arabic" w:hint="cs"/>
          <w:b/>
          <w:bCs/>
          <w:sz w:val="28"/>
          <w:szCs w:val="28"/>
          <w:u w:val="single"/>
          <w:rtl/>
        </w:rPr>
        <w:t xml:space="preserve">ثالثاً: </w:t>
      </w:r>
      <w:r w:rsidR="003779A4" w:rsidRPr="007102D5">
        <w:rPr>
          <w:rFonts w:ascii="Traditional Arabic" w:eastAsia="Calibri" w:hAnsi="Traditional Arabic" w:cs="Traditional Arabic" w:hint="cs"/>
          <w:b/>
          <w:bCs/>
          <w:sz w:val="28"/>
          <w:szCs w:val="28"/>
          <w:u w:val="single"/>
          <w:rtl/>
        </w:rPr>
        <w:t>مراجع إلكترونية (روابط مواقع)</w:t>
      </w:r>
      <w:r w:rsidR="003779A4" w:rsidRPr="007102D5">
        <w:rPr>
          <w:rFonts w:ascii="Traditional Arabic" w:eastAsia="Calibri" w:hAnsi="Traditional Arabic" w:cs="Traditional Arabic" w:hint="cs"/>
          <w:b/>
          <w:bCs/>
          <w:sz w:val="28"/>
          <w:szCs w:val="28"/>
          <w:u w:val="single"/>
        </w:rPr>
        <w:t>:</w:t>
      </w:r>
    </w:p>
    <w:p w14:paraId="02B8D4C6" w14:textId="77777777" w:rsidR="00E41BD3" w:rsidRDefault="00E41BD3" w:rsidP="00E41BD3">
      <w:pPr>
        <w:pStyle w:val="ListParagraph"/>
        <w:bidi/>
        <w:spacing w:after="200" w:line="360" w:lineRule="auto"/>
        <w:ind w:left="360"/>
        <w:rPr>
          <w:rFonts w:ascii="Traditional Arabic" w:eastAsia="Calibri" w:hAnsi="Traditional Arabic" w:cs="Traditional Arabic"/>
          <w:sz w:val="24"/>
          <w:szCs w:val="24"/>
        </w:rPr>
      </w:pPr>
    </w:p>
    <w:p w14:paraId="5044584C" w14:textId="514F9DB5"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الهيئة السعودية للتخصصات الصحية. (٢٠٢٥). دمج مفاهيم سلامة المرضى في التعليم الصحي. الهيئة السعودية للتخصصات الصحية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scfhs.org.sa</w:t>
      </w:r>
      <w:r w:rsidRPr="008C3733">
        <w:rPr>
          <w:rFonts w:ascii="Traditional Arabic" w:eastAsia="Calibri" w:hAnsi="Traditional Arabic" w:cs="Traditional Arabic" w:hint="cs"/>
          <w:sz w:val="24"/>
          <w:szCs w:val="24"/>
          <w:rtl/>
        </w:rPr>
        <w:t xml:space="preserve"> </w:t>
      </w:r>
    </w:p>
    <w:p w14:paraId="386E4F20" w14:textId="766200B7"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المركز السعودي لسلامة المرضى. (٢٠٢٢). تقرير قياس وتحسين ثقافة سلامة المرضى في المستشفيات السعودية. المركز السعودي لسلامة المرضى</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spsc.gov.sa</w:t>
      </w:r>
    </w:p>
    <w:p w14:paraId="7ADE4AF9" w14:textId="5CF4F675"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مجلس اعتماد المؤسسات الصحية</w:t>
      </w:r>
      <w:r w:rsidRPr="008C3733">
        <w:rPr>
          <w:rFonts w:ascii="Traditional Arabic" w:eastAsia="Calibri" w:hAnsi="Traditional Arabic" w:cs="Traditional Arabic"/>
          <w:sz w:val="24"/>
          <w:szCs w:val="24"/>
        </w:rPr>
        <w:t xml:space="preserve"> [HCAC]. </w:t>
      </w:r>
      <w:r w:rsidRPr="008C3733">
        <w:rPr>
          <w:rFonts w:ascii="Traditional Arabic" w:eastAsia="Calibri" w:hAnsi="Traditional Arabic" w:cs="Traditional Arabic"/>
          <w:sz w:val="24"/>
          <w:szCs w:val="24"/>
          <w:rtl/>
        </w:rPr>
        <w:t>(٢٠٢٢). سلامة المرضى: المفهوم والتطبيقات. مجلس اعتماد المؤسسات الصحية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hcac.jo</w:t>
      </w:r>
      <w:r>
        <w:rPr>
          <w:rFonts w:ascii="Traditional Arabic" w:eastAsia="Calibri" w:hAnsi="Traditional Arabic" w:cs="Traditional Arabic" w:hint="cs"/>
          <w:sz w:val="24"/>
          <w:szCs w:val="24"/>
          <w:rtl/>
        </w:rPr>
        <w:t xml:space="preserve">   </w:t>
      </w:r>
    </w:p>
    <w:p w14:paraId="3CEF362E" w14:textId="3C9FC344"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وزارة الصحة المصرية. (٢٠٢٣). تقرير تجربة مستشفى شبين الكوم في إنشاء إدارة لسلامة المرضى. وزارة الصحة المصرية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mohp.gov.eg</w:t>
      </w:r>
    </w:p>
    <w:p w14:paraId="3FFE6923" w14:textId="77777777"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منظمة الصحة العالمية. (٢٠٢١). خطة العمل العالمية لسلامة المرضى ٢٠٢١–٢٠٣٠. منظمة الصحة العالمية</w:t>
      </w:r>
      <w:r w:rsidRPr="008C3733">
        <w:rPr>
          <w:rFonts w:ascii="Traditional Arabic" w:eastAsia="Calibri" w:hAnsi="Traditional Arabic" w:cs="Traditional Arabic"/>
          <w:sz w:val="24"/>
          <w:szCs w:val="24"/>
        </w:rPr>
        <w:t>. who.int</w:t>
      </w:r>
    </w:p>
    <w:p w14:paraId="1E14492C" w14:textId="5812DC99" w:rsidR="008C3733" w:rsidRPr="008C3733" w:rsidRDefault="008C3733">
      <w:pPr>
        <w:pStyle w:val="ListParagraph"/>
        <w:numPr>
          <w:ilvl w:val="0"/>
          <w:numId w:val="43"/>
        </w:numPr>
        <w:bidi/>
        <w:spacing w:after="200" w:line="360" w:lineRule="auto"/>
        <w:rPr>
          <w:rFonts w:ascii="Traditional Arabic" w:eastAsia="Calibri" w:hAnsi="Traditional Arabic" w:cs="Traditional Arabic"/>
          <w:sz w:val="24"/>
          <w:szCs w:val="24"/>
        </w:rPr>
      </w:pPr>
      <w:r w:rsidRPr="008C3733">
        <w:rPr>
          <w:rFonts w:ascii="Traditional Arabic" w:eastAsia="Calibri" w:hAnsi="Traditional Arabic" w:cs="Traditional Arabic"/>
          <w:sz w:val="24"/>
          <w:szCs w:val="24"/>
          <w:rtl/>
        </w:rPr>
        <w:t>منظمة الصحة العالمية. (د. ت.). بيانات وحقائق حول سلامة المرضى. منظمة الصحة العالمية</w:t>
      </w:r>
      <w:r>
        <w:rPr>
          <w:rFonts w:ascii="Traditional Arabic" w:eastAsia="Calibri" w:hAnsi="Traditional Arabic" w:cs="Traditional Arabic" w:hint="cs"/>
          <w:sz w:val="24"/>
          <w:szCs w:val="24"/>
          <w:rtl/>
        </w:rPr>
        <w:t xml:space="preserve"> </w:t>
      </w:r>
      <w:r w:rsidRPr="008C3733">
        <w:rPr>
          <w:rFonts w:ascii="Traditional Arabic" w:eastAsia="Calibri" w:hAnsi="Traditional Arabic" w:cs="Traditional Arabic"/>
          <w:sz w:val="24"/>
          <w:szCs w:val="24"/>
        </w:rPr>
        <w:t>. who.int</w:t>
      </w:r>
    </w:p>
    <w:p w14:paraId="4F3814B1"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552CB91B"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5D77C9CB"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344557B8"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C2EC5E6"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EA8317C"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6BAAF656"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11E61412"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62CA773A" w14:textId="77777777" w:rsidR="00163191" w:rsidRPr="000C3448" w:rsidRDefault="00163191" w:rsidP="000C3448">
      <w:pPr>
        <w:spacing w:after="200" w:line="360" w:lineRule="auto"/>
        <w:rPr>
          <w:rFonts w:ascii="Traditional Arabic" w:eastAsia="Calibri" w:hAnsi="Traditional Arabic" w:cs="Traditional Arabic"/>
          <w:sz w:val="24"/>
          <w:szCs w:val="24"/>
          <w:rtl/>
        </w:rPr>
      </w:pPr>
    </w:p>
    <w:p w14:paraId="7D78B1F4" w14:textId="77777777" w:rsidR="00163191" w:rsidRDefault="00163191" w:rsidP="00163191">
      <w:pPr>
        <w:pStyle w:val="ListParagraph"/>
        <w:spacing w:after="200" w:line="360" w:lineRule="auto"/>
        <w:ind w:left="360"/>
        <w:jc w:val="center"/>
        <w:rPr>
          <w:rFonts w:ascii="Traditional Arabic" w:eastAsia="Calibri" w:hAnsi="Traditional Arabic" w:cs="Traditional Arabic"/>
          <w:sz w:val="24"/>
          <w:szCs w:val="24"/>
          <w:rtl/>
        </w:rPr>
      </w:pPr>
    </w:p>
    <w:p w14:paraId="08EF8A3A" w14:textId="77777777" w:rsidR="004E223C" w:rsidRDefault="004E223C" w:rsidP="00163191">
      <w:pPr>
        <w:pStyle w:val="ListParagraph"/>
        <w:spacing w:after="200" w:line="360" w:lineRule="auto"/>
        <w:ind w:left="360"/>
        <w:jc w:val="center"/>
        <w:rPr>
          <w:rFonts w:ascii="Traditional Arabic" w:eastAsia="Calibri" w:hAnsi="Traditional Arabic" w:cs="Traditional Arabic"/>
          <w:sz w:val="24"/>
          <w:szCs w:val="24"/>
        </w:rPr>
        <w:sectPr w:rsidR="004E223C" w:rsidSect="00E63F9C">
          <w:footerReference w:type="default" r:id="rId6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50"/>
          <w:cols w:space="708"/>
          <w:bidi/>
          <w:rtlGutter/>
          <w:docGrid w:linePitch="360"/>
        </w:sectPr>
      </w:pPr>
    </w:p>
    <w:p w14:paraId="6F72B486" w14:textId="77777777" w:rsidR="002940F0" w:rsidRDefault="002940F0" w:rsidP="00163191">
      <w:pPr>
        <w:pStyle w:val="ListParagraph"/>
        <w:spacing w:after="200" w:line="360" w:lineRule="auto"/>
        <w:ind w:left="360"/>
        <w:jc w:val="center"/>
        <w:rPr>
          <w:rFonts w:ascii="Traditional Arabic" w:eastAsia="Calibri" w:hAnsi="Traditional Arabic" w:cs="Traditional Arabic"/>
          <w:sz w:val="24"/>
          <w:szCs w:val="24"/>
        </w:rPr>
      </w:pPr>
    </w:p>
    <w:p w14:paraId="58B44394" w14:textId="6262CC6B" w:rsidR="004E223C" w:rsidRDefault="004E223C" w:rsidP="004E223C">
      <w:pPr>
        <w:tabs>
          <w:tab w:val="left" w:pos="6780"/>
        </w:tabs>
        <w:rPr>
          <w:rFonts w:ascii="Traditional Arabic" w:eastAsia="Calibri" w:hAnsi="Traditional Arabic" w:cs="Traditional Arabic"/>
          <w:sz w:val="24"/>
          <w:szCs w:val="24"/>
          <w:rtl/>
        </w:rPr>
      </w:pPr>
      <w:r>
        <w:rPr>
          <w:rFonts w:ascii="Traditional Arabic" w:eastAsia="Calibri" w:hAnsi="Traditional Arabic" w:cs="Traditional Arabic"/>
          <w:sz w:val="24"/>
          <w:szCs w:val="24"/>
        </w:rPr>
        <w:tab/>
      </w:r>
    </w:p>
    <w:p w14:paraId="247FA559" w14:textId="77777777" w:rsidR="004E223C" w:rsidRDefault="004E223C" w:rsidP="004E223C">
      <w:pPr>
        <w:tabs>
          <w:tab w:val="left" w:pos="6780"/>
        </w:tabs>
        <w:rPr>
          <w:rFonts w:ascii="Traditional Arabic" w:eastAsia="Calibri" w:hAnsi="Traditional Arabic" w:cs="Traditional Arabic"/>
          <w:sz w:val="24"/>
          <w:szCs w:val="24"/>
          <w:rtl/>
        </w:rPr>
      </w:pPr>
    </w:p>
    <w:p w14:paraId="54F1B27B" w14:textId="77777777" w:rsidR="004E223C" w:rsidRDefault="004E223C" w:rsidP="004E223C">
      <w:pPr>
        <w:tabs>
          <w:tab w:val="left" w:pos="6780"/>
        </w:tabs>
        <w:bidi/>
        <w:rPr>
          <w:rFonts w:ascii="Traditional Arabic" w:eastAsia="Calibri" w:hAnsi="Traditional Arabic" w:cs="Traditional Arabic"/>
          <w:sz w:val="24"/>
          <w:szCs w:val="24"/>
          <w:rtl/>
        </w:rPr>
      </w:pPr>
    </w:p>
    <w:p w14:paraId="0AA1CD40" w14:textId="77777777" w:rsidR="004E223C" w:rsidRDefault="004E223C" w:rsidP="004E223C">
      <w:pPr>
        <w:tabs>
          <w:tab w:val="left" w:pos="6780"/>
        </w:tabs>
        <w:rPr>
          <w:rFonts w:ascii="Traditional Arabic" w:eastAsia="Calibri" w:hAnsi="Traditional Arabic" w:cs="Traditional Arabic"/>
          <w:sz w:val="24"/>
          <w:szCs w:val="24"/>
          <w:rtl/>
        </w:rPr>
      </w:pPr>
    </w:p>
    <w:p w14:paraId="3C7F6968" w14:textId="3C34A17B" w:rsidR="004E223C" w:rsidRPr="004E223C" w:rsidRDefault="004E223C" w:rsidP="004E223C">
      <w:pPr>
        <w:pStyle w:val="ListParagraph"/>
        <w:spacing w:after="200" w:line="360" w:lineRule="auto"/>
        <w:ind w:left="360"/>
        <w:jc w:val="center"/>
        <w:rPr>
          <w:rFonts w:ascii="Traditional Arabic" w:eastAsia="Calibri" w:hAnsi="Traditional Arabic" w:cs="Traditional Arabic"/>
          <w:b/>
          <w:bCs/>
          <w:sz w:val="144"/>
          <w:szCs w:val="144"/>
        </w:rPr>
        <w:sectPr w:rsidR="004E223C" w:rsidRPr="004E223C" w:rsidSect="004E223C">
          <w:footerReference w:type="default" r:id="rId68"/>
          <w:pgSz w:w="11906" w:h="16838"/>
          <w:pgMar w:top="1440" w:right="1800" w:bottom="1440" w:left="1800" w:header="708" w:footer="708" w:gutter="0"/>
          <w:pgNumType w:start="150"/>
          <w:cols w:space="708"/>
          <w:bidi/>
          <w:rtlGutter/>
          <w:docGrid w:linePitch="360"/>
        </w:sectPr>
      </w:pPr>
      <w:r w:rsidRPr="002940F0">
        <w:rPr>
          <w:rFonts w:ascii="Traditional Arabic" w:eastAsia="Calibri" w:hAnsi="Traditional Arabic" w:cs="Traditional Arabic" w:hint="cs"/>
          <w:b/>
          <w:bCs/>
          <w:sz w:val="144"/>
          <w:szCs w:val="144"/>
          <w:rtl/>
        </w:rPr>
        <w:t>الملاح</w:t>
      </w:r>
      <w:r>
        <w:rPr>
          <w:rFonts w:ascii="Traditional Arabic" w:eastAsia="Calibri" w:hAnsi="Traditional Arabic" w:cs="Traditional Arabic" w:hint="cs"/>
          <w:b/>
          <w:bCs/>
          <w:sz w:val="144"/>
          <w:szCs w:val="144"/>
          <w:rtl/>
        </w:rPr>
        <w:t>ق</w:t>
      </w:r>
    </w:p>
    <w:p w14:paraId="2AEB5B09" w14:textId="77777777" w:rsidR="004E223C" w:rsidRPr="00602103" w:rsidRDefault="004E223C" w:rsidP="004E223C">
      <w:pPr>
        <w:pStyle w:val="ListParagraph"/>
        <w:spacing w:after="200" w:line="360" w:lineRule="auto"/>
        <w:ind w:left="360"/>
        <w:jc w:val="center"/>
        <w:rPr>
          <w:rFonts w:ascii="Traditional Arabic" w:eastAsia="Calibri" w:hAnsi="Traditional Arabic" w:cs="Traditional Arabic"/>
          <w:b/>
          <w:bCs/>
          <w:sz w:val="24"/>
          <w:szCs w:val="24"/>
          <w:u w:val="single"/>
          <w:rtl/>
        </w:rPr>
      </w:pPr>
      <w:r>
        <w:lastRenderedPageBreak/>
        <w:tab/>
      </w:r>
      <w:r w:rsidRPr="00602103">
        <w:rPr>
          <w:rFonts w:ascii="Traditional Arabic" w:eastAsia="Calibri" w:hAnsi="Traditional Arabic" w:cs="Traditional Arabic" w:hint="cs"/>
          <w:b/>
          <w:bCs/>
          <w:sz w:val="24"/>
          <w:szCs w:val="24"/>
          <w:u w:val="single"/>
          <w:rtl/>
        </w:rPr>
        <w:t>الأداة المستخدمة في الدراسة (الإستبانة)</w:t>
      </w:r>
    </w:p>
    <w:p w14:paraId="7A89F98F" w14:textId="6D956F5D" w:rsidR="004E223C" w:rsidRPr="000C3448" w:rsidRDefault="00CE6B3B" w:rsidP="000C3448">
      <w:pPr>
        <w:pStyle w:val="ListParagraph"/>
        <w:bidi/>
        <w:spacing w:after="200" w:line="360" w:lineRule="auto"/>
        <w:ind w:left="360"/>
        <w:jc w:val="center"/>
        <w:rPr>
          <w:rFonts w:ascii="Traditional Arabic" w:eastAsia="Calibri" w:hAnsi="Traditional Arabic" w:cs="Traditional Arabic"/>
          <w:b/>
          <w:bCs/>
          <w:sz w:val="24"/>
          <w:szCs w:val="24"/>
        </w:rPr>
      </w:pPr>
      <w:hyperlink r:id="rId69" w:history="1">
        <w:r w:rsidRPr="00AC3089">
          <w:rPr>
            <w:rStyle w:val="Hyperlink"/>
            <w:rFonts w:ascii="Traditional Arabic" w:eastAsia="Calibri" w:hAnsi="Traditional Arabic" w:cs="Traditional Arabic"/>
            <w:b/>
            <w:bCs/>
            <w:sz w:val="24"/>
            <w:szCs w:val="24"/>
          </w:rPr>
          <w:t>https://docs.google.com/forms/d/e/1FAIpQLSfOYf0dqjG1MMqQzpmsMDBuTiF4PkK9VTICISbUiNbdpb87Tw/viewform?usp=preview</w:t>
        </w:r>
      </w:hyperlink>
    </w:p>
    <w:tbl>
      <w:tblPr>
        <w:tblStyle w:val="TableGrid"/>
        <w:tblW w:w="0" w:type="auto"/>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97"/>
        <w:gridCol w:w="567"/>
        <w:gridCol w:w="542"/>
        <w:gridCol w:w="701"/>
        <w:gridCol w:w="977"/>
        <w:gridCol w:w="3772"/>
        <w:gridCol w:w="834"/>
      </w:tblGrid>
      <w:tr w:rsidR="007052C7" w:rsidRPr="00D24D70" w14:paraId="31E87156" w14:textId="7ACFCE46" w:rsidTr="000C3448">
        <w:trPr>
          <w:tblCellSpacing w:w="20" w:type="dxa"/>
          <w:jc w:val="right"/>
        </w:trPr>
        <w:tc>
          <w:tcPr>
            <w:tcW w:w="0" w:type="auto"/>
            <w:shd w:val="clear" w:color="auto" w:fill="E5DFEC" w:themeFill="accent4" w:themeFillTint="33"/>
          </w:tcPr>
          <w:p w14:paraId="7BFBB85F" w14:textId="07931BF9"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أوافق بشدة</w:t>
            </w:r>
          </w:p>
        </w:tc>
        <w:tc>
          <w:tcPr>
            <w:tcW w:w="0" w:type="auto"/>
            <w:shd w:val="clear" w:color="auto" w:fill="E5DFEC" w:themeFill="accent4" w:themeFillTint="33"/>
          </w:tcPr>
          <w:p w14:paraId="0763736F" w14:textId="071D0398"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أوافق</w:t>
            </w:r>
          </w:p>
        </w:tc>
        <w:tc>
          <w:tcPr>
            <w:tcW w:w="0" w:type="auto"/>
            <w:shd w:val="clear" w:color="auto" w:fill="E5DFEC" w:themeFill="accent4" w:themeFillTint="33"/>
          </w:tcPr>
          <w:p w14:paraId="0D5019CE" w14:textId="721B0FD0"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محايد</w:t>
            </w:r>
          </w:p>
        </w:tc>
        <w:tc>
          <w:tcPr>
            <w:tcW w:w="0" w:type="auto"/>
            <w:shd w:val="clear" w:color="auto" w:fill="E5DFEC" w:themeFill="accent4" w:themeFillTint="33"/>
          </w:tcPr>
          <w:p w14:paraId="68AD739C" w14:textId="18019B3C"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لا أوافق</w:t>
            </w:r>
          </w:p>
        </w:tc>
        <w:tc>
          <w:tcPr>
            <w:tcW w:w="0" w:type="auto"/>
            <w:shd w:val="clear" w:color="auto" w:fill="E5DFEC" w:themeFill="accent4" w:themeFillTint="33"/>
          </w:tcPr>
          <w:p w14:paraId="61391657" w14:textId="1C451609"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Pr>
                <w:rFonts w:ascii="Traditional Arabic" w:hAnsi="Traditional Arabic" w:cs="Traditional Arabic" w:hint="cs"/>
                <w:b/>
                <w:bCs/>
                <w:color w:val="000000" w:themeColor="text1"/>
                <w:sz w:val="20"/>
                <w:szCs w:val="20"/>
                <w:rtl/>
                <w:lang w:bidi="ar-EG"/>
              </w:rPr>
              <w:t>لا أوفق بشدة</w:t>
            </w:r>
          </w:p>
        </w:tc>
        <w:tc>
          <w:tcPr>
            <w:tcW w:w="0" w:type="auto"/>
            <w:shd w:val="clear" w:color="auto" w:fill="E5DFEC" w:themeFill="accent4" w:themeFillTint="33"/>
            <w:hideMark/>
          </w:tcPr>
          <w:p w14:paraId="661AEC4F" w14:textId="77777777" w:rsidR="007052C7" w:rsidRPr="00D24D70" w:rsidRDefault="007052C7" w:rsidP="00A75FFD">
            <w:pPr>
              <w:bidi/>
              <w:spacing w:after="200" w:line="276" w:lineRule="auto"/>
              <w:rPr>
                <w:rFonts w:ascii="Traditional Arabic" w:hAnsi="Traditional Arabic" w:cs="Traditional Arabic"/>
                <w:b/>
                <w:bCs/>
                <w:color w:val="000000" w:themeColor="text1"/>
                <w:sz w:val="20"/>
                <w:szCs w:val="20"/>
                <w:lang w:bidi="ar-EG"/>
              </w:rPr>
            </w:pPr>
            <w:r w:rsidRPr="00D24D70">
              <w:rPr>
                <w:rFonts w:ascii="Traditional Arabic" w:hAnsi="Traditional Arabic" w:cs="Traditional Arabic" w:hint="cs"/>
                <w:b/>
                <w:bCs/>
                <w:color w:val="000000" w:themeColor="text1"/>
                <w:sz w:val="20"/>
                <w:szCs w:val="20"/>
                <w:rtl/>
              </w:rPr>
              <w:t>العبارة</w:t>
            </w:r>
          </w:p>
        </w:tc>
        <w:tc>
          <w:tcPr>
            <w:tcW w:w="0" w:type="auto"/>
            <w:shd w:val="clear" w:color="auto" w:fill="E5DFEC" w:themeFill="accent4" w:themeFillTint="33"/>
          </w:tcPr>
          <w:p w14:paraId="11294B3E" w14:textId="7CBEF076" w:rsidR="007052C7" w:rsidRPr="00D24D70" w:rsidRDefault="007052C7" w:rsidP="00A75FFD">
            <w:pPr>
              <w:bidi/>
              <w:spacing w:after="200" w:line="276" w:lineRule="auto"/>
              <w:rPr>
                <w:rFonts w:ascii="Traditional Arabic" w:hAnsi="Traditional Arabic" w:cs="Traditional Arabic"/>
                <w:b/>
                <w:bCs/>
                <w:color w:val="000000" w:themeColor="text1"/>
                <w:sz w:val="20"/>
                <w:szCs w:val="20"/>
                <w:rtl/>
              </w:rPr>
            </w:pPr>
            <w:r>
              <w:rPr>
                <w:rFonts w:ascii="Traditional Arabic" w:hAnsi="Traditional Arabic" w:cs="Traditional Arabic" w:hint="cs"/>
                <w:b/>
                <w:bCs/>
                <w:color w:val="000000" w:themeColor="text1"/>
                <w:sz w:val="20"/>
                <w:szCs w:val="20"/>
                <w:rtl/>
              </w:rPr>
              <w:t>رقم العبارة</w:t>
            </w:r>
          </w:p>
        </w:tc>
      </w:tr>
      <w:tr w:rsidR="007052C7" w:rsidRPr="00D24D70" w14:paraId="75FEEA45" w14:textId="78384E14" w:rsidTr="000C3448">
        <w:trPr>
          <w:tblCellSpacing w:w="20" w:type="dxa"/>
          <w:jc w:val="right"/>
        </w:trPr>
        <w:tc>
          <w:tcPr>
            <w:tcW w:w="0" w:type="auto"/>
          </w:tcPr>
          <w:p w14:paraId="7733F9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F0F735" w14:textId="02DD19D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486B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9A82C7" w14:textId="54FABB5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97CB9D" w14:textId="6D2C00A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4E6AE5C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مصادر الخطر المحتملة في بيئة العمل بشكل منتظم</w:t>
            </w:r>
            <w:r w:rsidRPr="00D24D70">
              <w:rPr>
                <w:rFonts w:ascii="Traditional Arabic" w:hAnsi="Traditional Arabic" w:cs="Traditional Arabic" w:hint="cs"/>
                <w:color w:val="000000" w:themeColor="text1"/>
                <w:sz w:val="20"/>
                <w:szCs w:val="20"/>
                <w:lang w:bidi="ar-EG"/>
              </w:rPr>
              <w:t>.</w:t>
            </w:r>
          </w:p>
        </w:tc>
        <w:tc>
          <w:tcPr>
            <w:tcW w:w="0" w:type="auto"/>
          </w:tcPr>
          <w:p w14:paraId="23185D30" w14:textId="441BE51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w:t>
            </w:r>
          </w:p>
        </w:tc>
      </w:tr>
      <w:tr w:rsidR="007052C7" w:rsidRPr="00D24D70" w14:paraId="5B293EAB" w14:textId="78BBC117" w:rsidTr="000C3448">
        <w:trPr>
          <w:tblCellSpacing w:w="20" w:type="dxa"/>
          <w:jc w:val="right"/>
        </w:trPr>
        <w:tc>
          <w:tcPr>
            <w:tcW w:w="0" w:type="auto"/>
          </w:tcPr>
          <w:p w14:paraId="120E69E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608B688" w14:textId="1FF4EBF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4F621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F6E627C" w14:textId="6950A6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8C50DFB" w14:textId="49E2961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AB6355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آلية واضحة لرصد الحوادث الطبية والأخطاء التشغيلية</w:t>
            </w:r>
            <w:r w:rsidRPr="00D24D70">
              <w:rPr>
                <w:rFonts w:ascii="Traditional Arabic" w:hAnsi="Traditional Arabic" w:cs="Traditional Arabic" w:hint="cs"/>
                <w:color w:val="000000" w:themeColor="text1"/>
                <w:sz w:val="20"/>
                <w:szCs w:val="20"/>
                <w:lang w:bidi="ar-EG"/>
              </w:rPr>
              <w:t>.</w:t>
            </w:r>
          </w:p>
        </w:tc>
        <w:tc>
          <w:tcPr>
            <w:tcW w:w="0" w:type="auto"/>
          </w:tcPr>
          <w:p w14:paraId="55EB9A92" w14:textId="7D2F7CF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w:t>
            </w:r>
          </w:p>
        </w:tc>
      </w:tr>
      <w:tr w:rsidR="007052C7" w:rsidRPr="00D24D70" w14:paraId="21BB6112" w14:textId="4A95BFC2" w:rsidTr="000C3448">
        <w:trPr>
          <w:tblCellSpacing w:w="20" w:type="dxa"/>
          <w:jc w:val="right"/>
        </w:trPr>
        <w:tc>
          <w:tcPr>
            <w:tcW w:w="0" w:type="auto"/>
          </w:tcPr>
          <w:p w14:paraId="592289C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D7AF16F" w14:textId="4E02B69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08D29C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8560DD2" w14:textId="2B72C8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85D1A1C" w14:textId="0337EFB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6BFA8C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تحديد المخاطر المرتبطة بمهامهم اليومية</w:t>
            </w:r>
            <w:r w:rsidRPr="00D24D70">
              <w:rPr>
                <w:rFonts w:ascii="Traditional Arabic" w:hAnsi="Traditional Arabic" w:cs="Traditional Arabic" w:hint="cs"/>
                <w:color w:val="000000" w:themeColor="text1"/>
                <w:sz w:val="20"/>
                <w:szCs w:val="20"/>
                <w:lang w:bidi="ar-EG"/>
              </w:rPr>
              <w:t>.</w:t>
            </w:r>
          </w:p>
        </w:tc>
        <w:tc>
          <w:tcPr>
            <w:tcW w:w="0" w:type="auto"/>
          </w:tcPr>
          <w:p w14:paraId="6DEA64D1" w14:textId="21D8F32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w:t>
            </w:r>
          </w:p>
        </w:tc>
      </w:tr>
      <w:tr w:rsidR="007052C7" w:rsidRPr="00D24D70" w14:paraId="4F90BC19" w14:textId="542AA2FB" w:rsidTr="000C3448">
        <w:trPr>
          <w:tblCellSpacing w:w="20" w:type="dxa"/>
          <w:jc w:val="right"/>
        </w:trPr>
        <w:tc>
          <w:tcPr>
            <w:tcW w:w="0" w:type="auto"/>
          </w:tcPr>
          <w:p w14:paraId="5EB925F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566F09" w14:textId="1D0B89F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EE556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87A38A" w14:textId="6287C9D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A99C138" w14:textId="3F97B70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796644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المخاطر المحتملة في سجلات رسمية داخل المنشأة</w:t>
            </w:r>
            <w:r w:rsidRPr="00D24D70">
              <w:rPr>
                <w:rFonts w:ascii="Traditional Arabic" w:hAnsi="Traditional Arabic" w:cs="Traditional Arabic" w:hint="cs"/>
                <w:color w:val="000000" w:themeColor="text1"/>
                <w:sz w:val="20"/>
                <w:szCs w:val="20"/>
                <w:lang w:bidi="ar-EG"/>
              </w:rPr>
              <w:t>.</w:t>
            </w:r>
          </w:p>
        </w:tc>
        <w:tc>
          <w:tcPr>
            <w:tcW w:w="0" w:type="auto"/>
          </w:tcPr>
          <w:p w14:paraId="02BB572C" w14:textId="1AF4213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4</w:t>
            </w:r>
          </w:p>
        </w:tc>
      </w:tr>
      <w:tr w:rsidR="007052C7" w:rsidRPr="00D24D70" w14:paraId="0FCF6325" w14:textId="680BDA3F" w:rsidTr="000C3448">
        <w:trPr>
          <w:tblCellSpacing w:w="20" w:type="dxa"/>
          <w:jc w:val="right"/>
        </w:trPr>
        <w:tc>
          <w:tcPr>
            <w:tcW w:w="0" w:type="auto"/>
          </w:tcPr>
          <w:p w14:paraId="38317FB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39A7EE" w14:textId="7FF369D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0EC16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8CE48B" w14:textId="664F45E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28A40D" w14:textId="521938D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82A74C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مراجعة قائمة المخاطر المحتملة عند إدخال تقنيات أو إجراءات جديدة</w:t>
            </w:r>
            <w:r w:rsidRPr="00D24D70">
              <w:rPr>
                <w:rFonts w:ascii="Traditional Arabic" w:hAnsi="Traditional Arabic" w:cs="Traditional Arabic" w:hint="cs"/>
                <w:color w:val="000000" w:themeColor="text1"/>
                <w:sz w:val="20"/>
                <w:szCs w:val="20"/>
                <w:lang w:bidi="ar-EG"/>
              </w:rPr>
              <w:t>.</w:t>
            </w:r>
          </w:p>
        </w:tc>
        <w:tc>
          <w:tcPr>
            <w:tcW w:w="0" w:type="auto"/>
          </w:tcPr>
          <w:p w14:paraId="29C083A0" w14:textId="22AB07DC"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5</w:t>
            </w:r>
          </w:p>
        </w:tc>
      </w:tr>
      <w:tr w:rsidR="007052C7" w:rsidRPr="00D24D70" w14:paraId="0F39ED85" w14:textId="59864859" w:rsidTr="000C3448">
        <w:trPr>
          <w:tblCellSpacing w:w="20" w:type="dxa"/>
          <w:jc w:val="right"/>
        </w:trPr>
        <w:tc>
          <w:tcPr>
            <w:tcW w:w="0" w:type="auto"/>
          </w:tcPr>
          <w:p w14:paraId="73C042F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CCBBE" w14:textId="5DFDFC2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DF0FC9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FCF3FC" w14:textId="5C2239B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28D2A1" w14:textId="739A9CA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0253A4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أسباب الحوادث الطبية بعد وقوعها بشكل منهجي</w:t>
            </w:r>
            <w:r w:rsidRPr="00D24D70">
              <w:rPr>
                <w:rFonts w:ascii="Traditional Arabic" w:hAnsi="Traditional Arabic" w:cs="Traditional Arabic" w:hint="cs"/>
                <w:color w:val="000000" w:themeColor="text1"/>
                <w:sz w:val="20"/>
                <w:szCs w:val="20"/>
                <w:lang w:bidi="ar-EG"/>
              </w:rPr>
              <w:t>.</w:t>
            </w:r>
          </w:p>
        </w:tc>
        <w:tc>
          <w:tcPr>
            <w:tcW w:w="0" w:type="auto"/>
          </w:tcPr>
          <w:p w14:paraId="0F925327" w14:textId="16594456"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6</w:t>
            </w:r>
          </w:p>
        </w:tc>
      </w:tr>
      <w:tr w:rsidR="007052C7" w:rsidRPr="00D24D70" w14:paraId="1D9AE14F" w14:textId="7B8CCA51" w:rsidTr="000C3448">
        <w:trPr>
          <w:tblCellSpacing w:w="20" w:type="dxa"/>
          <w:jc w:val="right"/>
        </w:trPr>
        <w:tc>
          <w:tcPr>
            <w:tcW w:w="0" w:type="auto"/>
          </w:tcPr>
          <w:p w14:paraId="0D4467B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114373" w14:textId="31D681F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55436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C59C97B" w14:textId="7116C1A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933612" w14:textId="5D94BAF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98E27D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أدوات تحليل معتمدة لتقييم احتمالية حدوث المخاطر</w:t>
            </w:r>
            <w:r w:rsidRPr="00D24D70">
              <w:rPr>
                <w:rFonts w:ascii="Traditional Arabic" w:hAnsi="Traditional Arabic" w:cs="Traditional Arabic" w:hint="cs"/>
                <w:color w:val="000000" w:themeColor="text1"/>
                <w:sz w:val="20"/>
                <w:szCs w:val="20"/>
                <w:lang w:bidi="ar-EG"/>
              </w:rPr>
              <w:t>.</w:t>
            </w:r>
          </w:p>
        </w:tc>
        <w:tc>
          <w:tcPr>
            <w:tcW w:w="0" w:type="auto"/>
          </w:tcPr>
          <w:p w14:paraId="633A8CBF" w14:textId="799F60A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7</w:t>
            </w:r>
          </w:p>
        </w:tc>
      </w:tr>
      <w:tr w:rsidR="007052C7" w:rsidRPr="00D24D70" w14:paraId="5E7189FC" w14:textId="58365706" w:rsidTr="000C3448">
        <w:trPr>
          <w:tblCellSpacing w:w="20" w:type="dxa"/>
          <w:jc w:val="right"/>
        </w:trPr>
        <w:tc>
          <w:tcPr>
            <w:tcW w:w="0" w:type="auto"/>
          </w:tcPr>
          <w:p w14:paraId="1F41586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B1FB11" w14:textId="144B13C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2F97B2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C25FC0" w14:textId="0807C23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E0309B" w14:textId="71BB53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3B554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تصنيف المخاطر حسب درجة الخطورة والتكرار</w:t>
            </w:r>
            <w:r w:rsidRPr="00D24D70">
              <w:rPr>
                <w:rFonts w:ascii="Traditional Arabic" w:hAnsi="Traditional Arabic" w:cs="Traditional Arabic" w:hint="cs"/>
                <w:color w:val="000000" w:themeColor="text1"/>
                <w:sz w:val="20"/>
                <w:szCs w:val="20"/>
                <w:lang w:bidi="ar-EG"/>
              </w:rPr>
              <w:t>.</w:t>
            </w:r>
          </w:p>
        </w:tc>
        <w:tc>
          <w:tcPr>
            <w:tcW w:w="0" w:type="auto"/>
          </w:tcPr>
          <w:p w14:paraId="37B560A4" w14:textId="724C809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8</w:t>
            </w:r>
          </w:p>
        </w:tc>
      </w:tr>
      <w:tr w:rsidR="007052C7" w:rsidRPr="00D24D70" w14:paraId="226C75E1" w14:textId="444936CA" w:rsidTr="000C3448">
        <w:trPr>
          <w:tblCellSpacing w:w="20" w:type="dxa"/>
          <w:jc w:val="right"/>
        </w:trPr>
        <w:tc>
          <w:tcPr>
            <w:tcW w:w="0" w:type="auto"/>
          </w:tcPr>
          <w:p w14:paraId="44DEE7C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E5CCBC" w14:textId="28EA703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EC2E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C77677" w14:textId="77F6D8B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3189EFA" w14:textId="18E0A63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297BE4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تحليل تأثير كل خطر على سلامة المرضى وجودة الخدمة</w:t>
            </w:r>
            <w:r w:rsidRPr="00D24D70">
              <w:rPr>
                <w:rFonts w:ascii="Traditional Arabic" w:hAnsi="Traditional Arabic" w:cs="Traditional Arabic" w:hint="cs"/>
                <w:color w:val="000000" w:themeColor="text1"/>
                <w:sz w:val="20"/>
                <w:szCs w:val="20"/>
                <w:lang w:bidi="ar-EG"/>
              </w:rPr>
              <w:t>.</w:t>
            </w:r>
          </w:p>
        </w:tc>
        <w:tc>
          <w:tcPr>
            <w:tcW w:w="0" w:type="auto"/>
          </w:tcPr>
          <w:p w14:paraId="47C7BA99" w14:textId="7BEF4161"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9</w:t>
            </w:r>
          </w:p>
        </w:tc>
      </w:tr>
      <w:tr w:rsidR="007052C7" w:rsidRPr="00D24D70" w14:paraId="2690D3EC" w14:textId="544E69E8" w:rsidTr="000C3448">
        <w:trPr>
          <w:tblCellSpacing w:w="20" w:type="dxa"/>
          <w:jc w:val="right"/>
        </w:trPr>
        <w:tc>
          <w:tcPr>
            <w:tcW w:w="0" w:type="auto"/>
          </w:tcPr>
          <w:p w14:paraId="5553B5A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C1AEFC" w14:textId="366ED7A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B62E05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F2ED6A" w14:textId="4CC954A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8AC995" w14:textId="2DFF24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E643D4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فرق متعددة التخصصات في تحليل المخاطر المعقدة</w:t>
            </w:r>
            <w:r w:rsidRPr="00D24D70">
              <w:rPr>
                <w:rFonts w:ascii="Traditional Arabic" w:hAnsi="Traditional Arabic" w:cs="Traditional Arabic" w:hint="cs"/>
                <w:color w:val="000000" w:themeColor="text1"/>
                <w:sz w:val="20"/>
                <w:szCs w:val="20"/>
                <w:lang w:bidi="ar-EG"/>
              </w:rPr>
              <w:t>.</w:t>
            </w:r>
          </w:p>
        </w:tc>
        <w:tc>
          <w:tcPr>
            <w:tcW w:w="0" w:type="auto"/>
          </w:tcPr>
          <w:p w14:paraId="5F41B974" w14:textId="79D01FDE"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10</w:t>
            </w:r>
          </w:p>
        </w:tc>
      </w:tr>
      <w:tr w:rsidR="007052C7" w:rsidRPr="00D24D70" w14:paraId="0E561B24" w14:textId="77747E9D" w:rsidTr="000C3448">
        <w:trPr>
          <w:tblCellSpacing w:w="20" w:type="dxa"/>
          <w:jc w:val="right"/>
        </w:trPr>
        <w:tc>
          <w:tcPr>
            <w:tcW w:w="0" w:type="auto"/>
          </w:tcPr>
          <w:p w14:paraId="0D187DD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EF2BB1" w14:textId="076D746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D6BE79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57CC17" w14:textId="5B45984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3D55B0" w14:textId="09C72F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10D17C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المخاطر بناءً على معايير واضحة ومعتمدة من الإدارة</w:t>
            </w:r>
            <w:r w:rsidRPr="00D24D70">
              <w:rPr>
                <w:rFonts w:ascii="Traditional Arabic" w:hAnsi="Traditional Arabic" w:cs="Traditional Arabic" w:hint="cs"/>
                <w:color w:val="000000" w:themeColor="text1"/>
                <w:sz w:val="20"/>
                <w:szCs w:val="20"/>
                <w:lang w:bidi="ar-EG"/>
              </w:rPr>
              <w:t>.</w:t>
            </w:r>
          </w:p>
        </w:tc>
        <w:tc>
          <w:tcPr>
            <w:tcW w:w="0" w:type="auto"/>
          </w:tcPr>
          <w:p w14:paraId="4B2A4751" w14:textId="41A2531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11</w:t>
            </w:r>
          </w:p>
        </w:tc>
      </w:tr>
      <w:tr w:rsidR="007052C7" w:rsidRPr="00D24D70" w14:paraId="006F6EFB" w14:textId="2FFED90D" w:rsidTr="000C3448">
        <w:trPr>
          <w:tblCellSpacing w:w="20" w:type="dxa"/>
          <w:jc w:val="right"/>
        </w:trPr>
        <w:tc>
          <w:tcPr>
            <w:tcW w:w="0" w:type="auto"/>
          </w:tcPr>
          <w:p w14:paraId="53C5DDE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7B9279" w14:textId="7FA0B8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AEF7A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5BF27F" w14:textId="3FA1425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72B161" w14:textId="7DDFEE8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D0B956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تُستخدم نتائج التقييم في اتخاذ قرارات إدارية فعالة</w:t>
            </w:r>
            <w:r w:rsidRPr="00D24D70">
              <w:rPr>
                <w:rFonts w:ascii="Traditional Arabic" w:hAnsi="Traditional Arabic" w:cs="Traditional Arabic" w:hint="cs"/>
                <w:color w:val="000000" w:themeColor="text1"/>
                <w:sz w:val="20"/>
                <w:szCs w:val="20"/>
                <w:lang w:bidi="ar-EG"/>
              </w:rPr>
              <w:t>.</w:t>
            </w:r>
          </w:p>
        </w:tc>
        <w:tc>
          <w:tcPr>
            <w:tcW w:w="0" w:type="auto"/>
          </w:tcPr>
          <w:p w14:paraId="5ED98D68" w14:textId="1D37B31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12</w:t>
            </w:r>
          </w:p>
        </w:tc>
      </w:tr>
      <w:tr w:rsidR="007052C7" w:rsidRPr="00D24D70" w14:paraId="0B97690B" w14:textId="5B12A5C6" w:rsidTr="000C3448">
        <w:trPr>
          <w:tblCellSpacing w:w="20" w:type="dxa"/>
          <w:jc w:val="right"/>
        </w:trPr>
        <w:tc>
          <w:tcPr>
            <w:tcW w:w="0" w:type="auto"/>
          </w:tcPr>
          <w:p w14:paraId="686187D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BF88B7" w14:textId="68DFAFA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EC824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E014F80" w14:textId="7E5EED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53C3CF" w14:textId="7E4FC1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F8BA72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تحديد أولويات التعامل مع المخاطر بناءً على نتائج التقييم</w:t>
            </w:r>
            <w:r w:rsidRPr="00D24D70">
              <w:rPr>
                <w:rFonts w:ascii="Traditional Arabic" w:hAnsi="Traditional Arabic" w:cs="Traditional Arabic" w:hint="cs"/>
                <w:color w:val="000000" w:themeColor="text1"/>
                <w:sz w:val="20"/>
                <w:szCs w:val="20"/>
                <w:lang w:bidi="ar-EG"/>
              </w:rPr>
              <w:t>.</w:t>
            </w:r>
          </w:p>
        </w:tc>
        <w:tc>
          <w:tcPr>
            <w:tcW w:w="0" w:type="auto"/>
          </w:tcPr>
          <w:p w14:paraId="756E7258" w14:textId="21AD78B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13</w:t>
            </w:r>
          </w:p>
        </w:tc>
      </w:tr>
      <w:tr w:rsidR="007052C7" w:rsidRPr="00D24D70" w14:paraId="68B0D1E1" w14:textId="29259CDF" w:rsidTr="000C3448">
        <w:trPr>
          <w:tblCellSpacing w:w="20" w:type="dxa"/>
          <w:jc w:val="right"/>
        </w:trPr>
        <w:tc>
          <w:tcPr>
            <w:tcW w:w="0" w:type="auto"/>
          </w:tcPr>
          <w:p w14:paraId="735B55C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CEBD8B" w14:textId="00A5CAA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54A7BF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A58C7C" w14:textId="4C4E1D8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0B4172" w14:textId="48BAAF6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6DA88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تحديث تقييم المخاطر بشكل دوري وفقًا للمتغيرات التشغيلية</w:t>
            </w:r>
            <w:r w:rsidRPr="00D24D70">
              <w:rPr>
                <w:rFonts w:ascii="Traditional Arabic" w:hAnsi="Traditional Arabic" w:cs="Traditional Arabic" w:hint="cs"/>
                <w:color w:val="000000" w:themeColor="text1"/>
                <w:sz w:val="20"/>
                <w:szCs w:val="20"/>
                <w:lang w:bidi="ar-EG"/>
              </w:rPr>
              <w:t>.</w:t>
            </w:r>
          </w:p>
        </w:tc>
        <w:tc>
          <w:tcPr>
            <w:tcW w:w="0" w:type="auto"/>
          </w:tcPr>
          <w:p w14:paraId="22FFD714" w14:textId="02CF0914"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14</w:t>
            </w:r>
          </w:p>
        </w:tc>
      </w:tr>
      <w:tr w:rsidR="007052C7" w:rsidRPr="00D24D70" w14:paraId="7D7E34F3" w14:textId="4BEAD95B" w:rsidTr="000C3448">
        <w:trPr>
          <w:tblCellSpacing w:w="20" w:type="dxa"/>
          <w:jc w:val="right"/>
        </w:trPr>
        <w:tc>
          <w:tcPr>
            <w:tcW w:w="0" w:type="auto"/>
          </w:tcPr>
          <w:p w14:paraId="68781DF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B57E202" w14:textId="11F7BF7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586334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70907C" w14:textId="4582F0A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63C688" w14:textId="281329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5C40EF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توثيق نتائج تقييم المخاطر في تقارير رسمية قابلة للمراجعة</w:t>
            </w:r>
            <w:r w:rsidRPr="00D24D70">
              <w:rPr>
                <w:rFonts w:ascii="Traditional Arabic" w:hAnsi="Traditional Arabic" w:cs="Traditional Arabic" w:hint="cs"/>
                <w:color w:val="000000" w:themeColor="text1"/>
                <w:sz w:val="20"/>
                <w:szCs w:val="20"/>
                <w:lang w:bidi="ar-EG"/>
              </w:rPr>
              <w:t>.</w:t>
            </w:r>
          </w:p>
        </w:tc>
        <w:tc>
          <w:tcPr>
            <w:tcW w:w="0" w:type="auto"/>
          </w:tcPr>
          <w:p w14:paraId="0BA14FA7" w14:textId="0A5C3B9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15</w:t>
            </w:r>
          </w:p>
        </w:tc>
      </w:tr>
      <w:tr w:rsidR="007052C7" w:rsidRPr="00D24D70" w14:paraId="2A17530B" w14:textId="46797A1B" w:rsidTr="000C3448">
        <w:trPr>
          <w:tblCellSpacing w:w="20" w:type="dxa"/>
          <w:jc w:val="right"/>
        </w:trPr>
        <w:tc>
          <w:tcPr>
            <w:tcW w:w="0" w:type="auto"/>
          </w:tcPr>
          <w:p w14:paraId="2889673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C681514" w14:textId="6321F38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FD528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345373" w14:textId="086B033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724622" w14:textId="35ECAEC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5F95AA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توجد خطط استجابة واضحة ومعلنة للتعامل مع الحوادث الطبية</w:t>
            </w:r>
            <w:r w:rsidRPr="00D24D70">
              <w:rPr>
                <w:rFonts w:ascii="Traditional Arabic" w:hAnsi="Traditional Arabic" w:cs="Traditional Arabic" w:hint="cs"/>
                <w:color w:val="000000" w:themeColor="text1"/>
                <w:sz w:val="20"/>
                <w:szCs w:val="20"/>
                <w:lang w:bidi="ar-EG"/>
              </w:rPr>
              <w:t>.</w:t>
            </w:r>
          </w:p>
        </w:tc>
        <w:tc>
          <w:tcPr>
            <w:tcW w:w="0" w:type="auto"/>
          </w:tcPr>
          <w:p w14:paraId="3D4E3FBE" w14:textId="18126A6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16</w:t>
            </w:r>
          </w:p>
        </w:tc>
      </w:tr>
      <w:tr w:rsidR="007052C7" w:rsidRPr="00D24D70" w14:paraId="4C9CA74A" w14:textId="7DF01F02" w:rsidTr="000C3448">
        <w:trPr>
          <w:tblCellSpacing w:w="20" w:type="dxa"/>
          <w:jc w:val="right"/>
        </w:trPr>
        <w:tc>
          <w:tcPr>
            <w:tcW w:w="0" w:type="auto"/>
          </w:tcPr>
          <w:p w14:paraId="41BC653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6E9F4CE" w14:textId="3A49F15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614B1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D9A470" w14:textId="045473C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86358D" w14:textId="5F524C9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2C14C6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تدريب العاملين على كيفية التصرف عند وقوع المخاطر</w:t>
            </w:r>
            <w:r w:rsidRPr="00D24D70">
              <w:rPr>
                <w:rFonts w:ascii="Traditional Arabic" w:hAnsi="Traditional Arabic" w:cs="Traditional Arabic" w:hint="cs"/>
                <w:color w:val="000000" w:themeColor="text1"/>
                <w:sz w:val="20"/>
                <w:szCs w:val="20"/>
                <w:lang w:bidi="ar-EG"/>
              </w:rPr>
              <w:t>.</w:t>
            </w:r>
          </w:p>
        </w:tc>
        <w:tc>
          <w:tcPr>
            <w:tcW w:w="0" w:type="auto"/>
          </w:tcPr>
          <w:p w14:paraId="7FE27866" w14:textId="5B8068DA"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17</w:t>
            </w:r>
          </w:p>
        </w:tc>
      </w:tr>
      <w:tr w:rsidR="007052C7" w:rsidRPr="00D24D70" w14:paraId="1AC245DB" w14:textId="2E31D7D1" w:rsidTr="000C3448">
        <w:trPr>
          <w:tblCellSpacing w:w="20" w:type="dxa"/>
          <w:jc w:val="right"/>
        </w:trPr>
        <w:tc>
          <w:tcPr>
            <w:tcW w:w="0" w:type="auto"/>
          </w:tcPr>
          <w:p w14:paraId="1398F4C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721D566" w14:textId="73836A7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04935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CAB19B" w14:textId="5789A8E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0C4B1E" w14:textId="2BD1E9E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1AAA6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تنفيذ إجراءات تصحيحية بعد كل حادث لضمان عدم تكراره</w:t>
            </w:r>
            <w:r w:rsidRPr="00D24D70">
              <w:rPr>
                <w:rFonts w:ascii="Traditional Arabic" w:hAnsi="Traditional Arabic" w:cs="Traditional Arabic" w:hint="cs"/>
                <w:color w:val="000000" w:themeColor="text1"/>
                <w:sz w:val="20"/>
                <w:szCs w:val="20"/>
                <w:lang w:bidi="ar-EG"/>
              </w:rPr>
              <w:t>.</w:t>
            </w:r>
          </w:p>
        </w:tc>
        <w:tc>
          <w:tcPr>
            <w:tcW w:w="0" w:type="auto"/>
          </w:tcPr>
          <w:p w14:paraId="49314305" w14:textId="7D980E4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18</w:t>
            </w:r>
          </w:p>
        </w:tc>
      </w:tr>
      <w:tr w:rsidR="007052C7" w:rsidRPr="00D24D70" w14:paraId="15E0B78D" w14:textId="01E4E558" w:rsidTr="000C3448">
        <w:trPr>
          <w:tblCellSpacing w:w="20" w:type="dxa"/>
          <w:jc w:val="right"/>
        </w:trPr>
        <w:tc>
          <w:tcPr>
            <w:tcW w:w="0" w:type="auto"/>
          </w:tcPr>
          <w:p w14:paraId="316EA84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4446226" w14:textId="6DF37F7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7640E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9FEB5BB" w14:textId="7294DF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B8E923D" w14:textId="14E873D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78CF6B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تقييم فعالية الاستجابة بعد كل حالة طارئة أو خطأ طبي</w:t>
            </w:r>
            <w:r w:rsidRPr="00D24D70">
              <w:rPr>
                <w:rFonts w:ascii="Traditional Arabic" w:hAnsi="Traditional Arabic" w:cs="Traditional Arabic" w:hint="cs"/>
                <w:color w:val="000000" w:themeColor="text1"/>
                <w:sz w:val="20"/>
                <w:szCs w:val="20"/>
                <w:lang w:bidi="ar-EG"/>
              </w:rPr>
              <w:t>.</w:t>
            </w:r>
          </w:p>
        </w:tc>
        <w:tc>
          <w:tcPr>
            <w:tcW w:w="0" w:type="auto"/>
          </w:tcPr>
          <w:p w14:paraId="453F223B" w14:textId="36CDC8E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19</w:t>
            </w:r>
          </w:p>
        </w:tc>
      </w:tr>
      <w:tr w:rsidR="007052C7" w:rsidRPr="00D24D70" w14:paraId="5885FD9E" w14:textId="2211134B" w:rsidTr="000C3448">
        <w:trPr>
          <w:tblCellSpacing w:w="20" w:type="dxa"/>
          <w:jc w:val="right"/>
        </w:trPr>
        <w:tc>
          <w:tcPr>
            <w:tcW w:w="0" w:type="auto"/>
          </w:tcPr>
          <w:p w14:paraId="5AFA1C2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9C7CA0" w14:textId="7D3AFC9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65E9B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8EE4821" w14:textId="79A54D8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5204C4" w14:textId="6CCAA50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D8D807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يتم إشراك العاملين في تطوير خطط الاستجابة وتحسينها باستمرار</w:t>
            </w:r>
            <w:r w:rsidRPr="00D24D70">
              <w:rPr>
                <w:rFonts w:ascii="Traditional Arabic" w:hAnsi="Traditional Arabic" w:cs="Traditional Arabic" w:hint="cs"/>
                <w:color w:val="000000" w:themeColor="text1"/>
                <w:sz w:val="20"/>
                <w:szCs w:val="20"/>
                <w:lang w:bidi="ar-EG"/>
              </w:rPr>
              <w:t>.</w:t>
            </w:r>
          </w:p>
        </w:tc>
        <w:tc>
          <w:tcPr>
            <w:tcW w:w="0" w:type="auto"/>
          </w:tcPr>
          <w:p w14:paraId="041DF745" w14:textId="5321588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20</w:t>
            </w:r>
          </w:p>
        </w:tc>
      </w:tr>
      <w:tr w:rsidR="007052C7" w:rsidRPr="00D24D70" w14:paraId="4ADE46A5" w14:textId="0CA3CF70" w:rsidTr="000C3448">
        <w:trPr>
          <w:tblCellSpacing w:w="20" w:type="dxa"/>
          <w:jc w:val="right"/>
        </w:trPr>
        <w:tc>
          <w:tcPr>
            <w:tcW w:w="0" w:type="auto"/>
          </w:tcPr>
          <w:p w14:paraId="32A5A98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358697" w14:textId="4816ED9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794DC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6FC9B98" w14:textId="33C3879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EA0290" w14:textId="37F2969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371412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سلوكًا أخلاقيًا يُحتذى به في بيئة العمل</w:t>
            </w:r>
            <w:r w:rsidRPr="00D24D70">
              <w:rPr>
                <w:rFonts w:ascii="Traditional Arabic" w:hAnsi="Traditional Arabic" w:cs="Traditional Arabic" w:hint="cs"/>
                <w:color w:val="000000" w:themeColor="text1"/>
                <w:sz w:val="20"/>
                <w:szCs w:val="20"/>
                <w:lang w:bidi="ar-EG"/>
              </w:rPr>
              <w:t>.</w:t>
            </w:r>
          </w:p>
        </w:tc>
        <w:tc>
          <w:tcPr>
            <w:tcW w:w="0" w:type="auto"/>
          </w:tcPr>
          <w:p w14:paraId="0359A61A" w14:textId="5024993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21</w:t>
            </w:r>
          </w:p>
        </w:tc>
      </w:tr>
      <w:tr w:rsidR="007052C7" w:rsidRPr="00D24D70" w14:paraId="6D880FDC" w14:textId="2145DF95" w:rsidTr="000C3448">
        <w:trPr>
          <w:tblCellSpacing w:w="20" w:type="dxa"/>
          <w:jc w:val="right"/>
        </w:trPr>
        <w:tc>
          <w:tcPr>
            <w:tcW w:w="0" w:type="auto"/>
          </w:tcPr>
          <w:p w14:paraId="5DB84BD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FB6A55" w14:textId="18645FB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2ADF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4905FA" w14:textId="0FA9E6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772016" w14:textId="2FA984C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D16C4C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يلتزم القائد بالقيم المهنية في جميع تعاملاته</w:t>
            </w:r>
            <w:r w:rsidRPr="00D24D70">
              <w:rPr>
                <w:rFonts w:ascii="Traditional Arabic" w:hAnsi="Traditional Arabic" w:cs="Traditional Arabic" w:hint="cs"/>
                <w:color w:val="000000" w:themeColor="text1"/>
                <w:sz w:val="20"/>
                <w:szCs w:val="20"/>
                <w:lang w:bidi="ar-EG"/>
              </w:rPr>
              <w:t>.</w:t>
            </w:r>
          </w:p>
        </w:tc>
        <w:tc>
          <w:tcPr>
            <w:tcW w:w="0" w:type="auto"/>
          </w:tcPr>
          <w:p w14:paraId="109F0A15" w14:textId="452BC35E"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22</w:t>
            </w:r>
          </w:p>
        </w:tc>
      </w:tr>
      <w:tr w:rsidR="007052C7" w:rsidRPr="00D24D70" w14:paraId="692E488B" w14:textId="40528EE3" w:rsidTr="000C3448">
        <w:trPr>
          <w:tblCellSpacing w:w="20" w:type="dxa"/>
          <w:jc w:val="right"/>
        </w:trPr>
        <w:tc>
          <w:tcPr>
            <w:tcW w:w="0" w:type="auto"/>
          </w:tcPr>
          <w:p w14:paraId="2003516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7AEB76D" w14:textId="0241591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BF8B4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D557A5" w14:textId="0ABD9FF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901DFE" w14:textId="0505049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9DB9D4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نموذجًا يُلهم الآخرين بالثقة والاحترام</w:t>
            </w:r>
            <w:r w:rsidRPr="00D24D70">
              <w:rPr>
                <w:rFonts w:ascii="Traditional Arabic" w:hAnsi="Traditional Arabic" w:cs="Traditional Arabic" w:hint="cs"/>
                <w:color w:val="000000" w:themeColor="text1"/>
                <w:sz w:val="20"/>
                <w:szCs w:val="20"/>
                <w:lang w:bidi="ar-EG"/>
              </w:rPr>
              <w:t>.</w:t>
            </w:r>
          </w:p>
        </w:tc>
        <w:tc>
          <w:tcPr>
            <w:tcW w:w="0" w:type="auto"/>
          </w:tcPr>
          <w:p w14:paraId="3A406A57" w14:textId="0C8CA352"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23</w:t>
            </w:r>
          </w:p>
        </w:tc>
      </w:tr>
      <w:tr w:rsidR="007052C7" w:rsidRPr="00D24D70" w14:paraId="26EBA5EB" w14:textId="543C5735" w:rsidTr="000C3448">
        <w:trPr>
          <w:tblCellSpacing w:w="20" w:type="dxa"/>
          <w:jc w:val="right"/>
        </w:trPr>
        <w:tc>
          <w:tcPr>
            <w:tcW w:w="0" w:type="auto"/>
          </w:tcPr>
          <w:p w14:paraId="220F989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49FC72" w14:textId="3A56769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667B4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A1F7D4" w14:textId="734E92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AD591A" w14:textId="7526532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C40398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يتصرف القائد بطريقة تعزز الانتماء والولاء للمؤسسة</w:t>
            </w:r>
            <w:r w:rsidRPr="00D24D70">
              <w:rPr>
                <w:rFonts w:ascii="Traditional Arabic" w:hAnsi="Traditional Arabic" w:cs="Traditional Arabic" w:hint="cs"/>
                <w:color w:val="000000" w:themeColor="text1"/>
                <w:sz w:val="20"/>
                <w:szCs w:val="20"/>
                <w:lang w:bidi="ar-EG"/>
              </w:rPr>
              <w:t>.</w:t>
            </w:r>
          </w:p>
        </w:tc>
        <w:tc>
          <w:tcPr>
            <w:tcW w:w="0" w:type="auto"/>
          </w:tcPr>
          <w:p w14:paraId="29EA70A9" w14:textId="76956E30"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24</w:t>
            </w:r>
          </w:p>
        </w:tc>
      </w:tr>
      <w:tr w:rsidR="007052C7" w:rsidRPr="00D24D70" w14:paraId="34BA3D17" w14:textId="21F0C628" w:rsidTr="000C3448">
        <w:trPr>
          <w:tblCellSpacing w:w="20" w:type="dxa"/>
          <w:jc w:val="right"/>
        </w:trPr>
        <w:tc>
          <w:tcPr>
            <w:tcW w:w="0" w:type="auto"/>
          </w:tcPr>
          <w:p w14:paraId="53B70AF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C94FE9" w14:textId="4B5D41E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B6BD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948F2DA" w14:textId="2B933E4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E995DCD" w14:textId="7AB07A8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CB05BB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استعدادًا لتحمل المسؤولية في المواقف الصعبة</w:t>
            </w:r>
            <w:r w:rsidRPr="00D24D70">
              <w:rPr>
                <w:rFonts w:ascii="Traditional Arabic" w:hAnsi="Traditional Arabic" w:cs="Traditional Arabic" w:hint="cs"/>
                <w:color w:val="000000" w:themeColor="text1"/>
                <w:sz w:val="20"/>
                <w:szCs w:val="20"/>
                <w:lang w:bidi="ar-EG"/>
              </w:rPr>
              <w:t>.</w:t>
            </w:r>
          </w:p>
        </w:tc>
        <w:tc>
          <w:tcPr>
            <w:tcW w:w="0" w:type="auto"/>
          </w:tcPr>
          <w:p w14:paraId="2CEEC04D" w14:textId="6FB7F6D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25</w:t>
            </w:r>
          </w:p>
        </w:tc>
      </w:tr>
      <w:tr w:rsidR="007052C7" w:rsidRPr="00D24D70" w14:paraId="522D691D" w14:textId="5E5426A8" w:rsidTr="000C3448">
        <w:trPr>
          <w:tblCellSpacing w:w="20" w:type="dxa"/>
          <w:jc w:val="right"/>
        </w:trPr>
        <w:tc>
          <w:tcPr>
            <w:tcW w:w="0" w:type="auto"/>
          </w:tcPr>
          <w:p w14:paraId="3FAF47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EDCC2F" w14:textId="302CBF2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BEE19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34B3D4" w14:textId="593615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E3BB96" w14:textId="127F747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EA02E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لتحقيق أهداف تتجاوز التوقعات</w:t>
            </w:r>
            <w:r w:rsidRPr="00D24D70">
              <w:rPr>
                <w:rFonts w:ascii="Traditional Arabic" w:hAnsi="Traditional Arabic" w:cs="Traditional Arabic" w:hint="cs"/>
                <w:color w:val="000000" w:themeColor="text1"/>
                <w:sz w:val="20"/>
                <w:szCs w:val="20"/>
                <w:lang w:bidi="ar-EG"/>
              </w:rPr>
              <w:t>.</w:t>
            </w:r>
          </w:p>
        </w:tc>
        <w:tc>
          <w:tcPr>
            <w:tcW w:w="0" w:type="auto"/>
          </w:tcPr>
          <w:p w14:paraId="5D5BEF52" w14:textId="4593279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26</w:t>
            </w:r>
          </w:p>
        </w:tc>
      </w:tr>
      <w:tr w:rsidR="007052C7" w:rsidRPr="00D24D70" w14:paraId="4C18D76D" w14:textId="2AF8F308" w:rsidTr="000C3448">
        <w:trPr>
          <w:tblCellSpacing w:w="20" w:type="dxa"/>
          <w:jc w:val="right"/>
        </w:trPr>
        <w:tc>
          <w:tcPr>
            <w:tcW w:w="0" w:type="auto"/>
          </w:tcPr>
          <w:p w14:paraId="7821C59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816204E" w14:textId="4266ADA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E21B6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3266BAE" w14:textId="38E158B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FDCC7F" w14:textId="4CC8E76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A9B1F9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الإيمان بقدراتهم</w:t>
            </w:r>
            <w:r w:rsidRPr="00D24D70">
              <w:rPr>
                <w:rFonts w:ascii="Traditional Arabic" w:hAnsi="Traditional Arabic" w:cs="Traditional Arabic" w:hint="cs"/>
                <w:color w:val="000000" w:themeColor="text1"/>
                <w:sz w:val="20"/>
                <w:szCs w:val="20"/>
                <w:lang w:bidi="ar-EG"/>
              </w:rPr>
              <w:t>.</w:t>
            </w:r>
          </w:p>
        </w:tc>
        <w:tc>
          <w:tcPr>
            <w:tcW w:w="0" w:type="auto"/>
          </w:tcPr>
          <w:p w14:paraId="2B90565F" w14:textId="672295B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27</w:t>
            </w:r>
          </w:p>
        </w:tc>
      </w:tr>
      <w:tr w:rsidR="007052C7" w:rsidRPr="00D24D70" w14:paraId="66A6E64F" w14:textId="5B4E3388" w:rsidTr="000C3448">
        <w:trPr>
          <w:tblCellSpacing w:w="20" w:type="dxa"/>
          <w:jc w:val="right"/>
        </w:trPr>
        <w:tc>
          <w:tcPr>
            <w:tcW w:w="0" w:type="auto"/>
          </w:tcPr>
          <w:p w14:paraId="069D2AB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7EE66BF" w14:textId="42A6732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E87E8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00D4111" w14:textId="54428B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862C86" w14:textId="4D2E48C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166FA8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يُعبر القائد عن رؤية واضحة ومُلهمة للمستقبل</w:t>
            </w:r>
            <w:r w:rsidRPr="00D24D70">
              <w:rPr>
                <w:rFonts w:ascii="Traditional Arabic" w:hAnsi="Traditional Arabic" w:cs="Traditional Arabic" w:hint="cs"/>
                <w:color w:val="000000" w:themeColor="text1"/>
                <w:sz w:val="20"/>
                <w:szCs w:val="20"/>
                <w:lang w:bidi="ar-EG"/>
              </w:rPr>
              <w:t>.</w:t>
            </w:r>
          </w:p>
        </w:tc>
        <w:tc>
          <w:tcPr>
            <w:tcW w:w="0" w:type="auto"/>
          </w:tcPr>
          <w:p w14:paraId="621BCB03" w14:textId="29FA16BA"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28</w:t>
            </w:r>
          </w:p>
        </w:tc>
      </w:tr>
      <w:tr w:rsidR="007052C7" w:rsidRPr="00D24D70" w14:paraId="56D3F562" w14:textId="5F480D6D" w:rsidTr="000C3448">
        <w:trPr>
          <w:tblCellSpacing w:w="20" w:type="dxa"/>
          <w:jc w:val="right"/>
        </w:trPr>
        <w:tc>
          <w:tcPr>
            <w:tcW w:w="0" w:type="auto"/>
          </w:tcPr>
          <w:p w14:paraId="22F12E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D9A9019" w14:textId="567D60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D96D83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BDE64E7" w14:textId="054B1CB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DD1CF0F" w14:textId="352C904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45011D7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يُعزز القائد روح الفريق والتعاون بين العاملين</w:t>
            </w:r>
            <w:r w:rsidRPr="00D24D70">
              <w:rPr>
                <w:rFonts w:ascii="Traditional Arabic" w:hAnsi="Traditional Arabic" w:cs="Traditional Arabic" w:hint="cs"/>
                <w:color w:val="000000" w:themeColor="text1"/>
                <w:sz w:val="20"/>
                <w:szCs w:val="20"/>
                <w:lang w:bidi="ar-EG"/>
              </w:rPr>
              <w:t>.</w:t>
            </w:r>
          </w:p>
        </w:tc>
        <w:tc>
          <w:tcPr>
            <w:tcW w:w="0" w:type="auto"/>
          </w:tcPr>
          <w:p w14:paraId="6A37F88B" w14:textId="0139FF6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29</w:t>
            </w:r>
          </w:p>
        </w:tc>
      </w:tr>
      <w:tr w:rsidR="007052C7" w:rsidRPr="00D24D70" w14:paraId="16389524" w14:textId="0046E68F" w:rsidTr="000C3448">
        <w:trPr>
          <w:tblCellSpacing w:w="20" w:type="dxa"/>
          <w:jc w:val="right"/>
        </w:trPr>
        <w:tc>
          <w:tcPr>
            <w:tcW w:w="0" w:type="auto"/>
          </w:tcPr>
          <w:p w14:paraId="364E6E9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0056C8D" w14:textId="1982499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224AF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C798F50" w14:textId="3EF1743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E7BBA50" w14:textId="13F64B5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BA78F7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يُستخدم القائد لغة تحفيزية تُشعل الحماس في بيئة العمل</w:t>
            </w:r>
            <w:r w:rsidRPr="00D24D70">
              <w:rPr>
                <w:rFonts w:ascii="Traditional Arabic" w:hAnsi="Traditional Arabic" w:cs="Traditional Arabic" w:hint="cs"/>
                <w:color w:val="000000" w:themeColor="text1"/>
                <w:sz w:val="20"/>
                <w:szCs w:val="20"/>
                <w:lang w:bidi="ar-EG"/>
              </w:rPr>
              <w:t>.</w:t>
            </w:r>
          </w:p>
        </w:tc>
        <w:tc>
          <w:tcPr>
            <w:tcW w:w="0" w:type="auto"/>
          </w:tcPr>
          <w:p w14:paraId="3B07AB4E" w14:textId="2097A316"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30</w:t>
            </w:r>
          </w:p>
        </w:tc>
      </w:tr>
      <w:tr w:rsidR="007052C7" w:rsidRPr="00D24D70" w14:paraId="624E4690" w14:textId="3043A163" w:rsidTr="000C3448">
        <w:trPr>
          <w:tblCellSpacing w:w="20" w:type="dxa"/>
          <w:jc w:val="right"/>
        </w:trPr>
        <w:tc>
          <w:tcPr>
            <w:tcW w:w="0" w:type="auto"/>
          </w:tcPr>
          <w:p w14:paraId="55BAE7D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729F5A" w14:textId="79F561E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5824E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A96E387" w14:textId="6DA3D01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A3B3F9" w14:textId="41AF645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683C09B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يُظهر القائد اهتمامًا فرديًا باحتياجات الموظفين</w:t>
            </w:r>
            <w:r w:rsidRPr="00D24D70">
              <w:rPr>
                <w:rFonts w:ascii="Traditional Arabic" w:hAnsi="Traditional Arabic" w:cs="Traditional Arabic" w:hint="cs"/>
                <w:color w:val="000000" w:themeColor="text1"/>
                <w:sz w:val="20"/>
                <w:szCs w:val="20"/>
                <w:lang w:bidi="ar-EG"/>
              </w:rPr>
              <w:t>.</w:t>
            </w:r>
          </w:p>
        </w:tc>
        <w:tc>
          <w:tcPr>
            <w:tcW w:w="0" w:type="auto"/>
          </w:tcPr>
          <w:p w14:paraId="2D9310DB" w14:textId="7B09CED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31</w:t>
            </w:r>
          </w:p>
        </w:tc>
      </w:tr>
      <w:tr w:rsidR="007052C7" w:rsidRPr="00D24D70" w14:paraId="0C0769C4" w14:textId="7DFA7CBE" w:rsidTr="000C3448">
        <w:trPr>
          <w:tblCellSpacing w:w="20" w:type="dxa"/>
          <w:jc w:val="right"/>
        </w:trPr>
        <w:tc>
          <w:tcPr>
            <w:tcW w:w="0" w:type="auto"/>
          </w:tcPr>
          <w:p w14:paraId="2902A70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1E09DD3" w14:textId="7E5BF63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11362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F5F746" w14:textId="388D5AC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1C2706" w14:textId="582222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511EE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يُخصص القائد وقتًا للاستماع لمشكلات العاملين</w:t>
            </w:r>
            <w:r w:rsidRPr="00D24D70">
              <w:rPr>
                <w:rFonts w:ascii="Traditional Arabic" w:hAnsi="Traditional Arabic" w:cs="Traditional Arabic" w:hint="cs"/>
                <w:color w:val="000000" w:themeColor="text1"/>
                <w:sz w:val="20"/>
                <w:szCs w:val="20"/>
                <w:lang w:bidi="ar-EG"/>
              </w:rPr>
              <w:t>.</w:t>
            </w:r>
          </w:p>
        </w:tc>
        <w:tc>
          <w:tcPr>
            <w:tcW w:w="0" w:type="auto"/>
          </w:tcPr>
          <w:p w14:paraId="0D908767" w14:textId="3843199B"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32</w:t>
            </w:r>
          </w:p>
        </w:tc>
      </w:tr>
      <w:tr w:rsidR="007052C7" w:rsidRPr="00D24D70" w14:paraId="5EB5CBD8" w14:textId="7CA72FFD" w:rsidTr="000C3448">
        <w:trPr>
          <w:tblCellSpacing w:w="20" w:type="dxa"/>
          <w:jc w:val="right"/>
        </w:trPr>
        <w:tc>
          <w:tcPr>
            <w:tcW w:w="0" w:type="auto"/>
          </w:tcPr>
          <w:p w14:paraId="1BEED56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A81EE9D" w14:textId="65CD9C3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5ABEE1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71471E" w14:textId="1FA726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C2053D" w14:textId="75D8135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5D4FEFF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يُراعي القائد الفروق الفردية في أسلوب التعامل</w:t>
            </w:r>
            <w:r w:rsidRPr="00D24D70">
              <w:rPr>
                <w:rFonts w:ascii="Traditional Arabic" w:hAnsi="Traditional Arabic" w:cs="Traditional Arabic" w:hint="cs"/>
                <w:color w:val="000000" w:themeColor="text1"/>
                <w:sz w:val="20"/>
                <w:szCs w:val="20"/>
                <w:lang w:bidi="ar-EG"/>
              </w:rPr>
              <w:t>.</w:t>
            </w:r>
          </w:p>
        </w:tc>
        <w:tc>
          <w:tcPr>
            <w:tcW w:w="0" w:type="auto"/>
          </w:tcPr>
          <w:p w14:paraId="34E8F83E" w14:textId="2DB9DA74"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33</w:t>
            </w:r>
          </w:p>
        </w:tc>
      </w:tr>
      <w:tr w:rsidR="007052C7" w:rsidRPr="00D24D70" w14:paraId="04A94E15" w14:textId="68883BC3" w:rsidTr="000C3448">
        <w:trPr>
          <w:tblCellSpacing w:w="20" w:type="dxa"/>
          <w:jc w:val="right"/>
        </w:trPr>
        <w:tc>
          <w:tcPr>
            <w:tcW w:w="0" w:type="auto"/>
          </w:tcPr>
          <w:p w14:paraId="792F8B0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1C7DCDA" w14:textId="347EA29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B708CE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F59F3A2" w14:textId="7FDA38F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8E489B5" w14:textId="0EFA950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3283C85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يُقدّم القائد الدعم والتوجيه المناسب لكل موظف</w:t>
            </w:r>
            <w:r w:rsidRPr="00D24D70">
              <w:rPr>
                <w:rFonts w:ascii="Traditional Arabic" w:hAnsi="Traditional Arabic" w:cs="Traditional Arabic" w:hint="cs"/>
                <w:color w:val="000000" w:themeColor="text1"/>
                <w:sz w:val="20"/>
                <w:szCs w:val="20"/>
                <w:lang w:bidi="ar-EG"/>
              </w:rPr>
              <w:t>.</w:t>
            </w:r>
          </w:p>
        </w:tc>
        <w:tc>
          <w:tcPr>
            <w:tcW w:w="0" w:type="auto"/>
          </w:tcPr>
          <w:p w14:paraId="4D698E7E" w14:textId="345838A9"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34</w:t>
            </w:r>
          </w:p>
        </w:tc>
      </w:tr>
      <w:tr w:rsidR="007052C7" w:rsidRPr="00D24D70" w14:paraId="488EC14D" w14:textId="658C4BC4" w:rsidTr="000C3448">
        <w:trPr>
          <w:tblCellSpacing w:w="20" w:type="dxa"/>
          <w:jc w:val="right"/>
        </w:trPr>
        <w:tc>
          <w:tcPr>
            <w:tcW w:w="0" w:type="auto"/>
          </w:tcPr>
          <w:p w14:paraId="27F15EE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59CB124" w14:textId="2FF6BE5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7446E1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253000" w14:textId="47DA87E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AF6EEE" w14:textId="6B5CDFA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C3F6EE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تطوير مهاراتهم الشخصية والمهنية</w:t>
            </w:r>
            <w:r w:rsidRPr="00D24D70">
              <w:rPr>
                <w:rFonts w:ascii="Traditional Arabic" w:hAnsi="Traditional Arabic" w:cs="Traditional Arabic" w:hint="cs"/>
                <w:color w:val="000000" w:themeColor="text1"/>
                <w:sz w:val="20"/>
                <w:szCs w:val="20"/>
                <w:lang w:bidi="ar-EG"/>
              </w:rPr>
              <w:t>.</w:t>
            </w:r>
          </w:p>
        </w:tc>
        <w:tc>
          <w:tcPr>
            <w:tcW w:w="0" w:type="auto"/>
          </w:tcPr>
          <w:p w14:paraId="52438FCB" w14:textId="23F38F58"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35</w:t>
            </w:r>
          </w:p>
        </w:tc>
      </w:tr>
      <w:tr w:rsidR="007052C7" w:rsidRPr="00D24D70" w14:paraId="09358396" w14:textId="04F046AD" w:rsidTr="000C3448">
        <w:trPr>
          <w:tblCellSpacing w:w="20" w:type="dxa"/>
          <w:jc w:val="right"/>
        </w:trPr>
        <w:tc>
          <w:tcPr>
            <w:tcW w:w="0" w:type="auto"/>
          </w:tcPr>
          <w:p w14:paraId="63AB95F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CF46E7" w14:textId="71D3C14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DDFDE7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16523B" w14:textId="67407B8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5D962D" w14:textId="7204F22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356EFA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التفكير الإبداعي لحل المشكلات</w:t>
            </w:r>
            <w:r w:rsidRPr="00D24D70">
              <w:rPr>
                <w:rFonts w:ascii="Traditional Arabic" w:hAnsi="Traditional Arabic" w:cs="Traditional Arabic" w:hint="cs"/>
                <w:color w:val="000000" w:themeColor="text1"/>
                <w:sz w:val="20"/>
                <w:szCs w:val="20"/>
                <w:lang w:bidi="ar-EG"/>
              </w:rPr>
              <w:t>.</w:t>
            </w:r>
          </w:p>
        </w:tc>
        <w:tc>
          <w:tcPr>
            <w:tcW w:w="0" w:type="auto"/>
          </w:tcPr>
          <w:p w14:paraId="10D40BDB" w14:textId="08FCAE75"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36</w:t>
            </w:r>
          </w:p>
        </w:tc>
      </w:tr>
      <w:tr w:rsidR="007052C7" w:rsidRPr="00D24D70" w14:paraId="20946989" w14:textId="31D77C18" w:rsidTr="000C3448">
        <w:trPr>
          <w:tblCellSpacing w:w="20" w:type="dxa"/>
          <w:jc w:val="right"/>
        </w:trPr>
        <w:tc>
          <w:tcPr>
            <w:tcW w:w="0" w:type="auto"/>
          </w:tcPr>
          <w:p w14:paraId="5A59C53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500CCD" w14:textId="48A418D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07E4B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505CCC2" w14:textId="506741B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8D2251" w14:textId="11E9F8C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036A503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يُحفّز القائد العاملين على اقتراح أفكار جديدة</w:t>
            </w:r>
            <w:r w:rsidRPr="00D24D70">
              <w:rPr>
                <w:rFonts w:ascii="Traditional Arabic" w:hAnsi="Traditional Arabic" w:cs="Traditional Arabic" w:hint="cs"/>
                <w:color w:val="000000" w:themeColor="text1"/>
                <w:sz w:val="20"/>
                <w:szCs w:val="20"/>
                <w:lang w:bidi="ar-EG"/>
              </w:rPr>
              <w:t>.</w:t>
            </w:r>
          </w:p>
        </w:tc>
        <w:tc>
          <w:tcPr>
            <w:tcW w:w="0" w:type="auto"/>
          </w:tcPr>
          <w:p w14:paraId="32C06CA7" w14:textId="5FE14F4F"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37</w:t>
            </w:r>
          </w:p>
        </w:tc>
      </w:tr>
      <w:tr w:rsidR="007052C7" w:rsidRPr="00D24D70" w14:paraId="1D95DD7F" w14:textId="1B150488" w:rsidTr="000C3448">
        <w:trPr>
          <w:tblCellSpacing w:w="20" w:type="dxa"/>
          <w:jc w:val="right"/>
        </w:trPr>
        <w:tc>
          <w:tcPr>
            <w:tcW w:w="0" w:type="auto"/>
          </w:tcPr>
          <w:p w14:paraId="52A5B6C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7AC7AF" w14:textId="40F002B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4B494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8A1638A" w14:textId="7FDE554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749CDE" w14:textId="4D7A5F2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2EB2D4A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على تحدي الطرق التقليدية في العمل</w:t>
            </w:r>
            <w:r w:rsidRPr="00D24D70">
              <w:rPr>
                <w:rFonts w:ascii="Traditional Arabic" w:hAnsi="Traditional Arabic" w:cs="Traditional Arabic" w:hint="cs"/>
                <w:color w:val="000000" w:themeColor="text1"/>
                <w:sz w:val="20"/>
                <w:szCs w:val="20"/>
                <w:lang w:bidi="ar-EG"/>
              </w:rPr>
              <w:t>.</w:t>
            </w:r>
          </w:p>
        </w:tc>
        <w:tc>
          <w:tcPr>
            <w:tcW w:w="0" w:type="auto"/>
          </w:tcPr>
          <w:p w14:paraId="105BA249" w14:textId="30B7F12C"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38</w:t>
            </w:r>
          </w:p>
        </w:tc>
      </w:tr>
      <w:tr w:rsidR="007052C7" w:rsidRPr="00D24D70" w14:paraId="39DEC214" w14:textId="266D8BEF" w:rsidTr="000C3448">
        <w:trPr>
          <w:tblCellSpacing w:w="20" w:type="dxa"/>
          <w:jc w:val="right"/>
        </w:trPr>
        <w:tc>
          <w:tcPr>
            <w:tcW w:w="0" w:type="auto"/>
          </w:tcPr>
          <w:p w14:paraId="498D8B0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3B4AEF" w14:textId="3A61808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4B68A7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95F1327" w14:textId="07473EA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6E739D" w14:textId="242ABF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7B5653E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يُتيح القائد بيئة آمنة لتبادل الآراء والابتكار</w:t>
            </w:r>
            <w:r w:rsidRPr="00D24D70">
              <w:rPr>
                <w:rFonts w:ascii="Traditional Arabic" w:hAnsi="Traditional Arabic" w:cs="Traditional Arabic" w:hint="cs"/>
                <w:color w:val="000000" w:themeColor="text1"/>
                <w:sz w:val="20"/>
                <w:szCs w:val="20"/>
                <w:lang w:bidi="ar-EG"/>
              </w:rPr>
              <w:t>.</w:t>
            </w:r>
          </w:p>
        </w:tc>
        <w:tc>
          <w:tcPr>
            <w:tcW w:w="0" w:type="auto"/>
          </w:tcPr>
          <w:p w14:paraId="539E1941" w14:textId="2ECC284D"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39</w:t>
            </w:r>
          </w:p>
        </w:tc>
      </w:tr>
      <w:tr w:rsidR="007052C7" w:rsidRPr="00D24D70" w14:paraId="20763404" w14:textId="733BACC0" w:rsidTr="000C3448">
        <w:trPr>
          <w:tblCellSpacing w:w="20" w:type="dxa"/>
          <w:jc w:val="right"/>
        </w:trPr>
        <w:tc>
          <w:tcPr>
            <w:tcW w:w="0" w:type="auto"/>
          </w:tcPr>
          <w:p w14:paraId="6B4B172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DE8186" w14:textId="561B2AF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41BB50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1C85368" w14:textId="09EBCB2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D3483F6" w14:textId="6BED4B0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hideMark/>
          </w:tcPr>
          <w:p w14:paraId="12B763A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r w:rsidRPr="00D24D70">
              <w:rPr>
                <w:rFonts w:ascii="Traditional Arabic" w:hAnsi="Traditional Arabic" w:cs="Traditional Arabic" w:hint="cs"/>
                <w:color w:val="000000" w:themeColor="text1"/>
                <w:sz w:val="20"/>
                <w:szCs w:val="20"/>
                <w:rtl/>
              </w:rPr>
              <w:t>يُشجع القائد العاملين على تحليل المواقف من زوايا متعددة</w:t>
            </w:r>
            <w:r w:rsidRPr="00D24D70">
              <w:rPr>
                <w:rFonts w:ascii="Traditional Arabic" w:hAnsi="Traditional Arabic" w:cs="Traditional Arabic" w:hint="cs"/>
                <w:color w:val="000000" w:themeColor="text1"/>
                <w:sz w:val="20"/>
                <w:szCs w:val="20"/>
                <w:lang w:bidi="ar-EG"/>
              </w:rPr>
              <w:t>.</w:t>
            </w:r>
          </w:p>
        </w:tc>
        <w:tc>
          <w:tcPr>
            <w:tcW w:w="0" w:type="auto"/>
          </w:tcPr>
          <w:p w14:paraId="535F2F4B" w14:textId="61178189"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Pr>
                <w:rFonts w:ascii="Traditional Arabic" w:hAnsi="Traditional Arabic" w:cs="Traditional Arabic" w:hint="cs"/>
                <w:color w:val="000000" w:themeColor="text1"/>
                <w:sz w:val="20"/>
                <w:szCs w:val="20"/>
                <w:rtl/>
              </w:rPr>
              <w:t>40</w:t>
            </w:r>
          </w:p>
        </w:tc>
      </w:tr>
      <w:tr w:rsidR="007052C7" w:rsidRPr="00D24D70" w14:paraId="7354BCCC" w14:textId="05A63FAB" w:rsidTr="000C3448">
        <w:trPr>
          <w:tblCellSpacing w:w="20" w:type="dxa"/>
          <w:jc w:val="right"/>
        </w:trPr>
        <w:tc>
          <w:tcPr>
            <w:tcW w:w="0" w:type="auto"/>
          </w:tcPr>
          <w:p w14:paraId="072C686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B9F7219" w14:textId="3AC3DE1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E9205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4ABF458" w14:textId="25FD25C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C97CE1" w14:textId="67B2107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C8A45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إجراءات واضحة لتقليل الأخطاء الطبية أثناء تقديم الرعاية</w:t>
            </w:r>
            <w:r w:rsidRPr="00D24D70">
              <w:rPr>
                <w:rFonts w:ascii="Traditional Arabic" w:hAnsi="Traditional Arabic" w:cs="Traditional Arabic" w:hint="cs"/>
                <w:sz w:val="20"/>
                <w:szCs w:val="20"/>
              </w:rPr>
              <w:t>.</w:t>
            </w:r>
          </w:p>
        </w:tc>
        <w:tc>
          <w:tcPr>
            <w:tcW w:w="0" w:type="auto"/>
          </w:tcPr>
          <w:p w14:paraId="55E53A6B" w14:textId="419D7E5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41</w:t>
            </w:r>
          </w:p>
        </w:tc>
      </w:tr>
      <w:tr w:rsidR="007052C7" w:rsidRPr="00D24D70" w14:paraId="72A0767D" w14:textId="55FEF6A8" w:rsidTr="000C3448">
        <w:trPr>
          <w:tblCellSpacing w:w="20" w:type="dxa"/>
          <w:jc w:val="right"/>
        </w:trPr>
        <w:tc>
          <w:tcPr>
            <w:tcW w:w="0" w:type="auto"/>
          </w:tcPr>
          <w:p w14:paraId="547B579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61CA334" w14:textId="4DAF2D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3ADC9E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4DBC43D" w14:textId="408B96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E0421D0" w14:textId="38D7FDB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92179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مراجعة سجلات المرضى لتفادي الأخطاء العلاجية</w:t>
            </w:r>
            <w:r w:rsidRPr="00D24D70">
              <w:rPr>
                <w:rFonts w:ascii="Traditional Arabic" w:hAnsi="Traditional Arabic" w:cs="Traditional Arabic" w:hint="cs"/>
                <w:sz w:val="20"/>
                <w:szCs w:val="20"/>
              </w:rPr>
              <w:t>.</w:t>
            </w:r>
          </w:p>
        </w:tc>
        <w:tc>
          <w:tcPr>
            <w:tcW w:w="0" w:type="auto"/>
          </w:tcPr>
          <w:p w14:paraId="3149786E" w14:textId="25AC4D6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42</w:t>
            </w:r>
          </w:p>
        </w:tc>
      </w:tr>
      <w:tr w:rsidR="007052C7" w:rsidRPr="00D24D70" w14:paraId="5359C8E2" w14:textId="6A9DCEED" w:rsidTr="000C3448">
        <w:trPr>
          <w:tblCellSpacing w:w="20" w:type="dxa"/>
          <w:jc w:val="right"/>
        </w:trPr>
        <w:tc>
          <w:tcPr>
            <w:tcW w:w="0" w:type="auto"/>
          </w:tcPr>
          <w:p w14:paraId="1456B3C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69DAFB8" w14:textId="1ADC668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A6B0DF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EE89CE" w14:textId="4D27456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2968FF" w14:textId="587590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ADCB3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تدريب العاملين على كيفية تجنب الأخطاء الطبية الشائعة</w:t>
            </w:r>
            <w:r w:rsidRPr="00D24D70">
              <w:rPr>
                <w:rFonts w:ascii="Traditional Arabic" w:hAnsi="Traditional Arabic" w:cs="Traditional Arabic" w:hint="cs"/>
                <w:sz w:val="20"/>
                <w:szCs w:val="20"/>
              </w:rPr>
              <w:t>.</w:t>
            </w:r>
          </w:p>
        </w:tc>
        <w:tc>
          <w:tcPr>
            <w:tcW w:w="0" w:type="auto"/>
          </w:tcPr>
          <w:p w14:paraId="4318586D" w14:textId="6460039F"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43</w:t>
            </w:r>
          </w:p>
        </w:tc>
      </w:tr>
      <w:tr w:rsidR="007052C7" w:rsidRPr="00D24D70" w14:paraId="747EB382" w14:textId="180530E1" w:rsidTr="000C3448">
        <w:trPr>
          <w:tblCellSpacing w:w="20" w:type="dxa"/>
          <w:jc w:val="right"/>
        </w:trPr>
        <w:tc>
          <w:tcPr>
            <w:tcW w:w="0" w:type="auto"/>
          </w:tcPr>
          <w:p w14:paraId="6DC8C2D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7BB4123" w14:textId="5D3C4FA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5BE9C8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67C6004" w14:textId="1804B5B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C7C5218" w14:textId="27DB4E4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6637F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الأخطاء الطبية بعد وقوعها لتفادي تكرارها</w:t>
            </w:r>
            <w:r w:rsidRPr="00D24D70">
              <w:rPr>
                <w:rFonts w:ascii="Traditional Arabic" w:hAnsi="Traditional Arabic" w:cs="Traditional Arabic" w:hint="cs"/>
                <w:sz w:val="20"/>
                <w:szCs w:val="20"/>
              </w:rPr>
              <w:t>.</w:t>
            </w:r>
          </w:p>
        </w:tc>
        <w:tc>
          <w:tcPr>
            <w:tcW w:w="0" w:type="auto"/>
          </w:tcPr>
          <w:p w14:paraId="1A30F511" w14:textId="57BB39BF"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44</w:t>
            </w:r>
          </w:p>
        </w:tc>
      </w:tr>
      <w:tr w:rsidR="007052C7" w:rsidRPr="00D24D70" w14:paraId="02C9F1B4" w14:textId="63365208" w:rsidTr="000C3448">
        <w:trPr>
          <w:tblCellSpacing w:w="20" w:type="dxa"/>
          <w:jc w:val="right"/>
        </w:trPr>
        <w:tc>
          <w:tcPr>
            <w:tcW w:w="0" w:type="auto"/>
          </w:tcPr>
          <w:p w14:paraId="730AC2F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FAEC7E3" w14:textId="49E8622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F3713B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B35F6EF" w14:textId="6C87C57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4F181A" w14:textId="50BD696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55C58D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توجد آلية فعالة للإبلاغ عن الحوادث الطبية داخل المنشأة</w:t>
            </w:r>
            <w:r w:rsidRPr="00D24D70">
              <w:rPr>
                <w:rFonts w:ascii="Traditional Arabic" w:hAnsi="Traditional Arabic" w:cs="Traditional Arabic" w:hint="cs"/>
                <w:sz w:val="20"/>
                <w:szCs w:val="20"/>
              </w:rPr>
              <w:t>.</w:t>
            </w:r>
          </w:p>
        </w:tc>
        <w:tc>
          <w:tcPr>
            <w:tcW w:w="0" w:type="auto"/>
          </w:tcPr>
          <w:p w14:paraId="35F5FA56" w14:textId="43BE126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45</w:t>
            </w:r>
          </w:p>
        </w:tc>
      </w:tr>
      <w:tr w:rsidR="007052C7" w:rsidRPr="00D24D70" w14:paraId="49725BDE" w14:textId="389191A1" w:rsidTr="000C3448">
        <w:trPr>
          <w:tblCellSpacing w:w="20" w:type="dxa"/>
          <w:jc w:val="right"/>
        </w:trPr>
        <w:tc>
          <w:tcPr>
            <w:tcW w:w="0" w:type="auto"/>
          </w:tcPr>
          <w:p w14:paraId="0F4E8EF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99D709C" w14:textId="7EE76D0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7F5BFBA"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4A2A95" w14:textId="5EFC8C4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05065B4" w14:textId="55D544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75A977C"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الإبلاغ عن الأخطاء الطبية دون خوف من العقوبة</w:t>
            </w:r>
            <w:r w:rsidRPr="00D24D70">
              <w:rPr>
                <w:rFonts w:ascii="Traditional Arabic" w:hAnsi="Traditional Arabic" w:cs="Traditional Arabic" w:hint="cs"/>
                <w:sz w:val="20"/>
                <w:szCs w:val="20"/>
              </w:rPr>
              <w:t>.</w:t>
            </w:r>
          </w:p>
        </w:tc>
        <w:tc>
          <w:tcPr>
            <w:tcW w:w="0" w:type="auto"/>
          </w:tcPr>
          <w:p w14:paraId="438CA5E7" w14:textId="1CE3CCAC"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46</w:t>
            </w:r>
          </w:p>
        </w:tc>
      </w:tr>
      <w:tr w:rsidR="007052C7" w:rsidRPr="00D24D70" w14:paraId="3F06DE95" w14:textId="05C575A6" w:rsidTr="000C3448">
        <w:trPr>
          <w:tblCellSpacing w:w="20" w:type="dxa"/>
          <w:jc w:val="right"/>
        </w:trPr>
        <w:tc>
          <w:tcPr>
            <w:tcW w:w="0" w:type="auto"/>
          </w:tcPr>
          <w:p w14:paraId="5BD8D3F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3BB3528" w14:textId="53CF897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FF3446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33B3C19" w14:textId="39C91F1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27D6CDD" w14:textId="452243A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C635B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التعامل مع البلاغات بسرية واحترافية</w:t>
            </w:r>
            <w:r w:rsidRPr="00D24D70">
              <w:rPr>
                <w:rFonts w:ascii="Traditional Arabic" w:hAnsi="Traditional Arabic" w:cs="Traditional Arabic" w:hint="cs"/>
                <w:sz w:val="20"/>
                <w:szCs w:val="20"/>
              </w:rPr>
              <w:t>.</w:t>
            </w:r>
          </w:p>
        </w:tc>
        <w:tc>
          <w:tcPr>
            <w:tcW w:w="0" w:type="auto"/>
          </w:tcPr>
          <w:p w14:paraId="033F15E9" w14:textId="3F6206F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47</w:t>
            </w:r>
          </w:p>
        </w:tc>
      </w:tr>
      <w:tr w:rsidR="007052C7" w:rsidRPr="00D24D70" w14:paraId="114533AB" w14:textId="26382C64" w:rsidTr="000C3448">
        <w:trPr>
          <w:tblCellSpacing w:w="20" w:type="dxa"/>
          <w:jc w:val="right"/>
        </w:trPr>
        <w:tc>
          <w:tcPr>
            <w:tcW w:w="0" w:type="auto"/>
          </w:tcPr>
          <w:p w14:paraId="67E608A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033E8A6" w14:textId="2847DC9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271109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595C9B5" w14:textId="62931906"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E67D47B" w14:textId="5841565D"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04F679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تحليل البلاغات واستخدامها لتحسين جودة الرعاية</w:t>
            </w:r>
            <w:r w:rsidRPr="00D24D70">
              <w:rPr>
                <w:rFonts w:ascii="Traditional Arabic" w:hAnsi="Traditional Arabic" w:cs="Traditional Arabic" w:hint="cs"/>
                <w:sz w:val="20"/>
                <w:szCs w:val="20"/>
              </w:rPr>
              <w:t>.</w:t>
            </w:r>
          </w:p>
        </w:tc>
        <w:tc>
          <w:tcPr>
            <w:tcW w:w="0" w:type="auto"/>
          </w:tcPr>
          <w:p w14:paraId="540BBA44" w14:textId="4CB4BD32"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48</w:t>
            </w:r>
          </w:p>
        </w:tc>
      </w:tr>
      <w:tr w:rsidR="007052C7" w:rsidRPr="00D24D70" w14:paraId="7B29A7A3" w14:textId="60F5AD8D" w:rsidTr="000C3448">
        <w:trPr>
          <w:tblCellSpacing w:w="20" w:type="dxa"/>
          <w:jc w:val="right"/>
        </w:trPr>
        <w:tc>
          <w:tcPr>
            <w:tcW w:w="0" w:type="auto"/>
          </w:tcPr>
          <w:p w14:paraId="01297BD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D561D3" w14:textId="7EE70EA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916A57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6B664D" w14:textId="6696DE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4408E4A" w14:textId="7AF20F4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B9F591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إشراك المرضى في اتخاذ القرارات المتعلقة بعلاجهم</w:t>
            </w:r>
            <w:r w:rsidRPr="00D24D70">
              <w:rPr>
                <w:rFonts w:ascii="Traditional Arabic" w:hAnsi="Traditional Arabic" w:cs="Traditional Arabic" w:hint="cs"/>
                <w:sz w:val="20"/>
                <w:szCs w:val="20"/>
              </w:rPr>
              <w:t>.</w:t>
            </w:r>
          </w:p>
        </w:tc>
        <w:tc>
          <w:tcPr>
            <w:tcW w:w="0" w:type="auto"/>
          </w:tcPr>
          <w:p w14:paraId="4C0FD4D0" w14:textId="2667AD34"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49</w:t>
            </w:r>
          </w:p>
        </w:tc>
      </w:tr>
      <w:tr w:rsidR="007052C7" w:rsidRPr="00D24D70" w14:paraId="16746041" w14:textId="1663FA32" w:rsidTr="000C3448">
        <w:trPr>
          <w:tblCellSpacing w:w="20" w:type="dxa"/>
          <w:jc w:val="right"/>
        </w:trPr>
        <w:tc>
          <w:tcPr>
            <w:tcW w:w="0" w:type="auto"/>
          </w:tcPr>
          <w:p w14:paraId="0785B3A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CCC8E34" w14:textId="2F811EC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E782BAB"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1101B8" w14:textId="04D6502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F7B99BB" w14:textId="0CB6072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3C5630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توعية المرضى بحقوقهم وواجباتهم داخل المنشأة</w:t>
            </w:r>
            <w:r w:rsidRPr="00D24D70">
              <w:rPr>
                <w:rFonts w:ascii="Traditional Arabic" w:hAnsi="Traditional Arabic" w:cs="Traditional Arabic" w:hint="cs"/>
                <w:sz w:val="20"/>
                <w:szCs w:val="20"/>
              </w:rPr>
              <w:t>.</w:t>
            </w:r>
          </w:p>
        </w:tc>
        <w:tc>
          <w:tcPr>
            <w:tcW w:w="0" w:type="auto"/>
          </w:tcPr>
          <w:p w14:paraId="14820059" w14:textId="46908712"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50</w:t>
            </w:r>
          </w:p>
        </w:tc>
      </w:tr>
      <w:tr w:rsidR="007052C7" w:rsidRPr="00D24D70" w14:paraId="4AD287A2" w14:textId="5A5401F0" w:rsidTr="000C3448">
        <w:trPr>
          <w:tblCellSpacing w:w="20" w:type="dxa"/>
          <w:jc w:val="right"/>
        </w:trPr>
        <w:tc>
          <w:tcPr>
            <w:tcW w:w="0" w:type="auto"/>
          </w:tcPr>
          <w:p w14:paraId="5CD58A5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8D294AE" w14:textId="2F4A9F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19E808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9D6240" w14:textId="2330239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5CEF369" w14:textId="540BA5D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F5CEBE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تشجيع المرضى على الإبلاغ عن أي خلل في الرعاية المقدمة</w:t>
            </w:r>
            <w:r w:rsidRPr="00D24D70">
              <w:rPr>
                <w:rFonts w:ascii="Traditional Arabic" w:hAnsi="Traditional Arabic" w:cs="Traditional Arabic" w:hint="cs"/>
                <w:sz w:val="20"/>
                <w:szCs w:val="20"/>
              </w:rPr>
              <w:t>.</w:t>
            </w:r>
          </w:p>
        </w:tc>
        <w:tc>
          <w:tcPr>
            <w:tcW w:w="0" w:type="auto"/>
          </w:tcPr>
          <w:p w14:paraId="63DB4973" w14:textId="14BF1E1E"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51</w:t>
            </w:r>
          </w:p>
        </w:tc>
      </w:tr>
      <w:tr w:rsidR="007052C7" w:rsidRPr="00D24D70" w14:paraId="1CA54B6C" w14:textId="6E9DA4E1" w:rsidTr="000C3448">
        <w:trPr>
          <w:tblCellSpacing w:w="20" w:type="dxa"/>
          <w:jc w:val="right"/>
        </w:trPr>
        <w:tc>
          <w:tcPr>
            <w:tcW w:w="0" w:type="auto"/>
          </w:tcPr>
          <w:p w14:paraId="4A1D9B1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B9B1FEF" w14:textId="0728FA79"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24D57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AA2AB8" w14:textId="08B4653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03598A7" w14:textId="4DD1D37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2E274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أخذ ملاحظات المرضى بعين الاعتبار لتحسين الخدمة</w:t>
            </w:r>
            <w:r w:rsidRPr="00D24D70">
              <w:rPr>
                <w:rFonts w:ascii="Traditional Arabic" w:hAnsi="Traditional Arabic" w:cs="Traditional Arabic" w:hint="cs"/>
                <w:sz w:val="20"/>
                <w:szCs w:val="20"/>
              </w:rPr>
              <w:t>.</w:t>
            </w:r>
          </w:p>
        </w:tc>
        <w:tc>
          <w:tcPr>
            <w:tcW w:w="0" w:type="auto"/>
          </w:tcPr>
          <w:p w14:paraId="30CB3F5B" w14:textId="44429DCE"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52</w:t>
            </w:r>
          </w:p>
        </w:tc>
      </w:tr>
      <w:tr w:rsidR="007052C7" w:rsidRPr="00D24D70" w14:paraId="1F3AA635" w14:textId="004A4407" w:rsidTr="000C3448">
        <w:trPr>
          <w:tblCellSpacing w:w="20" w:type="dxa"/>
          <w:jc w:val="right"/>
        </w:trPr>
        <w:tc>
          <w:tcPr>
            <w:tcW w:w="0" w:type="auto"/>
          </w:tcPr>
          <w:p w14:paraId="6F28B61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8480EAB" w14:textId="6CD2D455"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F677E94"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34AD2D1" w14:textId="751DEE33"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886965C" w14:textId="7CF25382"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E43199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توفير بيئة عمل آمنة للعاملين والمرضى على حد سواء</w:t>
            </w:r>
            <w:r w:rsidRPr="00D24D70">
              <w:rPr>
                <w:rFonts w:ascii="Traditional Arabic" w:hAnsi="Traditional Arabic" w:cs="Traditional Arabic" w:hint="cs"/>
                <w:sz w:val="20"/>
                <w:szCs w:val="20"/>
              </w:rPr>
              <w:t>.</w:t>
            </w:r>
          </w:p>
        </w:tc>
        <w:tc>
          <w:tcPr>
            <w:tcW w:w="0" w:type="auto"/>
          </w:tcPr>
          <w:p w14:paraId="3C207C56" w14:textId="5F138398"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53</w:t>
            </w:r>
          </w:p>
        </w:tc>
      </w:tr>
      <w:tr w:rsidR="007052C7" w:rsidRPr="00D24D70" w14:paraId="03BA4B94" w14:textId="454EC722" w:rsidTr="000C3448">
        <w:trPr>
          <w:tblCellSpacing w:w="20" w:type="dxa"/>
          <w:jc w:val="right"/>
        </w:trPr>
        <w:tc>
          <w:tcPr>
            <w:tcW w:w="0" w:type="auto"/>
          </w:tcPr>
          <w:p w14:paraId="589CD98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A273C64" w14:textId="07DD875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E448C5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806F0A2" w14:textId="606FC00A"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D4A453A" w14:textId="36124F2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54E9BC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تطبيق معايير السلامة المهنية داخل المنشأة</w:t>
            </w:r>
            <w:r w:rsidRPr="00D24D70">
              <w:rPr>
                <w:rFonts w:ascii="Traditional Arabic" w:hAnsi="Traditional Arabic" w:cs="Traditional Arabic" w:hint="cs"/>
                <w:sz w:val="20"/>
                <w:szCs w:val="20"/>
              </w:rPr>
              <w:t>.</w:t>
            </w:r>
          </w:p>
        </w:tc>
        <w:tc>
          <w:tcPr>
            <w:tcW w:w="0" w:type="auto"/>
          </w:tcPr>
          <w:p w14:paraId="7A3A4E0C" w14:textId="0B8ACDA7"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54</w:t>
            </w:r>
          </w:p>
        </w:tc>
      </w:tr>
      <w:tr w:rsidR="007052C7" w:rsidRPr="00D24D70" w14:paraId="6232E1E6" w14:textId="29D11560" w:rsidTr="000C3448">
        <w:trPr>
          <w:tblCellSpacing w:w="20" w:type="dxa"/>
          <w:jc w:val="right"/>
        </w:trPr>
        <w:tc>
          <w:tcPr>
            <w:tcW w:w="0" w:type="auto"/>
          </w:tcPr>
          <w:p w14:paraId="0B54227F"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7C4174" w14:textId="14513B14"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9E7D39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CF22809" w14:textId="76C9A2E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10F6AEC0" w14:textId="23B42FD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9AA82E"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صيانة الأجهزة الطبية بشكل دوري لضمان سلامتها</w:t>
            </w:r>
            <w:r w:rsidRPr="00D24D70">
              <w:rPr>
                <w:rFonts w:ascii="Traditional Arabic" w:hAnsi="Traditional Arabic" w:cs="Traditional Arabic" w:hint="cs"/>
                <w:sz w:val="20"/>
                <w:szCs w:val="20"/>
              </w:rPr>
              <w:t>.</w:t>
            </w:r>
          </w:p>
        </w:tc>
        <w:tc>
          <w:tcPr>
            <w:tcW w:w="0" w:type="auto"/>
          </w:tcPr>
          <w:p w14:paraId="552DD6D2" w14:textId="0C4414C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55</w:t>
            </w:r>
          </w:p>
        </w:tc>
      </w:tr>
      <w:tr w:rsidR="007052C7" w:rsidRPr="00D24D70" w14:paraId="7D1E347E" w14:textId="5A97130D" w:rsidTr="000C3448">
        <w:trPr>
          <w:tblCellSpacing w:w="20" w:type="dxa"/>
          <w:jc w:val="right"/>
        </w:trPr>
        <w:tc>
          <w:tcPr>
            <w:tcW w:w="0" w:type="auto"/>
          </w:tcPr>
          <w:p w14:paraId="094E73F7"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E8670D2" w14:textId="35BC066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6A301E6"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51111B1" w14:textId="3DACF02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AE084AD" w14:textId="4FBFF5DB"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24E9E5D"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rtl/>
              </w:rPr>
            </w:pPr>
            <w:r w:rsidRPr="00D24D70">
              <w:rPr>
                <w:rFonts w:ascii="Traditional Arabic" w:hAnsi="Traditional Arabic" w:cs="Traditional Arabic" w:hint="cs"/>
                <w:sz w:val="20"/>
                <w:szCs w:val="20"/>
                <w:rtl/>
              </w:rPr>
              <w:t>يتم تقليل عوامل الإجهاد والتوتر في بيئة العمل</w:t>
            </w:r>
            <w:r w:rsidRPr="00D24D70">
              <w:rPr>
                <w:rFonts w:ascii="Traditional Arabic" w:hAnsi="Traditional Arabic" w:cs="Traditional Arabic" w:hint="cs"/>
                <w:sz w:val="20"/>
                <w:szCs w:val="20"/>
              </w:rPr>
              <w:t>.</w:t>
            </w:r>
          </w:p>
        </w:tc>
        <w:tc>
          <w:tcPr>
            <w:tcW w:w="0" w:type="auto"/>
          </w:tcPr>
          <w:p w14:paraId="70C2AE9D" w14:textId="3B2DB92B"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56</w:t>
            </w:r>
          </w:p>
        </w:tc>
      </w:tr>
      <w:tr w:rsidR="007052C7" w:rsidRPr="00D24D70" w14:paraId="6F803026" w14:textId="77B1B584" w:rsidTr="000C3448">
        <w:trPr>
          <w:tblCellSpacing w:w="20" w:type="dxa"/>
          <w:jc w:val="right"/>
        </w:trPr>
        <w:tc>
          <w:tcPr>
            <w:tcW w:w="0" w:type="auto"/>
          </w:tcPr>
          <w:p w14:paraId="629FB681"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52F5830" w14:textId="21C3765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456FD82"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743C66C6" w14:textId="668CDE0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C3FA933" w14:textId="62CA556E"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14AD954"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تقديم الرعاية السريرية وفقًا لأحدث البروتوكولات الطبية</w:t>
            </w:r>
            <w:r w:rsidRPr="00D24D70">
              <w:rPr>
                <w:rFonts w:ascii="Traditional Arabic" w:hAnsi="Traditional Arabic" w:cs="Traditional Arabic" w:hint="cs"/>
                <w:sz w:val="20"/>
                <w:szCs w:val="20"/>
              </w:rPr>
              <w:t>.</w:t>
            </w:r>
          </w:p>
        </w:tc>
        <w:tc>
          <w:tcPr>
            <w:tcW w:w="0" w:type="auto"/>
          </w:tcPr>
          <w:p w14:paraId="778D8C26" w14:textId="0AB8C355"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57</w:t>
            </w:r>
          </w:p>
        </w:tc>
      </w:tr>
      <w:tr w:rsidR="007052C7" w:rsidRPr="00D24D70" w14:paraId="3F4CDF75" w14:textId="0C46901C" w:rsidTr="000C3448">
        <w:trPr>
          <w:tblCellSpacing w:w="20" w:type="dxa"/>
          <w:jc w:val="right"/>
        </w:trPr>
        <w:tc>
          <w:tcPr>
            <w:tcW w:w="0" w:type="auto"/>
          </w:tcPr>
          <w:p w14:paraId="60FA355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655CB109" w14:textId="242956F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000A460"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3C40A55" w14:textId="5848366C"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2CD2157" w14:textId="31506B9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284E4DF"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تقييم جودة الرعاية السريرية بشكل دوري</w:t>
            </w:r>
            <w:r w:rsidRPr="00D24D70">
              <w:rPr>
                <w:rFonts w:ascii="Traditional Arabic" w:hAnsi="Traditional Arabic" w:cs="Traditional Arabic" w:hint="cs"/>
                <w:sz w:val="20"/>
                <w:szCs w:val="20"/>
              </w:rPr>
              <w:t>.</w:t>
            </w:r>
          </w:p>
        </w:tc>
        <w:tc>
          <w:tcPr>
            <w:tcW w:w="0" w:type="auto"/>
          </w:tcPr>
          <w:p w14:paraId="0A1330DB" w14:textId="0956A75D"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58</w:t>
            </w:r>
          </w:p>
        </w:tc>
      </w:tr>
      <w:tr w:rsidR="007052C7" w:rsidRPr="00D24D70" w14:paraId="34B1F576" w14:textId="1D45FB41" w:rsidTr="000C3448">
        <w:trPr>
          <w:tblCellSpacing w:w="20" w:type="dxa"/>
          <w:jc w:val="right"/>
        </w:trPr>
        <w:tc>
          <w:tcPr>
            <w:tcW w:w="0" w:type="auto"/>
          </w:tcPr>
          <w:p w14:paraId="3B1B46E5"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2D201F1" w14:textId="79DD553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DA13E49"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32557F0" w14:textId="23AEC541"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4AAB40CB" w14:textId="53A4147F"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6E184D7"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تدريب العاملين على المهارات السريرية الحديثة</w:t>
            </w:r>
            <w:r w:rsidRPr="00D24D70">
              <w:rPr>
                <w:rFonts w:ascii="Traditional Arabic" w:hAnsi="Traditional Arabic" w:cs="Traditional Arabic" w:hint="cs"/>
                <w:sz w:val="20"/>
                <w:szCs w:val="20"/>
              </w:rPr>
              <w:t>.</w:t>
            </w:r>
          </w:p>
        </w:tc>
        <w:tc>
          <w:tcPr>
            <w:tcW w:w="0" w:type="auto"/>
          </w:tcPr>
          <w:p w14:paraId="20C4C136" w14:textId="512D1C4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59</w:t>
            </w:r>
          </w:p>
        </w:tc>
      </w:tr>
      <w:tr w:rsidR="007052C7" w:rsidRPr="00D24D70" w14:paraId="7B167216" w14:textId="3734EADE" w:rsidTr="000C3448">
        <w:trPr>
          <w:tblCellSpacing w:w="20" w:type="dxa"/>
          <w:jc w:val="right"/>
        </w:trPr>
        <w:tc>
          <w:tcPr>
            <w:tcW w:w="0" w:type="auto"/>
          </w:tcPr>
          <w:p w14:paraId="4100D5B3"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3C45B4A6" w14:textId="207B9B48"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9300E08" w14:textId="7777777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2A22830A" w14:textId="3DDF5827"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0909E1F0" w14:textId="6FA18D00" w:rsidR="007052C7" w:rsidRPr="00D24D70" w:rsidRDefault="007052C7" w:rsidP="00A75FFD">
            <w:pPr>
              <w:bidi/>
              <w:spacing w:after="200" w:line="276" w:lineRule="auto"/>
              <w:rPr>
                <w:rFonts w:ascii="Traditional Arabic" w:hAnsi="Traditional Arabic" w:cs="Traditional Arabic"/>
                <w:color w:val="000000" w:themeColor="text1"/>
                <w:sz w:val="20"/>
                <w:szCs w:val="20"/>
                <w:lang w:bidi="ar-EG"/>
              </w:rPr>
            </w:pPr>
          </w:p>
        </w:tc>
        <w:tc>
          <w:tcPr>
            <w:tcW w:w="0" w:type="auto"/>
          </w:tcPr>
          <w:p w14:paraId="5B2D7CB7" w14:textId="77777777" w:rsidR="007052C7" w:rsidRPr="00D24D70" w:rsidRDefault="007052C7" w:rsidP="00A75FFD">
            <w:pPr>
              <w:bidi/>
              <w:spacing w:after="200" w:line="276" w:lineRule="auto"/>
              <w:rPr>
                <w:rFonts w:ascii="Traditional Arabic" w:hAnsi="Traditional Arabic" w:cs="Traditional Arabic"/>
                <w:sz w:val="20"/>
                <w:szCs w:val="20"/>
                <w:rtl/>
              </w:rPr>
            </w:pPr>
            <w:r w:rsidRPr="00D24D70">
              <w:rPr>
                <w:rFonts w:ascii="Traditional Arabic" w:hAnsi="Traditional Arabic" w:cs="Traditional Arabic" w:hint="cs"/>
                <w:sz w:val="20"/>
                <w:szCs w:val="20"/>
                <w:rtl/>
              </w:rPr>
              <w:t>يتم متابعة نتائج العلاج لضمان فعاليته وسلامة المرضى</w:t>
            </w:r>
            <w:r w:rsidRPr="00D24D70">
              <w:rPr>
                <w:rFonts w:ascii="Traditional Arabic" w:hAnsi="Traditional Arabic" w:cs="Traditional Arabic" w:hint="cs"/>
                <w:sz w:val="20"/>
                <w:szCs w:val="20"/>
              </w:rPr>
              <w:t>.</w:t>
            </w:r>
          </w:p>
        </w:tc>
        <w:tc>
          <w:tcPr>
            <w:tcW w:w="0" w:type="auto"/>
          </w:tcPr>
          <w:p w14:paraId="04230D9C" w14:textId="687BBCF9" w:rsidR="007052C7" w:rsidRPr="00D24D70" w:rsidRDefault="007052C7" w:rsidP="00A75FFD">
            <w:pPr>
              <w:bidi/>
              <w:spacing w:after="200" w:line="276" w:lineRule="auto"/>
              <w:rPr>
                <w:rFonts w:ascii="Traditional Arabic" w:hAnsi="Traditional Arabic" w:cs="Traditional Arabic"/>
                <w:sz w:val="20"/>
                <w:szCs w:val="20"/>
                <w:rtl/>
              </w:rPr>
            </w:pPr>
            <w:r>
              <w:rPr>
                <w:rFonts w:ascii="Traditional Arabic" w:hAnsi="Traditional Arabic" w:cs="Traditional Arabic" w:hint="cs"/>
                <w:sz w:val="20"/>
                <w:szCs w:val="20"/>
                <w:rtl/>
              </w:rPr>
              <w:t>60</w:t>
            </w:r>
          </w:p>
        </w:tc>
      </w:tr>
    </w:tbl>
    <w:p w14:paraId="6982E9FC" w14:textId="77777777" w:rsidR="00CE6B3B" w:rsidRPr="00222D90" w:rsidRDefault="00CE6B3B" w:rsidP="00222D90">
      <w:pPr>
        <w:bidi/>
        <w:rPr>
          <w:rtl/>
        </w:rPr>
      </w:pPr>
    </w:p>
    <w:p w14:paraId="67391606" w14:textId="77777777" w:rsidR="00602103" w:rsidRPr="00CE6B3B" w:rsidRDefault="00602103" w:rsidP="00300EB7">
      <w:pPr>
        <w:spacing w:after="200" w:line="360" w:lineRule="auto"/>
        <w:rPr>
          <w:rFonts w:ascii="Traditional Arabic" w:eastAsia="Calibri" w:hAnsi="Traditional Arabic" w:cs="Traditional Arabic"/>
          <w:b/>
          <w:bCs/>
          <w:sz w:val="24"/>
          <w:szCs w:val="24"/>
        </w:rPr>
      </w:pPr>
    </w:p>
    <w:sectPr w:rsidR="00602103" w:rsidRPr="00CE6B3B" w:rsidSect="00E63F9C">
      <w:headerReference w:type="default" r:id="rId70"/>
      <w:footerReference w:type="default" r:id="rId7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65"/>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438438" w14:textId="77777777" w:rsidR="00E07D17" w:rsidRDefault="00E07D17" w:rsidP="00F628F0">
      <w:pPr>
        <w:spacing w:after="0" w:line="240" w:lineRule="auto"/>
      </w:pPr>
      <w:r>
        <w:separator/>
      </w:r>
    </w:p>
  </w:endnote>
  <w:endnote w:type="continuationSeparator" w:id="0">
    <w:p w14:paraId="4D3109D9" w14:textId="77777777" w:rsidR="00E07D17" w:rsidRDefault="00E07D1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9716C0" w14:textId="585A7128" w:rsidR="00EB5DC9" w:rsidRDefault="00EB5DC9">
    <w:pPr>
      <w:pStyle w:val="Footer"/>
      <w:jc w:val="center"/>
    </w:pPr>
  </w:p>
  <w:p w14:paraId="644AB2C2" w14:textId="41C16045" w:rsidR="00883E09" w:rsidRPr="00883E09" w:rsidRDefault="00883E09" w:rsidP="00883E09">
    <w:pPr>
      <w:pStyle w:val="Footer"/>
      <w:bidi/>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771E3" w14:textId="743C552A" w:rsidR="00EB5DC9" w:rsidRDefault="00EB5DC9">
    <w:pPr>
      <w:pStyle w:val="Footer"/>
      <w:jc w:val="center"/>
    </w:pPr>
  </w:p>
  <w:p w14:paraId="4E98DDAB" w14:textId="77777777" w:rsidR="00EB5DC9" w:rsidRPr="00883E09" w:rsidRDefault="00EB5DC9" w:rsidP="00883E09">
    <w:pPr>
      <w:pStyle w:val="Footer"/>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10548147"/>
      <w:docPartObj>
        <w:docPartGallery w:val="Page Numbers (Bottom of Page)"/>
        <w:docPartUnique/>
      </w:docPartObj>
    </w:sdtPr>
    <w:sdtEndPr>
      <w:rPr>
        <w:noProof/>
      </w:rPr>
    </w:sdtEndPr>
    <w:sdtContent>
      <w:p w14:paraId="558DCF30" w14:textId="00905FDC" w:rsidR="00EB5DC9" w:rsidRDefault="00EB5D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3CEE" w14:textId="77777777" w:rsidR="00EB5DC9" w:rsidRPr="00883E09" w:rsidRDefault="00EB5DC9" w:rsidP="00883E09">
    <w:pPr>
      <w:pStyle w:val="Footer"/>
      <w:bidi/>
      <w:rPr>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25D6EB" w14:textId="63FE22DF" w:rsidR="004C51B2" w:rsidRDefault="004C51B2">
    <w:pPr>
      <w:pStyle w:val="Footer"/>
      <w:jc w:val="center"/>
    </w:pPr>
  </w:p>
  <w:p w14:paraId="5BB2B595" w14:textId="77777777" w:rsidR="004C51B2" w:rsidRPr="00883E09" w:rsidRDefault="004C51B2" w:rsidP="00883E09">
    <w:pPr>
      <w:pStyle w:val="Footer"/>
      <w:bidi/>
      <w:rPr>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24661515"/>
      <w:docPartObj>
        <w:docPartGallery w:val="Page Numbers (Bottom of Page)"/>
        <w:docPartUnique/>
      </w:docPartObj>
    </w:sdtPr>
    <w:sdtEndPr>
      <w:rPr>
        <w:noProof/>
      </w:rPr>
    </w:sdtEndPr>
    <w:sdtContent>
      <w:p w14:paraId="690C818B" w14:textId="77777777" w:rsidR="004C51B2" w:rsidRDefault="004C51B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FD29C7F" w14:textId="77777777" w:rsidR="004C51B2" w:rsidRDefault="004C51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476B55" w14:textId="77777777" w:rsidR="00C31C4E" w:rsidRDefault="00C31C4E" w:rsidP="00D63875">
    <w:pPr>
      <w:pStyle w:val="Footer"/>
      <w:jc w:val="center"/>
      <w:rPr>
        <w:lang w:bidi="ar-EG"/>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37877704"/>
      <w:docPartObj>
        <w:docPartGallery w:val="Page Numbers (Bottom of Page)"/>
        <w:docPartUnique/>
      </w:docPartObj>
    </w:sdtPr>
    <w:sdtEndPr>
      <w:rPr>
        <w:noProof/>
      </w:rPr>
    </w:sdtEndPr>
    <w:sdtContent>
      <w:p w14:paraId="7B1424D8" w14:textId="0BA1ED3C" w:rsidR="00037C69" w:rsidRDefault="0003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D16F1" w14:textId="77777777" w:rsidR="00D63875" w:rsidRDefault="00D63875" w:rsidP="00D63875">
    <w:pPr>
      <w:pStyle w:val="Footer"/>
      <w:jc w:val="center"/>
      <w:rPr>
        <w:lang w:bidi="ar-EG"/>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37101866"/>
      <w:docPartObj>
        <w:docPartGallery w:val="Page Numbers (Bottom of Page)"/>
        <w:docPartUnique/>
      </w:docPartObj>
    </w:sdtPr>
    <w:sdtEndPr>
      <w:rPr>
        <w:noProof/>
      </w:rPr>
    </w:sdtEndPr>
    <w:sdtContent>
      <w:p w14:paraId="05982249" w14:textId="5757CB3F" w:rsidR="00037C69" w:rsidRDefault="0003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B8DDA" w14:textId="77777777" w:rsidR="00D63875" w:rsidRPr="00883E09" w:rsidRDefault="00D63875" w:rsidP="008A1EFB">
    <w:pPr>
      <w:pStyle w:val="Footer"/>
      <w:bidi/>
      <w:jc w:val="center"/>
      <w:rPr>
        <w:sz w:val="24"/>
        <w:szCs w:val="24"/>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368D0F" w14:textId="310D4F10" w:rsidR="003B1A00" w:rsidRDefault="003B1A00">
    <w:pPr>
      <w:pStyle w:val="Footer"/>
      <w:jc w:val="center"/>
    </w:pPr>
  </w:p>
  <w:p w14:paraId="721AA821" w14:textId="77777777" w:rsidR="003B1A00" w:rsidRDefault="003B1A00" w:rsidP="00C31C4E">
    <w:pPr>
      <w:pStyle w:val="Footer"/>
      <w:rPr>
        <w:lang w:bidi="ar-EG"/>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35369041"/>
      <w:docPartObj>
        <w:docPartGallery w:val="Page Numbers (Bottom of Page)"/>
        <w:docPartUnique/>
      </w:docPartObj>
    </w:sdtPr>
    <w:sdtEndPr>
      <w:rPr>
        <w:noProof/>
      </w:rPr>
    </w:sdtEndPr>
    <w:sdtContent>
      <w:p w14:paraId="6E7CC5ED" w14:textId="77777777" w:rsidR="003B1A00" w:rsidRDefault="003B1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21107" w14:textId="77777777" w:rsidR="003B1A00" w:rsidRDefault="003B1A00" w:rsidP="00C31C4E">
    <w:pPr>
      <w:pStyle w:val="Footer"/>
      <w:rPr>
        <w:lang w:bidi="ar-EG"/>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E36C66" w14:textId="3064A17E" w:rsidR="00292E94" w:rsidRDefault="00292E94">
    <w:pPr>
      <w:pStyle w:val="Footer"/>
      <w:jc w:val="center"/>
    </w:pPr>
  </w:p>
  <w:p w14:paraId="19C273BC" w14:textId="77777777" w:rsidR="00292E94" w:rsidRDefault="00292E94" w:rsidP="00C31C4E">
    <w:pPr>
      <w:pStyle w:val="Footer"/>
      <w:rPr>
        <w:lang w:bidi="ar-EG"/>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0153491"/>
      <w:docPartObj>
        <w:docPartGallery w:val="Page Numbers (Bottom of Page)"/>
        <w:docPartUnique/>
      </w:docPartObj>
    </w:sdtPr>
    <w:sdtEndPr>
      <w:rPr>
        <w:noProof/>
      </w:rPr>
    </w:sdtEndPr>
    <w:sdtContent>
      <w:p w14:paraId="37D46732" w14:textId="20191D33" w:rsidR="00292E94" w:rsidRDefault="00292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960BC" w14:textId="77777777" w:rsidR="00292E94" w:rsidRDefault="00292E94" w:rsidP="00C31C4E">
    <w:pPr>
      <w:pStyle w:val="Footer"/>
      <w:rPr>
        <w:lang w:bidi="ar-EG"/>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0AFCC6" w14:textId="77777777" w:rsidR="00CD254D" w:rsidRDefault="00CD254D" w:rsidP="00C31C4E">
    <w:pPr>
      <w:pStyle w:val="Footer"/>
      <w:rPr>
        <w:lang w:bidi="ar-EG"/>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29202484"/>
      <w:docPartObj>
        <w:docPartGallery w:val="Page Numbers (Bottom of Page)"/>
        <w:docPartUnique/>
      </w:docPartObj>
    </w:sdtPr>
    <w:sdtEndPr>
      <w:rPr>
        <w:noProof/>
      </w:rPr>
    </w:sdtEndPr>
    <w:sdtContent>
      <w:p w14:paraId="36EA59CC" w14:textId="3FED6ECA" w:rsidR="00CD254D" w:rsidRDefault="00CD25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DB7DA" w14:textId="77777777" w:rsidR="00CD254D" w:rsidRDefault="00CD254D" w:rsidP="00C31C4E">
    <w:pPr>
      <w:pStyle w:val="Footer"/>
      <w:rPr>
        <w:lang w:bidi="ar-EG"/>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E72E8E" w14:textId="580B8C9E" w:rsidR="00674C3E" w:rsidRDefault="00674C3E">
    <w:pPr>
      <w:pStyle w:val="Footer"/>
      <w:jc w:val="center"/>
    </w:pPr>
  </w:p>
  <w:p w14:paraId="74F1D34D" w14:textId="77777777" w:rsidR="00674C3E" w:rsidRDefault="00674C3E" w:rsidP="00C31C4E">
    <w:pPr>
      <w:pStyle w:val="Footer"/>
      <w:rPr>
        <w:lang w:bidi="ar-EG"/>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22491308"/>
      <w:docPartObj>
        <w:docPartGallery w:val="Page Numbers (Bottom of Page)"/>
        <w:docPartUnique/>
      </w:docPartObj>
    </w:sdtPr>
    <w:sdtEndPr>
      <w:rPr>
        <w:noProof/>
      </w:rPr>
    </w:sdtEndPr>
    <w:sdtContent>
      <w:p w14:paraId="44B679BA" w14:textId="26D21527" w:rsidR="00746C75" w:rsidRDefault="00746C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B516D" w14:textId="77777777" w:rsidR="00746C75" w:rsidRDefault="00746C75" w:rsidP="00C31C4E">
    <w:pPr>
      <w:pStyle w:val="Footer"/>
      <w:rPr>
        <w:lang w:bidi="ar-EG"/>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9290BF" w14:textId="7A73E2A6" w:rsidR="00A77E86" w:rsidRDefault="00A77E86">
    <w:pPr>
      <w:pStyle w:val="Footer"/>
      <w:jc w:val="center"/>
    </w:pPr>
  </w:p>
  <w:p w14:paraId="65C7DDC1" w14:textId="77777777" w:rsidR="00A77E86" w:rsidRDefault="00A77E86" w:rsidP="00C31C4E">
    <w:pPr>
      <w:pStyle w:val="Footer"/>
      <w:rPr>
        <w:lang w:bidi="ar-EG"/>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45637650"/>
      <w:docPartObj>
        <w:docPartGallery w:val="Page Numbers (Bottom of Page)"/>
        <w:docPartUnique/>
      </w:docPartObj>
    </w:sdtPr>
    <w:sdtEndPr>
      <w:rPr>
        <w:noProof/>
      </w:rPr>
    </w:sdtEndPr>
    <w:sdtContent>
      <w:p w14:paraId="6F2C903B" w14:textId="77777777" w:rsidR="00A77E86" w:rsidRDefault="00A77E86" w:rsidP="004E22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A62265" w14:textId="77777777" w:rsidR="00A77E86" w:rsidRDefault="00A77E86" w:rsidP="00C31C4E">
    <w:pPr>
      <w:pStyle w:val="Footer"/>
      <w:rPr>
        <w:lang w:bidi="ar-EG"/>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62EB55" w14:textId="4E82BBD5" w:rsidR="004E223C" w:rsidRDefault="004E223C" w:rsidP="004E223C">
    <w:pPr>
      <w:pStyle w:val="Footer"/>
      <w:jc w:val="center"/>
    </w:pPr>
  </w:p>
  <w:p w14:paraId="3BEAD50D" w14:textId="77777777" w:rsidR="004E223C" w:rsidRDefault="004E223C" w:rsidP="00C31C4E">
    <w:pPr>
      <w:pStyle w:val="Footer"/>
      <w:rPr>
        <w:lang w:bidi="ar-EG"/>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78270757"/>
      <w:docPartObj>
        <w:docPartGallery w:val="Page Numbers (Bottom of Page)"/>
        <w:docPartUnique/>
      </w:docPartObj>
    </w:sdtPr>
    <w:sdtEndPr>
      <w:rPr>
        <w:noProof/>
      </w:rPr>
    </w:sdtEndPr>
    <w:sdtContent>
      <w:p w14:paraId="2A6DD60E" w14:textId="77777777" w:rsidR="00602103" w:rsidRDefault="006021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B99F77" w14:textId="77777777" w:rsidR="00602103" w:rsidRDefault="00602103" w:rsidP="00C31C4E">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FFD1E3" w14:textId="77777777" w:rsidR="00E07D17" w:rsidRDefault="00E07D17" w:rsidP="00F628F0">
      <w:pPr>
        <w:spacing w:after="0" w:line="240" w:lineRule="auto"/>
      </w:pPr>
      <w:r>
        <w:separator/>
      </w:r>
    </w:p>
  </w:footnote>
  <w:footnote w:type="continuationSeparator" w:id="0">
    <w:p w14:paraId="17596C19" w14:textId="77777777" w:rsidR="00E07D17" w:rsidRDefault="00E07D1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E07D17">
    <w:pPr>
      <w:pStyle w:val="Header"/>
    </w:pPr>
    <w:r>
      <w:rPr>
        <w:noProof/>
      </w:rPr>
      <w:pict w14:anchorId="71DC32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8"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E07D17">
    <w:pPr>
      <w:pStyle w:val="Header"/>
    </w:pPr>
    <w:r>
      <w:rPr>
        <w:noProof/>
      </w:rPr>
      <w:pict w14:anchorId="6D1265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E07D17">
        <w:pPr>
          <w:pStyle w:val="Header"/>
        </w:pPr>
        <w:r>
          <w:rPr>
            <w:noProof/>
          </w:rPr>
          <w:pict w14:anchorId="6BB9F5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6"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F9B640" w14:textId="77777777" w:rsidR="002940F0" w:rsidRDefault="00E07D17">
    <w:pPr>
      <w:pStyle w:val="Header"/>
    </w:pPr>
    <w:r>
      <w:rPr>
        <w:noProof/>
      </w:rPr>
      <w:pict w14:anchorId="2E382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0;margin-top:0;width:415.2pt;height:182.4pt;z-index:-25164288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1C1E20"/>
    <w:multiLevelType w:val="hybridMultilevel"/>
    <w:tmpl w:val="CB88C7EA"/>
    <w:lvl w:ilvl="0" w:tplc="CE2C0E3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32535"/>
    <w:multiLevelType w:val="multilevel"/>
    <w:tmpl w:val="3B80E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65AEA"/>
    <w:multiLevelType w:val="multilevel"/>
    <w:tmpl w:val="3C00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90280"/>
    <w:multiLevelType w:val="multilevel"/>
    <w:tmpl w:val="0A2CA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727DE5"/>
    <w:multiLevelType w:val="hybridMultilevel"/>
    <w:tmpl w:val="84E0FACC"/>
    <w:lvl w:ilvl="0" w:tplc="9A96152E">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E574F5D"/>
    <w:multiLevelType w:val="multilevel"/>
    <w:tmpl w:val="D1CC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285C1D"/>
    <w:multiLevelType w:val="hybridMultilevel"/>
    <w:tmpl w:val="F68273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DB09F6"/>
    <w:multiLevelType w:val="multilevel"/>
    <w:tmpl w:val="BC36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D418D"/>
    <w:multiLevelType w:val="hybridMultilevel"/>
    <w:tmpl w:val="CA6ABF26"/>
    <w:lvl w:ilvl="0" w:tplc="C80AD8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5E30FF"/>
    <w:multiLevelType w:val="hybridMultilevel"/>
    <w:tmpl w:val="12D837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1B3C788E"/>
    <w:multiLevelType w:val="multilevel"/>
    <w:tmpl w:val="6B809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2911CE"/>
    <w:multiLevelType w:val="multilevel"/>
    <w:tmpl w:val="893C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B3256B1"/>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F7BB0"/>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652FB"/>
    <w:multiLevelType w:val="multilevel"/>
    <w:tmpl w:val="66509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92562"/>
    <w:multiLevelType w:val="multilevel"/>
    <w:tmpl w:val="C1B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15195"/>
    <w:multiLevelType w:val="multilevel"/>
    <w:tmpl w:val="3078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34778A"/>
    <w:multiLevelType w:val="multilevel"/>
    <w:tmpl w:val="6B0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D63F8E"/>
    <w:multiLevelType w:val="multilevel"/>
    <w:tmpl w:val="D1CC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1708A9"/>
    <w:multiLevelType w:val="multilevel"/>
    <w:tmpl w:val="F15C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93ADC"/>
    <w:multiLevelType w:val="hybridMultilevel"/>
    <w:tmpl w:val="94668066"/>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7B7E19"/>
    <w:multiLevelType w:val="hybridMultilevel"/>
    <w:tmpl w:val="A314C13E"/>
    <w:lvl w:ilvl="0" w:tplc="77D6C376">
      <w:start w:val="1"/>
      <w:numFmt w:val="bullet"/>
      <w:lvlText w:val="-"/>
      <w:lvlJc w:val="left"/>
      <w:pPr>
        <w:ind w:left="360" w:hanging="360"/>
      </w:pPr>
      <w:rPr>
        <w:rFonts w:ascii="Simplified Arabic" w:eastAsia="Calibri" w:hAnsi="Simplified Arabic"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8871D3B"/>
    <w:multiLevelType w:val="hybridMultilevel"/>
    <w:tmpl w:val="B2DE7B1A"/>
    <w:lvl w:ilvl="0" w:tplc="FFFFFFFF">
      <w:start w:val="1"/>
      <w:numFmt w:val="decimal"/>
      <w:lvlText w:val="%1."/>
      <w:lvlJc w:val="left"/>
      <w:pPr>
        <w:ind w:left="720" w:hanging="360"/>
      </w:pPr>
    </w:lvl>
    <w:lvl w:ilvl="1" w:tplc="50487016">
      <w:start w:val="1"/>
      <w:numFmt w:val="arabicAlpha"/>
      <w:lvlText w:val="%2."/>
      <w:lvlJc w:val="left"/>
      <w:pPr>
        <w:ind w:left="360" w:hanging="360"/>
      </w:pPr>
      <w:rPr>
        <w:rFonts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B570FE4"/>
    <w:multiLevelType w:val="multilevel"/>
    <w:tmpl w:val="B1C8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424820"/>
    <w:multiLevelType w:val="multilevel"/>
    <w:tmpl w:val="640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4E773F"/>
    <w:multiLevelType w:val="hybridMultilevel"/>
    <w:tmpl w:val="7602990C"/>
    <w:lvl w:ilvl="0" w:tplc="9E2C87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170261"/>
    <w:multiLevelType w:val="multilevel"/>
    <w:tmpl w:val="F7889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412364"/>
    <w:multiLevelType w:val="hybridMultilevel"/>
    <w:tmpl w:val="6ABC1C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621CC2"/>
    <w:multiLevelType w:val="hybridMultilevel"/>
    <w:tmpl w:val="2F08A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A87811"/>
    <w:multiLevelType w:val="hybridMultilevel"/>
    <w:tmpl w:val="6FE89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5DA46FD"/>
    <w:multiLevelType w:val="hybridMultilevel"/>
    <w:tmpl w:val="5C2E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7334F8"/>
    <w:multiLevelType w:val="hybridMultilevel"/>
    <w:tmpl w:val="28D6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EA6EEE"/>
    <w:multiLevelType w:val="hybridMultilevel"/>
    <w:tmpl w:val="023AD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5B2F00"/>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4F54B8"/>
    <w:multiLevelType w:val="hybridMultilevel"/>
    <w:tmpl w:val="1F3A675E"/>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3B30A4"/>
    <w:multiLevelType w:val="hybridMultilevel"/>
    <w:tmpl w:val="73B46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EC3390"/>
    <w:multiLevelType w:val="hybridMultilevel"/>
    <w:tmpl w:val="B9E4E80C"/>
    <w:lvl w:ilvl="0" w:tplc="77D6C376">
      <w:start w:val="1"/>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23478FB"/>
    <w:multiLevelType w:val="multilevel"/>
    <w:tmpl w:val="B6BE1D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2631F5"/>
    <w:multiLevelType w:val="multilevel"/>
    <w:tmpl w:val="C3869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080035"/>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DF7A69"/>
    <w:multiLevelType w:val="hybridMultilevel"/>
    <w:tmpl w:val="D55E3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601F27"/>
    <w:multiLevelType w:val="multilevel"/>
    <w:tmpl w:val="B020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B27367"/>
    <w:multiLevelType w:val="hybridMultilevel"/>
    <w:tmpl w:val="A14A421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A3937B6"/>
    <w:multiLevelType w:val="hybridMultilevel"/>
    <w:tmpl w:val="AE8CE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724414">
    <w:abstractNumId w:val="2"/>
  </w:num>
  <w:num w:numId="2" w16cid:durableId="983699318">
    <w:abstractNumId w:val="22"/>
  </w:num>
  <w:num w:numId="3" w16cid:durableId="1349065945">
    <w:abstractNumId w:val="46"/>
  </w:num>
  <w:num w:numId="4" w16cid:durableId="1101070818">
    <w:abstractNumId w:val="1"/>
  </w:num>
  <w:num w:numId="5" w16cid:durableId="1688407917">
    <w:abstractNumId w:val="0"/>
  </w:num>
  <w:num w:numId="6" w16cid:durableId="513961817">
    <w:abstractNumId w:val="15"/>
  </w:num>
  <w:num w:numId="7" w16cid:durableId="1069309133">
    <w:abstractNumId w:val="35"/>
  </w:num>
  <w:num w:numId="8" w16cid:durableId="717627592">
    <w:abstractNumId w:val="21"/>
  </w:num>
  <w:num w:numId="9" w16cid:durableId="1551189597">
    <w:abstractNumId w:val="12"/>
  </w:num>
  <w:num w:numId="10" w16cid:durableId="1009603238">
    <w:abstractNumId w:val="41"/>
  </w:num>
  <w:num w:numId="11" w16cid:durableId="1545825969">
    <w:abstractNumId w:val="8"/>
  </w:num>
  <w:num w:numId="12" w16cid:durableId="659961319">
    <w:abstractNumId w:val="40"/>
  </w:num>
  <w:num w:numId="13" w16cid:durableId="712190732">
    <w:abstractNumId w:val="30"/>
  </w:num>
  <w:num w:numId="14" w16cid:durableId="363798810">
    <w:abstractNumId w:val="4"/>
  </w:num>
  <w:num w:numId="15" w16cid:durableId="530802685">
    <w:abstractNumId w:val="32"/>
  </w:num>
  <w:num w:numId="16" w16cid:durableId="242419173">
    <w:abstractNumId w:val="48"/>
  </w:num>
  <w:num w:numId="17" w16cid:durableId="389546894">
    <w:abstractNumId w:val="26"/>
  </w:num>
  <w:num w:numId="18" w16cid:durableId="266815641">
    <w:abstractNumId w:val="33"/>
  </w:num>
  <w:num w:numId="19" w16cid:durableId="1557469921">
    <w:abstractNumId w:val="34"/>
  </w:num>
  <w:num w:numId="20" w16cid:durableId="1780493159">
    <w:abstractNumId w:val="31"/>
  </w:num>
  <w:num w:numId="21" w16cid:durableId="1696617400">
    <w:abstractNumId w:val="13"/>
  </w:num>
  <w:num w:numId="22" w16cid:durableId="2033453431">
    <w:abstractNumId w:val="43"/>
  </w:num>
  <w:num w:numId="23" w16cid:durableId="860003">
    <w:abstractNumId w:val="36"/>
  </w:num>
  <w:num w:numId="24" w16cid:durableId="1938631365">
    <w:abstractNumId w:val="37"/>
  </w:num>
  <w:num w:numId="25" w16cid:durableId="2133355484">
    <w:abstractNumId w:val="11"/>
  </w:num>
  <w:num w:numId="26" w16cid:durableId="732310268">
    <w:abstractNumId w:val="18"/>
  </w:num>
  <w:num w:numId="27" w16cid:durableId="975449544">
    <w:abstractNumId w:val="5"/>
  </w:num>
  <w:num w:numId="28" w16cid:durableId="916668141">
    <w:abstractNumId w:val="17"/>
  </w:num>
  <w:num w:numId="29" w16cid:durableId="2111124067">
    <w:abstractNumId w:val="39"/>
  </w:num>
  <w:num w:numId="30" w16cid:durableId="1738281528">
    <w:abstractNumId w:val="29"/>
  </w:num>
  <w:num w:numId="31" w16cid:durableId="836305033">
    <w:abstractNumId w:val="25"/>
  </w:num>
  <w:num w:numId="32" w16cid:durableId="134878554">
    <w:abstractNumId w:val="16"/>
  </w:num>
  <w:num w:numId="33" w16cid:durableId="229342195">
    <w:abstractNumId w:val="45"/>
  </w:num>
  <w:num w:numId="34" w16cid:durableId="571694158">
    <w:abstractNumId w:val="19"/>
  </w:num>
  <w:num w:numId="35" w16cid:durableId="370303772">
    <w:abstractNumId w:val="44"/>
  </w:num>
  <w:num w:numId="36" w16cid:durableId="1070735824">
    <w:abstractNumId w:val="49"/>
  </w:num>
  <w:num w:numId="37" w16cid:durableId="1936356809">
    <w:abstractNumId w:val="20"/>
  </w:num>
  <w:num w:numId="38" w16cid:durableId="1771319478">
    <w:abstractNumId w:val="27"/>
  </w:num>
  <w:num w:numId="39" w16cid:durableId="637684359">
    <w:abstractNumId w:val="28"/>
  </w:num>
  <w:num w:numId="40" w16cid:durableId="258955324">
    <w:abstractNumId w:val="6"/>
  </w:num>
  <w:num w:numId="41" w16cid:durableId="726991917">
    <w:abstractNumId w:val="38"/>
  </w:num>
  <w:num w:numId="42" w16cid:durableId="765729250">
    <w:abstractNumId w:val="47"/>
  </w:num>
  <w:num w:numId="43" w16cid:durableId="206575022">
    <w:abstractNumId w:val="42"/>
  </w:num>
  <w:num w:numId="44" w16cid:durableId="1851485826">
    <w:abstractNumId w:val="3"/>
  </w:num>
  <w:num w:numId="45" w16cid:durableId="1893157556">
    <w:abstractNumId w:val="14"/>
  </w:num>
  <w:num w:numId="46" w16cid:durableId="173768595">
    <w:abstractNumId w:val="9"/>
  </w:num>
  <w:num w:numId="47" w16cid:durableId="1970864560">
    <w:abstractNumId w:val="10"/>
  </w:num>
  <w:num w:numId="48" w16cid:durableId="636450479">
    <w:abstractNumId w:val="23"/>
  </w:num>
  <w:num w:numId="49" w16cid:durableId="823082733">
    <w:abstractNumId w:val="24"/>
  </w:num>
  <w:num w:numId="50" w16cid:durableId="1508398307">
    <w:abstractNumId w:val="7"/>
  </w:num>
  <w:numIdMacAtCleanup w:val="5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F86"/>
    <w:rsid w:val="00002316"/>
    <w:rsid w:val="00004955"/>
    <w:rsid w:val="0000785F"/>
    <w:rsid w:val="00007F0C"/>
    <w:rsid w:val="00010620"/>
    <w:rsid w:val="00013604"/>
    <w:rsid w:val="00015F0D"/>
    <w:rsid w:val="000166BF"/>
    <w:rsid w:val="00020B89"/>
    <w:rsid w:val="0002288D"/>
    <w:rsid w:val="00027A34"/>
    <w:rsid w:val="00030DE3"/>
    <w:rsid w:val="000322E7"/>
    <w:rsid w:val="00033353"/>
    <w:rsid w:val="00037C69"/>
    <w:rsid w:val="000408F5"/>
    <w:rsid w:val="0004100F"/>
    <w:rsid w:val="0004496C"/>
    <w:rsid w:val="00044CFD"/>
    <w:rsid w:val="000454AC"/>
    <w:rsid w:val="00045738"/>
    <w:rsid w:val="00045767"/>
    <w:rsid w:val="00045CDA"/>
    <w:rsid w:val="00046558"/>
    <w:rsid w:val="0004697E"/>
    <w:rsid w:val="00046A3F"/>
    <w:rsid w:val="00047113"/>
    <w:rsid w:val="00056542"/>
    <w:rsid w:val="0005738A"/>
    <w:rsid w:val="00060931"/>
    <w:rsid w:val="00061A09"/>
    <w:rsid w:val="0006251E"/>
    <w:rsid w:val="00063B23"/>
    <w:rsid w:val="00065189"/>
    <w:rsid w:val="000657FB"/>
    <w:rsid w:val="00075E9C"/>
    <w:rsid w:val="0007622C"/>
    <w:rsid w:val="00076DA4"/>
    <w:rsid w:val="000776C1"/>
    <w:rsid w:val="00080B2E"/>
    <w:rsid w:val="00085B4F"/>
    <w:rsid w:val="00085BEC"/>
    <w:rsid w:val="00087385"/>
    <w:rsid w:val="00087AB4"/>
    <w:rsid w:val="00087E4F"/>
    <w:rsid w:val="00090009"/>
    <w:rsid w:val="000906DE"/>
    <w:rsid w:val="00090A9C"/>
    <w:rsid w:val="0009265B"/>
    <w:rsid w:val="000929CE"/>
    <w:rsid w:val="00092C24"/>
    <w:rsid w:val="000940A0"/>
    <w:rsid w:val="000A0C09"/>
    <w:rsid w:val="000A0D73"/>
    <w:rsid w:val="000A1D3E"/>
    <w:rsid w:val="000A1E46"/>
    <w:rsid w:val="000A2AC2"/>
    <w:rsid w:val="000A310D"/>
    <w:rsid w:val="000A49ED"/>
    <w:rsid w:val="000A749C"/>
    <w:rsid w:val="000A76D7"/>
    <w:rsid w:val="000B06A3"/>
    <w:rsid w:val="000B0B32"/>
    <w:rsid w:val="000B0F65"/>
    <w:rsid w:val="000B23A5"/>
    <w:rsid w:val="000B23B4"/>
    <w:rsid w:val="000B2699"/>
    <w:rsid w:val="000B537F"/>
    <w:rsid w:val="000B645F"/>
    <w:rsid w:val="000B706D"/>
    <w:rsid w:val="000B7762"/>
    <w:rsid w:val="000C039B"/>
    <w:rsid w:val="000C04F1"/>
    <w:rsid w:val="000C0ECA"/>
    <w:rsid w:val="000C106B"/>
    <w:rsid w:val="000C1499"/>
    <w:rsid w:val="000C3448"/>
    <w:rsid w:val="000C37A9"/>
    <w:rsid w:val="000C4D41"/>
    <w:rsid w:val="000C62A6"/>
    <w:rsid w:val="000C66CB"/>
    <w:rsid w:val="000D046C"/>
    <w:rsid w:val="000D0869"/>
    <w:rsid w:val="000D1201"/>
    <w:rsid w:val="000D2B20"/>
    <w:rsid w:val="000D3EAE"/>
    <w:rsid w:val="000D5020"/>
    <w:rsid w:val="000D5131"/>
    <w:rsid w:val="000D57FC"/>
    <w:rsid w:val="000D690F"/>
    <w:rsid w:val="000D6CCA"/>
    <w:rsid w:val="000D77DB"/>
    <w:rsid w:val="000E1E97"/>
    <w:rsid w:val="000E23AB"/>
    <w:rsid w:val="000E27F6"/>
    <w:rsid w:val="000E3095"/>
    <w:rsid w:val="000E35F8"/>
    <w:rsid w:val="000E37BA"/>
    <w:rsid w:val="000E55D9"/>
    <w:rsid w:val="000E637E"/>
    <w:rsid w:val="000E6887"/>
    <w:rsid w:val="000E69F2"/>
    <w:rsid w:val="000E6E9F"/>
    <w:rsid w:val="000E70C2"/>
    <w:rsid w:val="000F0A0D"/>
    <w:rsid w:val="000F2B55"/>
    <w:rsid w:val="000F35E6"/>
    <w:rsid w:val="000F51D4"/>
    <w:rsid w:val="000F55C4"/>
    <w:rsid w:val="000F5925"/>
    <w:rsid w:val="000F661A"/>
    <w:rsid w:val="000F6949"/>
    <w:rsid w:val="000F750F"/>
    <w:rsid w:val="000F7ABC"/>
    <w:rsid w:val="000F7C5D"/>
    <w:rsid w:val="000F7F04"/>
    <w:rsid w:val="00100562"/>
    <w:rsid w:val="00106AFB"/>
    <w:rsid w:val="00107B81"/>
    <w:rsid w:val="001101CF"/>
    <w:rsid w:val="00110665"/>
    <w:rsid w:val="00110989"/>
    <w:rsid w:val="0011126E"/>
    <w:rsid w:val="00111D24"/>
    <w:rsid w:val="0011206B"/>
    <w:rsid w:val="001122EE"/>
    <w:rsid w:val="00114404"/>
    <w:rsid w:val="00116AE4"/>
    <w:rsid w:val="00117CA1"/>
    <w:rsid w:val="00121548"/>
    <w:rsid w:val="0012492F"/>
    <w:rsid w:val="00126FB6"/>
    <w:rsid w:val="00130980"/>
    <w:rsid w:val="001319B9"/>
    <w:rsid w:val="00132355"/>
    <w:rsid w:val="00133362"/>
    <w:rsid w:val="001335DF"/>
    <w:rsid w:val="00137215"/>
    <w:rsid w:val="001407E6"/>
    <w:rsid w:val="00140C83"/>
    <w:rsid w:val="00141A3B"/>
    <w:rsid w:val="00142EED"/>
    <w:rsid w:val="00146303"/>
    <w:rsid w:val="00146945"/>
    <w:rsid w:val="00146CFE"/>
    <w:rsid w:val="00146D5F"/>
    <w:rsid w:val="001507D0"/>
    <w:rsid w:val="00151744"/>
    <w:rsid w:val="00151919"/>
    <w:rsid w:val="00151D30"/>
    <w:rsid w:val="00152104"/>
    <w:rsid w:val="001527AB"/>
    <w:rsid w:val="00153BD5"/>
    <w:rsid w:val="00154AF7"/>
    <w:rsid w:val="00156026"/>
    <w:rsid w:val="00156B08"/>
    <w:rsid w:val="00156EA9"/>
    <w:rsid w:val="00157EE7"/>
    <w:rsid w:val="001603EF"/>
    <w:rsid w:val="00161842"/>
    <w:rsid w:val="001618EF"/>
    <w:rsid w:val="001624C4"/>
    <w:rsid w:val="00163191"/>
    <w:rsid w:val="0016365B"/>
    <w:rsid w:val="001654CD"/>
    <w:rsid w:val="00166680"/>
    <w:rsid w:val="001709BA"/>
    <w:rsid w:val="00171150"/>
    <w:rsid w:val="001715F3"/>
    <w:rsid w:val="0017199F"/>
    <w:rsid w:val="0017327A"/>
    <w:rsid w:val="00174870"/>
    <w:rsid w:val="001762F4"/>
    <w:rsid w:val="0017645E"/>
    <w:rsid w:val="001771A4"/>
    <w:rsid w:val="00180799"/>
    <w:rsid w:val="00180A9B"/>
    <w:rsid w:val="001819FD"/>
    <w:rsid w:val="001826A3"/>
    <w:rsid w:val="00183D8F"/>
    <w:rsid w:val="00185F2C"/>
    <w:rsid w:val="00185F71"/>
    <w:rsid w:val="00187016"/>
    <w:rsid w:val="001915F2"/>
    <w:rsid w:val="00191970"/>
    <w:rsid w:val="00193696"/>
    <w:rsid w:val="00193F62"/>
    <w:rsid w:val="00194F8B"/>
    <w:rsid w:val="00195226"/>
    <w:rsid w:val="001955FE"/>
    <w:rsid w:val="00195681"/>
    <w:rsid w:val="00197B95"/>
    <w:rsid w:val="001A012D"/>
    <w:rsid w:val="001A2117"/>
    <w:rsid w:val="001A35AE"/>
    <w:rsid w:val="001A390A"/>
    <w:rsid w:val="001A5804"/>
    <w:rsid w:val="001A680C"/>
    <w:rsid w:val="001A68AA"/>
    <w:rsid w:val="001A6D31"/>
    <w:rsid w:val="001A6D49"/>
    <w:rsid w:val="001A7C88"/>
    <w:rsid w:val="001B28D4"/>
    <w:rsid w:val="001B4E85"/>
    <w:rsid w:val="001C01BE"/>
    <w:rsid w:val="001C02C8"/>
    <w:rsid w:val="001C0712"/>
    <w:rsid w:val="001C3D72"/>
    <w:rsid w:val="001C3DA0"/>
    <w:rsid w:val="001C426A"/>
    <w:rsid w:val="001C4D6E"/>
    <w:rsid w:val="001C5657"/>
    <w:rsid w:val="001C6D14"/>
    <w:rsid w:val="001C795C"/>
    <w:rsid w:val="001C7DB2"/>
    <w:rsid w:val="001D0C86"/>
    <w:rsid w:val="001D0F0C"/>
    <w:rsid w:val="001D11E5"/>
    <w:rsid w:val="001D1FD6"/>
    <w:rsid w:val="001D47AD"/>
    <w:rsid w:val="001D5B26"/>
    <w:rsid w:val="001D5EB4"/>
    <w:rsid w:val="001D772D"/>
    <w:rsid w:val="001E0DB6"/>
    <w:rsid w:val="001E1F64"/>
    <w:rsid w:val="001E252D"/>
    <w:rsid w:val="001E2574"/>
    <w:rsid w:val="001E2C71"/>
    <w:rsid w:val="001E32DF"/>
    <w:rsid w:val="001E3406"/>
    <w:rsid w:val="001E4705"/>
    <w:rsid w:val="001F05BC"/>
    <w:rsid w:val="001F1CE9"/>
    <w:rsid w:val="001F4BA4"/>
    <w:rsid w:val="001F5242"/>
    <w:rsid w:val="001F55EC"/>
    <w:rsid w:val="001F72A1"/>
    <w:rsid w:val="001F7E9D"/>
    <w:rsid w:val="00201744"/>
    <w:rsid w:val="00202054"/>
    <w:rsid w:val="0020239B"/>
    <w:rsid w:val="00202668"/>
    <w:rsid w:val="00202713"/>
    <w:rsid w:val="00202FBE"/>
    <w:rsid w:val="00204AEE"/>
    <w:rsid w:val="00212EEE"/>
    <w:rsid w:val="00213216"/>
    <w:rsid w:val="0021352C"/>
    <w:rsid w:val="00215523"/>
    <w:rsid w:val="0021562A"/>
    <w:rsid w:val="002167A8"/>
    <w:rsid w:val="0022051E"/>
    <w:rsid w:val="00220E0D"/>
    <w:rsid w:val="00221631"/>
    <w:rsid w:val="00222468"/>
    <w:rsid w:val="00222D90"/>
    <w:rsid w:val="00223D15"/>
    <w:rsid w:val="0022418A"/>
    <w:rsid w:val="00225B6F"/>
    <w:rsid w:val="00225F6E"/>
    <w:rsid w:val="002267E3"/>
    <w:rsid w:val="00226DEA"/>
    <w:rsid w:val="00231AB1"/>
    <w:rsid w:val="00232A16"/>
    <w:rsid w:val="00232E09"/>
    <w:rsid w:val="0023492D"/>
    <w:rsid w:val="002376F7"/>
    <w:rsid w:val="00237BDF"/>
    <w:rsid w:val="0024045F"/>
    <w:rsid w:val="00244FC7"/>
    <w:rsid w:val="0024537B"/>
    <w:rsid w:val="00247B2B"/>
    <w:rsid w:val="00250CC6"/>
    <w:rsid w:val="00251580"/>
    <w:rsid w:val="002548F5"/>
    <w:rsid w:val="00255998"/>
    <w:rsid w:val="0025600C"/>
    <w:rsid w:val="0025705F"/>
    <w:rsid w:val="0025733B"/>
    <w:rsid w:val="00257F01"/>
    <w:rsid w:val="00260C64"/>
    <w:rsid w:val="002616CF"/>
    <w:rsid w:val="00261841"/>
    <w:rsid w:val="00262147"/>
    <w:rsid w:val="00262C3B"/>
    <w:rsid w:val="00263733"/>
    <w:rsid w:val="00263A72"/>
    <w:rsid w:val="00263F0F"/>
    <w:rsid w:val="0026403B"/>
    <w:rsid w:val="00264677"/>
    <w:rsid w:val="00264684"/>
    <w:rsid w:val="00265C31"/>
    <w:rsid w:val="00266487"/>
    <w:rsid w:val="00273E39"/>
    <w:rsid w:val="00274C5B"/>
    <w:rsid w:val="0027719F"/>
    <w:rsid w:val="002778AE"/>
    <w:rsid w:val="00277956"/>
    <w:rsid w:val="00280EFA"/>
    <w:rsid w:val="002820CC"/>
    <w:rsid w:val="00282E8A"/>
    <w:rsid w:val="0028742B"/>
    <w:rsid w:val="00290DC2"/>
    <w:rsid w:val="00292189"/>
    <w:rsid w:val="00292659"/>
    <w:rsid w:val="00292E94"/>
    <w:rsid w:val="002940F0"/>
    <w:rsid w:val="00294CC1"/>
    <w:rsid w:val="00294D20"/>
    <w:rsid w:val="00294E45"/>
    <w:rsid w:val="00297399"/>
    <w:rsid w:val="00297B3D"/>
    <w:rsid w:val="002A113E"/>
    <w:rsid w:val="002A403A"/>
    <w:rsid w:val="002A434E"/>
    <w:rsid w:val="002A6565"/>
    <w:rsid w:val="002A76A7"/>
    <w:rsid w:val="002B1EBD"/>
    <w:rsid w:val="002B2F56"/>
    <w:rsid w:val="002B42E0"/>
    <w:rsid w:val="002B6043"/>
    <w:rsid w:val="002B6186"/>
    <w:rsid w:val="002B6766"/>
    <w:rsid w:val="002B6E46"/>
    <w:rsid w:val="002B6EE6"/>
    <w:rsid w:val="002B738E"/>
    <w:rsid w:val="002B7450"/>
    <w:rsid w:val="002B74CB"/>
    <w:rsid w:val="002C0690"/>
    <w:rsid w:val="002C0813"/>
    <w:rsid w:val="002C0DA4"/>
    <w:rsid w:val="002C2285"/>
    <w:rsid w:val="002C38A2"/>
    <w:rsid w:val="002C40A4"/>
    <w:rsid w:val="002C51FD"/>
    <w:rsid w:val="002D019D"/>
    <w:rsid w:val="002D0E5B"/>
    <w:rsid w:val="002D1EC7"/>
    <w:rsid w:val="002D2ED0"/>
    <w:rsid w:val="002D3349"/>
    <w:rsid w:val="002D3BFD"/>
    <w:rsid w:val="002D3EF4"/>
    <w:rsid w:val="002D5BF8"/>
    <w:rsid w:val="002D638C"/>
    <w:rsid w:val="002D68BB"/>
    <w:rsid w:val="002D73E8"/>
    <w:rsid w:val="002D7581"/>
    <w:rsid w:val="002D7995"/>
    <w:rsid w:val="002E03CF"/>
    <w:rsid w:val="002E232C"/>
    <w:rsid w:val="002E43AD"/>
    <w:rsid w:val="002E515E"/>
    <w:rsid w:val="002E5D4E"/>
    <w:rsid w:val="002E7457"/>
    <w:rsid w:val="002F0ECF"/>
    <w:rsid w:val="002F0EEA"/>
    <w:rsid w:val="002F13E5"/>
    <w:rsid w:val="002F1B1A"/>
    <w:rsid w:val="002F1E27"/>
    <w:rsid w:val="002F20A7"/>
    <w:rsid w:val="002F20B5"/>
    <w:rsid w:val="002F563E"/>
    <w:rsid w:val="002F7A16"/>
    <w:rsid w:val="002F7B6E"/>
    <w:rsid w:val="00300EB7"/>
    <w:rsid w:val="00302D8D"/>
    <w:rsid w:val="003037DC"/>
    <w:rsid w:val="0030383F"/>
    <w:rsid w:val="00304146"/>
    <w:rsid w:val="00305F4B"/>
    <w:rsid w:val="003101DA"/>
    <w:rsid w:val="0031128E"/>
    <w:rsid w:val="003165AF"/>
    <w:rsid w:val="00316776"/>
    <w:rsid w:val="003168A1"/>
    <w:rsid w:val="00320C2F"/>
    <w:rsid w:val="00320E2A"/>
    <w:rsid w:val="003223F2"/>
    <w:rsid w:val="00322838"/>
    <w:rsid w:val="00322A0D"/>
    <w:rsid w:val="00322CDE"/>
    <w:rsid w:val="003235C8"/>
    <w:rsid w:val="00324367"/>
    <w:rsid w:val="0032456E"/>
    <w:rsid w:val="0032534E"/>
    <w:rsid w:val="003254B7"/>
    <w:rsid w:val="003262E5"/>
    <w:rsid w:val="003263AB"/>
    <w:rsid w:val="00326F69"/>
    <w:rsid w:val="00331783"/>
    <w:rsid w:val="00331B02"/>
    <w:rsid w:val="00333FF1"/>
    <w:rsid w:val="00334002"/>
    <w:rsid w:val="00336D80"/>
    <w:rsid w:val="00337779"/>
    <w:rsid w:val="003377E4"/>
    <w:rsid w:val="00340B5E"/>
    <w:rsid w:val="00341A73"/>
    <w:rsid w:val="00342847"/>
    <w:rsid w:val="00343773"/>
    <w:rsid w:val="00343864"/>
    <w:rsid w:val="003452C5"/>
    <w:rsid w:val="00345758"/>
    <w:rsid w:val="00347D81"/>
    <w:rsid w:val="00350CFE"/>
    <w:rsid w:val="00353533"/>
    <w:rsid w:val="00354AE4"/>
    <w:rsid w:val="00354D5C"/>
    <w:rsid w:val="00356156"/>
    <w:rsid w:val="00356A50"/>
    <w:rsid w:val="00356A66"/>
    <w:rsid w:val="00356CC0"/>
    <w:rsid w:val="00357772"/>
    <w:rsid w:val="00360A3F"/>
    <w:rsid w:val="00360AAA"/>
    <w:rsid w:val="00361988"/>
    <w:rsid w:val="00363B1D"/>
    <w:rsid w:val="00363B62"/>
    <w:rsid w:val="00364C07"/>
    <w:rsid w:val="00365D56"/>
    <w:rsid w:val="00370ED3"/>
    <w:rsid w:val="00373DF7"/>
    <w:rsid w:val="00377280"/>
    <w:rsid w:val="003779A4"/>
    <w:rsid w:val="00377CB0"/>
    <w:rsid w:val="003808B3"/>
    <w:rsid w:val="00381414"/>
    <w:rsid w:val="00381C34"/>
    <w:rsid w:val="00381E67"/>
    <w:rsid w:val="003849C3"/>
    <w:rsid w:val="00384FD2"/>
    <w:rsid w:val="0038653A"/>
    <w:rsid w:val="003877A2"/>
    <w:rsid w:val="003902F8"/>
    <w:rsid w:val="003917DF"/>
    <w:rsid w:val="00391B6E"/>
    <w:rsid w:val="00392D66"/>
    <w:rsid w:val="00393306"/>
    <w:rsid w:val="00395E1F"/>
    <w:rsid w:val="00395EF6"/>
    <w:rsid w:val="00396DF7"/>
    <w:rsid w:val="0039704E"/>
    <w:rsid w:val="00397058"/>
    <w:rsid w:val="003979B0"/>
    <w:rsid w:val="003A3C12"/>
    <w:rsid w:val="003A4334"/>
    <w:rsid w:val="003A4CBA"/>
    <w:rsid w:val="003A5A12"/>
    <w:rsid w:val="003A651D"/>
    <w:rsid w:val="003B032D"/>
    <w:rsid w:val="003B0F00"/>
    <w:rsid w:val="003B1418"/>
    <w:rsid w:val="003B1A00"/>
    <w:rsid w:val="003B6969"/>
    <w:rsid w:val="003B75CA"/>
    <w:rsid w:val="003B7B0C"/>
    <w:rsid w:val="003C05E1"/>
    <w:rsid w:val="003C4157"/>
    <w:rsid w:val="003C6694"/>
    <w:rsid w:val="003C7BFA"/>
    <w:rsid w:val="003D0735"/>
    <w:rsid w:val="003D1399"/>
    <w:rsid w:val="003D2689"/>
    <w:rsid w:val="003D2D97"/>
    <w:rsid w:val="003D3563"/>
    <w:rsid w:val="003D3D00"/>
    <w:rsid w:val="003D4292"/>
    <w:rsid w:val="003D4394"/>
    <w:rsid w:val="003D5F89"/>
    <w:rsid w:val="003D6EA9"/>
    <w:rsid w:val="003D7E7F"/>
    <w:rsid w:val="003E1E60"/>
    <w:rsid w:val="003E43C2"/>
    <w:rsid w:val="003E4437"/>
    <w:rsid w:val="003E4669"/>
    <w:rsid w:val="003E7D78"/>
    <w:rsid w:val="003E7F3C"/>
    <w:rsid w:val="003F1C06"/>
    <w:rsid w:val="003F319E"/>
    <w:rsid w:val="003F4C23"/>
    <w:rsid w:val="003F6189"/>
    <w:rsid w:val="003F69BC"/>
    <w:rsid w:val="004018BE"/>
    <w:rsid w:val="00402440"/>
    <w:rsid w:val="00402748"/>
    <w:rsid w:val="004044BB"/>
    <w:rsid w:val="004048E0"/>
    <w:rsid w:val="0040510D"/>
    <w:rsid w:val="0040575C"/>
    <w:rsid w:val="00410FFD"/>
    <w:rsid w:val="00413138"/>
    <w:rsid w:val="004149BB"/>
    <w:rsid w:val="00416B20"/>
    <w:rsid w:val="004211AD"/>
    <w:rsid w:val="0042304B"/>
    <w:rsid w:val="00423C98"/>
    <w:rsid w:val="00423CBE"/>
    <w:rsid w:val="00426048"/>
    <w:rsid w:val="00426144"/>
    <w:rsid w:val="00426C06"/>
    <w:rsid w:val="00430404"/>
    <w:rsid w:val="0043143C"/>
    <w:rsid w:val="004323BE"/>
    <w:rsid w:val="00433BAD"/>
    <w:rsid w:val="0043449E"/>
    <w:rsid w:val="004362BF"/>
    <w:rsid w:val="00436B59"/>
    <w:rsid w:val="00437CCA"/>
    <w:rsid w:val="0044090C"/>
    <w:rsid w:val="00440B9A"/>
    <w:rsid w:val="004413CD"/>
    <w:rsid w:val="00441C99"/>
    <w:rsid w:val="00442155"/>
    <w:rsid w:val="0044258D"/>
    <w:rsid w:val="00443206"/>
    <w:rsid w:val="00443A60"/>
    <w:rsid w:val="004441EE"/>
    <w:rsid w:val="004446C9"/>
    <w:rsid w:val="00444B1D"/>
    <w:rsid w:val="00444B3C"/>
    <w:rsid w:val="00445290"/>
    <w:rsid w:val="00445C76"/>
    <w:rsid w:val="0044630D"/>
    <w:rsid w:val="00451405"/>
    <w:rsid w:val="004546DA"/>
    <w:rsid w:val="004569F5"/>
    <w:rsid w:val="00460553"/>
    <w:rsid w:val="004643B1"/>
    <w:rsid w:val="00465F4D"/>
    <w:rsid w:val="00466097"/>
    <w:rsid w:val="00472477"/>
    <w:rsid w:val="00473F99"/>
    <w:rsid w:val="004743BB"/>
    <w:rsid w:val="004773A9"/>
    <w:rsid w:val="00480034"/>
    <w:rsid w:val="00481B86"/>
    <w:rsid w:val="00483126"/>
    <w:rsid w:val="0048386C"/>
    <w:rsid w:val="0048439A"/>
    <w:rsid w:val="00484574"/>
    <w:rsid w:val="00485BD0"/>
    <w:rsid w:val="004865B8"/>
    <w:rsid w:val="00486B51"/>
    <w:rsid w:val="00487152"/>
    <w:rsid w:val="0049189C"/>
    <w:rsid w:val="00491E7B"/>
    <w:rsid w:val="00492E40"/>
    <w:rsid w:val="00494334"/>
    <w:rsid w:val="004959E0"/>
    <w:rsid w:val="00495DAE"/>
    <w:rsid w:val="004972AE"/>
    <w:rsid w:val="004A10BC"/>
    <w:rsid w:val="004A557A"/>
    <w:rsid w:val="004A5C8C"/>
    <w:rsid w:val="004A7336"/>
    <w:rsid w:val="004B1105"/>
    <w:rsid w:val="004B2EAB"/>
    <w:rsid w:val="004B35C5"/>
    <w:rsid w:val="004B3F0D"/>
    <w:rsid w:val="004B484B"/>
    <w:rsid w:val="004B4F17"/>
    <w:rsid w:val="004B5AF5"/>
    <w:rsid w:val="004B7147"/>
    <w:rsid w:val="004B78C6"/>
    <w:rsid w:val="004B7F62"/>
    <w:rsid w:val="004C1CC5"/>
    <w:rsid w:val="004C3B7B"/>
    <w:rsid w:val="004C51B2"/>
    <w:rsid w:val="004C7B52"/>
    <w:rsid w:val="004D075E"/>
    <w:rsid w:val="004D0D80"/>
    <w:rsid w:val="004D121C"/>
    <w:rsid w:val="004D1657"/>
    <w:rsid w:val="004D1A5D"/>
    <w:rsid w:val="004D2A39"/>
    <w:rsid w:val="004D3226"/>
    <w:rsid w:val="004D34CC"/>
    <w:rsid w:val="004D510A"/>
    <w:rsid w:val="004D55C1"/>
    <w:rsid w:val="004D6DB2"/>
    <w:rsid w:val="004D6E7E"/>
    <w:rsid w:val="004D7783"/>
    <w:rsid w:val="004D7F28"/>
    <w:rsid w:val="004E01F6"/>
    <w:rsid w:val="004E0267"/>
    <w:rsid w:val="004E074D"/>
    <w:rsid w:val="004E1E81"/>
    <w:rsid w:val="004E223C"/>
    <w:rsid w:val="004E2CA4"/>
    <w:rsid w:val="004E3E46"/>
    <w:rsid w:val="004F1607"/>
    <w:rsid w:val="004F1964"/>
    <w:rsid w:val="004F1CF1"/>
    <w:rsid w:val="004F449D"/>
    <w:rsid w:val="004F4931"/>
    <w:rsid w:val="004F7CE9"/>
    <w:rsid w:val="0050023D"/>
    <w:rsid w:val="0050123E"/>
    <w:rsid w:val="0050451B"/>
    <w:rsid w:val="00505AA0"/>
    <w:rsid w:val="00510BF2"/>
    <w:rsid w:val="00510D99"/>
    <w:rsid w:val="0051306C"/>
    <w:rsid w:val="005144E3"/>
    <w:rsid w:val="00515088"/>
    <w:rsid w:val="0052019E"/>
    <w:rsid w:val="00522186"/>
    <w:rsid w:val="0052377B"/>
    <w:rsid w:val="00526B0F"/>
    <w:rsid w:val="005317AE"/>
    <w:rsid w:val="00532954"/>
    <w:rsid w:val="0053336F"/>
    <w:rsid w:val="0053367E"/>
    <w:rsid w:val="00533AA9"/>
    <w:rsid w:val="005344D8"/>
    <w:rsid w:val="00534A50"/>
    <w:rsid w:val="00535E7D"/>
    <w:rsid w:val="00535ED5"/>
    <w:rsid w:val="00535FA7"/>
    <w:rsid w:val="0053681E"/>
    <w:rsid w:val="00536C97"/>
    <w:rsid w:val="005372F2"/>
    <w:rsid w:val="0054152F"/>
    <w:rsid w:val="005433BE"/>
    <w:rsid w:val="00544C03"/>
    <w:rsid w:val="00545742"/>
    <w:rsid w:val="00546BB3"/>
    <w:rsid w:val="005504E6"/>
    <w:rsid w:val="005529B0"/>
    <w:rsid w:val="005529DE"/>
    <w:rsid w:val="005532E5"/>
    <w:rsid w:val="00556E0D"/>
    <w:rsid w:val="00557A32"/>
    <w:rsid w:val="00557B78"/>
    <w:rsid w:val="00560CC1"/>
    <w:rsid w:val="005612A0"/>
    <w:rsid w:val="00565461"/>
    <w:rsid w:val="00565903"/>
    <w:rsid w:val="00566754"/>
    <w:rsid w:val="00570E42"/>
    <w:rsid w:val="0057565D"/>
    <w:rsid w:val="00575FAD"/>
    <w:rsid w:val="00583886"/>
    <w:rsid w:val="00587EDA"/>
    <w:rsid w:val="005906A5"/>
    <w:rsid w:val="00591435"/>
    <w:rsid w:val="00593118"/>
    <w:rsid w:val="00595465"/>
    <w:rsid w:val="00595574"/>
    <w:rsid w:val="005959D3"/>
    <w:rsid w:val="00597208"/>
    <w:rsid w:val="00597FC5"/>
    <w:rsid w:val="005A0D2D"/>
    <w:rsid w:val="005A111C"/>
    <w:rsid w:val="005A1196"/>
    <w:rsid w:val="005A1F9B"/>
    <w:rsid w:val="005A3266"/>
    <w:rsid w:val="005A32BB"/>
    <w:rsid w:val="005A3959"/>
    <w:rsid w:val="005A4F66"/>
    <w:rsid w:val="005A5029"/>
    <w:rsid w:val="005A76D0"/>
    <w:rsid w:val="005A7EB2"/>
    <w:rsid w:val="005B25B6"/>
    <w:rsid w:val="005B2E32"/>
    <w:rsid w:val="005B569C"/>
    <w:rsid w:val="005B65AE"/>
    <w:rsid w:val="005B6F34"/>
    <w:rsid w:val="005B79CC"/>
    <w:rsid w:val="005B7B7D"/>
    <w:rsid w:val="005C0606"/>
    <w:rsid w:val="005C0D19"/>
    <w:rsid w:val="005C1BD4"/>
    <w:rsid w:val="005C3137"/>
    <w:rsid w:val="005C3DA2"/>
    <w:rsid w:val="005C6778"/>
    <w:rsid w:val="005D0F75"/>
    <w:rsid w:val="005D0FC0"/>
    <w:rsid w:val="005D1768"/>
    <w:rsid w:val="005D18D2"/>
    <w:rsid w:val="005D1959"/>
    <w:rsid w:val="005D1BCA"/>
    <w:rsid w:val="005D1EEC"/>
    <w:rsid w:val="005D2492"/>
    <w:rsid w:val="005D2BDF"/>
    <w:rsid w:val="005D30DE"/>
    <w:rsid w:val="005D4601"/>
    <w:rsid w:val="005E1B7D"/>
    <w:rsid w:val="005E24FB"/>
    <w:rsid w:val="005E367A"/>
    <w:rsid w:val="005E4CA5"/>
    <w:rsid w:val="005E52AA"/>
    <w:rsid w:val="005F0A40"/>
    <w:rsid w:val="005F0F8A"/>
    <w:rsid w:val="005F2661"/>
    <w:rsid w:val="005F29AA"/>
    <w:rsid w:val="005F4155"/>
    <w:rsid w:val="005F5AF5"/>
    <w:rsid w:val="005F5D54"/>
    <w:rsid w:val="00601188"/>
    <w:rsid w:val="00602103"/>
    <w:rsid w:val="0060279C"/>
    <w:rsid w:val="0060760B"/>
    <w:rsid w:val="0061026F"/>
    <w:rsid w:val="00612C61"/>
    <w:rsid w:val="00613A22"/>
    <w:rsid w:val="00614A5F"/>
    <w:rsid w:val="00616897"/>
    <w:rsid w:val="00616F16"/>
    <w:rsid w:val="0061712E"/>
    <w:rsid w:val="006201A7"/>
    <w:rsid w:val="00620523"/>
    <w:rsid w:val="00620EEA"/>
    <w:rsid w:val="00622EB6"/>
    <w:rsid w:val="00623B51"/>
    <w:rsid w:val="00623BB8"/>
    <w:rsid w:val="0062589E"/>
    <w:rsid w:val="00625A3C"/>
    <w:rsid w:val="006308D3"/>
    <w:rsid w:val="006324C3"/>
    <w:rsid w:val="00633EA1"/>
    <w:rsid w:val="00633F98"/>
    <w:rsid w:val="00634932"/>
    <w:rsid w:val="00637048"/>
    <w:rsid w:val="006440BC"/>
    <w:rsid w:val="006441C4"/>
    <w:rsid w:val="006447D8"/>
    <w:rsid w:val="00644F28"/>
    <w:rsid w:val="00646E12"/>
    <w:rsid w:val="00647A28"/>
    <w:rsid w:val="0065187E"/>
    <w:rsid w:val="00653C77"/>
    <w:rsid w:val="006549C3"/>
    <w:rsid w:val="00655684"/>
    <w:rsid w:val="006558EC"/>
    <w:rsid w:val="00657A3D"/>
    <w:rsid w:val="006618D0"/>
    <w:rsid w:val="00661A1D"/>
    <w:rsid w:val="006627CE"/>
    <w:rsid w:val="00667BBF"/>
    <w:rsid w:val="006731F3"/>
    <w:rsid w:val="00674C3E"/>
    <w:rsid w:val="00674EED"/>
    <w:rsid w:val="006760A1"/>
    <w:rsid w:val="006761B0"/>
    <w:rsid w:val="00676B85"/>
    <w:rsid w:val="0068224F"/>
    <w:rsid w:val="006822F2"/>
    <w:rsid w:val="00683882"/>
    <w:rsid w:val="00684399"/>
    <w:rsid w:val="00685C64"/>
    <w:rsid w:val="00685E5C"/>
    <w:rsid w:val="00686687"/>
    <w:rsid w:val="00687F77"/>
    <w:rsid w:val="00690918"/>
    <w:rsid w:val="006920BC"/>
    <w:rsid w:val="00692DEF"/>
    <w:rsid w:val="00694A68"/>
    <w:rsid w:val="0069591F"/>
    <w:rsid w:val="00696B36"/>
    <w:rsid w:val="0069744F"/>
    <w:rsid w:val="006A014B"/>
    <w:rsid w:val="006A21D6"/>
    <w:rsid w:val="006A285D"/>
    <w:rsid w:val="006A3214"/>
    <w:rsid w:val="006A4781"/>
    <w:rsid w:val="006A70AA"/>
    <w:rsid w:val="006A74B5"/>
    <w:rsid w:val="006A7DC3"/>
    <w:rsid w:val="006B1075"/>
    <w:rsid w:val="006B366F"/>
    <w:rsid w:val="006B4876"/>
    <w:rsid w:val="006B51C2"/>
    <w:rsid w:val="006B571C"/>
    <w:rsid w:val="006B5F98"/>
    <w:rsid w:val="006C10F3"/>
    <w:rsid w:val="006C11A4"/>
    <w:rsid w:val="006C1427"/>
    <w:rsid w:val="006C157C"/>
    <w:rsid w:val="006C2E76"/>
    <w:rsid w:val="006C4114"/>
    <w:rsid w:val="006C533A"/>
    <w:rsid w:val="006C54C9"/>
    <w:rsid w:val="006C58CD"/>
    <w:rsid w:val="006C5D0B"/>
    <w:rsid w:val="006C7E2A"/>
    <w:rsid w:val="006D262F"/>
    <w:rsid w:val="006D2ADD"/>
    <w:rsid w:val="006D4527"/>
    <w:rsid w:val="006D49CF"/>
    <w:rsid w:val="006D4B41"/>
    <w:rsid w:val="006D516E"/>
    <w:rsid w:val="006D7299"/>
    <w:rsid w:val="006E2632"/>
    <w:rsid w:val="006E2E73"/>
    <w:rsid w:val="006E2FB7"/>
    <w:rsid w:val="006E437C"/>
    <w:rsid w:val="006E5B94"/>
    <w:rsid w:val="006E6339"/>
    <w:rsid w:val="006E6B45"/>
    <w:rsid w:val="006E7408"/>
    <w:rsid w:val="006E7D46"/>
    <w:rsid w:val="006F00E7"/>
    <w:rsid w:val="006F1837"/>
    <w:rsid w:val="006F2881"/>
    <w:rsid w:val="006F326C"/>
    <w:rsid w:val="006F3CD1"/>
    <w:rsid w:val="006F5AFF"/>
    <w:rsid w:val="006F6046"/>
    <w:rsid w:val="006F6D61"/>
    <w:rsid w:val="007005F3"/>
    <w:rsid w:val="0070272D"/>
    <w:rsid w:val="00703A9A"/>
    <w:rsid w:val="00704C25"/>
    <w:rsid w:val="007052C7"/>
    <w:rsid w:val="00705F1D"/>
    <w:rsid w:val="00706AC7"/>
    <w:rsid w:val="007102D5"/>
    <w:rsid w:val="00711248"/>
    <w:rsid w:val="0071290F"/>
    <w:rsid w:val="00713E1B"/>
    <w:rsid w:val="00716BA7"/>
    <w:rsid w:val="00717D2A"/>
    <w:rsid w:val="007239AC"/>
    <w:rsid w:val="00723D8B"/>
    <w:rsid w:val="00723E95"/>
    <w:rsid w:val="00724638"/>
    <w:rsid w:val="00724933"/>
    <w:rsid w:val="0072686E"/>
    <w:rsid w:val="00730055"/>
    <w:rsid w:val="0073051C"/>
    <w:rsid w:val="0073301C"/>
    <w:rsid w:val="00733953"/>
    <w:rsid w:val="00734C4F"/>
    <w:rsid w:val="00735AA1"/>
    <w:rsid w:val="00735E84"/>
    <w:rsid w:val="00735E9C"/>
    <w:rsid w:val="00736364"/>
    <w:rsid w:val="0073642B"/>
    <w:rsid w:val="00736A08"/>
    <w:rsid w:val="00737718"/>
    <w:rsid w:val="00740AB1"/>
    <w:rsid w:val="007417AC"/>
    <w:rsid w:val="00742BC9"/>
    <w:rsid w:val="00742DEA"/>
    <w:rsid w:val="00743145"/>
    <w:rsid w:val="00743E61"/>
    <w:rsid w:val="007440D3"/>
    <w:rsid w:val="007442A7"/>
    <w:rsid w:val="00744DE6"/>
    <w:rsid w:val="0074582D"/>
    <w:rsid w:val="00745CB7"/>
    <w:rsid w:val="00746C75"/>
    <w:rsid w:val="007507AF"/>
    <w:rsid w:val="00750F2F"/>
    <w:rsid w:val="00754496"/>
    <w:rsid w:val="00756AB6"/>
    <w:rsid w:val="00757BAA"/>
    <w:rsid w:val="00764F1E"/>
    <w:rsid w:val="0076684E"/>
    <w:rsid w:val="007668BB"/>
    <w:rsid w:val="00766A58"/>
    <w:rsid w:val="007671BB"/>
    <w:rsid w:val="007713B9"/>
    <w:rsid w:val="00771848"/>
    <w:rsid w:val="00771C46"/>
    <w:rsid w:val="00771FA8"/>
    <w:rsid w:val="007734A7"/>
    <w:rsid w:val="00774ADE"/>
    <w:rsid w:val="007754AE"/>
    <w:rsid w:val="007764F4"/>
    <w:rsid w:val="00776AB8"/>
    <w:rsid w:val="00777ECD"/>
    <w:rsid w:val="00780A1D"/>
    <w:rsid w:val="00781550"/>
    <w:rsid w:val="007822A3"/>
    <w:rsid w:val="00784463"/>
    <w:rsid w:val="0078722F"/>
    <w:rsid w:val="00787A81"/>
    <w:rsid w:val="00790119"/>
    <w:rsid w:val="00790965"/>
    <w:rsid w:val="00791707"/>
    <w:rsid w:val="00792059"/>
    <w:rsid w:val="00793616"/>
    <w:rsid w:val="00793975"/>
    <w:rsid w:val="007969DC"/>
    <w:rsid w:val="007969FA"/>
    <w:rsid w:val="00797AF9"/>
    <w:rsid w:val="007A060C"/>
    <w:rsid w:val="007A18CA"/>
    <w:rsid w:val="007A31DC"/>
    <w:rsid w:val="007A3AFF"/>
    <w:rsid w:val="007A40F7"/>
    <w:rsid w:val="007A48E9"/>
    <w:rsid w:val="007A6105"/>
    <w:rsid w:val="007A68BA"/>
    <w:rsid w:val="007A6E11"/>
    <w:rsid w:val="007B021C"/>
    <w:rsid w:val="007B29E4"/>
    <w:rsid w:val="007B3A5C"/>
    <w:rsid w:val="007B455C"/>
    <w:rsid w:val="007B67FE"/>
    <w:rsid w:val="007B6CBF"/>
    <w:rsid w:val="007C06AF"/>
    <w:rsid w:val="007C1F01"/>
    <w:rsid w:val="007C2DBE"/>
    <w:rsid w:val="007C3457"/>
    <w:rsid w:val="007C428F"/>
    <w:rsid w:val="007C546B"/>
    <w:rsid w:val="007C57C0"/>
    <w:rsid w:val="007C69F7"/>
    <w:rsid w:val="007D0FF9"/>
    <w:rsid w:val="007D1C68"/>
    <w:rsid w:val="007D39B9"/>
    <w:rsid w:val="007D4291"/>
    <w:rsid w:val="007D7D94"/>
    <w:rsid w:val="007E01E1"/>
    <w:rsid w:val="007E1AEB"/>
    <w:rsid w:val="007E2994"/>
    <w:rsid w:val="007E2E36"/>
    <w:rsid w:val="007E32D4"/>
    <w:rsid w:val="007E3985"/>
    <w:rsid w:val="007E4373"/>
    <w:rsid w:val="007E57A2"/>
    <w:rsid w:val="007E5AC3"/>
    <w:rsid w:val="007E6E5B"/>
    <w:rsid w:val="007F115B"/>
    <w:rsid w:val="007F27C9"/>
    <w:rsid w:val="007F35E0"/>
    <w:rsid w:val="007F394A"/>
    <w:rsid w:val="007F4183"/>
    <w:rsid w:val="007F6932"/>
    <w:rsid w:val="00801359"/>
    <w:rsid w:val="008022F1"/>
    <w:rsid w:val="00802EEF"/>
    <w:rsid w:val="00807073"/>
    <w:rsid w:val="00810AE7"/>
    <w:rsid w:val="00814409"/>
    <w:rsid w:val="00816E8B"/>
    <w:rsid w:val="008173B3"/>
    <w:rsid w:val="00817E2A"/>
    <w:rsid w:val="00820E0C"/>
    <w:rsid w:val="00822A07"/>
    <w:rsid w:val="00823D0A"/>
    <w:rsid w:val="0082415B"/>
    <w:rsid w:val="008245FA"/>
    <w:rsid w:val="00826DAE"/>
    <w:rsid w:val="00827C1C"/>
    <w:rsid w:val="008309DF"/>
    <w:rsid w:val="0083112E"/>
    <w:rsid w:val="00831B04"/>
    <w:rsid w:val="00832CC4"/>
    <w:rsid w:val="00834740"/>
    <w:rsid w:val="00834E47"/>
    <w:rsid w:val="00835244"/>
    <w:rsid w:val="008379AF"/>
    <w:rsid w:val="00840269"/>
    <w:rsid w:val="00840F74"/>
    <w:rsid w:val="00841103"/>
    <w:rsid w:val="008421F6"/>
    <w:rsid w:val="00844164"/>
    <w:rsid w:val="00845ECF"/>
    <w:rsid w:val="008521C6"/>
    <w:rsid w:val="008523C4"/>
    <w:rsid w:val="00854E14"/>
    <w:rsid w:val="00860106"/>
    <w:rsid w:val="00860AEA"/>
    <w:rsid w:val="0086333D"/>
    <w:rsid w:val="0086422C"/>
    <w:rsid w:val="00864B2B"/>
    <w:rsid w:val="0086726F"/>
    <w:rsid w:val="008734CD"/>
    <w:rsid w:val="00876D6E"/>
    <w:rsid w:val="008776B5"/>
    <w:rsid w:val="0088009E"/>
    <w:rsid w:val="008806D9"/>
    <w:rsid w:val="00881C14"/>
    <w:rsid w:val="00882035"/>
    <w:rsid w:val="0088301D"/>
    <w:rsid w:val="00883E09"/>
    <w:rsid w:val="008843C5"/>
    <w:rsid w:val="008854E1"/>
    <w:rsid w:val="00885B9C"/>
    <w:rsid w:val="00886510"/>
    <w:rsid w:val="008927A9"/>
    <w:rsid w:val="00894F92"/>
    <w:rsid w:val="008A0024"/>
    <w:rsid w:val="008A0800"/>
    <w:rsid w:val="008A09DC"/>
    <w:rsid w:val="008A09FE"/>
    <w:rsid w:val="008A1CF3"/>
    <w:rsid w:val="008A1EFB"/>
    <w:rsid w:val="008A2025"/>
    <w:rsid w:val="008A3458"/>
    <w:rsid w:val="008A46E4"/>
    <w:rsid w:val="008A6451"/>
    <w:rsid w:val="008A69EA"/>
    <w:rsid w:val="008A7D25"/>
    <w:rsid w:val="008B0F36"/>
    <w:rsid w:val="008B1D65"/>
    <w:rsid w:val="008B2E01"/>
    <w:rsid w:val="008B484A"/>
    <w:rsid w:val="008B4F4B"/>
    <w:rsid w:val="008B5953"/>
    <w:rsid w:val="008B68BA"/>
    <w:rsid w:val="008B6E8A"/>
    <w:rsid w:val="008C1015"/>
    <w:rsid w:val="008C140C"/>
    <w:rsid w:val="008C15B7"/>
    <w:rsid w:val="008C1BD8"/>
    <w:rsid w:val="008C2AA8"/>
    <w:rsid w:val="008C3733"/>
    <w:rsid w:val="008C4BF8"/>
    <w:rsid w:val="008C5758"/>
    <w:rsid w:val="008C7DCB"/>
    <w:rsid w:val="008D00FC"/>
    <w:rsid w:val="008D0DFB"/>
    <w:rsid w:val="008D1B3B"/>
    <w:rsid w:val="008D1B67"/>
    <w:rsid w:val="008D2632"/>
    <w:rsid w:val="008D4126"/>
    <w:rsid w:val="008D43D7"/>
    <w:rsid w:val="008D5F2C"/>
    <w:rsid w:val="008D7B14"/>
    <w:rsid w:val="008E136D"/>
    <w:rsid w:val="008E18C4"/>
    <w:rsid w:val="008E1DF8"/>
    <w:rsid w:val="008E2211"/>
    <w:rsid w:val="008E3B62"/>
    <w:rsid w:val="008E3C1A"/>
    <w:rsid w:val="008E409B"/>
    <w:rsid w:val="008E420B"/>
    <w:rsid w:val="008E7947"/>
    <w:rsid w:val="008F0B02"/>
    <w:rsid w:val="008F1AF4"/>
    <w:rsid w:val="008F1EB2"/>
    <w:rsid w:val="008F3298"/>
    <w:rsid w:val="008F5D08"/>
    <w:rsid w:val="008F7053"/>
    <w:rsid w:val="0090102E"/>
    <w:rsid w:val="0090450C"/>
    <w:rsid w:val="0090478B"/>
    <w:rsid w:val="009055BD"/>
    <w:rsid w:val="0091048B"/>
    <w:rsid w:val="0091052B"/>
    <w:rsid w:val="009107CB"/>
    <w:rsid w:val="00911E31"/>
    <w:rsid w:val="0091303D"/>
    <w:rsid w:val="009139AE"/>
    <w:rsid w:val="009149B6"/>
    <w:rsid w:val="0091552D"/>
    <w:rsid w:val="009159DA"/>
    <w:rsid w:val="00916022"/>
    <w:rsid w:val="00916122"/>
    <w:rsid w:val="00917C97"/>
    <w:rsid w:val="009211EA"/>
    <w:rsid w:val="00921FD9"/>
    <w:rsid w:val="00922314"/>
    <w:rsid w:val="00922FFA"/>
    <w:rsid w:val="009236F6"/>
    <w:rsid w:val="009267A7"/>
    <w:rsid w:val="009268EB"/>
    <w:rsid w:val="00935618"/>
    <w:rsid w:val="0093756B"/>
    <w:rsid w:val="009400C2"/>
    <w:rsid w:val="009407BA"/>
    <w:rsid w:val="00941931"/>
    <w:rsid w:val="00943493"/>
    <w:rsid w:val="009462FA"/>
    <w:rsid w:val="00946E44"/>
    <w:rsid w:val="009505DD"/>
    <w:rsid w:val="00952305"/>
    <w:rsid w:val="00955905"/>
    <w:rsid w:val="009559E9"/>
    <w:rsid w:val="00956193"/>
    <w:rsid w:val="009564A7"/>
    <w:rsid w:val="00956AFF"/>
    <w:rsid w:val="00960A1F"/>
    <w:rsid w:val="00962AD0"/>
    <w:rsid w:val="00962E14"/>
    <w:rsid w:val="00963502"/>
    <w:rsid w:val="00963659"/>
    <w:rsid w:val="00967466"/>
    <w:rsid w:val="0096761A"/>
    <w:rsid w:val="009705B3"/>
    <w:rsid w:val="00970BAB"/>
    <w:rsid w:val="00971016"/>
    <w:rsid w:val="00971397"/>
    <w:rsid w:val="00972407"/>
    <w:rsid w:val="00973709"/>
    <w:rsid w:val="009739B0"/>
    <w:rsid w:val="009813A6"/>
    <w:rsid w:val="00983245"/>
    <w:rsid w:val="00983EA2"/>
    <w:rsid w:val="009851D9"/>
    <w:rsid w:val="00985E6E"/>
    <w:rsid w:val="00987483"/>
    <w:rsid w:val="00996E45"/>
    <w:rsid w:val="00997A3F"/>
    <w:rsid w:val="009A56A7"/>
    <w:rsid w:val="009A6D86"/>
    <w:rsid w:val="009A7238"/>
    <w:rsid w:val="009A7857"/>
    <w:rsid w:val="009B05B8"/>
    <w:rsid w:val="009B2195"/>
    <w:rsid w:val="009B232B"/>
    <w:rsid w:val="009B3A99"/>
    <w:rsid w:val="009B590A"/>
    <w:rsid w:val="009B7B1F"/>
    <w:rsid w:val="009B7BCA"/>
    <w:rsid w:val="009B7D3B"/>
    <w:rsid w:val="009C0E94"/>
    <w:rsid w:val="009C16EA"/>
    <w:rsid w:val="009C2244"/>
    <w:rsid w:val="009C3AB4"/>
    <w:rsid w:val="009C3C7B"/>
    <w:rsid w:val="009C55F1"/>
    <w:rsid w:val="009C5CCF"/>
    <w:rsid w:val="009D0A17"/>
    <w:rsid w:val="009D1D31"/>
    <w:rsid w:val="009D1DE7"/>
    <w:rsid w:val="009D4425"/>
    <w:rsid w:val="009D5A23"/>
    <w:rsid w:val="009D5A70"/>
    <w:rsid w:val="009E2AFA"/>
    <w:rsid w:val="009E3B82"/>
    <w:rsid w:val="009E4604"/>
    <w:rsid w:val="009E5516"/>
    <w:rsid w:val="009F09CE"/>
    <w:rsid w:val="009F1183"/>
    <w:rsid w:val="009F1514"/>
    <w:rsid w:val="009F15CA"/>
    <w:rsid w:val="009F1724"/>
    <w:rsid w:val="009F2F7B"/>
    <w:rsid w:val="009F44B4"/>
    <w:rsid w:val="009F45C8"/>
    <w:rsid w:val="009F589F"/>
    <w:rsid w:val="009F6E86"/>
    <w:rsid w:val="009F7119"/>
    <w:rsid w:val="009F7BA0"/>
    <w:rsid w:val="009F7BF2"/>
    <w:rsid w:val="00A00401"/>
    <w:rsid w:val="00A026DC"/>
    <w:rsid w:val="00A03FFC"/>
    <w:rsid w:val="00A043DE"/>
    <w:rsid w:val="00A05BAE"/>
    <w:rsid w:val="00A065FE"/>
    <w:rsid w:val="00A07997"/>
    <w:rsid w:val="00A10C11"/>
    <w:rsid w:val="00A11618"/>
    <w:rsid w:val="00A12FCD"/>
    <w:rsid w:val="00A13255"/>
    <w:rsid w:val="00A14CF4"/>
    <w:rsid w:val="00A1570C"/>
    <w:rsid w:val="00A15ACE"/>
    <w:rsid w:val="00A15C4F"/>
    <w:rsid w:val="00A167FE"/>
    <w:rsid w:val="00A16E60"/>
    <w:rsid w:val="00A21099"/>
    <w:rsid w:val="00A22E1E"/>
    <w:rsid w:val="00A22EA0"/>
    <w:rsid w:val="00A23560"/>
    <w:rsid w:val="00A2724A"/>
    <w:rsid w:val="00A27E04"/>
    <w:rsid w:val="00A27E49"/>
    <w:rsid w:val="00A304BA"/>
    <w:rsid w:val="00A31F26"/>
    <w:rsid w:val="00A3460D"/>
    <w:rsid w:val="00A36978"/>
    <w:rsid w:val="00A37539"/>
    <w:rsid w:val="00A37A4B"/>
    <w:rsid w:val="00A409E8"/>
    <w:rsid w:val="00A40B4C"/>
    <w:rsid w:val="00A41CBA"/>
    <w:rsid w:val="00A42379"/>
    <w:rsid w:val="00A437AB"/>
    <w:rsid w:val="00A44ABC"/>
    <w:rsid w:val="00A4682D"/>
    <w:rsid w:val="00A469AB"/>
    <w:rsid w:val="00A47FFB"/>
    <w:rsid w:val="00A50C6C"/>
    <w:rsid w:val="00A51217"/>
    <w:rsid w:val="00A51842"/>
    <w:rsid w:val="00A51920"/>
    <w:rsid w:val="00A53834"/>
    <w:rsid w:val="00A53F00"/>
    <w:rsid w:val="00A54569"/>
    <w:rsid w:val="00A57142"/>
    <w:rsid w:val="00A60118"/>
    <w:rsid w:val="00A60347"/>
    <w:rsid w:val="00A61A47"/>
    <w:rsid w:val="00A62487"/>
    <w:rsid w:val="00A62F00"/>
    <w:rsid w:val="00A63AF0"/>
    <w:rsid w:val="00A65D4A"/>
    <w:rsid w:val="00A67E70"/>
    <w:rsid w:val="00A70534"/>
    <w:rsid w:val="00A706D2"/>
    <w:rsid w:val="00A72AC1"/>
    <w:rsid w:val="00A72E29"/>
    <w:rsid w:val="00A73147"/>
    <w:rsid w:val="00A73A46"/>
    <w:rsid w:val="00A73EA2"/>
    <w:rsid w:val="00A74A2B"/>
    <w:rsid w:val="00A7525C"/>
    <w:rsid w:val="00A75A6E"/>
    <w:rsid w:val="00A76F84"/>
    <w:rsid w:val="00A77B25"/>
    <w:rsid w:val="00A77E86"/>
    <w:rsid w:val="00A813B8"/>
    <w:rsid w:val="00A83153"/>
    <w:rsid w:val="00A83929"/>
    <w:rsid w:val="00A84F78"/>
    <w:rsid w:val="00A86FEA"/>
    <w:rsid w:val="00A8785A"/>
    <w:rsid w:val="00A90432"/>
    <w:rsid w:val="00A938AE"/>
    <w:rsid w:val="00A93B7F"/>
    <w:rsid w:val="00A94132"/>
    <w:rsid w:val="00A95932"/>
    <w:rsid w:val="00A967BA"/>
    <w:rsid w:val="00A96864"/>
    <w:rsid w:val="00A970B4"/>
    <w:rsid w:val="00A97F4A"/>
    <w:rsid w:val="00AA22C4"/>
    <w:rsid w:val="00AA7C9E"/>
    <w:rsid w:val="00AB04D3"/>
    <w:rsid w:val="00AB0D32"/>
    <w:rsid w:val="00AB0DB7"/>
    <w:rsid w:val="00AB0E27"/>
    <w:rsid w:val="00AB0F91"/>
    <w:rsid w:val="00AB48A3"/>
    <w:rsid w:val="00AB5599"/>
    <w:rsid w:val="00AB6763"/>
    <w:rsid w:val="00AB6FD4"/>
    <w:rsid w:val="00AC16E1"/>
    <w:rsid w:val="00AC24D4"/>
    <w:rsid w:val="00AC33B8"/>
    <w:rsid w:val="00AC4010"/>
    <w:rsid w:val="00AC46F5"/>
    <w:rsid w:val="00AC4F32"/>
    <w:rsid w:val="00AC5CD4"/>
    <w:rsid w:val="00AC7E98"/>
    <w:rsid w:val="00AD012B"/>
    <w:rsid w:val="00AD01DF"/>
    <w:rsid w:val="00AD1422"/>
    <w:rsid w:val="00AD191A"/>
    <w:rsid w:val="00AD5DDB"/>
    <w:rsid w:val="00AD783C"/>
    <w:rsid w:val="00AE0AB7"/>
    <w:rsid w:val="00AE31D9"/>
    <w:rsid w:val="00AE4848"/>
    <w:rsid w:val="00AE6B9C"/>
    <w:rsid w:val="00AE7751"/>
    <w:rsid w:val="00AE77BE"/>
    <w:rsid w:val="00AF1F30"/>
    <w:rsid w:val="00AF3161"/>
    <w:rsid w:val="00AF380A"/>
    <w:rsid w:val="00AF3C3E"/>
    <w:rsid w:val="00AF4242"/>
    <w:rsid w:val="00AF4DBC"/>
    <w:rsid w:val="00AF62C2"/>
    <w:rsid w:val="00B00809"/>
    <w:rsid w:val="00B00D76"/>
    <w:rsid w:val="00B0165C"/>
    <w:rsid w:val="00B03D10"/>
    <w:rsid w:val="00B05323"/>
    <w:rsid w:val="00B0573B"/>
    <w:rsid w:val="00B05D7A"/>
    <w:rsid w:val="00B05FDA"/>
    <w:rsid w:val="00B07A45"/>
    <w:rsid w:val="00B12489"/>
    <w:rsid w:val="00B146C0"/>
    <w:rsid w:val="00B1476D"/>
    <w:rsid w:val="00B14C33"/>
    <w:rsid w:val="00B240A2"/>
    <w:rsid w:val="00B25DBD"/>
    <w:rsid w:val="00B32E4E"/>
    <w:rsid w:val="00B33857"/>
    <w:rsid w:val="00B35E74"/>
    <w:rsid w:val="00B40BA2"/>
    <w:rsid w:val="00B41539"/>
    <w:rsid w:val="00B43F32"/>
    <w:rsid w:val="00B441CB"/>
    <w:rsid w:val="00B442AE"/>
    <w:rsid w:val="00B4456F"/>
    <w:rsid w:val="00B46E68"/>
    <w:rsid w:val="00B50195"/>
    <w:rsid w:val="00B55185"/>
    <w:rsid w:val="00B552F4"/>
    <w:rsid w:val="00B55BE5"/>
    <w:rsid w:val="00B568A0"/>
    <w:rsid w:val="00B603B4"/>
    <w:rsid w:val="00B60F78"/>
    <w:rsid w:val="00B61ECE"/>
    <w:rsid w:val="00B61F61"/>
    <w:rsid w:val="00B63BBC"/>
    <w:rsid w:val="00B64913"/>
    <w:rsid w:val="00B65F15"/>
    <w:rsid w:val="00B712BF"/>
    <w:rsid w:val="00B71598"/>
    <w:rsid w:val="00B720AE"/>
    <w:rsid w:val="00B735BE"/>
    <w:rsid w:val="00B740E8"/>
    <w:rsid w:val="00B74DD7"/>
    <w:rsid w:val="00B75EBB"/>
    <w:rsid w:val="00B7655F"/>
    <w:rsid w:val="00B76AD6"/>
    <w:rsid w:val="00B77386"/>
    <w:rsid w:val="00B802A8"/>
    <w:rsid w:val="00B822F1"/>
    <w:rsid w:val="00B82B77"/>
    <w:rsid w:val="00B83110"/>
    <w:rsid w:val="00B85C4B"/>
    <w:rsid w:val="00B85CBA"/>
    <w:rsid w:val="00B9004D"/>
    <w:rsid w:val="00B903CD"/>
    <w:rsid w:val="00B90CF8"/>
    <w:rsid w:val="00B91986"/>
    <w:rsid w:val="00B91C74"/>
    <w:rsid w:val="00B94EB0"/>
    <w:rsid w:val="00B94F9B"/>
    <w:rsid w:val="00B96E4F"/>
    <w:rsid w:val="00BA1085"/>
    <w:rsid w:val="00BA2622"/>
    <w:rsid w:val="00BA2FB5"/>
    <w:rsid w:val="00BA51F4"/>
    <w:rsid w:val="00BA5F4E"/>
    <w:rsid w:val="00BA62B5"/>
    <w:rsid w:val="00BA688E"/>
    <w:rsid w:val="00BA6EF9"/>
    <w:rsid w:val="00BA7287"/>
    <w:rsid w:val="00BA7C6F"/>
    <w:rsid w:val="00BB230D"/>
    <w:rsid w:val="00BB2FB5"/>
    <w:rsid w:val="00BB3408"/>
    <w:rsid w:val="00BB4052"/>
    <w:rsid w:val="00BB46BB"/>
    <w:rsid w:val="00BB47D5"/>
    <w:rsid w:val="00BB5DCC"/>
    <w:rsid w:val="00BC2A86"/>
    <w:rsid w:val="00BC40AE"/>
    <w:rsid w:val="00BC5A79"/>
    <w:rsid w:val="00BC7341"/>
    <w:rsid w:val="00BC7870"/>
    <w:rsid w:val="00BC78DA"/>
    <w:rsid w:val="00BC7B37"/>
    <w:rsid w:val="00BD17E4"/>
    <w:rsid w:val="00BD24CB"/>
    <w:rsid w:val="00BD4333"/>
    <w:rsid w:val="00BD43A8"/>
    <w:rsid w:val="00BD5E87"/>
    <w:rsid w:val="00BE079E"/>
    <w:rsid w:val="00BE07E2"/>
    <w:rsid w:val="00BE2447"/>
    <w:rsid w:val="00BE2A64"/>
    <w:rsid w:val="00BE2AD6"/>
    <w:rsid w:val="00BE4763"/>
    <w:rsid w:val="00BE609B"/>
    <w:rsid w:val="00BE6EF3"/>
    <w:rsid w:val="00BF00BC"/>
    <w:rsid w:val="00BF0F0E"/>
    <w:rsid w:val="00BF10E4"/>
    <w:rsid w:val="00BF20DB"/>
    <w:rsid w:val="00BF2A76"/>
    <w:rsid w:val="00BF4225"/>
    <w:rsid w:val="00BF4801"/>
    <w:rsid w:val="00BF54DD"/>
    <w:rsid w:val="00C006C9"/>
    <w:rsid w:val="00C035E1"/>
    <w:rsid w:val="00C03FE4"/>
    <w:rsid w:val="00C0432B"/>
    <w:rsid w:val="00C04817"/>
    <w:rsid w:val="00C04B1F"/>
    <w:rsid w:val="00C06C8B"/>
    <w:rsid w:val="00C07268"/>
    <w:rsid w:val="00C11026"/>
    <w:rsid w:val="00C115B3"/>
    <w:rsid w:val="00C1168C"/>
    <w:rsid w:val="00C125A4"/>
    <w:rsid w:val="00C1324B"/>
    <w:rsid w:val="00C13460"/>
    <w:rsid w:val="00C13925"/>
    <w:rsid w:val="00C13EBC"/>
    <w:rsid w:val="00C144E4"/>
    <w:rsid w:val="00C1475A"/>
    <w:rsid w:val="00C16F8A"/>
    <w:rsid w:val="00C2028A"/>
    <w:rsid w:val="00C2122A"/>
    <w:rsid w:val="00C22756"/>
    <w:rsid w:val="00C22C5A"/>
    <w:rsid w:val="00C2376A"/>
    <w:rsid w:val="00C237AD"/>
    <w:rsid w:val="00C24FFB"/>
    <w:rsid w:val="00C26D4E"/>
    <w:rsid w:val="00C3076E"/>
    <w:rsid w:val="00C30D97"/>
    <w:rsid w:val="00C31720"/>
    <w:rsid w:val="00C31C4E"/>
    <w:rsid w:val="00C34D41"/>
    <w:rsid w:val="00C354C4"/>
    <w:rsid w:val="00C35EB8"/>
    <w:rsid w:val="00C3610C"/>
    <w:rsid w:val="00C40472"/>
    <w:rsid w:val="00C40925"/>
    <w:rsid w:val="00C40A1A"/>
    <w:rsid w:val="00C43B15"/>
    <w:rsid w:val="00C43DEA"/>
    <w:rsid w:val="00C44E75"/>
    <w:rsid w:val="00C45804"/>
    <w:rsid w:val="00C45F62"/>
    <w:rsid w:val="00C472D8"/>
    <w:rsid w:val="00C476E1"/>
    <w:rsid w:val="00C52853"/>
    <w:rsid w:val="00C52F83"/>
    <w:rsid w:val="00C53129"/>
    <w:rsid w:val="00C5338A"/>
    <w:rsid w:val="00C56B6D"/>
    <w:rsid w:val="00C57378"/>
    <w:rsid w:val="00C61182"/>
    <w:rsid w:val="00C61A66"/>
    <w:rsid w:val="00C62DC1"/>
    <w:rsid w:val="00C63202"/>
    <w:rsid w:val="00C6360A"/>
    <w:rsid w:val="00C639BD"/>
    <w:rsid w:val="00C641A4"/>
    <w:rsid w:val="00C67F7A"/>
    <w:rsid w:val="00C74AAF"/>
    <w:rsid w:val="00C74EAC"/>
    <w:rsid w:val="00C75A49"/>
    <w:rsid w:val="00C76706"/>
    <w:rsid w:val="00C77BAE"/>
    <w:rsid w:val="00C83278"/>
    <w:rsid w:val="00C84234"/>
    <w:rsid w:val="00C853E2"/>
    <w:rsid w:val="00C87AB5"/>
    <w:rsid w:val="00C87ECB"/>
    <w:rsid w:val="00C92DA1"/>
    <w:rsid w:val="00C93328"/>
    <w:rsid w:val="00C93ED6"/>
    <w:rsid w:val="00CA12B9"/>
    <w:rsid w:val="00CA1B14"/>
    <w:rsid w:val="00CA3A12"/>
    <w:rsid w:val="00CB0A76"/>
    <w:rsid w:val="00CB0ABC"/>
    <w:rsid w:val="00CB0B9E"/>
    <w:rsid w:val="00CB0BDC"/>
    <w:rsid w:val="00CB0E67"/>
    <w:rsid w:val="00CB1860"/>
    <w:rsid w:val="00CB4B7B"/>
    <w:rsid w:val="00CC175A"/>
    <w:rsid w:val="00CC2691"/>
    <w:rsid w:val="00CC365B"/>
    <w:rsid w:val="00CC3C32"/>
    <w:rsid w:val="00CC5328"/>
    <w:rsid w:val="00CC59ED"/>
    <w:rsid w:val="00CC5E70"/>
    <w:rsid w:val="00CC745E"/>
    <w:rsid w:val="00CD0153"/>
    <w:rsid w:val="00CD0A75"/>
    <w:rsid w:val="00CD254D"/>
    <w:rsid w:val="00CD29C3"/>
    <w:rsid w:val="00CD30D0"/>
    <w:rsid w:val="00CD3C73"/>
    <w:rsid w:val="00CD4D4D"/>
    <w:rsid w:val="00CD67C0"/>
    <w:rsid w:val="00CD715A"/>
    <w:rsid w:val="00CD7441"/>
    <w:rsid w:val="00CE13A5"/>
    <w:rsid w:val="00CE27B9"/>
    <w:rsid w:val="00CE2C6F"/>
    <w:rsid w:val="00CE39F0"/>
    <w:rsid w:val="00CE3A00"/>
    <w:rsid w:val="00CE45FE"/>
    <w:rsid w:val="00CE485C"/>
    <w:rsid w:val="00CE53EF"/>
    <w:rsid w:val="00CE6B3B"/>
    <w:rsid w:val="00CE7DB3"/>
    <w:rsid w:val="00CF38E8"/>
    <w:rsid w:val="00CF3E91"/>
    <w:rsid w:val="00CF407A"/>
    <w:rsid w:val="00CF5D23"/>
    <w:rsid w:val="00CF6BC8"/>
    <w:rsid w:val="00CF7747"/>
    <w:rsid w:val="00D0035F"/>
    <w:rsid w:val="00D012B5"/>
    <w:rsid w:val="00D038A3"/>
    <w:rsid w:val="00D03E69"/>
    <w:rsid w:val="00D046CC"/>
    <w:rsid w:val="00D05EDF"/>
    <w:rsid w:val="00D0782F"/>
    <w:rsid w:val="00D10D34"/>
    <w:rsid w:val="00D119D5"/>
    <w:rsid w:val="00D1286C"/>
    <w:rsid w:val="00D16CAC"/>
    <w:rsid w:val="00D17A2F"/>
    <w:rsid w:val="00D17B05"/>
    <w:rsid w:val="00D20330"/>
    <w:rsid w:val="00D20E96"/>
    <w:rsid w:val="00D21493"/>
    <w:rsid w:val="00D21F42"/>
    <w:rsid w:val="00D235C5"/>
    <w:rsid w:val="00D23CA7"/>
    <w:rsid w:val="00D24D70"/>
    <w:rsid w:val="00D25534"/>
    <w:rsid w:val="00D272E7"/>
    <w:rsid w:val="00D273DD"/>
    <w:rsid w:val="00D3118E"/>
    <w:rsid w:val="00D31D7E"/>
    <w:rsid w:val="00D32756"/>
    <w:rsid w:val="00D3278D"/>
    <w:rsid w:val="00D3327D"/>
    <w:rsid w:val="00D33EE4"/>
    <w:rsid w:val="00D3428D"/>
    <w:rsid w:val="00D361C4"/>
    <w:rsid w:val="00D37004"/>
    <w:rsid w:val="00D376F3"/>
    <w:rsid w:val="00D42EB1"/>
    <w:rsid w:val="00D4390D"/>
    <w:rsid w:val="00D45743"/>
    <w:rsid w:val="00D47314"/>
    <w:rsid w:val="00D4794E"/>
    <w:rsid w:val="00D47F4C"/>
    <w:rsid w:val="00D51636"/>
    <w:rsid w:val="00D53999"/>
    <w:rsid w:val="00D54CDA"/>
    <w:rsid w:val="00D55F49"/>
    <w:rsid w:val="00D6026D"/>
    <w:rsid w:val="00D62444"/>
    <w:rsid w:val="00D62519"/>
    <w:rsid w:val="00D62541"/>
    <w:rsid w:val="00D627B7"/>
    <w:rsid w:val="00D63875"/>
    <w:rsid w:val="00D6446C"/>
    <w:rsid w:val="00D64696"/>
    <w:rsid w:val="00D662B8"/>
    <w:rsid w:val="00D66F8C"/>
    <w:rsid w:val="00D70797"/>
    <w:rsid w:val="00D73F64"/>
    <w:rsid w:val="00D74184"/>
    <w:rsid w:val="00D74A65"/>
    <w:rsid w:val="00D825C8"/>
    <w:rsid w:val="00D858AF"/>
    <w:rsid w:val="00D87F19"/>
    <w:rsid w:val="00D90807"/>
    <w:rsid w:val="00D9144F"/>
    <w:rsid w:val="00D931E0"/>
    <w:rsid w:val="00D95E0D"/>
    <w:rsid w:val="00D961F4"/>
    <w:rsid w:val="00D971ED"/>
    <w:rsid w:val="00DA0F67"/>
    <w:rsid w:val="00DA1248"/>
    <w:rsid w:val="00DA5FAE"/>
    <w:rsid w:val="00DA6668"/>
    <w:rsid w:val="00DB1C49"/>
    <w:rsid w:val="00DB33E7"/>
    <w:rsid w:val="00DB4640"/>
    <w:rsid w:val="00DB573E"/>
    <w:rsid w:val="00DB5D99"/>
    <w:rsid w:val="00DB67ED"/>
    <w:rsid w:val="00DB6FFA"/>
    <w:rsid w:val="00DC034B"/>
    <w:rsid w:val="00DC0CBC"/>
    <w:rsid w:val="00DC1812"/>
    <w:rsid w:val="00DC34EC"/>
    <w:rsid w:val="00DC431F"/>
    <w:rsid w:val="00DC7903"/>
    <w:rsid w:val="00DD4E42"/>
    <w:rsid w:val="00DD4E9D"/>
    <w:rsid w:val="00DD6A9B"/>
    <w:rsid w:val="00DE0266"/>
    <w:rsid w:val="00DE0D97"/>
    <w:rsid w:val="00DE1021"/>
    <w:rsid w:val="00DE29E5"/>
    <w:rsid w:val="00DE3C2D"/>
    <w:rsid w:val="00DE4663"/>
    <w:rsid w:val="00DE4849"/>
    <w:rsid w:val="00DE745D"/>
    <w:rsid w:val="00DF30DF"/>
    <w:rsid w:val="00DF3795"/>
    <w:rsid w:val="00DF41B5"/>
    <w:rsid w:val="00DF5CAE"/>
    <w:rsid w:val="00DF5F88"/>
    <w:rsid w:val="00DF67BA"/>
    <w:rsid w:val="00DF6DD4"/>
    <w:rsid w:val="00DF78B3"/>
    <w:rsid w:val="00E01563"/>
    <w:rsid w:val="00E02BB0"/>
    <w:rsid w:val="00E031FB"/>
    <w:rsid w:val="00E03B44"/>
    <w:rsid w:val="00E0692D"/>
    <w:rsid w:val="00E07023"/>
    <w:rsid w:val="00E07D17"/>
    <w:rsid w:val="00E10426"/>
    <w:rsid w:val="00E10913"/>
    <w:rsid w:val="00E11EF3"/>
    <w:rsid w:val="00E12BFB"/>
    <w:rsid w:val="00E14A36"/>
    <w:rsid w:val="00E1749B"/>
    <w:rsid w:val="00E17927"/>
    <w:rsid w:val="00E24E38"/>
    <w:rsid w:val="00E25757"/>
    <w:rsid w:val="00E26251"/>
    <w:rsid w:val="00E26FCC"/>
    <w:rsid w:val="00E319F1"/>
    <w:rsid w:val="00E3299D"/>
    <w:rsid w:val="00E33DEA"/>
    <w:rsid w:val="00E33FD7"/>
    <w:rsid w:val="00E34F6D"/>
    <w:rsid w:val="00E3576C"/>
    <w:rsid w:val="00E36535"/>
    <w:rsid w:val="00E415CF"/>
    <w:rsid w:val="00E41BD3"/>
    <w:rsid w:val="00E448FC"/>
    <w:rsid w:val="00E45CF5"/>
    <w:rsid w:val="00E45FD8"/>
    <w:rsid w:val="00E46EA5"/>
    <w:rsid w:val="00E47A73"/>
    <w:rsid w:val="00E47D2D"/>
    <w:rsid w:val="00E501DC"/>
    <w:rsid w:val="00E50577"/>
    <w:rsid w:val="00E51DD3"/>
    <w:rsid w:val="00E523E4"/>
    <w:rsid w:val="00E52459"/>
    <w:rsid w:val="00E5531E"/>
    <w:rsid w:val="00E55C3F"/>
    <w:rsid w:val="00E57E7F"/>
    <w:rsid w:val="00E638A6"/>
    <w:rsid w:val="00E63F9C"/>
    <w:rsid w:val="00E65FA9"/>
    <w:rsid w:val="00E66563"/>
    <w:rsid w:val="00E667FB"/>
    <w:rsid w:val="00E70A28"/>
    <w:rsid w:val="00E70E4C"/>
    <w:rsid w:val="00E726D7"/>
    <w:rsid w:val="00E729F1"/>
    <w:rsid w:val="00E7363B"/>
    <w:rsid w:val="00E755F9"/>
    <w:rsid w:val="00E81DC7"/>
    <w:rsid w:val="00E829ED"/>
    <w:rsid w:val="00E82D20"/>
    <w:rsid w:val="00E839FF"/>
    <w:rsid w:val="00E83CE6"/>
    <w:rsid w:val="00E91146"/>
    <w:rsid w:val="00E93804"/>
    <w:rsid w:val="00E93ACB"/>
    <w:rsid w:val="00E9530D"/>
    <w:rsid w:val="00E96506"/>
    <w:rsid w:val="00E96D40"/>
    <w:rsid w:val="00E96DB2"/>
    <w:rsid w:val="00E97252"/>
    <w:rsid w:val="00E977C1"/>
    <w:rsid w:val="00EA0044"/>
    <w:rsid w:val="00EA0060"/>
    <w:rsid w:val="00EA2C08"/>
    <w:rsid w:val="00EA4FF8"/>
    <w:rsid w:val="00EA69AC"/>
    <w:rsid w:val="00EB2D1F"/>
    <w:rsid w:val="00EB411A"/>
    <w:rsid w:val="00EB5DC9"/>
    <w:rsid w:val="00EB684E"/>
    <w:rsid w:val="00EB755D"/>
    <w:rsid w:val="00EC0719"/>
    <w:rsid w:val="00EC25CF"/>
    <w:rsid w:val="00EC2722"/>
    <w:rsid w:val="00EC2B9A"/>
    <w:rsid w:val="00EC4694"/>
    <w:rsid w:val="00EC4AA4"/>
    <w:rsid w:val="00ED03BF"/>
    <w:rsid w:val="00ED053A"/>
    <w:rsid w:val="00ED2E9A"/>
    <w:rsid w:val="00EE0185"/>
    <w:rsid w:val="00EE0CBF"/>
    <w:rsid w:val="00EE53CA"/>
    <w:rsid w:val="00EE7D55"/>
    <w:rsid w:val="00EE7DF7"/>
    <w:rsid w:val="00EF040F"/>
    <w:rsid w:val="00EF1678"/>
    <w:rsid w:val="00EF26D0"/>
    <w:rsid w:val="00EF5FDB"/>
    <w:rsid w:val="00EF60E9"/>
    <w:rsid w:val="00EF7CF6"/>
    <w:rsid w:val="00F02BDD"/>
    <w:rsid w:val="00F04AD6"/>
    <w:rsid w:val="00F05002"/>
    <w:rsid w:val="00F0584A"/>
    <w:rsid w:val="00F13D3F"/>
    <w:rsid w:val="00F1554E"/>
    <w:rsid w:val="00F17A30"/>
    <w:rsid w:val="00F20D35"/>
    <w:rsid w:val="00F21CF6"/>
    <w:rsid w:val="00F24922"/>
    <w:rsid w:val="00F2681C"/>
    <w:rsid w:val="00F26D0D"/>
    <w:rsid w:val="00F26E96"/>
    <w:rsid w:val="00F279AD"/>
    <w:rsid w:val="00F300E0"/>
    <w:rsid w:val="00F30DB3"/>
    <w:rsid w:val="00F3142A"/>
    <w:rsid w:val="00F31CD6"/>
    <w:rsid w:val="00F321AF"/>
    <w:rsid w:val="00F33E36"/>
    <w:rsid w:val="00F33EC3"/>
    <w:rsid w:val="00F4197B"/>
    <w:rsid w:val="00F41C1B"/>
    <w:rsid w:val="00F43259"/>
    <w:rsid w:val="00F43BA7"/>
    <w:rsid w:val="00F440EF"/>
    <w:rsid w:val="00F44C52"/>
    <w:rsid w:val="00F4536C"/>
    <w:rsid w:val="00F46ACD"/>
    <w:rsid w:val="00F50E64"/>
    <w:rsid w:val="00F50EEF"/>
    <w:rsid w:val="00F548D9"/>
    <w:rsid w:val="00F55531"/>
    <w:rsid w:val="00F5556D"/>
    <w:rsid w:val="00F5781A"/>
    <w:rsid w:val="00F579DE"/>
    <w:rsid w:val="00F610E1"/>
    <w:rsid w:val="00F628F0"/>
    <w:rsid w:val="00F6529C"/>
    <w:rsid w:val="00F70672"/>
    <w:rsid w:val="00F70920"/>
    <w:rsid w:val="00F71AB1"/>
    <w:rsid w:val="00F71C4B"/>
    <w:rsid w:val="00F73817"/>
    <w:rsid w:val="00F73EE4"/>
    <w:rsid w:val="00F74068"/>
    <w:rsid w:val="00F748D1"/>
    <w:rsid w:val="00F77CC4"/>
    <w:rsid w:val="00F85136"/>
    <w:rsid w:val="00F86114"/>
    <w:rsid w:val="00F909EF"/>
    <w:rsid w:val="00F92126"/>
    <w:rsid w:val="00F92432"/>
    <w:rsid w:val="00F92EA4"/>
    <w:rsid w:val="00F94893"/>
    <w:rsid w:val="00F96BF4"/>
    <w:rsid w:val="00F972C1"/>
    <w:rsid w:val="00FA0B68"/>
    <w:rsid w:val="00FA0B90"/>
    <w:rsid w:val="00FA0C5C"/>
    <w:rsid w:val="00FA10B1"/>
    <w:rsid w:val="00FA17BC"/>
    <w:rsid w:val="00FA28F4"/>
    <w:rsid w:val="00FA4160"/>
    <w:rsid w:val="00FA5AD6"/>
    <w:rsid w:val="00FA5F3A"/>
    <w:rsid w:val="00FA6485"/>
    <w:rsid w:val="00FB3600"/>
    <w:rsid w:val="00FB40CE"/>
    <w:rsid w:val="00FB4EC1"/>
    <w:rsid w:val="00FB52A2"/>
    <w:rsid w:val="00FB5943"/>
    <w:rsid w:val="00FB599B"/>
    <w:rsid w:val="00FB67F2"/>
    <w:rsid w:val="00FB7150"/>
    <w:rsid w:val="00FB72FE"/>
    <w:rsid w:val="00FB7B59"/>
    <w:rsid w:val="00FC01AC"/>
    <w:rsid w:val="00FC0D9D"/>
    <w:rsid w:val="00FC1887"/>
    <w:rsid w:val="00FC230D"/>
    <w:rsid w:val="00FC2A3E"/>
    <w:rsid w:val="00FC3BCE"/>
    <w:rsid w:val="00FC4679"/>
    <w:rsid w:val="00FC5814"/>
    <w:rsid w:val="00FD0BDD"/>
    <w:rsid w:val="00FD131E"/>
    <w:rsid w:val="00FD1637"/>
    <w:rsid w:val="00FD2175"/>
    <w:rsid w:val="00FD65D4"/>
    <w:rsid w:val="00FD6E7D"/>
    <w:rsid w:val="00FD6EE4"/>
    <w:rsid w:val="00FE1B24"/>
    <w:rsid w:val="00FE2AD4"/>
    <w:rsid w:val="00FE35CB"/>
    <w:rsid w:val="00FE3A82"/>
    <w:rsid w:val="00FE464C"/>
    <w:rsid w:val="00FE531B"/>
    <w:rsid w:val="00FE572B"/>
    <w:rsid w:val="00FE58B1"/>
    <w:rsid w:val="00FE6577"/>
    <w:rsid w:val="00FE68CC"/>
    <w:rsid w:val="00FF1999"/>
    <w:rsid w:val="00FF1D14"/>
    <w:rsid w:val="00FF1E0A"/>
    <w:rsid w:val="00FF2D1F"/>
    <w:rsid w:val="00FF39C0"/>
    <w:rsid w:val="00FF4BF0"/>
    <w:rsid w:val="00FF6404"/>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2377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B5D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52377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A706D2"/>
    <w:rPr>
      <w:color w:val="0000FF" w:themeColor="hyperlink"/>
      <w:u w:val="single"/>
    </w:rPr>
  </w:style>
  <w:style w:type="character" w:styleId="UnresolvedMention">
    <w:name w:val="Unresolved Mention"/>
    <w:basedOn w:val="DefaultParagraphFont"/>
    <w:uiPriority w:val="99"/>
    <w:semiHidden/>
    <w:unhideWhenUsed/>
    <w:rsid w:val="00A706D2"/>
    <w:rPr>
      <w:color w:val="605E5C"/>
      <w:shd w:val="clear" w:color="auto" w:fill="E1DFDD"/>
    </w:rPr>
  </w:style>
  <w:style w:type="table" w:styleId="GridTable6Colorful">
    <w:name w:val="Grid Table 6 Colorful"/>
    <w:basedOn w:val="TableNormal"/>
    <w:uiPriority w:val="51"/>
    <w:rsid w:val="00B07A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B07A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51920"/>
    <w:rPr>
      <w:i/>
      <w:iCs/>
    </w:rPr>
  </w:style>
  <w:style w:type="character" w:customStyle="1" w:styleId="Heading4Char">
    <w:name w:val="Heading 4 Char"/>
    <w:basedOn w:val="DefaultParagraphFont"/>
    <w:link w:val="Heading4"/>
    <w:uiPriority w:val="9"/>
    <w:semiHidden/>
    <w:rsid w:val="00DB5D99"/>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1715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E729F1"/>
    <w:rPr>
      <w:color w:val="800080" w:themeColor="followedHyperlink"/>
      <w:u w:val="single"/>
    </w:rPr>
  </w:style>
  <w:style w:type="paragraph" w:styleId="NoSpacing">
    <w:name w:val="No Spacing"/>
    <w:link w:val="NoSpacingChar"/>
    <w:uiPriority w:val="1"/>
    <w:qFormat/>
    <w:rsid w:val="00620523"/>
    <w:pPr>
      <w:spacing w:after="0" w:line="240" w:lineRule="auto"/>
    </w:pPr>
    <w:rPr>
      <w:rFonts w:eastAsiaTheme="minorEastAsia"/>
    </w:rPr>
  </w:style>
  <w:style w:type="character" w:customStyle="1" w:styleId="NoSpacingChar">
    <w:name w:val="No Spacing Char"/>
    <w:basedOn w:val="DefaultParagraphFont"/>
    <w:link w:val="NoSpacing"/>
    <w:uiPriority w:val="1"/>
    <w:rsid w:val="00620523"/>
    <w:rPr>
      <w:rFonts w:eastAsiaTheme="minorEastAsia"/>
    </w:rPr>
  </w:style>
  <w:style w:type="table" w:styleId="GridTable4-Accent1">
    <w:name w:val="Grid Table 4 Accent 1"/>
    <w:basedOn w:val="TableNormal"/>
    <w:uiPriority w:val="49"/>
    <w:rsid w:val="002D73E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7702018">
      <w:bodyDiv w:val="1"/>
      <w:marLeft w:val="0"/>
      <w:marRight w:val="0"/>
      <w:marTop w:val="0"/>
      <w:marBottom w:val="0"/>
      <w:divBdr>
        <w:top w:val="none" w:sz="0" w:space="0" w:color="auto"/>
        <w:left w:val="none" w:sz="0" w:space="0" w:color="auto"/>
        <w:bottom w:val="none" w:sz="0" w:space="0" w:color="auto"/>
        <w:right w:val="none" w:sz="0" w:space="0" w:color="auto"/>
      </w:divBdr>
    </w:div>
    <w:div w:id="77136225">
      <w:bodyDiv w:val="1"/>
      <w:marLeft w:val="0"/>
      <w:marRight w:val="0"/>
      <w:marTop w:val="0"/>
      <w:marBottom w:val="0"/>
      <w:divBdr>
        <w:top w:val="none" w:sz="0" w:space="0" w:color="auto"/>
        <w:left w:val="none" w:sz="0" w:space="0" w:color="auto"/>
        <w:bottom w:val="none" w:sz="0" w:space="0" w:color="auto"/>
        <w:right w:val="none" w:sz="0" w:space="0" w:color="auto"/>
      </w:divBdr>
    </w:div>
    <w:div w:id="77140774">
      <w:bodyDiv w:val="1"/>
      <w:marLeft w:val="0"/>
      <w:marRight w:val="0"/>
      <w:marTop w:val="0"/>
      <w:marBottom w:val="0"/>
      <w:divBdr>
        <w:top w:val="none" w:sz="0" w:space="0" w:color="auto"/>
        <w:left w:val="none" w:sz="0" w:space="0" w:color="auto"/>
        <w:bottom w:val="none" w:sz="0" w:space="0" w:color="auto"/>
        <w:right w:val="none" w:sz="0" w:space="0" w:color="auto"/>
      </w:divBdr>
    </w:div>
    <w:div w:id="97213352">
      <w:bodyDiv w:val="1"/>
      <w:marLeft w:val="0"/>
      <w:marRight w:val="0"/>
      <w:marTop w:val="0"/>
      <w:marBottom w:val="0"/>
      <w:divBdr>
        <w:top w:val="none" w:sz="0" w:space="0" w:color="auto"/>
        <w:left w:val="none" w:sz="0" w:space="0" w:color="auto"/>
        <w:bottom w:val="none" w:sz="0" w:space="0" w:color="auto"/>
        <w:right w:val="none" w:sz="0" w:space="0" w:color="auto"/>
      </w:divBdr>
    </w:div>
    <w:div w:id="102503030">
      <w:bodyDiv w:val="1"/>
      <w:marLeft w:val="0"/>
      <w:marRight w:val="0"/>
      <w:marTop w:val="0"/>
      <w:marBottom w:val="0"/>
      <w:divBdr>
        <w:top w:val="none" w:sz="0" w:space="0" w:color="auto"/>
        <w:left w:val="none" w:sz="0" w:space="0" w:color="auto"/>
        <w:bottom w:val="none" w:sz="0" w:space="0" w:color="auto"/>
        <w:right w:val="none" w:sz="0" w:space="0" w:color="auto"/>
      </w:divBdr>
    </w:div>
    <w:div w:id="111289796">
      <w:bodyDiv w:val="1"/>
      <w:marLeft w:val="0"/>
      <w:marRight w:val="0"/>
      <w:marTop w:val="0"/>
      <w:marBottom w:val="0"/>
      <w:divBdr>
        <w:top w:val="none" w:sz="0" w:space="0" w:color="auto"/>
        <w:left w:val="none" w:sz="0" w:space="0" w:color="auto"/>
        <w:bottom w:val="none" w:sz="0" w:space="0" w:color="auto"/>
        <w:right w:val="none" w:sz="0" w:space="0" w:color="auto"/>
      </w:divBdr>
    </w:div>
    <w:div w:id="149948666">
      <w:bodyDiv w:val="1"/>
      <w:marLeft w:val="0"/>
      <w:marRight w:val="0"/>
      <w:marTop w:val="0"/>
      <w:marBottom w:val="0"/>
      <w:divBdr>
        <w:top w:val="none" w:sz="0" w:space="0" w:color="auto"/>
        <w:left w:val="none" w:sz="0" w:space="0" w:color="auto"/>
        <w:bottom w:val="none" w:sz="0" w:space="0" w:color="auto"/>
        <w:right w:val="none" w:sz="0" w:space="0" w:color="auto"/>
      </w:divBdr>
    </w:div>
    <w:div w:id="164708665">
      <w:bodyDiv w:val="1"/>
      <w:marLeft w:val="0"/>
      <w:marRight w:val="0"/>
      <w:marTop w:val="0"/>
      <w:marBottom w:val="0"/>
      <w:divBdr>
        <w:top w:val="none" w:sz="0" w:space="0" w:color="auto"/>
        <w:left w:val="none" w:sz="0" w:space="0" w:color="auto"/>
        <w:bottom w:val="none" w:sz="0" w:space="0" w:color="auto"/>
        <w:right w:val="none" w:sz="0" w:space="0" w:color="auto"/>
      </w:divBdr>
    </w:div>
    <w:div w:id="170531350">
      <w:bodyDiv w:val="1"/>
      <w:marLeft w:val="0"/>
      <w:marRight w:val="0"/>
      <w:marTop w:val="0"/>
      <w:marBottom w:val="0"/>
      <w:divBdr>
        <w:top w:val="none" w:sz="0" w:space="0" w:color="auto"/>
        <w:left w:val="none" w:sz="0" w:space="0" w:color="auto"/>
        <w:bottom w:val="none" w:sz="0" w:space="0" w:color="auto"/>
        <w:right w:val="none" w:sz="0" w:space="0" w:color="auto"/>
      </w:divBdr>
    </w:div>
    <w:div w:id="189925060">
      <w:bodyDiv w:val="1"/>
      <w:marLeft w:val="0"/>
      <w:marRight w:val="0"/>
      <w:marTop w:val="0"/>
      <w:marBottom w:val="0"/>
      <w:divBdr>
        <w:top w:val="none" w:sz="0" w:space="0" w:color="auto"/>
        <w:left w:val="none" w:sz="0" w:space="0" w:color="auto"/>
        <w:bottom w:val="none" w:sz="0" w:space="0" w:color="auto"/>
        <w:right w:val="none" w:sz="0" w:space="0" w:color="auto"/>
      </w:divBdr>
    </w:div>
    <w:div w:id="230311650">
      <w:bodyDiv w:val="1"/>
      <w:marLeft w:val="0"/>
      <w:marRight w:val="0"/>
      <w:marTop w:val="0"/>
      <w:marBottom w:val="0"/>
      <w:divBdr>
        <w:top w:val="none" w:sz="0" w:space="0" w:color="auto"/>
        <w:left w:val="none" w:sz="0" w:space="0" w:color="auto"/>
        <w:bottom w:val="none" w:sz="0" w:space="0" w:color="auto"/>
        <w:right w:val="none" w:sz="0" w:space="0" w:color="auto"/>
      </w:divBdr>
    </w:div>
    <w:div w:id="244339101">
      <w:bodyDiv w:val="1"/>
      <w:marLeft w:val="0"/>
      <w:marRight w:val="0"/>
      <w:marTop w:val="0"/>
      <w:marBottom w:val="0"/>
      <w:divBdr>
        <w:top w:val="none" w:sz="0" w:space="0" w:color="auto"/>
        <w:left w:val="none" w:sz="0" w:space="0" w:color="auto"/>
        <w:bottom w:val="none" w:sz="0" w:space="0" w:color="auto"/>
        <w:right w:val="none" w:sz="0" w:space="0" w:color="auto"/>
      </w:divBdr>
    </w:div>
    <w:div w:id="311636871">
      <w:bodyDiv w:val="1"/>
      <w:marLeft w:val="0"/>
      <w:marRight w:val="0"/>
      <w:marTop w:val="0"/>
      <w:marBottom w:val="0"/>
      <w:divBdr>
        <w:top w:val="none" w:sz="0" w:space="0" w:color="auto"/>
        <w:left w:val="none" w:sz="0" w:space="0" w:color="auto"/>
        <w:bottom w:val="none" w:sz="0" w:space="0" w:color="auto"/>
        <w:right w:val="none" w:sz="0" w:space="0" w:color="auto"/>
      </w:divBdr>
    </w:div>
    <w:div w:id="336881863">
      <w:bodyDiv w:val="1"/>
      <w:marLeft w:val="0"/>
      <w:marRight w:val="0"/>
      <w:marTop w:val="0"/>
      <w:marBottom w:val="0"/>
      <w:divBdr>
        <w:top w:val="none" w:sz="0" w:space="0" w:color="auto"/>
        <w:left w:val="none" w:sz="0" w:space="0" w:color="auto"/>
        <w:bottom w:val="none" w:sz="0" w:space="0" w:color="auto"/>
        <w:right w:val="none" w:sz="0" w:space="0" w:color="auto"/>
      </w:divBdr>
    </w:div>
    <w:div w:id="404575360">
      <w:bodyDiv w:val="1"/>
      <w:marLeft w:val="0"/>
      <w:marRight w:val="0"/>
      <w:marTop w:val="0"/>
      <w:marBottom w:val="0"/>
      <w:divBdr>
        <w:top w:val="none" w:sz="0" w:space="0" w:color="auto"/>
        <w:left w:val="none" w:sz="0" w:space="0" w:color="auto"/>
        <w:bottom w:val="none" w:sz="0" w:space="0" w:color="auto"/>
        <w:right w:val="none" w:sz="0" w:space="0" w:color="auto"/>
      </w:divBdr>
    </w:div>
    <w:div w:id="421998345">
      <w:bodyDiv w:val="1"/>
      <w:marLeft w:val="0"/>
      <w:marRight w:val="0"/>
      <w:marTop w:val="0"/>
      <w:marBottom w:val="0"/>
      <w:divBdr>
        <w:top w:val="none" w:sz="0" w:space="0" w:color="auto"/>
        <w:left w:val="none" w:sz="0" w:space="0" w:color="auto"/>
        <w:bottom w:val="none" w:sz="0" w:space="0" w:color="auto"/>
        <w:right w:val="none" w:sz="0" w:space="0" w:color="auto"/>
      </w:divBdr>
    </w:div>
    <w:div w:id="431514229">
      <w:bodyDiv w:val="1"/>
      <w:marLeft w:val="0"/>
      <w:marRight w:val="0"/>
      <w:marTop w:val="0"/>
      <w:marBottom w:val="0"/>
      <w:divBdr>
        <w:top w:val="none" w:sz="0" w:space="0" w:color="auto"/>
        <w:left w:val="none" w:sz="0" w:space="0" w:color="auto"/>
        <w:bottom w:val="none" w:sz="0" w:space="0" w:color="auto"/>
        <w:right w:val="none" w:sz="0" w:space="0" w:color="auto"/>
      </w:divBdr>
    </w:div>
    <w:div w:id="460270412">
      <w:bodyDiv w:val="1"/>
      <w:marLeft w:val="0"/>
      <w:marRight w:val="0"/>
      <w:marTop w:val="0"/>
      <w:marBottom w:val="0"/>
      <w:divBdr>
        <w:top w:val="none" w:sz="0" w:space="0" w:color="auto"/>
        <w:left w:val="none" w:sz="0" w:space="0" w:color="auto"/>
        <w:bottom w:val="none" w:sz="0" w:space="0" w:color="auto"/>
        <w:right w:val="none" w:sz="0" w:space="0" w:color="auto"/>
      </w:divBdr>
    </w:div>
    <w:div w:id="463471044">
      <w:bodyDiv w:val="1"/>
      <w:marLeft w:val="0"/>
      <w:marRight w:val="0"/>
      <w:marTop w:val="0"/>
      <w:marBottom w:val="0"/>
      <w:divBdr>
        <w:top w:val="none" w:sz="0" w:space="0" w:color="auto"/>
        <w:left w:val="none" w:sz="0" w:space="0" w:color="auto"/>
        <w:bottom w:val="none" w:sz="0" w:space="0" w:color="auto"/>
        <w:right w:val="none" w:sz="0" w:space="0" w:color="auto"/>
      </w:divBdr>
    </w:div>
    <w:div w:id="527374220">
      <w:bodyDiv w:val="1"/>
      <w:marLeft w:val="0"/>
      <w:marRight w:val="0"/>
      <w:marTop w:val="0"/>
      <w:marBottom w:val="0"/>
      <w:divBdr>
        <w:top w:val="none" w:sz="0" w:space="0" w:color="auto"/>
        <w:left w:val="none" w:sz="0" w:space="0" w:color="auto"/>
        <w:bottom w:val="none" w:sz="0" w:space="0" w:color="auto"/>
        <w:right w:val="none" w:sz="0" w:space="0" w:color="auto"/>
      </w:divBdr>
    </w:div>
    <w:div w:id="573852361">
      <w:bodyDiv w:val="1"/>
      <w:marLeft w:val="0"/>
      <w:marRight w:val="0"/>
      <w:marTop w:val="0"/>
      <w:marBottom w:val="0"/>
      <w:divBdr>
        <w:top w:val="none" w:sz="0" w:space="0" w:color="auto"/>
        <w:left w:val="none" w:sz="0" w:space="0" w:color="auto"/>
        <w:bottom w:val="none" w:sz="0" w:space="0" w:color="auto"/>
        <w:right w:val="none" w:sz="0" w:space="0" w:color="auto"/>
      </w:divBdr>
    </w:div>
    <w:div w:id="595210389">
      <w:bodyDiv w:val="1"/>
      <w:marLeft w:val="0"/>
      <w:marRight w:val="0"/>
      <w:marTop w:val="0"/>
      <w:marBottom w:val="0"/>
      <w:divBdr>
        <w:top w:val="none" w:sz="0" w:space="0" w:color="auto"/>
        <w:left w:val="none" w:sz="0" w:space="0" w:color="auto"/>
        <w:bottom w:val="none" w:sz="0" w:space="0" w:color="auto"/>
        <w:right w:val="none" w:sz="0" w:space="0" w:color="auto"/>
      </w:divBdr>
    </w:div>
    <w:div w:id="639651942">
      <w:bodyDiv w:val="1"/>
      <w:marLeft w:val="0"/>
      <w:marRight w:val="0"/>
      <w:marTop w:val="0"/>
      <w:marBottom w:val="0"/>
      <w:divBdr>
        <w:top w:val="none" w:sz="0" w:space="0" w:color="auto"/>
        <w:left w:val="none" w:sz="0" w:space="0" w:color="auto"/>
        <w:bottom w:val="none" w:sz="0" w:space="0" w:color="auto"/>
        <w:right w:val="none" w:sz="0" w:space="0" w:color="auto"/>
      </w:divBdr>
    </w:div>
    <w:div w:id="669917470">
      <w:bodyDiv w:val="1"/>
      <w:marLeft w:val="0"/>
      <w:marRight w:val="0"/>
      <w:marTop w:val="0"/>
      <w:marBottom w:val="0"/>
      <w:divBdr>
        <w:top w:val="none" w:sz="0" w:space="0" w:color="auto"/>
        <w:left w:val="none" w:sz="0" w:space="0" w:color="auto"/>
        <w:bottom w:val="none" w:sz="0" w:space="0" w:color="auto"/>
        <w:right w:val="none" w:sz="0" w:space="0" w:color="auto"/>
      </w:divBdr>
    </w:div>
    <w:div w:id="731343356">
      <w:bodyDiv w:val="1"/>
      <w:marLeft w:val="0"/>
      <w:marRight w:val="0"/>
      <w:marTop w:val="0"/>
      <w:marBottom w:val="0"/>
      <w:divBdr>
        <w:top w:val="none" w:sz="0" w:space="0" w:color="auto"/>
        <w:left w:val="none" w:sz="0" w:space="0" w:color="auto"/>
        <w:bottom w:val="none" w:sz="0" w:space="0" w:color="auto"/>
        <w:right w:val="none" w:sz="0" w:space="0" w:color="auto"/>
      </w:divBdr>
    </w:div>
    <w:div w:id="754670426">
      <w:bodyDiv w:val="1"/>
      <w:marLeft w:val="0"/>
      <w:marRight w:val="0"/>
      <w:marTop w:val="0"/>
      <w:marBottom w:val="0"/>
      <w:divBdr>
        <w:top w:val="none" w:sz="0" w:space="0" w:color="auto"/>
        <w:left w:val="none" w:sz="0" w:space="0" w:color="auto"/>
        <w:bottom w:val="none" w:sz="0" w:space="0" w:color="auto"/>
        <w:right w:val="none" w:sz="0" w:space="0" w:color="auto"/>
      </w:divBdr>
    </w:div>
    <w:div w:id="757796849">
      <w:bodyDiv w:val="1"/>
      <w:marLeft w:val="0"/>
      <w:marRight w:val="0"/>
      <w:marTop w:val="0"/>
      <w:marBottom w:val="0"/>
      <w:divBdr>
        <w:top w:val="none" w:sz="0" w:space="0" w:color="auto"/>
        <w:left w:val="none" w:sz="0" w:space="0" w:color="auto"/>
        <w:bottom w:val="none" w:sz="0" w:space="0" w:color="auto"/>
        <w:right w:val="none" w:sz="0" w:space="0" w:color="auto"/>
      </w:divBdr>
    </w:div>
    <w:div w:id="800072375">
      <w:bodyDiv w:val="1"/>
      <w:marLeft w:val="0"/>
      <w:marRight w:val="0"/>
      <w:marTop w:val="0"/>
      <w:marBottom w:val="0"/>
      <w:divBdr>
        <w:top w:val="none" w:sz="0" w:space="0" w:color="auto"/>
        <w:left w:val="none" w:sz="0" w:space="0" w:color="auto"/>
        <w:bottom w:val="none" w:sz="0" w:space="0" w:color="auto"/>
        <w:right w:val="none" w:sz="0" w:space="0" w:color="auto"/>
      </w:divBdr>
    </w:div>
    <w:div w:id="832797644">
      <w:bodyDiv w:val="1"/>
      <w:marLeft w:val="0"/>
      <w:marRight w:val="0"/>
      <w:marTop w:val="0"/>
      <w:marBottom w:val="0"/>
      <w:divBdr>
        <w:top w:val="none" w:sz="0" w:space="0" w:color="auto"/>
        <w:left w:val="none" w:sz="0" w:space="0" w:color="auto"/>
        <w:bottom w:val="none" w:sz="0" w:space="0" w:color="auto"/>
        <w:right w:val="none" w:sz="0" w:space="0" w:color="auto"/>
      </w:divBdr>
    </w:div>
    <w:div w:id="916330612">
      <w:bodyDiv w:val="1"/>
      <w:marLeft w:val="0"/>
      <w:marRight w:val="0"/>
      <w:marTop w:val="0"/>
      <w:marBottom w:val="0"/>
      <w:divBdr>
        <w:top w:val="none" w:sz="0" w:space="0" w:color="auto"/>
        <w:left w:val="none" w:sz="0" w:space="0" w:color="auto"/>
        <w:bottom w:val="none" w:sz="0" w:space="0" w:color="auto"/>
        <w:right w:val="none" w:sz="0" w:space="0" w:color="auto"/>
      </w:divBdr>
    </w:div>
    <w:div w:id="935558579">
      <w:bodyDiv w:val="1"/>
      <w:marLeft w:val="0"/>
      <w:marRight w:val="0"/>
      <w:marTop w:val="0"/>
      <w:marBottom w:val="0"/>
      <w:divBdr>
        <w:top w:val="none" w:sz="0" w:space="0" w:color="auto"/>
        <w:left w:val="none" w:sz="0" w:space="0" w:color="auto"/>
        <w:bottom w:val="none" w:sz="0" w:space="0" w:color="auto"/>
        <w:right w:val="none" w:sz="0" w:space="0" w:color="auto"/>
      </w:divBdr>
    </w:div>
    <w:div w:id="945843741">
      <w:bodyDiv w:val="1"/>
      <w:marLeft w:val="0"/>
      <w:marRight w:val="0"/>
      <w:marTop w:val="0"/>
      <w:marBottom w:val="0"/>
      <w:divBdr>
        <w:top w:val="none" w:sz="0" w:space="0" w:color="auto"/>
        <w:left w:val="none" w:sz="0" w:space="0" w:color="auto"/>
        <w:bottom w:val="none" w:sz="0" w:space="0" w:color="auto"/>
        <w:right w:val="none" w:sz="0" w:space="0" w:color="auto"/>
      </w:divBdr>
    </w:div>
    <w:div w:id="95617863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1545436">
      <w:bodyDiv w:val="1"/>
      <w:marLeft w:val="0"/>
      <w:marRight w:val="0"/>
      <w:marTop w:val="0"/>
      <w:marBottom w:val="0"/>
      <w:divBdr>
        <w:top w:val="none" w:sz="0" w:space="0" w:color="auto"/>
        <w:left w:val="none" w:sz="0" w:space="0" w:color="auto"/>
        <w:bottom w:val="none" w:sz="0" w:space="0" w:color="auto"/>
        <w:right w:val="none" w:sz="0" w:space="0" w:color="auto"/>
      </w:divBdr>
    </w:div>
    <w:div w:id="1046837629">
      <w:bodyDiv w:val="1"/>
      <w:marLeft w:val="0"/>
      <w:marRight w:val="0"/>
      <w:marTop w:val="0"/>
      <w:marBottom w:val="0"/>
      <w:divBdr>
        <w:top w:val="none" w:sz="0" w:space="0" w:color="auto"/>
        <w:left w:val="none" w:sz="0" w:space="0" w:color="auto"/>
        <w:bottom w:val="none" w:sz="0" w:space="0" w:color="auto"/>
        <w:right w:val="none" w:sz="0" w:space="0" w:color="auto"/>
      </w:divBdr>
    </w:div>
    <w:div w:id="1052271181">
      <w:bodyDiv w:val="1"/>
      <w:marLeft w:val="0"/>
      <w:marRight w:val="0"/>
      <w:marTop w:val="0"/>
      <w:marBottom w:val="0"/>
      <w:divBdr>
        <w:top w:val="none" w:sz="0" w:space="0" w:color="auto"/>
        <w:left w:val="none" w:sz="0" w:space="0" w:color="auto"/>
        <w:bottom w:val="none" w:sz="0" w:space="0" w:color="auto"/>
        <w:right w:val="none" w:sz="0" w:space="0" w:color="auto"/>
      </w:divBdr>
    </w:div>
    <w:div w:id="1119492218">
      <w:bodyDiv w:val="1"/>
      <w:marLeft w:val="0"/>
      <w:marRight w:val="0"/>
      <w:marTop w:val="0"/>
      <w:marBottom w:val="0"/>
      <w:divBdr>
        <w:top w:val="none" w:sz="0" w:space="0" w:color="auto"/>
        <w:left w:val="none" w:sz="0" w:space="0" w:color="auto"/>
        <w:bottom w:val="none" w:sz="0" w:space="0" w:color="auto"/>
        <w:right w:val="none" w:sz="0" w:space="0" w:color="auto"/>
      </w:divBdr>
    </w:div>
    <w:div w:id="1133475860">
      <w:bodyDiv w:val="1"/>
      <w:marLeft w:val="0"/>
      <w:marRight w:val="0"/>
      <w:marTop w:val="0"/>
      <w:marBottom w:val="0"/>
      <w:divBdr>
        <w:top w:val="none" w:sz="0" w:space="0" w:color="auto"/>
        <w:left w:val="none" w:sz="0" w:space="0" w:color="auto"/>
        <w:bottom w:val="none" w:sz="0" w:space="0" w:color="auto"/>
        <w:right w:val="none" w:sz="0" w:space="0" w:color="auto"/>
      </w:divBdr>
    </w:div>
    <w:div w:id="1158497594">
      <w:bodyDiv w:val="1"/>
      <w:marLeft w:val="0"/>
      <w:marRight w:val="0"/>
      <w:marTop w:val="0"/>
      <w:marBottom w:val="0"/>
      <w:divBdr>
        <w:top w:val="none" w:sz="0" w:space="0" w:color="auto"/>
        <w:left w:val="none" w:sz="0" w:space="0" w:color="auto"/>
        <w:bottom w:val="none" w:sz="0" w:space="0" w:color="auto"/>
        <w:right w:val="none" w:sz="0" w:space="0" w:color="auto"/>
      </w:divBdr>
    </w:div>
    <w:div w:id="1163854386">
      <w:bodyDiv w:val="1"/>
      <w:marLeft w:val="0"/>
      <w:marRight w:val="0"/>
      <w:marTop w:val="0"/>
      <w:marBottom w:val="0"/>
      <w:divBdr>
        <w:top w:val="none" w:sz="0" w:space="0" w:color="auto"/>
        <w:left w:val="none" w:sz="0" w:space="0" w:color="auto"/>
        <w:bottom w:val="none" w:sz="0" w:space="0" w:color="auto"/>
        <w:right w:val="none" w:sz="0" w:space="0" w:color="auto"/>
      </w:divBdr>
    </w:div>
    <w:div w:id="1176724682">
      <w:bodyDiv w:val="1"/>
      <w:marLeft w:val="0"/>
      <w:marRight w:val="0"/>
      <w:marTop w:val="0"/>
      <w:marBottom w:val="0"/>
      <w:divBdr>
        <w:top w:val="none" w:sz="0" w:space="0" w:color="auto"/>
        <w:left w:val="none" w:sz="0" w:space="0" w:color="auto"/>
        <w:bottom w:val="none" w:sz="0" w:space="0" w:color="auto"/>
        <w:right w:val="none" w:sz="0" w:space="0" w:color="auto"/>
      </w:divBdr>
    </w:div>
    <w:div w:id="1188758728">
      <w:bodyDiv w:val="1"/>
      <w:marLeft w:val="0"/>
      <w:marRight w:val="0"/>
      <w:marTop w:val="0"/>
      <w:marBottom w:val="0"/>
      <w:divBdr>
        <w:top w:val="none" w:sz="0" w:space="0" w:color="auto"/>
        <w:left w:val="none" w:sz="0" w:space="0" w:color="auto"/>
        <w:bottom w:val="none" w:sz="0" w:space="0" w:color="auto"/>
        <w:right w:val="none" w:sz="0" w:space="0" w:color="auto"/>
      </w:divBdr>
    </w:div>
    <w:div w:id="1238397087">
      <w:bodyDiv w:val="1"/>
      <w:marLeft w:val="0"/>
      <w:marRight w:val="0"/>
      <w:marTop w:val="0"/>
      <w:marBottom w:val="0"/>
      <w:divBdr>
        <w:top w:val="none" w:sz="0" w:space="0" w:color="auto"/>
        <w:left w:val="none" w:sz="0" w:space="0" w:color="auto"/>
        <w:bottom w:val="none" w:sz="0" w:space="0" w:color="auto"/>
        <w:right w:val="none" w:sz="0" w:space="0" w:color="auto"/>
      </w:divBdr>
    </w:div>
    <w:div w:id="1244878441">
      <w:bodyDiv w:val="1"/>
      <w:marLeft w:val="0"/>
      <w:marRight w:val="0"/>
      <w:marTop w:val="0"/>
      <w:marBottom w:val="0"/>
      <w:divBdr>
        <w:top w:val="none" w:sz="0" w:space="0" w:color="auto"/>
        <w:left w:val="none" w:sz="0" w:space="0" w:color="auto"/>
        <w:bottom w:val="none" w:sz="0" w:space="0" w:color="auto"/>
        <w:right w:val="none" w:sz="0" w:space="0" w:color="auto"/>
      </w:divBdr>
    </w:div>
    <w:div w:id="1279097198">
      <w:bodyDiv w:val="1"/>
      <w:marLeft w:val="0"/>
      <w:marRight w:val="0"/>
      <w:marTop w:val="0"/>
      <w:marBottom w:val="0"/>
      <w:divBdr>
        <w:top w:val="none" w:sz="0" w:space="0" w:color="auto"/>
        <w:left w:val="none" w:sz="0" w:space="0" w:color="auto"/>
        <w:bottom w:val="none" w:sz="0" w:space="0" w:color="auto"/>
        <w:right w:val="none" w:sz="0" w:space="0" w:color="auto"/>
      </w:divBdr>
    </w:div>
    <w:div w:id="1321956555">
      <w:bodyDiv w:val="1"/>
      <w:marLeft w:val="0"/>
      <w:marRight w:val="0"/>
      <w:marTop w:val="0"/>
      <w:marBottom w:val="0"/>
      <w:divBdr>
        <w:top w:val="none" w:sz="0" w:space="0" w:color="auto"/>
        <w:left w:val="none" w:sz="0" w:space="0" w:color="auto"/>
        <w:bottom w:val="none" w:sz="0" w:space="0" w:color="auto"/>
        <w:right w:val="none" w:sz="0" w:space="0" w:color="auto"/>
      </w:divBdr>
    </w:div>
    <w:div w:id="1322613376">
      <w:bodyDiv w:val="1"/>
      <w:marLeft w:val="0"/>
      <w:marRight w:val="0"/>
      <w:marTop w:val="0"/>
      <w:marBottom w:val="0"/>
      <w:divBdr>
        <w:top w:val="none" w:sz="0" w:space="0" w:color="auto"/>
        <w:left w:val="none" w:sz="0" w:space="0" w:color="auto"/>
        <w:bottom w:val="none" w:sz="0" w:space="0" w:color="auto"/>
        <w:right w:val="none" w:sz="0" w:space="0" w:color="auto"/>
      </w:divBdr>
    </w:div>
    <w:div w:id="1333408134">
      <w:bodyDiv w:val="1"/>
      <w:marLeft w:val="0"/>
      <w:marRight w:val="0"/>
      <w:marTop w:val="0"/>
      <w:marBottom w:val="0"/>
      <w:divBdr>
        <w:top w:val="none" w:sz="0" w:space="0" w:color="auto"/>
        <w:left w:val="none" w:sz="0" w:space="0" w:color="auto"/>
        <w:bottom w:val="none" w:sz="0" w:space="0" w:color="auto"/>
        <w:right w:val="none" w:sz="0" w:space="0" w:color="auto"/>
      </w:divBdr>
    </w:div>
    <w:div w:id="1421023870">
      <w:bodyDiv w:val="1"/>
      <w:marLeft w:val="0"/>
      <w:marRight w:val="0"/>
      <w:marTop w:val="0"/>
      <w:marBottom w:val="0"/>
      <w:divBdr>
        <w:top w:val="none" w:sz="0" w:space="0" w:color="auto"/>
        <w:left w:val="none" w:sz="0" w:space="0" w:color="auto"/>
        <w:bottom w:val="none" w:sz="0" w:space="0" w:color="auto"/>
        <w:right w:val="none" w:sz="0" w:space="0" w:color="auto"/>
      </w:divBdr>
    </w:div>
    <w:div w:id="1451634086">
      <w:bodyDiv w:val="1"/>
      <w:marLeft w:val="0"/>
      <w:marRight w:val="0"/>
      <w:marTop w:val="0"/>
      <w:marBottom w:val="0"/>
      <w:divBdr>
        <w:top w:val="none" w:sz="0" w:space="0" w:color="auto"/>
        <w:left w:val="none" w:sz="0" w:space="0" w:color="auto"/>
        <w:bottom w:val="none" w:sz="0" w:space="0" w:color="auto"/>
        <w:right w:val="none" w:sz="0" w:space="0" w:color="auto"/>
      </w:divBdr>
    </w:div>
    <w:div w:id="1454523612">
      <w:bodyDiv w:val="1"/>
      <w:marLeft w:val="0"/>
      <w:marRight w:val="0"/>
      <w:marTop w:val="0"/>
      <w:marBottom w:val="0"/>
      <w:divBdr>
        <w:top w:val="none" w:sz="0" w:space="0" w:color="auto"/>
        <w:left w:val="none" w:sz="0" w:space="0" w:color="auto"/>
        <w:bottom w:val="none" w:sz="0" w:space="0" w:color="auto"/>
        <w:right w:val="none" w:sz="0" w:space="0" w:color="auto"/>
      </w:divBdr>
    </w:div>
    <w:div w:id="1477649087">
      <w:bodyDiv w:val="1"/>
      <w:marLeft w:val="0"/>
      <w:marRight w:val="0"/>
      <w:marTop w:val="0"/>
      <w:marBottom w:val="0"/>
      <w:divBdr>
        <w:top w:val="none" w:sz="0" w:space="0" w:color="auto"/>
        <w:left w:val="none" w:sz="0" w:space="0" w:color="auto"/>
        <w:bottom w:val="none" w:sz="0" w:space="0" w:color="auto"/>
        <w:right w:val="none" w:sz="0" w:space="0" w:color="auto"/>
      </w:divBdr>
    </w:div>
    <w:div w:id="1546747302">
      <w:bodyDiv w:val="1"/>
      <w:marLeft w:val="0"/>
      <w:marRight w:val="0"/>
      <w:marTop w:val="0"/>
      <w:marBottom w:val="0"/>
      <w:divBdr>
        <w:top w:val="none" w:sz="0" w:space="0" w:color="auto"/>
        <w:left w:val="none" w:sz="0" w:space="0" w:color="auto"/>
        <w:bottom w:val="none" w:sz="0" w:space="0" w:color="auto"/>
        <w:right w:val="none" w:sz="0" w:space="0" w:color="auto"/>
      </w:divBdr>
    </w:div>
    <w:div w:id="1568759123">
      <w:bodyDiv w:val="1"/>
      <w:marLeft w:val="0"/>
      <w:marRight w:val="0"/>
      <w:marTop w:val="0"/>
      <w:marBottom w:val="0"/>
      <w:divBdr>
        <w:top w:val="none" w:sz="0" w:space="0" w:color="auto"/>
        <w:left w:val="none" w:sz="0" w:space="0" w:color="auto"/>
        <w:bottom w:val="none" w:sz="0" w:space="0" w:color="auto"/>
        <w:right w:val="none" w:sz="0" w:space="0" w:color="auto"/>
      </w:divBdr>
    </w:div>
    <w:div w:id="1574386732">
      <w:bodyDiv w:val="1"/>
      <w:marLeft w:val="0"/>
      <w:marRight w:val="0"/>
      <w:marTop w:val="0"/>
      <w:marBottom w:val="0"/>
      <w:divBdr>
        <w:top w:val="none" w:sz="0" w:space="0" w:color="auto"/>
        <w:left w:val="none" w:sz="0" w:space="0" w:color="auto"/>
        <w:bottom w:val="none" w:sz="0" w:space="0" w:color="auto"/>
        <w:right w:val="none" w:sz="0" w:space="0" w:color="auto"/>
      </w:divBdr>
    </w:div>
    <w:div w:id="1589802745">
      <w:bodyDiv w:val="1"/>
      <w:marLeft w:val="0"/>
      <w:marRight w:val="0"/>
      <w:marTop w:val="0"/>
      <w:marBottom w:val="0"/>
      <w:divBdr>
        <w:top w:val="none" w:sz="0" w:space="0" w:color="auto"/>
        <w:left w:val="none" w:sz="0" w:space="0" w:color="auto"/>
        <w:bottom w:val="none" w:sz="0" w:space="0" w:color="auto"/>
        <w:right w:val="none" w:sz="0" w:space="0" w:color="auto"/>
      </w:divBdr>
    </w:div>
    <w:div w:id="1615087796">
      <w:bodyDiv w:val="1"/>
      <w:marLeft w:val="0"/>
      <w:marRight w:val="0"/>
      <w:marTop w:val="0"/>
      <w:marBottom w:val="0"/>
      <w:divBdr>
        <w:top w:val="none" w:sz="0" w:space="0" w:color="auto"/>
        <w:left w:val="none" w:sz="0" w:space="0" w:color="auto"/>
        <w:bottom w:val="none" w:sz="0" w:space="0" w:color="auto"/>
        <w:right w:val="none" w:sz="0" w:space="0" w:color="auto"/>
      </w:divBdr>
    </w:div>
    <w:div w:id="1617982557">
      <w:bodyDiv w:val="1"/>
      <w:marLeft w:val="0"/>
      <w:marRight w:val="0"/>
      <w:marTop w:val="0"/>
      <w:marBottom w:val="0"/>
      <w:divBdr>
        <w:top w:val="none" w:sz="0" w:space="0" w:color="auto"/>
        <w:left w:val="none" w:sz="0" w:space="0" w:color="auto"/>
        <w:bottom w:val="none" w:sz="0" w:space="0" w:color="auto"/>
        <w:right w:val="none" w:sz="0" w:space="0" w:color="auto"/>
      </w:divBdr>
    </w:div>
    <w:div w:id="1644046758">
      <w:bodyDiv w:val="1"/>
      <w:marLeft w:val="0"/>
      <w:marRight w:val="0"/>
      <w:marTop w:val="0"/>
      <w:marBottom w:val="0"/>
      <w:divBdr>
        <w:top w:val="none" w:sz="0" w:space="0" w:color="auto"/>
        <w:left w:val="none" w:sz="0" w:space="0" w:color="auto"/>
        <w:bottom w:val="none" w:sz="0" w:space="0" w:color="auto"/>
        <w:right w:val="none" w:sz="0" w:space="0" w:color="auto"/>
      </w:divBdr>
    </w:div>
    <w:div w:id="1666932929">
      <w:bodyDiv w:val="1"/>
      <w:marLeft w:val="0"/>
      <w:marRight w:val="0"/>
      <w:marTop w:val="0"/>
      <w:marBottom w:val="0"/>
      <w:divBdr>
        <w:top w:val="none" w:sz="0" w:space="0" w:color="auto"/>
        <w:left w:val="none" w:sz="0" w:space="0" w:color="auto"/>
        <w:bottom w:val="none" w:sz="0" w:space="0" w:color="auto"/>
        <w:right w:val="none" w:sz="0" w:space="0" w:color="auto"/>
      </w:divBdr>
    </w:div>
    <w:div w:id="1729062198">
      <w:bodyDiv w:val="1"/>
      <w:marLeft w:val="0"/>
      <w:marRight w:val="0"/>
      <w:marTop w:val="0"/>
      <w:marBottom w:val="0"/>
      <w:divBdr>
        <w:top w:val="none" w:sz="0" w:space="0" w:color="auto"/>
        <w:left w:val="none" w:sz="0" w:space="0" w:color="auto"/>
        <w:bottom w:val="none" w:sz="0" w:space="0" w:color="auto"/>
        <w:right w:val="none" w:sz="0" w:space="0" w:color="auto"/>
      </w:divBdr>
    </w:div>
    <w:div w:id="1784184262">
      <w:bodyDiv w:val="1"/>
      <w:marLeft w:val="0"/>
      <w:marRight w:val="0"/>
      <w:marTop w:val="0"/>
      <w:marBottom w:val="0"/>
      <w:divBdr>
        <w:top w:val="none" w:sz="0" w:space="0" w:color="auto"/>
        <w:left w:val="none" w:sz="0" w:space="0" w:color="auto"/>
        <w:bottom w:val="none" w:sz="0" w:space="0" w:color="auto"/>
        <w:right w:val="none" w:sz="0" w:space="0" w:color="auto"/>
      </w:divBdr>
    </w:div>
    <w:div w:id="1800800028">
      <w:bodyDiv w:val="1"/>
      <w:marLeft w:val="0"/>
      <w:marRight w:val="0"/>
      <w:marTop w:val="0"/>
      <w:marBottom w:val="0"/>
      <w:divBdr>
        <w:top w:val="none" w:sz="0" w:space="0" w:color="auto"/>
        <w:left w:val="none" w:sz="0" w:space="0" w:color="auto"/>
        <w:bottom w:val="none" w:sz="0" w:space="0" w:color="auto"/>
        <w:right w:val="none" w:sz="0" w:space="0" w:color="auto"/>
      </w:divBdr>
    </w:div>
    <w:div w:id="1855654039">
      <w:bodyDiv w:val="1"/>
      <w:marLeft w:val="0"/>
      <w:marRight w:val="0"/>
      <w:marTop w:val="0"/>
      <w:marBottom w:val="0"/>
      <w:divBdr>
        <w:top w:val="none" w:sz="0" w:space="0" w:color="auto"/>
        <w:left w:val="none" w:sz="0" w:space="0" w:color="auto"/>
        <w:bottom w:val="none" w:sz="0" w:space="0" w:color="auto"/>
        <w:right w:val="none" w:sz="0" w:space="0" w:color="auto"/>
      </w:divBdr>
    </w:div>
    <w:div w:id="1888495129">
      <w:bodyDiv w:val="1"/>
      <w:marLeft w:val="0"/>
      <w:marRight w:val="0"/>
      <w:marTop w:val="0"/>
      <w:marBottom w:val="0"/>
      <w:divBdr>
        <w:top w:val="none" w:sz="0" w:space="0" w:color="auto"/>
        <w:left w:val="none" w:sz="0" w:space="0" w:color="auto"/>
        <w:bottom w:val="none" w:sz="0" w:space="0" w:color="auto"/>
        <w:right w:val="none" w:sz="0" w:space="0" w:color="auto"/>
      </w:divBdr>
    </w:div>
    <w:div w:id="1894269828">
      <w:bodyDiv w:val="1"/>
      <w:marLeft w:val="0"/>
      <w:marRight w:val="0"/>
      <w:marTop w:val="0"/>
      <w:marBottom w:val="0"/>
      <w:divBdr>
        <w:top w:val="none" w:sz="0" w:space="0" w:color="auto"/>
        <w:left w:val="none" w:sz="0" w:space="0" w:color="auto"/>
        <w:bottom w:val="none" w:sz="0" w:space="0" w:color="auto"/>
        <w:right w:val="none" w:sz="0" w:space="0" w:color="auto"/>
      </w:divBdr>
    </w:div>
    <w:div w:id="1921670872">
      <w:bodyDiv w:val="1"/>
      <w:marLeft w:val="0"/>
      <w:marRight w:val="0"/>
      <w:marTop w:val="0"/>
      <w:marBottom w:val="0"/>
      <w:divBdr>
        <w:top w:val="none" w:sz="0" w:space="0" w:color="auto"/>
        <w:left w:val="none" w:sz="0" w:space="0" w:color="auto"/>
        <w:bottom w:val="none" w:sz="0" w:space="0" w:color="auto"/>
        <w:right w:val="none" w:sz="0" w:space="0" w:color="auto"/>
      </w:divBdr>
    </w:div>
    <w:div w:id="1930381579">
      <w:bodyDiv w:val="1"/>
      <w:marLeft w:val="0"/>
      <w:marRight w:val="0"/>
      <w:marTop w:val="0"/>
      <w:marBottom w:val="0"/>
      <w:divBdr>
        <w:top w:val="none" w:sz="0" w:space="0" w:color="auto"/>
        <w:left w:val="none" w:sz="0" w:space="0" w:color="auto"/>
        <w:bottom w:val="none" w:sz="0" w:space="0" w:color="auto"/>
        <w:right w:val="none" w:sz="0" w:space="0" w:color="auto"/>
      </w:divBdr>
    </w:div>
    <w:div w:id="1952472079">
      <w:bodyDiv w:val="1"/>
      <w:marLeft w:val="0"/>
      <w:marRight w:val="0"/>
      <w:marTop w:val="0"/>
      <w:marBottom w:val="0"/>
      <w:divBdr>
        <w:top w:val="none" w:sz="0" w:space="0" w:color="auto"/>
        <w:left w:val="none" w:sz="0" w:space="0" w:color="auto"/>
        <w:bottom w:val="none" w:sz="0" w:space="0" w:color="auto"/>
        <w:right w:val="none" w:sz="0" w:space="0" w:color="auto"/>
      </w:divBdr>
    </w:div>
    <w:div w:id="1968588007">
      <w:bodyDiv w:val="1"/>
      <w:marLeft w:val="0"/>
      <w:marRight w:val="0"/>
      <w:marTop w:val="0"/>
      <w:marBottom w:val="0"/>
      <w:divBdr>
        <w:top w:val="none" w:sz="0" w:space="0" w:color="auto"/>
        <w:left w:val="none" w:sz="0" w:space="0" w:color="auto"/>
        <w:bottom w:val="none" w:sz="0" w:space="0" w:color="auto"/>
        <w:right w:val="none" w:sz="0" w:space="0" w:color="auto"/>
      </w:divBdr>
    </w:div>
    <w:div w:id="1996251278">
      <w:bodyDiv w:val="1"/>
      <w:marLeft w:val="0"/>
      <w:marRight w:val="0"/>
      <w:marTop w:val="0"/>
      <w:marBottom w:val="0"/>
      <w:divBdr>
        <w:top w:val="none" w:sz="0" w:space="0" w:color="auto"/>
        <w:left w:val="none" w:sz="0" w:space="0" w:color="auto"/>
        <w:bottom w:val="none" w:sz="0" w:space="0" w:color="auto"/>
        <w:right w:val="none" w:sz="0" w:space="0" w:color="auto"/>
      </w:divBdr>
    </w:div>
    <w:div w:id="2059275301">
      <w:bodyDiv w:val="1"/>
      <w:marLeft w:val="0"/>
      <w:marRight w:val="0"/>
      <w:marTop w:val="0"/>
      <w:marBottom w:val="0"/>
      <w:divBdr>
        <w:top w:val="none" w:sz="0" w:space="0" w:color="auto"/>
        <w:left w:val="none" w:sz="0" w:space="0" w:color="auto"/>
        <w:bottom w:val="none" w:sz="0" w:space="0" w:color="auto"/>
        <w:right w:val="none" w:sz="0" w:space="0" w:color="auto"/>
      </w:divBdr>
    </w:div>
    <w:div w:id="2063478067">
      <w:bodyDiv w:val="1"/>
      <w:marLeft w:val="0"/>
      <w:marRight w:val="0"/>
      <w:marTop w:val="0"/>
      <w:marBottom w:val="0"/>
      <w:divBdr>
        <w:top w:val="none" w:sz="0" w:space="0" w:color="auto"/>
        <w:left w:val="none" w:sz="0" w:space="0" w:color="auto"/>
        <w:bottom w:val="none" w:sz="0" w:space="0" w:color="auto"/>
        <w:right w:val="none" w:sz="0" w:space="0" w:color="auto"/>
      </w:divBdr>
    </w:div>
    <w:div w:id="2066025860">
      <w:bodyDiv w:val="1"/>
      <w:marLeft w:val="0"/>
      <w:marRight w:val="0"/>
      <w:marTop w:val="0"/>
      <w:marBottom w:val="0"/>
      <w:divBdr>
        <w:top w:val="none" w:sz="0" w:space="0" w:color="auto"/>
        <w:left w:val="none" w:sz="0" w:space="0" w:color="auto"/>
        <w:bottom w:val="none" w:sz="0" w:space="0" w:color="auto"/>
        <w:right w:val="none" w:sz="0" w:space="0" w:color="auto"/>
      </w:divBdr>
    </w:div>
    <w:div w:id="2081782592">
      <w:bodyDiv w:val="1"/>
      <w:marLeft w:val="0"/>
      <w:marRight w:val="0"/>
      <w:marTop w:val="0"/>
      <w:marBottom w:val="0"/>
      <w:divBdr>
        <w:top w:val="none" w:sz="0" w:space="0" w:color="auto"/>
        <w:left w:val="none" w:sz="0" w:space="0" w:color="auto"/>
        <w:bottom w:val="none" w:sz="0" w:space="0" w:color="auto"/>
        <w:right w:val="none" w:sz="0" w:space="0" w:color="auto"/>
      </w:divBdr>
    </w:div>
    <w:div w:id="209408878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1584189">
      <w:bodyDiv w:val="1"/>
      <w:marLeft w:val="0"/>
      <w:marRight w:val="0"/>
      <w:marTop w:val="0"/>
      <w:marBottom w:val="0"/>
      <w:divBdr>
        <w:top w:val="none" w:sz="0" w:space="0" w:color="auto"/>
        <w:left w:val="none" w:sz="0" w:space="0" w:color="auto"/>
        <w:bottom w:val="none" w:sz="0" w:space="0" w:color="auto"/>
        <w:right w:val="none" w:sz="0" w:space="0" w:color="auto"/>
      </w:divBdr>
    </w:div>
    <w:div w:id="21421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microsoft.com/office/2007/relationships/diagramDrawing" Target="diagrams/drawing1.xml"/><Relationship Id="rId42" Type="http://schemas.openxmlformats.org/officeDocument/2006/relationships/diagramLayout" Target="diagrams/layout5.xml"/><Relationship Id="rId47" Type="http://schemas.openxmlformats.org/officeDocument/2006/relationships/footer" Target="footer7.xml"/><Relationship Id="rId63" Type="http://schemas.openxmlformats.org/officeDocument/2006/relationships/hyperlink" Target="https://blog.medicalacademy.org/&#1575;&#1604;&#1580;&#1608;&#1583;&#1577;-&#1601;&#1610;-&#1575;&#1604;&#1585;&#1593;&#1575;&#1610;&#1577;-&#1575;&#1604;&#1589;&#1581;&#1610;&#1577;/" TargetMode="External"/><Relationship Id="rId68"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diagramColors" Target="diagrams/colors2.xml"/><Relationship Id="rId11" Type="http://schemas.openxmlformats.org/officeDocument/2006/relationships/footer" Target="footer1.xml"/><Relationship Id="rId24" Type="http://schemas.openxmlformats.org/officeDocument/2006/relationships/hyperlink" Target="https://www.who.int/ar/news-room/fact-sheets/detail/patient-safety" TargetMode="Externa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footer" Target="footer12.xml"/><Relationship Id="rId58" Type="http://schemas.openxmlformats.org/officeDocument/2006/relationships/footer" Target="footer17.xml"/><Relationship Id="rId66" Type="http://schemas.openxmlformats.org/officeDocument/2006/relationships/hyperlink" Target="https://www.moh.gov.sa/?utm_source=copilot.com" TargetMode="External"/><Relationship Id="rId5" Type="http://schemas.openxmlformats.org/officeDocument/2006/relationships/webSettings" Target="webSettings.xml"/><Relationship Id="rId61" Type="http://schemas.openxmlformats.org/officeDocument/2006/relationships/hyperlink" Target="https://batdacademy.com/ar/post/%D8%AF%D9%84%D9%8A%D9%84-%D8%B4%D8%A7%D9%85%D9%84-%D9%81%D9%8A-%D8%A5%D8%AF%D8%A7%D8%B1%D8%A9-%D8%A7%D9%84%D9%85%D8%AE%D8%A7%D8%B7%D8%B1-%D9%81%D9%8A-%D8%A7%D9%84%D8%B1%D8%B9%D8%A7%D9%8A%D8%A9-%D8%A7%D9%84%D8%B5%D8%AD%D9%8A%D8%A9" TargetMode="External"/><Relationship Id="rId19" Type="http://schemas.openxmlformats.org/officeDocument/2006/relationships/diagramQuickStyle" Target="diagrams/quickStyle1.xml"/><Relationship Id="rId14" Type="http://schemas.openxmlformats.org/officeDocument/2006/relationships/footer" Target="footer3.xml"/><Relationship Id="rId22" Type="http://schemas.openxmlformats.org/officeDocument/2006/relationships/hyperlink" Target="https://www.who.int/ar/news-room/fact-sheets/detail/patient-safety" TargetMode="Externa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diagramQuickStyle" Target="diagrams/quickStyle5.xml"/><Relationship Id="rId48" Type="http://schemas.openxmlformats.org/officeDocument/2006/relationships/hyperlink" Target="https://www.moh.gov.sa/statistics/Pages/dashboard.aspx" TargetMode="External"/><Relationship Id="rId56" Type="http://schemas.openxmlformats.org/officeDocument/2006/relationships/footer" Target="footer15.xml"/><Relationship Id="rId64" Type="http://schemas.openxmlformats.org/officeDocument/2006/relationships/hyperlink" Target="https://www.madounhar.com/risk-management-healthcare?utm_source=copilot.com" TargetMode="External"/><Relationship Id="rId69" Type="http://schemas.openxmlformats.org/officeDocument/2006/relationships/hyperlink" Target="https://docs.google.com/forms/d/e/1FAIpQLSfOYf0dqjG1MMqQzpmsMDBuTiF4PkK9VTICISbUiNbdpb87Tw/viewform?usp=preview" TargetMode="External"/><Relationship Id="rId8" Type="http://schemas.openxmlformats.org/officeDocument/2006/relationships/image" Target="media/image1.jpeg"/><Relationship Id="rId51" Type="http://schemas.openxmlformats.org/officeDocument/2006/relationships/footer" Target="footer10.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diagramData" Target="diagrams/data1.xml"/><Relationship Id="rId25" Type="http://schemas.openxmlformats.org/officeDocument/2006/relationships/hyperlink" Target="https://www.who.int/ar/news-room/fact-sheets/detail/patient-safety" TargetMode="Externa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footer" Target="footer6.xml"/><Relationship Id="rId59" Type="http://schemas.openxmlformats.org/officeDocument/2006/relationships/footer" Target="footer18.xml"/><Relationship Id="rId67" Type="http://schemas.openxmlformats.org/officeDocument/2006/relationships/footer" Target="footer19.xml"/><Relationship Id="rId20" Type="http://schemas.openxmlformats.org/officeDocument/2006/relationships/diagramColors" Target="diagrams/colors1.xml"/><Relationship Id="rId41" Type="http://schemas.openxmlformats.org/officeDocument/2006/relationships/diagramData" Target="diagrams/data5.xml"/><Relationship Id="rId54" Type="http://schemas.openxmlformats.org/officeDocument/2006/relationships/footer" Target="footer13.xml"/><Relationship Id="rId62" Type="http://schemas.openxmlformats.org/officeDocument/2006/relationships/hyperlink" Target="https://journals.ekb.eg/article_295873_0.html" TargetMode="External"/><Relationship Id="rId7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hcac.jo/en-us/News-Center/News-Detail-View/ArticleId/1470" TargetMode="External"/><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footer" Target="footer8.xml"/><Relationship Id="rId57" Type="http://schemas.openxmlformats.org/officeDocument/2006/relationships/footer" Target="footer16.xml"/><Relationship Id="rId10" Type="http://schemas.openxmlformats.org/officeDocument/2006/relationships/header" Target="header2.xml"/><Relationship Id="rId31" Type="http://schemas.openxmlformats.org/officeDocument/2006/relationships/diagramData" Target="diagrams/data3.xml"/><Relationship Id="rId44" Type="http://schemas.openxmlformats.org/officeDocument/2006/relationships/diagramColors" Target="diagrams/colors5.xml"/><Relationship Id="rId52" Type="http://schemas.openxmlformats.org/officeDocument/2006/relationships/footer" Target="footer11.xml"/><Relationship Id="rId60" Type="http://schemas.openxmlformats.org/officeDocument/2006/relationships/hyperlink" Target="https://www.british-training.com" TargetMode="External"/><Relationship Id="rId65" Type="http://schemas.openxmlformats.org/officeDocument/2006/relationships/hyperlink" Target="https://www.stats.gov.sa/?utm_source=copilot.co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diagramLayout" Target="diagrams/layout1.xml"/><Relationship Id="rId39" Type="http://schemas.openxmlformats.org/officeDocument/2006/relationships/diagramColors" Target="diagrams/colors4.xml"/><Relationship Id="rId34" Type="http://schemas.openxmlformats.org/officeDocument/2006/relationships/diagramColors" Target="diagrams/colors3.xml"/><Relationship Id="rId50" Type="http://schemas.openxmlformats.org/officeDocument/2006/relationships/footer" Target="footer9.xml"/><Relationship Id="rId55" Type="http://schemas.openxmlformats.org/officeDocument/2006/relationships/footer" Target="footer14.xml"/><Relationship Id="rId7" Type="http://schemas.openxmlformats.org/officeDocument/2006/relationships/endnotes" Target="endnotes.xml"/><Relationship Id="rId71" Type="http://schemas.openxmlformats.org/officeDocument/2006/relationships/footer" Target="footer2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2">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3">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4">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82302-C2E7-470C-A6FE-645348BE398E}" type="doc">
      <dgm:prSet loTypeId="urn:microsoft.com/office/officeart/2005/8/layout/radial1" loCatId="cycle" qsTypeId="urn:microsoft.com/office/officeart/2005/8/quickstyle/simple1#1" qsCatId="simple" csTypeId="urn:microsoft.com/office/officeart/2005/8/colors/colorful5#1" csCatId="colorful" phldr="1"/>
      <dgm:spPr/>
      <dgm:t>
        <a:bodyPr/>
        <a:lstStyle/>
        <a:p>
          <a:endParaRPr lang="en-US"/>
        </a:p>
      </dgm:t>
    </dgm:pt>
    <dgm:pt modelId="{63B7AF26-7C12-41D4-B83B-25B29A8FA3EC}">
      <dgm:prSet phldrT="[Text]"/>
      <dgm:spPr/>
      <dgm:t>
        <a:bodyPr/>
        <a:lstStyle/>
        <a:p>
          <a:pPr algn="ctr"/>
          <a:r>
            <a:rPr lang="ar-EG"/>
            <a:t>أبعاد إدارة المخاطر</a:t>
          </a:r>
          <a:endParaRPr lang="en-US"/>
        </a:p>
      </dgm:t>
    </dgm:pt>
    <dgm:pt modelId="{7236CCAE-165D-4B06-85DB-F82C9EBC006C}" type="parTrans" cxnId="{1CBCD05C-4BD2-44EF-886B-198331DC5229}">
      <dgm:prSet/>
      <dgm:spPr/>
      <dgm:t>
        <a:bodyPr/>
        <a:lstStyle/>
        <a:p>
          <a:pPr algn="ctr"/>
          <a:endParaRPr lang="en-US"/>
        </a:p>
      </dgm:t>
    </dgm:pt>
    <dgm:pt modelId="{55D0BE36-182A-404C-8CDD-25445F428C24}" type="sibTrans" cxnId="{1CBCD05C-4BD2-44EF-886B-198331DC5229}">
      <dgm:prSet/>
      <dgm:spPr/>
      <dgm:t>
        <a:bodyPr/>
        <a:lstStyle/>
        <a:p>
          <a:pPr algn="ctr"/>
          <a:endParaRPr lang="en-US"/>
        </a:p>
      </dgm:t>
    </dgm:pt>
    <dgm:pt modelId="{2416E40A-26E1-4372-87E4-85886D95F28D}">
      <dgm:prSet phldrT="[Text]"/>
      <dgm:spPr/>
      <dgm:t>
        <a:bodyPr/>
        <a:lstStyle/>
        <a:p>
          <a:pPr algn="ctr"/>
          <a:r>
            <a:rPr lang="ar-EG"/>
            <a:t>تحديد المخاطر</a:t>
          </a:r>
          <a:endParaRPr lang="en-US"/>
        </a:p>
      </dgm:t>
    </dgm:pt>
    <dgm:pt modelId="{D121C625-C4E1-42DE-BCF0-D0368C913D8A}" type="parTrans" cxnId="{92EA4A4B-E60D-41B0-8F0F-138F51D2A562}">
      <dgm:prSet/>
      <dgm:spPr/>
      <dgm:t>
        <a:bodyPr/>
        <a:lstStyle/>
        <a:p>
          <a:pPr algn="ctr"/>
          <a:endParaRPr lang="en-US"/>
        </a:p>
      </dgm:t>
    </dgm:pt>
    <dgm:pt modelId="{B4FA5834-188B-421E-9F8C-F9D972C4CD31}" type="sibTrans" cxnId="{92EA4A4B-E60D-41B0-8F0F-138F51D2A562}">
      <dgm:prSet/>
      <dgm:spPr/>
      <dgm:t>
        <a:bodyPr/>
        <a:lstStyle/>
        <a:p>
          <a:pPr algn="ctr"/>
          <a:endParaRPr lang="en-US"/>
        </a:p>
      </dgm:t>
    </dgm:pt>
    <dgm:pt modelId="{56B58796-6EC3-4B87-863B-A0234235A1D2}">
      <dgm:prSet phldrT="[Text]"/>
      <dgm:spPr/>
      <dgm:t>
        <a:bodyPr/>
        <a:lstStyle/>
        <a:p>
          <a:pPr algn="ctr"/>
          <a:r>
            <a:rPr lang="ar-EG"/>
            <a:t>تحليل المخاطر</a:t>
          </a:r>
          <a:endParaRPr lang="en-US"/>
        </a:p>
      </dgm:t>
    </dgm:pt>
    <dgm:pt modelId="{5C157030-4266-49BD-9A0C-A63E0E469E8D}" type="parTrans" cxnId="{E5679323-BEF3-4755-8F8D-768E3EEC3F3C}">
      <dgm:prSet/>
      <dgm:spPr/>
      <dgm:t>
        <a:bodyPr/>
        <a:lstStyle/>
        <a:p>
          <a:pPr algn="ctr"/>
          <a:endParaRPr lang="en-US"/>
        </a:p>
      </dgm:t>
    </dgm:pt>
    <dgm:pt modelId="{48763620-2DC2-4226-B581-5FDB567127AC}" type="sibTrans" cxnId="{E5679323-BEF3-4755-8F8D-768E3EEC3F3C}">
      <dgm:prSet/>
      <dgm:spPr/>
      <dgm:t>
        <a:bodyPr/>
        <a:lstStyle/>
        <a:p>
          <a:pPr algn="ctr"/>
          <a:endParaRPr lang="en-US"/>
        </a:p>
      </dgm:t>
    </dgm:pt>
    <dgm:pt modelId="{BBC99381-5545-4318-9E5C-9B8373BA284E}">
      <dgm:prSet phldrT="[Text]"/>
      <dgm:spPr/>
      <dgm:t>
        <a:bodyPr/>
        <a:lstStyle/>
        <a:p>
          <a:pPr algn="ctr"/>
          <a:r>
            <a:rPr lang="ar-EG"/>
            <a:t>الاستجابة للمخاطر</a:t>
          </a:r>
          <a:endParaRPr lang="en-US"/>
        </a:p>
      </dgm:t>
    </dgm:pt>
    <dgm:pt modelId="{2A3424EC-E52E-452C-8A51-2DC8C8453782}" type="parTrans" cxnId="{C1C6366D-3776-4F1A-A4BA-316F7589CBC3}">
      <dgm:prSet/>
      <dgm:spPr/>
      <dgm:t>
        <a:bodyPr/>
        <a:lstStyle/>
        <a:p>
          <a:pPr algn="ctr"/>
          <a:endParaRPr lang="en-US"/>
        </a:p>
      </dgm:t>
    </dgm:pt>
    <dgm:pt modelId="{EAC6C6B6-5F9C-4F16-A5B6-3E5533DD5640}" type="sibTrans" cxnId="{C1C6366D-3776-4F1A-A4BA-316F7589CBC3}">
      <dgm:prSet/>
      <dgm:spPr/>
      <dgm:t>
        <a:bodyPr/>
        <a:lstStyle/>
        <a:p>
          <a:pPr algn="ctr"/>
          <a:endParaRPr lang="en-US"/>
        </a:p>
      </dgm:t>
    </dgm:pt>
    <dgm:pt modelId="{835D85E8-722D-4556-9853-19289870CD47}">
      <dgm:prSet phldrT="[Text]"/>
      <dgm:spPr/>
      <dgm:t>
        <a:bodyPr/>
        <a:lstStyle/>
        <a:p>
          <a:pPr algn="ctr"/>
          <a:r>
            <a:rPr lang="ar-EG"/>
            <a:t>تقييم المخاطر</a:t>
          </a:r>
          <a:endParaRPr lang="en-US"/>
        </a:p>
      </dgm:t>
    </dgm:pt>
    <dgm:pt modelId="{D1A9D970-EAD8-4EB2-BB7F-6963325B6CDD}" type="parTrans" cxnId="{2856402C-CF06-4934-99B6-8B666FAD50E1}">
      <dgm:prSet/>
      <dgm:spPr/>
      <dgm:t>
        <a:bodyPr/>
        <a:lstStyle/>
        <a:p>
          <a:pPr algn="ctr"/>
          <a:endParaRPr lang="en-US"/>
        </a:p>
      </dgm:t>
    </dgm:pt>
    <dgm:pt modelId="{432484EF-51AB-4498-A943-F0A7D85FF5AB}" type="sibTrans" cxnId="{2856402C-CF06-4934-99B6-8B666FAD50E1}">
      <dgm:prSet/>
      <dgm:spPr/>
      <dgm:t>
        <a:bodyPr/>
        <a:lstStyle/>
        <a:p>
          <a:pPr algn="ctr"/>
          <a:endParaRPr lang="en-US"/>
        </a:p>
      </dgm:t>
    </dgm:pt>
    <dgm:pt modelId="{5130DEB4-60EF-4716-9C07-CDF84F7FD9F0}" type="pres">
      <dgm:prSet presAssocID="{9EE82302-C2E7-470C-A6FE-645348BE398E}" presName="cycle" presStyleCnt="0">
        <dgm:presLayoutVars>
          <dgm:chMax val="1"/>
          <dgm:dir/>
          <dgm:animLvl val="ctr"/>
          <dgm:resizeHandles val="exact"/>
        </dgm:presLayoutVars>
      </dgm:prSet>
      <dgm:spPr/>
    </dgm:pt>
    <dgm:pt modelId="{F4A2C522-A7A2-40CD-85AD-36C503A347A9}" type="pres">
      <dgm:prSet presAssocID="{63B7AF26-7C12-41D4-B83B-25B29A8FA3EC}" presName="centerShape" presStyleLbl="node0" presStyleIdx="0" presStyleCnt="1"/>
      <dgm:spPr/>
    </dgm:pt>
    <dgm:pt modelId="{F3786598-F9C3-4D15-8C10-C97085F0B6CF}" type="pres">
      <dgm:prSet presAssocID="{D121C625-C4E1-42DE-BCF0-D0368C913D8A}" presName="Name9" presStyleLbl="parChTrans1D2" presStyleIdx="0" presStyleCnt="4"/>
      <dgm:spPr/>
    </dgm:pt>
    <dgm:pt modelId="{08D6F0C0-6336-47E8-AACC-28CB1EB18245}" type="pres">
      <dgm:prSet presAssocID="{D121C625-C4E1-42DE-BCF0-D0368C913D8A}" presName="connTx" presStyleLbl="parChTrans1D2" presStyleIdx="0" presStyleCnt="4"/>
      <dgm:spPr/>
    </dgm:pt>
    <dgm:pt modelId="{2B9350A6-7071-4409-A6A3-3FEA39AA6ED7}" type="pres">
      <dgm:prSet presAssocID="{2416E40A-26E1-4372-87E4-85886D95F28D}" presName="node" presStyleLbl="node1" presStyleIdx="0" presStyleCnt="4">
        <dgm:presLayoutVars>
          <dgm:bulletEnabled val="1"/>
        </dgm:presLayoutVars>
      </dgm:prSet>
      <dgm:spPr/>
    </dgm:pt>
    <dgm:pt modelId="{9E857E10-56F5-4C67-BCBD-1A3ED972A95D}" type="pres">
      <dgm:prSet presAssocID="{5C157030-4266-49BD-9A0C-A63E0E469E8D}" presName="Name9" presStyleLbl="parChTrans1D2" presStyleIdx="1" presStyleCnt="4"/>
      <dgm:spPr/>
    </dgm:pt>
    <dgm:pt modelId="{6043B6E0-1734-48B6-9E34-2ADC4B5C7A7D}" type="pres">
      <dgm:prSet presAssocID="{5C157030-4266-49BD-9A0C-A63E0E469E8D}" presName="connTx" presStyleLbl="parChTrans1D2" presStyleIdx="1" presStyleCnt="4"/>
      <dgm:spPr/>
    </dgm:pt>
    <dgm:pt modelId="{7A9C2E90-DF90-497C-A0E1-BB0DCD8765A8}" type="pres">
      <dgm:prSet presAssocID="{56B58796-6EC3-4B87-863B-A0234235A1D2}" presName="node" presStyleLbl="node1" presStyleIdx="1" presStyleCnt="4">
        <dgm:presLayoutVars>
          <dgm:bulletEnabled val="1"/>
        </dgm:presLayoutVars>
      </dgm:prSet>
      <dgm:spPr/>
    </dgm:pt>
    <dgm:pt modelId="{F835FCEA-6446-414D-BDB4-8B50D64ABCCB}" type="pres">
      <dgm:prSet presAssocID="{2A3424EC-E52E-452C-8A51-2DC8C8453782}" presName="Name9" presStyleLbl="parChTrans1D2" presStyleIdx="2" presStyleCnt="4"/>
      <dgm:spPr/>
    </dgm:pt>
    <dgm:pt modelId="{1CE9AE9F-C9BA-4646-A0F5-E7B1FF0CA49D}" type="pres">
      <dgm:prSet presAssocID="{2A3424EC-E52E-452C-8A51-2DC8C8453782}" presName="connTx" presStyleLbl="parChTrans1D2" presStyleIdx="2" presStyleCnt="4"/>
      <dgm:spPr/>
    </dgm:pt>
    <dgm:pt modelId="{90543D89-8A4D-4183-824A-25C9DDDB3169}" type="pres">
      <dgm:prSet presAssocID="{BBC99381-5545-4318-9E5C-9B8373BA284E}" presName="node" presStyleLbl="node1" presStyleIdx="2" presStyleCnt="4">
        <dgm:presLayoutVars>
          <dgm:bulletEnabled val="1"/>
        </dgm:presLayoutVars>
      </dgm:prSet>
      <dgm:spPr/>
    </dgm:pt>
    <dgm:pt modelId="{F509F167-9A9B-4BC9-9EF0-98434E0A1FC5}" type="pres">
      <dgm:prSet presAssocID="{D1A9D970-EAD8-4EB2-BB7F-6963325B6CDD}" presName="Name9" presStyleLbl="parChTrans1D2" presStyleIdx="3" presStyleCnt="4"/>
      <dgm:spPr/>
    </dgm:pt>
    <dgm:pt modelId="{2DB876B2-CE7E-44DE-B979-8B68B3120A83}" type="pres">
      <dgm:prSet presAssocID="{D1A9D970-EAD8-4EB2-BB7F-6963325B6CDD}" presName="connTx" presStyleLbl="parChTrans1D2" presStyleIdx="3" presStyleCnt="4"/>
      <dgm:spPr/>
    </dgm:pt>
    <dgm:pt modelId="{9C1094D5-1873-48C3-8E50-DFD1A551FFE6}" type="pres">
      <dgm:prSet presAssocID="{835D85E8-722D-4556-9853-19289870CD47}" presName="node" presStyleLbl="node1" presStyleIdx="3" presStyleCnt="4">
        <dgm:presLayoutVars>
          <dgm:bulletEnabled val="1"/>
        </dgm:presLayoutVars>
      </dgm:prSet>
      <dgm:spPr/>
    </dgm:pt>
  </dgm:ptLst>
  <dgm:cxnLst>
    <dgm:cxn modelId="{84CDD30E-F5F6-40FD-8EEA-B907ED5D9179}" type="presOf" srcId="{D1A9D970-EAD8-4EB2-BB7F-6963325B6CDD}" destId="{F509F167-9A9B-4BC9-9EF0-98434E0A1FC5}" srcOrd="0" destOrd="0" presId="urn:microsoft.com/office/officeart/2005/8/layout/radial1"/>
    <dgm:cxn modelId="{A701731C-B805-4D6D-8061-68EE7EFAABBA}" type="presOf" srcId="{D1A9D970-EAD8-4EB2-BB7F-6963325B6CDD}" destId="{2DB876B2-CE7E-44DE-B979-8B68B3120A83}" srcOrd="1" destOrd="0" presId="urn:microsoft.com/office/officeart/2005/8/layout/radial1"/>
    <dgm:cxn modelId="{E5679323-BEF3-4755-8F8D-768E3EEC3F3C}" srcId="{63B7AF26-7C12-41D4-B83B-25B29A8FA3EC}" destId="{56B58796-6EC3-4B87-863B-A0234235A1D2}" srcOrd="1" destOrd="0" parTransId="{5C157030-4266-49BD-9A0C-A63E0E469E8D}" sibTransId="{48763620-2DC2-4226-B581-5FDB567127AC}"/>
    <dgm:cxn modelId="{2856402C-CF06-4934-99B6-8B666FAD50E1}" srcId="{63B7AF26-7C12-41D4-B83B-25B29A8FA3EC}" destId="{835D85E8-722D-4556-9853-19289870CD47}" srcOrd="3" destOrd="0" parTransId="{D1A9D970-EAD8-4EB2-BB7F-6963325B6CDD}" sibTransId="{432484EF-51AB-4498-A943-F0A7D85FF5AB}"/>
    <dgm:cxn modelId="{733BE634-FA85-4393-AB8A-435508B8BCDA}" type="presOf" srcId="{63B7AF26-7C12-41D4-B83B-25B29A8FA3EC}" destId="{F4A2C522-A7A2-40CD-85AD-36C503A347A9}" srcOrd="0" destOrd="0" presId="urn:microsoft.com/office/officeart/2005/8/layout/radial1"/>
    <dgm:cxn modelId="{FD1E0640-902E-46AE-A144-3E18B388811B}" type="presOf" srcId="{5C157030-4266-49BD-9A0C-A63E0E469E8D}" destId="{6043B6E0-1734-48B6-9E34-2ADC4B5C7A7D}" srcOrd="1" destOrd="0" presId="urn:microsoft.com/office/officeart/2005/8/layout/radial1"/>
    <dgm:cxn modelId="{92EA4A4B-E60D-41B0-8F0F-138F51D2A562}" srcId="{63B7AF26-7C12-41D4-B83B-25B29A8FA3EC}" destId="{2416E40A-26E1-4372-87E4-85886D95F28D}" srcOrd="0" destOrd="0" parTransId="{D121C625-C4E1-42DE-BCF0-D0368C913D8A}" sibTransId="{B4FA5834-188B-421E-9F8C-F9D972C4CD31}"/>
    <dgm:cxn modelId="{1CBCD05C-4BD2-44EF-886B-198331DC5229}" srcId="{9EE82302-C2E7-470C-A6FE-645348BE398E}" destId="{63B7AF26-7C12-41D4-B83B-25B29A8FA3EC}" srcOrd="0" destOrd="0" parTransId="{7236CCAE-165D-4B06-85DB-F82C9EBC006C}" sibTransId="{55D0BE36-182A-404C-8CDD-25445F428C24}"/>
    <dgm:cxn modelId="{FC7BDB62-4FBB-47A1-8B70-8EBECE373699}" type="presOf" srcId="{2A3424EC-E52E-452C-8A51-2DC8C8453782}" destId="{F835FCEA-6446-414D-BDB4-8B50D64ABCCB}" srcOrd="0" destOrd="0" presId="urn:microsoft.com/office/officeart/2005/8/layout/radial1"/>
    <dgm:cxn modelId="{1D01386C-0658-47DE-9511-08EF4AD166AD}" type="presOf" srcId="{835D85E8-722D-4556-9853-19289870CD47}" destId="{9C1094D5-1873-48C3-8E50-DFD1A551FFE6}" srcOrd="0" destOrd="0" presId="urn:microsoft.com/office/officeart/2005/8/layout/radial1"/>
    <dgm:cxn modelId="{C1C6366D-3776-4F1A-A4BA-316F7589CBC3}" srcId="{63B7AF26-7C12-41D4-B83B-25B29A8FA3EC}" destId="{BBC99381-5545-4318-9E5C-9B8373BA284E}" srcOrd="2" destOrd="0" parTransId="{2A3424EC-E52E-452C-8A51-2DC8C8453782}" sibTransId="{EAC6C6B6-5F9C-4F16-A5B6-3E5533DD5640}"/>
    <dgm:cxn modelId="{C977F472-DC9F-4003-B706-E1CD583FD73B}" type="presOf" srcId="{BBC99381-5545-4318-9E5C-9B8373BA284E}" destId="{90543D89-8A4D-4183-824A-25C9DDDB3169}" srcOrd="0" destOrd="0" presId="urn:microsoft.com/office/officeart/2005/8/layout/radial1"/>
    <dgm:cxn modelId="{E903ED7C-7F84-4146-B415-2DEC9C8560EB}" type="presOf" srcId="{5C157030-4266-49BD-9A0C-A63E0E469E8D}" destId="{9E857E10-56F5-4C67-BCBD-1A3ED972A95D}" srcOrd="0" destOrd="0" presId="urn:microsoft.com/office/officeart/2005/8/layout/radial1"/>
    <dgm:cxn modelId="{BAD4D6A9-AFCF-453B-8196-4A250812ECE8}" type="presOf" srcId="{D121C625-C4E1-42DE-BCF0-D0368C913D8A}" destId="{08D6F0C0-6336-47E8-AACC-28CB1EB18245}" srcOrd="1" destOrd="0" presId="urn:microsoft.com/office/officeart/2005/8/layout/radial1"/>
    <dgm:cxn modelId="{DC70F2B5-9D9D-4146-A296-4D4FC8E7D42E}" type="presOf" srcId="{D121C625-C4E1-42DE-BCF0-D0368C913D8A}" destId="{F3786598-F9C3-4D15-8C10-C97085F0B6CF}" srcOrd="0" destOrd="0" presId="urn:microsoft.com/office/officeart/2005/8/layout/radial1"/>
    <dgm:cxn modelId="{702B44C9-3A71-49CE-A59C-F5DFBC6E2497}" type="presOf" srcId="{2416E40A-26E1-4372-87E4-85886D95F28D}" destId="{2B9350A6-7071-4409-A6A3-3FEA39AA6ED7}" srcOrd="0" destOrd="0" presId="urn:microsoft.com/office/officeart/2005/8/layout/radial1"/>
    <dgm:cxn modelId="{DBBF31CB-6EF0-4A43-984D-9E4F63A51B52}" type="presOf" srcId="{2A3424EC-E52E-452C-8A51-2DC8C8453782}" destId="{1CE9AE9F-C9BA-4646-A0F5-E7B1FF0CA49D}" srcOrd="1" destOrd="0" presId="urn:microsoft.com/office/officeart/2005/8/layout/radial1"/>
    <dgm:cxn modelId="{4B971ADE-F70B-42E3-B6B9-E93EE1767A86}" type="presOf" srcId="{56B58796-6EC3-4B87-863B-A0234235A1D2}" destId="{7A9C2E90-DF90-497C-A0E1-BB0DCD8765A8}" srcOrd="0" destOrd="0" presId="urn:microsoft.com/office/officeart/2005/8/layout/radial1"/>
    <dgm:cxn modelId="{2524C0EA-354C-47D6-9A12-0EEC465675D9}" type="presOf" srcId="{9EE82302-C2E7-470C-A6FE-645348BE398E}" destId="{5130DEB4-60EF-4716-9C07-CDF84F7FD9F0}" srcOrd="0" destOrd="0" presId="urn:microsoft.com/office/officeart/2005/8/layout/radial1"/>
    <dgm:cxn modelId="{ECD85F20-4B91-42D6-84BA-BD5D88BEC7BE}" type="presParOf" srcId="{5130DEB4-60EF-4716-9C07-CDF84F7FD9F0}" destId="{F4A2C522-A7A2-40CD-85AD-36C503A347A9}" srcOrd="0" destOrd="0" presId="urn:microsoft.com/office/officeart/2005/8/layout/radial1"/>
    <dgm:cxn modelId="{E4AD71A2-4D1D-4B5C-B331-2C16C9A5303A}" type="presParOf" srcId="{5130DEB4-60EF-4716-9C07-CDF84F7FD9F0}" destId="{F3786598-F9C3-4D15-8C10-C97085F0B6CF}" srcOrd="1" destOrd="0" presId="urn:microsoft.com/office/officeart/2005/8/layout/radial1"/>
    <dgm:cxn modelId="{D190CE8A-A8E4-484E-91B4-F0814676A5E6}" type="presParOf" srcId="{F3786598-F9C3-4D15-8C10-C97085F0B6CF}" destId="{08D6F0C0-6336-47E8-AACC-28CB1EB18245}" srcOrd="0" destOrd="0" presId="urn:microsoft.com/office/officeart/2005/8/layout/radial1"/>
    <dgm:cxn modelId="{48A37C57-E4CE-45EA-9BC9-14BB0EE08A57}" type="presParOf" srcId="{5130DEB4-60EF-4716-9C07-CDF84F7FD9F0}" destId="{2B9350A6-7071-4409-A6A3-3FEA39AA6ED7}" srcOrd="2" destOrd="0" presId="urn:microsoft.com/office/officeart/2005/8/layout/radial1"/>
    <dgm:cxn modelId="{D834944B-1A71-44FF-B369-C59708D0586F}" type="presParOf" srcId="{5130DEB4-60EF-4716-9C07-CDF84F7FD9F0}" destId="{9E857E10-56F5-4C67-BCBD-1A3ED972A95D}" srcOrd="3" destOrd="0" presId="urn:microsoft.com/office/officeart/2005/8/layout/radial1"/>
    <dgm:cxn modelId="{1CC90D74-26E2-4F49-A81A-B8A41E2DE2BE}" type="presParOf" srcId="{9E857E10-56F5-4C67-BCBD-1A3ED972A95D}" destId="{6043B6E0-1734-48B6-9E34-2ADC4B5C7A7D}" srcOrd="0" destOrd="0" presId="urn:microsoft.com/office/officeart/2005/8/layout/radial1"/>
    <dgm:cxn modelId="{840D1226-269A-4077-B178-5626998ECEF9}" type="presParOf" srcId="{5130DEB4-60EF-4716-9C07-CDF84F7FD9F0}" destId="{7A9C2E90-DF90-497C-A0E1-BB0DCD8765A8}" srcOrd="4" destOrd="0" presId="urn:microsoft.com/office/officeart/2005/8/layout/radial1"/>
    <dgm:cxn modelId="{8AE944DE-0741-4569-BE23-FF77CBD00E26}" type="presParOf" srcId="{5130DEB4-60EF-4716-9C07-CDF84F7FD9F0}" destId="{F835FCEA-6446-414D-BDB4-8B50D64ABCCB}" srcOrd="5" destOrd="0" presId="urn:microsoft.com/office/officeart/2005/8/layout/radial1"/>
    <dgm:cxn modelId="{9AF2939A-D5F0-481E-BA9E-4CECD0FE9259}" type="presParOf" srcId="{F835FCEA-6446-414D-BDB4-8B50D64ABCCB}" destId="{1CE9AE9F-C9BA-4646-A0F5-E7B1FF0CA49D}" srcOrd="0" destOrd="0" presId="urn:microsoft.com/office/officeart/2005/8/layout/radial1"/>
    <dgm:cxn modelId="{FD0E387A-C37A-49D0-87B4-B8ED10FF8EF8}" type="presParOf" srcId="{5130DEB4-60EF-4716-9C07-CDF84F7FD9F0}" destId="{90543D89-8A4D-4183-824A-25C9DDDB3169}" srcOrd="6" destOrd="0" presId="urn:microsoft.com/office/officeart/2005/8/layout/radial1"/>
    <dgm:cxn modelId="{4555300F-BCA8-4912-969C-F7DC89F6C4F9}" type="presParOf" srcId="{5130DEB4-60EF-4716-9C07-CDF84F7FD9F0}" destId="{F509F167-9A9B-4BC9-9EF0-98434E0A1FC5}" srcOrd="7" destOrd="0" presId="urn:microsoft.com/office/officeart/2005/8/layout/radial1"/>
    <dgm:cxn modelId="{BD15BD22-3F4B-4464-B3D5-8B1778BAFB80}" type="presParOf" srcId="{F509F167-9A9B-4BC9-9EF0-98434E0A1FC5}" destId="{2DB876B2-CE7E-44DE-B979-8B68B3120A83}" srcOrd="0" destOrd="0" presId="urn:microsoft.com/office/officeart/2005/8/layout/radial1"/>
    <dgm:cxn modelId="{34F48EE5-045C-458E-8DDB-4C7DEAC13848}" type="presParOf" srcId="{5130DEB4-60EF-4716-9C07-CDF84F7FD9F0}" destId="{9C1094D5-1873-48C3-8E50-DFD1A551FFE6}" srcOrd="8"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6C81B2-6F7B-480E-83FB-20E98F590E06}" type="doc">
      <dgm:prSet loTypeId="urn:microsoft.com/office/officeart/2011/layout/HexagonRadial" loCatId="officeonline" qsTypeId="urn:microsoft.com/office/officeart/2005/8/quickstyle/simple1#2" qsCatId="simple" csTypeId="urn:microsoft.com/office/officeart/2005/8/colors/colorful5#2" csCatId="colorful" phldr="1"/>
      <dgm:spPr/>
      <dgm:t>
        <a:bodyPr/>
        <a:lstStyle/>
        <a:p>
          <a:endParaRPr lang="en-US"/>
        </a:p>
      </dgm:t>
    </dgm:pt>
    <dgm:pt modelId="{6F4BF23B-607A-4A0E-915B-499A92377555}">
      <dgm:prSet phldrT="[Text]" custT="1"/>
      <dgm:spPr/>
      <dgm:t>
        <a:bodyPr/>
        <a:lstStyle/>
        <a:p>
          <a:r>
            <a:rPr lang="ar-EG" sz="1200">
              <a:latin typeface="Traditional Arabic" panose="02020603050405020304" pitchFamily="18" charset="-78"/>
              <a:cs typeface="Traditional Arabic" panose="02020603050405020304" pitchFamily="18" charset="-78"/>
            </a:rPr>
            <a:t>أبعاد سلامة المرضى</a:t>
          </a:r>
          <a:endParaRPr lang="en-US" sz="1200">
            <a:latin typeface="Traditional Arabic" panose="02020603050405020304" pitchFamily="18" charset="-78"/>
            <a:cs typeface="Traditional Arabic" panose="02020603050405020304" pitchFamily="18" charset="-78"/>
          </a:endParaRPr>
        </a:p>
      </dgm:t>
    </dgm:pt>
    <dgm:pt modelId="{55136D1C-ACD2-442D-8227-AA3D9CDBD68A}" type="parTrans" cxnId="{D4705C03-D36E-4EF1-92C8-2F81D85B29A2}">
      <dgm:prSet/>
      <dgm:spPr/>
      <dgm:t>
        <a:bodyPr/>
        <a:lstStyle/>
        <a:p>
          <a:endParaRPr lang="en-US"/>
        </a:p>
      </dgm:t>
    </dgm:pt>
    <dgm:pt modelId="{99B51D58-B0CF-4B35-985F-5EE68ACBE0A6}" type="sibTrans" cxnId="{D4705C03-D36E-4EF1-92C8-2F81D85B29A2}">
      <dgm:prSet/>
      <dgm:spPr/>
      <dgm:t>
        <a:bodyPr/>
        <a:lstStyle/>
        <a:p>
          <a:endParaRPr lang="en-US"/>
        </a:p>
      </dgm:t>
    </dgm:pt>
    <dgm:pt modelId="{945BFC78-9967-4BB2-872C-4BCA450E19EB}">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تقليل الأخطاء الطبية </a:t>
          </a:r>
          <a:endParaRPr lang="en-US" sz="1200">
            <a:latin typeface="Traditional Arabic" panose="02020603050405020304" pitchFamily="18" charset="-78"/>
            <a:cs typeface="Traditional Arabic" panose="02020603050405020304" pitchFamily="18" charset="-78"/>
          </a:endParaRPr>
        </a:p>
      </dgm:t>
    </dgm:pt>
    <dgm:pt modelId="{2FA5D44E-9D2C-4B31-BFD0-376A7E3517C0}" type="parTrans" cxnId="{45C806E5-5A9C-4A18-BD8C-18C825DFB230}">
      <dgm:prSet/>
      <dgm:spPr/>
      <dgm:t>
        <a:bodyPr/>
        <a:lstStyle/>
        <a:p>
          <a:endParaRPr lang="en-US"/>
        </a:p>
      </dgm:t>
    </dgm:pt>
    <dgm:pt modelId="{8A5CBFAA-2962-4AD7-9257-27AC134D8BAC}" type="sibTrans" cxnId="{45C806E5-5A9C-4A18-BD8C-18C825DFB230}">
      <dgm:prSet/>
      <dgm:spPr/>
      <dgm:t>
        <a:bodyPr/>
        <a:lstStyle/>
        <a:p>
          <a:endParaRPr lang="en-US"/>
        </a:p>
      </dgm:t>
    </dgm:pt>
    <dgm:pt modelId="{CE1C11EF-BC62-4C48-B499-16870ABF6323}">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فعالية أنظمة الإبلاغ عن الحوادث </a:t>
          </a:r>
          <a:endParaRPr lang="en-US" sz="1200">
            <a:latin typeface="Traditional Arabic" panose="02020603050405020304" pitchFamily="18" charset="-78"/>
            <a:cs typeface="Traditional Arabic" panose="02020603050405020304" pitchFamily="18" charset="-78"/>
          </a:endParaRPr>
        </a:p>
      </dgm:t>
    </dgm:pt>
    <dgm:pt modelId="{81775252-B0FD-4F4A-B7CE-C0D2A7442A2B}" type="parTrans" cxnId="{DB78713C-D375-4E9E-84C4-85B4A69024FE}">
      <dgm:prSet/>
      <dgm:spPr/>
      <dgm:t>
        <a:bodyPr/>
        <a:lstStyle/>
        <a:p>
          <a:endParaRPr lang="en-US"/>
        </a:p>
      </dgm:t>
    </dgm:pt>
    <dgm:pt modelId="{FD750C07-F87E-483C-A641-5751F1EF6117}" type="sibTrans" cxnId="{DB78713C-D375-4E9E-84C4-85B4A69024FE}">
      <dgm:prSet/>
      <dgm:spPr/>
      <dgm:t>
        <a:bodyPr/>
        <a:lstStyle/>
        <a:p>
          <a:endParaRPr lang="en-US"/>
        </a:p>
      </dgm:t>
    </dgm:pt>
    <dgm:pt modelId="{3C0FA739-C65B-481C-B5BD-331FD4573F85}">
      <dgm:prSet phldrT="[Text]" custT="1"/>
      <dgm:spPr/>
      <dgm:t>
        <a:bodyPr/>
        <a:lstStyle/>
        <a:p>
          <a:r>
            <a:rPr lang="ar-EG" sz="1200">
              <a:latin typeface="Traditional Arabic" panose="02020603050405020304" pitchFamily="18" charset="-78"/>
              <a:cs typeface="Traditional Arabic" panose="02020603050405020304" pitchFamily="18" charset="-78"/>
            </a:rPr>
            <a:t>جودة الرعاية السريرية</a:t>
          </a:r>
          <a:endParaRPr lang="en-US" sz="1200">
            <a:latin typeface="Traditional Arabic" panose="02020603050405020304" pitchFamily="18" charset="-78"/>
            <a:cs typeface="Traditional Arabic" panose="02020603050405020304" pitchFamily="18" charset="-78"/>
          </a:endParaRPr>
        </a:p>
      </dgm:t>
    </dgm:pt>
    <dgm:pt modelId="{B4029644-D4AF-4ECE-A4CF-433A9BF2C30B}" type="parTrans" cxnId="{A4DAA516-9A79-4278-ACA6-8D4E73495737}">
      <dgm:prSet/>
      <dgm:spPr/>
      <dgm:t>
        <a:bodyPr/>
        <a:lstStyle/>
        <a:p>
          <a:endParaRPr lang="en-US"/>
        </a:p>
      </dgm:t>
    </dgm:pt>
    <dgm:pt modelId="{C8B5B46A-3206-4520-A305-1ABEA4231BDF}" type="sibTrans" cxnId="{A4DAA516-9A79-4278-ACA6-8D4E73495737}">
      <dgm:prSet/>
      <dgm:spPr/>
      <dgm:t>
        <a:bodyPr/>
        <a:lstStyle/>
        <a:p>
          <a:endParaRPr lang="en-US"/>
        </a:p>
      </dgm:t>
    </dgm:pt>
    <dgm:pt modelId="{F4869D4F-8738-4CB5-B2A6-9ED8A6DD20CD}">
      <dgm:prSet phldrT="[Text]" custT="1"/>
      <dgm:spPr/>
      <dgm:t>
        <a:bodyPr/>
        <a:lstStyle/>
        <a:p>
          <a:r>
            <a:rPr lang="ar-EG" sz="1200">
              <a:latin typeface="Traditional Arabic" panose="02020603050405020304" pitchFamily="18" charset="-78"/>
              <a:cs typeface="Traditional Arabic" panose="02020603050405020304" pitchFamily="18" charset="-78"/>
            </a:rPr>
            <a:t>بيئة العمل الآمنة</a:t>
          </a:r>
          <a:endParaRPr lang="en-US" sz="1200">
            <a:latin typeface="Traditional Arabic" panose="02020603050405020304" pitchFamily="18" charset="-78"/>
            <a:cs typeface="Traditional Arabic" panose="02020603050405020304" pitchFamily="18" charset="-78"/>
          </a:endParaRPr>
        </a:p>
      </dgm:t>
    </dgm:pt>
    <dgm:pt modelId="{63D7DB25-251C-446F-99D0-5DECE091DE6D}" type="parTrans" cxnId="{04EE753B-7869-4ED7-9ED4-1A47B0576248}">
      <dgm:prSet/>
      <dgm:spPr/>
      <dgm:t>
        <a:bodyPr/>
        <a:lstStyle/>
        <a:p>
          <a:endParaRPr lang="en-US"/>
        </a:p>
      </dgm:t>
    </dgm:pt>
    <dgm:pt modelId="{43E31BCD-DCA4-4982-92C3-391903FDF38D}" type="sibTrans" cxnId="{04EE753B-7869-4ED7-9ED4-1A47B0576248}">
      <dgm:prSet/>
      <dgm:spPr/>
      <dgm:t>
        <a:bodyPr/>
        <a:lstStyle/>
        <a:p>
          <a:endParaRPr lang="en-US"/>
        </a:p>
      </dgm:t>
    </dgm:pt>
    <dgm:pt modelId="{4C82A033-279E-4430-A98B-2F96FA1D7167}">
      <dgm:prSet phldrT="[Text]" custT="1"/>
      <dgm:spPr/>
      <dgm:t>
        <a:bodyPr/>
        <a:lstStyle/>
        <a:p>
          <a:r>
            <a:rPr lang="ar-EG" sz="1200">
              <a:latin typeface="Traditional Arabic" panose="02020603050405020304" pitchFamily="18" charset="-78"/>
              <a:cs typeface="Traditional Arabic" panose="02020603050405020304" pitchFamily="18" charset="-78"/>
            </a:rPr>
            <a:t>إشراك المرضى في الرعاية</a:t>
          </a:r>
          <a:endParaRPr lang="en-US" sz="1200">
            <a:latin typeface="Traditional Arabic" panose="02020603050405020304" pitchFamily="18" charset="-78"/>
            <a:cs typeface="Traditional Arabic" panose="02020603050405020304" pitchFamily="18" charset="-78"/>
          </a:endParaRPr>
        </a:p>
      </dgm:t>
    </dgm:pt>
    <dgm:pt modelId="{4A0762DC-F9B0-43B4-9230-5D5E442CD025}" type="parTrans" cxnId="{5D213605-46CA-4984-B2A2-596B4C2DB8D3}">
      <dgm:prSet/>
      <dgm:spPr/>
      <dgm:t>
        <a:bodyPr/>
        <a:lstStyle/>
        <a:p>
          <a:endParaRPr lang="en-US"/>
        </a:p>
      </dgm:t>
    </dgm:pt>
    <dgm:pt modelId="{118F5042-98B1-4488-A225-AB29DA2E5F93}" type="sibTrans" cxnId="{5D213605-46CA-4984-B2A2-596B4C2DB8D3}">
      <dgm:prSet/>
      <dgm:spPr/>
      <dgm:t>
        <a:bodyPr/>
        <a:lstStyle/>
        <a:p>
          <a:endParaRPr lang="en-US"/>
        </a:p>
      </dgm:t>
    </dgm:pt>
    <dgm:pt modelId="{D91854B5-585E-4482-9140-F50A980072B3}" type="pres">
      <dgm:prSet presAssocID="{406C81B2-6F7B-480E-83FB-20E98F590E06}" presName="Name0" presStyleCnt="0">
        <dgm:presLayoutVars>
          <dgm:chMax val="1"/>
          <dgm:chPref val="1"/>
          <dgm:dir/>
          <dgm:animOne val="branch"/>
          <dgm:animLvl val="lvl"/>
        </dgm:presLayoutVars>
      </dgm:prSet>
      <dgm:spPr/>
    </dgm:pt>
    <dgm:pt modelId="{E50D78F5-6784-4175-A8E0-FE6753DD78D7}" type="pres">
      <dgm:prSet presAssocID="{6F4BF23B-607A-4A0E-915B-499A92377555}" presName="Parent" presStyleLbl="node0" presStyleIdx="0" presStyleCnt="1">
        <dgm:presLayoutVars>
          <dgm:chMax val="6"/>
          <dgm:chPref val="6"/>
        </dgm:presLayoutVars>
      </dgm:prSet>
      <dgm:spPr/>
    </dgm:pt>
    <dgm:pt modelId="{0CD761AC-658B-4FC7-A2F9-E42144B2CABB}" type="pres">
      <dgm:prSet presAssocID="{945BFC78-9967-4BB2-872C-4BCA450E19EB}" presName="Accent1" presStyleCnt="0"/>
      <dgm:spPr/>
    </dgm:pt>
    <dgm:pt modelId="{26590B2D-483B-45D7-83AA-4322BA707E7A}" type="pres">
      <dgm:prSet presAssocID="{945BFC78-9967-4BB2-872C-4BCA450E19EB}" presName="Accent" presStyleLbl="bgShp" presStyleIdx="0" presStyleCnt="5"/>
      <dgm:spPr/>
    </dgm:pt>
    <dgm:pt modelId="{9A066EF5-943E-4EE9-B763-835FD7B1ADFC}" type="pres">
      <dgm:prSet presAssocID="{945BFC78-9967-4BB2-872C-4BCA450E19EB}" presName="Child1" presStyleLbl="node1" presStyleIdx="0" presStyleCnt="5">
        <dgm:presLayoutVars>
          <dgm:chMax val="0"/>
          <dgm:chPref val="0"/>
          <dgm:bulletEnabled val="1"/>
        </dgm:presLayoutVars>
      </dgm:prSet>
      <dgm:spPr/>
    </dgm:pt>
    <dgm:pt modelId="{5FF3F99D-89BA-4801-8C3B-3B7CEC22C844}" type="pres">
      <dgm:prSet presAssocID="{CE1C11EF-BC62-4C48-B499-16870ABF6323}" presName="Accent2" presStyleCnt="0"/>
      <dgm:spPr/>
    </dgm:pt>
    <dgm:pt modelId="{DA9728D2-FE8B-4155-B5DC-3B4E88CF68B3}" type="pres">
      <dgm:prSet presAssocID="{CE1C11EF-BC62-4C48-B499-16870ABF6323}" presName="Accent" presStyleLbl="bgShp" presStyleIdx="1" presStyleCnt="5"/>
      <dgm:spPr/>
    </dgm:pt>
    <dgm:pt modelId="{065425EA-BFBC-4F5B-896A-87EF310F1789}" type="pres">
      <dgm:prSet presAssocID="{CE1C11EF-BC62-4C48-B499-16870ABF6323}" presName="Child2" presStyleLbl="node1" presStyleIdx="1" presStyleCnt="5">
        <dgm:presLayoutVars>
          <dgm:chMax val="0"/>
          <dgm:chPref val="0"/>
          <dgm:bulletEnabled val="1"/>
        </dgm:presLayoutVars>
      </dgm:prSet>
      <dgm:spPr/>
    </dgm:pt>
    <dgm:pt modelId="{2C473192-507E-48D4-B03A-400156D22B73}" type="pres">
      <dgm:prSet presAssocID="{3C0FA739-C65B-481C-B5BD-331FD4573F85}" presName="Accent3" presStyleCnt="0"/>
      <dgm:spPr/>
    </dgm:pt>
    <dgm:pt modelId="{AE0F9A88-DC2C-408B-81C1-057E0AA334C6}" type="pres">
      <dgm:prSet presAssocID="{3C0FA739-C65B-481C-B5BD-331FD4573F85}" presName="Accent" presStyleLbl="bgShp" presStyleIdx="2" presStyleCnt="5"/>
      <dgm:spPr/>
    </dgm:pt>
    <dgm:pt modelId="{12BC5208-B40D-4C78-9AD7-2A80012BF1D4}" type="pres">
      <dgm:prSet presAssocID="{3C0FA739-C65B-481C-B5BD-331FD4573F85}" presName="Child3" presStyleLbl="node1" presStyleIdx="2" presStyleCnt="5">
        <dgm:presLayoutVars>
          <dgm:chMax val="0"/>
          <dgm:chPref val="0"/>
          <dgm:bulletEnabled val="1"/>
        </dgm:presLayoutVars>
      </dgm:prSet>
      <dgm:spPr/>
    </dgm:pt>
    <dgm:pt modelId="{209E1585-9B1A-41F8-ADC2-19ECB6C94615}" type="pres">
      <dgm:prSet presAssocID="{F4869D4F-8738-4CB5-B2A6-9ED8A6DD20CD}" presName="Accent4" presStyleCnt="0"/>
      <dgm:spPr/>
    </dgm:pt>
    <dgm:pt modelId="{E3E00F3B-9402-4420-9FA5-955E7CDE71AC}" type="pres">
      <dgm:prSet presAssocID="{F4869D4F-8738-4CB5-B2A6-9ED8A6DD20CD}" presName="Accent" presStyleLbl="bgShp" presStyleIdx="3" presStyleCnt="5"/>
      <dgm:spPr/>
    </dgm:pt>
    <dgm:pt modelId="{9063182D-471F-4B22-B1DC-E191435DE150}" type="pres">
      <dgm:prSet presAssocID="{F4869D4F-8738-4CB5-B2A6-9ED8A6DD20CD}" presName="Child4" presStyleLbl="node1" presStyleIdx="3" presStyleCnt="5">
        <dgm:presLayoutVars>
          <dgm:chMax val="0"/>
          <dgm:chPref val="0"/>
          <dgm:bulletEnabled val="1"/>
        </dgm:presLayoutVars>
      </dgm:prSet>
      <dgm:spPr/>
    </dgm:pt>
    <dgm:pt modelId="{3FF69E3D-CE01-47FD-9470-FD1DB5A94793}" type="pres">
      <dgm:prSet presAssocID="{4C82A033-279E-4430-A98B-2F96FA1D7167}" presName="Accent5" presStyleCnt="0"/>
      <dgm:spPr/>
    </dgm:pt>
    <dgm:pt modelId="{E5751212-FB36-4942-B2EA-1080E63DB5ED}" type="pres">
      <dgm:prSet presAssocID="{4C82A033-279E-4430-A98B-2F96FA1D7167}" presName="Accent" presStyleLbl="bgShp" presStyleIdx="4" presStyleCnt="5"/>
      <dgm:spPr/>
    </dgm:pt>
    <dgm:pt modelId="{D60ACA30-2326-4F8E-A170-1DF58B0C828D}" type="pres">
      <dgm:prSet presAssocID="{4C82A033-279E-4430-A98B-2F96FA1D7167}" presName="Child5" presStyleLbl="node1" presStyleIdx="4" presStyleCnt="5">
        <dgm:presLayoutVars>
          <dgm:chMax val="0"/>
          <dgm:chPref val="0"/>
          <dgm:bulletEnabled val="1"/>
        </dgm:presLayoutVars>
      </dgm:prSet>
      <dgm:spPr/>
    </dgm:pt>
  </dgm:ptLst>
  <dgm:cxnLst>
    <dgm:cxn modelId="{58508C02-2336-4D48-B777-74D0E6C09F13}" type="presOf" srcId="{945BFC78-9967-4BB2-872C-4BCA450E19EB}" destId="{9A066EF5-943E-4EE9-B763-835FD7B1ADFC}" srcOrd="0" destOrd="0" presId="urn:microsoft.com/office/officeart/2011/layout/HexagonRadial"/>
    <dgm:cxn modelId="{D4705C03-D36E-4EF1-92C8-2F81D85B29A2}" srcId="{406C81B2-6F7B-480E-83FB-20E98F590E06}" destId="{6F4BF23B-607A-4A0E-915B-499A92377555}" srcOrd="0" destOrd="0" parTransId="{55136D1C-ACD2-442D-8227-AA3D9CDBD68A}" sibTransId="{99B51D58-B0CF-4B35-985F-5EE68ACBE0A6}"/>
    <dgm:cxn modelId="{5D213605-46CA-4984-B2A2-596B4C2DB8D3}" srcId="{6F4BF23B-607A-4A0E-915B-499A92377555}" destId="{4C82A033-279E-4430-A98B-2F96FA1D7167}" srcOrd="4" destOrd="0" parTransId="{4A0762DC-F9B0-43B4-9230-5D5E442CD025}" sibTransId="{118F5042-98B1-4488-A225-AB29DA2E5F93}"/>
    <dgm:cxn modelId="{A4DAA516-9A79-4278-ACA6-8D4E73495737}" srcId="{6F4BF23B-607A-4A0E-915B-499A92377555}" destId="{3C0FA739-C65B-481C-B5BD-331FD4573F85}" srcOrd="2" destOrd="0" parTransId="{B4029644-D4AF-4ECE-A4CF-433A9BF2C30B}" sibTransId="{C8B5B46A-3206-4520-A305-1ABEA4231BDF}"/>
    <dgm:cxn modelId="{C1A0A419-CC6A-44A1-B71B-E4C9456D4773}" type="presOf" srcId="{4C82A033-279E-4430-A98B-2F96FA1D7167}" destId="{D60ACA30-2326-4F8E-A170-1DF58B0C828D}" srcOrd="0" destOrd="0" presId="urn:microsoft.com/office/officeart/2011/layout/HexagonRadial"/>
    <dgm:cxn modelId="{04EE753B-7869-4ED7-9ED4-1A47B0576248}" srcId="{6F4BF23B-607A-4A0E-915B-499A92377555}" destId="{F4869D4F-8738-4CB5-B2A6-9ED8A6DD20CD}" srcOrd="3" destOrd="0" parTransId="{63D7DB25-251C-446F-99D0-5DECE091DE6D}" sibTransId="{43E31BCD-DCA4-4982-92C3-391903FDF38D}"/>
    <dgm:cxn modelId="{DB78713C-D375-4E9E-84C4-85B4A69024FE}" srcId="{6F4BF23B-607A-4A0E-915B-499A92377555}" destId="{CE1C11EF-BC62-4C48-B499-16870ABF6323}" srcOrd="1" destOrd="0" parTransId="{81775252-B0FD-4F4A-B7CE-C0D2A7442A2B}" sibTransId="{FD750C07-F87E-483C-A641-5751F1EF6117}"/>
    <dgm:cxn modelId="{04C57D70-EC48-4DAF-A51C-F5CB594A0D0F}" type="presOf" srcId="{406C81B2-6F7B-480E-83FB-20E98F590E06}" destId="{D91854B5-585E-4482-9140-F50A980072B3}" srcOrd="0" destOrd="0" presId="urn:microsoft.com/office/officeart/2011/layout/HexagonRadial"/>
    <dgm:cxn modelId="{DD0332AD-2325-443A-AF99-2B9B21A06BDA}" type="presOf" srcId="{6F4BF23B-607A-4A0E-915B-499A92377555}" destId="{E50D78F5-6784-4175-A8E0-FE6753DD78D7}" srcOrd="0" destOrd="0" presId="urn:microsoft.com/office/officeart/2011/layout/HexagonRadial"/>
    <dgm:cxn modelId="{7AE6AAB0-89B1-4219-8646-6C4973895BA0}" type="presOf" srcId="{F4869D4F-8738-4CB5-B2A6-9ED8A6DD20CD}" destId="{9063182D-471F-4B22-B1DC-E191435DE150}" srcOrd="0" destOrd="0" presId="urn:microsoft.com/office/officeart/2011/layout/HexagonRadial"/>
    <dgm:cxn modelId="{BC26F3E2-D208-4C93-A849-3D470967A306}" type="presOf" srcId="{3C0FA739-C65B-481C-B5BD-331FD4573F85}" destId="{12BC5208-B40D-4C78-9AD7-2A80012BF1D4}" srcOrd="0" destOrd="0" presId="urn:microsoft.com/office/officeart/2011/layout/HexagonRadial"/>
    <dgm:cxn modelId="{45C806E5-5A9C-4A18-BD8C-18C825DFB230}" srcId="{6F4BF23B-607A-4A0E-915B-499A92377555}" destId="{945BFC78-9967-4BB2-872C-4BCA450E19EB}" srcOrd="0" destOrd="0" parTransId="{2FA5D44E-9D2C-4B31-BFD0-376A7E3517C0}" sibTransId="{8A5CBFAA-2962-4AD7-9257-27AC134D8BAC}"/>
    <dgm:cxn modelId="{F58FAAF0-7515-4E76-90E2-3E2581674B2F}" type="presOf" srcId="{CE1C11EF-BC62-4C48-B499-16870ABF6323}" destId="{065425EA-BFBC-4F5B-896A-87EF310F1789}" srcOrd="0" destOrd="0" presId="urn:microsoft.com/office/officeart/2011/layout/HexagonRadial"/>
    <dgm:cxn modelId="{66F56452-7093-49E3-9691-EC34527D7257}" type="presParOf" srcId="{D91854B5-585E-4482-9140-F50A980072B3}" destId="{E50D78F5-6784-4175-A8E0-FE6753DD78D7}" srcOrd="0" destOrd="0" presId="urn:microsoft.com/office/officeart/2011/layout/HexagonRadial"/>
    <dgm:cxn modelId="{7A3BE0FF-C6A4-4106-840B-A93352523919}" type="presParOf" srcId="{D91854B5-585E-4482-9140-F50A980072B3}" destId="{0CD761AC-658B-4FC7-A2F9-E42144B2CABB}" srcOrd="1" destOrd="0" presId="urn:microsoft.com/office/officeart/2011/layout/HexagonRadial"/>
    <dgm:cxn modelId="{C00E7E53-E396-4392-9658-9F72D7E6F918}" type="presParOf" srcId="{0CD761AC-658B-4FC7-A2F9-E42144B2CABB}" destId="{26590B2D-483B-45D7-83AA-4322BA707E7A}" srcOrd="0" destOrd="0" presId="urn:microsoft.com/office/officeart/2011/layout/HexagonRadial"/>
    <dgm:cxn modelId="{58DFDAB2-C1AD-4946-B991-A182BDD6AC2B}" type="presParOf" srcId="{D91854B5-585E-4482-9140-F50A980072B3}" destId="{9A066EF5-943E-4EE9-B763-835FD7B1ADFC}" srcOrd="2" destOrd="0" presId="urn:microsoft.com/office/officeart/2011/layout/HexagonRadial"/>
    <dgm:cxn modelId="{20477B49-0B60-4298-8694-CFAA48D94023}" type="presParOf" srcId="{D91854B5-585E-4482-9140-F50A980072B3}" destId="{5FF3F99D-89BA-4801-8C3B-3B7CEC22C844}" srcOrd="3" destOrd="0" presId="urn:microsoft.com/office/officeart/2011/layout/HexagonRadial"/>
    <dgm:cxn modelId="{5A2EEBA8-B1FB-4EDD-8AF9-8A2EBCB7FDB0}" type="presParOf" srcId="{5FF3F99D-89BA-4801-8C3B-3B7CEC22C844}" destId="{DA9728D2-FE8B-4155-B5DC-3B4E88CF68B3}" srcOrd="0" destOrd="0" presId="urn:microsoft.com/office/officeart/2011/layout/HexagonRadial"/>
    <dgm:cxn modelId="{758D94C9-71A1-4380-8504-92984C7C81CD}" type="presParOf" srcId="{D91854B5-585E-4482-9140-F50A980072B3}" destId="{065425EA-BFBC-4F5B-896A-87EF310F1789}" srcOrd="4" destOrd="0" presId="urn:microsoft.com/office/officeart/2011/layout/HexagonRadial"/>
    <dgm:cxn modelId="{65DC5C7F-2C92-4F84-BD8E-916BB1419858}" type="presParOf" srcId="{D91854B5-585E-4482-9140-F50A980072B3}" destId="{2C473192-507E-48D4-B03A-400156D22B73}" srcOrd="5" destOrd="0" presId="urn:microsoft.com/office/officeart/2011/layout/HexagonRadial"/>
    <dgm:cxn modelId="{022C033F-6A09-4BD8-925A-0FBDD1542743}" type="presParOf" srcId="{2C473192-507E-48D4-B03A-400156D22B73}" destId="{AE0F9A88-DC2C-408B-81C1-057E0AA334C6}" srcOrd="0" destOrd="0" presId="urn:microsoft.com/office/officeart/2011/layout/HexagonRadial"/>
    <dgm:cxn modelId="{0F49671E-62C9-4295-822A-5ADFF2CD2B2D}" type="presParOf" srcId="{D91854B5-585E-4482-9140-F50A980072B3}" destId="{12BC5208-B40D-4C78-9AD7-2A80012BF1D4}" srcOrd="6" destOrd="0" presId="urn:microsoft.com/office/officeart/2011/layout/HexagonRadial"/>
    <dgm:cxn modelId="{FE3954C8-2BFC-4A03-9565-0B4F3ADAA3ED}" type="presParOf" srcId="{D91854B5-585E-4482-9140-F50A980072B3}" destId="{209E1585-9B1A-41F8-ADC2-19ECB6C94615}" srcOrd="7" destOrd="0" presId="urn:microsoft.com/office/officeart/2011/layout/HexagonRadial"/>
    <dgm:cxn modelId="{9D1CDF9E-1DDA-4BD7-9165-E342885E5731}" type="presParOf" srcId="{209E1585-9B1A-41F8-ADC2-19ECB6C94615}" destId="{E3E00F3B-9402-4420-9FA5-955E7CDE71AC}" srcOrd="0" destOrd="0" presId="urn:microsoft.com/office/officeart/2011/layout/HexagonRadial"/>
    <dgm:cxn modelId="{60D9C7B7-424E-4494-AF63-3BBD2068193F}" type="presParOf" srcId="{D91854B5-585E-4482-9140-F50A980072B3}" destId="{9063182D-471F-4B22-B1DC-E191435DE150}" srcOrd="8" destOrd="0" presId="urn:microsoft.com/office/officeart/2011/layout/HexagonRadial"/>
    <dgm:cxn modelId="{8686F6BC-51A2-4709-92A1-72881BBAD3CB}" type="presParOf" srcId="{D91854B5-585E-4482-9140-F50A980072B3}" destId="{3FF69E3D-CE01-47FD-9470-FD1DB5A94793}" srcOrd="9" destOrd="0" presId="urn:microsoft.com/office/officeart/2011/layout/HexagonRadial"/>
    <dgm:cxn modelId="{05BDCC1F-1A70-4D52-99A9-49B9D648CAC6}" type="presParOf" srcId="{3FF69E3D-CE01-47FD-9470-FD1DB5A94793}" destId="{E5751212-FB36-4942-B2EA-1080E63DB5ED}" srcOrd="0" destOrd="0" presId="urn:microsoft.com/office/officeart/2011/layout/HexagonRadial"/>
    <dgm:cxn modelId="{84A97D30-0858-40A6-BD31-4B4CAA62C9C8}" type="presParOf" srcId="{D91854B5-585E-4482-9140-F50A980072B3}" destId="{D60ACA30-2326-4F8E-A170-1DF58B0C828D}" srcOrd="10" destOrd="0" presId="urn:microsoft.com/office/officeart/2011/layout/HexagonRadial"/>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A2E1EE-B91A-44A0-B34E-A60B6E63A510}" type="doc">
      <dgm:prSet loTypeId="urn:microsoft.com/office/officeart/2005/8/layout/cycle2" loCatId="cycle" qsTypeId="urn:microsoft.com/office/officeart/2005/8/quickstyle/simple1#3" qsCatId="simple" csTypeId="urn:microsoft.com/office/officeart/2005/8/colors/colorful1#1" csCatId="colorful" phldr="1"/>
      <dgm:spPr/>
      <dgm:t>
        <a:bodyPr/>
        <a:lstStyle/>
        <a:p>
          <a:endParaRPr lang="en-US"/>
        </a:p>
      </dgm:t>
    </dgm:pt>
    <dgm:pt modelId="{316DE300-BC16-46AB-B3A3-AB079208F8CD}">
      <dgm:prSet phldrT="[Text]" custT="1"/>
      <dgm:spPr/>
      <dgm:t>
        <a:bodyPr/>
        <a:lstStyle/>
        <a:p>
          <a:r>
            <a:rPr lang="ar-EG" sz="1400">
              <a:latin typeface="Traditional Arabic" panose="02020603050405020304" pitchFamily="18" charset="-78"/>
              <a:cs typeface="Traditional Arabic" panose="02020603050405020304" pitchFamily="18" charset="-78"/>
            </a:rPr>
            <a:t>العقوبة المشروطة</a:t>
          </a:r>
          <a:endParaRPr lang="en-US" sz="1400">
            <a:latin typeface="Traditional Arabic" panose="02020603050405020304" pitchFamily="18" charset="-78"/>
            <a:cs typeface="Traditional Arabic" panose="02020603050405020304" pitchFamily="18" charset="-78"/>
          </a:endParaRPr>
        </a:p>
      </dgm:t>
    </dgm:pt>
    <dgm:pt modelId="{29290A4A-B86E-4D75-A63A-C42396B544BF}" type="parTrans" cxnId="{C306633A-D0A0-47EF-BA0E-689DE5620BB3}">
      <dgm:prSet/>
      <dgm:spPr/>
      <dgm:t>
        <a:bodyPr/>
        <a:lstStyle/>
        <a:p>
          <a:endParaRPr lang="en-US"/>
        </a:p>
      </dgm:t>
    </dgm:pt>
    <dgm:pt modelId="{937920FE-8E2B-40B3-8FA4-990A1A0AF435}" type="sibTrans" cxnId="{C306633A-D0A0-47EF-BA0E-689DE5620BB3}">
      <dgm:prSet/>
      <dgm:spPr/>
      <dgm:t>
        <a:bodyPr/>
        <a:lstStyle/>
        <a:p>
          <a:endParaRPr lang="en-US"/>
        </a:p>
      </dgm:t>
    </dgm:pt>
    <dgm:pt modelId="{769F7BB4-B13C-4761-84CF-7A627A5F7168}">
      <dgm:prSet phldrT="[Text]" custT="1"/>
      <dgm:spPr/>
      <dgm:t>
        <a:bodyPr/>
        <a:lstStyle/>
        <a:p>
          <a:r>
            <a:rPr lang="ar-EG" sz="1400">
              <a:latin typeface="Traditional Arabic" panose="02020603050405020304" pitchFamily="18" charset="-78"/>
              <a:cs typeface="Traditional Arabic" panose="02020603050405020304" pitchFamily="18" charset="-78"/>
            </a:rPr>
            <a:t>المكافأة المشروطة</a:t>
          </a:r>
          <a:endParaRPr lang="en-US" sz="1400">
            <a:latin typeface="Traditional Arabic" panose="02020603050405020304" pitchFamily="18" charset="-78"/>
            <a:cs typeface="Traditional Arabic" panose="02020603050405020304" pitchFamily="18" charset="-78"/>
          </a:endParaRPr>
        </a:p>
      </dgm:t>
    </dgm:pt>
    <dgm:pt modelId="{71131BCE-ADC4-4720-86EB-C5A2F9FBBA3C}" type="parTrans" cxnId="{EE8412D0-0246-4B15-847E-56B44373FE01}">
      <dgm:prSet/>
      <dgm:spPr/>
      <dgm:t>
        <a:bodyPr/>
        <a:lstStyle/>
        <a:p>
          <a:endParaRPr lang="en-US"/>
        </a:p>
      </dgm:t>
    </dgm:pt>
    <dgm:pt modelId="{C07B313E-B1FF-4F7C-A238-211A892BB991}" type="sibTrans" cxnId="{EE8412D0-0246-4B15-847E-56B44373FE01}">
      <dgm:prSet/>
      <dgm:spPr/>
      <dgm:t>
        <a:bodyPr/>
        <a:lstStyle/>
        <a:p>
          <a:endParaRPr lang="en-US"/>
        </a:p>
      </dgm:t>
    </dgm:pt>
    <dgm:pt modelId="{EDEECAF2-A5AC-4EEA-872B-F6FCEC7B9E49}">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(الساكنة)</a:t>
          </a:r>
          <a:endParaRPr lang="en-US" sz="1400">
            <a:latin typeface="Traditional Arabic" panose="02020603050405020304" pitchFamily="18" charset="-78"/>
            <a:cs typeface="Traditional Arabic" panose="02020603050405020304" pitchFamily="18" charset="-78"/>
          </a:endParaRPr>
        </a:p>
      </dgm:t>
    </dgm:pt>
    <dgm:pt modelId="{2C7F5335-3277-4036-A40F-D2768A080144}" type="parTrans" cxnId="{01D1A9EF-FE0C-49E1-8174-4204BF4B5D1C}">
      <dgm:prSet/>
      <dgm:spPr/>
      <dgm:t>
        <a:bodyPr/>
        <a:lstStyle/>
        <a:p>
          <a:endParaRPr lang="en-US"/>
        </a:p>
      </dgm:t>
    </dgm:pt>
    <dgm:pt modelId="{6D238E04-5ACE-4E52-9EEA-5DC2D1802BA8}" type="sibTrans" cxnId="{01D1A9EF-FE0C-49E1-8174-4204BF4B5D1C}">
      <dgm:prSet/>
      <dgm:spPr/>
      <dgm:t>
        <a:bodyPr/>
        <a:lstStyle/>
        <a:p>
          <a:endParaRPr lang="en-US"/>
        </a:p>
      </dgm:t>
    </dgm:pt>
    <dgm:pt modelId="{C2FE0EDD-E216-49C5-A102-0CF0B9D97A6D}">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 النشطة)</a:t>
          </a:r>
          <a:endParaRPr lang="en-US" sz="1400">
            <a:latin typeface="Traditional Arabic" panose="02020603050405020304" pitchFamily="18" charset="-78"/>
            <a:cs typeface="Traditional Arabic" panose="02020603050405020304" pitchFamily="18" charset="-78"/>
          </a:endParaRPr>
        </a:p>
      </dgm:t>
    </dgm:pt>
    <dgm:pt modelId="{506E0878-C063-4F05-BD5A-A831CB794B92}" type="parTrans" cxnId="{54C99E0C-A5C0-46FC-8A67-C26BA91E99D1}">
      <dgm:prSet/>
      <dgm:spPr/>
      <dgm:t>
        <a:bodyPr/>
        <a:lstStyle/>
        <a:p>
          <a:endParaRPr lang="en-US"/>
        </a:p>
      </dgm:t>
    </dgm:pt>
    <dgm:pt modelId="{04839EAB-05B7-4240-B476-1AAC20793417}" type="sibTrans" cxnId="{54C99E0C-A5C0-46FC-8A67-C26BA91E99D1}">
      <dgm:prSet/>
      <dgm:spPr/>
      <dgm:t>
        <a:bodyPr/>
        <a:lstStyle/>
        <a:p>
          <a:endParaRPr lang="en-US"/>
        </a:p>
      </dgm:t>
    </dgm:pt>
    <dgm:pt modelId="{8F45C12C-3E56-46A7-BF5E-3877ECE057B0}">
      <dgm:prSet phldrT="[Text]" custT="1"/>
      <dgm:spPr/>
      <dgm:t>
        <a:bodyPr/>
        <a:lstStyle/>
        <a:p>
          <a:r>
            <a:rPr lang="ar-EG" sz="1400">
              <a:latin typeface="Traditional Arabic" panose="02020603050405020304" pitchFamily="18" charset="-78"/>
              <a:cs typeface="Traditional Arabic" panose="02020603050405020304" pitchFamily="18" charset="-78"/>
            </a:rPr>
            <a:t>مستلزمات الأداء</a:t>
          </a:r>
          <a:endParaRPr lang="en-US" sz="1400">
            <a:latin typeface="Traditional Arabic" panose="02020603050405020304" pitchFamily="18" charset="-78"/>
            <a:cs typeface="Traditional Arabic" panose="02020603050405020304" pitchFamily="18" charset="-78"/>
          </a:endParaRPr>
        </a:p>
      </dgm:t>
    </dgm:pt>
    <dgm:pt modelId="{CC5F4917-14E8-46D8-936B-13BF338FAF5C}" type="parTrans" cxnId="{05D7AEAC-5689-494F-9F41-D6B605564FED}">
      <dgm:prSet/>
      <dgm:spPr/>
      <dgm:t>
        <a:bodyPr/>
        <a:lstStyle/>
        <a:p>
          <a:endParaRPr lang="en-US"/>
        </a:p>
      </dgm:t>
    </dgm:pt>
    <dgm:pt modelId="{8C1DA97A-D774-4D09-98C1-18147439719D}" type="sibTrans" cxnId="{05D7AEAC-5689-494F-9F41-D6B605564FED}">
      <dgm:prSet/>
      <dgm:spPr/>
      <dgm:t>
        <a:bodyPr/>
        <a:lstStyle/>
        <a:p>
          <a:endParaRPr lang="en-US"/>
        </a:p>
      </dgm:t>
    </dgm:pt>
    <dgm:pt modelId="{C1635118-99E2-4382-8A0B-764B7DD74AB7}" type="pres">
      <dgm:prSet presAssocID="{D5A2E1EE-B91A-44A0-B34E-A60B6E63A510}" presName="cycle" presStyleCnt="0">
        <dgm:presLayoutVars>
          <dgm:dir/>
          <dgm:resizeHandles val="exact"/>
        </dgm:presLayoutVars>
      </dgm:prSet>
      <dgm:spPr/>
    </dgm:pt>
    <dgm:pt modelId="{4F986341-8791-4C28-9968-C598C91037D8}" type="pres">
      <dgm:prSet presAssocID="{316DE300-BC16-46AB-B3A3-AB079208F8CD}" presName="node" presStyleLbl="node1" presStyleIdx="0" presStyleCnt="5">
        <dgm:presLayoutVars>
          <dgm:bulletEnabled val="1"/>
        </dgm:presLayoutVars>
      </dgm:prSet>
      <dgm:spPr/>
    </dgm:pt>
    <dgm:pt modelId="{927FCD21-EB4E-458B-8788-DE6A1D18B3F2}" type="pres">
      <dgm:prSet presAssocID="{937920FE-8E2B-40B3-8FA4-990A1A0AF435}" presName="sibTrans" presStyleLbl="sibTrans2D1" presStyleIdx="0" presStyleCnt="5"/>
      <dgm:spPr/>
    </dgm:pt>
    <dgm:pt modelId="{BD180D6C-171A-482A-8AD3-14BEE08515BB}" type="pres">
      <dgm:prSet presAssocID="{937920FE-8E2B-40B3-8FA4-990A1A0AF435}" presName="connectorText" presStyleLbl="sibTrans2D1" presStyleIdx="0" presStyleCnt="5"/>
      <dgm:spPr/>
    </dgm:pt>
    <dgm:pt modelId="{1A14E00A-4429-4CD5-9D5B-4DA5F0700B1D}" type="pres">
      <dgm:prSet presAssocID="{769F7BB4-B13C-4761-84CF-7A627A5F7168}" presName="node" presStyleLbl="node1" presStyleIdx="1" presStyleCnt="5">
        <dgm:presLayoutVars>
          <dgm:bulletEnabled val="1"/>
        </dgm:presLayoutVars>
      </dgm:prSet>
      <dgm:spPr/>
    </dgm:pt>
    <dgm:pt modelId="{3030A735-1686-4EAA-BF9C-2C1BB12A1B20}" type="pres">
      <dgm:prSet presAssocID="{C07B313E-B1FF-4F7C-A238-211A892BB991}" presName="sibTrans" presStyleLbl="sibTrans2D1" presStyleIdx="1" presStyleCnt="5"/>
      <dgm:spPr/>
    </dgm:pt>
    <dgm:pt modelId="{759E3693-38AE-4286-8074-94B1CFA2F65B}" type="pres">
      <dgm:prSet presAssocID="{C07B313E-B1FF-4F7C-A238-211A892BB991}" presName="connectorText" presStyleLbl="sibTrans2D1" presStyleIdx="1" presStyleCnt="5"/>
      <dgm:spPr/>
    </dgm:pt>
    <dgm:pt modelId="{93320E12-0688-4BB1-85AF-121A509448D2}" type="pres">
      <dgm:prSet presAssocID="{EDEECAF2-A5AC-4EEA-872B-F6FCEC7B9E49}" presName="node" presStyleLbl="node1" presStyleIdx="2" presStyleCnt="5">
        <dgm:presLayoutVars>
          <dgm:bulletEnabled val="1"/>
        </dgm:presLayoutVars>
      </dgm:prSet>
      <dgm:spPr/>
    </dgm:pt>
    <dgm:pt modelId="{B8C070E4-685B-41A9-9E68-08EDD1968B16}" type="pres">
      <dgm:prSet presAssocID="{6D238E04-5ACE-4E52-9EEA-5DC2D1802BA8}" presName="sibTrans" presStyleLbl="sibTrans2D1" presStyleIdx="2" presStyleCnt="5"/>
      <dgm:spPr/>
    </dgm:pt>
    <dgm:pt modelId="{839D069F-172F-4810-ABFF-6E210BFF0A70}" type="pres">
      <dgm:prSet presAssocID="{6D238E04-5ACE-4E52-9EEA-5DC2D1802BA8}" presName="connectorText" presStyleLbl="sibTrans2D1" presStyleIdx="2" presStyleCnt="5"/>
      <dgm:spPr/>
    </dgm:pt>
    <dgm:pt modelId="{4285E783-BB67-4F23-AA12-EF7D37D40EB5}" type="pres">
      <dgm:prSet presAssocID="{C2FE0EDD-E216-49C5-A102-0CF0B9D97A6D}" presName="node" presStyleLbl="node1" presStyleIdx="3" presStyleCnt="5">
        <dgm:presLayoutVars>
          <dgm:bulletEnabled val="1"/>
        </dgm:presLayoutVars>
      </dgm:prSet>
      <dgm:spPr/>
    </dgm:pt>
    <dgm:pt modelId="{C14E68A7-56E7-47A4-B310-37B0E67D4A50}" type="pres">
      <dgm:prSet presAssocID="{04839EAB-05B7-4240-B476-1AAC20793417}" presName="sibTrans" presStyleLbl="sibTrans2D1" presStyleIdx="3" presStyleCnt="5"/>
      <dgm:spPr/>
    </dgm:pt>
    <dgm:pt modelId="{83DF85F3-BFDA-4A97-A35C-CE15441ABAD5}" type="pres">
      <dgm:prSet presAssocID="{04839EAB-05B7-4240-B476-1AAC20793417}" presName="connectorText" presStyleLbl="sibTrans2D1" presStyleIdx="3" presStyleCnt="5"/>
      <dgm:spPr/>
    </dgm:pt>
    <dgm:pt modelId="{CCEA4866-F5DE-44A0-92A1-E3755A1A8D75}" type="pres">
      <dgm:prSet presAssocID="{8F45C12C-3E56-46A7-BF5E-3877ECE057B0}" presName="node" presStyleLbl="node1" presStyleIdx="4" presStyleCnt="5">
        <dgm:presLayoutVars>
          <dgm:bulletEnabled val="1"/>
        </dgm:presLayoutVars>
      </dgm:prSet>
      <dgm:spPr/>
    </dgm:pt>
    <dgm:pt modelId="{39AF97AD-AB83-4C35-A8B7-196D2ECB8A9B}" type="pres">
      <dgm:prSet presAssocID="{8C1DA97A-D774-4D09-98C1-18147439719D}" presName="sibTrans" presStyleLbl="sibTrans2D1" presStyleIdx="4" presStyleCnt="5"/>
      <dgm:spPr/>
    </dgm:pt>
    <dgm:pt modelId="{6D523AE0-EE63-472D-9E2A-25DF1779E84F}" type="pres">
      <dgm:prSet presAssocID="{8C1DA97A-D774-4D09-98C1-18147439719D}" presName="connectorText" presStyleLbl="sibTrans2D1" presStyleIdx="4" presStyleCnt="5"/>
      <dgm:spPr/>
    </dgm:pt>
  </dgm:ptLst>
  <dgm:cxnLst>
    <dgm:cxn modelId="{54C99E0C-A5C0-46FC-8A67-C26BA91E99D1}" srcId="{D5A2E1EE-B91A-44A0-B34E-A60B6E63A510}" destId="{C2FE0EDD-E216-49C5-A102-0CF0B9D97A6D}" srcOrd="3" destOrd="0" parTransId="{506E0878-C063-4F05-BD5A-A831CB794B92}" sibTransId="{04839EAB-05B7-4240-B476-1AAC20793417}"/>
    <dgm:cxn modelId="{A8057C16-AB7C-41D5-A4AC-415AB0B3CDB8}" type="presOf" srcId="{C07B313E-B1FF-4F7C-A238-211A892BB991}" destId="{759E3693-38AE-4286-8074-94B1CFA2F65B}" srcOrd="1" destOrd="0" presId="urn:microsoft.com/office/officeart/2005/8/layout/cycle2"/>
    <dgm:cxn modelId="{5749AA1A-03A5-4024-9176-BA4C72E713C3}" type="presOf" srcId="{937920FE-8E2B-40B3-8FA4-990A1A0AF435}" destId="{BD180D6C-171A-482A-8AD3-14BEE08515BB}" srcOrd="1" destOrd="0" presId="urn:microsoft.com/office/officeart/2005/8/layout/cycle2"/>
    <dgm:cxn modelId="{055AE731-F8FB-4121-93D9-BEDE90A0DB9B}" type="presOf" srcId="{6D238E04-5ACE-4E52-9EEA-5DC2D1802BA8}" destId="{839D069F-172F-4810-ABFF-6E210BFF0A70}" srcOrd="1" destOrd="0" presId="urn:microsoft.com/office/officeart/2005/8/layout/cycle2"/>
    <dgm:cxn modelId="{87B31D35-D47C-4F3A-A387-4AD73CD0CEDF}" type="presOf" srcId="{C2FE0EDD-E216-49C5-A102-0CF0B9D97A6D}" destId="{4285E783-BB67-4F23-AA12-EF7D37D40EB5}" srcOrd="0" destOrd="0" presId="urn:microsoft.com/office/officeart/2005/8/layout/cycle2"/>
    <dgm:cxn modelId="{4776133A-B68D-4E8B-907D-1AB82A07684D}" type="presOf" srcId="{8C1DA97A-D774-4D09-98C1-18147439719D}" destId="{6D523AE0-EE63-472D-9E2A-25DF1779E84F}" srcOrd="1" destOrd="0" presId="urn:microsoft.com/office/officeart/2005/8/layout/cycle2"/>
    <dgm:cxn modelId="{C306633A-D0A0-47EF-BA0E-689DE5620BB3}" srcId="{D5A2E1EE-B91A-44A0-B34E-A60B6E63A510}" destId="{316DE300-BC16-46AB-B3A3-AB079208F8CD}" srcOrd="0" destOrd="0" parTransId="{29290A4A-B86E-4D75-A63A-C42396B544BF}" sibTransId="{937920FE-8E2B-40B3-8FA4-990A1A0AF435}"/>
    <dgm:cxn modelId="{4D0F1341-C60E-49FE-96CC-FC3274B35075}" type="presOf" srcId="{D5A2E1EE-B91A-44A0-B34E-A60B6E63A510}" destId="{C1635118-99E2-4382-8A0B-764B7DD74AB7}" srcOrd="0" destOrd="0" presId="urn:microsoft.com/office/officeart/2005/8/layout/cycle2"/>
    <dgm:cxn modelId="{6A6DC544-8F92-4956-BAB0-4EF42E3B18D9}" type="presOf" srcId="{8F45C12C-3E56-46A7-BF5E-3877ECE057B0}" destId="{CCEA4866-F5DE-44A0-92A1-E3755A1A8D75}" srcOrd="0" destOrd="0" presId="urn:microsoft.com/office/officeart/2005/8/layout/cycle2"/>
    <dgm:cxn modelId="{04A68D4A-2D64-44D5-8D78-8B1416A4A59D}" type="presOf" srcId="{EDEECAF2-A5AC-4EEA-872B-F6FCEC7B9E49}" destId="{93320E12-0688-4BB1-85AF-121A509448D2}" srcOrd="0" destOrd="0" presId="urn:microsoft.com/office/officeart/2005/8/layout/cycle2"/>
    <dgm:cxn modelId="{CCFD3259-AC42-422A-976A-D91E07DABB2D}" type="presOf" srcId="{04839EAB-05B7-4240-B476-1AAC20793417}" destId="{C14E68A7-56E7-47A4-B310-37B0E67D4A50}" srcOrd="0" destOrd="0" presId="urn:microsoft.com/office/officeart/2005/8/layout/cycle2"/>
    <dgm:cxn modelId="{6398A66E-69E0-44DE-AC54-39277C1E1796}" type="presOf" srcId="{C07B313E-B1FF-4F7C-A238-211A892BB991}" destId="{3030A735-1686-4EAA-BF9C-2C1BB12A1B20}" srcOrd="0" destOrd="0" presId="urn:microsoft.com/office/officeart/2005/8/layout/cycle2"/>
    <dgm:cxn modelId="{ADAA437E-452D-429A-9C7F-39AB12401A5E}" type="presOf" srcId="{769F7BB4-B13C-4761-84CF-7A627A5F7168}" destId="{1A14E00A-4429-4CD5-9D5B-4DA5F0700B1D}" srcOrd="0" destOrd="0" presId="urn:microsoft.com/office/officeart/2005/8/layout/cycle2"/>
    <dgm:cxn modelId="{57C8D983-FCE6-4F7B-A0C5-674486D9B2E6}" type="presOf" srcId="{937920FE-8E2B-40B3-8FA4-990A1A0AF435}" destId="{927FCD21-EB4E-458B-8788-DE6A1D18B3F2}" srcOrd="0" destOrd="0" presId="urn:microsoft.com/office/officeart/2005/8/layout/cycle2"/>
    <dgm:cxn modelId="{12759195-C934-4A7C-9F23-44F1DF91DBEA}" type="presOf" srcId="{04839EAB-05B7-4240-B476-1AAC20793417}" destId="{83DF85F3-BFDA-4A97-A35C-CE15441ABAD5}" srcOrd="1" destOrd="0" presId="urn:microsoft.com/office/officeart/2005/8/layout/cycle2"/>
    <dgm:cxn modelId="{74C812A2-6AEB-47E0-B554-536F89D8C10F}" type="presOf" srcId="{6D238E04-5ACE-4E52-9EEA-5DC2D1802BA8}" destId="{B8C070E4-685B-41A9-9E68-08EDD1968B16}" srcOrd="0" destOrd="0" presId="urn:microsoft.com/office/officeart/2005/8/layout/cycle2"/>
    <dgm:cxn modelId="{05D7AEAC-5689-494F-9F41-D6B605564FED}" srcId="{D5A2E1EE-B91A-44A0-B34E-A60B6E63A510}" destId="{8F45C12C-3E56-46A7-BF5E-3877ECE057B0}" srcOrd="4" destOrd="0" parTransId="{CC5F4917-14E8-46D8-936B-13BF338FAF5C}" sibTransId="{8C1DA97A-D774-4D09-98C1-18147439719D}"/>
    <dgm:cxn modelId="{3CF599AF-4E90-40F2-BC06-C302D2B5F3B1}" type="presOf" srcId="{316DE300-BC16-46AB-B3A3-AB079208F8CD}" destId="{4F986341-8791-4C28-9968-C598C91037D8}" srcOrd="0" destOrd="0" presId="urn:microsoft.com/office/officeart/2005/8/layout/cycle2"/>
    <dgm:cxn modelId="{F9E91CB8-6B90-49B5-8D10-31539DD4BA0F}" type="presOf" srcId="{8C1DA97A-D774-4D09-98C1-18147439719D}" destId="{39AF97AD-AB83-4C35-A8B7-196D2ECB8A9B}" srcOrd="0" destOrd="0" presId="urn:microsoft.com/office/officeart/2005/8/layout/cycle2"/>
    <dgm:cxn modelId="{EE8412D0-0246-4B15-847E-56B44373FE01}" srcId="{D5A2E1EE-B91A-44A0-B34E-A60B6E63A510}" destId="{769F7BB4-B13C-4761-84CF-7A627A5F7168}" srcOrd="1" destOrd="0" parTransId="{71131BCE-ADC4-4720-86EB-C5A2F9FBBA3C}" sibTransId="{C07B313E-B1FF-4F7C-A238-211A892BB991}"/>
    <dgm:cxn modelId="{01D1A9EF-FE0C-49E1-8174-4204BF4B5D1C}" srcId="{D5A2E1EE-B91A-44A0-B34E-A60B6E63A510}" destId="{EDEECAF2-A5AC-4EEA-872B-F6FCEC7B9E49}" srcOrd="2" destOrd="0" parTransId="{2C7F5335-3277-4036-A40F-D2768A080144}" sibTransId="{6D238E04-5ACE-4E52-9EEA-5DC2D1802BA8}"/>
    <dgm:cxn modelId="{9E200699-1CE3-42CA-957A-63F9FCD4BCC6}" type="presParOf" srcId="{C1635118-99E2-4382-8A0B-764B7DD74AB7}" destId="{4F986341-8791-4C28-9968-C598C91037D8}" srcOrd="0" destOrd="0" presId="urn:microsoft.com/office/officeart/2005/8/layout/cycle2"/>
    <dgm:cxn modelId="{7B9B17B4-9D75-4977-A315-127AB97B962E}" type="presParOf" srcId="{C1635118-99E2-4382-8A0B-764B7DD74AB7}" destId="{927FCD21-EB4E-458B-8788-DE6A1D18B3F2}" srcOrd="1" destOrd="0" presId="urn:microsoft.com/office/officeart/2005/8/layout/cycle2"/>
    <dgm:cxn modelId="{2C9A1B93-4B06-46B2-A3CC-A24E619B0EEE}" type="presParOf" srcId="{927FCD21-EB4E-458B-8788-DE6A1D18B3F2}" destId="{BD180D6C-171A-482A-8AD3-14BEE08515BB}" srcOrd="0" destOrd="0" presId="urn:microsoft.com/office/officeart/2005/8/layout/cycle2"/>
    <dgm:cxn modelId="{37961D5C-6BEC-455A-A5AC-C3B4F1644905}" type="presParOf" srcId="{C1635118-99E2-4382-8A0B-764B7DD74AB7}" destId="{1A14E00A-4429-4CD5-9D5B-4DA5F0700B1D}" srcOrd="2" destOrd="0" presId="urn:microsoft.com/office/officeart/2005/8/layout/cycle2"/>
    <dgm:cxn modelId="{9F0B5F19-FDDD-4067-9DB4-BA225712B603}" type="presParOf" srcId="{C1635118-99E2-4382-8A0B-764B7DD74AB7}" destId="{3030A735-1686-4EAA-BF9C-2C1BB12A1B20}" srcOrd="3" destOrd="0" presId="urn:microsoft.com/office/officeart/2005/8/layout/cycle2"/>
    <dgm:cxn modelId="{E0DB6127-A83B-4B8B-9380-788AB11A0FE7}" type="presParOf" srcId="{3030A735-1686-4EAA-BF9C-2C1BB12A1B20}" destId="{759E3693-38AE-4286-8074-94B1CFA2F65B}" srcOrd="0" destOrd="0" presId="urn:microsoft.com/office/officeart/2005/8/layout/cycle2"/>
    <dgm:cxn modelId="{62105672-A6DB-4CA0-BAE3-F399C8FD2642}" type="presParOf" srcId="{C1635118-99E2-4382-8A0B-764B7DD74AB7}" destId="{93320E12-0688-4BB1-85AF-121A509448D2}" srcOrd="4" destOrd="0" presId="urn:microsoft.com/office/officeart/2005/8/layout/cycle2"/>
    <dgm:cxn modelId="{7415372F-2E64-47A9-90A5-E1C808F7A2E6}" type="presParOf" srcId="{C1635118-99E2-4382-8A0B-764B7DD74AB7}" destId="{B8C070E4-685B-41A9-9E68-08EDD1968B16}" srcOrd="5" destOrd="0" presId="urn:microsoft.com/office/officeart/2005/8/layout/cycle2"/>
    <dgm:cxn modelId="{AAA9871E-6A7D-4A56-8EAE-7A0C46C9ACAB}" type="presParOf" srcId="{B8C070E4-685B-41A9-9E68-08EDD1968B16}" destId="{839D069F-172F-4810-ABFF-6E210BFF0A70}" srcOrd="0" destOrd="0" presId="urn:microsoft.com/office/officeart/2005/8/layout/cycle2"/>
    <dgm:cxn modelId="{584AF1EB-A1FD-46F6-800C-7CC77ED43B52}" type="presParOf" srcId="{C1635118-99E2-4382-8A0B-764B7DD74AB7}" destId="{4285E783-BB67-4F23-AA12-EF7D37D40EB5}" srcOrd="6" destOrd="0" presId="urn:microsoft.com/office/officeart/2005/8/layout/cycle2"/>
    <dgm:cxn modelId="{83D309BE-6F14-475D-BFDE-7701A885700A}" type="presParOf" srcId="{C1635118-99E2-4382-8A0B-764B7DD74AB7}" destId="{C14E68A7-56E7-47A4-B310-37B0E67D4A50}" srcOrd="7" destOrd="0" presId="urn:microsoft.com/office/officeart/2005/8/layout/cycle2"/>
    <dgm:cxn modelId="{EE114A0A-3197-483E-BFBD-5C9CEA038678}" type="presParOf" srcId="{C14E68A7-56E7-47A4-B310-37B0E67D4A50}" destId="{83DF85F3-BFDA-4A97-A35C-CE15441ABAD5}" srcOrd="0" destOrd="0" presId="urn:microsoft.com/office/officeart/2005/8/layout/cycle2"/>
    <dgm:cxn modelId="{D3979660-2B1E-491E-BB46-F0C05EF45112}" type="presParOf" srcId="{C1635118-99E2-4382-8A0B-764B7DD74AB7}" destId="{CCEA4866-F5DE-44A0-92A1-E3755A1A8D75}" srcOrd="8" destOrd="0" presId="urn:microsoft.com/office/officeart/2005/8/layout/cycle2"/>
    <dgm:cxn modelId="{3F316B8F-8753-4C50-B706-04D0739396AB}" type="presParOf" srcId="{C1635118-99E2-4382-8A0B-764B7DD74AB7}" destId="{39AF97AD-AB83-4C35-A8B7-196D2ECB8A9B}" srcOrd="9" destOrd="0" presId="urn:microsoft.com/office/officeart/2005/8/layout/cycle2"/>
    <dgm:cxn modelId="{8B243922-2C86-4DD6-A83D-5E60149700C3}" type="presParOf" srcId="{39AF97AD-AB83-4C35-A8B7-196D2ECB8A9B}" destId="{6D523AE0-EE63-472D-9E2A-25DF1779E84F}"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310D71F-6868-4E42-A626-044ADED93C31}" type="doc">
      <dgm:prSet loTypeId="urn:microsoft.com/office/officeart/2005/8/layout/radial3" loCatId="cycle" qsTypeId="urn:microsoft.com/office/officeart/2005/8/quickstyle/simple1#4" qsCatId="simple" csTypeId="urn:microsoft.com/office/officeart/2005/8/colors/colorful5#3" csCatId="colorful" phldr="1"/>
      <dgm:spPr/>
      <dgm:t>
        <a:bodyPr/>
        <a:lstStyle/>
        <a:p>
          <a:endParaRPr lang="en-US"/>
        </a:p>
      </dgm:t>
    </dgm:pt>
    <dgm:pt modelId="{F2E4801E-8742-4A47-B9A1-33BC515599FF}">
      <dgm:prSet phldrT="[Text]" custT="1"/>
      <dgm:spPr/>
      <dgm:t>
        <a:bodyPr/>
        <a:lstStyle/>
        <a:p>
          <a:r>
            <a:rPr lang="ar-EG" sz="1200" b="1">
              <a:latin typeface="Traditional Arabic" panose="02020603050405020304" pitchFamily="18" charset="-78"/>
              <a:cs typeface="Traditional Arabic" panose="02020603050405020304" pitchFamily="18" charset="-78"/>
            </a:rPr>
            <a:t>أبعاد القيادة التحويلية</a:t>
          </a:r>
          <a:endParaRPr lang="en-US" sz="1200" b="1">
            <a:latin typeface="Traditional Arabic" panose="02020603050405020304" pitchFamily="18" charset="-78"/>
            <a:cs typeface="Traditional Arabic" panose="02020603050405020304" pitchFamily="18" charset="-78"/>
          </a:endParaRPr>
        </a:p>
      </dgm:t>
    </dgm:pt>
    <dgm:pt modelId="{550420AE-76A3-4C37-89D0-1F15DAA6012B}" type="parTrans" cxnId="{90CD1CB3-6C2D-4C92-9A36-827620D4E0C7}">
      <dgm:prSet/>
      <dgm:spPr/>
      <dgm:t>
        <a:bodyPr/>
        <a:lstStyle/>
        <a:p>
          <a:endParaRPr lang="en-US"/>
        </a:p>
      </dgm:t>
    </dgm:pt>
    <dgm:pt modelId="{0D04C08A-BB99-453B-8A90-BEDD9AF4A667}" type="sibTrans" cxnId="{90CD1CB3-6C2D-4C92-9A36-827620D4E0C7}">
      <dgm:prSet/>
      <dgm:spPr/>
      <dgm:t>
        <a:bodyPr/>
        <a:lstStyle/>
        <a:p>
          <a:endParaRPr lang="en-US"/>
        </a:p>
      </dgm:t>
    </dgm:pt>
    <dgm:pt modelId="{4AEFD2C1-9A7E-45A5-9103-AD5E3FEC951B}">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الدافعية الالهامية</a:t>
          </a:r>
          <a:endParaRPr lang="en-US" sz="1200">
            <a:latin typeface="Traditional Arabic" panose="02020603050405020304" pitchFamily="18" charset="-78"/>
            <a:cs typeface="Traditional Arabic" panose="02020603050405020304" pitchFamily="18" charset="-78"/>
          </a:endParaRPr>
        </a:p>
      </dgm:t>
    </dgm:pt>
    <dgm:pt modelId="{3BC38585-CBD8-4F60-B408-A6F4A43C169C}" type="parTrans" cxnId="{E27AAF23-413D-4D45-B7F3-3961252E5F7A}">
      <dgm:prSet/>
      <dgm:spPr/>
      <dgm:t>
        <a:bodyPr/>
        <a:lstStyle/>
        <a:p>
          <a:endParaRPr lang="en-US"/>
        </a:p>
      </dgm:t>
    </dgm:pt>
    <dgm:pt modelId="{230A4E7B-1908-4F85-8471-5F21A23F3D2A}" type="sibTrans" cxnId="{E27AAF23-413D-4D45-B7F3-3961252E5F7A}">
      <dgm:prSet/>
      <dgm:spPr/>
      <dgm:t>
        <a:bodyPr/>
        <a:lstStyle/>
        <a:p>
          <a:endParaRPr lang="en-US"/>
        </a:p>
      </dgm:t>
    </dgm:pt>
    <dgm:pt modelId="{9259A191-077F-4EC5-BF4F-37306DAAC0D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التأثير المثالي</a:t>
          </a:r>
          <a:endParaRPr lang="en-US" sz="1200">
            <a:latin typeface="Traditional Arabic" panose="02020603050405020304" pitchFamily="18" charset="-78"/>
            <a:cs typeface="Traditional Arabic" panose="02020603050405020304" pitchFamily="18" charset="-78"/>
          </a:endParaRPr>
        </a:p>
      </dgm:t>
    </dgm:pt>
    <dgm:pt modelId="{9BCC22CE-1DD1-4FD1-AD26-E5C6C9C73BC6}" type="parTrans" cxnId="{F9E2F3A2-8967-4B1A-B8C3-9455B97B7710}">
      <dgm:prSet/>
      <dgm:spPr/>
      <dgm:t>
        <a:bodyPr/>
        <a:lstStyle/>
        <a:p>
          <a:endParaRPr lang="en-US"/>
        </a:p>
      </dgm:t>
    </dgm:pt>
    <dgm:pt modelId="{51D72DFF-D21B-42E3-A7EB-57E97CD04FF4}" type="sibTrans" cxnId="{F9E2F3A2-8967-4B1A-B8C3-9455B97B7710}">
      <dgm:prSet/>
      <dgm:spPr/>
      <dgm:t>
        <a:bodyPr/>
        <a:lstStyle/>
        <a:p>
          <a:endParaRPr lang="en-US"/>
        </a:p>
      </dgm:t>
    </dgm:pt>
    <dgm:pt modelId="{195B415F-6E76-4B51-BB59-F5112A89723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الاعتبارية الفردية</a:t>
          </a:r>
          <a:endParaRPr lang="en-US" sz="1200">
            <a:latin typeface="Traditional Arabic" panose="02020603050405020304" pitchFamily="18" charset="-78"/>
            <a:cs typeface="Traditional Arabic" panose="02020603050405020304" pitchFamily="18" charset="-78"/>
          </a:endParaRPr>
        </a:p>
      </dgm:t>
    </dgm:pt>
    <dgm:pt modelId="{E4D1E679-4708-4B20-93A9-ED5E12528663}" type="parTrans" cxnId="{6AC9BDEB-F69B-4ECA-93B7-F8B7D804AA30}">
      <dgm:prSet/>
      <dgm:spPr/>
      <dgm:t>
        <a:bodyPr/>
        <a:lstStyle/>
        <a:p>
          <a:endParaRPr lang="en-US"/>
        </a:p>
      </dgm:t>
    </dgm:pt>
    <dgm:pt modelId="{03982CDB-4FB4-4B48-9089-A4718D8CA49A}" type="sibTrans" cxnId="{6AC9BDEB-F69B-4ECA-93B7-F8B7D804AA30}">
      <dgm:prSet/>
      <dgm:spPr/>
      <dgm:t>
        <a:bodyPr/>
        <a:lstStyle/>
        <a:p>
          <a:endParaRPr lang="en-US"/>
        </a:p>
      </dgm:t>
    </dgm:pt>
    <dgm:pt modelId="{1FC7C36A-358A-445F-9A20-0F5A569DF06C}">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الاستثارة الفكرية</a:t>
          </a:r>
          <a:endParaRPr lang="en-US" sz="1200">
            <a:latin typeface="Traditional Arabic" panose="02020603050405020304" pitchFamily="18" charset="-78"/>
            <a:cs typeface="Traditional Arabic" panose="02020603050405020304" pitchFamily="18" charset="-78"/>
          </a:endParaRPr>
        </a:p>
      </dgm:t>
    </dgm:pt>
    <dgm:pt modelId="{379EAADA-73F1-42B9-8E17-55E1DE0041AD}" type="parTrans" cxnId="{89AA4367-5EC6-4932-AEB9-792478433124}">
      <dgm:prSet/>
      <dgm:spPr/>
      <dgm:t>
        <a:bodyPr/>
        <a:lstStyle/>
        <a:p>
          <a:endParaRPr lang="en-US"/>
        </a:p>
      </dgm:t>
    </dgm:pt>
    <dgm:pt modelId="{02A09A09-1F3A-4626-BE91-1DB28FB0487C}" type="sibTrans" cxnId="{89AA4367-5EC6-4932-AEB9-792478433124}">
      <dgm:prSet/>
      <dgm:spPr/>
      <dgm:t>
        <a:bodyPr/>
        <a:lstStyle/>
        <a:p>
          <a:endParaRPr lang="en-US"/>
        </a:p>
      </dgm:t>
    </dgm:pt>
    <dgm:pt modelId="{54A64738-76C2-470E-9A3F-1D4D36862441}" type="pres">
      <dgm:prSet presAssocID="{3310D71F-6868-4E42-A626-044ADED93C31}" presName="composite" presStyleCnt="0">
        <dgm:presLayoutVars>
          <dgm:chMax val="1"/>
          <dgm:dir/>
          <dgm:resizeHandles val="exact"/>
        </dgm:presLayoutVars>
      </dgm:prSet>
      <dgm:spPr/>
    </dgm:pt>
    <dgm:pt modelId="{C43FCC12-AD02-4FFD-8164-AD2648A0DEE9}" type="pres">
      <dgm:prSet presAssocID="{3310D71F-6868-4E42-A626-044ADED93C31}" presName="radial" presStyleCnt="0">
        <dgm:presLayoutVars>
          <dgm:animLvl val="ctr"/>
        </dgm:presLayoutVars>
      </dgm:prSet>
      <dgm:spPr/>
    </dgm:pt>
    <dgm:pt modelId="{D581D2F1-5D69-4038-A5B5-1E4B3AB5FA00}" type="pres">
      <dgm:prSet presAssocID="{F2E4801E-8742-4A47-B9A1-33BC515599FF}" presName="centerShape" presStyleLbl="vennNode1" presStyleIdx="0" presStyleCnt="5"/>
      <dgm:spPr/>
    </dgm:pt>
    <dgm:pt modelId="{B1786B0B-B00B-405D-83A7-4F77D637618F}" type="pres">
      <dgm:prSet presAssocID="{4AEFD2C1-9A7E-45A5-9103-AD5E3FEC951B}" presName="node" presStyleLbl="vennNode1" presStyleIdx="1" presStyleCnt="5">
        <dgm:presLayoutVars>
          <dgm:bulletEnabled val="1"/>
        </dgm:presLayoutVars>
      </dgm:prSet>
      <dgm:spPr/>
    </dgm:pt>
    <dgm:pt modelId="{8D0A46D8-626E-4655-BD3C-58D47A037BC8}" type="pres">
      <dgm:prSet presAssocID="{9259A191-077F-4EC5-BF4F-37306DAAC0D7}" presName="node" presStyleLbl="vennNode1" presStyleIdx="2" presStyleCnt="5">
        <dgm:presLayoutVars>
          <dgm:bulletEnabled val="1"/>
        </dgm:presLayoutVars>
      </dgm:prSet>
      <dgm:spPr/>
    </dgm:pt>
    <dgm:pt modelId="{349B24AE-007A-4009-8D92-3CC06EDA259B}" type="pres">
      <dgm:prSet presAssocID="{195B415F-6E76-4B51-BB59-F5112A897237}" presName="node" presStyleLbl="vennNode1" presStyleIdx="3" presStyleCnt="5">
        <dgm:presLayoutVars>
          <dgm:bulletEnabled val="1"/>
        </dgm:presLayoutVars>
      </dgm:prSet>
      <dgm:spPr/>
    </dgm:pt>
    <dgm:pt modelId="{71E0D0FF-EC3D-4D84-AA03-E5B7E43076CF}" type="pres">
      <dgm:prSet presAssocID="{1FC7C36A-358A-445F-9A20-0F5A569DF06C}" presName="node" presStyleLbl="vennNode1" presStyleIdx="4" presStyleCnt="5">
        <dgm:presLayoutVars>
          <dgm:bulletEnabled val="1"/>
        </dgm:presLayoutVars>
      </dgm:prSet>
      <dgm:spPr/>
    </dgm:pt>
  </dgm:ptLst>
  <dgm:cxnLst>
    <dgm:cxn modelId="{E27AAF23-413D-4D45-B7F3-3961252E5F7A}" srcId="{F2E4801E-8742-4A47-B9A1-33BC515599FF}" destId="{4AEFD2C1-9A7E-45A5-9103-AD5E3FEC951B}" srcOrd="0" destOrd="0" parTransId="{3BC38585-CBD8-4F60-B408-A6F4A43C169C}" sibTransId="{230A4E7B-1908-4F85-8471-5F21A23F3D2A}"/>
    <dgm:cxn modelId="{1B19614D-FC21-4BF6-9587-2DAAFD67B6ED}" type="presOf" srcId="{4AEFD2C1-9A7E-45A5-9103-AD5E3FEC951B}" destId="{B1786B0B-B00B-405D-83A7-4F77D637618F}" srcOrd="0" destOrd="0" presId="urn:microsoft.com/office/officeart/2005/8/layout/radial3"/>
    <dgm:cxn modelId="{89AA4367-5EC6-4932-AEB9-792478433124}" srcId="{F2E4801E-8742-4A47-B9A1-33BC515599FF}" destId="{1FC7C36A-358A-445F-9A20-0F5A569DF06C}" srcOrd="3" destOrd="0" parTransId="{379EAADA-73F1-42B9-8E17-55E1DE0041AD}" sibTransId="{02A09A09-1F3A-4626-BE91-1DB28FB0487C}"/>
    <dgm:cxn modelId="{7FDCAE73-3A3E-483B-9329-32A6A79FE2EE}" type="presOf" srcId="{195B415F-6E76-4B51-BB59-F5112A897237}" destId="{349B24AE-007A-4009-8D92-3CC06EDA259B}" srcOrd="0" destOrd="0" presId="urn:microsoft.com/office/officeart/2005/8/layout/radial3"/>
    <dgm:cxn modelId="{8FCFC077-63F2-40FD-980D-7F44081D203D}" type="presOf" srcId="{F2E4801E-8742-4A47-B9A1-33BC515599FF}" destId="{D581D2F1-5D69-4038-A5B5-1E4B3AB5FA00}" srcOrd="0" destOrd="0" presId="urn:microsoft.com/office/officeart/2005/8/layout/radial3"/>
    <dgm:cxn modelId="{FF28C487-D888-47B4-8D14-22EE44E9CE66}" type="presOf" srcId="{9259A191-077F-4EC5-BF4F-37306DAAC0D7}" destId="{8D0A46D8-626E-4655-BD3C-58D47A037BC8}" srcOrd="0" destOrd="0" presId="urn:microsoft.com/office/officeart/2005/8/layout/radial3"/>
    <dgm:cxn modelId="{F9E2F3A2-8967-4B1A-B8C3-9455B97B7710}" srcId="{F2E4801E-8742-4A47-B9A1-33BC515599FF}" destId="{9259A191-077F-4EC5-BF4F-37306DAAC0D7}" srcOrd="1" destOrd="0" parTransId="{9BCC22CE-1DD1-4FD1-AD26-E5C6C9C73BC6}" sibTransId="{51D72DFF-D21B-42E3-A7EB-57E97CD04FF4}"/>
    <dgm:cxn modelId="{90CD1CB3-6C2D-4C92-9A36-827620D4E0C7}" srcId="{3310D71F-6868-4E42-A626-044ADED93C31}" destId="{F2E4801E-8742-4A47-B9A1-33BC515599FF}" srcOrd="0" destOrd="0" parTransId="{550420AE-76A3-4C37-89D0-1F15DAA6012B}" sibTransId="{0D04C08A-BB99-453B-8A90-BEDD9AF4A667}"/>
    <dgm:cxn modelId="{F4D3A0E4-838B-4B18-8049-32A029779B03}" type="presOf" srcId="{1FC7C36A-358A-445F-9A20-0F5A569DF06C}" destId="{71E0D0FF-EC3D-4D84-AA03-E5B7E43076CF}" srcOrd="0" destOrd="0" presId="urn:microsoft.com/office/officeart/2005/8/layout/radial3"/>
    <dgm:cxn modelId="{6AC9BDEB-F69B-4ECA-93B7-F8B7D804AA30}" srcId="{F2E4801E-8742-4A47-B9A1-33BC515599FF}" destId="{195B415F-6E76-4B51-BB59-F5112A897237}" srcOrd="2" destOrd="0" parTransId="{E4D1E679-4708-4B20-93A9-ED5E12528663}" sibTransId="{03982CDB-4FB4-4B48-9089-A4718D8CA49A}"/>
    <dgm:cxn modelId="{58CFE8F2-9615-4C54-B248-DA559A20FE92}" type="presOf" srcId="{3310D71F-6868-4E42-A626-044ADED93C31}" destId="{54A64738-76C2-470E-9A3F-1D4D36862441}" srcOrd="0" destOrd="0" presId="urn:microsoft.com/office/officeart/2005/8/layout/radial3"/>
    <dgm:cxn modelId="{F6E706B6-4113-45ED-8F14-37164CFB406E}" type="presParOf" srcId="{54A64738-76C2-470E-9A3F-1D4D36862441}" destId="{C43FCC12-AD02-4FFD-8164-AD2648A0DEE9}" srcOrd="0" destOrd="0" presId="urn:microsoft.com/office/officeart/2005/8/layout/radial3"/>
    <dgm:cxn modelId="{7520A6B4-1E40-4B8F-B64E-4F8C27A051B5}" type="presParOf" srcId="{C43FCC12-AD02-4FFD-8164-AD2648A0DEE9}" destId="{D581D2F1-5D69-4038-A5B5-1E4B3AB5FA00}" srcOrd="0" destOrd="0" presId="urn:microsoft.com/office/officeart/2005/8/layout/radial3"/>
    <dgm:cxn modelId="{7C60E03D-3BB5-405B-BEA8-16E5D4D17CD9}" type="presParOf" srcId="{C43FCC12-AD02-4FFD-8164-AD2648A0DEE9}" destId="{B1786B0B-B00B-405D-83A7-4F77D637618F}" srcOrd="1" destOrd="0" presId="urn:microsoft.com/office/officeart/2005/8/layout/radial3"/>
    <dgm:cxn modelId="{5A304E4D-6DE6-44E7-AE51-F65BD168417B}" type="presParOf" srcId="{C43FCC12-AD02-4FFD-8164-AD2648A0DEE9}" destId="{8D0A46D8-626E-4655-BD3C-58D47A037BC8}" srcOrd="2" destOrd="0" presId="urn:microsoft.com/office/officeart/2005/8/layout/radial3"/>
    <dgm:cxn modelId="{1535F047-C87A-4F53-A968-93A9237A69BE}" type="presParOf" srcId="{C43FCC12-AD02-4FFD-8164-AD2648A0DEE9}" destId="{349B24AE-007A-4009-8D92-3CC06EDA259B}" srcOrd="3" destOrd="0" presId="urn:microsoft.com/office/officeart/2005/8/layout/radial3"/>
    <dgm:cxn modelId="{B876C0A4-DEBB-47A4-827E-A9942A87991C}" type="presParOf" srcId="{C43FCC12-AD02-4FFD-8164-AD2648A0DEE9}" destId="{71E0D0FF-EC3D-4D84-AA03-E5B7E43076CF}" srcOrd="4" destOrd="0" presId="urn:microsoft.com/office/officeart/2005/8/layout/radial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6CD0945-D2C7-4894-8103-F6FDC1072536}" type="doc">
      <dgm:prSet loTypeId="urn:microsoft.com/office/officeart/2005/8/layout/radial5" loCatId="relationship" qsTypeId="urn:microsoft.com/office/officeart/2005/8/quickstyle/simple1#5" qsCatId="simple" csTypeId="urn:microsoft.com/office/officeart/2005/8/colors/colorful5#4" csCatId="colorful" phldr="1"/>
      <dgm:spPr/>
      <dgm:t>
        <a:bodyPr/>
        <a:lstStyle/>
        <a:p>
          <a:endParaRPr lang="en-US"/>
        </a:p>
      </dgm:t>
    </dgm:pt>
    <dgm:pt modelId="{36195FEA-A2C0-45BD-A244-33A830A8AA96}">
      <dgm:prSet phldrT="[Text]" custT="1"/>
      <dgm:spPr/>
      <dgm:t>
        <a:bodyPr/>
        <a:lstStyle/>
        <a:p>
          <a:r>
            <a:rPr lang="ar-EG" sz="1100" b="1">
              <a:latin typeface="Traditional Arabic" panose="02020603050405020304" pitchFamily="18" charset="-78"/>
              <a:cs typeface="Traditional Arabic" panose="02020603050405020304" pitchFamily="18" charset="-78"/>
            </a:rPr>
            <a:t>عوامل نجاح القيادة التحويلية</a:t>
          </a:r>
          <a:endParaRPr lang="en-US" sz="1100" b="1">
            <a:latin typeface="Traditional Arabic" panose="02020603050405020304" pitchFamily="18" charset="-78"/>
            <a:cs typeface="Traditional Arabic" panose="02020603050405020304" pitchFamily="18" charset="-78"/>
          </a:endParaRPr>
        </a:p>
      </dgm:t>
    </dgm:pt>
    <dgm:pt modelId="{9CD5DC5C-CB92-4742-ADE4-E71E2739B369}" type="parTrans" cxnId="{F5E47E26-4E60-475E-91D4-A885C766BD95}">
      <dgm:prSet/>
      <dgm:spPr/>
      <dgm:t>
        <a:bodyPr/>
        <a:lstStyle/>
        <a:p>
          <a:endParaRPr lang="en-US"/>
        </a:p>
      </dgm:t>
    </dgm:pt>
    <dgm:pt modelId="{8DEBE993-FA8F-4F99-8F5C-FC7C98E26D0B}" type="sibTrans" cxnId="{F5E47E26-4E60-475E-91D4-A885C766BD95}">
      <dgm:prSet/>
      <dgm:spPr/>
      <dgm:t>
        <a:bodyPr/>
        <a:lstStyle/>
        <a:p>
          <a:endParaRPr lang="en-US"/>
        </a:p>
      </dgm:t>
    </dgm:pt>
    <dgm:pt modelId="{BDAEE14F-62DD-49B4-B399-8820B2B85166}">
      <dgm:prSet phldrT="[Text]" custT="1"/>
      <dgm:spPr/>
      <dgm:t>
        <a:bodyPr/>
        <a:lstStyle/>
        <a:p>
          <a:r>
            <a:rPr lang="ar-EG" sz="1100" b="1">
              <a:latin typeface="Traditional Arabic" panose="02020603050405020304" pitchFamily="18" charset="-78"/>
              <a:cs typeface="Traditional Arabic" panose="02020603050405020304" pitchFamily="18" charset="-78"/>
            </a:rPr>
            <a:t>التطور</a:t>
          </a:r>
          <a:endParaRPr lang="en-US" sz="1100" b="1">
            <a:latin typeface="Traditional Arabic" panose="02020603050405020304" pitchFamily="18" charset="-78"/>
            <a:cs typeface="Traditional Arabic" panose="02020603050405020304" pitchFamily="18" charset="-78"/>
          </a:endParaRPr>
        </a:p>
      </dgm:t>
    </dgm:pt>
    <dgm:pt modelId="{16E6559D-1CA3-4797-A845-A9B52F987EB7}" type="parTrans" cxnId="{99DF9511-4B78-4197-A917-6A766784BA71}">
      <dgm:prSet/>
      <dgm:spPr/>
      <dgm:t>
        <a:bodyPr/>
        <a:lstStyle/>
        <a:p>
          <a:endParaRPr lang="en-US"/>
        </a:p>
      </dgm:t>
    </dgm:pt>
    <dgm:pt modelId="{AD75FE52-CBCD-4FC1-AE5C-3E80842D90D9}" type="sibTrans" cxnId="{99DF9511-4B78-4197-A917-6A766784BA71}">
      <dgm:prSet/>
      <dgm:spPr/>
      <dgm:t>
        <a:bodyPr/>
        <a:lstStyle/>
        <a:p>
          <a:endParaRPr lang="en-US"/>
        </a:p>
      </dgm:t>
    </dgm:pt>
    <dgm:pt modelId="{17049FDB-F079-4F43-BBAD-C0E7D70FC250}">
      <dgm:prSet phldrT="[Text]" custT="1"/>
      <dgm:spPr/>
      <dgm:t>
        <a:bodyPr/>
        <a:lstStyle/>
        <a:p>
          <a:r>
            <a:rPr lang="ar-EG" sz="1100" b="1">
              <a:latin typeface="Traditional Arabic" panose="02020603050405020304" pitchFamily="18" charset="-78"/>
              <a:cs typeface="Traditional Arabic" panose="02020603050405020304" pitchFamily="18" charset="-78"/>
            </a:rPr>
            <a:t>التفويض</a:t>
          </a:r>
          <a:endParaRPr lang="en-US" sz="1100" b="1">
            <a:latin typeface="Traditional Arabic" panose="02020603050405020304" pitchFamily="18" charset="-78"/>
            <a:cs typeface="Traditional Arabic" panose="02020603050405020304" pitchFamily="18" charset="-78"/>
          </a:endParaRPr>
        </a:p>
      </dgm:t>
    </dgm:pt>
    <dgm:pt modelId="{2EEE47CD-4091-4A94-AA8C-FA9152873DE9}" type="parTrans" cxnId="{2BE804B2-0EB0-410D-B31B-4C253FA8F49E}">
      <dgm:prSet/>
      <dgm:spPr/>
      <dgm:t>
        <a:bodyPr/>
        <a:lstStyle/>
        <a:p>
          <a:endParaRPr lang="en-US"/>
        </a:p>
      </dgm:t>
    </dgm:pt>
    <dgm:pt modelId="{7E7ACC76-C7C6-4185-AF02-46DDDEAA4CE2}" type="sibTrans" cxnId="{2BE804B2-0EB0-410D-B31B-4C253FA8F49E}">
      <dgm:prSet/>
      <dgm:spPr/>
      <dgm:t>
        <a:bodyPr/>
        <a:lstStyle/>
        <a:p>
          <a:endParaRPr lang="en-US"/>
        </a:p>
      </dgm:t>
    </dgm:pt>
    <dgm:pt modelId="{44AA8D2D-7EC2-4357-B751-FA06C12B3A68}">
      <dgm:prSet phldrT="[Text]" custT="1"/>
      <dgm:spPr/>
      <dgm:t>
        <a:bodyPr/>
        <a:lstStyle/>
        <a:p>
          <a:r>
            <a:rPr lang="ar-EG" sz="1100" b="1">
              <a:latin typeface="Traditional Arabic" panose="02020603050405020304" pitchFamily="18" charset="-78"/>
              <a:cs typeface="Traditional Arabic" panose="02020603050405020304" pitchFamily="18" charset="-78"/>
            </a:rPr>
            <a:t>الرؤية</a:t>
          </a:r>
          <a:endParaRPr lang="en-US" sz="1100" b="1">
            <a:latin typeface="Traditional Arabic" panose="02020603050405020304" pitchFamily="18" charset="-78"/>
            <a:cs typeface="Traditional Arabic" panose="02020603050405020304" pitchFamily="18" charset="-78"/>
          </a:endParaRPr>
        </a:p>
      </dgm:t>
    </dgm:pt>
    <dgm:pt modelId="{9907FC5F-0C1F-4376-BA0B-CC7A749A709B}" type="parTrans" cxnId="{06840891-A987-464D-9C10-F49DD4B1AF96}">
      <dgm:prSet/>
      <dgm:spPr/>
      <dgm:t>
        <a:bodyPr/>
        <a:lstStyle/>
        <a:p>
          <a:endParaRPr lang="en-US"/>
        </a:p>
      </dgm:t>
    </dgm:pt>
    <dgm:pt modelId="{B2659571-C6CC-40CB-BBC4-15890A04DF47}" type="sibTrans" cxnId="{06840891-A987-464D-9C10-F49DD4B1AF96}">
      <dgm:prSet/>
      <dgm:spPr/>
      <dgm:t>
        <a:bodyPr/>
        <a:lstStyle/>
        <a:p>
          <a:endParaRPr lang="en-US"/>
        </a:p>
      </dgm:t>
    </dgm:pt>
    <dgm:pt modelId="{516800C2-DDE1-4B1C-AAE6-17F09BB07DD6}">
      <dgm:prSet phldrT="[Text]" custT="1"/>
      <dgm:spPr/>
      <dgm:t>
        <a:bodyPr/>
        <a:lstStyle/>
        <a:p>
          <a:r>
            <a:rPr lang="ar-EG" sz="1100" b="1">
              <a:latin typeface="Traditional Arabic" panose="02020603050405020304" pitchFamily="18" charset="-78"/>
              <a:cs typeface="Traditional Arabic" panose="02020603050405020304" pitchFamily="18" charset="-78"/>
            </a:rPr>
            <a:t>التعلم</a:t>
          </a:r>
          <a:endParaRPr lang="en-US" sz="1100" b="1">
            <a:latin typeface="Traditional Arabic" panose="02020603050405020304" pitchFamily="18" charset="-78"/>
            <a:cs typeface="Traditional Arabic" panose="02020603050405020304" pitchFamily="18" charset="-78"/>
          </a:endParaRPr>
        </a:p>
      </dgm:t>
    </dgm:pt>
    <dgm:pt modelId="{EBB64DF0-F2D5-4CED-A49A-B7A8693A2065}" type="parTrans" cxnId="{695A46F1-18A9-4BAD-9674-89CDA7C4F7AA}">
      <dgm:prSet/>
      <dgm:spPr/>
      <dgm:t>
        <a:bodyPr/>
        <a:lstStyle/>
        <a:p>
          <a:endParaRPr lang="en-US"/>
        </a:p>
      </dgm:t>
    </dgm:pt>
    <dgm:pt modelId="{63C96EAC-12FA-46A2-BE75-23D3505469F3}" type="sibTrans" cxnId="{695A46F1-18A9-4BAD-9674-89CDA7C4F7AA}">
      <dgm:prSet/>
      <dgm:spPr/>
      <dgm:t>
        <a:bodyPr/>
        <a:lstStyle/>
        <a:p>
          <a:endParaRPr lang="en-US"/>
        </a:p>
      </dgm:t>
    </dgm:pt>
    <dgm:pt modelId="{75425320-1CEB-4692-B1BA-9ED1B68476EA}" type="pres">
      <dgm:prSet presAssocID="{66CD0945-D2C7-4894-8103-F6FDC1072536}" presName="Name0" presStyleCnt="0">
        <dgm:presLayoutVars>
          <dgm:chMax val="1"/>
          <dgm:dir/>
          <dgm:animLvl val="ctr"/>
          <dgm:resizeHandles val="exact"/>
        </dgm:presLayoutVars>
      </dgm:prSet>
      <dgm:spPr/>
    </dgm:pt>
    <dgm:pt modelId="{5DBA371F-A7E4-460D-B244-EE6AFF2B6627}" type="pres">
      <dgm:prSet presAssocID="{36195FEA-A2C0-45BD-A244-33A830A8AA96}" presName="centerShape" presStyleLbl="node0" presStyleIdx="0" presStyleCnt="1"/>
      <dgm:spPr/>
    </dgm:pt>
    <dgm:pt modelId="{706AF5A0-1D54-4F33-B17E-02BA208CA869}" type="pres">
      <dgm:prSet presAssocID="{16E6559D-1CA3-4797-A845-A9B52F987EB7}" presName="parTrans" presStyleLbl="sibTrans2D1" presStyleIdx="0" presStyleCnt="4"/>
      <dgm:spPr/>
    </dgm:pt>
    <dgm:pt modelId="{582B09B9-7298-4E42-BDB1-2A7CC66ACF56}" type="pres">
      <dgm:prSet presAssocID="{16E6559D-1CA3-4797-A845-A9B52F987EB7}" presName="connectorText" presStyleLbl="sibTrans2D1" presStyleIdx="0" presStyleCnt="4"/>
      <dgm:spPr/>
    </dgm:pt>
    <dgm:pt modelId="{0666AF14-42B4-4159-818F-2218B1C3A51E}" type="pres">
      <dgm:prSet presAssocID="{BDAEE14F-62DD-49B4-B399-8820B2B85166}" presName="node" presStyleLbl="node1" presStyleIdx="0" presStyleCnt="4">
        <dgm:presLayoutVars>
          <dgm:bulletEnabled val="1"/>
        </dgm:presLayoutVars>
      </dgm:prSet>
      <dgm:spPr/>
    </dgm:pt>
    <dgm:pt modelId="{8EC1460A-4572-424A-82D7-48DD5E6C8B0C}" type="pres">
      <dgm:prSet presAssocID="{2EEE47CD-4091-4A94-AA8C-FA9152873DE9}" presName="parTrans" presStyleLbl="sibTrans2D1" presStyleIdx="1" presStyleCnt="4"/>
      <dgm:spPr/>
    </dgm:pt>
    <dgm:pt modelId="{09BEE68B-85A9-48B2-B8EB-1DC39B641682}" type="pres">
      <dgm:prSet presAssocID="{2EEE47CD-4091-4A94-AA8C-FA9152873DE9}" presName="connectorText" presStyleLbl="sibTrans2D1" presStyleIdx="1" presStyleCnt="4"/>
      <dgm:spPr/>
    </dgm:pt>
    <dgm:pt modelId="{27463A98-AD57-4F8C-AF68-91C82C336F57}" type="pres">
      <dgm:prSet presAssocID="{17049FDB-F079-4F43-BBAD-C0E7D70FC250}" presName="node" presStyleLbl="node1" presStyleIdx="1" presStyleCnt="4">
        <dgm:presLayoutVars>
          <dgm:bulletEnabled val="1"/>
        </dgm:presLayoutVars>
      </dgm:prSet>
      <dgm:spPr/>
    </dgm:pt>
    <dgm:pt modelId="{174A9161-46DD-47F8-AA4A-4A3EC267F6C4}" type="pres">
      <dgm:prSet presAssocID="{9907FC5F-0C1F-4376-BA0B-CC7A749A709B}" presName="parTrans" presStyleLbl="sibTrans2D1" presStyleIdx="2" presStyleCnt="4"/>
      <dgm:spPr/>
    </dgm:pt>
    <dgm:pt modelId="{F9CF2106-07CC-4852-924D-25DA98DA2B30}" type="pres">
      <dgm:prSet presAssocID="{9907FC5F-0C1F-4376-BA0B-CC7A749A709B}" presName="connectorText" presStyleLbl="sibTrans2D1" presStyleIdx="2" presStyleCnt="4"/>
      <dgm:spPr/>
    </dgm:pt>
    <dgm:pt modelId="{9E11799A-FBBC-4A9D-9DE9-50989F55B58E}" type="pres">
      <dgm:prSet presAssocID="{44AA8D2D-7EC2-4357-B751-FA06C12B3A68}" presName="node" presStyleLbl="node1" presStyleIdx="2" presStyleCnt="4">
        <dgm:presLayoutVars>
          <dgm:bulletEnabled val="1"/>
        </dgm:presLayoutVars>
      </dgm:prSet>
      <dgm:spPr/>
    </dgm:pt>
    <dgm:pt modelId="{F68E73FD-DD57-475B-8C50-C05EF76AEBAC}" type="pres">
      <dgm:prSet presAssocID="{EBB64DF0-F2D5-4CED-A49A-B7A8693A2065}" presName="parTrans" presStyleLbl="sibTrans2D1" presStyleIdx="3" presStyleCnt="4"/>
      <dgm:spPr/>
    </dgm:pt>
    <dgm:pt modelId="{08034D95-D0B6-40AF-9A72-E9CD6870FE11}" type="pres">
      <dgm:prSet presAssocID="{EBB64DF0-F2D5-4CED-A49A-B7A8693A2065}" presName="connectorText" presStyleLbl="sibTrans2D1" presStyleIdx="3" presStyleCnt="4"/>
      <dgm:spPr/>
    </dgm:pt>
    <dgm:pt modelId="{D96BE9AA-D44D-4603-9283-B44B8D1092DB}" type="pres">
      <dgm:prSet presAssocID="{516800C2-DDE1-4B1C-AAE6-17F09BB07DD6}" presName="node" presStyleLbl="node1" presStyleIdx="3" presStyleCnt="4">
        <dgm:presLayoutVars>
          <dgm:bulletEnabled val="1"/>
        </dgm:presLayoutVars>
      </dgm:prSet>
      <dgm:spPr/>
    </dgm:pt>
  </dgm:ptLst>
  <dgm:cxnLst>
    <dgm:cxn modelId="{99DF9511-4B78-4197-A917-6A766784BA71}" srcId="{36195FEA-A2C0-45BD-A244-33A830A8AA96}" destId="{BDAEE14F-62DD-49B4-B399-8820B2B85166}" srcOrd="0" destOrd="0" parTransId="{16E6559D-1CA3-4797-A845-A9B52F987EB7}" sibTransId="{AD75FE52-CBCD-4FC1-AE5C-3E80842D90D9}"/>
    <dgm:cxn modelId="{B4B2D41E-819B-4204-8D49-68EC380EAD5D}" type="presOf" srcId="{44AA8D2D-7EC2-4357-B751-FA06C12B3A68}" destId="{9E11799A-FBBC-4A9D-9DE9-50989F55B58E}" srcOrd="0" destOrd="0" presId="urn:microsoft.com/office/officeart/2005/8/layout/radial5"/>
    <dgm:cxn modelId="{F5E47E26-4E60-475E-91D4-A885C766BD95}" srcId="{66CD0945-D2C7-4894-8103-F6FDC1072536}" destId="{36195FEA-A2C0-45BD-A244-33A830A8AA96}" srcOrd="0" destOrd="0" parTransId="{9CD5DC5C-CB92-4742-ADE4-E71E2739B369}" sibTransId="{8DEBE993-FA8F-4F99-8F5C-FC7C98E26D0B}"/>
    <dgm:cxn modelId="{40BE855E-4BE8-4E83-8213-548CA25955E3}" type="presOf" srcId="{16E6559D-1CA3-4797-A845-A9B52F987EB7}" destId="{706AF5A0-1D54-4F33-B17E-02BA208CA869}" srcOrd="0" destOrd="0" presId="urn:microsoft.com/office/officeart/2005/8/layout/radial5"/>
    <dgm:cxn modelId="{0103486E-3A36-4716-8E9B-F780AD283C0B}" type="presOf" srcId="{66CD0945-D2C7-4894-8103-F6FDC1072536}" destId="{75425320-1CEB-4692-B1BA-9ED1B68476EA}" srcOrd="0" destOrd="0" presId="urn:microsoft.com/office/officeart/2005/8/layout/radial5"/>
    <dgm:cxn modelId="{89D03671-F328-44AF-836A-DD60FCEB354B}" type="presOf" srcId="{9907FC5F-0C1F-4376-BA0B-CC7A749A709B}" destId="{F9CF2106-07CC-4852-924D-25DA98DA2B30}" srcOrd="1" destOrd="0" presId="urn:microsoft.com/office/officeart/2005/8/layout/radial5"/>
    <dgm:cxn modelId="{FC09FC86-679E-422A-BF07-C19DA5D29E44}" type="presOf" srcId="{EBB64DF0-F2D5-4CED-A49A-B7A8693A2065}" destId="{F68E73FD-DD57-475B-8C50-C05EF76AEBAC}" srcOrd="0" destOrd="0" presId="urn:microsoft.com/office/officeart/2005/8/layout/radial5"/>
    <dgm:cxn modelId="{CF8CFF86-B92A-472D-8559-AD9DE3667278}" type="presOf" srcId="{2EEE47CD-4091-4A94-AA8C-FA9152873DE9}" destId="{09BEE68B-85A9-48B2-B8EB-1DC39B641682}" srcOrd="1" destOrd="0" presId="urn:microsoft.com/office/officeart/2005/8/layout/radial5"/>
    <dgm:cxn modelId="{07FE9188-07A5-41C5-9E04-22FB302FE2EE}" type="presOf" srcId="{BDAEE14F-62DD-49B4-B399-8820B2B85166}" destId="{0666AF14-42B4-4159-818F-2218B1C3A51E}" srcOrd="0" destOrd="0" presId="urn:microsoft.com/office/officeart/2005/8/layout/radial5"/>
    <dgm:cxn modelId="{06840891-A987-464D-9C10-F49DD4B1AF96}" srcId="{36195FEA-A2C0-45BD-A244-33A830A8AA96}" destId="{44AA8D2D-7EC2-4357-B751-FA06C12B3A68}" srcOrd="2" destOrd="0" parTransId="{9907FC5F-0C1F-4376-BA0B-CC7A749A709B}" sibTransId="{B2659571-C6CC-40CB-BBC4-15890A04DF47}"/>
    <dgm:cxn modelId="{145DDB97-2A76-473D-8C37-58AAEE3009DF}" type="presOf" srcId="{2EEE47CD-4091-4A94-AA8C-FA9152873DE9}" destId="{8EC1460A-4572-424A-82D7-48DD5E6C8B0C}" srcOrd="0" destOrd="0" presId="urn:microsoft.com/office/officeart/2005/8/layout/radial5"/>
    <dgm:cxn modelId="{1E67E59B-BDAA-4922-809D-DEC2EE379BFB}" type="presOf" srcId="{16E6559D-1CA3-4797-A845-A9B52F987EB7}" destId="{582B09B9-7298-4E42-BDB1-2A7CC66ACF56}" srcOrd="1" destOrd="0" presId="urn:microsoft.com/office/officeart/2005/8/layout/radial5"/>
    <dgm:cxn modelId="{2BE804B2-0EB0-410D-B31B-4C253FA8F49E}" srcId="{36195FEA-A2C0-45BD-A244-33A830A8AA96}" destId="{17049FDB-F079-4F43-BBAD-C0E7D70FC250}" srcOrd="1" destOrd="0" parTransId="{2EEE47CD-4091-4A94-AA8C-FA9152873DE9}" sibTransId="{7E7ACC76-C7C6-4185-AF02-46DDDEAA4CE2}"/>
    <dgm:cxn modelId="{5FDDE2B6-BFFE-46BA-A78D-450229A3E6EE}" type="presOf" srcId="{17049FDB-F079-4F43-BBAD-C0E7D70FC250}" destId="{27463A98-AD57-4F8C-AF68-91C82C336F57}" srcOrd="0" destOrd="0" presId="urn:microsoft.com/office/officeart/2005/8/layout/radial5"/>
    <dgm:cxn modelId="{383E6FC3-BEF6-43BC-95DF-A1A7038E44B3}" type="presOf" srcId="{36195FEA-A2C0-45BD-A244-33A830A8AA96}" destId="{5DBA371F-A7E4-460D-B244-EE6AFF2B6627}" srcOrd="0" destOrd="0" presId="urn:microsoft.com/office/officeart/2005/8/layout/radial5"/>
    <dgm:cxn modelId="{A77BE2D5-E069-4278-A85B-6E794DF3A71C}" type="presOf" srcId="{9907FC5F-0C1F-4376-BA0B-CC7A749A709B}" destId="{174A9161-46DD-47F8-AA4A-4A3EC267F6C4}" srcOrd="0" destOrd="0" presId="urn:microsoft.com/office/officeart/2005/8/layout/radial5"/>
    <dgm:cxn modelId="{695A46F1-18A9-4BAD-9674-89CDA7C4F7AA}" srcId="{36195FEA-A2C0-45BD-A244-33A830A8AA96}" destId="{516800C2-DDE1-4B1C-AAE6-17F09BB07DD6}" srcOrd="3" destOrd="0" parTransId="{EBB64DF0-F2D5-4CED-A49A-B7A8693A2065}" sibTransId="{63C96EAC-12FA-46A2-BE75-23D3505469F3}"/>
    <dgm:cxn modelId="{2EBDE9F3-45F5-4B19-AB90-F6E75AD218D5}" type="presOf" srcId="{516800C2-DDE1-4B1C-AAE6-17F09BB07DD6}" destId="{D96BE9AA-D44D-4603-9283-B44B8D1092DB}" srcOrd="0" destOrd="0" presId="urn:microsoft.com/office/officeart/2005/8/layout/radial5"/>
    <dgm:cxn modelId="{F81163FB-4F5D-429C-B971-7A3AA0B68EDF}" type="presOf" srcId="{EBB64DF0-F2D5-4CED-A49A-B7A8693A2065}" destId="{08034D95-D0B6-40AF-9A72-E9CD6870FE11}" srcOrd="1" destOrd="0" presId="urn:microsoft.com/office/officeart/2005/8/layout/radial5"/>
    <dgm:cxn modelId="{376C318B-1A5D-420C-8AF9-8FD39F2267A3}" type="presParOf" srcId="{75425320-1CEB-4692-B1BA-9ED1B68476EA}" destId="{5DBA371F-A7E4-460D-B244-EE6AFF2B6627}" srcOrd="0" destOrd="0" presId="urn:microsoft.com/office/officeart/2005/8/layout/radial5"/>
    <dgm:cxn modelId="{2D318976-08B1-4F44-91B8-F7FD5BE73D71}" type="presParOf" srcId="{75425320-1CEB-4692-B1BA-9ED1B68476EA}" destId="{706AF5A0-1D54-4F33-B17E-02BA208CA869}" srcOrd="1" destOrd="0" presId="urn:microsoft.com/office/officeart/2005/8/layout/radial5"/>
    <dgm:cxn modelId="{C9DA9563-004F-4A36-9202-968E6877E6F0}" type="presParOf" srcId="{706AF5A0-1D54-4F33-B17E-02BA208CA869}" destId="{582B09B9-7298-4E42-BDB1-2A7CC66ACF56}" srcOrd="0" destOrd="0" presId="urn:microsoft.com/office/officeart/2005/8/layout/radial5"/>
    <dgm:cxn modelId="{39496060-926A-43E3-9E0A-AEF21976C28B}" type="presParOf" srcId="{75425320-1CEB-4692-B1BA-9ED1B68476EA}" destId="{0666AF14-42B4-4159-818F-2218B1C3A51E}" srcOrd="2" destOrd="0" presId="urn:microsoft.com/office/officeart/2005/8/layout/radial5"/>
    <dgm:cxn modelId="{F74A9DDA-DCBA-4E41-833D-1AC26215BD54}" type="presParOf" srcId="{75425320-1CEB-4692-B1BA-9ED1B68476EA}" destId="{8EC1460A-4572-424A-82D7-48DD5E6C8B0C}" srcOrd="3" destOrd="0" presId="urn:microsoft.com/office/officeart/2005/8/layout/radial5"/>
    <dgm:cxn modelId="{B08F3536-20AD-46D2-ADF5-BB199F9BE3E8}" type="presParOf" srcId="{8EC1460A-4572-424A-82D7-48DD5E6C8B0C}" destId="{09BEE68B-85A9-48B2-B8EB-1DC39B641682}" srcOrd="0" destOrd="0" presId="urn:microsoft.com/office/officeart/2005/8/layout/radial5"/>
    <dgm:cxn modelId="{F9201FB3-C822-4EC0-B913-D3074157CD24}" type="presParOf" srcId="{75425320-1CEB-4692-B1BA-9ED1B68476EA}" destId="{27463A98-AD57-4F8C-AF68-91C82C336F57}" srcOrd="4" destOrd="0" presId="urn:microsoft.com/office/officeart/2005/8/layout/radial5"/>
    <dgm:cxn modelId="{73B2B5AE-D2B6-42F3-B830-5358CD26BBD7}" type="presParOf" srcId="{75425320-1CEB-4692-B1BA-9ED1B68476EA}" destId="{174A9161-46DD-47F8-AA4A-4A3EC267F6C4}" srcOrd="5" destOrd="0" presId="urn:microsoft.com/office/officeart/2005/8/layout/radial5"/>
    <dgm:cxn modelId="{B4EF6FF2-921A-45C0-A635-9B0FCF59ACEE}" type="presParOf" srcId="{174A9161-46DD-47F8-AA4A-4A3EC267F6C4}" destId="{F9CF2106-07CC-4852-924D-25DA98DA2B30}" srcOrd="0" destOrd="0" presId="urn:microsoft.com/office/officeart/2005/8/layout/radial5"/>
    <dgm:cxn modelId="{87203F23-5111-4E8B-88BD-8814BDEEEE14}" type="presParOf" srcId="{75425320-1CEB-4692-B1BA-9ED1B68476EA}" destId="{9E11799A-FBBC-4A9D-9DE9-50989F55B58E}" srcOrd="6" destOrd="0" presId="urn:microsoft.com/office/officeart/2005/8/layout/radial5"/>
    <dgm:cxn modelId="{9F4C2E32-3EA1-492B-9149-85051825B0BD}" type="presParOf" srcId="{75425320-1CEB-4692-B1BA-9ED1B68476EA}" destId="{F68E73FD-DD57-475B-8C50-C05EF76AEBAC}" srcOrd="7" destOrd="0" presId="urn:microsoft.com/office/officeart/2005/8/layout/radial5"/>
    <dgm:cxn modelId="{20B4A7CA-7627-47AF-8605-F05155BFB093}" type="presParOf" srcId="{F68E73FD-DD57-475B-8C50-C05EF76AEBAC}" destId="{08034D95-D0B6-40AF-9A72-E9CD6870FE11}" srcOrd="0" destOrd="0" presId="urn:microsoft.com/office/officeart/2005/8/layout/radial5"/>
    <dgm:cxn modelId="{298D27DA-B703-4D87-A602-3131F26045BB}" type="presParOf" srcId="{75425320-1CEB-4692-B1BA-9ED1B68476EA}" destId="{D96BE9AA-D44D-4603-9283-B44B8D1092DB}" srcOrd="8" destOrd="0" presId="urn:microsoft.com/office/officeart/2005/8/layout/radial5"/>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2C522-A7A2-40CD-85AD-36C503A347A9}">
      <dsp:nvSpPr>
        <dsp:cNvPr id="0" name=""/>
        <dsp:cNvSpPr/>
      </dsp:nvSpPr>
      <dsp:spPr>
        <a:xfrm>
          <a:off x="2213626" y="1114758"/>
          <a:ext cx="847057" cy="84705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أبعاد إدارة المخاطر</a:t>
          </a:r>
          <a:endParaRPr lang="en-US" sz="1400" kern="1200"/>
        </a:p>
      </dsp:txBody>
      <dsp:txXfrm>
        <a:off x="2337675" y="1238807"/>
        <a:ext cx="598959" cy="598959"/>
      </dsp:txXfrm>
    </dsp:sp>
    <dsp:sp modelId="{F3786598-F9C3-4D15-8C10-C97085F0B6CF}">
      <dsp:nvSpPr>
        <dsp:cNvPr id="0" name=""/>
        <dsp:cNvSpPr/>
      </dsp:nvSpPr>
      <dsp:spPr>
        <a:xfrm rot="16200000">
          <a:off x="2509514" y="97266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980735"/>
        <a:ext cx="12764" cy="12764"/>
      </dsp:txXfrm>
    </dsp:sp>
    <dsp:sp modelId="{2B9350A6-7071-4409-A6A3-3FEA39AA6ED7}">
      <dsp:nvSpPr>
        <dsp:cNvPr id="0" name=""/>
        <dsp:cNvSpPr/>
      </dsp:nvSpPr>
      <dsp:spPr>
        <a:xfrm>
          <a:off x="2213626" y="12419"/>
          <a:ext cx="847057" cy="8470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تحديد المخاطر</a:t>
          </a:r>
          <a:endParaRPr lang="en-US" sz="1500" kern="1200"/>
        </a:p>
      </dsp:txBody>
      <dsp:txXfrm>
        <a:off x="2337675" y="136468"/>
        <a:ext cx="598959" cy="598959"/>
      </dsp:txXfrm>
    </dsp:sp>
    <dsp:sp modelId="{9E857E10-56F5-4C67-BCBD-1A3ED972A95D}">
      <dsp:nvSpPr>
        <dsp:cNvPr id="0" name=""/>
        <dsp:cNvSpPr/>
      </dsp:nvSpPr>
      <dsp:spPr>
        <a:xfrm>
          <a:off x="3060683"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81942" y="1531905"/>
        <a:ext cx="12764" cy="12764"/>
      </dsp:txXfrm>
    </dsp:sp>
    <dsp:sp modelId="{7A9C2E90-DF90-497C-A0E1-BB0DCD8765A8}">
      <dsp:nvSpPr>
        <dsp:cNvPr id="0" name=""/>
        <dsp:cNvSpPr/>
      </dsp:nvSpPr>
      <dsp:spPr>
        <a:xfrm>
          <a:off x="3315965" y="1114758"/>
          <a:ext cx="847057" cy="847057"/>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تحليل المخاطر</a:t>
          </a:r>
          <a:endParaRPr lang="en-US" sz="1500" kern="1200"/>
        </a:p>
      </dsp:txBody>
      <dsp:txXfrm>
        <a:off x="3440014" y="1238807"/>
        <a:ext cx="598959" cy="598959"/>
      </dsp:txXfrm>
    </dsp:sp>
    <dsp:sp modelId="{F835FCEA-6446-414D-BDB4-8B50D64ABCCB}">
      <dsp:nvSpPr>
        <dsp:cNvPr id="0" name=""/>
        <dsp:cNvSpPr/>
      </dsp:nvSpPr>
      <dsp:spPr>
        <a:xfrm rot="5400000">
          <a:off x="2509514" y="207500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2083075"/>
        <a:ext cx="12764" cy="12764"/>
      </dsp:txXfrm>
    </dsp:sp>
    <dsp:sp modelId="{90543D89-8A4D-4183-824A-25C9DDDB3169}">
      <dsp:nvSpPr>
        <dsp:cNvPr id="0" name=""/>
        <dsp:cNvSpPr/>
      </dsp:nvSpPr>
      <dsp:spPr>
        <a:xfrm>
          <a:off x="2213626" y="2217098"/>
          <a:ext cx="847057" cy="847057"/>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الاستجابة للمخاطر</a:t>
          </a:r>
          <a:endParaRPr lang="en-US" sz="1500" kern="1200"/>
        </a:p>
      </dsp:txBody>
      <dsp:txXfrm>
        <a:off x="2337675" y="2341147"/>
        <a:ext cx="598959" cy="598959"/>
      </dsp:txXfrm>
    </dsp:sp>
    <dsp:sp modelId="{F509F167-9A9B-4BC9-9EF0-98434E0A1FC5}">
      <dsp:nvSpPr>
        <dsp:cNvPr id="0" name=""/>
        <dsp:cNvSpPr/>
      </dsp:nvSpPr>
      <dsp:spPr>
        <a:xfrm rot="10800000">
          <a:off x="1958344"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9603" y="1531905"/>
        <a:ext cx="12764" cy="12764"/>
      </dsp:txXfrm>
    </dsp:sp>
    <dsp:sp modelId="{9C1094D5-1873-48C3-8E50-DFD1A551FFE6}">
      <dsp:nvSpPr>
        <dsp:cNvPr id="0" name=""/>
        <dsp:cNvSpPr/>
      </dsp:nvSpPr>
      <dsp:spPr>
        <a:xfrm>
          <a:off x="1111286" y="1114758"/>
          <a:ext cx="847057" cy="84705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تقييم المخاطر</a:t>
          </a:r>
          <a:endParaRPr lang="en-US" sz="1500" kern="1200"/>
        </a:p>
      </dsp:txBody>
      <dsp:txXfrm>
        <a:off x="1235335" y="1238807"/>
        <a:ext cx="598959" cy="5989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D78F5-6784-4175-A8E0-FE6753DD78D7}">
      <dsp:nvSpPr>
        <dsp:cNvPr id="0" name=""/>
        <dsp:cNvSpPr/>
      </dsp:nvSpPr>
      <dsp:spPr>
        <a:xfrm>
          <a:off x="2006250" y="992503"/>
          <a:ext cx="1261514" cy="1091261"/>
        </a:xfrm>
        <a:prstGeom prst="hexagon">
          <a:avLst>
            <a:gd name="adj" fmla="val 28570"/>
            <a:gd name="vf" fmla="val 11547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أبعاد سلامة المرضى</a:t>
          </a:r>
          <a:endParaRPr lang="en-US" sz="1200" kern="1200">
            <a:latin typeface="Traditional Arabic" panose="02020603050405020304" pitchFamily="18" charset="-78"/>
            <a:cs typeface="Traditional Arabic" panose="02020603050405020304" pitchFamily="18" charset="-78"/>
          </a:endParaRPr>
        </a:p>
      </dsp:txBody>
      <dsp:txXfrm>
        <a:off x="2215301" y="1173340"/>
        <a:ext cx="843412" cy="729587"/>
      </dsp:txXfrm>
    </dsp:sp>
    <dsp:sp modelId="{DA9728D2-FE8B-4155-B5DC-3B4E88CF68B3}">
      <dsp:nvSpPr>
        <dsp:cNvPr id="0" name=""/>
        <dsp:cNvSpPr/>
      </dsp:nvSpPr>
      <dsp:spPr>
        <a:xfrm>
          <a:off x="2796201" y="470408"/>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066EF5-943E-4EE9-B763-835FD7B1ADFC}">
      <dsp:nvSpPr>
        <dsp:cNvPr id="0" name=""/>
        <dsp:cNvSpPr/>
      </dsp:nvSpPr>
      <dsp:spPr>
        <a:xfrm>
          <a:off x="2122454" y="0"/>
          <a:ext cx="1033802" cy="894360"/>
        </a:xfrm>
        <a:prstGeom prst="hexagon">
          <a:avLst>
            <a:gd name="adj" fmla="val 28570"/>
            <a:gd name="vf" fmla="val 1154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تقليل الأخطاء الطبية </a:t>
          </a:r>
          <a:endParaRPr lang="en-US" sz="1200" kern="1200">
            <a:latin typeface="Traditional Arabic" panose="02020603050405020304" pitchFamily="18" charset="-78"/>
            <a:cs typeface="Traditional Arabic" panose="02020603050405020304" pitchFamily="18" charset="-78"/>
          </a:endParaRPr>
        </a:p>
      </dsp:txBody>
      <dsp:txXfrm>
        <a:off x="2293777" y="148215"/>
        <a:ext cx="691156" cy="597930"/>
      </dsp:txXfrm>
    </dsp:sp>
    <dsp:sp modelId="{AE0F9A88-DC2C-408B-81C1-057E0AA334C6}">
      <dsp:nvSpPr>
        <dsp:cNvPr id="0" name=""/>
        <dsp:cNvSpPr/>
      </dsp:nvSpPr>
      <dsp:spPr>
        <a:xfrm>
          <a:off x="3351690" y="1237090"/>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65425EA-BFBC-4F5B-896A-87EF310F1789}">
      <dsp:nvSpPr>
        <dsp:cNvPr id="0" name=""/>
        <dsp:cNvSpPr/>
      </dsp:nvSpPr>
      <dsp:spPr>
        <a:xfrm>
          <a:off x="3070571" y="550091"/>
          <a:ext cx="1033802" cy="894360"/>
        </a:xfrm>
        <a:prstGeom prst="hexagon">
          <a:avLst>
            <a:gd name="adj" fmla="val 28570"/>
            <a:gd name="vf" fmla="val 11547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فعالية أنظمة الإبلاغ عن الحوادث </a:t>
          </a:r>
          <a:endParaRPr lang="en-US" sz="1200" kern="1200">
            <a:latin typeface="Traditional Arabic" panose="02020603050405020304" pitchFamily="18" charset="-78"/>
            <a:cs typeface="Traditional Arabic" panose="02020603050405020304" pitchFamily="18" charset="-78"/>
          </a:endParaRPr>
        </a:p>
      </dsp:txBody>
      <dsp:txXfrm>
        <a:off x="3241894" y="698306"/>
        <a:ext cx="691156" cy="597930"/>
      </dsp:txXfrm>
    </dsp:sp>
    <dsp:sp modelId="{E3E00F3B-9402-4420-9FA5-955E7CDE71AC}">
      <dsp:nvSpPr>
        <dsp:cNvPr id="0" name=""/>
        <dsp:cNvSpPr/>
      </dsp:nvSpPr>
      <dsp:spPr>
        <a:xfrm>
          <a:off x="2965811" y="2102531"/>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BC5208-B40D-4C78-9AD7-2A80012BF1D4}">
      <dsp:nvSpPr>
        <dsp:cNvPr id="0" name=""/>
        <dsp:cNvSpPr/>
      </dsp:nvSpPr>
      <dsp:spPr>
        <a:xfrm>
          <a:off x="3070571" y="1631507"/>
          <a:ext cx="1033802" cy="894360"/>
        </a:xfrm>
        <a:prstGeom prst="hexagon">
          <a:avLst>
            <a:gd name="adj" fmla="val 28570"/>
            <a:gd name="vf" fmla="val 11547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جودة الرعاية السريرية</a:t>
          </a:r>
          <a:endParaRPr lang="en-US" sz="1200" kern="1200">
            <a:latin typeface="Traditional Arabic" panose="02020603050405020304" pitchFamily="18" charset="-78"/>
            <a:cs typeface="Traditional Arabic" panose="02020603050405020304" pitchFamily="18" charset="-78"/>
          </a:endParaRPr>
        </a:p>
      </dsp:txBody>
      <dsp:txXfrm>
        <a:off x="3241894" y="1779722"/>
        <a:ext cx="691156" cy="597930"/>
      </dsp:txXfrm>
    </dsp:sp>
    <dsp:sp modelId="{E5751212-FB36-4942-B2EA-1080E63DB5ED}">
      <dsp:nvSpPr>
        <dsp:cNvPr id="0" name=""/>
        <dsp:cNvSpPr/>
      </dsp:nvSpPr>
      <dsp:spPr>
        <a:xfrm>
          <a:off x="2008598" y="2192367"/>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63182D-471F-4B22-B1DC-E191435DE150}">
      <dsp:nvSpPr>
        <dsp:cNvPr id="0" name=""/>
        <dsp:cNvSpPr/>
      </dsp:nvSpPr>
      <dsp:spPr>
        <a:xfrm>
          <a:off x="2122454" y="2182214"/>
          <a:ext cx="1033802" cy="894360"/>
        </a:xfrm>
        <a:prstGeom prst="hexagon">
          <a:avLst>
            <a:gd name="adj" fmla="val 28570"/>
            <a:gd name="vf" fmla="val 11547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بيئة العمل الآمنة</a:t>
          </a:r>
          <a:endParaRPr lang="en-US" sz="1200" kern="1200">
            <a:latin typeface="Traditional Arabic" panose="02020603050405020304" pitchFamily="18" charset="-78"/>
            <a:cs typeface="Traditional Arabic" panose="02020603050405020304" pitchFamily="18" charset="-78"/>
          </a:endParaRPr>
        </a:p>
      </dsp:txBody>
      <dsp:txXfrm>
        <a:off x="2293777" y="2330429"/>
        <a:ext cx="691156" cy="597930"/>
      </dsp:txXfrm>
    </dsp:sp>
    <dsp:sp modelId="{D60ACA30-2326-4F8E-A170-1DF58B0C828D}">
      <dsp:nvSpPr>
        <dsp:cNvPr id="0" name=""/>
        <dsp:cNvSpPr/>
      </dsp:nvSpPr>
      <dsp:spPr>
        <a:xfrm>
          <a:off x="1169936" y="1632123"/>
          <a:ext cx="1033802" cy="894360"/>
        </a:xfrm>
        <a:prstGeom prst="hexagon">
          <a:avLst>
            <a:gd name="adj" fmla="val 28570"/>
            <a:gd name="vf" fmla="val 11547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إشراك المرضى في الرعاية</a:t>
          </a:r>
          <a:endParaRPr lang="en-US" sz="1200" kern="1200">
            <a:latin typeface="Traditional Arabic" panose="02020603050405020304" pitchFamily="18" charset="-78"/>
            <a:cs typeface="Traditional Arabic" panose="02020603050405020304" pitchFamily="18" charset="-78"/>
          </a:endParaRPr>
        </a:p>
      </dsp:txBody>
      <dsp:txXfrm>
        <a:off x="1341259" y="1780338"/>
        <a:ext cx="691156" cy="597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986341-8791-4C28-9968-C598C91037D8}">
      <dsp:nvSpPr>
        <dsp:cNvPr id="0" name=""/>
        <dsp:cNvSpPr/>
      </dsp:nvSpPr>
      <dsp:spPr>
        <a:xfrm>
          <a:off x="2172304" y="359"/>
          <a:ext cx="929700" cy="92970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العقوبة المشروطة</a:t>
          </a:r>
          <a:endParaRPr lang="en-US" sz="1400" kern="1200">
            <a:latin typeface="Traditional Arabic" panose="02020603050405020304" pitchFamily="18" charset="-78"/>
            <a:cs typeface="Traditional Arabic" panose="02020603050405020304" pitchFamily="18" charset="-78"/>
          </a:endParaRPr>
        </a:p>
      </dsp:txBody>
      <dsp:txXfrm>
        <a:off x="2308455" y="136510"/>
        <a:ext cx="657398" cy="657398"/>
      </dsp:txXfrm>
    </dsp:sp>
    <dsp:sp modelId="{927FCD21-EB4E-458B-8788-DE6A1D18B3F2}">
      <dsp:nvSpPr>
        <dsp:cNvPr id="0" name=""/>
        <dsp:cNvSpPr/>
      </dsp:nvSpPr>
      <dsp:spPr>
        <a:xfrm rot="2160000">
          <a:off x="3072449" y="714102"/>
          <a:ext cx="246426" cy="31377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079508" y="755130"/>
        <a:ext cx="172498" cy="188263"/>
      </dsp:txXfrm>
    </dsp:sp>
    <dsp:sp modelId="{1A14E00A-4429-4CD5-9D5B-4DA5F0700B1D}">
      <dsp:nvSpPr>
        <dsp:cNvPr id="0" name=""/>
        <dsp:cNvSpPr/>
      </dsp:nvSpPr>
      <dsp:spPr>
        <a:xfrm>
          <a:off x="3300605" y="820118"/>
          <a:ext cx="929700" cy="92970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المكافأة المشروطة</a:t>
          </a:r>
          <a:endParaRPr lang="en-US" sz="1400" kern="1200">
            <a:latin typeface="Traditional Arabic" panose="02020603050405020304" pitchFamily="18" charset="-78"/>
            <a:cs typeface="Traditional Arabic" panose="02020603050405020304" pitchFamily="18" charset="-78"/>
          </a:endParaRPr>
        </a:p>
      </dsp:txBody>
      <dsp:txXfrm>
        <a:off x="3436756" y="956269"/>
        <a:ext cx="657398" cy="657398"/>
      </dsp:txXfrm>
    </dsp:sp>
    <dsp:sp modelId="{3030A735-1686-4EAA-BF9C-2C1BB12A1B20}">
      <dsp:nvSpPr>
        <dsp:cNvPr id="0" name=""/>
        <dsp:cNvSpPr/>
      </dsp:nvSpPr>
      <dsp:spPr>
        <a:xfrm rot="6480000">
          <a:off x="3428911" y="1784646"/>
          <a:ext cx="246426" cy="31377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477298" y="1812246"/>
        <a:ext cx="172498" cy="188263"/>
      </dsp:txXfrm>
    </dsp:sp>
    <dsp:sp modelId="{93320E12-0688-4BB1-85AF-121A509448D2}">
      <dsp:nvSpPr>
        <dsp:cNvPr id="0" name=""/>
        <dsp:cNvSpPr/>
      </dsp:nvSpPr>
      <dsp:spPr>
        <a:xfrm>
          <a:off x="2869633" y="2146515"/>
          <a:ext cx="929700" cy="92970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(الساكنة)</a:t>
          </a:r>
          <a:endParaRPr lang="en-US" sz="1400" kern="1200">
            <a:latin typeface="Traditional Arabic" panose="02020603050405020304" pitchFamily="18" charset="-78"/>
            <a:cs typeface="Traditional Arabic" panose="02020603050405020304" pitchFamily="18" charset="-78"/>
          </a:endParaRPr>
        </a:p>
      </dsp:txBody>
      <dsp:txXfrm>
        <a:off x="3005784" y="2282666"/>
        <a:ext cx="657398" cy="657398"/>
      </dsp:txXfrm>
    </dsp:sp>
    <dsp:sp modelId="{B8C070E4-685B-41A9-9E68-08EDD1968B16}">
      <dsp:nvSpPr>
        <dsp:cNvPr id="0" name=""/>
        <dsp:cNvSpPr/>
      </dsp:nvSpPr>
      <dsp:spPr>
        <a:xfrm rot="10800000">
          <a:off x="2520915" y="2454478"/>
          <a:ext cx="246426" cy="31377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594843" y="2517233"/>
        <a:ext cx="172498" cy="188263"/>
      </dsp:txXfrm>
    </dsp:sp>
    <dsp:sp modelId="{4285E783-BB67-4F23-AA12-EF7D37D40EB5}">
      <dsp:nvSpPr>
        <dsp:cNvPr id="0" name=""/>
        <dsp:cNvSpPr/>
      </dsp:nvSpPr>
      <dsp:spPr>
        <a:xfrm>
          <a:off x="1474976" y="2146515"/>
          <a:ext cx="929700" cy="92970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 النشطة)</a:t>
          </a:r>
          <a:endParaRPr lang="en-US" sz="1400" kern="1200">
            <a:latin typeface="Traditional Arabic" panose="02020603050405020304" pitchFamily="18" charset="-78"/>
            <a:cs typeface="Traditional Arabic" panose="02020603050405020304" pitchFamily="18" charset="-78"/>
          </a:endParaRPr>
        </a:p>
      </dsp:txBody>
      <dsp:txXfrm>
        <a:off x="1611127" y="2282666"/>
        <a:ext cx="657398" cy="657398"/>
      </dsp:txXfrm>
    </dsp:sp>
    <dsp:sp modelId="{C14E68A7-56E7-47A4-B310-37B0E67D4A50}">
      <dsp:nvSpPr>
        <dsp:cNvPr id="0" name=""/>
        <dsp:cNvSpPr/>
      </dsp:nvSpPr>
      <dsp:spPr>
        <a:xfrm rot="15120000">
          <a:off x="1603282" y="1797912"/>
          <a:ext cx="246426" cy="31377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51669" y="1895822"/>
        <a:ext cx="172498" cy="188263"/>
      </dsp:txXfrm>
    </dsp:sp>
    <dsp:sp modelId="{CCEA4866-F5DE-44A0-92A1-E3755A1A8D75}">
      <dsp:nvSpPr>
        <dsp:cNvPr id="0" name=""/>
        <dsp:cNvSpPr/>
      </dsp:nvSpPr>
      <dsp:spPr>
        <a:xfrm>
          <a:off x="1044004" y="820118"/>
          <a:ext cx="929700" cy="92970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مستلزمات الأداء</a:t>
          </a:r>
          <a:endParaRPr lang="en-US" sz="1400" kern="1200">
            <a:latin typeface="Traditional Arabic" panose="02020603050405020304" pitchFamily="18" charset="-78"/>
            <a:cs typeface="Traditional Arabic" panose="02020603050405020304" pitchFamily="18" charset="-78"/>
          </a:endParaRPr>
        </a:p>
      </dsp:txBody>
      <dsp:txXfrm>
        <a:off x="1180155" y="956269"/>
        <a:ext cx="657398" cy="657398"/>
      </dsp:txXfrm>
    </dsp:sp>
    <dsp:sp modelId="{39AF97AD-AB83-4C35-A8B7-196D2ECB8A9B}">
      <dsp:nvSpPr>
        <dsp:cNvPr id="0" name=""/>
        <dsp:cNvSpPr/>
      </dsp:nvSpPr>
      <dsp:spPr>
        <a:xfrm rot="19440000">
          <a:off x="1944148" y="722301"/>
          <a:ext cx="246426" cy="313773"/>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951207" y="806783"/>
        <a:ext cx="172498" cy="18826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1D2F1-5D69-4038-A5B5-1E4B3AB5FA00}">
      <dsp:nvSpPr>
        <dsp:cNvPr id="0" name=""/>
        <dsp:cNvSpPr/>
      </dsp:nvSpPr>
      <dsp:spPr>
        <a:xfrm>
          <a:off x="1783886" y="685018"/>
          <a:ext cx="1706537" cy="1706537"/>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أبعاد القيادة التحويلية</a:t>
          </a:r>
          <a:endParaRPr lang="en-US" sz="1200" b="1" kern="1200">
            <a:latin typeface="Traditional Arabic" panose="02020603050405020304" pitchFamily="18" charset="-78"/>
            <a:cs typeface="Traditional Arabic" panose="02020603050405020304" pitchFamily="18" charset="-78"/>
          </a:endParaRPr>
        </a:p>
      </dsp:txBody>
      <dsp:txXfrm>
        <a:off x="2033803" y="934935"/>
        <a:ext cx="1206703" cy="1206703"/>
      </dsp:txXfrm>
    </dsp:sp>
    <dsp:sp modelId="{B1786B0B-B00B-405D-83A7-4F77D637618F}">
      <dsp:nvSpPr>
        <dsp:cNvPr id="0" name=""/>
        <dsp:cNvSpPr/>
      </dsp:nvSpPr>
      <dsp:spPr>
        <a:xfrm>
          <a:off x="2210520" y="304"/>
          <a:ext cx="853268" cy="853268"/>
        </a:xfrm>
        <a:prstGeom prst="ellipse">
          <a:avLst/>
        </a:prstGeom>
        <a:solidFill>
          <a:schemeClr val="accent5">
            <a:alpha val="50000"/>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الدافعية الالهامية</a:t>
          </a:r>
          <a:endParaRPr lang="en-US" sz="1200" kern="1200">
            <a:latin typeface="Traditional Arabic" panose="02020603050405020304" pitchFamily="18" charset="-78"/>
            <a:cs typeface="Traditional Arabic" panose="02020603050405020304" pitchFamily="18" charset="-78"/>
          </a:endParaRPr>
        </a:p>
      </dsp:txBody>
      <dsp:txXfrm>
        <a:off x="2335478" y="125262"/>
        <a:ext cx="603352" cy="603352"/>
      </dsp:txXfrm>
    </dsp:sp>
    <dsp:sp modelId="{8D0A46D8-626E-4655-BD3C-58D47A037BC8}">
      <dsp:nvSpPr>
        <dsp:cNvPr id="0" name=""/>
        <dsp:cNvSpPr/>
      </dsp:nvSpPr>
      <dsp:spPr>
        <a:xfrm>
          <a:off x="3321869" y="1111653"/>
          <a:ext cx="853268" cy="853268"/>
        </a:xfrm>
        <a:prstGeom prst="ellipse">
          <a:avLst/>
        </a:prstGeom>
        <a:solidFill>
          <a:schemeClr val="accent5">
            <a:alpha val="50000"/>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التأثير المثالي</a:t>
          </a:r>
          <a:endParaRPr lang="en-US" sz="1200" kern="1200">
            <a:latin typeface="Traditional Arabic" panose="02020603050405020304" pitchFamily="18" charset="-78"/>
            <a:cs typeface="Traditional Arabic" panose="02020603050405020304" pitchFamily="18" charset="-78"/>
          </a:endParaRPr>
        </a:p>
      </dsp:txBody>
      <dsp:txXfrm>
        <a:off x="3446827" y="1236611"/>
        <a:ext cx="603352" cy="603352"/>
      </dsp:txXfrm>
    </dsp:sp>
    <dsp:sp modelId="{349B24AE-007A-4009-8D92-3CC06EDA259B}">
      <dsp:nvSpPr>
        <dsp:cNvPr id="0" name=""/>
        <dsp:cNvSpPr/>
      </dsp:nvSpPr>
      <dsp:spPr>
        <a:xfrm>
          <a:off x="2210520" y="2223001"/>
          <a:ext cx="853268" cy="853268"/>
        </a:xfrm>
        <a:prstGeom prst="ellipse">
          <a:avLst/>
        </a:prstGeom>
        <a:solidFill>
          <a:schemeClr val="accent5">
            <a:alpha val="50000"/>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الاعتبارية الفردية</a:t>
          </a:r>
          <a:endParaRPr lang="en-US" sz="1200" kern="1200">
            <a:latin typeface="Traditional Arabic" panose="02020603050405020304" pitchFamily="18" charset="-78"/>
            <a:cs typeface="Traditional Arabic" panose="02020603050405020304" pitchFamily="18" charset="-78"/>
          </a:endParaRPr>
        </a:p>
      </dsp:txBody>
      <dsp:txXfrm>
        <a:off x="2335478" y="2347959"/>
        <a:ext cx="603352" cy="603352"/>
      </dsp:txXfrm>
    </dsp:sp>
    <dsp:sp modelId="{71E0D0FF-EC3D-4D84-AA03-E5B7E43076CF}">
      <dsp:nvSpPr>
        <dsp:cNvPr id="0" name=""/>
        <dsp:cNvSpPr/>
      </dsp:nvSpPr>
      <dsp:spPr>
        <a:xfrm>
          <a:off x="1099172" y="1111653"/>
          <a:ext cx="853268" cy="853268"/>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الاستثارة الفكرية</a:t>
          </a:r>
          <a:endParaRPr lang="en-US" sz="1200" kern="1200">
            <a:latin typeface="Traditional Arabic" panose="02020603050405020304" pitchFamily="18" charset="-78"/>
            <a:cs typeface="Traditional Arabic" panose="02020603050405020304" pitchFamily="18" charset="-78"/>
          </a:endParaRPr>
        </a:p>
      </dsp:txBody>
      <dsp:txXfrm>
        <a:off x="1224130" y="1236611"/>
        <a:ext cx="603352" cy="60335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A371F-A7E4-460D-B244-EE6AFF2B6627}">
      <dsp:nvSpPr>
        <dsp:cNvPr id="0" name=""/>
        <dsp:cNvSpPr/>
      </dsp:nvSpPr>
      <dsp:spPr>
        <a:xfrm>
          <a:off x="2232825" y="1133958"/>
          <a:ext cx="808658" cy="80865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عوامل نجاح القيادة التحويلية</a:t>
          </a:r>
          <a:endParaRPr lang="en-US" sz="1100" b="1" kern="1200">
            <a:latin typeface="Traditional Arabic" panose="02020603050405020304" pitchFamily="18" charset="-78"/>
            <a:cs typeface="Traditional Arabic" panose="02020603050405020304" pitchFamily="18" charset="-78"/>
          </a:endParaRPr>
        </a:p>
      </dsp:txBody>
      <dsp:txXfrm>
        <a:off x="2351250" y="1252383"/>
        <a:ext cx="571808" cy="571808"/>
      </dsp:txXfrm>
    </dsp:sp>
    <dsp:sp modelId="{706AF5A0-1D54-4F33-B17E-02BA208CA869}">
      <dsp:nvSpPr>
        <dsp:cNvPr id="0" name=""/>
        <dsp:cNvSpPr/>
      </dsp:nvSpPr>
      <dsp:spPr>
        <a:xfrm rot="16200000">
          <a:off x="2551307" y="839369"/>
          <a:ext cx="171694" cy="27494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920112"/>
        <a:ext cx="120186" cy="164966"/>
      </dsp:txXfrm>
    </dsp:sp>
    <dsp:sp modelId="{0666AF14-42B4-4159-818F-2218B1C3A51E}">
      <dsp:nvSpPr>
        <dsp:cNvPr id="0" name=""/>
        <dsp:cNvSpPr/>
      </dsp:nvSpPr>
      <dsp:spPr>
        <a:xfrm>
          <a:off x="2232825" y="1347"/>
          <a:ext cx="808658" cy="80865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التطور</a:t>
          </a:r>
          <a:endParaRPr lang="en-US" sz="1100" b="1" kern="1200">
            <a:latin typeface="Traditional Arabic" panose="02020603050405020304" pitchFamily="18" charset="-78"/>
            <a:cs typeface="Traditional Arabic" panose="02020603050405020304" pitchFamily="18" charset="-78"/>
          </a:endParaRPr>
        </a:p>
      </dsp:txBody>
      <dsp:txXfrm>
        <a:off x="2351250" y="119772"/>
        <a:ext cx="571808" cy="571808"/>
      </dsp:txXfrm>
    </dsp:sp>
    <dsp:sp modelId="{8EC1460A-4572-424A-82D7-48DD5E6C8B0C}">
      <dsp:nvSpPr>
        <dsp:cNvPr id="0" name=""/>
        <dsp:cNvSpPr/>
      </dsp:nvSpPr>
      <dsp:spPr>
        <a:xfrm>
          <a:off x="3112753" y="1400815"/>
          <a:ext cx="171694" cy="274944"/>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12753" y="1455804"/>
        <a:ext cx="120186" cy="164966"/>
      </dsp:txXfrm>
    </dsp:sp>
    <dsp:sp modelId="{27463A98-AD57-4F8C-AF68-91C82C336F57}">
      <dsp:nvSpPr>
        <dsp:cNvPr id="0" name=""/>
        <dsp:cNvSpPr/>
      </dsp:nvSpPr>
      <dsp:spPr>
        <a:xfrm>
          <a:off x="3365436" y="1133958"/>
          <a:ext cx="808658" cy="808658"/>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التفويض</a:t>
          </a:r>
          <a:endParaRPr lang="en-US" sz="1100" b="1" kern="1200">
            <a:latin typeface="Traditional Arabic" panose="02020603050405020304" pitchFamily="18" charset="-78"/>
            <a:cs typeface="Traditional Arabic" panose="02020603050405020304" pitchFamily="18" charset="-78"/>
          </a:endParaRPr>
        </a:p>
      </dsp:txBody>
      <dsp:txXfrm>
        <a:off x="3483861" y="1252383"/>
        <a:ext cx="571808" cy="571808"/>
      </dsp:txXfrm>
    </dsp:sp>
    <dsp:sp modelId="{174A9161-46DD-47F8-AA4A-4A3EC267F6C4}">
      <dsp:nvSpPr>
        <dsp:cNvPr id="0" name=""/>
        <dsp:cNvSpPr/>
      </dsp:nvSpPr>
      <dsp:spPr>
        <a:xfrm rot="5400000">
          <a:off x="2551307" y="1962261"/>
          <a:ext cx="171694" cy="274944"/>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1991496"/>
        <a:ext cx="120186" cy="164966"/>
      </dsp:txXfrm>
    </dsp:sp>
    <dsp:sp modelId="{9E11799A-FBBC-4A9D-9DE9-50989F55B58E}">
      <dsp:nvSpPr>
        <dsp:cNvPr id="0" name=""/>
        <dsp:cNvSpPr/>
      </dsp:nvSpPr>
      <dsp:spPr>
        <a:xfrm>
          <a:off x="2232825" y="2266568"/>
          <a:ext cx="808658" cy="808658"/>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الرؤية</a:t>
          </a:r>
          <a:endParaRPr lang="en-US" sz="1100" b="1" kern="1200">
            <a:latin typeface="Traditional Arabic" panose="02020603050405020304" pitchFamily="18" charset="-78"/>
            <a:cs typeface="Traditional Arabic" panose="02020603050405020304" pitchFamily="18" charset="-78"/>
          </a:endParaRPr>
        </a:p>
      </dsp:txBody>
      <dsp:txXfrm>
        <a:off x="2351250" y="2384993"/>
        <a:ext cx="571808" cy="571808"/>
      </dsp:txXfrm>
    </dsp:sp>
    <dsp:sp modelId="{F68E73FD-DD57-475B-8C50-C05EF76AEBAC}">
      <dsp:nvSpPr>
        <dsp:cNvPr id="0" name=""/>
        <dsp:cNvSpPr/>
      </dsp:nvSpPr>
      <dsp:spPr>
        <a:xfrm rot="10800000">
          <a:off x="1989861" y="1400815"/>
          <a:ext cx="171694" cy="274944"/>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041369" y="1455804"/>
        <a:ext cx="120186" cy="164966"/>
      </dsp:txXfrm>
    </dsp:sp>
    <dsp:sp modelId="{D96BE9AA-D44D-4603-9283-B44B8D1092DB}">
      <dsp:nvSpPr>
        <dsp:cNvPr id="0" name=""/>
        <dsp:cNvSpPr/>
      </dsp:nvSpPr>
      <dsp:spPr>
        <a:xfrm>
          <a:off x="1100214" y="1133958"/>
          <a:ext cx="808658" cy="80865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التعلم</a:t>
          </a:r>
          <a:endParaRPr lang="en-US" sz="1100" b="1" kern="1200">
            <a:latin typeface="Traditional Arabic" panose="02020603050405020304" pitchFamily="18" charset="-78"/>
            <a:cs typeface="Traditional Arabic" panose="02020603050405020304" pitchFamily="18" charset="-78"/>
          </a:endParaRPr>
        </a:p>
      </dsp:txBody>
      <dsp:txXfrm>
        <a:off x="1218639" y="1252383"/>
        <a:ext cx="571808" cy="5718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5">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181</Pages>
  <Words>45219</Words>
  <Characters>257753</Characters>
  <Application>Microsoft Office Word</Application>
  <DocSecurity>0</DocSecurity>
  <Lines>2147</Lines>
  <Paragraphs>604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NOURA AL-Saleem</cp:lastModifiedBy>
  <cp:revision>3</cp:revision>
  <cp:lastPrinted>2026-08-27T17:41:00Z</cp:lastPrinted>
  <dcterms:created xsi:type="dcterms:W3CDTF">2026-09-05T10:25:00Z</dcterms:created>
  <dcterms:modified xsi:type="dcterms:W3CDTF">2026-09-05T15:58:00Z</dcterms:modified>
</cp:coreProperties>
</file>