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CBB6E" w14:textId="77777777" w:rsidR="00576C22" w:rsidRDefault="00D84DA8" w:rsidP="00E046A2">
      <w:pPr>
        <w:spacing w:after="0"/>
        <w:jc w:val="righ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2F2CC37" wp14:editId="2791353F">
            <wp:extent cx="1872000" cy="1735791"/>
            <wp:effectExtent l="0" t="0" r="0" b="0"/>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1872000" cy="1735791"/>
                    </a:xfrm>
                    <a:prstGeom prst="rect">
                      <a:avLst/>
                    </a:prstGeom>
                  </pic:spPr>
                </pic:pic>
              </a:graphicData>
            </a:graphic>
          </wp:inline>
        </w:drawing>
      </w:r>
    </w:p>
    <w:p w14:paraId="4BFF6911"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جامعة ميدأوشن</w:t>
      </w:r>
    </w:p>
    <w:p w14:paraId="206E968E"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كلية الإدارة</w:t>
      </w:r>
    </w:p>
    <w:p w14:paraId="152551E8" w14:textId="04E20443" w:rsidR="00576C22" w:rsidRDefault="00D84DA8" w:rsidP="00F833AD">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قسم / إدارة الأعمال</w:t>
      </w:r>
    </w:p>
    <w:p w14:paraId="53C3F7CA" w14:textId="77777777" w:rsidR="00576C22" w:rsidRDefault="00576C22">
      <w:pPr>
        <w:jc w:val="right"/>
        <w:rPr>
          <w:rFonts w:ascii="Times New Roman" w:hAnsi="Times New Roman" w:cs="Times New Roman"/>
          <w:sz w:val="40"/>
          <w:szCs w:val="40"/>
        </w:rPr>
      </w:pPr>
    </w:p>
    <w:p w14:paraId="2005D74D" w14:textId="77777777" w:rsidR="00576C22" w:rsidRDefault="00D84DA8">
      <w:pPr>
        <w:spacing w:after="140" w:line="372" w:lineRule="auto"/>
        <w:ind w:firstLine="397"/>
        <w:jc w:val="center"/>
        <w:rPr>
          <w:rFonts w:ascii="Times New Roman" w:hAnsi="Times New Roman" w:cs="Times New Roman"/>
          <w:b/>
          <w:bCs/>
          <w:sz w:val="40"/>
          <w:szCs w:val="40"/>
        </w:rPr>
      </w:pPr>
      <w:r>
        <w:rPr>
          <w:rFonts w:ascii="Times New Roman" w:eastAsia="Arial" w:hAnsi="Times New Roman" w:cs="Times New Roman"/>
          <w:b/>
          <w:bCs/>
          <w:sz w:val="40"/>
          <w:szCs w:val="40"/>
          <w:rtl/>
          <w:lang w:bidi="ar-DZ"/>
        </w:rPr>
        <w:t>اثر</w:t>
      </w:r>
      <w:r>
        <w:rPr>
          <w:rFonts w:ascii="Times New Roman" w:eastAsia="Arial" w:hAnsi="Times New Roman" w:cs="Times New Roman"/>
          <w:b/>
          <w:bCs/>
          <w:sz w:val="40"/>
          <w:szCs w:val="40"/>
          <w:rtl/>
        </w:rPr>
        <w:t xml:space="preserve"> التسويق عبر وسائل التواصل الاجتماعي على قرار الشراء لدى المستهلكين في مدينة الرياض</w:t>
      </w:r>
    </w:p>
    <w:p w14:paraId="1B21736D" w14:textId="34F3FC1F" w:rsidR="00576C22" w:rsidRDefault="00F833AD" w:rsidP="00F833AD">
      <w:pPr>
        <w:jc w:val="center"/>
        <w:rPr>
          <w:rFonts w:ascii="Times New Roman" w:hAnsi="Times New Roman" w:cs="Times New Roman"/>
          <w:b/>
          <w:bCs/>
          <w:sz w:val="40"/>
          <w:szCs w:val="40"/>
          <w:rtl/>
        </w:rPr>
      </w:pPr>
      <w:r w:rsidRPr="00F833AD">
        <w:rPr>
          <w:rFonts w:ascii="Times New Roman" w:hAnsi="Times New Roman" w:cs="Times New Roman"/>
          <w:b/>
          <w:bCs/>
          <w:sz w:val="40"/>
          <w:szCs w:val="40"/>
        </w:rPr>
        <w:t>The Impact of Social Media Marketing on Consumers' Purchase Decisions in the City of Riyadh</w:t>
      </w:r>
    </w:p>
    <w:p w14:paraId="7F987F99" w14:textId="77777777" w:rsidR="00F833AD" w:rsidRDefault="00F833AD" w:rsidP="00F833AD">
      <w:pPr>
        <w:jc w:val="center"/>
        <w:rPr>
          <w:rFonts w:ascii="Times New Roman" w:hAnsi="Times New Roman" w:cs="Times New Roman"/>
          <w:b/>
          <w:bCs/>
          <w:sz w:val="40"/>
          <w:szCs w:val="40"/>
        </w:rPr>
      </w:pPr>
    </w:p>
    <w:p w14:paraId="2C8A5255" w14:textId="518560DE" w:rsidR="00F833AD" w:rsidRPr="00F833AD" w:rsidRDefault="00D84DA8" w:rsidP="00F833AD">
      <w:pPr>
        <w:spacing w:after="140" w:line="372" w:lineRule="auto"/>
        <w:ind w:firstLine="397"/>
        <w:jc w:val="center"/>
        <w:rPr>
          <w:rFonts w:ascii="Times New Roman" w:eastAsia="Arial" w:hAnsi="Times New Roman" w:cs="Times New Roman"/>
          <w:b/>
          <w:bCs/>
          <w:sz w:val="40"/>
          <w:szCs w:val="40"/>
        </w:rPr>
      </w:pPr>
      <w:r>
        <w:rPr>
          <w:rFonts w:ascii="Times New Roman" w:eastAsia="Arial" w:hAnsi="Times New Roman" w:cs="Times New Roman"/>
          <w:b/>
          <w:bCs/>
          <w:sz w:val="40"/>
          <w:szCs w:val="40"/>
          <w:rtl/>
        </w:rPr>
        <w:t>إعداد الطالبة</w:t>
      </w:r>
    </w:p>
    <w:p w14:paraId="1121CECF" w14:textId="77777777" w:rsidR="00576C22" w:rsidRDefault="00D84DA8" w:rsidP="00F833AD">
      <w:pPr>
        <w:spacing w:after="140" w:line="372" w:lineRule="auto"/>
        <w:ind w:firstLine="397"/>
        <w:jc w:val="center"/>
        <w:rPr>
          <w:rFonts w:ascii="Times New Roman" w:hAnsi="Times New Roman" w:cs="Times New Roman"/>
          <w:b/>
          <w:bCs/>
          <w:sz w:val="40"/>
          <w:szCs w:val="40"/>
        </w:rPr>
      </w:pPr>
      <w:r>
        <w:rPr>
          <w:rFonts w:ascii="Times New Roman" w:eastAsia="Arial" w:hAnsi="Times New Roman" w:cs="Times New Roman"/>
          <w:b/>
          <w:bCs/>
          <w:sz w:val="40"/>
          <w:szCs w:val="40"/>
          <w:rtl/>
        </w:rPr>
        <w:t>رغد عثمان أحمد المرعي</w:t>
      </w:r>
    </w:p>
    <w:p w14:paraId="590796EA" w14:textId="77777777" w:rsidR="00576C22" w:rsidRDefault="00D84DA8" w:rsidP="00F833AD">
      <w:pPr>
        <w:spacing w:after="140" w:line="372" w:lineRule="auto"/>
        <w:ind w:firstLine="397"/>
        <w:jc w:val="center"/>
        <w:rPr>
          <w:rFonts w:ascii="Times New Roman" w:hAnsi="Times New Roman" w:cs="Times New Roman"/>
          <w:b/>
          <w:bCs/>
          <w:sz w:val="40"/>
          <w:szCs w:val="40"/>
        </w:rPr>
      </w:pPr>
      <w:r>
        <w:rPr>
          <w:rFonts w:ascii="Times New Roman" w:eastAsia="Arial" w:hAnsi="Times New Roman" w:cs="Times New Roman"/>
          <w:b/>
          <w:bCs/>
          <w:sz w:val="40"/>
          <w:szCs w:val="40"/>
          <w:rtl/>
        </w:rPr>
        <w:t>الرقم الجامعي: 253000327</w:t>
      </w:r>
    </w:p>
    <w:p w14:paraId="1335864C" w14:textId="4D95B0FB" w:rsidR="00576C22" w:rsidRDefault="00F833AD" w:rsidP="00F833AD">
      <w:pPr>
        <w:bidi/>
        <w:spacing w:after="140" w:line="372" w:lineRule="auto"/>
        <w:ind w:firstLine="397"/>
        <w:rPr>
          <w:rFonts w:ascii="Times New Roman" w:hAnsi="Times New Roman" w:cs="Times New Roman"/>
          <w:b/>
          <w:bCs/>
          <w:sz w:val="40"/>
          <w:szCs w:val="40"/>
          <w:rtl/>
          <w:lang w:bidi="ar-DZ"/>
        </w:rPr>
      </w:pPr>
      <w:r>
        <w:rPr>
          <w:rFonts w:ascii="Times New Roman" w:hAnsi="Times New Roman" w:cs="Times New Roman" w:hint="cs"/>
          <w:b/>
          <w:bCs/>
          <w:sz w:val="40"/>
          <w:szCs w:val="40"/>
          <w:rtl/>
          <w:lang w:bidi="ar-DZ"/>
        </w:rPr>
        <w:t xml:space="preserve">                                 </w:t>
      </w:r>
      <w:r w:rsidR="00D84DA8">
        <w:rPr>
          <w:rFonts w:ascii="Times New Roman" w:hAnsi="Times New Roman" w:cs="Times New Roman" w:hint="cs"/>
          <w:b/>
          <w:bCs/>
          <w:sz w:val="40"/>
          <w:szCs w:val="40"/>
          <w:rtl/>
          <w:lang w:bidi="ar-DZ"/>
        </w:rPr>
        <w:t>أسم الدكتور</w:t>
      </w:r>
      <w:r w:rsidR="00D84DA8">
        <w:rPr>
          <w:rFonts w:ascii="Times New Roman" w:hAnsi="Times New Roman" w:cs="Times New Roman"/>
          <w:b/>
          <w:bCs/>
          <w:sz w:val="40"/>
          <w:szCs w:val="40"/>
          <w:rtl/>
          <w:lang w:bidi="ar-DZ"/>
        </w:rPr>
        <w:t>:</w:t>
      </w:r>
    </w:p>
    <w:p w14:paraId="076DCBAF" w14:textId="77777777" w:rsidR="00576C22" w:rsidRDefault="00D84DA8" w:rsidP="00F833AD">
      <w:pPr>
        <w:bidi/>
        <w:spacing w:after="140" w:line="372" w:lineRule="auto"/>
        <w:ind w:firstLine="397"/>
        <w:jc w:val="center"/>
        <w:rPr>
          <w:rFonts w:ascii="Times New Roman" w:hAnsi="Times New Roman" w:cs="Times New Roman"/>
          <w:b/>
          <w:bCs/>
          <w:sz w:val="40"/>
          <w:szCs w:val="40"/>
        </w:rPr>
      </w:pPr>
      <w:r>
        <w:rPr>
          <w:rFonts w:ascii="Times New Roman" w:hAnsi="Times New Roman" w:cs="Times New Roman" w:hint="cs"/>
          <w:b/>
          <w:bCs/>
          <w:sz w:val="40"/>
          <w:szCs w:val="40"/>
          <w:rtl/>
          <w:lang w:bidi="ar-DZ"/>
        </w:rPr>
        <w:t>الفيصل حسن وفايز جراد</w:t>
      </w:r>
    </w:p>
    <w:p w14:paraId="1A2BA349" w14:textId="77777777" w:rsidR="00576C22" w:rsidRDefault="00576C22">
      <w:pPr>
        <w:spacing w:after="140" w:line="372" w:lineRule="auto"/>
        <w:ind w:firstLine="397"/>
        <w:jc w:val="center"/>
        <w:rPr>
          <w:rFonts w:ascii="Times New Roman" w:hAnsi="Times New Roman" w:cs="Times New Roman"/>
          <w:b/>
          <w:bCs/>
          <w:sz w:val="40"/>
          <w:szCs w:val="40"/>
        </w:rPr>
      </w:pPr>
    </w:p>
    <w:p w14:paraId="27A62BA3" w14:textId="77777777" w:rsidR="00576C22" w:rsidRDefault="00D84DA8">
      <w:pPr>
        <w:pStyle w:val="Heading1"/>
        <w:spacing w:before="160" w:after="160"/>
        <w:jc w:val="right"/>
        <w:rPr>
          <w:rFonts w:ascii="Times New Roman" w:hAnsi="Times New Roman" w:cs="Times New Roman"/>
          <w:sz w:val="24"/>
          <w:szCs w:val="24"/>
        </w:rPr>
      </w:pPr>
      <w:r>
        <w:rPr>
          <w:rFonts w:ascii="Times New Roman" w:eastAsia="Arial" w:hAnsi="Times New Roman" w:cs="Times New Roman"/>
          <w:sz w:val="24"/>
          <w:szCs w:val="24"/>
          <w:rtl/>
        </w:rPr>
        <w:lastRenderedPageBreak/>
        <w:t>الفصل الأول: الإطار العام للبحث</w:t>
      </w:r>
    </w:p>
    <w:p w14:paraId="2CE4CDC7" w14:textId="77777777" w:rsidR="00576C22" w:rsidRDefault="00D84DA8">
      <w:pPr>
        <w:pStyle w:val="Heading2"/>
        <w:spacing w:before="160" w:after="160"/>
        <w:jc w:val="right"/>
        <w:rPr>
          <w:rFonts w:ascii="Times New Roman" w:hAnsi="Times New Roman" w:cs="Times New Roman"/>
          <w:sz w:val="24"/>
          <w:szCs w:val="24"/>
        </w:rPr>
      </w:pPr>
      <w:r>
        <w:rPr>
          <w:rFonts w:ascii="Times New Roman" w:eastAsia="Arial" w:hAnsi="Times New Roman" w:cs="Times New Roman"/>
          <w:sz w:val="24"/>
          <w:szCs w:val="24"/>
          <w:rtl/>
        </w:rPr>
        <w:t>١.١ المقدمة</w:t>
      </w:r>
    </w:p>
    <w:p w14:paraId="60B722A8"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تتطلب معالجة محور المقدمة النظر إليه بوصفه جزءاً من الإطار العام للدراسة وسياقها البحثي لا فقرة منفصلة عن بقية الدراسة. فالدراسة لا تكتفي بعرض المفهوم أو النتيجة، بل تربطه بالسياق الأوسع المتعلق بـالتسويق الرقمي، سلوك المستهلك، السوق السعودي، وقرار الشراء الفعلي. ويساعد هذا الربط على بناء تسلسل منطقي يبدأ من تحديد المشكلة وينتهي بتفسير النتائج واستخلاص التوصيات، وهو ما ينسجم مع طبيعة البحوث الأكاديمية التي تقيس العلاقة بين الظواهر الرقمية والسلوك الشرائي.</w:t>
      </w:r>
    </w:p>
    <w:p w14:paraId="6CB97F4A"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في سياق مدينة الرياض، يكتسب هذا المحور أهمية خاصة بسبب كثافة النشاط التجاري وتعدد الفئات الاستهلاكية وتنوع المنصات التي يستخدمها المستهلكون يومياً. فالمستهلك لا يتعرض للمحتوى التسويقي في بيئة محايدة، بل في بيئة مزدحمة بالرسائل البصرية والتوصيات والعروض والمراجعات، ولذلك يصبح تفسير المقدمة مرتبطاً بمستوى الثقة، ووضوح الفائدة، وسهولة الانتقال من الإعلان إلى الشراء.</w:t>
      </w:r>
    </w:p>
    <w:p w14:paraId="2355282E"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ومن الناحية التطبيقية، يوضح هذا المحور أن القرار الشرائي الرقمي لا يتشكل بفعل عامل واحد، بل من خلال تفاعل عدة عناصر مترابطة. فقد يكون الإعلان جذاباً لكنه لا يحقق أثراً إذا غابت المصداقية، وقد تكون المنصة واسعة الانتشار لكنها لا تحقق تحويلاً شرائياً إذا لم يكن مسار الدفع واضحاً. لذلك تتعامل الدراسة مع المقدمة باعتباره مكوناً تفسيرياً ضمن نموذج متكامل لا مجرد وصف عام للظاهرة.</w:t>
      </w:r>
    </w:p>
    <w:p w14:paraId="14F32E93"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كما أن قراءة هذا المحور تساعد على التمييز بين مؤشرات الانتباه ومؤشرات القرار. فالمشاهدة والإعجاب والحفظ والمشاركة مؤشرات أولية، لكنها لا تكفي للحكم على نجاح التسويق ما لم تتحول إلى استفسار أو شراء أو تكرار شراء. ولهذا يظل التركيز على الشراء الفعلي محوراً مهماً في الدراسة؛ لأنه يربط بين النشاط التسويقي والمخرجات الاقتصادية القابلة للقياس.</w:t>
      </w:r>
    </w:p>
    <w:p w14:paraId="504E8A47"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وتؤكد الدراسة من خلال هذا المحور أن التسويق عبر وسائل التواصل في الرياض ينبغي أن يدار بمنطق علمي قائم على البيانات لا بمنطق الانطباعات العامة. فاختيار المنصة، وصياغة الرسالة، وتحديد المؤثر، وتوقيت الإعلان، وتسهيل تجربة الشراء كلها قرارات تحتاج إلى فهم دقيق لسلوك المستهلك. وبذلك يصبح المقدمة مدخلاً لتحسين كفاءة الحملات الرقمية وتعزيز ثقة المستهلك في البيئة الإلكترونية.</w:t>
      </w:r>
    </w:p>
    <w:p w14:paraId="701BAD91"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شهد العالم خلال العقدين الماضيين تحولاً رقمياً غير مسبوق، تجلى في جميع جوانب الحياة الاقتصادية والاجتماعية، ولم يكن قطاع التسويق بمنأى عن هذه التحولات. فقد انتقلت الشركات من الاعتماد على وسائل الإعلام التقليدية مثل التلفزيون والصحف والمجلات إلى استغلال البيئة الرقمية التي أتاحتها شبكة الإنترنت، ثم تطور الأمر ليشمل منصات التواصل الاجتماعي التي أصبحت اليوم جزءاً لا يتجزأ من الحياة اليومية لمليارات البشر حول العالم ‎</w:t>
      </w:r>
      <w:r>
        <w:rPr>
          <w:rFonts w:ascii="Times New Roman" w:eastAsia="Times New Roman" w:hAnsi="Times New Roman" w:cs="Times New Roman"/>
          <w:sz w:val="24"/>
          <w:szCs w:val="24"/>
        </w:rPr>
        <w:t>‎(Kaplan &amp; Haenlein, 2010)‎</w:t>
      </w:r>
      <w:r>
        <w:rPr>
          <w:rFonts w:ascii="Times New Roman" w:eastAsia="Arial" w:hAnsi="Times New Roman" w:cs="Times New Roman"/>
          <w:sz w:val="24"/>
          <w:szCs w:val="24"/>
          <w:rtl/>
        </w:rPr>
        <w:t>‎. ولم يعد التسويق عبر وسائل التواصل الاجتماعي مجرد قناة إعلانية إضافية، بل أصبح أداة استراتيجية تؤثر في سلوك المستهلك وتوجه قراراته الشرائية بطرق لم تكن ممكنة في العصر التقليدي.</w:t>
      </w:r>
    </w:p>
    <w:p w14:paraId="70DE8377"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أحدثت وسائل التواصل الاجتماعي تحولاً جوهرياً في العلاقة بين الشركات والمستهلكين؛ إذ لم تعد الرسالة التسويقية تنتقل في مسار أحادي من المعلن إلى الجمهور، بل أصبحت جزءاً من تفاعل اجتماعي متواصل ينتج فيه المستخدمون المحتوى، ويعيدون نشره، ويقيّمونه، ويقارنون من خلاله بين المنتجات والخدمات. وقد جعل هذا التحول المنصات الاجتماعية بيئة تسويقية مركبة تجمع بين الإعلان، والمحادثة، والبحث عن المعلومات، وتكوين الانطباعات، وتبادل الخبرات، ثم اتخاذ قرار الشراء في أحيان كثيرة داخل مسار رقمي قصير ‎</w:t>
      </w:r>
      <w:r>
        <w:rPr>
          <w:rFonts w:ascii="Times New Roman" w:eastAsia="Times New Roman" w:hAnsi="Times New Roman" w:cs="Times New Roman"/>
          <w:sz w:val="24"/>
          <w:szCs w:val="24"/>
        </w:rPr>
        <w:t>‎(Mangold &amp; Faulds, 2009)‎</w:t>
      </w:r>
      <w:r>
        <w:rPr>
          <w:rFonts w:ascii="Times New Roman" w:eastAsia="Arial" w:hAnsi="Times New Roman" w:cs="Times New Roman"/>
          <w:sz w:val="24"/>
          <w:szCs w:val="24"/>
          <w:rtl/>
        </w:rPr>
        <w:t>‎.</w:t>
      </w:r>
    </w:p>
    <w:p w14:paraId="23666CBC"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وفي هذا السياق، لم تعد المنصات الاجتماعية مجرد وسيلة للترفيه أو التواصل، بل أصبحت مساحة حيوية للتجارة الإلكترونية والتسويق الرقمي، حيث يتمكن المستهلكون من اكتشاف المنتجات، ومقارنة الأسعار، وقراءة التقييمات، ومشاهدة تجارب الآخرين، ثم إتمام عملية الشراء بنقرة واحدة، مما جعل رحلة المستهلك أقصر وأكثر سلاسة، لكنها في الوقت نفسه أكثر تعقيداً من حيث العوامل المؤثرة في القرار النهائي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Hajli</w:t>
      </w:r>
      <w:proofErr w:type="spellEnd"/>
      <w:r>
        <w:rPr>
          <w:rFonts w:ascii="Times New Roman" w:eastAsia="Times New Roman" w:hAnsi="Times New Roman" w:cs="Times New Roman"/>
          <w:sz w:val="24"/>
          <w:szCs w:val="24"/>
        </w:rPr>
        <w:t>, 2015)‎</w:t>
      </w:r>
      <w:r>
        <w:rPr>
          <w:rFonts w:ascii="Times New Roman" w:eastAsia="Arial" w:hAnsi="Times New Roman" w:cs="Times New Roman"/>
          <w:sz w:val="24"/>
          <w:szCs w:val="24"/>
          <w:rtl/>
        </w:rPr>
        <w:t>‎.</w:t>
      </w:r>
    </w:p>
    <w:p w14:paraId="2B662F8E"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lastRenderedPageBreak/>
        <w:t xml:space="preserve">تتضح أهمية هذه الظاهرة بصورة أكبر في الأسواق التي تتميز بارتفاع انتشار الإنترنت والهواتف الذكية، ومنها المملكة العربية السعودية. فقد أشار تقرير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DataReportal</w:t>
      </w:r>
      <w:proofErr w:type="spellEnd"/>
      <w:r>
        <w:rPr>
          <w:rFonts w:ascii="Times New Roman" w:eastAsia="Times New Roman" w:hAnsi="Times New Roman" w:cs="Times New Roman"/>
          <w:sz w:val="24"/>
          <w:szCs w:val="24"/>
        </w:rPr>
        <w:t xml:space="preserve"> ‎</w:t>
      </w:r>
      <w:r>
        <w:rPr>
          <w:rFonts w:ascii="Times New Roman" w:eastAsia="Arial" w:hAnsi="Times New Roman" w:cs="Times New Roman"/>
          <w:sz w:val="24"/>
          <w:szCs w:val="24"/>
          <w:rtl/>
        </w:rPr>
        <w:t>إلى أن عدد هويات مستخدمي وسائل التواصل الاجتماعي في السعودية بلغ 34.1 مليون هوية في يناير 2025، كما أوضح تقرير هيئة الاتصالات والفضاء والتقنية عن الإنترنت في السعودية لعام 2024 أن انتشار الإنترنت وصل إلى 99%، وأن الاستخدام عبر الهاتف المحمول يمثل النمط الغالب في الاتصال الرقمي ‎</w:t>
      </w:r>
      <w:r>
        <w:rPr>
          <w:rFonts w:ascii="Times New Roman" w:eastAsia="Times New Roman" w:hAnsi="Times New Roman" w:cs="Times New Roman"/>
          <w:sz w:val="24"/>
          <w:szCs w:val="24"/>
        </w:rPr>
        <w:t>‎(Kemp, 2025; Communications, Space &amp; Technology Commission, 2025)‎</w:t>
      </w:r>
      <w:r>
        <w:rPr>
          <w:rFonts w:ascii="Times New Roman" w:eastAsia="Arial" w:hAnsi="Times New Roman" w:cs="Times New Roman"/>
          <w:sz w:val="24"/>
          <w:szCs w:val="24"/>
          <w:rtl/>
        </w:rPr>
        <w:t>‎.</w:t>
      </w:r>
    </w:p>
    <w:p w14:paraId="0A3B2A77"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ومن زاوية بحثية أعمق، فإن دراسة أثر التسويق عبر وسائل التواصل لا تعني الوقوف عند وصف انتشار المنصات أو عدد مستخدميها، بل تتطلب تحليل كيفية تشكل القناعة الشرائية داخل بيئة يختلط فيها المحتوى التجاري بالمحتوى الاجتماعي. فالمستهلك في المنصة لا يتعرض لإعلان منفصل عن حياته اليومية، بل يتلقى الرسالة ضمن تدفق مستمر من منشورات الأصدقاء، وتجارب المؤثرين، ومقاطع الترفيه، والمراجعات، والعروض العابرة؛ وهذا يجعل التأثير أكثر نعومة وأقل مباشرة من الإعلان التقليدي ‎</w:t>
      </w:r>
      <w:r>
        <w:rPr>
          <w:rFonts w:ascii="Times New Roman" w:eastAsia="Times New Roman" w:hAnsi="Times New Roman" w:cs="Times New Roman"/>
          <w:sz w:val="24"/>
          <w:szCs w:val="24"/>
        </w:rPr>
        <w:t>‎(Kim &amp; Ko, 2012)‎</w:t>
      </w:r>
      <w:r>
        <w:rPr>
          <w:rFonts w:ascii="Times New Roman" w:eastAsia="Arial" w:hAnsi="Times New Roman" w:cs="Times New Roman"/>
          <w:sz w:val="24"/>
          <w:szCs w:val="24"/>
          <w:rtl/>
        </w:rPr>
        <w:t>‎.</w:t>
      </w:r>
    </w:p>
    <w:p w14:paraId="1AD8BC79" w14:textId="77777777" w:rsidR="00576C22" w:rsidRDefault="00D84DA8">
      <w:pPr>
        <w:spacing w:after="140" w:line="372" w:lineRule="auto"/>
        <w:ind w:firstLine="397"/>
        <w:jc w:val="right"/>
        <w:rPr>
          <w:rFonts w:ascii="Times New Roman" w:eastAsia="Arial" w:hAnsi="Times New Roman" w:cs="Times New Roman"/>
          <w:sz w:val="24"/>
          <w:szCs w:val="24"/>
          <w:rtl/>
        </w:rPr>
      </w:pPr>
      <w:r>
        <w:rPr>
          <w:rFonts w:ascii="Times New Roman" w:eastAsia="Arial" w:hAnsi="Times New Roman" w:cs="Times New Roman"/>
          <w:sz w:val="24"/>
          <w:szCs w:val="24"/>
          <w:rtl/>
        </w:rPr>
        <w:t xml:space="preserve">وتبرز أهمية مدينة الرياض تحديداً في أنها سوق حضري عالي النشاط، تتداخل فيه العلامات المحلية </w:t>
      </w:r>
    </w:p>
    <w:p w14:paraId="07C32C00"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والعالمية، وتتقاطع فيه فئات اجتماعية ومهنية مختلفة. هذا التنوع يجعل المستهلكين غير متجانسين في استجابتهم؛ فالشاب الجامعي، والموظف، ورب الأسرة، وصاحب الدخل المرتفع، والمستهلك الباحث عن الخصم، كلهم يتلقون الرسالة الرقمية بطريقة مختلفة، ولذلك لا يمكن تفسير قرار الشراء بمنطق واحد أو عامل منفرد.</w:t>
      </w:r>
    </w:p>
    <w:p w14:paraId="657BBEC2"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كما أن المنصات الاجتماعية أصبحت جزءاً من رحلة المستهلك قبل الشراء وبعده. فقبل الشراء يبحث المستهلك عن التعليقات والتجارب والمقارنات، وأثناء الشراء ينتقل عبر رابط أو متجر رقمي، وبعد الشراء قد ينشر تقييمه أو تجربته، فيتحول من مستهلك إلى مصدر تأثير جديد. وبذلك يصبح قرار الشراء حلقة داخل دورة اجتماعية رقمية مستمرة ‎</w:t>
      </w:r>
      <w:r>
        <w:rPr>
          <w:rFonts w:ascii="Times New Roman" w:eastAsia="Times New Roman" w:hAnsi="Times New Roman" w:cs="Times New Roman"/>
          <w:sz w:val="24"/>
          <w:szCs w:val="24"/>
        </w:rPr>
        <w:t>‎(Cheung &amp; Thadani, 2012)‎</w:t>
      </w:r>
      <w:r>
        <w:rPr>
          <w:rFonts w:ascii="Times New Roman" w:eastAsia="Arial" w:hAnsi="Times New Roman" w:cs="Times New Roman"/>
          <w:sz w:val="24"/>
          <w:szCs w:val="24"/>
          <w:rtl/>
        </w:rPr>
        <w:t>‎.</w:t>
      </w:r>
    </w:p>
    <w:p w14:paraId="5752129C"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لذلك يتعامل هذا البحث مع التسويق عبر وسائل التواصل بوصفه ظاهرة مركبة تجمع بين الاقتصاد الرقمي، والسلوك الاستهلاكي، والثقة الاجتماعية، والتقنية، والأخلاقيات الإعلانية. وهذا الاتساع ضروري حتى لا تختزل الدراسة التأثير في مجرد عدد مشاهدات أو إعجابات لا تكشف وحدها عن حقيقة القرار الشرائي.</w:t>
      </w:r>
    </w:p>
    <w:p w14:paraId="02A0C75D" w14:textId="77777777" w:rsidR="00576C22" w:rsidRDefault="00D84DA8">
      <w:pPr>
        <w:pStyle w:val="Heading2"/>
        <w:spacing w:before="160" w:after="160"/>
        <w:jc w:val="right"/>
        <w:rPr>
          <w:rFonts w:ascii="Times New Roman" w:hAnsi="Times New Roman" w:cs="Times New Roman"/>
          <w:sz w:val="24"/>
          <w:szCs w:val="24"/>
        </w:rPr>
      </w:pPr>
      <w:r>
        <w:rPr>
          <w:rFonts w:ascii="Times New Roman" w:eastAsia="Arial" w:hAnsi="Times New Roman" w:cs="Times New Roman"/>
          <w:sz w:val="24"/>
          <w:szCs w:val="24"/>
          <w:rtl/>
        </w:rPr>
        <w:t>١.٢ مشكلة الدراسة</w:t>
      </w:r>
    </w:p>
    <w:p w14:paraId="6D0CE258"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تتطلب معالجة محور مشكلة الدراسة النظر إليه بوصفه جزءاً من الإطار العام للدراسة وسياقها البحثي لا فقرة منفصلة عن بقية الدراسة. فالدراسة لا تكتفي بعرض المفهوم أو النتيجة، بل تربطه بالسياق الأوسع المتعلق بـالتسويق الرقمي، سلوك المستهلك، السوق السعودي، وقرار الشراء الفعلي. ويساعد هذا الربط على بناء تسلسل منطقي يبدأ من تحديد المشكلة وينتهي بتفسير النتائج واستخلاص التوصيات، وهو ما ينسجم مع طبيعة البحوث الأكاديمية التي تقيس العلاقة بين الظواهر الرقمية والسلوك الشرائي.</w:t>
      </w:r>
    </w:p>
    <w:p w14:paraId="22544694"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في سياق مدينة الرياض، يكتسب هذا المحور أهمية خاصة بسبب كثافة النشاط التجاري وتعدد الفئات الاستهلاكية وتنوع المنصات التي يستخدمها المستهلكون يومياً. فالمستهلك لا يتعرض للمحتوى التسويقي في بيئة محايدة، بل في بيئة مزدحمة بالرسائل البصرية والتوصيات والعروض والمراجعات، ولذلك يصبح تفسير مشكلة الدراسة مرتبطاً بمستوى الثقة، ووضوح الفائدة، وسهولة الانتقال من الإعلان إلى الشراء.</w:t>
      </w:r>
    </w:p>
    <w:p w14:paraId="162468DF"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ومن الناحية التطبيقية، يوضح هذا المحور أن القرار الشرائي الرقمي لا يتشكل بفعل عامل واحد، بل من خلال تفاعل عدة عناصر مترابطة. فقد يكون الإعلان جذاباً لكنه لا يحقق أثراً إذا غابت المصداقية، وقد تكون المنصة واسعة الانتشار لكنها لا تحقق تحويلاً شرائياً إذا لم يكن مسار الدفع واضحاً. لذلك تتعامل الدراسة مع مشكلة الدراسة باعتباره مكوناً تفسيرياً ضمن نموذج متكامل لا مجرد وصف عام للظاهرة.</w:t>
      </w:r>
    </w:p>
    <w:p w14:paraId="0DD7E2F8" w14:textId="77777777" w:rsidR="00576C22" w:rsidRDefault="00D84DA8">
      <w:pPr>
        <w:spacing w:after="140" w:line="372" w:lineRule="auto"/>
        <w:ind w:firstLine="397"/>
        <w:jc w:val="right"/>
        <w:rPr>
          <w:rFonts w:ascii="Times New Roman" w:eastAsia="Arial" w:hAnsi="Times New Roman" w:cs="Times New Roman"/>
          <w:sz w:val="24"/>
          <w:szCs w:val="24"/>
          <w:rtl/>
        </w:rPr>
      </w:pPr>
      <w:r>
        <w:rPr>
          <w:rFonts w:ascii="Times New Roman" w:eastAsia="Arial" w:hAnsi="Times New Roman" w:cs="Times New Roman"/>
          <w:sz w:val="24"/>
          <w:szCs w:val="24"/>
          <w:rtl/>
        </w:rPr>
        <w:t>كما أن قراءة هذا المحور تساعد على التمييز بين مؤشرات الانتباه ومؤشرات القرار. فالمشاهدة والإعجاب</w:t>
      </w:r>
    </w:p>
    <w:p w14:paraId="2E2B0129"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lastRenderedPageBreak/>
        <w:t xml:space="preserve"> والحفظ والمشاركة مؤشرات أولية، لكنها لا تكفي للحكم على نجاح التسويق ما لم تتحول إلى استفسار أو شراء أو تكرار شراء. ولهذا يظل التركيز على الشراء الفعلي محوراً مهماً في الدراسة؛ لأنه يربط بين النشاط التسويقي والمخرجات الاقتصادية القابلة للقياس.</w:t>
      </w:r>
    </w:p>
    <w:p w14:paraId="42D85D28" w14:textId="77777777" w:rsidR="00576C22" w:rsidRDefault="00D84DA8">
      <w:pPr>
        <w:spacing w:after="140" w:line="372" w:lineRule="auto"/>
        <w:ind w:firstLine="397"/>
        <w:jc w:val="right"/>
        <w:rPr>
          <w:rFonts w:ascii="Times New Roman" w:eastAsia="Arial" w:hAnsi="Times New Roman" w:cs="Times New Roman"/>
          <w:sz w:val="24"/>
          <w:szCs w:val="24"/>
          <w:rtl/>
        </w:rPr>
      </w:pPr>
      <w:r>
        <w:rPr>
          <w:rFonts w:ascii="Times New Roman" w:eastAsia="Arial" w:hAnsi="Times New Roman" w:cs="Times New Roman"/>
          <w:sz w:val="24"/>
          <w:szCs w:val="24"/>
          <w:rtl/>
        </w:rPr>
        <w:t>وتؤكد الدراسة من خلال هذا المحور أن التسويق عبر وسائل التواصل في الرياض ينبغي أن يدار بمنطق علمي قائم على البيانات لا بمنطق الانطباعات العامة. فاختيار المنصة، وصياغة الرسالة، وتحديد المؤثر، وتوقيت</w:t>
      </w:r>
    </w:p>
    <w:p w14:paraId="017AAA84"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 xml:space="preserve"> الإعلان، وتسهيل تجربة الشراء كلها قرارات تحتاج إلى فهم دقيق لسلوك المستهلك. وبذلك يصبح مشكلة الدراسة مدخلاً لتحسين كفاءة الحملات الرقمية وتعزيز ثقة المستهلك في البيئة الإلكترونية.</w:t>
      </w:r>
    </w:p>
    <w:p w14:paraId="59EC3B68"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تتمثل مشكلة الدراسة في وجود فجوة بين الانتشار الواسع للتسويق عبر وسائل التواصل الاجتماعي في مدينة الرياض وبين الفهم العلمي الدقيق لمدى تأثيره في قرار الشراء الفعلي لدى المستهلكين. فمع أن الشركات تستخدم المنصات الاجتماعية بكثافة، وتخصص ميزانيات للإعلانات الممولة والتعاون مع المؤثرين، إلا أن قياس العائد الحقيقي من هذه الأنشطة لا يزال يمثل تحدياً، لأن ارتفاع المشاهدات أو التفاعل لا يعني بالضرورة ارتفاع المبيعات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Alalwan</w:t>
      </w:r>
      <w:proofErr w:type="spellEnd"/>
      <w:r>
        <w:rPr>
          <w:rFonts w:ascii="Times New Roman" w:eastAsia="Times New Roman" w:hAnsi="Times New Roman" w:cs="Times New Roman"/>
          <w:sz w:val="24"/>
          <w:szCs w:val="24"/>
        </w:rPr>
        <w:t>, 2018)‎</w:t>
      </w:r>
      <w:r>
        <w:rPr>
          <w:rFonts w:ascii="Times New Roman" w:eastAsia="Arial" w:hAnsi="Times New Roman" w:cs="Times New Roman"/>
          <w:sz w:val="24"/>
          <w:szCs w:val="24"/>
          <w:rtl/>
        </w:rPr>
        <w:t>‎.</w:t>
      </w:r>
    </w:p>
    <w:p w14:paraId="56AFDA20"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وتزداد إشكالية القياس بسبب تعدد المنصات واختلاف طبيعة المحتوى في كل منصة. فالمحتوى المؤثر في إنستقرام قد لا يؤدي الوظيفة نفسها في تيك توك أو سناب شات أو تويتر/إكس، كما أن المستخدم لا يتعامل مع جميع المنصات بالطريقة ذاتها. فبعض المنصات يغلب عليها الطابع البصري والجمالي، وبعضها يميل إلى السرعة والترفيه، وبعضها الآخر يعتمد على الأخبار والنقاشات.</w:t>
      </w:r>
    </w:p>
    <w:p w14:paraId="334FDEA9"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وتتداخل كذلك عوامل نفسية واجتماعية في تفسير سلوك الشراء الرقمي. فالثقة في المؤثر، وتوصيات الأصدقاء، ومصداقية المراجعات، وسهولة الدفع، وسرعة التوصيل، ووضوح سياسة الإرجاع، كلها عناصر قد تدفع المستهلك إلى الشراء أو تمنعه منه. ومن ثم فإن المشكلة لا تتعلق بسؤال عام عن وجود تأثير لوسائل التواصل، بل بسؤال أكثر تحديداً: أي عناصر التسويق عبر وسائل التواصل أكثر قدرة على تحويل الانتباه والتفاعل إلى قرار شراء فعلي؟ ‎</w:t>
      </w:r>
      <w:r>
        <w:rPr>
          <w:rFonts w:ascii="Times New Roman" w:eastAsia="Times New Roman" w:hAnsi="Times New Roman" w:cs="Times New Roman"/>
          <w:sz w:val="24"/>
          <w:szCs w:val="24"/>
        </w:rPr>
        <w:t>‎(Erkan &amp; Evans, 2016)‎</w:t>
      </w:r>
      <w:r>
        <w:rPr>
          <w:rFonts w:ascii="Times New Roman" w:eastAsia="Arial" w:hAnsi="Times New Roman" w:cs="Times New Roman"/>
          <w:sz w:val="24"/>
          <w:szCs w:val="24"/>
          <w:rtl/>
        </w:rPr>
        <w:t>‎.</w:t>
      </w:r>
    </w:p>
    <w:p w14:paraId="1A1DB57D"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تتضح المشكلة كذلك في أن كثيراً من الحملات الرقمية تنجح في صناعة الانتباه لكنها تفشل في بناء الثقة. فالمستهلك قد يتابع الإعلان حتى نهايته، أو يحفظ المنشور، أو يعلّق عليه، لكنه لا يشتري إذا شعر بأن المنتج مبالغ في وصفه أو أن المتجر غير معروف أو أن المؤثر لا يملك خبرة حقيقية في المجال. ومن ثم فإن معيار النجاح الحقيقي لا يقتصر على الوصول، بل يمتد إلى التحويل الشرائي والرضا اللاحق.</w:t>
      </w:r>
    </w:p>
    <w:p w14:paraId="00C849D1"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وتتمثل فجوة أخرى في محدودية الدراسات التي تميز بين أثر المنصة وأثر المحتوى. فقد تكون منصة معينة أكثر استخداماً، لكنها ليست الأكثر تأثيراً في الشراء، وقد يكون نوع معين من المحتوى أكثر قدرة على التحفيز بغض النظر عن المنصة. ومن هنا جاءت الحاجة إلى تحليل المنصات وأنواع المحتوى بصورة منفصلة ثم ربطها بقرار الشراء.</w:t>
      </w:r>
    </w:p>
    <w:p w14:paraId="1EC47C64"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وبناءً على ذلك، تتمحور مشكلة الدراسة في السؤال الرئيس الآتي: ما أثر التسويق عبر وسائل التواصل الاجتماعي على قرار الشراء لدى المستهلكين في مدينة الرياض؟</w:t>
      </w:r>
    </w:p>
    <w:p w14:paraId="72E4DB46" w14:textId="77777777" w:rsidR="00576C22" w:rsidRDefault="00D84DA8">
      <w:pPr>
        <w:pStyle w:val="Heading2"/>
        <w:spacing w:before="160" w:after="160"/>
        <w:jc w:val="right"/>
        <w:rPr>
          <w:rFonts w:ascii="Times New Roman" w:hAnsi="Times New Roman" w:cs="Times New Roman"/>
          <w:sz w:val="24"/>
          <w:szCs w:val="24"/>
        </w:rPr>
      </w:pPr>
      <w:r>
        <w:rPr>
          <w:rFonts w:ascii="Times New Roman" w:eastAsia="Arial" w:hAnsi="Times New Roman" w:cs="Times New Roman"/>
          <w:sz w:val="24"/>
          <w:szCs w:val="24"/>
          <w:rtl/>
        </w:rPr>
        <w:t>١.٣ أسئلة الدراسة</w:t>
      </w:r>
    </w:p>
    <w:p w14:paraId="50BCF4B1" w14:textId="77777777" w:rsidR="00576C22" w:rsidRDefault="00D84DA8">
      <w:pPr>
        <w:spacing w:after="140" w:line="372" w:lineRule="auto"/>
        <w:ind w:firstLine="397"/>
        <w:jc w:val="right"/>
        <w:rPr>
          <w:rFonts w:ascii="Times New Roman" w:eastAsia="Arial" w:hAnsi="Times New Roman" w:cs="Times New Roman"/>
          <w:sz w:val="24"/>
          <w:szCs w:val="24"/>
          <w:rtl/>
        </w:rPr>
      </w:pPr>
      <w:r>
        <w:rPr>
          <w:rFonts w:ascii="Times New Roman" w:eastAsia="Arial" w:hAnsi="Times New Roman" w:cs="Times New Roman"/>
          <w:sz w:val="24"/>
          <w:szCs w:val="24"/>
          <w:rtl/>
        </w:rPr>
        <w:t>تتطلب معالجة محور أسئلة الدراسة النظر إليه بوصفه جزءاً من المناقشة والاستنتاجات التطبيقية لا فقرة منفصلة عن بقية الدراسة. فالدراسة لا تكتفي بعرض المفهوم أو النتيجة، بل تربطه بالسياق الأوسع المتعلق</w:t>
      </w:r>
    </w:p>
    <w:p w14:paraId="7C040DE1"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 xml:space="preserve"> </w:t>
      </w:r>
      <w:r>
        <w:rPr>
          <w:rFonts w:ascii="Times New Roman" w:eastAsia="Arial" w:hAnsi="Times New Roman" w:cs="Times New Roman"/>
          <w:sz w:val="24"/>
          <w:szCs w:val="24"/>
          <w:rtl/>
          <w:lang w:bidi="ar-DZ"/>
        </w:rPr>
        <w:t>ا</w:t>
      </w:r>
      <w:r>
        <w:rPr>
          <w:rFonts w:ascii="Times New Roman" w:eastAsia="Arial" w:hAnsi="Times New Roman" w:cs="Times New Roman"/>
          <w:sz w:val="24"/>
          <w:szCs w:val="24"/>
          <w:rtl/>
        </w:rPr>
        <w:t>لتوصيات، الاستنتاجات، إدارة الحملات، وحماية المستهلك. ويساعد هذا الربط على بناء تسلسل منطقي يبدأ من تحديد المشكلة وينتهي بتفسير النتائج واستخلاص التوصيات، وهو ما ينسجم مع طبيعة البحوث الأكاديمية التي تقيس العلاقة بين الظواهر الرقمية والسلوك الشرائي.</w:t>
      </w:r>
    </w:p>
    <w:p w14:paraId="429559F0"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lastRenderedPageBreak/>
        <w:t>في سياق مدينة الرياض، يكتسب هذا المحور أهمية خاصة بسبب كثافة النشاط التجاري وتعدد الفئات الاستهلاكية وتنوع المنصات التي يستخدمها المستهلكون يومياً. فالمستهلك لا يتعرض للمحتوى التسويقي في بيئة محايدة، بل في بيئة مزدحمة بالرسائل البصرية والتوصيات والعروض والمراجعات، ولذلك يصبح تفسير أسئلة الدراسة مرتبطاً بمستوى الثقة، ووضوح الفائدة، وسهولة الانتقال من الإعلان إلى الشراء.</w:t>
      </w:r>
    </w:p>
    <w:p w14:paraId="76A826EC" w14:textId="77777777" w:rsidR="00576C22" w:rsidRDefault="00D84DA8">
      <w:pPr>
        <w:spacing w:after="140" w:line="372" w:lineRule="auto"/>
        <w:ind w:firstLine="397"/>
        <w:jc w:val="right"/>
        <w:rPr>
          <w:rFonts w:ascii="Times New Roman" w:eastAsia="Arial" w:hAnsi="Times New Roman" w:cs="Times New Roman"/>
          <w:sz w:val="24"/>
          <w:szCs w:val="24"/>
          <w:rtl/>
        </w:rPr>
      </w:pPr>
      <w:r>
        <w:rPr>
          <w:rFonts w:ascii="Times New Roman" w:eastAsia="Arial" w:hAnsi="Times New Roman" w:cs="Times New Roman"/>
          <w:sz w:val="24"/>
          <w:szCs w:val="24"/>
          <w:rtl/>
        </w:rPr>
        <w:t>ومن الناحية التطبيقية، يوضح هذا المحور أن القرار الشرائي الرقمي لا يتشكل بفعل عامل واحد، بل من</w:t>
      </w:r>
    </w:p>
    <w:p w14:paraId="2BEA2AAA"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 xml:space="preserve"> خلال تفاعل عدة عناصر مترابطة. فقد يكون الإعلان جذاباً لكنه لا يحقق أثراً إذا غابت المصداقية، وقد تكون المنصة واسعة الانتشار لكنها لا تحقق تحويلاً شرائياً إذا لم يكن مسار الدفع واضحاً. لذلك تتعامل الدراسة مع أسئلة الدراسة باعتباره مكوناً تفسيرياً ضمن نموذج متكامل لا مجرد وصف عام للظاهرة.</w:t>
      </w:r>
    </w:p>
    <w:p w14:paraId="51738A35" w14:textId="77777777" w:rsidR="00576C22" w:rsidRDefault="00D84DA8">
      <w:pPr>
        <w:spacing w:after="140" w:line="372" w:lineRule="auto"/>
        <w:ind w:firstLine="397"/>
        <w:jc w:val="right"/>
        <w:rPr>
          <w:rFonts w:ascii="Times New Roman" w:eastAsia="Arial" w:hAnsi="Times New Roman" w:cs="Times New Roman"/>
          <w:sz w:val="24"/>
          <w:szCs w:val="24"/>
          <w:rtl/>
        </w:rPr>
      </w:pPr>
      <w:r>
        <w:rPr>
          <w:rFonts w:ascii="Times New Roman" w:eastAsia="Arial" w:hAnsi="Times New Roman" w:cs="Times New Roman"/>
          <w:sz w:val="24"/>
          <w:szCs w:val="24"/>
          <w:rtl/>
        </w:rPr>
        <w:t xml:space="preserve">كما أن قراءة هذا المحور تساعد على التمييز بين مؤشرات الانتباه ومؤشرات القرار. فالمشاهدة والإعجاب </w:t>
      </w:r>
    </w:p>
    <w:p w14:paraId="5889F3E9"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والحفظ والمشاركة مؤشرات أولية، لكنها لا تكفي للحكم على نجاح التسويق ما لم تتحول إلى استفسار أو شراء أو تكرار شراء. ولهذا يظل التركيز على الشراء الفعلي محوراً مهماً في الدراسة؛ لأنه يربط بين النشاط التسويقي والمخرجات الاقتصادية القابلة للقياس.</w:t>
      </w:r>
    </w:p>
    <w:p w14:paraId="3F5F179F" w14:textId="77777777" w:rsidR="00576C22" w:rsidRDefault="00D84DA8">
      <w:pPr>
        <w:spacing w:after="140" w:line="372" w:lineRule="auto"/>
        <w:ind w:firstLine="397"/>
        <w:jc w:val="right"/>
        <w:rPr>
          <w:rFonts w:ascii="Times New Roman" w:eastAsia="Arial" w:hAnsi="Times New Roman" w:cs="Times New Roman"/>
          <w:sz w:val="24"/>
          <w:szCs w:val="24"/>
          <w:rtl/>
        </w:rPr>
      </w:pPr>
      <w:r>
        <w:rPr>
          <w:rFonts w:ascii="Times New Roman" w:eastAsia="Arial" w:hAnsi="Times New Roman" w:cs="Times New Roman"/>
          <w:sz w:val="24"/>
          <w:szCs w:val="24"/>
          <w:rtl/>
        </w:rPr>
        <w:t xml:space="preserve">وتؤكد الدراسة من خلال هذا المحور أن التسويق عبر وسائل التواصل في الرياض ينبغي أن يدار بمنطق علمي قائم على البيانات لا بمنطق الانطباعات العامة. فاختيار المنصة، وصياغة الرسالة، وتحديد المؤثر، وتوقيت </w:t>
      </w:r>
    </w:p>
    <w:p w14:paraId="3E1A10C5"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الإعلان، وتسهيل تجربة الشراء كلها قرارات تحتاج إلى فهم دقيق لسلوك المستهلك. وبذلك يصبح أسئلة الدراسة مدخلاً لتحسين كفاءة الحملات الرقمية وتعزيز ثقة المستهلك في البيئة الإلكترونية.</w:t>
      </w:r>
    </w:p>
    <w:p w14:paraId="09021F86" w14:textId="77777777" w:rsidR="00576C22" w:rsidRDefault="00D84DA8">
      <w:pPr>
        <w:spacing w:after="140" w:line="372" w:lineRule="auto"/>
        <w:ind w:firstLine="397"/>
        <w:jc w:val="right"/>
        <w:rPr>
          <w:rFonts w:ascii="Times New Roman" w:eastAsia="Arial" w:hAnsi="Times New Roman" w:cs="Times New Roman"/>
          <w:sz w:val="24"/>
          <w:szCs w:val="24"/>
          <w:rtl/>
        </w:rPr>
      </w:pPr>
      <w:r>
        <w:rPr>
          <w:rFonts w:ascii="Times New Roman" w:eastAsia="Arial" w:hAnsi="Times New Roman" w:cs="Times New Roman"/>
          <w:sz w:val="24"/>
          <w:szCs w:val="24"/>
          <w:rtl/>
        </w:rPr>
        <w:t xml:space="preserve">تمت صياغة أسئلة الدراسة بحيث تنتقل من الوصف إلى التحليل، فتساعد على بناء تفسير متماسك بدلاً من الاكتفاء بإجابة عامة عن وجود أثر. فالأسئلة الأولى تقيس حجم التعرض وأنماط الاستخدام، ثم تنتقل الأسئلة اللاحقة إلى اختبار العلاقة بين التعرض والشراء، وبعد ذلك تتعمق في تفسير الفروق بين المنصات </w:t>
      </w:r>
    </w:p>
    <w:p w14:paraId="318015DF"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والمحتويات والفئات الديموغرافية.</w:t>
      </w:r>
    </w:p>
    <w:p w14:paraId="19D3DCB6"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تسعى الدراسة إلى الإجابة عن السؤال الرئيس الآتي: ما أثر التسويق عبر وسائل التواصل الاجتماعي على قرار الشراء لدى المستهلكين في مدينة الرياض؟ ويتفرع من هذا السؤال عدد من الأسئلة الفرعية التي توجه بناء الدراسة وتحليلها: هل توجد علاقة ذات دلالة إحصائية بين التعرض للتسويق عبر وسائل التواصل وقرار الشراء الفعلي؟ ما المنصات الأكثر تأثيراً؟ ما نوع المحتوى الأكثر تأثيراً؟ وهل تختلف الاستجابة باختلاف الخصائص الديموغرافية؟</w:t>
      </w:r>
    </w:p>
    <w:p w14:paraId="6FC6FDA4" w14:textId="77777777" w:rsidR="00576C22" w:rsidRDefault="00D84DA8">
      <w:pPr>
        <w:pStyle w:val="Heading2"/>
        <w:spacing w:before="160" w:after="160"/>
        <w:jc w:val="right"/>
        <w:rPr>
          <w:rFonts w:ascii="Times New Roman" w:hAnsi="Times New Roman" w:cs="Times New Roman"/>
          <w:sz w:val="24"/>
          <w:szCs w:val="24"/>
        </w:rPr>
      </w:pPr>
      <w:r>
        <w:rPr>
          <w:rFonts w:ascii="Times New Roman" w:eastAsia="Arial" w:hAnsi="Times New Roman" w:cs="Times New Roman"/>
          <w:sz w:val="24"/>
          <w:szCs w:val="24"/>
          <w:rtl/>
        </w:rPr>
        <w:t>١.٤ فرضيات الدراسة</w:t>
      </w:r>
    </w:p>
    <w:p w14:paraId="3FFD8061"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تتطلب معالجة محور فرضيات الدراسة النظر إليه بوصفه جزءاً من المناقشة والاستنتاجات التطبيقية لا فقرة منفصلة عن بقية الدراسة. فالدراسة لا تكتفي بعرض المفهوم أو النتيجة، بل تربطه بالسياق الأوسع المتعلق بـالتوصيات، الاستنتاجات، إدارة الحملات، وحماية المستهلك. ويساعد هذا الربط على بناء تسلسل منطقي يبدأ من تحديد المشكلة وينتهي بتفسير النتائج واستخلاص التوصيات، وهو ما ينسجم مع طبيعة البحوث الأكاديمية التي تقيس العلاقة بين الظواهر الرقمية والسلوك الشرائي.</w:t>
      </w:r>
    </w:p>
    <w:p w14:paraId="7B32D031"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في سياق مدينة الرياض، يكتسب هذا المحور أهمية خاصة بسبب كثافة النشاط التجاري وتعدد الفئات الاستهلاكية وتنوع المنصات التي يستخدمها المستهلكون يومياً. فالمستهلك لا يتعرض للمحتوى التسويقي في بيئة محايدة، بل في بيئة مزدحمة بالرسائل البصرية والتوصيات والعروض والمراجعات، ولذلك يصبح تفسير فرضيات الدراسة مرتبطاً بمستوى الثقة، ووضوح الفائدة، وسهولة الانتقال من الإعلان إلى الشراء.</w:t>
      </w:r>
    </w:p>
    <w:p w14:paraId="6769E887" w14:textId="77777777" w:rsidR="00576C22" w:rsidRDefault="00D84DA8">
      <w:pPr>
        <w:spacing w:after="140" w:line="372" w:lineRule="auto"/>
        <w:ind w:firstLine="397"/>
        <w:jc w:val="right"/>
        <w:rPr>
          <w:rFonts w:ascii="Times New Roman" w:eastAsia="Arial" w:hAnsi="Times New Roman" w:cs="Times New Roman"/>
          <w:sz w:val="24"/>
          <w:szCs w:val="24"/>
          <w:rtl/>
        </w:rPr>
      </w:pPr>
      <w:r>
        <w:rPr>
          <w:rFonts w:ascii="Times New Roman" w:eastAsia="Arial" w:hAnsi="Times New Roman" w:cs="Times New Roman"/>
          <w:sz w:val="24"/>
          <w:szCs w:val="24"/>
          <w:rtl/>
        </w:rPr>
        <w:t xml:space="preserve">ومن الناحية التطبيقية، يوضح هذا المحور أن القرار الشرائي الرقمي لا يتشكل بفعل عامل واحد، بل من </w:t>
      </w:r>
    </w:p>
    <w:p w14:paraId="650A5F47"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lastRenderedPageBreak/>
        <w:t>خلال تفاعل عدة عناصر مترابطة. فقد يكون الإعلان جذاباً لكنه لا يحقق أثراً إذا غابت المصداقية، وقد تكون المنصة واسعة الانتشار لكنها لا تحقق تحويلاً شرائياً إذا لم يكن مسار الدفع واضحاً. لذلك تتعامل الدراسة مع فرضيات الدراسة باعتباره مكوناً تفسيرياً ضمن نموذج متكامل لا مجرد وصف عام للظاهرة.</w:t>
      </w:r>
    </w:p>
    <w:p w14:paraId="59F617A2" w14:textId="77777777" w:rsidR="00576C22" w:rsidRDefault="00D84DA8">
      <w:pPr>
        <w:spacing w:after="140" w:line="372" w:lineRule="auto"/>
        <w:ind w:firstLine="397"/>
        <w:jc w:val="right"/>
        <w:rPr>
          <w:rFonts w:ascii="Times New Roman" w:eastAsia="Arial" w:hAnsi="Times New Roman" w:cs="Times New Roman"/>
          <w:sz w:val="24"/>
          <w:szCs w:val="24"/>
          <w:rtl/>
        </w:rPr>
      </w:pPr>
      <w:r>
        <w:rPr>
          <w:rFonts w:ascii="Times New Roman" w:eastAsia="Arial" w:hAnsi="Times New Roman" w:cs="Times New Roman"/>
          <w:sz w:val="24"/>
          <w:szCs w:val="24"/>
          <w:rtl/>
        </w:rPr>
        <w:t>كما أن قراءة هذا المحور تساعد على التمييز بين مؤشرات الانتباه ومؤشرات القرار. فالمشاهدة والإعجاب</w:t>
      </w:r>
    </w:p>
    <w:p w14:paraId="50F590D2"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 xml:space="preserve"> والحفظ والمشاركة مؤشرات أولية، لكنها لا تكفي للحكم على نجاح التسويق ما لم تتحول إلى استفسار أو شراء أو تكرار شراء. ولهذا يظل التركيز على الشراء الفعلي محوراً مهماً في الدراسة؛ لأنه يربط بين النشاط التسويقي والمخرجات الاقتصادية القابلة للقياس.</w:t>
      </w:r>
    </w:p>
    <w:p w14:paraId="77C1A280" w14:textId="77777777" w:rsidR="00576C22" w:rsidRDefault="00D84DA8">
      <w:pPr>
        <w:spacing w:after="140" w:line="372" w:lineRule="auto"/>
        <w:ind w:firstLine="397"/>
        <w:jc w:val="right"/>
        <w:rPr>
          <w:rFonts w:ascii="Times New Roman" w:eastAsia="Arial" w:hAnsi="Times New Roman" w:cs="Times New Roman"/>
          <w:sz w:val="24"/>
          <w:szCs w:val="24"/>
          <w:rtl/>
        </w:rPr>
      </w:pPr>
      <w:r>
        <w:rPr>
          <w:rFonts w:ascii="Times New Roman" w:eastAsia="Arial" w:hAnsi="Times New Roman" w:cs="Times New Roman"/>
          <w:sz w:val="24"/>
          <w:szCs w:val="24"/>
          <w:rtl/>
        </w:rPr>
        <w:t>وتؤكد الدراسة من خلال هذا المحور أن التسويق عبر وسائل التواصل في الرياض ينبغي أن يدار بمنطق علمي قائم على البيانات لا بمنطق الانطباعات العامة. فاختيار المنصة، وصياغة الرسالة، وتحديد المؤثر، وتوقيت</w:t>
      </w:r>
    </w:p>
    <w:p w14:paraId="5A83FD03"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 xml:space="preserve"> الإعلان، وتسهيل تجربة الشراء كلها قرارات تحتاج إلى فهم دقيق لسلوك المستهلك. وبذلك يصبح فرضيات الدراسة مدخلاً لتحسين كفاءة الحملات الرقمية وتعزيز ثقة المستهلك في البيئة الإلكترونية.</w:t>
      </w:r>
    </w:p>
    <w:p w14:paraId="148E4751"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تستند الفرضيات إلى منطق نظري يرى أن التعرض المتكرر للمحتوى التسويقي يزيد فرص الإدراك والاهتمام، لكنه لا يكفي وحده ما لم يتفاعل مع الثقة والقيمة المدركة. لذلك لا تفترض الدراسة علاقة ميكانيكية بسيطة بين عدد ساعات الاستخدام والشراء، بل تختبر العلاقة مع الاعتراف بوجود متغيرات مفسرة ووسيطة قد تقوي الأثر أو تضعفه.</w:t>
      </w:r>
    </w:p>
    <w:p w14:paraId="31529F21" w14:textId="77777777" w:rsidR="00576C22" w:rsidRDefault="00D84DA8">
      <w:pPr>
        <w:jc w:val="right"/>
        <w:rPr>
          <w:rFonts w:ascii="Times New Roman" w:hAnsi="Times New Roman" w:cs="Times New Roman"/>
          <w:sz w:val="24"/>
          <w:szCs w:val="24"/>
        </w:rPr>
      </w:pPr>
      <w:r>
        <w:rPr>
          <w:rFonts w:ascii="Times New Roman" w:hAnsi="Times New Roman" w:cs="Times New Roman"/>
          <w:sz w:val="24"/>
          <w:szCs w:val="24"/>
        </w:rPr>
        <w:br w:type="page"/>
      </w:r>
    </w:p>
    <w:p w14:paraId="49AF9160" w14:textId="77777777" w:rsidR="00576C22" w:rsidRDefault="00D84DA8">
      <w:pPr>
        <w:spacing w:after="140" w:line="372" w:lineRule="auto"/>
        <w:jc w:val="right"/>
        <w:rPr>
          <w:rFonts w:ascii="Times New Roman" w:hAnsi="Times New Roman" w:cs="Times New Roman"/>
          <w:sz w:val="24"/>
          <w:szCs w:val="24"/>
        </w:rPr>
      </w:pPr>
      <w:r>
        <w:rPr>
          <w:rFonts w:ascii="Times New Roman" w:eastAsia="Arial" w:hAnsi="Times New Roman" w:cs="Times New Roman"/>
          <w:sz w:val="24"/>
          <w:szCs w:val="24"/>
          <w:rtl/>
        </w:rPr>
        <w:lastRenderedPageBreak/>
        <w:t>الجدول (1-2): فرضيات الدراسة واتجاه العلاقة المتوقعة</w:t>
      </w:r>
    </w:p>
    <w:tbl>
      <w:tblPr>
        <w:tblStyle w:val="TableGrid"/>
        <w:bidiVisual/>
        <w:tblW w:w="5000" w:type="pct"/>
        <w:jc w:val="center"/>
        <w:tblBorders>
          <w:top w:val="single" w:sz="6" w:space="0" w:color="777777"/>
          <w:left w:val="single" w:sz="6" w:space="0" w:color="777777"/>
          <w:bottom w:val="single" w:sz="6" w:space="0" w:color="777777"/>
          <w:right w:val="single" w:sz="6" w:space="0" w:color="777777"/>
          <w:insideH w:val="single" w:sz="6" w:space="0" w:color="777777"/>
          <w:insideV w:val="single" w:sz="6" w:space="0" w:color="777777"/>
        </w:tblBorders>
        <w:tblLayout w:type="fixed"/>
        <w:tblCellMar>
          <w:top w:w="80" w:type="dxa"/>
          <w:left w:w="80" w:type="dxa"/>
          <w:bottom w:w="80" w:type="dxa"/>
          <w:right w:w="80" w:type="dxa"/>
        </w:tblCellMar>
        <w:tblLook w:val="04A0" w:firstRow="1" w:lastRow="0" w:firstColumn="1" w:lastColumn="0" w:noHBand="0" w:noVBand="1"/>
      </w:tblPr>
      <w:tblGrid>
        <w:gridCol w:w="4032"/>
        <w:gridCol w:w="7026"/>
      </w:tblGrid>
      <w:tr w:rsidR="00576C22" w14:paraId="070F4CB7" w14:textId="77777777">
        <w:trPr>
          <w:tblHeader/>
          <w:jc w:val="center"/>
        </w:trPr>
        <w:tc>
          <w:tcPr>
            <w:tcW w:w="3500" w:type="dxa"/>
            <w:vAlign w:val="center"/>
          </w:tcPr>
          <w:p w14:paraId="6F68E84A"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b/>
                <w:sz w:val="24"/>
                <w:szCs w:val="24"/>
                <w:rtl/>
              </w:rPr>
              <w:t>الرمز</w:t>
            </w:r>
          </w:p>
        </w:tc>
        <w:tc>
          <w:tcPr>
            <w:tcW w:w="6100" w:type="dxa"/>
            <w:vAlign w:val="center"/>
          </w:tcPr>
          <w:p w14:paraId="26A4459D"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b/>
                <w:sz w:val="24"/>
                <w:szCs w:val="24"/>
                <w:rtl/>
              </w:rPr>
              <w:t>نص الفرضية</w:t>
            </w:r>
          </w:p>
        </w:tc>
      </w:tr>
      <w:tr w:rsidR="00576C22" w14:paraId="0236107B" w14:textId="77777777">
        <w:trPr>
          <w:jc w:val="center"/>
        </w:trPr>
        <w:tc>
          <w:tcPr>
            <w:tcW w:w="3500" w:type="dxa"/>
            <w:vAlign w:val="center"/>
          </w:tcPr>
          <w:p w14:paraId="70FEB031" w14:textId="77777777" w:rsidR="00576C22" w:rsidRDefault="00D84DA8">
            <w:pPr>
              <w:spacing w:after="40" w:line="251" w:lineRule="auto"/>
              <w:jc w:val="right"/>
              <w:rPr>
                <w:rFonts w:ascii="Times New Roman" w:hAnsi="Times New Roman" w:cs="Times New Roman"/>
                <w:sz w:val="24"/>
                <w:szCs w:val="24"/>
              </w:rPr>
            </w:pPr>
            <w:r>
              <w:rPr>
                <w:rFonts w:ascii="Times New Roman" w:eastAsia="Times New Roman" w:hAnsi="Times New Roman" w:cs="Times New Roman"/>
                <w:sz w:val="24"/>
                <w:szCs w:val="24"/>
              </w:rPr>
              <w:t>H1</w:t>
            </w:r>
          </w:p>
        </w:tc>
        <w:tc>
          <w:tcPr>
            <w:tcW w:w="6100" w:type="dxa"/>
            <w:vAlign w:val="center"/>
          </w:tcPr>
          <w:p w14:paraId="75BA2BFA"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توجد علاقة ارتباط موجبة ذات دلالة إحصائية بين عدد ساعات استخدام وسائل التواصل الاجتماعي وعدد مرات الشراء الناتجة عن الإعلانات.</w:t>
            </w:r>
          </w:p>
        </w:tc>
      </w:tr>
      <w:tr w:rsidR="00576C22" w14:paraId="0B99ABAF" w14:textId="77777777">
        <w:trPr>
          <w:jc w:val="center"/>
        </w:trPr>
        <w:tc>
          <w:tcPr>
            <w:tcW w:w="3500" w:type="dxa"/>
            <w:vAlign w:val="center"/>
          </w:tcPr>
          <w:p w14:paraId="6F22FF7E" w14:textId="77777777" w:rsidR="00576C22" w:rsidRDefault="00D84DA8">
            <w:pPr>
              <w:spacing w:after="40" w:line="251" w:lineRule="auto"/>
              <w:jc w:val="right"/>
              <w:rPr>
                <w:rFonts w:ascii="Times New Roman" w:hAnsi="Times New Roman" w:cs="Times New Roman"/>
                <w:sz w:val="24"/>
                <w:szCs w:val="24"/>
              </w:rPr>
            </w:pPr>
            <w:r>
              <w:rPr>
                <w:rFonts w:ascii="Times New Roman" w:eastAsia="Times New Roman" w:hAnsi="Times New Roman" w:cs="Times New Roman"/>
                <w:sz w:val="24"/>
                <w:szCs w:val="24"/>
              </w:rPr>
              <w:t>H2</w:t>
            </w:r>
          </w:p>
        </w:tc>
        <w:tc>
          <w:tcPr>
            <w:tcW w:w="6100" w:type="dxa"/>
            <w:vAlign w:val="center"/>
          </w:tcPr>
          <w:p w14:paraId="2CB0898D"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توجد علاقة ارتباط موجبة ذات دلالة إحصائية بين عدد المنصات المستخدمة وعدد مرات الشراء الناتجة عن الإعلانات.</w:t>
            </w:r>
          </w:p>
        </w:tc>
      </w:tr>
      <w:tr w:rsidR="00576C22" w14:paraId="3A5544C3" w14:textId="77777777">
        <w:trPr>
          <w:jc w:val="center"/>
        </w:trPr>
        <w:tc>
          <w:tcPr>
            <w:tcW w:w="3500" w:type="dxa"/>
            <w:vAlign w:val="center"/>
          </w:tcPr>
          <w:p w14:paraId="215C1AAA" w14:textId="77777777" w:rsidR="00576C22" w:rsidRDefault="00D84DA8">
            <w:pPr>
              <w:spacing w:after="40" w:line="251" w:lineRule="auto"/>
              <w:jc w:val="right"/>
              <w:rPr>
                <w:rFonts w:ascii="Times New Roman" w:hAnsi="Times New Roman" w:cs="Times New Roman"/>
                <w:sz w:val="24"/>
                <w:szCs w:val="24"/>
              </w:rPr>
            </w:pPr>
            <w:r>
              <w:rPr>
                <w:rFonts w:ascii="Times New Roman" w:eastAsia="Times New Roman" w:hAnsi="Times New Roman" w:cs="Times New Roman"/>
                <w:sz w:val="24"/>
                <w:szCs w:val="24"/>
              </w:rPr>
              <w:t>H3</w:t>
            </w:r>
          </w:p>
        </w:tc>
        <w:tc>
          <w:tcPr>
            <w:tcW w:w="6100" w:type="dxa"/>
            <w:vAlign w:val="center"/>
          </w:tcPr>
          <w:p w14:paraId="6577A72D"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توجد علاقة ارتباط موجبة ذات دلالة إحصائية بين متابعة المؤثرين وعدد مرات الشراء الناتجة عن الإعلانات.</w:t>
            </w:r>
          </w:p>
        </w:tc>
      </w:tr>
      <w:tr w:rsidR="00576C22" w14:paraId="7C279FF1" w14:textId="77777777">
        <w:trPr>
          <w:jc w:val="center"/>
        </w:trPr>
        <w:tc>
          <w:tcPr>
            <w:tcW w:w="3500" w:type="dxa"/>
            <w:vAlign w:val="center"/>
          </w:tcPr>
          <w:p w14:paraId="743BB764" w14:textId="77777777" w:rsidR="00576C22" w:rsidRDefault="00D84DA8">
            <w:pPr>
              <w:spacing w:after="40" w:line="251" w:lineRule="auto"/>
              <w:jc w:val="right"/>
              <w:rPr>
                <w:rFonts w:ascii="Times New Roman" w:hAnsi="Times New Roman" w:cs="Times New Roman"/>
                <w:sz w:val="24"/>
                <w:szCs w:val="24"/>
              </w:rPr>
            </w:pPr>
            <w:r>
              <w:rPr>
                <w:rFonts w:ascii="Times New Roman" w:eastAsia="Times New Roman" w:hAnsi="Times New Roman" w:cs="Times New Roman"/>
                <w:sz w:val="24"/>
                <w:szCs w:val="24"/>
              </w:rPr>
              <w:t>H4</w:t>
            </w:r>
          </w:p>
        </w:tc>
        <w:tc>
          <w:tcPr>
            <w:tcW w:w="6100" w:type="dxa"/>
            <w:vAlign w:val="center"/>
          </w:tcPr>
          <w:p w14:paraId="31F76D44"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تختلف متوسطات الشراء الناتج عن الإعلانات باختلاف المنصة المستخدمة.</w:t>
            </w:r>
          </w:p>
        </w:tc>
      </w:tr>
      <w:tr w:rsidR="00576C22" w14:paraId="6BFFBB52" w14:textId="77777777">
        <w:trPr>
          <w:jc w:val="center"/>
        </w:trPr>
        <w:tc>
          <w:tcPr>
            <w:tcW w:w="3500" w:type="dxa"/>
            <w:vAlign w:val="center"/>
          </w:tcPr>
          <w:p w14:paraId="172FE361" w14:textId="77777777" w:rsidR="00576C22" w:rsidRDefault="00D84DA8">
            <w:pPr>
              <w:spacing w:after="40" w:line="251" w:lineRule="auto"/>
              <w:jc w:val="right"/>
              <w:rPr>
                <w:rFonts w:ascii="Times New Roman" w:hAnsi="Times New Roman" w:cs="Times New Roman"/>
                <w:sz w:val="24"/>
                <w:szCs w:val="24"/>
              </w:rPr>
            </w:pPr>
            <w:r>
              <w:rPr>
                <w:rFonts w:ascii="Times New Roman" w:eastAsia="Times New Roman" w:hAnsi="Times New Roman" w:cs="Times New Roman"/>
                <w:sz w:val="24"/>
                <w:szCs w:val="24"/>
              </w:rPr>
              <w:t>H5</w:t>
            </w:r>
          </w:p>
        </w:tc>
        <w:tc>
          <w:tcPr>
            <w:tcW w:w="6100" w:type="dxa"/>
            <w:vAlign w:val="center"/>
          </w:tcPr>
          <w:p w14:paraId="2332B969"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توجد فروق ذات دلالة إحصائية في قرار الشراء تعزى إلى المتغيرات الديموغرافية (الجنس، العمر، الدخل، المستوى التعليمي، المنطقة السكنية).</w:t>
            </w:r>
          </w:p>
        </w:tc>
      </w:tr>
      <w:tr w:rsidR="00576C22" w14:paraId="352A7804" w14:textId="77777777">
        <w:trPr>
          <w:jc w:val="center"/>
        </w:trPr>
        <w:tc>
          <w:tcPr>
            <w:tcW w:w="3500" w:type="dxa"/>
            <w:vAlign w:val="center"/>
          </w:tcPr>
          <w:p w14:paraId="4CC2323F" w14:textId="77777777" w:rsidR="00576C22" w:rsidRDefault="00D84DA8">
            <w:pPr>
              <w:spacing w:after="40" w:line="251" w:lineRule="auto"/>
              <w:jc w:val="right"/>
              <w:rPr>
                <w:rFonts w:ascii="Times New Roman" w:hAnsi="Times New Roman" w:cs="Times New Roman"/>
                <w:sz w:val="24"/>
                <w:szCs w:val="24"/>
              </w:rPr>
            </w:pPr>
            <w:r>
              <w:rPr>
                <w:rFonts w:ascii="Times New Roman" w:eastAsia="Times New Roman" w:hAnsi="Times New Roman" w:cs="Times New Roman"/>
                <w:sz w:val="24"/>
                <w:szCs w:val="24"/>
              </w:rPr>
              <w:t>H6</w:t>
            </w:r>
          </w:p>
        </w:tc>
        <w:tc>
          <w:tcPr>
            <w:tcW w:w="6100" w:type="dxa"/>
            <w:vAlign w:val="center"/>
          </w:tcPr>
          <w:p w14:paraId="510E85A9"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تؤثر الفائدة المدركة وسهولة الاستخدام والثقة في المؤثرين والتدفق الرقمي تأثيراً معنوياً في قرار الشراء لدى المستهلكين في مدينة الرياض.</w:t>
            </w:r>
          </w:p>
        </w:tc>
      </w:tr>
    </w:tbl>
    <w:p w14:paraId="394B0034" w14:textId="77777777" w:rsidR="00576C22" w:rsidRDefault="00D84DA8">
      <w:pPr>
        <w:pStyle w:val="Heading2"/>
        <w:spacing w:before="160" w:after="160"/>
        <w:jc w:val="right"/>
        <w:rPr>
          <w:rFonts w:ascii="Times New Roman" w:hAnsi="Times New Roman" w:cs="Times New Roman"/>
          <w:sz w:val="24"/>
          <w:szCs w:val="24"/>
        </w:rPr>
      </w:pPr>
      <w:r>
        <w:rPr>
          <w:rFonts w:ascii="Times New Roman" w:eastAsia="Arial" w:hAnsi="Times New Roman" w:cs="Times New Roman"/>
          <w:sz w:val="24"/>
          <w:szCs w:val="24"/>
          <w:rtl/>
        </w:rPr>
        <w:t>١.٥ أهداف الدراسة</w:t>
      </w:r>
    </w:p>
    <w:p w14:paraId="0D53A110"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تتطلب معالجة محور أهداف الدراسة النظر إليه بوصفه جزءاً من الإطار العام للدراسة وسياقها البحثي لا فقرة منفصلة عن بقية الدراسة. فالدراسة لا تكتفي بعرض المفهوم أو النتيجة، بل تربطه بالسياق الأوسع المتعلق بـالتسويق الرقمي، سلوك المستهلك، السوق السعودي، وقرار الشراء الفعلي. ويساعد هذا الربط على بناء تسلسل منطقي يبدأ من تحديد المشكلة وينتهي بتفسير النتائج واستخلاص التوصيات، وهو ما ينسجم مع طبيعة البحوث الأكاديمية التي تقيس العلاقة بين الظواهر الرقمية والسلوك الشرائي.</w:t>
      </w:r>
    </w:p>
    <w:p w14:paraId="5C5691F1"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في سياق مدينة الرياض، يكتسب هذا المحور أهمية خاصة بسبب كثافة النشاط التجاري وتعدد الفئات الاستهلاكية وتنوع المنصات التي يستخدمها المستهلكون يومياً. فالمستهلك لا يتعرض للمحتوى التسويقي في بيئة محايدة، بل في بيئة مزدحمة بالرسائل البصرية والتوصيات والعروض والمراجعات، ولذلك يصبح تفسير أهداف الدراسة مرتبطاً بمستوى الثقة، ووضوح الفائدة، وسهولة الانتقال من الإعلان إلى الشراء.</w:t>
      </w:r>
    </w:p>
    <w:p w14:paraId="0029AE0F" w14:textId="77777777" w:rsidR="00576C22" w:rsidRDefault="00D84DA8">
      <w:pPr>
        <w:spacing w:after="140" w:line="372" w:lineRule="auto"/>
        <w:ind w:firstLine="397"/>
        <w:jc w:val="right"/>
        <w:rPr>
          <w:rFonts w:ascii="Times New Roman" w:eastAsia="Arial" w:hAnsi="Times New Roman" w:cs="Times New Roman"/>
          <w:sz w:val="24"/>
          <w:szCs w:val="24"/>
          <w:rtl/>
        </w:rPr>
      </w:pPr>
      <w:r>
        <w:rPr>
          <w:rFonts w:ascii="Times New Roman" w:eastAsia="Arial" w:hAnsi="Times New Roman" w:cs="Times New Roman"/>
          <w:sz w:val="24"/>
          <w:szCs w:val="24"/>
          <w:rtl/>
        </w:rPr>
        <w:t>ومن الناحية التطبيقية، يوضح هذا المحور أن القرار الشرائي الرقمي لا يتشكل بفعل عامل واحد، بل من</w:t>
      </w:r>
    </w:p>
    <w:p w14:paraId="5A073151"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 xml:space="preserve"> خلال تفاعل عدة عناصر مترابطة. فقد يكون الإعلان جذاباً لكنه لا يحقق أثراً إذا غابت المصداقية، وقد تكون المنصة واسعة الانتشار لكنها لا تحقق تحويلاً شرائياً إذا لم يكن مسار الدفع واضحاً. لذلك تتعامل الدراسة مع أهداف الدراسة باعتباره مكوناً تفسيرياً ضمن نموذج متكامل لا مجرد وصف عام للظاهرة.</w:t>
      </w:r>
    </w:p>
    <w:p w14:paraId="60FBCF49" w14:textId="77777777" w:rsidR="00576C22" w:rsidRDefault="00D84DA8">
      <w:pPr>
        <w:spacing w:after="140" w:line="372" w:lineRule="auto"/>
        <w:ind w:firstLine="397"/>
        <w:jc w:val="right"/>
        <w:rPr>
          <w:rFonts w:ascii="Times New Roman" w:eastAsia="Arial" w:hAnsi="Times New Roman" w:cs="Times New Roman"/>
          <w:sz w:val="24"/>
          <w:szCs w:val="24"/>
          <w:rtl/>
        </w:rPr>
      </w:pPr>
      <w:r>
        <w:rPr>
          <w:rFonts w:ascii="Times New Roman" w:eastAsia="Arial" w:hAnsi="Times New Roman" w:cs="Times New Roman"/>
          <w:sz w:val="24"/>
          <w:szCs w:val="24"/>
          <w:rtl/>
        </w:rPr>
        <w:t>كما أن قراءة هذا المحور تساعد على التمييز بين مؤشرات الانتباه ومؤشرات القرار. فالمشاهدة والإعجاب</w:t>
      </w:r>
    </w:p>
    <w:p w14:paraId="374C0A19"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 xml:space="preserve"> والحفظ والمشاركة مؤشرات أولية، لكنها لا تكفي للحكم على نجاح التسويق ما لم تتحول إلى استفسار أو شراء أو تكرار شراء. ولهذا يظل التركيز على الشراء الفعلي محوراً مهماً في الدراسة؛ لأنه يربط بين النشاط التسويقي والمخرجات الاقتصادية القابلة للقياس.</w:t>
      </w:r>
    </w:p>
    <w:p w14:paraId="7B2C2E1B" w14:textId="77777777" w:rsidR="00576C22" w:rsidRDefault="00D84DA8">
      <w:pPr>
        <w:spacing w:after="140" w:line="372" w:lineRule="auto"/>
        <w:ind w:firstLine="397"/>
        <w:jc w:val="right"/>
        <w:rPr>
          <w:rFonts w:ascii="Times New Roman" w:eastAsia="Arial" w:hAnsi="Times New Roman" w:cs="Times New Roman"/>
          <w:sz w:val="24"/>
          <w:szCs w:val="24"/>
          <w:rtl/>
        </w:rPr>
      </w:pPr>
      <w:r>
        <w:rPr>
          <w:rFonts w:ascii="Times New Roman" w:eastAsia="Arial" w:hAnsi="Times New Roman" w:cs="Times New Roman"/>
          <w:sz w:val="24"/>
          <w:szCs w:val="24"/>
          <w:rtl/>
        </w:rPr>
        <w:t>وتؤكد الدراسة من خلال هذا المحور أن التسويق عبر وسائل التواصل في الرياض ينبغي أن يدار بمنطق علمي قائم على البيانات لا بمنطق الانطباعات العامة. فاختيار المنصة، وصياغة الرسالة، وتحديد المؤثر، وتوقيت</w:t>
      </w:r>
    </w:p>
    <w:p w14:paraId="68F1B785"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 xml:space="preserve"> الإعلان، وتسهيل تجربة الشراء كلها قرارات تحتاج إلى فهم دقيق لسلوك المستهلك. وبذلك يصبح أهداف الدراسة مدخلاً لتحسين كفاءة الحملات الرقمية وتعزيز ثقة المستهلك في البيئة الإلكترونية.</w:t>
      </w:r>
    </w:p>
    <w:p w14:paraId="1C1A50F2"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lastRenderedPageBreak/>
        <w:t>يرتبط الهدف العام للدراسة برغبة عملية في فهم ما إذا كانت الأموال والجهود التي توجه إلى التسويق عبر وسائل التواصل تحقق أثراً شرائياً قابلاً للقياس. فالهدف ليس فقط إثبات وجود علاقة، بل تحديد العوامل التي تجعل العلاقة أكثر قوة وقابلة للاستفادة التطبيقية في إدارة الحملات. وتهدف الدراسة إلى تحديد المنصات الاجتماعية الأكثر تأثيراً، وتحليل أثر أنواع المحتوى، وقياس العلاقة بين كثافة الاستخدام والشراء، واختبار الفروق الديموغرافية، وتقديم توصيات عملية للشركات والمسوقين والمؤثرين والجهات الرقابية.</w:t>
      </w:r>
    </w:p>
    <w:p w14:paraId="38A00F68" w14:textId="77777777" w:rsidR="00576C22" w:rsidRDefault="00D84DA8">
      <w:pPr>
        <w:pStyle w:val="Heading2"/>
        <w:spacing w:before="160" w:after="160"/>
        <w:jc w:val="right"/>
        <w:rPr>
          <w:rFonts w:ascii="Times New Roman" w:hAnsi="Times New Roman" w:cs="Times New Roman"/>
          <w:sz w:val="24"/>
          <w:szCs w:val="24"/>
        </w:rPr>
      </w:pPr>
      <w:r>
        <w:rPr>
          <w:rFonts w:ascii="Times New Roman" w:eastAsia="Arial" w:hAnsi="Times New Roman" w:cs="Times New Roman"/>
          <w:sz w:val="24"/>
          <w:szCs w:val="24"/>
          <w:rtl/>
        </w:rPr>
        <w:t>١.٦ أهمية الدراسة</w:t>
      </w:r>
    </w:p>
    <w:p w14:paraId="6F7BEB29"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تتطلب معالجة محور أهمية الدراسة النظر إليه بوصفه جزءاً من الإطار العام للدراسة وسياقها البحثي لا فقرة منفصلة عن بقية الدراسة. فالدراسة لا تكتفي بعرض المفهوم أو النتيجة، بل تربطه بالسياق الأوسع المتعلق بـالتسويق الرقمي، سلوك المستهلك، السوق السعودي، وقرار الشراء الفعلي. ويساعد هذا الربط على بناء تسلسل منطقي يبدأ من تحديد المشكلة وينتهي بتفسير النتائج واستخلاص التوصيات، وهو ما ينسجم مع طبيعة البحوث الأكاديمية التي تقيس العلاقة بين الظواهر الرقمية والسلوك الشرائي.</w:t>
      </w:r>
    </w:p>
    <w:p w14:paraId="7FF970B0"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في سياق مدينة الرياض، يكتسب هذا المحور أهمية خاصة بسبب كثافة النشاط التجاري وتعدد الفئات الاستهلاكية وتنوع المنصات التي يستخدمها المستهلكون يومياً. فالمستهلك لا يتعرض للمحتوى التسويقي في بيئة محايدة، بل في بيئة مزدحمة بالرسائل البصرية والتوصيات والعروض والمراجعات، ولذلك يصبح تفسير أهمية الدراسة مرتبطاً بمستوى الثقة، ووضوح الفائدة، وسهولة الانتقال من الإعلان إلى الشراء.</w:t>
      </w:r>
    </w:p>
    <w:p w14:paraId="1F650640" w14:textId="77777777" w:rsidR="00576C22" w:rsidRDefault="00D84DA8">
      <w:pPr>
        <w:spacing w:after="140" w:line="372" w:lineRule="auto"/>
        <w:ind w:firstLine="397"/>
        <w:jc w:val="right"/>
        <w:rPr>
          <w:rFonts w:ascii="Times New Roman" w:eastAsia="Arial" w:hAnsi="Times New Roman" w:cs="Times New Roman"/>
          <w:sz w:val="24"/>
          <w:szCs w:val="24"/>
          <w:rtl/>
        </w:rPr>
      </w:pPr>
      <w:r>
        <w:rPr>
          <w:rFonts w:ascii="Times New Roman" w:eastAsia="Arial" w:hAnsi="Times New Roman" w:cs="Times New Roman"/>
          <w:sz w:val="24"/>
          <w:szCs w:val="24"/>
          <w:rtl/>
        </w:rPr>
        <w:t xml:space="preserve">ومن الناحية التطبيقية، يوضح هذا المحور أن القرار الشرائي الرقمي لا يتشكل بفعل عامل واحد، بل من </w:t>
      </w:r>
    </w:p>
    <w:p w14:paraId="01AD97E6"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خلال تفاعل عدة عناصر مترابطة. فقد يكون الإعلان جذاباً لكنه لا يحقق أثراً إذا غابت المصداقية، وقد تكون المنصة واسعة الانتشار لكنها لا تحقق تحويلاً شرائياً إذا لم يكن مسار الدفع واضحاً. لذلك تتعامل الدراسة مع أهمية الدراسة باعتباره مكوناً تفسيرياً ضمن نموذج متكامل لا مجرد وصف عام للظاهرة.</w:t>
      </w:r>
    </w:p>
    <w:p w14:paraId="7BA91370" w14:textId="77777777" w:rsidR="00576C22" w:rsidRDefault="00D84DA8">
      <w:pPr>
        <w:spacing w:after="140" w:line="372" w:lineRule="auto"/>
        <w:ind w:firstLine="397"/>
        <w:jc w:val="right"/>
        <w:rPr>
          <w:rFonts w:ascii="Times New Roman" w:eastAsia="Arial" w:hAnsi="Times New Roman" w:cs="Times New Roman"/>
          <w:sz w:val="24"/>
          <w:szCs w:val="24"/>
          <w:rtl/>
        </w:rPr>
      </w:pPr>
      <w:r>
        <w:rPr>
          <w:rFonts w:ascii="Times New Roman" w:eastAsia="Arial" w:hAnsi="Times New Roman" w:cs="Times New Roman"/>
          <w:sz w:val="24"/>
          <w:szCs w:val="24"/>
          <w:rtl/>
        </w:rPr>
        <w:t xml:space="preserve">كما أن قراءة هذا المحور تساعد على التمييز بين مؤشرات الانتباه ومؤشرات القرار. فالمشاهدة والإعجاب </w:t>
      </w:r>
    </w:p>
    <w:p w14:paraId="205BBB6F" w14:textId="77777777" w:rsidR="00576C22" w:rsidRDefault="00D84DA8">
      <w:pPr>
        <w:spacing w:after="140" w:line="372" w:lineRule="auto"/>
        <w:ind w:firstLine="397"/>
        <w:jc w:val="right"/>
        <w:rPr>
          <w:rFonts w:ascii="Times New Roman" w:eastAsia="Arial" w:hAnsi="Times New Roman" w:cs="Times New Roman"/>
          <w:sz w:val="24"/>
          <w:szCs w:val="24"/>
          <w:rtl/>
        </w:rPr>
      </w:pPr>
      <w:r>
        <w:rPr>
          <w:rFonts w:ascii="Times New Roman" w:eastAsia="Arial" w:hAnsi="Times New Roman" w:cs="Times New Roman"/>
          <w:sz w:val="24"/>
          <w:szCs w:val="24"/>
          <w:rtl/>
        </w:rPr>
        <w:t>والحفظ والمشاركة مؤشرات أولية، لكنها لا تكفي للحكم على نجاح التسويق ما لم تتحول إلى استفسار أو شراء أو تكرار شراء. ولهذا يظل التركيز على الشراء الفعلي محوراً مهماً في الدراسة؛ لأنه يربط بين النشاط التسويقي</w:t>
      </w:r>
    </w:p>
    <w:p w14:paraId="7A325295"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 xml:space="preserve"> والمخرجات الاقتصادية القابلة للقياس.</w:t>
      </w:r>
    </w:p>
    <w:p w14:paraId="77972658" w14:textId="77777777" w:rsidR="00576C22" w:rsidRDefault="00D84DA8">
      <w:pPr>
        <w:spacing w:after="140" w:line="372" w:lineRule="auto"/>
        <w:ind w:firstLine="397"/>
        <w:jc w:val="right"/>
        <w:rPr>
          <w:rFonts w:ascii="Times New Roman" w:eastAsia="Arial" w:hAnsi="Times New Roman" w:cs="Times New Roman"/>
          <w:sz w:val="24"/>
          <w:szCs w:val="24"/>
          <w:rtl/>
        </w:rPr>
      </w:pPr>
      <w:r>
        <w:rPr>
          <w:rFonts w:ascii="Times New Roman" w:eastAsia="Arial" w:hAnsi="Times New Roman" w:cs="Times New Roman"/>
          <w:sz w:val="24"/>
          <w:szCs w:val="24"/>
          <w:rtl/>
        </w:rPr>
        <w:t>وتؤكد الدراسة من خلال هذا المحور أن التسويق عبر وسائل التواصل في الرياض ينبغي أن يدار بمنطق علمي قائم على البيانات لا بمنطق الانطباعات العامة. فاختيار المنصة، وصياغة الرسالة، وتحديد المؤثر، وتوقيت</w:t>
      </w:r>
    </w:p>
    <w:p w14:paraId="7CA706DC"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 xml:space="preserve"> الإعلان، وتسهيل تجربة الشراء كلها قرارات تحتاج إلى فهم دقيق لسلوك المستهلك. وبذلك يصبح أهمية الدراسة مدخلاً لتحسين كفاءة الحملات الرقمية وتعزيز ثقة المستهلك في البيئة الإلكترونية.</w:t>
      </w:r>
    </w:p>
    <w:p w14:paraId="2EBF20BB" w14:textId="77777777" w:rsidR="00576C22" w:rsidRDefault="00D84DA8">
      <w:pPr>
        <w:spacing w:after="140" w:line="372" w:lineRule="auto"/>
        <w:ind w:firstLine="397"/>
        <w:jc w:val="right"/>
        <w:rPr>
          <w:rFonts w:ascii="Times New Roman" w:eastAsia="Arial" w:hAnsi="Times New Roman" w:cs="Times New Roman"/>
          <w:sz w:val="24"/>
          <w:szCs w:val="24"/>
          <w:rtl/>
        </w:rPr>
      </w:pPr>
      <w:r>
        <w:rPr>
          <w:rFonts w:ascii="Times New Roman" w:eastAsia="Arial" w:hAnsi="Times New Roman" w:cs="Times New Roman"/>
          <w:sz w:val="24"/>
          <w:szCs w:val="24"/>
          <w:rtl/>
        </w:rPr>
        <w:t>تتجاوز أهمية الدراسة الجانب الأكاديمي إلى الجانب الاقتصادي؛ فالتسويق عبر وسائل التواصل أصبح من</w:t>
      </w:r>
    </w:p>
    <w:p w14:paraId="755774AE"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 xml:space="preserve"> الأدوات المؤثرة في نمو المشروعات الصغيرة والمتوسطة، وفي قدرة العلامات المحلية على الوصول إلى المستهلك دون الاعتماد الكامل على قنوات الإعلان التقليدي. ولذلك فإن فهم عوامل التأثير يساعد في رفع كفاءة الإنفاق التسويقي وتحسين تجربة المستهلك في الوقت نفسه.</w:t>
      </w:r>
    </w:p>
    <w:p w14:paraId="372433BE" w14:textId="77777777" w:rsidR="00576C22" w:rsidRDefault="00D84DA8">
      <w:pPr>
        <w:spacing w:after="140" w:line="372" w:lineRule="auto"/>
        <w:ind w:firstLine="397"/>
        <w:jc w:val="right"/>
        <w:rPr>
          <w:rFonts w:ascii="Times New Roman" w:eastAsia="Arial" w:hAnsi="Times New Roman" w:cs="Times New Roman"/>
          <w:sz w:val="24"/>
          <w:szCs w:val="24"/>
          <w:rtl/>
        </w:rPr>
      </w:pPr>
      <w:r>
        <w:rPr>
          <w:rFonts w:ascii="Times New Roman" w:eastAsia="Arial" w:hAnsi="Times New Roman" w:cs="Times New Roman"/>
          <w:sz w:val="24"/>
          <w:szCs w:val="24"/>
          <w:rtl/>
        </w:rPr>
        <w:t xml:space="preserve">تنبع الأهمية العلمية للدراسة من أنها تتناول موضوعاً يقع عند تقاطع التسويق الرقمي وسلوك المستهلك </w:t>
      </w:r>
    </w:p>
    <w:p w14:paraId="02E1D5AC"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والتجارة الاجتماعية. فالدراسات المتعلقة بالتسويق عبر وسائل التواصل كثيرة، إلا أن جزءاً منها يركز على النية الشرائية أو اتجاهات المستهلك العامة، بينما تسعى هذه الدراسة إلى الاقتراب من السلوك الشرائي الفعلي في مدينة الرياض، وهو ما يمنحها قيمة تفسيرية وتطبيقية أكبر ‎</w:t>
      </w:r>
      <w:r>
        <w:rPr>
          <w:rFonts w:ascii="Times New Roman" w:eastAsia="Times New Roman" w:hAnsi="Times New Roman" w:cs="Times New Roman"/>
          <w:sz w:val="24"/>
          <w:szCs w:val="24"/>
        </w:rPr>
        <w:t>‎(Cheung &amp; Thadani, 2012)‎</w:t>
      </w:r>
      <w:r>
        <w:rPr>
          <w:rFonts w:ascii="Times New Roman" w:eastAsia="Arial" w:hAnsi="Times New Roman" w:cs="Times New Roman"/>
          <w:sz w:val="24"/>
          <w:szCs w:val="24"/>
          <w:rtl/>
        </w:rPr>
        <w:t>‎.</w:t>
      </w:r>
    </w:p>
    <w:p w14:paraId="2CCECC33"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lastRenderedPageBreak/>
        <w:t>كما تسهم الدراسة في اختبار مفاهيم نظرية مهمة في سياق محلي، مثل الفائدة المدركة وسهولة الاستخدام من نموذج قبول التكنولوجيا، والمعيار الذاتي من نظرية الفعل المنطقي، وحالة التدفق في البيئات الرقمية ‎</w:t>
      </w:r>
      <w:r>
        <w:rPr>
          <w:rFonts w:ascii="Times New Roman" w:eastAsia="Times New Roman" w:hAnsi="Times New Roman" w:cs="Times New Roman"/>
          <w:sz w:val="24"/>
          <w:szCs w:val="24"/>
        </w:rPr>
        <w:t>‎(Davis, 1989; Ajzen &amp; Fishbein, 1975; Hoffman &amp; Novak, 1996)‎</w:t>
      </w:r>
      <w:r>
        <w:rPr>
          <w:rFonts w:ascii="Times New Roman" w:eastAsia="Arial" w:hAnsi="Times New Roman" w:cs="Times New Roman"/>
          <w:sz w:val="24"/>
          <w:szCs w:val="24"/>
          <w:rtl/>
        </w:rPr>
        <w:t>‎.</w:t>
      </w:r>
    </w:p>
    <w:p w14:paraId="147C9A86" w14:textId="77777777" w:rsidR="00576C22" w:rsidRDefault="00D84DA8">
      <w:pPr>
        <w:pStyle w:val="Heading2"/>
        <w:spacing w:before="160" w:after="160"/>
        <w:jc w:val="right"/>
        <w:rPr>
          <w:rFonts w:ascii="Times New Roman" w:hAnsi="Times New Roman" w:cs="Times New Roman"/>
          <w:sz w:val="24"/>
          <w:szCs w:val="24"/>
        </w:rPr>
      </w:pPr>
      <w:r>
        <w:rPr>
          <w:rFonts w:ascii="Times New Roman" w:eastAsia="Arial" w:hAnsi="Times New Roman" w:cs="Times New Roman"/>
          <w:sz w:val="24"/>
          <w:szCs w:val="24"/>
          <w:rtl/>
        </w:rPr>
        <w:t>١.٧ حدود الدراسة</w:t>
      </w:r>
    </w:p>
    <w:p w14:paraId="0B40B091" w14:textId="77777777" w:rsidR="00576C22" w:rsidRDefault="00D84DA8">
      <w:pPr>
        <w:spacing w:after="140" w:line="372" w:lineRule="auto"/>
        <w:ind w:firstLine="397"/>
        <w:jc w:val="right"/>
        <w:rPr>
          <w:rFonts w:ascii="Times New Roman" w:eastAsia="Arial" w:hAnsi="Times New Roman" w:cs="Times New Roman"/>
          <w:sz w:val="24"/>
          <w:szCs w:val="24"/>
          <w:rtl/>
        </w:rPr>
      </w:pPr>
      <w:r>
        <w:rPr>
          <w:rFonts w:ascii="Times New Roman" w:eastAsia="Arial" w:hAnsi="Times New Roman" w:cs="Times New Roman"/>
          <w:sz w:val="24"/>
          <w:szCs w:val="24"/>
          <w:rtl/>
        </w:rPr>
        <w:t>تتطلب معالجة محور حدود الدراسة النظر إليه بوصفه جزءاً من المناقشة والاستنتاجات التطبيقية لا فقرة منفصلة عن بقية الدراسة. فالدراسة لا تكتفي بعرض المفهوم أو النتيجة، بل تربطه بالسياق الأوسع المتعلق</w:t>
      </w:r>
    </w:p>
    <w:p w14:paraId="4BC272C2"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 xml:space="preserve"> بـالتوصيات، الاستنتاجات، إدارة الحملات، وحماية المستهلك. ويساعد هذا الربط على بناء تسلسل منطقي يبدأ من تحديد المشكلة وينتهي بتفسير النتائج واستخلاص التوصيات، وهو ما ينسجم مع طبيعة البحوث الأكاديمية التي تقيس العلاقة بين الظواهر الرقمية والسلوك الشرائي.</w:t>
      </w:r>
    </w:p>
    <w:p w14:paraId="7DB94C46"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في سياق مدينة الرياض، يكتسب هذا المحور أهمية خاصة بسبب كثافة النشاط التجاري وتعدد الفئات الاستهلاكية وتنوع المنصات التي يستخدمها المستهلكون يومياً. فالمستهلك لا يتعرض للمحتوى التسويقي في بيئة محايدة، بل في بيئة مزدحمة بالرسائل البصرية والتوصيات والعروض والمراجعات، ولذلك يصبح تفسير حدود الدراسة مرتبطاً بمستوى الثقة، ووضوح الفائدة، وسهولة الانتقال من الإعلان إلى الشراء.</w:t>
      </w:r>
    </w:p>
    <w:p w14:paraId="48B0046D" w14:textId="77777777" w:rsidR="00576C22" w:rsidRDefault="00D84DA8">
      <w:pPr>
        <w:spacing w:after="140" w:line="372" w:lineRule="auto"/>
        <w:ind w:firstLine="397"/>
        <w:jc w:val="right"/>
        <w:rPr>
          <w:rFonts w:ascii="Times New Roman" w:eastAsia="Arial" w:hAnsi="Times New Roman" w:cs="Times New Roman"/>
          <w:sz w:val="24"/>
          <w:szCs w:val="24"/>
          <w:rtl/>
        </w:rPr>
      </w:pPr>
      <w:r>
        <w:rPr>
          <w:rFonts w:ascii="Times New Roman" w:eastAsia="Arial" w:hAnsi="Times New Roman" w:cs="Times New Roman"/>
          <w:sz w:val="24"/>
          <w:szCs w:val="24"/>
          <w:rtl/>
        </w:rPr>
        <w:t>ومن الناحية التطبيقية، يوضح هذا المحور أن القرار الشرائي الرقمي لا يتشكل بفعل عامل واحد، بل من</w:t>
      </w:r>
    </w:p>
    <w:p w14:paraId="23A6B220"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 xml:space="preserve"> خلال تفاعل عدة عناصر مترابطة. فقد يكون الإعلان جذاباً لكنه لا يحقق أثراً إذا غابت المصداقية، وقد تكون المنصة واسعة الانتشار لكنها لا تحقق تحويلاً شرائياً إذا لم يكن مسار الدفع واضحاً. لذلك تتعامل الدراسة مع حدود الدراسة باعتباره مكوناً تفسيرياً ضمن نموذج متكامل لا مجرد وصف عام للظاهرة.</w:t>
      </w:r>
    </w:p>
    <w:p w14:paraId="4D0C3803" w14:textId="77777777" w:rsidR="00576C22" w:rsidRDefault="00D84DA8">
      <w:pPr>
        <w:spacing w:after="140" w:line="372" w:lineRule="auto"/>
        <w:ind w:firstLine="397"/>
        <w:jc w:val="right"/>
        <w:rPr>
          <w:rFonts w:ascii="Times New Roman" w:eastAsia="Arial" w:hAnsi="Times New Roman" w:cs="Times New Roman"/>
          <w:sz w:val="24"/>
          <w:szCs w:val="24"/>
          <w:rtl/>
        </w:rPr>
      </w:pPr>
      <w:r>
        <w:rPr>
          <w:rFonts w:ascii="Times New Roman" w:eastAsia="Arial" w:hAnsi="Times New Roman" w:cs="Times New Roman"/>
          <w:sz w:val="24"/>
          <w:szCs w:val="24"/>
          <w:rtl/>
        </w:rPr>
        <w:t>كما أن قراءة هذا المحور تساعد على التمييز بين مؤشرات الانتباه ومؤشرات القرار. فالمشاهدة والإعجاب</w:t>
      </w:r>
    </w:p>
    <w:p w14:paraId="68CDA261"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 xml:space="preserve"> والحفظ والمشاركة مؤشرات أولية، لكنها لا تكفي للحكم على نجاح التسويق ما لم تتحول إلى استفسار أو شراء أو تكرار شراء. ولهذا يظل التركيز على الشراء الفعلي محوراً مهماً في الدراسة؛ لأنه يربط بين النشاط التسويقي والمخرجات الاقتصادية القابلة للقياس.</w:t>
      </w:r>
    </w:p>
    <w:p w14:paraId="33DB5488" w14:textId="77777777" w:rsidR="00576C22" w:rsidRDefault="00D84DA8">
      <w:pPr>
        <w:spacing w:after="140" w:line="372" w:lineRule="auto"/>
        <w:ind w:firstLine="397"/>
        <w:jc w:val="right"/>
        <w:rPr>
          <w:rFonts w:ascii="Times New Roman" w:eastAsia="Arial" w:hAnsi="Times New Roman" w:cs="Times New Roman"/>
          <w:sz w:val="24"/>
          <w:szCs w:val="24"/>
          <w:rtl/>
        </w:rPr>
      </w:pPr>
      <w:r>
        <w:rPr>
          <w:rFonts w:ascii="Times New Roman" w:eastAsia="Arial" w:hAnsi="Times New Roman" w:cs="Times New Roman"/>
          <w:sz w:val="24"/>
          <w:szCs w:val="24"/>
          <w:rtl/>
        </w:rPr>
        <w:t>وتؤكد الدراسة من خلال هذا المحور أن التسويق عبر وسائل التواصل في الرياض ينبغي أن يدار بمنطق علمي قائم على البيانات لا بمنطق الانطباعات العامة. فاختيار المنصة، وصياغة الرسالة، وتحديد المؤثر، وتوقيت</w:t>
      </w:r>
    </w:p>
    <w:p w14:paraId="0046B176"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 xml:space="preserve"> الإعلان، وتسهيل تجربة الشراء كلها قرارات تحتاج إلى فهم دقيق لسلوك المستهلك. وبذلك يصبح حدود الدراسة مدخلاً لتحسين كفاءة الحملات الرقمية وتعزيز ثقة المستهلك في البيئة الإلكترونية.</w:t>
      </w:r>
    </w:p>
    <w:p w14:paraId="3312BD5B"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تساعد الحدود المكانية والزمانية والبشرية على ضبط تفسير النتائج. فالنتائج تمثل عينة من مستخدمي وسائل التواصل في مدينة الرياض خلال فترة محددة، ولا ينبغي تعميمها على جميع المستهلكين أو جميع المدن دون مراعاة اختلاف السياقات الاقتصادية والثقافية والاستهلاكية.</w:t>
      </w:r>
    </w:p>
    <w:p w14:paraId="70F71C75"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كما أن اعتماد الاستبانة يعني أن الدراسة تقيس ما يصرح به المشاركون عن سلوكهم الشرائي، وقد تتأثر الاستجابات بالذاكرة أو الرغبة في تقديم إجابات اجتماعية مقبولة. لذلك جرى تفسير النتائج بحذر، مع التأكيد على أهمية استخدام بيانات فعلية من المتاجر والحملات في دراسات لاحقة.</w:t>
      </w:r>
    </w:p>
    <w:p w14:paraId="530B98E8" w14:textId="77777777" w:rsidR="00576C22" w:rsidRDefault="00D84DA8">
      <w:pPr>
        <w:spacing w:after="140" w:line="372" w:lineRule="auto"/>
        <w:jc w:val="right"/>
        <w:rPr>
          <w:rFonts w:ascii="Times New Roman" w:hAnsi="Times New Roman" w:cs="Times New Roman"/>
          <w:sz w:val="24"/>
          <w:szCs w:val="24"/>
        </w:rPr>
      </w:pPr>
      <w:r>
        <w:rPr>
          <w:rFonts w:ascii="Times New Roman" w:eastAsia="Arial" w:hAnsi="Times New Roman" w:cs="Times New Roman"/>
          <w:sz w:val="24"/>
          <w:szCs w:val="24"/>
          <w:rtl/>
        </w:rPr>
        <w:t>الجدول (1-3): حدود الدراسة</w:t>
      </w:r>
    </w:p>
    <w:tbl>
      <w:tblPr>
        <w:tblStyle w:val="TableGrid"/>
        <w:bidiVisual/>
        <w:tblW w:w="5000" w:type="pct"/>
        <w:jc w:val="center"/>
        <w:tblBorders>
          <w:top w:val="single" w:sz="6" w:space="0" w:color="777777"/>
          <w:left w:val="single" w:sz="6" w:space="0" w:color="777777"/>
          <w:bottom w:val="single" w:sz="6" w:space="0" w:color="777777"/>
          <w:right w:val="single" w:sz="6" w:space="0" w:color="777777"/>
          <w:insideH w:val="single" w:sz="6" w:space="0" w:color="777777"/>
          <w:insideV w:val="single" w:sz="6" w:space="0" w:color="777777"/>
        </w:tblBorders>
        <w:tblLayout w:type="fixed"/>
        <w:tblCellMar>
          <w:top w:w="80" w:type="dxa"/>
          <w:left w:w="80" w:type="dxa"/>
          <w:bottom w:w="80" w:type="dxa"/>
          <w:right w:w="80" w:type="dxa"/>
        </w:tblCellMar>
        <w:tblLook w:val="04A0" w:firstRow="1" w:lastRow="0" w:firstColumn="1" w:lastColumn="0" w:noHBand="0" w:noVBand="1"/>
      </w:tblPr>
      <w:tblGrid>
        <w:gridCol w:w="4032"/>
        <w:gridCol w:w="7026"/>
      </w:tblGrid>
      <w:tr w:rsidR="00576C22" w14:paraId="402BF00F" w14:textId="77777777">
        <w:trPr>
          <w:tblHeader/>
          <w:jc w:val="center"/>
        </w:trPr>
        <w:tc>
          <w:tcPr>
            <w:tcW w:w="3500" w:type="dxa"/>
            <w:vAlign w:val="center"/>
          </w:tcPr>
          <w:p w14:paraId="7EF5E567"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b/>
                <w:sz w:val="24"/>
                <w:szCs w:val="24"/>
                <w:rtl/>
              </w:rPr>
              <w:t>نوع الحد</w:t>
            </w:r>
          </w:p>
        </w:tc>
        <w:tc>
          <w:tcPr>
            <w:tcW w:w="6100" w:type="dxa"/>
            <w:vAlign w:val="center"/>
          </w:tcPr>
          <w:p w14:paraId="3A6E9A8D"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b/>
                <w:sz w:val="24"/>
                <w:szCs w:val="24"/>
                <w:rtl/>
              </w:rPr>
              <w:t>بيانه</w:t>
            </w:r>
          </w:p>
        </w:tc>
      </w:tr>
      <w:tr w:rsidR="00576C22" w14:paraId="1059E51A" w14:textId="77777777">
        <w:trPr>
          <w:jc w:val="center"/>
        </w:trPr>
        <w:tc>
          <w:tcPr>
            <w:tcW w:w="3500" w:type="dxa"/>
            <w:vAlign w:val="center"/>
          </w:tcPr>
          <w:p w14:paraId="70A54B4F"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الحدود الموضوعية</w:t>
            </w:r>
          </w:p>
        </w:tc>
        <w:tc>
          <w:tcPr>
            <w:tcW w:w="6100" w:type="dxa"/>
            <w:vAlign w:val="center"/>
          </w:tcPr>
          <w:p w14:paraId="10470A11"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 xml:space="preserve">تقتصر الدراسة على أثر التسويق عبر وسائل التواصل الاجتماعي في قرار الشراء، مع التركيز على التعرض للإعلانات، ونوع المنصة، ونوع المحتوى، والثقة في المؤثرين، </w:t>
            </w:r>
            <w:r>
              <w:rPr>
                <w:rFonts w:ascii="Times New Roman" w:eastAsia="Arial" w:hAnsi="Times New Roman" w:cs="Times New Roman"/>
                <w:sz w:val="24"/>
                <w:szCs w:val="24"/>
                <w:rtl/>
              </w:rPr>
              <w:lastRenderedPageBreak/>
              <w:t>والفائدة المدركة، وسهولة الاستخدام، والتدفق الرقمي.</w:t>
            </w:r>
          </w:p>
        </w:tc>
      </w:tr>
      <w:tr w:rsidR="00576C22" w14:paraId="48948530" w14:textId="77777777">
        <w:trPr>
          <w:jc w:val="center"/>
        </w:trPr>
        <w:tc>
          <w:tcPr>
            <w:tcW w:w="3500" w:type="dxa"/>
            <w:vAlign w:val="center"/>
          </w:tcPr>
          <w:p w14:paraId="63B6CF64"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lastRenderedPageBreak/>
              <w:t>الحدود البشرية</w:t>
            </w:r>
          </w:p>
        </w:tc>
        <w:tc>
          <w:tcPr>
            <w:tcW w:w="6100" w:type="dxa"/>
            <w:vAlign w:val="center"/>
          </w:tcPr>
          <w:p w14:paraId="773F0AF6"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تشمل الدراسة المستهلكين من سكان مدينة الرياض من الفئة العمرية 18-60 سنة ممن يستخدمون وسائل التواصل الاجتماعي مرة واحدة يومياً على الأقل.</w:t>
            </w:r>
          </w:p>
        </w:tc>
      </w:tr>
      <w:tr w:rsidR="00576C22" w14:paraId="15FC1C72" w14:textId="77777777">
        <w:trPr>
          <w:jc w:val="center"/>
        </w:trPr>
        <w:tc>
          <w:tcPr>
            <w:tcW w:w="3500" w:type="dxa"/>
            <w:vAlign w:val="center"/>
          </w:tcPr>
          <w:p w14:paraId="04C66C2A"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الحدود المكانية</w:t>
            </w:r>
          </w:p>
        </w:tc>
        <w:tc>
          <w:tcPr>
            <w:tcW w:w="6100" w:type="dxa"/>
            <w:vAlign w:val="center"/>
          </w:tcPr>
          <w:p w14:paraId="4B30460C"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مدينة الرياض بمناطقها الرئيسة: الشمال، الجنوب، الشرق، الغرب، والوسط.</w:t>
            </w:r>
          </w:p>
        </w:tc>
      </w:tr>
      <w:tr w:rsidR="00576C22" w14:paraId="28B4EEE7" w14:textId="77777777">
        <w:trPr>
          <w:jc w:val="center"/>
        </w:trPr>
        <w:tc>
          <w:tcPr>
            <w:tcW w:w="3500" w:type="dxa"/>
            <w:vAlign w:val="center"/>
          </w:tcPr>
          <w:p w14:paraId="03DBEBFA"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الحدود الزمنية</w:t>
            </w:r>
          </w:p>
        </w:tc>
        <w:tc>
          <w:tcPr>
            <w:tcW w:w="6100" w:type="dxa"/>
            <w:vAlign w:val="center"/>
          </w:tcPr>
          <w:p w14:paraId="26F88FE4"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ترتبط البيانات الميدانية بفترة جمع الاستجابات، مع قياس الشراء الناتج عن الإعلانات خلال الأشهر الثلاثة السابقة للإجابة عن الاستبانة.</w:t>
            </w:r>
          </w:p>
        </w:tc>
      </w:tr>
      <w:tr w:rsidR="00576C22" w14:paraId="27440238" w14:textId="77777777">
        <w:trPr>
          <w:jc w:val="center"/>
        </w:trPr>
        <w:tc>
          <w:tcPr>
            <w:tcW w:w="3500" w:type="dxa"/>
            <w:vAlign w:val="center"/>
          </w:tcPr>
          <w:p w14:paraId="403DDBED"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الحدود المنهجية</w:t>
            </w:r>
          </w:p>
        </w:tc>
        <w:tc>
          <w:tcPr>
            <w:tcW w:w="6100" w:type="dxa"/>
            <w:vAlign w:val="center"/>
          </w:tcPr>
          <w:p w14:paraId="202ADBEE"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اعتمدت الدراسة على استبانة إلكترونية وتحليل كمي وصفي واستدلالي؛ لذلك فإن النتائج تعبر عن استجابات المشاركين ولا تغني عن الدراسات النوعية أو التجارب الميدانية.</w:t>
            </w:r>
          </w:p>
        </w:tc>
      </w:tr>
    </w:tbl>
    <w:p w14:paraId="7715E021" w14:textId="77777777" w:rsidR="00576C22" w:rsidRDefault="00D84DA8">
      <w:pPr>
        <w:pStyle w:val="Heading2"/>
        <w:spacing w:before="160" w:after="160"/>
        <w:jc w:val="right"/>
        <w:rPr>
          <w:rFonts w:ascii="Times New Roman" w:hAnsi="Times New Roman" w:cs="Times New Roman"/>
          <w:sz w:val="24"/>
          <w:szCs w:val="24"/>
        </w:rPr>
      </w:pPr>
      <w:r>
        <w:rPr>
          <w:rFonts w:ascii="Times New Roman" w:eastAsia="Arial" w:hAnsi="Times New Roman" w:cs="Times New Roman"/>
          <w:sz w:val="24"/>
          <w:szCs w:val="24"/>
          <w:rtl/>
        </w:rPr>
        <w:t>١.٨ مصطلحات الدراسة</w:t>
      </w:r>
    </w:p>
    <w:p w14:paraId="1D443E43"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تتطلب معالجة محور مصطلحات الدراسة النظر إليه بوصفه جزءاً من المناقشة والاستنتاجات التطبيقية لا فقرة منفصلة عن بقية الدراسة. فالدراسة لا تكتفي بعرض المفهوم أو النتيجة، بل تربطه بالسياق الأوسع المتعلق بـالتوصيات، الاستنتاجات، إدارة الحملات، وحماية المستهلك. ويساعد هذا الربط على بناء تسلسل منطقي يبدأ من تحديد المشكلة وينتهي بتفسير النتائج واستخلاص التوصيات، وهو ما ينسجم مع طبيعة البحوث الأكاديمية التي تقيس العلاقة بين الظواهر الرقمية والسلوك الشرائي.</w:t>
      </w:r>
    </w:p>
    <w:p w14:paraId="5E1555F2"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في سياق مدينة الرياض، يكتسب هذا المحور أهمية خاصة بسبب كثافة النشاط التجاري وتعدد الفئات الاستهلاكية وتنوع المنصات التي يستخدمها المستهلكون يومياً. فالمستهلك لا يتعرض للمحتوى التسويقي في بيئة محايدة، بل في بيئة مزدحمة بالرسائل البصرية والتوصيات والعروض والمراجعات، ولذلك يصبح تفسير مصطلحات الدراسة مرتبطاً بمستوى الثقة، ووضوح الفائدة، وسهولة الانتقال من الإعلان إلى الشراء.</w:t>
      </w:r>
    </w:p>
    <w:p w14:paraId="738F1B4C" w14:textId="77777777" w:rsidR="00576C22" w:rsidRDefault="00D84DA8">
      <w:pPr>
        <w:spacing w:after="140" w:line="372" w:lineRule="auto"/>
        <w:ind w:firstLine="397"/>
        <w:jc w:val="right"/>
        <w:rPr>
          <w:rFonts w:ascii="Times New Roman" w:eastAsia="Arial" w:hAnsi="Times New Roman" w:cs="Times New Roman"/>
          <w:sz w:val="24"/>
          <w:szCs w:val="24"/>
          <w:rtl/>
        </w:rPr>
      </w:pPr>
      <w:r>
        <w:rPr>
          <w:rFonts w:ascii="Times New Roman" w:eastAsia="Arial" w:hAnsi="Times New Roman" w:cs="Times New Roman"/>
          <w:sz w:val="24"/>
          <w:szCs w:val="24"/>
          <w:rtl/>
        </w:rPr>
        <w:t>ومن الناحية التطبيقية، يوضح هذا المحور أن القرار الشرائي الرقمي لا يتشكل بفعل عامل واحد، بل من</w:t>
      </w:r>
    </w:p>
    <w:p w14:paraId="54173283"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 xml:space="preserve"> خلال تفاعل عدة عناصر مترابطة. فقد يكون الإعلان جذاباً لكنه لا يحقق أثراً إذا غابت المصداقية، وقد تكون المنصة واسعة الانتشار لكنها لا تحقق تحويلاً شرائياً إذا لم يكن مسار الدفع واضحاً. لذلك تتعامل الدراسة مع مصطلحات الدراسة باعتباره مكوناً تفسيرياً ضمن نموذج متكامل لا مجرد وصف عام للظاهرة.</w:t>
      </w:r>
    </w:p>
    <w:p w14:paraId="18F9A7D4" w14:textId="77777777" w:rsidR="00576C22" w:rsidRDefault="00D84DA8">
      <w:pPr>
        <w:spacing w:after="140" w:line="372" w:lineRule="auto"/>
        <w:ind w:firstLine="397"/>
        <w:jc w:val="right"/>
        <w:rPr>
          <w:rFonts w:ascii="Times New Roman" w:eastAsia="Arial" w:hAnsi="Times New Roman" w:cs="Times New Roman"/>
          <w:sz w:val="24"/>
          <w:szCs w:val="24"/>
          <w:rtl/>
        </w:rPr>
      </w:pPr>
      <w:r>
        <w:rPr>
          <w:rFonts w:ascii="Times New Roman" w:eastAsia="Arial" w:hAnsi="Times New Roman" w:cs="Times New Roman"/>
          <w:sz w:val="24"/>
          <w:szCs w:val="24"/>
          <w:rtl/>
        </w:rPr>
        <w:t>كما أن قراءة هذا المحور تساعد على التمييز بين مؤشرات الانتباه ومؤشرات القرار. فالمشاهدة والإعجاب</w:t>
      </w:r>
    </w:p>
    <w:p w14:paraId="3CA83A7F"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 xml:space="preserve"> والحفظ والمشاركة مؤشرات أولية، لكنها لا تكفي للحكم على نجاح التسويق ما لم تتحول إلى استفسار أو شراء أو تكرار شراء. ولهذا يظل التركيز على الشراء الفعلي محوراً مهماً في الدراسة؛ لأنه يربط بين النشاط التسويقي والمخرجات الاقتصادية القابلة للقياس.</w:t>
      </w:r>
    </w:p>
    <w:p w14:paraId="1CD8E2BF" w14:textId="77777777" w:rsidR="00576C22" w:rsidRDefault="00D84DA8">
      <w:pPr>
        <w:spacing w:after="140" w:line="372" w:lineRule="auto"/>
        <w:ind w:firstLine="397"/>
        <w:jc w:val="right"/>
        <w:rPr>
          <w:rFonts w:ascii="Times New Roman" w:eastAsia="Arial" w:hAnsi="Times New Roman" w:cs="Times New Roman"/>
          <w:sz w:val="24"/>
          <w:szCs w:val="24"/>
          <w:rtl/>
        </w:rPr>
      </w:pPr>
      <w:r>
        <w:rPr>
          <w:rFonts w:ascii="Times New Roman" w:eastAsia="Arial" w:hAnsi="Times New Roman" w:cs="Times New Roman"/>
          <w:sz w:val="24"/>
          <w:szCs w:val="24"/>
          <w:rtl/>
        </w:rPr>
        <w:t>وتؤكد الدراسة من خلال هذا المحور أن التسويق عبر وسائل التواصل في الرياض ينبغي أن يدار بمنطق علمي قائم على البيانات لا بمنطق الانطباعات العامة. فاختيار المنصة، وصياغة الرسالة، وتحديد المؤثر، وتوقيت</w:t>
      </w:r>
    </w:p>
    <w:p w14:paraId="477F6D3D"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 xml:space="preserve"> الإعلان، وتسهيل تجربة الشراء كلها قرارات تحتاج إلى فهم دقيق لسلوك المستهلك. وبذلك يصبح مصطلحات الدراسة مدخلاً لتحسين كفاءة الحملات الرقمية وتعزيز ثقة المستهلك في البيئة الإلكترونية.</w:t>
      </w:r>
    </w:p>
    <w:p w14:paraId="7E8E8B4F"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توحيد المصطلحات في البحث مهم لأن مفاهيم مثل التفاعل، والنية، والشراء، والثقة قد تستخدم في الأدبيات بمعانٍ متعددة. لذلك تم اعتماد تعريفات إجرائية مرتبطة بطريقة القياس في هذه الدراسة، حتى يكون القارئ قادراً على فهم المقصود بكل مصطلح داخل النتائج والتحليل.</w:t>
      </w:r>
    </w:p>
    <w:p w14:paraId="3D8340D9" w14:textId="77777777" w:rsidR="00576C22" w:rsidRDefault="00D84DA8">
      <w:pPr>
        <w:spacing w:after="140" w:line="372" w:lineRule="auto"/>
        <w:jc w:val="right"/>
        <w:rPr>
          <w:rFonts w:ascii="Times New Roman" w:hAnsi="Times New Roman" w:cs="Times New Roman"/>
          <w:sz w:val="24"/>
          <w:szCs w:val="24"/>
        </w:rPr>
      </w:pPr>
      <w:r>
        <w:rPr>
          <w:rFonts w:ascii="Times New Roman" w:eastAsia="Arial" w:hAnsi="Times New Roman" w:cs="Times New Roman"/>
          <w:sz w:val="24"/>
          <w:szCs w:val="24"/>
          <w:rtl/>
        </w:rPr>
        <w:t>الجدول (1-4): تعريف المصطلحات الأساسية</w:t>
      </w:r>
    </w:p>
    <w:tbl>
      <w:tblPr>
        <w:tblStyle w:val="TableGrid"/>
        <w:bidiVisual/>
        <w:tblW w:w="5000" w:type="pct"/>
        <w:jc w:val="center"/>
        <w:tblBorders>
          <w:top w:val="single" w:sz="6" w:space="0" w:color="777777"/>
          <w:left w:val="single" w:sz="6" w:space="0" w:color="777777"/>
          <w:bottom w:val="single" w:sz="6" w:space="0" w:color="777777"/>
          <w:right w:val="single" w:sz="6" w:space="0" w:color="777777"/>
          <w:insideH w:val="single" w:sz="6" w:space="0" w:color="777777"/>
          <w:insideV w:val="single" w:sz="6" w:space="0" w:color="777777"/>
        </w:tblBorders>
        <w:tblLayout w:type="fixed"/>
        <w:tblCellMar>
          <w:top w:w="80" w:type="dxa"/>
          <w:left w:w="80" w:type="dxa"/>
          <w:bottom w:w="80" w:type="dxa"/>
          <w:right w:w="80" w:type="dxa"/>
        </w:tblCellMar>
        <w:tblLook w:val="04A0" w:firstRow="1" w:lastRow="0" w:firstColumn="1" w:lastColumn="0" w:noHBand="0" w:noVBand="1"/>
      </w:tblPr>
      <w:tblGrid>
        <w:gridCol w:w="4032"/>
        <w:gridCol w:w="7026"/>
      </w:tblGrid>
      <w:tr w:rsidR="00576C22" w14:paraId="04082C12" w14:textId="77777777">
        <w:trPr>
          <w:tblHeader/>
          <w:jc w:val="center"/>
        </w:trPr>
        <w:tc>
          <w:tcPr>
            <w:tcW w:w="3500" w:type="dxa"/>
            <w:vAlign w:val="center"/>
          </w:tcPr>
          <w:p w14:paraId="6F5B9514"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b/>
                <w:sz w:val="24"/>
                <w:szCs w:val="24"/>
                <w:rtl/>
              </w:rPr>
              <w:lastRenderedPageBreak/>
              <w:t>المصطلح</w:t>
            </w:r>
          </w:p>
        </w:tc>
        <w:tc>
          <w:tcPr>
            <w:tcW w:w="6100" w:type="dxa"/>
            <w:vAlign w:val="center"/>
          </w:tcPr>
          <w:p w14:paraId="27730EB6"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b/>
                <w:sz w:val="24"/>
                <w:szCs w:val="24"/>
                <w:rtl/>
              </w:rPr>
              <w:t>التعريف الإجرائي في هذه الدراسة</w:t>
            </w:r>
          </w:p>
        </w:tc>
      </w:tr>
      <w:tr w:rsidR="00576C22" w14:paraId="1613569F" w14:textId="77777777">
        <w:trPr>
          <w:jc w:val="center"/>
        </w:trPr>
        <w:tc>
          <w:tcPr>
            <w:tcW w:w="3500" w:type="dxa"/>
            <w:vAlign w:val="center"/>
          </w:tcPr>
          <w:p w14:paraId="488F5ABF"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التسويق عبر وسائل التواصل الاجتماعي</w:t>
            </w:r>
          </w:p>
        </w:tc>
        <w:tc>
          <w:tcPr>
            <w:tcW w:w="6100" w:type="dxa"/>
            <w:vAlign w:val="center"/>
          </w:tcPr>
          <w:p w14:paraId="3E9931AC"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مجموعة الأنشطة التسويقية التي تستخدم منصات مثل إنستقرام، تيك توك، سناب شات، تويتر/إكس وفيسبوك للتعريف بالمنتجات والخدمات وتحفيز التفاعل والشراء.</w:t>
            </w:r>
          </w:p>
        </w:tc>
      </w:tr>
      <w:tr w:rsidR="00576C22" w14:paraId="0A0D48F0" w14:textId="77777777">
        <w:trPr>
          <w:jc w:val="center"/>
        </w:trPr>
        <w:tc>
          <w:tcPr>
            <w:tcW w:w="3500" w:type="dxa"/>
            <w:vAlign w:val="center"/>
          </w:tcPr>
          <w:p w14:paraId="7EEEE202"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قرار الشراء</w:t>
            </w:r>
          </w:p>
        </w:tc>
        <w:tc>
          <w:tcPr>
            <w:tcW w:w="6100" w:type="dxa"/>
            <w:vAlign w:val="center"/>
          </w:tcPr>
          <w:p w14:paraId="2D61552C"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السلوك الفعلي المتمثل في شراء منتج أو خدمة بعد التعرض لمحتوى تسويقي أو إعلان عبر وسائل التواصل الاجتماعي خلال فترة زمنية محددة.</w:t>
            </w:r>
          </w:p>
        </w:tc>
      </w:tr>
      <w:tr w:rsidR="00576C22" w14:paraId="65B456F4" w14:textId="77777777">
        <w:trPr>
          <w:jc w:val="center"/>
        </w:trPr>
        <w:tc>
          <w:tcPr>
            <w:tcW w:w="3500" w:type="dxa"/>
            <w:vAlign w:val="center"/>
          </w:tcPr>
          <w:p w14:paraId="3AB3CB65"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الفائدة المدركة</w:t>
            </w:r>
          </w:p>
        </w:tc>
        <w:tc>
          <w:tcPr>
            <w:tcW w:w="6100" w:type="dxa"/>
            <w:vAlign w:val="center"/>
          </w:tcPr>
          <w:p w14:paraId="1E8EC1FA"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درجة اعتقاد المستهلك بأن وسائل التواصل تساعده في اكتشاف منتجات مفيدة، وتوفر له معلومات تسهل المقارنة والاختيار.</w:t>
            </w:r>
          </w:p>
        </w:tc>
      </w:tr>
      <w:tr w:rsidR="00576C22" w14:paraId="2F577A77" w14:textId="77777777">
        <w:trPr>
          <w:jc w:val="center"/>
        </w:trPr>
        <w:tc>
          <w:tcPr>
            <w:tcW w:w="3500" w:type="dxa"/>
            <w:vAlign w:val="center"/>
          </w:tcPr>
          <w:p w14:paraId="5278C540"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سهولة الاستخدام المدركة</w:t>
            </w:r>
          </w:p>
        </w:tc>
        <w:tc>
          <w:tcPr>
            <w:tcW w:w="6100" w:type="dxa"/>
            <w:vAlign w:val="center"/>
          </w:tcPr>
          <w:p w14:paraId="7E3416B1"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درجة إدراك المستهلك لسهولة الانتقال من مشاهدة الإعلان إلى معرفة التفاصيل وإتمام الشراء أو التواصل مع البائع.</w:t>
            </w:r>
          </w:p>
        </w:tc>
      </w:tr>
      <w:tr w:rsidR="00576C22" w14:paraId="190F08D8" w14:textId="77777777">
        <w:trPr>
          <w:jc w:val="center"/>
        </w:trPr>
        <w:tc>
          <w:tcPr>
            <w:tcW w:w="3500" w:type="dxa"/>
            <w:vAlign w:val="center"/>
          </w:tcPr>
          <w:p w14:paraId="4A01EBF0"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الثقة في المؤثرين</w:t>
            </w:r>
          </w:p>
        </w:tc>
        <w:tc>
          <w:tcPr>
            <w:tcW w:w="6100" w:type="dxa"/>
            <w:vAlign w:val="center"/>
          </w:tcPr>
          <w:p w14:paraId="46C545AE"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مدى شعور المستهلك بأن المؤثر يقدم رأياً صادقاً ومتخصصاً وغير مضلل عند توصيته بمنتج أو خدمة.</w:t>
            </w:r>
          </w:p>
        </w:tc>
      </w:tr>
      <w:tr w:rsidR="00576C22" w14:paraId="65967720" w14:textId="77777777">
        <w:trPr>
          <w:jc w:val="center"/>
        </w:trPr>
        <w:tc>
          <w:tcPr>
            <w:tcW w:w="3500" w:type="dxa"/>
            <w:vAlign w:val="center"/>
          </w:tcPr>
          <w:p w14:paraId="70D2F7C5"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التدفق الرقمي</w:t>
            </w:r>
          </w:p>
        </w:tc>
        <w:tc>
          <w:tcPr>
            <w:tcW w:w="6100" w:type="dxa"/>
            <w:vAlign w:val="center"/>
          </w:tcPr>
          <w:p w14:paraId="68782E56"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حالة الانغماس والمتعة والانتباه التي يعيشها المستخدم أثناء متابعة محتوى رقمي جذاب، بما قد يزيد احتمالية التعرض للرسائل التسويقية.</w:t>
            </w:r>
          </w:p>
        </w:tc>
      </w:tr>
      <w:tr w:rsidR="00576C22" w14:paraId="646DCDF5" w14:textId="77777777">
        <w:trPr>
          <w:jc w:val="center"/>
        </w:trPr>
        <w:tc>
          <w:tcPr>
            <w:tcW w:w="3500" w:type="dxa"/>
            <w:vAlign w:val="center"/>
          </w:tcPr>
          <w:p w14:paraId="5864F751"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الكلمة المنطوقة إلكترونياً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eWOM</w:t>
            </w:r>
            <w:proofErr w:type="spellEnd"/>
            <w:r>
              <w:rPr>
                <w:rFonts w:ascii="Times New Roman" w:eastAsia="Times New Roman" w:hAnsi="Times New Roman" w:cs="Times New Roman"/>
                <w:sz w:val="24"/>
                <w:szCs w:val="24"/>
              </w:rPr>
              <w:t>‎</w:t>
            </w:r>
            <w:r>
              <w:rPr>
                <w:rFonts w:ascii="Times New Roman" w:eastAsia="Arial" w:hAnsi="Times New Roman" w:cs="Times New Roman"/>
                <w:sz w:val="24"/>
                <w:szCs w:val="24"/>
                <w:rtl/>
              </w:rPr>
              <w:t>)</w:t>
            </w:r>
          </w:p>
        </w:tc>
        <w:tc>
          <w:tcPr>
            <w:tcW w:w="6100" w:type="dxa"/>
            <w:vAlign w:val="center"/>
          </w:tcPr>
          <w:p w14:paraId="3470BF75"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التوصيات والمراجعات والتعليقات التي ينشرها المستخدمون عن المنتجات والخدمات عبر الإنترنت والمنصات الاجتماعية.</w:t>
            </w:r>
          </w:p>
        </w:tc>
      </w:tr>
    </w:tbl>
    <w:p w14:paraId="638323C4" w14:textId="77777777" w:rsidR="00576C22" w:rsidRDefault="00D84DA8">
      <w:pPr>
        <w:pStyle w:val="Heading2"/>
        <w:spacing w:before="160" w:after="160"/>
        <w:jc w:val="right"/>
        <w:rPr>
          <w:rFonts w:ascii="Times New Roman" w:hAnsi="Times New Roman" w:cs="Times New Roman"/>
          <w:sz w:val="24"/>
          <w:szCs w:val="24"/>
        </w:rPr>
      </w:pPr>
      <w:r>
        <w:rPr>
          <w:rFonts w:ascii="Times New Roman" w:eastAsia="Arial" w:hAnsi="Times New Roman" w:cs="Times New Roman"/>
          <w:sz w:val="24"/>
          <w:szCs w:val="24"/>
          <w:rtl/>
        </w:rPr>
        <w:t>١.٩ نموذج الدراسة ومتغيراتها</w:t>
      </w:r>
    </w:p>
    <w:p w14:paraId="39000865"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تتطلب معالجة محور نموذج الدراسة ومتغيراتها النظر إليه بوصفه جزءاً من المناقشة والاستنتاجات التطبيقية لا فقرة منفصلة عن بقية الدراسة. فالدراسة لا تكتفي بعرض المفهوم أو النتيجة، بل تربطه بالسياق الأوسع المتعلق بـالتوصيات، الاستنتاجات، إدارة الحملات، وحماية المستهلك. ويساعد هذا الربط على بناء تسلسل منطقي يبدأ من تحديد المشكلة وينتهي بتفسير النتائج واستخلاص التوصيات، وهو ما ينسجم مع طبيعة البحوث الأكاديمية التي تقيس العلاقة بين الظواهر الرقمية والسلوك الشرائي.</w:t>
      </w:r>
    </w:p>
    <w:p w14:paraId="514EDDA3"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في سياق مدينة الرياض، يكتسب هذا المحور أهمية خاصة بسبب كثافة النشاط التجاري وتعدد الفئات الاستهلاكية وتنوع المنصات التي يستخدمها المستهلكون يومياً. فالمستهلك لا يتعرض للمحتوى التسويقي في بيئة محايدة، بل في بيئة مزدحمة بالرسائل البصرية والتوصيات والعروض والمراجعات، ولذلك يصبح تفسير نموذج الدراسة ومتغيراتها مرتبطاً بمستوى الثقة، ووضوح الفائدة، وسهولة الانتقال من الإعلان إلى الشراء.</w:t>
      </w:r>
    </w:p>
    <w:p w14:paraId="599992FA"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ومن الناحية التطبيقية، يوضح هذا المحور أن القرار الشرائي الرقمي لا يتشكل بفعل عامل واحد، بل من خلال تفاعل عدة عناصر مترابطة. فقد يكون الإعلان جذاباً لكنه لا يحقق أثراً إذا غابت المصداقية، وقد تكون المنصة واسعة الانتشار لكنها لا تحقق تحويلاً شرائياً إذا لم يكن مسار الدفع واضحاً. لذلك تتعامل الدراسة مع نموذج الدراسة ومتغيراتها باعتباره مكوناً تفسيرياً ضمن نموذج متكامل لا مجرد وصف عام للظاهرة.</w:t>
      </w:r>
    </w:p>
    <w:p w14:paraId="73A855B6"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كما أن قراءة هذا المحور تساعد على التمييز بين مؤشرات الانتباه ومؤشرات القرار. فالمشاهدة والإعجاب والحفظ والمشاركة مؤشرات أولية، لكنها لا تكفي للحكم على نجاح التسويق ما لم تتحول إلى استفسار أو شراء أو تكرار شراء. ولهذا يظل التركيز على الشراء الفعلي محوراً مهماً في الدراسة؛ لأنه يربط بين النشاط التسويقي والمخرجات الاقتصادية القابلة للقياس.</w:t>
      </w:r>
    </w:p>
    <w:p w14:paraId="1BED1F9B"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وتؤكد الدراسة من خلال هذا المحور أن التسويق عبر وسائل التواصل في الرياض ينبغي أن يدار بمنطق علمي قائم على البيانات لا بمنطق الانطباعات العامة. فاختيار المنصة، وصياغة الرسالة، وتحديد المؤثر، وتوقيت الإعلان، وتسهيل تجربة الشراء كلها قرارات تحتاج إلى فهم دقيق لسلوك المستهلك. وبذلك يصبح نموذج الدراسة ومتغيراتها مدخلاً لتحسين كفاءة الحملات الرقمية وتعزيز ثقة المستهلك في البيئة الإلكترونية.</w:t>
      </w:r>
    </w:p>
    <w:p w14:paraId="72E233C7"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lastRenderedPageBreak/>
        <w:t>يعكس نموذج الدراسة الانتقال من التعرض الرقمي إلى السلوك الشرائي عبر مسار تفسيري متعدد. فالتعرض يخلق فرصة الانتباه، والمحتوى يخلق الاهتمام، والثقة تقلل المخاطر، والفائدة تبرر القرار، وسهولة الاستخدام تحول الرغبة إلى إجراء فعلي. وإذا تعطلت إحدى هذه الحلقات فقد يتوقف المستهلك عند مرحلة المشاهدة أو الإعجاب دون شراء.</w:t>
      </w:r>
    </w:p>
    <w:p w14:paraId="6AE95B84"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وتتعامل الدراسة مع التسويق عبر وسائل التواصل بوصفه متغيراً مستقلاً مركباً يتضمن كثافة الاستخدام، والمنصة، ونوع المحتوى، والتفاعل مع المؤثرين. أما قرار الشراء فهو المتغير التابع ويقاس بعدد مرات الشراء الناتجة عن الإعلانات ومؤشرات الشراء الفعلي. وتدخل المتغيرات الديموغرافية بوصفها متغيرات ضابطة يمكن أن تعدل قوة العلاقة بين التسويق الرقمي والشراء.</w:t>
      </w:r>
    </w:p>
    <w:p w14:paraId="1568CB78" w14:textId="77777777" w:rsidR="00576C22" w:rsidRDefault="00D84DA8">
      <w:pPr>
        <w:spacing w:after="140" w:line="372" w:lineRule="auto"/>
        <w:jc w:val="right"/>
        <w:rPr>
          <w:rFonts w:ascii="Times New Roman" w:hAnsi="Times New Roman" w:cs="Times New Roman"/>
          <w:sz w:val="24"/>
          <w:szCs w:val="24"/>
        </w:rPr>
      </w:pPr>
      <w:r>
        <w:rPr>
          <w:rFonts w:ascii="Times New Roman" w:eastAsia="Arial" w:hAnsi="Times New Roman" w:cs="Times New Roman"/>
          <w:sz w:val="24"/>
          <w:szCs w:val="24"/>
          <w:rtl/>
        </w:rPr>
        <w:t>الجدول (1-1): متغيرات الدراسة ومؤشرات القياس</w:t>
      </w:r>
    </w:p>
    <w:tbl>
      <w:tblPr>
        <w:tblStyle w:val="TableGrid"/>
        <w:bidiVisual/>
        <w:tblW w:w="5000" w:type="pct"/>
        <w:jc w:val="center"/>
        <w:tblBorders>
          <w:top w:val="single" w:sz="6" w:space="0" w:color="777777"/>
          <w:left w:val="single" w:sz="6" w:space="0" w:color="777777"/>
          <w:bottom w:val="single" w:sz="6" w:space="0" w:color="777777"/>
          <w:right w:val="single" w:sz="6" w:space="0" w:color="777777"/>
          <w:insideH w:val="single" w:sz="6" w:space="0" w:color="777777"/>
          <w:insideV w:val="single" w:sz="6" w:space="0" w:color="777777"/>
        </w:tblBorders>
        <w:tblLayout w:type="fixed"/>
        <w:tblCellMar>
          <w:top w:w="80" w:type="dxa"/>
          <w:left w:w="80" w:type="dxa"/>
          <w:bottom w:w="80" w:type="dxa"/>
          <w:right w:w="80" w:type="dxa"/>
        </w:tblCellMar>
        <w:tblLook w:val="04A0" w:firstRow="1" w:lastRow="0" w:firstColumn="1" w:lastColumn="0" w:noHBand="0" w:noVBand="1"/>
      </w:tblPr>
      <w:tblGrid>
        <w:gridCol w:w="2073"/>
        <w:gridCol w:w="6451"/>
        <w:gridCol w:w="2534"/>
      </w:tblGrid>
      <w:tr w:rsidR="00576C22" w14:paraId="7BCBE0BB" w14:textId="77777777">
        <w:trPr>
          <w:tblHeader/>
          <w:jc w:val="center"/>
        </w:trPr>
        <w:tc>
          <w:tcPr>
            <w:tcW w:w="1800" w:type="dxa"/>
            <w:vAlign w:val="center"/>
          </w:tcPr>
          <w:p w14:paraId="70527F73"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b/>
                <w:sz w:val="24"/>
                <w:szCs w:val="24"/>
                <w:rtl/>
              </w:rPr>
              <w:t>نوع المتغير</w:t>
            </w:r>
          </w:p>
        </w:tc>
        <w:tc>
          <w:tcPr>
            <w:tcW w:w="5600" w:type="dxa"/>
            <w:vAlign w:val="center"/>
          </w:tcPr>
          <w:p w14:paraId="27F05C36"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b/>
                <w:sz w:val="24"/>
                <w:szCs w:val="24"/>
                <w:rtl/>
              </w:rPr>
              <w:t>المتغير</w:t>
            </w:r>
          </w:p>
        </w:tc>
        <w:tc>
          <w:tcPr>
            <w:tcW w:w="2200" w:type="dxa"/>
            <w:vAlign w:val="center"/>
          </w:tcPr>
          <w:p w14:paraId="4B0E39CA"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b/>
                <w:sz w:val="24"/>
                <w:szCs w:val="24"/>
                <w:rtl/>
              </w:rPr>
              <w:t>مؤشرات القياس</w:t>
            </w:r>
          </w:p>
        </w:tc>
      </w:tr>
      <w:tr w:rsidR="00576C22" w14:paraId="70F268BE" w14:textId="77777777">
        <w:trPr>
          <w:jc w:val="center"/>
        </w:trPr>
        <w:tc>
          <w:tcPr>
            <w:tcW w:w="1800" w:type="dxa"/>
            <w:vAlign w:val="center"/>
          </w:tcPr>
          <w:p w14:paraId="57796AC8"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مستقل</w:t>
            </w:r>
          </w:p>
        </w:tc>
        <w:tc>
          <w:tcPr>
            <w:tcW w:w="5600" w:type="dxa"/>
            <w:vAlign w:val="center"/>
          </w:tcPr>
          <w:p w14:paraId="68025671"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التسويق عبر وسائل التواصل الاجتماعي</w:t>
            </w:r>
          </w:p>
        </w:tc>
        <w:tc>
          <w:tcPr>
            <w:tcW w:w="2200" w:type="dxa"/>
            <w:vAlign w:val="center"/>
          </w:tcPr>
          <w:p w14:paraId="3CBB1A72"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ساعات الاستخدام، عدد المنصات، التعرض للإعلانات، نوع المحتوى، متابعة المؤثرين</w:t>
            </w:r>
          </w:p>
        </w:tc>
      </w:tr>
      <w:tr w:rsidR="00576C22" w14:paraId="2F57D072" w14:textId="77777777">
        <w:trPr>
          <w:jc w:val="center"/>
        </w:trPr>
        <w:tc>
          <w:tcPr>
            <w:tcW w:w="1800" w:type="dxa"/>
            <w:vAlign w:val="center"/>
          </w:tcPr>
          <w:p w14:paraId="1EA93F5B"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تابع</w:t>
            </w:r>
          </w:p>
        </w:tc>
        <w:tc>
          <w:tcPr>
            <w:tcW w:w="5600" w:type="dxa"/>
            <w:vAlign w:val="center"/>
          </w:tcPr>
          <w:p w14:paraId="5DF04320"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قرار الشراء</w:t>
            </w:r>
          </w:p>
        </w:tc>
        <w:tc>
          <w:tcPr>
            <w:tcW w:w="2200" w:type="dxa"/>
            <w:vAlign w:val="center"/>
          </w:tcPr>
          <w:p w14:paraId="654BFDE3"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عدد مرات الشراء خلال ثلاثة أشهر، الشراء بعد إعلان، الشراء بعد توصية مؤثر، تكرار الشراء</w:t>
            </w:r>
          </w:p>
        </w:tc>
      </w:tr>
      <w:tr w:rsidR="00576C22" w14:paraId="21950A66" w14:textId="77777777">
        <w:trPr>
          <w:jc w:val="center"/>
        </w:trPr>
        <w:tc>
          <w:tcPr>
            <w:tcW w:w="1800" w:type="dxa"/>
            <w:vAlign w:val="center"/>
          </w:tcPr>
          <w:p w14:paraId="56E47D3B"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وسيطة/مفسرة</w:t>
            </w:r>
          </w:p>
        </w:tc>
        <w:tc>
          <w:tcPr>
            <w:tcW w:w="5600" w:type="dxa"/>
            <w:vAlign w:val="center"/>
          </w:tcPr>
          <w:p w14:paraId="16A515C8"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الفائدة المدركة</w:t>
            </w:r>
          </w:p>
        </w:tc>
        <w:tc>
          <w:tcPr>
            <w:tcW w:w="2200" w:type="dxa"/>
            <w:vAlign w:val="center"/>
          </w:tcPr>
          <w:p w14:paraId="564148DC"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اكتشاف منتجات، توفير معلومات، تسهيل المقارنة، الإحساس بقيمة الإعلان</w:t>
            </w:r>
          </w:p>
        </w:tc>
      </w:tr>
      <w:tr w:rsidR="00576C22" w14:paraId="1CCF4FC3" w14:textId="77777777">
        <w:trPr>
          <w:jc w:val="center"/>
        </w:trPr>
        <w:tc>
          <w:tcPr>
            <w:tcW w:w="1800" w:type="dxa"/>
            <w:vAlign w:val="center"/>
          </w:tcPr>
          <w:p w14:paraId="6DBCA2CD"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وسيطة/مفسرة</w:t>
            </w:r>
          </w:p>
        </w:tc>
        <w:tc>
          <w:tcPr>
            <w:tcW w:w="5600" w:type="dxa"/>
            <w:vAlign w:val="center"/>
          </w:tcPr>
          <w:p w14:paraId="78BE71B4"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سهولة الاستخدام المدركة</w:t>
            </w:r>
          </w:p>
        </w:tc>
        <w:tc>
          <w:tcPr>
            <w:tcW w:w="2200" w:type="dxa"/>
            <w:vAlign w:val="center"/>
          </w:tcPr>
          <w:p w14:paraId="3D1D0180"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سهولة الوصول للمتجر، وضوح الرابط، سهولة الدفع، سرعة الحصول على المعلومات</w:t>
            </w:r>
          </w:p>
        </w:tc>
      </w:tr>
      <w:tr w:rsidR="00576C22" w14:paraId="20D9C175" w14:textId="77777777">
        <w:trPr>
          <w:jc w:val="center"/>
        </w:trPr>
        <w:tc>
          <w:tcPr>
            <w:tcW w:w="1800" w:type="dxa"/>
            <w:vAlign w:val="center"/>
          </w:tcPr>
          <w:p w14:paraId="5833B186"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وسيطة/مفسرة</w:t>
            </w:r>
          </w:p>
        </w:tc>
        <w:tc>
          <w:tcPr>
            <w:tcW w:w="5600" w:type="dxa"/>
            <w:vAlign w:val="center"/>
          </w:tcPr>
          <w:p w14:paraId="522E38AC"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الثقة في المؤثرين</w:t>
            </w:r>
          </w:p>
        </w:tc>
        <w:tc>
          <w:tcPr>
            <w:tcW w:w="2200" w:type="dxa"/>
            <w:vAlign w:val="center"/>
          </w:tcPr>
          <w:p w14:paraId="5240F3E7"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مصداقية المؤثر، تخصصه، وضوح الإعلان، اتساق تجاربه السابقة</w:t>
            </w:r>
          </w:p>
        </w:tc>
      </w:tr>
      <w:tr w:rsidR="00576C22" w14:paraId="65B7625D" w14:textId="77777777">
        <w:trPr>
          <w:jc w:val="center"/>
        </w:trPr>
        <w:tc>
          <w:tcPr>
            <w:tcW w:w="1800" w:type="dxa"/>
            <w:vAlign w:val="center"/>
          </w:tcPr>
          <w:p w14:paraId="5CDF657E"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وسيطة/مفسرة</w:t>
            </w:r>
          </w:p>
        </w:tc>
        <w:tc>
          <w:tcPr>
            <w:tcW w:w="5600" w:type="dxa"/>
            <w:vAlign w:val="center"/>
          </w:tcPr>
          <w:p w14:paraId="01457143"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التدفق الرقمي</w:t>
            </w:r>
          </w:p>
        </w:tc>
        <w:tc>
          <w:tcPr>
            <w:tcW w:w="2200" w:type="dxa"/>
            <w:vAlign w:val="center"/>
          </w:tcPr>
          <w:p w14:paraId="6016CCB0"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الانغماس، المتعة، استمرار المشاهدة، فقدان الإحساس بالوقت</w:t>
            </w:r>
          </w:p>
        </w:tc>
      </w:tr>
      <w:tr w:rsidR="00576C22" w14:paraId="050DAC2E" w14:textId="77777777">
        <w:trPr>
          <w:jc w:val="center"/>
        </w:trPr>
        <w:tc>
          <w:tcPr>
            <w:tcW w:w="1800" w:type="dxa"/>
            <w:vAlign w:val="center"/>
          </w:tcPr>
          <w:p w14:paraId="47457AB4"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ضابطة</w:t>
            </w:r>
          </w:p>
        </w:tc>
        <w:tc>
          <w:tcPr>
            <w:tcW w:w="5600" w:type="dxa"/>
            <w:vAlign w:val="center"/>
          </w:tcPr>
          <w:p w14:paraId="4F811AF7"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المتغيرات الديموغرافية</w:t>
            </w:r>
          </w:p>
        </w:tc>
        <w:tc>
          <w:tcPr>
            <w:tcW w:w="2200" w:type="dxa"/>
            <w:vAlign w:val="center"/>
          </w:tcPr>
          <w:p w14:paraId="26F44BD3"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الجنس، العمر، التعليم، الدخل، المنطقة السكنية</w:t>
            </w:r>
          </w:p>
        </w:tc>
      </w:tr>
    </w:tbl>
    <w:p w14:paraId="789321F8" w14:textId="77777777" w:rsidR="00576C22" w:rsidRDefault="00D84DA8">
      <w:pPr>
        <w:spacing w:after="140" w:line="372" w:lineRule="auto"/>
        <w:jc w:val="right"/>
        <w:rPr>
          <w:rFonts w:ascii="Times New Roman" w:hAnsi="Times New Roman" w:cs="Times New Roman"/>
          <w:sz w:val="24"/>
          <w:szCs w:val="24"/>
        </w:rPr>
      </w:pPr>
      <w:r>
        <w:rPr>
          <w:rFonts w:ascii="Times New Roman" w:eastAsia="Arial" w:hAnsi="Times New Roman" w:cs="Times New Roman"/>
          <w:sz w:val="24"/>
          <w:szCs w:val="24"/>
          <w:rtl/>
        </w:rPr>
        <w:t>شكل (1-1): نموذج الدراسة المقترح</w:t>
      </w:r>
    </w:p>
    <w:p w14:paraId="3F8B2F50" w14:textId="77777777" w:rsidR="00576C22" w:rsidRDefault="00D84DA8">
      <w:pPr>
        <w:jc w:val="right"/>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8B46E82" wp14:editId="0D0022AF">
            <wp:extent cx="5580000" cy="3348000"/>
            <wp:effectExtent l="0" t="0" r="0" b="0"/>
            <wp:docPr id="1027"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2"/>
                    <pic:cNvPicPr/>
                  </pic:nvPicPr>
                  <pic:blipFill>
                    <a:blip r:embed="rId9" cstate="print"/>
                    <a:srcRect/>
                    <a:stretch/>
                  </pic:blipFill>
                  <pic:spPr>
                    <a:xfrm>
                      <a:off x="0" y="0"/>
                      <a:ext cx="5580000" cy="3348000"/>
                    </a:xfrm>
                    <a:prstGeom prst="rect">
                      <a:avLst/>
                    </a:prstGeom>
                  </pic:spPr>
                </pic:pic>
              </a:graphicData>
            </a:graphic>
          </wp:inline>
        </w:drawing>
      </w:r>
    </w:p>
    <w:p w14:paraId="59A2F298" w14:textId="77777777" w:rsidR="00576C22" w:rsidRDefault="00D84DA8">
      <w:pPr>
        <w:jc w:val="right"/>
        <w:rPr>
          <w:rFonts w:ascii="Times New Roman" w:hAnsi="Times New Roman" w:cs="Times New Roman"/>
          <w:sz w:val="24"/>
          <w:szCs w:val="24"/>
        </w:rPr>
      </w:pPr>
      <w:r>
        <w:rPr>
          <w:rFonts w:ascii="Times New Roman" w:hAnsi="Times New Roman" w:cs="Times New Roman"/>
          <w:sz w:val="24"/>
          <w:szCs w:val="24"/>
        </w:rPr>
        <w:br w:type="page"/>
      </w:r>
    </w:p>
    <w:p w14:paraId="5B418596" w14:textId="77777777" w:rsidR="00576C22" w:rsidRDefault="00D84DA8">
      <w:pPr>
        <w:pStyle w:val="Heading1"/>
        <w:spacing w:before="160" w:after="160"/>
        <w:jc w:val="right"/>
        <w:rPr>
          <w:rFonts w:ascii="Times New Roman" w:hAnsi="Times New Roman" w:cs="Times New Roman"/>
          <w:sz w:val="24"/>
          <w:szCs w:val="24"/>
        </w:rPr>
      </w:pPr>
      <w:r>
        <w:rPr>
          <w:rFonts w:ascii="Times New Roman" w:eastAsia="Arial" w:hAnsi="Times New Roman" w:cs="Times New Roman"/>
          <w:sz w:val="24"/>
          <w:szCs w:val="24"/>
          <w:rtl/>
        </w:rPr>
        <w:lastRenderedPageBreak/>
        <w:t>الفصل الثاني: الإطار النظري والدراسات السابقة</w:t>
      </w:r>
    </w:p>
    <w:p w14:paraId="7BAEB98F" w14:textId="77777777" w:rsidR="00576C22" w:rsidRDefault="00D84DA8">
      <w:pPr>
        <w:pStyle w:val="Heading2"/>
        <w:spacing w:before="160" w:after="160"/>
        <w:jc w:val="right"/>
        <w:rPr>
          <w:rFonts w:ascii="Times New Roman" w:hAnsi="Times New Roman" w:cs="Times New Roman"/>
          <w:sz w:val="24"/>
          <w:szCs w:val="24"/>
        </w:rPr>
      </w:pPr>
      <w:r>
        <w:rPr>
          <w:rFonts w:ascii="Times New Roman" w:eastAsia="Arial" w:hAnsi="Times New Roman" w:cs="Times New Roman"/>
          <w:sz w:val="24"/>
          <w:szCs w:val="24"/>
          <w:rtl/>
        </w:rPr>
        <w:t>٢.١ التحول الرقمي وبيئة التسويق في السعودية</w:t>
      </w:r>
    </w:p>
    <w:p w14:paraId="79119CA1"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تتطلب معالجة محور التحول الرقمي وبيئة التسويق في السعودية النظر إليه بوصفه جزءاً من البناء النظري والدراسات السابقة لا فقرة منفصلة عن بقية الدراسة. فالدراسة لا تكتفي بعرض المفهوم أو النتيجة، بل تربطه بالسياق الأوسع المتعلق بـالثقة الرقمية، الكلمة المنطوقة إلكترونياً، خصائص المنصة، وقيمة الرسالة التسويقية. ويساعد هذا الربط على بناء تسلسل منطقي يبدأ من تحديد المشكلة وينتهي بتفسير النتائج واستخلاص التوصيات، وهو ما ينسجم مع طبيعة البحوث الأكاديمية التي تقيس العلاقة بين الظواهر الرقمية والسلوك الشرائي.</w:t>
      </w:r>
    </w:p>
    <w:p w14:paraId="33B2CC18"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في سياق مدينة الرياض، يكتسب هذا المحور أهمية خاصة بسبب كثافة النشاط التجاري وتعدد الفئات الاستهلاكية وتنوع المنصات التي يستخدمها المستهلكون يومياً. فالمستهلك لا يتعرض للمحتوى التسويقي في بيئة محايدة، بل في بيئة مزدحمة بالرسائل البصرية والتوصيات والعروض والمراجعات، ولذلك يصبح تفسير التحول الرقمي وبيئة التسويق في السعودية مرتبطاً بمستوى الثقة، ووضوح الفائدة، وسهولة الانتقال من الإعلان إلى الشراء.</w:t>
      </w:r>
    </w:p>
    <w:p w14:paraId="6D4C7514"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ومن الناحية التطبيقية، يوضح هذا المحور أن القرار الشرائي الرقمي لا يتشكل بفعل عامل واحد، بل من خلال تفاعل عدة عناصر مترابطة. فقد يكون الإعلان جذاباً لكنه لا يحقق أثراً إذا غابت المصداقية، وقد تكون المنصة واسعة الانتشار لكنها لا تحقق تحويلاً شرائياً إذا لم يكن مسار الدفع واضحاً. لذلك تتعامل الدراسة مع التحول الرقمي وبيئة التسويق في السعودية باعتباره مكوناً تفسيرياً ضمن نموذج متكامل لا مجرد وصف عام للظاهرة.</w:t>
      </w:r>
    </w:p>
    <w:p w14:paraId="29348198"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كما أن قراءة هذا المحور تساعد على التمييز بين مؤشرات الانتباه ومؤشرات القرار. فالمشاهدة والإعجاب والحفظ والمشاركة مؤشرات أولية، لكنها لا تكفي للحكم على نجاح التسويق ما لم تتحول إلى استفسار أو شراء أو تكرار شراء. ولهذا يظل التركيز على الشراء الفعلي محوراً مهماً في الدراسة؛ لأنه يربط بين النشاط التسويقي والمخرجات الاقتصادية القابلة للقياس.</w:t>
      </w:r>
    </w:p>
    <w:p w14:paraId="5E5C6B79"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وتؤكد الدراسة من خلال هذا المحور أن التسويق عبر وسائل التواصل في الرياض ينبغي أن يدار بمنطق علمي قائم على البيانات لا بمنطق الانطباعات العامة. فاختيار المنصة، وصياغة الرسالة، وتحديد المؤثر، وتوقيت الإعلان، وتسهيل تجربة الشراء كلها قرارات تحتاج إلى فهم دقيق لسلوك المستهلك. وبذلك يصبح التحول الرقمي وبيئة التسويق في السعودية مدخلاً لتحسين كفاءة الحملات الرقمية وتعزيز ثقة المستهلك في البيئة الإلكترونية.</w:t>
      </w:r>
    </w:p>
    <w:p w14:paraId="1A93F732"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يمثل التحول الرقمي في السعودية خلفية أساسية لهذه الدراسة، لأن انتشار البنية الرقمية يوسع نطاق التسويق عبر المنصات ويجعل المستهلك أكثر استعداداً للتفاعل مع الإعلانات الرقمية. فالإنترنت عالي الانتشار، والهواتف الذكية، والمدفوعات الرقمية، وخدمات التوصيل، كلها عناصر تجعل القرار الشرائي عبر وسائل التواصل ممكناً وسريعاً.</w:t>
      </w:r>
    </w:p>
    <w:p w14:paraId="397F04C4"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كما أن التحول الرقمي لا يعني فقط توفر التقنية، بل تغير التوقعات السلوكية للمستهلك. فقد أصبح المستهلك يتوقع الوصول السريع للمعلومة، والرد المباشر، والدفع السهل، والتوصيل الواضح، والتقييمات العلنية. وإذا لم تقدم العلامة التجارية هذه العناصر، فقد يفقد الإعلان أثره حتى لو كان جذاباً.</w:t>
      </w:r>
    </w:p>
    <w:p w14:paraId="58E6B79B"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يتشكل التسويق عبر وسائل التواصل في المملكة العربية السعودية داخل بيئة رقمية واسعة الانتشار. ويعزز ذلك توجه رؤية السعودية 2030 نحو اقتصاد متنوع وبيئة أعمال داعمة للتحول الرقمي والابتكار ‎</w:t>
      </w:r>
      <w:r>
        <w:rPr>
          <w:rFonts w:ascii="Times New Roman" w:eastAsia="Times New Roman" w:hAnsi="Times New Roman" w:cs="Times New Roman"/>
          <w:sz w:val="24"/>
          <w:szCs w:val="24"/>
        </w:rPr>
        <w:t>‎(Saudi Vision 2030, 2025)‎</w:t>
      </w:r>
      <w:r>
        <w:rPr>
          <w:rFonts w:ascii="Times New Roman" w:eastAsia="Arial" w:hAnsi="Times New Roman" w:cs="Times New Roman"/>
          <w:sz w:val="24"/>
          <w:szCs w:val="24"/>
          <w:rtl/>
        </w:rPr>
        <w:t>‎.</w:t>
      </w:r>
    </w:p>
    <w:p w14:paraId="261E9E6F" w14:textId="77777777" w:rsidR="00576C22" w:rsidRDefault="00D84DA8">
      <w:pPr>
        <w:pStyle w:val="Heading2"/>
        <w:spacing w:before="160" w:after="160"/>
        <w:jc w:val="right"/>
        <w:rPr>
          <w:rFonts w:ascii="Times New Roman" w:hAnsi="Times New Roman" w:cs="Times New Roman"/>
          <w:sz w:val="24"/>
          <w:szCs w:val="24"/>
        </w:rPr>
      </w:pPr>
      <w:r>
        <w:rPr>
          <w:rFonts w:ascii="Times New Roman" w:eastAsia="Arial" w:hAnsi="Times New Roman" w:cs="Times New Roman"/>
          <w:sz w:val="24"/>
          <w:szCs w:val="24"/>
          <w:rtl/>
        </w:rPr>
        <w:t>٢.٢ مفهوم التسويق عبر وسائل التواصل الاجتماعي</w:t>
      </w:r>
    </w:p>
    <w:p w14:paraId="7FB0DC17"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 xml:space="preserve">تتطلب معالجة محور مفهوم التسويق عبر وسائل التواصل الاجتماعي النظر إليه بوصفه جزءاً من البناء النظري والدراسات السابقة لا فقرة منفصلة عن بقية الدراسة. فالدراسة لا تكتفي بعرض المفهوم أو النتيجة، بل تربطه بالسياق الأوسع المتعلق بـالثقة الرقمية، الكلمة المنطوقة </w:t>
      </w:r>
      <w:r>
        <w:rPr>
          <w:rFonts w:ascii="Times New Roman" w:eastAsia="Arial" w:hAnsi="Times New Roman" w:cs="Times New Roman"/>
          <w:sz w:val="24"/>
          <w:szCs w:val="24"/>
          <w:rtl/>
        </w:rPr>
        <w:lastRenderedPageBreak/>
        <w:t>إلكترونياً، خصائص المنصة، وقيمة الرسالة التسويقية. ويساعد هذا الربط على بناء تسلسل منطقي يبدأ من تحديد المشكلة وينتهي بتفسير النتائج واستخلاص التوصيات، وهو ما ينسجم مع طبيعة البحوث الأكاديمية التي تقيس العلاقة بين الظواهر الرقمية والسلوك الشرائي.</w:t>
      </w:r>
    </w:p>
    <w:p w14:paraId="3EF86168"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في سياق مدينة الرياض، يكتسب هذا المحور أهمية خاصة بسبب كثافة النشاط التجاري وتعدد الفئات الاستهلاكية وتنوع المنصات التي يستخدمها المستهلكون يومياً. فالمستهلك لا يتعرض للمحتوى التسويقي في بيئة محايدة، بل في بيئة مزدحمة بالرسائل البصرية والتوصيات والعروض والمراجعات، ولذلك يصبح تفسير مفهوم التسويق عبر وسائل التواصل الاجتماعي مرتبطاً بمستوى الثقة، ووضوح الفائدة، وسهولة الانتقال من الإعلان إلى الشراء.</w:t>
      </w:r>
    </w:p>
    <w:p w14:paraId="59BDA0C8"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ومن الناحية التطبيقية، يوضح هذا المحور أن القرار الشرائي الرقمي لا يتشكل بفعل عامل واحد، بل من خلال تفاعل عدة عناصر مترابطة. فقد يكون الإعلان جذاباً لكنه لا يحقق أثراً إذا غابت المصداقية، وقد تكون المنصة واسعة الانتشار لكنها لا تحقق تحويلاً شرائياً إذا لم يكن مسار الدفع واضحاً. لذلك تتعامل الدراسة مع مفهوم التسويق عبر وسائل التواصل الاجتماعي باعتباره مكوناً تفسيرياً ضمن نموذج متكامل لا مجرد وصف عام للظاهرة.</w:t>
      </w:r>
    </w:p>
    <w:p w14:paraId="5ACDF5DE"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كما أن قراءة هذا المحور تساعد على التمييز بين مؤشرات الانتباه ومؤشرات القرار. فالمشاهدة والإعجاب والحفظ والمشاركة مؤشرات أولية، لكنها لا تكفي للحكم على نجاح التسويق ما لم تتحول إلى استفسار أو شراء أو تكرار شراء. ولهذا يظل التركيز على الشراء الفعلي محوراً مهماً في الدراسة؛ لأنه يربط بين النشاط التسويقي والمخرجات الاقتصادية القابلة للقياس.</w:t>
      </w:r>
    </w:p>
    <w:p w14:paraId="2A5E1DFE"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وتؤكد الدراسة من خلال هذا المحور أن التسويق عبر وسائل التواصل في الرياض ينبغي أن يدار بمنطق علمي قائم على البيانات لا بمنطق الانطباعات العامة. فاختيار المنصة، وصياغة الرسالة، وتحديد المؤثر، وتوقيت الإعلان، وتسهيل تجربة الشراء كلها قرارات تحتاج إلى فهم دقيق لسلوك المستهلك. وبذلك يصبح مفهوم التسويق عبر وسائل التواصل الاجتماعي مدخلاً لتحسين كفاءة الحملات الرقمية وتعزيز ثقة المستهلك في البيئة الإلكترونية.</w:t>
      </w:r>
    </w:p>
    <w:p w14:paraId="77B152AA"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يعرف التسويق عبر وسائل التواصل الاجتماعي بأنه استخدام التطبيقات والمنصات الرقمية القائمة على التفاعل والمشاركة في بناء علاقات مع الجمهور والترويج للمنتجات والخدمات وتحفيز الاستجابة السلوكية ‎</w:t>
      </w:r>
      <w:r>
        <w:rPr>
          <w:rFonts w:ascii="Times New Roman" w:eastAsia="Times New Roman" w:hAnsi="Times New Roman" w:cs="Times New Roman"/>
          <w:sz w:val="24"/>
          <w:szCs w:val="24"/>
        </w:rPr>
        <w:t>‎(Kaplan &amp; Haenlein, 2010)‎</w:t>
      </w:r>
      <w:r>
        <w:rPr>
          <w:rFonts w:ascii="Times New Roman" w:eastAsia="Arial" w:hAnsi="Times New Roman" w:cs="Times New Roman"/>
          <w:sz w:val="24"/>
          <w:szCs w:val="24"/>
          <w:rtl/>
        </w:rPr>
        <w:t>‎.</w:t>
      </w:r>
    </w:p>
    <w:p w14:paraId="68BD4934"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يختلف هذا النوع من التسويق عن التسويق التقليدي في أنه لا يكتفي بإيصال رسالة جاهزة إلى جمهور واسع، بل يعتمد على الحوار، والتخصيص، والسرعة، والتفاعل، وتحليل البيانات. فالشركة تستطيع استهداف جمهور محدد حسب العمر، والموقع، والاهتمامات، وسلوك التصفح.</w:t>
      </w:r>
    </w:p>
    <w:p w14:paraId="40AE3D10"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يمكن النظر إلى التسويق عبر وسائل التواصل بوصفه مزيجاً من الإعلان والعلاقات العامة وخدمة العملاء والتجارة الإلكترونية. فهو لا يقتصر على رسالة ترويجية، بل يشمل طريقة رد المتجر على التعليقات، وسرعة الإجابة عن الاستفسارات، وطريقة معالجة الشكاوى، ومتابعة تجربة العميل بعد الشراء.</w:t>
      </w:r>
    </w:p>
    <w:p w14:paraId="77695B3C" w14:textId="77777777" w:rsidR="00576C22" w:rsidRDefault="00D84DA8">
      <w:pPr>
        <w:pStyle w:val="Heading2"/>
        <w:spacing w:before="160" w:after="160"/>
        <w:jc w:val="right"/>
        <w:rPr>
          <w:rFonts w:ascii="Times New Roman" w:hAnsi="Times New Roman" w:cs="Times New Roman"/>
          <w:sz w:val="24"/>
          <w:szCs w:val="24"/>
        </w:rPr>
      </w:pPr>
      <w:r>
        <w:rPr>
          <w:rFonts w:ascii="Times New Roman" w:eastAsia="Arial" w:hAnsi="Times New Roman" w:cs="Times New Roman"/>
          <w:sz w:val="24"/>
          <w:szCs w:val="24"/>
          <w:rtl/>
        </w:rPr>
        <w:t>٢.٣ منصات التواصل وأنماط المحتوى التسويقي</w:t>
      </w:r>
    </w:p>
    <w:p w14:paraId="1FDE177E"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تتطلب معالجة محور منصات التواصل وأنماط المحتوى التسويقي النظر إليه بوصفه جزءاً من البناء النظري والدراسات السابقة لا فقرة منفصلة عن بقية الدراسة. فالدراسة لا تكتفي بعرض المفهوم أو النتيجة، بل تربطه بالسياق الأوسع المتعلق بـالثقة الرقمية، الكلمة المنطوقة إلكترونياً، خصائص المنصة، وقيمة الرسالة التسويقية. ويساعد هذا الربط على بناء تسلسل منطقي يبدأ من تحديد المشكلة وينتهي بتفسير النتائج واستخلاص التوصيات، وهو ما ينسجم مع طبيعة البحوث الأكاديمية التي تقيس العلاقة بين الظواهر الرقمية والسلوك الشرائي.</w:t>
      </w:r>
    </w:p>
    <w:p w14:paraId="2637F8A5"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في سياق مدينة الرياض، يكتسب هذا المحور أهمية خاصة بسبب كثافة النشاط التجاري وتعدد الفئات الاستهلاكية وتنوع المنصات التي يستخدمها المستهلكون يومياً. فالمستهلك لا يتعرض للمحتوى التسويقي في بيئة محايدة، بل في بيئة مزدحمة بالرسائل البصرية والتوصيات والعروض والمراجعات، ولذلك يصبح تفسير منصات التواصل وأنماط المحتوى التسويقي مرتبطاً بمستوى الثقة، ووضوح الفائدة، وسهولة الانتقال من الإعلان إلى الشراء.</w:t>
      </w:r>
    </w:p>
    <w:p w14:paraId="4C4A8A70"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lastRenderedPageBreak/>
        <w:t>ومن الناحية التطبيقية، يوضح هذا المحور أن القرار الشرائي الرقمي لا يتشكل بفعل عامل واحد، بل من خلال تفاعل عدة عناصر مترابطة. فقد يكون الإعلان جذاباً لكنه لا يحقق أثراً إذا غابت المصداقية، وقد تكون المنصة واسعة الانتشار لكنها لا تحقق تحويلاً شرائياً إذا لم يكن مسار الدفع واضحاً. لذلك تتعامل الدراسة مع منصات التواصل وأنماط المحتوى التسويقي باعتباره مكوناً تفسيرياً ضمن نموذج متكامل لا مجرد وصف عام للظاهرة.</w:t>
      </w:r>
    </w:p>
    <w:p w14:paraId="62ADC2E0"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كما أن قراءة هذا المحور تساعد على التمييز بين مؤشرات الانتباه ومؤشرات القرار. فالمشاهدة والإعجاب والحفظ والمشاركة مؤشرات أولية، لكنها لا تكفي للحكم على نجاح التسويق ما لم تتحول إلى استفسار أو شراء أو تكرار شراء. ولهذا يظل التركيز على الشراء الفعلي محوراً مهماً في الدراسة؛ لأنه يربط بين النشاط التسويقي والمخرجات الاقتصادية القابلة للقياس.</w:t>
      </w:r>
    </w:p>
    <w:p w14:paraId="3F1A038F"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وتؤكد الدراسة من خلال هذا المحور أن التسويق عبر وسائل التواصل في الرياض ينبغي أن يدار بمنطق علمي قائم على البيانات لا بمنطق الانطباعات العامة. فاختيار المنصة، وصياغة الرسالة، وتحديد المؤثر، وتوقيت الإعلان، وتسهيل تجربة الشراء كلها قرارات تحتاج إلى فهم دقيق لسلوك المستهلك. وبذلك يصبح منصات التواصل وأنماط المحتوى التسويقي مدخلاً لتحسين كفاءة الحملات الرقمية وتعزيز ثقة المستهلك في البيئة الإلكترونية.</w:t>
      </w:r>
    </w:p>
    <w:p w14:paraId="64076C46"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لا تعمل منصات التواصل الاجتماعي بالطريقة نفسها؛ إذ يمتلك كل تطبيق ثقافته الخاصة، وطريقة عرضه، ونمط تفاعل مستخدميه. فالمحتوى في إنستقرام يعتمد غالباً على الصورة الجمالية والقصص والمقاطع القصيرة، بينما يتميز تيك توك بسرعة الانتشار وخوارزميات توصية عالية القدرة على دفع محتوى جديد إلى جمهور واسع.</w:t>
      </w:r>
    </w:p>
    <w:p w14:paraId="0BD1A5C8"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تؤثر هذه الاختلافات في طريقة استقبال الإعلان. فالمستخدم الذي يشاهد إعلاناً جمالياً في إنستقرام قد يتفاعل معه بسبب جودة الصورة أو قربه من نمط حياته، بينما قد يتأثر مستخدم تيك توك بفيديو قصير يقدم تجربة واقعية أو مراجعة طريفة.</w:t>
      </w:r>
    </w:p>
    <w:p w14:paraId="04D18FCC"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ويتنوع المحتوى التسويقي بين إعلان ممول، ومراجعة مؤثر، وتجربة مستخدم، وخصم محدود، وبث مباشر، ومقطع تعليمي، ومحتوى ترفيهي يحمل رسالة تسويقية ضمنية. وتفيد الأدبيات بأن المحتوى الذي يجمع بين الفائدة والمتعة والمصداقية يكون أكثر قدرة على التأثير في نية الشراء من الإعلان المباشر الجاف ‎</w:t>
      </w:r>
      <w:r>
        <w:rPr>
          <w:rFonts w:ascii="Times New Roman" w:eastAsia="Times New Roman" w:hAnsi="Times New Roman" w:cs="Times New Roman"/>
          <w:sz w:val="24"/>
          <w:szCs w:val="24"/>
        </w:rPr>
        <w:t>‎(Lou &amp; Yuan, 2019)‎</w:t>
      </w:r>
      <w:r>
        <w:rPr>
          <w:rFonts w:ascii="Times New Roman" w:eastAsia="Arial" w:hAnsi="Times New Roman" w:cs="Times New Roman"/>
          <w:sz w:val="24"/>
          <w:szCs w:val="24"/>
          <w:rtl/>
        </w:rPr>
        <w:t>‎.</w:t>
      </w:r>
    </w:p>
    <w:p w14:paraId="76864A0A" w14:textId="77777777" w:rsidR="00576C22" w:rsidRDefault="00D84DA8">
      <w:pPr>
        <w:pStyle w:val="Heading2"/>
        <w:spacing w:before="160" w:after="160"/>
        <w:jc w:val="right"/>
        <w:rPr>
          <w:rFonts w:ascii="Times New Roman" w:hAnsi="Times New Roman" w:cs="Times New Roman"/>
          <w:sz w:val="24"/>
          <w:szCs w:val="24"/>
        </w:rPr>
      </w:pPr>
      <w:r>
        <w:rPr>
          <w:rFonts w:ascii="Times New Roman" w:eastAsia="Arial" w:hAnsi="Times New Roman" w:cs="Times New Roman"/>
          <w:sz w:val="24"/>
          <w:szCs w:val="24"/>
          <w:rtl/>
        </w:rPr>
        <w:t>٢.٤ المؤثرون والثقة والكلمة المنطوقة إلكترونياً</w:t>
      </w:r>
    </w:p>
    <w:p w14:paraId="18D36609"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تتطلب معالجة محور المؤثرون والثقة والكلمة المنطوقة إلكترونياً النظر إليه بوصفه جزءاً من البناء النظري والدراسات السابقة لا فقرة منفصلة عن بقية الدراسة. فالدراسة لا تكتفي بعرض المفهوم أو النتيجة، بل تربطه بالسياق الأوسع المتعلق بـالثقة الرقمية، الكلمة المنطوقة إلكترونياً، خصائص المنصة، وقيمة الرسالة التسويقية. ويساعد هذا الربط على بناء تسلسل منطقي يبدأ من تحديد المشكلة وينتهي بتفسير النتائج واستخلاص التوصيات، وهو ما ينسجم مع طبيعة البحوث الأكاديمية التي تقيس العلاقة بين الظواهر الرقمية والسلوك الشرائي.</w:t>
      </w:r>
    </w:p>
    <w:p w14:paraId="00FE1940"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في سياق مدينة الرياض، يكتسب هذا المحور أهمية خاصة بسبب كثافة النشاط التجاري وتعدد الفئات الاستهلاكية وتنوع المنصات التي يستخدمها المستهلكون يومياً. فالمستهلك لا يتعرض للمحتوى التسويقي في بيئة محايدة، بل في بيئة مزدحمة بالرسائل البصرية والتوصيات والعروض والمراجعات، ولذلك يصبح تفسير المؤثرون والثقة والكلمة المنطوقة إلكترونياً مرتبطاً بمستوى الثقة، ووضوح الفائدة، وسهولة الانتقال من الإعلان إلى الشراء.</w:t>
      </w:r>
    </w:p>
    <w:p w14:paraId="2F1B65A5"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ومن الناحية التطبيقية، يوضح هذا المحور أن القرار الشرائي الرقمي لا يتشكل بفعل عامل واحد، بل من خلال تفاعل عدة عناصر مترابطة. فقد يكون الإعلان جذاباً لكنه لا يحقق أثراً إذا غابت المصداقية، وقد تكون المنصة واسعة الانتشار لكنها لا تحقق تحويلاً شرائياً إذا لم يكن مسار الدفع واضحاً. لذلك تتعامل الدراسة مع المؤثرون والثقة والكلمة المنطوقة إلكترونياً باعتباره مكوناً تفسيرياً ضمن نموذج متكامل لا مجرد وصف عام للظاهرة.</w:t>
      </w:r>
    </w:p>
    <w:p w14:paraId="49174A07"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lastRenderedPageBreak/>
        <w:t>كما أن قراءة هذا المحور تساعد على التمييز بين مؤشرات الانتباه ومؤشرات القرار. فالمشاهدة والإعجاب والحفظ والمشاركة مؤشرات أولية، لكنها لا تكفي للحكم على نجاح التسويق ما لم تتحول إلى استفسار أو شراء أو تكرار شراء. ولهذا يظل التركيز على الشراء الفعلي محوراً مهماً في الدراسة؛ لأنه يربط بين النشاط التسويقي والمخرجات الاقتصادية القابلة للقياس.</w:t>
      </w:r>
    </w:p>
    <w:p w14:paraId="1D7FC0C7"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وتؤكد الدراسة من خلال هذا المحور أن التسويق عبر وسائل التواصل في الرياض ينبغي أن يدار بمنطق علمي قائم على البيانات لا بمنطق الانطباعات العامة. فاختيار المنصة، وصياغة الرسالة، وتحديد المؤثر، وتوقيت الإعلان، وتسهيل تجربة الشراء كلها قرارات تحتاج إلى فهم دقيق لسلوك المستهلك. وبذلك يصبح المؤثرون والثقة والكلمة المنطوقة إلكترونياً مدخلاً لتحسين كفاءة الحملات الرقمية وتعزيز ثقة المستهلك في البيئة الإلكترونية.</w:t>
      </w:r>
    </w:p>
    <w:p w14:paraId="4913665D"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أصبح المؤثرون جزءاً مركزياً من التسويق عبر وسائل التواصل، لأنهم لا يقدمون المنتج بوصفه إعلاناً مجرداً، بل يربطونه بتجربة شخصية أو أسلوب حياة أو علاقة يومية مع المتابعين. ويكتسب المؤثر قوته من الثقة، والتخصص، والاستمرارية، والقدرة على بناء تفاعل اجتماعي حول المنتج.</w:t>
      </w:r>
    </w:p>
    <w:p w14:paraId="084ACFFC"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تنسجم هذه الفكرة مع مفهوم الكلمة المنطوقة إلكترونياً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eWOM</w:t>
      </w:r>
      <w:proofErr w:type="spellEnd"/>
      <w:r>
        <w:rPr>
          <w:rFonts w:ascii="Times New Roman" w:eastAsia="Times New Roman" w:hAnsi="Times New Roman" w:cs="Times New Roman"/>
          <w:sz w:val="24"/>
          <w:szCs w:val="24"/>
        </w:rPr>
        <w:t>‎</w:t>
      </w:r>
      <w:r>
        <w:rPr>
          <w:rFonts w:ascii="Times New Roman" w:eastAsia="Arial" w:hAnsi="Times New Roman" w:cs="Times New Roman"/>
          <w:sz w:val="24"/>
          <w:szCs w:val="24"/>
          <w:rtl/>
        </w:rPr>
        <w:t>)، الذي يشير إلى التعليقات والمراجعات والتوصيات التي ينشرها المستخدمون عبر الإنترنت. وقد أوضحت مراجعة ‎</w:t>
      </w:r>
      <w:r>
        <w:rPr>
          <w:rFonts w:ascii="Times New Roman" w:eastAsia="Times New Roman" w:hAnsi="Times New Roman" w:cs="Times New Roman"/>
          <w:sz w:val="24"/>
          <w:szCs w:val="24"/>
        </w:rPr>
        <w:t>‎(Cheung &amp; Thadani, 2012)‎</w:t>
      </w:r>
      <w:r>
        <w:rPr>
          <w:rFonts w:ascii="Times New Roman" w:eastAsia="Arial" w:hAnsi="Times New Roman" w:cs="Times New Roman"/>
          <w:sz w:val="24"/>
          <w:szCs w:val="24"/>
          <w:rtl/>
        </w:rPr>
        <w:t>‎ أن الكلمة المنطوقة إلكترونياً تؤثر في سلوك المستهلك لأنها توفر إشارات اجتماعية ومعلومات تقييمية تقلل المخاطر المدركة.</w:t>
      </w:r>
    </w:p>
    <w:p w14:paraId="3919B3FD"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لكن الاعتماد على المؤثرين لا يخلو من مخاطر. فإذا شعر المستهلك أن المؤثر يوصي بمنتج لمجرد الإعلان، أو يخفي العلاقة التجارية، أو يبالغ في جودة المنتج، فإن الثقة قد تتحول إلى شك. ومن هنا تظهر أهمية الإفصاح الواضح عن الإعلانات المدفوعة، وتوافق المنتج مع مجال المؤثر، ووجود تجربة حقيقية قابلة للتحقق ‎</w:t>
      </w:r>
      <w:r>
        <w:rPr>
          <w:rFonts w:ascii="Times New Roman" w:eastAsia="Times New Roman" w:hAnsi="Times New Roman" w:cs="Times New Roman"/>
          <w:sz w:val="24"/>
          <w:szCs w:val="24"/>
        </w:rPr>
        <w:t>‎(Masuda et al., 2022)‎</w:t>
      </w:r>
      <w:r>
        <w:rPr>
          <w:rFonts w:ascii="Times New Roman" w:eastAsia="Arial" w:hAnsi="Times New Roman" w:cs="Times New Roman"/>
          <w:sz w:val="24"/>
          <w:szCs w:val="24"/>
          <w:rtl/>
        </w:rPr>
        <w:t>‎.</w:t>
      </w:r>
    </w:p>
    <w:p w14:paraId="2A1AC8A7" w14:textId="77777777" w:rsidR="00576C22" w:rsidRDefault="00D84DA8">
      <w:pPr>
        <w:pStyle w:val="Heading2"/>
        <w:spacing w:before="160" w:after="160"/>
        <w:jc w:val="right"/>
        <w:rPr>
          <w:rFonts w:ascii="Times New Roman" w:hAnsi="Times New Roman" w:cs="Times New Roman"/>
          <w:sz w:val="24"/>
          <w:szCs w:val="24"/>
        </w:rPr>
      </w:pPr>
      <w:r>
        <w:rPr>
          <w:rFonts w:ascii="Times New Roman" w:eastAsia="Arial" w:hAnsi="Times New Roman" w:cs="Times New Roman"/>
          <w:sz w:val="24"/>
          <w:szCs w:val="24"/>
          <w:rtl/>
        </w:rPr>
        <w:t>٢.٥ قرار الشراء في البيئة الرقمية</w:t>
      </w:r>
    </w:p>
    <w:p w14:paraId="60907D0B"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تتطلب معالجة محور قرار الشراء في البيئة الرقمية النظر إليه بوصفه جزءاً من البناء النظري والدراسات السابقة لا فقرة منفصلة عن بقية الدراسة. فالدراسة لا تكتفي بعرض المفهوم أو النتيجة، بل تربطه بالسياق الأوسع المتعلق بـالثقة الرقمية، الكلمة المنطوقة إلكترونياً، خصائص المنصة، وقيمة الرسالة التسويقية. ويساعد هذا الربط على بناء تسلسل منطقي يبدأ من تحديد المشكلة وينتهي بتفسير النتائج واستخلاص التوصيات، وهو ما ينسجم مع طبيعة البحوث الأكاديمية التي تقيس العلاقة بين الظواهر الرقمية والسلوك الشرائي.</w:t>
      </w:r>
    </w:p>
    <w:p w14:paraId="2219E8B0"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في سياق مدينة الرياض، يكتسب هذا المحور أهمية خاصة بسبب كثافة النشاط التجاري وتعدد الفئات الاستهلاكية وتنوع المنصات التي يستخدمها المستهلكون يومياً. فالمستهلك لا يتعرض للمحتوى التسويقي في بيئة محايدة، بل في بيئة مزدحمة بالرسائل البصرية والتوصيات والعروض والمراجعات، ولذلك يصبح تفسير قرار الشراء في البيئة الرقمية مرتبطاً بمستوى الثقة، ووضوح الفائدة، وسهولة الانتقال من الإعلان إلى الشراء.</w:t>
      </w:r>
    </w:p>
    <w:p w14:paraId="57006BAC"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ومن الناحية التطبيقية، يوضح هذا المحور أن القرار الشرائي الرقمي لا يتشكل بفعل عامل واحد، بل من خلال تفاعل عدة عناصر مترابطة. فقد يكون الإعلان جذاباً لكنه لا يحقق أثراً إذا غابت المصداقية، وقد تكون المنصة واسعة الانتشار لكنها لا تحقق تحويلاً شرائياً إذا لم يكن مسار الدفع واضحاً. لذلك تتعامل الدراسة مع قرار الشراء في البيئة الرقمية باعتباره مكوناً تفسيرياً ضمن نموذج متكامل لا مجرد وصف عام للظاهرة.</w:t>
      </w:r>
    </w:p>
    <w:p w14:paraId="462F871E"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كما أن قراءة هذا المحور تساعد على التمييز بين مؤشرات الانتباه ومؤشرات القرار. فالمشاهدة والإعجاب والحفظ والمشاركة مؤشرات أولية، لكنها لا تكفي للحكم على نجاح التسويق ما لم تتحول إلى استفسار أو شراء أو تكرار شراء. ولهذا يظل التركيز على الشراء الفعلي محوراً مهماً في الدراسة؛ لأنه يربط بين النشاط التسويقي والمخرجات الاقتصادية القابلة للقياس.</w:t>
      </w:r>
    </w:p>
    <w:p w14:paraId="285F5760"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lastRenderedPageBreak/>
        <w:t>وتؤكد الدراسة من خلال هذا المحور أن التسويق عبر وسائل التواصل في الرياض ينبغي أن يدار بمنطق علمي قائم على البيانات لا بمنطق الانطباعات العامة. فاختيار المنصة، وصياغة الرسالة، وتحديد المؤثر، وتوقيت الإعلان، وتسهيل تجربة الشراء كلها قرارات تحتاج إلى فهم دقيق لسلوك المستهلك. وبذلك يصبح قرار الشراء في البيئة الرقمية مدخلاً لتحسين كفاءة الحملات الرقمية وتعزيز ثقة المستهلك في البيئة الإلكترونية.</w:t>
      </w:r>
    </w:p>
    <w:p w14:paraId="6CA7D0AB"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قرار الشراء هو النتيجة السلوكية التي يصل إليها المستهلك بعد المرور بعدة مراحل تشمل إدراك الحاجة، والبحث عن المعلومات، وتقييم البدائل، والاختيار، ثم تقييم تجربة ما بعد الشراء. وفي البيئة الرقمية يمكن أن تضيق المسافة بين هذه المراحل إلى حد كبير؛ فقد يشاهد المستخدم إعلاناً قصيراً، ثم ينتقل إلى رابط المتجر، ويقرأ مراجعات سريعة، ثم يشتري خلال دقائق.</w:t>
      </w:r>
    </w:p>
    <w:p w14:paraId="7CFD254E"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غير أن سرعة القرار لا تعني أنه قرار بسيط. فالشراء عبر وسائل التواصل يتأثر بعوامل متعددة، منها الثقة في البائع، ومصداقية الإعلان، ووضوح السعر، وسهولة الدفع، وسياسة الاسترجاع، وتوافر المنتج، وخبرة المستخدمين الآخرين. كما يتأثر بالعوامل النفسية مثل الخوف من فوات العرض، والرغبة في مواكبة الاتجاهات، والانجذاب البصري، والتأثير الاجتماعي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Hajli</w:t>
      </w:r>
      <w:proofErr w:type="spellEnd"/>
      <w:r>
        <w:rPr>
          <w:rFonts w:ascii="Times New Roman" w:eastAsia="Times New Roman" w:hAnsi="Times New Roman" w:cs="Times New Roman"/>
          <w:sz w:val="24"/>
          <w:szCs w:val="24"/>
        </w:rPr>
        <w:t>, 2015)‎</w:t>
      </w:r>
      <w:r>
        <w:rPr>
          <w:rFonts w:ascii="Times New Roman" w:eastAsia="Arial" w:hAnsi="Times New Roman" w:cs="Times New Roman"/>
          <w:sz w:val="24"/>
          <w:szCs w:val="24"/>
          <w:rtl/>
        </w:rPr>
        <w:t>‎.</w:t>
      </w:r>
    </w:p>
    <w:p w14:paraId="168D24D7"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ومن المهم التمييز بين النية الشرائية والشراء الفعلي. فقد يعبر المستهلك عن رغبته في شراء منتج، لكنه يتراجع بسبب السعر أو عدم الثقة أو ضعف الحاجة أو تجربة سابقة. لذلك ركزت الدراسة الحالية على عدد مرات الشراء الناتجة عن الإعلانات خلال فترة زمنية محددة.</w:t>
      </w:r>
    </w:p>
    <w:p w14:paraId="3FCAF731" w14:textId="77777777" w:rsidR="00576C22" w:rsidRDefault="00D84DA8">
      <w:pPr>
        <w:pStyle w:val="Heading2"/>
        <w:spacing w:before="160" w:after="160"/>
        <w:jc w:val="right"/>
        <w:rPr>
          <w:rFonts w:ascii="Times New Roman" w:hAnsi="Times New Roman" w:cs="Times New Roman"/>
          <w:sz w:val="24"/>
          <w:szCs w:val="24"/>
        </w:rPr>
      </w:pPr>
      <w:r>
        <w:rPr>
          <w:rFonts w:ascii="Times New Roman" w:eastAsia="Arial" w:hAnsi="Times New Roman" w:cs="Times New Roman"/>
          <w:sz w:val="24"/>
          <w:szCs w:val="24"/>
          <w:rtl/>
        </w:rPr>
        <w:t>٢.٦ النظريات المفسرة للدراسة</w:t>
      </w:r>
    </w:p>
    <w:p w14:paraId="6879D748"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تتطلب معالجة محور النظريات المفسرة للدراسة النظر إليه بوصفه جزءاً من البناء النظري والدراسات السابقة لا فقرة منفصلة عن بقية الدراسة. فالدراسة لا تكتفي بعرض المفهوم أو النتيجة، بل تربطه بالسياق الأوسع المتعلق بـالثقة الرقمية، الكلمة المنطوقة إلكترونياً، خصائص المنصة، وقيمة الرسالة التسويقية. ويساعد هذا الربط على بناء تسلسل منطقي يبدأ من تحديد المشكلة وينتهي بتفسير النتائج واستخلاص التوصيات، وهو ما ينسجم مع طبيعة البحوث الأكاديمية التي تقيس العلاقة بين الظواهر الرقمية والسلوك الشرائي.</w:t>
      </w:r>
    </w:p>
    <w:p w14:paraId="2544E61C"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في سياق مدينة الرياض، يكتسب هذا المحور أهمية خاصة بسبب كثافة النشاط التجاري وتعدد الفئات الاستهلاكية وتنوع المنصات التي يستخدمها المستهلكون يومياً. فالمستهلك لا يتعرض للمحتوى التسويقي في بيئة محايدة، بل في بيئة مزدحمة بالرسائل البصرية والتوصيات والعروض والمراجعات، ولذلك يصبح تفسير النظريات المفسرة للدراسة مرتبطاً بمستوى الثقة، ووضوح الفائدة، وسهولة الانتقال من الإعلان إلى الشراء.</w:t>
      </w:r>
    </w:p>
    <w:p w14:paraId="5F3C8ACD"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ومن الناحية التطبيقية، يوضح هذا المحور أن القرار الشرائي الرقمي لا يتشكل بفعل عامل واحد، بل من خلال تفاعل عدة عناصر مترابطة. فقد يكون الإعلان جذاباً لكنه لا يحقق أثراً إذا غابت المصداقية، وقد تكون المنصة واسعة الانتشار لكنها لا تحقق تحويلاً شرائياً إذا لم يكن مسار الدفع واضحاً. لذلك تتعامل الدراسة مع النظريات المفسرة للدراسة باعتباره مكوناً تفسيرياً ضمن نموذج متكامل لا مجرد وصف عام للظاهرة.</w:t>
      </w:r>
    </w:p>
    <w:p w14:paraId="30A5B104"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كما أن قراءة هذا المحور تساعد على التمييز بين مؤشرات الانتباه ومؤشرات القرار. فالمشاهدة والإعجاب والحفظ والمشاركة مؤشرات أولية، لكنها لا تكفي للحكم على نجاح التسويق ما لم تتحول إلى استفسار أو شراء أو تكرار شراء. ولهذا يظل التركيز على الشراء الفعلي محوراً مهماً في الدراسة؛ لأنه يربط بين النشاط التسويقي والمخرجات الاقتصادية القابلة للقياس.</w:t>
      </w:r>
    </w:p>
    <w:p w14:paraId="5F84B86C"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وتؤكد الدراسة من خلال هذا المحور أن التسويق عبر وسائل التواصل في الرياض ينبغي أن يدار بمنطق علمي قائم على البيانات لا بمنطق الانطباعات العامة. فاختيار المنصة، وصياغة الرسالة، وتحديد المؤثر، وتوقيت الإعلان، وتسهيل تجربة الشراء كلها قرارات تحتاج إلى فهم دقيق لسلوك المستهلك. وبذلك يصبح النظريات المفسرة للدراسة مدخلاً لتحسين كفاءة الحملات الرقمية وتعزيز ثقة المستهلك في البيئة الإلكترونية.</w:t>
      </w:r>
    </w:p>
    <w:p w14:paraId="01A3FC80"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تعتمد الدراسة على ثلاثة مداخل نظرية رئيسة تتكامل فيما بينها لتفسير قرار الشراء عبر وسائل التواصل. هذا التكامل النظري مهم لأن قرار الشراء عبر وسائل التواصل لا يحدث في فراغ تقني أو اجتماعي فقط، بل في مساحة تجمع بين واجهة رقمية ومحتوى تجاري وتفاعل اجتماعي وحاجة استهلاكية.</w:t>
      </w:r>
    </w:p>
    <w:p w14:paraId="0B1A783F"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lastRenderedPageBreak/>
        <w:t>تفسر نظرية الفعل المنطقي أثر الاتجاهات والمعايير الاجتماعية في السلوك ‎</w:t>
      </w:r>
      <w:r>
        <w:rPr>
          <w:rFonts w:ascii="Times New Roman" w:eastAsia="Times New Roman" w:hAnsi="Times New Roman" w:cs="Times New Roman"/>
          <w:sz w:val="24"/>
          <w:szCs w:val="24"/>
        </w:rPr>
        <w:t>‎(Ajzen &amp; Fishbein, 1975)‎</w:t>
      </w:r>
      <w:r>
        <w:rPr>
          <w:rFonts w:ascii="Times New Roman" w:eastAsia="Arial" w:hAnsi="Times New Roman" w:cs="Times New Roman"/>
          <w:sz w:val="24"/>
          <w:szCs w:val="24"/>
          <w:rtl/>
        </w:rPr>
        <w:t>‎، بينما يركز نموذج قبول التكنولوجيا على الفائدة المدركة وسهولة الاستخدام بوصفهما عاملين أساسيين في قبول التقنية ‎</w:t>
      </w:r>
      <w:r>
        <w:rPr>
          <w:rFonts w:ascii="Times New Roman" w:eastAsia="Times New Roman" w:hAnsi="Times New Roman" w:cs="Times New Roman"/>
          <w:sz w:val="24"/>
          <w:szCs w:val="24"/>
        </w:rPr>
        <w:t>‎(Davis, 1989)‎</w:t>
      </w:r>
      <w:r>
        <w:rPr>
          <w:rFonts w:ascii="Times New Roman" w:eastAsia="Arial" w:hAnsi="Times New Roman" w:cs="Times New Roman"/>
          <w:sz w:val="24"/>
          <w:szCs w:val="24"/>
          <w:rtl/>
        </w:rPr>
        <w:t>‎. أما نظرية التدفق فتساعد على فهم الانغماس والمتعة أثناء التصفح، بما قد يزيد فرص التفاعل مع الرسائل التسويقية ‎</w:t>
      </w:r>
      <w:r>
        <w:rPr>
          <w:rFonts w:ascii="Times New Roman" w:eastAsia="Times New Roman" w:hAnsi="Times New Roman" w:cs="Times New Roman"/>
          <w:sz w:val="24"/>
          <w:szCs w:val="24"/>
        </w:rPr>
        <w:t>‎(Hoffman &amp; Novak, 1996)‎</w:t>
      </w:r>
      <w:r>
        <w:rPr>
          <w:rFonts w:ascii="Times New Roman" w:eastAsia="Arial" w:hAnsi="Times New Roman" w:cs="Times New Roman"/>
          <w:sz w:val="24"/>
          <w:szCs w:val="24"/>
          <w:rtl/>
        </w:rPr>
        <w:t>‎.</w:t>
      </w:r>
    </w:p>
    <w:p w14:paraId="1183AFC7" w14:textId="77777777" w:rsidR="00576C22" w:rsidRDefault="00D84DA8">
      <w:pPr>
        <w:spacing w:after="140" w:line="372" w:lineRule="auto"/>
        <w:jc w:val="right"/>
        <w:rPr>
          <w:rFonts w:ascii="Times New Roman" w:hAnsi="Times New Roman" w:cs="Times New Roman"/>
          <w:sz w:val="24"/>
          <w:szCs w:val="24"/>
        </w:rPr>
      </w:pPr>
      <w:r>
        <w:rPr>
          <w:rFonts w:ascii="Times New Roman" w:eastAsia="Arial" w:hAnsi="Times New Roman" w:cs="Times New Roman"/>
          <w:sz w:val="24"/>
          <w:szCs w:val="24"/>
          <w:rtl/>
        </w:rPr>
        <w:t>الجدول (2-1): ملخص النظريات المستخدمة في الدراسة</w:t>
      </w:r>
    </w:p>
    <w:tbl>
      <w:tblPr>
        <w:tblStyle w:val="TableGrid"/>
        <w:bidiVisual/>
        <w:tblW w:w="5000" w:type="pct"/>
        <w:jc w:val="center"/>
        <w:tblBorders>
          <w:top w:val="single" w:sz="6" w:space="0" w:color="777777"/>
          <w:left w:val="single" w:sz="6" w:space="0" w:color="777777"/>
          <w:bottom w:val="single" w:sz="6" w:space="0" w:color="777777"/>
          <w:right w:val="single" w:sz="6" w:space="0" w:color="777777"/>
          <w:insideH w:val="single" w:sz="6" w:space="0" w:color="777777"/>
          <w:insideV w:val="single" w:sz="6" w:space="0" w:color="777777"/>
        </w:tblBorders>
        <w:tblLayout w:type="fixed"/>
        <w:tblCellMar>
          <w:top w:w="80" w:type="dxa"/>
          <w:left w:w="80" w:type="dxa"/>
          <w:bottom w:w="80" w:type="dxa"/>
          <w:right w:w="80" w:type="dxa"/>
        </w:tblCellMar>
        <w:tblLook w:val="04A0" w:firstRow="1" w:lastRow="0" w:firstColumn="1" w:lastColumn="0" w:noHBand="0" w:noVBand="1"/>
      </w:tblPr>
      <w:tblGrid>
        <w:gridCol w:w="2073"/>
        <w:gridCol w:w="6451"/>
        <w:gridCol w:w="2534"/>
      </w:tblGrid>
      <w:tr w:rsidR="00576C22" w14:paraId="407F42B8" w14:textId="77777777">
        <w:trPr>
          <w:tblHeader/>
          <w:jc w:val="center"/>
        </w:trPr>
        <w:tc>
          <w:tcPr>
            <w:tcW w:w="1800" w:type="dxa"/>
            <w:vAlign w:val="center"/>
          </w:tcPr>
          <w:p w14:paraId="03FB2EB0"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b/>
                <w:sz w:val="24"/>
                <w:szCs w:val="24"/>
                <w:rtl/>
              </w:rPr>
              <w:t>النظرية</w:t>
            </w:r>
          </w:p>
        </w:tc>
        <w:tc>
          <w:tcPr>
            <w:tcW w:w="5600" w:type="dxa"/>
            <w:vAlign w:val="center"/>
          </w:tcPr>
          <w:p w14:paraId="563AD969"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b/>
                <w:sz w:val="24"/>
                <w:szCs w:val="24"/>
                <w:rtl/>
              </w:rPr>
              <w:t>العناصر الأساسية</w:t>
            </w:r>
          </w:p>
        </w:tc>
        <w:tc>
          <w:tcPr>
            <w:tcW w:w="2200" w:type="dxa"/>
            <w:vAlign w:val="center"/>
          </w:tcPr>
          <w:p w14:paraId="2AB36D92"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b/>
                <w:sz w:val="24"/>
                <w:szCs w:val="24"/>
                <w:rtl/>
              </w:rPr>
              <w:t>التطبيق في الدراسة</w:t>
            </w:r>
          </w:p>
        </w:tc>
      </w:tr>
      <w:tr w:rsidR="00576C22" w14:paraId="19C6A8E4" w14:textId="77777777">
        <w:trPr>
          <w:jc w:val="center"/>
        </w:trPr>
        <w:tc>
          <w:tcPr>
            <w:tcW w:w="1800" w:type="dxa"/>
            <w:vAlign w:val="center"/>
          </w:tcPr>
          <w:p w14:paraId="6D2F6E06"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نظرية الفعل المنطقي</w:t>
            </w:r>
          </w:p>
        </w:tc>
        <w:tc>
          <w:tcPr>
            <w:tcW w:w="5600" w:type="dxa"/>
            <w:vAlign w:val="center"/>
          </w:tcPr>
          <w:p w14:paraId="4F9CCC92"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الموقف، المعيار الذاتي، النية، السلوك</w:t>
            </w:r>
          </w:p>
        </w:tc>
        <w:tc>
          <w:tcPr>
            <w:tcW w:w="2200" w:type="dxa"/>
            <w:vAlign w:val="center"/>
          </w:tcPr>
          <w:p w14:paraId="4D60E890"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تفسير أثر الاتجاه نحو الإعلان وتأثير الآخرين في الشراء</w:t>
            </w:r>
          </w:p>
        </w:tc>
      </w:tr>
      <w:tr w:rsidR="00576C22" w14:paraId="0A03CD3B" w14:textId="77777777">
        <w:trPr>
          <w:jc w:val="center"/>
        </w:trPr>
        <w:tc>
          <w:tcPr>
            <w:tcW w:w="1800" w:type="dxa"/>
            <w:vAlign w:val="center"/>
          </w:tcPr>
          <w:p w14:paraId="7549FEBA"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نموذج قبول التكنولوجيا</w:t>
            </w:r>
          </w:p>
        </w:tc>
        <w:tc>
          <w:tcPr>
            <w:tcW w:w="5600" w:type="dxa"/>
            <w:vAlign w:val="center"/>
          </w:tcPr>
          <w:p w14:paraId="32BE25D9"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الفائدة المدركة، سهولة الاستخدام المدركة</w:t>
            </w:r>
          </w:p>
        </w:tc>
        <w:tc>
          <w:tcPr>
            <w:tcW w:w="2200" w:type="dxa"/>
            <w:vAlign w:val="center"/>
          </w:tcPr>
          <w:p w14:paraId="43BECE79"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تفسير قبول المستهلك للتسوق عبر المنصات الاجتماعية</w:t>
            </w:r>
          </w:p>
        </w:tc>
      </w:tr>
      <w:tr w:rsidR="00576C22" w14:paraId="020858BD" w14:textId="77777777">
        <w:trPr>
          <w:jc w:val="center"/>
        </w:trPr>
        <w:tc>
          <w:tcPr>
            <w:tcW w:w="1800" w:type="dxa"/>
            <w:vAlign w:val="center"/>
          </w:tcPr>
          <w:p w14:paraId="4EE4F8AB"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نظرية التدفق</w:t>
            </w:r>
          </w:p>
        </w:tc>
        <w:tc>
          <w:tcPr>
            <w:tcW w:w="5600" w:type="dxa"/>
            <w:vAlign w:val="center"/>
          </w:tcPr>
          <w:p w14:paraId="4124A6B7"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الانغماس، المتعة، فقدان الإحساس بالوقت، التركيز</w:t>
            </w:r>
          </w:p>
        </w:tc>
        <w:tc>
          <w:tcPr>
            <w:tcW w:w="2200" w:type="dxa"/>
            <w:vAlign w:val="center"/>
          </w:tcPr>
          <w:p w14:paraId="361C9837"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تفسير تأثير المحتوى الجذاب في استمرار التعرض والتفاعل والشراء</w:t>
            </w:r>
          </w:p>
        </w:tc>
      </w:tr>
      <w:tr w:rsidR="00576C22" w14:paraId="4CB18C80" w14:textId="77777777">
        <w:trPr>
          <w:jc w:val="center"/>
        </w:trPr>
        <w:tc>
          <w:tcPr>
            <w:tcW w:w="1800" w:type="dxa"/>
            <w:vAlign w:val="center"/>
          </w:tcPr>
          <w:p w14:paraId="15410D93"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نظرية انتشار الابتكارات</w:t>
            </w:r>
          </w:p>
        </w:tc>
        <w:tc>
          <w:tcPr>
            <w:tcW w:w="5600" w:type="dxa"/>
            <w:vAlign w:val="center"/>
          </w:tcPr>
          <w:p w14:paraId="7BB27BBF"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الميزة النسبية، التوافق، التعقيد، التجريبية، الملاحظة</w:t>
            </w:r>
          </w:p>
        </w:tc>
        <w:tc>
          <w:tcPr>
            <w:tcW w:w="2200" w:type="dxa"/>
            <w:vAlign w:val="center"/>
          </w:tcPr>
          <w:p w14:paraId="094239D6"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تفسير اختلاف سرعة تبني التسوق الرقمي بين الفئات الاجتماعية</w:t>
            </w:r>
          </w:p>
        </w:tc>
      </w:tr>
    </w:tbl>
    <w:p w14:paraId="5267E876" w14:textId="77777777" w:rsidR="00576C22" w:rsidRDefault="00D84DA8">
      <w:pPr>
        <w:pStyle w:val="Heading2"/>
        <w:spacing w:before="160" w:after="160"/>
        <w:jc w:val="right"/>
        <w:rPr>
          <w:rFonts w:ascii="Times New Roman" w:hAnsi="Times New Roman" w:cs="Times New Roman"/>
          <w:sz w:val="24"/>
          <w:szCs w:val="24"/>
        </w:rPr>
      </w:pPr>
      <w:r>
        <w:rPr>
          <w:rFonts w:ascii="Times New Roman" w:eastAsia="Arial" w:hAnsi="Times New Roman" w:cs="Times New Roman"/>
          <w:sz w:val="24"/>
          <w:szCs w:val="24"/>
          <w:rtl/>
        </w:rPr>
        <w:t>٢.٧ الإطار التنظيمي والأخلاقي للتسويق الرقمي</w:t>
      </w:r>
    </w:p>
    <w:p w14:paraId="774DC829"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تتطلب معالجة محور الإطار التنظيمي والأخلاقي للتسويق الرقمي النظر إليه بوصفه جزءاً من البناء النظري والدراسات السابقة لا فقرة منفصلة عن بقية الدراسة. فالدراسة لا تكتفي بعرض المفهوم أو النتيجة، بل تربطه بالسياق الأوسع المتعلق بـالثقة الرقمية، الكلمة المنطوقة إلكترونياً، خصائص المنصة، وقيمة الرسالة التسويقية. ويساعد هذا الربط على بناء تسلسل منطقي يبدأ من تحديد المشكلة وينتهي بتفسير النتائج واستخلاص التوصيات، وهو ما ينسجم مع طبيعة البحوث الأكاديمية التي تقيس العلاقة بين الظواهر الرقمية والسلوك الشرائي.</w:t>
      </w:r>
    </w:p>
    <w:p w14:paraId="7E04D02A"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في سياق مدينة الرياض، يكتسب هذا المحور أهمية خاصة بسبب كثافة النشاط التجاري وتعدد الفئات الاستهلاكية وتنوع المنصات التي يستخدمها المستهلكون يومياً. فالمستهلك لا يتعرض للمحتوى التسويقي في بيئة محايدة، بل في بيئة مزدحمة بالرسائل البصرية والتوصيات والعروض والمراجعات، ولذلك يصبح تفسير الإطار التنظيمي والأخلاقي للتسويق الرقمي مرتبطاً بمستوى الثقة، ووضوح الفائدة، وسهولة الانتقال من الإعلان إلى الشراء.</w:t>
      </w:r>
    </w:p>
    <w:p w14:paraId="19B2E474"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ومن الناحية التطبيقية، يوضح هذا المحور أن القرار الشرائي الرقمي لا يتشكل بفعل عامل واحد، بل من خلال تفاعل عدة عناصر مترابطة. فقد يكون الإعلان جذاباً لكنه لا يحقق أثراً إذا غابت المصداقية، وقد تكون المنصة واسعة الانتشار لكنها لا تحقق تحويلاً شرائياً إذا لم يكن مسار الدفع واضحاً. لذلك تتعامل الدراسة مع الإطار التنظيمي والأخلاقي للتسويق الرقمي باعتباره مكوناً تفسيرياً ضمن نموذج متكامل لا مجرد وصف عام للظاهرة.</w:t>
      </w:r>
    </w:p>
    <w:p w14:paraId="7EF30017"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كما أن قراءة هذا المحور تساعد على التمييز بين مؤشرات الانتباه ومؤشرات القرار. فالمشاهدة والإعجاب والحفظ والمشاركة مؤشرات أولية، لكنها لا تكفي للحكم على نجاح التسويق ما لم تتحول إلى استفسار أو شراء أو تكرار شراء. ولهذا يظل التركيز على الشراء الفعلي محوراً مهماً في الدراسة؛ لأنه يربط بين النشاط التسويقي والمخرجات الاقتصادية القابلة للقياس.</w:t>
      </w:r>
    </w:p>
    <w:p w14:paraId="4B577D46"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 xml:space="preserve">وتؤكد الدراسة من خلال هذا المحور أن التسويق عبر وسائل التواصل في الرياض ينبغي أن يدار بمنطق علمي قائم على البيانات لا بمنطق الانطباعات العامة. فاختيار المنصة، وصياغة الرسالة، وتحديد المؤثر، وتوقيت الإعلان، وتسهيل تجربة الشراء كلها قرارات تحتاج إلى فهم دقيق </w:t>
      </w:r>
      <w:r>
        <w:rPr>
          <w:rFonts w:ascii="Times New Roman" w:eastAsia="Arial" w:hAnsi="Times New Roman" w:cs="Times New Roman"/>
          <w:sz w:val="24"/>
          <w:szCs w:val="24"/>
          <w:rtl/>
        </w:rPr>
        <w:lastRenderedPageBreak/>
        <w:t>لسلوك المستهلك. وبذلك يصبح الإطار التنظيمي والأخلاقي للتسويق الرقمي مدخلاً لتحسين كفاءة الحملات الرقمية وتعزيز ثقة المستهلك في البيئة الإلكترونية.</w:t>
      </w:r>
    </w:p>
    <w:p w14:paraId="766DB746"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لا ينفصل التسويق عبر وسائل التواصل عن الإطار التنظيمي الذي يحكم التجارة الإلكترونية وحماية المستهلك والبيانات الشخصية. فقد صدر نظام التجارة الإلكترونية في السعودية لتنظيم التعاملات الإلكترونية وتعزيز الثقة بين المستهلك ومقدم الخدمة، ويتضمن متطلبات تتعلق بالإفصاح عن بيانات المتجر، ووضوح السعر، وحماية المستهلك من التضليل، وتنظيم الإعلان التجاري الإلكتروني ‎</w:t>
      </w:r>
      <w:r>
        <w:rPr>
          <w:rFonts w:ascii="Times New Roman" w:eastAsia="Times New Roman" w:hAnsi="Times New Roman" w:cs="Times New Roman"/>
          <w:sz w:val="24"/>
          <w:szCs w:val="24"/>
        </w:rPr>
        <w:t>‎(Bureau of Experts at the Council of Ministers, 2019)‎</w:t>
      </w:r>
      <w:r>
        <w:rPr>
          <w:rFonts w:ascii="Times New Roman" w:eastAsia="Arial" w:hAnsi="Times New Roman" w:cs="Times New Roman"/>
          <w:sz w:val="24"/>
          <w:szCs w:val="24"/>
          <w:rtl/>
        </w:rPr>
        <w:t>‎.</w:t>
      </w:r>
    </w:p>
    <w:p w14:paraId="6A1CF841"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كما يكتسب نظام حماية البيانات الشخصية أهمية خاصة في التسويق الرقمي، لأن الإعلانات الموجهة تعتمد على جمع وتحليل بيانات المستخدمين. ويستلزم ذلك وضوحاً في الغرض من جمع البيانات، ومراعاة حقوق الأفراد، والالتزام بالأنظمة ذات الصلة بحماية الخصوصية ‎</w:t>
      </w:r>
      <w:r>
        <w:rPr>
          <w:rFonts w:ascii="Times New Roman" w:eastAsia="Times New Roman" w:hAnsi="Times New Roman" w:cs="Times New Roman"/>
          <w:sz w:val="24"/>
          <w:szCs w:val="24"/>
        </w:rPr>
        <w:t>‎(Saudi Data &amp; AI Authority, 2023)‎</w:t>
      </w:r>
      <w:r>
        <w:rPr>
          <w:rFonts w:ascii="Times New Roman" w:eastAsia="Arial" w:hAnsi="Times New Roman" w:cs="Times New Roman"/>
          <w:sz w:val="24"/>
          <w:szCs w:val="24"/>
          <w:rtl/>
        </w:rPr>
        <w:t>‎.</w:t>
      </w:r>
    </w:p>
    <w:p w14:paraId="746CD151"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أخلاقياً، ينبغي أن يكون المحتوى الإعلاني واضحاً غير مضلل، وأن يفصح المؤثر عن العلاقة التجارية عندما تكون التوصية مدفوعة. كما ينبغي للشركات تجنب استخدام أساليب تضغط على المستهلك الضعيف أو تستغل الخوف من فوات الفرصة بصورة مبالغ فيها.</w:t>
      </w:r>
    </w:p>
    <w:p w14:paraId="0DA70C5C" w14:textId="77777777" w:rsidR="00576C22" w:rsidRDefault="00D84DA8">
      <w:pPr>
        <w:pStyle w:val="Heading2"/>
        <w:spacing w:before="160" w:after="160"/>
        <w:jc w:val="right"/>
        <w:rPr>
          <w:rFonts w:ascii="Times New Roman" w:hAnsi="Times New Roman" w:cs="Times New Roman"/>
          <w:sz w:val="24"/>
          <w:szCs w:val="24"/>
        </w:rPr>
      </w:pPr>
      <w:r>
        <w:rPr>
          <w:rFonts w:ascii="Times New Roman" w:eastAsia="Arial" w:hAnsi="Times New Roman" w:cs="Times New Roman"/>
          <w:sz w:val="24"/>
          <w:szCs w:val="24"/>
          <w:rtl/>
        </w:rPr>
        <w:t>٢.٨ الدراسات السابقة</w:t>
      </w:r>
    </w:p>
    <w:p w14:paraId="5C91E9AE"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تتطلب معالجة محور الدراسات السابقة النظر إليه بوصفه جزءاً من البناء النظري والدراسات السابقة لا فقرة منفصلة عن بقية الدراسة. فالدراسة لا تكتفي بعرض المفهوم أو النتيجة، بل تربطه بالسياق الأوسع المتعلق بـالثقة الرقمية، الكلمة المنطوقة إلكترونياً، خصائص المنصة، وقيمة الرسالة التسويقية. ويساعد هذا الربط على بناء تسلسل منطقي يبدأ من تحديد المشكلة وينتهي بتفسير النتائج واستخلاص التوصيات، وهو ما ينسجم مع طبيعة البحوث الأكاديمية التي تقيس العلاقة بين الظواهر الرقمية والسلوك الشرائي.</w:t>
      </w:r>
    </w:p>
    <w:p w14:paraId="64BEA441"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في سياق مدينة الرياض، يكتسب هذا المحور أهمية خاصة بسبب كثافة النشاط التجاري وتعدد الفئات الاستهلاكية وتنوع المنصات التي يستخدمها المستهلكون يومياً. فالمستهلك لا يتعرض للمحتوى التسويقي في بيئة محايدة، بل في بيئة مزدحمة بالرسائل البصرية والتوصيات والعروض والمراجعات، ولذلك يصبح تفسير الدراسات السابقة مرتبطاً بمستوى الثقة، ووضوح الفائدة، وسهولة الانتقال من الإعلان إلى الشراء.</w:t>
      </w:r>
    </w:p>
    <w:p w14:paraId="00B04EF9"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ومن الناحية التطبيقية، يوضح هذا المحور أن القرار الشرائي الرقمي لا يتشكل بفعل عامل واحد، بل من خلال تفاعل عدة عناصر مترابطة. فقد يكون الإعلان جذاباً لكنه لا يحقق أثراً إذا غابت المصداقية، وقد تكون المنصة واسعة الانتشار لكنها لا تحقق تحويلاً شرائياً إذا لم يكن مسار الدفع واضحاً. لذلك تتعامل الدراسة مع الدراسات السابقة باعتباره مكوناً تفسيرياً ضمن نموذج متكامل لا مجرد وصف عام للظاهرة.</w:t>
      </w:r>
    </w:p>
    <w:p w14:paraId="06D25584"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كما أن قراءة هذا المحور تساعد على التمييز بين مؤشرات الانتباه ومؤشرات القرار. فالمشاهدة والإعجاب والحفظ والمشاركة مؤشرات أولية، لكنها لا تكفي للحكم على نجاح التسويق ما لم تتحول إلى استفسار أو شراء أو تكرار شراء. ولهذا يظل التركيز على الشراء الفعلي محوراً مهماً في الدراسة؛ لأنه يربط بين النشاط التسويقي والمخرجات الاقتصادية القابلة للقياس.</w:t>
      </w:r>
    </w:p>
    <w:p w14:paraId="4E275F20"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وتؤكد الدراسة من خلال هذا المحور أن التسويق عبر وسائل التواصل في الرياض ينبغي أن يدار بمنطق علمي قائم على البيانات لا بمنطق الانطباعات العامة. فاختيار المنصة، وصياغة الرسالة، وتحديد المؤثر، وتوقيت الإعلان، وتسهيل تجربة الشراء كلها قرارات تحتاج إلى فهم دقيق لسلوك المستهلك. وبذلك يصبح الدراسات السابقة مدخلاً لتحسين كفاءة الحملات الرقمية وتعزيز ثقة المستهلك في البيئة الإلكترونية.</w:t>
      </w:r>
    </w:p>
    <w:p w14:paraId="5779407A"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 xml:space="preserve">تناولت دراسات عديدة أثر التسويق عبر وسائل التواصل في سلوك المستهلك، وتنوعت هذه الدراسات في مناهجها وعيناتها ونتائجها. أظهرت دراسة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Alalwan</w:t>
      </w:r>
      <w:proofErr w:type="spellEnd"/>
      <w:r>
        <w:rPr>
          <w:rFonts w:ascii="Times New Roman" w:eastAsia="Times New Roman" w:hAnsi="Times New Roman" w:cs="Times New Roman"/>
          <w:sz w:val="24"/>
          <w:szCs w:val="24"/>
        </w:rPr>
        <w:t xml:space="preserve"> ‎</w:t>
      </w:r>
      <w:r>
        <w:rPr>
          <w:rFonts w:ascii="Times New Roman" w:eastAsia="Arial" w:hAnsi="Times New Roman" w:cs="Times New Roman"/>
          <w:sz w:val="24"/>
          <w:szCs w:val="24"/>
          <w:rtl/>
        </w:rPr>
        <w:t>(2018) أن الإعلانات المفيدة والجذابة والتفاعلية تؤثر بشكل إيجابي في نية الشراء. كما بينت دراسة ‎</w:t>
      </w:r>
      <w:r>
        <w:rPr>
          <w:rFonts w:ascii="Times New Roman" w:eastAsia="Times New Roman" w:hAnsi="Times New Roman" w:cs="Times New Roman"/>
          <w:sz w:val="24"/>
          <w:szCs w:val="24"/>
        </w:rPr>
        <w:t>‎(Kim &amp; Ko, 2012)‎</w:t>
      </w:r>
      <w:r>
        <w:rPr>
          <w:rFonts w:ascii="Times New Roman" w:eastAsia="Arial" w:hAnsi="Times New Roman" w:cs="Times New Roman"/>
          <w:sz w:val="24"/>
          <w:szCs w:val="24"/>
          <w:rtl/>
        </w:rPr>
        <w:t>‎ أن أنشطة التسويق الاجتماعي تعزز استجابات المستهلك وتؤثر في نية الشراء.</w:t>
      </w:r>
    </w:p>
    <w:p w14:paraId="61AB756A"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lastRenderedPageBreak/>
        <w:t xml:space="preserve">أكدت دراسة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Hajli</w:t>
      </w:r>
      <w:proofErr w:type="spellEnd"/>
      <w:r>
        <w:rPr>
          <w:rFonts w:ascii="Times New Roman" w:eastAsia="Times New Roman" w:hAnsi="Times New Roman" w:cs="Times New Roman"/>
          <w:sz w:val="24"/>
          <w:szCs w:val="24"/>
        </w:rPr>
        <w:t xml:space="preserve"> ‎</w:t>
      </w:r>
      <w:r>
        <w:rPr>
          <w:rFonts w:ascii="Times New Roman" w:eastAsia="Arial" w:hAnsi="Times New Roman" w:cs="Times New Roman"/>
          <w:sz w:val="24"/>
          <w:szCs w:val="24"/>
          <w:rtl/>
        </w:rPr>
        <w:t>(2015) أهمية المراجعات والتوصيات والمجتمعات الرقمية في بناء الثقة وتحفيز نية الشراء. كما قدم ‎</w:t>
      </w:r>
      <w:r>
        <w:rPr>
          <w:rFonts w:ascii="Times New Roman" w:eastAsia="Times New Roman" w:hAnsi="Times New Roman" w:cs="Times New Roman"/>
          <w:sz w:val="24"/>
          <w:szCs w:val="24"/>
        </w:rPr>
        <w:t>‎(Cheung &amp; Thadani, 2012)‎</w:t>
      </w:r>
      <w:r>
        <w:rPr>
          <w:rFonts w:ascii="Times New Roman" w:eastAsia="Arial" w:hAnsi="Times New Roman" w:cs="Times New Roman"/>
          <w:sz w:val="24"/>
          <w:szCs w:val="24"/>
          <w:rtl/>
        </w:rPr>
        <w:t>‎ نموذجاً تفسيرياً لأثر الكلمة المنطوقة إلكترونياً، مبينين أن جودة المعلومات ومصداقية المصدر والسياق الاجتماعي تؤثر في قرارات المستهلكين.</w:t>
      </w:r>
    </w:p>
    <w:p w14:paraId="09C44F55"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أوضحت دراسة ‎</w:t>
      </w:r>
      <w:r>
        <w:rPr>
          <w:rFonts w:ascii="Times New Roman" w:eastAsia="Times New Roman" w:hAnsi="Times New Roman" w:cs="Times New Roman"/>
          <w:sz w:val="24"/>
          <w:szCs w:val="24"/>
        </w:rPr>
        <w:t>‎(Masuda et al., 2022)‎</w:t>
      </w:r>
      <w:r>
        <w:rPr>
          <w:rFonts w:ascii="Times New Roman" w:eastAsia="Arial" w:hAnsi="Times New Roman" w:cs="Times New Roman"/>
          <w:sz w:val="24"/>
          <w:szCs w:val="24"/>
          <w:rtl/>
        </w:rPr>
        <w:t>‎ أن سمات المؤثرين وعلاقاتهم شبه الاجتماعية مع المتابعين يمكن أن تؤثر في نية الشراء. كما أبرزت دراسة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Mabkhot</w:t>
      </w:r>
      <w:proofErr w:type="spellEnd"/>
      <w:r>
        <w:rPr>
          <w:rFonts w:ascii="Times New Roman" w:eastAsia="Times New Roman" w:hAnsi="Times New Roman" w:cs="Times New Roman"/>
          <w:sz w:val="24"/>
          <w:szCs w:val="24"/>
        </w:rPr>
        <w:t xml:space="preserve"> et al., 2022)‎</w:t>
      </w:r>
      <w:r>
        <w:rPr>
          <w:rFonts w:ascii="Times New Roman" w:eastAsia="Arial" w:hAnsi="Times New Roman" w:cs="Times New Roman"/>
          <w:sz w:val="24"/>
          <w:szCs w:val="24"/>
          <w:rtl/>
        </w:rPr>
        <w:t>‎ أهمية مصداقية المؤثرين في تكوين نوايا الشراء في سياقات رقمية.</w:t>
      </w:r>
    </w:p>
    <w:p w14:paraId="4B2431F7" w14:textId="77777777" w:rsidR="00576C22" w:rsidRDefault="00D84DA8">
      <w:pPr>
        <w:spacing w:after="140" w:line="372" w:lineRule="auto"/>
        <w:jc w:val="right"/>
        <w:rPr>
          <w:rFonts w:ascii="Times New Roman" w:hAnsi="Times New Roman" w:cs="Times New Roman"/>
          <w:sz w:val="24"/>
          <w:szCs w:val="24"/>
        </w:rPr>
      </w:pPr>
      <w:r>
        <w:rPr>
          <w:rFonts w:ascii="Times New Roman" w:eastAsia="Arial" w:hAnsi="Times New Roman" w:cs="Times New Roman"/>
          <w:sz w:val="24"/>
          <w:szCs w:val="24"/>
          <w:rtl/>
        </w:rPr>
        <w:t>الجدول (2-2): ملخص الدراسات السابقة</w:t>
      </w:r>
    </w:p>
    <w:tbl>
      <w:tblPr>
        <w:tblStyle w:val="TableGrid"/>
        <w:bidiVisual/>
        <w:tblW w:w="5000" w:type="pct"/>
        <w:jc w:val="center"/>
        <w:tblBorders>
          <w:top w:val="single" w:sz="6" w:space="0" w:color="777777"/>
          <w:left w:val="single" w:sz="6" w:space="0" w:color="777777"/>
          <w:bottom w:val="single" w:sz="6" w:space="0" w:color="777777"/>
          <w:right w:val="single" w:sz="6" w:space="0" w:color="777777"/>
          <w:insideH w:val="single" w:sz="6" w:space="0" w:color="777777"/>
          <w:insideV w:val="single" w:sz="6" w:space="0" w:color="777777"/>
        </w:tblBorders>
        <w:tblLayout w:type="fixed"/>
        <w:tblCellMar>
          <w:top w:w="80" w:type="dxa"/>
          <w:left w:w="80" w:type="dxa"/>
          <w:bottom w:w="80" w:type="dxa"/>
          <w:right w:w="80" w:type="dxa"/>
        </w:tblCellMar>
        <w:tblLook w:val="04A0" w:firstRow="1" w:lastRow="0" w:firstColumn="1" w:lastColumn="0" w:noHBand="0" w:noVBand="1"/>
      </w:tblPr>
      <w:tblGrid>
        <w:gridCol w:w="1728"/>
        <w:gridCol w:w="1843"/>
        <w:gridCol w:w="2073"/>
        <w:gridCol w:w="2649"/>
        <w:gridCol w:w="2765"/>
      </w:tblGrid>
      <w:tr w:rsidR="00576C22" w14:paraId="022F89FF" w14:textId="77777777">
        <w:trPr>
          <w:tblHeader/>
          <w:jc w:val="center"/>
        </w:trPr>
        <w:tc>
          <w:tcPr>
            <w:tcW w:w="1500" w:type="dxa"/>
            <w:vAlign w:val="center"/>
          </w:tcPr>
          <w:p w14:paraId="469DB283"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b/>
                <w:sz w:val="24"/>
                <w:szCs w:val="24"/>
                <w:rtl/>
              </w:rPr>
              <w:t>الباحث/ون</w:t>
            </w:r>
          </w:p>
        </w:tc>
        <w:tc>
          <w:tcPr>
            <w:tcW w:w="1600" w:type="dxa"/>
            <w:vAlign w:val="center"/>
          </w:tcPr>
          <w:p w14:paraId="2AD62701"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b/>
                <w:sz w:val="24"/>
                <w:szCs w:val="24"/>
                <w:rtl/>
              </w:rPr>
              <w:t>السنة</w:t>
            </w:r>
          </w:p>
        </w:tc>
        <w:tc>
          <w:tcPr>
            <w:tcW w:w="1800" w:type="dxa"/>
            <w:vAlign w:val="center"/>
          </w:tcPr>
          <w:p w14:paraId="74A31BEA"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b/>
                <w:sz w:val="24"/>
                <w:szCs w:val="24"/>
                <w:rtl/>
              </w:rPr>
              <w:t>السياق</w:t>
            </w:r>
          </w:p>
        </w:tc>
        <w:tc>
          <w:tcPr>
            <w:tcW w:w="2300" w:type="dxa"/>
            <w:vAlign w:val="center"/>
          </w:tcPr>
          <w:p w14:paraId="3072D5F2"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b/>
                <w:sz w:val="24"/>
                <w:szCs w:val="24"/>
                <w:rtl/>
              </w:rPr>
              <w:t>هدف الدراسة</w:t>
            </w:r>
          </w:p>
        </w:tc>
        <w:tc>
          <w:tcPr>
            <w:tcW w:w="2400" w:type="dxa"/>
            <w:vAlign w:val="center"/>
          </w:tcPr>
          <w:p w14:paraId="40867B28"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b/>
                <w:sz w:val="24"/>
                <w:szCs w:val="24"/>
                <w:rtl/>
              </w:rPr>
              <w:t>أبرز النتائج</w:t>
            </w:r>
          </w:p>
        </w:tc>
      </w:tr>
      <w:tr w:rsidR="00576C22" w14:paraId="547BF432" w14:textId="77777777">
        <w:trPr>
          <w:jc w:val="center"/>
        </w:trPr>
        <w:tc>
          <w:tcPr>
            <w:tcW w:w="1500" w:type="dxa"/>
            <w:vAlign w:val="center"/>
          </w:tcPr>
          <w:p w14:paraId="74CDB4A7" w14:textId="77777777" w:rsidR="00576C22" w:rsidRDefault="00D84DA8">
            <w:pPr>
              <w:spacing w:after="40" w:line="251" w:lineRule="auto"/>
              <w:jc w:val="right"/>
              <w:rPr>
                <w:rFonts w:ascii="Times New Roman" w:hAnsi="Times New Roman" w:cs="Times New Roman"/>
                <w:sz w:val="24"/>
                <w:szCs w:val="24"/>
              </w:rPr>
            </w:pPr>
            <w:proofErr w:type="spellStart"/>
            <w:r>
              <w:rPr>
                <w:rFonts w:ascii="Times New Roman" w:eastAsia="Times New Roman" w:hAnsi="Times New Roman" w:cs="Times New Roman"/>
                <w:sz w:val="24"/>
                <w:szCs w:val="24"/>
              </w:rPr>
              <w:t>Alalwan</w:t>
            </w:r>
            <w:proofErr w:type="spellEnd"/>
          </w:p>
        </w:tc>
        <w:tc>
          <w:tcPr>
            <w:tcW w:w="1600" w:type="dxa"/>
            <w:vAlign w:val="center"/>
          </w:tcPr>
          <w:p w14:paraId="129873A4"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2018</w:t>
            </w:r>
          </w:p>
        </w:tc>
        <w:tc>
          <w:tcPr>
            <w:tcW w:w="1800" w:type="dxa"/>
            <w:vAlign w:val="center"/>
          </w:tcPr>
          <w:p w14:paraId="7D9926A0"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الأردن/إطار عام</w:t>
            </w:r>
          </w:p>
        </w:tc>
        <w:tc>
          <w:tcPr>
            <w:tcW w:w="2300" w:type="dxa"/>
            <w:vAlign w:val="center"/>
          </w:tcPr>
          <w:p w14:paraId="776BD656"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اختبار أثر خصائص إعلانات وسائل التواصل على نية الشراء</w:t>
            </w:r>
          </w:p>
        </w:tc>
        <w:tc>
          <w:tcPr>
            <w:tcW w:w="2400" w:type="dxa"/>
            <w:vAlign w:val="center"/>
          </w:tcPr>
          <w:p w14:paraId="7F0A9826"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الإعلانات المفيدة والجذابة والتفاعلية تؤثر في نية الشراء</w:t>
            </w:r>
          </w:p>
        </w:tc>
      </w:tr>
      <w:tr w:rsidR="00576C22" w14:paraId="7084DA6D" w14:textId="77777777">
        <w:trPr>
          <w:jc w:val="center"/>
        </w:trPr>
        <w:tc>
          <w:tcPr>
            <w:tcW w:w="1500" w:type="dxa"/>
            <w:vAlign w:val="center"/>
          </w:tcPr>
          <w:p w14:paraId="32540EE3" w14:textId="77777777" w:rsidR="00576C22" w:rsidRDefault="00D84DA8">
            <w:pPr>
              <w:spacing w:after="40" w:line="251" w:lineRule="auto"/>
              <w:jc w:val="right"/>
              <w:rPr>
                <w:rFonts w:ascii="Times New Roman" w:hAnsi="Times New Roman" w:cs="Times New Roman"/>
                <w:sz w:val="24"/>
                <w:szCs w:val="24"/>
              </w:rPr>
            </w:pPr>
            <w:proofErr w:type="spellStart"/>
            <w:r>
              <w:rPr>
                <w:rFonts w:ascii="Times New Roman" w:eastAsia="Times New Roman" w:hAnsi="Times New Roman" w:cs="Times New Roman"/>
                <w:sz w:val="24"/>
                <w:szCs w:val="24"/>
              </w:rPr>
              <w:t>Hajli</w:t>
            </w:r>
            <w:proofErr w:type="spellEnd"/>
          </w:p>
        </w:tc>
        <w:tc>
          <w:tcPr>
            <w:tcW w:w="1600" w:type="dxa"/>
            <w:vAlign w:val="center"/>
          </w:tcPr>
          <w:p w14:paraId="5DCBE372"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2015</w:t>
            </w:r>
          </w:p>
        </w:tc>
        <w:tc>
          <w:tcPr>
            <w:tcW w:w="1800" w:type="dxa"/>
            <w:vAlign w:val="center"/>
          </w:tcPr>
          <w:p w14:paraId="71E1631A"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التجارة الاجتماعية</w:t>
            </w:r>
          </w:p>
        </w:tc>
        <w:tc>
          <w:tcPr>
            <w:tcW w:w="2300" w:type="dxa"/>
            <w:vAlign w:val="center"/>
          </w:tcPr>
          <w:p w14:paraId="6EA3E2B7"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تحليل أثر التوصيات والمراجعات والثقة في نية الشراء</w:t>
            </w:r>
          </w:p>
        </w:tc>
        <w:tc>
          <w:tcPr>
            <w:tcW w:w="2400" w:type="dxa"/>
            <w:vAlign w:val="center"/>
          </w:tcPr>
          <w:p w14:paraId="203D7381"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مكونات التجارة الاجتماعية تبني الثقة، والثقة تدعم نية الشراء</w:t>
            </w:r>
          </w:p>
        </w:tc>
      </w:tr>
      <w:tr w:rsidR="00576C22" w14:paraId="52B5BD57" w14:textId="77777777">
        <w:trPr>
          <w:jc w:val="center"/>
        </w:trPr>
        <w:tc>
          <w:tcPr>
            <w:tcW w:w="1500" w:type="dxa"/>
            <w:vAlign w:val="center"/>
          </w:tcPr>
          <w:p w14:paraId="33BC7B23" w14:textId="77777777" w:rsidR="00576C22" w:rsidRDefault="00D84DA8">
            <w:pPr>
              <w:spacing w:after="40" w:line="251" w:lineRule="auto"/>
              <w:jc w:val="right"/>
              <w:rPr>
                <w:rFonts w:ascii="Times New Roman" w:hAnsi="Times New Roman" w:cs="Times New Roman"/>
                <w:sz w:val="24"/>
                <w:szCs w:val="24"/>
              </w:rPr>
            </w:pPr>
            <w:r>
              <w:rPr>
                <w:rFonts w:ascii="Times New Roman" w:eastAsia="Times New Roman" w:hAnsi="Times New Roman" w:cs="Times New Roman"/>
                <w:sz w:val="24"/>
                <w:szCs w:val="24"/>
              </w:rPr>
              <w:t>Kim &amp; Ko</w:t>
            </w:r>
          </w:p>
        </w:tc>
        <w:tc>
          <w:tcPr>
            <w:tcW w:w="1600" w:type="dxa"/>
            <w:vAlign w:val="center"/>
          </w:tcPr>
          <w:p w14:paraId="60CCCB26"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2012</w:t>
            </w:r>
          </w:p>
        </w:tc>
        <w:tc>
          <w:tcPr>
            <w:tcW w:w="1800" w:type="dxa"/>
            <w:vAlign w:val="center"/>
          </w:tcPr>
          <w:p w14:paraId="2B9A5E0D"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العلامات الفاخرة</w:t>
            </w:r>
          </w:p>
        </w:tc>
        <w:tc>
          <w:tcPr>
            <w:tcW w:w="2300" w:type="dxa"/>
            <w:vAlign w:val="center"/>
          </w:tcPr>
          <w:p w14:paraId="5C16EC1E"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تحليل أثر أنشطة التسويق عبر وسائل التواصل في قيمة العميل</w:t>
            </w:r>
          </w:p>
        </w:tc>
        <w:tc>
          <w:tcPr>
            <w:tcW w:w="2400" w:type="dxa"/>
            <w:vAlign w:val="center"/>
          </w:tcPr>
          <w:p w14:paraId="766D1B1A"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أنشطة التسويق الاجتماعي تعزز استجابات المستهلك وتؤثر في نية الشراء</w:t>
            </w:r>
          </w:p>
        </w:tc>
      </w:tr>
      <w:tr w:rsidR="00576C22" w14:paraId="1263F849" w14:textId="77777777">
        <w:trPr>
          <w:jc w:val="center"/>
        </w:trPr>
        <w:tc>
          <w:tcPr>
            <w:tcW w:w="1500" w:type="dxa"/>
            <w:vAlign w:val="center"/>
          </w:tcPr>
          <w:p w14:paraId="212D870D" w14:textId="77777777" w:rsidR="00576C22" w:rsidRDefault="00D84DA8">
            <w:pPr>
              <w:spacing w:after="40" w:line="251" w:lineRule="auto"/>
              <w:jc w:val="right"/>
              <w:rPr>
                <w:rFonts w:ascii="Times New Roman" w:hAnsi="Times New Roman" w:cs="Times New Roman"/>
                <w:sz w:val="24"/>
                <w:szCs w:val="24"/>
              </w:rPr>
            </w:pPr>
            <w:r>
              <w:rPr>
                <w:rFonts w:ascii="Times New Roman" w:eastAsia="Times New Roman" w:hAnsi="Times New Roman" w:cs="Times New Roman"/>
                <w:sz w:val="24"/>
                <w:szCs w:val="24"/>
              </w:rPr>
              <w:t>Cheung &amp; Thadani</w:t>
            </w:r>
          </w:p>
        </w:tc>
        <w:tc>
          <w:tcPr>
            <w:tcW w:w="1600" w:type="dxa"/>
            <w:vAlign w:val="center"/>
          </w:tcPr>
          <w:p w14:paraId="6AA2CC65"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2012</w:t>
            </w:r>
          </w:p>
        </w:tc>
        <w:tc>
          <w:tcPr>
            <w:tcW w:w="1800" w:type="dxa"/>
            <w:vAlign w:val="center"/>
          </w:tcPr>
          <w:p w14:paraId="02883442"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مراجعة أدبية</w:t>
            </w:r>
          </w:p>
        </w:tc>
        <w:tc>
          <w:tcPr>
            <w:tcW w:w="2300" w:type="dxa"/>
            <w:vAlign w:val="center"/>
          </w:tcPr>
          <w:p w14:paraId="3E497B3A"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تحليل أثر الكلمة المنطوقة إلكترونياً</w:t>
            </w:r>
          </w:p>
        </w:tc>
        <w:tc>
          <w:tcPr>
            <w:tcW w:w="2400" w:type="dxa"/>
            <w:vAlign w:val="center"/>
          </w:tcPr>
          <w:p w14:paraId="24094334"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جودة المعلومات ومصداقية المصدر من عوامل التأثير في السلوك</w:t>
            </w:r>
          </w:p>
        </w:tc>
      </w:tr>
      <w:tr w:rsidR="00576C22" w14:paraId="628DE645" w14:textId="77777777">
        <w:trPr>
          <w:jc w:val="center"/>
        </w:trPr>
        <w:tc>
          <w:tcPr>
            <w:tcW w:w="1500" w:type="dxa"/>
            <w:vAlign w:val="center"/>
          </w:tcPr>
          <w:p w14:paraId="2038CC8F" w14:textId="77777777" w:rsidR="00576C22" w:rsidRDefault="00D84DA8">
            <w:pPr>
              <w:spacing w:after="40" w:line="251" w:lineRule="auto"/>
              <w:jc w:val="right"/>
              <w:rPr>
                <w:rFonts w:ascii="Times New Roman" w:hAnsi="Times New Roman" w:cs="Times New Roman"/>
                <w:sz w:val="24"/>
                <w:szCs w:val="24"/>
              </w:rPr>
            </w:pPr>
            <w:r>
              <w:rPr>
                <w:rFonts w:ascii="Times New Roman" w:eastAsia="Times New Roman" w:hAnsi="Times New Roman" w:cs="Times New Roman"/>
                <w:sz w:val="24"/>
                <w:szCs w:val="24"/>
              </w:rPr>
              <w:t>Leong et al.</w:t>
            </w:r>
          </w:p>
        </w:tc>
        <w:tc>
          <w:tcPr>
            <w:tcW w:w="1600" w:type="dxa"/>
            <w:vAlign w:val="center"/>
          </w:tcPr>
          <w:p w14:paraId="3E0C3ABA"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2022</w:t>
            </w:r>
          </w:p>
        </w:tc>
        <w:tc>
          <w:tcPr>
            <w:tcW w:w="1800" w:type="dxa"/>
            <w:vAlign w:val="center"/>
          </w:tcPr>
          <w:p w14:paraId="7635D4EC"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وسائل التواصل/</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eWOM</w:t>
            </w:r>
            <w:proofErr w:type="spellEnd"/>
            <w:r>
              <w:rPr>
                <w:rFonts w:ascii="Times New Roman" w:eastAsia="Times New Roman" w:hAnsi="Times New Roman" w:cs="Times New Roman"/>
                <w:sz w:val="24"/>
                <w:szCs w:val="24"/>
              </w:rPr>
              <w:t>‎</w:t>
            </w:r>
          </w:p>
        </w:tc>
        <w:tc>
          <w:tcPr>
            <w:tcW w:w="2300" w:type="dxa"/>
            <w:vAlign w:val="center"/>
          </w:tcPr>
          <w:p w14:paraId="0A365C65"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 xml:space="preserve">اختبار خصائص معلومات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eWOM</w:t>
            </w:r>
            <w:proofErr w:type="spellEnd"/>
            <w:r>
              <w:rPr>
                <w:rFonts w:ascii="Times New Roman" w:eastAsia="Times New Roman" w:hAnsi="Times New Roman" w:cs="Times New Roman"/>
                <w:sz w:val="24"/>
                <w:szCs w:val="24"/>
              </w:rPr>
              <w:t xml:space="preserve"> ‎</w:t>
            </w:r>
            <w:r>
              <w:rPr>
                <w:rFonts w:ascii="Times New Roman" w:eastAsia="Arial" w:hAnsi="Times New Roman" w:cs="Times New Roman"/>
                <w:sz w:val="24"/>
                <w:szCs w:val="24"/>
                <w:rtl/>
              </w:rPr>
              <w:t>على نية الشراء</w:t>
            </w:r>
          </w:p>
        </w:tc>
        <w:tc>
          <w:tcPr>
            <w:tcW w:w="2400" w:type="dxa"/>
            <w:vAlign w:val="center"/>
          </w:tcPr>
          <w:p w14:paraId="62834F81"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المصداقية والملاءمة وجودة المعلومات تؤثر في تبني المعلومات ونية الشراء</w:t>
            </w:r>
          </w:p>
        </w:tc>
      </w:tr>
      <w:tr w:rsidR="00576C22" w14:paraId="201EBCA7" w14:textId="77777777">
        <w:trPr>
          <w:jc w:val="center"/>
        </w:trPr>
        <w:tc>
          <w:tcPr>
            <w:tcW w:w="1500" w:type="dxa"/>
            <w:vAlign w:val="center"/>
          </w:tcPr>
          <w:p w14:paraId="78C7E02C" w14:textId="77777777" w:rsidR="00576C22" w:rsidRDefault="00D84DA8">
            <w:pPr>
              <w:spacing w:after="40" w:line="251" w:lineRule="auto"/>
              <w:jc w:val="right"/>
              <w:rPr>
                <w:rFonts w:ascii="Times New Roman" w:hAnsi="Times New Roman" w:cs="Times New Roman"/>
                <w:sz w:val="24"/>
                <w:szCs w:val="24"/>
              </w:rPr>
            </w:pPr>
            <w:r>
              <w:rPr>
                <w:rFonts w:ascii="Times New Roman" w:eastAsia="Times New Roman" w:hAnsi="Times New Roman" w:cs="Times New Roman"/>
                <w:sz w:val="24"/>
                <w:szCs w:val="24"/>
              </w:rPr>
              <w:t>Masuda et al.</w:t>
            </w:r>
          </w:p>
        </w:tc>
        <w:tc>
          <w:tcPr>
            <w:tcW w:w="1600" w:type="dxa"/>
            <w:vAlign w:val="center"/>
          </w:tcPr>
          <w:p w14:paraId="26EFE289"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2022</w:t>
            </w:r>
          </w:p>
        </w:tc>
        <w:tc>
          <w:tcPr>
            <w:tcW w:w="1800" w:type="dxa"/>
            <w:vAlign w:val="center"/>
          </w:tcPr>
          <w:p w14:paraId="5BD260A2"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تسويق المؤثرين</w:t>
            </w:r>
          </w:p>
        </w:tc>
        <w:tc>
          <w:tcPr>
            <w:tcW w:w="2300" w:type="dxa"/>
            <w:vAlign w:val="center"/>
          </w:tcPr>
          <w:p w14:paraId="30D20FE7"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تحليل سمات المؤثرين وأثرها في نية الشراء</w:t>
            </w:r>
          </w:p>
        </w:tc>
        <w:tc>
          <w:tcPr>
            <w:tcW w:w="2400" w:type="dxa"/>
            <w:vAlign w:val="center"/>
          </w:tcPr>
          <w:p w14:paraId="05B8DDB9"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العلاقة شبه الاجتماعية وسمات المؤثرين تؤثر في الاستجابة الشرائية</w:t>
            </w:r>
          </w:p>
        </w:tc>
      </w:tr>
      <w:tr w:rsidR="00576C22" w14:paraId="50E5C4B3" w14:textId="77777777">
        <w:trPr>
          <w:jc w:val="center"/>
        </w:trPr>
        <w:tc>
          <w:tcPr>
            <w:tcW w:w="1500" w:type="dxa"/>
            <w:vAlign w:val="center"/>
          </w:tcPr>
          <w:p w14:paraId="56382038" w14:textId="77777777" w:rsidR="00576C22" w:rsidRDefault="00D84DA8">
            <w:pPr>
              <w:spacing w:after="40" w:line="251" w:lineRule="auto"/>
              <w:jc w:val="right"/>
              <w:rPr>
                <w:rFonts w:ascii="Times New Roman" w:hAnsi="Times New Roman" w:cs="Times New Roman"/>
                <w:sz w:val="24"/>
                <w:szCs w:val="24"/>
              </w:rPr>
            </w:pPr>
            <w:proofErr w:type="spellStart"/>
            <w:r>
              <w:rPr>
                <w:rFonts w:ascii="Times New Roman" w:eastAsia="Times New Roman" w:hAnsi="Times New Roman" w:cs="Times New Roman"/>
                <w:sz w:val="24"/>
                <w:szCs w:val="24"/>
              </w:rPr>
              <w:t>Mabkhot</w:t>
            </w:r>
            <w:proofErr w:type="spellEnd"/>
            <w:r>
              <w:rPr>
                <w:rFonts w:ascii="Times New Roman" w:eastAsia="Times New Roman" w:hAnsi="Times New Roman" w:cs="Times New Roman"/>
                <w:sz w:val="24"/>
                <w:szCs w:val="24"/>
              </w:rPr>
              <w:t xml:space="preserve"> et al.</w:t>
            </w:r>
          </w:p>
        </w:tc>
        <w:tc>
          <w:tcPr>
            <w:tcW w:w="1600" w:type="dxa"/>
            <w:vAlign w:val="center"/>
          </w:tcPr>
          <w:p w14:paraId="4238DE1C"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2022</w:t>
            </w:r>
          </w:p>
        </w:tc>
        <w:tc>
          <w:tcPr>
            <w:tcW w:w="1800" w:type="dxa"/>
            <w:vAlign w:val="center"/>
          </w:tcPr>
          <w:p w14:paraId="1AADA2E1"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المؤثرون</w:t>
            </w:r>
          </w:p>
        </w:tc>
        <w:tc>
          <w:tcPr>
            <w:tcW w:w="2300" w:type="dxa"/>
            <w:vAlign w:val="center"/>
          </w:tcPr>
          <w:p w14:paraId="124E48E3"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اختبار دور مصداقية المؤثرين في نية الشراء</w:t>
            </w:r>
          </w:p>
        </w:tc>
        <w:tc>
          <w:tcPr>
            <w:tcW w:w="2400" w:type="dxa"/>
            <w:vAlign w:val="center"/>
          </w:tcPr>
          <w:p w14:paraId="604EFA50"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مصداقية المؤثر عنصر وسيط مهم في التأثير الشرائي</w:t>
            </w:r>
          </w:p>
        </w:tc>
      </w:tr>
      <w:tr w:rsidR="00576C22" w14:paraId="5E91B01B" w14:textId="77777777">
        <w:trPr>
          <w:jc w:val="center"/>
        </w:trPr>
        <w:tc>
          <w:tcPr>
            <w:tcW w:w="1500" w:type="dxa"/>
            <w:vAlign w:val="center"/>
          </w:tcPr>
          <w:p w14:paraId="19B7E79D" w14:textId="77777777" w:rsidR="00576C22" w:rsidRDefault="00D84DA8">
            <w:pPr>
              <w:spacing w:after="40" w:line="251" w:lineRule="auto"/>
              <w:jc w:val="right"/>
              <w:rPr>
                <w:rFonts w:ascii="Times New Roman" w:hAnsi="Times New Roman" w:cs="Times New Roman"/>
                <w:sz w:val="24"/>
                <w:szCs w:val="24"/>
              </w:rPr>
            </w:pPr>
            <w:r>
              <w:rPr>
                <w:rFonts w:ascii="Times New Roman" w:eastAsia="Times New Roman" w:hAnsi="Times New Roman" w:cs="Times New Roman"/>
                <w:sz w:val="24"/>
                <w:szCs w:val="24"/>
              </w:rPr>
              <w:t xml:space="preserve">Alotaibi &amp; </w:t>
            </w:r>
            <w:proofErr w:type="spellStart"/>
            <w:r>
              <w:rPr>
                <w:rFonts w:ascii="Times New Roman" w:eastAsia="Times New Roman" w:hAnsi="Times New Roman" w:cs="Times New Roman"/>
                <w:sz w:val="24"/>
                <w:szCs w:val="24"/>
              </w:rPr>
              <w:t>Aljaafari</w:t>
            </w:r>
            <w:proofErr w:type="spellEnd"/>
          </w:p>
        </w:tc>
        <w:tc>
          <w:tcPr>
            <w:tcW w:w="1600" w:type="dxa"/>
            <w:vAlign w:val="center"/>
          </w:tcPr>
          <w:p w14:paraId="3F3D2AAE"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2024</w:t>
            </w:r>
          </w:p>
        </w:tc>
        <w:tc>
          <w:tcPr>
            <w:tcW w:w="1800" w:type="dxa"/>
            <w:vAlign w:val="center"/>
          </w:tcPr>
          <w:p w14:paraId="289B3B57"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السعودية</w:t>
            </w:r>
          </w:p>
        </w:tc>
        <w:tc>
          <w:tcPr>
            <w:tcW w:w="2300" w:type="dxa"/>
            <w:vAlign w:val="center"/>
          </w:tcPr>
          <w:p w14:paraId="6640422F"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تحليل فرص وتحديات التجارة الاجتماعية</w:t>
            </w:r>
          </w:p>
        </w:tc>
        <w:tc>
          <w:tcPr>
            <w:tcW w:w="2400" w:type="dxa"/>
            <w:vAlign w:val="center"/>
          </w:tcPr>
          <w:p w14:paraId="4A37ED26"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السوق السعودي واعد، والثقة والتشريعات وتجربة المستخدم تحديات محورية</w:t>
            </w:r>
          </w:p>
        </w:tc>
      </w:tr>
      <w:tr w:rsidR="00576C22" w14:paraId="52F203FD" w14:textId="77777777">
        <w:trPr>
          <w:jc w:val="center"/>
        </w:trPr>
        <w:tc>
          <w:tcPr>
            <w:tcW w:w="1500" w:type="dxa"/>
            <w:vAlign w:val="center"/>
          </w:tcPr>
          <w:p w14:paraId="161DEBD4" w14:textId="77777777" w:rsidR="00576C22" w:rsidRDefault="00D84DA8">
            <w:pPr>
              <w:spacing w:after="40" w:line="251" w:lineRule="auto"/>
              <w:jc w:val="right"/>
              <w:rPr>
                <w:rFonts w:ascii="Times New Roman" w:hAnsi="Times New Roman" w:cs="Times New Roman"/>
                <w:sz w:val="24"/>
                <w:szCs w:val="24"/>
              </w:rPr>
            </w:pPr>
            <w:r>
              <w:rPr>
                <w:rFonts w:ascii="Times New Roman" w:eastAsia="Times New Roman" w:hAnsi="Times New Roman" w:cs="Times New Roman"/>
                <w:sz w:val="24"/>
                <w:szCs w:val="24"/>
              </w:rPr>
              <w:t>Alsaadi et al.</w:t>
            </w:r>
          </w:p>
        </w:tc>
        <w:tc>
          <w:tcPr>
            <w:tcW w:w="1600" w:type="dxa"/>
            <w:vAlign w:val="center"/>
          </w:tcPr>
          <w:p w14:paraId="14ECECB3"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2024</w:t>
            </w:r>
          </w:p>
        </w:tc>
        <w:tc>
          <w:tcPr>
            <w:tcW w:w="1800" w:type="dxa"/>
            <w:vAlign w:val="center"/>
          </w:tcPr>
          <w:p w14:paraId="604149D8"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السعودية</w:t>
            </w:r>
          </w:p>
        </w:tc>
        <w:tc>
          <w:tcPr>
            <w:tcW w:w="2300" w:type="dxa"/>
            <w:vAlign w:val="center"/>
          </w:tcPr>
          <w:p w14:paraId="43BAD3DC"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بيانات عن التسويق الرقمي ونية الشراء لدى الأجيال الشابة</w:t>
            </w:r>
          </w:p>
        </w:tc>
        <w:tc>
          <w:tcPr>
            <w:tcW w:w="2400" w:type="dxa"/>
            <w:vAlign w:val="center"/>
          </w:tcPr>
          <w:p w14:paraId="715E8A71" w14:textId="77777777" w:rsidR="00576C22" w:rsidRDefault="00D84DA8">
            <w:pPr>
              <w:spacing w:after="40" w:line="251" w:lineRule="auto"/>
              <w:jc w:val="right"/>
              <w:rPr>
                <w:rFonts w:ascii="Times New Roman" w:hAnsi="Times New Roman" w:cs="Times New Roman"/>
                <w:sz w:val="24"/>
                <w:szCs w:val="24"/>
              </w:rPr>
            </w:pPr>
            <w:r>
              <w:rPr>
                <w:rFonts w:ascii="Times New Roman" w:eastAsia="Arial" w:hAnsi="Times New Roman" w:cs="Times New Roman"/>
                <w:sz w:val="24"/>
                <w:szCs w:val="24"/>
                <w:rtl/>
              </w:rPr>
              <w:t>العوامل الرقمية قابلة للاستخدام في فهم وتوقع نوايا الشراء لدى الأجيال الشابة</w:t>
            </w:r>
          </w:p>
        </w:tc>
      </w:tr>
    </w:tbl>
    <w:p w14:paraId="298FF354" w14:textId="77777777" w:rsidR="00576C22" w:rsidRDefault="00D84DA8">
      <w:pPr>
        <w:pStyle w:val="Heading2"/>
        <w:spacing w:before="160" w:after="160"/>
        <w:jc w:val="right"/>
        <w:rPr>
          <w:rFonts w:ascii="Times New Roman" w:hAnsi="Times New Roman" w:cs="Times New Roman"/>
          <w:sz w:val="24"/>
          <w:szCs w:val="24"/>
        </w:rPr>
      </w:pPr>
      <w:r>
        <w:rPr>
          <w:rFonts w:ascii="Times New Roman" w:eastAsia="Arial" w:hAnsi="Times New Roman" w:cs="Times New Roman"/>
          <w:sz w:val="24"/>
          <w:szCs w:val="24"/>
          <w:rtl/>
        </w:rPr>
        <w:t>٢.٩ الفجوة البحثية</w:t>
      </w:r>
    </w:p>
    <w:p w14:paraId="12769F02"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تتطلب معالجة محور الفجوة البحثية النظر إليه بوصفه جزءاً من البناء النظري والدراسات السابقة لا فقرة منفصلة عن بقية الدراسة. فالدراسة لا تكتفي بعرض المفهوم أو النتيجة، بل تربطه بالسياق الأوسع المتعلق بـالثقة الرقمية، الكلمة المنطوقة إلكترونياً، خصائص المنصة، وقيمة الرسالة التسويقية. ويساعد هذا الربط على بناء تسلسل منطقي يبدأ من تحديد المشكلة وينتهي بتفسير النتائج واستخلاص التوصيات، وهو ما ينسجم مع طبيعة البحوث الأكاديمية التي تقيس العلاقة بين الظواهر الرقمية والسلوك الشرائي.</w:t>
      </w:r>
    </w:p>
    <w:p w14:paraId="6BBEB9C2"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lastRenderedPageBreak/>
        <w:t>في سياق مدينة الرياض، يكتسب هذا المحور أهمية خاصة بسبب كثافة النشاط التجاري وتعدد الفئات الاستهلاكية وتنوع المنصات التي يستخدمها المستهلكون يومياً. فالمستهلك لا يتعرض للمحتوى التسويقي في بيئة محايدة، بل في بيئة مزدحمة بالرسائل البصرية والتوصيات والعروض والمراجعات، ولذلك يصبح تفسير الفجوة البحثية مرتبطاً بمستوى الثقة، ووضوح الفائدة، وسهولة الانتقال من الإعلان إلى الشراء.</w:t>
      </w:r>
    </w:p>
    <w:p w14:paraId="0EE943DC"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ومن الناحية التطبيقية، يوضح هذا المحور أن القرار الشرائي الرقمي لا يتشكل بفعل عامل واحد، بل من خلال تفاعل عدة عناصر مترابطة. فقد يكون الإعلان جذاباً لكنه لا يحقق أثراً إذا غابت المصداقية، وقد تكون المنصة واسعة الانتشار لكنها لا تحقق تحويلاً شرائياً إذا لم يكن مسار الدفع واضحاً. لذلك تتعامل الدراسة مع الفجوة البحثية باعتباره مكوناً تفسيرياً ضمن نموذج متكامل لا مجرد وصف عام للظاهرة.</w:t>
      </w:r>
    </w:p>
    <w:p w14:paraId="25DD167B"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كما أن قراءة هذا المحور تساعد على التمييز بين مؤشرات الانتباه ومؤشرات القرار. فالمشاهدة والإعجاب والحفظ والمشاركة مؤشرات أولية، لكنها لا تكفي للحكم على نجاح التسويق ما لم تتحول إلى استفسار أو شراء أو تكرار شراء. ولهذا يظل التركيز على الشراء الفعلي محوراً مهماً في الدراسة؛ لأنه يربط بين النشاط التسويقي والمخرجات الاقتصادية القابلة للقياس.</w:t>
      </w:r>
    </w:p>
    <w:p w14:paraId="2DB43212"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وتؤكد الدراسة من خلال هذا المحور أن التسويق عبر وسائل التواصل في الرياض ينبغي أن يدار بمنطق علمي قائم على البيانات لا بمنطق الانطباعات العامة. فاختيار المنصة، وصياغة الرسالة، وتحديد المؤثر، وتوقيت الإعلان، وتسهيل تجربة الشراء كلها قرارات تحتاج إلى فهم دقيق لسلوك المستهلك. وبذلك يصبح الفجوة البحثية مدخلاً لتحسين كفاءة الحملات الرقمية وتعزيز ثقة المستهلك في البيئة الإلكترونية.</w:t>
      </w:r>
    </w:p>
    <w:p w14:paraId="74F197A8" w14:textId="77777777" w:rsidR="00576C22" w:rsidRDefault="00D84DA8">
      <w:pPr>
        <w:spacing w:after="140" w:line="372" w:lineRule="auto"/>
        <w:ind w:firstLine="397"/>
        <w:jc w:val="right"/>
        <w:rPr>
          <w:rFonts w:ascii="Times New Roman" w:hAnsi="Times New Roman" w:cs="Times New Roman"/>
          <w:sz w:val="24"/>
          <w:szCs w:val="24"/>
        </w:rPr>
      </w:pPr>
      <w:r>
        <w:rPr>
          <w:rFonts w:ascii="Times New Roman" w:eastAsia="Arial" w:hAnsi="Times New Roman" w:cs="Times New Roman"/>
          <w:sz w:val="24"/>
          <w:szCs w:val="24"/>
          <w:rtl/>
        </w:rPr>
        <w:t>تتضح الفجوة البحثية في أن كثيراً من الدراسات ركزت على النية الشرائية بدلاً من الشراء الفعلي، أو درست المنصات بوصفها بيئة واحدة دون تمييز كافٍ بين إنستقرام وتيك توك وسناب شات وتويتر/إكس، أو اعتمدت على عينات لا تركز على مدينة الرياض تحديداً. لذلك تأتي الدراسة الحالية لتقديم تحليل ميداني يربط بين المنصة ونوع المحتوى والثقة والمتغيرات الديموغرافية وقرار الشراء الفعلي لدى مستهلكي الرياض.</w:t>
      </w:r>
    </w:p>
    <w:p w14:paraId="7353EDEE" w14:textId="77777777" w:rsidR="00576C22" w:rsidRDefault="00D84DA8">
      <w:pPr>
        <w:jc w:val="right"/>
        <w:rPr>
          <w:rFonts w:ascii="Times New Roman" w:hAnsi="Times New Roman" w:cs="Times New Roman"/>
          <w:sz w:val="24"/>
          <w:szCs w:val="24"/>
        </w:rPr>
      </w:pPr>
      <w:r>
        <w:rPr>
          <w:rFonts w:ascii="Times New Roman" w:hAnsi="Times New Roman" w:cs="Times New Roman"/>
          <w:sz w:val="24"/>
          <w:szCs w:val="24"/>
        </w:rPr>
        <w:br w:type="page"/>
      </w:r>
    </w:p>
    <w:sectPr w:rsidR="00576C22">
      <w:headerReference w:type="even" r:id="rId10"/>
      <w:headerReference w:type="default" r:id="rId11"/>
      <w:footerReference w:type="even" r:id="rId12"/>
      <w:footerReference w:type="default" r:id="rId13"/>
      <w:headerReference w:type="first" r:id="rId14"/>
      <w:pgSz w:w="11906" w:h="16838"/>
      <w:pgMar w:top="504" w:right="504" w:bottom="504" w:left="504" w:header="144" w:footer="144" w:gutter="0"/>
      <w:pgBorders w:offsetFrom="page">
        <w:top w:val="single" w:sz="18" w:space="14" w:color="000000"/>
        <w:left w:val="single" w:sz="18" w:space="14" w:color="000000"/>
        <w:bottom w:val="single" w:sz="18" w:space="14" w:color="000000"/>
        <w:right w:val="single" w:sz="18" w:space="14" w:color="000000"/>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2524B0" w14:textId="77777777" w:rsidR="008265FB" w:rsidRDefault="008265FB">
      <w:pPr>
        <w:spacing w:after="0" w:line="240" w:lineRule="auto"/>
      </w:pPr>
      <w:r>
        <w:separator/>
      </w:r>
    </w:p>
  </w:endnote>
  <w:endnote w:type="continuationSeparator" w:id="0">
    <w:p w14:paraId="4DD1B1A8" w14:textId="77777777" w:rsidR="008265FB" w:rsidRDefault="00826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A524C" w14:textId="77777777" w:rsidR="00576C22" w:rsidRDefault="00576C2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430EE" w14:textId="77777777" w:rsidR="00576C22" w:rsidRDefault="00576C2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31ABE4" w14:textId="77777777" w:rsidR="008265FB" w:rsidRDefault="008265FB">
      <w:pPr>
        <w:spacing w:after="0" w:line="240" w:lineRule="auto"/>
      </w:pPr>
      <w:r>
        <w:separator/>
      </w:r>
    </w:p>
  </w:footnote>
  <w:footnote w:type="continuationSeparator" w:id="0">
    <w:p w14:paraId="0D39BE01" w14:textId="77777777" w:rsidR="008265FB" w:rsidRDefault="008265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1B8E5" w14:textId="77777777" w:rsidR="00576C22" w:rsidRDefault="00576C2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B2A1B" w14:textId="77777777" w:rsidR="00576C22" w:rsidRDefault="00576C2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578FA" w14:textId="77777777" w:rsidR="00576C22" w:rsidRDefault="00576C2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FB12693A"/>
    <w:lvl w:ilvl="0">
      <w:start w:val="1"/>
      <w:numFmt w:val="decimal"/>
      <w:pStyle w:val="ListNumber3"/>
      <w:lvlText w:val="%1."/>
      <w:lvlJc w:val="left"/>
      <w:pPr>
        <w:tabs>
          <w:tab w:val="left" w:pos="1080"/>
        </w:tabs>
        <w:ind w:left="1080" w:hanging="360"/>
      </w:pPr>
    </w:lvl>
  </w:abstractNum>
  <w:abstractNum w:abstractNumId="1" w15:restartNumberingAfterBreak="0">
    <w:nsid w:val="00000002"/>
    <w:multiLevelType w:val="singleLevel"/>
    <w:tmpl w:val="38441652"/>
    <w:lvl w:ilvl="0">
      <w:start w:val="1"/>
      <w:numFmt w:val="decimal"/>
      <w:pStyle w:val="ListNumber2"/>
      <w:lvlText w:val="%1."/>
      <w:lvlJc w:val="left"/>
      <w:pPr>
        <w:tabs>
          <w:tab w:val="left" w:pos="720"/>
        </w:tabs>
        <w:ind w:left="720" w:hanging="360"/>
      </w:pPr>
    </w:lvl>
  </w:abstractNum>
  <w:abstractNum w:abstractNumId="2" w15:restartNumberingAfterBreak="0">
    <w:nsid w:val="00000003"/>
    <w:multiLevelType w:val="singleLevel"/>
    <w:tmpl w:val="171AC3A4"/>
    <w:lvl w:ilvl="0">
      <w:start w:val="1"/>
      <w:numFmt w:val="bullet"/>
      <w:lvlText w:val=""/>
      <w:lvlJc w:val="left"/>
      <w:pPr>
        <w:tabs>
          <w:tab w:val="left" w:pos="1440"/>
        </w:tabs>
        <w:ind w:left="1440" w:hanging="360"/>
      </w:pPr>
      <w:rPr>
        <w:rFonts w:ascii="Symbol" w:hAnsi="Symbol" w:hint="default"/>
      </w:rPr>
    </w:lvl>
  </w:abstractNum>
  <w:abstractNum w:abstractNumId="3" w15:restartNumberingAfterBreak="0">
    <w:nsid w:val="00000004"/>
    <w:multiLevelType w:val="singleLevel"/>
    <w:tmpl w:val="F3EAFDEC"/>
    <w:lvl w:ilvl="0">
      <w:start w:val="1"/>
      <w:numFmt w:val="bullet"/>
      <w:pStyle w:val="ListBullet3"/>
      <w:lvlText w:val=""/>
      <w:lvlJc w:val="left"/>
      <w:pPr>
        <w:tabs>
          <w:tab w:val="left" w:pos="1080"/>
        </w:tabs>
        <w:ind w:left="1080" w:hanging="360"/>
      </w:pPr>
      <w:rPr>
        <w:rFonts w:ascii="Symbol" w:hAnsi="Symbol" w:hint="default"/>
      </w:rPr>
    </w:lvl>
  </w:abstractNum>
  <w:abstractNum w:abstractNumId="4" w15:restartNumberingAfterBreak="0">
    <w:nsid w:val="00000005"/>
    <w:multiLevelType w:val="singleLevel"/>
    <w:tmpl w:val="3D1EFFD4"/>
    <w:lvl w:ilvl="0">
      <w:start w:val="1"/>
      <w:numFmt w:val="bullet"/>
      <w:pStyle w:val="ListBullet2"/>
      <w:lvlText w:val=""/>
      <w:lvlJc w:val="left"/>
      <w:pPr>
        <w:tabs>
          <w:tab w:val="left" w:pos="720"/>
        </w:tabs>
        <w:ind w:left="720" w:hanging="360"/>
      </w:pPr>
      <w:rPr>
        <w:rFonts w:ascii="Symbol" w:hAnsi="Symbol" w:hint="default"/>
      </w:rPr>
    </w:lvl>
  </w:abstractNum>
  <w:abstractNum w:abstractNumId="5" w15:restartNumberingAfterBreak="0">
    <w:nsid w:val="00000006"/>
    <w:multiLevelType w:val="singleLevel"/>
    <w:tmpl w:val="D0A62B40"/>
    <w:lvl w:ilvl="0">
      <w:start w:val="1"/>
      <w:numFmt w:val="decimal"/>
      <w:pStyle w:val="ListNumber"/>
      <w:lvlText w:val="%1."/>
      <w:lvlJc w:val="left"/>
      <w:pPr>
        <w:tabs>
          <w:tab w:val="left" w:pos="360"/>
        </w:tabs>
        <w:ind w:left="360" w:hanging="360"/>
      </w:pPr>
    </w:lvl>
  </w:abstractNum>
  <w:abstractNum w:abstractNumId="6" w15:restartNumberingAfterBreak="0">
    <w:nsid w:val="00000007"/>
    <w:multiLevelType w:val="singleLevel"/>
    <w:tmpl w:val="29761A62"/>
    <w:lvl w:ilvl="0">
      <w:start w:val="1"/>
      <w:numFmt w:val="bullet"/>
      <w:pStyle w:val="ListBullet"/>
      <w:lvlText w:val=""/>
      <w:lvlJc w:val="left"/>
      <w:pPr>
        <w:tabs>
          <w:tab w:val="left" w:pos="360"/>
        </w:tabs>
        <w:ind w:left="360" w:hanging="360"/>
      </w:pPr>
      <w:rPr>
        <w:rFonts w:ascii="Symbol" w:hAnsi="Symbol" w:hint="default"/>
      </w:rPr>
    </w:lvl>
  </w:abstractNum>
  <w:abstractNum w:abstractNumId="7" w15:restartNumberingAfterBreak="0">
    <w:nsid w:val="00000008"/>
    <w:multiLevelType w:val="singleLevel"/>
    <w:tmpl w:val="C310EC42"/>
    <w:lvl w:ilvl="0">
      <w:start w:val="1"/>
      <w:numFmt w:val="decimal"/>
      <w:lvlText w:val="%1."/>
      <w:lvlJc w:val="left"/>
      <w:pPr>
        <w:tabs>
          <w:tab w:val="left" w:pos="1800"/>
        </w:tabs>
        <w:ind w:left="1800" w:hanging="360"/>
      </w:pPr>
    </w:lvl>
  </w:abstractNum>
  <w:abstractNum w:abstractNumId="8" w15:restartNumberingAfterBreak="0">
    <w:nsid w:val="00000009"/>
    <w:multiLevelType w:val="hybridMultilevel"/>
    <w:tmpl w:val="5D3C5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9C7158C"/>
    <w:multiLevelType w:val="singleLevel"/>
    <w:tmpl w:val="E4089024"/>
    <w:lvl w:ilvl="0">
      <w:start w:val="1"/>
      <w:numFmt w:val="decimal"/>
      <w:lvlText w:val="%1."/>
      <w:lvlJc w:val="left"/>
      <w:pPr>
        <w:tabs>
          <w:tab w:val="left" w:pos="1440"/>
        </w:tabs>
        <w:ind w:left="1440" w:hanging="360"/>
      </w:pPr>
    </w:lvl>
  </w:abstractNum>
  <w:num w:numId="1" w16cid:durableId="1903175964">
    <w:abstractNumId w:val="6"/>
  </w:num>
  <w:num w:numId="2" w16cid:durableId="724329229">
    <w:abstractNumId w:val="4"/>
  </w:num>
  <w:num w:numId="3" w16cid:durableId="1838885212">
    <w:abstractNumId w:val="3"/>
  </w:num>
  <w:num w:numId="4" w16cid:durableId="2029478482">
    <w:abstractNumId w:val="5"/>
  </w:num>
  <w:num w:numId="5" w16cid:durableId="1894999648">
    <w:abstractNumId w:val="1"/>
  </w:num>
  <w:num w:numId="6" w16cid:durableId="1210192845">
    <w:abstractNumId w:val="0"/>
  </w:num>
  <w:num w:numId="7" w16cid:durableId="570698151">
    <w:abstractNumId w:val="8"/>
  </w:num>
  <w:num w:numId="8" w16cid:durableId="777021193">
    <w:abstractNumId w:val="2"/>
  </w:num>
  <w:num w:numId="9" w16cid:durableId="2128431207">
    <w:abstractNumId w:val="9"/>
  </w:num>
  <w:num w:numId="10" w16cid:durableId="6813929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76C22"/>
    <w:rsid w:val="00113B39"/>
    <w:rsid w:val="001A64D6"/>
    <w:rsid w:val="00371C88"/>
    <w:rsid w:val="00576C22"/>
    <w:rsid w:val="005771D9"/>
    <w:rsid w:val="008265FB"/>
    <w:rsid w:val="00831811"/>
    <w:rsid w:val="00A6347F"/>
    <w:rsid w:val="00D84DA8"/>
    <w:rsid w:val="00E046A2"/>
    <w:rsid w:val="00F833A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4EA2198"/>
  <w15:docId w15:val="{6CABC76E-4464-4966-B8BD-1C5174819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SimSu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w:sz w:val="30"/>
    </w:rPr>
  </w:style>
  <w:style w:type="paragraph" w:styleId="Heading1">
    <w:name w:val="heading 1"/>
    <w:basedOn w:val="Normal"/>
    <w:next w:val="Normal"/>
    <w:link w:val="Heading1Char"/>
    <w:uiPriority w:val="9"/>
    <w:qFormat/>
    <w:pPr>
      <w:keepNext/>
      <w:keepLines/>
      <w:spacing w:before="480" w:after="0"/>
      <w:outlineLvl w:val="0"/>
    </w:pPr>
    <w:rPr>
      <w:rFonts w:ascii="Calibri" w:eastAsia="MS Gothic" w:hAnsi="Calibri" w:cs="SimSun"/>
      <w:b/>
      <w:bCs/>
      <w:color w:val="365F91"/>
      <w:sz w:val="36"/>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Calibri" w:eastAsia="MS Gothic" w:hAnsi="Calibri" w:cs="SimSun"/>
      <w:b/>
      <w:bCs/>
      <w:color w:val="4F81BD"/>
      <w:sz w:val="32"/>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Calibri" w:eastAsia="MS Gothic" w:hAnsi="Calibri" w:cs="SimSun"/>
      <w:b/>
      <w:bCs/>
      <w:color w:val="4F81BD"/>
      <w:sz w:val="32"/>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Calibri" w:eastAsia="MS Gothic" w:hAnsi="Calibri" w:cs="SimSun"/>
      <w:b/>
      <w:bCs/>
      <w:i/>
      <w:iCs/>
      <w:color w:val="4F81BD"/>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Calibri" w:eastAsia="MS Gothic" w:hAnsi="Calibri" w:cs="SimSun"/>
      <w:color w:val="243F6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Calibri" w:eastAsia="MS Gothic" w:hAnsi="Calibri" w:cs="SimSun"/>
      <w:i/>
      <w:iCs/>
      <w:color w:val="243F60"/>
    </w:rPr>
  </w:style>
  <w:style w:type="paragraph" w:styleId="Heading7">
    <w:name w:val="heading 7"/>
    <w:basedOn w:val="Normal"/>
    <w:next w:val="Normal"/>
    <w:link w:val="Heading7Char"/>
    <w:uiPriority w:val="9"/>
    <w:qFormat/>
    <w:pPr>
      <w:keepNext/>
      <w:keepLines/>
      <w:spacing w:before="200" w:after="0"/>
      <w:outlineLvl w:val="6"/>
    </w:pPr>
    <w:rPr>
      <w:rFonts w:ascii="Calibri" w:eastAsia="MS Gothic" w:hAnsi="Calibri" w:cs="SimSun"/>
      <w:i/>
      <w:iCs/>
      <w:color w:val="404040"/>
    </w:rPr>
  </w:style>
  <w:style w:type="paragraph" w:styleId="Heading8">
    <w:name w:val="heading 8"/>
    <w:basedOn w:val="Normal"/>
    <w:next w:val="Normal"/>
    <w:link w:val="Heading8Char"/>
    <w:uiPriority w:val="9"/>
    <w:qFormat/>
    <w:pPr>
      <w:keepNext/>
      <w:keepLines/>
      <w:spacing w:before="200" w:after="0"/>
      <w:outlineLvl w:val="7"/>
    </w:pPr>
    <w:rPr>
      <w:rFonts w:ascii="Calibri" w:eastAsia="MS Gothic" w:hAnsi="Calibri" w:cs="SimSun"/>
      <w:color w:val="4F81BD"/>
      <w:sz w:val="20"/>
      <w:szCs w:val="20"/>
    </w:rPr>
  </w:style>
  <w:style w:type="paragraph" w:styleId="Heading9">
    <w:name w:val="heading 9"/>
    <w:basedOn w:val="Normal"/>
    <w:next w:val="Normal"/>
    <w:link w:val="Heading9Char"/>
    <w:uiPriority w:val="9"/>
    <w:qFormat/>
    <w:pPr>
      <w:keepNext/>
      <w:keepLines/>
      <w:spacing w:before="200" w:after="0"/>
      <w:outlineLvl w:val="8"/>
    </w:pPr>
    <w:rPr>
      <w:rFonts w:ascii="Calibri" w:eastAsia="MS Gothic" w:hAnsi="Calibri" w:cs="SimSun"/>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uiPriority w:val="9"/>
    <w:rPr>
      <w:rFonts w:ascii="Calibri" w:eastAsia="MS Gothic" w:hAnsi="Calibri" w:cs="SimSun"/>
      <w:b/>
      <w:bCs/>
      <w:color w:val="365F91"/>
      <w:sz w:val="28"/>
      <w:szCs w:val="28"/>
    </w:rPr>
  </w:style>
  <w:style w:type="character" w:customStyle="1" w:styleId="Heading2Char">
    <w:name w:val="Heading 2 Char"/>
    <w:basedOn w:val="DefaultParagraphFont"/>
    <w:link w:val="Heading2"/>
    <w:uiPriority w:val="9"/>
    <w:rPr>
      <w:rFonts w:ascii="Calibri" w:eastAsia="MS Gothic" w:hAnsi="Calibri" w:cs="SimSun"/>
      <w:b/>
      <w:bCs/>
      <w:color w:val="4F81BD"/>
      <w:sz w:val="26"/>
      <w:szCs w:val="26"/>
    </w:rPr>
  </w:style>
  <w:style w:type="character" w:customStyle="1" w:styleId="Heading3Char">
    <w:name w:val="Heading 3 Char"/>
    <w:basedOn w:val="DefaultParagraphFont"/>
    <w:link w:val="Heading3"/>
    <w:uiPriority w:val="9"/>
    <w:rPr>
      <w:rFonts w:ascii="Calibri" w:eastAsia="MS Gothic" w:hAnsi="Calibri" w:cs="SimSun"/>
      <w:b/>
      <w:bCs/>
      <w:color w:val="4F81BD"/>
    </w:rPr>
  </w:style>
  <w:style w:type="paragraph" w:styleId="Title">
    <w:name w:val="Title"/>
    <w:basedOn w:val="Normal"/>
    <w:next w:val="Normal"/>
    <w:link w:val="TitleChar"/>
    <w:uiPriority w:val="10"/>
    <w:qFormat/>
    <w:pPr>
      <w:pBdr>
        <w:bottom w:val="single" w:sz="8" w:space="4" w:color="4F81BD"/>
      </w:pBdr>
      <w:spacing w:after="300" w:line="240" w:lineRule="auto"/>
      <w:contextualSpacing/>
    </w:pPr>
    <w:rPr>
      <w:rFonts w:ascii="Calibri" w:eastAsia="MS Gothic" w:hAnsi="Calibri" w:cs="SimSun"/>
      <w:color w:val="17365D"/>
      <w:spacing w:val="5"/>
      <w:kern w:val="28"/>
      <w:sz w:val="28"/>
      <w:szCs w:val="52"/>
    </w:rPr>
  </w:style>
  <w:style w:type="character" w:customStyle="1" w:styleId="TitleChar">
    <w:name w:val="Title Char"/>
    <w:basedOn w:val="DefaultParagraphFont"/>
    <w:link w:val="Title"/>
    <w:uiPriority w:val="10"/>
    <w:rPr>
      <w:rFonts w:ascii="Calibri" w:eastAsia="MS Gothic" w:hAnsi="Calibri" w:cs="SimSun"/>
      <w:color w:val="17365D"/>
      <w:spacing w:val="5"/>
      <w:kern w:val="28"/>
      <w:sz w:val="52"/>
      <w:szCs w:val="52"/>
    </w:rPr>
  </w:style>
  <w:style w:type="paragraph" w:styleId="Subtitle">
    <w:name w:val="Subtitle"/>
    <w:basedOn w:val="Normal"/>
    <w:next w:val="Normal"/>
    <w:link w:val="SubtitleChar"/>
    <w:uiPriority w:val="11"/>
    <w:qFormat/>
    <w:pPr>
      <w:numPr>
        <w:ilvl w:val="1"/>
      </w:numPr>
    </w:pPr>
    <w:rPr>
      <w:rFonts w:ascii="Calibri" w:eastAsia="MS Gothic" w:hAnsi="Calibri" w:cs="SimSun"/>
      <w:i/>
      <w:iCs/>
      <w:color w:val="4F81BD"/>
      <w:spacing w:val="15"/>
      <w:sz w:val="24"/>
      <w:szCs w:val="24"/>
    </w:rPr>
  </w:style>
  <w:style w:type="character" w:customStyle="1" w:styleId="SubtitleChar">
    <w:name w:val="Subtitle Char"/>
    <w:basedOn w:val="DefaultParagraphFont"/>
    <w:link w:val="Subtitle"/>
    <w:uiPriority w:val="11"/>
    <w:rPr>
      <w:rFonts w:ascii="Calibri" w:eastAsia="MS Gothic" w:hAnsi="Calibri" w:cs="SimSun"/>
      <w:i/>
      <w:iCs/>
      <w:color w:val="4F81BD"/>
      <w:spacing w:val="15"/>
      <w:sz w:val="24"/>
      <w:szCs w:val="24"/>
    </w:rPr>
  </w:style>
  <w:style w:type="paragraph" w:styleId="ListParagraph">
    <w:name w:val="List Paragraph"/>
    <w:basedOn w:val="Normal"/>
    <w:uiPriority w:val="34"/>
    <w:qFormat/>
    <w:pPr>
      <w:ind w:left="720"/>
      <w:contextualSpacing/>
    </w:pPr>
  </w:style>
  <w:style w:type="paragraph" w:styleId="BodyText">
    <w:name w:val="Body Text"/>
    <w:basedOn w:val="Normal"/>
    <w:link w:val="BodyTextChar"/>
    <w:uiPriority w:val="99"/>
    <w:pPr>
      <w:spacing w:after="120"/>
    </w:pPr>
  </w:style>
  <w:style w:type="character" w:customStyle="1" w:styleId="BodyTextChar">
    <w:name w:val="Body Text Char"/>
    <w:basedOn w:val="DefaultParagraphFont"/>
    <w:link w:val="BodyText"/>
    <w:uiPriority w:val="99"/>
  </w:style>
  <w:style w:type="paragraph" w:styleId="BodyText2">
    <w:name w:val="Body Text 2"/>
    <w:basedOn w:val="Normal"/>
    <w:link w:val="BodyText2Char"/>
    <w:uiPriority w:val="99"/>
    <w:pPr>
      <w:spacing w:after="120" w:line="480" w:lineRule="auto"/>
    </w:pPr>
  </w:style>
  <w:style w:type="character" w:customStyle="1" w:styleId="BodyText2Char">
    <w:name w:val="Body Text 2 Char"/>
    <w:basedOn w:val="DefaultParagraphFont"/>
    <w:link w:val="BodyText2"/>
    <w:uiPriority w:val="99"/>
  </w:style>
  <w:style w:type="paragraph" w:styleId="BodyText3">
    <w:name w:val="Body Text 3"/>
    <w:basedOn w:val="Normal"/>
    <w:link w:val="BodyText3Char"/>
    <w:uiPriority w:val="99"/>
    <w:pPr>
      <w:spacing w:after="120"/>
    </w:pPr>
    <w:rPr>
      <w:sz w:val="16"/>
      <w:szCs w:val="16"/>
    </w:rPr>
  </w:style>
  <w:style w:type="character" w:customStyle="1" w:styleId="BodyText3Char">
    <w:name w:val="Body Text 3 Char"/>
    <w:basedOn w:val="DefaultParagraphFont"/>
    <w:link w:val="BodyText3"/>
    <w:uiPriority w:val="99"/>
    <w:rPr>
      <w:sz w:val="16"/>
      <w:szCs w:val="16"/>
    </w:rPr>
  </w:style>
  <w:style w:type="paragraph" w:styleId="List">
    <w:name w:val="List"/>
    <w:basedOn w:val="Normal"/>
    <w:uiPriority w:val="99"/>
    <w:pPr>
      <w:ind w:left="360" w:hanging="360"/>
      <w:contextualSpacing/>
    </w:pPr>
  </w:style>
  <w:style w:type="paragraph" w:styleId="List2">
    <w:name w:val="List 2"/>
    <w:basedOn w:val="Normal"/>
    <w:uiPriority w:val="99"/>
    <w:pPr>
      <w:ind w:left="720" w:hanging="360"/>
      <w:contextualSpacing/>
    </w:pPr>
  </w:style>
  <w:style w:type="paragraph" w:styleId="List3">
    <w:name w:val="List 3"/>
    <w:basedOn w:val="Normal"/>
    <w:uiPriority w:val="99"/>
    <w:pPr>
      <w:ind w:left="1080" w:hanging="360"/>
      <w:contextualSpacing/>
    </w:pPr>
  </w:style>
  <w:style w:type="paragraph" w:styleId="ListBullet">
    <w:name w:val="List Bullet"/>
    <w:basedOn w:val="Normal"/>
    <w:uiPriority w:val="99"/>
    <w:pPr>
      <w:numPr>
        <w:numId w:val="1"/>
      </w:numPr>
      <w:contextualSpacing/>
    </w:pPr>
  </w:style>
  <w:style w:type="paragraph" w:styleId="ListBullet2">
    <w:name w:val="List Bullet 2"/>
    <w:basedOn w:val="Normal"/>
    <w:uiPriority w:val="99"/>
    <w:pPr>
      <w:numPr>
        <w:numId w:val="2"/>
      </w:numPr>
      <w:contextualSpacing/>
    </w:pPr>
  </w:style>
  <w:style w:type="paragraph" w:styleId="ListBullet3">
    <w:name w:val="List Bullet 3"/>
    <w:basedOn w:val="Normal"/>
    <w:uiPriority w:val="99"/>
    <w:pPr>
      <w:numPr>
        <w:numId w:val="3"/>
      </w:numPr>
      <w:contextualSpacing/>
    </w:pPr>
  </w:style>
  <w:style w:type="paragraph" w:styleId="ListNumber">
    <w:name w:val="List Number"/>
    <w:basedOn w:val="Normal"/>
    <w:uiPriority w:val="99"/>
    <w:pPr>
      <w:numPr>
        <w:numId w:val="4"/>
      </w:numPr>
      <w:contextualSpacing/>
    </w:pPr>
  </w:style>
  <w:style w:type="paragraph" w:styleId="ListNumber2">
    <w:name w:val="List Number 2"/>
    <w:basedOn w:val="Normal"/>
    <w:uiPriority w:val="99"/>
    <w:pPr>
      <w:numPr>
        <w:numId w:val="5"/>
      </w:numPr>
      <w:contextualSpacing/>
    </w:pPr>
  </w:style>
  <w:style w:type="paragraph" w:styleId="ListNumber3">
    <w:name w:val="List Number 3"/>
    <w:basedOn w:val="Normal"/>
    <w:uiPriority w:val="99"/>
    <w:pPr>
      <w:numPr>
        <w:numId w:val="6"/>
      </w:numPr>
      <w:contextualSpacing/>
    </w:pPr>
  </w:style>
  <w:style w:type="paragraph" w:styleId="ListContinue">
    <w:name w:val="List Continue"/>
    <w:basedOn w:val="Normal"/>
    <w:uiPriority w:val="99"/>
    <w:pPr>
      <w:spacing w:after="120"/>
      <w:ind w:left="360"/>
      <w:contextualSpacing/>
    </w:pPr>
  </w:style>
  <w:style w:type="paragraph" w:styleId="ListContinue2">
    <w:name w:val="List Continue 2"/>
    <w:basedOn w:val="Normal"/>
    <w:uiPriority w:val="99"/>
    <w:pPr>
      <w:spacing w:after="120"/>
      <w:ind w:left="720"/>
      <w:contextualSpacing/>
    </w:pPr>
  </w:style>
  <w:style w:type="paragraph" w:styleId="ListContinue3">
    <w:name w:val="List Continue 3"/>
    <w:basedOn w:val="Normal"/>
    <w:uiPriority w:val="99"/>
    <w:pPr>
      <w:spacing w:after="120"/>
      <w:ind w:left="1080"/>
      <w:contextualSpacing/>
    </w:pPr>
  </w:style>
  <w:style w:type="paragraph" w:styleId="MacroText">
    <w:name w:val="macro"/>
    <w:link w:val="MacroTextChar"/>
    <w:uiPriority w:val="99"/>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Pr>
      <w:rFonts w:ascii="Courier" w:hAnsi="Courier"/>
      <w:sz w:val="20"/>
      <w:szCs w:val="20"/>
    </w:rPr>
  </w:style>
  <w:style w:type="paragraph" w:styleId="Quote">
    <w:name w:val="Quote"/>
    <w:basedOn w:val="Normal"/>
    <w:next w:val="Normal"/>
    <w:link w:val="QuoteChar"/>
    <w:uiPriority w:val="29"/>
    <w:qFormat/>
    <w:rPr>
      <w:i/>
      <w:iCs/>
      <w:color w:val="000000"/>
    </w:rPr>
  </w:style>
  <w:style w:type="character" w:customStyle="1" w:styleId="QuoteChar">
    <w:name w:val="Quote Char"/>
    <w:basedOn w:val="DefaultParagraphFont"/>
    <w:link w:val="Quote"/>
    <w:uiPriority w:val="29"/>
    <w:rPr>
      <w:i/>
      <w:iCs/>
      <w:color w:val="000000"/>
    </w:rPr>
  </w:style>
  <w:style w:type="character" w:customStyle="1" w:styleId="Heading4Char">
    <w:name w:val="Heading 4 Char"/>
    <w:basedOn w:val="DefaultParagraphFont"/>
    <w:link w:val="Heading4"/>
    <w:uiPriority w:val="9"/>
    <w:rPr>
      <w:rFonts w:ascii="Calibri" w:eastAsia="MS Gothic" w:hAnsi="Calibri" w:cs="SimSun"/>
      <w:b/>
      <w:bCs/>
      <w:i/>
      <w:iCs/>
      <w:color w:val="4F81BD"/>
    </w:rPr>
  </w:style>
  <w:style w:type="character" w:customStyle="1" w:styleId="Heading5Char">
    <w:name w:val="Heading 5 Char"/>
    <w:basedOn w:val="DefaultParagraphFont"/>
    <w:link w:val="Heading5"/>
    <w:uiPriority w:val="9"/>
    <w:rPr>
      <w:rFonts w:ascii="Calibri" w:eastAsia="MS Gothic" w:hAnsi="Calibri" w:cs="SimSun"/>
      <w:color w:val="243F60"/>
    </w:rPr>
  </w:style>
  <w:style w:type="character" w:customStyle="1" w:styleId="Heading6Char">
    <w:name w:val="Heading 6 Char"/>
    <w:basedOn w:val="DefaultParagraphFont"/>
    <w:link w:val="Heading6"/>
    <w:uiPriority w:val="9"/>
    <w:rPr>
      <w:rFonts w:ascii="Calibri" w:eastAsia="MS Gothic" w:hAnsi="Calibri" w:cs="SimSun"/>
      <w:i/>
      <w:iCs/>
      <w:color w:val="243F60"/>
    </w:rPr>
  </w:style>
  <w:style w:type="character" w:customStyle="1" w:styleId="Heading7Char">
    <w:name w:val="Heading 7 Char"/>
    <w:basedOn w:val="DefaultParagraphFont"/>
    <w:link w:val="Heading7"/>
    <w:uiPriority w:val="9"/>
    <w:rPr>
      <w:rFonts w:ascii="Calibri" w:eastAsia="MS Gothic" w:hAnsi="Calibri" w:cs="SimSun"/>
      <w:i/>
      <w:iCs/>
      <w:color w:val="404040"/>
    </w:rPr>
  </w:style>
  <w:style w:type="character" w:customStyle="1" w:styleId="Heading8Char">
    <w:name w:val="Heading 8 Char"/>
    <w:basedOn w:val="DefaultParagraphFont"/>
    <w:link w:val="Heading8"/>
    <w:uiPriority w:val="9"/>
    <w:rPr>
      <w:rFonts w:ascii="Calibri" w:eastAsia="MS Gothic" w:hAnsi="Calibri" w:cs="SimSun"/>
      <w:color w:val="4F81BD"/>
      <w:sz w:val="20"/>
      <w:szCs w:val="20"/>
    </w:rPr>
  </w:style>
  <w:style w:type="character" w:customStyle="1" w:styleId="Heading9Char">
    <w:name w:val="Heading 9 Char"/>
    <w:basedOn w:val="DefaultParagraphFont"/>
    <w:link w:val="Heading9"/>
    <w:uiPriority w:val="9"/>
    <w:rPr>
      <w:rFonts w:ascii="Calibri" w:eastAsia="MS Gothic" w:hAnsi="Calibri" w:cs="SimSun"/>
      <w:i/>
      <w:iCs/>
      <w:color w:val="404040"/>
      <w:sz w:val="20"/>
      <w:szCs w:val="20"/>
    </w:rPr>
  </w:style>
  <w:style w:type="paragraph" w:styleId="Caption">
    <w:name w:val="caption"/>
    <w:basedOn w:val="Normal"/>
    <w:next w:val="Normal"/>
    <w:uiPriority w:val="35"/>
    <w:qFormat/>
    <w:pPr>
      <w:spacing w:line="240" w:lineRule="auto"/>
    </w:pPr>
    <w:rPr>
      <w:b/>
      <w:bCs/>
      <w:color w:val="4F81BD"/>
      <w:sz w:val="18"/>
      <w:szCs w:val="18"/>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IntenseQuote">
    <w:name w:val="Intense Quote"/>
    <w:basedOn w:val="Normal"/>
    <w:next w:val="Normal"/>
    <w:link w:val="IntenseQuoteChar"/>
    <w:uiPriority w:val="30"/>
    <w:qFormat/>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Pr>
      <w:b/>
      <w:bCs/>
      <w:i/>
      <w:iCs/>
      <w:color w:val="4F81BD"/>
    </w:rPr>
  </w:style>
  <w:style w:type="character" w:styleId="SubtleEmphasis">
    <w:name w:val="Subtle Emphasis"/>
    <w:basedOn w:val="DefaultParagraphFont"/>
    <w:uiPriority w:val="19"/>
    <w:qFormat/>
    <w:rPr>
      <w:i/>
      <w:iCs/>
      <w:color w:val="808080"/>
    </w:rPr>
  </w:style>
  <w:style w:type="character" w:styleId="IntenseEmphasis">
    <w:name w:val="Intense Emphasis"/>
    <w:basedOn w:val="DefaultParagraphFont"/>
    <w:uiPriority w:val="21"/>
    <w:qFormat/>
    <w:rPr>
      <w:b/>
      <w:bCs/>
      <w:i/>
      <w:iCs/>
      <w:color w:val="4F81BD"/>
    </w:rPr>
  </w:style>
  <w:style w:type="character" w:styleId="SubtleReference">
    <w:name w:val="Subtle Reference"/>
    <w:basedOn w:val="DefaultParagraphFont"/>
    <w:uiPriority w:val="31"/>
    <w:qFormat/>
    <w:rPr>
      <w:smallCaps/>
      <w:color w:val="C0504D"/>
      <w:u w:val="single"/>
    </w:rPr>
  </w:style>
  <w:style w:type="character" w:styleId="IntenseReference">
    <w:name w:val="Intense Reference"/>
    <w:basedOn w:val="DefaultParagraphFont"/>
    <w:uiPriority w:val="32"/>
    <w:qFormat/>
    <w:rPr>
      <w:b/>
      <w:bCs/>
      <w:smallCaps/>
      <w:color w:val="C0504D"/>
      <w:spacing w:val="5"/>
      <w:u w:val="single"/>
    </w:rPr>
  </w:style>
  <w:style w:type="character" w:styleId="BookTitle">
    <w:name w:val="Book Title"/>
    <w:basedOn w:val="DefaultParagraphFont"/>
    <w:uiPriority w:val="33"/>
    <w:qFormat/>
    <w:rPr>
      <w:b/>
      <w:bCs/>
      <w:smallCaps/>
      <w:spacing w:val="5"/>
    </w:rPr>
  </w:style>
  <w:style w:type="paragraph" w:styleId="TOCHeading">
    <w:name w:val="TOC Heading"/>
    <w:basedOn w:val="Heading1"/>
    <w:next w:val="Normal"/>
    <w:uiPriority w:val="39"/>
    <w:qFormat/>
    <w:pPr>
      <w:outlineLvl w:val="9"/>
    </w:p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pPr>
      <w:spacing w:after="0" w:line="240" w:lineRule="auto"/>
    </w:pPr>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pPr>
      <w:spacing w:after="0" w:line="240" w:lineRule="auto"/>
    </w:pPr>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pPr>
      <w:spacing w:after="0" w:line="240" w:lineRule="auto"/>
    </w:pPr>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pPr>
      <w:spacing w:after="0" w:line="240" w:lineRule="auto"/>
    </w:pPr>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pPr>
      <w:spacing w:after="0" w:line="240" w:lineRule="auto"/>
    </w:pPr>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pPr>
      <w:spacing w:after="0" w:line="240" w:lineRule="auto"/>
    </w:pPr>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LightList">
    <w:name w:val="Light List"/>
    <w:basedOn w:val="TableNormal"/>
    <w:uiPriority w:val="61"/>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pPr>
      <w:spacing w:after="0" w:line="240" w:lineRule="auto"/>
    </w:p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pPr>
      <w:spacing w:after="0" w:line="240" w:lineRule="auto"/>
    </w:p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pPr>
      <w:spacing w:after="0" w:line="240" w:lineRule="auto"/>
    </w:p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Grid">
    <w:name w:val="Light Grid"/>
    <w:basedOn w:val="TableNormal"/>
    <w:uiPriority w:val="62"/>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MS Gothic" w:hAnsi="Calibri" w:cs="SimSu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MS Gothic" w:hAnsi="Calibri" w:cs="SimSu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w:eastAsia="MS Gothic" w:hAnsi="Calibri" w:cs="SimSu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MS Gothic" w:hAnsi="Calibri" w:cs="SimSu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pPr>
      <w:spacing w:after="0" w:line="240" w:lineRule="auto"/>
    </w:p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w:eastAsia="MS Gothic" w:hAnsi="Calibri" w:cs="SimSu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w:eastAsia="MS Gothic" w:hAnsi="Calibri" w:cs="SimSu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libri" w:eastAsia="MS Gothic" w:hAnsi="Calibri" w:cs="SimSu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libri" w:eastAsia="MS Gothic" w:hAnsi="Calibri" w:cs="SimSu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pPr>
      <w:spacing w:after="0" w:line="240" w:lineRule="auto"/>
    </w:p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SimSu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SimSu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w:eastAsia="MS Gothic" w:hAnsi="Calibri" w:cs="SimSu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w:eastAsia="MS Gothic" w:hAnsi="Calibri" w:cs="SimSu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pPr>
      <w:spacing w:after="0" w:line="240" w:lineRule="auto"/>
    </w:p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libri" w:eastAsia="MS Gothic" w:hAnsi="Calibri" w:cs="SimSu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libri" w:eastAsia="MS Gothic" w:hAnsi="Calibri" w:cs="SimSu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MediumShading1">
    <w:name w:val="Medium Shading 1"/>
    <w:basedOn w:val="TableNormal"/>
    <w:uiPriority w:val="63"/>
    <w:pPr>
      <w:spacing w:after="0" w:line="240" w:lineRule="auto"/>
    </w:p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pPr>
      <w:spacing w:after="0" w:line="240" w:lineRule="auto"/>
    </w:p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pPr>
      <w:spacing w:after="0" w:line="240" w:lineRule="auto"/>
    </w:p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pPr>
      <w:spacing w:after="0" w:line="240" w:lineRule="auto"/>
    </w:p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pPr>
      <w:spacing w:after="0" w:line="240" w:lineRule="auto"/>
    </w:p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pPr>
      <w:spacing w:after="0" w:line="240" w:lineRule="auto"/>
    </w:p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rPr>
        <w:rFonts w:ascii="Calibri" w:eastAsia="MS Gothic" w:hAnsi="Calibri" w:cs="SimSu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pPr>
      <w:spacing w:after="0" w:line="240" w:lineRule="auto"/>
    </w:pPr>
    <w:rPr>
      <w:color w:val="000000"/>
    </w:rPr>
    <w:tblPr>
      <w:tblStyleRowBandSize w:val="1"/>
      <w:tblStyleColBandSize w:val="1"/>
      <w:tblBorders>
        <w:top w:val="single" w:sz="8" w:space="0" w:color="4F81BD"/>
        <w:bottom w:val="single" w:sz="8" w:space="0" w:color="4F81BD"/>
      </w:tblBorders>
    </w:tblPr>
    <w:tblStylePr w:type="firstRow">
      <w:rPr>
        <w:rFonts w:ascii="Calibri" w:eastAsia="MS Gothic" w:hAnsi="Calibri" w:cs="SimSu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pPr>
      <w:spacing w:after="0" w:line="240" w:lineRule="auto"/>
    </w:pPr>
    <w:rPr>
      <w:color w:val="000000"/>
    </w:rPr>
    <w:tblPr>
      <w:tblStyleRowBandSize w:val="1"/>
      <w:tblStyleColBandSize w:val="1"/>
      <w:tblBorders>
        <w:top w:val="single" w:sz="8" w:space="0" w:color="C0504D"/>
        <w:bottom w:val="single" w:sz="8" w:space="0" w:color="C0504D"/>
      </w:tblBorders>
    </w:tblPr>
    <w:tblStylePr w:type="firstRow">
      <w:rPr>
        <w:rFonts w:ascii="Calibri" w:eastAsia="MS Gothic" w:hAnsi="Calibri" w:cs="SimSu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pPr>
      <w:spacing w:after="0" w:line="240" w:lineRule="auto"/>
    </w:pPr>
    <w:rPr>
      <w:color w:val="000000"/>
    </w:rPr>
    <w:tblPr>
      <w:tblStyleRowBandSize w:val="1"/>
      <w:tblStyleColBandSize w:val="1"/>
      <w:tblBorders>
        <w:top w:val="single" w:sz="8" w:space="0" w:color="9BBB59"/>
        <w:bottom w:val="single" w:sz="8" w:space="0" w:color="9BBB59"/>
      </w:tblBorders>
    </w:tblPr>
    <w:tblStylePr w:type="firstRow">
      <w:rPr>
        <w:rFonts w:ascii="Calibri" w:eastAsia="MS Gothic" w:hAnsi="Calibri" w:cs="SimSu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pPr>
      <w:spacing w:after="0" w:line="240" w:lineRule="auto"/>
    </w:pPr>
    <w:rPr>
      <w:color w:val="000000"/>
    </w:rPr>
    <w:tblPr>
      <w:tblStyleRowBandSize w:val="1"/>
      <w:tblStyleColBandSize w:val="1"/>
      <w:tblBorders>
        <w:top w:val="single" w:sz="8" w:space="0" w:color="8064A2"/>
        <w:bottom w:val="single" w:sz="8" w:space="0" w:color="8064A2"/>
      </w:tblBorders>
    </w:tblPr>
    <w:tblStylePr w:type="firstRow">
      <w:rPr>
        <w:rFonts w:ascii="Calibri" w:eastAsia="MS Gothic" w:hAnsi="Calibri" w:cs="SimSu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pPr>
      <w:spacing w:after="0" w:line="240" w:lineRule="auto"/>
    </w:pPr>
    <w:rPr>
      <w:color w:val="000000"/>
    </w:rPr>
    <w:tblPr>
      <w:tblStyleRowBandSize w:val="1"/>
      <w:tblStyleColBandSize w:val="1"/>
      <w:tblBorders>
        <w:top w:val="single" w:sz="8" w:space="0" w:color="4BACC6"/>
        <w:bottom w:val="single" w:sz="8" w:space="0" w:color="4BACC6"/>
      </w:tblBorders>
    </w:tblPr>
    <w:tblStylePr w:type="firstRow">
      <w:rPr>
        <w:rFonts w:ascii="Calibri" w:eastAsia="MS Gothic" w:hAnsi="Calibri" w:cs="SimSu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pPr>
      <w:spacing w:after="0" w:line="240" w:lineRule="auto"/>
    </w:pPr>
    <w:rPr>
      <w:color w:val="000000"/>
    </w:rPr>
    <w:tblPr>
      <w:tblStyleRowBandSize w:val="1"/>
      <w:tblStyleColBandSize w:val="1"/>
      <w:tblBorders>
        <w:top w:val="single" w:sz="8" w:space="0" w:color="F79646"/>
        <w:bottom w:val="single" w:sz="8" w:space="0" w:color="F79646"/>
      </w:tblBorders>
    </w:tblPr>
    <w:tblStylePr w:type="firstRow">
      <w:rPr>
        <w:rFonts w:ascii="Calibri" w:eastAsia="MS Gothic" w:hAnsi="Calibri" w:cs="SimSu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Grid1">
    <w:name w:val="Medium Grid 1"/>
    <w:basedOn w:val="TableNormal"/>
    <w:uiPriority w:val="67"/>
    <w:pPr>
      <w:spacing w:after="0" w:line="240" w:lineRule="auto"/>
    </w:p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shd w:val="clear" w:color="auto" w:fill="C0C0C0"/>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shd w:val="clear" w:color="auto" w:fill="D3DFEE"/>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pPr>
      <w:spacing w:after="0" w:line="240" w:lineRule="auto"/>
    </w:p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shd w:val="clear" w:color="auto" w:fill="EFD3D2"/>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pPr>
      <w:spacing w:after="0" w:line="240" w:lineRule="auto"/>
    </w:p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shd w:val="clear" w:color="auto" w:fill="E6EED5"/>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pPr>
      <w:spacing w:after="0" w:line="240" w:lineRule="auto"/>
    </w:p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shd w:val="clear" w:color="auto" w:fill="DFD8E8"/>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pPr>
      <w:spacing w:after="0" w:line="240" w:lineRule="auto"/>
    </w:p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shd w:val="clear" w:color="auto" w:fill="D2EAF1"/>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pPr>
      <w:spacing w:after="0" w:line="240" w:lineRule="auto"/>
    </w:p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shd w:val="clear" w:color="auto" w:fill="FDE4D0"/>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C0C0C0"/>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shd w:val="clear" w:color="auto" w:fill="D3DFEE"/>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shd w:val="clear" w:color="auto" w:fill="EFD3D2"/>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shd w:val="clear" w:color="auto" w:fill="E6EED5"/>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shd w:val="clear" w:color="auto" w:fill="DFD8E8"/>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shd w:val="clear" w:color="auto" w:fill="D2EAF1"/>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shd w:val="clear" w:color="auto" w:fill="FDE4D0"/>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C0C0C0"/>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3DFEE"/>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EFD3D2"/>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E6EED5"/>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FD8E8"/>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2EAF1"/>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FDE4D0"/>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DarkList">
    <w:name w:val="Dark List"/>
    <w:basedOn w:val="TableNormal"/>
    <w:uiPriority w:val="70"/>
    <w:pPr>
      <w:spacing w:after="0" w:line="240" w:lineRule="auto"/>
    </w:pPr>
    <w:rPr>
      <w:color w:val="FFFFFF"/>
    </w:rPr>
    <w:tblPr>
      <w:tblStyleRowBandSize w:val="1"/>
      <w:tblStyleColBandSize w:val="1"/>
      <w:shd w:val="clear" w:color="auto" w:fill="000000"/>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pPr>
      <w:spacing w:after="0" w:line="240" w:lineRule="auto"/>
    </w:pPr>
    <w:rPr>
      <w:color w:val="FFFFFF"/>
    </w:rPr>
    <w:tblPr>
      <w:tblStyleRowBandSize w:val="1"/>
      <w:tblStyleColBandSize w:val="1"/>
      <w:shd w:val="clear" w:color="auto" w:fill="4F81BD"/>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pPr>
      <w:spacing w:after="0" w:line="240" w:lineRule="auto"/>
    </w:pPr>
    <w:rPr>
      <w:color w:val="FFFFFF"/>
    </w:rPr>
    <w:tblPr>
      <w:tblStyleRowBandSize w:val="1"/>
      <w:tblStyleColBandSize w:val="1"/>
      <w:shd w:val="clear" w:color="auto" w:fill="C0504D"/>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pPr>
      <w:spacing w:after="0" w:line="240" w:lineRule="auto"/>
    </w:pPr>
    <w:rPr>
      <w:color w:val="FFFFFF"/>
    </w:rPr>
    <w:tblPr>
      <w:tblStyleRowBandSize w:val="1"/>
      <w:tblStyleColBandSize w:val="1"/>
      <w:shd w:val="clear" w:color="auto" w:fill="9BBB59"/>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pPr>
      <w:spacing w:after="0" w:line="240" w:lineRule="auto"/>
    </w:pPr>
    <w:rPr>
      <w:color w:val="FFFFFF"/>
    </w:rPr>
    <w:tblPr>
      <w:tblStyleRowBandSize w:val="1"/>
      <w:tblStyleColBandSize w:val="1"/>
      <w:shd w:val="clear" w:color="auto" w:fill="8064A2"/>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pPr>
      <w:spacing w:after="0" w:line="240" w:lineRule="auto"/>
    </w:pPr>
    <w:rPr>
      <w:color w:val="FFFFFF"/>
    </w:rPr>
    <w:tblPr>
      <w:tblStyleRowBandSize w:val="1"/>
      <w:tblStyleColBandSize w:val="1"/>
      <w:shd w:val="clear" w:color="auto" w:fill="4BACC6"/>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pPr>
      <w:spacing w:after="0" w:line="240" w:lineRule="auto"/>
    </w:pPr>
    <w:rPr>
      <w:color w:val="FFFFFF"/>
    </w:rPr>
    <w:tblPr>
      <w:tblStyleRowBandSize w:val="1"/>
      <w:tblStyleColBandSize w:val="1"/>
      <w:shd w:val="clear" w:color="auto" w:fill="F79646"/>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ColorfulShading">
    <w:name w:val="Colorful Shading"/>
    <w:basedOn w:val="TableNormal"/>
    <w:uiPriority w:val="71"/>
    <w:pPr>
      <w:spacing w:after="0" w:line="240" w:lineRule="auto"/>
    </w:pPr>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shd w:val="clear" w:color="auto" w:fill="E6E6E6"/>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pPr>
      <w:spacing w:after="0" w:line="240" w:lineRule="auto"/>
    </w:pPr>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shd w:val="clear" w:color="auto" w:fill="EDF2F8"/>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pPr>
      <w:spacing w:after="0" w:line="240" w:lineRule="auto"/>
    </w:pPr>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shd w:val="clear" w:color="auto" w:fill="F8EDED"/>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pPr>
      <w:spacing w:after="0" w:line="240" w:lineRule="auto"/>
    </w:pPr>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shd w:val="clear" w:color="auto" w:fill="F5F8EE"/>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pPr>
      <w:spacing w:after="0" w:line="240" w:lineRule="auto"/>
    </w:pPr>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shd w:val="clear" w:color="auto" w:fill="F2EFF6"/>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pPr>
      <w:spacing w:after="0" w:line="240" w:lineRule="auto"/>
    </w:pPr>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shd w:val="clear" w:color="auto" w:fill="EDF6F9"/>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pPr>
      <w:spacing w:after="0" w:line="240" w:lineRule="auto"/>
    </w:pPr>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shd w:val="clear" w:color="auto" w:fill="FEF4EC"/>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ColorfulList">
    <w:name w:val="Colorful List"/>
    <w:basedOn w:val="TableNormal"/>
    <w:uiPriority w:val="72"/>
    <w:pPr>
      <w:spacing w:after="0" w:line="240" w:lineRule="auto"/>
    </w:pPr>
    <w:rPr>
      <w:color w:val="000000"/>
    </w:rPr>
    <w:tblPr>
      <w:tblStyleRowBandSize w:val="1"/>
      <w:tblStyleColBandSize w:val="1"/>
      <w:shd w:val="clear" w:color="auto" w:fill="E6E6E6"/>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pPr>
      <w:spacing w:after="0" w:line="240" w:lineRule="auto"/>
    </w:pPr>
    <w:rPr>
      <w:color w:val="000000"/>
    </w:rPr>
    <w:tblPr>
      <w:tblStyleRowBandSize w:val="1"/>
      <w:tblStyleColBandSize w:val="1"/>
      <w:shd w:val="clear" w:color="auto" w:fill="EDF2F8"/>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pPr>
      <w:spacing w:after="0" w:line="240" w:lineRule="auto"/>
    </w:pPr>
    <w:rPr>
      <w:color w:val="000000"/>
    </w:rPr>
    <w:tblPr>
      <w:tblStyleRowBandSize w:val="1"/>
      <w:tblStyleColBandSize w:val="1"/>
      <w:shd w:val="clear" w:color="auto" w:fill="F8EDED"/>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pPr>
      <w:spacing w:after="0" w:line="240" w:lineRule="auto"/>
    </w:pPr>
    <w:rPr>
      <w:color w:val="000000"/>
    </w:rPr>
    <w:tblPr>
      <w:tblStyleRowBandSize w:val="1"/>
      <w:tblStyleColBandSize w:val="1"/>
      <w:shd w:val="clear" w:color="auto" w:fill="F5F8EE"/>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pPr>
      <w:spacing w:after="0" w:line="240" w:lineRule="auto"/>
    </w:pPr>
    <w:rPr>
      <w:color w:val="000000"/>
    </w:rPr>
    <w:tblPr>
      <w:tblStyleRowBandSize w:val="1"/>
      <w:tblStyleColBandSize w:val="1"/>
      <w:shd w:val="clear" w:color="auto" w:fill="F2EFF6"/>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pPr>
      <w:spacing w:after="0" w:line="240" w:lineRule="auto"/>
    </w:pPr>
    <w:rPr>
      <w:color w:val="000000"/>
    </w:rPr>
    <w:tblPr>
      <w:tblStyleRowBandSize w:val="1"/>
      <w:tblStyleColBandSize w:val="1"/>
      <w:shd w:val="clear" w:color="auto" w:fill="EDF6F9"/>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pPr>
      <w:spacing w:after="0" w:line="240" w:lineRule="auto"/>
    </w:pPr>
    <w:rPr>
      <w:color w:val="000000"/>
    </w:rPr>
    <w:tblPr>
      <w:tblStyleRowBandSize w:val="1"/>
      <w:tblStyleColBandSize w:val="1"/>
      <w:shd w:val="clear" w:color="auto" w:fill="FEF4EC"/>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Grid">
    <w:name w:val="Colorful Grid"/>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CCCCCC"/>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DBE5F1"/>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F2DBDB"/>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EAF1DD"/>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E5DFEC"/>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DAEEF3"/>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FDE9D9"/>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8736</Words>
  <Characters>49799</Characters>
  <Application>Microsoft Office Word</Application>
  <DocSecurity>0</DocSecurity>
  <Lines>414</Lines>
  <Paragraphs>116</Paragraphs>
  <ScaleCrop>false</ScaleCrop>
  <Company/>
  <LinksUpToDate>false</LinksUpToDate>
  <CharactersWithSpaces>58419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أثر التسويق عبر وسائل التواصل الاجتماعي على قرار الشراء لدى المستهلكين في مدينة الرياض</dc:title>
  <dc:creator>WPS Office</dc:creator>
  <dc:description>generated by python-docx</dc:description>
  <cp:lastModifiedBy>Raghad Almarei</cp:lastModifiedBy>
  <cp:revision>3</cp:revision>
  <dcterms:created xsi:type="dcterms:W3CDTF">2026-07-16T20:46:00Z</dcterms:created>
  <dcterms:modified xsi:type="dcterms:W3CDTF">2026-07-16T20:46:00Z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e56fa419f0fa4588a1c601d7016e16b7</vt:lpwstr>
  </property>
</Properties>
</file>