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BA462" w14:textId="77777777" w:rsidR="005B1DF7" w:rsidRPr="00E30AB8" w:rsidRDefault="005B1DF7" w:rsidP="005B1DF7">
      <w:pPr>
        <w:bidi/>
        <w:spacing w:line="360" w:lineRule="auto"/>
        <w:jc w:val="center"/>
        <w:rPr>
          <w:rFonts w:ascii="Traditional Arabic" w:hAnsi="Traditional Arabic" w:cs="Traditional Arabic"/>
          <w:b/>
          <w:bCs/>
          <w:sz w:val="40"/>
          <w:szCs w:val="40"/>
          <w:lang w:val="en-US"/>
        </w:rPr>
      </w:pPr>
      <w:r w:rsidRPr="00E30AB8">
        <w:rPr>
          <w:rFonts w:ascii="Traditional Arabic" w:hAnsi="Traditional Arabic" w:cs="Traditional Arabic"/>
          <w:b/>
          <w:bCs/>
          <w:sz w:val="40"/>
          <w:szCs w:val="40"/>
          <w:rtl/>
        </w:rPr>
        <w:t>الفصل الثالث</w:t>
      </w:r>
    </w:p>
    <w:p w14:paraId="1C9E0A30" w14:textId="77777777" w:rsidR="005B1DF7" w:rsidRPr="00E30AB8" w:rsidRDefault="005B1DF7" w:rsidP="005B1DF7">
      <w:pPr>
        <w:bidi/>
        <w:spacing w:line="360" w:lineRule="auto"/>
        <w:jc w:val="center"/>
        <w:rPr>
          <w:rFonts w:ascii="Traditional Arabic" w:hAnsi="Traditional Arabic" w:cs="Traditional Arabic"/>
          <w:b/>
          <w:bCs/>
          <w:sz w:val="40"/>
          <w:szCs w:val="40"/>
          <w:lang w:val="en-US"/>
        </w:rPr>
      </w:pPr>
      <w:r w:rsidRPr="00E30AB8">
        <w:rPr>
          <w:rFonts w:ascii="Traditional Arabic" w:hAnsi="Traditional Arabic" w:cs="Traditional Arabic"/>
          <w:b/>
          <w:bCs/>
          <w:sz w:val="40"/>
          <w:szCs w:val="40"/>
          <w:rtl/>
        </w:rPr>
        <w:t>منهجية الدراسة وإجراءاتها</w:t>
      </w:r>
    </w:p>
    <w:p w14:paraId="75F98AF5"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3.1 مقدمة</w:t>
      </w:r>
    </w:p>
    <w:p w14:paraId="0154C9B3"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rPr>
        <w:t>يتناول هذا الفصل المنهجية التي اتبعها الباحث لتحقيق أهداف الدراسة والإجابة عن أسئلتها واختبار فرضياتها، حيث يتضمن وصفًا لمنهج الدراسة وتصميمها، ومجتمع الدراسة وعينتها، ومتغيراتها، وأداة الدراسة المستخدمة في جمع البيانات، إلى جانب الإجراءات المتبعة للتحقق من صدق الأداة وثباتها، والخطوات التي اتبعها الباحث في تنفيذ الدراسة، والأساليب الإحصائية المستخدمة في تحليل البيانات واستخلاص النتائج</w:t>
      </w:r>
      <w:r w:rsidRPr="005B1DF7">
        <w:rPr>
          <w:rFonts w:ascii="Traditional Arabic" w:hAnsi="Traditional Arabic" w:cs="Traditional Arabic"/>
          <w:sz w:val="32"/>
          <w:szCs w:val="32"/>
          <w:lang w:val="en-US"/>
        </w:rPr>
        <w:t>.</w:t>
      </w:r>
    </w:p>
    <w:p w14:paraId="2CCA92B3" w14:textId="77777777" w:rsidR="005B1DF7" w:rsidRDefault="005B1DF7" w:rsidP="005B1DF7">
      <w:pPr>
        <w:bidi/>
        <w:spacing w:line="360" w:lineRule="auto"/>
        <w:jc w:val="both"/>
        <w:rPr>
          <w:rFonts w:ascii="Traditional Arabic" w:hAnsi="Traditional Arabic" w:cs="Traditional Arabic"/>
          <w:sz w:val="32"/>
          <w:szCs w:val="32"/>
          <w:rtl/>
          <w:lang w:val="en-US"/>
        </w:rPr>
      </w:pPr>
      <w:r w:rsidRPr="005B1DF7">
        <w:rPr>
          <w:rFonts w:ascii="Traditional Arabic" w:hAnsi="Traditional Arabic" w:cs="Traditional Arabic"/>
          <w:sz w:val="32"/>
          <w:szCs w:val="32"/>
          <w:rtl/>
        </w:rPr>
        <w:t>وقد اعتمدت الدراسة المنهج الوصفي التحليلي لملاءمته لطبيعة الدراسة، إذ يهدف إلى التعرف على أثر التحول الرقمي بأبعاده المتمثلة في البنية التحتية الرقمية والتقنيات الرقمية، والكفاءة الرقمية للموظفين، وتكامل الأنظمة الرقمية وعمليات الرقمنة، والأمن وحماية البيانات الرقمية في الاستقرار الوظيفي لدى العاملين في المستشفيات الحكومية بمدينة جدة، وذلك من خلال جمع البيانات باستخدام استبانة أُعدت لهذا الغرض، ثم تحليلها إحصائيًا للوصول إلى النتائج التي تحقق أهداف الدراسة. وقد روعي في جميع مراحل الدراسة اتباع الإجراءات العلمية والمنهجية التي تسهم في تعزيز دقة النتائج وموضوعيتها وقابليتها للتعميم في حدود مجتمع الدراسة</w:t>
      </w:r>
      <w:r w:rsidRPr="005B1DF7">
        <w:rPr>
          <w:rFonts w:ascii="Traditional Arabic" w:hAnsi="Traditional Arabic" w:cs="Traditional Arabic"/>
          <w:sz w:val="32"/>
          <w:szCs w:val="32"/>
          <w:lang w:val="en-US"/>
        </w:rPr>
        <w:t xml:space="preserve">. </w:t>
      </w:r>
    </w:p>
    <w:p w14:paraId="726A991E" w14:textId="77777777" w:rsidR="005B1DF7" w:rsidRDefault="005B1DF7" w:rsidP="005B1DF7">
      <w:pPr>
        <w:bidi/>
        <w:spacing w:line="360" w:lineRule="auto"/>
        <w:jc w:val="both"/>
        <w:rPr>
          <w:rFonts w:ascii="Traditional Arabic" w:hAnsi="Traditional Arabic" w:cs="Traditional Arabic"/>
          <w:sz w:val="32"/>
          <w:szCs w:val="32"/>
          <w:rtl/>
          <w:lang w:val="en-US"/>
        </w:rPr>
      </w:pPr>
    </w:p>
    <w:p w14:paraId="7E811329" w14:textId="77777777" w:rsidR="005B1DF7" w:rsidRPr="005B1DF7" w:rsidRDefault="005B1DF7" w:rsidP="005B1DF7">
      <w:pPr>
        <w:bidi/>
        <w:spacing w:line="360" w:lineRule="auto"/>
        <w:jc w:val="both"/>
        <w:rPr>
          <w:rFonts w:ascii="Traditional Arabic" w:hAnsi="Traditional Arabic" w:cs="Traditional Arabic"/>
          <w:sz w:val="32"/>
          <w:szCs w:val="32"/>
          <w:lang w:val="en-US"/>
        </w:rPr>
      </w:pPr>
    </w:p>
    <w:p w14:paraId="38C90CB2"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3.2 منهج الدراسة</w:t>
      </w:r>
    </w:p>
    <w:p w14:paraId="13F8EBCC"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اعتمدت الدراسة المنهج الوصفي التحليلي، لكونه المنهج الأنسب لتحقيق أهدافها والإجابة عن أسئلتها واختبار فرضياتها. ويُعد هذا المنهج من أكثر المناهج استخدامًا في الدراسات الإدارية والإنسانية التي تهدف إلى وصف الظاهرة محل الدراسة وتحليلها، والكشف عن العلاقات والتأثيرات بين المتغيرات اعتمادًا على البيانات الميدانية التي يتم جمعها من أفراد مجتمع الدراسة (</w:t>
      </w:r>
      <w:r w:rsidRPr="005B1DF7">
        <w:rPr>
          <w:rFonts w:ascii="Traditional Arabic" w:hAnsi="Traditional Arabic" w:cs="Traditional Arabic"/>
          <w:sz w:val="32"/>
          <w:szCs w:val="32"/>
          <w:lang w:val="en-US"/>
        </w:rPr>
        <w:t>Creswell &amp; Creswell, 2023</w:t>
      </w:r>
      <w:r w:rsidRPr="005B1DF7">
        <w:rPr>
          <w:rFonts w:ascii="Traditional Arabic" w:hAnsi="Traditional Arabic" w:cs="Traditional Arabic"/>
          <w:sz w:val="32"/>
          <w:szCs w:val="32"/>
          <w:rtl/>
          <w:lang w:val="en-US"/>
        </w:rPr>
        <w:t xml:space="preserve">؛ </w:t>
      </w:r>
      <w:r w:rsidRPr="005B1DF7">
        <w:rPr>
          <w:rFonts w:ascii="Traditional Arabic" w:hAnsi="Traditional Arabic" w:cs="Traditional Arabic"/>
          <w:sz w:val="32"/>
          <w:szCs w:val="32"/>
          <w:lang w:val="en-US"/>
        </w:rPr>
        <w:t>Saunders et al., 2023</w:t>
      </w:r>
      <w:r w:rsidRPr="005B1DF7">
        <w:rPr>
          <w:rFonts w:ascii="Traditional Arabic" w:hAnsi="Traditional Arabic" w:cs="Traditional Arabic"/>
          <w:sz w:val="32"/>
          <w:szCs w:val="32"/>
          <w:rtl/>
          <w:lang w:val="en-US"/>
        </w:rPr>
        <w:t>).</w:t>
      </w:r>
    </w:p>
    <w:p w14:paraId="4F7AB080"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وقد استُخدم هذا المنهج لدراسة أثر التحول الرقمي في الاستقرار الوظيفي لدى العاملين في المستشفيات الحكومية بمدينة جدة، من خلال جمع البيانات باستخدام استبانة أُعدت لهذا الغرض، تضمنت فقرات تقيس أبعاد التحول الرقمي، والمتمثلة في البنية التحتية الرقمية والتقنيات الرقمية، والكفاءة الرقمية للموظفين، وتكامل الأنظمة الرقمية وعمليات الرقمنة، والأمن وحماية البيانات الرقمية، بالإضافة إلى فقرات تقيس الاستقرار الوظيفي بأبعاده المختلفة. وبعد جمع البيانات، خضعت للتحليل الإحصائي باستخدام الأساليب الإحصائية المناسبة لاختبار فرضيات الدراسة وقياس أثر المتغير المستقل في المتغير التابع</w:t>
      </w:r>
      <w:r w:rsidRPr="005B1DF7">
        <w:rPr>
          <w:rFonts w:ascii="Traditional Arabic" w:hAnsi="Traditional Arabic" w:cs="Traditional Arabic"/>
          <w:sz w:val="32"/>
          <w:szCs w:val="32"/>
          <w:lang w:val="en-US"/>
        </w:rPr>
        <w:t>.</w:t>
      </w:r>
    </w:p>
    <w:p w14:paraId="30D1EB9A"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ويتميز المنهج الوصفي التحليلي بقدرته على تقديم وصف دقيق للظاهرة المدروسة، وتحليل العلاقات بين المتغيرات، واستخلاص النتائج في ضوء البيانات الميدانية، مما يجعله ملائمًا لطبيعة الدراسة الحالية التي تسعى إلى تفسير أثر التحول الرقمي في تعزيز الاستقرار الوظيفي لدى العاملين في المستشفيات الحكومية بمدينة جدة، وتقديم نتائج يمكن الاستفادة منها في تطوير الممارسات الإدارية واتخاذ القرارات المتعلقة بالتحول الرقمي في القطاع الصحي. (</w:t>
      </w:r>
      <w:r w:rsidRPr="005B1DF7">
        <w:rPr>
          <w:rFonts w:ascii="Traditional Arabic" w:hAnsi="Traditional Arabic" w:cs="Traditional Arabic"/>
          <w:sz w:val="32"/>
          <w:szCs w:val="32"/>
          <w:lang w:val="en-US"/>
        </w:rPr>
        <w:t>Creswell &amp; Creswell, 2023</w:t>
      </w:r>
      <w:r w:rsidRPr="005B1DF7">
        <w:rPr>
          <w:rFonts w:ascii="Traditional Arabic" w:hAnsi="Traditional Arabic" w:cs="Traditional Arabic"/>
          <w:sz w:val="32"/>
          <w:szCs w:val="32"/>
          <w:rtl/>
          <w:lang w:val="en-US"/>
        </w:rPr>
        <w:t xml:space="preserve">؛ </w:t>
      </w:r>
      <w:r w:rsidRPr="005B1DF7">
        <w:rPr>
          <w:rFonts w:ascii="Traditional Arabic" w:hAnsi="Traditional Arabic" w:cs="Traditional Arabic"/>
          <w:sz w:val="32"/>
          <w:szCs w:val="32"/>
          <w:lang w:val="en-US"/>
        </w:rPr>
        <w:t>Sekaran &amp; Bougie, 2020</w:t>
      </w:r>
      <w:r w:rsidRPr="005B1DF7">
        <w:rPr>
          <w:rFonts w:ascii="Traditional Arabic" w:hAnsi="Traditional Arabic" w:cs="Traditional Arabic"/>
          <w:sz w:val="32"/>
          <w:szCs w:val="32"/>
          <w:rtl/>
          <w:lang w:val="en-US"/>
        </w:rPr>
        <w:t>).</w:t>
      </w:r>
    </w:p>
    <w:p w14:paraId="00484944"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3.3 تصميم الدراسة</w:t>
      </w:r>
    </w:p>
    <w:p w14:paraId="702F72C4" w14:textId="77777777" w:rsidR="00365907" w:rsidRPr="00365907"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استندت الدراسة الحالية إلى التصميم الكمي المسحي المقطعي، بالاعتماد على المنهج الوصفي التحليلي ذي الطابع الارتباطي التفسيري، والذي يهدف إلى دراسة أثر المتغير المستقل في المتغير التابع من خلال جمع البيانات ميدانيًا في فترة زمنية واحدة وتحليلها باستخدام الأساليب الإحصائية المناسبة. ويُعد هذا التصميم من أكثر التصاميم استخدامًا في الدراسات الإدارية؛ لملاءمته لدراسة العلاقات بين المتغيرات واختبار الفرضيات في بيئات العمل المختلفة، كما يتيح قياس تصورات أفراد العينة وتحليلها إحصائيًا للوصول إلى نتائج موضوعية في ضوء أهداف الدراسة (</w:t>
      </w:r>
      <w:r w:rsidRPr="00365907">
        <w:rPr>
          <w:rFonts w:ascii="Traditional Arabic" w:hAnsi="Traditional Arabic" w:cs="Traditional Arabic"/>
          <w:sz w:val="32"/>
          <w:szCs w:val="32"/>
          <w:lang w:val="en-US"/>
        </w:rPr>
        <w:t>Creswell &amp; Creswell, 2023</w:t>
      </w:r>
      <w:r w:rsidRPr="00365907">
        <w:rPr>
          <w:rFonts w:ascii="Traditional Arabic" w:hAnsi="Traditional Arabic" w:cs="Traditional Arabic"/>
          <w:sz w:val="32"/>
          <w:szCs w:val="32"/>
          <w:rtl/>
          <w:lang w:val="en-US"/>
        </w:rPr>
        <w:t>).</w:t>
      </w:r>
    </w:p>
    <w:p w14:paraId="6752CAD4" w14:textId="77777777" w:rsidR="00365907" w:rsidRPr="00365907"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ويعتمد التصميم المسحي في هذه الدراسة على جمع البيانات من أفراد العينة باستخدام الاستبانة بوصفها الأداة الرئيسة لجمع البيانات، حيث تمثل هذه الدراسة تصميمًا مقطعيًا (</w:t>
      </w:r>
      <w:r w:rsidRPr="00365907">
        <w:rPr>
          <w:rFonts w:ascii="Traditional Arabic" w:hAnsi="Traditional Arabic" w:cs="Traditional Arabic"/>
          <w:sz w:val="32"/>
          <w:szCs w:val="32"/>
          <w:lang w:val="en-US"/>
        </w:rPr>
        <w:t>Cross-sectional</w:t>
      </w:r>
      <w:r w:rsidRPr="00365907">
        <w:rPr>
          <w:rFonts w:ascii="Traditional Arabic" w:hAnsi="Traditional Arabic" w:cs="Traditional Arabic"/>
          <w:sz w:val="32"/>
          <w:szCs w:val="32"/>
          <w:rtl/>
          <w:lang w:val="en-US"/>
        </w:rPr>
        <w:t>)، إذ تُجمع البيانات من المشاركين خلال فترة زمنية واحدة دون إجراء قياسات متكررة، مما يتيح تحليل العلاقات والتأثيرات الإحصائية بين متغيرات الدراسة في وقت محدد.</w:t>
      </w:r>
    </w:p>
    <w:p w14:paraId="6E3C1861" w14:textId="77777777" w:rsidR="00365907" w:rsidRPr="00365907"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وقد بُني تصميم الدراسة على متغير مستقل هو التحول الرقمي، ويتكون من أربعة أبعاد هي: البنية التحتية الرقمية والتقنيات الرقمية، والكفاءة الرقمية للموظفين، وتكامل الأنظمة الرقمية وعمليات الرقمنة، والأمن وحماية البيانات الرقمية، ومتغير تابع هو الاستقرار الوظيفي، ويُقاس من خلال أبعاده المتمثلة في الأمان الوظيفي، والرضا الوظيفي، والالتزام التنظيمي. وتم قياس هذه المتغيرات باستخدام استبانة طُورت في ضوء الأدبيات والدراسات السابقة، ثم جُمعت البيانات من أفراد عينة الدراسة، وأُخضعت للتحليل الإحصائي باستخدام برنامج</w:t>
      </w:r>
      <w:r w:rsidRPr="00365907">
        <w:rPr>
          <w:rFonts w:ascii="Traditional Arabic" w:hAnsi="Traditional Arabic" w:cs="Traditional Arabic"/>
          <w:sz w:val="32"/>
          <w:szCs w:val="32"/>
          <w:lang w:val="en-US"/>
        </w:rPr>
        <w:t xml:space="preserve"> (SPSS) </w:t>
      </w:r>
      <w:r w:rsidRPr="00365907">
        <w:rPr>
          <w:rFonts w:ascii="Traditional Arabic" w:hAnsi="Traditional Arabic" w:cs="Traditional Arabic"/>
          <w:sz w:val="32"/>
          <w:szCs w:val="32"/>
          <w:rtl/>
          <w:lang w:val="en-US"/>
        </w:rPr>
        <w:t>لاختبار أثر أبعاد التحول الرقمي في الاستقرار الوظيفي لدى العاملين في المستشفيات الحكومية بمدينة جدة، بما يتوافق مع أسئلة الدراسة وفرضياتها</w:t>
      </w:r>
      <w:r w:rsidRPr="00365907">
        <w:rPr>
          <w:rFonts w:ascii="Traditional Arabic" w:hAnsi="Traditional Arabic" w:cs="Traditional Arabic"/>
          <w:sz w:val="32"/>
          <w:szCs w:val="32"/>
          <w:lang w:val="en-US"/>
        </w:rPr>
        <w:t>.</w:t>
      </w:r>
    </w:p>
    <w:p w14:paraId="12803AA0" w14:textId="77777777" w:rsidR="00692479" w:rsidRPr="00365907" w:rsidRDefault="00234504" w:rsidP="00234504">
      <w:pPr>
        <w:bidi/>
        <w:spacing w:line="360" w:lineRule="auto"/>
        <w:jc w:val="both"/>
        <w:rPr>
          <w:rFonts w:ascii="Traditional Arabic" w:hAnsi="Traditional Arabic" w:cs="Traditional Arabic"/>
          <w:sz w:val="32"/>
          <w:szCs w:val="32"/>
          <w:rtl/>
          <w:lang w:val="en-US"/>
        </w:rPr>
      </w:pPr>
      <w:r w:rsidRPr="00234504">
        <w:rPr>
          <w:rFonts w:ascii="Traditional Arabic" w:hAnsi="Traditional Arabic" w:cs="Traditional Arabic"/>
          <w:sz w:val="32"/>
          <w:szCs w:val="32"/>
          <w:rtl/>
          <w:lang w:val="en-US"/>
        </w:rPr>
        <w:t>وقد استند تصميم الدراسة إلى النموذج المفاهيمي المعروض في الفصل الأول، والذي يوضح العلاقة المفترضة بين متغيرات الدراسة، حيث يمثل التحول الرقمي بأبعاده الأربعة (البنية التحتية الرقمية والتقنيات الرقمية، والكفاءة الرقمية للموظفين، وتكامل الأنظمة الرقمية وعمليات الرقمنة، والأمن وحماية البيانات الرقمية) المتغير المستقل، في حين يمثل الاستقرار الوظيفي المتغير التابع، ويقاس من خلال أبعاده المتمثلة في الأمان الوظيفي، والرضا الوظيفي، والالتزام التنظيمي. وقد بُني التصميم الكمي المسحي المقطعي للدراسة بما ينسجم مع هذا النموذج، إذ يهدف إلى اختبار أثر أبعاد المتغير المستقل في المتغير التابع باستخدام تحليل الانحدار الخطي المتعدد، بما يتوافق مع أهداف الدراسة وفرضياتها</w:t>
      </w:r>
      <w:r w:rsidRPr="00234504">
        <w:rPr>
          <w:rFonts w:ascii="Traditional Arabic" w:hAnsi="Traditional Arabic" w:cs="Traditional Arabic"/>
          <w:sz w:val="32"/>
          <w:szCs w:val="32"/>
        </w:rPr>
        <w:t>.</w:t>
      </w:r>
    </w:p>
    <w:p w14:paraId="5C55C97D" w14:textId="77777777" w:rsidR="005B1DF7" w:rsidRPr="00692479" w:rsidRDefault="005B1DF7"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3.4 مجتمع الدراسة</w:t>
      </w:r>
    </w:p>
    <w:p w14:paraId="621FB78B"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تكون مجتمع الدراسة من جميع العاملين في المستشفيات الحكومية المشمولة بالدراسة بمدينة جدة في المملكة العربية السعودية، ويشمل ذلك الأطباء، وهيئة التمريض، والفنيين، والإداريين، باعتبارهم الفئات الأكثر ارتباطًا باستخدام الأنظمة والتقنيات الرقمية في بيئة العمل، والأكثر تأثرًا بعمليات التحول الرقمي التي يشهدها القطاع الصحي</w:t>
      </w:r>
      <w:r w:rsidRPr="00675801">
        <w:rPr>
          <w:rFonts w:ascii="Traditional Arabic" w:hAnsi="Traditional Arabic" w:cs="Traditional Arabic"/>
          <w:sz w:val="32"/>
          <w:szCs w:val="32"/>
          <w:lang w:val="en-US"/>
        </w:rPr>
        <w:t>.</w:t>
      </w:r>
    </w:p>
    <w:p w14:paraId="75D1485A"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 xml:space="preserve">ولتحقيق أهداف الدراسة، حدد الباحث ميدان الدراسة في ستة مستشفيات حكومية بمدينة جدة، وذلك بعد مراجعة التقارير والإحصاءات الرسمية الصادرة عن وزارة الصحة السعودية، والاطلاع على المواقع الإلكترونية الرسمية للمستشفيات، إلى جانب الاستفادة من الأدبيات والدراسات السابقة ذات العلاقة بالتحول الرقمي في القطاع الصحي السعودي (وزارة الصحة السعودية، 2023؛ </w:t>
      </w:r>
      <w:r w:rsidRPr="00675801">
        <w:rPr>
          <w:rFonts w:ascii="Traditional Arabic" w:hAnsi="Traditional Arabic" w:cs="Traditional Arabic"/>
          <w:sz w:val="32"/>
          <w:szCs w:val="32"/>
          <w:lang w:val="en-US"/>
        </w:rPr>
        <w:t>Alshammari, 2021</w:t>
      </w:r>
      <w:r w:rsidRPr="00675801">
        <w:rPr>
          <w:rFonts w:ascii="Traditional Arabic" w:hAnsi="Traditional Arabic" w:cs="Traditional Arabic"/>
          <w:sz w:val="32"/>
          <w:szCs w:val="32"/>
          <w:rtl/>
          <w:lang w:val="en-US"/>
        </w:rPr>
        <w:t>). وقد شملت المستشفيات المشمولة بالدراسة ما يأتي:</w:t>
      </w:r>
    </w:p>
    <w:p w14:paraId="78D1A45F"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الملك عبدالعزيز الجامعي</w:t>
      </w:r>
      <w:r w:rsidRPr="00675801">
        <w:rPr>
          <w:rFonts w:ascii="Traditional Arabic" w:hAnsi="Traditional Arabic" w:cs="Traditional Arabic"/>
          <w:sz w:val="32"/>
          <w:szCs w:val="32"/>
          <w:lang w:val="en-US"/>
        </w:rPr>
        <w:t xml:space="preserve">. </w:t>
      </w:r>
    </w:p>
    <w:p w14:paraId="1D9BBE22"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الملك فهد للقوات المسلحة</w:t>
      </w:r>
      <w:r w:rsidRPr="00675801">
        <w:rPr>
          <w:rFonts w:ascii="Traditional Arabic" w:hAnsi="Traditional Arabic" w:cs="Traditional Arabic"/>
          <w:sz w:val="32"/>
          <w:szCs w:val="32"/>
          <w:lang w:val="en-US"/>
        </w:rPr>
        <w:t xml:space="preserve">. </w:t>
      </w:r>
    </w:p>
    <w:p w14:paraId="7AD9EE4C"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الولادة والأطفال (العزيزية).</w:t>
      </w:r>
    </w:p>
    <w:p w14:paraId="1597D28C"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الثغر العام</w:t>
      </w:r>
      <w:r w:rsidRPr="00675801">
        <w:rPr>
          <w:rFonts w:ascii="Traditional Arabic" w:hAnsi="Traditional Arabic" w:cs="Traditional Arabic"/>
          <w:sz w:val="32"/>
          <w:szCs w:val="32"/>
          <w:lang w:val="en-US"/>
        </w:rPr>
        <w:t xml:space="preserve">. </w:t>
      </w:r>
    </w:p>
    <w:p w14:paraId="7C74FEC7"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الملك فيصل التخصصي بجدة</w:t>
      </w:r>
      <w:r w:rsidRPr="00675801">
        <w:rPr>
          <w:rFonts w:ascii="Traditional Arabic" w:hAnsi="Traditional Arabic" w:cs="Traditional Arabic"/>
          <w:sz w:val="32"/>
          <w:szCs w:val="32"/>
          <w:lang w:val="en-US"/>
        </w:rPr>
        <w:t xml:space="preserve">. </w:t>
      </w:r>
    </w:p>
    <w:p w14:paraId="2F5F01CB"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الحرس الوطني</w:t>
      </w:r>
      <w:r w:rsidRPr="00675801">
        <w:rPr>
          <w:rFonts w:ascii="Traditional Arabic" w:hAnsi="Traditional Arabic" w:cs="Traditional Arabic"/>
          <w:sz w:val="32"/>
          <w:szCs w:val="32"/>
          <w:lang w:val="en-US"/>
        </w:rPr>
        <w:t xml:space="preserve">. </w:t>
      </w:r>
    </w:p>
    <w:p w14:paraId="6AD498FE"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وقد استند اختيار هذه المستشفيات إلى مجموعة من المعايير، تمثلت في كونها من المستشفيات الحكومية الكبرى التي تقدم خدمات صحية متخصصة ومتنوعة، وتضم أعدادًا كبيرة من العاملين في مختلف التخصصات الصحية والإدارية، كما تتميز بتبنيها تطبيقات متقدمة في مجال التحول الرقمي، مثل السجلات الطبية الإلكترونية، والأنظمة الصحية الذكية، والخدمات الرقمية، الأمر الذي يجعلها بيئة مناسبة لدراسة أثر التحول الرقمي في الاستقرار الوظيفي. إضافة إلى ذلك، تمثل هذه المستشفيات جزءًا مهمًا من منظومة الرعاية الصحية الحكومية بمدينة جدة، مما يعزز ملاءمتها لتحقيق أهداف الدراسة وإمكانية الاستفادة من نتائجها في دعم جهود التحول الرقمي في القطاع الصحي</w:t>
      </w:r>
      <w:r w:rsidRPr="00675801">
        <w:rPr>
          <w:rFonts w:ascii="Traditional Arabic" w:hAnsi="Traditional Arabic" w:cs="Traditional Arabic"/>
          <w:sz w:val="32"/>
          <w:szCs w:val="32"/>
          <w:lang w:val="en-US"/>
        </w:rPr>
        <w:t>.</w:t>
      </w:r>
    </w:p>
    <w:p w14:paraId="78FE36B7" w14:textId="77777777" w:rsidR="00675801" w:rsidRPr="00675801" w:rsidRDefault="00675801" w:rsidP="00675801">
      <w:pPr>
        <w:bidi/>
        <w:spacing w:line="360" w:lineRule="auto"/>
        <w:jc w:val="both"/>
        <w:rPr>
          <w:rFonts w:ascii="Traditional Arabic" w:hAnsi="Traditional Arabic" w:cs="Traditional Arabic"/>
          <w:sz w:val="32"/>
          <w:szCs w:val="32"/>
          <w:rtl/>
          <w:lang w:val="en-US"/>
        </w:rPr>
      </w:pPr>
      <w:r w:rsidRPr="00675801">
        <w:rPr>
          <w:rFonts w:ascii="Traditional Arabic" w:hAnsi="Traditional Arabic" w:cs="Traditional Arabic"/>
          <w:sz w:val="32"/>
          <w:szCs w:val="32"/>
          <w:rtl/>
          <w:lang w:val="en-US"/>
        </w:rPr>
        <w:t>وبناءً على ذلك، تمثل مجتمع الدراسة في جميع العاملين بالمستشفيات الحكومية المشمولة بالدراسة، والذين ينتمون إلى الفئات الوظيفية المستهدفة، والمتمثلة في الأطباء، وهيئة التمريض، والفنيين، والإداريين، وقد استُمدت عينة الدراسة من هذا المجتمع وفق إجراءات المعاينة المعتمدة في الدراسة</w:t>
      </w:r>
      <w:r w:rsidRPr="00675801">
        <w:rPr>
          <w:rFonts w:ascii="Traditional Arabic" w:hAnsi="Traditional Arabic" w:cs="Traditional Arabic"/>
          <w:sz w:val="32"/>
          <w:szCs w:val="32"/>
          <w:lang w:val="en-US"/>
        </w:rPr>
        <w:t>.</w:t>
      </w:r>
    </w:p>
    <w:p w14:paraId="4B8600A4" w14:textId="77777777" w:rsidR="00675801" w:rsidRDefault="00BB2224" w:rsidP="00BB2224">
      <w:pPr>
        <w:bidi/>
        <w:spacing w:line="360" w:lineRule="auto"/>
        <w:jc w:val="both"/>
        <w:rPr>
          <w:rFonts w:ascii="Traditional Arabic" w:hAnsi="Traditional Arabic" w:cs="Traditional Arabic"/>
          <w:sz w:val="32"/>
          <w:szCs w:val="32"/>
          <w:rtl/>
        </w:rPr>
      </w:pPr>
      <w:r w:rsidRPr="00BB2224">
        <w:rPr>
          <w:rFonts w:ascii="Traditional Arabic" w:hAnsi="Traditional Arabic" w:cs="Traditional Arabic"/>
          <w:sz w:val="32"/>
          <w:szCs w:val="32"/>
          <w:rtl/>
          <w:lang w:val="en-US"/>
        </w:rPr>
        <w:t>يتكون المجتمع المستهدف من جميع العاملين في المستشفيات الحكومية المشمولة بالدراسة، ويشمل الفئات الوظيفية الرئيسة المتمثلة في الأطباء، والتمريض، والفنيين، والإداريين. وقد استند تحديد المجتمع إلى البيانات الرسمية المتاحة لدى الجهة المختصة، واعتمد الباحث أسلوب العينة الطبقية لضمان تمثيل هذه الفئات بصورة مناسبة في العينة، بما يحقق أهداف الدراسة ويعزز تمثيل المجتمع المستهدف</w:t>
      </w:r>
      <w:r w:rsidRPr="00BB2224">
        <w:rPr>
          <w:rFonts w:ascii="Traditional Arabic" w:hAnsi="Traditional Arabic" w:cs="Traditional Arabic"/>
          <w:sz w:val="32"/>
          <w:szCs w:val="32"/>
        </w:rPr>
        <w:t>.</w:t>
      </w:r>
    </w:p>
    <w:p w14:paraId="6ED37EA6" w14:textId="77777777" w:rsidR="00D46B92" w:rsidRPr="00675801" w:rsidRDefault="00D46B92" w:rsidP="00D46B92">
      <w:pPr>
        <w:bidi/>
        <w:spacing w:line="360" w:lineRule="auto"/>
        <w:jc w:val="both"/>
        <w:rPr>
          <w:rFonts w:ascii="Traditional Arabic" w:hAnsi="Traditional Arabic" w:cs="Traditional Arabic"/>
          <w:sz w:val="32"/>
          <w:szCs w:val="32"/>
          <w:lang w:val="en-US"/>
        </w:rPr>
      </w:pPr>
      <w:r w:rsidRPr="00D46B92">
        <w:rPr>
          <w:rFonts w:ascii="Traditional Arabic" w:hAnsi="Traditional Arabic" w:cs="Traditional Arabic"/>
          <w:sz w:val="32"/>
          <w:szCs w:val="32"/>
          <w:rtl/>
          <w:lang w:val="en-US"/>
        </w:rPr>
        <w:t>وعليه، فإن نتائج الدراسة ستقتصر في تعميمها على العاملين في المستشفيات الحكومية المشمولة بالدراسة بمدينة جدة، وفي حدود خصائص مجتمع الدراسة والعينة المستخدمة، ولا تمتد بالضرورة إلى المستشفيات الخاصة أو إلى المستشفيات الحكومية في مدن أو مناطق أخرى بالمملكة العربية السعودية</w:t>
      </w:r>
      <w:r w:rsidRPr="00D46B92">
        <w:rPr>
          <w:rFonts w:ascii="Traditional Arabic" w:hAnsi="Traditional Arabic" w:cs="Traditional Arabic"/>
          <w:sz w:val="32"/>
          <w:szCs w:val="32"/>
        </w:rPr>
        <w:t>.</w:t>
      </w:r>
    </w:p>
    <w:p w14:paraId="42AE95CC" w14:textId="77777777" w:rsidR="00692479" w:rsidRDefault="00692479" w:rsidP="00692479">
      <w:pPr>
        <w:bidi/>
        <w:spacing w:line="360" w:lineRule="auto"/>
        <w:jc w:val="both"/>
        <w:rPr>
          <w:rFonts w:ascii="Traditional Arabic" w:hAnsi="Traditional Arabic" w:cs="Traditional Arabic"/>
          <w:b/>
          <w:bCs/>
          <w:sz w:val="32"/>
          <w:szCs w:val="32"/>
          <w:rtl/>
          <w:lang w:val="en-US"/>
        </w:rPr>
      </w:pPr>
      <w:r w:rsidRPr="00692479">
        <w:rPr>
          <w:rFonts w:ascii="Traditional Arabic" w:hAnsi="Traditional Arabic" w:cs="Traditional Arabic"/>
          <w:b/>
          <w:bCs/>
          <w:sz w:val="32"/>
          <w:szCs w:val="32"/>
          <w:rtl/>
          <w:lang w:val="en-US"/>
        </w:rPr>
        <w:t>3.5 عينة الدراسة</w:t>
      </w:r>
    </w:p>
    <w:p w14:paraId="3EB597BD" w14:textId="77777777" w:rsidR="00B639ED" w:rsidRPr="00B639ED" w:rsidRDefault="00B639ED" w:rsidP="00B639ED">
      <w:pPr>
        <w:bidi/>
        <w:spacing w:line="360" w:lineRule="auto"/>
        <w:jc w:val="both"/>
        <w:rPr>
          <w:rFonts w:ascii="Traditional Arabic" w:hAnsi="Traditional Arabic" w:cs="Traditional Arabic"/>
          <w:sz w:val="32"/>
          <w:szCs w:val="32"/>
          <w:lang w:val="en-US"/>
        </w:rPr>
      </w:pPr>
      <w:r w:rsidRPr="00B639ED">
        <w:rPr>
          <w:rFonts w:ascii="Traditional Arabic" w:hAnsi="Traditional Arabic" w:cs="Traditional Arabic"/>
          <w:sz w:val="32"/>
          <w:szCs w:val="32"/>
          <w:rtl/>
          <w:lang w:val="en-US"/>
        </w:rPr>
        <w:t>اعتمدت الدراسة أسلوب العينة الطبقية العشوائية</w:t>
      </w:r>
      <w:r w:rsidRPr="00B639ED">
        <w:rPr>
          <w:rFonts w:ascii="Traditional Arabic" w:hAnsi="Traditional Arabic" w:cs="Traditional Arabic"/>
          <w:sz w:val="32"/>
          <w:szCs w:val="32"/>
          <w:lang w:val="en-US"/>
        </w:rPr>
        <w:t xml:space="preserve"> (Stratified Random Sampling) </w:t>
      </w:r>
      <w:r w:rsidRPr="00B639ED">
        <w:rPr>
          <w:rFonts w:ascii="Traditional Arabic" w:hAnsi="Traditional Arabic" w:cs="Traditional Arabic"/>
          <w:sz w:val="32"/>
          <w:szCs w:val="32"/>
          <w:rtl/>
          <w:lang w:val="en-US"/>
        </w:rPr>
        <w:t>لاختيار أفراد الدراسة من العاملين في المستشفيات الحكومية المشمولة بالدراسة بمدينة جدة، وذلك نظرًا لتنوع مجتمع الدراسة واختلاف فئاته الوظيفية، حيث يشمل الأطباء، وهيئة التمريض، والفنيين، والإداريين. ويُعد هذا الأسلوب من أنسب أساليب المعاينة في الدراسات التي يتكون مجتمعها من طبقات أو فئات فرعية واضحة، إذ يضمن تمثيل كل فئة من فئات المجتمع في العينة، ويحد من تحيز النتائج لصالح فئة وظيفية دون أخرى (</w:t>
      </w:r>
      <w:r w:rsidRPr="00B639ED">
        <w:rPr>
          <w:rFonts w:ascii="Traditional Arabic" w:hAnsi="Traditional Arabic" w:cs="Traditional Arabic"/>
          <w:sz w:val="32"/>
          <w:szCs w:val="32"/>
          <w:lang w:val="en-US"/>
        </w:rPr>
        <w:t>Sekaran &amp; Bougie, 2020</w:t>
      </w:r>
      <w:r w:rsidRPr="00B639ED">
        <w:rPr>
          <w:rFonts w:ascii="Traditional Arabic" w:hAnsi="Traditional Arabic" w:cs="Traditional Arabic"/>
          <w:sz w:val="32"/>
          <w:szCs w:val="32"/>
          <w:rtl/>
          <w:lang w:val="en-US"/>
        </w:rPr>
        <w:t>).</w:t>
      </w:r>
    </w:p>
    <w:p w14:paraId="578B0553" w14:textId="77777777" w:rsidR="00B639ED" w:rsidRPr="00B639ED" w:rsidRDefault="00B639ED" w:rsidP="00B639ED">
      <w:pPr>
        <w:bidi/>
        <w:spacing w:line="360" w:lineRule="auto"/>
        <w:jc w:val="both"/>
        <w:rPr>
          <w:rFonts w:ascii="Traditional Arabic" w:hAnsi="Traditional Arabic" w:cs="Traditional Arabic"/>
          <w:sz w:val="32"/>
          <w:szCs w:val="32"/>
          <w:lang w:val="en-US"/>
        </w:rPr>
      </w:pPr>
      <w:r w:rsidRPr="00B639ED">
        <w:rPr>
          <w:rFonts w:ascii="Traditional Arabic" w:hAnsi="Traditional Arabic" w:cs="Traditional Arabic"/>
          <w:sz w:val="32"/>
          <w:szCs w:val="32"/>
          <w:rtl/>
          <w:lang w:val="en-US"/>
        </w:rPr>
        <w:t>وقد استهدفت الدراسة العاملين في المستشفيات الحكومية المشمولة بالدراسة من الأطباء، وهيئة التمريض، والفنيين، والإداريين، باعتبارهم الفئات الأكثر ارتباطًا بتطبيقات التحول الرقمي في بيئة العمل. فهذه الفئات تتعامل بصورة مباشرة أو غير مباشرة مع السجلات الطبية الإلكترونية، وأنظمة المعلومات الصحية، والمنصات الإدارية الرقمية، وأنظمة المتابعة والتقييم، وغيرها من التطبيقات التقنية التي تبنتها المستشفيات الحكومية في إطار برامج التحول الرقمي. كما أن طبيعة أعمالهم اليومية تجعلهم أكثر قدرة على تقييم أثر التحول الرقمي في مستوى الاستقرار الوظيفي داخل بيئة العمل</w:t>
      </w:r>
      <w:r w:rsidRPr="00B639ED">
        <w:rPr>
          <w:rFonts w:ascii="Traditional Arabic" w:hAnsi="Traditional Arabic" w:cs="Traditional Arabic"/>
          <w:sz w:val="32"/>
          <w:szCs w:val="32"/>
          <w:lang w:val="en-US"/>
        </w:rPr>
        <w:t>.</w:t>
      </w:r>
    </w:p>
    <w:p w14:paraId="0B582EED" w14:textId="77777777" w:rsidR="00B639ED" w:rsidRPr="00B639ED" w:rsidRDefault="00B639ED" w:rsidP="00B639ED">
      <w:pPr>
        <w:bidi/>
        <w:spacing w:line="360" w:lineRule="auto"/>
        <w:jc w:val="both"/>
        <w:rPr>
          <w:rFonts w:ascii="Traditional Arabic" w:hAnsi="Traditional Arabic" w:cs="Traditional Arabic"/>
          <w:sz w:val="32"/>
          <w:szCs w:val="32"/>
          <w:lang w:val="en-US"/>
        </w:rPr>
      </w:pPr>
      <w:r w:rsidRPr="00B639ED">
        <w:rPr>
          <w:rFonts w:ascii="Traditional Arabic" w:hAnsi="Traditional Arabic" w:cs="Traditional Arabic"/>
          <w:sz w:val="32"/>
          <w:szCs w:val="32"/>
          <w:rtl/>
          <w:lang w:val="en-US"/>
        </w:rPr>
        <w:t>وجاء اختيار العينة الطبقية العشوائية لضمان تمثيل مختلف الفئات الوظيفية المشمولة بالدراسة، إذ قد تختلف طبيعة تعامل الأطباء مع الأنظمة الرقمية عن تعامل هيئة التمريض أو الفنيين أو الإداريين، كما قد تختلف درجة تأثر كل فئة بمتطلبات التحول الرقمي وتغيرات بيئة العمل. لذلك فإن تمثيل هذه الفئات داخل العينة يسهم في تقديم نتائج أكثر دقة وشمولًا، ويعزز قدرة الدراسة على تفسير أثر التحول الرقمي في الاستقرار الوظيفي لدى العاملين في المستشفيات الحكومية المشمولة بالدراسة</w:t>
      </w:r>
      <w:r w:rsidRPr="00B639ED">
        <w:rPr>
          <w:rFonts w:ascii="Traditional Arabic" w:hAnsi="Traditional Arabic" w:cs="Traditional Arabic"/>
          <w:sz w:val="32"/>
          <w:szCs w:val="32"/>
          <w:lang w:val="en-US"/>
        </w:rPr>
        <w:t>.</w:t>
      </w:r>
    </w:p>
    <w:p w14:paraId="510CF18B" w14:textId="77777777" w:rsidR="00B639ED" w:rsidRPr="00B639ED" w:rsidRDefault="00B639ED" w:rsidP="00B639ED">
      <w:pPr>
        <w:bidi/>
        <w:spacing w:line="360" w:lineRule="auto"/>
        <w:jc w:val="both"/>
        <w:rPr>
          <w:rFonts w:ascii="Traditional Arabic" w:hAnsi="Traditional Arabic" w:cs="Traditional Arabic"/>
          <w:sz w:val="32"/>
          <w:szCs w:val="32"/>
          <w:lang w:val="en-US"/>
        </w:rPr>
      </w:pPr>
      <w:r w:rsidRPr="00B639ED">
        <w:rPr>
          <w:rFonts w:ascii="Traditional Arabic" w:hAnsi="Traditional Arabic" w:cs="Traditional Arabic"/>
          <w:sz w:val="32"/>
          <w:szCs w:val="32"/>
          <w:rtl/>
          <w:lang w:val="en-US"/>
        </w:rPr>
        <w:t>ونظرًا إلى عدم توافر إحصائية رسمية حديثة وموحدة، وقت إعداد الدراسة، تبين العدد الإجمالي للعاملين في المستشفيات الحكومية الستة المشمولة بالدراسة موزعين حسب الفئات الوظيفية المستهدفة، وذلك بسبب تعدد الجهات الإدارية التي تتبع لها هذه المستشفيات وعدم توافر قاعدة بيانات موحدة يمكن الاعتماد عليها في تحديد الحجم الدقيق للمجتمع، فقد تم التعامل مع مجتمع الدراسة بوصفه مجتمعًا كبيرًا لأغراض تحديد حجم العينة. وبناءً على ذلك، تم تحديد الحد الأدنى لحجم العينة بما يقارب (379) مفردة عند مستوى ثقة (95%) وهامش خطأ (5%).</w:t>
      </w:r>
    </w:p>
    <w:p w14:paraId="789B4B37" w14:textId="77777777" w:rsidR="00B639ED" w:rsidRPr="00B639ED" w:rsidRDefault="00B639ED" w:rsidP="00B639ED">
      <w:pPr>
        <w:bidi/>
        <w:spacing w:line="360" w:lineRule="auto"/>
        <w:jc w:val="both"/>
        <w:rPr>
          <w:rFonts w:ascii="Traditional Arabic" w:hAnsi="Traditional Arabic" w:cs="Traditional Arabic"/>
          <w:sz w:val="32"/>
          <w:szCs w:val="32"/>
          <w:lang w:val="en-US"/>
        </w:rPr>
      </w:pPr>
      <w:r w:rsidRPr="00B639ED">
        <w:rPr>
          <w:rFonts w:ascii="Traditional Arabic" w:hAnsi="Traditional Arabic" w:cs="Traditional Arabic"/>
          <w:sz w:val="32"/>
          <w:szCs w:val="32"/>
          <w:rtl/>
          <w:lang w:val="en-US"/>
        </w:rPr>
        <w:t>ولزيادة معدل الاستجابة وتقليل أثر الاستبانات غير المستردة أو غير الصالحة للتحليل، قرر الباحث توزيع نحو (400) استبانة على العاملين في المستشفيات الحكومية المشمولة بالدراسة. وقد روعي في عملية التوزيع أن تشمل الاستبانات جميع المستشفيات المشمولة بالدراسة، وأن تمثل الفئات الوظيفية الرئيسة الأربع، وهي: الأطباء، والتمريض، والفنيون، والإداريون، بما يحقق أكبر قدر ممكن من التمثيل المناسب لمجتمع الدراسة</w:t>
      </w:r>
      <w:r w:rsidRPr="00B639ED">
        <w:rPr>
          <w:rFonts w:ascii="Traditional Arabic" w:hAnsi="Traditional Arabic" w:cs="Traditional Arabic"/>
          <w:sz w:val="32"/>
          <w:szCs w:val="32"/>
          <w:lang w:val="en-US"/>
        </w:rPr>
        <w:t>.</w:t>
      </w:r>
    </w:p>
    <w:p w14:paraId="78A1887E" w14:textId="77777777" w:rsidR="00B639ED" w:rsidRDefault="00B639ED" w:rsidP="00B639ED">
      <w:pPr>
        <w:bidi/>
        <w:spacing w:line="360" w:lineRule="auto"/>
        <w:jc w:val="both"/>
        <w:rPr>
          <w:rFonts w:ascii="Traditional Arabic" w:hAnsi="Traditional Arabic" w:cs="Traditional Arabic"/>
          <w:sz w:val="32"/>
          <w:szCs w:val="32"/>
          <w:rtl/>
        </w:rPr>
      </w:pPr>
      <w:r w:rsidRPr="00B639ED">
        <w:rPr>
          <w:rFonts w:ascii="Traditional Arabic" w:hAnsi="Traditional Arabic" w:cs="Traditional Arabic"/>
          <w:sz w:val="32"/>
          <w:szCs w:val="32"/>
          <w:rtl/>
          <w:lang w:val="en-US"/>
        </w:rPr>
        <w:t>وسيتم توزيع الاستبانات على المستشفيات والفئات الوظيفية المستهدفة بعد الحصول على القوائم الرسمية أو البيانات المحدثة المتاحة عن أعداد العاملين في كل مستشفى وكل فئة وظيفية. وبناءً على هذه البيانات، سيُحدد العدد المخصص لكل طبقة بما يتناسب مع حجمها النسبي في مجتمع الدراسة قدر الإمكان، مع مراعاة تمثيل جميع المستشفيات والفئات الوظيفية الرئيسة. وسيتم توثيق التوزيع الفعلي للعينة في جدول مستقل عند تنفيذ الدراسة وجمع البيانات</w:t>
      </w:r>
      <w:r w:rsidRPr="00B639ED">
        <w:rPr>
          <w:rFonts w:ascii="Traditional Arabic" w:hAnsi="Traditional Arabic" w:cs="Traditional Arabic"/>
          <w:sz w:val="32"/>
          <w:szCs w:val="32"/>
        </w:rPr>
        <w:t>.</w:t>
      </w:r>
    </w:p>
    <w:p w14:paraId="67FE5237" w14:textId="77777777" w:rsidR="00692479" w:rsidRPr="00692479" w:rsidRDefault="00692479" w:rsidP="00B639ED">
      <w:pPr>
        <w:bidi/>
        <w:spacing w:line="360" w:lineRule="auto"/>
        <w:jc w:val="both"/>
        <w:rPr>
          <w:rFonts w:ascii="Traditional Arabic" w:hAnsi="Traditional Arabic" w:cs="Traditional Arabic"/>
          <w:b/>
          <w:bCs/>
          <w:sz w:val="32"/>
          <w:szCs w:val="32"/>
          <w:rtl/>
          <w:lang w:val="en-US"/>
        </w:rPr>
      </w:pPr>
      <w:r w:rsidRPr="00692479">
        <w:rPr>
          <w:rFonts w:ascii="Traditional Arabic" w:hAnsi="Traditional Arabic" w:cs="Traditional Arabic"/>
          <w:b/>
          <w:bCs/>
          <w:sz w:val="32"/>
          <w:szCs w:val="32"/>
          <w:rtl/>
          <w:lang w:val="en-US"/>
        </w:rPr>
        <w:t>3.6 متغيرات الدراسة</w:t>
      </w:r>
    </w:p>
    <w:p w14:paraId="22A4FF5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استنادًا إلى مشكلة الدراسة، وأهدافها، وفرضياتها، والإطار النظري، والدراسات السابقة ذات الصلة، اشتملت الدراسة الحالية على متغير مستقل ومتغير تابع، حيث هدفت إلى التعرف على أثر التحول الرقمي في الاستقرار الوظيفي لدى العاملين في المستشفيات الحكومية بمدينة جدة. وقد تم تحديد متغيرات الدراسة وأبعادها في ضوء الأدبيات العلمية الحديثة، والدراسات السابقة التي تناولت التحول الرقمي في القطاع الصحي والاستقرار الوظيفي، بما يحقق أهداف الدراسة ويتيح اختبار فرضياتها بصورة علمية (</w:t>
      </w:r>
      <w:r w:rsidRPr="00692479">
        <w:rPr>
          <w:rFonts w:ascii="Traditional Arabic" w:hAnsi="Traditional Arabic" w:cs="Traditional Arabic"/>
          <w:sz w:val="32"/>
          <w:szCs w:val="32"/>
          <w:lang w:val="en-US"/>
        </w:rPr>
        <w:t>Creswell &amp; Creswell, 2023</w:t>
      </w:r>
      <w:r w:rsidRPr="00692479">
        <w:rPr>
          <w:rFonts w:ascii="Traditional Arabic" w:hAnsi="Traditional Arabic" w:cs="Traditional Arabic"/>
          <w:sz w:val="32"/>
          <w:szCs w:val="32"/>
          <w:rtl/>
          <w:lang w:val="en-US"/>
        </w:rPr>
        <w:t xml:space="preserve">؛ </w:t>
      </w:r>
      <w:r w:rsidRPr="00692479">
        <w:rPr>
          <w:rFonts w:ascii="Traditional Arabic" w:hAnsi="Traditional Arabic" w:cs="Traditional Arabic"/>
          <w:sz w:val="32"/>
          <w:szCs w:val="32"/>
          <w:lang w:val="en-US"/>
        </w:rPr>
        <w:t>Saunders et al., 2023</w:t>
      </w:r>
      <w:r w:rsidRPr="00692479">
        <w:rPr>
          <w:rFonts w:ascii="Traditional Arabic" w:hAnsi="Traditional Arabic" w:cs="Traditional Arabic"/>
          <w:sz w:val="32"/>
          <w:szCs w:val="32"/>
          <w:rtl/>
          <w:lang w:val="en-US"/>
        </w:rPr>
        <w:t>).</w:t>
      </w:r>
    </w:p>
    <w:p w14:paraId="2EE49402"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ويتمثل المتغير المستقل في التحول الرقمي، وقد تم قياسه من خلال أربعة أبعاد رئيسة، هي</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البنية التحتية الرقمية والتقنيات الرقمية، والكفاءة الرقمية للموظفين، وتكامل الأنظمة الرقمية وعمليات الرقمنة، والأمن وحماية البيانات الرقمية</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وقد تم اختيار هذه الأبعاد استنادًا إلى الأدبيات الحديثة والدراسات السابقة التي تناولت تطبيقات التحول الرقمي في القطاع الصحي، بوصفها من أكثر الأبعاد استخدامًا في قياس مستوى التحول الرقمي في المؤسسات الصحية</w:t>
      </w:r>
      <w:r w:rsidRPr="00692479">
        <w:rPr>
          <w:rFonts w:ascii="Traditional Arabic" w:hAnsi="Traditional Arabic" w:cs="Traditional Arabic"/>
          <w:sz w:val="32"/>
          <w:szCs w:val="32"/>
          <w:lang w:val="en-US"/>
        </w:rPr>
        <w:t>.</w:t>
      </w:r>
    </w:p>
    <w:p w14:paraId="120EDDAE"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أما المتغير التابع فهو الاستقرار الوظيفي، وتم قياسه من خلال ثلاثة أبعاد رئيسة، هي</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الأمان الوظيفي، والرضا الوظيفي، والالتزام التنظيمي، وذلك بالاعتماد على الأدبيات والدراسات السابقة التي تناولت مفهوم الاستقرار الوظيفي والعوامل المكونة له، حيث تعكس هذه الأبعاد الجوانب الرئيسة التي تحدد مستوى استقرار العاملين واستمرارهم في أداء أعمالهم داخل المؤسسات الصحية</w:t>
      </w:r>
      <w:r w:rsidRPr="00692479">
        <w:rPr>
          <w:rFonts w:ascii="Traditional Arabic" w:hAnsi="Traditional Arabic" w:cs="Traditional Arabic"/>
          <w:sz w:val="32"/>
          <w:szCs w:val="32"/>
          <w:lang w:val="en-US"/>
        </w:rPr>
        <w:t>.</w:t>
      </w:r>
    </w:p>
    <w:p w14:paraId="5F5B249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ويبين الجدول (3-2) متغيرات الدراسة وأبعادها وعدد الفقرات المخصصة لقياس كل بعد</w:t>
      </w:r>
      <w:r w:rsidRPr="00692479">
        <w:rPr>
          <w:rFonts w:ascii="Traditional Arabic" w:hAnsi="Traditional Arabic" w:cs="Traditional Arabic"/>
          <w:sz w:val="32"/>
          <w:szCs w:val="32"/>
          <w:lang w:val="en-US"/>
        </w:rPr>
        <w:t>.</w:t>
      </w:r>
    </w:p>
    <w:p w14:paraId="4697A087" w14:textId="77777777" w:rsidR="00692479" w:rsidRPr="00692479" w:rsidRDefault="00692479" w:rsidP="00692479">
      <w:pPr>
        <w:bidi/>
        <w:spacing w:after="0" w:line="360" w:lineRule="auto"/>
        <w:jc w:val="center"/>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جدول (3-2) متغيرات الدراسة وأبعادها وعدد الفقرات</w:t>
      </w:r>
    </w:p>
    <w:tbl>
      <w:tblPr>
        <w:tblStyle w:val="TableGrid"/>
        <w:bidiVisual/>
        <w:tblW w:w="5000" w:type="pct"/>
        <w:tblLook w:val="04A0" w:firstRow="1" w:lastRow="0" w:firstColumn="1" w:lastColumn="0" w:noHBand="0" w:noVBand="1"/>
      </w:tblPr>
      <w:tblGrid>
        <w:gridCol w:w="3556"/>
        <w:gridCol w:w="4151"/>
        <w:gridCol w:w="1630"/>
      </w:tblGrid>
      <w:tr w:rsidR="00692479" w:rsidRPr="00692479" w14:paraId="4541A5D7" w14:textId="77777777" w:rsidTr="00692479">
        <w:tc>
          <w:tcPr>
            <w:tcW w:w="1904" w:type="pct"/>
            <w:hideMark/>
          </w:tcPr>
          <w:p w14:paraId="41F6358E"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المتغير</w:t>
            </w:r>
          </w:p>
        </w:tc>
        <w:tc>
          <w:tcPr>
            <w:tcW w:w="2223" w:type="pct"/>
            <w:hideMark/>
          </w:tcPr>
          <w:p w14:paraId="1D71729D"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البعد</w:t>
            </w:r>
          </w:p>
        </w:tc>
        <w:tc>
          <w:tcPr>
            <w:tcW w:w="873" w:type="pct"/>
            <w:hideMark/>
          </w:tcPr>
          <w:p w14:paraId="2446A556"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عدد الفقرات</w:t>
            </w:r>
          </w:p>
        </w:tc>
      </w:tr>
      <w:tr w:rsidR="00692479" w:rsidRPr="00692479" w14:paraId="04016D43" w14:textId="77777777" w:rsidTr="00692479">
        <w:tc>
          <w:tcPr>
            <w:tcW w:w="1904" w:type="pct"/>
            <w:hideMark/>
          </w:tcPr>
          <w:p w14:paraId="0283FB8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المتغير المستقل: التحول الرقمي</w:t>
            </w:r>
          </w:p>
        </w:tc>
        <w:tc>
          <w:tcPr>
            <w:tcW w:w="2223" w:type="pct"/>
            <w:hideMark/>
          </w:tcPr>
          <w:p w14:paraId="1C553C6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w:t>
            </w:r>
          </w:p>
        </w:tc>
        <w:tc>
          <w:tcPr>
            <w:tcW w:w="873" w:type="pct"/>
            <w:hideMark/>
          </w:tcPr>
          <w:p w14:paraId="0CFA93B6"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727F8026" w14:textId="77777777" w:rsidTr="00692479">
        <w:tc>
          <w:tcPr>
            <w:tcW w:w="1904" w:type="pct"/>
            <w:hideMark/>
          </w:tcPr>
          <w:p w14:paraId="45C94309"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551D83BD"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w:t>
            </w:r>
          </w:p>
        </w:tc>
        <w:tc>
          <w:tcPr>
            <w:tcW w:w="873" w:type="pct"/>
            <w:hideMark/>
          </w:tcPr>
          <w:p w14:paraId="6853D0D6"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1CDAE1BF" w14:textId="77777777" w:rsidTr="00692479">
        <w:tc>
          <w:tcPr>
            <w:tcW w:w="1904" w:type="pct"/>
            <w:hideMark/>
          </w:tcPr>
          <w:p w14:paraId="20642CE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3E1BD14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w:t>
            </w:r>
          </w:p>
        </w:tc>
        <w:tc>
          <w:tcPr>
            <w:tcW w:w="873" w:type="pct"/>
            <w:hideMark/>
          </w:tcPr>
          <w:p w14:paraId="4C3809C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4B81B6F4" w14:textId="77777777" w:rsidTr="00692479">
        <w:tc>
          <w:tcPr>
            <w:tcW w:w="1904" w:type="pct"/>
            <w:hideMark/>
          </w:tcPr>
          <w:p w14:paraId="14130B72"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39AACA9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w:t>
            </w:r>
          </w:p>
        </w:tc>
        <w:tc>
          <w:tcPr>
            <w:tcW w:w="873" w:type="pct"/>
            <w:hideMark/>
          </w:tcPr>
          <w:p w14:paraId="682AC2D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6848D312" w14:textId="77777777" w:rsidTr="00692479">
        <w:tc>
          <w:tcPr>
            <w:tcW w:w="1904" w:type="pct"/>
            <w:hideMark/>
          </w:tcPr>
          <w:p w14:paraId="4A548A5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284C852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المتغير المستقل</w:t>
            </w:r>
          </w:p>
        </w:tc>
        <w:tc>
          <w:tcPr>
            <w:tcW w:w="873" w:type="pct"/>
            <w:hideMark/>
          </w:tcPr>
          <w:p w14:paraId="1A9BDBB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20</w:t>
            </w:r>
          </w:p>
        </w:tc>
      </w:tr>
      <w:tr w:rsidR="00692479" w:rsidRPr="00692479" w14:paraId="4E053793" w14:textId="77777777" w:rsidTr="00692479">
        <w:tc>
          <w:tcPr>
            <w:tcW w:w="1904" w:type="pct"/>
            <w:hideMark/>
          </w:tcPr>
          <w:p w14:paraId="4CD6405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المتغير التابع: الاستقرار الوظيفي</w:t>
            </w:r>
          </w:p>
        </w:tc>
        <w:tc>
          <w:tcPr>
            <w:tcW w:w="2223" w:type="pct"/>
            <w:hideMark/>
          </w:tcPr>
          <w:p w14:paraId="526F2B89"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w:t>
            </w:r>
          </w:p>
        </w:tc>
        <w:tc>
          <w:tcPr>
            <w:tcW w:w="873" w:type="pct"/>
            <w:hideMark/>
          </w:tcPr>
          <w:p w14:paraId="0DE6101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34752F10" w14:textId="77777777" w:rsidTr="00692479">
        <w:tc>
          <w:tcPr>
            <w:tcW w:w="1904" w:type="pct"/>
            <w:hideMark/>
          </w:tcPr>
          <w:p w14:paraId="3931D2B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476DF89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w:t>
            </w:r>
          </w:p>
        </w:tc>
        <w:tc>
          <w:tcPr>
            <w:tcW w:w="873" w:type="pct"/>
            <w:hideMark/>
          </w:tcPr>
          <w:p w14:paraId="60E7B77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3E379742" w14:textId="77777777" w:rsidTr="00692479">
        <w:tc>
          <w:tcPr>
            <w:tcW w:w="1904" w:type="pct"/>
            <w:hideMark/>
          </w:tcPr>
          <w:p w14:paraId="0E9B377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73AB314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w:t>
            </w:r>
          </w:p>
        </w:tc>
        <w:tc>
          <w:tcPr>
            <w:tcW w:w="873" w:type="pct"/>
            <w:hideMark/>
          </w:tcPr>
          <w:p w14:paraId="098E96B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1E782AE4" w14:textId="77777777" w:rsidTr="00692479">
        <w:tc>
          <w:tcPr>
            <w:tcW w:w="1904" w:type="pct"/>
            <w:hideMark/>
          </w:tcPr>
          <w:p w14:paraId="75B2971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5F5B3E92"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المتغير التابع</w:t>
            </w:r>
          </w:p>
        </w:tc>
        <w:tc>
          <w:tcPr>
            <w:tcW w:w="873" w:type="pct"/>
            <w:hideMark/>
          </w:tcPr>
          <w:p w14:paraId="4A7C529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15</w:t>
            </w:r>
          </w:p>
        </w:tc>
      </w:tr>
      <w:tr w:rsidR="00692479" w:rsidRPr="00692479" w14:paraId="0A3D063B" w14:textId="77777777" w:rsidTr="00692479">
        <w:tc>
          <w:tcPr>
            <w:tcW w:w="1904" w:type="pct"/>
            <w:hideMark/>
          </w:tcPr>
          <w:p w14:paraId="031238B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أداة الدراسة</w:t>
            </w:r>
          </w:p>
        </w:tc>
        <w:tc>
          <w:tcPr>
            <w:tcW w:w="2223" w:type="pct"/>
            <w:hideMark/>
          </w:tcPr>
          <w:p w14:paraId="6D1737D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873" w:type="pct"/>
            <w:hideMark/>
          </w:tcPr>
          <w:p w14:paraId="2EC6587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35</w:t>
            </w:r>
          </w:p>
        </w:tc>
      </w:tr>
    </w:tbl>
    <w:p w14:paraId="6224CAF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يتضح من جدول (3-2) أن أداة الدراسة اشتملت على (35) فقرة، منها (20) فقرة لقياس المتغير المستقل، و (15) فقرة لقياس المتغير التابع، وقد روعي عند إعدادها شمول جميع الأبعاد الرئيسة لمتغيرات الدراسة بما يضمن قياسها بصورة دقيقة، ويحقق أهداف الدراسة واختبار فرضياتها.</w:t>
      </w:r>
    </w:p>
    <w:p w14:paraId="388B5526" w14:textId="77777777" w:rsidR="00692479" w:rsidRPr="00692479" w:rsidRDefault="00234504" w:rsidP="00234504">
      <w:pPr>
        <w:bidi/>
        <w:spacing w:line="360" w:lineRule="auto"/>
        <w:jc w:val="both"/>
        <w:rPr>
          <w:rFonts w:ascii="Traditional Arabic" w:hAnsi="Traditional Arabic" w:cs="Traditional Arabic"/>
          <w:sz w:val="32"/>
          <w:szCs w:val="32"/>
          <w:lang w:val="en-US"/>
        </w:rPr>
      </w:pPr>
      <w:r w:rsidRPr="00234504">
        <w:rPr>
          <w:rFonts w:ascii="Traditional Arabic" w:hAnsi="Traditional Arabic" w:cs="Traditional Arabic"/>
          <w:sz w:val="32"/>
          <w:szCs w:val="32"/>
          <w:rtl/>
          <w:lang w:val="en-US"/>
        </w:rPr>
        <w:t>وقد استند تحديد المتغيرات وأبعادها في هذه الدراسة إلى التعريفات الإجرائية الواردة في الفصل الأول، والتي أوضحت المفهوم الإجرائي لكل متغير، وأبعاده، ومؤشرات قياسه. وفي ضوء تلك التعريفات، جرى بناء أداة الدراسة وتوزيع فقراتها على الأبعاد المختلفة بما يضمن الاتساق بين الإطار المفاهيمي وأداة القياس المستخدمة في الدراسة</w:t>
      </w:r>
    </w:p>
    <w:p w14:paraId="544E7077"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3.7 أداة الدراسة</w:t>
      </w:r>
    </w:p>
    <w:p w14:paraId="603D6104" w14:textId="77777777" w:rsidR="00692479" w:rsidRPr="00692479" w:rsidRDefault="00692479" w:rsidP="0058077E">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اعتمدت الدراسة الحالية على </w:t>
      </w:r>
      <w:r w:rsidRPr="00692479">
        <w:rPr>
          <w:rFonts w:ascii="Traditional Arabic" w:hAnsi="Traditional Arabic" w:cs="Traditional Arabic"/>
          <w:b/>
          <w:bCs/>
          <w:sz w:val="32"/>
          <w:szCs w:val="32"/>
          <w:rtl/>
          <w:lang w:val="en-US"/>
        </w:rPr>
        <w:t>الاستبانة</w:t>
      </w:r>
      <w:r w:rsidRPr="00692479">
        <w:rPr>
          <w:rFonts w:ascii="Traditional Arabic" w:hAnsi="Traditional Arabic" w:cs="Traditional Arabic"/>
          <w:sz w:val="32"/>
          <w:szCs w:val="32"/>
          <w:rtl/>
          <w:lang w:val="en-US"/>
        </w:rPr>
        <w:t xml:space="preserve"> بوصفها أداة رئيسة لجمع البيانات من أفراد عينة الدراسة، وذلك لملاءمتها لطبيعة الدراسة وأهدافها، ولقدرتها </w:t>
      </w:r>
      <w:r w:rsidR="0058077E" w:rsidRPr="0058077E">
        <w:rPr>
          <w:rFonts w:ascii="Traditional Arabic" w:hAnsi="Traditional Arabic" w:cs="Traditional Arabic"/>
          <w:sz w:val="32"/>
          <w:szCs w:val="32"/>
          <w:rtl/>
          <w:lang w:val="en-US"/>
        </w:rPr>
        <w:t>على جمع البيانات من عدد كبير من أفراد المجتمع خلال فترة زمنية مناسبة، فضلًا عن سهولة معالجتها وتحليلها إحصائيًا (</w:t>
      </w:r>
      <w:r w:rsidR="0058077E" w:rsidRPr="0058077E">
        <w:rPr>
          <w:rFonts w:ascii="Traditional Arabic" w:hAnsi="Traditional Arabic" w:cs="Traditional Arabic"/>
          <w:sz w:val="32"/>
          <w:szCs w:val="32"/>
          <w:lang w:val="en-US"/>
        </w:rPr>
        <w:t>Sekaran &amp; Bougie, 2020</w:t>
      </w:r>
      <w:r w:rsidR="0058077E" w:rsidRPr="0058077E">
        <w:rPr>
          <w:rFonts w:ascii="Traditional Arabic" w:hAnsi="Traditional Arabic" w:cs="Traditional Arabic"/>
          <w:sz w:val="32"/>
          <w:szCs w:val="32"/>
          <w:rtl/>
          <w:lang w:val="en-US"/>
        </w:rPr>
        <w:t>).</w:t>
      </w:r>
    </w:p>
    <w:p w14:paraId="2DBFC3D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وقد قام الباحث بتطوير الاستبانة بالاستناد إلى الأدبيات النظرية والدراسات السابقة ذات العلاقة بمتغيرات الدراسة، مع الاستفادة من المقاييس التي تناولت التحول الرقمي والاستقرار الوظيفي، بما يضمن شمول الأداة لجميع الأبعاد التي تسعى الدراسة إلى قياسها، وملاءمتها لطبيعة العاملين في المستشفيات الحكومية بمدينة جدة</w:t>
      </w:r>
      <w:r w:rsidRPr="00692479">
        <w:rPr>
          <w:rFonts w:ascii="Traditional Arabic" w:hAnsi="Traditional Arabic" w:cs="Traditional Arabic"/>
          <w:sz w:val="32"/>
          <w:szCs w:val="32"/>
          <w:lang w:val="en-US"/>
        </w:rPr>
        <w:t>.</w:t>
      </w:r>
    </w:p>
    <w:p w14:paraId="30C93D2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وتكونت الاستبانة </w:t>
      </w:r>
      <w:r w:rsidRPr="0058077E">
        <w:rPr>
          <w:rFonts w:ascii="Traditional Arabic" w:hAnsi="Traditional Arabic" w:cs="Traditional Arabic"/>
          <w:sz w:val="32"/>
          <w:szCs w:val="32"/>
          <w:rtl/>
          <w:lang w:val="en-US"/>
        </w:rPr>
        <w:t>في صورتها النهائية من جزأين رئيسين، وذلك على النحو الآتي</w:t>
      </w:r>
      <w:r w:rsidRPr="0058077E">
        <w:rPr>
          <w:rFonts w:ascii="Traditional Arabic" w:hAnsi="Traditional Arabic" w:cs="Traditional Arabic"/>
          <w:sz w:val="32"/>
          <w:szCs w:val="32"/>
          <w:lang w:val="en-US"/>
        </w:rPr>
        <w:t>:</w:t>
      </w:r>
    </w:p>
    <w:p w14:paraId="333C4C3A"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الجزء الأول: البيانات الشخصية والوظيفية</w:t>
      </w:r>
    </w:p>
    <w:p w14:paraId="2B4509FD"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يتضمن هذا الجزء مجموعة من المتغيرات الشخصية والوظيفية الخاصة بأفراد عينة الدراسة، وهي</w:t>
      </w:r>
      <w:r w:rsidRPr="00692479">
        <w:rPr>
          <w:rFonts w:ascii="Traditional Arabic" w:hAnsi="Traditional Arabic" w:cs="Traditional Arabic"/>
          <w:sz w:val="32"/>
          <w:szCs w:val="32"/>
          <w:lang w:val="en-US"/>
        </w:rPr>
        <w:t>:</w:t>
      </w:r>
    </w:p>
    <w:p w14:paraId="129CFC3D"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الجنس</w:t>
      </w:r>
      <w:r w:rsidRPr="00692479">
        <w:rPr>
          <w:rFonts w:ascii="Traditional Arabic" w:hAnsi="Traditional Arabic" w:cs="Traditional Arabic"/>
          <w:sz w:val="32"/>
          <w:szCs w:val="32"/>
          <w:lang w:val="en-US"/>
        </w:rPr>
        <w:t>.</w:t>
      </w:r>
    </w:p>
    <w:p w14:paraId="2B857505"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العمر</w:t>
      </w:r>
      <w:r w:rsidRPr="00692479">
        <w:rPr>
          <w:rFonts w:ascii="Traditional Arabic" w:hAnsi="Traditional Arabic" w:cs="Traditional Arabic"/>
          <w:sz w:val="32"/>
          <w:szCs w:val="32"/>
          <w:lang w:val="en-US"/>
        </w:rPr>
        <w:t>.</w:t>
      </w:r>
    </w:p>
    <w:p w14:paraId="39E717E2"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المؤهل العلمي</w:t>
      </w:r>
      <w:r w:rsidRPr="00692479">
        <w:rPr>
          <w:rFonts w:ascii="Traditional Arabic" w:hAnsi="Traditional Arabic" w:cs="Traditional Arabic"/>
          <w:sz w:val="32"/>
          <w:szCs w:val="32"/>
          <w:lang w:val="en-US"/>
        </w:rPr>
        <w:t>.</w:t>
      </w:r>
    </w:p>
    <w:p w14:paraId="718C157C"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المسمى الوظيفي</w:t>
      </w:r>
      <w:r w:rsidRPr="00692479">
        <w:rPr>
          <w:rFonts w:ascii="Traditional Arabic" w:hAnsi="Traditional Arabic" w:cs="Traditional Arabic"/>
          <w:sz w:val="32"/>
          <w:szCs w:val="32"/>
          <w:lang w:val="en-US"/>
        </w:rPr>
        <w:t>.</w:t>
      </w:r>
    </w:p>
    <w:p w14:paraId="262134D4"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سنوات الخبرة</w:t>
      </w:r>
      <w:r w:rsidRPr="00692479">
        <w:rPr>
          <w:rFonts w:ascii="Traditional Arabic" w:hAnsi="Traditional Arabic" w:cs="Traditional Arabic"/>
          <w:sz w:val="32"/>
          <w:szCs w:val="32"/>
          <w:lang w:val="en-US"/>
        </w:rPr>
        <w:t>.</w:t>
      </w:r>
    </w:p>
    <w:p w14:paraId="62F46961"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المستشفى</w:t>
      </w:r>
      <w:r w:rsidRPr="00692479">
        <w:rPr>
          <w:rFonts w:ascii="Traditional Arabic" w:hAnsi="Traditional Arabic" w:cs="Traditional Arabic"/>
          <w:sz w:val="32"/>
          <w:szCs w:val="32"/>
          <w:lang w:val="en-US"/>
        </w:rPr>
        <w:t>.</w:t>
      </w:r>
    </w:p>
    <w:p w14:paraId="557B8933"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وقد أدرجت هذه المتغيرات بهدف وصف خصائص أفراد عينة الدراسة، والاستفادة منها في تقديم وصف إحصائي للعينة</w:t>
      </w:r>
      <w:r w:rsidRPr="00692479">
        <w:rPr>
          <w:rFonts w:ascii="Traditional Arabic" w:hAnsi="Traditional Arabic" w:cs="Traditional Arabic"/>
          <w:sz w:val="32"/>
          <w:szCs w:val="32"/>
          <w:lang w:val="en-US"/>
        </w:rPr>
        <w:t>.</w:t>
      </w:r>
    </w:p>
    <w:p w14:paraId="7F4B56FE"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الجزء الثاني: متغيرات الدراسة</w:t>
      </w:r>
    </w:p>
    <w:p w14:paraId="08555CF1" w14:textId="77777777" w:rsidR="00692479" w:rsidRPr="00692479" w:rsidRDefault="00692479" w:rsidP="0058077E">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يتضمن هذا الجزء فقرات قياس متغيرات الدراسة، حيث </w:t>
      </w:r>
      <w:r w:rsidR="0058077E" w:rsidRPr="0058077E">
        <w:rPr>
          <w:rFonts w:ascii="Traditional Arabic" w:hAnsi="Traditional Arabic" w:cs="Traditional Arabic"/>
          <w:sz w:val="32"/>
          <w:szCs w:val="32"/>
          <w:rtl/>
          <w:lang w:val="en-US"/>
        </w:rPr>
        <w:t>اشتمل على (35) فقرة موزعة على متغيرين رئيسين، هما:</w:t>
      </w:r>
    </w:p>
    <w:p w14:paraId="4DDB3708"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أولًا: المتغير المستقل (التحول الرقمي)</w:t>
      </w:r>
    </w:p>
    <w:p w14:paraId="6DDB118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تم قياس التحول الرقمي من خلال أربعة أبعاد رئيسة، هي</w:t>
      </w:r>
      <w:r w:rsidRPr="00692479">
        <w:rPr>
          <w:rFonts w:ascii="Traditional Arabic" w:hAnsi="Traditional Arabic" w:cs="Traditional Arabic"/>
          <w:sz w:val="32"/>
          <w:szCs w:val="32"/>
          <w:lang w:val="en-US"/>
        </w:rPr>
        <w:t>:</w:t>
      </w:r>
    </w:p>
    <w:p w14:paraId="083D8B1F"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 (5 فقرات).</w:t>
      </w:r>
    </w:p>
    <w:p w14:paraId="3C0ED497"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 (5 فقرات).</w:t>
      </w:r>
    </w:p>
    <w:p w14:paraId="1FFE84C4"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 (5 فقرات).</w:t>
      </w:r>
    </w:p>
    <w:p w14:paraId="023819DD"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 (5 فقرات).</w:t>
      </w:r>
    </w:p>
    <w:p w14:paraId="3D44F1C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وبذلك بلغ إجمالي فقرات المتغير المستقل (20) فقرة.</w:t>
      </w:r>
    </w:p>
    <w:p w14:paraId="18FC2581"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ثانيًا: المتغير التابع (الاستقرار الوظيفي)</w:t>
      </w:r>
    </w:p>
    <w:p w14:paraId="1C3797E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تم قياس الاستقرار الوظيفي من خلال ثلاثة أبعاد رئيسة، هي</w:t>
      </w:r>
      <w:r w:rsidRPr="00692479">
        <w:rPr>
          <w:rFonts w:ascii="Traditional Arabic" w:hAnsi="Traditional Arabic" w:cs="Traditional Arabic"/>
          <w:sz w:val="32"/>
          <w:szCs w:val="32"/>
          <w:lang w:val="en-US"/>
        </w:rPr>
        <w:t>:</w:t>
      </w:r>
    </w:p>
    <w:p w14:paraId="1BCB9B84"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 (5 فقرات).</w:t>
      </w:r>
    </w:p>
    <w:p w14:paraId="6D19D092"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 (5 فقرات).</w:t>
      </w:r>
    </w:p>
    <w:p w14:paraId="12636508"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 (5 فقرات).</w:t>
      </w:r>
    </w:p>
    <w:p w14:paraId="0A279E4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وبذلك بلغ إجمالي فقرات المتغير التابع (15) فقرة.</w:t>
      </w:r>
    </w:p>
    <w:p w14:paraId="2CEFD06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ويبين الجدول (3-3) توزيع فقرات الاستبانة على متغيرات الدراسة وأبعادها</w:t>
      </w:r>
      <w:r w:rsidRPr="00692479">
        <w:rPr>
          <w:rFonts w:ascii="Traditional Arabic" w:hAnsi="Traditional Arabic" w:cs="Traditional Arabic"/>
          <w:sz w:val="32"/>
          <w:szCs w:val="32"/>
          <w:lang w:val="en-US"/>
        </w:rPr>
        <w:t>.</w:t>
      </w:r>
    </w:p>
    <w:p w14:paraId="0719D0C4" w14:textId="77777777" w:rsidR="00692479" w:rsidRPr="00692479" w:rsidRDefault="00692479" w:rsidP="0058077E">
      <w:pPr>
        <w:bidi/>
        <w:spacing w:line="240" w:lineRule="auto"/>
        <w:jc w:val="center"/>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جدول (3-3) توزيع فقرات الاستبانة على متغيرات الدراسة</w:t>
      </w:r>
    </w:p>
    <w:tbl>
      <w:tblPr>
        <w:tblStyle w:val="TableGrid"/>
        <w:bidiVisual/>
        <w:tblW w:w="5000" w:type="pct"/>
        <w:tblLook w:val="04A0" w:firstRow="1" w:lastRow="0" w:firstColumn="1" w:lastColumn="0" w:noHBand="0" w:noVBand="1"/>
      </w:tblPr>
      <w:tblGrid>
        <w:gridCol w:w="2073"/>
        <w:gridCol w:w="4052"/>
        <w:gridCol w:w="1621"/>
        <w:gridCol w:w="1591"/>
      </w:tblGrid>
      <w:tr w:rsidR="00692479" w:rsidRPr="00692479" w14:paraId="4388FB5F" w14:textId="77777777" w:rsidTr="00692479">
        <w:tc>
          <w:tcPr>
            <w:tcW w:w="1110" w:type="pct"/>
            <w:hideMark/>
          </w:tcPr>
          <w:p w14:paraId="046A932C"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المتغير</w:t>
            </w:r>
          </w:p>
        </w:tc>
        <w:tc>
          <w:tcPr>
            <w:tcW w:w="2170" w:type="pct"/>
            <w:hideMark/>
          </w:tcPr>
          <w:p w14:paraId="079CB9A8"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البعد</w:t>
            </w:r>
          </w:p>
        </w:tc>
        <w:tc>
          <w:tcPr>
            <w:tcW w:w="868" w:type="pct"/>
            <w:hideMark/>
          </w:tcPr>
          <w:p w14:paraId="228B1E20"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أرقام الفقرات</w:t>
            </w:r>
          </w:p>
        </w:tc>
        <w:tc>
          <w:tcPr>
            <w:tcW w:w="852" w:type="pct"/>
            <w:hideMark/>
          </w:tcPr>
          <w:p w14:paraId="4E0F7F07"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عدد الفقرات</w:t>
            </w:r>
          </w:p>
        </w:tc>
      </w:tr>
      <w:tr w:rsidR="00692479" w:rsidRPr="00692479" w14:paraId="6606BD3A" w14:textId="77777777" w:rsidTr="00692479">
        <w:tc>
          <w:tcPr>
            <w:tcW w:w="1110" w:type="pct"/>
            <w:hideMark/>
          </w:tcPr>
          <w:p w14:paraId="79203E74"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التحول الرقمي</w:t>
            </w:r>
          </w:p>
        </w:tc>
        <w:tc>
          <w:tcPr>
            <w:tcW w:w="2170" w:type="pct"/>
            <w:hideMark/>
          </w:tcPr>
          <w:p w14:paraId="6508EB43"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w:t>
            </w:r>
          </w:p>
        </w:tc>
        <w:tc>
          <w:tcPr>
            <w:tcW w:w="868" w:type="pct"/>
            <w:hideMark/>
          </w:tcPr>
          <w:p w14:paraId="22366499"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1–5</w:t>
            </w:r>
          </w:p>
        </w:tc>
        <w:tc>
          <w:tcPr>
            <w:tcW w:w="852" w:type="pct"/>
            <w:hideMark/>
          </w:tcPr>
          <w:p w14:paraId="1BBE13B5"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216E25E3" w14:textId="77777777" w:rsidTr="00692479">
        <w:tc>
          <w:tcPr>
            <w:tcW w:w="1110" w:type="pct"/>
            <w:hideMark/>
          </w:tcPr>
          <w:p w14:paraId="2B9635EF"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3C9FDFD3"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w:t>
            </w:r>
          </w:p>
        </w:tc>
        <w:tc>
          <w:tcPr>
            <w:tcW w:w="868" w:type="pct"/>
            <w:hideMark/>
          </w:tcPr>
          <w:p w14:paraId="5C5A7EDD"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6–10</w:t>
            </w:r>
          </w:p>
        </w:tc>
        <w:tc>
          <w:tcPr>
            <w:tcW w:w="852" w:type="pct"/>
            <w:hideMark/>
          </w:tcPr>
          <w:p w14:paraId="16C1BCA1"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78399647" w14:textId="77777777" w:rsidTr="00692479">
        <w:tc>
          <w:tcPr>
            <w:tcW w:w="1110" w:type="pct"/>
            <w:hideMark/>
          </w:tcPr>
          <w:p w14:paraId="19B02E30"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16E8AE2C"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w:t>
            </w:r>
          </w:p>
        </w:tc>
        <w:tc>
          <w:tcPr>
            <w:tcW w:w="868" w:type="pct"/>
            <w:hideMark/>
          </w:tcPr>
          <w:p w14:paraId="776E9371"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11–15</w:t>
            </w:r>
          </w:p>
        </w:tc>
        <w:tc>
          <w:tcPr>
            <w:tcW w:w="852" w:type="pct"/>
            <w:hideMark/>
          </w:tcPr>
          <w:p w14:paraId="681B3E80"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3FA653A1" w14:textId="77777777" w:rsidTr="00692479">
        <w:tc>
          <w:tcPr>
            <w:tcW w:w="1110" w:type="pct"/>
            <w:hideMark/>
          </w:tcPr>
          <w:p w14:paraId="54472391"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482C6298"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w:t>
            </w:r>
          </w:p>
        </w:tc>
        <w:tc>
          <w:tcPr>
            <w:tcW w:w="868" w:type="pct"/>
            <w:hideMark/>
          </w:tcPr>
          <w:p w14:paraId="69CF30CA"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16–20</w:t>
            </w:r>
          </w:p>
        </w:tc>
        <w:tc>
          <w:tcPr>
            <w:tcW w:w="852" w:type="pct"/>
            <w:hideMark/>
          </w:tcPr>
          <w:p w14:paraId="4C8FB1D7"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3E461C2C" w14:textId="77777777" w:rsidTr="00692479">
        <w:tc>
          <w:tcPr>
            <w:tcW w:w="1110" w:type="pct"/>
            <w:hideMark/>
          </w:tcPr>
          <w:p w14:paraId="6AE32F1D"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الاستقرار الوظيفي</w:t>
            </w:r>
          </w:p>
        </w:tc>
        <w:tc>
          <w:tcPr>
            <w:tcW w:w="2170" w:type="pct"/>
            <w:hideMark/>
          </w:tcPr>
          <w:p w14:paraId="28934D65"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w:t>
            </w:r>
          </w:p>
        </w:tc>
        <w:tc>
          <w:tcPr>
            <w:tcW w:w="868" w:type="pct"/>
            <w:hideMark/>
          </w:tcPr>
          <w:p w14:paraId="360CD7B6"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21–25</w:t>
            </w:r>
          </w:p>
        </w:tc>
        <w:tc>
          <w:tcPr>
            <w:tcW w:w="852" w:type="pct"/>
            <w:hideMark/>
          </w:tcPr>
          <w:p w14:paraId="25BC278D"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2266722B" w14:textId="77777777" w:rsidTr="00692479">
        <w:tc>
          <w:tcPr>
            <w:tcW w:w="1110" w:type="pct"/>
            <w:hideMark/>
          </w:tcPr>
          <w:p w14:paraId="22B3968F"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5EA3A5DE"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w:t>
            </w:r>
          </w:p>
        </w:tc>
        <w:tc>
          <w:tcPr>
            <w:tcW w:w="868" w:type="pct"/>
            <w:hideMark/>
          </w:tcPr>
          <w:p w14:paraId="471F1F26"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26–30</w:t>
            </w:r>
          </w:p>
        </w:tc>
        <w:tc>
          <w:tcPr>
            <w:tcW w:w="852" w:type="pct"/>
            <w:hideMark/>
          </w:tcPr>
          <w:p w14:paraId="0FFAC50E"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50931275" w14:textId="77777777" w:rsidTr="00692479">
        <w:tc>
          <w:tcPr>
            <w:tcW w:w="1110" w:type="pct"/>
            <w:hideMark/>
          </w:tcPr>
          <w:p w14:paraId="4F36AB6B"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7F5B12DD"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w:t>
            </w:r>
          </w:p>
        </w:tc>
        <w:tc>
          <w:tcPr>
            <w:tcW w:w="868" w:type="pct"/>
            <w:hideMark/>
          </w:tcPr>
          <w:p w14:paraId="63EFB72C"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31–35</w:t>
            </w:r>
          </w:p>
        </w:tc>
        <w:tc>
          <w:tcPr>
            <w:tcW w:w="852" w:type="pct"/>
            <w:hideMark/>
          </w:tcPr>
          <w:p w14:paraId="7E52FBCE"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382CB7BE" w14:textId="77777777" w:rsidTr="00692479">
        <w:tc>
          <w:tcPr>
            <w:tcW w:w="1110" w:type="pct"/>
            <w:hideMark/>
          </w:tcPr>
          <w:p w14:paraId="3537FFAD"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الإجمالي</w:t>
            </w:r>
          </w:p>
        </w:tc>
        <w:tc>
          <w:tcPr>
            <w:tcW w:w="2170" w:type="pct"/>
            <w:hideMark/>
          </w:tcPr>
          <w:p w14:paraId="40585C46"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868" w:type="pct"/>
            <w:hideMark/>
          </w:tcPr>
          <w:p w14:paraId="18D8CDC3"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852" w:type="pct"/>
            <w:hideMark/>
          </w:tcPr>
          <w:p w14:paraId="505A6DA2"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35</w:t>
            </w:r>
          </w:p>
        </w:tc>
      </w:tr>
    </w:tbl>
    <w:p w14:paraId="2691D056"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واعتمدت الدراسة مقياس ليكرت الخماسي لقياس استجابات أفراد العينة على فقرات الاستبانة، حيث خُصصت خمس درجات للاستجابة، تبدأ من (موافق بشدة) وتنتهي بـ (غير موافق بشدة)، وذلك وفق التدرج الآتي:</w:t>
      </w:r>
    </w:p>
    <w:tbl>
      <w:tblPr>
        <w:tblStyle w:val="TableGrid"/>
        <w:bidiVisual/>
        <w:tblW w:w="5000" w:type="pct"/>
        <w:tblLook w:val="04A0" w:firstRow="1" w:lastRow="0" w:firstColumn="1" w:lastColumn="0" w:noHBand="0" w:noVBand="1"/>
      </w:tblPr>
      <w:tblGrid>
        <w:gridCol w:w="2207"/>
        <w:gridCol w:w="1253"/>
        <w:gridCol w:w="1115"/>
        <w:gridCol w:w="1903"/>
        <w:gridCol w:w="2859"/>
      </w:tblGrid>
      <w:tr w:rsidR="00692479" w:rsidRPr="00692479" w14:paraId="54D177EC" w14:textId="77777777" w:rsidTr="00692479">
        <w:tc>
          <w:tcPr>
            <w:tcW w:w="1182" w:type="pct"/>
            <w:hideMark/>
          </w:tcPr>
          <w:p w14:paraId="42F244B0"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موافق بشدة</w:t>
            </w:r>
          </w:p>
        </w:tc>
        <w:tc>
          <w:tcPr>
            <w:tcW w:w="671" w:type="pct"/>
            <w:hideMark/>
          </w:tcPr>
          <w:p w14:paraId="6341FEC9"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موافق</w:t>
            </w:r>
          </w:p>
        </w:tc>
        <w:tc>
          <w:tcPr>
            <w:tcW w:w="597" w:type="pct"/>
            <w:hideMark/>
          </w:tcPr>
          <w:p w14:paraId="75D83F9B"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محايد</w:t>
            </w:r>
          </w:p>
        </w:tc>
        <w:tc>
          <w:tcPr>
            <w:tcW w:w="1019" w:type="pct"/>
            <w:hideMark/>
          </w:tcPr>
          <w:p w14:paraId="040D0E4E"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غير موافق</w:t>
            </w:r>
          </w:p>
        </w:tc>
        <w:tc>
          <w:tcPr>
            <w:tcW w:w="1531" w:type="pct"/>
            <w:hideMark/>
          </w:tcPr>
          <w:p w14:paraId="03EA7685"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غير موافق بشدة</w:t>
            </w:r>
          </w:p>
        </w:tc>
      </w:tr>
      <w:tr w:rsidR="00692479" w:rsidRPr="00692479" w14:paraId="17829F4A" w14:textId="77777777" w:rsidTr="00692479">
        <w:tc>
          <w:tcPr>
            <w:tcW w:w="1182" w:type="pct"/>
            <w:hideMark/>
          </w:tcPr>
          <w:p w14:paraId="02F28E00"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c>
          <w:tcPr>
            <w:tcW w:w="671" w:type="pct"/>
            <w:hideMark/>
          </w:tcPr>
          <w:p w14:paraId="2E3E53BE"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4</w:t>
            </w:r>
          </w:p>
        </w:tc>
        <w:tc>
          <w:tcPr>
            <w:tcW w:w="597" w:type="pct"/>
            <w:hideMark/>
          </w:tcPr>
          <w:p w14:paraId="281F6D47"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3</w:t>
            </w:r>
          </w:p>
        </w:tc>
        <w:tc>
          <w:tcPr>
            <w:tcW w:w="1019" w:type="pct"/>
            <w:hideMark/>
          </w:tcPr>
          <w:p w14:paraId="58B011AF"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w:t>
            </w:r>
          </w:p>
        </w:tc>
        <w:tc>
          <w:tcPr>
            <w:tcW w:w="1531" w:type="pct"/>
            <w:hideMark/>
          </w:tcPr>
          <w:p w14:paraId="75A35F0E"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w:t>
            </w:r>
          </w:p>
        </w:tc>
      </w:tr>
    </w:tbl>
    <w:p w14:paraId="09258F76" w14:textId="77777777" w:rsidR="00692479" w:rsidRDefault="00692479" w:rsidP="00692479">
      <w:pPr>
        <w:bidi/>
        <w:spacing w:line="360" w:lineRule="auto"/>
        <w:jc w:val="both"/>
        <w:rPr>
          <w:rFonts w:ascii="Traditional Arabic" w:hAnsi="Traditional Arabic" w:cs="Traditional Arabic"/>
          <w:sz w:val="32"/>
          <w:szCs w:val="32"/>
          <w:rtl/>
          <w:lang w:val="en-US"/>
        </w:rPr>
      </w:pPr>
      <w:r w:rsidRPr="00692479">
        <w:rPr>
          <w:rFonts w:ascii="Traditional Arabic" w:hAnsi="Traditional Arabic" w:cs="Traditional Arabic"/>
          <w:sz w:val="32"/>
          <w:szCs w:val="32"/>
          <w:rtl/>
          <w:lang w:val="en-US"/>
        </w:rPr>
        <w:t>ويُعد مقياس ليكرت الخماسي من أكثر المقاييس استخدامًا في الدراسات الإدارية والسلوكية، لما يتمتع به من سهولة التطبيق، وقدرته على قياس اتجاهات وآراء أفراد الدراسة بدرجة عالية من الدقة والموضوعية</w:t>
      </w:r>
      <w:r w:rsidRPr="00692479">
        <w:rPr>
          <w:rFonts w:ascii="Traditional Arabic" w:hAnsi="Traditional Arabic" w:cs="Traditional Arabic"/>
          <w:sz w:val="32"/>
          <w:szCs w:val="32"/>
          <w:lang w:val="en-US"/>
        </w:rPr>
        <w:t>.</w:t>
      </w:r>
    </w:p>
    <w:p w14:paraId="00FD507A" w14:textId="77777777" w:rsidR="0058077E" w:rsidRPr="00692479" w:rsidRDefault="0058077E" w:rsidP="0058077E">
      <w:pPr>
        <w:bidi/>
        <w:spacing w:line="360" w:lineRule="auto"/>
        <w:jc w:val="both"/>
        <w:rPr>
          <w:rFonts w:ascii="Traditional Arabic" w:hAnsi="Traditional Arabic" w:cs="Traditional Arabic"/>
          <w:sz w:val="32"/>
          <w:szCs w:val="32"/>
          <w:lang w:val="en-US"/>
        </w:rPr>
      </w:pPr>
    </w:p>
    <w:p w14:paraId="11050B0D"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3.8 صدق أداة الدراسة</w:t>
      </w:r>
    </w:p>
    <w:p w14:paraId="0985A414" w14:textId="77777777" w:rsidR="0058077E" w:rsidRP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يُعد الصدق</w:t>
      </w:r>
      <w:r w:rsidRPr="0058077E">
        <w:rPr>
          <w:rFonts w:ascii="Traditional Arabic" w:hAnsi="Traditional Arabic" w:cs="Traditional Arabic"/>
          <w:sz w:val="32"/>
          <w:szCs w:val="32"/>
          <w:lang w:val="en-US"/>
        </w:rPr>
        <w:t xml:space="preserve"> (Validity) </w:t>
      </w:r>
      <w:r w:rsidRPr="0058077E">
        <w:rPr>
          <w:rFonts w:ascii="Traditional Arabic" w:hAnsi="Traditional Arabic" w:cs="Traditional Arabic"/>
          <w:sz w:val="32"/>
          <w:szCs w:val="32"/>
          <w:rtl/>
          <w:lang w:val="en-US"/>
        </w:rPr>
        <w:t>من أهم الخصائص السيكومترية التي ينبغي توافرها في أدوات القياس، إذ يعبر عن مدى قدرة الأداة على قياس المتغيرات التي أُعدت لقياسها بدقة وموضوعية، بما يضمن سلامة البيانات التي يتم جمعها وإمكانية الاعتماد عليها في اختبار فرضيات الدراسة وتحقيق أهدافها. ويؤكد كل من</w:t>
      </w:r>
      <w:r w:rsidRPr="0058077E">
        <w:rPr>
          <w:rFonts w:ascii="Traditional Arabic" w:hAnsi="Traditional Arabic" w:cs="Traditional Arabic"/>
          <w:sz w:val="32"/>
          <w:szCs w:val="32"/>
          <w:lang w:val="en-US"/>
        </w:rPr>
        <w:t xml:space="preserve"> Creswell and Creswell (2023) </w:t>
      </w:r>
      <w:r w:rsidRPr="0058077E">
        <w:rPr>
          <w:rFonts w:ascii="Traditional Arabic" w:hAnsi="Traditional Arabic" w:cs="Traditional Arabic"/>
          <w:sz w:val="32"/>
          <w:szCs w:val="32"/>
          <w:rtl/>
          <w:lang w:val="en-US"/>
        </w:rPr>
        <w:t>و</w:t>
      </w:r>
      <w:r w:rsidRPr="0058077E">
        <w:rPr>
          <w:rFonts w:ascii="Traditional Arabic" w:hAnsi="Traditional Arabic" w:cs="Traditional Arabic"/>
          <w:sz w:val="32"/>
          <w:szCs w:val="32"/>
          <w:lang w:val="en-US"/>
        </w:rPr>
        <w:t xml:space="preserve">Hair et al. (2022) </w:t>
      </w:r>
      <w:r w:rsidRPr="0058077E">
        <w:rPr>
          <w:rFonts w:ascii="Traditional Arabic" w:hAnsi="Traditional Arabic" w:cs="Traditional Arabic"/>
          <w:sz w:val="32"/>
          <w:szCs w:val="32"/>
          <w:rtl/>
          <w:lang w:val="en-US"/>
        </w:rPr>
        <w:t>أن التحقق من صدق أدوات القياس يمثل خطوة أساسية قبل تطبيقها ميدانيًا، لما لذلك من أثر في تعزيز موثوقية النتائج ودقتها</w:t>
      </w:r>
      <w:r w:rsidRPr="0058077E">
        <w:rPr>
          <w:rFonts w:ascii="Traditional Arabic" w:hAnsi="Traditional Arabic" w:cs="Traditional Arabic"/>
          <w:sz w:val="32"/>
          <w:szCs w:val="32"/>
          <w:lang w:val="en-US"/>
        </w:rPr>
        <w:t>.</w:t>
      </w:r>
    </w:p>
    <w:p w14:paraId="66F454A3"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وللتحقق من صدق أداة الدراسة، اعتمد الباحث على الصدق الظاهري وصدق البناء، وذلك على النحو الآتي</w:t>
      </w:r>
      <w:r w:rsidRPr="0058077E">
        <w:rPr>
          <w:rFonts w:ascii="Traditional Arabic" w:hAnsi="Traditional Arabic" w:cs="Traditional Arabic"/>
          <w:sz w:val="32"/>
          <w:szCs w:val="32"/>
          <w:lang w:val="en-US"/>
        </w:rPr>
        <w:t>:</w:t>
      </w:r>
    </w:p>
    <w:p w14:paraId="465FF0B5"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أولاً: الصدق الظاهري (</w:t>
      </w:r>
      <w:r w:rsidRPr="0058077E">
        <w:rPr>
          <w:rFonts w:ascii="Traditional Arabic" w:hAnsi="Traditional Arabic" w:cs="Traditional Arabic"/>
          <w:b/>
          <w:bCs/>
          <w:sz w:val="32"/>
          <w:szCs w:val="32"/>
          <w:lang w:val="en-US"/>
        </w:rPr>
        <w:t>Face Validity</w:t>
      </w:r>
      <w:r w:rsidRPr="0058077E">
        <w:rPr>
          <w:rFonts w:ascii="Traditional Arabic" w:hAnsi="Traditional Arabic" w:cs="Traditional Arabic"/>
          <w:b/>
          <w:bCs/>
          <w:sz w:val="32"/>
          <w:szCs w:val="32"/>
          <w:rtl/>
          <w:lang w:val="en-US"/>
        </w:rPr>
        <w:t>)</w:t>
      </w:r>
    </w:p>
    <w:p w14:paraId="69A218CF" w14:textId="77777777" w:rsidR="00313D61" w:rsidRPr="00313D61" w:rsidRDefault="00313D61" w:rsidP="00313D61">
      <w:pPr>
        <w:bidi/>
        <w:spacing w:line="360" w:lineRule="auto"/>
        <w:jc w:val="both"/>
        <w:rPr>
          <w:rFonts w:ascii="Traditional Arabic" w:hAnsi="Traditional Arabic" w:cs="Traditional Arabic"/>
          <w:sz w:val="32"/>
          <w:szCs w:val="32"/>
          <w:lang w:val="en-US"/>
        </w:rPr>
      </w:pPr>
      <w:r w:rsidRPr="00313D61">
        <w:rPr>
          <w:rFonts w:ascii="Traditional Arabic" w:hAnsi="Traditional Arabic" w:cs="Traditional Arabic"/>
          <w:sz w:val="32"/>
          <w:szCs w:val="32"/>
          <w:rtl/>
          <w:lang w:val="en-US"/>
        </w:rPr>
        <w:t>للتحقق من الصدق الظاهري لأداة الدراسة، عرض الباحث الاستبانة في صورتها الأولية على سبعة (7) محكمين من أعضاء هيئة التدريس والمتخصصين في مجالات الإدارة، وإدارة الخدمات الصحية، ونظم المعلومات، والقياس والتقويم، وذلك بهدف تقييم مدى ملاءمة فقرات الاستبانة لأبعاد الدراسة، ووضوح صياغتها اللغوية، وسلامتها العلمية، وقدرتها على قياس المتغيرات المستهدفة</w:t>
      </w:r>
      <w:r w:rsidRPr="00313D61">
        <w:rPr>
          <w:rFonts w:ascii="Traditional Arabic" w:hAnsi="Traditional Arabic" w:cs="Traditional Arabic"/>
          <w:sz w:val="32"/>
          <w:szCs w:val="32"/>
          <w:lang w:val="en-US"/>
        </w:rPr>
        <w:t>.</w:t>
      </w:r>
    </w:p>
    <w:p w14:paraId="0A9E9ADD" w14:textId="77777777" w:rsidR="00313D61" w:rsidRPr="00313D61" w:rsidRDefault="00313D61" w:rsidP="00313D61">
      <w:pPr>
        <w:bidi/>
        <w:spacing w:line="360" w:lineRule="auto"/>
        <w:rPr>
          <w:rFonts w:ascii="Traditional Arabic" w:hAnsi="Traditional Arabic" w:cs="Traditional Arabic"/>
          <w:sz w:val="32"/>
          <w:szCs w:val="32"/>
          <w:rtl/>
          <w:lang w:val="en-US"/>
        </w:rPr>
      </w:pPr>
      <w:r w:rsidRPr="00313D61">
        <w:rPr>
          <w:rFonts w:ascii="Traditional Arabic" w:hAnsi="Traditional Arabic" w:cs="Traditional Arabic"/>
          <w:sz w:val="32"/>
          <w:szCs w:val="32"/>
          <w:rtl/>
          <w:lang w:val="en-US"/>
        </w:rPr>
        <w:t>وقد استندت عملية التحكيم إلى مجموعة من المعايير، تمثلت في: مدى انتماء كل فقرة للبُعد الذي تقيسه، ووضوح الصياغة اللغوية، وسلامة الأسلوب، وخلو الفقرات من الغموض أو التكرار، وتسلسلها المنطقي، وشمولها لمختلف أبعاد متغيرات الدراسة، وملاءمتها لطبيعة العاملين في المستشفيات الحكومية بمدينة جدة</w:t>
      </w:r>
      <w:r w:rsidRPr="00313D61">
        <w:rPr>
          <w:rFonts w:ascii="Traditional Arabic" w:hAnsi="Traditional Arabic" w:cs="Traditional Arabic"/>
          <w:sz w:val="32"/>
          <w:szCs w:val="32"/>
          <w:lang w:val="en-US"/>
        </w:rPr>
        <w:t>.</w:t>
      </w:r>
    </w:p>
    <w:p w14:paraId="01A7C5B7" w14:textId="77777777" w:rsidR="00313D61" w:rsidRDefault="00313D61" w:rsidP="00313D61">
      <w:pPr>
        <w:bidi/>
        <w:spacing w:line="360" w:lineRule="auto"/>
        <w:jc w:val="both"/>
        <w:rPr>
          <w:rFonts w:ascii="Traditional Arabic" w:hAnsi="Traditional Arabic" w:cs="Traditional Arabic"/>
          <w:sz w:val="32"/>
          <w:szCs w:val="32"/>
          <w:rtl/>
          <w:lang w:val="en-US"/>
        </w:rPr>
      </w:pPr>
      <w:r w:rsidRPr="00313D61">
        <w:rPr>
          <w:rFonts w:ascii="Traditional Arabic" w:hAnsi="Traditional Arabic" w:cs="Traditional Arabic"/>
          <w:sz w:val="32"/>
          <w:szCs w:val="32"/>
          <w:rtl/>
          <w:lang w:val="en-US"/>
        </w:rPr>
        <w:t>وفي ضوء ملاحظات المحكمين، أجرى الباحث عددًا من التعديلات على أداة الدراسة، شملت إعادة صياغة بعض الفقرات، وتحسين الصياغة اللغوية، وتعديل عدد محدود من العبارات بما يزيد من وضوحها ودقتها، مع الإبقاء على جميع الأبعاد الرئيسة للدراسة. وقد بلغت نسبة اتفاق المحكمين (91%) على صلاحية فقرات الاستبانة، وهي نسبة مرتفعة تعكس تمتع الأداة بدرجة مناسبة من الصدق الظاهري، وصلاحيتها للتطبيق الميداني.</w:t>
      </w:r>
    </w:p>
    <w:p w14:paraId="1C589E27" w14:textId="77777777" w:rsidR="00D954DC" w:rsidRPr="00313D61" w:rsidRDefault="00D954DC" w:rsidP="00D954DC">
      <w:pPr>
        <w:bidi/>
        <w:spacing w:line="360" w:lineRule="auto"/>
        <w:jc w:val="both"/>
        <w:rPr>
          <w:rFonts w:ascii="Traditional Arabic" w:hAnsi="Traditional Arabic" w:cs="Traditional Arabic"/>
          <w:sz w:val="32"/>
          <w:szCs w:val="32"/>
          <w:rtl/>
          <w:lang w:val="en-US"/>
        </w:rPr>
      </w:pPr>
    </w:p>
    <w:p w14:paraId="0EB7F924" w14:textId="77777777" w:rsidR="0058077E" w:rsidRDefault="0058077E" w:rsidP="00313D61">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ثانياً: صدق البناء (</w:t>
      </w:r>
      <w:r w:rsidRPr="0058077E">
        <w:rPr>
          <w:rFonts w:ascii="Traditional Arabic" w:hAnsi="Traditional Arabic" w:cs="Traditional Arabic"/>
          <w:b/>
          <w:bCs/>
          <w:sz w:val="32"/>
          <w:szCs w:val="32"/>
          <w:lang w:val="en-US"/>
        </w:rPr>
        <w:t>Construct Validity</w:t>
      </w:r>
      <w:r w:rsidRPr="0058077E">
        <w:rPr>
          <w:rFonts w:ascii="Traditional Arabic" w:hAnsi="Traditional Arabic" w:cs="Traditional Arabic"/>
          <w:b/>
          <w:bCs/>
          <w:sz w:val="32"/>
          <w:szCs w:val="32"/>
          <w:rtl/>
          <w:lang w:val="en-US"/>
        </w:rPr>
        <w:t>)</w:t>
      </w:r>
    </w:p>
    <w:p w14:paraId="42DD972F" w14:textId="77777777" w:rsidR="00D954DC" w:rsidRDefault="00D954DC" w:rsidP="00D954DC">
      <w:pPr>
        <w:bidi/>
        <w:spacing w:line="360" w:lineRule="auto"/>
        <w:jc w:val="both"/>
        <w:rPr>
          <w:rFonts w:ascii="Traditional Arabic" w:hAnsi="Traditional Arabic" w:cs="Traditional Arabic"/>
          <w:sz w:val="32"/>
          <w:szCs w:val="32"/>
          <w:rtl/>
          <w:lang w:val="en-US"/>
        </w:rPr>
      </w:pPr>
      <w:r w:rsidRPr="00D954DC">
        <w:rPr>
          <w:rFonts w:ascii="Traditional Arabic" w:hAnsi="Traditional Arabic" w:cs="Traditional Arabic"/>
          <w:sz w:val="32"/>
          <w:szCs w:val="32"/>
          <w:rtl/>
          <w:lang w:val="en-US"/>
        </w:rPr>
        <w:t>للتحقق من الصدق البنائي لأداة الدراسة، تم فحص معاملات الارتباط بين فقرات كل بعد والدرجة الكلية للبعد الذي تنتمي إليه، وبين أبعاد كل متغير والدرجة الكلية للمتغير، باستخدام معامل ارتباط بيرسون. وقد استندت فقرات الأداة وأبعادها إلى مقاييس مستمدة من الأدبيات والدراسات السابقة، مع إجراء تعديلات محدودة في الصياغة بما يتناسب مع سياق المستشفيات الحكومية في مدينة جدة، دون المساس بالبناء النظري للأبعاد. وبناء على ذلك، لم يتم إجراء التحليل العاملي الاستكشافي (</w:t>
      </w:r>
      <w:r w:rsidRPr="00D954DC">
        <w:rPr>
          <w:rFonts w:ascii="Traditional Arabic" w:hAnsi="Traditional Arabic" w:cs="Traditional Arabic"/>
          <w:sz w:val="32"/>
          <w:szCs w:val="32"/>
          <w:lang w:val="en-US"/>
        </w:rPr>
        <w:t>Exploratory Factor Analysis: EFA</w:t>
      </w:r>
      <w:r w:rsidRPr="00D954DC">
        <w:rPr>
          <w:rFonts w:ascii="Traditional Arabic" w:hAnsi="Traditional Arabic" w:cs="Traditional Arabic"/>
          <w:sz w:val="32"/>
          <w:szCs w:val="32"/>
          <w:rtl/>
          <w:lang w:val="en-US"/>
        </w:rPr>
        <w:t>)، لكون الدراسة لا تهدف إلى تطوير مقياس جديد أو استكشاف أبعاد غير محددة مسبقا، وإنما اعتمدت على أبعاد نظرية محددة ومستقرة في الأدبيات. ويعد عدم إجراء التحليل العاملي الاستكشافي أحد الحدود المنهجية المتعلقة بالتحقق من البناء العاملي للأداة، وهو ما ينبغي أخذه في الاعتبار عند تفسير نتائج الدراسة</w:t>
      </w:r>
      <w:r w:rsidRPr="00D954DC">
        <w:rPr>
          <w:rFonts w:ascii="Traditional Arabic" w:hAnsi="Traditional Arabic" w:cs="Traditional Arabic"/>
          <w:sz w:val="32"/>
          <w:szCs w:val="32"/>
        </w:rPr>
        <w:t>.</w:t>
      </w:r>
    </w:p>
    <w:p w14:paraId="49FDB1A4" w14:textId="77777777" w:rsidR="00D954DC" w:rsidRDefault="00D954DC" w:rsidP="00D954DC">
      <w:pPr>
        <w:bidi/>
        <w:spacing w:line="360" w:lineRule="auto"/>
        <w:jc w:val="both"/>
        <w:rPr>
          <w:rFonts w:ascii="Traditional Arabic" w:hAnsi="Traditional Arabic" w:cs="Traditional Arabic"/>
          <w:sz w:val="32"/>
          <w:szCs w:val="32"/>
          <w:rtl/>
          <w:lang w:val="en-US"/>
        </w:rPr>
      </w:pPr>
      <w:r w:rsidRPr="00D954DC">
        <w:rPr>
          <w:rFonts w:ascii="Traditional Arabic" w:hAnsi="Traditional Arabic" w:cs="Traditional Arabic"/>
          <w:sz w:val="32"/>
          <w:szCs w:val="32"/>
          <w:rtl/>
          <w:lang w:val="en-US"/>
        </w:rPr>
        <w:t>قبل التطبيق النهائي للاستبانة، أجريت دراسة استطلاعية على عينة مكونة من (30) موظفا من العاملين في المستشفيات الحكومية بمدينة جدة، تم اختيارهم بطريقة العينة الميسرة، على أن يكونوا من مجتمع الدراسة، ومن خارج العينة الأساسية. وهدفت الدراسة الاستطلاعية إلى التحقق من وضوح فقرات الاستبانة، وسلامة صياغتها، وملاءمتها لبيئة الدراسة، إلى جانب التحقق من الخصائص السيكومترية الأولية للأداة، بما في ذلك الصدق والثبات. وبناء على نتائج الدراسة الاستطلاعية، أجريت التعديلات اللازمة على بعض الفقرات قبل تطبيق الأداة بصورتها النهائية</w:t>
      </w:r>
      <w:r w:rsidRPr="00D954DC">
        <w:rPr>
          <w:rFonts w:ascii="Traditional Arabic" w:hAnsi="Traditional Arabic" w:cs="Traditional Arabic"/>
          <w:sz w:val="32"/>
          <w:szCs w:val="32"/>
        </w:rPr>
        <w:t>.</w:t>
      </w:r>
    </w:p>
    <w:p w14:paraId="2494AE5B" w14:textId="77777777" w:rsidR="00313D61" w:rsidRDefault="00313D61" w:rsidP="00D954DC">
      <w:pPr>
        <w:bidi/>
        <w:spacing w:line="360" w:lineRule="auto"/>
        <w:jc w:val="both"/>
        <w:rPr>
          <w:rFonts w:ascii="Traditional Arabic" w:hAnsi="Traditional Arabic" w:cs="Traditional Arabic"/>
          <w:sz w:val="32"/>
          <w:szCs w:val="32"/>
          <w:rtl/>
        </w:rPr>
      </w:pPr>
      <w:r w:rsidRPr="00313D61">
        <w:rPr>
          <w:rFonts w:ascii="Traditional Arabic" w:hAnsi="Traditional Arabic" w:cs="Traditional Arabic"/>
          <w:sz w:val="32"/>
          <w:szCs w:val="32"/>
          <w:rtl/>
          <w:lang w:val="en-US"/>
        </w:rPr>
        <w:t>تشير النتائج الآتية إلى معاملات الصدق والثبات الخاصة بالعينة الاستطلاعية البالغ عددها (30) مشاركًا، وقد استُخدمت للتحقق من الخصائص السيكومترية الأولية لأداة الدراسة قبل تطبيقها على العينة النهائية، على أن يُعاد احتساب معاملات الثبات للعينة النهائية عند الانتهاء من جمع البيانات</w:t>
      </w:r>
      <w:r w:rsidRPr="00313D61">
        <w:rPr>
          <w:rFonts w:ascii="Traditional Arabic" w:hAnsi="Traditional Arabic" w:cs="Traditional Arabic"/>
          <w:sz w:val="32"/>
          <w:szCs w:val="32"/>
        </w:rPr>
        <w:t>.</w:t>
      </w:r>
    </w:p>
    <w:p w14:paraId="76F1A15D" w14:textId="77777777" w:rsidR="00B02504" w:rsidRDefault="00B02504" w:rsidP="00B02504">
      <w:pPr>
        <w:bidi/>
        <w:spacing w:line="360" w:lineRule="auto"/>
        <w:jc w:val="both"/>
        <w:rPr>
          <w:rFonts w:ascii="Traditional Arabic" w:hAnsi="Traditional Arabic" w:cs="Traditional Arabic"/>
          <w:sz w:val="32"/>
          <w:szCs w:val="32"/>
          <w:rtl/>
        </w:rPr>
      </w:pPr>
      <w:r w:rsidRPr="00B02504">
        <w:rPr>
          <w:rFonts w:ascii="Traditional Arabic" w:hAnsi="Traditional Arabic" w:cs="Traditional Arabic"/>
          <w:sz w:val="32"/>
          <w:szCs w:val="32"/>
          <w:highlight w:val="yellow"/>
          <w:rtl/>
        </w:rPr>
        <w:t>وتجدر الإشارة إلى أن النتائج الآتية تمثل نتائج أولية مستمدة من العينة الاستطلاعية، ولا تمثل النتائج النهائية للدراسة، والتي ستُعرض في الفصل الرابع بعد تطبيق الأداة على العينة الأساسية</w:t>
      </w:r>
      <w:r w:rsidRPr="00B02504">
        <w:rPr>
          <w:rFonts w:ascii="Traditional Arabic" w:hAnsi="Traditional Arabic" w:cs="Traditional Arabic" w:hint="cs"/>
          <w:sz w:val="32"/>
          <w:szCs w:val="32"/>
          <w:highlight w:val="yellow"/>
          <w:rtl/>
        </w:rPr>
        <w:t>.</w:t>
      </w:r>
    </w:p>
    <w:p w14:paraId="2EC8517D" w14:textId="77777777" w:rsidR="0058077E" w:rsidRPr="0058077E" w:rsidRDefault="0058077E" w:rsidP="00313D61">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وقد أظهرت نتائج التحليل الإحصائي أن جميع معاملات الارتباط جاءت موجبة ودالة إحصائيًا عند مستوى الدلالة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حيث تراوحت قيم معاملات الارتباط بين (0.714) و (0.891) ، وهي قيم مرتفعة تعكس اتساقًا داخليًا جيدًا بين الفقرات والأبعاد التي تنتمي إليها، مما يؤكد صلاحية جميع الفقرات للإبقاء عليها ضمن أداة الدراسة.</w:t>
      </w:r>
    </w:p>
    <w:p w14:paraId="55EB070B"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ويبين الجدول (3-4) معاملات ارتباط بيرسون بين فقرات كل بعد والدرجة الكلية للبعد الذي تنتمي إليه</w:t>
      </w:r>
      <w:r w:rsidRPr="0058077E">
        <w:rPr>
          <w:rFonts w:ascii="Traditional Arabic" w:hAnsi="Traditional Arabic" w:cs="Traditional Arabic"/>
          <w:sz w:val="32"/>
          <w:szCs w:val="32"/>
          <w:lang w:val="en-US"/>
        </w:rPr>
        <w:t>.</w:t>
      </w:r>
    </w:p>
    <w:p w14:paraId="347A1AA5" w14:textId="77777777" w:rsidR="0058077E" w:rsidRPr="0058077E" w:rsidRDefault="0058077E" w:rsidP="00D954DC">
      <w:pPr>
        <w:bidi/>
        <w:spacing w:after="0" w:line="240" w:lineRule="auto"/>
        <w:jc w:val="center"/>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جدول (3-4) معاملات ارتباط بيرسون بين فقرات كل بعد والدرجة الكلية للبعد</w:t>
      </w:r>
    </w:p>
    <w:tbl>
      <w:tblPr>
        <w:tblStyle w:val="TableGrid"/>
        <w:bidiVisual/>
        <w:tblW w:w="5000" w:type="pct"/>
        <w:tblLook w:val="04A0" w:firstRow="1" w:lastRow="0" w:firstColumn="1" w:lastColumn="0" w:noHBand="0" w:noVBand="1"/>
      </w:tblPr>
      <w:tblGrid>
        <w:gridCol w:w="2223"/>
        <w:gridCol w:w="4348"/>
        <w:gridCol w:w="891"/>
        <w:gridCol w:w="1875"/>
      </w:tblGrid>
      <w:tr w:rsidR="0058077E" w:rsidRPr="0058077E" w14:paraId="720A4A61" w14:textId="77777777" w:rsidTr="0058077E">
        <w:tc>
          <w:tcPr>
            <w:tcW w:w="1190" w:type="pct"/>
            <w:hideMark/>
          </w:tcPr>
          <w:p w14:paraId="4B5D0A20" w14:textId="77777777" w:rsidR="0058077E" w:rsidRPr="0058077E" w:rsidRDefault="0058077E" w:rsidP="00D954DC">
            <w:pPr>
              <w:bidi/>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المتغير</w:t>
            </w:r>
          </w:p>
        </w:tc>
        <w:tc>
          <w:tcPr>
            <w:tcW w:w="2328" w:type="pct"/>
            <w:hideMark/>
          </w:tcPr>
          <w:p w14:paraId="4B5A53D4" w14:textId="77777777" w:rsidR="0058077E" w:rsidRPr="0058077E" w:rsidRDefault="0058077E" w:rsidP="00D954DC">
            <w:pPr>
              <w:bidi/>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البعد</w:t>
            </w:r>
          </w:p>
        </w:tc>
        <w:tc>
          <w:tcPr>
            <w:tcW w:w="477" w:type="pct"/>
            <w:hideMark/>
          </w:tcPr>
          <w:p w14:paraId="634EBC90" w14:textId="77777777" w:rsidR="0058077E" w:rsidRPr="0058077E" w:rsidRDefault="0058077E" w:rsidP="00D954DC">
            <w:pPr>
              <w:bidi/>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الفقرة</w:t>
            </w:r>
          </w:p>
        </w:tc>
        <w:tc>
          <w:tcPr>
            <w:tcW w:w="1004" w:type="pct"/>
            <w:hideMark/>
          </w:tcPr>
          <w:p w14:paraId="5EA4C444" w14:textId="77777777" w:rsidR="0058077E" w:rsidRPr="0058077E" w:rsidRDefault="0058077E" w:rsidP="00D954DC">
            <w:pPr>
              <w:bidi/>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معامل الارتباط</w:t>
            </w:r>
          </w:p>
        </w:tc>
      </w:tr>
      <w:tr w:rsidR="0058077E" w:rsidRPr="0058077E" w14:paraId="735D3AE7" w14:textId="77777777" w:rsidTr="0058077E">
        <w:tc>
          <w:tcPr>
            <w:tcW w:w="1190" w:type="pct"/>
            <w:hideMark/>
          </w:tcPr>
          <w:p w14:paraId="0FD457B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التحول الرقمي</w:t>
            </w:r>
          </w:p>
        </w:tc>
        <w:tc>
          <w:tcPr>
            <w:tcW w:w="2328" w:type="pct"/>
            <w:hideMark/>
          </w:tcPr>
          <w:p w14:paraId="6036A1BC"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البنية التحتية الرقمية والتقنيات الرقمية</w:t>
            </w:r>
          </w:p>
        </w:tc>
        <w:tc>
          <w:tcPr>
            <w:tcW w:w="477" w:type="pct"/>
            <w:hideMark/>
          </w:tcPr>
          <w:p w14:paraId="2AE78C5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w:t>
            </w:r>
          </w:p>
        </w:tc>
        <w:tc>
          <w:tcPr>
            <w:tcW w:w="1004" w:type="pct"/>
            <w:hideMark/>
          </w:tcPr>
          <w:p w14:paraId="1000377C"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0.781**</w:t>
            </w:r>
          </w:p>
        </w:tc>
      </w:tr>
      <w:tr w:rsidR="0058077E" w:rsidRPr="0058077E" w14:paraId="10BA2206" w14:textId="77777777" w:rsidTr="0058077E">
        <w:tc>
          <w:tcPr>
            <w:tcW w:w="1190" w:type="pct"/>
            <w:hideMark/>
          </w:tcPr>
          <w:p w14:paraId="5AA9AC39"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3A40EDBC"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67ED15C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w:t>
            </w:r>
          </w:p>
        </w:tc>
        <w:tc>
          <w:tcPr>
            <w:tcW w:w="1004" w:type="pct"/>
            <w:hideMark/>
          </w:tcPr>
          <w:p w14:paraId="0D69038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0.824**</w:t>
            </w:r>
          </w:p>
        </w:tc>
      </w:tr>
      <w:tr w:rsidR="0058077E" w:rsidRPr="0058077E" w14:paraId="12D818E4" w14:textId="77777777" w:rsidTr="0058077E">
        <w:tc>
          <w:tcPr>
            <w:tcW w:w="1190" w:type="pct"/>
            <w:hideMark/>
          </w:tcPr>
          <w:p w14:paraId="4FB805F0"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1C8A625"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699AD11A"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w:t>
            </w:r>
          </w:p>
        </w:tc>
        <w:tc>
          <w:tcPr>
            <w:tcW w:w="1004" w:type="pct"/>
            <w:hideMark/>
          </w:tcPr>
          <w:p w14:paraId="7354AF5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0.846**</w:t>
            </w:r>
          </w:p>
        </w:tc>
      </w:tr>
      <w:tr w:rsidR="0058077E" w:rsidRPr="0058077E" w14:paraId="25F3C914" w14:textId="77777777" w:rsidTr="0058077E">
        <w:tc>
          <w:tcPr>
            <w:tcW w:w="1190" w:type="pct"/>
            <w:hideMark/>
          </w:tcPr>
          <w:p w14:paraId="073FACC9"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30D45936"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5D6F3D50"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4</w:t>
            </w:r>
          </w:p>
        </w:tc>
        <w:tc>
          <w:tcPr>
            <w:tcW w:w="1004" w:type="pct"/>
            <w:hideMark/>
          </w:tcPr>
          <w:p w14:paraId="0F9017F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0.792**</w:t>
            </w:r>
          </w:p>
        </w:tc>
      </w:tr>
      <w:tr w:rsidR="0058077E" w:rsidRPr="0058077E" w14:paraId="0CD6A763" w14:textId="77777777" w:rsidTr="0058077E">
        <w:tc>
          <w:tcPr>
            <w:tcW w:w="1190" w:type="pct"/>
            <w:hideMark/>
          </w:tcPr>
          <w:p w14:paraId="1475CB27"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05FF4434"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2CE838B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5</w:t>
            </w:r>
          </w:p>
        </w:tc>
        <w:tc>
          <w:tcPr>
            <w:tcW w:w="1004" w:type="pct"/>
            <w:hideMark/>
          </w:tcPr>
          <w:p w14:paraId="63D566D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0.815**</w:t>
            </w:r>
          </w:p>
        </w:tc>
      </w:tr>
      <w:tr w:rsidR="0058077E" w:rsidRPr="0058077E" w14:paraId="59BBBB94" w14:textId="77777777" w:rsidTr="0058077E">
        <w:tc>
          <w:tcPr>
            <w:tcW w:w="1190" w:type="pct"/>
            <w:hideMark/>
          </w:tcPr>
          <w:p w14:paraId="21E048AC"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3450C1C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الكفاءة الرقمية للموظفين</w:t>
            </w:r>
          </w:p>
        </w:tc>
        <w:tc>
          <w:tcPr>
            <w:tcW w:w="477" w:type="pct"/>
            <w:hideMark/>
          </w:tcPr>
          <w:p w14:paraId="1927D514"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6</w:t>
            </w:r>
          </w:p>
        </w:tc>
        <w:tc>
          <w:tcPr>
            <w:tcW w:w="1004" w:type="pct"/>
            <w:hideMark/>
          </w:tcPr>
          <w:p w14:paraId="2826208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0.739**</w:t>
            </w:r>
          </w:p>
        </w:tc>
      </w:tr>
      <w:tr w:rsidR="0058077E" w:rsidRPr="0058077E" w14:paraId="6827B036" w14:textId="77777777" w:rsidTr="0058077E">
        <w:tc>
          <w:tcPr>
            <w:tcW w:w="1190" w:type="pct"/>
            <w:hideMark/>
          </w:tcPr>
          <w:p w14:paraId="12180E5C"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3FEBA0FC"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4D8BBAEA"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7</w:t>
            </w:r>
          </w:p>
        </w:tc>
        <w:tc>
          <w:tcPr>
            <w:tcW w:w="1004" w:type="pct"/>
            <w:hideMark/>
          </w:tcPr>
          <w:p w14:paraId="048E74E9"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0.817**</w:t>
            </w:r>
          </w:p>
        </w:tc>
      </w:tr>
      <w:tr w:rsidR="0058077E" w:rsidRPr="0058077E" w14:paraId="3555D8F0" w14:textId="77777777" w:rsidTr="0058077E">
        <w:tc>
          <w:tcPr>
            <w:tcW w:w="1190" w:type="pct"/>
            <w:hideMark/>
          </w:tcPr>
          <w:p w14:paraId="559FEFD7"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3C0FE58"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4DEA5DB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8</w:t>
            </w:r>
          </w:p>
        </w:tc>
        <w:tc>
          <w:tcPr>
            <w:tcW w:w="1004" w:type="pct"/>
            <w:hideMark/>
          </w:tcPr>
          <w:p w14:paraId="331B31E4"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0.856**</w:t>
            </w:r>
          </w:p>
        </w:tc>
      </w:tr>
      <w:tr w:rsidR="0058077E" w:rsidRPr="0058077E" w14:paraId="1FC1FE3E" w14:textId="77777777" w:rsidTr="0058077E">
        <w:tc>
          <w:tcPr>
            <w:tcW w:w="1190" w:type="pct"/>
            <w:hideMark/>
          </w:tcPr>
          <w:p w14:paraId="39703240"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20448A88"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00834F9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9</w:t>
            </w:r>
          </w:p>
        </w:tc>
        <w:tc>
          <w:tcPr>
            <w:tcW w:w="1004" w:type="pct"/>
            <w:hideMark/>
          </w:tcPr>
          <w:p w14:paraId="4891E318"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0.803**</w:t>
            </w:r>
          </w:p>
        </w:tc>
      </w:tr>
      <w:tr w:rsidR="0058077E" w:rsidRPr="0058077E" w14:paraId="3DF90C07" w14:textId="77777777" w:rsidTr="0058077E">
        <w:tc>
          <w:tcPr>
            <w:tcW w:w="1190" w:type="pct"/>
            <w:hideMark/>
          </w:tcPr>
          <w:p w14:paraId="70434C63"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0D67730"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1EA744A1"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10</w:t>
            </w:r>
          </w:p>
        </w:tc>
        <w:tc>
          <w:tcPr>
            <w:tcW w:w="1004" w:type="pct"/>
            <w:hideMark/>
          </w:tcPr>
          <w:p w14:paraId="1200A650"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0.829**</w:t>
            </w:r>
          </w:p>
        </w:tc>
      </w:tr>
      <w:tr w:rsidR="0058077E" w:rsidRPr="0058077E" w14:paraId="0B7FFDED" w14:textId="77777777" w:rsidTr="0058077E">
        <w:tc>
          <w:tcPr>
            <w:tcW w:w="1190" w:type="pct"/>
            <w:hideMark/>
          </w:tcPr>
          <w:p w14:paraId="164F2E87"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6B8BD8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تكامل الأنظمة الرقمية وعمليات الرقمنة</w:t>
            </w:r>
          </w:p>
        </w:tc>
        <w:tc>
          <w:tcPr>
            <w:tcW w:w="477" w:type="pct"/>
            <w:hideMark/>
          </w:tcPr>
          <w:p w14:paraId="284C68CC"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11</w:t>
            </w:r>
          </w:p>
        </w:tc>
        <w:tc>
          <w:tcPr>
            <w:tcW w:w="1004" w:type="pct"/>
            <w:hideMark/>
          </w:tcPr>
          <w:p w14:paraId="165D11C9"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0.764**</w:t>
            </w:r>
          </w:p>
        </w:tc>
      </w:tr>
      <w:tr w:rsidR="0058077E" w:rsidRPr="0058077E" w14:paraId="796E2469" w14:textId="77777777" w:rsidTr="0058077E">
        <w:tc>
          <w:tcPr>
            <w:tcW w:w="1190" w:type="pct"/>
            <w:hideMark/>
          </w:tcPr>
          <w:p w14:paraId="483D1F86"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BEF3AE2"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53B2DCD2"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12</w:t>
            </w:r>
          </w:p>
        </w:tc>
        <w:tc>
          <w:tcPr>
            <w:tcW w:w="1004" w:type="pct"/>
            <w:hideMark/>
          </w:tcPr>
          <w:p w14:paraId="0FCE53B6"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0.843**</w:t>
            </w:r>
          </w:p>
        </w:tc>
      </w:tr>
      <w:tr w:rsidR="0058077E" w:rsidRPr="0058077E" w14:paraId="573B6627" w14:textId="77777777" w:rsidTr="0058077E">
        <w:tc>
          <w:tcPr>
            <w:tcW w:w="1190" w:type="pct"/>
            <w:hideMark/>
          </w:tcPr>
          <w:p w14:paraId="1177D24C"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3CCB74B8"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644978C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13</w:t>
            </w:r>
          </w:p>
        </w:tc>
        <w:tc>
          <w:tcPr>
            <w:tcW w:w="1004" w:type="pct"/>
            <w:hideMark/>
          </w:tcPr>
          <w:p w14:paraId="71AB6480"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0.871**</w:t>
            </w:r>
          </w:p>
        </w:tc>
      </w:tr>
      <w:tr w:rsidR="0058077E" w:rsidRPr="0058077E" w14:paraId="1D96924B" w14:textId="77777777" w:rsidTr="0058077E">
        <w:tc>
          <w:tcPr>
            <w:tcW w:w="1190" w:type="pct"/>
            <w:hideMark/>
          </w:tcPr>
          <w:p w14:paraId="1CCAD657"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2C8D77DC"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4A3C0BD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14</w:t>
            </w:r>
          </w:p>
        </w:tc>
        <w:tc>
          <w:tcPr>
            <w:tcW w:w="1004" w:type="pct"/>
            <w:hideMark/>
          </w:tcPr>
          <w:p w14:paraId="7C9FE80F"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0.822**</w:t>
            </w:r>
          </w:p>
        </w:tc>
      </w:tr>
      <w:tr w:rsidR="0058077E" w:rsidRPr="0058077E" w14:paraId="173222B2" w14:textId="77777777" w:rsidTr="0058077E">
        <w:tc>
          <w:tcPr>
            <w:tcW w:w="1190" w:type="pct"/>
            <w:hideMark/>
          </w:tcPr>
          <w:p w14:paraId="3477110D"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56D5F657"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6958408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15</w:t>
            </w:r>
          </w:p>
        </w:tc>
        <w:tc>
          <w:tcPr>
            <w:tcW w:w="1004" w:type="pct"/>
            <w:hideMark/>
          </w:tcPr>
          <w:p w14:paraId="79B105A2"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0.847**</w:t>
            </w:r>
          </w:p>
        </w:tc>
      </w:tr>
      <w:tr w:rsidR="0058077E" w:rsidRPr="0058077E" w14:paraId="374755EC" w14:textId="77777777" w:rsidTr="0058077E">
        <w:tc>
          <w:tcPr>
            <w:tcW w:w="1190" w:type="pct"/>
            <w:hideMark/>
          </w:tcPr>
          <w:p w14:paraId="7969D077"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B6F623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الأمن وحماية البيانات الرقمية</w:t>
            </w:r>
          </w:p>
        </w:tc>
        <w:tc>
          <w:tcPr>
            <w:tcW w:w="477" w:type="pct"/>
            <w:hideMark/>
          </w:tcPr>
          <w:p w14:paraId="2B178A8F"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16</w:t>
            </w:r>
          </w:p>
        </w:tc>
        <w:tc>
          <w:tcPr>
            <w:tcW w:w="1004" w:type="pct"/>
            <w:hideMark/>
          </w:tcPr>
          <w:p w14:paraId="412B5AC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0.714**</w:t>
            </w:r>
          </w:p>
        </w:tc>
      </w:tr>
      <w:tr w:rsidR="0058077E" w:rsidRPr="0058077E" w14:paraId="14C05E15" w14:textId="77777777" w:rsidTr="0058077E">
        <w:tc>
          <w:tcPr>
            <w:tcW w:w="1190" w:type="pct"/>
            <w:hideMark/>
          </w:tcPr>
          <w:p w14:paraId="46B80458"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1C8B73FF"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2CEDB0D0"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17</w:t>
            </w:r>
          </w:p>
        </w:tc>
        <w:tc>
          <w:tcPr>
            <w:tcW w:w="1004" w:type="pct"/>
            <w:hideMark/>
          </w:tcPr>
          <w:p w14:paraId="35A4F7BA"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0.826**</w:t>
            </w:r>
          </w:p>
        </w:tc>
      </w:tr>
      <w:tr w:rsidR="0058077E" w:rsidRPr="0058077E" w14:paraId="6A58F417" w14:textId="77777777" w:rsidTr="0058077E">
        <w:tc>
          <w:tcPr>
            <w:tcW w:w="1190" w:type="pct"/>
            <w:hideMark/>
          </w:tcPr>
          <w:p w14:paraId="32E6185B"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04134E6"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20972D3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18</w:t>
            </w:r>
          </w:p>
        </w:tc>
        <w:tc>
          <w:tcPr>
            <w:tcW w:w="1004" w:type="pct"/>
            <w:hideMark/>
          </w:tcPr>
          <w:p w14:paraId="62AEE37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0.891**</w:t>
            </w:r>
          </w:p>
        </w:tc>
      </w:tr>
      <w:tr w:rsidR="0058077E" w:rsidRPr="0058077E" w14:paraId="19A51913" w14:textId="77777777" w:rsidTr="0058077E">
        <w:tc>
          <w:tcPr>
            <w:tcW w:w="1190" w:type="pct"/>
            <w:hideMark/>
          </w:tcPr>
          <w:p w14:paraId="71990878"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16E6D5F0"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30AA12B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19</w:t>
            </w:r>
          </w:p>
        </w:tc>
        <w:tc>
          <w:tcPr>
            <w:tcW w:w="1004" w:type="pct"/>
            <w:hideMark/>
          </w:tcPr>
          <w:p w14:paraId="079C7E4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0.853**</w:t>
            </w:r>
          </w:p>
        </w:tc>
      </w:tr>
      <w:tr w:rsidR="0058077E" w:rsidRPr="0058077E" w14:paraId="5E8760F5" w14:textId="77777777" w:rsidTr="0058077E">
        <w:tc>
          <w:tcPr>
            <w:tcW w:w="1190" w:type="pct"/>
            <w:hideMark/>
          </w:tcPr>
          <w:p w14:paraId="6DBFB8FA"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F284F2C"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78722AAA"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20</w:t>
            </w:r>
          </w:p>
        </w:tc>
        <w:tc>
          <w:tcPr>
            <w:tcW w:w="1004" w:type="pct"/>
            <w:hideMark/>
          </w:tcPr>
          <w:p w14:paraId="4EDBBA50"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0.838**</w:t>
            </w:r>
          </w:p>
        </w:tc>
      </w:tr>
      <w:tr w:rsidR="0058077E" w:rsidRPr="0058077E" w14:paraId="4B6C02C7" w14:textId="77777777" w:rsidTr="0058077E">
        <w:tc>
          <w:tcPr>
            <w:tcW w:w="1190" w:type="pct"/>
            <w:hideMark/>
          </w:tcPr>
          <w:p w14:paraId="0A9F854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الاستقرار الوظيفي</w:t>
            </w:r>
          </w:p>
        </w:tc>
        <w:tc>
          <w:tcPr>
            <w:tcW w:w="2328" w:type="pct"/>
            <w:hideMark/>
          </w:tcPr>
          <w:p w14:paraId="24C99CD6"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الأمان الوظيفي</w:t>
            </w:r>
          </w:p>
        </w:tc>
        <w:tc>
          <w:tcPr>
            <w:tcW w:w="477" w:type="pct"/>
            <w:hideMark/>
          </w:tcPr>
          <w:p w14:paraId="65928A9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21</w:t>
            </w:r>
          </w:p>
        </w:tc>
        <w:tc>
          <w:tcPr>
            <w:tcW w:w="1004" w:type="pct"/>
            <w:hideMark/>
          </w:tcPr>
          <w:p w14:paraId="41DCB72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0.748**</w:t>
            </w:r>
          </w:p>
        </w:tc>
      </w:tr>
      <w:tr w:rsidR="0058077E" w:rsidRPr="0058077E" w14:paraId="59A5BBEE" w14:textId="77777777" w:rsidTr="0058077E">
        <w:tc>
          <w:tcPr>
            <w:tcW w:w="1190" w:type="pct"/>
            <w:hideMark/>
          </w:tcPr>
          <w:p w14:paraId="09B3666F"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26D7782"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7C8E7F21"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22</w:t>
            </w:r>
          </w:p>
        </w:tc>
        <w:tc>
          <w:tcPr>
            <w:tcW w:w="1004" w:type="pct"/>
            <w:hideMark/>
          </w:tcPr>
          <w:p w14:paraId="01B00B14"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0.836**</w:t>
            </w:r>
          </w:p>
        </w:tc>
      </w:tr>
      <w:tr w:rsidR="0058077E" w:rsidRPr="0058077E" w14:paraId="0247A34E" w14:textId="77777777" w:rsidTr="0058077E">
        <w:tc>
          <w:tcPr>
            <w:tcW w:w="1190" w:type="pct"/>
            <w:hideMark/>
          </w:tcPr>
          <w:p w14:paraId="4627861C"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550B92F"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34DD382F"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23</w:t>
            </w:r>
          </w:p>
        </w:tc>
        <w:tc>
          <w:tcPr>
            <w:tcW w:w="1004" w:type="pct"/>
            <w:hideMark/>
          </w:tcPr>
          <w:p w14:paraId="25C14382"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0.871**</w:t>
            </w:r>
          </w:p>
        </w:tc>
      </w:tr>
      <w:tr w:rsidR="0058077E" w:rsidRPr="0058077E" w14:paraId="08552534" w14:textId="77777777" w:rsidTr="0058077E">
        <w:tc>
          <w:tcPr>
            <w:tcW w:w="1190" w:type="pct"/>
            <w:hideMark/>
          </w:tcPr>
          <w:p w14:paraId="115088FB"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59A3CE04"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7C234F3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24</w:t>
            </w:r>
          </w:p>
        </w:tc>
        <w:tc>
          <w:tcPr>
            <w:tcW w:w="1004" w:type="pct"/>
            <w:hideMark/>
          </w:tcPr>
          <w:p w14:paraId="71A2A9B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0.814**</w:t>
            </w:r>
          </w:p>
        </w:tc>
      </w:tr>
      <w:tr w:rsidR="0058077E" w:rsidRPr="0058077E" w14:paraId="0DD3ACA2" w14:textId="77777777" w:rsidTr="0058077E">
        <w:tc>
          <w:tcPr>
            <w:tcW w:w="1190" w:type="pct"/>
            <w:hideMark/>
          </w:tcPr>
          <w:p w14:paraId="4580E207"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C6C11D6"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58F54324"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25</w:t>
            </w:r>
          </w:p>
        </w:tc>
        <w:tc>
          <w:tcPr>
            <w:tcW w:w="1004" w:type="pct"/>
            <w:hideMark/>
          </w:tcPr>
          <w:p w14:paraId="541D946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0.842**</w:t>
            </w:r>
          </w:p>
        </w:tc>
      </w:tr>
      <w:tr w:rsidR="0058077E" w:rsidRPr="0058077E" w14:paraId="75FD991A" w14:textId="77777777" w:rsidTr="0058077E">
        <w:tc>
          <w:tcPr>
            <w:tcW w:w="1190" w:type="pct"/>
            <w:hideMark/>
          </w:tcPr>
          <w:p w14:paraId="0C927B93"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A9B7D22"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الرضا الوظيفي</w:t>
            </w:r>
          </w:p>
        </w:tc>
        <w:tc>
          <w:tcPr>
            <w:tcW w:w="477" w:type="pct"/>
            <w:hideMark/>
          </w:tcPr>
          <w:p w14:paraId="6A1C6D2C"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26</w:t>
            </w:r>
          </w:p>
        </w:tc>
        <w:tc>
          <w:tcPr>
            <w:tcW w:w="1004" w:type="pct"/>
            <w:hideMark/>
          </w:tcPr>
          <w:p w14:paraId="5F95196F"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0.761**</w:t>
            </w:r>
          </w:p>
        </w:tc>
      </w:tr>
      <w:tr w:rsidR="0058077E" w:rsidRPr="0058077E" w14:paraId="1E99E4F9" w14:textId="77777777" w:rsidTr="0058077E">
        <w:tc>
          <w:tcPr>
            <w:tcW w:w="1190" w:type="pct"/>
            <w:hideMark/>
          </w:tcPr>
          <w:p w14:paraId="1CE77C39"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7956142"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38C116EA"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27</w:t>
            </w:r>
          </w:p>
        </w:tc>
        <w:tc>
          <w:tcPr>
            <w:tcW w:w="1004" w:type="pct"/>
            <w:hideMark/>
          </w:tcPr>
          <w:p w14:paraId="6298E519"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0.847**</w:t>
            </w:r>
          </w:p>
        </w:tc>
      </w:tr>
      <w:tr w:rsidR="0058077E" w:rsidRPr="0058077E" w14:paraId="64A18DB6" w14:textId="77777777" w:rsidTr="0058077E">
        <w:tc>
          <w:tcPr>
            <w:tcW w:w="1190" w:type="pct"/>
            <w:hideMark/>
          </w:tcPr>
          <w:p w14:paraId="10F1E5B9"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2B06A5B4"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390FA669"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28</w:t>
            </w:r>
          </w:p>
        </w:tc>
        <w:tc>
          <w:tcPr>
            <w:tcW w:w="1004" w:type="pct"/>
            <w:hideMark/>
          </w:tcPr>
          <w:p w14:paraId="286FD094"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0.876**</w:t>
            </w:r>
          </w:p>
        </w:tc>
      </w:tr>
      <w:tr w:rsidR="0058077E" w:rsidRPr="0058077E" w14:paraId="43EAA3DA" w14:textId="77777777" w:rsidTr="0058077E">
        <w:tc>
          <w:tcPr>
            <w:tcW w:w="1190" w:type="pct"/>
            <w:hideMark/>
          </w:tcPr>
          <w:p w14:paraId="24C6780E"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CF86B01"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112DEED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29</w:t>
            </w:r>
          </w:p>
        </w:tc>
        <w:tc>
          <w:tcPr>
            <w:tcW w:w="1004" w:type="pct"/>
            <w:hideMark/>
          </w:tcPr>
          <w:p w14:paraId="2A316489"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0.829**</w:t>
            </w:r>
          </w:p>
        </w:tc>
      </w:tr>
      <w:tr w:rsidR="0058077E" w:rsidRPr="0058077E" w14:paraId="2060B59A" w14:textId="77777777" w:rsidTr="0058077E">
        <w:tc>
          <w:tcPr>
            <w:tcW w:w="1190" w:type="pct"/>
            <w:hideMark/>
          </w:tcPr>
          <w:p w14:paraId="1B9CB1FF"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5654845"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7992679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30</w:t>
            </w:r>
          </w:p>
        </w:tc>
        <w:tc>
          <w:tcPr>
            <w:tcW w:w="1004" w:type="pct"/>
            <w:hideMark/>
          </w:tcPr>
          <w:p w14:paraId="009CF49C"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0.853**</w:t>
            </w:r>
          </w:p>
        </w:tc>
      </w:tr>
      <w:tr w:rsidR="0058077E" w:rsidRPr="0058077E" w14:paraId="01C6C170" w14:textId="77777777" w:rsidTr="0058077E">
        <w:tc>
          <w:tcPr>
            <w:tcW w:w="1190" w:type="pct"/>
            <w:hideMark/>
          </w:tcPr>
          <w:p w14:paraId="39239FE0"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26B92BE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الالتزام التنظيمي</w:t>
            </w:r>
          </w:p>
        </w:tc>
        <w:tc>
          <w:tcPr>
            <w:tcW w:w="477" w:type="pct"/>
            <w:hideMark/>
          </w:tcPr>
          <w:p w14:paraId="28D719A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31</w:t>
            </w:r>
          </w:p>
        </w:tc>
        <w:tc>
          <w:tcPr>
            <w:tcW w:w="1004" w:type="pct"/>
            <w:hideMark/>
          </w:tcPr>
          <w:p w14:paraId="5EFF435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0.773**</w:t>
            </w:r>
          </w:p>
        </w:tc>
      </w:tr>
      <w:tr w:rsidR="0058077E" w:rsidRPr="0058077E" w14:paraId="7E85AF12" w14:textId="77777777" w:rsidTr="0058077E">
        <w:tc>
          <w:tcPr>
            <w:tcW w:w="1190" w:type="pct"/>
            <w:hideMark/>
          </w:tcPr>
          <w:p w14:paraId="40F7A9F3"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83F94F6"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3A428F5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32</w:t>
            </w:r>
          </w:p>
        </w:tc>
        <w:tc>
          <w:tcPr>
            <w:tcW w:w="1004" w:type="pct"/>
            <w:hideMark/>
          </w:tcPr>
          <w:p w14:paraId="2682AF24"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0.839**</w:t>
            </w:r>
          </w:p>
        </w:tc>
      </w:tr>
      <w:tr w:rsidR="0058077E" w:rsidRPr="0058077E" w14:paraId="1FAEA846" w14:textId="77777777" w:rsidTr="0058077E">
        <w:tc>
          <w:tcPr>
            <w:tcW w:w="1190" w:type="pct"/>
            <w:hideMark/>
          </w:tcPr>
          <w:p w14:paraId="699A522D"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04F864D"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65E01EC6"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33</w:t>
            </w:r>
          </w:p>
        </w:tc>
        <w:tc>
          <w:tcPr>
            <w:tcW w:w="1004" w:type="pct"/>
            <w:hideMark/>
          </w:tcPr>
          <w:p w14:paraId="620973DC"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0.882**</w:t>
            </w:r>
          </w:p>
        </w:tc>
      </w:tr>
      <w:tr w:rsidR="0058077E" w:rsidRPr="0058077E" w14:paraId="4C68AF2A" w14:textId="77777777" w:rsidTr="0058077E">
        <w:tc>
          <w:tcPr>
            <w:tcW w:w="1190" w:type="pct"/>
            <w:hideMark/>
          </w:tcPr>
          <w:p w14:paraId="0A7A47BF"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101F145A"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135C6962"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34</w:t>
            </w:r>
          </w:p>
        </w:tc>
        <w:tc>
          <w:tcPr>
            <w:tcW w:w="1004" w:type="pct"/>
            <w:hideMark/>
          </w:tcPr>
          <w:p w14:paraId="5B43A04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0.846**</w:t>
            </w:r>
          </w:p>
        </w:tc>
      </w:tr>
      <w:tr w:rsidR="0058077E" w:rsidRPr="0058077E" w14:paraId="618E0416" w14:textId="77777777" w:rsidTr="0058077E">
        <w:tc>
          <w:tcPr>
            <w:tcW w:w="1190" w:type="pct"/>
            <w:hideMark/>
          </w:tcPr>
          <w:p w14:paraId="6714C342"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2293B57D"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17A62F3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35</w:t>
            </w:r>
          </w:p>
        </w:tc>
        <w:tc>
          <w:tcPr>
            <w:tcW w:w="1004" w:type="pct"/>
            <w:hideMark/>
          </w:tcPr>
          <w:p w14:paraId="5D6E0A4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0.861**</w:t>
            </w:r>
          </w:p>
        </w:tc>
      </w:tr>
    </w:tbl>
    <w:p w14:paraId="203FB136" w14:textId="77777777" w:rsidR="0058077E" w:rsidRPr="0058077E" w:rsidRDefault="0058077E" w:rsidP="00D954DC">
      <w:pPr>
        <w:bidi/>
        <w:spacing w:after="0" w:line="24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دلالة إحصائية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w:t>
      </w:r>
    </w:p>
    <w:p w14:paraId="467E29B3" w14:textId="77777777" w:rsidR="00D954DC" w:rsidRDefault="00D954DC" w:rsidP="0058077E">
      <w:pPr>
        <w:bidi/>
        <w:spacing w:line="360" w:lineRule="auto"/>
        <w:jc w:val="both"/>
        <w:rPr>
          <w:rFonts w:ascii="Traditional Arabic" w:hAnsi="Traditional Arabic" w:cs="Traditional Arabic"/>
          <w:sz w:val="32"/>
          <w:szCs w:val="32"/>
          <w:rtl/>
          <w:lang w:val="en-US"/>
        </w:rPr>
      </w:pPr>
    </w:p>
    <w:p w14:paraId="7112A3FF" w14:textId="77777777" w:rsidR="0058077E" w:rsidRDefault="0058077E" w:rsidP="00D954DC">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يتضح من نتائج جدول (3-4) أن معاملات ارتباط بيرسون بين فقرات الاستبانة والدرجة الكلية للأبعاد التي تنتمي إليها تراوحت بين (0.714–0.891)، وجميعها معاملات ارتباط موجبة ودالة إحصائيًا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وهو ما يدل على وجود درجة مرتفعة من الاتساق الداخلي بين الفقرات وأبعادها، ويؤكد صلاحية جميع فقرات الاستبانة لقياس الأبعاد التي أُعدت لقياسها، ومن ثم الإبقاء عليها في الصورة النهائية لأداة الدراسة.</w:t>
      </w:r>
    </w:p>
    <w:p w14:paraId="732A6405" w14:textId="77777777" w:rsidR="00D954DC" w:rsidRPr="0058077E" w:rsidRDefault="00D954DC" w:rsidP="00D954DC">
      <w:pPr>
        <w:bidi/>
        <w:spacing w:line="360" w:lineRule="auto"/>
        <w:jc w:val="both"/>
        <w:rPr>
          <w:rFonts w:ascii="Traditional Arabic" w:hAnsi="Traditional Arabic" w:cs="Traditional Arabic"/>
          <w:sz w:val="32"/>
          <w:szCs w:val="32"/>
          <w:lang w:val="en-US"/>
        </w:rPr>
      </w:pPr>
    </w:p>
    <w:p w14:paraId="3C4C13B8" w14:textId="77777777" w:rsidR="0058077E" w:rsidRPr="0058077E" w:rsidRDefault="0058077E" w:rsidP="0058077E">
      <w:pPr>
        <w:bidi/>
        <w:spacing w:line="360" w:lineRule="auto"/>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ثالثاً: معاملات ارتباط أبعاد الدراسة بالدرجة الكلية للاستبانة</w:t>
      </w:r>
    </w:p>
    <w:p w14:paraId="4D9D5614"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ولتعزيز التحقق من صدق البناء، حُسبت معاملات ارتباط بيرسون بين الدرجة الكلية لكل بعد والدرجة الكلية للاستبانة، وذلك للتحقق من مدى إسهام كل بعد في قياس المتغير الذي ينتمي إليه، ومدى اتساق أبعاد الدراسة مع البناء النظري الذي استندت إليه الدراسة</w:t>
      </w:r>
      <w:r w:rsidRPr="0058077E">
        <w:rPr>
          <w:rFonts w:ascii="Traditional Arabic" w:hAnsi="Traditional Arabic" w:cs="Traditional Arabic"/>
          <w:sz w:val="32"/>
          <w:szCs w:val="32"/>
          <w:lang w:val="en-US"/>
        </w:rPr>
        <w:t>.</w:t>
      </w:r>
    </w:p>
    <w:p w14:paraId="27FC2E1C"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ويشير</w:t>
      </w:r>
      <w:r w:rsidRPr="0058077E">
        <w:rPr>
          <w:rFonts w:ascii="Traditional Arabic" w:hAnsi="Traditional Arabic" w:cs="Traditional Arabic"/>
          <w:sz w:val="32"/>
          <w:szCs w:val="32"/>
          <w:lang w:val="en-US"/>
        </w:rPr>
        <w:t xml:space="preserve"> Hair et al. (2022) </w:t>
      </w:r>
      <w:r w:rsidRPr="0058077E">
        <w:rPr>
          <w:rFonts w:ascii="Traditional Arabic" w:hAnsi="Traditional Arabic" w:cs="Traditional Arabic"/>
          <w:sz w:val="32"/>
          <w:szCs w:val="32"/>
          <w:rtl/>
          <w:lang w:val="en-US"/>
        </w:rPr>
        <w:t>إلى أن معاملات الارتباط المرتفعة والدالة إحصائيًا بين الأبعاد والدرجة الكلية للأداة تعد مؤشرًا على تمتع الأداة بدرجة مرتفعة من صدق البناء، كما تعكس اتساق الأبعاد في قياس المتغيرات المستهدفة</w:t>
      </w:r>
      <w:r w:rsidRPr="0058077E">
        <w:rPr>
          <w:rFonts w:ascii="Traditional Arabic" w:hAnsi="Traditional Arabic" w:cs="Traditional Arabic"/>
          <w:sz w:val="32"/>
          <w:szCs w:val="32"/>
          <w:lang w:val="en-US"/>
        </w:rPr>
        <w:t>.</w:t>
      </w:r>
    </w:p>
    <w:p w14:paraId="1081B0C8"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وقد أظهرت نتائج التحليل الإحصائي أن جميع معاملات الارتباط جاءت موجبة ومرتفعة ودالة إحصائيًا عند مستوى الدلالة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مما يؤكد أن جميع أبعاد الدراسة ترتبط ارتباطًا قويًا بالدرجة الكلية للاستبانة</w:t>
      </w:r>
      <w:r w:rsidRPr="0058077E">
        <w:rPr>
          <w:rFonts w:ascii="Traditional Arabic" w:hAnsi="Traditional Arabic" w:cs="Traditional Arabic"/>
          <w:sz w:val="32"/>
          <w:szCs w:val="32"/>
          <w:lang w:val="en-US"/>
        </w:rPr>
        <w:t>.</w:t>
      </w:r>
    </w:p>
    <w:p w14:paraId="5A679C81" w14:textId="77777777" w:rsidR="0058077E" w:rsidRPr="0058077E" w:rsidRDefault="0058077E" w:rsidP="00E30AB8">
      <w:pPr>
        <w:bidi/>
        <w:spacing w:line="240" w:lineRule="auto"/>
        <w:jc w:val="center"/>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جدول (3-5) معاملات ارتباط بيرسون بين أبعاد الدراسة والدرجة الكلية للاستبانة</w:t>
      </w:r>
    </w:p>
    <w:tbl>
      <w:tblPr>
        <w:tblStyle w:val="TableGrid"/>
        <w:bidiVisual/>
        <w:tblW w:w="5000" w:type="pct"/>
        <w:tblLook w:val="04A0" w:firstRow="1" w:lastRow="0" w:firstColumn="1" w:lastColumn="0" w:noHBand="0" w:noVBand="1"/>
      </w:tblPr>
      <w:tblGrid>
        <w:gridCol w:w="2009"/>
        <w:gridCol w:w="3929"/>
        <w:gridCol w:w="1696"/>
        <w:gridCol w:w="1703"/>
      </w:tblGrid>
      <w:tr w:rsidR="0058077E" w:rsidRPr="0058077E" w14:paraId="510BC703" w14:textId="77777777" w:rsidTr="0058077E">
        <w:tc>
          <w:tcPr>
            <w:tcW w:w="1076" w:type="pct"/>
            <w:hideMark/>
          </w:tcPr>
          <w:p w14:paraId="53EBF560"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المتغير</w:t>
            </w:r>
          </w:p>
        </w:tc>
        <w:tc>
          <w:tcPr>
            <w:tcW w:w="2104" w:type="pct"/>
            <w:hideMark/>
          </w:tcPr>
          <w:p w14:paraId="1E314F06"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البعد</w:t>
            </w:r>
          </w:p>
        </w:tc>
        <w:tc>
          <w:tcPr>
            <w:tcW w:w="908" w:type="pct"/>
            <w:hideMark/>
          </w:tcPr>
          <w:p w14:paraId="64B16947"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معامل الارتباط</w:t>
            </w:r>
          </w:p>
        </w:tc>
        <w:tc>
          <w:tcPr>
            <w:tcW w:w="912" w:type="pct"/>
            <w:hideMark/>
          </w:tcPr>
          <w:p w14:paraId="0520A94E"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مستوى الدلالة</w:t>
            </w:r>
          </w:p>
        </w:tc>
      </w:tr>
      <w:tr w:rsidR="0058077E" w:rsidRPr="0058077E" w14:paraId="108757D1" w14:textId="77777777" w:rsidTr="0058077E">
        <w:tc>
          <w:tcPr>
            <w:tcW w:w="1076" w:type="pct"/>
            <w:hideMark/>
          </w:tcPr>
          <w:p w14:paraId="4BDEA85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التحول الرقمي</w:t>
            </w:r>
          </w:p>
        </w:tc>
        <w:tc>
          <w:tcPr>
            <w:tcW w:w="2104" w:type="pct"/>
            <w:hideMark/>
          </w:tcPr>
          <w:p w14:paraId="37ECDAD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البنية التحتية الرقمية والتقنيات الرقمية</w:t>
            </w:r>
          </w:p>
        </w:tc>
        <w:tc>
          <w:tcPr>
            <w:tcW w:w="908" w:type="pct"/>
            <w:hideMark/>
          </w:tcPr>
          <w:p w14:paraId="149322C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0.913**</w:t>
            </w:r>
          </w:p>
        </w:tc>
        <w:tc>
          <w:tcPr>
            <w:tcW w:w="912" w:type="pct"/>
            <w:hideMark/>
          </w:tcPr>
          <w:p w14:paraId="6BAABFA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08C5C001" w14:textId="77777777" w:rsidTr="0058077E">
        <w:tc>
          <w:tcPr>
            <w:tcW w:w="1076" w:type="pct"/>
            <w:hideMark/>
          </w:tcPr>
          <w:p w14:paraId="3340A0DA"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5167A05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الكفاءة الرقمية للموظفين</w:t>
            </w:r>
          </w:p>
        </w:tc>
        <w:tc>
          <w:tcPr>
            <w:tcW w:w="908" w:type="pct"/>
            <w:hideMark/>
          </w:tcPr>
          <w:p w14:paraId="0F7E041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0.926**</w:t>
            </w:r>
          </w:p>
        </w:tc>
        <w:tc>
          <w:tcPr>
            <w:tcW w:w="912" w:type="pct"/>
            <w:hideMark/>
          </w:tcPr>
          <w:p w14:paraId="706FB6D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12615110" w14:textId="77777777" w:rsidTr="0058077E">
        <w:tc>
          <w:tcPr>
            <w:tcW w:w="1076" w:type="pct"/>
            <w:hideMark/>
          </w:tcPr>
          <w:p w14:paraId="2563A9E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7B78C31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تكامل الأنظمة الرقمية وعمليات الرقمنة</w:t>
            </w:r>
          </w:p>
        </w:tc>
        <w:tc>
          <w:tcPr>
            <w:tcW w:w="908" w:type="pct"/>
            <w:hideMark/>
          </w:tcPr>
          <w:p w14:paraId="62E1964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0.941**</w:t>
            </w:r>
          </w:p>
        </w:tc>
        <w:tc>
          <w:tcPr>
            <w:tcW w:w="912" w:type="pct"/>
            <w:hideMark/>
          </w:tcPr>
          <w:p w14:paraId="034F4045"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58EAF6CC" w14:textId="77777777" w:rsidTr="0058077E">
        <w:tc>
          <w:tcPr>
            <w:tcW w:w="1076" w:type="pct"/>
            <w:hideMark/>
          </w:tcPr>
          <w:p w14:paraId="3A6F9CE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66E3C68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الأمن وحماية البيانات الرقمية</w:t>
            </w:r>
          </w:p>
        </w:tc>
        <w:tc>
          <w:tcPr>
            <w:tcW w:w="908" w:type="pct"/>
            <w:hideMark/>
          </w:tcPr>
          <w:p w14:paraId="4B43024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0.918**</w:t>
            </w:r>
          </w:p>
        </w:tc>
        <w:tc>
          <w:tcPr>
            <w:tcW w:w="912" w:type="pct"/>
            <w:hideMark/>
          </w:tcPr>
          <w:p w14:paraId="64BA44B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69AFA250" w14:textId="77777777" w:rsidTr="0058077E">
        <w:tc>
          <w:tcPr>
            <w:tcW w:w="1076" w:type="pct"/>
            <w:hideMark/>
          </w:tcPr>
          <w:p w14:paraId="490AD38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الاستقرار الوظيفي</w:t>
            </w:r>
          </w:p>
        </w:tc>
        <w:tc>
          <w:tcPr>
            <w:tcW w:w="2104" w:type="pct"/>
            <w:hideMark/>
          </w:tcPr>
          <w:p w14:paraId="3F623065"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الأمان الوظيفي</w:t>
            </w:r>
          </w:p>
        </w:tc>
        <w:tc>
          <w:tcPr>
            <w:tcW w:w="908" w:type="pct"/>
            <w:hideMark/>
          </w:tcPr>
          <w:p w14:paraId="34E775A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0.904**</w:t>
            </w:r>
          </w:p>
        </w:tc>
        <w:tc>
          <w:tcPr>
            <w:tcW w:w="912" w:type="pct"/>
            <w:hideMark/>
          </w:tcPr>
          <w:p w14:paraId="2E9A1F4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6CE2752E" w14:textId="77777777" w:rsidTr="0058077E">
        <w:tc>
          <w:tcPr>
            <w:tcW w:w="1076" w:type="pct"/>
            <w:hideMark/>
          </w:tcPr>
          <w:p w14:paraId="11F2D2FF"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2B9544C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الرضا الوظيفي</w:t>
            </w:r>
          </w:p>
        </w:tc>
        <w:tc>
          <w:tcPr>
            <w:tcW w:w="908" w:type="pct"/>
            <w:hideMark/>
          </w:tcPr>
          <w:p w14:paraId="187B318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0.932**</w:t>
            </w:r>
          </w:p>
        </w:tc>
        <w:tc>
          <w:tcPr>
            <w:tcW w:w="912" w:type="pct"/>
            <w:hideMark/>
          </w:tcPr>
          <w:p w14:paraId="4926B45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7FC999FB" w14:textId="77777777" w:rsidTr="0058077E">
        <w:tc>
          <w:tcPr>
            <w:tcW w:w="1076" w:type="pct"/>
            <w:hideMark/>
          </w:tcPr>
          <w:p w14:paraId="46B6494A"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5A26852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الالتزام التنظيمي</w:t>
            </w:r>
          </w:p>
        </w:tc>
        <w:tc>
          <w:tcPr>
            <w:tcW w:w="908" w:type="pct"/>
            <w:hideMark/>
          </w:tcPr>
          <w:p w14:paraId="12CF313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0.915**</w:t>
            </w:r>
          </w:p>
        </w:tc>
        <w:tc>
          <w:tcPr>
            <w:tcW w:w="912" w:type="pct"/>
            <w:hideMark/>
          </w:tcPr>
          <w:p w14:paraId="31A0C59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bl>
    <w:p w14:paraId="742527BE" w14:textId="77777777" w:rsid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دلالة إحصائية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w:t>
      </w:r>
    </w:p>
    <w:p w14:paraId="5072A413" w14:textId="77777777" w:rsidR="0058077E" w:rsidRP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يتضح من جدول (3-5) أن معاملات ارتباط أبعاد التحول الرقمي بالدرجة الكلية للاستبانة تراوحت بين (0.913–0.941)، في حين تراوحت معاملات ارتباط أبعاد الاستقرار الوظيفي بالدرجة الكلية للاستبانة بين (0.904–0.932)، وجميعها معاملات ارتباط موجبة ومرتفعة ودالة إحصائيًا عند مستوى</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p>
    <w:p w14:paraId="590D5713" w14:textId="77777777" w:rsid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وتشير هذه النتائج إلى أن جميع الأبعاد تسهم بصورة فاعلة في قياس المتغيرات التي تنتمي إليها، كما تعكس وجود اتساق بنائي مرتفع بين الأبعاد والدرجة الكلية للاستبانة، الأمر الذي يؤكد تمتع الأداة بدرجة عالية من صدق البناء وصلاحيتها للتطبيق على عينة الدراسة.</w:t>
      </w:r>
    </w:p>
    <w:p w14:paraId="6FD25C80"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وبناءً على نتائج الصدق الظاهري وصدق البناء، يتبين أن الاستبانة تتمتع بدرجة مرتفعة من الصدق، سواء من حيث مناسبة فقراتها لقياس متغيرات الدراسة، أو من حيث الاتساق الداخلي بين الفقرات والأبعاد والدرجة الكلية للأداة، مما يؤكد صلاحيتها للاستخدام في الدراسة الحالية، ويعزز الثقة في النتائج التي سيتم التوصل إليها عند تطبيقها على عينة الدراسة</w:t>
      </w:r>
      <w:r w:rsidRPr="0058077E">
        <w:rPr>
          <w:rFonts w:ascii="Traditional Arabic" w:hAnsi="Traditional Arabic" w:cs="Traditional Arabic"/>
          <w:sz w:val="32"/>
          <w:szCs w:val="32"/>
          <w:lang w:val="en-US"/>
        </w:rPr>
        <w:t>.</w:t>
      </w:r>
    </w:p>
    <w:p w14:paraId="74338A37"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3.9 ثبات أداة الدراسة</w:t>
      </w:r>
    </w:p>
    <w:p w14:paraId="784A5996" w14:textId="77777777" w:rsidR="00E30AB8" w:rsidRPr="00E30AB8" w:rsidRDefault="00E30AB8" w:rsidP="00234504">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يشير الثبات</w:t>
      </w:r>
      <w:r w:rsidRPr="00E30AB8">
        <w:rPr>
          <w:rFonts w:ascii="Traditional Arabic" w:hAnsi="Traditional Arabic" w:cs="Traditional Arabic"/>
          <w:sz w:val="32"/>
          <w:szCs w:val="32"/>
          <w:lang w:val="en-US"/>
        </w:rPr>
        <w:t xml:space="preserve"> (Reliability) </w:t>
      </w:r>
      <w:r w:rsidRPr="00E30AB8">
        <w:rPr>
          <w:rFonts w:ascii="Traditional Arabic" w:hAnsi="Traditional Arabic" w:cs="Traditional Arabic"/>
          <w:sz w:val="32"/>
          <w:szCs w:val="32"/>
          <w:rtl/>
          <w:lang w:val="en-US"/>
        </w:rPr>
        <w:t xml:space="preserve">إلى مدى اتساق أداة القياس في قياس الظاهرة محل الدراسة، وقدرتها على إعطاء نتائج متقاربة عند إعادة تطبيقها في ظروف متشابهة. ويُعد الثبات من الخصائص الأساسية التي ينبغي توافرها في أدوات القياس، إذ يسهم في </w:t>
      </w:r>
      <w:r w:rsidR="00234504" w:rsidRPr="00234504">
        <w:rPr>
          <w:rFonts w:ascii="Traditional Arabic" w:hAnsi="Traditional Arabic" w:cs="Traditional Arabic"/>
          <w:sz w:val="32"/>
          <w:szCs w:val="32"/>
          <w:rtl/>
          <w:lang w:val="en-US"/>
        </w:rPr>
        <w:t xml:space="preserve">تعزيز دقة النتائج وإمكانية الاعتماد عليها في تفسير الظاهرة المدروسة. ويؤكد </w:t>
      </w:r>
      <w:r w:rsidR="00234504" w:rsidRPr="00234504">
        <w:rPr>
          <w:rFonts w:ascii="Traditional Arabic" w:hAnsi="Traditional Arabic" w:cs="Traditional Arabic"/>
          <w:sz w:val="32"/>
          <w:szCs w:val="32"/>
          <w:lang w:val="en-US"/>
        </w:rPr>
        <w:t>Hair et al. (2022</w:t>
      </w:r>
      <w:r w:rsidR="00234504" w:rsidRPr="00234504">
        <w:rPr>
          <w:rFonts w:ascii="Traditional Arabic" w:hAnsi="Traditional Arabic" w:cs="Traditional Arabic"/>
          <w:sz w:val="32"/>
          <w:szCs w:val="32"/>
          <w:rtl/>
          <w:lang w:val="en-US"/>
        </w:rPr>
        <w:t xml:space="preserve">) أن ارتفاع معاملات الثبات يعكس اتساقًا داخليًا مرتفعًا بين فقرات الأداة، في حين يشير </w:t>
      </w:r>
      <w:r w:rsidR="00234504" w:rsidRPr="00234504">
        <w:rPr>
          <w:rFonts w:ascii="Traditional Arabic" w:hAnsi="Traditional Arabic" w:cs="Traditional Arabic"/>
          <w:sz w:val="32"/>
          <w:szCs w:val="32"/>
          <w:lang w:val="en-US"/>
        </w:rPr>
        <w:t>Creswell and Creswell (2023</w:t>
      </w:r>
      <w:r w:rsidR="00234504" w:rsidRPr="00234504">
        <w:rPr>
          <w:rFonts w:ascii="Traditional Arabic" w:hAnsi="Traditional Arabic" w:cs="Traditional Arabic"/>
          <w:sz w:val="32"/>
          <w:szCs w:val="32"/>
          <w:rtl/>
          <w:lang w:val="en-US"/>
        </w:rPr>
        <w:t xml:space="preserve">) إلى </w:t>
      </w:r>
      <w:r w:rsidRPr="00E30AB8">
        <w:rPr>
          <w:rFonts w:ascii="Traditional Arabic" w:hAnsi="Traditional Arabic" w:cs="Traditional Arabic"/>
          <w:sz w:val="32"/>
          <w:szCs w:val="32"/>
          <w:rtl/>
          <w:lang w:val="en-US"/>
        </w:rPr>
        <w:t>أن التحقق من ثبات أدوات القياس يمثل خطوة أساسية قبل تطبيقها على العينة الأساسية.</w:t>
      </w:r>
    </w:p>
    <w:p w14:paraId="575BC833"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وللتحقق من ثبات أداة الدراسة، استخدم الباحث معامل كرونباخ ألفا (</w:t>
      </w:r>
      <w:r w:rsidRPr="00E30AB8">
        <w:rPr>
          <w:rFonts w:ascii="Traditional Arabic" w:hAnsi="Traditional Arabic" w:cs="Traditional Arabic"/>
          <w:sz w:val="32"/>
          <w:szCs w:val="32"/>
          <w:lang w:val="en-US"/>
        </w:rPr>
        <w:t>Cronbach's Alpha</w:t>
      </w:r>
      <w:r w:rsidRPr="00E30AB8">
        <w:rPr>
          <w:rFonts w:ascii="Traditional Arabic" w:hAnsi="Traditional Arabic" w:cs="Traditional Arabic"/>
          <w:sz w:val="32"/>
          <w:szCs w:val="32"/>
          <w:rtl/>
          <w:lang w:val="en-US"/>
        </w:rPr>
        <w:t>) لقياس درجة الاتساق الداخلي بين فقرات كل بعد من أبعاد الدراسة، إضافة إلى حساب معامل الثبات الكلي لكل متغير، وللاستبانة ككل، وذلك بالاعتماد على بيانات العينة الاستطلاعية البالغ عددها (30) مفردة من خارج عينة الدراسة الأساسية.</w:t>
      </w:r>
    </w:p>
    <w:p w14:paraId="771C3E57" w14:textId="77777777" w:rsidR="00E30AB8" w:rsidRDefault="00E30AB8" w:rsidP="00E30AB8">
      <w:pPr>
        <w:bidi/>
        <w:spacing w:line="360" w:lineRule="auto"/>
        <w:jc w:val="both"/>
        <w:rPr>
          <w:rFonts w:ascii="Traditional Arabic" w:hAnsi="Traditional Arabic" w:cs="Traditional Arabic"/>
          <w:sz w:val="32"/>
          <w:szCs w:val="32"/>
          <w:rtl/>
          <w:lang w:val="en-US"/>
        </w:rPr>
      </w:pPr>
      <w:r w:rsidRPr="00E30AB8">
        <w:rPr>
          <w:rFonts w:ascii="Traditional Arabic" w:hAnsi="Traditional Arabic" w:cs="Traditional Arabic"/>
          <w:sz w:val="32"/>
          <w:szCs w:val="32"/>
          <w:rtl/>
          <w:lang w:val="en-US"/>
        </w:rPr>
        <w:t xml:space="preserve">ويشير </w:t>
      </w:r>
      <w:r>
        <w:rPr>
          <w:rFonts w:ascii="Traditional Arabic" w:hAnsi="Traditional Arabic" w:cs="Traditional Arabic" w:hint="cs"/>
          <w:sz w:val="32"/>
          <w:szCs w:val="32"/>
          <w:rtl/>
          <w:lang w:val="en-US"/>
        </w:rPr>
        <w:t>(</w:t>
      </w:r>
      <w:r w:rsidRPr="00E30AB8">
        <w:rPr>
          <w:rFonts w:ascii="Traditional Arabic" w:hAnsi="Traditional Arabic" w:cs="Traditional Arabic"/>
          <w:sz w:val="32"/>
          <w:szCs w:val="32"/>
          <w:lang w:val="en-US"/>
        </w:rPr>
        <w:t>Sekaran and Bougie 2020</w:t>
      </w:r>
      <w:r w:rsidRPr="00E30AB8">
        <w:rPr>
          <w:rFonts w:ascii="Traditional Arabic" w:hAnsi="Traditional Arabic" w:cs="Traditional Arabic"/>
          <w:sz w:val="32"/>
          <w:szCs w:val="32"/>
          <w:rtl/>
          <w:lang w:val="en-US"/>
        </w:rPr>
        <w:t>) إلى أن قيمة معامل كرونباخ ألفا التي تزيد على (0.70) تعد مقبولة، بينما تشير القيم التي تتجاوز (0.80) إلى مستوى مرتفع من الثبات، في حين تعكس القيم التي تزيد على (0.90) درجة ممتازة من الاتساق الداخلي.</w:t>
      </w:r>
    </w:p>
    <w:p w14:paraId="11908C70"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وقد أظهرت نتائج التحليل الإحصائي ارتفاع معاملات الثبات لجميع أبعاد الدراسة، كما هو موضح في الجدول (3-6).</w:t>
      </w:r>
    </w:p>
    <w:p w14:paraId="71686FB0" w14:textId="77777777" w:rsidR="00E30AB8" w:rsidRPr="00E30AB8" w:rsidRDefault="00E30AB8" w:rsidP="00E30AB8">
      <w:pPr>
        <w:bidi/>
        <w:spacing w:line="240" w:lineRule="auto"/>
        <w:jc w:val="center"/>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جدول (3-6) معاملات كرونباخ ألفا لأبعاد الدراسة</w:t>
      </w:r>
    </w:p>
    <w:tbl>
      <w:tblPr>
        <w:tblStyle w:val="TableGrid"/>
        <w:bidiVisual/>
        <w:tblW w:w="5000" w:type="pct"/>
        <w:tblLook w:val="04A0" w:firstRow="1" w:lastRow="0" w:firstColumn="1" w:lastColumn="0" w:noHBand="0" w:noVBand="1"/>
      </w:tblPr>
      <w:tblGrid>
        <w:gridCol w:w="2477"/>
        <w:gridCol w:w="3899"/>
        <w:gridCol w:w="1531"/>
        <w:gridCol w:w="1430"/>
      </w:tblGrid>
      <w:tr w:rsidR="00E30AB8" w:rsidRPr="00E30AB8" w14:paraId="5FAE7C82" w14:textId="77777777" w:rsidTr="00E30AB8">
        <w:tc>
          <w:tcPr>
            <w:tcW w:w="1326" w:type="pct"/>
            <w:hideMark/>
          </w:tcPr>
          <w:p w14:paraId="4E91AC52"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المتغير</w:t>
            </w:r>
          </w:p>
        </w:tc>
        <w:tc>
          <w:tcPr>
            <w:tcW w:w="2088" w:type="pct"/>
            <w:hideMark/>
          </w:tcPr>
          <w:p w14:paraId="458CA985"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البعد</w:t>
            </w:r>
          </w:p>
        </w:tc>
        <w:tc>
          <w:tcPr>
            <w:tcW w:w="820" w:type="pct"/>
            <w:hideMark/>
          </w:tcPr>
          <w:p w14:paraId="40502417"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عدد الفقرات</w:t>
            </w:r>
          </w:p>
        </w:tc>
        <w:tc>
          <w:tcPr>
            <w:tcW w:w="766" w:type="pct"/>
            <w:hideMark/>
          </w:tcPr>
          <w:p w14:paraId="5D8558DA"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كرونباخ ألفا</w:t>
            </w:r>
          </w:p>
        </w:tc>
      </w:tr>
      <w:tr w:rsidR="00E30AB8" w:rsidRPr="00E30AB8" w14:paraId="600A7DFD" w14:textId="77777777" w:rsidTr="00E30AB8">
        <w:tc>
          <w:tcPr>
            <w:tcW w:w="1326" w:type="pct"/>
            <w:hideMark/>
          </w:tcPr>
          <w:p w14:paraId="43EB74D9"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التحول الرقمي</w:t>
            </w:r>
          </w:p>
        </w:tc>
        <w:tc>
          <w:tcPr>
            <w:tcW w:w="2088" w:type="pct"/>
            <w:hideMark/>
          </w:tcPr>
          <w:p w14:paraId="3AEE78B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البنية التحتية الرقمية والتقنيات الرقمية</w:t>
            </w:r>
          </w:p>
        </w:tc>
        <w:tc>
          <w:tcPr>
            <w:tcW w:w="820" w:type="pct"/>
            <w:hideMark/>
          </w:tcPr>
          <w:p w14:paraId="6999835B"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41511E76"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0.891</w:t>
            </w:r>
          </w:p>
        </w:tc>
      </w:tr>
      <w:tr w:rsidR="00E30AB8" w:rsidRPr="00E30AB8" w14:paraId="55D4AF7C" w14:textId="77777777" w:rsidTr="00E30AB8">
        <w:tc>
          <w:tcPr>
            <w:tcW w:w="1326" w:type="pct"/>
            <w:hideMark/>
          </w:tcPr>
          <w:p w14:paraId="0D904D0C"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73E87BAE"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الكفاءة الرقمية للموظفين</w:t>
            </w:r>
          </w:p>
        </w:tc>
        <w:tc>
          <w:tcPr>
            <w:tcW w:w="820" w:type="pct"/>
            <w:hideMark/>
          </w:tcPr>
          <w:p w14:paraId="38DDB680"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2CAF22BE"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0.904</w:t>
            </w:r>
          </w:p>
        </w:tc>
      </w:tr>
      <w:tr w:rsidR="00E30AB8" w:rsidRPr="00E30AB8" w14:paraId="03636F55" w14:textId="77777777" w:rsidTr="00E30AB8">
        <w:tc>
          <w:tcPr>
            <w:tcW w:w="1326" w:type="pct"/>
            <w:hideMark/>
          </w:tcPr>
          <w:p w14:paraId="5B5D076E"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1AF2E99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تكامل الأنظمة الرقمية وعمليات الرقمنة</w:t>
            </w:r>
          </w:p>
        </w:tc>
        <w:tc>
          <w:tcPr>
            <w:tcW w:w="820" w:type="pct"/>
            <w:hideMark/>
          </w:tcPr>
          <w:p w14:paraId="73F73B03"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6E9FCC09"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0.918</w:t>
            </w:r>
          </w:p>
        </w:tc>
      </w:tr>
      <w:tr w:rsidR="00E30AB8" w:rsidRPr="00E30AB8" w14:paraId="71D1FB10" w14:textId="77777777" w:rsidTr="00E30AB8">
        <w:tc>
          <w:tcPr>
            <w:tcW w:w="1326" w:type="pct"/>
            <w:hideMark/>
          </w:tcPr>
          <w:p w14:paraId="18B2BF50"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1C6212B7"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الأمن وحماية البيانات الرقمية</w:t>
            </w:r>
          </w:p>
        </w:tc>
        <w:tc>
          <w:tcPr>
            <w:tcW w:w="820" w:type="pct"/>
            <w:hideMark/>
          </w:tcPr>
          <w:p w14:paraId="7974C839"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1032396E"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0.896</w:t>
            </w:r>
          </w:p>
        </w:tc>
      </w:tr>
      <w:tr w:rsidR="00E30AB8" w:rsidRPr="00E30AB8" w14:paraId="7D319E82" w14:textId="77777777" w:rsidTr="00E30AB8">
        <w:tc>
          <w:tcPr>
            <w:tcW w:w="1326" w:type="pct"/>
            <w:hideMark/>
          </w:tcPr>
          <w:p w14:paraId="1F99874E"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5FE883C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للمتغير المستقل</w:t>
            </w:r>
          </w:p>
        </w:tc>
        <w:tc>
          <w:tcPr>
            <w:tcW w:w="820" w:type="pct"/>
            <w:hideMark/>
          </w:tcPr>
          <w:p w14:paraId="7614CF0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20</w:t>
            </w:r>
          </w:p>
        </w:tc>
        <w:tc>
          <w:tcPr>
            <w:tcW w:w="766" w:type="pct"/>
            <w:hideMark/>
          </w:tcPr>
          <w:p w14:paraId="1756EF93"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0.944</w:t>
            </w:r>
          </w:p>
        </w:tc>
      </w:tr>
      <w:tr w:rsidR="00E30AB8" w:rsidRPr="00E30AB8" w14:paraId="6F4FF96C" w14:textId="77777777" w:rsidTr="00E30AB8">
        <w:tc>
          <w:tcPr>
            <w:tcW w:w="1326" w:type="pct"/>
            <w:hideMark/>
          </w:tcPr>
          <w:p w14:paraId="739AE5B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الاستقرار الوظيفي</w:t>
            </w:r>
          </w:p>
        </w:tc>
        <w:tc>
          <w:tcPr>
            <w:tcW w:w="2088" w:type="pct"/>
            <w:hideMark/>
          </w:tcPr>
          <w:p w14:paraId="186AE344"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الأمان الوظيفي</w:t>
            </w:r>
          </w:p>
        </w:tc>
        <w:tc>
          <w:tcPr>
            <w:tcW w:w="820" w:type="pct"/>
            <w:hideMark/>
          </w:tcPr>
          <w:p w14:paraId="579D561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49FC4E2D"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0.884</w:t>
            </w:r>
          </w:p>
        </w:tc>
      </w:tr>
      <w:tr w:rsidR="00E30AB8" w:rsidRPr="00E30AB8" w14:paraId="1DD1F6E0" w14:textId="77777777" w:rsidTr="00E30AB8">
        <w:tc>
          <w:tcPr>
            <w:tcW w:w="1326" w:type="pct"/>
            <w:hideMark/>
          </w:tcPr>
          <w:p w14:paraId="6A20A5B5"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01820C2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الرضا الوظيفي</w:t>
            </w:r>
          </w:p>
        </w:tc>
        <w:tc>
          <w:tcPr>
            <w:tcW w:w="820" w:type="pct"/>
            <w:hideMark/>
          </w:tcPr>
          <w:p w14:paraId="751960F3"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69A9453C"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0.912</w:t>
            </w:r>
          </w:p>
        </w:tc>
      </w:tr>
      <w:tr w:rsidR="00E30AB8" w:rsidRPr="00E30AB8" w14:paraId="5D37B021" w14:textId="77777777" w:rsidTr="00E30AB8">
        <w:tc>
          <w:tcPr>
            <w:tcW w:w="1326" w:type="pct"/>
            <w:hideMark/>
          </w:tcPr>
          <w:p w14:paraId="1AF8AE51"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51442314"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الالتزام التنظيمي</w:t>
            </w:r>
          </w:p>
        </w:tc>
        <w:tc>
          <w:tcPr>
            <w:tcW w:w="820" w:type="pct"/>
            <w:hideMark/>
          </w:tcPr>
          <w:p w14:paraId="3E02A54F"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068CA8E3"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0.901</w:t>
            </w:r>
          </w:p>
        </w:tc>
      </w:tr>
      <w:tr w:rsidR="00E30AB8" w:rsidRPr="00E30AB8" w14:paraId="15727DDD" w14:textId="77777777" w:rsidTr="00E30AB8">
        <w:tc>
          <w:tcPr>
            <w:tcW w:w="1326" w:type="pct"/>
            <w:hideMark/>
          </w:tcPr>
          <w:p w14:paraId="3C6CCD83"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3514E72B"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للمتغير التابع</w:t>
            </w:r>
          </w:p>
        </w:tc>
        <w:tc>
          <w:tcPr>
            <w:tcW w:w="820" w:type="pct"/>
            <w:hideMark/>
          </w:tcPr>
          <w:p w14:paraId="7DF5288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15</w:t>
            </w:r>
          </w:p>
        </w:tc>
        <w:tc>
          <w:tcPr>
            <w:tcW w:w="766" w:type="pct"/>
            <w:hideMark/>
          </w:tcPr>
          <w:p w14:paraId="41207698"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0.931</w:t>
            </w:r>
          </w:p>
        </w:tc>
      </w:tr>
      <w:tr w:rsidR="00E30AB8" w:rsidRPr="00E30AB8" w14:paraId="72786B76" w14:textId="77777777" w:rsidTr="00E30AB8">
        <w:tc>
          <w:tcPr>
            <w:tcW w:w="1326" w:type="pct"/>
            <w:hideMark/>
          </w:tcPr>
          <w:p w14:paraId="64533630"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للاستبانة</w:t>
            </w:r>
          </w:p>
        </w:tc>
        <w:tc>
          <w:tcPr>
            <w:tcW w:w="2088" w:type="pct"/>
            <w:hideMark/>
          </w:tcPr>
          <w:p w14:paraId="6752C466"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820" w:type="pct"/>
            <w:hideMark/>
          </w:tcPr>
          <w:p w14:paraId="6D456BA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35</w:t>
            </w:r>
          </w:p>
        </w:tc>
        <w:tc>
          <w:tcPr>
            <w:tcW w:w="766" w:type="pct"/>
            <w:hideMark/>
          </w:tcPr>
          <w:p w14:paraId="1B3F9D0B" w14:textId="77777777" w:rsidR="00E30AB8" w:rsidRPr="00E30AB8" w:rsidRDefault="00E30AB8" w:rsidP="00BB7B09">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w:t>
            </w:r>
            <w:r w:rsidR="00BB7B09">
              <w:rPr>
                <w:rFonts w:ascii="Traditional Arabic" w:hAnsi="Traditional Arabic" w:cs="Traditional Arabic"/>
                <w:b/>
                <w:bCs/>
                <w:sz w:val="32"/>
                <w:szCs w:val="32"/>
                <w:lang w:val="en-US"/>
              </w:rPr>
              <w:t>33</w:t>
            </w:r>
          </w:p>
        </w:tc>
      </w:tr>
    </w:tbl>
    <w:p w14:paraId="10BF7E1D" w14:textId="77777777" w:rsidR="00E30AB8" w:rsidRPr="00E30AB8" w:rsidRDefault="00E30AB8" w:rsidP="00BB7B09">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يتضح من نتائج جدول (3-6) أن معاملات كرونباخ ألفا لأبعاد التحول الرقمي تراوحت بين (0.891–0.918)، بينما تراوحت معاملات الثبات لأبعاد الاستقرار الوظيفي بين (0.884–0.912)، كما بلغ معامل الثبات الكلي للمتغير المستقل (0.944)، وللمتغير التابع (0.931)، في حين بلغ معامل الثبات الكلي للاستبانة (0.9</w:t>
      </w:r>
      <w:r w:rsidR="00BB7B09">
        <w:rPr>
          <w:rFonts w:ascii="Traditional Arabic" w:hAnsi="Traditional Arabic" w:cs="Traditional Arabic" w:hint="cs"/>
          <w:sz w:val="32"/>
          <w:szCs w:val="32"/>
          <w:rtl/>
          <w:lang w:val="en-US"/>
        </w:rPr>
        <w:t>33</w:t>
      </w:r>
      <w:r w:rsidRPr="00E30AB8">
        <w:rPr>
          <w:rFonts w:ascii="Traditional Arabic" w:hAnsi="Traditional Arabic" w:cs="Traditional Arabic"/>
          <w:sz w:val="32"/>
          <w:szCs w:val="32"/>
          <w:rtl/>
          <w:lang w:val="en-US"/>
        </w:rPr>
        <w:t>).</w:t>
      </w:r>
    </w:p>
    <w:p w14:paraId="1D55D5C2"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وتعد هذه القيم مرتفعة وفق المعايير الإحصائية المعتمدة، مما يدل على تمتع أداة الدراسة بدرجة عالية من الاتساق الداخلي، ويؤكد صلاحيتها للتطبيق على أفراد عينة الدراسة، وإمكانية الاعتماد على البيانات الناتجة عنها في اختبار فرضيات الدراسة وتحقيق أهدافها</w:t>
      </w:r>
      <w:r w:rsidRPr="00E30AB8">
        <w:rPr>
          <w:rFonts w:ascii="Traditional Arabic" w:hAnsi="Traditional Arabic" w:cs="Traditional Arabic"/>
          <w:sz w:val="32"/>
          <w:szCs w:val="32"/>
          <w:lang w:val="en-US"/>
        </w:rPr>
        <w:t>.</w:t>
      </w:r>
    </w:p>
    <w:p w14:paraId="00F6484D" w14:textId="77777777" w:rsidR="00E30AB8" w:rsidRDefault="00E30AB8" w:rsidP="00E30AB8">
      <w:pPr>
        <w:bidi/>
        <w:spacing w:line="360" w:lineRule="auto"/>
        <w:jc w:val="both"/>
        <w:rPr>
          <w:rFonts w:ascii="Traditional Arabic" w:hAnsi="Traditional Arabic" w:cs="Traditional Arabic"/>
          <w:sz w:val="32"/>
          <w:szCs w:val="32"/>
          <w:rtl/>
          <w:lang w:val="en-US"/>
        </w:rPr>
      </w:pPr>
      <w:r w:rsidRPr="00E30AB8">
        <w:rPr>
          <w:rFonts w:ascii="Traditional Arabic" w:hAnsi="Traditional Arabic" w:cs="Traditional Arabic"/>
          <w:sz w:val="32"/>
          <w:szCs w:val="32"/>
          <w:rtl/>
          <w:lang w:val="en-US"/>
        </w:rPr>
        <w:t>وبناءً على نتائج الصدق والثبات، يتبين أن الاستبانة تتمتع بخصائص سيكومترية مرتفعة من حيث الصدق والثبات، الأمر الذي يعزز الثقة في نتائج الدراسة، ويؤكد ملاءمة الأداة لجمع البيانات من أفراد عينة الدراسة</w:t>
      </w:r>
      <w:r w:rsidRPr="00E30AB8">
        <w:rPr>
          <w:rFonts w:ascii="Traditional Arabic" w:hAnsi="Traditional Arabic" w:cs="Traditional Arabic"/>
          <w:sz w:val="32"/>
          <w:szCs w:val="32"/>
          <w:lang w:val="en-US"/>
        </w:rPr>
        <w:t>.</w:t>
      </w:r>
    </w:p>
    <w:p w14:paraId="034056C4" w14:textId="77777777" w:rsidR="009E4789" w:rsidRPr="00E30AB8" w:rsidRDefault="009E4789" w:rsidP="009E4789">
      <w:pPr>
        <w:bidi/>
        <w:spacing w:line="360" w:lineRule="auto"/>
        <w:jc w:val="both"/>
        <w:rPr>
          <w:rFonts w:ascii="Traditional Arabic" w:hAnsi="Traditional Arabic" w:cs="Traditional Arabic"/>
          <w:sz w:val="32"/>
          <w:szCs w:val="32"/>
          <w:lang w:val="en-US"/>
        </w:rPr>
      </w:pPr>
    </w:p>
    <w:p w14:paraId="564D57CC"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3.10 إجراءات الدراسة</w:t>
      </w:r>
    </w:p>
    <w:p w14:paraId="702E1418" w14:textId="77777777" w:rsidR="00BB2224" w:rsidRPr="00BB2224" w:rsidRDefault="00BB2224" w:rsidP="00BB2224">
      <w:p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سيتبع الباحث مجموعة من الإجراءات العلمية والمنهجية لتنفيذ الدراسة وتحقيق أهدافها، وفق تسلسل منطقي يضمن سلامة التطبيق ودقة النتائج، وذلك على النحو الآتي</w:t>
      </w:r>
      <w:r w:rsidRPr="00BB2224">
        <w:rPr>
          <w:rFonts w:ascii="Traditional Arabic" w:hAnsi="Traditional Arabic" w:cs="Traditional Arabic"/>
          <w:sz w:val="32"/>
          <w:szCs w:val="32"/>
          <w:lang w:val="en-US"/>
        </w:rPr>
        <w:t>:</w:t>
      </w:r>
    </w:p>
    <w:p w14:paraId="32C5CC4A"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مراجعة الأدبيات النظرية والدراسات السابقة العربية والأجنبية المتعلقة بالتحول الرقمي والاستقرار الوظيفي، والاستفادة منها في بناء الإطار النظري، وتحديد مشكلة الدراسة، وصياغة أسئلتها وأهدافها وفرضياتها</w:t>
      </w:r>
      <w:r w:rsidRPr="00BB2224">
        <w:rPr>
          <w:rFonts w:ascii="Traditional Arabic" w:hAnsi="Traditional Arabic" w:cs="Traditional Arabic"/>
          <w:sz w:val="32"/>
          <w:szCs w:val="32"/>
          <w:lang w:val="en-US"/>
        </w:rPr>
        <w:t xml:space="preserve">. </w:t>
      </w:r>
    </w:p>
    <w:p w14:paraId="693AF830"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تحديد متغيرات الدراسة وأبعادها في ضوء الأدبيات والدراسات السابقة، وبناء النموذج المفاهيمي الذي يوضح العلاقة بين التحول الرقمي بوصفه متغيرا مستقلا، والاستقرار الوظيفي بوصفه متغيرا تابعا</w:t>
      </w:r>
      <w:r w:rsidRPr="00BB2224">
        <w:rPr>
          <w:rFonts w:ascii="Traditional Arabic" w:hAnsi="Traditional Arabic" w:cs="Traditional Arabic"/>
          <w:sz w:val="32"/>
          <w:szCs w:val="32"/>
          <w:lang w:val="en-US"/>
        </w:rPr>
        <w:t xml:space="preserve">. </w:t>
      </w:r>
    </w:p>
    <w:p w14:paraId="16504A51" w14:textId="77777777" w:rsid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تطوير أداة الدراسة المتمثلة في الاستبانة بالاستناد إلى الأدبيات العلمية والمقاييس والدراسات السابقة ذات العلاقة، بما يضمن شمولها لأبعاد الدراسة وملاءمتها لتحقيق أهدافها</w:t>
      </w:r>
      <w:r w:rsidRPr="00BB2224">
        <w:rPr>
          <w:rFonts w:ascii="Traditional Arabic" w:hAnsi="Traditional Arabic" w:cs="Traditional Arabic"/>
          <w:sz w:val="32"/>
          <w:szCs w:val="32"/>
          <w:lang w:val="en-US"/>
        </w:rPr>
        <w:t xml:space="preserve">. </w:t>
      </w:r>
    </w:p>
    <w:p w14:paraId="213FC917" w14:textId="77777777" w:rsidR="00521338" w:rsidRPr="00BB2224" w:rsidRDefault="00521338" w:rsidP="00521338">
      <w:pPr>
        <w:numPr>
          <w:ilvl w:val="0"/>
          <w:numId w:val="9"/>
        </w:numPr>
        <w:bidi/>
        <w:spacing w:line="360" w:lineRule="auto"/>
        <w:jc w:val="both"/>
        <w:rPr>
          <w:rFonts w:ascii="Traditional Arabic" w:hAnsi="Traditional Arabic" w:cs="Traditional Arabic"/>
          <w:sz w:val="32"/>
          <w:szCs w:val="32"/>
          <w:lang w:val="en-US"/>
        </w:rPr>
      </w:pPr>
      <w:r w:rsidRPr="00521338">
        <w:rPr>
          <w:rFonts w:ascii="Traditional Arabic" w:hAnsi="Traditional Arabic" w:cs="Traditional Arabic"/>
          <w:sz w:val="32"/>
          <w:szCs w:val="32"/>
          <w:rtl/>
          <w:lang w:val="en-US"/>
        </w:rPr>
        <w:t>سيتم الحصول على قوائم العاملين في المستشفيات الحكومية المشمولة بالدراسة من الإدارات المختصة في التجمع الصحي أو من إدارات الموارد البشرية في المستشفيات، بعد الحصول على الموافقات الرسمية اللازمة، وستستخدم هذه القوائم بوصفها إطار المعاينة الذي سيتم في ضوئه اختيار أفراد العينة الطبقية</w:t>
      </w:r>
      <w:r w:rsidRPr="00521338">
        <w:rPr>
          <w:rFonts w:ascii="Traditional Arabic" w:hAnsi="Traditional Arabic" w:cs="Traditional Arabic"/>
          <w:sz w:val="32"/>
          <w:szCs w:val="32"/>
        </w:rPr>
        <w:t>.</w:t>
      </w:r>
    </w:p>
    <w:p w14:paraId="27122BA8"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عرض الاستبانة في صورتها الأولية على مجموعة من المحكمين من ذوي الاختصاص للتحقق من صدقها الظاهري وملاءمة فقراتها ووضوح صياغتها، وإجراء التعديلات اللازمة في ضوء ملاحظاتهم، ثم تطبيقها على عينة استطلاعية للتحقق من صدق البناء وثبات الأداة قبل تطبيقها على العينة الأساسية</w:t>
      </w:r>
      <w:r w:rsidRPr="00BB2224">
        <w:rPr>
          <w:rFonts w:ascii="Traditional Arabic" w:hAnsi="Traditional Arabic" w:cs="Traditional Arabic"/>
          <w:sz w:val="32"/>
          <w:szCs w:val="32"/>
          <w:lang w:val="en-US"/>
        </w:rPr>
        <w:t xml:space="preserve">. </w:t>
      </w:r>
    </w:p>
    <w:p w14:paraId="7F219DA0"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الحصول على الموافقات الرسمية والأخلاقية اللازمة من الجامعة والجهات الصحية ذات العلاقة، والتنسيق مع إدارات المستشفيات الحكومية المشمولة بالدراسة لتسهيل الوصول إلى أفراد العينة وتوزيع الاستبانة عليهم</w:t>
      </w:r>
      <w:r w:rsidRPr="00BB2224">
        <w:rPr>
          <w:rFonts w:ascii="Traditional Arabic" w:hAnsi="Traditional Arabic" w:cs="Traditional Arabic"/>
          <w:sz w:val="32"/>
          <w:szCs w:val="32"/>
          <w:lang w:val="en-US"/>
        </w:rPr>
        <w:t xml:space="preserve">. </w:t>
      </w:r>
    </w:p>
    <w:p w14:paraId="47A8FBE9"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اختيار أفراد عينة الدراسة من العاملين في المستشفيات الحكومية المشمولة بالدراسة بمدينة جدة، وبما يحقق تمثيل الفئات الوظيفية المستهدفة، وهي: الأطباء، وهيئة التمريض، والفنيون، والإداريون. ونظرا إلى عدم توافر بيانات تفصيلية محدثة تبين أعداد العاملين في كل مستشفى وكل فئة وظيفية، سيحرص الباحث عند توزيع الاستبانة على تحقيق أكبر قدر ممكن من التمثيل المتوازن للمستشفيات والفئات الوظيفية المشمولة بالدراسة</w:t>
      </w:r>
      <w:r w:rsidRPr="00BB2224">
        <w:rPr>
          <w:rFonts w:ascii="Traditional Arabic" w:hAnsi="Traditional Arabic" w:cs="Traditional Arabic"/>
          <w:sz w:val="32"/>
          <w:szCs w:val="32"/>
          <w:lang w:val="en-US"/>
        </w:rPr>
        <w:t xml:space="preserve">. </w:t>
      </w:r>
    </w:p>
    <w:p w14:paraId="38D4EBFE" w14:textId="77777777" w:rsidR="00BB2224" w:rsidRPr="00BB2224" w:rsidRDefault="00BB2224" w:rsidP="00D46B92">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 xml:space="preserve">توزيع الاستبانة على أفراد العينة خلال الفترة المحددة لجمع البيانات، باستخدام التوزيع الإلكتروني أو الورقي بحسب ما تسمح به كل جهة مشاركة. وسيجري التنسيق مع المسؤولين في المستشفيات لتسهيل عملية التوزيع والاستلام، ومتابعة معدل الاستجابة بصورة دورية </w:t>
      </w:r>
      <w:r w:rsidR="00D46B92" w:rsidRPr="00D46B92">
        <w:rPr>
          <w:rFonts w:ascii="Traditional Arabic" w:hAnsi="Traditional Arabic" w:cs="Traditional Arabic"/>
          <w:sz w:val="32"/>
          <w:szCs w:val="32"/>
          <w:rtl/>
          <w:lang w:val="en-US"/>
        </w:rPr>
        <w:t>حتى الوصول إلى العدد المستهدف من الاستجابات. وفي حال استخدام الاستبانة الإلكترونية، ستتخذ الإجراءات المناسبة للحد من تكرار الاستجابة، مثل تقييد إرسال أكثر من استجابة من الجهاز أو الحساب نفسه متى كان ذلك متاحا.</w:t>
      </w:r>
    </w:p>
    <w:p w14:paraId="5B6E3AA6"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مراجعة الاستبانات المستردة والتحقق من اكتمالها وصلاحيتها للتحليل الإحصائي. وسيتم استبعاد الاستبانة إذا تجاوزت نسبة البيانات المفقودة فيها (10%) من إجمالي فقرات الأداة، أو تضمنت أكثر من إجابة للفقرة الواحدة، أو اشتملت على نمط إجابة متكرر بصورة غير منطقية، مثل اختيار البديل نفسه لجميع الفقرات بما يشير إلى عدم الجدية، أو تضمنت استجابات متناقضة أو غير قابلة للترميز. أما الاستبانات التي تحتوي على قدر محدود من البيانات المفقودة، فسيتم التعامل معها وفق الإجراء الإحصائي المناسب بعد التحقق من طبيعة الفقد ونسبته.</w:t>
      </w:r>
    </w:p>
    <w:p w14:paraId="2ECCE82B"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ترميز البيانات المستوفية لشروط التحليل وإدخالها إلى برنامج الحزمة الإحصائية للعلوم الاجتماعية (</w:t>
      </w:r>
      <w:r w:rsidRPr="00BB2224">
        <w:rPr>
          <w:rFonts w:ascii="Traditional Arabic" w:hAnsi="Traditional Arabic" w:cs="Traditional Arabic"/>
          <w:sz w:val="32"/>
          <w:szCs w:val="32"/>
          <w:lang w:val="en-US"/>
        </w:rPr>
        <w:t>SPSS</w:t>
      </w:r>
      <w:r w:rsidRPr="00BB2224">
        <w:rPr>
          <w:rFonts w:ascii="Traditional Arabic" w:hAnsi="Traditional Arabic" w:cs="Traditional Arabic"/>
          <w:sz w:val="32"/>
          <w:szCs w:val="32"/>
          <w:rtl/>
          <w:lang w:val="en-US"/>
        </w:rPr>
        <w:t>)، ثم مراجعتها وتنظيفها والتحقق من خلوها من أخطاء الإدخال والقيم غير المنطقية، وإجراء التحليلات الإحصائية المناسبة للإجابة عن أسئلة الدراسة واختبار فرضياتها.</w:t>
      </w:r>
    </w:p>
    <w:p w14:paraId="05F388C0"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تفسير النتائج ومناقشتها في ضوء الإطار النظري والدراسات السابقة، واستخلاص الاستنتاجات، ثم تقديم التوصيات والمقترحات المرتبطة بنتائج الدراسة</w:t>
      </w:r>
      <w:r w:rsidRPr="00BB2224">
        <w:rPr>
          <w:rFonts w:ascii="Traditional Arabic" w:hAnsi="Traditional Arabic" w:cs="Traditional Arabic"/>
          <w:sz w:val="32"/>
          <w:szCs w:val="32"/>
          <w:lang w:val="en-US"/>
        </w:rPr>
        <w:t>.</w:t>
      </w:r>
    </w:p>
    <w:p w14:paraId="6AD1DA08" w14:textId="77777777" w:rsidR="007419CC" w:rsidRPr="00BB2224" w:rsidRDefault="007419CC" w:rsidP="00692479">
      <w:pPr>
        <w:bidi/>
        <w:spacing w:line="360" w:lineRule="auto"/>
        <w:jc w:val="both"/>
        <w:rPr>
          <w:rFonts w:ascii="Traditional Arabic" w:hAnsi="Traditional Arabic" w:cs="Traditional Arabic"/>
          <w:sz w:val="32"/>
          <w:szCs w:val="32"/>
          <w:rtl/>
          <w:lang w:val="en-US"/>
        </w:rPr>
      </w:pPr>
    </w:p>
    <w:p w14:paraId="0FA64C29"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3.11 الأساليب الإحصائية المستخدمة</w:t>
      </w:r>
    </w:p>
    <w:p w14:paraId="79C47FE8"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بعد الانتهاء من جمع البيانات ومراجعة الاستبانات والتأكد من صلاحيتها للتحليل الإحصائي، أُدخلت البيانات إلى الحاسب الآلي، وتم تحليلها باستخدام برنامج الحزمة الإحصائية للعلوم الاجتماعية (</w:t>
      </w:r>
      <w:r w:rsidRPr="00E30AB8">
        <w:rPr>
          <w:rFonts w:ascii="Traditional Arabic" w:hAnsi="Traditional Arabic" w:cs="Traditional Arabic"/>
          <w:sz w:val="32"/>
          <w:szCs w:val="32"/>
          <w:lang w:val="en-US"/>
        </w:rPr>
        <w:t>Statistical Package for the Social Sciences - SPSS</w:t>
      </w:r>
      <w:r w:rsidRPr="00E30AB8">
        <w:rPr>
          <w:rFonts w:ascii="Traditional Arabic" w:hAnsi="Traditional Arabic" w:cs="Traditional Arabic"/>
          <w:sz w:val="32"/>
          <w:szCs w:val="32"/>
          <w:rtl/>
          <w:lang w:val="en-US"/>
        </w:rPr>
        <w:t>)، وذلك للإجابة عن أسئلة الدراسة واختبار فرضياتها. وقد استخدم الباحث مجموعة من الأساليب الإحصائية التي تتناسب مع طبيعة الدراسة وأهدافها، وذلك على النحو الآتي</w:t>
      </w:r>
      <w:r w:rsidRPr="00E30AB8">
        <w:rPr>
          <w:rFonts w:ascii="Traditional Arabic" w:hAnsi="Traditional Arabic" w:cs="Traditional Arabic"/>
          <w:sz w:val="32"/>
          <w:szCs w:val="32"/>
          <w:lang w:val="en-US"/>
        </w:rPr>
        <w:t>:</w:t>
      </w:r>
    </w:p>
    <w:p w14:paraId="026BDE45"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التكرارات والنسب المئوية؛ لوصف الخصائص الشخصية والوظيفية لأفراد عينة الدراسة</w:t>
      </w:r>
      <w:r w:rsidRPr="00E30AB8">
        <w:rPr>
          <w:rFonts w:ascii="Traditional Arabic" w:hAnsi="Traditional Arabic" w:cs="Traditional Arabic"/>
          <w:sz w:val="32"/>
          <w:szCs w:val="32"/>
          <w:lang w:val="en-US"/>
        </w:rPr>
        <w:t>.</w:t>
      </w:r>
    </w:p>
    <w:p w14:paraId="7F3AC19F"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المتوسطات الحسابية والانحرافات المعيارية؛ للتعرف إلى مستوى استجابات أفراد عينة الدراسة على فقرات وأبعاد متغيرات الدراسة</w:t>
      </w:r>
      <w:r w:rsidRPr="00E30AB8">
        <w:rPr>
          <w:rFonts w:ascii="Traditional Arabic" w:hAnsi="Traditional Arabic" w:cs="Traditional Arabic"/>
          <w:sz w:val="32"/>
          <w:szCs w:val="32"/>
          <w:lang w:val="en-US"/>
        </w:rPr>
        <w:t>.</w:t>
      </w:r>
    </w:p>
    <w:p w14:paraId="0C22F8B0"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ارتباط بيرسون (</w:t>
      </w:r>
      <w:r w:rsidRPr="00E30AB8">
        <w:rPr>
          <w:rFonts w:ascii="Traditional Arabic" w:hAnsi="Traditional Arabic" w:cs="Traditional Arabic"/>
          <w:sz w:val="32"/>
          <w:szCs w:val="32"/>
          <w:lang w:val="en-US"/>
        </w:rPr>
        <w:t>Pearson Correlation Coefficient</w:t>
      </w:r>
      <w:r w:rsidRPr="00E30AB8">
        <w:rPr>
          <w:rFonts w:ascii="Traditional Arabic" w:hAnsi="Traditional Arabic" w:cs="Traditional Arabic"/>
          <w:sz w:val="32"/>
          <w:szCs w:val="32"/>
          <w:rtl/>
          <w:lang w:val="en-US"/>
        </w:rPr>
        <w:t>)؛ للتحقق من صدق البناء، وقياس قوة واتجاه العلاقة بين فقرات الاستبانة وأبعادها، وكذلك بين الأبعاد والدرجة الكلية للأداة</w:t>
      </w:r>
      <w:r w:rsidRPr="00E30AB8">
        <w:rPr>
          <w:rFonts w:ascii="Traditional Arabic" w:hAnsi="Traditional Arabic" w:cs="Traditional Arabic"/>
          <w:sz w:val="32"/>
          <w:szCs w:val="32"/>
          <w:lang w:val="en-US"/>
        </w:rPr>
        <w:t>.</w:t>
      </w:r>
    </w:p>
    <w:p w14:paraId="34AB2F03"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كرونباخ ألفا (</w:t>
      </w:r>
      <w:r w:rsidRPr="00E30AB8">
        <w:rPr>
          <w:rFonts w:ascii="Traditional Arabic" w:hAnsi="Traditional Arabic" w:cs="Traditional Arabic"/>
          <w:sz w:val="32"/>
          <w:szCs w:val="32"/>
          <w:lang w:val="en-US"/>
        </w:rPr>
        <w:t>Cronbach's Alpha</w:t>
      </w:r>
      <w:r w:rsidRPr="00E30AB8">
        <w:rPr>
          <w:rFonts w:ascii="Traditional Arabic" w:hAnsi="Traditional Arabic" w:cs="Traditional Arabic"/>
          <w:sz w:val="32"/>
          <w:szCs w:val="32"/>
          <w:rtl/>
          <w:lang w:val="en-US"/>
        </w:rPr>
        <w:t>)؛ للتحقق من الاتساق الداخلي وقياس ثبات أداة الدراسة</w:t>
      </w:r>
      <w:r w:rsidRPr="00E30AB8">
        <w:rPr>
          <w:rFonts w:ascii="Traditional Arabic" w:hAnsi="Traditional Arabic" w:cs="Traditional Arabic"/>
          <w:sz w:val="32"/>
          <w:szCs w:val="32"/>
          <w:lang w:val="en-US"/>
        </w:rPr>
        <w:t>.</w:t>
      </w:r>
    </w:p>
    <w:p w14:paraId="26374CF9"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اختبار كولموغوروف–سميرنوف (</w:t>
      </w:r>
      <w:r w:rsidRPr="00E30AB8">
        <w:rPr>
          <w:rFonts w:ascii="Traditional Arabic" w:hAnsi="Traditional Arabic" w:cs="Traditional Arabic"/>
          <w:sz w:val="32"/>
          <w:szCs w:val="32"/>
          <w:lang w:val="en-US"/>
        </w:rPr>
        <w:t>Kolmogorov–Smirnov Test</w:t>
      </w:r>
      <w:r w:rsidRPr="00E30AB8">
        <w:rPr>
          <w:rFonts w:ascii="Traditional Arabic" w:hAnsi="Traditional Arabic" w:cs="Traditional Arabic"/>
          <w:sz w:val="32"/>
          <w:szCs w:val="32"/>
          <w:rtl/>
          <w:lang w:val="en-US"/>
        </w:rPr>
        <w:t>)؛ للتحقق من مدى اتباع البيانات للتوزيع الطبيعي قبل إجراء اختبارات الانحدار.</w:t>
      </w:r>
    </w:p>
    <w:p w14:paraId="3290BFDA"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معاملات تضخم التباين (</w:t>
      </w:r>
      <w:r w:rsidRPr="00E30AB8">
        <w:rPr>
          <w:rFonts w:ascii="Traditional Arabic" w:hAnsi="Traditional Arabic" w:cs="Traditional Arabic"/>
          <w:sz w:val="32"/>
          <w:szCs w:val="32"/>
          <w:lang w:val="en-US"/>
        </w:rPr>
        <w:t>Variance Inflation Factor - VIF</w:t>
      </w:r>
      <w:r w:rsidRPr="00E30AB8">
        <w:rPr>
          <w:rFonts w:ascii="Traditional Arabic" w:hAnsi="Traditional Arabic" w:cs="Traditional Arabic"/>
          <w:sz w:val="32"/>
          <w:szCs w:val="32"/>
          <w:rtl/>
          <w:lang w:val="en-US"/>
        </w:rPr>
        <w:t>) وقيم التباين المسموح (</w:t>
      </w:r>
      <w:r w:rsidRPr="00E30AB8">
        <w:rPr>
          <w:rFonts w:ascii="Traditional Arabic" w:hAnsi="Traditional Arabic" w:cs="Traditional Arabic"/>
          <w:sz w:val="32"/>
          <w:szCs w:val="32"/>
          <w:lang w:val="en-US"/>
        </w:rPr>
        <w:t>Tolerance</w:t>
      </w:r>
      <w:r w:rsidRPr="00E30AB8">
        <w:rPr>
          <w:rFonts w:ascii="Traditional Arabic" w:hAnsi="Traditional Arabic" w:cs="Traditional Arabic"/>
          <w:sz w:val="32"/>
          <w:szCs w:val="32"/>
          <w:rtl/>
          <w:lang w:val="en-US"/>
        </w:rPr>
        <w:t>)؛ للتحقق من عدم وجود مشكلة التداخل الخطي (</w:t>
      </w:r>
      <w:r w:rsidRPr="00E30AB8">
        <w:rPr>
          <w:rFonts w:ascii="Traditional Arabic" w:hAnsi="Traditional Arabic" w:cs="Traditional Arabic"/>
          <w:sz w:val="32"/>
          <w:szCs w:val="32"/>
          <w:lang w:val="en-US"/>
        </w:rPr>
        <w:t>Multicollinearity</w:t>
      </w:r>
      <w:r w:rsidRPr="00E30AB8">
        <w:rPr>
          <w:rFonts w:ascii="Traditional Arabic" w:hAnsi="Traditional Arabic" w:cs="Traditional Arabic"/>
          <w:sz w:val="32"/>
          <w:szCs w:val="32"/>
          <w:rtl/>
          <w:lang w:val="en-US"/>
        </w:rPr>
        <w:t>) بين أبعاد المتغير المستقل.</w:t>
      </w:r>
    </w:p>
    <w:p w14:paraId="761CEE66"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تحليل الانحدار الخطي المتعدد (</w:t>
      </w:r>
      <w:r w:rsidRPr="00E30AB8">
        <w:rPr>
          <w:rFonts w:ascii="Traditional Arabic" w:hAnsi="Traditional Arabic" w:cs="Traditional Arabic"/>
          <w:sz w:val="32"/>
          <w:szCs w:val="32"/>
          <w:lang w:val="en-US"/>
        </w:rPr>
        <w:t>Multiple Linear Regression</w:t>
      </w:r>
      <w:r w:rsidRPr="00E30AB8">
        <w:rPr>
          <w:rFonts w:ascii="Traditional Arabic" w:hAnsi="Traditional Arabic" w:cs="Traditional Arabic"/>
          <w:sz w:val="32"/>
          <w:szCs w:val="32"/>
          <w:rtl/>
          <w:lang w:val="en-US"/>
        </w:rPr>
        <w:t>)؛ لاختبار أثر أبعاد التحول الرقمي مجتمعة ومنفردة في الاستقرار الوظيفي لدى العاملين في المستشفيات الحكومية بمدينة جدة، واختبار الفرضية الرئيسة والفرضيات الفرعية للدراسة</w:t>
      </w:r>
      <w:r w:rsidRPr="00E30AB8">
        <w:rPr>
          <w:rFonts w:ascii="Traditional Arabic" w:hAnsi="Traditional Arabic" w:cs="Traditional Arabic"/>
          <w:sz w:val="32"/>
          <w:szCs w:val="32"/>
          <w:lang w:val="en-US"/>
        </w:rPr>
        <w:t>.</w:t>
      </w:r>
    </w:p>
    <w:p w14:paraId="4EF2C7F3"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التحديد (</w:t>
      </w:r>
      <w:r w:rsidRPr="00E30AB8">
        <w:rPr>
          <w:rFonts w:ascii="Traditional Arabic" w:hAnsi="Traditional Arabic" w:cs="Traditional Arabic"/>
          <w:sz w:val="32"/>
          <w:szCs w:val="32"/>
          <w:lang w:val="en-US"/>
        </w:rPr>
        <w:t>R²</w:t>
      </w:r>
      <w:r w:rsidRPr="00E30AB8">
        <w:rPr>
          <w:rFonts w:ascii="Traditional Arabic" w:hAnsi="Traditional Arabic" w:cs="Traditional Arabic"/>
          <w:sz w:val="32"/>
          <w:szCs w:val="32"/>
          <w:rtl/>
          <w:lang w:val="en-US"/>
        </w:rPr>
        <w:t>)؛ لتحديد نسبة التباين في المتغير التابع التي يمكن تفسيرها من خلال أبعاد المتغير المستقل</w:t>
      </w:r>
      <w:r w:rsidRPr="00E30AB8">
        <w:rPr>
          <w:rFonts w:ascii="Traditional Arabic" w:hAnsi="Traditional Arabic" w:cs="Traditional Arabic"/>
          <w:sz w:val="32"/>
          <w:szCs w:val="32"/>
          <w:lang w:val="en-US"/>
        </w:rPr>
        <w:t>.</w:t>
      </w:r>
    </w:p>
    <w:p w14:paraId="52ED89B8"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اختبار</w:t>
      </w:r>
      <w:r w:rsidRPr="00E30AB8">
        <w:rPr>
          <w:rFonts w:ascii="Traditional Arabic" w:hAnsi="Traditional Arabic" w:cs="Traditional Arabic"/>
          <w:sz w:val="32"/>
          <w:szCs w:val="32"/>
          <w:lang w:val="en-US"/>
        </w:rPr>
        <w:t xml:space="preserve"> (F)</w:t>
      </w:r>
      <w:r w:rsidRPr="00E30AB8">
        <w:rPr>
          <w:rFonts w:ascii="Traditional Arabic" w:hAnsi="Traditional Arabic" w:cs="Traditional Arabic"/>
          <w:sz w:val="32"/>
          <w:szCs w:val="32"/>
          <w:rtl/>
          <w:lang w:val="en-US"/>
        </w:rPr>
        <w:t>؛ للتحقق من معنوية نموذج الانحدار ككل، واختبار</w:t>
      </w:r>
      <w:r w:rsidRPr="00E30AB8">
        <w:rPr>
          <w:rFonts w:ascii="Traditional Arabic" w:hAnsi="Traditional Arabic" w:cs="Traditional Arabic"/>
          <w:sz w:val="32"/>
          <w:szCs w:val="32"/>
          <w:lang w:val="en-US"/>
        </w:rPr>
        <w:t xml:space="preserve"> (t)</w:t>
      </w:r>
      <w:r w:rsidRPr="00E30AB8">
        <w:rPr>
          <w:rFonts w:ascii="Traditional Arabic" w:hAnsi="Traditional Arabic" w:cs="Traditional Arabic"/>
          <w:sz w:val="32"/>
          <w:szCs w:val="32"/>
          <w:rtl/>
          <w:lang w:val="en-US"/>
        </w:rPr>
        <w:t>؛ للتحقق من معنوية معاملات الانحدار لكل بعد من أبعاد المتغير المستقل</w:t>
      </w:r>
      <w:r w:rsidRPr="00E30AB8">
        <w:rPr>
          <w:rFonts w:ascii="Traditional Arabic" w:hAnsi="Traditional Arabic" w:cs="Traditional Arabic"/>
          <w:sz w:val="32"/>
          <w:szCs w:val="32"/>
          <w:lang w:val="en-US"/>
        </w:rPr>
        <w:t>.</w:t>
      </w:r>
    </w:p>
    <w:p w14:paraId="7DC94CE1" w14:textId="77777777" w:rsidR="00E30AB8" w:rsidRDefault="00313D61" w:rsidP="00313D61">
      <w:pPr>
        <w:bidi/>
        <w:spacing w:line="360" w:lineRule="auto"/>
        <w:jc w:val="both"/>
        <w:rPr>
          <w:rFonts w:ascii="Traditional Arabic" w:hAnsi="Traditional Arabic" w:cs="Traditional Arabic"/>
          <w:sz w:val="32"/>
          <w:szCs w:val="32"/>
          <w:rtl/>
          <w:lang w:val="en-US"/>
        </w:rPr>
      </w:pPr>
      <w:r w:rsidRPr="00313D61">
        <w:rPr>
          <w:rFonts w:ascii="Traditional Arabic" w:hAnsi="Traditional Arabic" w:cs="Traditional Arabic"/>
          <w:sz w:val="32"/>
          <w:szCs w:val="32"/>
          <w:rtl/>
          <w:lang w:val="en-US"/>
        </w:rPr>
        <w:t xml:space="preserve">وقبل اختبار فرضيات الدراسة، سيتم التحقق من استيفاء البيانات للافتراضات الأساسية اللازمة لتطبيق تحليل الانحدار الخطي المتعدد، وذلك من خلال فحص استقلالية الأخطاء باستخدام إحصائية </w:t>
      </w:r>
      <w:r w:rsidRPr="00313D61">
        <w:rPr>
          <w:rFonts w:ascii="Traditional Arabic" w:hAnsi="Traditional Arabic" w:cs="Traditional Arabic"/>
          <w:sz w:val="32"/>
          <w:szCs w:val="32"/>
          <w:lang w:val="en-US"/>
        </w:rPr>
        <w:t>Durbin–Watson</w:t>
      </w:r>
      <w:r w:rsidRPr="00313D61">
        <w:rPr>
          <w:rFonts w:ascii="Traditional Arabic" w:hAnsi="Traditional Arabic" w:cs="Traditional Arabic"/>
          <w:sz w:val="32"/>
          <w:szCs w:val="32"/>
          <w:rtl/>
          <w:lang w:val="en-US"/>
        </w:rPr>
        <w:t>، والتحقق من عدم وجود مشكلة التعدد الخطي باستخدام مؤشري (</w:t>
      </w:r>
      <w:r w:rsidRPr="00313D61">
        <w:rPr>
          <w:rFonts w:ascii="Traditional Arabic" w:hAnsi="Traditional Arabic" w:cs="Traditional Arabic"/>
          <w:sz w:val="32"/>
          <w:szCs w:val="32"/>
          <w:lang w:val="en-US"/>
        </w:rPr>
        <w:t>Tolerance</w:t>
      </w:r>
      <w:r w:rsidRPr="00313D61">
        <w:rPr>
          <w:rFonts w:ascii="Traditional Arabic" w:hAnsi="Traditional Arabic" w:cs="Traditional Arabic"/>
          <w:sz w:val="32"/>
          <w:szCs w:val="32"/>
          <w:rtl/>
          <w:lang w:val="en-US"/>
        </w:rPr>
        <w:t>) و(</w:t>
      </w:r>
      <w:r w:rsidRPr="00313D61">
        <w:rPr>
          <w:rFonts w:ascii="Traditional Arabic" w:hAnsi="Traditional Arabic" w:cs="Traditional Arabic"/>
          <w:sz w:val="32"/>
          <w:szCs w:val="32"/>
          <w:lang w:val="en-US"/>
        </w:rPr>
        <w:t>VIF</w:t>
      </w:r>
      <w:r w:rsidRPr="00313D61">
        <w:rPr>
          <w:rFonts w:ascii="Traditional Arabic" w:hAnsi="Traditional Arabic" w:cs="Traditional Arabic"/>
          <w:sz w:val="32"/>
          <w:szCs w:val="32"/>
          <w:rtl/>
          <w:lang w:val="en-US"/>
        </w:rPr>
        <w:t>)، إضافة إلى فحص الخطية والتجانس والكشف عن القيم المتطرفة باستخدام الرسوم البيانية والإجراءات الإحصائية المناسبة، بما يضمن سلامة نتائج التحليل الإحصائي ودقتها</w:t>
      </w:r>
      <w:r w:rsidRPr="00313D61">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sidR="00E30AB8" w:rsidRPr="00E30AB8">
        <w:rPr>
          <w:rFonts w:ascii="Traditional Arabic" w:hAnsi="Traditional Arabic" w:cs="Traditional Arabic"/>
          <w:sz w:val="32"/>
          <w:szCs w:val="32"/>
          <w:rtl/>
          <w:lang w:val="en-US"/>
        </w:rPr>
        <w:t>واعتمدت الدراسة مستوى الدلالة الإحصائية (</w:t>
      </w:r>
      <w:r w:rsidR="00E30AB8" w:rsidRPr="00E30AB8">
        <w:rPr>
          <w:rFonts w:ascii="Times New Roman" w:hAnsi="Times New Roman" w:cs="Times New Roman"/>
          <w:sz w:val="32"/>
          <w:szCs w:val="32"/>
          <w:lang w:val="en-US"/>
        </w:rPr>
        <w:t>α</w:t>
      </w:r>
      <w:r w:rsidR="00E30AB8" w:rsidRPr="00E30AB8">
        <w:rPr>
          <w:rFonts w:ascii="Traditional Arabic" w:hAnsi="Traditional Arabic" w:cs="Traditional Arabic"/>
          <w:sz w:val="32"/>
          <w:szCs w:val="32"/>
          <w:lang w:val="en-US"/>
        </w:rPr>
        <w:t xml:space="preserve"> </w:t>
      </w:r>
      <w:r w:rsidR="00E30AB8" w:rsidRPr="00E30AB8">
        <w:rPr>
          <w:rFonts w:ascii="Times New Roman" w:hAnsi="Times New Roman" w:cs="Times New Roman"/>
          <w:sz w:val="32"/>
          <w:szCs w:val="32"/>
          <w:lang w:val="en-US"/>
        </w:rPr>
        <w:t>≤</w:t>
      </w:r>
      <w:r w:rsidR="00E30AB8" w:rsidRPr="00E30AB8">
        <w:rPr>
          <w:rFonts w:ascii="Traditional Arabic" w:hAnsi="Traditional Arabic" w:cs="Traditional Arabic"/>
          <w:sz w:val="32"/>
          <w:szCs w:val="32"/>
          <w:lang w:val="en-US"/>
        </w:rPr>
        <w:t xml:space="preserve"> 0.05</w:t>
      </w:r>
      <w:r w:rsidR="00E30AB8" w:rsidRPr="00E30AB8">
        <w:rPr>
          <w:rFonts w:ascii="Traditional Arabic" w:hAnsi="Traditional Arabic" w:cs="Traditional Arabic"/>
          <w:sz w:val="32"/>
          <w:szCs w:val="32"/>
          <w:rtl/>
          <w:lang w:val="en-US"/>
        </w:rPr>
        <w:t>) معيارًا للحكم على دلالة النتائج الإحصائية، حيث عُدت النتائج ذات دلالة إحصائية إذا كانت قيمة مستوى الدلالة أقل من أو تساوي (0.05).</w:t>
      </w:r>
    </w:p>
    <w:p w14:paraId="2E97494D" w14:textId="77777777" w:rsidR="00D46B92" w:rsidRPr="00D954DC" w:rsidRDefault="00D46B92" w:rsidP="00D954DC">
      <w:pPr>
        <w:bidi/>
        <w:spacing w:after="0" w:line="240" w:lineRule="auto"/>
        <w:jc w:val="center"/>
        <w:rPr>
          <w:rFonts w:ascii="Traditional Arabic" w:hAnsi="Traditional Arabic" w:cs="Traditional Arabic"/>
          <w:b/>
          <w:bCs/>
          <w:sz w:val="32"/>
          <w:szCs w:val="32"/>
          <w:lang w:val="en-US"/>
        </w:rPr>
      </w:pPr>
      <w:r w:rsidRPr="00D954DC">
        <w:rPr>
          <w:rFonts w:ascii="Traditional Arabic" w:hAnsi="Traditional Arabic" w:cs="Traditional Arabic"/>
          <w:b/>
          <w:bCs/>
          <w:sz w:val="32"/>
          <w:szCs w:val="32"/>
          <w:rtl/>
          <w:lang w:val="en-US"/>
        </w:rPr>
        <w:t>جدول (</w:t>
      </w:r>
      <w:r w:rsidR="00D954DC" w:rsidRPr="00D954DC">
        <w:rPr>
          <w:rFonts w:ascii="Traditional Arabic" w:hAnsi="Traditional Arabic" w:cs="Traditional Arabic" w:hint="cs"/>
          <w:b/>
          <w:bCs/>
          <w:sz w:val="32"/>
          <w:szCs w:val="32"/>
          <w:rtl/>
          <w:lang w:val="en-US"/>
        </w:rPr>
        <w:t>3.7</w:t>
      </w:r>
      <w:r w:rsidRPr="00D954DC">
        <w:rPr>
          <w:rFonts w:ascii="Traditional Arabic" w:hAnsi="Traditional Arabic" w:cs="Traditional Arabic"/>
          <w:b/>
          <w:bCs/>
          <w:sz w:val="32"/>
          <w:szCs w:val="32"/>
          <w:rtl/>
          <w:lang w:val="en-US"/>
        </w:rPr>
        <w:t>) خطة التحليل الإحصائي وربط أسئلة الدراسة وفرضياتها بالأساليب الإحصائية</w:t>
      </w:r>
    </w:p>
    <w:tbl>
      <w:tblPr>
        <w:tblStyle w:val="TableGrid"/>
        <w:bidiVisual/>
        <w:tblW w:w="0" w:type="auto"/>
        <w:tblLook w:val="04A0" w:firstRow="1" w:lastRow="0" w:firstColumn="1" w:lastColumn="0" w:noHBand="0" w:noVBand="1"/>
      </w:tblPr>
      <w:tblGrid>
        <w:gridCol w:w="355"/>
        <w:gridCol w:w="3380"/>
        <w:gridCol w:w="1379"/>
        <w:gridCol w:w="2205"/>
        <w:gridCol w:w="2018"/>
      </w:tblGrid>
      <w:tr w:rsidR="00D46B92" w:rsidRPr="00D46B92" w14:paraId="57E6B7D4" w14:textId="77777777" w:rsidTr="00D46B92">
        <w:tc>
          <w:tcPr>
            <w:tcW w:w="0" w:type="auto"/>
            <w:hideMark/>
          </w:tcPr>
          <w:p w14:paraId="7CE3E8A9" w14:textId="77777777" w:rsidR="00D46B92" w:rsidRPr="00D46B92" w:rsidRDefault="00D46B92" w:rsidP="00D46B92">
            <w:pPr>
              <w:bidi/>
              <w:jc w:val="both"/>
              <w:rPr>
                <w:rFonts w:ascii="Traditional Arabic" w:hAnsi="Traditional Arabic" w:cs="Traditional Arabic"/>
                <w:b/>
                <w:bCs/>
                <w:sz w:val="28"/>
                <w:szCs w:val="28"/>
                <w:lang w:val="en-US"/>
              </w:rPr>
            </w:pPr>
            <w:r w:rsidRPr="00D46B92">
              <w:rPr>
                <w:rFonts w:ascii="Traditional Arabic" w:hAnsi="Traditional Arabic" w:cs="Traditional Arabic"/>
                <w:b/>
                <w:bCs/>
                <w:sz w:val="28"/>
                <w:szCs w:val="28"/>
                <w:rtl/>
                <w:lang w:val="en-US"/>
              </w:rPr>
              <w:t>م</w:t>
            </w:r>
          </w:p>
        </w:tc>
        <w:tc>
          <w:tcPr>
            <w:tcW w:w="0" w:type="auto"/>
            <w:hideMark/>
          </w:tcPr>
          <w:p w14:paraId="4E61857E" w14:textId="77777777" w:rsidR="00D46B92" w:rsidRPr="00D46B92" w:rsidRDefault="00D46B92" w:rsidP="00D46B92">
            <w:pPr>
              <w:bidi/>
              <w:jc w:val="both"/>
              <w:rPr>
                <w:rFonts w:ascii="Traditional Arabic" w:hAnsi="Traditional Arabic" w:cs="Traditional Arabic"/>
                <w:b/>
                <w:bCs/>
                <w:sz w:val="28"/>
                <w:szCs w:val="28"/>
                <w:lang w:val="en-US"/>
              </w:rPr>
            </w:pPr>
            <w:r w:rsidRPr="00D46B92">
              <w:rPr>
                <w:rFonts w:ascii="Traditional Arabic" w:hAnsi="Traditional Arabic" w:cs="Traditional Arabic"/>
                <w:b/>
                <w:bCs/>
                <w:sz w:val="28"/>
                <w:szCs w:val="28"/>
                <w:rtl/>
                <w:lang w:val="en-US"/>
              </w:rPr>
              <w:t>سؤال الدراسة / الفرضية</w:t>
            </w:r>
          </w:p>
        </w:tc>
        <w:tc>
          <w:tcPr>
            <w:tcW w:w="0" w:type="auto"/>
            <w:hideMark/>
          </w:tcPr>
          <w:p w14:paraId="0E4B1469" w14:textId="77777777" w:rsidR="00D46B92" w:rsidRPr="00D46B92" w:rsidRDefault="00D46B92" w:rsidP="00D46B92">
            <w:pPr>
              <w:bidi/>
              <w:jc w:val="both"/>
              <w:rPr>
                <w:rFonts w:ascii="Traditional Arabic" w:hAnsi="Traditional Arabic" w:cs="Traditional Arabic"/>
                <w:b/>
                <w:bCs/>
                <w:sz w:val="28"/>
                <w:szCs w:val="28"/>
                <w:lang w:val="en-US"/>
              </w:rPr>
            </w:pPr>
            <w:r w:rsidRPr="00D46B92">
              <w:rPr>
                <w:rFonts w:ascii="Traditional Arabic" w:hAnsi="Traditional Arabic" w:cs="Traditional Arabic"/>
                <w:b/>
                <w:bCs/>
                <w:sz w:val="28"/>
                <w:szCs w:val="28"/>
                <w:rtl/>
                <w:lang w:val="en-US"/>
              </w:rPr>
              <w:t>الهدف المقابل</w:t>
            </w:r>
          </w:p>
        </w:tc>
        <w:tc>
          <w:tcPr>
            <w:tcW w:w="0" w:type="auto"/>
            <w:hideMark/>
          </w:tcPr>
          <w:p w14:paraId="715AA741" w14:textId="77777777" w:rsidR="00D46B92" w:rsidRPr="00D46B92" w:rsidRDefault="00D46B92" w:rsidP="00D46B92">
            <w:pPr>
              <w:bidi/>
              <w:jc w:val="both"/>
              <w:rPr>
                <w:rFonts w:ascii="Traditional Arabic" w:hAnsi="Traditional Arabic" w:cs="Traditional Arabic"/>
                <w:b/>
                <w:bCs/>
                <w:sz w:val="28"/>
                <w:szCs w:val="28"/>
                <w:lang w:val="en-US"/>
              </w:rPr>
            </w:pPr>
            <w:r w:rsidRPr="00D46B92">
              <w:rPr>
                <w:rFonts w:ascii="Traditional Arabic" w:hAnsi="Traditional Arabic" w:cs="Traditional Arabic"/>
                <w:b/>
                <w:bCs/>
                <w:sz w:val="28"/>
                <w:szCs w:val="28"/>
                <w:rtl/>
                <w:lang w:val="en-US"/>
              </w:rPr>
              <w:t>الأسلوب الإحصائي</w:t>
            </w:r>
          </w:p>
        </w:tc>
        <w:tc>
          <w:tcPr>
            <w:tcW w:w="0" w:type="auto"/>
            <w:hideMark/>
          </w:tcPr>
          <w:p w14:paraId="3DCF61C6" w14:textId="77777777" w:rsidR="00D46B92" w:rsidRPr="00D46B92" w:rsidRDefault="00D46B92" w:rsidP="00D46B92">
            <w:pPr>
              <w:bidi/>
              <w:jc w:val="both"/>
              <w:rPr>
                <w:rFonts w:ascii="Traditional Arabic" w:hAnsi="Traditional Arabic" w:cs="Traditional Arabic"/>
                <w:b/>
                <w:bCs/>
                <w:sz w:val="28"/>
                <w:szCs w:val="28"/>
                <w:lang w:val="en-US"/>
              </w:rPr>
            </w:pPr>
            <w:r w:rsidRPr="00D46B92">
              <w:rPr>
                <w:rFonts w:ascii="Traditional Arabic" w:hAnsi="Traditional Arabic" w:cs="Traditional Arabic"/>
                <w:b/>
                <w:bCs/>
                <w:sz w:val="28"/>
                <w:szCs w:val="28"/>
                <w:rtl/>
                <w:lang w:val="en-US"/>
              </w:rPr>
              <w:t>المؤشرات الإحصائية المتوقع عرضها</w:t>
            </w:r>
          </w:p>
        </w:tc>
      </w:tr>
      <w:tr w:rsidR="00D46B92" w:rsidRPr="00D46B92" w14:paraId="3A1F86EF" w14:textId="77777777" w:rsidTr="00D46B92">
        <w:tc>
          <w:tcPr>
            <w:tcW w:w="0" w:type="auto"/>
            <w:hideMark/>
          </w:tcPr>
          <w:p w14:paraId="4927241F"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1</w:t>
            </w:r>
          </w:p>
        </w:tc>
        <w:tc>
          <w:tcPr>
            <w:tcW w:w="0" w:type="auto"/>
            <w:hideMark/>
          </w:tcPr>
          <w:p w14:paraId="7DA18682"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ما مستوى تطبيق أبعاد التحول الرقمي (البنية التحتية الرقمية والتقنيات الرقمية، والكفاءة الرقمية للموظفين، وتكامل الأنظمة الرقمية وعمليات الرقمنة، والأمن وحماية البيانات الرقمية)؟</w:t>
            </w:r>
          </w:p>
        </w:tc>
        <w:tc>
          <w:tcPr>
            <w:tcW w:w="0" w:type="auto"/>
            <w:hideMark/>
          </w:tcPr>
          <w:p w14:paraId="38B233D8"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التعرف على مستوى تطبيق أبعاد التحول الرقمي</w:t>
            </w:r>
          </w:p>
        </w:tc>
        <w:tc>
          <w:tcPr>
            <w:tcW w:w="0" w:type="auto"/>
            <w:hideMark/>
          </w:tcPr>
          <w:p w14:paraId="277BC0A9"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الإحصاءات الوصفية</w:t>
            </w:r>
          </w:p>
        </w:tc>
        <w:tc>
          <w:tcPr>
            <w:tcW w:w="0" w:type="auto"/>
            <w:hideMark/>
          </w:tcPr>
          <w:p w14:paraId="519AC90B"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التكرارات، النسب المئوية، المتوسطات الحسابية، الانحرافات المعيارية، الرتب</w:t>
            </w:r>
          </w:p>
        </w:tc>
      </w:tr>
      <w:tr w:rsidR="00D46B92" w:rsidRPr="00D46B92" w14:paraId="764AC556" w14:textId="77777777" w:rsidTr="00D46B92">
        <w:tc>
          <w:tcPr>
            <w:tcW w:w="0" w:type="auto"/>
            <w:hideMark/>
          </w:tcPr>
          <w:p w14:paraId="668853CA"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2</w:t>
            </w:r>
          </w:p>
        </w:tc>
        <w:tc>
          <w:tcPr>
            <w:tcW w:w="0" w:type="auto"/>
            <w:hideMark/>
          </w:tcPr>
          <w:p w14:paraId="17036BD7"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ما مستوى الاستقرار الوظيفي لدى العاملين في المستشفيات الحكومية بمدينة جدة؟</w:t>
            </w:r>
          </w:p>
        </w:tc>
        <w:tc>
          <w:tcPr>
            <w:tcW w:w="0" w:type="auto"/>
            <w:hideMark/>
          </w:tcPr>
          <w:p w14:paraId="794CC974"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التعرف على مستوى الاستقرار الوظيفي</w:t>
            </w:r>
          </w:p>
        </w:tc>
        <w:tc>
          <w:tcPr>
            <w:tcW w:w="0" w:type="auto"/>
            <w:hideMark/>
          </w:tcPr>
          <w:p w14:paraId="11D969BE"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الإحصاءات الوصفية</w:t>
            </w:r>
          </w:p>
        </w:tc>
        <w:tc>
          <w:tcPr>
            <w:tcW w:w="0" w:type="auto"/>
            <w:hideMark/>
          </w:tcPr>
          <w:p w14:paraId="5CBA6893"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المتوسطات الحسابية، الانحرافات المعيارية، الرتب</w:t>
            </w:r>
          </w:p>
        </w:tc>
      </w:tr>
      <w:tr w:rsidR="00D46B92" w:rsidRPr="00D46B92" w14:paraId="09DC4098" w14:textId="77777777" w:rsidTr="00D46B92">
        <w:tc>
          <w:tcPr>
            <w:tcW w:w="0" w:type="auto"/>
            <w:hideMark/>
          </w:tcPr>
          <w:p w14:paraId="2D8170B3"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3</w:t>
            </w:r>
          </w:p>
        </w:tc>
        <w:tc>
          <w:tcPr>
            <w:tcW w:w="0" w:type="auto"/>
            <w:hideMark/>
          </w:tcPr>
          <w:p w14:paraId="59CD51A0"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lang w:val="en-US"/>
              </w:rPr>
              <w:t>H</w:t>
            </w:r>
            <w:r w:rsidRPr="00D954DC">
              <w:rPr>
                <w:rFonts w:ascii="Times New Roman" w:hAnsi="Times New Roman" w:cs="Times New Roman"/>
                <w:sz w:val="28"/>
                <w:szCs w:val="28"/>
                <w:lang w:val="en-US"/>
              </w:rPr>
              <w:t>₀₁</w:t>
            </w:r>
            <w:r w:rsidRPr="00D954DC">
              <w:rPr>
                <w:rFonts w:ascii="Traditional Arabic" w:hAnsi="Traditional Arabic" w:cs="Traditional Arabic"/>
                <w:sz w:val="28"/>
                <w:szCs w:val="28"/>
                <w:rtl/>
                <w:lang w:val="en-US"/>
              </w:rPr>
              <w:t>: لا يوجد أثر ذو دلالة إحصائية لأبعاد التحول الرقمي مجتمعة في الاستقرار الوظيفي.</w:t>
            </w:r>
          </w:p>
        </w:tc>
        <w:tc>
          <w:tcPr>
            <w:tcW w:w="0" w:type="auto"/>
            <w:hideMark/>
          </w:tcPr>
          <w:p w14:paraId="34C155B8"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rtl/>
                <w:lang w:val="en-US"/>
              </w:rPr>
              <w:t>اختبار الفرضية الرئيسة</w:t>
            </w:r>
          </w:p>
        </w:tc>
        <w:tc>
          <w:tcPr>
            <w:tcW w:w="0" w:type="auto"/>
            <w:hideMark/>
          </w:tcPr>
          <w:p w14:paraId="78025193"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rtl/>
                <w:lang w:val="en-US"/>
              </w:rPr>
              <w:t>الانحدار الخطي المتعدد</w:t>
            </w:r>
            <w:r w:rsidRPr="00D954DC">
              <w:rPr>
                <w:rFonts w:ascii="Traditional Arabic" w:hAnsi="Traditional Arabic" w:cs="Traditional Arabic"/>
                <w:sz w:val="28"/>
                <w:szCs w:val="28"/>
                <w:lang w:val="en-US"/>
              </w:rPr>
              <w:t xml:space="preserve"> (Multiple Linear Regression)</w:t>
            </w:r>
          </w:p>
        </w:tc>
        <w:tc>
          <w:tcPr>
            <w:tcW w:w="0" w:type="auto"/>
            <w:hideMark/>
          </w:tcPr>
          <w:p w14:paraId="0C007D86" w14:textId="77777777" w:rsidR="00D46B92" w:rsidRPr="00D46B92" w:rsidRDefault="00D46B92" w:rsidP="00D954DC">
            <w:pPr>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R</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R²</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Adjusted R²</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F</w:t>
            </w:r>
            <w:r w:rsidRPr="00D46B92">
              <w:rPr>
                <w:rFonts w:ascii="Traditional Arabic" w:hAnsi="Traditional Arabic" w:cs="Traditional Arabic"/>
                <w:sz w:val="28"/>
                <w:szCs w:val="28"/>
                <w:rtl/>
                <w:lang w:val="en-US"/>
              </w:rPr>
              <w:t>، مستوى الدلالة</w:t>
            </w:r>
            <w:r w:rsidRPr="00D46B92">
              <w:rPr>
                <w:rFonts w:ascii="Traditional Arabic" w:hAnsi="Traditional Arabic" w:cs="Traditional Arabic"/>
                <w:sz w:val="28"/>
                <w:szCs w:val="28"/>
                <w:lang w:val="en-US"/>
              </w:rPr>
              <w:t xml:space="preserve"> (Sig.)</w:t>
            </w:r>
          </w:p>
        </w:tc>
      </w:tr>
      <w:tr w:rsidR="00D46B92" w:rsidRPr="00D46B92" w14:paraId="7EBEF4F7" w14:textId="77777777" w:rsidTr="00D46B92">
        <w:tc>
          <w:tcPr>
            <w:tcW w:w="0" w:type="auto"/>
            <w:hideMark/>
          </w:tcPr>
          <w:p w14:paraId="61A6C28F"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4</w:t>
            </w:r>
          </w:p>
        </w:tc>
        <w:tc>
          <w:tcPr>
            <w:tcW w:w="0" w:type="auto"/>
            <w:hideMark/>
          </w:tcPr>
          <w:p w14:paraId="5582E2C1"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lang w:val="en-US"/>
              </w:rPr>
              <w:t>H</w:t>
            </w:r>
            <w:r w:rsidRPr="00D954DC">
              <w:rPr>
                <w:rFonts w:ascii="Times New Roman" w:hAnsi="Times New Roman" w:cs="Times New Roman"/>
                <w:sz w:val="28"/>
                <w:szCs w:val="28"/>
                <w:lang w:val="en-US"/>
              </w:rPr>
              <w:t>₀₁</w:t>
            </w:r>
            <w:r w:rsidRPr="00D954DC">
              <w:rPr>
                <w:rFonts w:ascii="Traditional Arabic" w:hAnsi="Traditional Arabic" w:cs="Traditional Arabic"/>
                <w:sz w:val="28"/>
                <w:szCs w:val="28"/>
                <w:lang w:val="en-US"/>
              </w:rPr>
              <w:t>a</w:t>
            </w:r>
            <w:r w:rsidRPr="00D954DC">
              <w:rPr>
                <w:rFonts w:ascii="Traditional Arabic" w:hAnsi="Traditional Arabic" w:cs="Traditional Arabic"/>
                <w:sz w:val="28"/>
                <w:szCs w:val="28"/>
                <w:rtl/>
                <w:lang w:val="en-US"/>
              </w:rPr>
              <w:t>: لا يوجد أثر للبنية التحتية الرقمية والتقنيات الرقمية في الاستقرار الوظيفي.</w:t>
            </w:r>
          </w:p>
        </w:tc>
        <w:tc>
          <w:tcPr>
            <w:tcW w:w="0" w:type="auto"/>
            <w:hideMark/>
          </w:tcPr>
          <w:p w14:paraId="1941FB27"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rtl/>
                <w:lang w:val="en-US"/>
              </w:rPr>
              <w:t>اختبار الفرضية الفرعية الأولى</w:t>
            </w:r>
          </w:p>
        </w:tc>
        <w:tc>
          <w:tcPr>
            <w:tcW w:w="0" w:type="auto"/>
            <w:hideMark/>
          </w:tcPr>
          <w:p w14:paraId="134CD65F"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rtl/>
                <w:lang w:val="en-US"/>
              </w:rPr>
              <w:t>الانحدار الخطي المتعدد (ضمن النموذج الكلي)</w:t>
            </w:r>
          </w:p>
        </w:tc>
        <w:tc>
          <w:tcPr>
            <w:tcW w:w="0" w:type="auto"/>
            <w:hideMark/>
          </w:tcPr>
          <w:p w14:paraId="05C8ADC4" w14:textId="77777777" w:rsidR="00D46B92" w:rsidRPr="00D46B92" w:rsidRDefault="00D46B92" w:rsidP="00D954DC">
            <w:pPr>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Beta</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t</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Sig.</w:t>
            </w:r>
          </w:p>
        </w:tc>
      </w:tr>
      <w:tr w:rsidR="00D46B92" w:rsidRPr="00D46B92" w14:paraId="54FE195B" w14:textId="77777777" w:rsidTr="00D46B92">
        <w:tc>
          <w:tcPr>
            <w:tcW w:w="0" w:type="auto"/>
            <w:hideMark/>
          </w:tcPr>
          <w:p w14:paraId="7EC8B3D8"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5</w:t>
            </w:r>
          </w:p>
        </w:tc>
        <w:tc>
          <w:tcPr>
            <w:tcW w:w="0" w:type="auto"/>
            <w:hideMark/>
          </w:tcPr>
          <w:p w14:paraId="74A858EE"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lang w:val="en-US"/>
              </w:rPr>
              <w:t>H</w:t>
            </w:r>
            <w:r w:rsidRPr="00D954DC">
              <w:rPr>
                <w:rFonts w:ascii="Times New Roman" w:hAnsi="Times New Roman" w:cs="Times New Roman"/>
                <w:sz w:val="28"/>
                <w:szCs w:val="28"/>
                <w:lang w:val="en-US"/>
              </w:rPr>
              <w:t>₀₁</w:t>
            </w:r>
            <w:r w:rsidRPr="00D954DC">
              <w:rPr>
                <w:rFonts w:ascii="Traditional Arabic" w:hAnsi="Traditional Arabic" w:cs="Traditional Arabic"/>
                <w:sz w:val="28"/>
                <w:szCs w:val="28"/>
                <w:lang w:val="en-US"/>
              </w:rPr>
              <w:t>b</w:t>
            </w:r>
            <w:r w:rsidRPr="00D954DC">
              <w:rPr>
                <w:rFonts w:ascii="Traditional Arabic" w:hAnsi="Traditional Arabic" w:cs="Traditional Arabic"/>
                <w:sz w:val="28"/>
                <w:szCs w:val="28"/>
                <w:rtl/>
                <w:lang w:val="en-US"/>
              </w:rPr>
              <w:t>: لا يوجد أثر للكفاءة الرقمية للموظفين في الاستقرار الوظيفي.</w:t>
            </w:r>
          </w:p>
        </w:tc>
        <w:tc>
          <w:tcPr>
            <w:tcW w:w="0" w:type="auto"/>
            <w:hideMark/>
          </w:tcPr>
          <w:p w14:paraId="79689F37"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اختبار الفرضية الفرعية الثانية</w:t>
            </w:r>
          </w:p>
        </w:tc>
        <w:tc>
          <w:tcPr>
            <w:tcW w:w="0" w:type="auto"/>
            <w:hideMark/>
          </w:tcPr>
          <w:p w14:paraId="3DB0EB74"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الانحدار الخطي المتعدد (ضمن النموذج الكلي)</w:t>
            </w:r>
          </w:p>
        </w:tc>
        <w:tc>
          <w:tcPr>
            <w:tcW w:w="0" w:type="auto"/>
            <w:hideMark/>
          </w:tcPr>
          <w:p w14:paraId="47459F53" w14:textId="77777777" w:rsidR="00D46B92" w:rsidRPr="00D46B92" w:rsidRDefault="00D46B92" w:rsidP="00D954DC">
            <w:pPr>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Beta</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t</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Sig.</w:t>
            </w:r>
          </w:p>
        </w:tc>
      </w:tr>
      <w:tr w:rsidR="00D46B92" w:rsidRPr="00D46B92" w14:paraId="5F86869C" w14:textId="77777777" w:rsidTr="00D46B92">
        <w:tc>
          <w:tcPr>
            <w:tcW w:w="0" w:type="auto"/>
            <w:hideMark/>
          </w:tcPr>
          <w:p w14:paraId="331F889C"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6</w:t>
            </w:r>
          </w:p>
        </w:tc>
        <w:tc>
          <w:tcPr>
            <w:tcW w:w="0" w:type="auto"/>
            <w:hideMark/>
          </w:tcPr>
          <w:p w14:paraId="5BC88643"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lang w:val="en-US"/>
              </w:rPr>
              <w:t>H</w:t>
            </w:r>
            <w:r w:rsidRPr="00D954DC">
              <w:rPr>
                <w:rFonts w:ascii="Times New Roman" w:hAnsi="Times New Roman" w:cs="Times New Roman"/>
                <w:sz w:val="28"/>
                <w:szCs w:val="28"/>
                <w:lang w:val="en-US"/>
              </w:rPr>
              <w:t>₀₁</w:t>
            </w:r>
            <w:r w:rsidRPr="00D954DC">
              <w:rPr>
                <w:rFonts w:ascii="Traditional Arabic" w:hAnsi="Traditional Arabic" w:cs="Traditional Arabic"/>
                <w:sz w:val="28"/>
                <w:szCs w:val="28"/>
                <w:lang w:val="en-US"/>
              </w:rPr>
              <w:t>c</w:t>
            </w:r>
            <w:r w:rsidRPr="00D954DC">
              <w:rPr>
                <w:rFonts w:ascii="Traditional Arabic" w:hAnsi="Traditional Arabic" w:cs="Traditional Arabic"/>
                <w:sz w:val="28"/>
                <w:szCs w:val="28"/>
                <w:rtl/>
                <w:lang w:val="en-US"/>
              </w:rPr>
              <w:t>: لا يوجد أثر لتكامل الأنظمة الرقمية وعمليات الرقمنة في الاستقرار الوظيفي.</w:t>
            </w:r>
          </w:p>
        </w:tc>
        <w:tc>
          <w:tcPr>
            <w:tcW w:w="0" w:type="auto"/>
            <w:hideMark/>
          </w:tcPr>
          <w:p w14:paraId="36D39E05"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اختبار الفرضية الفرعية الثالثة</w:t>
            </w:r>
          </w:p>
        </w:tc>
        <w:tc>
          <w:tcPr>
            <w:tcW w:w="0" w:type="auto"/>
            <w:hideMark/>
          </w:tcPr>
          <w:p w14:paraId="6F61EBF2"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الانحدار الخطي المتعدد (ضمن النموذج الكلي)</w:t>
            </w:r>
          </w:p>
        </w:tc>
        <w:tc>
          <w:tcPr>
            <w:tcW w:w="0" w:type="auto"/>
            <w:hideMark/>
          </w:tcPr>
          <w:p w14:paraId="1AA5A3B8" w14:textId="77777777" w:rsidR="00D46B92" w:rsidRPr="00D46B92" w:rsidRDefault="00D46B92" w:rsidP="00D954DC">
            <w:pPr>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Beta</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t</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Sig.</w:t>
            </w:r>
          </w:p>
        </w:tc>
      </w:tr>
      <w:tr w:rsidR="00D46B92" w:rsidRPr="00D46B92" w14:paraId="576F03F2" w14:textId="77777777" w:rsidTr="00D46B92">
        <w:tc>
          <w:tcPr>
            <w:tcW w:w="0" w:type="auto"/>
            <w:hideMark/>
          </w:tcPr>
          <w:p w14:paraId="46E6F46D"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7</w:t>
            </w:r>
          </w:p>
        </w:tc>
        <w:tc>
          <w:tcPr>
            <w:tcW w:w="0" w:type="auto"/>
            <w:hideMark/>
          </w:tcPr>
          <w:p w14:paraId="253BC6B3"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lang w:val="en-US"/>
              </w:rPr>
              <w:t>H</w:t>
            </w:r>
            <w:r w:rsidRPr="00D954DC">
              <w:rPr>
                <w:rFonts w:ascii="Times New Roman" w:hAnsi="Times New Roman" w:cs="Times New Roman"/>
                <w:sz w:val="28"/>
                <w:szCs w:val="28"/>
                <w:lang w:val="en-US"/>
              </w:rPr>
              <w:t>₀₁</w:t>
            </w:r>
            <w:r w:rsidRPr="00D954DC">
              <w:rPr>
                <w:rFonts w:ascii="Traditional Arabic" w:hAnsi="Traditional Arabic" w:cs="Traditional Arabic"/>
                <w:sz w:val="28"/>
                <w:szCs w:val="28"/>
                <w:lang w:val="en-US"/>
              </w:rPr>
              <w:t>d</w:t>
            </w:r>
            <w:r w:rsidRPr="00D954DC">
              <w:rPr>
                <w:rFonts w:ascii="Traditional Arabic" w:hAnsi="Traditional Arabic" w:cs="Traditional Arabic"/>
                <w:sz w:val="28"/>
                <w:szCs w:val="28"/>
                <w:rtl/>
                <w:lang w:val="en-US"/>
              </w:rPr>
              <w:t>: لا يوجد أثر للأمن وحماية البيانات الرقمية في الاستقرار الوظيفي.</w:t>
            </w:r>
          </w:p>
        </w:tc>
        <w:tc>
          <w:tcPr>
            <w:tcW w:w="0" w:type="auto"/>
            <w:hideMark/>
          </w:tcPr>
          <w:p w14:paraId="01429759"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اختبار الفرضية الفرعية الرابعة</w:t>
            </w:r>
          </w:p>
        </w:tc>
        <w:tc>
          <w:tcPr>
            <w:tcW w:w="0" w:type="auto"/>
            <w:hideMark/>
          </w:tcPr>
          <w:p w14:paraId="72B4EE65"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الانحدار الخطي المتعدد (ضمن النموذج الكلي)</w:t>
            </w:r>
          </w:p>
        </w:tc>
        <w:tc>
          <w:tcPr>
            <w:tcW w:w="0" w:type="auto"/>
            <w:hideMark/>
          </w:tcPr>
          <w:p w14:paraId="222A9A52" w14:textId="77777777" w:rsidR="00D46B92" w:rsidRPr="00D46B92" w:rsidRDefault="00D46B92" w:rsidP="00D954DC">
            <w:pPr>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Beta</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t</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Sig.</w:t>
            </w:r>
          </w:p>
        </w:tc>
      </w:tr>
    </w:tbl>
    <w:p w14:paraId="58F731AE" w14:textId="77777777" w:rsidR="00675801" w:rsidRPr="00D46B92" w:rsidRDefault="00D954DC" w:rsidP="00D954DC">
      <w:pPr>
        <w:bidi/>
        <w:spacing w:line="360" w:lineRule="auto"/>
        <w:jc w:val="both"/>
        <w:rPr>
          <w:rFonts w:ascii="Traditional Arabic" w:hAnsi="Traditional Arabic" w:cs="Traditional Arabic"/>
          <w:sz w:val="32"/>
          <w:szCs w:val="32"/>
          <w:rtl/>
          <w:lang w:val="en-US"/>
        </w:rPr>
      </w:pPr>
      <w:r w:rsidRPr="00D954DC">
        <w:rPr>
          <w:rFonts w:ascii="Traditional Arabic" w:hAnsi="Traditional Arabic" w:cs="Traditional Arabic"/>
          <w:sz w:val="32"/>
          <w:szCs w:val="32"/>
          <w:rtl/>
          <w:lang w:val="en-US"/>
        </w:rPr>
        <w:t>يتضح من الجدول السابق أن الإحصاءات الوصفية ستستخدم للإجابة عن السؤالين المتعلقين بمستوى تطبيق أبعاد التحول الرقمي ومستوى الاستقرار الوظيفي، في حين سيستخدم تحليل الانحدار الخطي المتعدد لاختبار الفرضية الرئيسة والفرضيات الفرعية. وسيتم اختبار الفرضية الرئيسة من خلال دلالة النموذج الكلي وقيمة</w:t>
      </w:r>
      <w:r w:rsidRPr="00D954DC">
        <w:rPr>
          <w:rFonts w:ascii="Traditional Arabic" w:hAnsi="Traditional Arabic" w:cs="Traditional Arabic"/>
          <w:sz w:val="32"/>
          <w:szCs w:val="32"/>
        </w:rPr>
        <w:t xml:space="preserve"> (F) </w:t>
      </w:r>
      <w:r w:rsidRPr="00D954DC">
        <w:rPr>
          <w:rFonts w:ascii="Traditional Arabic" w:hAnsi="Traditional Arabic" w:cs="Traditional Arabic"/>
          <w:sz w:val="32"/>
          <w:szCs w:val="32"/>
          <w:rtl/>
          <w:lang w:val="en-US"/>
        </w:rPr>
        <w:t>ومعامل التحديد</w:t>
      </w:r>
      <w:r w:rsidRPr="00D954DC">
        <w:rPr>
          <w:rFonts w:ascii="Traditional Arabic" w:hAnsi="Traditional Arabic" w:cs="Traditional Arabic"/>
          <w:sz w:val="32"/>
          <w:szCs w:val="32"/>
        </w:rPr>
        <w:t xml:space="preserve"> (R²)</w:t>
      </w:r>
      <w:r w:rsidRPr="00D954DC">
        <w:rPr>
          <w:rFonts w:ascii="Traditional Arabic" w:hAnsi="Traditional Arabic" w:cs="Traditional Arabic"/>
          <w:sz w:val="32"/>
          <w:szCs w:val="32"/>
          <w:rtl/>
          <w:lang w:val="en-US"/>
        </w:rPr>
        <w:t>، بينما سيتم اختبار الفرضيات الفرعية من خلال معاملات الانحدار المعيارية</w:t>
      </w:r>
      <w:r w:rsidRPr="00D954DC">
        <w:rPr>
          <w:rFonts w:ascii="Traditional Arabic" w:hAnsi="Traditional Arabic" w:cs="Traditional Arabic"/>
          <w:sz w:val="32"/>
          <w:szCs w:val="32"/>
        </w:rPr>
        <w:t xml:space="preserve"> (Beta) </w:t>
      </w:r>
      <w:r w:rsidRPr="00D954DC">
        <w:rPr>
          <w:rFonts w:ascii="Traditional Arabic" w:hAnsi="Traditional Arabic" w:cs="Traditional Arabic"/>
          <w:sz w:val="32"/>
          <w:szCs w:val="32"/>
          <w:rtl/>
          <w:lang w:val="en-US"/>
        </w:rPr>
        <w:t>وقيم</w:t>
      </w:r>
      <w:r w:rsidRPr="00D954DC">
        <w:rPr>
          <w:rFonts w:ascii="Traditional Arabic" w:hAnsi="Traditional Arabic" w:cs="Traditional Arabic"/>
          <w:sz w:val="32"/>
          <w:szCs w:val="32"/>
        </w:rPr>
        <w:t xml:space="preserve"> (t) </w:t>
      </w:r>
      <w:r w:rsidRPr="00D954DC">
        <w:rPr>
          <w:rFonts w:ascii="Traditional Arabic" w:hAnsi="Traditional Arabic" w:cs="Traditional Arabic"/>
          <w:sz w:val="32"/>
          <w:szCs w:val="32"/>
          <w:rtl/>
          <w:lang w:val="en-US"/>
        </w:rPr>
        <w:t>ومستويات الدلالة الإحصائية الخاصة بكل بعد من أبعاد التحول الرقمي</w:t>
      </w:r>
      <w:r w:rsidRPr="00D954DC">
        <w:rPr>
          <w:rFonts w:ascii="Traditional Arabic" w:hAnsi="Traditional Arabic" w:cs="Traditional Arabic"/>
          <w:sz w:val="32"/>
          <w:szCs w:val="32"/>
        </w:rPr>
        <w:t>.</w:t>
      </w:r>
    </w:p>
    <w:p w14:paraId="1E39C717" w14:textId="77777777" w:rsidR="00675801" w:rsidRPr="009E4789" w:rsidRDefault="009E4789" w:rsidP="00675801">
      <w:pPr>
        <w:bidi/>
        <w:spacing w:line="360" w:lineRule="auto"/>
        <w:jc w:val="both"/>
        <w:rPr>
          <w:rFonts w:ascii="Traditional Arabic" w:hAnsi="Traditional Arabic" w:cs="Traditional Arabic"/>
          <w:b/>
          <w:bCs/>
          <w:sz w:val="32"/>
          <w:szCs w:val="32"/>
          <w:rtl/>
          <w:lang w:val="en-US"/>
        </w:rPr>
      </w:pPr>
      <w:r w:rsidRPr="009E4789">
        <w:rPr>
          <w:rFonts w:ascii="Traditional Arabic" w:hAnsi="Traditional Arabic" w:cs="Traditional Arabic" w:hint="cs"/>
          <w:b/>
          <w:bCs/>
          <w:sz w:val="32"/>
          <w:szCs w:val="32"/>
          <w:rtl/>
          <w:lang w:val="en-US"/>
        </w:rPr>
        <w:t xml:space="preserve">3.12 الاعتبارات الأخلاقية </w:t>
      </w:r>
    </w:p>
    <w:p w14:paraId="29977FE5"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التزمت هذه الدراسة بمجموعة من المبادئ الأخلاقية المتعارف عليها في البحوث العلمية التي تتضمن جمع بيانات من المشاركين، وذلك بما يضمن حماية حقوقهم والمحافظة على خصوصية المعلومات التي يقدمونها</w:t>
      </w:r>
      <w:r w:rsidRPr="009E4789">
        <w:rPr>
          <w:rFonts w:ascii="Traditional Arabic" w:hAnsi="Traditional Arabic" w:cs="Traditional Arabic"/>
          <w:sz w:val="32"/>
          <w:szCs w:val="32"/>
          <w:lang w:val="en-US"/>
        </w:rPr>
        <w:t>.</w:t>
      </w:r>
    </w:p>
    <w:p w14:paraId="3412330F"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وقبل توزيع الاستبانة، تم التنسيق مع الجهات ذات العلاقة في المستشفيات الحكومية المشمولة بالدراسة للحصول على الموافقات اللازمة لتسهيل تنفيذ الدراسة. كما تم إبلاغ المشاركين بأن مشاركتهم في الدراسة اختيارية بالكامل، وأن لهم الحق في الامتناع عن المشاركة أو الانسحاب في أي وقت دون أن يترتب على ذلك أي آثار أو تبعات وظيفية</w:t>
      </w:r>
      <w:r w:rsidRPr="009E4789">
        <w:rPr>
          <w:rFonts w:ascii="Traditional Arabic" w:hAnsi="Traditional Arabic" w:cs="Traditional Arabic"/>
          <w:sz w:val="32"/>
          <w:szCs w:val="32"/>
          <w:lang w:val="en-US"/>
        </w:rPr>
        <w:t>.</w:t>
      </w:r>
    </w:p>
    <w:p w14:paraId="393D8923"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وحرص الباحث على عدم جمع أي بيانات شخصية يمكن أن تكشف عن هوية المشاركين، مثل الأسماء أو أرقام الموظفين، واقتصرت البيانات المطلوبة على المعلومات اللازمة لتحقيق أهداف الدراسة. كما تعهد الباحث باستخدام البيانات لأغراض البحث العلمي فقط، مع المحافظة على سريتها وعدم إتاحتها لأي جهة غير مخولة</w:t>
      </w:r>
      <w:r w:rsidRPr="009E4789">
        <w:rPr>
          <w:rFonts w:ascii="Traditional Arabic" w:hAnsi="Traditional Arabic" w:cs="Traditional Arabic"/>
          <w:sz w:val="32"/>
          <w:szCs w:val="32"/>
          <w:lang w:val="en-US"/>
        </w:rPr>
        <w:t>.</w:t>
      </w:r>
    </w:p>
    <w:p w14:paraId="08C2D085" w14:textId="77777777" w:rsidR="009E4789" w:rsidRDefault="009E4789" w:rsidP="009E4789">
      <w:pPr>
        <w:bidi/>
        <w:spacing w:line="360" w:lineRule="auto"/>
        <w:jc w:val="both"/>
        <w:rPr>
          <w:rFonts w:ascii="Traditional Arabic" w:hAnsi="Traditional Arabic" w:cs="Traditional Arabic"/>
          <w:sz w:val="32"/>
          <w:szCs w:val="32"/>
          <w:rtl/>
          <w:lang w:val="en-US"/>
        </w:rPr>
      </w:pPr>
      <w:r w:rsidRPr="009E4789">
        <w:rPr>
          <w:rFonts w:ascii="Traditional Arabic" w:hAnsi="Traditional Arabic" w:cs="Traditional Arabic"/>
          <w:sz w:val="32"/>
          <w:szCs w:val="32"/>
          <w:rtl/>
          <w:lang w:val="en-US"/>
        </w:rPr>
        <w:t>وسوف تُعرض نتائج الدراسة بصورة مجمعة على مستوى العينة، دون الإشارة إلى بيانات أو معلومات يمكن أن تؤدي إلى التعرف على هوية أي مشارك أو أي جهة بعينها، وذلك التزامًا بمبادئ السرية والخصوصية والأمانة العلمية</w:t>
      </w:r>
      <w:r w:rsidRPr="009E4789">
        <w:rPr>
          <w:rFonts w:ascii="Traditional Arabic" w:hAnsi="Traditional Arabic" w:cs="Traditional Arabic"/>
          <w:sz w:val="32"/>
          <w:szCs w:val="32"/>
          <w:lang w:val="en-US"/>
        </w:rPr>
        <w:t>.</w:t>
      </w:r>
    </w:p>
    <w:p w14:paraId="34C638C3" w14:textId="77777777" w:rsidR="00B02504" w:rsidRPr="009E4789" w:rsidRDefault="00B02504" w:rsidP="00B02504">
      <w:pPr>
        <w:bidi/>
        <w:spacing w:line="360" w:lineRule="auto"/>
        <w:jc w:val="both"/>
        <w:rPr>
          <w:rFonts w:ascii="Traditional Arabic" w:hAnsi="Traditional Arabic" w:cs="Traditional Arabic"/>
          <w:sz w:val="32"/>
          <w:szCs w:val="32"/>
          <w:lang w:val="en-US"/>
        </w:rPr>
      </w:pPr>
      <w:r w:rsidRPr="00B02504">
        <w:rPr>
          <w:rFonts w:ascii="Traditional Arabic" w:hAnsi="Traditional Arabic" w:cs="Traditional Arabic"/>
          <w:sz w:val="32"/>
          <w:szCs w:val="32"/>
          <w:highlight w:val="yellow"/>
          <w:rtl/>
          <w:lang w:val="en-US"/>
        </w:rPr>
        <w:t>وقبل مشاركة أفراد العينة في الدراسة، سيتم تزويدهم بمعلومات واضحة عن هدف الدراسة وطبيعة مشاركتهم فيها، والتأكيد على أن المشاركة طوعية، وأن لهم الحق في الامتناع عن المشاركة أو الانسحاب في أي وقت دون أي آثار وظيفية، ولن يتم استخدام البيانات إلا للأغراض الأكاديمية والبحثية المتعلقة بهذه الدراسة. ويُعد إتمام الاستبانة وتقديمها موافقة مستنيرة على المشارك</w:t>
      </w:r>
      <w:r w:rsidRPr="00B02504">
        <w:rPr>
          <w:rFonts w:ascii="Traditional Arabic" w:hAnsi="Traditional Arabic" w:cs="Traditional Arabic" w:hint="cs"/>
          <w:sz w:val="32"/>
          <w:szCs w:val="32"/>
          <w:highlight w:val="yellow"/>
          <w:rtl/>
          <w:lang w:val="en-US"/>
        </w:rPr>
        <w:t>.</w:t>
      </w:r>
    </w:p>
    <w:p w14:paraId="337C5E64" w14:textId="77777777" w:rsidR="00521338" w:rsidRPr="00521338" w:rsidRDefault="00521338" w:rsidP="00521338">
      <w:pPr>
        <w:pageBreakBefore/>
        <w:bidi/>
        <w:spacing w:line="360" w:lineRule="auto"/>
        <w:jc w:val="both"/>
        <w:rPr>
          <w:rFonts w:ascii="Traditional Arabic" w:eastAsia="Calibri" w:hAnsi="Traditional Arabic" w:cs="Traditional Arabic"/>
          <w:sz w:val="32"/>
          <w:szCs w:val="32"/>
          <w:shd w:val="clear" w:color="auto" w:fill="FFFFFF"/>
          <w:rtl/>
          <w:lang w:val="en-US"/>
        </w:rPr>
      </w:pPr>
      <w:r w:rsidRPr="00521338">
        <w:rPr>
          <w:rFonts w:ascii="Traditional Arabic" w:eastAsia="Calibri" w:hAnsi="Traditional Arabic" w:cs="Traditional Arabic" w:hint="cs"/>
          <w:b/>
          <w:bCs/>
          <w:sz w:val="32"/>
          <w:szCs w:val="32"/>
          <w:rtl/>
          <w:lang w:val="en-US"/>
        </w:rPr>
        <w:t xml:space="preserve">قائمة </w:t>
      </w:r>
      <w:r w:rsidRPr="00521338">
        <w:rPr>
          <w:rFonts w:ascii="Traditional Arabic" w:eastAsia="Calibri" w:hAnsi="Traditional Arabic" w:cs="Traditional Arabic"/>
          <w:b/>
          <w:bCs/>
          <w:sz w:val="32"/>
          <w:szCs w:val="32"/>
          <w:rtl/>
          <w:lang w:val="en-US"/>
        </w:rPr>
        <w:t>المراجع</w:t>
      </w:r>
    </w:p>
    <w:p w14:paraId="453DFC18" w14:textId="77777777" w:rsidR="00521338" w:rsidRPr="00521338" w:rsidRDefault="00521338" w:rsidP="00521338">
      <w:pPr>
        <w:bidi/>
        <w:spacing w:line="360" w:lineRule="auto"/>
        <w:jc w:val="both"/>
        <w:rPr>
          <w:rFonts w:ascii="Traditional Arabic" w:eastAsia="Calibri" w:hAnsi="Traditional Arabic" w:cs="Traditional Arabic"/>
          <w:b/>
          <w:bCs/>
          <w:sz w:val="32"/>
          <w:szCs w:val="32"/>
          <w:shd w:val="clear" w:color="auto" w:fill="FFFFFF"/>
          <w:rtl/>
          <w:lang w:val="en-US"/>
        </w:rPr>
      </w:pPr>
      <w:r w:rsidRPr="00521338">
        <w:rPr>
          <w:rFonts w:ascii="Traditional Arabic" w:eastAsia="Calibri" w:hAnsi="Traditional Arabic" w:cs="Traditional Arabic"/>
          <w:b/>
          <w:bCs/>
          <w:sz w:val="32"/>
          <w:szCs w:val="32"/>
          <w:shd w:val="clear" w:color="auto" w:fill="FFFFFF"/>
          <w:rtl/>
          <w:lang w:val="en-US"/>
        </w:rPr>
        <w:t>اولا: المراجع العربية</w:t>
      </w:r>
    </w:p>
    <w:p w14:paraId="75FCEF6B"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العتيبي، م. م. و. (2025). دور التحول الرقمي في تحسين خدمات الرعاية الصحية: دراسة تطبيقية على مديرية الشؤون الصحية بمكة المكرمة</w:t>
      </w:r>
      <w:r w:rsidRPr="00521338">
        <w:rPr>
          <w:rFonts w:ascii="Traditional Arabic" w:eastAsia="Calibri" w:hAnsi="Traditional Arabic" w:cs="Traditional Arabic"/>
          <w:sz w:val="28"/>
          <w:szCs w:val="28"/>
          <w:shd w:val="clear" w:color="auto" w:fill="FFFFFF"/>
          <w:lang w:val="en-US"/>
        </w:rPr>
        <w:t xml:space="preserve">. </w:t>
      </w:r>
      <w:r w:rsidRPr="00521338">
        <w:rPr>
          <w:rFonts w:ascii="Traditional Arabic" w:eastAsia="Calibri" w:hAnsi="Traditional Arabic" w:cs="Traditional Arabic"/>
          <w:i/>
          <w:iCs/>
          <w:sz w:val="28"/>
          <w:szCs w:val="28"/>
          <w:shd w:val="clear" w:color="auto" w:fill="FFFFFF"/>
          <w:rtl/>
          <w:lang w:val="en-US"/>
        </w:rPr>
        <w:t>المجلة المصرية للعلوم الاجتماعية والإنسانية، 20</w:t>
      </w:r>
      <w:r w:rsidRPr="00521338">
        <w:rPr>
          <w:rFonts w:ascii="Traditional Arabic" w:eastAsia="Calibri" w:hAnsi="Traditional Arabic" w:cs="Traditional Arabic"/>
          <w:sz w:val="28"/>
          <w:szCs w:val="28"/>
          <w:shd w:val="clear" w:color="auto" w:fill="FFFFFF"/>
          <w:lang w:val="en-US"/>
        </w:rPr>
        <w:t>(5)</w:t>
      </w:r>
      <w:r w:rsidRPr="00521338">
        <w:rPr>
          <w:rFonts w:ascii="Traditional Arabic" w:eastAsia="Calibri" w:hAnsi="Traditional Arabic" w:cs="Traditional Arabic"/>
          <w:sz w:val="28"/>
          <w:szCs w:val="28"/>
          <w:shd w:val="clear" w:color="auto" w:fill="FFFFFF"/>
          <w:rtl/>
          <w:lang w:val="en-US"/>
        </w:rPr>
        <w:t xml:space="preserve">، 35–72. </w:t>
      </w:r>
      <w:r w:rsidRPr="00521338">
        <w:rPr>
          <w:rFonts w:ascii="Traditional Arabic" w:eastAsia="Calibri" w:hAnsi="Traditional Arabic" w:cs="Traditional Arabic"/>
          <w:sz w:val="28"/>
          <w:szCs w:val="28"/>
          <w:shd w:val="clear" w:color="auto" w:fill="FFFFFF"/>
          <w:lang w:val="en-US"/>
        </w:rPr>
        <w:t>https://doi.org/10.21608/fjssj.2025.391780</w:t>
      </w:r>
    </w:p>
    <w:p w14:paraId="0379DFC0"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بوخلوة، بن عريمة. (2024). أثر التحول الرقمي على الأداء الوظيفي: دراسة ميدانية بمؤسسة موبيليس بورقلة</w:t>
      </w:r>
      <w:r w:rsidRPr="00521338">
        <w:rPr>
          <w:rFonts w:ascii="Traditional Arabic" w:eastAsia="Calibri" w:hAnsi="Traditional Arabic" w:cs="Traditional Arabic"/>
          <w:sz w:val="28"/>
          <w:szCs w:val="28"/>
          <w:shd w:val="clear" w:color="auto" w:fill="FFFFFF"/>
          <w:lang w:val="en-US"/>
        </w:rPr>
        <w:t xml:space="preserve">. </w:t>
      </w:r>
      <w:r w:rsidRPr="00521338">
        <w:rPr>
          <w:rFonts w:ascii="Traditional Arabic" w:eastAsia="Calibri" w:hAnsi="Traditional Arabic" w:cs="Traditional Arabic"/>
          <w:i/>
          <w:iCs/>
          <w:sz w:val="28"/>
          <w:szCs w:val="28"/>
          <w:shd w:val="clear" w:color="auto" w:fill="FFFFFF"/>
          <w:rtl/>
          <w:lang w:val="en-US"/>
        </w:rPr>
        <w:t>المجلة المصرية للعلوم الاجتماعية والإنسانية، 20</w:t>
      </w:r>
      <w:r w:rsidRPr="00521338">
        <w:rPr>
          <w:rFonts w:ascii="Traditional Arabic" w:eastAsia="Calibri" w:hAnsi="Traditional Arabic" w:cs="Traditional Arabic"/>
          <w:sz w:val="28"/>
          <w:szCs w:val="28"/>
          <w:shd w:val="clear" w:color="auto" w:fill="FFFFFF"/>
          <w:lang w:val="en-US"/>
        </w:rPr>
        <w:t>(5)</w:t>
      </w:r>
      <w:r w:rsidRPr="00521338">
        <w:rPr>
          <w:rFonts w:ascii="Traditional Arabic" w:eastAsia="Calibri" w:hAnsi="Traditional Arabic" w:cs="Traditional Arabic"/>
          <w:sz w:val="28"/>
          <w:szCs w:val="28"/>
          <w:shd w:val="clear" w:color="auto" w:fill="FFFFFF"/>
          <w:rtl/>
          <w:lang w:val="en-US"/>
        </w:rPr>
        <w:t xml:space="preserve">، 35–72. </w:t>
      </w:r>
      <w:r w:rsidRPr="00521338">
        <w:rPr>
          <w:rFonts w:ascii="Traditional Arabic" w:eastAsia="Calibri" w:hAnsi="Traditional Arabic" w:cs="Traditional Arabic"/>
          <w:sz w:val="28"/>
          <w:szCs w:val="28"/>
          <w:shd w:val="clear" w:color="auto" w:fill="FFFFFF"/>
          <w:lang w:val="en-US"/>
        </w:rPr>
        <w:t>https://doi.org/10.21608/fjssj.2025.391780</w:t>
      </w:r>
    </w:p>
    <w:p w14:paraId="7589703C"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سقاط، أ. ع</w:t>
      </w:r>
      <w:r w:rsidRPr="00521338">
        <w:rPr>
          <w:rFonts w:ascii="Traditional Arabic" w:eastAsia="Calibri" w:hAnsi="Traditional Arabic" w:cs="Traditional Arabic"/>
          <w:sz w:val="28"/>
          <w:szCs w:val="28"/>
          <w:shd w:val="clear" w:color="auto" w:fill="FFFFFF"/>
          <w:lang w:val="en-US"/>
        </w:rPr>
        <w:t>.</w:t>
      </w:r>
      <w:r w:rsidRPr="00521338">
        <w:rPr>
          <w:rFonts w:ascii="Traditional Arabic" w:eastAsia="Calibri" w:hAnsi="Traditional Arabic" w:cs="Traditional Arabic"/>
          <w:sz w:val="28"/>
          <w:szCs w:val="28"/>
          <w:shd w:val="clear" w:color="auto" w:fill="FFFFFF"/>
          <w:rtl/>
          <w:lang w:val="en-US"/>
        </w:rPr>
        <w:t xml:space="preserve">، </w:t>
      </w:r>
      <w:r w:rsidRPr="00521338">
        <w:rPr>
          <w:rFonts w:ascii="Traditional Arabic" w:eastAsia="Calibri" w:hAnsi="Traditional Arabic" w:cs="Traditional Arabic"/>
          <w:sz w:val="28"/>
          <w:szCs w:val="28"/>
          <w:shd w:val="clear" w:color="auto" w:fill="FFFFFF"/>
          <w:lang w:val="en-US"/>
        </w:rPr>
        <w:t xml:space="preserve">&amp; </w:t>
      </w:r>
      <w:r w:rsidRPr="00521338">
        <w:rPr>
          <w:rFonts w:ascii="Traditional Arabic" w:eastAsia="Calibri" w:hAnsi="Traditional Arabic" w:cs="Traditional Arabic"/>
          <w:sz w:val="28"/>
          <w:szCs w:val="28"/>
          <w:shd w:val="clear" w:color="auto" w:fill="FFFFFF"/>
          <w:rtl/>
          <w:lang w:val="en-US"/>
        </w:rPr>
        <w:t>عبد الرحمن، ر. ع. ع. (2022). التحول الرقمي في المؤسسات الحكومية وفق رؤية 2030: دراسة حالة مستشفى النور بمكة المكرمة</w:t>
      </w:r>
      <w:r w:rsidRPr="00521338">
        <w:rPr>
          <w:rFonts w:ascii="Traditional Arabic" w:eastAsia="Calibri" w:hAnsi="Traditional Arabic" w:cs="Traditional Arabic"/>
          <w:sz w:val="28"/>
          <w:szCs w:val="28"/>
          <w:shd w:val="clear" w:color="auto" w:fill="FFFFFF"/>
          <w:lang w:val="en-US"/>
        </w:rPr>
        <w:t xml:space="preserve">. </w:t>
      </w:r>
      <w:r w:rsidRPr="00521338">
        <w:rPr>
          <w:rFonts w:ascii="Traditional Arabic" w:eastAsia="Calibri" w:hAnsi="Traditional Arabic" w:cs="Traditional Arabic"/>
          <w:i/>
          <w:iCs/>
          <w:sz w:val="28"/>
          <w:szCs w:val="28"/>
          <w:shd w:val="clear" w:color="auto" w:fill="FFFFFF"/>
          <w:rtl/>
          <w:lang w:val="en-US"/>
        </w:rPr>
        <w:t>المجلة العربية للعلوم ونشر الأبحاث: مجلة العلوم الاقتصادية والإدارية والقانونية، 6</w:t>
      </w:r>
      <w:r w:rsidRPr="00521338">
        <w:rPr>
          <w:rFonts w:ascii="Traditional Arabic" w:eastAsia="Calibri" w:hAnsi="Traditional Arabic" w:cs="Traditional Arabic"/>
          <w:sz w:val="28"/>
          <w:szCs w:val="28"/>
          <w:shd w:val="clear" w:color="auto" w:fill="FFFFFF"/>
          <w:lang w:val="en-US"/>
        </w:rPr>
        <w:t>(25)</w:t>
      </w:r>
      <w:r w:rsidRPr="00521338">
        <w:rPr>
          <w:rFonts w:ascii="Traditional Arabic" w:eastAsia="Calibri" w:hAnsi="Traditional Arabic" w:cs="Traditional Arabic"/>
          <w:sz w:val="28"/>
          <w:szCs w:val="28"/>
          <w:shd w:val="clear" w:color="auto" w:fill="FFFFFF"/>
          <w:rtl/>
          <w:lang w:val="en-US"/>
        </w:rPr>
        <w:t>، 94–127.</w:t>
      </w:r>
    </w:p>
    <w:p w14:paraId="34A3A36F"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لبيض، إ. ع</w:t>
      </w:r>
      <w:r w:rsidRPr="00521338">
        <w:rPr>
          <w:rFonts w:ascii="Traditional Arabic" w:eastAsia="Calibri" w:hAnsi="Traditional Arabic" w:cs="Traditional Arabic"/>
          <w:sz w:val="28"/>
          <w:szCs w:val="28"/>
          <w:shd w:val="clear" w:color="auto" w:fill="FFFFFF"/>
          <w:lang w:val="en-US"/>
        </w:rPr>
        <w:t>.</w:t>
      </w:r>
      <w:r w:rsidRPr="00521338">
        <w:rPr>
          <w:rFonts w:ascii="Traditional Arabic" w:eastAsia="Calibri" w:hAnsi="Traditional Arabic" w:cs="Traditional Arabic"/>
          <w:sz w:val="28"/>
          <w:szCs w:val="28"/>
          <w:shd w:val="clear" w:color="auto" w:fill="FFFFFF"/>
          <w:rtl/>
          <w:lang w:val="en-US"/>
        </w:rPr>
        <w:t xml:space="preserve">، </w:t>
      </w:r>
      <w:r w:rsidRPr="00521338">
        <w:rPr>
          <w:rFonts w:ascii="Traditional Arabic" w:eastAsia="Calibri" w:hAnsi="Traditional Arabic" w:cs="Traditional Arabic"/>
          <w:sz w:val="28"/>
          <w:szCs w:val="28"/>
          <w:shd w:val="clear" w:color="auto" w:fill="FFFFFF"/>
          <w:lang w:val="en-US"/>
        </w:rPr>
        <w:t xml:space="preserve">&amp; </w:t>
      </w:r>
      <w:r w:rsidRPr="00521338">
        <w:rPr>
          <w:rFonts w:ascii="Traditional Arabic" w:eastAsia="Calibri" w:hAnsi="Traditional Arabic" w:cs="Traditional Arabic"/>
          <w:sz w:val="28"/>
          <w:szCs w:val="28"/>
          <w:shd w:val="clear" w:color="auto" w:fill="FFFFFF"/>
          <w:rtl/>
          <w:lang w:val="en-US"/>
        </w:rPr>
        <w:t>خلادي، ن. هـ. (2025). تأثير التحول الرقمي على جودة الخدمات الصحية من وجهة نظر الموظفين: دراسة حالة مستشفى عاليا صالح تبسة (مذكرة ماستر غير منشورة). كلية العلوم الاقتصادية والتجارية وعلوم التسيير، جامعة تبسة، الجزائر</w:t>
      </w:r>
      <w:r w:rsidRPr="00521338">
        <w:rPr>
          <w:rFonts w:ascii="Traditional Arabic" w:eastAsia="Calibri" w:hAnsi="Traditional Arabic" w:cs="Traditional Arabic"/>
          <w:sz w:val="28"/>
          <w:szCs w:val="28"/>
          <w:shd w:val="clear" w:color="auto" w:fill="FFFFFF"/>
          <w:lang w:val="en-US"/>
        </w:rPr>
        <w:t>.</w:t>
      </w:r>
    </w:p>
    <w:p w14:paraId="04C1B9E9"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 xml:space="preserve">وزارة الصحة السعودية. (2023). </w:t>
      </w:r>
      <w:r w:rsidRPr="00521338">
        <w:rPr>
          <w:rFonts w:ascii="Traditional Arabic" w:eastAsia="Calibri" w:hAnsi="Traditional Arabic" w:cs="Traditional Arabic"/>
          <w:i/>
          <w:iCs/>
          <w:sz w:val="28"/>
          <w:szCs w:val="28"/>
          <w:shd w:val="clear" w:color="auto" w:fill="FFFFFF"/>
          <w:rtl/>
          <w:lang w:val="en-US"/>
        </w:rPr>
        <w:t>برنامج تحول القطاع الصحي</w:t>
      </w:r>
      <w:r w:rsidRPr="00521338">
        <w:rPr>
          <w:rFonts w:ascii="Traditional Arabic" w:eastAsia="Calibri" w:hAnsi="Traditional Arabic" w:cs="Traditional Arabic"/>
          <w:sz w:val="28"/>
          <w:szCs w:val="28"/>
          <w:shd w:val="clear" w:color="auto" w:fill="FFFFFF"/>
          <w:rtl/>
          <w:lang w:val="en-US"/>
        </w:rPr>
        <w:t xml:space="preserve">. </w:t>
      </w:r>
    </w:p>
    <w:p w14:paraId="1705D84B"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واحبي، ك. (2025). استراتيجية التحول الرقمي في مؤسسات الرعاية الصحية كأداة لضمان جودة الخدمات الصحية: دراسة حالة المؤسسة العامة للصحة المجاورة في بويرا</w:t>
      </w:r>
      <w:r w:rsidRPr="00521338">
        <w:rPr>
          <w:rFonts w:ascii="Traditional Arabic" w:eastAsia="Calibri" w:hAnsi="Traditional Arabic" w:cs="Traditional Arabic"/>
          <w:sz w:val="28"/>
          <w:szCs w:val="28"/>
          <w:shd w:val="clear" w:color="auto" w:fill="FFFFFF"/>
          <w:lang w:val="en-US"/>
        </w:rPr>
        <w:t xml:space="preserve">. </w:t>
      </w:r>
      <w:r w:rsidRPr="00521338">
        <w:rPr>
          <w:rFonts w:ascii="Traditional Arabic" w:eastAsia="Calibri" w:hAnsi="Traditional Arabic" w:cs="Traditional Arabic"/>
          <w:i/>
          <w:iCs/>
          <w:sz w:val="28"/>
          <w:szCs w:val="28"/>
          <w:shd w:val="clear" w:color="auto" w:fill="FFFFFF"/>
          <w:rtl/>
          <w:lang w:val="en-US"/>
        </w:rPr>
        <w:t>المجلة العلمية للإدارة الصحية، 16</w:t>
      </w:r>
      <w:r w:rsidRPr="00521338">
        <w:rPr>
          <w:rFonts w:ascii="Traditional Arabic" w:eastAsia="Calibri" w:hAnsi="Traditional Arabic" w:cs="Traditional Arabic"/>
          <w:sz w:val="28"/>
          <w:szCs w:val="28"/>
          <w:shd w:val="clear" w:color="auto" w:fill="FFFFFF"/>
          <w:lang w:val="en-US"/>
        </w:rPr>
        <w:t>(1)</w:t>
      </w:r>
      <w:r w:rsidRPr="00521338">
        <w:rPr>
          <w:rFonts w:ascii="Traditional Arabic" w:eastAsia="Calibri" w:hAnsi="Traditional Arabic" w:cs="Traditional Arabic"/>
          <w:sz w:val="28"/>
          <w:szCs w:val="28"/>
          <w:shd w:val="clear" w:color="auto" w:fill="FFFFFF"/>
          <w:rtl/>
          <w:lang w:val="en-US"/>
        </w:rPr>
        <w:t>، 807–823.</w:t>
      </w:r>
    </w:p>
    <w:p w14:paraId="56477502" w14:textId="77777777" w:rsidR="00521338" w:rsidRPr="00521338" w:rsidRDefault="00521338" w:rsidP="00521338">
      <w:pPr>
        <w:bidi/>
        <w:spacing w:line="360" w:lineRule="auto"/>
        <w:jc w:val="both"/>
        <w:rPr>
          <w:rFonts w:ascii="Traditional Arabic" w:eastAsia="Calibri" w:hAnsi="Traditional Arabic" w:cs="Traditional Arabic"/>
          <w:b/>
          <w:bCs/>
          <w:sz w:val="36"/>
          <w:szCs w:val="36"/>
          <w:shd w:val="clear" w:color="auto" w:fill="FFFFFF"/>
          <w:rtl/>
          <w:lang w:val="en-US"/>
        </w:rPr>
      </w:pPr>
    </w:p>
    <w:p w14:paraId="0E60BDAC" w14:textId="77777777" w:rsidR="00521338" w:rsidRPr="00521338" w:rsidRDefault="00521338" w:rsidP="00521338">
      <w:pPr>
        <w:bidi/>
        <w:spacing w:line="360" w:lineRule="auto"/>
        <w:jc w:val="both"/>
        <w:rPr>
          <w:rFonts w:ascii="Traditional Arabic" w:eastAsia="Calibri" w:hAnsi="Traditional Arabic" w:cs="Traditional Arabic"/>
          <w:b/>
          <w:bCs/>
          <w:sz w:val="36"/>
          <w:szCs w:val="36"/>
          <w:shd w:val="clear" w:color="auto" w:fill="FFFFFF"/>
          <w:rtl/>
          <w:lang w:val="en-US"/>
        </w:rPr>
      </w:pPr>
    </w:p>
    <w:p w14:paraId="30593133" w14:textId="77777777" w:rsidR="00521338" w:rsidRPr="00521338" w:rsidRDefault="00521338" w:rsidP="00521338">
      <w:pPr>
        <w:bidi/>
        <w:spacing w:line="360" w:lineRule="auto"/>
        <w:jc w:val="both"/>
        <w:rPr>
          <w:rFonts w:ascii="Traditional Arabic" w:eastAsia="Calibri" w:hAnsi="Traditional Arabic" w:cs="Traditional Arabic"/>
          <w:b/>
          <w:bCs/>
          <w:sz w:val="36"/>
          <w:szCs w:val="36"/>
          <w:shd w:val="clear" w:color="auto" w:fill="FFFFFF"/>
          <w:rtl/>
          <w:lang w:val="en-US"/>
        </w:rPr>
      </w:pPr>
    </w:p>
    <w:p w14:paraId="68C13077" w14:textId="77777777" w:rsidR="00521338" w:rsidRPr="00521338" w:rsidRDefault="00521338" w:rsidP="00521338">
      <w:pPr>
        <w:bidi/>
        <w:spacing w:line="360" w:lineRule="auto"/>
        <w:jc w:val="both"/>
        <w:rPr>
          <w:rFonts w:ascii="Traditional Arabic" w:eastAsia="Calibri" w:hAnsi="Traditional Arabic" w:cs="Traditional Arabic"/>
          <w:b/>
          <w:bCs/>
          <w:sz w:val="36"/>
          <w:szCs w:val="36"/>
          <w:shd w:val="clear" w:color="auto" w:fill="FFFFFF"/>
          <w:lang w:val="en-US"/>
        </w:rPr>
      </w:pPr>
    </w:p>
    <w:p w14:paraId="566D353F" w14:textId="77777777" w:rsidR="00521338" w:rsidRPr="00521338" w:rsidRDefault="00521338" w:rsidP="00521338">
      <w:pPr>
        <w:bidi/>
        <w:spacing w:before="100" w:beforeAutospacing="1" w:after="100" w:afterAutospacing="1" w:line="240" w:lineRule="auto"/>
        <w:rPr>
          <w:rFonts w:ascii="Traditional Arabic" w:eastAsia="Times New Roman" w:hAnsi="Traditional Arabic" w:cs="Traditional Arabic"/>
          <w:b/>
          <w:bCs/>
          <w:sz w:val="32"/>
          <w:szCs w:val="32"/>
          <w:rtl/>
          <w:lang w:val="en-US"/>
        </w:rPr>
      </w:pPr>
      <w:r w:rsidRPr="00521338">
        <w:rPr>
          <w:rFonts w:ascii="Traditional Arabic" w:eastAsia="Times New Roman" w:hAnsi="Traditional Arabic" w:cs="Traditional Arabic"/>
          <w:b/>
          <w:bCs/>
          <w:sz w:val="32"/>
          <w:szCs w:val="32"/>
          <w:rtl/>
          <w:lang w:val="en-US"/>
        </w:rPr>
        <w:t>ثانيا: المراجع الاجنبية</w:t>
      </w:r>
    </w:p>
    <w:p w14:paraId="36A0A0EE" w14:textId="77777777" w:rsidR="00521338" w:rsidRPr="00521338" w:rsidRDefault="00521338" w:rsidP="00521338">
      <w:pPr>
        <w:spacing w:before="100" w:beforeAutospacing="1" w:after="100" w:afterAutospacing="1" w:line="240" w:lineRule="auto"/>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Aldakheel, E., &amp; Zakariah, M. (2021). Digital transformation challenges in healthcare and its effect on the patient-physician relationship. </w:t>
      </w:r>
      <w:r w:rsidRPr="00521338">
        <w:rPr>
          <w:rFonts w:ascii="Times New Roman" w:eastAsia="Times New Roman" w:hAnsi="Times New Roman" w:cs="Times New Roman"/>
          <w:i/>
          <w:iCs/>
          <w:sz w:val="24"/>
          <w:szCs w:val="24"/>
          <w:lang w:val="en-US"/>
        </w:rPr>
        <w:t>Journal of Management Information and Decision Sciences, 24</w:t>
      </w:r>
      <w:r w:rsidRPr="00521338">
        <w:rPr>
          <w:rFonts w:ascii="Times New Roman" w:eastAsia="Times New Roman" w:hAnsi="Times New Roman" w:cs="Times New Roman"/>
          <w:sz w:val="24"/>
          <w:szCs w:val="24"/>
          <w:lang w:val="en-US"/>
        </w:rPr>
        <w:t>(6), Special Issue.</w:t>
      </w:r>
    </w:p>
    <w:p w14:paraId="4B4AABA4"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Al-Ghary. (2024). Utilizing digital transformation to improve high performance in the healthcare sector in Iraq. </w:t>
      </w:r>
      <w:r w:rsidRPr="00521338">
        <w:rPr>
          <w:rFonts w:ascii="Times New Roman" w:eastAsia="Times New Roman" w:hAnsi="Times New Roman" w:cs="Times New Roman"/>
          <w:i/>
          <w:iCs/>
          <w:sz w:val="24"/>
          <w:szCs w:val="24"/>
          <w:lang w:val="en-US"/>
        </w:rPr>
        <w:t>Journal of Economic and Administrative Sciences, 20</w:t>
      </w:r>
      <w:r w:rsidRPr="00521338">
        <w:rPr>
          <w:rFonts w:ascii="Times New Roman" w:eastAsia="Times New Roman" w:hAnsi="Times New Roman" w:cs="Times New Roman"/>
          <w:sz w:val="24"/>
          <w:szCs w:val="24"/>
          <w:lang w:val="en-US"/>
        </w:rPr>
        <w:t>(2), 410–428.</w:t>
      </w:r>
    </w:p>
    <w:p w14:paraId="0AA7A2F9"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Al Kahtani, N. S., Alrawiai, S., Al Zahrani, B. M., Abumadini, R. A., Aljaffary, A., Hariri, B., Alissa, K., Alakrawi, Z., &amp; Alumran, A. (2022). Digital health transformation in Saudi Arabia: A cross-sectional analysis using Healthcare Information and Management Systems Society’s digital health indicators. </w:t>
      </w:r>
      <w:r w:rsidRPr="00521338">
        <w:rPr>
          <w:rFonts w:ascii="Times New Roman" w:eastAsia="Times New Roman" w:hAnsi="Times New Roman" w:cs="Times New Roman"/>
          <w:i/>
          <w:iCs/>
          <w:sz w:val="24"/>
          <w:szCs w:val="24"/>
          <w:lang w:val="en-US"/>
        </w:rPr>
        <w:t>Digital Health, 8</w:t>
      </w:r>
      <w:r w:rsidRPr="00521338">
        <w:rPr>
          <w:rFonts w:ascii="Times New Roman" w:eastAsia="Times New Roman" w:hAnsi="Times New Roman" w:cs="Times New Roman"/>
          <w:sz w:val="24"/>
          <w:szCs w:val="24"/>
          <w:lang w:val="en-US"/>
        </w:rPr>
        <w:t xml:space="preserve">. </w:t>
      </w:r>
      <w:hyperlink r:id="rId5" w:tgtFrame="_new" w:history="1">
        <w:r w:rsidRPr="00521338">
          <w:rPr>
            <w:rFonts w:ascii="Times New Roman" w:eastAsia="Times New Roman" w:hAnsi="Times New Roman" w:cs="Times New Roman"/>
            <w:color w:val="0000FF"/>
            <w:sz w:val="24"/>
            <w:szCs w:val="24"/>
            <w:u w:val="single"/>
            <w:lang w:val="en-US"/>
          </w:rPr>
          <w:t>https://doi.org/10.1177/20552076221117742</w:t>
        </w:r>
      </w:hyperlink>
    </w:p>
    <w:p w14:paraId="5C23EF9D"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Al-Nozha, O. M. (2024). Key aspects of the Saudi healthcare system reform: Health Sector Transformation Program under Vision 2030. </w:t>
      </w:r>
      <w:r w:rsidRPr="00521338">
        <w:rPr>
          <w:rFonts w:ascii="Times New Roman" w:eastAsia="Times New Roman" w:hAnsi="Times New Roman" w:cs="Times New Roman"/>
          <w:i/>
          <w:iCs/>
          <w:sz w:val="24"/>
          <w:szCs w:val="24"/>
          <w:lang w:val="en-US"/>
        </w:rPr>
        <w:t>Journal of Taibah University Medical Sciences, 19</w:t>
      </w:r>
      <w:r w:rsidRPr="00521338">
        <w:rPr>
          <w:rFonts w:ascii="Times New Roman" w:eastAsia="Times New Roman" w:hAnsi="Times New Roman" w:cs="Times New Roman"/>
          <w:sz w:val="24"/>
          <w:szCs w:val="24"/>
          <w:lang w:val="en-US"/>
        </w:rPr>
        <w:t xml:space="preserve">(3), 598–610. https://doi.org/10.1016/j.jtumed.2024.04.014 </w:t>
      </w:r>
    </w:p>
    <w:p w14:paraId="69AC4CF9"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Althumairi, A. A., Bukhari, F. M., Awary, L. B., &amp; Aljabri, D. (2023). The effect of transformation policies on healthcare providers’ satisfaction in primary healthcare centers: The case of Eastern Saudi Arabia. </w:t>
      </w:r>
      <w:r w:rsidRPr="00521338">
        <w:rPr>
          <w:rFonts w:ascii="Times New Roman" w:eastAsia="Times New Roman" w:hAnsi="Times New Roman" w:cs="Times New Roman"/>
          <w:i/>
          <w:iCs/>
          <w:sz w:val="24"/>
          <w:szCs w:val="24"/>
          <w:lang w:val="en-US"/>
        </w:rPr>
        <w:t>BMC Health Services Research, 23</w:t>
      </w:r>
      <w:r w:rsidRPr="00521338">
        <w:rPr>
          <w:rFonts w:ascii="Times New Roman" w:eastAsia="Times New Roman" w:hAnsi="Times New Roman" w:cs="Times New Roman"/>
          <w:sz w:val="24"/>
          <w:szCs w:val="24"/>
          <w:lang w:val="en-US"/>
        </w:rPr>
        <w:t xml:space="preserve">, Article 10335. </w:t>
      </w:r>
      <w:hyperlink r:id="rId6" w:tgtFrame="_new" w:history="1">
        <w:r w:rsidRPr="00521338">
          <w:rPr>
            <w:rFonts w:ascii="Times New Roman" w:eastAsia="Times New Roman" w:hAnsi="Times New Roman" w:cs="Times New Roman"/>
            <w:color w:val="0000FF"/>
            <w:sz w:val="24"/>
            <w:szCs w:val="24"/>
            <w:u w:val="single"/>
            <w:lang w:val="en-US"/>
          </w:rPr>
          <w:t>https://doi.org/10.1186/s12913-023-10335-8</w:t>
        </w:r>
      </w:hyperlink>
      <w:r w:rsidRPr="00521338">
        <w:rPr>
          <w:rFonts w:ascii="Times New Roman" w:eastAsia="Times New Roman" w:hAnsi="Times New Roman" w:cs="Times New Roman"/>
          <w:sz w:val="24"/>
          <w:szCs w:val="24"/>
          <w:lang w:val="en-US"/>
        </w:rPr>
        <w:t xml:space="preserve"> </w:t>
      </w:r>
    </w:p>
    <w:p w14:paraId="1211DEBA"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AlWatban, N., Othman, F., Almosnid, N., AlKadi, K., Alajaji, M., &amp; Aldeghaither, D. (2024). The emergence and growth of digital health in Saudi Arabia: A success story. In Z. Kozlakidis et al. (Eds.), </w:t>
      </w:r>
      <w:r w:rsidRPr="00521338">
        <w:rPr>
          <w:rFonts w:ascii="Times New Roman" w:eastAsia="Times New Roman" w:hAnsi="Times New Roman" w:cs="Times New Roman"/>
          <w:i/>
          <w:iCs/>
          <w:sz w:val="24"/>
          <w:szCs w:val="24"/>
          <w:lang w:val="en-US"/>
        </w:rPr>
        <w:t>Digitalization of medicine in low- and middle-income countries</w:t>
      </w:r>
      <w:r w:rsidRPr="00521338">
        <w:rPr>
          <w:rFonts w:ascii="Times New Roman" w:eastAsia="Times New Roman" w:hAnsi="Times New Roman" w:cs="Times New Roman"/>
          <w:sz w:val="24"/>
          <w:szCs w:val="24"/>
          <w:lang w:val="en-US"/>
        </w:rPr>
        <w:t xml:space="preserve"> (Sustainable Development Goals Series). Springer. </w:t>
      </w:r>
      <w:hyperlink r:id="rId7" w:tgtFrame="_new" w:history="1">
        <w:r w:rsidRPr="00521338">
          <w:rPr>
            <w:rFonts w:ascii="Times New Roman" w:eastAsia="Times New Roman" w:hAnsi="Times New Roman" w:cs="Times New Roman"/>
            <w:color w:val="0000FF"/>
            <w:sz w:val="24"/>
            <w:szCs w:val="24"/>
            <w:u w:val="single"/>
            <w:lang w:val="en-US"/>
          </w:rPr>
          <w:t>https://doi.org/10.1007/978-3-031-62332-5_3</w:t>
        </w:r>
      </w:hyperlink>
    </w:p>
    <w:p w14:paraId="529A391F"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Basbous, O., &amp; Saad, N. H. (2025). </w:t>
      </w:r>
      <w:r w:rsidRPr="00521338">
        <w:rPr>
          <w:rFonts w:ascii="Times New Roman" w:eastAsia="Times New Roman" w:hAnsi="Times New Roman" w:cs="Times New Roman"/>
          <w:i/>
          <w:iCs/>
          <w:sz w:val="24"/>
          <w:szCs w:val="24"/>
          <w:lang w:val="en-US"/>
        </w:rPr>
        <w:t>Factors affecting quality of health service in government hospital in Jordan: The mediating role of digital transformation and the moderating role of government support</w:t>
      </w:r>
      <w:r w:rsidRPr="00521338">
        <w:rPr>
          <w:rFonts w:ascii="Times New Roman" w:eastAsia="Times New Roman" w:hAnsi="Times New Roman" w:cs="Times New Roman"/>
          <w:sz w:val="24"/>
          <w:szCs w:val="24"/>
          <w:lang w:val="en-US"/>
        </w:rPr>
        <w:t xml:space="preserve"> (Unpublished manuscript). School of Management, Universiti Sains Malaysia.</w:t>
      </w:r>
    </w:p>
    <w:p w14:paraId="018E32E8"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Bakker, A. B., &amp; Demerouti, E. (2007). The Job Demands–Resources model: State of the art. </w:t>
      </w:r>
      <w:r w:rsidRPr="00521338">
        <w:rPr>
          <w:rFonts w:ascii="Times New Roman" w:eastAsia="Times New Roman" w:hAnsi="Times New Roman" w:cs="Times New Roman"/>
          <w:i/>
          <w:iCs/>
          <w:sz w:val="24"/>
          <w:szCs w:val="24"/>
          <w:lang w:val="en-US"/>
        </w:rPr>
        <w:t>Journal of Managerial Psychology, 22</w:t>
      </w:r>
      <w:r w:rsidRPr="00521338">
        <w:rPr>
          <w:rFonts w:ascii="Times New Roman" w:eastAsia="Times New Roman" w:hAnsi="Times New Roman" w:cs="Times New Roman"/>
          <w:sz w:val="24"/>
          <w:szCs w:val="24"/>
          <w:lang w:val="en-US"/>
        </w:rPr>
        <w:t xml:space="preserve">(3), 309–328. </w:t>
      </w:r>
      <w:hyperlink r:id="rId8" w:tgtFrame="_new" w:history="1">
        <w:r w:rsidRPr="00521338">
          <w:rPr>
            <w:rFonts w:ascii="Times New Roman" w:eastAsia="Times New Roman" w:hAnsi="Times New Roman" w:cs="Times New Roman"/>
            <w:color w:val="0000FF"/>
            <w:sz w:val="24"/>
            <w:szCs w:val="24"/>
            <w:u w:val="single"/>
            <w:lang w:val="en-US"/>
          </w:rPr>
          <w:t>https://doi.org/10.1108/02683940710733115</w:t>
        </w:r>
      </w:hyperlink>
    </w:p>
    <w:p w14:paraId="47439D30"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Bharadwaj, A., El Sawy, O. A., Pavlou, P. A., &amp; Venkatraman, N. (2013). Digital business strategy: Toward a next generation of insights. </w:t>
      </w:r>
      <w:r w:rsidRPr="00521338">
        <w:rPr>
          <w:rFonts w:ascii="Times New Roman" w:eastAsia="Times New Roman" w:hAnsi="Times New Roman" w:cs="Times New Roman"/>
          <w:i/>
          <w:iCs/>
          <w:sz w:val="24"/>
          <w:szCs w:val="24"/>
          <w:lang w:val="en-US"/>
        </w:rPr>
        <w:t>MIS Quarterly, 37</w:t>
      </w:r>
      <w:r w:rsidRPr="00521338">
        <w:rPr>
          <w:rFonts w:ascii="Times New Roman" w:eastAsia="Times New Roman" w:hAnsi="Times New Roman" w:cs="Times New Roman"/>
          <w:sz w:val="24"/>
          <w:szCs w:val="24"/>
          <w:lang w:val="en-US"/>
        </w:rPr>
        <w:t>(2), 471–482.</w:t>
      </w:r>
    </w:p>
    <w:p w14:paraId="07F2090B"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Blau, P. M. (1964). </w:t>
      </w:r>
      <w:r w:rsidRPr="00521338">
        <w:rPr>
          <w:rFonts w:ascii="Times New Roman" w:eastAsia="Times New Roman" w:hAnsi="Times New Roman" w:cs="Times New Roman"/>
          <w:i/>
          <w:iCs/>
          <w:sz w:val="24"/>
          <w:szCs w:val="24"/>
          <w:lang w:val="en-US"/>
        </w:rPr>
        <w:t>Exchange and power in social life</w:t>
      </w:r>
      <w:r w:rsidRPr="00521338">
        <w:rPr>
          <w:rFonts w:ascii="Times New Roman" w:eastAsia="Times New Roman" w:hAnsi="Times New Roman" w:cs="Times New Roman"/>
          <w:sz w:val="24"/>
          <w:szCs w:val="24"/>
          <w:lang w:val="en-US"/>
        </w:rPr>
        <w:t>. Wiley.</w:t>
      </w:r>
    </w:p>
    <w:p w14:paraId="6B519853"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Hackman, J. R., &amp; Oldham, G. R. (1976). Motivation through the design of work: Test of a theory. </w:t>
      </w:r>
      <w:r w:rsidRPr="00521338">
        <w:rPr>
          <w:rFonts w:ascii="Times New Roman" w:eastAsia="Times New Roman" w:hAnsi="Times New Roman" w:cs="Times New Roman"/>
          <w:i/>
          <w:iCs/>
          <w:sz w:val="24"/>
          <w:szCs w:val="24"/>
          <w:lang w:val="en-US"/>
        </w:rPr>
        <w:t>Organizational Behavior and Human Performance, 16</w:t>
      </w:r>
      <w:r w:rsidRPr="00521338">
        <w:rPr>
          <w:rFonts w:ascii="Times New Roman" w:eastAsia="Times New Roman" w:hAnsi="Times New Roman" w:cs="Times New Roman"/>
          <w:sz w:val="24"/>
          <w:szCs w:val="24"/>
          <w:lang w:val="en-US"/>
        </w:rPr>
        <w:t>(2), 250–279. https://doi.org/10.1016/0030-5073(76)90016-7</w:t>
      </w:r>
    </w:p>
    <w:p w14:paraId="344DA43C"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Herzberg, F., Mausner, B., &amp; Snyderman, B. B. (1959). </w:t>
      </w:r>
      <w:r w:rsidRPr="00521338">
        <w:rPr>
          <w:rFonts w:ascii="Times New Roman" w:eastAsia="Times New Roman" w:hAnsi="Times New Roman" w:cs="Times New Roman"/>
          <w:i/>
          <w:iCs/>
          <w:sz w:val="24"/>
          <w:szCs w:val="24"/>
          <w:lang w:val="en-US"/>
        </w:rPr>
        <w:t>The motivation to work</w:t>
      </w:r>
      <w:r w:rsidRPr="00521338">
        <w:rPr>
          <w:rFonts w:ascii="Times New Roman" w:eastAsia="Times New Roman" w:hAnsi="Times New Roman" w:cs="Times New Roman"/>
          <w:sz w:val="24"/>
          <w:szCs w:val="24"/>
          <w:lang w:val="en-US"/>
        </w:rPr>
        <w:t xml:space="preserve"> (2nd ed.). Wiley.</w:t>
      </w:r>
    </w:p>
    <w:p w14:paraId="21A263D8"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Huaytan, J. V. P., Rojas, G. G. R., Ruiz-Balvin, M. C., Roldan, F. A. G., Leiva, N. A. D., Gordillo-Flores, R. E., &amp; Tapia-Silguera, R. D. (2024). Digital transformation in public hospital management: Improving the patient experience. </w:t>
      </w:r>
      <w:r w:rsidRPr="00521338">
        <w:rPr>
          <w:rFonts w:ascii="Times New Roman" w:eastAsia="Times New Roman" w:hAnsi="Times New Roman" w:cs="Times New Roman"/>
          <w:i/>
          <w:iCs/>
          <w:sz w:val="24"/>
          <w:szCs w:val="24"/>
          <w:lang w:val="en-US"/>
        </w:rPr>
        <w:t>Revista de Gestão – RGSA, 18</w:t>
      </w:r>
      <w:r w:rsidRPr="00521338">
        <w:rPr>
          <w:rFonts w:ascii="Times New Roman" w:eastAsia="Times New Roman" w:hAnsi="Times New Roman" w:cs="Times New Roman"/>
          <w:sz w:val="24"/>
          <w:szCs w:val="24"/>
          <w:lang w:val="en-US"/>
        </w:rPr>
        <w:t xml:space="preserve">(4), e04571. </w:t>
      </w:r>
      <w:hyperlink r:id="rId9" w:tgtFrame="_new" w:history="1">
        <w:r w:rsidRPr="00521338">
          <w:rPr>
            <w:rFonts w:ascii="Times New Roman" w:eastAsia="Times New Roman" w:hAnsi="Times New Roman" w:cs="Times New Roman"/>
            <w:color w:val="0000FF"/>
            <w:sz w:val="24"/>
            <w:szCs w:val="24"/>
            <w:u w:val="single"/>
            <w:lang w:val="en-US"/>
          </w:rPr>
          <w:t>https://doi.org/10.24857/rgsa.v18n4-046</w:t>
        </w:r>
      </w:hyperlink>
    </w:p>
    <w:p w14:paraId="6DDD2B56"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Hügle, T., &amp; Grek, V. (2023). Digital transformation of an academic hospital department: A case study on strategic planning using the balanced scorecard. </w:t>
      </w:r>
      <w:r w:rsidRPr="00521338">
        <w:rPr>
          <w:rFonts w:ascii="Times New Roman" w:eastAsia="Times New Roman" w:hAnsi="Times New Roman" w:cs="Times New Roman"/>
          <w:i/>
          <w:iCs/>
          <w:sz w:val="24"/>
          <w:szCs w:val="24"/>
          <w:lang w:val="en-US"/>
        </w:rPr>
        <w:t>PLOS Digital Health, 2</w:t>
      </w:r>
      <w:r w:rsidRPr="00521338">
        <w:rPr>
          <w:rFonts w:ascii="Times New Roman" w:eastAsia="Times New Roman" w:hAnsi="Times New Roman" w:cs="Times New Roman"/>
          <w:sz w:val="24"/>
          <w:szCs w:val="24"/>
          <w:lang w:val="en-US"/>
        </w:rPr>
        <w:t xml:space="preserve">(11), e0000385. </w:t>
      </w:r>
      <w:hyperlink r:id="rId10" w:tgtFrame="_new" w:history="1">
        <w:r w:rsidRPr="00521338">
          <w:rPr>
            <w:rFonts w:ascii="Times New Roman" w:eastAsia="Times New Roman" w:hAnsi="Times New Roman" w:cs="Times New Roman"/>
            <w:color w:val="0000FF"/>
            <w:sz w:val="24"/>
            <w:szCs w:val="24"/>
            <w:u w:val="single"/>
            <w:lang w:val="en-US"/>
          </w:rPr>
          <w:t>https://doi.org/10.1371/journal.pdig.0000385</w:t>
        </w:r>
      </w:hyperlink>
    </w:p>
    <w:p w14:paraId="58D46239"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Jeilani, A., &amp; Hussein, A. (2025). Impact of digital health technologies adoption on healthcare workers’ performance and workload: Perspective with DOI and TOE models. </w:t>
      </w:r>
      <w:r w:rsidRPr="00521338">
        <w:rPr>
          <w:rFonts w:ascii="Times New Roman" w:eastAsia="Times New Roman" w:hAnsi="Times New Roman" w:cs="Times New Roman"/>
          <w:i/>
          <w:iCs/>
          <w:sz w:val="24"/>
          <w:szCs w:val="24"/>
          <w:lang w:val="en-US"/>
        </w:rPr>
        <w:t>BMC Health Services Research, 25</w:t>
      </w:r>
      <w:r w:rsidRPr="00521338">
        <w:rPr>
          <w:rFonts w:ascii="Times New Roman" w:eastAsia="Times New Roman" w:hAnsi="Times New Roman" w:cs="Times New Roman"/>
          <w:sz w:val="24"/>
          <w:szCs w:val="24"/>
          <w:lang w:val="en-US"/>
        </w:rPr>
        <w:t>, 271. https://doi.org/10.1186/s12913-025-10271-0</w:t>
      </w:r>
    </w:p>
    <w:p w14:paraId="66C918C5"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Jerab, D. A. (2024, September). </w:t>
      </w:r>
      <w:r w:rsidRPr="00521338">
        <w:rPr>
          <w:rFonts w:ascii="Times New Roman" w:eastAsia="Times New Roman" w:hAnsi="Times New Roman" w:cs="Times New Roman"/>
          <w:i/>
          <w:iCs/>
          <w:sz w:val="24"/>
          <w:szCs w:val="24"/>
          <w:lang w:val="en-US"/>
        </w:rPr>
        <w:t>The impact of digital transformation on public services</w:t>
      </w:r>
      <w:r w:rsidRPr="00521338">
        <w:rPr>
          <w:rFonts w:ascii="Times New Roman" w:eastAsia="Times New Roman" w:hAnsi="Times New Roman" w:cs="Times New Roman"/>
          <w:sz w:val="24"/>
          <w:szCs w:val="24"/>
          <w:lang w:val="en-US"/>
        </w:rPr>
        <w:t>. Paper presented at the International Conference on Digital Government and Public Sector Innovation (ICDGPSI 2024), Dubai, United Arab Emirates.</w:t>
      </w:r>
    </w:p>
    <w:p w14:paraId="4BC82544"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Jung, S., Lee, H.-Y., Lee, H., Yune, I., Park, D. S. M., Tejerina, L., &amp; Kang, D. (2024). </w:t>
      </w:r>
      <w:r w:rsidRPr="00521338">
        <w:rPr>
          <w:rFonts w:ascii="Times New Roman" w:eastAsia="Times New Roman" w:hAnsi="Times New Roman" w:cs="Times New Roman"/>
          <w:i/>
          <w:iCs/>
          <w:sz w:val="24"/>
          <w:szCs w:val="24"/>
          <w:lang w:val="en-US"/>
        </w:rPr>
        <w:t>The digital transformation of Seoul National University Bundang Hospital</w:t>
      </w:r>
      <w:r w:rsidRPr="00521338">
        <w:rPr>
          <w:rFonts w:ascii="Times New Roman" w:eastAsia="Times New Roman" w:hAnsi="Times New Roman" w:cs="Times New Roman"/>
          <w:sz w:val="24"/>
          <w:szCs w:val="24"/>
          <w:lang w:val="en-US"/>
        </w:rPr>
        <w:t xml:space="preserve">. Inter-American Development Bank. </w:t>
      </w:r>
      <w:hyperlink r:id="rId11" w:tgtFrame="_new" w:history="1">
        <w:r w:rsidRPr="00521338">
          <w:rPr>
            <w:rFonts w:ascii="Times New Roman" w:eastAsia="Times New Roman" w:hAnsi="Times New Roman" w:cs="Times New Roman"/>
            <w:color w:val="0000FF"/>
            <w:sz w:val="24"/>
            <w:szCs w:val="24"/>
            <w:u w:val="single"/>
            <w:lang w:val="en-US"/>
          </w:rPr>
          <w:t>https://doi.org/10.18235/0005682</w:t>
        </w:r>
      </w:hyperlink>
      <w:r w:rsidRPr="00521338">
        <w:rPr>
          <w:rFonts w:ascii="Times New Roman" w:eastAsia="Times New Roman" w:hAnsi="Times New Roman" w:cs="Times New Roman"/>
          <w:sz w:val="24"/>
          <w:szCs w:val="24"/>
          <w:lang w:val="en-US"/>
        </w:rPr>
        <w:t xml:space="preserve"> </w:t>
      </w:r>
    </w:p>
    <w:p w14:paraId="584A8A87"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Koebe, P., &amp; Bohnet-Joschko, S. (2023). The impact of digital transformation on inpatient care: Mixed methods study. </w:t>
      </w:r>
      <w:r w:rsidRPr="00521338">
        <w:rPr>
          <w:rFonts w:ascii="Times New Roman" w:eastAsia="Times New Roman" w:hAnsi="Times New Roman" w:cs="Times New Roman"/>
          <w:i/>
          <w:iCs/>
          <w:sz w:val="24"/>
          <w:szCs w:val="24"/>
          <w:lang w:val="en-US"/>
        </w:rPr>
        <w:t>JMIR Public Health and Surveillance, 9</w:t>
      </w:r>
      <w:r w:rsidRPr="00521338">
        <w:rPr>
          <w:rFonts w:ascii="Times New Roman" w:eastAsia="Times New Roman" w:hAnsi="Times New Roman" w:cs="Times New Roman"/>
          <w:sz w:val="24"/>
          <w:szCs w:val="24"/>
          <w:lang w:val="en-US"/>
        </w:rPr>
        <w:t xml:space="preserve">, e40622. </w:t>
      </w:r>
      <w:hyperlink r:id="rId12" w:tgtFrame="_new" w:history="1">
        <w:r w:rsidRPr="00521338">
          <w:rPr>
            <w:rFonts w:ascii="Times New Roman" w:eastAsia="Times New Roman" w:hAnsi="Times New Roman" w:cs="Times New Roman"/>
            <w:color w:val="0000FF"/>
            <w:sz w:val="24"/>
            <w:szCs w:val="24"/>
            <w:u w:val="single"/>
            <w:lang w:val="en-US"/>
          </w:rPr>
          <w:t>https://doi.org/10.2196/40622</w:t>
        </w:r>
      </w:hyperlink>
    </w:p>
    <w:p w14:paraId="3EB13B4E"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Kotter, J. P. (1996). </w:t>
      </w:r>
      <w:r w:rsidRPr="00521338">
        <w:rPr>
          <w:rFonts w:ascii="Times New Roman" w:eastAsia="Times New Roman" w:hAnsi="Times New Roman" w:cs="Times New Roman"/>
          <w:i/>
          <w:iCs/>
          <w:sz w:val="24"/>
          <w:szCs w:val="24"/>
          <w:lang w:val="en-US"/>
        </w:rPr>
        <w:t>Leading change</w:t>
      </w:r>
      <w:r w:rsidRPr="00521338">
        <w:rPr>
          <w:rFonts w:ascii="Times New Roman" w:eastAsia="Times New Roman" w:hAnsi="Times New Roman" w:cs="Times New Roman"/>
          <w:sz w:val="24"/>
          <w:szCs w:val="24"/>
          <w:lang w:val="en-US"/>
        </w:rPr>
        <w:t>. Harvard Business School Press.</w:t>
      </w:r>
    </w:p>
    <w:p w14:paraId="303CE625"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Kraus, S., Schiavone, F., Pluzhnikova, A., &amp; Invernizzi, A. C. (2021). Digital transformation in healthcare: Analyzing the current state-of-research. </w:t>
      </w:r>
      <w:r w:rsidRPr="00521338">
        <w:rPr>
          <w:rFonts w:ascii="Times New Roman" w:eastAsia="Times New Roman" w:hAnsi="Times New Roman" w:cs="Times New Roman"/>
          <w:i/>
          <w:iCs/>
          <w:sz w:val="24"/>
          <w:szCs w:val="24"/>
          <w:lang w:val="en-US"/>
        </w:rPr>
        <w:t>Journal of Business Research, 123</w:t>
      </w:r>
      <w:r w:rsidRPr="00521338">
        <w:rPr>
          <w:rFonts w:ascii="Times New Roman" w:eastAsia="Times New Roman" w:hAnsi="Times New Roman" w:cs="Times New Roman"/>
          <w:sz w:val="24"/>
          <w:szCs w:val="24"/>
          <w:lang w:val="en-US"/>
        </w:rPr>
        <w:t xml:space="preserve">, 557–567. </w:t>
      </w:r>
      <w:hyperlink r:id="rId13" w:tgtFrame="_new" w:history="1">
        <w:r w:rsidRPr="00521338">
          <w:rPr>
            <w:rFonts w:ascii="Times New Roman" w:eastAsia="Times New Roman" w:hAnsi="Times New Roman" w:cs="Times New Roman"/>
            <w:color w:val="0000FF"/>
            <w:sz w:val="24"/>
            <w:szCs w:val="24"/>
            <w:u w:val="single"/>
            <w:lang w:val="en-US"/>
          </w:rPr>
          <w:t>https://doi.org/10.1016/j.jbusres.2020.10.030</w:t>
        </w:r>
      </w:hyperlink>
    </w:p>
    <w:p w14:paraId="2B55E5DF"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Locke, E. A. (1976). The nature and causes of job satisfaction. In M. D. Dunnette (Ed.), </w:t>
      </w:r>
      <w:r w:rsidRPr="00521338">
        <w:rPr>
          <w:rFonts w:ascii="Times New Roman" w:eastAsia="Times New Roman" w:hAnsi="Times New Roman" w:cs="Times New Roman"/>
          <w:i/>
          <w:iCs/>
          <w:sz w:val="24"/>
          <w:szCs w:val="24"/>
          <w:lang w:val="en-US"/>
        </w:rPr>
        <w:t>Handbook of industrial and organizational psychology</w:t>
      </w:r>
      <w:r w:rsidRPr="00521338">
        <w:rPr>
          <w:rFonts w:ascii="Times New Roman" w:eastAsia="Times New Roman" w:hAnsi="Times New Roman" w:cs="Times New Roman"/>
          <w:sz w:val="24"/>
          <w:szCs w:val="24"/>
          <w:lang w:val="en-US"/>
        </w:rPr>
        <w:t xml:space="preserve"> (pp. 1297–1349). Rand McNally.</w:t>
      </w:r>
    </w:p>
    <w:p w14:paraId="196059FB"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Mauro, M., Noto, G., Prenestini, A., &amp; Sarto, F. (2024). Digital transformation in healthcare: Assessing the role of digital technologies for managerial support processes. </w:t>
      </w:r>
      <w:r w:rsidRPr="00521338">
        <w:rPr>
          <w:rFonts w:ascii="Times New Roman" w:eastAsia="Times New Roman" w:hAnsi="Times New Roman" w:cs="Times New Roman"/>
          <w:i/>
          <w:iCs/>
          <w:sz w:val="24"/>
          <w:szCs w:val="24"/>
          <w:lang w:val="en-US"/>
        </w:rPr>
        <w:t>Technological Forecasting and Social Change, 202</w:t>
      </w:r>
      <w:r w:rsidRPr="00521338">
        <w:rPr>
          <w:rFonts w:ascii="Times New Roman" w:eastAsia="Times New Roman" w:hAnsi="Times New Roman" w:cs="Times New Roman"/>
          <w:sz w:val="24"/>
          <w:szCs w:val="24"/>
          <w:lang w:val="en-US"/>
        </w:rPr>
        <w:t xml:space="preserve">, 123781. </w:t>
      </w:r>
      <w:hyperlink r:id="rId14" w:tgtFrame="_new" w:history="1">
        <w:r w:rsidRPr="00521338">
          <w:rPr>
            <w:rFonts w:ascii="Times New Roman" w:eastAsia="Times New Roman" w:hAnsi="Times New Roman" w:cs="Times New Roman"/>
            <w:color w:val="0000FF"/>
            <w:sz w:val="24"/>
            <w:szCs w:val="24"/>
            <w:u w:val="single"/>
            <w:lang w:val="en-US"/>
          </w:rPr>
          <w:t>https://doi.org/10.1016/j.techfore.2024.123781</w:t>
        </w:r>
      </w:hyperlink>
    </w:p>
    <w:p w14:paraId="2068ADFB"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Meyer, J. P., &amp; Allen, N. J. (1991). A three-component conceptualization of organizational commitment. </w:t>
      </w:r>
      <w:r w:rsidRPr="00521338">
        <w:rPr>
          <w:rFonts w:ascii="Times New Roman" w:eastAsia="Times New Roman" w:hAnsi="Times New Roman" w:cs="Times New Roman"/>
          <w:i/>
          <w:iCs/>
          <w:sz w:val="24"/>
          <w:szCs w:val="24"/>
          <w:lang w:val="en-US"/>
        </w:rPr>
        <w:t>Human Resource Management Review, 1</w:t>
      </w:r>
      <w:r w:rsidRPr="00521338">
        <w:rPr>
          <w:rFonts w:ascii="Times New Roman" w:eastAsia="Times New Roman" w:hAnsi="Times New Roman" w:cs="Times New Roman"/>
          <w:sz w:val="24"/>
          <w:szCs w:val="24"/>
          <w:lang w:val="en-US"/>
        </w:rPr>
        <w:t>(1), 61–89. https://doi.org/10.1016/1053-4822(91)90011-Z</w:t>
      </w:r>
    </w:p>
    <w:p w14:paraId="6AE727B5"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Mijala, M., Marczewska, M., Kostrzewski, M., Banka, M., &amp; Kamiński, A. (2023). Digital transformation of healthcare and job roles changes. </w:t>
      </w:r>
      <w:r w:rsidRPr="00521338">
        <w:rPr>
          <w:rFonts w:ascii="Times New Roman" w:eastAsia="Times New Roman" w:hAnsi="Times New Roman" w:cs="Times New Roman"/>
          <w:i/>
          <w:iCs/>
          <w:sz w:val="24"/>
          <w:szCs w:val="24"/>
          <w:lang w:val="en-US"/>
        </w:rPr>
        <w:t>Procedia Computer Science, 225</w:t>
      </w:r>
      <w:r w:rsidRPr="00521338">
        <w:rPr>
          <w:rFonts w:ascii="Times New Roman" w:eastAsia="Times New Roman" w:hAnsi="Times New Roman" w:cs="Times New Roman"/>
          <w:sz w:val="24"/>
          <w:szCs w:val="24"/>
          <w:lang w:val="en-US"/>
        </w:rPr>
        <w:t xml:space="preserve">, 1957–1963. </w:t>
      </w:r>
      <w:hyperlink r:id="rId15" w:tgtFrame="_new" w:history="1">
        <w:r w:rsidRPr="00521338">
          <w:rPr>
            <w:rFonts w:ascii="Times New Roman" w:eastAsia="Times New Roman" w:hAnsi="Times New Roman" w:cs="Times New Roman"/>
            <w:color w:val="0000FF"/>
            <w:sz w:val="24"/>
            <w:szCs w:val="24"/>
            <w:u w:val="single"/>
            <w:lang w:val="en-US"/>
          </w:rPr>
          <w:t>https://doi.org/10.1016/j.procs.2023.10.186</w:t>
        </w:r>
      </w:hyperlink>
    </w:p>
    <w:p w14:paraId="40EB4D6E"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Muhajir, M. (2023). Innovation in meeting national standards for hospital accreditation: A study at the regional general hospital of Prof. Dr. H.M. Anwar Makkatutu, Bantaeng Regency. </w:t>
      </w:r>
      <w:r w:rsidRPr="00521338">
        <w:rPr>
          <w:rFonts w:ascii="Times New Roman" w:eastAsia="Times New Roman" w:hAnsi="Times New Roman" w:cs="Times New Roman"/>
          <w:i/>
          <w:iCs/>
          <w:sz w:val="24"/>
          <w:szCs w:val="24"/>
          <w:lang w:val="en-US"/>
        </w:rPr>
        <w:t>Proceedings of the International Conference on Economics and Business, 2</w:t>
      </w:r>
      <w:r w:rsidRPr="00521338">
        <w:rPr>
          <w:rFonts w:ascii="Times New Roman" w:eastAsia="Times New Roman" w:hAnsi="Times New Roman" w:cs="Times New Roman"/>
          <w:sz w:val="24"/>
          <w:szCs w:val="24"/>
          <w:lang w:val="en-US"/>
        </w:rPr>
        <w:t xml:space="preserve">(1), 87–102. https://doi.org/10.55606/iceb.v2i1.235 </w:t>
      </w:r>
    </w:p>
    <w:p w14:paraId="1E064669"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Popelo, O., Kuzmenko, O., Vasilyk, O., &amp; Shevchenko, H. (2021). The impact of digital transformation on labor market and employment security. </w:t>
      </w:r>
      <w:r w:rsidRPr="00521338">
        <w:rPr>
          <w:rFonts w:ascii="Times New Roman" w:eastAsia="Times New Roman" w:hAnsi="Times New Roman" w:cs="Times New Roman"/>
          <w:i/>
          <w:iCs/>
          <w:sz w:val="24"/>
          <w:szCs w:val="24"/>
          <w:lang w:val="en-US"/>
        </w:rPr>
        <w:t>Problems and Perspectives in Management, 19</w:t>
      </w:r>
      <w:r w:rsidRPr="00521338">
        <w:rPr>
          <w:rFonts w:ascii="Times New Roman" w:eastAsia="Times New Roman" w:hAnsi="Times New Roman" w:cs="Times New Roman"/>
          <w:sz w:val="24"/>
          <w:szCs w:val="24"/>
          <w:lang w:val="en-US"/>
        </w:rPr>
        <w:t xml:space="preserve">(4), 1–11. </w:t>
      </w:r>
      <w:hyperlink r:id="rId16" w:tgtFrame="_new" w:history="1">
        <w:r w:rsidRPr="00521338">
          <w:rPr>
            <w:rFonts w:ascii="Times New Roman" w:eastAsia="Times New Roman" w:hAnsi="Times New Roman" w:cs="Times New Roman"/>
            <w:color w:val="0000FF"/>
            <w:sz w:val="24"/>
            <w:szCs w:val="24"/>
            <w:u w:val="single"/>
            <w:lang w:val="en-US"/>
          </w:rPr>
          <w:t>https://doi.org/10.21511/ppm.19(4).2021.01</w:t>
        </w:r>
      </w:hyperlink>
    </w:p>
    <w:p w14:paraId="71C7EEA0"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Rogers, E. M. (2003). </w:t>
      </w:r>
      <w:r w:rsidRPr="00521338">
        <w:rPr>
          <w:rFonts w:ascii="Times New Roman" w:eastAsia="Times New Roman" w:hAnsi="Times New Roman" w:cs="Times New Roman"/>
          <w:i/>
          <w:iCs/>
          <w:sz w:val="24"/>
          <w:szCs w:val="24"/>
          <w:lang w:val="en-US"/>
        </w:rPr>
        <w:t>Diffusion of innovations</w:t>
      </w:r>
      <w:r w:rsidRPr="00521338">
        <w:rPr>
          <w:rFonts w:ascii="Times New Roman" w:eastAsia="Times New Roman" w:hAnsi="Times New Roman" w:cs="Times New Roman"/>
          <w:sz w:val="24"/>
          <w:szCs w:val="24"/>
          <w:lang w:val="en-US"/>
        </w:rPr>
        <w:t xml:space="preserve"> (5th ed.). Free Press.</w:t>
      </w:r>
    </w:p>
    <w:p w14:paraId="1E1A7114"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Rousseau, D. M. (1995). </w:t>
      </w:r>
      <w:r w:rsidRPr="00521338">
        <w:rPr>
          <w:rFonts w:ascii="Times New Roman" w:eastAsia="Times New Roman" w:hAnsi="Times New Roman" w:cs="Times New Roman"/>
          <w:i/>
          <w:iCs/>
          <w:sz w:val="24"/>
          <w:szCs w:val="24"/>
          <w:lang w:val="en-US"/>
        </w:rPr>
        <w:t>Psychological contracts in organizations: Understanding written and unwritten agreements</w:t>
      </w:r>
      <w:r w:rsidRPr="00521338">
        <w:rPr>
          <w:rFonts w:ascii="Times New Roman" w:eastAsia="Times New Roman" w:hAnsi="Times New Roman" w:cs="Times New Roman"/>
          <w:sz w:val="24"/>
          <w:szCs w:val="24"/>
          <w:lang w:val="en-US"/>
        </w:rPr>
        <w:t>. Sage.</w:t>
      </w:r>
    </w:p>
    <w:p w14:paraId="7770D6F7"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Saeed, S. (2025). Digital transformation in governmental public service provision and usable security perception in Saudi Arabia. </w:t>
      </w:r>
      <w:r w:rsidRPr="00521338">
        <w:rPr>
          <w:rFonts w:ascii="Times New Roman" w:eastAsia="Times New Roman" w:hAnsi="Times New Roman" w:cs="Times New Roman"/>
          <w:i/>
          <w:iCs/>
          <w:sz w:val="24"/>
          <w:szCs w:val="24"/>
          <w:lang w:val="en-US"/>
        </w:rPr>
        <w:t>Information, 16</w:t>
      </w:r>
      <w:r w:rsidRPr="00521338">
        <w:rPr>
          <w:rFonts w:ascii="Times New Roman" w:eastAsia="Times New Roman" w:hAnsi="Times New Roman" w:cs="Times New Roman"/>
          <w:sz w:val="24"/>
          <w:szCs w:val="24"/>
          <w:lang w:val="en-US"/>
        </w:rPr>
        <w:t xml:space="preserve">(3), 247. </w:t>
      </w:r>
      <w:hyperlink r:id="rId17" w:tgtFrame="_new" w:history="1">
        <w:r w:rsidRPr="00521338">
          <w:rPr>
            <w:rFonts w:ascii="Times New Roman" w:eastAsia="Times New Roman" w:hAnsi="Times New Roman" w:cs="Times New Roman"/>
            <w:color w:val="0000FF"/>
            <w:sz w:val="24"/>
            <w:szCs w:val="24"/>
            <w:u w:val="single"/>
            <w:lang w:val="en-US"/>
          </w:rPr>
          <w:t>https://doi.org/10.3390/info16030247</w:t>
        </w:r>
      </w:hyperlink>
    </w:p>
    <w:p w14:paraId="3EF3C59B"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The Economist Impact. (2024). </w:t>
      </w:r>
      <w:r w:rsidRPr="00521338">
        <w:rPr>
          <w:rFonts w:ascii="Times New Roman" w:eastAsia="Times New Roman" w:hAnsi="Times New Roman" w:cs="Times New Roman"/>
          <w:i/>
          <w:iCs/>
          <w:sz w:val="24"/>
          <w:szCs w:val="24"/>
          <w:lang w:val="en-US"/>
        </w:rPr>
        <w:t>Leading a digital transformation in healthcare: Saudi Arabia’s Seha Virtual Hospital</w:t>
      </w:r>
      <w:r w:rsidRPr="00521338">
        <w:rPr>
          <w:rFonts w:ascii="Times New Roman" w:eastAsia="Times New Roman" w:hAnsi="Times New Roman" w:cs="Times New Roman"/>
          <w:sz w:val="24"/>
          <w:szCs w:val="24"/>
          <w:lang w:val="en-US"/>
        </w:rPr>
        <w:t>. Economist Impact.</w:t>
      </w:r>
    </w:p>
    <w:p w14:paraId="28F09929"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Tornatzky, L. G., &amp; Fleischer, M. (1990). </w:t>
      </w:r>
      <w:r w:rsidRPr="00521338">
        <w:rPr>
          <w:rFonts w:ascii="Times New Roman" w:eastAsia="Times New Roman" w:hAnsi="Times New Roman" w:cs="Times New Roman"/>
          <w:i/>
          <w:iCs/>
          <w:sz w:val="24"/>
          <w:szCs w:val="24"/>
          <w:lang w:val="en-US"/>
        </w:rPr>
        <w:t>The processes of technological innovation</w:t>
      </w:r>
      <w:r w:rsidRPr="00521338">
        <w:rPr>
          <w:rFonts w:ascii="Times New Roman" w:eastAsia="Times New Roman" w:hAnsi="Times New Roman" w:cs="Times New Roman"/>
          <w:sz w:val="24"/>
          <w:szCs w:val="24"/>
          <w:lang w:val="en-US"/>
        </w:rPr>
        <w:t>. Lexington Books.</w:t>
      </w:r>
    </w:p>
    <w:p w14:paraId="3130892B"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Trist, E. L., &amp; Bamforth, K. W. (1951). Some social and psychological consequences of the longwall method of coal-getting. </w:t>
      </w:r>
      <w:r w:rsidRPr="00521338">
        <w:rPr>
          <w:rFonts w:ascii="Times New Roman" w:eastAsia="Times New Roman" w:hAnsi="Times New Roman" w:cs="Times New Roman"/>
          <w:i/>
          <w:iCs/>
          <w:sz w:val="24"/>
          <w:szCs w:val="24"/>
          <w:lang w:val="en-US"/>
        </w:rPr>
        <w:t>Human Relations, 4</w:t>
      </w:r>
      <w:r w:rsidRPr="00521338">
        <w:rPr>
          <w:rFonts w:ascii="Times New Roman" w:eastAsia="Times New Roman" w:hAnsi="Times New Roman" w:cs="Times New Roman"/>
          <w:sz w:val="24"/>
          <w:szCs w:val="24"/>
          <w:lang w:val="en-US"/>
        </w:rPr>
        <w:t xml:space="preserve">(1), 3–38. </w:t>
      </w:r>
      <w:hyperlink r:id="rId18" w:tgtFrame="_new" w:history="1">
        <w:r w:rsidRPr="00521338">
          <w:rPr>
            <w:rFonts w:ascii="Times New Roman" w:eastAsia="Times New Roman" w:hAnsi="Times New Roman" w:cs="Times New Roman"/>
            <w:color w:val="0000FF"/>
            <w:sz w:val="24"/>
            <w:szCs w:val="24"/>
            <w:u w:val="single"/>
            <w:lang w:val="en-US"/>
          </w:rPr>
          <w:t>https://doi.org/10.1177/001872675100400101</w:t>
        </w:r>
      </w:hyperlink>
    </w:p>
    <w:p w14:paraId="2E0B1735"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Vial, G. (2019). Understanding digital transformation: A review and a research agenda. </w:t>
      </w:r>
      <w:r w:rsidRPr="00521338">
        <w:rPr>
          <w:rFonts w:ascii="Times New Roman" w:eastAsia="Times New Roman" w:hAnsi="Times New Roman" w:cs="Times New Roman"/>
          <w:i/>
          <w:iCs/>
          <w:sz w:val="24"/>
          <w:szCs w:val="24"/>
          <w:lang w:val="en-US"/>
        </w:rPr>
        <w:t>The Journal of Strategic Information Systems, 28</w:t>
      </w:r>
      <w:r w:rsidRPr="00521338">
        <w:rPr>
          <w:rFonts w:ascii="Times New Roman" w:eastAsia="Times New Roman" w:hAnsi="Times New Roman" w:cs="Times New Roman"/>
          <w:sz w:val="24"/>
          <w:szCs w:val="24"/>
          <w:lang w:val="en-US"/>
        </w:rPr>
        <w:t xml:space="preserve">(2), 118–144. </w:t>
      </w:r>
      <w:hyperlink r:id="rId19" w:tgtFrame="_new" w:history="1">
        <w:r w:rsidRPr="00521338">
          <w:rPr>
            <w:rFonts w:ascii="Times New Roman" w:eastAsia="Times New Roman" w:hAnsi="Times New Roman" w:cs="Times New Roman"/>
            <w:color w:val="0000FF"/>
            <w:sz w:val="24"/>
            <w:szCs w:val="24"/>
            <w:u w:val="single"/>
            <w:lang w:val="en-US"/>
          </w:rPr>
          <w:t>https://doi.org/10.1016/j.jsis.2019.01.003</w:t>
        </w:r>
      </w:hyperlink>
    </w:p>
    <w:p w14:paraId="7A8604E5"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Westerman, G., Bonnet, D., &amp; McAfee, A. (2014). </w:t>
      </w:r>
      <w:r w:rsidRPr="00521338">
        <w:rPr>
          <w:rFonts w:ascii="Times New Roman" w:eastAsia="Times New Roman" w:hAnsi="Times New Roman" w:cs="Times New Roman"/>
          <w:i/>
          <w:iCs/>
          <w:sz w:val="24"/>
          <w:szCs w:val="24"/>
          <w:lang w:val="en-US"/>
        </w:rPr>
        <w:t>Leading digital: Turning technology into business transformation</w:t>
      </w:r>
      <w:r w:rsidRPr="00521338">
        <w:rPr>
          <w:rFonts w:ascii="Times New Roman" w:eastAsia="Times New Roman" w:hAnsi="Times New Roman" w:cs="Times New Roman"/>
          <w:sz w:val="24"/>
          <w:szCs w:val="24"/>
          <w:lang w:val="en-US"/>
        </w:rPr>
        <w:t>. Harvard Business Review Press.</w:t>
      </w:r>
    </w:p>
    <w:p w14:paraId="0276D1B0" w14:textId="77777777" w:rsidR="009E4789" w:rsidRPr="009E4789" w:rsidRDefault="009E4789" w:rsidP="009E4789">
      <w:pPr>
        <w:bidi/>
        <w:spacing w:line="360" w:lineRule="auto"/>
        <w:jc w:val="both"/>
        <w:rPr>
          <w:rFonts w:ascii="Traditional Arabic" w:hAnsi="Traditional Arabic" w:cs="Traditional Arabic"/>
          <w:sz w:val="32"/>
          <w:szCs w:val="32"/>
          <w:rtl/>
          <w:lang w:val="en-US"/>
        </w:rPr>
      </w:pPr>
    </w:p>
    <w:p w14:paraId="2356F03B" w14:textId="77777777" w:rsidR="00675801" w:rsidRPr="00675801" w:rsidRDefault="00675801" w:rsidP="00675801">
      <w:pPr>
        <w:bidi/>
        <w:spacing w:line="360" w:lineRule="auto"/>
        <w:jc w:val="both"/>
        <w:rPr>
          <w:rFonts w:ascii="Traditional Arabic" w:hAnsi="Traditional Arabic" w:cs="Traditional Arabic"/>
          <w:sz w:val="32"/>
          <w:szCs w:val="32"/>
          <w:lang w:val="en-US"/>
        </w:rPr>
      </w:pPr>
    </w:p>
    <w:tbl>
      <w:tblPr>
        <w:tblStyle w:val="TableGrid"/>
        <w:bidiVisual/>
        <w:tblW w:w="0" w:type="auto"/>
        <w:tblLook w:val="04A0" w:firstRow="1" w:lastRow="0" w:firstColumn="1" w:lastColumn="0" w:noHBand="0" w:noVBand="1"/>
      </w:tblPr>
      <w:tblGrid>
        <w:gridCol w:w="2557"/>
        <w:gridCol w:w="6780"/>
      </w:tblGrid>
      <w:tr w:rsidR="00675801" w:rsidRPr="00675801" w14:paraId="099FDA2C" w14:textId="77777777" w:rsidTr="00675801">
        <w:tc>
          <w:tcPr>
            <w:tcW w:w="0" w:type="auto"/>
            <w:hideMark/>
          </w:tcPr>
          <w:p w14:paraId="594AD01D" w14:textId="77777777" w:rsidR="00675801" w:rsidRPr="00675801" w:rsidRDefault="00675801" w:rsidP="00675801">
            <w:pPr>
              <w:bidi/>
              <w:spacing w:after="200"/>
              <w:jc w:val="both"/>
              <w:rPr>
                <w:rFonts w:ascii="Traditional Arabic" w:hAnsi="Traditional Arabic" w:cs="Traditional Arabic"/>
                <w:b/>
                <w:bCs/>
                <w:sz w:val="32"/>
                <w:szCs w:val="32"/>
                <w:highlight w:val="yellow"/>
                <w:lang w:val="en-US"/>
              </w:rPr>
            </w:pPr>
            <w:r w:rsidRPr="00675801">
              <w:rPr>
                <w:rFonts w:ascii="Traditional Arabic" w:hAnsi="Traditional Arabic" w:cs="Traditional Arabic"/>
                <w:b/>
                <w:bCs/>
                <w:sz w:val="32"/>
                <w:szCs w:val="32"/>
                <w:highlight w:val="yellow"/>
                <w:rtl/>
                <w:lang w:val="en-US"/>
              </w:rPr>
              <w:t>ملاحظة المشرف</w:t>
            </w:r>
          </w:p>
        </w:tc>
        <w:tc>
          <w:tcPr>
            <w:tcW w:w="0" w:type="auto"/>
            <w:hideMark/>
          </w:tcPr>
          <w:p w14:paraId="261EE0B9" w14:textId="77777777" w:rsidR="00675801" w:rsidRPr="00675801" w:rsidRDefault="00675801" w:rsidP="00675801">
            <w:pPr>
              <w:bidi/>
              <w:spacing w:after="200"/>
              <w:jc w:val="both"/>
              <w:rPr>
                <w:rFonts w:ascii="Traditional Arabic" w:hAnsi="Traditional Arabic" w:cs="Traditional Arabic"/>
                <w:b/>
                <w:bCs/>
                <w:sz w:val="32"/>
                <w:szCs w:val="32"/>
                <w:highlight w:val="yellow"/>
                <w:lang w:val="en-US"/>
              </w:rPr>
            </w:pPr>
            <w:r w:rsidRPr="00675801">
              <w:rPr>
                <w:rFonts w:ascii="Traditional Arabic" w:hAnsi="Traditional Arabic" w:cs="Traditional Arabic"/>
                <w:b/>
                <w:bCs/>
                <w:sz w:val="32"/>
                <w:szCs w:val="32"/>
                <w:highlight w:val="yellow"/>
                <w:rtl/>
                <w:lang w:val="en-US"/>
              </w:rPr>
              <w:t>التبرير العلمي لعدم إجراء التعديل</w:t>
            </w:r>
          </w:p>
        </w:tc>
      </w:tr>
      <w:tr w:rsidR="00675801" w:rsidRPr="00675801" w14:paraId="181A5785" w14:textId="77777777" w:rsidTr="00675801">
        <w:tc>
          <w:tcPr>
            <w:tcW w:w="0" w:type="auto"/>
            <w:hideMark/>
          </w:tcPr>
          <w:p w14:paraId="54818FF7"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شكل للنموذج المفاهيمي في الفصل الثالث</w:t>
            </w:r>
            <w:r w:rsidRPr="00675801">
              <w:rPr>
                <w:rFonts w:ascii="Traditional Arabic" w:hAnsi="Traditional Arabic" w:cs="Traditional Arabic"/>
                <w:b/>
                <w:bCs/>
                <w:sz w:val="32"/>
                <w:szCs w:val="32"/>
                <w:highlight w:val="yellow"/>
                <w:lang w:val="en-US"/>
              </w:rPr>
              <w:t>.</w:t>
            </w:r>
          </w:p>
        </w:tc>
        <w:tc>
          <w:tcPr>
            <w:tcW w:w="0" w:type="auto"/>
            <w:hideMark/>
          </w:tcPr>
          <w:p w14:paraId="097CE999"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عرض النموذج المفاهيمي في الفصل الأول ضمن الإطار النظري للدراسة، وهو الموضع الطبيعي لعرضه. لذلك لم تتم إعادة إدراجه في الفصل الثالث تجنبًا للتكرار والمحافظة على اتساق بناء الرسالة</w:t>
            </w:r>
            <w:r w:rsidRPr="00675801">
              <w:rPr>
                <w:rFonts w:ascii="Traditional Arabic" w:hAnsi="Traditional Arabic" w:cs="Traditional Arabic"/>
                <w:sz w:val="32"/>
                <w:szCs w:val="32"/>
                <w:highlight w:val="yellow"/>
                <w:lang w:val="en-US"/>
              </w:rPr>
              <w:t>.</w:t>
            </w:r>
          </w:p>
        </w:tc>
      </w:tr>
      <w:tr w:rsidR="00675801" w:rsidRPr="00675801" w14:paraId="483E5123" w14:textId="77777777" w:rsidTr="00675801">
        <w:tc>
          <w:tcPr>
            <w:tcW w:w="0" w:type="auto"/>
            <w:hideMark/>
          </w:tcPr>
          <w:p w14:paraId="459C40FD"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جدول مستقل للتعريفات الإجرائية للمتغيرات</w:t>
            </w:r>
            <w:r w:rsidRPr="00675801">
              <w:rPr>
                <w:rFonts w:ascii="Traditional Arabic" w:hAnsi="Traditional Arabic" w:cs="Traditional Arabic"/>
                <w:b/>
                <w:bCs/>
                <w:sz w:val="32"/>
                <w:szCs w:val="32"/>
                <w:highlight w:val="yellow"/>
                <w:lang w:val="en-US"/>
              </w:rPr>
              <w:t>.</w:t>
            </w:r>
          </w:p>
        </w:tc>
        <w:tc>
          <w:tcPr>
            <w:tcW w:w="0" w:type="auto"/>
            <w:hideMark/>
          </w:tcPr>
          <w:p w14:paraId="1676022E"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توضيح التعريفات الإجرائية للمتغيرات في الفصل الأول، كما تم بيان أبعاد كل متغير وفقراته عند وصف أداة الدراسة في الفصل الثالث، لذا رُئي عدم إعادة عرضها في جدول مستقل لتجنب التكرار</w:t>
            </w:r>
            <w:r w:rsidRPr="00675801">
              <w:rPr>
                <w:rFonts w:ascii="Traditional Arabic" w:hAnsi="Traditional Arabic" w:cs="Traditional Arabic"/>
                <w:sz w:val="32"/>
                <w:szCs w:val="32"/>
                <w:highlight w:val="yellow"/>
                <w:lang w:val="en-US"/>
              </w:rPr>
              <w:t>.</w:t>
            </w:r>
          </w:p>
        </w:tc>
      </w:tr>
      <w:tr w:rsidR="00675801" w:rsidRPr="00675801" w14:paraId="3EFDF3B3" w14:textId="77777777" w:rsidTr="00675801">
        <w:tc>
          <w:tcPr>
            <w:tcW w:w="0" w:type="auto"/>
            <w:hideMark/>
          </w:tcPr>
          <w:p w14:paraId="19BB8EEC"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إجراء التحليل العاملي الاستكشافي</w:t>
            </w:r>
            <w:r w:rsidRPr="00675801">
              <w:rPr>
                <w:rFonts w:ascii="Traditional Arabic" w:hAnsi="Traditional Arabic" w:cs="Traditional Arabic"/>
                <w:b/>
                <w:bCs/>
                <w:sz w:val="32"/>
                <w:szCs w:val="32"/>
                <w:highlight w:val="yellow"/>
                <w:lang w:val="en-US"/>
              </w:rPr>
              <w:t xml:space="preserve"> (EFA).</w:t>
            </w:r>
          </w:p>
        </w:tc>
        <w:tc>
          <w:tcPr>
            <w:tcW w:w="0" w:type="auto"/>
            <w:hideMark/>
          </w:tcPr>
          <w:p w14:paraId="4B66BA17"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أداة الدراسة لم تُبنَ من الصفر، وإنما استندت إلى مقاييس سبق استخدامها والتحقق من خصائصها السيكومترية في دراسات سابقة، مع إجراء تعديلات محدودة تتناسب مع بيئة الدراسة. لذلك تم الاكتفاء بإجراءات الصدق والثبات المناسبة لطبيعة الدراسة والمنهج المستخدم</w:t>
            </w:r>
            <w:r w:rsidRPr="00675801">
              <w:rPr>
                <w:rFonts w:ascii="Traditional Arabic" w:hAnsi="Traditional Arabic" w:cs="Traditional Arabic"/>
                <w:sz w:val="32"/>
                <w:szCs w:val="32"/>
                <w:highlight w:val="yellow"/>
                <w:lang w:val="en-US"/>
              </w:rPr>
              <w:t>.</w:t>
            </w:r>
          </w:p>
        </w:tc>
      </w:tr>
      <w:tr w:rsidR="00675801" w:rsidRPr="00675801" w14:paraId="147D8CC6" w14:textId="77777777" w:rsidTr="00675801">
        <w:tc>
          <w:tcPr>
            <w:tcW w:w="0" w:type="auto"/>
            <w:hideMark/>
          </w:tcPr>
          <w:p w14:paraId="2F7AF0B9"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مؤشرات الصدق التقاربي والصدق التمييزي</w:t>
            </w:r>
            <w:r w:rsidRPr="00675801">
              <w:rPr>
                <w:rFonts w:ascii="Traditional Arabic" w:hAnsi="Traditional Arabic" w:cs="Traditional Arabic"/>
                <w:b/>
                <w:bCs/>
                <w:sz w:val="32"/>
                <w:szCs w:val="32"/>
                <w:highlight w:val="yellow"/>
                <w:lang w:val="en-US"/>
              </w:rPr>
              <w:t>.</w:t>
            </w:r>
          </w:p>
        </w:tc>
        <w:tc>
          <w:tcPr>
            <w:tcW w:w="0" w:type="auto"/>
            <w:hideMark/>
          </w:tcPr>
          <w:p w14:paraId="1A71A2C1"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تعتمد الدراسة على المنهج الوصفي التحليلي باستخدام برنامج</w:t>
            </w:r>
            <w:r w:rsidRPr="00675801">
              <w:rPr>
                <w:rFonts w:ascii="Traditional Arabic" w:hAnsi="Traditional Arabic" w:cs="Traditional Arabic"/>
                <w:sz w:val="32"/>
                <w:szCs w:val="32"/>
                <w:highlight w:val="yellow"/>
                <w:lang w:val="en-US"/>
              </w:rPr>
              <w:t xml:space="preserve"> (SPSS) </w:t>
            </w:r>
            <w:r w:rsidRPr="00675801">
              <w:rPr>
                <w:rFonts w:ascii="Traditional Arabic" w:hAnsi="Traditional Arabic" w:cs="Traditional Arabic"/>
                <w:sz w:val="32"/>
                <w:szCs w:val="32"/>
                <w:highlight w:val="yellow"/>
                <w:rtl/>
                <w:lang w:val="en-US"/>
              </w:rPr>
              <w:t>وتحليل الانحدار المتعدد، ولا تعتمد نمذجة المعادلات البنائية</w:t>
            </w:r>
            <w:r w:rsidRPr="00675801">
              <w:rPr>
                <w:rFonts w:ascii="Traditional Arabic" w:hAnsi="Traditional Arabic" w:cs="Traditional Arabic"/>
                <w:sz w:val="32"/>
                <w:szCs w:val="32"/>
                <w:highlight w:val="yellow"/>
                <w:lang w:val="en-US"/>
              </w:rPr>
              <w:t xml:space="preserve"> (SEM </w:t>
            </w:r>
            <w:r w:rsidRPr="00675801">
              <w:rPr>
                <w:rFonts w:ascii="Traditional Arabic" w:hAnsi="Traditional Arabic" w:cs="Traditional Arabic"/>
                <w:sz w:val="32"/>
                <w:szCs w:val="32"/>
                <w:highlight w:val="yellow"/>
                <w:rtl/>
                <w:lang w:val="en-US"/>
              </w:rPr>
              <w:t>أو</w:t>
            </w:r>
            <w:r w:rsidRPr="00675801">
              <w:rPr>
                <w:rFonts w:ascii="Traditional Arabic" w:hAnsi="Traditional Arabic" w:cs="Traditional Arabic"/>
                <w:sz w:val="32"/>
                <w:szCs w:val="32"/>
                <w:highlight w:val="yellow"/>
                <w:lang w:val="en-US"/>
              </w:rPr>
              <w:t xml:space="preserve"> PLS-SEM)</w:t>
            </w:r>
            <w:r w:rsidRPr="00675801">
              <w:rPr>
                <w:rFonts w:ascii="Traditional Arabic" w:hAnsi="Traditional Arabic" w:cs="Traditional Arabic"/>
                <w:sz w:val="32"/>
                <w:szCs w:val="32"/>
                <w:highlight w:val="yellow"/>
                <w:rtl/>
                <w:lang w:val="en-US"/>
              </w:rPr>
              <w:t>، لذا لا تُعد هذه المؤشرات من المتطلبات المنهجية الأساسية لهذا النوع من الدراسات</w:t>
            </w:r>
            <w:r w:rsidRPr="00675801">
              <w:rPr>
                <w:rFonts w:ascii="Traditional Arabic" w:hAnsi="Traditional Arabic" w:cs="Traditional Arabic"/>
                <w:sz w:val="32"/>
                <w:szCs w:val="32"/>
                <w:highlight w:val="yellow"/>
                <w:lang w:val="en-US"/>
              </w:rPr>
              <w:t>.</w:t>
            </w:r>
          </w:p>
        </w:tc>
      </w:tr>
      <w:tr w:rsidR="00675801" w:rsidRPr="00675801" w14:paraId="5B63C775" w14:textId="77777777" w:rsidTr="00675801">
        <w:tc>
          <w:tcPr>
            <w:tcW w:w="0" w:type="auto"/>
            <w:hideMark/>
          </w:tcPr>
          <w:p w14:paraId="2F8E466C"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التوسع في عرض جميع افتراضات تحليل الانحدار في الفصل الثالث</w:t>
            </w:r>
            <w:r w:rsidRPr="00675801">
              <w:rPr>
                <w:rFonts w:ascii="Traditional Arabic" w:hAnsi="Traditional Arabic" w:cs="Traditional Arabic"/>
                <w:b/>
                <w:bCs/>
                <w:sz w:val="32"/>
                <w:szCs w:val="32"/>
                <w:highlight w:val="yellow"/>
                <w:lang w:val="en-US"/>
              </w:rPr>
              <w:t>.</w:t>
            </w:r>
          </w:p>
        </w:tc>
        <w:tc>
          <w:tcPr>
            <w:tcW w:w="0" w:type="auto"/>
            <w:hideMark/>
          </w:tcPr>
          <w:p w14:paraId="00306372"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توضيح أساليب التحليل الإحصائي التي سيتم استخدامها، بينما تُعد نتائج التحقق من افتراضات الانحدار جزءًا من تطبيق التحليل على بيانات الدراسة، ويكون عرضها أكثر ملاءمة ضمن الفصل الرابع عند مناقشة النتائج الفعلية</w:t>
            </w:r>
            <w:r w:rsidRPr="00675801">
              <w:rPr>
                <w:rFonts w:ascii="Traditional Arabic" w:hAnsi="Traditional Arabic" w:cs="Traditional Arabic"/>
                <w:sz w:val="32"/>
                <w:szCs w:val="32"/>
                <w:highlight w:val="yellow"/>
                <w:lang w:val="en-US"/>
              </w:rPr>
              <w:t>.</w:t>
            </w:r>
          </w:p>
        </w:tc>
      </w:tr>
      <w:tr w:rsidR="00675801" w:rsidRPr="00675801" w14:paraId="3539A6B4" w14:textId="77777777" w:rsidTr="00675801">
        <w:tc>
          <w:tcPr>
            <w:tcW w:w="0" w:type="auto"/>
            <w:hideMark/>
          </w:tcPr>
          <w:p w14:paraId="1DE7B271"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جدول يربط أسئلة الدراسة وفرضياتها بالاختبارات الإحصائية</w:t>
            </w:r>
            <w:r w:rsidRPr="00675801">
              <w:rPr>
                <w:rFonts w:ascii="Traditional Arabic" w:hAnsi="Traditional Arabic" w:cs="Traditional Arabic"/>
                <w:b/>
                <w:bCs/>
                <w:sz w:val="32"/>
                <w:szCs w:val="32"/>
                <w:highlight w:val="yellow"/>
                <w:lang w:val="en-US"/>
              </w:rPr>
              <w:t>.</w:t>
            </w:r>
          </w:p>
        </w:tc>
        <w:tc>
          <w:tcPr>
            <w:tcW w:w="0" w:type="auto"/>
            <w:hideMark/>
          </w:tcPr>
          <w:p w14:paraId="5CB5603B"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توضيح أساليب التحليل الإحصائي المستخدمة وربطها بأهداف الدراسة وفرضياتها ضمن وصف إجراءات التحليل، ويُعد الجدول المقترح وسيلة تنظيمية إضافية وليس متطلبًا منهجيًا إلزاميًا، لذا لم تتم إضافته</w:t>
            </w:r>
            <w:r w:rsidRPr="00675801">
              <w:rPr>
                <w:rFonts w:ascii="Traditional Arabic" w:hAnsi="Traditional Arabic" w:cs="Traditional Arabic"/>
                <w:sz w:val="32"/>
                <w:szCs w:val="32"/>
                <w:highlight w:val="yellow"/>
                <w:lang w:val="en-US"/>
              </w:rPr>
              <w:t>.</w:t>
            </w:r>
          </w:p>
        </w:tc>
      </w:tr>
    </w:tbl>
    <w:p w14:paraId="7FBD171C" w14:textId="77777777" w:rsidR="00675801" w:rsidRDefault="00675801" w:rsidP="00675801">
      <w:pPr>
        <w:bidi/>
        <w:spacing w:line="360" w:lineRule="auto"/>
        <w:jc w:val="both"/>
        <w:rPr>
          <w:rFonts w:ascii="Traditional Arabic" w:hAnsi="Traditional Arabic" w:cs="Traditional Arabic"/>
          <w:sz w:val="32"/>
          <w:szCs w:val="32"/>
          <w:rtl/>
          <w:lang w:val="en-US"/>
        </w:rPr>
      </w:pPr>
    </w:p>
    <w:p w14:paraId="142C9791" w14:textId="77777777" w:rsidR="00521338" w:rsidRPr="00521338" w:rsidRDefault="00521338" w:rsidP="00521338">
      <w:pPr>
        <w:bidi/>
        <w:spacing w:line="360" w:lineRule="auto"/>
        <w:jc w:val="both"/>
        <w:rPr>
          <w:rFonts w:ascii="Traditional Arabic" w:hAnsi="Traditional Arabic" w:cs="Traditional Arabic"/>
          <w:sz w:val="32"/>
          <w:szCs w:val="32"/>
          <w:lang w:val="en-US"/>
        </w:rPr>
      </w:pPr>
      <w:r w:rsidRPr="00521338">
        <w:rPr>
          <w:rFonts w:ascii="Traditional Arabic" w:hAnsi="Traditional Arabic" w:cs="Traditional Arabic"/>
          <w:sz w:val="32"/>
          <w:szCs w:val="32"/>
          <w:lang w:val="en-US"/>
        </w:rPr>
        <w:t xml:space="preserve"> </w:t>
      </w:r>
    </w:p>
    <w:tbl>
      <w:tblPr>
        <w:tblStyle w:val="TableGrid"/>
        <w:bidiVisual/>
        <w:tblW w:w="0" w:type="auto"/>
        <w:tblLook w:val="04A0" w:firstRow="1" w:lastRow="0" w:firstColumn="1" w:lastColumn="0" w:noHBand="0" w:noVBand="1"/>
      </w:tblPr>
      <w:tblGrid>
        <w:gridCol w:w="453"/>
        <w:gridCol w:w="1630"/>
        <w:gridCol w:w="3645"/>
        <w:gridCol w:w="728"/>
        <w:gridCol w:w="2881"/>
      </w:tblGrid>
      <w:tr w:rsidR="00521338" w:rsidRPr="00521338" w14:paraId="770EFABE" w14:textId="77777777" w:rsidTr="00521338">
        <w:tc>
          <w:tcPr>
            <w:tcW w:w="0" w:type="auto"/>
            <w:hideMark/>
          </w:tcPr>
          <w:p w14:paraId="0DBF5C09" w14:textId="77777777" w:rsidR="00521338" w:rsidRPr="00521338" w:rsidRDefault="00521338" w:rsidP="00521338">
            <w:pPr>
              <w:bidi/>
              <w:jc w:val="both"/>
              <w:rPr>
                <w:rFonts w:ascii="Traditional Arabic" w:hAnsi="Traditional Arabic" w:cs="Traditional Arabic"/>
                <w:b/>
                <w:bCs/>
                <w:sz w:val="24"/>
                <w:szCs w:val="24"/>
                <w:lang w:val="en-US"/>
              </w:rPr>
            </w:pPr>
            <w:r w:rsidRPr="00521338">
              <w:rPr>
                <w:rFonts w:ascii="Traditional Arabic" w:hAnsi="Traditional Arabic" w:cs="Traditional Arabic"/>
                <w:b/>
                <w:bCs/>
                <w:sz w:val="24"/>
                <w:szCs w:val="24"/>
                <w:rtl/>
                <w:lang w:val="en-US"/>
              </w:rPr>
              <w:t>م</w:t>
            </w:r>
          </w:p>
        </w:tc>
        <w:tc>
          <w:tcPr>
            <w:tcW w:w="0" w:type="auto"/>
            <w:hideMark/>
          </w:tcPr>
          <w:p w14:paraId="013A8E41" w14:textId="77777777" w:rsidR="00521338" w:rsidRPr="00521338" w:rsidRDefault="00521338" w:rsidP="00521338">
            <w:pPr>
              <w:bidi/>
              <w:jc w:val="both"/>
              <w:rPr>
                <w:rFonts w:ascii="Traditional Arabic" w:hAnsi="Traditional Arabic" w:cs="Traditional Arabic"/>
                <w:b/>
                <w:bCs/>
                <w:sz w:val="24"/>
                <w:szCs w:val="24"/>
                <w:lang w:val="en-US"/>
              </w:rPr>
            </w:pPr>
            <w:r w:rsidRPr="00521338">
              <w:rPr>
                <w:rFonts w:ascii="Traditional Arabic" w:hAnsi="Traditional Arabic" w:cs="Traditional Arabic"/>
                <w:b/>
                <w:bCs/>
                <w:sz w:val="24"/>
                <w:szCs w:val="24"/>
                <w:rtl/>
                <w:lang w:val="en-US"/>
              </w:rPr>
              <w:t>ملاحظة المشرف</w:t>
            </w:r>
          </w:p>
        </w:tc>
        <w:tc>
          <w:tcPr>
            <w:tcW w:w="0" w:type="auto"/>
            <w:hideMark/>
          </w:tcPr>
          <w:p w14:paraId="3E7003F1" w14:textId="77777777" w:rsidR="00521338" w:rsidRPr="00521338" w:rsidRDefault="00521338" w:rsidP="00521338">
            <w:pPr>
              <w:bidi/>
              <w:jc w:val="both"/>
              <w:rPr>
                <w:rFonts w:ascii="Traditional Arabic" w:hAnsi="Traditional Arabic" w:cs="Traditional Arabic"/>
                <w:b/>
                <w:bCs/>
                <w:sz w:val="24"/>
                <w:szCs w:val="24"/>
                <w:lang w:val="en-US"/>
              </w:rPr>
            </w:pPr>
            <w:r w:rsidRPr="00521338">
              <w:rPr>
                <w:rFonts w:ascii="Traditional Arabic" w:hAnsi="Traditional Arabic" w:cs="Traditional Arabic"/>
                <w:b/>
                <w:bCs/>
                <w:sz w:val="24"/>
                <w:szCs w:val="24"/>
                <w:rtl/>
                <w:lang w:val="en-US"/>
              </w:rPr>
              <w:t>ما تم تنفيذه</w:t>
            </w:r>
          </w:p>
        </w:tc>
        <w:tc>
          <w:tcPr>
            <w:tcW w:w="0" w:type="auto"/>
            <w:hideMark/>
          </w:tcPr>
          <w:p w14:paraId="6A541475" w14:textId="77777777" w:rsidR="00521338" w:rsidRPr="00521338" w:rsidRDefault="00521338" w:rsidP="00521338">
            <w:pPr>
              <w:bidi/>
              <w:jc w:val="both"/>
              <w:rPr>
                <w:rFonts w:ascii="Traditional Arabic" w:hAnsi="Traditional Arabic" w:cs="Traditional Arabic"/>
                <w:b/>
                <w:bCs/>
                <w:sz w:val="24"/>
                <w:szCs w:val="24"/>
                <w:lang w:val="en-US"/>
              </w:rPr>
            </w:pPr>
            <w:r w:rsidRPr="00521338">
              <w:rPr>
                <w:rFonts w:ascii="Traditional Arabic" w:hAnsi="Traditional Arabic" w:cs="Traditional Arabic"/>
                <w:b/>
                <w:bCs/>
                <w:sz w:val="24"/>
                <w:szCs w:val="24"/>
                <w:rtl/>
                <w:lang w:val="en-US"/>
              </w:rPr>
              <w:t>حالة التنفيذ</w:t>
            </w:r>
          </w:p>
        </w:tc>
        <w:tc>
          <w:tcPr>
            <w:tcW w:w="0" w:type="auto"/>
            <w:hideMark/>
          </w:tcPr>
          <w:p w14:paraId="36A1C4FD" w14:textId="77777777" w:rsidR="00521338" w:rsidRPr="00521338" w:rsidRDefault="00521338" w:rsidP="00521338">
            <w:pPr>
              <w:bidi/>
              <w:jc w:val="both"/>
              <w:rPr>
                <w:rFonts w:ascii="Traditional Arabic" w:hAnsi="Traditional Arabic" w:cs="Traditional Arabic"/>
                <w:b/>
                <w:bCs/>
                <w:sz w:val="24"/>
                <w:szCs w:val="24"/>
                <w:lang w:val="en-US"/>
              </w:rPr>
            </w:pPr>
            <w:r>
              <w:rPr>
                <w:rFonts w:ascii="Traditional Arabic" w:hAnsi="Traditional Arabic" w:cs="Traditional Arabic"/>
                <w:b/>
                <w:bCs/>
                <w:sz w:val="24"/>
                <w:szCs w:val="24"/>
                <w:rtl/>
                <w:lang w:val="en-US"/>
              </w:rPr>
              <w:t xml:space="preserve">التبرير </w:t>
            </w:r>
          </w:p>
        </w:tc>
      </w:tr>
      <w:tr w:rsidR="00521338" w:rsidRPr="00521338" w14:paraId="6793402C" w14:textId="77777777" w:rsidTr="00521338">
        <w:tc>
          <w:tcPr>
            <w:tcW w:w="0" w:type="auto"/>
            <w:hideMark/>
          </w:tcPr>
          <w:p w14:paraId="14B64D4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w:t>
            </w:r>
          </w:p>
        </w:tc>
        <w:tc>
          <w:tcPr>
            <w:tcW w:w="0" w:type="auto"/>
            <w:hideMark/>
          </w:tcPr>
          <w:p w14:paraId="30BE5E4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منهج الدراسة</w:t>
            </w:r>
          </w:p>
        </w:tc>
        <w:tc>
          <w:tcPr>
            <w:tcW w:w="0" w:type="auto"/>
            <w:hideMark/>
          </w:tcPr>
          <w:p w14:paraId="12329A7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مراجعة المنهج وصياغته وربطه بأهداف الدراسة وأسئلتها</w:t>
            </w:r>
            <w:r w:rsidRPr="00521338">
              <w:rPr>
                <w:rFonts w:ascii="Traditional Arabic" w:hAnsi="Traditional Arabic" w:cs="Traditional Arabic"/>
                <w:sz w:val="24"/>
                <w:szCs w:val="24"/>
                <w:lang w:val="en-US"/>
              </w:rPr>
              <w:t>.</w:t>
            </w:r>
          </w:p>
        </w:tc>
        <w:tc>
          <w:tcPr>
            <w:tcW w:w="0" w:type="auto"/>
            <w:hideMark/>
          </w:tcPr>
          <w:p w14:paraId="3A5C793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08A2C604"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5667CB4D" w14:textId="77777777" w:rsidTr="00521338">
        <w:tc>
          <w:tcPr>
            <w:tcW w:w="0" w:type="auto"/>
            <w:hideMark/>
          </w:tcPr>
          <w:p w14:paraId="1711C51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2</w:t>
            </w:r>
          </w:p>
        </w:tc>
        <w:tc>
          <w:tcPr>
            <w:tcW w:w="0" w:type="auto"/>
            <w:hideMark/>
          </w:tcPr>
          <w:p w14:paraId="1FC27C1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تصميم الدراسة</w:t>
            </w:r>
          </w:p>
        </w:tc>
        <w:tc>
          <w:tcPr>
            <w:tcW w:w="0" w:type="auto"/>
            <w:hideMark/>
          </w:tcPr>
          <w:p w14:paraId="031F4072"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أعيدت صياغة تصميم الدراسة بما يوضح أنها دراسة كمية وصفية تحليلية مقطعية</w:t>
            </w:r>
            <w:r w:rsidRPr="00521338">
              <w:rPr>
                <w:rFonts w:ascii="Traditional Arabic" w:hAnsi="Traditional Arabic" w:cs="Traditional Arabic"/>
                <w:sz w:val="24"/>
                <w:szCs w:val="24"/>
                <w:lang w:val="en-US"/>
              </w:rPr>
              <w:t>.</w:t>
            </w:r>
          </w:p>
        </w:tc>
        <w:tc>
          <w:tcPr>
            <w:tcW w:w="0" w:type="auto"/>
            <w:hideMark/>
          </w:tcPr>
          <w:p w14:paraId="60F810D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27AA96CC"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1898CA1A" w14:textId="77777777" w:rsidTr="00521338">
        <w:tc>
          <w:tcPr>
            <w:tcW w:w="0" w:type="auto"/>
            <w:hideMark/>
          </w:tcPr>
          <w:p w14:paraId="66EF35D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3</w:t>
            </w:r>
          </w:p>
        </w:tc>
        <w:tc>
          <w:tcPr>
            <w:tcW w:w="0" w:type="auto"/>
            <w:hideMark/>
          </w:tcPr>
          <w:p w14:paraId="01F17664"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مجتمع الدراسة</w:t>
            </w:r>
          </w:p>
        </w:tc>
        <w:tc>
          <w:tcPr>
            <w:tcW w:w="0" w:type="auto"/>
            <w:hideMark/>
          </w:tcPr>
          <w:p w14:paraId="2757826B"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تحديد مجتمع الدراسة بدقة وربطه بالمستشفيات الحكومية بمدينة جدة</w:t>
            </w:r>
            <w:r w:rsidRPr="00521338">
              <w:rPr>
                <w:rFonts w:ascii="Traditional Arabic" w:hAnsi="Traditional Arabic" w:cs="Traditional Arabic"/>
                <w:sz w:val="24"/>
                <w:szCs w:val="24"/>
                <w:lang w:val="en-US"/>
              </w:rPr>
              <w:t>.</w:t>
            </w:r>
          </w:p>
        </w:tc>
        <w:tc>
          <w:tcPr>
            <w:tcW w:w="0" w:type="auto"/>
            <w:hideMark/>
          </w:tcPr>
          <w:p w14:paraId="6332FD2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3627313D"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69B5D964" w14:textId="77777777" w:rsidTr="00521338">
        <w:tc>
          <w:tcPr>
            <w:tcW w:w="0" w:type="auto"/>
            <w:hideMark/>
          </w:tcPr>
          <w:p w14:paraId="388E1239"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4</w:t>
            </w:r>
          </w:p>
        </w:tc>
        <w:tc>
          <w:tcPr>
            <w:tcW w:w="0" w:type="auto"/>
            <w:hideMark/>
          </w:tcPr>
          <w:p w14:paraId="3D5DF93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حجم العينة</w:t>
            </w:r>
          </w:p>
        </w:tc>
        <w:tc>
          <w:tcPr>
            <w:tcW w:w="0" w:type="auto"/>
            <w:hideMark/>
          </w:tcPr>
          <w:p w14:paraId="592D702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اعتماد حجم العينة وفق جدول</w:t>
            </w:r>
            <w:r w:rsidRPr="00521338">
              <w:rPr>
                <w:rFonts w:ascii="Traditional Arabic" w:hAnsi="Traditional Arabic" w:cs="Traditional Arabic"/>
                <w:sz w:val="24"/>
                <w:szCs w:val="24"/>
                <w:lang w:val="en-US"/>
              </w:rPr>
              <w:t xml:space="preserve"> Krejcie &amp; Morgan </w:t>
            </w:r>
            <w:r w:rsidRPr="00521338">
              <w:rPr>
                <w:rFonts w:ascii="Traditional Arabic" w:hAnsi="Traditional Arabic" w:cs="Traditional Arabic"/>
                <w:sz w:val="24"/>
                <w:szCs w:val="24"/>
                <w:rtl/>
                <w:lang w:val="en-US"/>
              </w:rPr>
              <w:t>مع تبرير اختيار العينة الطبقية</w:t>
            </w:r>
            <w:r w:rsidRPr="00521338">
              <w:rPr>
                <w:rFonts w:ascii="Traditional Arabic" w:hAnsi="Traditional Arabic" w:cs="Traditional Arabic"/>
                <w:sz w:val="24"/>
                <w:szCs w:val="24"/>
                <w:lang w:val="en-US"/>
              </w:rPr>
              <w:t>.</w:t>
            </w:r>
          </w:p>
        </w:tc>
        <w:tc>
          <w:tcPr>
            <w:tcW w:w="0" w:type="auto"/>
            <w:hideMark/>
          </w:tcPr>
          <w:p w14:paraId="3F34F14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6D18C12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246A130C" w14:textId="77777777" w:rsidTr="00521338">
        <w:tc>
          <w:tcPr>
            <w:tcW w:w="0" w:type="auto"/>
            <w:hideMark/>
          </w:tcPr>
          <w:p w14:paraId="0061B96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5</w:t>
            </w:r>
          </w:p>
        </w:tc>
        <w:tc>
          <w:tcPr>
            <w:tcW w:w="0" w:type="auto"/>
            <w:hideMark/>
          </w:tcPr>
          <w:p w14:paraId="401289B9"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توزيع العينة على المستشفيات</w:t>
            </w:r>
          </w:p>
        </w:tc>
        <w:tc>
          <w:tcPr>
            <w:tcW w:w="0" w:type="auto"/>
            <w:hideMark/>
          </w:tcPr>
          <w:p w14:paraId="223A47DD"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توضيح أن التوزيع النهائي سيتم بعد الحصول على البيانات الرسمية لأعداد العاملين في كل مستشفى</w:t>
            </w:r>
            <w:r w:rsidRPr="00521338">
              <w:rPr>
                <w:rFonts w:ascii="Traditional Arabic" w:hAnsi="Traditional Arabic" w:cs="Traditional Arabic"/>
                <w:sz w:val="24"/>
                <w:szCs w:val="24"/>
                <w:lang w:val="en-US"/>
              </w:rPr>
              <w:t>.</w:t>
            </w:r>
          </w:p>
        </w:tc>
        <w:tc>
          <w:tcPr>
            <w:tcW w:w="0" w:type="auto"/>
            <w:hideMark/>
          </w:tcPr>
          <w:p w14:paraId="30E3C05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 بالتبرير</w:t>
            </w:r>
          </w:p>
        </w:tc>
        <w:tc>
          <w:tcPr>
            <w:tcW w:w="0" w:type="auto"/>
            <w:hideMark/>
          </w:tcPr>
          <w:p w14:paraId="2C57191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لم يتم إدراج توزيع عددي تقديري حفاظا على الدقة المنهجية، وسيتم تحديده عند بدء التطبيق</w:t>
            </w:r>
            <w:r w:rsidRPr="00521338">
              <w:rPr>
                <w:rFonts w:ascii="Traditional Arabic" w:hAnsi="Traditional Arabic" w:cs="Traditional Arabic"/>
                <w:sz w:val="24"/>
                <w:szCs w:val="24"/>
                <w:lang w:val="en-US"/>
              </w:rPr>
              <w:t>.</w:t>
            </w:r>
          </w:p>
        </w:tc>
      </w:tr>
      <w:tr w:rsidR="00521338" w:rsidRPr="00521338" w14:paraId="0A9E4509" w14:textId="77777777" w:rsidTr="00521338">
        <w:tc>
          <w:tcPr>
            <w:tcW w:w="0" w:type="auto"/>
            <w:hideMark/>
          </w:tcPr>
          <w:p w14:paraId="146973B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6</w:t>
            </w:r>
          </w:p>
        </w:tc>
        <w:tc>
          <w:tcPr>
            <w:tcW w:w="0" w:type="auto"/>
            <w:hideMark/>
          </w:tcPr>
          <w:p w14:paraId="2C895B2C"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إطار المعاينة</w:t>
            </w:r>
            <w:r w:rsidRPr="00521338">
              <w:rPr>
                <w:rFonts w:ascii="Traditional Arabic" w:hAnsi="Traditional Arabic" w:cs="Traditional Arabic"/>
                <w:sz w:val="24"/>
                <w:szCs w:val="24"/>
                <w:lang w:val="en-US"/>
              </w:rPr>
              <w:t xml:space="preserve"> (Sampling Frame)</w:t>
            </w:r>
          </w:p>
        </w:tc>
        <w:tc>
          <w:tcPr>
            <w:tcW w:w="0" w:type="auto"/>
            <w:hideMark/>
          </w:tcPr>
          <w:p w14:paraId="2C7B6E1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 فقرة توضح أن قوائم العاملين سيتم الحصول عليها من الجهة الصحية المختصة/إدارات الموارد البشرية، وستستخدم إطارا للمعاينة</w:t>
            </w:r>
            <w:r w:rsidRPr="00521338">
              <w:rPr>
                <w:rFonts w:ascii="Traditional Arabic" w:hAnsi="Traditional Arabic" w:cs="Traditional Arabic"/>
                <w:sz w:val="24"/>
                <w:szCs w:val="24"/>
                <w:lang w:val="en-US"/>
              </w:rPr>
              <w:t>.</w:t>
            </w:r>
          </w:p>
        </w:tc>
        <w:tc>
          <w:tcPr>
            <w:tcW w:w="0" w:type="auto"/>
            <w:hideMark/>
          </w:tcPr>
          <w:p w14:paraId="163B50A9"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7C9210D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5894D4D9" w14:textId="77777777" w:rsidTr="00521338">
        <w:tc>
          <w:tcPr>
            <w:tcW w:w="0" w:type="auto"/>
            <w:hideMark/>
          </w:tcPr>
          <w:p w14:paraId="74CB0DB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7</w:t>
            </w:r>
          </w:p>
        </w:tc>
        <w:tc>
          <w:tcPr>
            <w:tcW w:w="0" w:type="auto"/>
            <w:hideMark/>
          </w:tcPr>
          <w:p w14:paraId="2CD9D5BC"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هيكل الأداة</w:t>
            </w:r>
          </w:p>
        </w:tc>
        <w:tc>
          <w:tcPr>
            <w:tcW w:w="0" w:type="auto"/>
            <w:hideMark/>
          </w:tcPr>
          <w:p w14:paraId="3BE9663D"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أضيف جدول يوضح المتغيرات والأبعاد وعدد الفقرات ومصادرها</w:t>
            </w:r>
            <w:r w:rsidRPr="00521338">
              <w:rPr>
                <w:rFonts w:ascii="Traditional Arabic" w:hAnsi="Traditional Arabic" w:cs="Traditional Arabic"/>
                <w:sz w:val="24"/>
                <w:szCs w:val="24"/>
                <w:lang w:val="en-US"/>
              </w:rPr>
              <w:t>.</w:t>
            </w:r>
          </w:p>
        </w:tc>
        <w:tc>
          <w:tcPr>
            <w:tcW w:w="0" w:type="auto"/>
            <w:hideMark/>
          </w:tcPr>
          <w:p w14:paraId="0403FCF1"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280B67AB"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69C5E322" w14:textId="77777777" w:rsidTr="00521338">
        <w:tc>
          <w:tcPr>
            <w:tcW w:w="0" w:type="auto"/>
            <w:hideMark/>
          </w:tcPr>
          <w:p w14:paraId="60B67ED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8</w:t>
            </w:r>
          </w:p>
        </w:tc>
        <w:tc>
          <w:tcPr>
            <w:tcW w:w="0" w:type="auto"/>
            <w:hideMark/>
          </w:tcPr>
          <w:p w14:paraId="542D018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الدراسة الاستطلاعية</w:t>
            </w:r>
          </w:p>
        </w:tc>
        <w:tc>
          <w:tcPr>
            <w:tcW w:w="0" w:type="auto"/>
            <w:hideMark/>
          </w:tcPr>
          <w:p w14:paraId="5DA088C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 حجم العينة الاستطلاعية وطريقة اختيارها وهدفها، مع التأكيد أنها من خارج العينة الأساسية</w:t>
            </w:r>
            <w:r w:rsidRPr="00521338">
              <w:rPr>
                <w:rFonts w:ascii="Traditional Arabic" w:hAnsi="Traditional Arabic" w:cs="Traditional Arabic"/>
                <w:sz w:val="24"/>
                <w:szCs w:val="24"/>
                <w:lang w:val="en-US"/>
              </w:rPr>
              <w:t>.</w:t>
            </w:r>
          </w:p>
        </w:tc>
        <w:tc>
          <w:tcPr>
            <w:tcW w:w="0" w:type="auto"/>
            <w:hideMark/>
          </w:tcPr>
          <w:p w14:paraId="72AD5532"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7EAA63DC"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697F8CA3" w14:textId="77777777" w:rsidTr="00521338">
        <w:tc>
          <w:tcPr>
            <w:tcW w:w="0" w:type="auto"/>
            <w:hideMark/>
          </w:tcPr>
          <w:p w14:paraId="67A7851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9</w:t>
            </w:r>
          </w:p>
        </w:tc>
        <w:tc>
          <w:tcPr>
            <w:tcW w:w="0" w:type="auto"/>
            <w:hideMark/>
          </w:tcPr>
          <w:p w14:paraId="20A89E5E"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الصدق الظاهري</w:t>
            </w:r>
          </w:p>
        </w:tc>
        <w:tc>
          <w:tcPr>
            <w:tcW w:w="0" w:type="auto"/>
            <w:hideMark/>
          </w:tcPr>
          <w:p w14:paraId="7FD030AB"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توضيح عدد المحكمين وتخصصاتهم وآلية التحكيم</w:t>
            </w:r>
            <w:r w:rsidRPr="00521338">
              <w:rPr>
                <w:rFonts w:ascii="Traditional Arabic" w:hAnsi="Traditional Arabic" w:cs="Traditional Arabic"/>
                <w:sz w:val="24"/>
                <w:szCs w:val="24"/>
                <w:lang w:val="en-US"/>
              </w:rPr>
              <w:t>.</w:t>
            </w:r>
          </w:p>
        </w:tc>
        <w:tc>
          <w:tcPr>
            <w:tcW w:w="0" w:type="auto"/>
            <w:hideMark/>
          </w:tcPr>
          <w:p w14:paraId="70E81CFC"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13ACDBF9"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0806849D" w14:textId="77777777" w:rsidTr="00521338">
        <w:tc>
          <w:tcPr>
            <w:tcW w:w="0" w:type="auto"/>
            <w:hideMark/>
          </w:tcPr>
          <w:p w14:paraId="5D43375C"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10</w:t>
            </w:r>
          </w:p>
        </w:tc>
        <w:tc>
          <w:tcPr>
            <w:tcW w:w="0" w:type="auto"/>
            <w:hideMark/>
          </w:tcPr>
          <w:p w14:paraId="76AF9EB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صدق المحتوى</w:t>
            </w:r>
            <w:r w:rsidRPr="00521338">
              <w:rPr>
                <w:rFonts w:ascii="Traditional Arabic" w:hAnsi="Traditional Arabic" w:cs="Traditional Arabic"/>
                <w:sz w:val="24"/>
                <w:szCs w:val="24"/>
                <w:lang w:val="en-US"/>
              </w:rPr>
              <w:t xml:space="preserve"> (CVI)</w:t>
            </w:r>
          </w:p>
        </w:tc>
        <w:tc>
          <w:tcPr>
            <w:tcW w:w="0" w:type="auto"/>
            <w:hideMark/>
          </w:tcPr>
          <w:p w14:paraId="4A68813C"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w:t>
            </w:r>
            <w:r w:rsidRPr="00521338">
              <w:rPr>
                <w:rFonts w:ascii="Traditional Arabic" w:hAnsi="Traditional Arabic" w:cs="Traditional Arabic"/>
                <w:sz w:val="24"/>
                <w:szCs w:val="24"/>
                <w:lang w:val="en-US"/>
              </w:rPr>
              <w:t xml:space="preserve"> I-CVI </w:t>
            </w:r>
            <w:r w:rsidRPr="00521338">
              <w:rPr>
                <w:rFonts w:ascii="Traditional Arabic" w:hAnsi="Traditional Arabic" w:cs="Traditional Arabic"/>
                <w:sz w:val="24"/>
                <w:szCs w:val="24"/>
                <w:rtl/>
                <w:lang w:val="en-US"/>
              </w:rPr>
              <w:t>و</w:t>
            </w:r>
            <w:r w:rsidRPr="00521338">
              <w:rPr>
                <w:rFonts w:ascii="Traditional Arabic" w:hAnsi="Traditional Arabic" w:cs="Traditional Arabic"/>
                <w:sz w:val="24"/>
                <w:szCs w:val="24"/>
                <w:lang w:val="en-US"/>
              </w:rPr>
              <w:t xml:space="preserve">S-CVI </w:t>
            </w:r>
            <w:r w:rsidRPr="00521338">
              <w:rPr>
                <w:rFonts w:ascii="Traditional Arabic" w:hAnsi="Traditional Arabic" w:cs="Traditional Arabic"/>
                <w:sz w:val="24"/>
                <w:szCs w:val="24"/>
                <w:rtl/>
                <w:lang w:val="en-US"/>
              </w:rPr>
              <w:t>وشرح إجراءات حسابهما</w:t>
            </w:r>
            <w:r w:rsidRPr="00521338">
              <w:rPr>
                <w:rFonts w:ascii="Traditional Arabic" w:hAnsi="Traditional Arabic" w:cs="Traditional Arabic"/>
                <w:sz w:val="24"/>
                <w:szCs w:val="24"/>
                <w:lang w:val="en-US"/>
              </w:rPr>
              <w:t>.</w:t>
            </w:r>
          </w:p>
        </w:tc>
        <w:tc>
          <w:tcPr>
            <w:tcW w:w="0" w:type="auto"/>
            <w:hideMark/>
          </w:tcPr>
          <w:p w14:paraId="2632C1D3"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04428C21"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77739D72" w14:textId="77777777" w:rsidTr="00521338">
        <w:tc>
          <w:tcPr>
            <w:tcW w:w="0" w:type="auto"/>
            <w:hideMark/>
          </w:tcPr>
          <w:p w14:paraId="7D1A3E7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11</w:t>
            </w:r>
          </w:p>
        </w:tc>
        <w:tc>
          <w:tcPr>
            <w:tcW w:w="0" w:type="auto"/>
            <w:hideMark/>
          </w:tcPr>
          <w:p w14:paraId="72DB6DB6"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الصدق البنائي</w:t>
            </w:r>
          </w:p>
        </w:tc>
        <w:tc>
          <w:tcPr>
            <w:tcW w:w="0" w:type="auto"/>
            <w:hideMark/>
          </w:tcPr>
          <w:p w14:paraId="670CE383"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توضيح معاملات ارتباط بيرسون بين الفقرات والأبعاد والدرجة الكلية</w:t>
            </w:r>
            <w:r w:rsidRPr="00521338">
              <w:rPr>
                <w:rFonts w:ascii="Traditional Arabic" w:hAnsi="Traditional Arabic" w:cs="Traditional Arabic"/>
                <w:sz w:val="24"/>
                <w:szCs w:val="24"/>
                <w:lang w:val="en-US"/>
              </w:rPr>
              <w:t>.</w:t>
            </w:r>
          </w:p>
        </w:tc>
        <w:tc>
          <w:tcPr>
            <w:tcW w:w="0" w:type="auto"/>
            <w:hideMark/>
          </w:tcPr>
          <w:p w14:paraId="7481174A"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17677802"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6C77B022" w14:textId="77777777" w:rsidTr="00521338">
        <w:tc>
          <w:tcPr>
            <w:tcW w:w="0" w:type="auto"/>
            <w:hideMark/>
          </w:tcPr>
          <w:p w14:paraId="296C0B83"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12</w:t>
            </w:r>
          </w:p>
        </w:tc>
        <w:tc>
          <w:tcPr>
            <w:tcW w:w="0" w:type="auto"/>
            <w:hideMark/>
          </w:tcPr>
          <w:p w14:paraId="3102660D"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التحليل العاملي الاستكشافي</w:t>
            </w:r>
            <w:r w:rsidRPr="00521338">
              <w:rPr>
                <w:rFonts w:ascii="Traditional Arabic" w:hAnsi="Traditional Arabic" w:cs="Traditional Arabic"/>
                <w:sz w:val="24"/>
                <w:szCs w:val="24"/>
                <w:lang w:val="en-US"/>
              </w:rPr>
              <w:t xml:space="preserve"> (EFA)</w:t>
            </w:r>
          </w:p>
        </w:tc>
        <w:tc>
          <w:tcPr>
            <w:tcW w:w="0" w:type="auto"/>
            <w:hideMark/>
          </w:tcPr>
          <w:p w14:paraId="4411C2C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لم يتم تطبيق</w:t>
            </w:r>
            <w:r w:rsidRPr="00521338">
              <w:rPr>
                <w:rFonts w:ascii="Traditional Arabic" w:hAnsi="Traditional Arabic" w:cs="Traditional Arabic"/>
                <w:sz w:val="24"/>
                <w:szCs w:val="24"/>
                <w:lang w:val="en-US"/>
              </w:rPr>
              <w:t xml:space="preserve"> EFA</w:t>
            </w:r>
            <w:r w:rsidRPr="00521338">
              <w:rPr>
                <w:rFonts w:ascii="Traditional Arabic" w:hAnsi="Traditional Arabic" w:cs="Traditional Arabic"/>
                <w:sz w:val="24"/>
                <w:szCs w:val="24"/>
                <w:rtl/>
                <w:lang w:val="en-US"/>
              </w:rPr>
              <w:t>، وتم إضافة تبرير منهجي لذلك ضمن حدود الدراسة</w:t>
            </w:r>
            <w:r w:rsidRPr="00521338">
              <w:rPr>
                <w:rFonts w:ascii="Traditional Arabic" w:hAnsi="Traditional Arabic" w:cs="Traditional Arabic"/>
                <w:sz w:val="24"/>
                <w:szCs w:val="24"/>
                <w:lang w:val="en-US"/>
              </w:rPr>
              <w:t>.</w:t>
            </w:r>
          </w:p>
        </w:tc>
        <w:tc>
          <w:tcPr>
            <w:tcW w:w="0" w:type="auto"/>
            <w:hideMark/>
          </w:tcPr>
          <w:p w14:paraId="786B60F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 بالتبرير</w:t>
            </w:r>
          </w:p>
        </w:tc>
        <w:tc>
          <w:tcPr>
            <w:tcW w:w="0" w:type="auto"/>
            <w:hideMark/>
          </w:tcPr>
          <w:p w14:paraId="4A745899"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الأداة مقتبسة من مقاييس راسخة، والدراسة لا تهدف إلى تطوير مقياس جديد ولا إلى استكشاف بناء عاملي جديد</w:t>
            </w:r>
            <w:r w:rsidRPr="00521338">
              <w:rPr>
                <w:rFonts w:ascii="Traditional Arabic" w:hAnsi="Traditional Arabic" w:cs="Traditional Arabic"/>
                <w:sz w:val="24"/>
                <w:szCs w:val="24"/>
                <w:lang w:val="en-US"/>
              </w:rPr>
              <w:t>.</w:t>
            </w:r>
          </w:p>
        </w:tc>
      </w:tr>
      <w:tr w:rsidR="00521338" w:rsidRPr="00521338" w14:paraId="7D9F5A48" w14:textId="77777777" w:rsidTr="00521338">
        <w:tc>
          <w:tcPr>
            <w:tcW w:w="0" w:type="auto"/>
            <w:hideMark/>
          </w:tcPr>
          <w:p w14:paraId="46ACFE4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13</w:t>
            </w:r>
          </w:p>
        </w:tc>
        <w:tc>
          <w:tcPr>
            <w:tcW w:w="0" w:type="auto"/>
            <w:hideMark/>
          </w:tcPr>
          <w:p w14:paraId="75A432F9"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الثبات</w:t>
            </w:r>
          </w:p>
        </w:tc>
        <w:tc>
          <w:tcPr>
            <w:tcW w:w="0" w:type="auto"/>
            <w:hideMark/>
          </w:tcPr>
          <w:p w14:paraId="37446F59"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عرض معاملات ألفا كرونباخ لجميع الأبعاد والأداة ككل</w:t>
            </w:r>
            <w:r w:rsidRPr="00521338">
              <w:rPr>
                <w:rFonts w:ascii="Traditional Arabic" w:hAnsi="Traditional Arabic" w:cs="Traditional Arabic"/>
                <w:sz w:val="24"/>
                <w:szCs w:val="24"/>
                <w:lang w:val="en-US"/>
              </w:rPr>
              <w:t>.</w:t>
            </w:r>
          </w:p>
        </w:tc>
        <w:tc>
          <w:tcPr>
            <w:tcW w:w="0" w:type="auto"/>
            <w:hideMark/>
          </w:tcPr>
          <w:p w14:paraId="57706A98"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0EB62B14"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11C00C6A" w14:textId="77777777" w:rsidTr="00521338">
        <w:tc>
          <w:tcPr>
            <w:tcW w:w="0" w:type="auto"/>
            <w:hideMark/>
          </w:tcPr>
          <w:p w14:paraId="655768F3"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14</w:t>
            </w:r>
          </w:p>
        </w:tc>
        <w:tc>
          <w:tcPr>
            <w:tcW w:w="0" w:type="auto"/>
            <w:hideMark/>
          </w:tcPr>
          <w:p w14:paraId="65622896"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ترميز مقياس ليكرت</w:t>
            </w:r>
          </w:p>
        </w:tc>
        <w:tc>
          <w:tcPr>
            <w:tcW w:w="0" w:type="auto"/>
            <w:hideMark/>
          </w:tcPr>
          <w:p w14:paraId="01BBFB6E"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 جدول يوضح اتجاه الترميز من (1) إلى (5</w:t>
            </w:r>
            <w:r w:rsidRPr="00521338">
              <w:rPr>
                <w:rFonts w:ascii="Traditional Arabic" w:hAnsi="Traditional Arabic" w:cs="Traditional Arabic"/>
                <w:sz w:val="24"/>
                <w:szCs w:val="24"/>
                <w:lang w:val="en-US"/>
              </w:rPr>
              <w:t>).</w:t>
            </w:r>
          </w:p>
        </w:tc>
        <w:tc>
          <w:tcPr>
            <w:tcW w:w="0" w:type="auto"/>
            <w:hideMark/>
          </w:tcPr>
          <w:p w14:paraId="23A964E2"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348FF53E"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71454AE4" w14:textId="77777777" w:rsidTr="00521338">
        <w:tc>
          <w:tcPr>
            <w:tcW w:w="0" w:type="auto"/>
            <w:hideMark/>
          </w:tcPr>
          <w:p w14:paraId="0FA8FD8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15</w:t>
            </w:r>
          </w:p>
        </w:tc>
        <w:tc>
          <w:tcPr>
            <w:tcW w:w="0" w:type="auto"/>
            <w:hideMark/>
          </w:tcPr>
          <w:p w14:paraId="6112CE4D"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افتراضات الانحدار</w:t>
            </w:r>
          </w:p>
        </w:tc>
        <w:tc>
          <w:tcPr>
            <w:tcW w:w="0" w:type="auto"/>
            <w:hideMark/>
          </w:tcPr>
          <w:p w14:paraId="29814AE6"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إدراج اختبارات التعدد الخطي</w:t>
            </w:r>
            <w:r w:rsidRPr="00521338">
              <w:rPr>
                <w:rFonts w:ascii="Traditional Arabic" w:hAnsi="Traditional Arabic" w:cs="Traditional Arabic"/>
                <w:sz w:val="24"/>
                <w:szCs w:val="24"/>
                <w:lang w:val="en-US"/>
              </w:rPr>
              <w:t xml:space="preserve"> (VIF </w:t>
            </w:r>
            <w:r w:rsidRPr="00521338">
              <w:rPr>
                <w:rFonts w:ascii="Traditional Arabic" w:hAnsi="Traditional Arabic" w:cs="Traditional Arabic"/>
                <w:sz w:val="24"/>
                <w:szCs w:val="24"/>
                <w:rtl/>
                <w:lang w:val="en-US"/>
              </w:rPr>
              <w:t>و</w:t>
            </w:r>
            <w:r w:rsidRPr="00521338">
              <w:rPr>
                <w:rFonts w:ascii="Traditional Arabic" w:hAnsi="Traditional Arabic" w:cs="Traditional Arabic"/>
                <w:sz w:val="24"/>
                <w:szCs w:val="24"/>
                <w:lang w:val="en-US"/>
              </w:rPr>
              <w:t>Tolerance)</w:t>
            </w:r>
            <w:r w:rsidRPr="00521338">
              <w:rPr>
                <w:rFonts w:ascii="Traditional Arabic" w:hAnsi="Traditional Arabic" w:cs="Traditional Arabic"/>
                <w:sz w:val="24"/>
                <w:szCs w:val="24"/>
                <w:rtl/>
                <w:lang w:val="en-US"/>
              </w:rPr>
              <w:t>، و</w:t>
            </w:r>
            <w:r w:rsidRPr="00521338">
              <w:rPr>
                <w:rFonts w:ascii="Traditional Arabic" w:hAnsi="Traditional Arabic" w:cs="Traditional Arabic"/>
                <w:sz w:val="24"/>
                <w:szCs w:val="24"/>
                <w:lang w:val="en-US"/>
              </w:rPr>
              <w:t>Durbin-Watson</w:t>
            </w:r>
            <w:r w:rsidRPr="00521338">
              <w:rPr>
                <w:rFonts w:ascii="Traditional Arabic" w:hAnsi="Traditional Arabic" w:cs="Traditional Arabic"/>
                <w:sz w:val="24"/>
                <w:szCs w:val="24"/>
                <w:rtl/>
                <w:lang w:val="en-US"/>
              </w:rPr>
              <w:t>، والقيم المتطرفة، والطبيعية والخطية والتجانس</w:t>
            </w:r>
            <w:r w:rsidRPr="00521338">
              <w:rPr>
                <w:rFonts w:ascii="Traditional Arabic" w:hAnsi="Traditional Arabic" w:cs="Traditional Arabic"/>
                <w:sz w:val="24"/>
                <w:szCs w:val="24"/>
                <w:lang w:val="en-US"/>
              </w:rPr>
              <w:t>.</w:t>
            </w:r>
          </w:p>
        </w:tc>
        <w:tc>
          <w:tcPr>
            <w:tcW w:w="0" w:type="auto"/>
            <w:hideMark/>
          </w:tcPr>
          <w:p w14:paraId="602314BF"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3CDFD042"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4ADE0300" w14:textId="77777777" w:rsidTr="00521338">
        <w:tc>
          <w:tcPr>
            <w:tcW w:w="0" w:type="auto"/>
            <w:hideMark/>
          </w:tcPr>
          <w:p w14:paraId="0A5701A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16</w:t>
            </w:r>
          </w:p>
        </w:tc>
        <w:tc>
          <w:tcPr>
            <w:tcW w:w="0" w:type="auto"/>
            <w:hideMark/>
          </w:tcPr>
          <w:p w14:paraId="46E6D14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إجراءات الدراسة</w:t>
            </w:r>
          </w:p>
        </w:tc>
        <w:tc>
          <w:tcPr>
            <w:tcW w:w="0" w:type="auto"/>
            <w:hideMark/>
          </w:tcPr>
          <w:p w14:paraId="1FF8B0A6"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أعيد تنظيم خطوات تنفيذ الدراسة من إعداد الأداة وحتى تحليل البيانات</w:t>
            </w:r>
            <w:r w:rsidRPr="00521338">
              <w:rPr>
                <w:rFonts w:ascii="Traditional Arabic" w:hAnsi="Traditional Arabic" w:cs="Traditional Arabic"/>
                <w:sz w:val="24"/>
                <w:szCs w:val="24"/>
                <w:lang w:val="en-US"/>
              </w:rPr>
              <w:t>.</w:t>
            </w:r>
          </w:p>
        </w:tc>
        <w:tc>
          <w:tcPr>
            <w:tcW w:w="0" w:type="auto"/>
            <w:hideMark/>
          </w:tcPr>
          <w:p w14:paraId="229D87D4"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10709A59"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466BDE4A" w14:textId="77777777" w:rsidTr="00521338">
        <w:tc>
          <w:tcPr>
            <w:tcW w:w="0" w:type="auto"/>
            <w:hideMark/>
          </w:tcPr>
          <w:p w14:paraId="4225F97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17</w:t>
            </w:r>
          </w:p>
        </w:tc>
        <w:tc>
          <w:tcPr>
            <w:tcW w:w="0" w:type="auto"/>
            <w:hideMark/>
          </w:tcPr>
          <w:p w14:paraId="45DFCAE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الموافقات الرسمية</w:t>
            </w:r>
          </w:p>
        </w:tc>
        <w:tc>
          <w:tcPr>
            <w:tcW w:w="0" w:type="auto"/>
            <w:hideMark/>
          </w:tcPr>
          <w:p w14:paraId="3577F21C"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 فقرة توضح الحصول على الموافقات الرسمية قبل توزيع الاستبانة</w:t>
            </w:r>
            <w:r w:rsidRPr="00521338">
              <w:rPr>
                <w:rFonts w:ascii="Traditional Arabic" w:hAnsi="Traditional Arabic" w:cs="Traditional Arabic"/>
                <w:sz w:val="24"/>
                <w:szCs w:val="24"/>
                <w:lang w:val="en-US"/>
              </w:rPr>
              <w:t>.</w:t>
            </w:r>
          </w:p>
        </w:tc>
        <w:tc>
          <w:tcPr>
            <w:tcW w:w="0" w:type="auto"/>
            <w:hideMark/>
          </w:tcPr>
          <w:p w14:paraId="558FEF1E"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0DD52EA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57CF6EE9" w14:textId="77777777" w:rsidTr="00521338">
        <w:tc>
          <w:tcPr>
            <w:tcW w:w="0" w:type="auto"/>
            <w:hideMark/>
          </w:tcPr>
          <w:p w14:paraId="333B8F01"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18</w:t>
            </w:r>
          </w:p>
        </w:tc>
        <w:tc>
          <w:tcPr>
            <w:tcW w:w="0" w:type="auto"/>
            <w:hideMark/>
          </w:tcPr>
          <w:p w14:paraId="0EE9F634"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الجهة المانحة للموافقة</w:t>
            </w:r>
          </w:p>
        </w:tc>
        <w:tc>
          <w:tcPr>
            <w:tcW w:w="0" w:type="auto"/>
            <w:hideMark/>
          </w:tcPr>
          <w:p w14:paraId="4096DE64"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تحديد أن الموافقات تستخرج من الجهة الصحية المختصة والمستشفيات المشاركة (أو تسمى باسمها الرسمي عند التطبيق</w:t>
            </w:r>
            <w:r w:rsidRPr="00521338">
              <w:rPr>
                <w:rFonts w:ascii="Traditional Arabic" w:hAnsi="Traditional Arabic" w:cs="Traditional Arabic"/>
                <w:sz w:val="24"/>
                <w:szCs w:val="24"/>
                <w:lang w:val="en-US"/>
              </w:rPr>
              <w:t>).</w:t>
            </w:r>
          </w:p>
        </w:tc>
        <w:tc>
          <w:tcPr>
            <w:tcW w:w="0" w:type="auto"/>
            <w:hideMark/>
          </w:tcPr>
          <w:p w14:paraId="76DE7053"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4E8823B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يذكر الاسم الرسمي للجهة عند استكمال إجراءات التطبيق إذا لم يكن قد صدر بعد</w:t>
            </w:r>
            <w:r w:rsidRPr="00521338">
              <w:rPr>
                <w:rFonts w:ascii="Traditional Arabic" w:hAnsi="Traditional Arabic" w:cs="Traditional Arabic"/>
                <w:sz w:val="24"/>
                <w:szCs w:val="24"/>
                <w:lang w:val="en-US"/>
              </w:rPr>
              <w:t>.</w:t>
            </w:r>
          </w:p>
        </w:tc>
      </w:tr>
      <w:tr w:rsidR="00521338" w:rsidRPr="00521338" w14:paraId="3F5B2F48" w14:textId="77777777" w:rsidTr="00521338">
        <w:tc>
          <w:tcPr>
            <w:tcW w:w="0" w:type="auto"/>
            <w:hideMark/>
          </w:tcPr>
          <w:p w14:paraId="4BDEC06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19</w:t>
            </w:r>
          </w:p>
        </w:tc>
        <w:tc>
          <w:tcPr>
            <w:tcW w:w="0" w:type="auto"/>
            <w:hideMark/>
          </w:tcPr>
          <w:p w14:paraId="3B880E81"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الأساليب الإحصائية</w:t>
            </w:r>
          </w:p>
        </w:tc>
        <w:tc>
          <w:tcPr>
            <w:tcW w:w="0" w:type="auto"/>
            <w:hideMark/>
          </w:tcPr>
          <w:p w14:paraId="6DA1319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مواءمة كل سؤال وكل فرضية مع الاختبار الإحصائي المناسب</w:t>
            </w:r>
            <w:r w:rsidRPr="00521338">
              <w:rPr>
                <w:rFonts w:ascii="Traditional Arabic" w:hAnsi="Traditional Arabic" w:cs="Traditional Arabic"/>
                <w:sz w:val="24"/>
                <w:szCs w:val="24"/>
                <w:lang w:val="en-US"/>
              </w:rPr>
              <w:t>.</w:t>
            </w:r>
          </w:p>
        </w:tc>
        <w:tc>
          <w:tcPr>
            <w:tcW w:w="0" w:type="auto"/>
            <w:hideMark/>
          </w:tcPr>
          <w:p w14:paraId="5BF8800A"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6754E82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1882C043" w14:textId="77777777" w:rsidTr="00521338">
        <w:tc>
          <w:tcPr>
            <w:tcW w:w="0" w:type="auto"/>
            <w:hideMark/>
          </w:tcPr>
          <w:p w14:paraId="2831B473"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20</w:t>
            </w:r>
          </w:p>
        </w:tc>
        <w:tc>
          <w:tcPr>
            <w:tcW w:w="0" w:type="auto"/>
            <w:hideMark/>
          </w:tcPr>
          <w:p w14:paraId="15E46AB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الاعتبارات الأخلاقية</w:t>
            </w:r>
          </w:p>
        </w:tc>
        <w:tc>
          <w:tcPr>
            <w:tcW w:w="0" w:type="auto"/>
            <w:hideMark/>
          </w:tcPr>
          <w:p w14:paraId="76DE6DCE"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 فقرة أخلاقيات البحث وسرية البيانات والموافقة الطوعية</w:t>
            </w:r>
            <w:r w:rsidRPr="00521338">
              <w:rPr>
                <w:rFonts w:ascii="Traditional Arabic" w:hAnsi="Traditional Arabic" w:cs="Traditional Arabic"/>
                <w:sz w:val="24"/>
                <w:szCs w:val="24"/>
                <w:lang w:val="en-US"/>
              </w:rPr>
              <w:t>.</w:t>
            </w:r>
          </w:p>
        </w:tc>
        <w:tc>
          <w:tcPr>
            <w:tcW w:w="0" w:type="auto"/>
            <w:hideMark/>
          </w:tcPr>
          <w:p w14:paraId="4E275FB0" w14:textId="77777777" w:rsidR="00521338" w:rsidRPr="00521338" w:rsidRDefault="00521338" w:rsidP="00B639ED">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578EB356"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bl>
    <w:p w14:paraId="6B1691E5" w14:textId="77777777" w:rsidR="00521338" w:rsidRDefault="00521338" w:rsidP="00521338">
      <w:pPr>
        <w:bidi/>
        <w:spacing w:line="360" w:lineRule="auto"/>
        <w:jc w:val="both"/>
        <w:rPr>
          <w:rFonts w:ascii="Traditional Arabic" w:hAnsi="Traditional Arabic" w:cs="Traditional Arabic"/>
          <w:sz w:val="32"/>
          <w:szCs w:val="32"/>
          <w:rtl/>
          <w:lang w:val="en-US"/>
        </w:rPr>
      </w:pPr>
    </w:p>
    <w:p w14:paraId="5BE7E9F0" w14:textId="77777777" w:rsidR="00B639ED" w:rsidRDefault="00B639ED" w:rsidP="00B639ED">
      <w:pPr>
        <w:bidi/>
        <w:spacing w:line="360" w:lineRule="auto"/>
        <w:jc w:val="both"/>
        <w:rPr>
          <w:rFonts w:ascii="Traditional Arabic" w:hAnsi="Traditional Arabic" w:cs="Traditional Arabic"/>
          <w:sz w:val="32"/>
          <w:szCs w:val="32"/>
          <w:rtl/>
          <w:lang w:val="en-US"/>
        </w:rPr>
      </w:pPr>
    </w:p>
    <w:p w14:paraId="6B067DAB" w14:textId="77777777" w:rsidR="00B639ED" w:rsidRDefault="00B639ED" w:rsidP="00B639ED">
      <w:pPr>
        <w:bidi/>
        <w:spacing w:line="360" w:lineRule="auto"/>
        <w:jc w:val="both"/>
        <w:rPr>
          <w:rFonts w:ascii="Traditional Arabic" w:hAnsi="Traditional Arabic" w:cs="Traditional Arabic"/>
          <w:sz w:val="32"/>
          <w:szCs w:val="32"/>
          <w:rtl/>
          <w:lang w:val="en-US"/>
        </w:rPr>
      </w:pPr>
    </w:p>
    <w:p w14:paraId="730FEF05" w14:textId="77777777" w:rsidR="00B639ED" w:rsidRDefault="00B639ED" w:rsidP="00B639ED">
      <w:pPr>
        <w:bidi/>
        <w:spacing w:line="360" w:lineRule="auto"/>
        <w:jc w:val="both"/>
        <w:rPr>
          <w:rFonts w:ascii="Traditional Arabic" w:hAnsi="Traditional Arabic" w:cs="Traditional Arabic"/>
          <w:sz w:val="32"/>
          <w:szCs w:val="32"/>
          <w:rtl/>
        </w:rPr>
      </w:pPr>
      <w:r w:rsidRPr="00B639ED">
        <w:rPr>
          <w:rFonts w:ascii="Traditional Arabic" w:hAnsi="Traditional Arabic" w:cs="Traditional Arabic" w:hint="cs"/>
          <w:sz w:val="32"/>
          <w:szCs w:val="32"/>
          <w:highlight w:val="yellow"/>
          <w:rtl/>
          <w:lang w:val="en-US"/>
        </w:rPr>
        <w:t xml:space="preserve">ملاحظة : </w:t>
      </w:r>
      <w:r w:rsidRPr="00B639ED">
        <w:rPr>
          <w:rFonts w:ascii="Traditional Arabic" w:hAnsi="Traditional Arabic" w:cs="Traditional Arabic"/>
          <w:sz w:val="32"/>
          <w:szCs w:val="32"/>
          <w:highlight w:val="yellow"/>
          <w:rtl/>
          <w:lang w:val="en-US"/>
        </w:rPr>
        <w:t>شكرًا لملاحظتكم. تمت مراجعة مقياس ليكرت الخماسي في النسخة الحالية من الفصل الثالث، وتبين أن الترميز المستخدم هو: (5) لموافق بشدة، و(4) لموافق، و(3) لمحايد، و(2) لغير موافق، و(1) لغير موافق بشدة. وبذلك يكون اتجاه الترميز متسقًا مع تفسير الدرجات المرتفعة على أنها تعكس ارتفاع مستوى الاستجابة. وعليه، يبدو أن الملاحظة قد تمت معالجتها في النسخة الحالية، مع التأكيد على مراجعة تنسيق الجدول للتأكد من ظهوره بصورة واضحة</w:t>
      </w:r>
      <w:r w:rsidRPr="00B639ED">
        <w:rPr>
          <w:rFonts w:ascii="Traditional Arabic" w:hAnsi="Traditional Arabic" w:cs="Traditional Arabic"/>
          <w:sz w:val="32"/>
          <w:szCs w:val="32"/>
          <w:highlight w:val="yellow"/>
        </w:rPr>
        <w:t>.</w:t>
      </w:r>
    </w:p>
    <w:p w14:paraId="45519438" w14:textId="77777777" w:rsidR="00B639ED" w:rsidRPr="00B639ED" w:rsidRDefault="00B639ED" w:rsidP="00B639ED">
      <w:pPr>
        <w:pStyle w:val="ListParagraph"/>
        <w:numPr>
          <w:ilvl w:val="0"/>
          <w:numId w:val="11"/>
        </w:numPr>
        <w:bidi/>
        <w:spacing w:line="360" w:lineRule="auto"/>
        <w:jc w:val="both"/>
        <w:rPr>
          <w:rFonts w:ascii="Traditional Arabic" w:hAnsi="Traditional Arabic" w:cs="Traditional Arabic"/>
          <w:sz w:val="32"/>
          <w:szCs w:val="32"/>
          <w:lang w:val="en-US"/>
        </w:rPr>
      </w:pPr>
      <w:r w:rsidRPr="00B639ED">
        <w:rPr>
          <w:rFonts w:ascii="Traditional Arabic" w:hAnsi="Traditional Arabic" w:cs="Traditional Arabic" w:hint="cs"/>
          <w:sz w:val="32"/>
          <w:szCs w:val="32"/>
          <w:highlight w:val="yellow"/>
          <w:rtl/>
        </w:rPr>
        <w:t xml:space="preserve">مجتمع الدراسة: </w:t>
      </w:r>
      <w:r w:rsidRPr="00B639ED">
        <w:rPr>
          <w:rFonts w:ascii="Traditional Arabic" w:hAnsi="Traditional Arabic" w:cs="Traditional Arabic"/>
          <w:sz w:val="32"/>
          <w:szCs w:val="32"/>
          <w:highlight w:val="yellow"/>
          <w:rtl/>
        </w:rPr>
        <w:t>شكرًا لملاحظتكم. تم تعزيز وصف مجتمع الدراسة من خلال توضيح أن عدم تحديد العدد الإجمالي بدقة يعود إلى عدم توافر إحصائية رسمية حديثة وموحدة، وقت إعداد الدراسة، تبين أعداد العاملين في المستشفيات الستة المشمولة بالدراسة موزعين حسب الفئات الوظيفية المستهدفة. وبناءً على ذلك، تم التعامل مع المجتمع بوصفه مجتمعًا كبيرًا لأغراض تحديد حجم العينة، مع الإشارة إلى الاعتماد على البيانات والقوائم الرسمية المتاحة عند تنفيذ الدراسة وتوزيع العينة</w:t>
      </w:r>
      <w:r w:rsidRPr="00B639ED">
        <w:rPr>
          <w:rFonts w:ascii="Traditional Arabic" w:hAnsi="Traditional Arabic" w:cs="Traditional Arabic"/>
          <w:sz w:val="32"/>
          <w:szCs w:val="32"/>
          <w:highlight w:val="yellow"/>
        </w:rPr>
        <w:t>.</w:t>
      </w:r>
    </w:p>
    <w:p w14:paraId="65AFF67E" w14:textId="77777777" w:rsidR="00B639ED" w:rsidRPr="00B639ED" w:rsidRDefault="00B639ED" w:rsidP="00B639ED">
      <w:pPr>
        <w:pStyle w:val="ListParagraph"/>
        <w:numPr>
          <w:ilvl w:val="0"/>
          <w:numId w:val="11"/>
        </w:numPr>
        <w:bidi/>
        <w:spacing w:line="360" w:lineRule="auto"/>
        <w:jc w:val="both"/>
        <w:rPr>
          <w:rFonts w:ascii="Traditional Arabic" w:hAnsi="Traditional Arabic" w:cs="Traditional Arabic"/>
          <w:sz w:val="32"/>
          <w:szCs w:val="32"/>
          <w:lang w:val="en-US"/>
        </w:rPr>
      </w:pPr>
      <w:r w:rsidRPr="00B639ED">
        <w:rPr>
          <w:rFonts w:ascii="Traditional Arabic" w:hAnsi="Traditional Arabic" w:cs="Traditional Arabic"/>
          <w:sz w:val="32"/>
          <w:szCs w:val="32"/>
          <w:rtl/>
          <w:lang w:val="en-US"/>
        </w:rPr>
        <w:t>شكرًا لملاحظتكم. تمت مراجعة خطة اختبار الفرضيات، وتبين أن الفرضيات الفرعية في الدراسة تتعلق بأبعاد التحول الرقمي الأربعة وأثر كل منها في الاستقرار الوظيفي كمتغير تابع كلي، وليس بأبعاد الاستقرار الوظيفي بصورة منفصلة. وقد تم توضيح أن الفرضية الرئيسة ستُختبر من خلال دلالة نموذج الانحدار المتعدد ككل، بينما تُختبر الفرضيات الفرعية من خلال معاملات الانحدار المعيارية</w:t>
      </w:r>
      <w:r w:rsidRPr="00B639ED">
        <w:rPr>
          <w:rFonts w:ascii="Traditional Arabic" w:hAnsi="Traditional Arabic" w:cs="Traditional Arabic"/>
          <w:sz w:val="32"/>
          <w:szCs w:val="32"/>
        </w:rPr>
        <w:t xml:space="preserve"> (Beta) </w:t>
      </w:r>
      <w:r w:rsidRPr="00B639ED">
        <w:rPr>
          <w:rFonts w:ascii="Traditional Arabic" w:hAnsi="Traditional Arabic" w:cs="Traditional Arabic"/>
          <w:sz w:val="32"/>
          <w:szCs w:val="32"/>
          <w:rtl/>
          <w:lang w:val="en-US"/>
        </w:rPr>
        <w:t>وقيم</w:t>
      </w:r>
      <w:r w:rsidRPr="00B639ED">
        <w:rPr>
          <w:rFonts w:ascii="Traditional Arabic" w:hAnsi="Traditional Arabic" w:cs="Traditional Arabic"/>
          <w:sz w:val="32"/>
          <w:szCs w:val="32"/>
        </w:rPr>
        <w:t xml:space="preserve"> (t) </w:t>
      </w:r>
      <w:r w:rsidRPr="00B639ED">
        <w:rPr>
          <w:rFonts w:ascii="Traditional Arabic" w:hAnsi="Traditional Arabic" w:cs="Traditional Arabic"/>
          <w:sz w:val="32"/>
          <w:szCs w:val="32"/>
          <w:rtl/>
          <w:lang w:val="en-US"/>
        </w:rPr>
        <w:t>ومستويات الدلالة لكل بعد ضمن النموذج نفسه. وبذلك تتسق آلية الاختبار مع صياغة الفرضيات الحالية</w:t>
      </w:r>
      <w:r w:rsidRPr="00B639ED">
        <w:rPr>
          <w:rFonts w:ascii="Traditional Arabic" w:hAnsi="Traditional Arabic" w:cs="Traditional Arabic"/>
          <w:sz w:val="32"/>
          <w:szCs w:val="32"/>
        </w:rPr>
        <w:t>.</w:t>
      </w:r>
    </w:p>
    <w:sectPr w:rsidR="00B639ED" w:rsidRPr="00B639ED"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711D"/>
    <w:multiLevelType w:val="multilevel"/>
    <w:tmpl w:val="4D2C0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887D1A"/>
    <w:multiLevelType w:val="multilevel"/>
    <w:tmpl w:val="39BC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556E8"/>
    <w:multiLevelType w:val="multilevel"/>
    <w:tmpl w:val="9E605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C21594"/>
    <w:multiLevelType w:val="multilevel"/>
    <w:tmpl w:val="E0BC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B959C1"/>
    <w:multiLevelType w:val="multilevel"/>
    <w:tmpl w:val="FA3EE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047AA8"/>
    <w:multiLevelType w:val="multilevel"/>
    <w:tmpl w:val="86E0C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B9381D"/>
    <w:multiLevelType w:val="hybridMultilevel"/>
    <w:tmpl w:val="CCC08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CF689A"/>
    <w:multiLevelType w:val="multilevel"/>
    <w:tmpl w:val="671AE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2110CB"/>
    <w:multiLevelType w:val="multilevel"/>
    <w:tmpl w:val="EEA60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E70EA7"/>
    <w:multiLevelType w:val="multilevel"/>
    <w:tmpl w:val="AD727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A7203A"/>
    <w:multiLevelType w:val="multilevel"/>
    <w:tmpl w:val="211C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2037605">
    <w:abstractNumId w:val="7"/>
  </w:num>
  <w:num w:numId="2" w16cid:durableId="1989508756">
    <w:abstractNumId w:val="8"/>
  </w:num>
  <w:num w:numId="3" w16cid:durableId="918515017">
    <w:abstractNumId w:val="3"/>
  </w:num>
  <w:num w:numId="4" w16cid:durableId="327907032">
    <w:abstractNumId w:val="10"/>
  </w:num>
  <w:num w:numId="5" w16cid:durableId="1443720037">
    <w:abstractNumId w:val="5"/>
  </w:num>
  <w:num w:numId="6" w16cid:durableId="244846767">
    <w:abstractNumId w:val="0"/>
  </w:num>
  <w:num w:numId="7" w16cid:durableId="139543250">
    <w:abstractNumId w:val="4"/>
  </w:num>
  <w:num w:numId="8" w16cid:durableId="377631383">
    <w:abstractNumId w:val="2"/>
  </w:num>
  <w:num w:numId="9" w16cid:durableId="1717581879">
    <w:abstractNumId w:val="9"/>
  </w:num>
  <w:num w:numId="10" w16cid:durableId="1211918468">
    <w:abstractNumId w:val="1"/>
  </w:num>
  <w:num w:numId="11" w16cid:durableId="6318362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5"/>
  <w:revisionView w:inkAnnotations="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1A95"/>
    <w:rsid w:val="001E4DDA"/>
    <w:rsid w:val="00234504"/>
    <w:rsid w:val="00313D61"/>
    <w:rsid w:val="00365907"/>
    <w:rsid w:val="00521338"/>
    <w:rsid w:val="0058077E"/>
    <w:rsid w:val="005B1DF7"/>
    <w:rsid w:val="005D7A4B"/>
    <w:rsid w:val="00651A95"/>
    <w:rsid w:val="00675801"/>
    <w:rsid w:val="00692479"/>
    <w:rsid w:val="006E410D"/>
    <w:rsid w:val="007419CC"/>
    <w:rsid w:val="009E4789"/>
    <w:rsid w:val="00B02504"/>
    <w:rsid w:val="00B639ED"/>
    <w:rsid w:val="00BB2224"/>
    <w:rsid w:val="00BB7B09"/>
    <w:rsid w:val="00D46B92"/>
    <w:rsid w:val="00D954DC"/>
    <w:rsid w:val="00E30A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B23A6"/>
  <w15:docId w15:val="{F5A34192-843B-7E4A-BC10-BF2E717AB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2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39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4528">
      <w:bodyDiv w:val="1"/>
      <w:marLeft w:val="0"/>
      <w:marRight w:val="0"/>
      <w:marTop w:val="0"/>
      <w:marBottom w:val="0"/>
      <w:divBdr>
        <w:top w:val="none" w:sz="0" w:space="0" w:color="auto"/>
        <w:left w:val="none" w:sz="0" w:space="0" w:color="auto"/>
        <w:bottom w:val="none" w:sz="0" w:space="0" w:color="auto"/>
        <w:right w:val="none" w:sz="0" w:space="0" w:color="auto"/>
      </w:divBdr>
    </w:div>
    <w:div w:id="81924515">
      <w:bodyDiv w:val="1"/>
      <w:marLeft w:val="0"/>
      <w:marRight w:val="0"/>
      <w:marTop w:val="0"/>
      <w:marBottom w:val="0"/>
      <w:divBdr>
        <w:top w:val="none" w:sz="0" w:space="0" w:color="auto"/>
        <w:left w:val="none" w:sz="0" w:space="0" w:color="auto"/>
        <w:bottom w:val="none" w:sz="0" w:space="0" w:color="auto"/>
        <w:right w:val="none" w:sz="0" w:space="0" w:color="auto"/>
      </w:divBdr>
    </w:div>
    <w:div w:id="85421963">
      <w:bodyDiv w:val="1"/>
      <w:marLeft w:val="0"/>
      <w:marRight w:val="0"/>
      <w:marTop w:val="0"/>
      <w:marBottom w:val="0"/>
      <w:divBdr>
        <w:top w:val="none" w:sz="0" w:space="0" w:color="auto"/>
        <w:left w:val="none" w:sz="0" w:space="0" w:color="auto"/>
        <w:bottom w:val="none" w:sz="0" w:space="0" w:color="auto"/>
        <w:right w:val="none" w:sz="0" w:space="0" w:color="auto"/>
      </w:divBdr>
    </w:div>
    <w:div w:id="96606542">
      <w:bodyDiv w:val="1"/>
      <w:marLeft w:val="0"/>
      <w:marRight w:val="0"/>
      <w:marTop w:val="0"/>
      <w:marBottom w:val="0"/>
      <w:divBdr>
        <w:top w:val="none" w:sz="0" w:space="0" w:color="auto"/>
        <w:left w:val="none" w:sz="0" w:space="0" w:color="auto"/>
        <w:bottom w:val="none" w:sz="0" w:space="0" w:color="auto"/>
        <w:right w:val="none" w:sz="0" w:space="0" w:color="auto"/>
      </w:divBdr>
    </w:div>
    <w:div w:id="313031030">
      <w:bodyDiv w:val="1"/>
      <w:marLeft w:val="0"/>
      <w:marRight w:val="0"/>
      <w:marTop w:val="0"/>
      <w:marBottom w:val="0"/>
      <w:divBdr>
        <w:top w:val="none" w:sz="0" w:space="0" w:color="auto"/>
        <w:left w:val="none" w:sz="0" w:space="0" w:color="auto"/>
        <w:bottom w:val="none" w:sz="0" w:space="0" w:color="auto"/>
        <w:right w:val="none" w:sz="0" w:space="0" w:color="auto"/>
      </w:divBdr>
    </w:div>
    <w:div w:id="385106273">
      <w:bodyDiv w:val="1"/>
      <w:marLeft w:val="0"/>
      <w:marRight w:val="0"/>
      <w:marTop w:val="0"/>
      <w:marBottom w:val="0"/>
      <w:divBdr>
        <w:top w:val="none" w:sz="0" w:space="0" w:color="auto"/>
        <w:left w:val="none" w:sz="0" w:space="0" w:color="auto"/>
        <w:bottom w:val="none" w:sz="0" w:space="0" w:color="auto"/>
        <w:right w:val="none" w:sz="0" w:space="0" w:color="auto"/>
      </w:divBdr>
    </w:div>
    <w:div w:id="405227420">
      <w:bodyDiv w:val="1"/>
      <w:marLeft w:val="0"/>
      <w:marRight w:val="0"/>
      <w:marTop w:val="0"/>
      <w:marBottom w:val="0"/>
      <w:divBdr>
        <w:top w:val="none" w:sz="0" w:space="0" w:color="auto"/>
        <w:left w:val="none" w:sz="0" w:space="0" w:color="auto"/>
        <w:bottom w:val="none" w:sz="0" w:space="0" w:color="auto"/>
        <w:right w:val="none" w:sz="0" w:space="0" w:color="auto"/>
      </w:divBdr>
    </w:div>
    <w:div w:id="416025882">
      <w:bodyDiv w:val="1"/>
      <w:marLeft w:val="0"/>
      <w:marRight w:val="0"/>
      <w:marTop w:val="0"/>
      <w:marBottom w:val="0"/>
      <w:divBdr>
        <w:top w:val="none" w:sz="0" w:space="0" w:color="auto"/>
        <w:left w:val="none" w:sz="0" w:space="0" w:color="auto"/>
        <w:bottom w:val="none" w:sz="0" w:space="0" w:color="auto"/>
        <w:right w:val="none" w:sz="0" w:space="0" w:color="auto"/>
      </w:divBdr>
    </w:div>
    <w:div w:id="423385867">
      <w:bodyDiv w:val="1"/>
      <w:marLeft w:val="0"/>
      <w:marRight w:val="0"/>
      <w:marTop w:val="0"/>
      <w:marBottom w:val="0"/>
      <w:divBdr>
        <w:top w:val="none" w:sz="0" w:space="0" w:color="auto"/>
        <w:left w:val="none" w:sz="0" w:space="0" w:color="auto"/>
        <w:bottom w:val="none" w:sz="0" w:space="0" w:color="auto"/>
        <w:right w:val="none" w:sz="0" w:space="0" w:color="auto"/>
      </w:divBdr>
    </w:div>
    <w:div w:id="490872222">
      <w:bodyDiv w:val="1"/>
      <w:marLeft w:val="0"/>
      <w:marRight w:val="0"/>
      <w:marTop w:val="0"/>
      <w:marBottom w:val="0"/>
      <w:divBdr>
        <w:top w:val="none" w:sz="0" w:space="0" w:color="auto"/>
        <w:left w:val="none" w:sz="0" w:space="0" w:color="auto"/>
        <w:bottom w:val="none" w:sz="0" w:space="0" w:color="auto"/>
        <w:right w:val="none" w:sz="0" w:space="0" w:color="auto"/>
      </w:divBdr>
    </w:div>
    <w:div w:id="592206283">
      <w:bodyDiv w:val="1"/>
      <w:marLeft w:val="0"/>
      <w:marRight w:val="0"/>
      <w:marTop w:val="0"/>
      <w:marBottom w:val="0"/>
      <w:divBdr>
        <w:top w:val="none" w:sz="0" w:space="0" w:color="auto"/>
        <w:left w:val="none" w:sz="0" w:space="0" w:color="auto"/>
        <w:bottom w:val="none" w:sz="0" w:space="0" w:color="auto"/>
        <w:right w:val="none" w:sz="0" w:space="0" w:color="auto"/>
      </w:divBdr>
    </w:div>
    <w:div w:id="646982477">
      <w:bodyDiv w:val="1"/>
      <w:marLeft w:val="0"/>
      <w:marRight w:val="0"/>
      <w:marTop w:val="0"/>
      <w:marBottom w:val="0"/>
      <w:divBdr>
        <w:top w:val="none" w:sz="0" w:space="0" w:color="auto"/>
        <w:left w:val="none" w:sz="0" w:space="0" w:color="auto"/>
        <w:bottom w:val="none" w:sz="0" w:space="0" w:color="auto"/>
        <w:right w:val="none" w:sz="0" w:space="0" w:color="auto"/>
      </w:divBdr>
    </w:div>
    <w:div w:id="650523768">
      <w:bodyDiv w:val="1"/>
      <w:marLeft w:val="0"/>
      <w:marRight w:val="0"/>
      <w:marTop w:val="0"/>
      <w:marBottom w:val="0"/>
      <w:divBdr>
        <w:top w:val="none" w:sz="0" w:space="0" w:color="auto"/>
        <w:left w:val="none" w:sz="0" w:space="0" w:color="auto"/>
        <w:bottom w:val="none" w:sz="0" w:space="0" w:color="auto"/>
        <w:right w:val="none" w:sz="0" w:space="0" w:color="auto"/>
      </w:divBdr>
    </w:div>
    <w:div w:id="695813156">
      <w:bodyDiv w:val="1"/>
      <w:marLeft w:val="0"/>
      <w:marRight w:val="0"/>
      <w:marTop w:val="0"/>
      <w:marBottom w:val="0"/>
      <w:divBdr>
        <w:top w:val="none" w:sz="0" w:space="0" w:color="auto"/>
        <w:left w:val="none" w:sz="0" w:space="0" w:color="auto"/>
        <w:bottom w:val="none" w:sz="0" w:space="0" w:color="auto"/>
        <w:right w:val="none" w:sz="0" w:space="0" w:color="auto"/>
      </w:divBdr>
    </w:div>
    <w:div w:id="803356422">
      <w:bodyDiv w:val="1"/>
      <w:marLeft w:val="0"/>
      <w:marRight w:val="0"/>
      <w:marTop w:val="0"/>
      <w:marBottom w:val="0"/>
      <w:divBdr>
        <w:top w:val="none" w:sz="0" w:space="0" w:color="auto"/>
        <w:left w:val="none" w:sz="0" w:space="0" w:color="auto"/>
        <w:bottom w:val="none" w:sz="0" w:space="0" w:color="auto"/>
        <w:right w:val="none" w:sz="0" w:space="0" w:color="auto"/>
      </w:divBdr>
    </w:div>
    <w:div w:id="965770207">
      <w:bodyDiv w:val="1"/>
      <w:marLeft w:val="0"/>
      <w:marRight w:val="0"/>
      <w:marTop w:val="0"/>
      <w:marBottom w:val="0"/>
      <w:divBdr>
        <w:top w:val="none" w:sz="0" w:space="0" w:color="auto"/>
        <w:left w:val="none" w:sz="0" w:space="0" w:color="auto"/>
        <w:bottom w:val="none" w:sz="0" w:space="0" w:color="auto"/>
        <w:right w:val="none" w:sz="0" w:space="0" w:color="auto"/>
      </w:divBdr>
    </w:div>
    <w:div w:id="1071653579">
      <w:bodyDiv w:val="1"/>
      <w:marLeft w:val="0"/>
      <w:marRight w:val="0"/>
      <w:marTop w:val="0"/>
      <w:marBottom w:val="0"/>
      <w:divBdr>
        <w:top w:val="none" w:sz="0" w:space="0" w:color="auto"/>
        <w:left w:val="none" w:sz="0" w:space="0" w:color="auto"/>
        <w:bottom w:val="none" w:sz="0" w:space="0" w:color="auto"/>
        <w:right w:val="none" w:sz="0" w:space="0" w:color="auto"/>
      </w:divBdr>
    </w:div>
    <w:div w:id="1145388413">
      <w:bodyDiv w:val="1"/>
      <w:marLeft w:val="0"/>
      <w:marRight w:val="0"/>
      <w:marTop w:val="0"/>
      <w:marBottom w:val="0"/>
      <w:divBdr>
        <w:top w:val="none" w:sz="0" w:space="0" w:color="auto"/>
        <w:left w:val="none" w:sz="0" w:space="0" w:color="auto"/>
        <w:bottom w:val="none" w:sz="0" w:space="0" w:color="auto"/>
        <w:right w:val="none" w:sz="0" w:space="0" w:color="auto"/>
      </w:divBdr>
    </w:div>
    <w:div w:id="1170213861">
      <w:bodyDiv w:val="1"/>
      <w:marLeft w:val="0"/>
      <w:marRight w:val="0"/>
      <w:marTop w:val="0"/>
      <w:marBottom w:val="0"/>
      <w:divBdr>
        <w:top w:val="none" w:sz="0" w:space="0" w:color="auto"/>
        <w:left w:val="none" w:sz="0" w:space="0" w:color="auto"/>
        <w:bottom w:val="none" w:sz="0" w:space="0" w:color="auto"/>
        <w:right w:val="none" w:sz="0" w:space="0" w:color="auto"/>
      </w:divBdr>
      <w:divsChild>
        <w:div w:id="1083838247">
          <w:marLeft w:val="0"/>
          <w:marRight w:val="0"/>
          <w:marTop w:val="0"/>
          <w:marBottom w:val="0"/>
          <w:divBdr>
            <w:top w:val="none" w:sz="0" w:space="0" w:color="auto"/>
            <w:left w:val="none" w:sz="0" w:space="0" w:color="auto"/>
            <w:bottom w:val="none" w:sz="0" w:space="0" w:color="auto"/>
            <w:right w:val="none" w:sz="0" w:space="0" w:color="auto"/>
          </w:divBdr>
          <w:divsChild>
            <w:div w:id="98836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949252">
      <w:bodyDiv w:val="1"/>
      <w:marLeft w:val="0"/>
      <w:marRight w:val="0"/>
      <w:marTop w:val="0"/>
      <w:marBottom w:val="0"/>
      <w:divBdr>
        <w:top w:val="none" w:sz="0" w:space="0" w:color="auto"/>
        <w:left w:val="none" w:sz="0" w:space="0" w:color="auto"/>
        <w:bottom w:val="none" w:sz="0" w:space="0" w:color="auto"/>
        <w:right w:val="none" w:sz="0" w:space="0" w:color="auto"/>
      </w:divBdr>
      <w:divsChild>
        <w:div w:id="1258444404">
          <w:marLeft w:val="0"/>
          <w:marRight w:val="0"/>
          <w:marTop w:val="0"/>
          <w:marBottom w:val="0"/>
          <w:divBdr>
            <w:top w:val="none" w:sz="0" w:space="0" w:color="auto"/>
            <w:left w:val="none" w:sz="0" w:space="0" w:color="auto"/>
            <w:bottom w:val="none" w:sz="0" w:space="0" w:color="auto"/>
            <w:right w:val="none" w:sz="0" w:space="0" w:color="auto"/>
          </w:divBdr>
          <w:divsChild>
            <w:div w:id="164280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452379">
      <w:bodyDiv w:val="1"/>
      <w:marLeft w:val="0"/>
      <w:marRight w:val="0"/>
      <w:marTop w:val="0"/>
      <w:marBottom w:val="0"/>
      <w:divBdr>
        <w:top w:val="none" w:sz="0" w:space="0" w:color="auto"/>
        <w:left w:val="none" w:sz="0" w:space="0" w:color="auto"/>
        <w:bottom w:val="none" w:sz="0" w:space="0" w:color="auto"/>
        <w:right w:val="none" w:sz="0" w:space="0" w:color="auto"/>
      </w:divBdr>
    </w:div>
    <w:div w:id="1483278561">
      <w:bodyDiv w:val="1"/>
      <w:marLeft w:val="0"/>
      <w:marRight w:val="0"/>
      <w:marTop w:val="0"/>
      <w:marBottom w:val="0"/>
      <w:divBdr>
        <w:top w:val="none" w:sz="0" w:space="0" w:color="auto"/>
        <w:left w:val="none" w:sz="0" w:space="0" w:color="auto"/>
        <w:bottom w:val="none" w:sz="0" w:space="0" w:color="auto"/>
        <w:right w:val="none" w:sz="0" w:space="0" w:color="auto"/>
      </w:divBdr>
    </w:div>
    <w:div w:id="1670057740">
      <w:bodyDiv w:val="1"/>
      <w:marLeft w:val="0"/>
      <w:marRight w:val="0"/>
      <w:marTop w:val="0"/>
      <w:marBottom w:val="0"/>
      <w:divBdr>
        <w:top w:val="none" w:sz="0" w:space="0" w:color="auto"/>
        <w:left w:val="none" w:sz="0" w:space="0" w:color="auto"/>
        <w:bottom w:val="none" w:sz="0" w:space="0" w:color="auto"/>
        <w:right w:val="none" w:sz="0" w:space="0" w:color="auto"/>
      </w:divBdr>
    </w:div>
    <w:div w:id="196603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2683940710733115" TargetMode="External" /><Relationship Id="rId13" Type="http://schemas.openxmlformats.org/officeDocument/2006/relationships/hyperlink" Target="https://doi.org/10.1016/j.jbusres.2020.10.030" TargetMode="External" /><Relationship Id="rId18" Type="http://schemas.openxmlformats.org/officeDocument/2006/relationships/hyperlink" Target="https://doi.org/10.1177/001872675100400101"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doi.org/10.1007/978-3-031-62332-5_3" TargetMode="External" /><Relationship Id="rId12" Type="http://schemas.openxmlformats.org/officeDocument/2006/relationships/hyperlink" Target="https://doi.org/10.2196/40622" TargetMode="External" /><Relationship Id="rId17" Type="http://schemas.openxmlformats.org/officeDocument/2006/relationships/hyperlink" Target="https://doi.org/10.3390/info16030247" TargetMode="External" /><Relationship Id="rId2" Type="http://schemas.openxmlformats.org/officeDocument/2006/relationships/styles" Target="styles.xml" /><Relationship Id="rId16" Type="http://schemas.openxmlformats.org/officeDocument/2006/relationships/hyperlink" Target="https://doi.org/10.21511/ppm.19(4).2021.01"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hyperlink" Target="https://doi.org/10.1186/s12913-023-10335-8" TargetMode="External" /><Relationship Id="rId11" Type="http://schemas.openxmlformats.org/officeDocument/2006/relationships/hyperlink" Target="https://doi.org/10.18235/0005682" TargetMode="External" /><Relationship Id="rId5" Type="http://schemas.openxmlformats.org/officeDocument/2006/relationships/hyperlink" Target="https://doi.org/10.1177/20552076221117742" TargetMode="External" /><Relationship Id="rId15" Type="http://schemas.openxmlformats.org/officeDocument/2006/relationships/hyperlink" Target="https://doi.org/10.1016/j.procs.2023.10.186" TargetMode="External" /><Relationship Id="rId10" Type="http://schemas.openxmlformats.org/officeDocument/2006/relationships/hyperlink" Target="https://doi.org/10.1371/journal.pdig.0000385" TargetMode="External" /><Relationship Id="rId19" Type="http://schemas.openxmlformats.org/officeDocument/2006/relationships/hyperlink" Target="https://doi.org/10.1016/j.jsis.2019.01.003" TargetMode="External" /><Relationship Id="rId4" Type="http://schemas.openxmlformats.org/officeDocument/2006/relationships/webSettings" Target="webSettings.xml" /><Relationship Id="rId9" Type="http://schemas.openxmlformats.org/officeDocument/2006/relationships/hyperlink" Target="https://doi.org/10.24857/rgsa.v18n4-046" TargetMode="External" /><Relationship Id="rId14" Type="http://schemas.openxmlformats.org/officeDocument/2006/relationships/hyperlink" Target="https://doi.org/10.1016/j.techfore.2024.12378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7160</Words>
  <Characters>40812</Characters>
  <Application>Microsoft Office Word</Application>
  <DocSecurity>0</DocSecurity>
  <Lines>340</Lines>
  <Paragraphs>95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Atif Bokhari</cp:lastModifiedBy>
  <cp:revision>2</cp:revision>
  <dcterms:created xsi:type="dcterms:W3CDTF">2026-08-18T18:21:00Z</dcterms:created>
  <dcterms:modified xsi:type="dcterms:W3CDTF">2026-08-18T18:21:00Z</dcterms:modified>
</cp:coreProperties>
</file>