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D53DE" w14:textId="77777777" w:rsidR="00457D79" w:rsidRPr="00807B36" w:rsidRDefault="00457D79" w:rsidP="00457D79">
      <w:pPr>
        <w:jc w:val="center"/>
        <w:rPr>
          <w:rFonts w:asciiTheme="majorBidi" w:hAnsiTheme="majorBidi" w:cstheme="majorBidi"/>
          <w:b/>
          <w:bCs/>
          <w:color w:val="000000" w:themeColor="text1"/>
          <w:sz w:val="40"/>
          <w:szCs w:val="40"/>
          <w:u w:val="single"/>
          <w:rtl/>
        </w:rPr>
      </w:pPr>
      <w:r w:rsidRPr="00807B36">
        <w:rPr>
          <w:rFonts w:asciiTheme="majorBidi" w:hAnsiTheme="majorBidi" w:cstheme="majorBidi"/>
          <w:b/>
          <w:bCs/>
          <w:color w:val="000000" w:themeColor="text1"/>
          <w:sz w:val="40"/>
          <w:szCs w:val="40"/>
          <w:u w:val="single"/>
        </w:rPr>
        <w:t>Chapter One</w:t>
      </w:r>
    </w:p>
    <w:p w14:paraId="75676B9F" w14:textId="77777777" w:rsidR="00457D79" w:rsidRPr="00375467" w:rsidRDefault="00457D79" w:rsidP="00457D79">
      <w:pPr>
        <w:rPr>
          <w:rFonts w:asciiTheme="majorBidi" w:hAnsiTheme="majorBidi" w:cstheme="majorBidi"/>
          <w:color w:val="000000" w:themeColor="text1"/>
          <w:sz w:val="28"/>
          <w:szCs w:val="28"/>
          <w:u w:val="single"/>
          <w:rtl/>
        </w:rPr>
      </w:pPr>
    </w:p>
    <w:p w14:paraId="1B98BC42" w14:textId="77777777" w:rsidR="00457D79" w:rsidRPr="009733C8" w:rsidRDefault="00457D79" w:rsidP="00457D79">
      <w:pPr>
        <w:rPr>
          <w:rFonts w:asciiTheme="majorBidi" w:hAnsiTheme="majorBidi" w:cstheme="majorBidi"/>
          <w:b/>
          <w:bCs/>
          <w:color w:val="000000" w:themeColor="text1"/>
          <w:sz w:val="36"/>
          <w:szCs w:val="36"/>
          <w:u w:val="single"/>
        </w:rPr>
      </w:pPr>
      <w:r w:rsidRPr="009733C8">
        <w:rPr>
          <w:rFonts w:asciiTheme="majorBidi" w:hAnsiTheme="majorBidi" w:cstheme="majorBidi"/>
          <w:b/>
          <w:bCs/>
          <w:color w:val="000000" w:themeColor="text1"/>
          <w:sz w:val="36"/>
          <w:szCs w:val="36"/>
          <w:u w:val="single"/>
        </w:rPr>
        <w:t>Introduction:</w:t>
      </w:r>
    </w:p>
    <w:p w14:paraId="4D7AEF71" w14:textId="77777777" w:rsidR="00457D79" w:rsidRPr="00807B36" w:rsidRDefault="00457D79" w:rsidP="00457D79">
      <w:pPr>
        <w:rPr>
          <w:rFonts w:asciiTheme="majorBidi" w:hAnsiTheme="majorBidi" w:cstheme="majorBidi"/>
          <w:color w:val="000000" w:themeColor="text1"/>
          <w:sz w:val="36"/>
          <w:szCs w:val="36"/>
          <w:u w:val="single"/>
          <w:rtl/>
        </w:rPr>
      </w:pPr>
    </w:p>
    <w:p w14:paraId="00409620" w14:textId="51485D39" w:rsidR="00457D79" w:rsidRPr="00807B36" w:rsidRDefault="00457D79" w:rsidP="00457D79">
      <w:pPr>
        <w:spacing w:line="360" w:lineRule="auto"/>
        <w:rPr>
          <w:rFonts w:asciiTheme="majorBidi" w:hAnsiTheme="majorBidi" w:cstheme="majorBidi"/>
          <w:color w:val="000000" w:themeColor="text1"/>
          <w:sz w:val="24"/>
          <w:szCs w:val="24"/>
        </w:rPr>
      </w:pPr>
      <w:r w:rsidRPr="00807B36">
        <w:rPr>
          <w:rFonts w:asciiTheme="majorBidi" w:hAnsiTheme="majorBidi" w:cstheme="majorBidi"/>
          <w:color w:val="000000" w:themeColor="text1"/>
          <w:sz w:val="24"/>
          <w:szCs w:val="24"/>
        </w:rPr>
        <w:t xml:space="preserve">Patient falls are categorized by the World Health Organization (WHO) as one of the most frequent and preventable adverse events, or </w:t>
      </w:r>
      <w:r w:rsidR="00C12D11">
        <w:rPr>
          <w:rFonts w:asciiTheme="majorBidi" w:hAnsiTheme="majorBidi" w:cstheme="majorBidi"/>
          <w:color w:val="000000" w:themeColor="text1"/>
          <w:sz w:val="24"/>
          <w:szCs w:val="24"/>
        </w:rPr>
        <w:t>“</w:t>
      </w:r>
      <w:r w:rsidRPr="00807B36">
        <w:rPr>
          <w:rFonts w:asciiTheme="majorBidi" w:hAnsiTheme="majorBidi" w:cstheme="majorBidi"/>
          <w:color w:val="000000" w:themeColor="text1"/>
          <w:sz w:val="24"/>
          <w:szCs w:val="24"/>
        </w:rPr>
        <w:t>never events</w:t>
      </w:r>
      <w:r w:rsidR="00C12D11">
        <w:rPr>
          <w:rFonts w:asciiTheme="majorBidi" w:hAnsiTheme="majorBidi" w:cstheme="majorBidi"/>
          <w:color w:val="000000" w:themeColor="text1"/>
          <w:sz w:val="24"/>
          <w:szCs w:val="24"/>
        </w:rPr>
        <w:t>”</w:t>
      </w:r>
      <w:r w:rsidRPr="00807B36">
        <w:rPr>
          <w:rFonts w:asciiTheme="majorBidi" w:hAnsiTheme="majorBidi" w:cstheme="majorBidi"/>
          <w:color w:val="000000" w:themeColor="text1"/>
          <w:sz w:val="24"/>
          <w:szCs w:val="24"/>
        </w:rPr>
        <w:t xml:space="preserve">, in healthcare. Globally, fall rates in acute-care settings range from three to five falls per 1,000 patient-days. These incidents are not </w:t>
      </w:r>
      <w:r w:rsidR="00AA5ED9">
        <w:rPr>
          <w:rFonts w:asciiTheme="majorBidi" w:hAnsiTheme="majorBidi" w:cstheme="majorBidi"/>
          <w:color w:val="000000" w:themeColor="text1"/>
          <w:sz w:val="24"/>
          <w:szCs w:val="24"/>
        </w:rPr>
        <w:t>only</w:t>
      </w:r>
      <w:r w:rsidRPr="00807B36">
        <w:rPr>
          <w:rFonts w:asciiTheme="majorBidi" w:hAnsiTheme="majorBidi" w:cstheme="majorBidi"/>
          <w:color w:val="000000" w:themeColor="text1"/>
          <w:sz w:val="24"/>
          <w:szCs w:val="24"/>
        </w:rPr>
        <w:t xml:space="preserve"> physical accidents; they represent a systemic failure in safety protocols, leading to fractures, intracranial hemorrhage and a psychological fear of falling that hinders patient recovery. </w:t>
      </w:r>
      <w:r w:rsidR="00C12D11">
        <w:rPr>
          <w:rFonts w:asciiTheme="majorBidi" w:hAnsiTheme="majorBidi" w:cstheme="majorBidi"/>
          <w:color w:val="000000" w:themeColor="text1"/>
          <w:sz w:val="24"/>
          <w:szCs w:val="24"/>
        </w:rPr>
        <w:t>Given that</w:t>
      </w:r>
      <w:r w:rsidRPr="00807B36">
        <w:rPr>
          <w:rFonts w:asciiTheme="majorBidi" w:hAnsiTheme="majorBidi" w:cstheme="majorBidi"/>
          <w:color w:val="000000" w:themeColor="text1"/>
          <w:sz w:val="24"/>
          <w:szCs w:val="24"/>
        </w:rPr>
        <w:t xml:space="preserve"> nurses provide continuous bedside care, they are the primary defenders</w:t>
      </w:r>
      <w:r w:rsidR="005E2C1C">
        <w:rPr>
          <w:rFonts w:asciiTheme="majorBidi" w:hAnsiTheme="majorBidi" w:cstheme="majorBidi"/>
          <w:color w:val="000000" w:themeColor="text1"/>
          <w:sz w:val="24"/>
          <w:szCs w:val="24"/>
        </w:rPr>
        <w:t xml:space="preserve"> and barriers</w:t>
      </w:r>
      <w:r w:rsidRPr="00807B36">
        <w:rPr>
          <w:rFonts w:asciiTheme="majorBidi" w:hAnsiTheme="majorBidi" w:cstheme="majorBidi"/>
          <w:color w:val="000000" w:themeColor="text1"/>
          <w:sz w:val="24"/>
          <w:szCs w:val="24"/>
        </w:rPr>
        <w:t xml:space="preserve"> against falls, and their knowledge and practice are decisive determinants of whether a patient remains safe.</w:t>
      </w:r>
    </w:p>
    <w:p w14:paraId="48CBF575" w14:textId="7D18B1EF" w:rsidR="00457D79" w:rsidRPr="00807B36" w:rsidRDefault="00F10734" w:rsidP="00457D79">
      <w:pPr>
        <w:spacing w:line="360" w:lineRule="auto"/>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 2030 vision </w:t>
      </w:r>
      <w:r w:rsidR="00D05D83">
        <w:rPr>
          <w:rFonts w:asciiTheme="majorBidi" w:hAnsiTheme="majorBidi" w:cstheme="majorBidi"/>
          <w:color w:val="000000" w:themeColor="text1"/>
          <w:sz w:val="24"/>
          <w:szCs w:val="24"/>
        </w:rPr>
        <w:t xml:space="preserve">of Saudi Arabia for </w:t>
      </w:r>
      <w:r w:rsidR="00457D79" w:rsidRPr="00807B36">
        <w:rPr>
          <w:rFonts w:asciiTheme="majorBidi" w:hAnsiTheme="majorBidi" w:cstheme="majorBidi"/>
          <w:color w:val="000000" w:themeColor="text1"/>
          <w:sz w:val="24"/>
          <w:szCs w:val="24"/>
        </w:rPr>
        <w:t>healthcare transformation has placed unprecedented emphasis on patient safety and quality of care. While the Ministry of Health (MOH) provides overarching guidelines, the private healthcare sector</w:t>
      </w:r>
      <w:r w:rsidR="009E1A8C">
        <w:rPr>
          <w:rFonts w:asciiTheme="majorBidi" w:hAnsiTheme="majorBidi" w:cstheme="majorBidi"/>
          <w:color w:val="000000" w:themeColor="text1"/>
          <w:sz w:val="24"/>
          <w:szCs w:val="24"/>
        </w:rPr>
        <w:t xml:space="preserve">, </w:t>
      </w:r>
      <w:r w:rsidR="00457D79" w:rsidRPr="00807B36">
        <w:rPr>
          <w:rFonts w:asciiTheme="majorBidi" w:hAnsiTheme="majorBidi" w:cstheme="majorBidi"/>
          <w:color w:val="000000" w:themeColor="text1"/>
          <w:sz w:val="24"/>
          <w:szCs w:val="24"/>
        </w:rPr>
        <w:t>which accounts for a growing share of hospital beds in cities such as Riyadh and Jeddah</w:t>
      </w:r>
      <w:r w:rsidR="009E1A8C">
        <w:rPr>
          <w:rFonts w:asciiTheme="majorBidi" w:hAnsiTheme="majorBidi" w:cstheme="majorBidi"/>
          <w:color w:val="000000" w:themeColor="text1"/>
          <w:sz w:val="24"/>
          <w:szCs w:val="24"/>
        </w:rPr>
        <w:t xml:space="preserve">, </w:t>
      </w:r>
      <w:r w:rsidR="00D05D83">
        <w:rPr>
          <w:rFonts w:asciiTheme="majorBidi" w:hAnsiTheme="majorBidi" w:cstheme="majorBidi"/>
          <w:color w:val="000000" w:themeColor="text1"/>
          <w:sz w:val="24"/>
          <w:szCs w:val="24"/>
        </w:rPr>
        <w:t>is facing many</w:t>
      </w:r>
      <w:r w:rsidR="00457D79" w:rsidRPr="00807B36">
        <w:rPr>
          <w:rFonts w:asciiTheme="majorBidi" w:hAnsiTheme="majorBidi" w:cstheme="majorBidi"/>
          <w:color w:val="000000" w:themeColor="text1"/>
          <w:sz w:val="24"/>
          <w:szCs w:val="24"/>
        </w:rPr>
        <w:t xml:space="preserve"> challenges. These include a highly diverse nursing workforce, varying educational backgrounds, and the </w:t>
      </w:r>
      <w:r w:rsidR="00D05D83">
        <w:rPr>
          <w:rFonts w:asciiTheme="majorBidi" w:hAnsiTheme="majorBidi" w:cstheme="majorBidi"/>
          <w:color w:val="000000" w:themeColor="text1"/>
          <w:sz w:val="24"/>
          <w:szCs w:val="24"/>
        </w:rPr>
        <w:t>challenge</w:t>
      </w:r>
      <w:r w:rsidR="00457D79" w:rsidRPr="00807B36">
        <w:rPr>
          <w:rFonts w:asciiTheme="majorBidi" w:hAnsiTheme="majorBidi" w:cstheme="majorBidi"/>
          <w:color w:val="000000" w:themeColor="text1"/>
          <w:sz w:val="24"/>
          <w:szCs w:val="24"/>
        </w:rPr>
        <w:t xml:space="preserve"> of maintaining high patient satisfaction</w:t>
      </w:r>
      <w:r w:rsidR="00D05D83">
        <w:rPr>
          <w:rFonts w:asciiTheme="majorBidi" w:hAnsiTheme="majorBidi" w:cstheme="majorBidi"/>
          <w:color w:val="000000" w:themeColor="text1"/>
          <w:sz w:val="24"/>
          <w:szCs w:val="24"/>
        </w:rPr>
        <w:t xml:space="preserve"> together with</w:t>
      </w:r>
      <w:r w:rsidR="00457D79" w:rsidRPr="00807B36">
        <w:rPr>
          <w:rFonts w:asciiTheme="majorBidi" w:hAnsiTheme="majorBidi" w:cstheme="majorBidi"/>
          <w:color w:val="000000" w:themeColor="text1"/>
          <w:sz w:val="24"/>
          <w:szCs w:val="24"/>
        </w:rPr>
        <w:t xml:space="preserve"> clinical safety. This study assesses </w:t>
      </w:r>
      <w:r w:rsidR="00D05D83" w:rsidRPr="00807B36">
        <w:rPr>
          <w:rFonts w:asciiTheme="majorBidi" w:hAnsiTheme="majorBidi" w:cstheme="majorBidi"/>
          <w:color w:val="000000" w:themeColor="text1"/>
          <w:sz w:val="24"/>
          <w:szCs w:val="24"/>
        </w:rPr>
        <w:t>nurses’</w:t>
      </w:r>
      <w:r w:rsidR="009E1A8C">
        <w:rPr>
          <w:rFonts w:asciiTheme="majorBidi" w:hAnsiTheme="majorBidi" w:cstheme="majorBidi"/>
          <w:color w:val="000000" w:themeColor="text1"/>
          <w:sz w:val="24"/>
          <w:szCs w:val="24"/>
        </w:rPr>
        <w:t xml:space="preserve"> </w:t>
      </w:r>
      <w:r w:rsidR="00457D79" w:rsidRPr="00807B36">
        <w:rPr>
          <w:rFonts w:asciiTheme="majorBidi" w:hAnsiTheme="majorBidi" w:cstheme="majorBidi"/>
          <w:color w:val="000000" w:themeColor="text1"/>
          <w:sz w:val="24"/>
          <w:szCs w:val="24"/>
        </w:rPr>
        <w:t xml:space="preserve">knowledge and self-reported practice regarding adult patient fall prevention in </w:t>
      </w:r>
      <w:r w:rsidR="009E1A8C">
        <w:rPr>
          <w:rFonts w:asciiTheme="majorBidi" w:hAnsiTheme="majorBidi" w:cstheme="majorBidi"/>
          <w:color w:val="000000" w:themeColor="text1"/>
          <w:sz w:val="24"/>
          <w:szCs w:val="24"/>
        </w:rPr>
        <w:t>a</w:t>
      </w:r>
      <w:r w:rsidR="00457D79" w:rsidRPr="00807B36">
        <w:rPr>
          <w:rFonts w:asciiTheme="majorBidi" w:hAnsiTheme="majorBidi" w:cstheme="majorBidi"/>
          <w:color w:val="000000" w:themeColor="text1"/>
          <w:sz w:val="24"/>
          <w:szCs w:val="24"/>
        </w:rPr>
        <w:t xml:space="preserve"> private facility.</w:t>
      </w:r>
    </w:p>
    <w:p w14:paraId="0DE883E2" w14:textId="77777777" w:rsidR="000761B0" w:rsidRDefault="000761B0" w:rsidP="00457D79">
      <w:pPr>
        <w:rPr>
          <w:rFonts w:asciiTheme="majorBidi" w:hAnsiTheme="majorBidi" w:cstheme="majorBidi"/>
          <w:b/>
          <w:bCs/>
          <w:color w:val="000000" w:themeColor="text1"/>
          <w:sz w:val="36"/>
          <w:szCs w:val="36"/>
          <w:u w:val="single"/>
        </w:rPr>
      </w:pPr>
    </w:p>
    <w:p w14:paraId="53946D4F" w14:textId="3A030876" w:rsidR="00457D79" w:rsidRPr="009733C8" w:rsidRDefault="00457D79" w:rsidP="00457D79">
      <w:pPr>
        <w:rPr>
          <w:rFonts w:asciiTheme="majorBidi" w:hAnsiTheme="majorBidi" w:cstheme="majorBidi"/>
          <w:b/>
          <w:bCs/>
          <w:color w:val="000000" w:themeColor="text1"/>
          <w:sz w:val="36"/>
          <w:szCs w:val="36"/>
          <w:u w:val="single"/>
        </w:rPr>
      </w:pPr>
      <w:r w:rsidRPr="009733C8">
        <w:rPr>
          <w:rFonts w:asciiTheme="majorBidi" w:hAnsiTheme="majorBidi" w:cstheme="majorBidi"/>
          <w:b/>
          <w:bCs/>
          <w:color w:val="000000" w:themeColor="text1"/>
          <w:sz w:val="36"/>
          <w:szCs w:val="36"/>
          <w:u w:val="single"/>
        </w:rPr>
        <w:t xml:space="preserve">The problem of </w:t>
      </w:r>
      <w:r w:rsidR="000761B0">
        <w:rPr>
          <w:rFonts w:asciiTheme="majorBidi" w:hAnsiTheme="majorBidi" w:cstheme="majorBidi"/>
          <w:b/>
          <w:bCs/>
          <w:color w:val="000000" w:themeColor="text1"/>
          <w:sz w:val="36"/>
          <w:szCs w:val="36"/>
          <w:u w:val="single"/>
        </w:rPr>
        <w:t>the study</w:t>
      </w:r>
      <w:r w:rsidRPr="009733C8">
        <w:rPr>
          <w:rFonts w:asciiTheme="majorBidi" w:hAnsiTheme="majorBidi" w:cstheme="majorBidi"/>
          <w:b/>
          <w:bCs/>
          <w:color w:val="000000" w:themeColor="text1"/>
          <w:sz w:val="36"/>
          <w:szCs w:val="36"/>
          <w:u w:val="single"/>
        </w:rPr>
        <w:t xml:space="preserve">: </w:t>
      </w:r>
    </w:p>
    <w:p w14:paraId="003255D5" w14:textId="77777777" w:rsidR="00457D79" w:rsidRPr="00807B36" w:rsidRDefault="00457D79" w:rsidP="00457D79">
      <w:pPr>
        <w:rPr>
          <w:rFonts w:asciiTheme="majorBidi" w:hAnsiTheme="majorBidi" w:cstheme="majorBidi"/>
          <w:color w:val="000000" w:themeColor="text1"/>
          <w:sz w:val="36"/>
          <w:szCs w:val="36"/>
          <w:u w:val="single"/>
          <w:rtl/>
        </w:rPr>
      </w:pPr>
    </w:p>
    <w:p w14:paraId="26136F99" w14:textId="321F6403" w:rsidR="00457D79" w:rsidRPr="009733C8" w:rsidRDefault="007A097C" w:rsidP="00457D79">
      <w:pPr>
        <w:spacing w:line="360" w:lineRule="auto"/>
        <w:rPr>
          <w:rFonts w:asciiTheme="majorBidi" w:hAnsiTheme="majorBidi" w:cstheme="majorBidi"/>
          <w:color w:val="000000" w:themeColor="text1"/>
          <w:sz w:val="24"/>
          <w:szCs w:val="24"/>
        </w:rPr>
      </w:pPr>
      <w:r w:rsidRPr="007A097C">
        <w:rPr>
          <w:rFonts w:asciiTheme="majorBidi" w:hAnsiTheme="majorBidi" w:cstheme="majorBidi"/>
          <w:color w:val="000000" w:themeColor="text1"/>
          <w:sz w:val="24"/>
          <w:szCs w:val="24"/>
        </w:rPr>
        <w:t xml:space="preserve">Despite the implementation of the International Patient Safety Goals (formerly IPSG 6, “Reduce the risk of patient harm resulting from falls”), adult patient falls remain a persistent issue in private Saudi hospitals. The central problem addressed by this study is a suspected knowledge–practice gap: nurses may possess the theoretical knowledge required to identify fall risks, yet the clinical execution of prevention strategies may be inconsistent. Recent internal audits in Saudi </w:t>
      </w:r>
      <w:r w:rsidRPr="007A097C">
        <w:rPr>
          <w:rFonts w:asciiTheme="majorBidi" w:hAnsiTheme="majorBidi" w:cstheme="majorBidi"/>
          <w:color w:val="000000" w:themeColor="text1"/>
          <w:sz w:val="24"/>
          <w:szCs w:val="24"/>
        </w:rPr>
        <w:lastRenderedPageBreak/>
        <w:t>private facilities indicate that falls often occur because risk assessments were not updated following a medication change, or because environmental hazards such as cluttered floors were overlooked during busy shifts (ALqrishah et al., 2024). The study contrasts the theoretical benchmark—where 100% of high-risk patients are identified early—with nurses' self-reported clinical practice.</w:t>
      </w:r>
    </w:p>
    <w:p w14:paraId="52AD024B" w14:textId="77777777" w:rsidR="00457D79" w:rsidRPr="009733C8" w:rsidRDefault="00457D79" w:rsidP="00457D79">
      <w:pPr>
        <w:rPr>
          <w:rFonts w:asciiTheme="majorBidi" w:hAnsiTheme="majorBidi" w:cstheme="majorBidi"/>
          <w:b/>
          <w:bCs/>
          <w:color w:val="000000" w:themeColor="text1"/>
          <w:sz w:val="36"/>
          <w:szCs w:val="36"/>
          <w:u w:val="single"/>
        </w:rPr>
      </w:pPr>
      <w:r w:rsidRPr="009733C8">
        <w:rPr>
          <w:rFonts w:asciiTheme="majorBidi" w:hAnsiTheme="majorBidi" w:cstheme="majorBidi"/>
          <w:b/>
          <w:bCs/>
          <w:color w:val="000000" w:themeColor="text1"/>
          <w:sz w:val="36"/>
          <w:szCs w:val="36"/>
          <w:u w:val="single"/>
        </w:rPr>
        <w:t>The importance of the study:</w:t>
      </w:r>
    </w:p>
    <w:p w14:paraId="523DEAEF" w14:textId="77777777" w:rsidR="00457D79" w:rsidRPr="00807B36" w:rsidRDefault="00457D79" w:rsidP="00457D79">
      <w:pPr>
        <w:rPr>
          <w:rFonts w:asciiTheme="majorBidi" w:hAnsiTheme="majorBidi" w:cstheme="majorBidi"/>
          <w:color w:val="000000" w:themeColor="text1"/>
          <w:sz w:val="36"/>
          <w:szCs w:val="36"/>
          <w:u w:val="single"/>
          <w:rtl/>
        </w:rPr>
      </w:pPr>
    </w:p>
    <w:p w14:paraId="2C6ABE0C" w14:textId="77777777" w:rsidR="00457D79" w:rsidRPr="009733C8" w:rsidRDefault="00457D79" w:rsidP="00457D79">
      <w:pPr>
        <w:pStyle w:val="Heading3"/>
        <w:rPr>
          <w:rFonts w:asciiTheme="majorBidi" w:hAnsiTheme="majorBidi"/>
          <w:b/>
          <w:bCs/>
          <w:color w:val="000000" w:themeColor="text1"/>
          <w:sz w:val="32"/>
          <w:szCs w:val="32"/>
        </w:rPr>
      </w:pPr>
      <w:r w:rsidRPr="009733C8">
        <w:rPr>
          <w:rFonts w:asciiTheme="majorBidi" w:hAnsiTheme="majorBidi"/>
          <w:b/>
          <w:bCs/>
          <w:color w:val="000000" w:themeColor="text1"/>
          <w:sz w:val="32"/>
          <w:szCs w:val="32"/>
        </w:rPr>
        <w:t>a) Scientific Importance</w:t>
      </w:r>
    </w:p>
    <w:p w14:paraId="1609A96E" w14:textId="77777777" w:rsidR="00457D79" w:rsidRPr="00BC0147" w:rsidRDefault="00457D79" w:rsidP="00457D79">
      <w:pPr>
        <w:pStyle w:val="ListParagraph"/>
        <w:numPr>
          <w:ilvl w:val="0"/>
          <w:numId w:val="1"/>
        </w:numPr>
        <w:spacing w:after="80" w:line="320" w:lineRule="auto"/>
        <w:contextualSpacing w:val="0"/>
        <w:rPr>
          <w:rFonts w:asciiTheme="majorBidi" w:hAnsiTheme="majorBidi" w:cstheme="majorBidi"/>
          <w:color w:val="000000" w:themeColor="text1"/>
          <w:sz w:val="24"/>
          <w:szCs w:val="24"/>
        </w:rPr>
      </w:pPr>
      <w:r w:rsidRPr="00BC0147">
        <w:rPr>
          <w:rFonts w:asciiTheme="majorBidi" w:hAnsiTheme="majorBidi" w:cstheme="majorBidi"/>
          <w:color w:val="000000" w:themeColor="text1"/>
          <w:sz w:val="24"/>
          <w:szCs w:val="24"/>
        </w:rPr>
        <w:t>Contribution to local literature: most Saudi studies focus on government tertiary centers; this study provides rare data on the private sector.</w:t>
      </w:r>
    </w:p>
    <w:p w14:paraId="0BB596FD" w14:textId="77777777" w:rsidR="00457D79" w:rsidRPr="00BC0147" w:rsidRDefault="00457D79" w:rsidP="00457D79">
      <w:pPr>
        <w:pStyle w:val="ListParagraph"/>
        <w:numPr>
          <w:ilvl w:val="0"/>
          <w:numId w:val="1"/>
        </w:numPr>
        <w:spacing w:after="80" w:line="320" w:lineRule="auto"/>
        <w:contextualSpacing w:val="0"/>
        <w:rPr>
          <w:rFonts w:asciiTheme="majorBidi" w:hAnsiTheme="majorBidi" w:cstheme="majorBidi"/>
          <w:color w:val="000000" w:themeColor="text1"/>
          <w:sz w:val="24"/>
          <w:szCs w:val="24"/>
        </w:rPr>
      </w:pPr>
      <w:r w:rsidRPr="00BC0147">
        <w:rPr>
          <w:rFonts w:asciiTheme="majorBidi" w:hAnsiTheme="majorBidi" w:cstheme="majorBidi"/>
          <w:color w:val="000000" w:themeColor="text1"/>
          <w:sz w:val="24"/>
          <w:szCs w:val="24"/>
        </w:rPr>
        <w:t>Theoretical application: it examines the knowledge–practice relationship within the specific cultural and organizational context of Saudi private healthcare.</w:t>
      </w:r>
    </w:p>
    <w:p w14:paraId="506E19F6" w14:textId="77777777" w:rsidR="00457D79" w:rsidRPr="009733C8" w:rsidRDefault="00457D79" w:rsidP="00457D79">
      <w:pPr>
        <w:pStyle w:val="Heading3"/>
        <w:rPr>
          <w:rFonts w:asciiTheme="majorBidi" w:hAnsiTheme="majorBidi"/>
          <w:b/>
          <w:bCs/>
          <w:color w:val="000000" w:themeColor="text1"/>
          <w:sz w:val="32"/>
          <w:szCs w:val="32"/>
        </w:rPr>
      </w:pPr>
      <w:r w:rsidRPr="009733C8">
        <w:rPr>
          <w:rFonts w:asciiTheme="majorBidi" w:hAnsiTheme="majorBidi"/>
          <w:b/>
          <w:bCs/>
          <w:color w:val="000000" w:themeColor="text1"/>
          <w:sz w:val="32"/>
          <w:szCs w:val="32"/>
        </w:rPr>
        <w:t>b) Practical Importance</w:t>
      </w:r>
    </w:p>
    <w:p w14:paraId="5B60CF9F" w14:textId="77777777"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7A097C">
        <w:rPr>
          <w:rFonts w:asciiTheme="majorBidi" w:hAnsiTheme="majorBidi" w:cstheme="majorBidi"/>
          <w:color w:val="000000" w:themeColor="text1"/>
          <w:sz w:val="24"/>
          <w:szCs w:val="24"/>
        </w:rPr>
        <w:t>Hospital management: provides senior nursing management with evidence to justify investment in safety equipment.</w:t>
      </w:r>
    </w:p>
    <w:p w14:paraId="2C09F090" w14:textId="77777777"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7A097C">
        <w:rPr>
          <w:rFonts w:asciiTheme="majorBidi" w:hAnsiTheme="majorBidi" w:cstheme="majorBidi"/>
          <w:color w:val="000000" w:themeColor="text1"/>
          <w:sz w:val="24"/>
          <w:szCs w:val="24"/>
        </w:rPr>
        <w:t>CBAHI compliance: assists the hospital in meeting the standards of the Saudi Central Board for Accreditation of Healthcare Institutions for fall management.</w:t>
      </w:r>
    </w:p>
    <w:p w14:paraId="145E8A13" w14:textId="77777777"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7A097C">
        <w:rPr>
          <w:rFonts w:asciiTheme="majorBidi" w:hAnsiTheme="majorBidi" w:cstheme="majorBidi"/>
          <w:color w:val="000000" w:themeColor="text1"/>
          <w:sz w:val="24"/>
          <w:szCs w:val="24"/>
        </w:rPr>
        <w:t xml:space="preserve">Nurse education: identifies specific knowledge deficits (for example, medication-induced falls) so that targeted training can be designed. </w:t>
      </w:r>
    </w:p>
    <w:p w14:paraId="7F2D8395" w14:textId="77777777" w:rsidR="00457D79" w:rsidRDefault="00457D79" w:rsidP="00457D79">
      <w:pPr>
        <w:rPr>
          <w:rFonts w:asciiTheme="majorBidi" w:hAnsiTheme="majorBidi" w:cstheme="majorBidi"/>
          <w:b/>
          <w:bCs/>
          <w:color w:val="000000" w:themeColor="text1"/>
          <w:sz w:val="36"/>
          <w:szCs w:val="36"/>
          <w:u w:val="single"/>
        </w:rPr>
      </w:pPr>
    </w:p>
    <w:p w14:paraId="66FF4BDE" w14:textId="7561776C" w:rsidR="00457D79" w:rsidRDefault="00457D79" w:rsidP="007A097C">
      <w:pPr>
        <w:rPr>
          <w:rFonts w:asciiTheme="majorBidi" w:hAnsiTheme="majorBidi" w:cstheme="majorBidi"/>
          <w:b/>
          <w:bCs/>
          <w:color w:val="000000" w:themeColor="text1"/>
          <w:sz w:val="36"/>
          <w:szCs w:val="36"/>
          <w:u w:val="single"/>
        </w:rPr>
      </w:pPr>
      <w:r w:rsidRPr="009733C8">
        <w:rPr>
          <w:rFonts w:asciiTheme="majorBidi" w:hAnsiTheme="majorBidi" w:cstheme="majorBidi"/>
          <w:b/>
          <w:bCs/>
          <w:color w:val="000000" w:themeColor="text1"/>
          <w:sz w:val="36"/>
          <w:szCs w:val="36"/>
          <w:u w:val="single"/>
        </w:rPr>
        <w:t>Study objectives:</w:t>
      </w:r>
    </w:p>
    <w:p w14:paraId="30A8C14C" w14:textId="77777777" w:rsidR="007A097C" w:rsidRPr="007A097C" w:rsidRDefault="007A097C" w:rsidP="007A097C">
      <w:pPr>
        <w:rPr>
          <w:rFonts w:asciiTheme="majorBidi" w:hAnsiTheme="majorBidi" w:cstheme="majorBidi"/>
          <w:b/>
          <w:bCs/>
          <w:color w:val="000000" w:themeColor="text1"/>
          <w:sz w:val="36"/>
          <w:szCs w:val="36"/>
          <w:u w:val="single"/>
          <w:rtl/>
        </w:rPr>
      </w:pPr>
    </w:p>
    <w:p w14:paraId="60C9EF40" w14:textId="77777777" w:rsidR="007A097C" w:rsidRPr="007A097C" w:rsidRDefault="007A097C" w:rsidP="007A097C">
      <w:pPr>
        <w:pStyle w:val="Heading3"/>
        <w:rPr>
          <w:rFonts w:asciiTheme="majorBidi" w:hAnsiTheme="majorBidi"/>
          <w:b/>
          <w:bCs/>
          <w:color w:val="000000" w:themeColor="text1"/>
          <w:sz w:val="32"/>
          <w:szCs w:val="32"/>
        </w:rPr>
      </w:pPr>
      <w:r w:rsidRPr="007A097C">
        <w:rPr>
          <w:rFonts w:asciiTheme="majorBidi" w:hAnsiTheme="majorBidi"/>
          <w:b/>
          <w:bCs/>
          <w:color w:val="000000" w:themeColor="text1"/>
          <w:sz w:val="32"/>
          <w:szCs w:val="32"/>
        </w:rPr>
        <w:t>General Objective:</w:t>
      </w:r>
    </w:p>
    <w:p w14:paraId="70E88F4D" w14:textId="77777777" w:rsidR="007A097C" w:rsidRDefault="007A097C" w:rsidP="007A097C">
      <w:pPr>
        <w:pStyle w:val="Heading3"/>
        <w:rPr>
          <w:rFonts w:asciiTheme="majorBidi" w:eastAsiaTheme="minorHAnsi" w:hAnsiTheme="majorBidi"/>
          <w:color w:val="000000" w:themeColor="text1"/>
          <w:sz w:val="24"/>
          <w:szCs w:val="24"/>
        </w:rPr>
      </w:pPr>
      <w:r w:rsidRPr="007A097C">
        <w:rPr>
          <w:rFonts w:asciiTheme="majorBidi" w:eastAsiaTheme="minorHAnsi" w:hAnsiTheme="majorBidi"/>
          <w:color w:val="000000" w:themeColor="text1"/>
          <w:sz w:val="24"/>
          <w:szCs w:val="24"/>
        </w:rPr>
        <w:t>To assess the level of theoretical knowledge and self-reported practice regarding adult patient fall prevention among bedside nurses in a private hospital in Saudi Arabia, and to examine the relationship between both domains.</w:t>
      </w:r>
    </w:p>
    <w:p w14:paraId="05A711C5" w14:textId="77777777" w:rsidR="007A097C" w:rsidRPr="007A097C" w:rsidRDefault="007A097C" w:rsidP="007A097C"/>
    <w:p w14:paraId="248C4EE6" w14:textId="2FBFECB4" w:rsidR="00457D79" w:rsidRPr="009733C8" w:rsidRDefault="00457D79" w:rsidP="007A097C">
      <w:pPr>
        <w:pStyle w:val="Heading3"/>
        <w:rPr>
          <w:rFonts w:asciiTheme="majorBidi" w:hAnsiTheme="majorBidi"/>
          <w:b/>
          <w:bCs/>
          <w:color w:val="000000" w:themeColor="text1"/>
          <w:sz w:val="32"/>
          <w:szCs w:val="32"/>
        </w:rPr>
      </w:pPr>
      <w:r w:rsidRPr="009733C8">
        <w:rPr>
          <w:rFonts w:asciiTheme="majorBidi" w:hAnsiTheme="majorBidi"/>
          <w:b/>
          <w:bCs/>
          <w:color w:val="000000" w:themeColor="text1"/>
          <w:sz w:val="32"/>
          <w:szCs w:val="32"/>
        </w:rPr>
        <w:lastRenderedPageBreak/>
        <w:t>Specific Objectives</w:t>
      </w:r>
    </w:p>
    <w:p w14:paraId="26D19BFF" w14:textId="77777777"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7A097C">
        <w:rPr>
          <w:rFonts w:asciiTheme="majorBidi" w:hAnsiTheme="majorBidi" w:cstheme="majorBidi"/>
          <w:b/>
          <w:bCs/>
          <w:color w:val="000000" w:themeColor="text1"/>
          <w:sz w:val="24"/>
          <w:szCs w:val="24"/>
        </w:rPr>
        <w:t>Objective 1</w:t>
      </w:r>
      <w:r w:rsidRPr="007A097C">
        <w:rPr>
          <w:rFonts w:asciiTheme="majorBidi" w:hAnsiTheme="majorBidi" w:cstheme="majorBidi"/>
          <w:color w:val="000000" w:themeColor="text1"/>
          <w:sz w:val="24"/>
          <w:szCs w:val="24"/>
        </w:rPr>
        <w:t>: To measure nurses’ theoretical knowledge regarding fall-risk factors, assessment intervals, and preventive protocols.</w:t>
      </w:r>
    </w:p>
    <w:p w14:paraId="525A4433" w14:textId="77777777"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7A097C">
        <w:rPr>
          <w:rFonts w:asciiTheme="majorBidi" w:hAnsiTheme="majorBidi" w:cstheme="majorBidi"/>
          <w:b/>
          <w:bCs/>
          <w:color w:val="000000" w:themeColor="text1"/>
          <w:sz w:val="24"/>
          <w:szCs w:val="24"/>
        </w:rPr>
        <w:t>Objective 2</w:t>
      </w:r>
      <w:r w:rsidRPr="007A097C">
        <w:rPr>
          <w:rFonts w:asciiTheme="majorBidi" w:hAnsiTheme="majorBidi" w:cstheme="majorBidi"/>
          <w:color w:val="000000" w:themeColor="text1"/>
          <w:sz w:val="24"/>
          <w:szCs w:val="24"/>
        </w:rPr>
        <w:t>: To evaluate nurses’ self-reported adherence to standard fall-prevention practices in bedside care.</w:t>
      </w:r>
    </w:p>
    <w:p w14:paraId="6BF74C10" w14:textId="77777777"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7A097C">
        <w:rPr>
          <w:rFonts w:asciiTheme="majorBidi" w:hAnsiTheme="majorBidi" w:cstheme="majorBidi"/>
          <w:b/>
          <w:bCs/>
          <w:color w:val="000000" w:themeColor="text1"/>
          <w:sz w:val="24"/>
          <w:szCs w:val="24"/>
        </w:rPr>
        <w:t>Objective 3</w:t>
      </w:r>
      <w:r w:rsidRPr="007A097C">
        <w:rPr>
          <w:rFonts w:asciiTheme="majorBidi" w:hAnsiTheme="majorBidi" w:cstheme="majorBidi"/>
          <w:color w:val="000000" w:themeColor="text1"/>
          <w:sz w:val="24"/>
          <w:szCs w:val="24"/>
        </w:rPr>
        <w:t>: To assess the correlation between nurses’ theoretical knowledge scores and their self-reported practice scores.</w:t>
      </w:r>
    </w:p>
    <w:p w14:paraId="3B713F72" w14:textId="45945F40" w:rsidR="00457D79" w:rsidRDefault="007A097C" w:rsidP="007A097C">
      <w:pPr>
        <w:pStyle w:val="ListParagraph"/>
        <w:numPr>
          <w:ilvl w:val="0"/>
          <w:numId w:val="1"/>
        </w:numPr>
        <w:spacing w:after="80" w:line="320" w:lineRule="auto"/>
        <w:contextualSpacing w:val="0"/>
        <w:rPr>
          <w:rFonts w:asciiTheme="majorBidi" w:hAnsiTheme="majorBidi" w:cstheme="majorBidi"/>
          <w:color w:val="000000" w:themeColor="text1"/>
          <w:sz w:val="24"/>
          <w:szCs w:val="24"/>
        </w:rPr>
      </w:pPr>
      <w:r w:rsidRPr="007A097C">
        <w:rPr>
          <w:rFonts w:asciiTheme="majorBidi" w:hAnsiTheme="majorBidi" w:cstheme="majorBidi"/>
          <w:b/>
          <w:bCs/>
          <w:color w:val="000000" w:themeColor="text1"/>
          <w:sz w:val="24"/>
          <w:szCs w:val="24"/>
        </w:rPr>
        <w:t>Objective 4</w:t>
      </w:r>
      <w:r w:rsidRPr="007A097C">
        <w:rPr>
          <w:rFonts w:asciiTheme="majorBidi" w:hAnsiTheme="majorBidi" w:cstheme="majorBidi"/>
          <w:color w:val="000000" w:themeColor="text1"/>
          <w:sz w:val="24"/>
          <w:szCs w:val="24"/>
        </w:rPr>
        <w:t>: To determine whether knowledge and self-reported practice scores differ significantly across demographic subgroups (age, educational level, and clinical unit).</w:t>
      </w:r>
    </w:p>
    <w:p w14:paraId="54EF38E5" w14:textId="77777777" w:rsidR="007A097C" w:rsidRPr="00BC0147" w:rsidRDefault="007A097C" w:rsidP="007A097C">
      <w:pPr>
        <w:pStyle w:val="ListParagraph"/>
        <w:spacing w:after="80" w:line="320" w:lineRule="auto"/>
        <w:contextualSpacing w:val="0"/>
        <w:rPr>
          <w:rFonts w:asciiTheme="majorBidi" w:hAnsiTheme="majorBidi" w:cstheme="majorBidi"/>
          <w:color w:val="000000" w:themeColor="text1"/>
          <w:sz w:val="24"/>
          <w:szCs w:val="24"/>
        </w:rPr>
      </w:pPr>
    </w:p>
    <w:p w14:paraId="62B1C428" w14:textId="77777777" w:rsidR="00457D79" w:rsidRPr="009733C8" w:rsidRDefault="00457D79" w:rsidP="00457D79">
      <w:pPr>
        <w:rPr>
          <w:rFonts w:asciiTheme="majorBidi" w:hAnsiTheme="majorBidi" w:cstheme="majorBidi"/>
          <w:b/>
          <w:bCs/>
          <w:color w:val="000000" w:themeColor="text1"/>
          <w:sz w:val="36"/>
          <w:szCs w:val="36"/>
          <w:u w:val="single"/>
        </w:rPr>
      </w:pPr>
      <w:r w:rsidRPr="009733C8">
        <w:rPr>
          <w:rFonts w:asciiTheme="majorBidi" w:hAnsiTheme="majorBidi" w:cstheme="majorBidi"/>
          <w:b/>
          <w:bCs/>
          <w:color w:val="000000" w:themeColor="text1"/>
          <w:sz w:val="36"/>
          <w:szCs w:val="36"/>
          <w:u w:val="single"/>
        </w:rPr>
        <w:t>Study Questions:</w:t>
      </w:r>
    </w:p>
    <w:p w14:paraId="58BF2C24" w14:textId="77777777" w:rsidR="00457D79" w:rsidRPr="00BC0147" w:rsidRDefault="00457D79" w:rsidP="00457D79">
      <w:pPr>
        <w:rPr>
          <w:rFonts w:asciiTheme="majorBidi" w:hAnsiTheme="majorBidi" w:cstheme="majorBidi"/>
          <w:color w:val="000000" w:themeColor="text1"/>
          <w:sz w:val="40"/>
          <w:szCs w:val="40"/>
          <w:u w:val="single"/>
          <w:rtl/>
        </w:rPr>
      </w:pPr>
    </w:p>
    <w:p w14:paraId="44C17CFB" w14:textId="77777777"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7A097C">
        <w:rPr>
          <w:rFonts w:asciiTheme="majorBidi" w:hAnsiTheme="majorBidi" w:cstheme="majorBidi"/>
          <w:color w:val="000000" w:themeColor="text1"/>
          <w:sz w:val="24"/>
          <w:szCs w:val="24"/>
        </w:rPr>
        <w:t>Question 1: What is the level of theoretical knowledge regarding adult fall prevention among nurses at DSFH-R?</w:t>
      </w:r>
    </w:p>
    <w:p w14:paraId="4DE475E9" w14:textId="77777777"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7A097C">
        <w:rPr>
          <w:rFonts w:asciiTheme="majorBidi" w:hAnsiTheme="majorBidi" w:cstheme="majorBidi"/>
          <w:color w:val="000000" w:themeColor="text1"/>
          <w:sz w:val="24"/>
          <w:szCs w:val="24"/>
        </w:rPr>
        <w:t>Question 2: What is the frequency of self-reported fall-prevention practices among nurses at DSFH-R?</w:t>
      </w:r>
    </w:p>
    <w:p w14:paraId="508C457C" w14:textId="77777777"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7A097C">
        <w:rPr>
          <w:rFonts w:asciiTheme="majorBidi" w:hAnsiTheme="majorBidi" w:cstheme="majorBidi"/>
          <w:color w:val="000000" w:themeColor="text1"/>
          <w:sz w:val="24"/>
          <w:szCs w:val="24"/>
        </w:rPr>
        <w:t>Question 3: Is there a statistically significant correlation between nurses’ theoretical knowledge scores and their self-reported practice scores?</w:t>
      </w:r>
    </w:p>
    <w:p w14:paraId="7044876D" w14:textId="14677706" w:rsidR="00457D79" w:rsidRPr="00BC0147" w:rsidRDefault="007A097C" w:rsidP="007A097C">
      <w:pPr>
        <w:pStyle w:val="ListParagraph"/>
        <w:numPr>
          <w:ilvl w:val="0"/>
          <w:numId w:val="1"/>
        </w:numPr>
        <w:spacing w:after="80" w:line="320" w:lineRule="auto"/>
        <w:contextualSpacing w:val="0"/>
        <w:rPr>
          <w:rFonts w:asciiTheme="majorBidi" w:hAnsiTheme="majorBidi" w:cstheme="majorBidi"/>
          <w:color w:val="000000" w:themeColor="text1"/>
          <w:sz w:val="24"/>
          <w:szCs w:val="24"/>
        </w:rPr>
      </w:pPr>
      <w:r w:rsidRPr="007A097C">
        <w:rPr>
          <w:rFonts w:asciiTheme="majorBidi" w:hAnsiTheme="majorBidi" w:cstheme="majorBidi"/>
          <w:color w:val="000000" w:themeColor="text1"/>
          <w:sz w:val="24"/>
          <w:szCs w:val="24"/>
        </w:rPr>
        <w:t>Question 4: Are there statistically significant differences in knowledge and self-reported practice scores based on demographic characteristics (age, educational level, and clinical unit)?</w:t>
      </w:r>
    </w:p>
    <w:p w14:paraId="4440FD5C" w14:textId="77777777" w:rsidR="00457D79" w:rsidRPr="00375467" w:rsidRDefault="00457D79" w:rsidP="00457D79">
      <w:pPr>
        <w:rPr>
          <w:rFonts w:asciiTheme="majorBidi" w:hAnsiTheme="majorBidi" w:cstheme="majorBidi"/>
          <w:color w:val="000000" w:themeColor="text1"/>
          <w:sz w:val="28"/>
          <w:szCs w:val="28"/>
          <w:u w:val="single"/>
          <w:rtl/>
        </w:rPr>
      </w:pPr>
    </w:p>
    <w:p w14:paraId="0C448EE3" w14:textId="77777777" w:rsidR="00457D79" w:rsidRPr="009733C8" w:rsidRDefault="00457D79" w:rsidP="00457D79">
      <w:pPr>
        <w:rPr>
          <w:rFonts w:asciiTheme="majorBidi" w:hAnsiTheme="majorBidi" w:cstheme="majorBidi"/>
          <w:b/>
          <w:bCs/>
          <w:color w:val="000000" w:themeColor="text1"/>
          <w:sz w:val="36"/>
          <w:szCs w:val="36"/>
          <w:u w:val="single"/>
        </w:rPr>
      </w:pPr>
      <w:r w:rsidRPr="009733C8">
        <w:rPr>
          <w:rFonts w:asciiTheme="majorBidi" w:hAnsiTheme="majorBidi" w:cstheme="majorBidi"/>
          <w:b/>
          <w:bCs/>
          <w:color w:val="000000" w:themeColor="text1"/>
          <w:sz w:val="36"/>
          <w:szCs w:val="36"/>
          <w:u w:val="single"/>
        </w:rPr>
        <w:t>Study Hypotheses:</w:t>
      </w:r>
    </w:p>
    <w:p w14:paraId="3D2A537C" w14:textId="77777777" w:rsidR="00457D79" w:rsidRPr="00F80705" w:rsidRDefault="00457D79" w:rsidP="00457D79">
      <w:pPr>
        <w:rPr>
          <w:rFonts w:asciiTheme="majorBidi" w:hAnsiTheme="majorBidi" w:cstheme="majorBidi"/>
          <w:color w:val="000000" w:themeColor="text1"/>
          <w:sz w:val="36"/>
          <w:szCs w:val="36"/>
          <w:u w:val="single"/>
          <w:rtl/>
        </w:rPr>
      </w:pPr>
    </w:p>
    <w:p w14:paraId="3EFCF065" w14:textId="77777777"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7A097C">
        <w:rPr>
          <w:rFonts w:asciiTheme="majorBidi" w:hAnsiTheme="majorBidi" w:cstheme="majorBidi"/>
          <w:color w:val="000000" w:themeColor="text1"/>
          <w:sz w:val="24"/>
          <w:szCs w:val="24"/>
        </w:rPr>
        <w:t>H1: There is a statistically significant positive correlation (p &lt; 0.05) between nurses’ theoretical knowledge scores and their self-reported practice scores.</w:t>
      </w:r>
    </w:p>
    <w:p w14:paraId="53C04801" w14:textId="5E176818" w:rsidR="00457D79" w:rsidRPr="00BC0147" w:rsidRDefault="007A097C" w:rsidP="007A097C">
      <w:pPr>
        <w:pStyle w:val="ListParagraph"/>
        <w:numPr>
          <w:ilvl w:val="0"/>
          <w:numId w:val="1"/>
        </w:numPr>
        <w:spacing w:after="80" w:line="320" w:lineRule="auto"/>
        <w:contextualSpacing w:val="0"/>
        <w:rPr>
          <w:rFonts w:asciiTheme="majorBidi" w:hAnsiTheme="majorBidi" w:cstheme="majorBidi"/>
          <w:color w:val="000000" w:themeColor="text1"/>
          <w:sz w:val="24"/>
          <w:szCs w:val="24"/>
        </w:rPr>
      </w:pPr>
      <w:r w:rsidRPr="007A097C">
        <w:rPr>
          <w:rFonts w:asciiTheme="majorBidi" w:hAnsiTheme="majorBidi" w:cstheme="majorBidi"/>
          <w:color w:val="000000" w:themeColor="text1"/>
          <w:sz w:val="24"/>
          <w:szCs w:val="24"/>
        </w:rPr>
        <w:t>H2: Nurses’ theoretical knowledge and self-reported practice scores differ significantly (p &lt; 0.05) according to their demographic characteristics (age, educational level, and clinical unit).</w:t>
      </w:r>
    </w:p>
    <w:p w14:paraId="12973851" w14:textId="77777777" w:rsidR="00457D79" w:rsidRDefault="00457D79" w:rsidP="00457D79">
      <w:pPr>
        <w:spacing w:after="80" w:line="320" w:lineRule="auto"/>
        <w:ind w:left="360"/>
        <w:rPr>
          <w:rFonts w:asciiTheme="majorBidi" w:hAnsiTheme="majorBidi" w:cstheme="majorBidi"/>
          <w:color w:val="000000" w:themeColor="text1"/>
        </w:rPr>
      </w:pPr>
    </w:p>
    <w:p w14:paraId="22444535" w14:textId="77777777" w:rsidR="007A097C" w:rsidRDefault="007A097C" w:rsidP="00457D79">
      <w:pPr>
        <w:spacing w:after="80" w:line="320" w:lineRule="auto"/>
        <w:ind w:left="360"/>
        <w:rPr>
          <w:rFonts w:asciiTheme="majorBidi" w:hAnsiTheme="majorBidi" w:cstheme="majorBidi"/>
          <w:color w:val="000000" w:themeColor="text1"/>
        </w:rPr>
      </w:pPr>
    </w:p>
    <w:p w14:paraId="4F6E2BDC" w14:textId="77777777" w:rsidR="007A097C" w:rsidRDefault="007A097C" w:rsidP="00457D79">
      <w:pPr>
        <w:spacing w:after="80" w:line="320" w:lineRule="auto"/>
        <w:ind w:left="360"/>
        <w:rPr>
          <w:rFonts w:asciiTheme="majorBidi" w:hAnsiTheme="majorBidi" w:cstheme="majorBidi"/>
          <w:color w:val="000000" w:themeColor="text1"/>
        </w:rPr>
      </w:pPr>
    </w:p>
    <w:p w14:paraId="0F0B466A" w14:textId="77777777" w:rsidR="007A097C" w:rsidRPr="009733C8" w:rsidRDefault="007A097C" w:rsidP="00457D79">
      <w:pPr>
        <w:spacing w:after="80" w:line="320" w:lineRule="auto"/>
        <w:ind w:left="360"/>
        <w:rPr>
          <w:rFonts w:asciiTheme="majorBidi" w:hAnsiTheme="majorBidi" w:cstheme="majorBidi"/>
          <w:color w:val="000000" w:themeColor="text1"/>
        </w:rPr>
      </w:pPr>
    </w:p>
    <w:p w14:paraId="4E5828C2" w14:textId="77777777" w:rsidR="00457D79" w:rsidRPr="009733C8" w:rsidRDefault="00457D79" w:rsidP="00457D79">
      <w:pPr>
        <w:rPr>
          <w:rFonts w:asciiTheme="majorBidi" w:hAnsiTheme="majorBidi" w:cstheme="majorBidi"/>
          <w:b/>
          <w:bCs/>
          <w:color w:val="000000" w:themeColor="text1"/>
          <w:sz w:val="36"/>
          <w:szCs w:val="36"/>
          <w:u w:val="single"/>
        </w:rPr>
      </w:pPr>
      <w:r w:rsidRPr="009733C8">
        <w:rPr>
          <w:rFonts w:asciiTheme="majorBidi" w:hAnsiTheme="majorBidi" w:cstheme="majorBidi"/>
          <w:b/>
          <w:bCs/>
          <w:color w:val="000000" w:themeColor="text1"/>
          <w:sz w:val="36"/>
          <w:szCs w:val="36"/>
          <w:u w:val="single"/>
        </w:rPr>
        <w:t>The scientific theory used to prepare the research:</w:t>
      </w:r>
    </w:p>
    <w:p w14:paraId="27207032" w14:textId="77777777" w:rsidR="00457D79" w:rsidRPr="00F80705" w:rsidRDefault="00457D79" w:rsidP="00457D79">
      <w:pPr>
        <w:rPr>
          <w:rFonts w:asciiTheme="majorBidi" w:hAnsiTheme="majorBidi" w:cstheme="majorBidi"/>
          <w:color w:val="000000" w:themeColor="text1"/>
          <w:sz w:val="36"/>
          <w:szCs w:val="36"/>
          <w:u w:val="single"/>
          <w:rtl/>
        </w:rPr>
      </w:pPr>
    </w:p>
    <w:p w14:paraId="307DED7C" w14:textId="221251BE" w:rsidR="00457D79" w:rsidRPr="00375467" w:rsidRDefault="007A097C" w:rsidP="007A097C">
      <w:pPr>
        <w:spacing w:line="360" w:lineRule="auto"/>
        <w:rPr>
          <w:rFonts w:asciiTheme="majorBidi" w:hAnsiTheme="majorBidi" w:cstheme="majorBidi"/>
          <w:color w:val="000000" w:themeColor="text1"/>
          <w:sz w:val="28"/>
          <w:szCs w:val="28"/>
          <w:u w:val="single"/>
          <w:rtl/>
        </w:rPr>
      </w:pPr>
      <w:r w:rsidRPr="007A097C">
        <w:rPr>
          <w:rFonts w:asciiTheme="majorBidi" w:hAnsiTheme="majorBidi" w:cstheme="majorBidi"/>
          <w:color w:val="000000" w:themeColor="text1"/>
          <w:sz w:val="24"/>
          <w:szCs w:val="24"/>
        </w:rPr>
        <w:t>The study is grounded in the Knowledge–Practice–Outcome framework, which holds that knowledge is a key determinant of practice, which in turn shapes patient outcomes. Although this framework derives from the broader Knowledge–Attitude–Practice (KAP) tradition, the present study operationalizes only the knowledge and practice components; attitudes were not measured. It is complemented by Reason’s Swiss Cheese Model of organizational accidents, which conceptualizes a fall as the alignment of “holes” across successive layers of defense.</w:t>
      </w:r>
    </w:p>
    <w:p w14:paraId="6A0C8E07" w14:textId="77777777" w:rsidR="00457D79" w:rsidRPr="00375467" w:rsidRDefault="00457D79" w:rsidP="00457D79">
      <w:pPr>
        <w:rPr>
          <w:rFonts w:asciiTheme="majorBidi" w:hAnsiTheme="majorBidi" w:cstheme="majorBidi"/>
          <w:color w:val="000000" w:themeColor="text1"/>
          <w:sz w:val="28"/>
          <w:szCs w:val="28"/>
          <w:u w:val="single"/>
          <w:rtl/>
        </w:rPr>
      </w:pPr>
    </w:p>
    <w:p w14:paraId="7DE8C023" w14:textId="77777777" w:rsidR="00457D79" w:rsidRPr="00F80705" w:rsidRDefault="00457D79" w:rsidP="00457D79">
      <w:pPr>
        <w:jc w:val="center"/>
        <w:rPr>
          <w:rFonts w:asciiTheme="majorBidi" w:hAnsiTheme="majorBidi" w:cstheme="majorBidi"/>
          <w:b/>
          <w:bCs/>
          <w:color w:val="000000" w:themeColor="text1"/>
          <w:sz w:val="40"/>
          <w:szCs w:val="40"/>
          <w:u w:val="single"/>
          <w:rtl/>
        </w:rPr>
      </w:pPr>
      <w:r w:rsidRPr="00F80705">
        <w:rPr>
          <w:rFonts w:asciiTheme="majorBidi" w:hAnsiTheme="majorBidi" w:cstheme="majorBidi"/>
          <w:b/>
          <w:bCs/>
          <w:color w:val="000000" w:themeColor="text1"/>
          <w:sz w:val="40"/>
          <w:szCs w:val="40"/>
          <w:u w:val="single"/>
        </w:rPr>
        <w:t>Chapter Two</w:t>
      </w:r>
    </w:p>
    <w:p w14:paraId="651FEBBC" w14:textId="77777777" w:rsidR="00457D79" w:rsidRPr="00F80705" w:rsidRDefault="00457D79" w:rsidP="00457D79">
      <w:pPr>
        <w:jc w:val="center"/>
        <w:rPr>
          <w:rFonts w:asciiTheme="majorBidi" w:hAnsiTheme="majorBidi" w:cstheme="majorBidi"/>
          <w:b/>
          <w:bCs/>
          <w:color w:val="000000" w:themeColor="text1"/>
          <w:sz w:val="40"/>
          <w:szCs w:val="40"/>
          <w:u w:val="single"/>
          <w:rtl/>
        </w:rPr>
      </w:pPr>
      <w:r w:rsidRPr="00F80705">
        <w:rPr>
          <w:rFonts w:asciiTheme="majorBidi" w:hAnsiTheme="majorBidi" w:cstheme="majorBidi"/>
          <w:b/>
          <w:bCs/>
          <w:color w:val="000000" w:themeColor="text1"/>
          <w:sz w:val="40"/>
          <w:szCs w:val="40"/>
          <w:u w:val="single"/>
        </w:rPr>
        <w:t>Previous Studies</w:t>
      </w:r>
    </w:p>
    <w:p w14:paraId="14A3703A" w14:textId="77777777" w:rsidR="00457D79" w:rsidRDefault="00457D79" w:rsidP="00457D79">
      <w:pPr>
        <w:rPr>
          <w:rFonts w:asciiTheme="majorBidi" w:hAnsiTheme="majorBidi" w:cstheme="majorBidi"/>
          <w:b/>
          <w:bCs/>
          <w:color w:val="000000" w:themeColor="text1"/>
          <w:sz w:val="36"/>
          <w:szCs w:val="36"/>
          <w:u w:val="single"/>
        </w:rPr>
      </w:pPr>
    </w:p>
    <w:p w14:paraId="5D152E3F" w14:textId="77777777" w:rsidR="00457D79" w:rsidRPr="009733C8" w:rsidRDefault="00457D79" w:rsidP="00457D79">
      <w:pPr>
        <w:rPr>
          <w:rFonts w:asciiTheme="majorBidi" w:hAnsiTheme="majorBidi" w:cstheme="majorBidi"/>
          <w:b/>
          <w:bCs/>
          <w:color w:val="000000" w:themeColor="text1"/>
          <w:sz w:val="36"/>
          <w:szCs w:val="36"/>
          <w:u w:val="single"/>
        </w:rPr>
      </w:pPr>
      <w:r w:rsidRPr="009733C8">
        <w:rPr>
          <w:rFonts w:asciiTheme="majorBidi" w:hAnsiTheme="majorBidi" w:cstheme="majorBidi"/>
          <w:b/>
          <w:bCs/>
          <w:color w:val="000000" w:themeColor="text1"/>
          <w:sz w:val="36"/>
          <w:szCs w:val="36"/>
          <w:u w:val="single"/>
        </w:rPr>
        <w:t>Introduction:</w:t>
      </w:r>
    </w:p>
    <w:p w14:paraId="109C042D" w14:textId="77777777" w:rsidR="00457D79" w:rsidRPr="00F80705" w:rsidRDefault="00457D79" w:rsidP="00457D79">
      <w:pPr>
        <w:rPr>
          <w:rFonts w:asciiTheme="majorBidi" w:hAnsiTheme="majorBidi" w:cstheme="majorBidi"/>
          <w:color w:val="000000" w:themeColor="text1"/>
          <w:sz w:val="36"/>
          <w:szCs w:val="36"/>
          <w:u w:val="single"/>
          <w:rtl/>
        </w:rPr>
      </w:pPr>
    </w:p>
    <w:p w14:paraId="4C58EB4B" w14:textId="77777777" w:rsidR="00457D79" w:rsidRPr="00F80705" w:rsidRDefault="00457D79" w:rsidP="00457D79">
      <w:pPr>
        <w:spacing w:line="360" w:lineRule="auto"/>
        <w:rPr>
          <w:rFonts w:asciiTheme="majorBidi" w:hAnsiTheme="majorBidi" w:cstheme="majorBidi"/>
          <w:color w:val="000000" w:themeColor="text1"/>
          <w:sz w:val="32"/>
          <w:szCs w:val="32"/>
          <w:u w:val="single"/>
          <w:rtl/>
        </w:rPr>
      </w:pPr>
      <w:r w:rsidRPr="00F80705">
        <w:rPr>
          <w:rFonts w:asciiTheme="majorBidi" w:hAnsiTheme="majorBidi" w:cstheme="majorBidi"/>
          <w:color w:val="000000" w:themeColor="text1"/>
          <w:sz w:val="24"/>
          <w:szCs w:val="24"/>
        </w:rPr>
        <w:t>This chapter reviews the empirical and theoretical literature that frames the present study. It summarizes three directly relevant Saudi studies, analyses their convergence and divergence, identifies the research gap, and sets out the theoretical premises adopted here.</w:t>
      </w:r>
    </w:p>
    <w:p w14:paraId="6F68DE34" w14:textId="77777777" w:rsidR="000761B0" w:rsidRDefault="000761B0" w:rsidP="00457D79">
      <w:pPr>
        <w:rPr>
          <w:rFonts w:asciiTheme="majorBidi" w:hAnsiTheme="majorBidi" w:cstheme="majorBidi"/>
          <w:b/>
          <w:bCs/>
          <w:color w:val="000000" w:themeColor="text1"/>
          <w:sz w:val="36"/>
          <w:szCs w:val="36"/>
          <w:u w:val="single"/>
        </w:rPr>
      </w:pPr>
    </w:p>
    <w:p w14:paraId="0A4777E3" w14:textId="45949019" w:rsidR="00457D79" w:rsidRPr="009733C8" w:rsidRDefault="00457D79" w:rsidP="00457D79">
      <w:pPr>
        <w:rPr>
          <w:rFonts w:asciiTheme="majorBidi" w:hAnsiTheme="majorBidi" w:cstheme="majorBidi"/>
          <w:b/>
          <w:bCs/>
          <w:color w:val="000000" w:themeColor="text1"/>
          <w:sz w:val="36"/>
          <w:szCs w:val="36"/>
          <w:u w:val="single"/>
        </w:rPr>
      </w:pPr>
      <w:r w:rsidRPr="009733C8">
        <w:rPr>
          <w:rFonts w:asciiTheme="majorBidi" w:hAnsiTheme="majorBidi" w:cstheme="majorBidi"/>
          <w:b/>
          <w:bCs/>
          <w:color w:val="000000" w:themeColor="text1"/>
          <w:sz w:val="36"/>
          <w:szCs w:val="36"/>
          <w:u w:val="single"/>
        </w:rPr>
        <w:t>Previous studies:</w:t>
      </w:r>
    </w:p>
    <w:p w14:paraId="72CEF88F" w14:textId="77777777" w:rsidR="00457D79" w:rsidRPr="00F80705" w:rsidRDefault="00457D79" w:rsidP="00457D79">
      <w:pPr>
        <w:rPr>
          <w:rFonts w:asciiTheme="majorBidi" w:hAnsiTheme="majorBidi" w:cstheme="majorBidi"/>
          <w:color w:val="000000" w:themeColor="text1"/>
          <w:sz w:val="36"/>
          <w:szCs w:val="36"/>
          <w:u w:val="single"/>
          <w:rtl/>
        </w:rPr>
      </w:pPr>
    </w:p>
    <w:p w14:paraId="09226F87" w14:textId="77777777" w:rsidR="00457D79" w:rsidRPr="00F80705" w:rsidRDefault="00457D79" w:rsidP="00457D79">
      <w:pPr>
        <w:pStyle w:val="Heading3"/>
        <w:rPr>
          <w:rFonts w:asciiTheme="majorBidi" w:hAnsiTheme="majorBidi"/>
          <w:color w:val="000000" w:themeColor="text1"/>
        </w:rPr>
      </w:pPr>
      <w:r w:rsidRPr="00F80705">
        <w:rPr>
          <w:rFonts w:asciiTheme="majorBidi" w:hAnsiTheme="majorBidi"/>
          <w:b/>
          <w:bCs/>
          <w:color w:val="000000" w:themeColor="text1"/>
        </w:rPr>
        <w:t>First study</w:t>
      </w:r>
      <w:r w:rsidRPr="00F80705">
        <w:rPr>
          <w:rFonts w:asciiTheme="majorBidi" w:hAnsiTheme="majorBidi"/>
          <w:color w:val="000000" w:themeColor="text1"/>
        </w:rPr>
        <w:t xml:space="preserve"> — </w:t>
      </w:r>
      <w:r w:rsidRPr="00F80705">
        <w:rPr>
          <w:rFonts w:asciiTheme="majorBidi" w:hAnsiTheme="majorBidi"/>
          <w:b/>
          <w:bCs/>
          <w:color w:val="000000" w:themeColor="text1"/>
        </w:rPr>
        <w:t>Innab (2022)</w:t>
      </w:r>
    </w:p>
    <w:p w14:paraId="46B9C5E4" w14:textId="77777777"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0761B0">
        <w:rPr>
          <w:rFonts w:asciiTheme="majorBidi" w:hAnsiTheme="majorBidi" w:cstheme="majorBidi"/>
          <w:b/>
          <w:bCs/>
          <w:color w:val="000000" w:themeColor="text1"/>
          <w:sz w:val="24"/>
          <w:szCs w:val="24"/>
        </w:rPr>
        <w:t>Objective</w:t>
      </w:r>
      <w:r w:rsidRPr="007A097C">
        <w:rPr>
          <w:rFonts w:asciiTheme="majorBidi" w:hAnsiTheme="majorBidi" w:cstheme="majorBidi"/>
          <w:color w:val="000000" w:themeColor="text1"/>
          <w:sz w:val="24"/>
          <w:szCs w:val="24"/>
        </w:rPr>
        <w:t>: To investigate nurses’ perceptions of adult patient fall-risk factors and fall prevention strategies in acute care hospital settings in Saudi Arabia.</w:t>
      </w:r>
    </w:p>
    <w:p w14:paraId="5FE9845C" w14:textId="77777777"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0761B0">
        <w:rPr>
          <w:rFonts w:asciiTheme="majorBidi" w:hAnsiTheme="majorBidi" w:cstheme="majorBidi"/>
          <w:b/>
          <w:bCs/>
          <w:color w:val="000000" w:themeColor="text1"/>
          <w:sz w:val="24"/>
          <w:szCs w:val="24"/>
        </w:rPr>
        <w:lastRenderedPageBreak/>
        <w:t>Methodology</w:t>
      </w:r>
      <w:r w:rsidRPr="007A097C">
        <w:rPr>
          <w:rFonts w:asciiTheme="majorBidi" w:hAnsiTheme="majorBidi" w:cstheme="majorBidi"/>
          <w:color w:val="000000" w:themeColor="text1"/>
          <w:sz w:val="24"/>
          <w:szCs w:val="24"/>
        </w:rPr>
        <w:t>: A quantitative descriptive cross-sectional design sampling of 102 acute-care nurses at a major teaching hospital using a modified Fall Prevention Survey and convenience sampling.</w:t>
      </w:r>
    </w:p>
    <w:p w14:paraId="1C879C22" w14:textId="7998E516"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0761B0">
        <w:rPr>
          <w:rFonts w:asciiTheme="majorBidi" w:hAnsiTheme="majorBidi" w:cstheme="majorBidi"/>
          <w:b/>
          <w:bCs/>
          <w:color w:val="000000" w:themeColor="text1"/>
          <w:sz w:val="24"/>
          <w:szCs w:val="24"/>
        </w:rPr>
        <w:t>Key results</w:t>
      </w:r>
      <w:r w:rsidRPr="007A097C">
        <w:rPr>
          <w:rFonts w:asciiTheme="majorBidi" w:hAnsiTheme="majorBidi" w:cstheme="majorBidi"/>
          <w:color w:val="000000" w:themeColor="text1"/>
          <w:sz w:val="24"/>
          <w:szCs w:val="24"/>
        </w:rPr>
        <w:t>: Nurses identified "impaired balance/muscle strength," "limited mobility," and "inability to follow instructions" as the top patient fall-risk factors. Educational level was the single significant demographic predictor of nurses' risk perceptions (β=0.315,</w:t>
      </w:r>
      <w:r>
        <w:rPr>
          <w:rFonts w:asciiTheme="majorBidi" w:hAnsiTheme="majorBidi" w:cstheme="majorBidi"/>
          <w:color w:val="000000" w:themeColor="text1"/>
          <w:sz w:val="24"/>
          <w:szCs w:val="24"/>
        </w:rPr>
        <w:t xml:space="preserve"> </w:t>
      </w:r>
      <w:r w:rsidRPr="007A097C">
        <w:rPr>
          <w:rFonts w:asciiTheme="majorBidi" w:hAnsiTheme="majorBidi" w:cstheme="majorBidi"/>
          <w:color w:val="000000" w:themeColor="text1"/>
          <w:sz w:val="24"/>
          <w:szCs w:val="24"/>
        </w:rPr>
        <w:t>p=0.032), whereas years of nursing experience showed no statistically significant effect.</w:t>
      </w:r>
    </w:p>
    <w:p w14:paraId="2B6BC44E" w14:textId="00D4AA60" w:rsidR="00457D79" w:rsidRPr="00BC0147" w:rsidRDefault="007A097C" w:rsidP="007A097C">
      <w:pPr>
        <w:pStyle w:val="ListParagraph"/>
        <w:numPr>
          <w:ilvl w:val="0"/>
          <w:numId w:val="1"/>
        </w:numPr>
        <w:spacing w:after="80" w:line="320" w:lineRule="auto"/>
        <w:contextualSpacing w:val="0"/>
        <w:rPr>
          <w:rFonts w:asciiTheme="majorBidi" w:hAnsiTheme="majorBidi" w:cstheme="majorBidi"/>
          <w:color w:val="000000" w:themeColor="text1"/>
          <w:sz w:val="24"/>
          <w:szCs w:val="24"/>
        </w:rPr>
      </w:pPr>
      <w:r w:rsidRPr="000761B0">
        <w:rPr>
          <w:rFonts w:asciiTheme="majorBidi" w:hAnsiTheme="majorBidi" w:cstheme="majorBidi"/>
          <w:b/>
          <w:bCs/>
          <w:color w:val="000000" w:themeColor="text1"/>
          <w:sz w:val="24"/>
          <w:szCs w:val="24"/>
        </w:rPr>
        <w:t>Relevance</w:t>
      </w:r>
      <w:r w:rsidRPr="007A097C">
        <w:rPr>
          <w:rFonts w:asciiTheme="majorBidi" w:hAnsiTheme="majorBidi" w:cstheme="majorBidi"/>
          <w:color w:val="000000" w:themeColor="text1"/>
          <w:sz w:val="24"/>
          <w:szCs w:val="24"/>
        </w:rPr>
        <w:t>: Provides baseline empirical data on how clinical background influences fall-risk perception among Saudi-based nursing staff.</w:t>
      </w:r>
    </w:p>
    <w:p w14:paraId="6056B4E2" w14:textId="77777777" w:rsidR="00457D79" w:rsidRPr="00375467" w:rsidRDefault="00457D79" w:rsidP="00457D79">
      <w:pPr>
        <w:pStyle w:val="Heading3"/>
        <w:rPr>
          <w:rFonts w:asciiTheme="majorBidi" w:hAnsiTheme="majorBidi"/>
          <w:color w:val="000000" w:themeColor="text1"/>
        </w:rPr>
      </w:pPr>
    </w:p>
    <w:p w14:paraId="7966260D" w14:textId="300A75F2" w:rsidR="00457D79" w:rsidRPr="00F80705" w:rsidRDefault="007A097C" w:rsidP="00457D79">
      <w:pPr>
        <w:pStyle w:val="Heading3"/>
        <w:rPr>
          <w:rFonts w:asciiTheme="majorBidi" w:hAnsiTheme="majorBidi"/>
          <w:color w:val="000000" w:themeColor="text1"/>
        </w:rPr>
      </w:pPr>
      <w:r w:rsidRPr="007A097C">
        <w:rPr>
          <w:rFonts w:asciiTheme="majorBidi" w:hAnsiTheme="majorBidi"/>
          <w:b/>
          <w:bCs/>
          <w:color w:val="000000" w:themeColor="text1"/>
        </w:rPr>
        <w:t>Second study — Alrimali et al. (2023)</w:t>
      </w:r>
    </w:p>
    <w:p w14:paraId="413B4574" w14:textId="77777777"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0761B0">
        <w:rPr>
          <w:rFonts w:asciiTheme="majorBidi" w:hAnsiTheme="majorBidi" w:cstheme="majorBidi"/>
          <w:b/>
          <w:bCs/>
          <w:color w:val="000000" w:themeColor="text1"/>
          <w:sz w:val="24"/>
          <w:szCs w:val="24"/>
        </w:rPr>
        <w:t>Objective</w:t>
      </w:r>
      <w:r w:rsidRPr="007A097C">
        <w:rPr>
          <w:rFonts w:asciiTheme="majorBidi" w:hAnsiTheme="majorBidi" w:cstheme="majorBidi"/>
          <w:color w:val="000000" w:themeColor="text1"/>
          <w:sz w:val="24"/>
          <w:szCs w:val="24"/>
        </w:rPr>
        <w:t>: To assess the knowledge, attitudes, and practices (KAP) regarding fall prevention among registered nurses working in public secondary and tertiary hospitals.</w:t>
      </w:r>
    </w:p>
    <w:p w14:paraId="19E43F1F" w14:textId="77777777"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0761B0">
        <w:rPr>
          <w:rFonts w:asciiTheme="majorBidi" w:hAnsiTheme="majorBidi" w:cstheme="majorBidi"/>
          <w:b/>
          <w:bCs/>
          <w:color w:val="000000" w:themeColor="text1"/>
          <w:sz w:val="24"/>
          <w:szCs w:val="24"/>
        </w:rPr>
        <w:t>Methodology</w:t>
      </w:r>
      <w:r w:rsidRPr="007A097C">
        <w:rPr>
          <w:rFonts w:asciiTheme="majorBidi" w:hAnsiTheme="majorBidi" w:cstheme="majorBidi"/>
          <w:color w:val="000000" w:themeColor="text1"/>
          <w:sz w:val="24"/>
          <w:szCs w:val="24"/>
        </w:rPr>
        <w:t>: A descriptive cross-sectional study utilizing a validated 3-part KAP instrument distributed to 295 registered nurses across 16 government hospitals in the Hail region of Saudi Arabia.</w:t>
      </w:r>
    </w:p>
    <w:p w14:paraId="645642C7" w14:textId="46A8676D"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0761B0">
        <w:rPr>
          <w:rFonts w:asciiTheme="majorBidi" w:hAnsiTheme="majorBidi" w:cstheme="majorBidi"/>
          <w:b/>
          <w:bCs/>
          <w:color w:val="000000" w:themeColor="text1"/>
          <w:sz w:val="24"/>
          <w:szCs w:val="24"/>
        </w:rPr>
        <w:t>Key results</w:t>
      </w:r>
      <w:r w:rsidRPr="007A097C">
        <w:rPr>
          <w:rFonts w:asciiTheme="majorBidi" w:hAnsiTheme="majorBidi" w:cstheme="majorBidi"/>
          <w:color w:val="000000" w:themeColor="text1"/>
          <w:sz w:val="24"/>
          <w:szCs w:val="24"/>
        </w:rPr>
        <w:t>: The overall knowledge mean score was moderate (8.54±2.10 out of 14, or 61.0%). Attitudes were positive (39.50±5.12 out of 54), and self-reported practices were high (57.02±6.81 out of 65, or 87.7%). Significant positive correlations were found between knowledge and practice (r=0.312,</w:t>
      </w:r>
      <w:r w:rsidR="000761B0">
        <w:rPr>
          <w:rFonts w:asciiTheme="majorBidi" w:hAnsiTheme="majorBidi" w:cstheme="majorBidi"/>
          <w:color w:val="000000" w:themeColor="text1"/>
          <w:sz w:val="24"/>
          <w:szCs w:val="24"/>
        </w:rPr>
        <w:t xml:space="preserve"> </w:t>
      </w:r>
      <w:r w:rsidRPr="007A097C">
        <w:rPr>
          <w:rFonts w:asciiTheme="majorBidi" w:hAnsiTheme="majorBidi" w:cstheme="majorBidi"/>
          <w:color w:val="000000" w:themeColor="text1"/>
          <w:sz w:val="24"/>
          <w:szCs w:val="24"/>
        </w:rPr>
        <w:t>p&lt;0.001) and attitude and practice (r=0.408,</w:t>
      </w:r>
      <w:r w:rsidR="000761B0">
        <w:rPr>
          <w:rFonts w:asciiTheme="majorBidi" w:hAnsiTheme="majorBidi" w:cstheme="majorBidi"/>
          <w:color w:val="000000" w:themeColor="text1"/>
          <w:sz w:val="24"/>
          <w:szCs w:val="24"/>
        </w:rPr>
        <w:t xml:space="preserve"> </w:t>
      </w:r>
      <w:r w:rsidRPr="007A097C">
        <w:rPr>
          <w:rFonts w:asciiTheme="majorBidi" w:hAnsiTheme="majorBidi" w:cstheme="majorBidi"/>
          <w:color w:val="000000" w:themeColor="text1"/>
          <w:sz w:val="24"/>
          <w:szCs w:val="24"/>
        </w:rPr>
        <w:t>p&lt;0.001).</w:t>
      </w:r>
    </w:p>
    <w:p w14:paraId="4DA71228" w14:textId="79548159" w:rsidR="00457D79" w:rsidRPr="00BC0147" w:rsidRDefault="007A097C" w:rsidP="007A097C">
      <w:pPr>
        <w:pStyle w:val="ListParagraph"/>
        <w:numPr>
          <w:ilvl w:val="0"/>
          <w:numId w:val="1"/>
        </w:numPr>
        <w:spacing w:after="80" w:line="320" w:lineRule="auto"/>
        <w:contextualSpacing w:val="0"/>
        <w:rPr>
          <w:rFonts w:asciiTheme="majorBidi" w:hAnsiTheme="majorBidi" w:cstheme="majorBidi"/>
          <w:color w:val="000000" w:themeColor="text1"/>
          <w:sz w:val="24"/>
          <w:szCs w:val="24"/>
        </w:rPr>
      </w:pPr>
      <w:r w:rsidRPr="000761B0">
        <w:rPr>
          <w:rFonts w:asciiTheme="majorBidi" w:hAnsiTheme="majorBidi" w:cstheme="majorBidi"/>
          <w:b/>
          <w:bCs/>
          <w:color w:val="000000" w:themeColor="text1"/>
          <w:sz w:val="24"/>
          <w:szCs w:val="24"/>
        </w:rPr>
        <w:t>Relevance</w:t>
      </w:r>
      <w:r w:rsidRPr="007A097C">
        <w:rPr>
          <w:rFonts w:asciiTheme="majorBidi" w:hAnsiTheme="majorBidi" w:cstheme="majorBidi"/>
          <w:color w:val="000000" w:themeColor="text1"/>
          <w:sz w:val="24"/>
          <w:szCs w:val="24"/>
        </w:rPr>
        <w:t>: Establishes a local baseline for the Knowledge–Practice relationship across Saudi regional hospitals</w:t>
      </w:r>
      <w:r>
        <w:rPr>
          <w:rFonts w:asciiTheme="majorBidi" w:hAnsiTheme="majorBidi" w:cstheme="majorBidi"/>
          <w:color w:val="000000" w:themeColor="text1"/>
          <w:sz w:val="24"/>
          <w:szCs w:val="24"/>
        </w:rPr>
        <w:t>.</w:t>
      </w:r>
    </w:p>
    <w:p w14:paraId="1D7067B1" w14:textId="0BAD895D" w:rsidR="00457D79" w:rsidRPr="00F80705" w:rsidRDefault="007A097C" w:rsidP="00457D79">
      <w:pPr>
        <w:pStyle w:val="Heading3"/>
        <w:rPr>
          <w:rFonts w:asciiTheme="majorBidi" w:hAnsiTheme="majorBidi"/>
          <w:color w:val="000000" w:themeColor="text1"/>
        </w:rPr>
      </w:pPr>
      <w:r w:rsidRPr="007A097C">
        <w:rPr>
          <w:rFonts w:asciiTheme="majorBidi" w:hAnsiTheme="majorBidi"/>
          <w:b/>
          <w:bCs/>
          <w:color w:val="000000" w:themeColor="text1"/>
        </w:rPr>
        <w:t>Third study — ALqrishah et al. (2024)</w:t>
      </w:r>
    </w:p>
    <w:p w14:paraId="562B4E92" w14:textId="77777777"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0761B0">
        <w:rPr>
          <w:rFonts w:asciiTheme="majorBidi" w:hAnsiTheme="majorBidi" w:cstheme="majorBidi"/>
          <w:b/>
          <w:bCs/>
          <w:color w:val="000000" w:themeColor="text1"/>
          <w:sz w:val="24"/>
          <w:szCs w:val="24"/>
        </w:rPr>
        <w:t>Objective</w:t>
      </w:r>
      <w:r w:rsidRPr="007A097C">
        <w:rPr>
          <w:rFonts w:asciiTheme="majorBidi" w:hAnsiTheme="majorBidi" w:cstheme="majorBidi"/>
          <w:color w:val="000000" w:themeColor="text1"/>
          <w:sz w:val="24"/>
          <w:szCs w:val="24"/>
        </w:rPr>
        <w:t>: To identify factors associated with the occurrence of patient falls from the perspective of bedside nurses in a major public medical center.</w:t>
      </w:r>
    </w:p>
    <w:p w14:paraId="56722721" w14:textId="77777777"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0761B0">
        <w:rPr>
          <w:rFonts w:asciiTheme="majorBidi" w:hAnsiTheme="majorBidi" w:cstheme="majorBidi"/>
          <w:b/>
          <w:bCs/>
          <w:color w:val="000000" w:themeColor="text1"/>
          <w:sz w:val="24"/>
          <w:szCs w:val="24"/>
        </w:rPr>
        <w:t>Methodology</w:t>
      </w:r>
      <w:r w:rsidRPr="007A097C">
        <w:rPr>
          <w:rFonts w:asciiTheme="majorBidi" w:hAnsiTheme="majorBidi" w:cstheme="majorBidi"/>
          <w:color w:val="000000" w:themeColor="text1"/>
          <w:sz w:val="24"/>
          <w:szCs w:val="24"/>
        </w:rPr>
        <w:t>: A cross-sectional quantitative study of 504 registered nurses at King Saud Medical City (KSMC) in Riyadh, Saudi Arabia, using a structured questionnaire evaluating environmental, organizational, and patient-related factors.</w:t>
      </w:r>
    </w:p>
    <w:p w14:paraId="745412FF" w14:textId="77777777" w:rsidR="007A097C" w:rsidRPr="007A097C" w:rsidRDefault="007A097C" w:rsidP="007A097C">
      <w:pPr>
        <w:pStyle w:val="ListParagraph"/>
        <w:numPr>
          <w:ilvl w:val="0"/>
          <w:numId w:val="1"/>
        </w:numPr>
        <w:spacing w:after="80" w:line="320" w:lineRule="auto"/>
        <w:rPr>
          <w:rFonts w:asciiTheme="majorBidi" w:hAnsiTheme="majorBidi" w:cstheme="majorBidi"/>
          <w:color w:val="000000" w:themeColor="text1"/>
          <w:sz w:val="24"/>
          <w:szCs w:val="24"/>
        </w:rPr>
      </w:pPr>
      <w:r w:rsidRPr="000761B0">
        <w:rPr>
          <w:rFonts w:asciiTheme="majorBidi" w:hAnsiTheme="majorBidi" w:cstheme="majorBidi"/>
          <w:b/>
          <w:bCs/>
          <w:color w:val="000000" w:themeColor="text1"/>
          <w:sz w:val="24"/>
          <w:szCs w:val="24"/>
        </w:rPr>
        <w:t>Key results</w:t>
      </w:r>
      <w:r w:rsidRPr="007A097C">
        <w:rPr>
          <w:rFonts w:asciiTheme="majorBidi" w:hAnsiTheme="majorBidi" w:cstheme="majorBidi"/>
          <w:color w:val="000000" w:themeColor="text1"/>
          <w:sz w:val="24"/>
          <w:szCs w:val="24"/>
        </w:rPr>
        <w:t>: Environmental hazards (e.g., wet floors, absent bed rails, and lack of grab bars in bathrooms) and organizational constraints (e.g., nurse staffing shortages, heavy workload, and polypharmacy monitoring) were identified as the primary drivers of inpatient falls.</w:t>
      </w:r>
    </w:p>
    <w:p w14:paraId="1AA49275" w14:textId="6C93645D" w:rsidR="00457D79" w:rsidRPr="00BC0147" w:rsidRDefault="007A097C" w:rsidP="007A097C">
      <w:pPr>
        <w:pStyle w:val="ListParagraph"/>
        <w:numPr>
          <w:ilvl w:val="0"/>
          <w:numId w:val="1"/>
        </w:numPr>
        <w:spacing w:after="80" w:line="320" w:lineRule="auto"/>
        <w:contextualSpacing w:val="0"/>
        <w:rPr>
          <w:rFonts w:asciiTheme="majorBidi" w:hAnsiTheme="majorBidi" w:cstheme="majorBidi"/>
          <w:color w:val="000000" w:themeColor="text1"/>
          <w:sz w:val="24"/>
          <w:szCs w:val="24"/>
        </w:rPr>
      </w:pPr>
      <w:r w:rsidRPr="000761B0">
        <w:rPr>
          <w:rFonts w:asciiTheme="majorBidi" w:hAnsiTheme="majorBidi" w:cstheme="majorBidi"/>
          <w:b/>
          <w:bCs/>
          <w:color w:val="000000" w:themeColor="text1"/>
          <w:sz w:val="24"/>
          <w:szCs w:val="24"/>
        </w:rPr>
        <w:lastRenderedPageBreak/>
        <w:t>Relevance</w:t>
      </w:r>
      <w:r w:rsidRPr="007A097C">
        <w:rPr>
          <w:rFonts w:asciiTheme="majorBidi" w:hAnsiTheme="majorBidi" w:cstheme="majorBidi"/>
          <w:color w:val="000000" w:themeColor="text1"/>
          <w:sz w:val="24"/>
          <w:szCs w:val="24"/>
        </w:rPr>
        <w:t>: Highlights specific environmental and systemic risk factors within public tertiary centers in Riyadh, providing context for evaluating private sector fall prevention practices.</w:t>
      </w:r>
    </w:p>
    <w:p w14:paraId="36935950" w14:textId="77777777" w:rsidR="00457D79" w:rsidRPr="009733C8" w:rsidRDefault="00457D79" w:rsidP="00457D79">
      <w:pPr>
        <w:pStyle w:val="Heading2"/>
        <w:rPr>
          <w:rFonts w:asciiTheme="majorBidi" w:eastAsiaTheme="minorHAnsi" w:hAnsiTheme="majorBidi"/>
          <w:b/>
          <w:bCs/>
          <w:color w:val="000000" w:themeColor="text1"/>
          <w:sz w:val="36"/>
          <w:szCs w:val="36"/>
          <w:u w:val="single"/>
        </w:rPr>
      </w:pPr>
      <w:r w:rsidRPr="009733C8">
        <w:rPr>
          <w:rFonts w:asciiTheme="majorBidi" w:eastAsiaTheme="minorHAnsi" w:hAnsiTheme="majorBidi"/>
          <w:b/>
          <w:bCs/>
          <w:color w:val="000000" w:themeColor="text1"/>
          <w:sz w:val="36"/>
          <w:szCs w:val="36"/>
          <w:u w:val="single"/>
        </w:rPr>
        <w:t>Analysis of Previous Studies:</w:t>
      </w:r>
    </w:p>
    <w:p w14:paraId="4DD61E7D" w14:textId="77777777" w:rsidR="00457D79" w:rsidRPr="00E05695" w:rsidRDefault="00457D79" w:rsidP="00457D79"/>
    <w:p w14:paraId="183A08E8" w14:textId="77777777" w:rsidR="007A097C" w:rsidRPr="007A097C" w:rsidRDefault="007A097C" w:rsidP="007A097C">
      <w:pPr>
        <w:spacing w:line="360" w:lineRule="auto"/>
        <w:rPr>
          <w:rFonts w:asciiTheme="majorBidi" w:hAnsiTheme="majorBidi" w:cstheme="majorBidi"/>
          <w:color w:val="000000" w:themeColor="text1"/>
          <w:sz w:val="24"/>
          <w:szCs w:val="24"/>
        </w:rPr>
      </w:pPr>
      <w:r w:rsidRPr="007A097C">
        <w:rPr>
          <w:rFonts w:asciiTheme="majorBidi" w:hAnsiTheme="majorBidi" w:cstheme="majorBidi"/>
          <w:color w:val="000000" w:themeColor="text1"/>
          <w:sz w:val="24"/>
          <w:szCs w:val="24"/>
        </w:rPr>
        <w:t>The reviewed literature demonstrates that while fall prevention awareness is generally positive across healthcare facilities in Saudi Arabia, empirical methodologies and clinical findings vary significantly across settings. Alrimali et al. (2023) confirmed a significant, positive correlation between theoretical knowledge and self-reported practice in multi-center public settings. Conversely, Innab (2022) focused on risk perception, identifying educational level—rather than clinical experience—as the primary demographic factor shaping nurses' risk assessment. ALqrishah et al. (2024) underscored systemic and environmental determinants, demonstrating that clinical execution is often constrained by staffing levels and ward infrastructure rather than individual nurse compliance alone.</w:t>
      </w:r>
    </w:p>
    <w:p w14:paraId="05746262" w14:textId="77777777" w:rsidR="007A097C" w:rsidRPr="007A097C" w:rsidRDefault="007A097C" w:rsidP="007A097C">
      <w:pPr>
        <w:spacing w:line="360" w:lineRule="auto"/>
        <w:rPr>
          <w:rFonts w:asciiTheme="majorBidi" w:hAnsiTheme="majorBidi" w:cstheme="majorBidi"/>
          <w:color w:val="000000" w:themeColor="text1"/>
          <w:sz w:val="24"/>
          <w:szCs w:val="24"/>
        </w:rPr>
      </w:pPr>
    </w:p>
    <w:p w14:paraId="2A5C85BE" w14:textId="5844705E" w:rsidR="00457D79" w:rsidRDefault="007A097C" w:rsidP="007A097C">
      <w:pPr>
        <w:spacing w:line="360" w:lineRule="auto"/>
        <w:rPr>
          <w:rFonts w:asciiTheme="majorBidi" w:hAnsiTheme="majorBidi" w:cstheme="majorBidi"/>
          <w:color w:val="000000" w:themeColor="text1"/>
          <w:sz w:val="24"/>
          <w:szCs w:val="24"/>
        </w:rPr>
      </w:pPr>
      <w:r w:rsidRPr="007A097C">
        <w:rPr>
          <w:rFonts w:asciiTheme="majorBidi" w:hAnsiTheme="majorBidi" w:cstheme="majorBidi"/>
          <w:color w:val="000000" w:themeColor="text1"/>
          <w:sz w:val="24"/>
          <w:szCs w:val="24"/>
        </w:rPr>
        <w:t>Unlike these prior studies—which examined public/MOH regional networks or tertiary referral centers using varied sample sizes (N=102 to N=504)—the present study evaluates nurses within a single accredited private hospital setting to determine if private-sector operating environments alter the knowledge–practice dynamics.</w:t>
      </w:r>
    </w:p>
    <w:p w14:paraId="78BAB466" w14:textId="77777777" w:rsidR="007A097C" w:rsidRPr="00E05695" w:rsidRDefault="007A097C" w:rsidP="007A097C">
      <w:pPr>
        <w:spacing w:line="360" w:lineRule="auto"/>
        <w:rPr>
          <w:rFonts w:asciiTheme="majorBidi" w:hAnsiTheme="majorBidi" w:cstheme="majorBidi"/>
          <w:color w:val="000000" w:themeColor="text1"/>
          <w:sz w:val="24"/>
          <w:szCs w:val="24"/>
        </w:rPr>
      </w:pPr>
    </w:p>
    <w:p w14:paraId="7C0C4BA6" w14:textId="61B6B8E9" w:rsidR="007A097C" w:rsidRPr="007A097C" w:rsidRDefault="007A097C" w:rsidP="007A097C">
      <w:pPr>
        <w:pStyle w:val="Heading2"/>
        <w:rPr>
          <w:rFonts w:asciiTheme="majorBidi" w:eastAsiaTheme="minorHAnsi" w:hAnsiTheme="majorBidi"/>
          <w:color w:val="000000" w:themeColor="text1"/>
          <w:sz w:val="24"/>
          <w:szCs w:val="24"/>
        </w:rPr>
      </w:pPr>
      <w:r w:rsidRPr="007A097C">
        <w:rPr>
          <w:rFonts w:asciiTheme="majorBidi" w:eastAsiaTheme="minorHAnsi" w:hAnsiTheme="majorBidi"/>
          <w:color w:val="000000" w:themeColor="text1"/>
          <w:sz w:val="24"/>
          <w:szCs w:val="24"/>
        </w:rPr>
        <w:t>Table 1: Comparative Summary of Benchmark Saudi Studies</w:t>
      </w:r>
    </w:p>
    <w:tbl>
      <w:tblPr>
        <w:tblW w:w="9653" w:type="dxa"/>
        <w:tblCellSpacing w:w="15" w:type="dxa"/>
        <w:tblInd w:w="-233" w:type="dxa"/>
        <w:tblCellMar>
          <w:top w:w="15" w:type="dxa"/>
          <w:left w:w="15" w:type="dxa"/>
          <w:bottom w:w="15" w:type="dxa"/>
          <w:right w:w="15" w:type="dxa"/>
        </w:tblCellMar>
        <w:tblLook w:val="04A0" w:firstRow="1" w:lastRow="0" w:firstColumn="1" w:lastColumn="0" w:noHBand="0" w:noVBand="1"/>
      </w:tblPr>
      <w:tblGrid>
        <w:gridCol w:w="1539"/>
        <w:gridCol w:w="2621"/>
        <w:gridCol w:w="2682"/>
        <w:gridCol w:w="2811"/>
      </w:tblGrid>
      <w:tr w:rsidR="007A097C" w:rsidRPr="00D7349A" w14:paraId="029568ED" w14:textId="77777777" w:rsidTr="007A097C">
        <w:trPr>
          <w:trHeight w:val="199"/>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0A1D30" w:themeFill="text2" w:themeFillShade="BF"/>
            <w:tcMar>
              <w:top w:w="120" w:type="dxa"/>
              <w:left w:w="180" w:type="dxa"/>
              <w:bottom w:w="120" w:type="dxa"/>
              <w:right w:w="180" w:type="dxa"/>
            </w:tcMar>
            <w:vAlign w:val="center"/>
            <w:hideMark/>
          </w:tcPr>
          <w:p w14:paraId="0CB113A2" w14:textId="77777777" w:rsidR="007A097C" w:rsidRPr="00D7349A" w:rsidRDefault="007A097C" w:rsidP="00290B1E">
            <w:pPr>
              <w:spacing w:line="278" w:lineRule="auto"/>
              <w:rPr>
                <w:rFonts w:asciiTheme="majorBidi" w:hAnsiTheme="majorBidi" w:cstheme="majorBidi"/>
                <w:sz w:val="20"/>
                <w:szCs w:val="20"/>
              </w:rPr>
            </w:pPr>
            <w:r w:rsidRPr="00D7349A">
              <w:rPr>
                <w:rFonts w:asciiTheme="majorBidi" w:hAnsiTheme="majorBidi" w:cstheme="majorBidi"/>
                <w:b/>
                <w:bCs/>
                <w:sz w:val="20"/>
                <w:szCs w:val="20"/>
              </w:rPr>
              <w:t>Criterion</w:t>
            </w:r>
          </w:p>
        </w:tc>
        <w:tc>
          <w:tcPr>
            <w:tcW w:w="0" w:type="auto"/>
            <w:tcBorders>
              <w:top w:val="single" w:sz="6" w:space="0" w:color="C4C7C5"/>
              <w:left w:val="single" w:sz="6" w:space="0" w:color="C4C7C5"/>
              <w:bottom w:val="single" w:sz="6" w:space="0" w:color="C4C7C5"/>
              <w:right w:val="single" w:sz="6" w:space="0" w:color="C4C7C5"/>
            </w:tcBorders>
            <w:shd w:val="clear" w:color="auto" w:fill="0A1D30" w:themeFill="text2" w:themeFillShade="BF"/>
            <w:tcMar>
              <w:top w:w="120" w:type="dxa"/>
              <w:left w:w="180" w:type="dxa"/>
              <w:bottom w:w="120" w:type="dxa"/>
              <w:right w:w="180" w:type="dxa"/>
            </w:tcMar>
            <w:vAlign w:val="center"/>
            <w:hideMark/>
          </w:tcPr>
          <w:p w14:paraId="004ADE7C" w14:textId="77777777" w:rsidR="007A097C" w:rsidRPr="00D7349A" w:rsidRDefault="007A097C" w:rsidP="00290B1E">
            <w:pPr>
              <w:spacing w:line="278" w:lineRule="auto"/>
              <w:rPr>
                <w:rFonts w:asciiTheme="majorBidi" w:hAnsiTheme="majorBidi" w:cstheme="majorBidi"/>
                <w:sz w:val="20"/>
                <w:szCs w:val="20"/>
              </w:rPr>
            </w:pPr>
            <w:r w:rsidRPr="00D7349A">
              <w:rPr>
                <w:rFonts w:asciiTheme="majorBidi" w:hAnsiTheme="majorBidi" w:cstheme="majorBidi"/>
                <w:b/>
                <w:bCs/>
                <w:sz w:val="20"/>
                <w:szCs w:val="20"/>
              </w:rPr>
              <w:t>Innab (2022)</w:t>
            </w:r>
          </w:p>
        </w:tc>
        <w:tc>
          <w:tcPr>
            <w:tcW w:w="0" w:type="auto"/>
            <w:tcBorders>
              <w:top w:val="single" w:sz="6" w:space="0" w:color="C4C7C5"/>
              <w:left w:val="single" w:sz="6" w:space="0" w:color="C4C7C5"/>
              <w:bottom w:val="single" w:sz="6" w:space="0" w:color="C4C7C5"/>
              <w:right w:val="single" w:sz="6" w:space="0" w:color="C4C7C5"/>
            </w:tcBorders>
            <w:shd w:val="clear" w:color="auto" w:fill="0A1D30" w:themeFill="text2" w:themeFillShade="BF"/>
            <w:tcMar>
              <w:top w:w="120" w:type="dxa"/>
              <w:left w:w="180" w:type="dxa"/>
              <w:bottom w:w="120" w:type="dxa"/>
              <w:right w:w="180" w:type="dxa"/>
            </w:tcMar>
            <w:vAlign w:val="center"/>
            <w:hideMark/>
          </w:tcPr>
          <w:p w14:paraId="5345EA1A" w14:textId="77777777" w:rsidR="007A097C" w:rsidRPr="00D7349A" w:rsidRDefault="007A097C" w:rsidP="00290B1E">
            <w:pPr>
              <w:spacing w:line="278" w:lineRule="auto"/>
              <w:rPr>
                <w:rFonts w:asciiTheme="majorBidi" w:hAnsiTheme="majorBidi" w:cstheme="majorBidi"/>
                <w:sz w:val="20"/>
                <w:szCs w:val="20"/>
              </w:rPr>
            </w:pPr>
            <w:r w:rsidRPr="00D7349A">
              <w:rPr>
                <w:rFonts w:asciiTheme="majorBidi" w:hAnsiTheme="majorBidi" w:cstheme="majorBidi"/>
                <w:b/>
                <w:bCs/>
                <w:sz w:val="20"/>
                <w:szCs w:val="20"/>
              </w:rPr>
              <w:t>Alrimali et al. (2023)</w:t>
            </w:r>
          </w:p>
        </w:tc>
        <w:tc>
          <w:tcPr>
            <w:tcW w:w="0" w:type="auto"/>
            <w:tcBorders>
              <w:top w:val="single" w:sz="6" w:space="0" w:color="C4C7C5"/>
              <w:left w:val="single" w:sz="6" w:space="0" w:color="C4C7C5"/>
              <w:bottom w:val="single" w:sz="6" w:space="0" w:color="C4C7C5"/>
              <w:right w:val="single" w:sz="6" w:space="0" w:color="C4C7C5"/>
            </w:tcBorders>
            <w:shd w:val="clear" w:color="auto" w:fill="0A1D30" w:themeFill="text2" w:themeFillShade="BF"/>
            <w:tcMar>
              <w:top w:w="120" w:type="dxa"/>
              <w:left w:w="180" w:type="dxa"/>
              <w:bottom w:w="120" w:type="dxa"/>
              <w:right w:w="180" w:type="dxa"/>
            </w:tcMar>
            <w:vAlign w:val="center"/>
            <w:hideMark/>
          </w:tcPr>
          <w:p w14:paraId="3C32C3FC" w14:textId="77777777" w:rsidR="007A097C" w:rsidRPr="00D7349A" w:rsidRDefault="007A097C" w:rsidP="00290B1E">
            <w:pPr>
              <w:spacing w:line="278" w:lineRule="auto"/>
              <w:rPr>
                <w:rFonts w:asciiTheme="majorBidi" w:hAnsiTheme="majorBidi" w:cstheme="majorBidi"/>
                <w:sz w:val="20"/>
                <w:szCs w:val="20"/>
              </w:rPr>
            </w:pPr>
            <w:r w:rsidRPr="00D7349A">
              <w:rPr>
                <w:rFonts w:asciiTheme="majorBidi" w:hAnsiTheme="majorBidi" w:cstheme="majorBidi"/>
                <w:b/>
                <w:bCs/>
                <w:sz w:val="20"/>
                <w:szCs w:val="20"/>
              </w:rPr>
              <w:t>ALqrishah et al. (2024)</w:t>
            </w:r>
          </w:p>
        </w:tc>
      </w:tr>
      <w:tr w:rsidR="007A097C" w:rsidRPr="00D7349A" w14:paraId="3ACE6868" w14:textId="77777777" w:rsidTr="007A097C">
        <w:trPr>
          <w:trHeight w:val="440"/>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83CAEB" w:themeFill="accent1" w:themeFillTint="66"/>
            <w:tcMar>
              <w:top w:w="120" w:type="dxa"/>
              <w:left w:w="180" w:type="dxa"/>
              <w:bottom w:w="120" w:type="dxa"/>
              <w:right w:w="180" w:type="dxa"/>
            </w:tcMar>
            <w:vAlign w:val="center"/>
            <w:hideMark/>
          </w:tcPr>
          <w:p w14:paraId="38E6FF6D"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b/>
                <w:bCs/>
                <w:color w:val="000000" w:themeColor="text1"/>
                <w:sz w:val="20"/>
                <w:szCs w:val="20"/>
              </w:rPr>
              <w:t>Objective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E1BC57"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 xml:space="preserve">Examine perceptions of fall risks &amp; prevention strategies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030184"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 xml:space="preserve">Assess KAP regarding fall prevention &amp; demographic factors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5DE95C"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 xml:space="preserve">Identify perceived factors contributing to inpatient falls </w:t>
            </w:r>
          </w:p>
        </w:tc>
      </w:tr>
      <w:tr w:rsidR="007A097C" w:rsidRPr="00D7349A" w14:paraId="3F4E2DE5" w14:textId="77777777" w:rsidTr="007A097C">
        <w:trPr>
          <w:trHeight w:val="202"/>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83CAEB" w:themeFill="accent1" w:themeFillTint="66"/>
            <w:tcMar>
              <w:top w:w="120" w:type="dxa"/>
              <w:left w:w="180" w:type="dxa"/>
              <w:bottom w:w="120" w:type="dxa"/>
              <w:right w:w="180" w:type="dxa"/>
            </w:tcMar>
            <w:vAlign w:val="center"/>
            <w:hideMark/>
          </w:tcPr>
          <w:p w14:paraId="1B882C89"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b/>
                <w:bCs/>
                <w:color w:val="000000" w:themeColor="text1"/>
                <w:sz w:val="20"/>
                <w:szCs w:val="20"/>
              </w:rPr>
              <w:t>Design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213393"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 xml:space="preserve">Descriptive cross-sectional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C463E5"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 xml:space="preserve">Descriptive cross-sectional (KAP)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392BB3"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 xml:space="preserve">Quantitative cross-sectional </w:t>
            </w:r>
          </w:p>
        </w:tc>
      </w:tr>
      <w:tr w:rsidR="007A097C" w:rsidRPr="00D7349A" w14:paraId="47AAAEF4" w14:textId="77777777" w:rsidTr="007A097C">
        <w:trPr>
          <w:trHeight w:val="280"/>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83CAEB" w:themeFill="accent1" w:themeFillTint="66"/>
            <w:tcMar>
              <w:top w:w="120" w:type="dxa"/>
              <w:left w:w="180" w:type="dxa"/>
              <w:bottom w:w="120" w:type="dxa"/>
              <w:right w:w="180" w:type="dxa"/>
            </w:tcMar>
            <w:vAlign w:val="center"/>
            <w:hideMark/>
          </w:tcPr>
          <w:p w14:paraId="3543890D"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b/>
                <w:bCs/>
                <w:color w:val="000000" w:themeColor="text1"/>
                <w:sz w:val="20"/>
                <w:szCs w:val="20"/>
              </w:rPr>
              <w:lastRenderedPageBreak/>
              <w:t>Setting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ED8FE9"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 xml:space="preserve">Single teaching hospital, KSA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B6D5D5"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 xml:space="preserve">16 MOH public hospitals (Hail Region)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360D58"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 xml:space="preserve">King Saud Medical City (Public, Riyadh) </w:t>
            </w:r>
          </w:p>
        </w:tc>
      </w:tr>
      <w:tr w:rsidR="007A097C" w:rsidRPr="00D7349A" w14:paraId="23591096" w14:textId="77777777" w:rsidTr="007A097C">
        <w:trPr>
          <w:trHeight w:val="199"/>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83CAEB" w:themeFill="accent1" w:themeFillTint="66"/>
            <w:tcMar>
              <w:top w:w="120" w:type="dxa"/>
              <w:left w:w="180" w:type="dxa"/>
              <w:bottom w:w="120" w:type="dxa"/>
              <w:right w:w="180" w:type="dxa"/>
            </w:tcMar>
            <w:vAlign w:val="center"/>
            <w:hideMark/>
          </w:tcPr>
          <w:p w14:paraId="7A069324"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b/>
                <w:bCs/>
                <w:color w:val="000000" w:themeColor="text1"/>
                <w:sz w:val="20"/>
                <w:szCs w:val="20"/>
              </w:rPr>
              <w:t>Sample Size (</w:t>
            </w:r>
            <m:oMath>
              <m:r>
                <w:rPr>
                  <w:rFonts w:ascii="Cambria Math" w:hAnsi="Cambria Math" w:cstheme="majorBidi"/>
                  <w:color w:val="000000" w:themeColor="text1"/>
                  <w:sz w:val="20"/>
                  <w:szCs w:val="20"/>
                </w:rPr>
                <m:t>N</m:t>
              </m:r>
            </m:oMath>
            <w:r w:rsidRPr="007A097C">
              <w:rPr>
                <w:rFonts w:asciiTheme="majorBidi" w:hAnsiTheme="majorBidi" w:cstheme="majorBidi"/>
                <w:b/>
                <w:bCs/>
                <w:color w:val="000000" w:themeColor="text1"/>
                <w:sz w:val="20"/>
                <w:szCs w:val="20"/>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47B760" w14:textId="77777777" w:rsidR="007A097C" w:rsidRPr="007A097C" w:rsidRDefault="007A097C" w:rsidP="00290B1E">
            <w:pPr>
              <w:spacing w:line="278" w:lineRule="auto"/>
              <w:rPr>
                <w:rFonts w:asciiTheme="majorBidi" w:hAnsiTheme="majorBidi" w:cstheme="majorBidi"/>
                <w:color w:val="000000" w:themeColor="text1"/>
                <w:sz w:val="20"/>
                <w:szCs w:val="20"/>
              </w:rPr>
            </w:pPr>
            <m:oMath>
              <m:r>
                <w:rPr>
                  <w:rFonts w:ascii="Cambria Math" w:hAnsi="Cambria Math" w:cstheme="majorBidi"/>
                  <w:color w:val="000000" w:themeColor="text1"/>
                  <w:sz w:val="20"/>
                  <w:szCs w:val="20"/>
                </w:rPr>
                <m:t>N=102</m:t>
              </m:r>
            </m:oMath>
            <w:r w:rsidRPr="007A097C">
              <w:rPr>
                <w:rFonts w:asciiTheme="majorBidi" w:hAnsiTheme="majorBidi" w:cstheme="majorBidi"/>
                <w:color w:val="000000" w:themeColor="text1"/>
                <w:sz w:val="20"/>
                <w:szCs w:val="20"/>
              </w:rPr>
              <w:t xml:space="preserve"> nurses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52BBE8" w14:textId="77777777" w:rsidR="007A097C" w:rsidRPr="007A097C" w:rsidRDefault="007A097C" w:rsidP="00290B1E">
            <w:pPr>
              <w:spacing w:line="278" w:lineRule="auto"/>
              <w:rPr>
                <w:rFonts w:asciiTheme="majorBidi" w:hAnsiTheme="majorBidi" w:cstheme="majorBidi"/>
                <w:color w:val="000000" w:themeColor="text1"/>
                <w:sz w:val="20"/>
                <w:szCs w:val="20"/>
              </w:rPr>
            </w:pPr>
            <m:oMath>
              <m:r>
                <w:rPr>
                  <w:rFonts w:ascii="Cambria Math" w:hAnsi="Cambria Math" w:cstheme="majorBidi"/>
                  <w:color w:val="000000" w:themeColor="text1"/>
                  <w:sz w:val="20"/>
                  <w:szCs w:val="20"/>
                </w:rPr>
                <m:t>N=295</m:t>
              </m:r>
            </m:oMath>
            <w:r w:rsidRPr="007A097C">
              <w:rPr>
                <w:rFonts w:asciiTheme="majorBidi" w:hAnsiTheme="majorBidi" w:cstheme="majorBidi"/>
                <w:color w:val="000000" w:themeColor="text1"/>
                <w:sz w:val="20"/>
                <w:szCs w:val="20"/>
              </w:rPr>
              <w:t xml:space="preserve"> nurses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FFB1EA" w14:textId="77777777" w:rsidR="007A097C" w:rsidRPr="007A097C" w:rsidRDefault="007A097C" w:rsidP="00290B1E">
            <w:pPr>
              <w:spacing w:line="278" w:lineRule="auto"/>
              <w:rPr>
                <w:rFonts w:asciiTheme="majorBidi" w:hAnsiTheme="majorBidi" w:cstheme="majorBidi"/>
                <w:color w:val="000000" w:themeColor="text1"/>
                <w:sz w:val="20"/>
                <w:szCs w:val="20"/>
              </w:rPr>
            </w:pPr>
            <m:oMath>
              <m:r>
                <w:rPr>
                  <w:rFonts w:ascii="Cambria Math" w:hAnsi="Cambria Math" w:cstheme="majorBidi"/>
                  <w:color w:val="000000" w:themeColor="text1"/>
                  <w:sz w:val="20"/>
                  <w:szCs w:val="20"/>
                </w:rPr>
                <m:t>N=504</m:t>
              </m:r>
            </m:oMath>
            <w:r w:rsidRPr="007A097C">
              <w:rPr>
                <w:rFonts w:asciiTheme="majorBidi" w:hAnsiTheme="majorBidi" w:cstheme="majorBidi"/>
                <w:color w:val="000000" w:themeColor="text1"/>
                <w:sz w:val="20"/>
                <w:szCs w:val="20"/>
              </w:rPr>
              <w:t xml:space="preserve"> nurses </w:t>
            </w:r>
          </w:p>
        </w:tc>
      </w:tr>
      <w:tr w:rsidR="007A097C" w:rsidRPr="00D7349A" w14:paraId="792511EC" w14:textId="77777777" w:rsidTr="007A097C">
        <w:trPr>
          <w:trHeight w:val="202"/>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83CAEB" w:themeFill="accent1" w:themeFillTint="66"/>
            <w:tcMar>
              <w:top w:w="120" w:type="dxa"/>
              <w:left w:w="180" w:type="dxa"/>
              <w:bottom w:w="120" w:type="dxa"/>
              <w:right w:w="180" w:type="dxa"/>
            </w:tcMar>
            <w:vAlign w:val="center"/>
            <w:hideMark/>
          </w:tcPr>
          <w:p w14:paraId="2ADE1546"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b/>
                <w:bCs/>
                <w:color w:val="000000" w:themeColor="text1"/>
                <w:sz w:val="20"/>
                <w:szCs w:val="20"/>
              </w:rPr>
              <w:t>Sampling Method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E2DC8C"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 xml:space="preserve">Convenience sampling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33B097"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 xml:space="preserve">Convenience sampling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0A6082"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 xml:space="preserve">Convenience sampling </w:t>
            </w:r>
          </w:p>
        </w:tc>
      </w:tr>
      <w:tr w:rsidR="007A097C" w:rsidRPr="00D7349A" w14:paraId="1A484ED4" w14:textId="77777777" w:rsidTr="007A097C">
        <w:trPr>
          <w:trHeight w:val="199"/>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83CAEB" w:themeFill="accent1" w:themeFillTint="66"/>
            <w:tcMar>
              <w:top w:w="120" w:type="dxa"/>
              <w:left w:w="180" w:type="dxa"/>
              <w:bottom w:w="120" w:type="dxa"/>
              <w:right w:w="180" w:type="dxa"/>
            </w:tcMar>
            <w:vAlign w:val="center"/>
            <w:hideMark/>
          </w:tcPr>
          <w:p w14:paraId="1E2D7B81"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b/>
                <w:bCs/>
                <w:color w:val="000000" w:themeColor="text1"/>
                <w:sz w:val="20"/>
                <w:szCs w:val="20"/>
              </w:rPr>
              <w:t>Instrument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E7C593"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 xml:space="preserve">Modified Fall Prevention Survey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937DB5"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 xml:space="preserve">Structured 3-part KAP Scale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4A5269"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 xml:space="preserve">Structured Fall Risk Factor Questionnaire </w:t>
            </w:r>
          </w:p>
        </w:tc>
      </w:tr>
      <w:tr w:rsidR="007A097C" w:rsidRPr="00D7349A" w14:paraId="4EA807BA" w14:textId="77777777" w:rsidTr="007A097C">
        <w:trPr>
          <w:trHeight w:val="440"/>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83CAEB" w:themeFill="accent1" w:themeFillTint="66"/>
            <w:tcMar>
              <w:top w:w="120" w:type="dxa"/>
              <w:left w:w="180" w:type="dxa"/>
              <w:bottom w:w="120" w:type="dxa"/>
              <w:right w:w="180" w:type="dxa"/>
            </w:tcMar>
            <w:vAlign w:val="center"/>
            <w:hideMark/>
          </w:tcPr>
          <w:p w14:paraId="6304D5D5"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b/>
                <w:bCs/>
                <w:color w:val="000000" w:themeColor="text1"/>
                <w:sz w:val="20"/>
                <w:szCs w:val="20"/>
              </w:rPr>
              <w:t>Main Results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8C3CC5"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Top risk: impaired balance; Education predicted perception (</w:t>
            </w:r>
            <m:oMath>
              <m:r>
                <w:rPr>
                  <w:rFonts w:ascii="Cambria Math" w:hAnsi="Cambria Math" w:cstheme="majorBidi"/>
                  <w:color w:val="000000" w:themeColor="text1"/>
                  <w:sz w:val="20"/>
                  <w:szCs w:val="20"/>
                </w:rPr>
                <m:t>p=0.032</m:t>
              </m:r>
            </m:oMath>
            <w:r w:rsidRPr="007A097C">
              <w:rPr>
                <w:rFonts w:asciiTheme="majorBidi" w:hAnsiTheme="majorBidi" w:cstheme="majorBidi"/>
                <w:color w:val="000000" w:themeColor="text1"/>
                <w:sz w:val="20"/>
                <w:szCs w:val="20"/>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043D16"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Moderate knowledge (</w:t>
            </w:r>
            <m:oMath>
              <m:r>
                <w:rPr>
                  <w:rFonts w:ascii="Cambria Math" w:hAnsi="Cambria Math" w:cstheme="majorBidi"/>
                  <w:color w:val="000000" w:themeColor="text1"/>
                  <w:sz w:val="20"/>
                  <w:szCs w:val="20"/>
                </w:rPr>
                <m:t>61%</m:t>
              </m:r>
            </m:oMath>
            <w:r w:rsidRPr="007A097C">
              <w:rPr>
                <w:rFonts w:asciiTheme="majorBidi" w:hAnsiTheme="majorBidi" w:cstheme="majorBidi"/>
                <w:color w:val="000000" w:themeColor="text1"/>
                <w:sz w:val="20"/>
                <w:szCs w:val="20"/>
              </w:rPr>
              <w:t>), high practice (</w:t>
            </w:r>
            <m:oMath>
              <m:r>
                <w:rPr>
                  <w:rFonts w:ascii="Cambria Math" w:hAnsi="Cambria Math" w:cstheme="majorBidi"/>
                  <w:color w:val="000000" w:themeColor="text1"/>
                  <w:sz w:val="20"/>
                  <w:szCs w:val="20"/>
                </w:rPr>
                <m:t>87.7%</m:t>
              </m:r>
            </m:oMath>
            <w:r w:rsidRPr="007A097C">
              <w:rPr>
                <w:rFonts w:asciiTheme="majorBidi" w:hAnsiTheme="majorBidi" w:cstheme="majorBidi"/>
                <w:color w:val="000000" w:themeColor="text1"/>
                <w:sz w:val="20"/>
                <w:szCs w:val="20"/>
              </w:rPr>
              <w:t xml:space="preserve">); </w:t>
            </w:r>
            <m:oMath>
              <m:r>
                <w:rPr>
                  <w:rFonts w:ascii="Cambria Math" w:hAnsi="Cambria Math" w:cstheme="majorBidi"/>
                  <w:color w:val="000000" w:themeColor="text1"/>
                  <w:sz w:val="20"/>
                  <w:szCs w:val="20"/>
                </w:rPr>
                <m:t>r=0.312,p&lt;0.001</m:t>
              </m:r>
            </m:oMath>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A867EE" w14:textId="77777777" w:rsidR="007A097C" w:rsidRPr="007A097C" w:rsidRDefault="007A097C" w:rsidP="00290B1E">
            <w:pPr>
              <w:spacing w:line="278" w:lineRule="auto"/>
              <w:rPr>
                <w:rFonts w:asciiTheme="majorBidi" w:hAnsiTheme="majorBidi" w:cstheme="majorBidi"/>
                <w:color w:val="000000" w:themeColor="text1"/>
                <w:sz w:val="20"/>
                <w:szCs w:val="20"/>
              </w:rPr>
            </w:pPr>
            <w:r w:rsidRPr="007A097C">
              <w:rPr>
                <w:rFonts w:asciiTheme="majorBidi" w:hAnsiTheme="majorBidi" w:cstheme="majorBidi"/>
                <w:color w:val="000000" w:themeColor="text1"/>
                <w:sz w:val="20"/>
                <w:szCs w:val="20"/>
              </w:rPr>
              <w:t xml:space="preserve">Wet floors, lack of grab bars, polypharmacy, &amp; staffing shortages drive falls </w:t>
            </w:r>
          </w:p>
        </w:tc>
      </w:tr>
    </w:tbl>
    <w:p w14:paraId="5A7A7F7C" w14:textId="44F9B56E" w:rsidR="00457D79" w:rsidRDefault="007A097C" w:rsidP="00457D79">
      <w:pPr>
        <w:pStyle w:val="Heading2"/>
        <w:rPr>
          <w:rFonts w:asciiTheme="majorBidi" w:eastAsiaTheme="minorHAnsi" w:hAnsiTheme="majorBidi"/>
          <w:i/>
          <w:iCs/>
          <w:color w:val="000000" w:themeColor="text1"/>
          <w:sz w:val="18"/>
          <w:szCs w:val="18"/>
        </w:rPr>
      </w:pPr>
      <w:r w:rsidRPr="007A097C">
        <w:rPr>
          <w:rFonts w:asciiTheme="majorBidi" w:eastAsiaTheme="minorHAnsi" w:hAnsiTheme="majorBidi"/>
          <w:i/>
          <w:iCs/>
          <w:color w:val="000000" w:themeColor="text1"/>
          <w:sz w:val="18"/>
          <w:szCs w:val="18"/>
        </w:rPr>
        <w:t>Note. Adapted from the reviewed studies.</w:t>
      </w:r>
    </w:p>
    <w:p w14:paraId="5C07D4D1" w14:textId="77777777" w:rsidR="007A097C" w:rsidRPr="007A097C" w:rsidRDefault="007A097C" w:rsidP="007A097C"/>
    <w:p w14:paraId="28799AF4" w14:textId="77777777" w:rsidR="00457D79" w:rsidRPr="009733C8" w:rsidRDefault="00457D79" w:rsidP="00457D79">
      <w:pPr>
        <w:pStyle w:val="Heading2"/>
        <w:rPr>
          <w:rFonts w:asciiTheme="majorBidi" w:eastAsiaTheme="minorHAnsi" w:hAnsiTheme="majorBidi"/>
          <w:b/>
          <w:bCs/>
          <w:color w:val="000000" w:themeColor="text1"/>
          <w:u w:val="single"/>
        </w:rPr>
      </w:pPr>
      <w:r w:rsidRPr="009733C8">
        <w:rPr>
          <w:rFonts w:asciiTheme="majorBidi" w:eastAsiaTheme="minorHAnsi" w:hAnsiTheme="majorBidi"/>
          <w:b/>
          <w:bCs/>
          <w:color w:val="000000" w:themeColor="text1"/>
          <w:u w:val="single"/>
        </w:rPr>
        <w:t>Why the Results Differed</w:t>
      </w:r>
    </w:p>
    <w:p w14:paraId="5C3A537D" w14:textId="77777777" w:rsidR="00457D79" w:rsidRPr="00E05695" w:rsidRDefault="00457D79" w:rsidP="00457D79"/>
    <w:p w14:paraId="44A1BBE0" w14:textId="77777777" w:rsidR="00457D79" w:rsidRPr="00BC0147" w:rsidRDefault="00457D79" w:rsidP="00457D79">
      <w:pPr>
        <w:pStyle w:val="ListParagraph"/>
        <w:numPr>
          <w:ilvl w:val="0"/>
          <w:numId w:val="1"/>
        </w:numPr>
        <w:spacing w:after="80" w:line="320" w:lineRule="auto"/>
        <w:contextualSpacing w:val="0"/>
        <w:rPr>
          <w:rFonts w:asciiTheme="majorBidi" w:hAnsiTheme="majorBidi" w:cstheme="majorBidi"/>
          <w:color w:val="000000" w:themeColor="text1"/>
          <w:sz w:val="24"/>
          <w:szCs w:val="24"/>
        </w:rPr>
      </w:pPr>
      <w:r w:rsidRPr="00BC0147">
        <w:rPr>
          <w:rFonts w:asciiTheme="majorBidi" w:hAnsiTheme="majorBidi" w:cstheme="majorBidi"/>
          <w:color w:val="000000" w:themeColor="text1"/>
          <w:sz w:val="24"/>
          <w:szCs w:val="24"/>
        </w:rPr>
        <w:t>Sector environment: private hospitals operate under different managerial pressures, with accreditation tied to their business license, whereas public hospitals emphasize volume and resource management.</w:t>
      </w:r>
    </w:p>
    <w:p w14:paraId="0BB15592" w14:textId="77777777" w:rsidR="00457D79" w:rsidRPr="00BC0147" w:rsidRDefault="00457D79" w:rsidP="00457D79">
      <w:pPr>
        <w:pStyle w:val="ListParagraph"/>
        <w:numPr>
          <w:ilvl w:val="0"/>
          <w:numId w:val="1"/>
        </w:numPr>
        <w:spacing w:after="80" w:line="320" w:lineRule="auto"/>
        <w:contextualSpacing w:val="0"/>
        <w:rPr>
          <w:rFonts w:asciiTheme="majorBidi" w:hAnsiTheme="majorBidi" w:cstheme="majorBidi"/>
          <w:color w:val="000000" w:themeColor="text1"/>
          <w:sz w:val="24"/>
          <w:szCs w:val="24"/>
        </w:rPr>
      </w:pPr>
      <w:r w:rsidRPr="00BC0147">
        <w:rPr>
          <w:rFonts w:asciiTheme="majorBidi" w:hAnsiTheme="majorBidi" w:cstheme="majorBidi"/>
          <w:color w:val="000000" w:themeColor="text1"/>
          <w:sz w:val="24"/>
          <w:szCs w:val="24"/>
        </w:rPr>
        <w:t>Instrument: the studies measured different constructs—competency, perception and safety culture—so their specific findings vary.</w:t>
      </w:r>
    </w:p>
    <w:p w14:paraId="2D2C89AC" w14:textId="77777777" w:rsidR="00457D79" w:rsidRDefault="00457D79" w:rsidP="00457D79">
      <w:pPr>
        <w:pStyle w:val="ListParagraph"/>
        <w:numPr>
          <w:ilvl w:val="0"/>
          <w:numId w:val="1"/>
        </w:numPr>
        <w:spacing w:after="80" w:line="320" w:lineRule="auto"/>
        <w:contextualSpacing w:val="0"/>
        <w:rPr>
          <w:rFonts w:asciiTheme="majorBidi" w:hAnsiTheme="majorBidi" w:cstheme="majorBidi"/>
          <w:color w:val="000000" w:themeColor="text1"/>
          <w:sz w:val="24"/>
          <w:szCs w:val="24"/>
        </w:rPr>
      </w:pPr>
      <w:r w:rsidRPr="00BC0147">
        <w:rPr>
          <w:rFonts w:asciiTheme="majorBidi" w:hAnsiTheme="majorBidi" w:cstheme="majorBidi"/>
          <w:color w:val="000000" w:themeColor="text1"/>
          <w:sz w:val="24"/>
          <w:szCs w:val="24"/>
        </w:rPr>
        <w:t>Sample characteristics: workforce diversity means that “years of experience in the KSA” often predicts practice more strongly than total experience, because local reporting systems require specific orientation.</w:t>
      </w:r>
    </w:p>
    <w:p w14:paraId="0D8AAD80" w14:textId="77777777" w:rsidR="000761B0" w:rsidRDefault="000761B0" w:rsidP="000761B0">
      <w:pPr>
        <w:pStyle w:val="ListParagraph"/>
        <w:spacing w:after="80" w:line="320" w:lineRule="auto"/>
        <w:contextualSpacing w:val="0"/>
        <w:rPr>
          <w:rFonts w:asciiTheme="majorBidi" w:hAnsiTheme="majorBidi" w:cstheme="majorBidi"/>
          <w:color w:val="000000" w:themeColor="text1"/>
          <w:sz w:val="24"/>
          <w:szCs w:val="24"/>
        </w:rPr>
      </w:pPr>
    </w:p>
    <w:p w14:paraId="4A2A5109" w14:textId="77777777" w:rsidR="00664CBE" w:rsidRPr="00BC0147" w:rsidRDefault="00664CBE" w:rsidP="000761B0">
      <w:pPr>
        <w:pStyle w:val="ListParagraph"/>
        <w:spacing w:after="80" w:line="320" w:lineRule="auto"/>
        <w:contextualSpacing w:val="0"/>
        <w:rPr>
          <w:rFonts w:asciiTheme="majorBidi" w:hAnsiTheme="majorBidi" w:cstheme="majorBidi"/>
          <w:color w:val="000000" w:themeColor="text1"/>
          <w:sz w:val="24"/>
          <w:szCs w:val="24"/>
        </w:rPr>
      </w:pPr>
    </w:p>
    <w:p w14:paraId="20AA57D7" w14:textId="77777777" w:rsidR="00457D79" w:rsidRPr="009733C8" w:rsidRDefault="00457D79" w:rsidP="00457D79">
      <w:pPr>
        <w:pStyle w:val="Heading2"/>
        <w:rPr>
          <w:rFonts w:asciiTheme="majorBidi" w:eastAsiaTheme="minorHAnsi" w:hAnsiTheme="majorBidi"/>
          <w:b/>
          <w:bCs/>
          <w:color w:val="000000" w:themeColor="text1"/>
          <w:sz w:val="36"/>
          <w:szCs w:val="36"/>
          <w:u w:val="single"/>
        </w:rPr>
      </w:pPr>
      <w:r w:rsidRPr="009733C8">
        <w:rPr>
          <w:rFonts w:asciiTheme="majorBidi" w:eastAsiaTheme="minorHAnsi" w:hAnsiTheme="majorBidi"/>
          <w:b/>
          <w:bCs/>
          <w:color w:val="000000" w:themeColor="text1"/>
          <w:sz w:val="36"/>
          <w:szCs w:val="36"/>
          <w:u w:val="single"/>
        </w:rPr>
        <w:lastRenderedPageBreak/>
        <w:t>Research Gap:</w:t>
      </w:r>
    </w:p>
    <w:p w14:paraId="41F88A1A" w14:textId="77777777" w:rsidR="00457D79" w:rsidRPr="00E05695" w:rsidRDefault="00457D79" w:rsidP="00457D79"/>
    <w:p w14:paraId="02CF8E1D" w14:textId="337C438C" w:rsidR="00BC0147" w:rsidRDefault="00457D79" w:rsidP="007A097C">
      <w:pPr>
        <w:spacing w:line="360" w:lineRule="auto"/>
        <w:rPr>
          <w:rFonts w:asciiTheme="majorBidi" w:hAnsiTheme="majorBidi" w:cstheme="majorBidi"/>
          <w:color w:val="000000" w:themeColor="text1"/>
          <w:sz w:val="24"/>
          <w:szCs w:val="24"/>
        </w:rPr>
      </w:pPr>
      <w:r w:rsidRPr="00E05695">
        <w:rPr>
          <w:rFonts w:asciiTheme="majorBidi" w:hAnsiTheme="majorBidi" w:cstheme="majorBidi"/>
          <w:color w:val="000000" w:themeColor="text1"/>
          <w:sz w:val="24"/>
          <w:szCs w:val="24"/>
        </w:rPr>
        <w:t>While the knowledge–practice gap is well documented in Saudi government tertiary centers and in multi-region samples, there is little single-site evidence from the private sector, and even less that pairs an objective knowledge test with a reliability-tested practice scale and formally tests the knowledge–practice correlation. The present study addresses this gap by quantifying both constructs in one private hospital and statistically examining their relationship.</w:t>
      </w:r>
    </w:p>
    <w:p w14:paraId="2172F4E7" w14:textId="77777777" w:rsidR="007A097C" w:rsidRPr="007A097C" w:rsidRDefault="007A097C" w:rsidP="007A097C">
      <w:pPr>
        <w:spacing w:line="360" w:lineRule="auto"/>
        <w:rPr>
          <w:rFonts w:asciiTheme="majorBidi" w:hAnsiTheme="majorBidi" w:cstheme="majorBidi"/>
          <w:color w:val="000000" w:themeColor="text1"/>
          <w:sz w:val="24"/>
          <w:szCs w:val="24"/>
        </w:rPr>
      </w:pPr>
    </w:p>
    <w:p w14:paraId="2E6AA9BA" w14:textId="2D006280" w:rsidR="00457D79" w:rsidRPr="009733C8" w:rsidRDefault="00457D79" w:rsidP="00457D79">
      <w:pPr>
        <w:spacing w:line="360" w:lineRule="auto"/>
        <w:rPr>
          <w:rFonts w:asciiTheme="majorBidi" w:hAnsiTheme="majorBidi" w:cstheme="majorBidi"/>
          <w:b/>
          <w:bCs/>
          <w:color w:val="000000" w:themeColor="text1"/>
          <w:sz w:val="28"/>
          <w:szCs w:val="28"/>
          <w:rtl/>
        </w:rPr>
      </w:pPr>
      <w:r w:rsidRPr="009733C8">
        <w:rPr>
          <w:rFonts w:asciiTheme="majorBidi" w:hAnsiTheme="majorBidi" w:cstheme="majorBidi"/>
          <w:b/>
          <w:bCs/>
          <w:color w:val="000000" w:themeColor="text1"/>
          <w:sz w:val="36"/>
          <w:szCs w:val="36"/>
          <w:u w:val="single"/>
        </w:rPr>
        <w:t>Theoretical framework:</w:t>
      </w:r>
    </w:p>
    <w:p w14:paraId="4CFDFE0A" w14:textId="77777777" w:rsidR="00457D79" w:rsidRPr="00E05695" w:rsidRDefault="00457D79" w:rsidP="00457D79">
      <w:pPr>
        <w:pStyle w:val="Heading3"/>
        <w:rPr>
          <w:rFonts w:asciiTheme="majorBidi" w:hAnsiTheme="majorBidi"/>
          <w:b/>
          <w:bCs/>
          <w:color w:val="000000" w:themeColor="text1"/>
        </w:rPr>
      </w:pPr>
      <w:r w:rsidRPr="00E05695">
        <w:rPr>
          <w:rFonts w:asciiTheme="majorBidi" w:hAnsiTheme="majorBidi"/>
          <w:b/>
          <w:bCs/>
          <w:color w:val="000000" w:themeColor="text1"/>
        </w:rPr>
        <w:t>The Knowledge–Practice–Outcome Model</w:t>
      </w:r>
    </w:p>
    <w:p w14:paraId="4707ABAF" w14:textId="77777777" w:rsidR="00457D79" w:rsidRPr="00E05695" w:rsidRDefault="00457D79" w:rsidP="00457D79">
      <w:pPr>
        <w:spacing w:line="360" w:lineRule="auto"/>
        <w:rPr>
          <w:rFonts w:asciiTheme="majorBidi" w:hAnsiTheme="majorBidi" w:cstheme="majorBidi"/>
          <w:color w:val="000000" w:themeColor="text1"/>
          <w:sz w:val="24"/>
          <w:szCs w:val="24"/>
        </w:rPr>
      </w:pPr>
      <w:r w:rsidRPr="00E05695">
        <w:rPr>
          <w:rFonts w:asciiTheme="majorBidi" w:hAnsiTheme="majorBidi" w:cstheme="majorBidi"/>
          <w:color w:val="000000" w:themeColor="text1"/>
          <w:sz w:val="24"/>
          <w:szCs w:val="24"/>
        </w:rPr>
        <w:t>This model holds that nurses’ knowledge is a key determinant of practice, which ultimately affects patient outcomes. Training, experience and the work environment shape knowledge, while organizational support, policies and monitoring shape the translation of knowledge into practice (Tzeng &amp; Yin, 2018). Understanding these relationships is essential for designing effective interventions.</w:t>
      </w:r>
    </w:p>
    <w:p w14:paraId="0C52418D" w14:textId="77777777" w:rsidR="00457D79" w:rsidRPr="00375467" w:rsidRDefault="00457D79" w:rsidP="00457D79">
      <w:pPr>
        <w:spacing w:line="360" w:lineRule="auto"/>
        <w:rPr>
          <w:rFonts w:asciiTheme="majorBidi" w:hAnsiTheme="majorBidi" w:cstheme="majorBidi"/>
          <w:color w:val="000000" w:themeColor="text1"/>
        </w:rPr>
      </w:pPr>
    </w:p>
    <w:p w14:paraId="4AA9840E" w14:textId="77777777" w:rsidR="00457D79" w:rsidRPr="00E05695" w:rsidRDefault="00457D79" w:rsidP="00457D79">
      <w:pPr>
        <w:pStyle w:val="Heading3"/>
        <w:rPr>
          <w:rFonts w:asciiTheme="majorBidi" w:hAnsiTheme="majorBidi"/>
          <w:b/>
          <w:bCs/>
          <w:color w:val="000000" w:themeColor="text1"/>
        </w:rPr>
      </w:pPr>
      <w:r w:rsidRPr="00E05695">
        <w:rPr>
          <w:rFonts w:asciiTheme="majorBidi" w:hAnsiTheme="majorBidi"/>
          <w:b/>
          <w:bCs/>
          <w:color w:val="000000" w:themeColor="text1"/>
        </w:rPr>
        <w:t>The Swiss Cheese Model (Reason, 2000)</w:t>
      </w:r>
    </w:p>
    <w:p w14:paraId="210232EE" w14:textId="57F882C3" w:rsidR="00295DB9" w:rsidRDefault="00457D79" w:rsidP="003D5839">
      <w:pPr>
        <w:spacing w:line="360" w:lineRule="auto"/>
      </w:pPr>
      <w:r w:rsidRPr="00E05695">
        <w:rPr>
          <w:rFonts w:asciiTheme="majorBidi" w:hAnsiTheme="majorBidi" w:cstheme="majorBidi"/>
          <w:color w:val="000000" w:themeColor="text1"/>
          <w:sz w:val="24"/>
          <w:szCs w:val="24"/>
        </w:rPr>
        <w:t>Reason’s model conceptualizes a fall as the alignment of “holes” across successive layers of defense—for example, a latent condition (a gap in nursing knowledge) combining with an active failure (a failure to lock bed wheels). The model reframes falls as system failures rather than individual errors, directing attention to organizational as well as individual factors.</w:t>
      </w:r>
    </w:p>
    <w:sectPr w:rsidR="00295D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2138C"/>
    <w:multiLevelType w:val="hybridMultilevel"/>
    <w:tmpl w:val="2C74CF66"/>
    <w:lvl w:ilvl="0" w:tplc="36FAA240">
      <w:start w:val="1"/>
      <w:numFmt w:val="bullet"/>
      <w:lvlText w:val="●"/>
      <w:lvlJc w:val="left"/>
      <w:pPr>
        <w:ind w:left="720" w:hanging="360"/>
      </w:pPr>
    </w:lvl>
    <w:lvl w:ilvl="1" w:tplc="10FCF4AC">
      <w:start w:val="1"/>
      <w:numFmt w:val="bullet"/>
      <w:lvlText w:val="○"/>
      <w:lvlJc w:val="left"/>
      <w:pPr>
        <w:ind w:left="1440" w:hanging="360"/>
      </w:pPr>
    </w:lvl>
    <w:lvl w:ilvl="2" w:tplc="1A5A76AE">
      <w:start w:val="1"/>
      <w:numFmt w:val="bullet"/>
      <w:lvlText w:val="■"/>
      <w:lvlJc w:val="left"/>
      <w:pPr>
        <w:ind w:left="2160" w:hanging="360"/>
      </w:pPr>
    </w:lvl>
    <w:lvl w:ilvl="3" w:tplc="89B8ED3C">
      <w:start w:val="1"/>
      <w:numFmt w:val="bullet"/>
      <w:lvlText w:val="●"/>
      <w:lvlJc w:val="left"/>
      <w:pPr>
        <w:ind w:left="2880" w:hanging="360"/>
      </w:pPr>
    </w:lvl>
    <w:lvl w:ilvl="4" w:tplc="BCB025CC">
      <w:start w:val="1"/>
      <w:numFmt w:val="bullet"/>
      <w:lvlText w:val="○"/>
      <w:lvlJc w:val="left"/>
      <w:pPr>
        <w:ind w:left="3600" w:hanging="360"/>
      </w:pPr>
    </w:lvl>
    <w:lvl w:ilvl="5" w:tplc="484AD248">
      <w:start w:val="1"/>
      <w:numFmt w:val="bullet"/>
      <w:lvlText w:val="■"/>
      <w:lvlJc w:val="left"/>
      <w:pPr>
        <w:ind w:left="4320" w:hanging="360"/>
      </w:pPr>
    </w:lvl>
    <w:lvl w:ilvl="6" w:tplc="BAE0CC08">
      <w:start w:val="1"/>
      <w:numFmt w:val="bullet"/>
      <w:lvlText w:val="●"/>
      <w:lvlJc w:val="left"/>
      <w:pPr>
        <w:ind w:left="5040" w:hanging="360"/>
      </w:pPr>
    </w:lvl>
    <w:lvl w:ilvl="7" w:tplc="0688E67A">
      <w:start w:val="1"/>
      <w:numFmt w:val="bullet"/>
      <w:lvlText w:val="●"/>
      <w:lvlJc w:val="left"/>
      <w:pPr>
        <w:ind w:left="5760" w:hanging="360"/>
      </w:pPr>
    </w:lvl>
    <w:lvl w:ilvl="8" w:tplc="6A00E2DE">
      <w:start w:val="1"/>
      <w:numFmt w:val="bullet"/>
      <w:lvlText w:val="●"/>
      <w:lvlJc w:val="left"/>
      <w:pPr>
        <w:ind w:left="6480" w:hanging="360"/>
      </w:pPr>
    </w:lvl>
  </w:abstractNum>
  <w:num w:numId="1" w16cid:durableId="150405485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53B"/>
    <w:rsid w:val="000761B0"/>
    <w:rsid w:val="000A0A48"/>
    <w:rsid w:val="000F4722"/>
    <w:rsid w:val="00177992"/>
    <w:rsid w:val="00295DB9"/>
    <w:rsid w:val="002C351D"/>
    <w:rsid w:val="003D5839"/>
    <w:rsid w:val="00457D79"/>
    <w:rsid w:val="004C0BFC"/>
    <w:rsid w:val="005A7C2D"/>
    <w:rsid w:val="005E2C1C"/>
    <w:rsid w:val="00664CBE"/>
    <w:rsid w:val="0067053B"/>
    <w:rsid w:val="007A097C"/>
    <w:rsid w:val="007B635C"/>
    <w:rsid w:val="009C72AA"/>
    <w:rsid w:val="009E1A8C"/>
    <w:rsid w:val="00AA5ED9"/>
    <w:rsid w:val="00BC0147"/>
    <w:rsid w:val="00C12D11"/>
    <w:rsid w:val="00CE74B2"/>
    <w:rsid w:val="00D05D83"/>
    <w:rsid w:val="00F10734"/>
    <w:rsid w:val="00F556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D7325"/>
  <w15:chartTrackingRefBased/>
  <w15:docId w15:val="{ABE212BF-C57C-4D9F-844E-B9DF024F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D79"/>
    <w:pPr>
      <w:spacing w:line="259" w:lineRule="auto"/>
    </w:pPr>
    <w:rPr>
      <w:sz w:val="22"/>
      <w:szCs w:val="22"/>
    </w:rPr>
  </w:style>
  <w:style w:type="paragraph" w:styleId="Heading1">
    <w:name w:val="heading 1"/>
    <w:basedOn w:val="Normal"/>
    <w:next w:val="Normal"/>
    <w:link w:val="Heading1Char"/>
    <w:uiPriority w:val="9"/>
    <w:qFormat/>
    <w:rsid w:val="006705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05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05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05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05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05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05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05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05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5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05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705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05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05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0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0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0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053B"/>
    <w:rPr>
      <w:rFonts w:eastAsiaTheme="majorEastAsia" w:cstheme="majorBidi"/>
      <w:color w:val="272727" w:themeColor="text1" w:themeTint="D8"/>
    </w:rPr>
  </w:style>
  <w:style w:type="paragraph" w:styleId="Title">
    <w:name w:val="Title"/>
    <w:basedOn w:val="Normal"/>
    <w:next w:val="Normal"/>
    <w:link w:val="TitleChar"/>
    <w:uiPriority w:val="10"/>
    <w:qFormat/>
    <w:rsid w:val="006705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0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05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0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053B"/>
    <w:pPr>
      <w:spacing w:before="160"/>
      <w:jc w:val="center"/>
    </w:pPr>
    <w:rPr>
      <w:i/>
      <w:iCs/>
      <w:color w:val="404040" w:themeColor="text1" w:themeTint="BF"/>
    </w:rPr>
  </w:style>
  <w:style w:type="character" w:customStyle="1" w:styleId="QuoteChar">
    <w:name w:val="Quote Char"/>
    <w:basedOn w:val="DefaultParagraphFont"/>
    <w:link w:val="Quote"/>
    <w:uiPriority w:val="29"/>
    <w:rsid w:val="0067053B"/>
    <w:rPr>
      <w:i/>
      <w:iCs/>
      <w:color w:val="404040" w:themeColor="text1" w:themeTint="BF"/>
    </w:rPr>
  </w:style>
  <w:style w:type="paragraph" w:styleId="ListParagraph">
    <w:name w:val="List Paragraph"/>
    <w:basedOn w:val="Normal"/>
    <w:qFormat/>
    <w:rsid w:val="0067053B"/>
    <w:pPr>
      <w:ind w:left="720"/>
      <w:contextualSpacing/>
    </w:pPr>
  </w:style>
  <w:style w:type="character" w:styleId="IntenseEmphasis">
    <w:name w:val="Intense Emphasis"/>
    <w:basedOn w:val="DefaultParagraphFont"/>
    <w:uiPriority w:val="21"/>
    <w:qFormat/>
    <w:rsid w:val="0067053B"/>
    <w:rPr>
      <w:i/>
      <w:iCs/>
      <w:color w:val="0F4761" w:themeColor="accent1" w:themeShade="BF"/>
    </w:rPr>
  </w:style>
  <w:style w:type="paragraph" w:styleId="IntenseQuote">
    <w:name w:val="Intense Quote"/>
    <w:basedOn w:val="Normal"/>
    <w:next w:val="Normal"/>
    <w:link w:val="IntenseQuoteChar"/>
    <w:uiPriority w:val="30"/>
    <w:qFormat/>
    <w:rsid w:val="006705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053B"/>
    <w:rPr>
      <w:i/>
      <w:iCs/>
      <w:color w:val="0F4761" w:themeColor="accent1" w:themeShade="BF"/>
    </w:rPr>
  </w:style>
  <w:style w:type="character" w:styleId="IntenseReference">
    <w:name w:val="Intense Reference"/>
    <w:basedOn w:val="DefaultParagraphFont"/>
    <w:uiPriority w:val="32"/>
    <w:qFormat/>
    <w:rsid w:val="0067053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8</Pages>
  <Words>1869</Words>
  <Characters>10658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El Mostafa</dc:creator>
  <cp:keywords/>
  <dc:description/>
  <cp:lastModifiedBy>Elmostafa, Khaled</cp:lastModifiedBy>
  <cp:revision>14</cp:revision>
  <dcterms:created xsi:type="dcterms:W3CDTF">2026-07-16T23:02:00Z</dcterms:created>
  <dcterms:modified xsi:type="dcterms:W3CDTF">2026-08-08T19:36:00Z</dcterms:modified>
</cp:coreProperties>
</file>