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4D918" w14:textId="77777777" w:rsidR="00706773" w:rsidRPr="00706773" w:rsidRDefault="00706773" w:rsidP="00706773">
      <w:pPr>
        <w:pBdr>
          <w:bottom w:val="single" w:sz="12" w:space="6" w:color="1F3864"/>
        </w:pBdr>
        <w:bidi/>
        <w:spacing w:before="240" w:after="200" w:line="396" w:lineRule="auto"/>
        <w:jc w:val="center"/>
        <w:outlineLvl w:val="0"/>
        <w:rPr>
          <w:rFonts w:ascii="Sakkal Majalla" w:eastAsia="Arial" w:hAnsi="Sakkal Majalla" w:cs="Sakkal Majalla"/>
          <w:kern w:val="0"/>
          <w:sz w:val="32"/>
          <w:szCs w:val="32"/>
          <w14:ligatures w14:val="none"/>
        </w:rPr>
      </w:pPr>
      <w:bookmarkStart w:id="0" w:name="_Toc234378200"/>
      <w:r w:rsidRPr="00706773">
        <w:rPr>
          <w:rFonts w:ascii="Sakkal Majalla" w:eastAsia="Arial" w:hAnsi="Sakkal Majalla" w:cs="Sakkal Majalla"/>
          <w:b/>
          <w:bCs/>
          <w:kern w:val="0"/>
          <w:sz w:val="34"/>
          <w:szCs w:val="34"/>
          <w:rtl/>
          <w14:ligatures w14:val="none"/>
        </w:rPr>
        <w:t>الفصل الأول: الإطار العام للدراسة</w:t>
      </w:r>
      <w:bookmarkEnd w:id="0"/>
    </w:p>
    <w:p w14:paraId="58994EF9"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1" w:name="_Toc234378201"/>
      <w:r w:rsidRPr="00706773">
        <w:rPr>
          <w:rFonts w:ascii="Sakkal Majalla" w:eastAsia="Arial" w:hAnsi="Sakkal Majalla" w:cs="Sakkal Majalla"/>
          <w:b/>
          <w:bCs/>
          <w:kern w:val="0"/>
          <w:sz w:val="29"/>
          <w:szCs w:val="29"/>
          <w:rtl/>
          <w14:ligatures w14:val="none"/>
        </w:rPr>
        <w:t>1-1  المقدمة</w:t>
      </w:r>
      <w:bookmarkEnd w:id="1"/>
    </w:p>
    <w:p w14:paraId="0C779DD2"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لم تعد إدارة النفايات مسألة نظافةٍ عابرة تُقاس بعدد الحاويات المرفوعة في نهاية اليوم، بل تحوّلت إلى قضيةٍ استراتيجيةٍ تتقاطع فيها هموم البيئة والاقتصاد والصحة العامة وجودة الحياة في المدن. فمع التسارع الذي يشهده النمو السكاني والتوسع العمراني وارتفاع منسوب الاستهلاك، صارت كميات النفايات المتولدة تتجاوز في كثيرٍ من الحواضر الطاقة الاستيعابية للمنظومات التقليدية القائمة على الجمع والطمر، وباتت الفجوة تتّسع يوماً بعد يوم بين ما يُنتَج وما يُدار بكفاءة.</w:t>
      </w:r>
    </w:p>
    <w:p w14:paraId="63EE4253"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وتكشف الأرقام العالمية حجم هذا التحدي بوضوح؛ إذ يُقدَّر أن العالم يولّد نحو 2.01 مليار طنٍّ من النفايات الصلبة البلدية سنوياً، ويُتوقَّع أن يقفز هذا الرقم إلى 3.40 مليار طنٍّ بحلول عام 2050 في ظل استمرار الأنماط الراهنة، مع بقاء ما لا يقل عن ثلث هذه الكميات خارج أي إدارةٍ آمنةٍ بيئياً (</w:t>
      </w:r>
      <w:r w:rsidRPr="00706773">
        <w:rPr>
          <w:rFonts w:ascii="Sakkal Majalla" w:eastAsia="Arial" w:hAnsi="Sakkal Majalla" w:cs="Sakkal Majalla"/>
          <w:kern w:val="0"/>
          <w:sz w:val="28"/>
          <w:szCs w:val="28"/>
          <w14:ligatures w14:val="none"/>
        </w:rPr>
        <w:t>Kaza et al., 2018</w:t>
      </w:r>
      <w:r w:rsidRPr="00706773">
        <w:rPr>
          <w:rFonts w:ascii="Sakkal Majalla" w:eastAsia="Arial" w:hAnsi="Sakkal Majalla" w:cs="Sakkal Majalla"/>
          <w:kern w:val="0"/>
          <w:sz w:val="28"/>
          <w:szCs w:val="28"/>
          <w:rtl/>
          <w14:ligatures w14:val="none"/>
        </w:rPr>
        <w:t>). ويبلغ متوسط ما يولّده الفرد الواحد يومياً على المستوى العالمي نحو 0.74 كيلوغرام، غير أن هذا المتوسط يُخفي تبايناً واسعاً بين الدول تبعاً لمستوى الدخل ودرجة التحضّر.</w:t>
      </w:r>
    </w:p>
    <w:p w14:paraId="46735D78"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وفي هذا السياق العالمي تحتل المملكة العربية السعودية موقعاً لافتاً؛ فهي من أعلى دول العالم في معدل توليد النفايات الفردية، إذ يُقدَّر نصيب الفرد فيها بما يتراوح بين 1.4 و1.5 كيلوغرام يومياً، أي ما يقارب ضعف المتوسط العالمي (</w:t>
      </w:r>
      <w:r w:rsidRPr="00706773">
        <w:rPr>
          <w:rFonts w:ascii="Sakkal Majalla" w:eastAsia="Arial" w:hAnsi="Sakkal Majalla" w:cs="Sakkal Majalla"/>
          <w:kern w:val="0"/>
          <w:sz w:val="28"/>
          <w:szCs w:val="28"/>
          <w14:ligatures w14:val="none"/>
        </w:rPr>
        <w:t>Nizami et al., 2015</w:t>
      </w:r>
      <w:r w:rsidRPr="00706773">
        <w:rPr>
          <w:rFonts w:ascii="Sakkal Majalla" w:eastAsia="Arial" w:hAnsi="Sakkal Majalla" w:cs="Sakkal Majalla"/>
          <w:kern w:val="0"/>
          <w:sz w:val="28"/>
          <w:szCs w:val="28"/>
          <w:rtl/>
          <w14:ligatures w14:val="none"/>
        </w:rPr>
        <w:t xml:space="preserve">؛ </w:t>
      </w:r>
      <w:proofErr w:type="spellStart"/>
      <w:r w:rsidRPr="00706773">
        <w:rPr>
          <w:rFonts w:ascii="Sakkal Majalla" w:eastAsia="Arial" w:hAnsi="Sakkal Majalla" w:cs="Sakkal Majalla"/>
          <w:kern w:val="0"/>
          <w:sz w:val="28"/>
          <w:szCs w:val="28"/>
          <w14:ligatures w14:val="none"/>
        </w:rPr>
        <w:t>EcoMENA</w:t>
      </w:r>
      <w:proofErr w:type="spellEnd"/>
      <w:r w:rsidRPr="00706773">
        <w:rPr>
          <w:rFonts w:ascii="Sakkal Majalla" w:eastAsia="Arial" w:hAnsi="Sakkal Majalla" w:cs="Sakkal Majalla"/>
          <w:kern w:val="0"/>
          <w:sz w:val="28"/>
          <w:szCs w:val="28"/>
          <w:rtl/>
          <w14:ligatures w14:val="none"/>
        </w:rPr>
        <w:t>, 2022). وتُنتج المملكة قرابة 15 مليون طنٍّ من النفايات البلدية الصلبة سنوياً، يتركّز الجزء الأكبر منها في مدنها الكبرى؛ فوفق المركز الوطني لإدارة النفايات (</w:t>
      </w:r>
      <w:r w:rsidRPr="00706773">
        <w:rPr>
          <w:rFonts w:ascii="Sakkal Majalla" w:eastAsia="Arial" w:hAnsi="Sakkal Majalla" w:cs="Sakkal Majalla"/>
          <w:kern w:val="0"/>
          <w:sz w:val="28"/>
          <w:szCs w:val="28"/>
          <w14:ligatures w14:val="none"/>
        </w:rPr>
        <w:t>MWAN</w:t>
      </w:r>
      <w:r w:rsidRPr="00706773">
        <w:rPr>
          <w:rFonts w:ascii="Sakkal Majalla" w:eastAsia="Arial" w:hAnsi="Sakkal Majalla" w:cs="Sakkal Majalla"/>
          <w:kern w:val="0"/>
          <w:sz w:val="28"/>
          <w:szCs w:val="28"/>
          <w:rtl/>
          <w14:ligatures w14:val="none"/>
        </w:rPr>
        <w:t>) تستأثر الرياض بنحو 21% من إجمالي النفايات المتولدة، تليها جدة بنحو 14%، ثم الدمام بنحو 8%، لتُشكّل هذه المدن الثلاث مجتمعةً ما يقارب 43% من نفايات المملكة (</w:t>
      </w:r>
      <w:r w:rsidRPr="00706773">
        <w:rPr>
          <w:rFonts w:ascii="Sakkal Majalla" w:eastAsia="Arial" w:hAnsi="Sakkal Majalla" w:cs="Sakkal Majalla"/>
          <w:kern w:val="0"/>
          <w:sz w:val="28"/>
          <w:szCs w:val="28"/>
          <w14:ligatures w14:val="none"/>
        </w:rPr>
        <w:t>National Center for Waste Management, 2023</w:t>
      </w:r>
      <w:r w:rsidRPr="00706773">
        <w:rPr>
          <w:rFonts w:ascii="Sakkal Majalla" w:eastAsia="Arial" w:hAnsi="Sakkal Majalla" w:cs="Sakkal Majalla"/>
          <w:kern w:val="0"/>
          <w:sz w:val="28"/>
          <w:szCs w:val="28"/>
          <w:rtl/>
          <w14:ligatures w14:val="none"/>
        </w:rPr>
        <w:t>).</w:t>
      </w:r>
    </w:p>
    <w:p w14:paraId="52D58CF9"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lastRenderedPageBreak/>
        <w:t>وعلى الرغم من هذا الحجم الضخم، لا تزال نسبة إعادة التدوير في المملكة متواضعةً تدور في نطاق 10% إلى 15%، ويقوم بجُلّها القطاع غير الرسمي عبر انتشال الورق والمعادن واللدائن من الحاويات، بينما يتدفق الجزء الأعظم من النفايات إلى المطامر دون فرزٍ من المصدر أو معالجةٍ مناسبة (</w:t>
      </w:r>
      <w:r w:rsidRPr="00706773">
        <w:rPr>
          <w:rFonts w:ascii="Sakkal Majalla" w:eastAsia="Arial" w:hAnsi="Sakkal Majalla" w:cs="Sakkal Majalla"/>
          <w:kern w:val="0"/>
          <w:sz w:val="28"/>
          <w:szCs w:val="28"/>
          <w14:ligatures w14:val="none"/>
        </w:rPr>
        <w:t>Abdel-</w:t>
      </w:r>
      <w:proofErr w:type="spellStart"/>
      <w:r w:rsidRPr="00706773">
        <w:rPr>
          <w:rFonts w:ascii="Sakkal Majalla" w:eastAsia="Arial" w:hAnsi="Sakkal Majalla" w:cs="Sakkal Majalla"/>
          <w:kern w:val="0"/>
          <w:sz w:val="28"/>
          <w:szCs w:val="28"/>
          <w14:ligatures w14:val="none"/>
        </w:rPr>
        <w:t>Shafy</w:t>
      </w:r>
      <w:proofErr w:type="spellEnd"/>
      <w:r w:rsidRPr="00706773">
        <w:rPr>
          <w:rFonts w:ascii="Sakkal Majalla" w:eastAsia="Arial" w:hAnsi="Sakkal Majalla" w:cs="Sakkal Majalla"/>
          <w:kern w:val="0"/>
          <w:sz w:val="28"/>
          <w:szCs w:val="28"/>
          <w:rtl/>
          <w14:ligatures w14:val="none"/>
        </w:rPr>
        <w:t xml:space="preserve"> &amp; </w:t>
      </w:r>
      <w:r w:rsidRPr="00706773">
        <w:rPr>
          <w:rFonts w:ascii="Sakkal Majalla" w:eastAsia="Arial" w:hAnsi="Sakkal Majalla" w:cs="Sakkal Majalla"/>
          <w:kern w:val="0"/>
          <w:sz w:val="28"/>
          <w:szCs w:val="28"/>
          <w14:ligatures w14:val="none"/>
        </w:rPr>
        <w:t>Mansour, 2018</w:t>
      </w:r>
      <w:r w:rsidRPr="00706773">
        <w:rPr>
          <w:rFonts w:ascii="Sakkal Majalla" w:eastAsia="Arial" w:hAnsi="Sakkal Majalla" w:cs="Sakkal Majalla"/>
          <w:kern w:val="0"/>
          <w:sz w:val="28"/>
          <w:szCs w:val="28"/>
          <w:rtl/>
          <w14:ligatures w14:val="none"/>
        </w:rPr>
        <w:t xml:space="preserve">؛ </w:t>
      </w:r>
      <w:proofErr w:type="spellStart"/>
      <w:r w:rsidRPr="00706773">
        <w:rPr>
          <w:rFonts w:ascii="Sakkal Majalla" w:eastAsia="Arial" w:hAnsi="Sakkal Majalla" w:cs="Sakkal Majalla"/>
          <w:kern w:val="0"/>
          <w:sz w:val="28"/>
          <w:szCs w:val="28"/>
          <w14:ligatures w14:val="none"/>
        </w:rPr>
        <w:t>EcoMENA</w:t>
      </w:r>
      <w:proofErr w:type="spellEnd"/>
      <w:r w:rsidRPr="00706773">
        <w:rPr>
          <w:rFonts w:ascii="Sakkal Majalla" w:eastAsia="Arial" w:hAnsi="Sakkal Majalla" w:cs="Sakkal Majalla"/>
          <w:kern w:val="0"/>
          <w:sz w:val="28"/>
          <w:szCs w:val="28"/>
          <w14:ligatures w14:val="none"/>
        </w:rPr>
        <w:t>, 2022</w:t>
      </w:r>
      <w:r w:rsidRPr="00706773">
        <w:rPr>
          <w:rFonts w:ascii="Sakkal Majalla" w:eastAsia="Arial" w:hAnsi="Sakkal Majalla" w:cs="Sakkal Majalla"/>
          <w:kern w:val="0"/>
          <w:sz w:val="28"/>
          <w:szCs w:val="28"/>
          <w:rtl/>
          <w14:ligatures w14:val="none"/>
        </w:rPr>
        <w:t>). ولا يقتصر أثر هذا النمط الخطّي القائم على «الجمع ثم الطمر» على الهدر الاقتصادي، بل يمتد إلى أضرارٍ بيئيةٍ ملموسة قُدّرت كلفتها بنحو 1.3 مليار دولار في عام 2021 وحده (</w:t>
      </w:r>
      <w:r w:rsidRPr="00706773">
        <w:rPr>
          <w:rFonts w:ascii="Sakkal Majalla" w:eastAsia="Arial" w:hAnsi="Sakkal Majalla" w:cs="Sakkal Majalla"/>
          <w:kern w:val="0"/>
          <w:sz w:val="28"/>
          <w:szCs w:val="28"/>
          <w14:ligatures w14:val="none"/>
        </w:rPr>
        <w:t>National Center for Waste Management, 2023</w:t>
      </w:r>
      <w:r w:rsidRPr="00706773">
        <w:rPr>
          <w:rFonts w:ascii="Sakkal Majalla" w:eastAsia="Arial" w:hAnsi="Sakkal Majalla" w:cs="Sakkal Majalla"/>
          <w:kern w:val="0"/>
          <w:sz w:val="28"/>
          <w:szCs w:val="28"/>
          <w:rtl/>
          <w14:ligatures w14:val="none"/>
        </w:rPr>
        <w:t>).</w:t>
      </w:r>
    </w:p>
    <w:p w14:paraId="658E1821"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ويزيد من حدّة التحدي طبيعةُ تركيب النفايات المتولدة محلياً؛ إذ تُشكّل النفايات العضوية والغذائية النصيب الأكبر منها بنسبةٍ تتراوح بين 40% و51%، وهي نسبةٌ تنطوي على فرصةٍ مهدرةٍ لإنتاج السماد والطاقة الحيوية لو أُحسِن فرزها ومعالجتها (</w:t>
      </w:r>
      <w:r w:rsidRPr="00706773">
        <w:rPr>
          <w:rFonts w:ascii="Sakkal Majalla" w:eastAsia="Arial" w:hAnsi="Sakkal Majalla" w:cs="Sakkal Majalla"/>
          <w:kern w:val="0"/>
          <w:sz w:val="28"/>
          <w:szCs w:val="28"/>
          <w14:ligatures w14:val="none"/>
        </w:rPr>
        <w:t>Nizami et al., 2015</w:t>
      </w:r>
      <w:r w:rsidRPr="00706773">
        <w:rPr>
          <w:rFonts w:ascii="Sakkal Majalla" w:eastAsia="Arial" w:hAnsi="Sakkal Majalla" w:cs="Sakkal Majalla"/>
          <w:kern w:val="0"/>
          <w:sz w:val="28"/>
          <w:szCs w:val="28"/>
          <w:rtl/>
          <w14:ligatures w14:val="none"/>
        </w:rPr>
        <w:t>). يُضاف إلى ذلك أن كثيراً من المطامر القائمة تقترب من طاقتها الاستيعابية القصوى، وأن المملكة من أعلى دول العالم توليداً للنفايات الإلكترونية، وهو ما يجعل التحوّل نحو منظومةٍ أكثر كفاءةً ضرورةً لا خياراً. وقد أدركت الدولة ذلك مبكراً، فأصدرت نظام إدارة النفايات عام 2021 لتنظيم دورة حياة النفاية من المصدر إلى التخلّص، وأطلقت خططاً لإنشاء مئات المرافق للمعالجة والاسترداد بحلول عام 2040 (</w:t>
      </w:r>
      <w:r w:rsidRPr="00706773">
        <w:rPr>
          <w:rFonts w:ascii="Sakkal Majalla" w:eastAsia="Arial" w:hAnsi="Sakkal Majalla" w:cs="Sakkal Majalla"/>
          <w:kern w:val="0"/>
          <w:sz w:val="28"/>
          <w:szCs w:val="28"/>
          <w14:ligatures w14:val="none"/>
        </w:rPr>
        <w:t>National Center for Waste Management, 2023</w:t>
      </w:r>
      <w:r w:rsidRPr="00706773">
        <w:rPr>
          <w:rFonts w:ascii="Sakkal Majalla" w:eastAsia="Arial" w:hAnsi="Sakkal Majalla" w:cs="Sakkal Majalla"/>
          <w:kern w:val="0"/>
          <w:sz w:val="28"/>
          <w:szCs w:val="28"/>
          <w:rtl/>
          <w14:ligatures w14:val="none"/>
        </w:rPr>
        <w:t>).</w:t>
      </w:r>
    </w:p>
    <w:p w14:paraId="17408481"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وفي مواجهة هذا الواقع المتفاقم، برزت التقنيات الرقمية بوصفها رافعةً قادرةً على نقل منظومة إدارة النفايات من نهجٍ تقليديٍّ يقوم على ردّ الفعل إلى نهجٍ استباقيٍّ ذكيٍّ يقوم على البيانات. فأجهزة الاستشعار المدمجة في الحاويات ترصد مستوى الامتلاء لحظياً، وخوارزميات التوجيه الذكي تُعيد رسم مسارات المركبات بما يخفض التكلفة والانبعاثات، وأنظمة الرؤية الحاسوبية والتعلّم الآلي تُصنّف النفايات وتفرزها بدقّةٍ تفوق الفرز اليدوي، ونماذج البيانات الضخمة تتنبّأ بكميات النفايات المتولدة وتُحسّن التخطيط التشغيلي (</w:t>
      </w:r>
      <w:r w:rsidRPr="00706773">
        <w:rPr>
          <w:rFonts w:ascii="Sakkal Majalla" w:eastAsia="Arial" w:hAnsi="Sakkal Majalla" w:cs="Sakkal Majalla"/>
          <w:kern w:val="0"/>
          <w:sz w:val="28"/>
          <w:szCs w:val="28"/>
          <w14:ligatures w14:val="none"/>
        </w:rPr>
        <w:t>Hannan et al., 2020</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Sadowski et al., 2022</w:t>
      </w:r>
      <w:r w:rsidRPr="00706773">
        <w:rPr>
          <w:rFonts w:ascii="Sakkal Majalla" w:eastAsia="Arial" w:hAnsi="Sakkal Majalla" w:cs="Sakkal Majalla"/>
          <w:kern w:val="0"/>
          <w:sz w:val="28"/>
          <w:szCs w:val="28"/>
          <w:rtl/>
          <w14:ligatures w14:val="none"/>
        </w:rPr>
        <w:t>).</w:t>
      </w:r>
    </w:p>
    <w:p w14:paraId="21280C87"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lastRenderedPageBreak/>
        <w:t xml:space="preserve">ويكتسب هذا التوجّه في الحالة السعودية زخماً إضافياً من رؤية المملكة 2030 التي وضعت الاستدامة البيئية في صميم أهدافها الوطنية، ومن الاستراتيجية الوطنية لإدارة النفايات التي تستهدف تحويل ما يصل إلى 90% من النفايات بعيداً عن المطامر بحلول عام 2040، وتقليص ما يُطمَر إلى نحو 18% بحلول عام 2035 (وزارة الشؤون البلدية والقروية والإسكان، 2022؛ </w:t>
      </w:r>
      <w:r w:rsidRPr="00706773">
        <w:rPr>
          <w:rFonts w:ascii="Sakkal Majalla" w:eastAsia="Arial" w:hAnsi="Sakkal Majalla" w:cs="Sakkal Majalla"/>
          <w:kern w:val="0"/>
          <w:sz w:val="28"/>
          <w:szCs w:val="28"/>
          <w14:ligatures w14:val="none"/>
        </w:rPr>
        <w:t>National Center for Waste Management, 2023</w:t>
      </w:r>
      <w:r w:rsidRPr="00706773">
        <w:rPr>
          <w:rFonts w:ascii="Sakkal Majalla" w:eastAsia="Arial" w:hAnsi="Sakkal Majalla" w:cs="Sakkal Majalla"/>
          <w:kern w:val="0"/>
          <w:sz w:val="28"/>
          <w:szCs w:val="28"/>
          <w:rtl/>
          <w14:ligatures w14:val="none"/>
        </w:rPr>
        <w:t>). غير أن تحقيق هذه المستهدفات الطموحة يظل مرهوناً بمدى نضج البنية التحتية الرقمية وجاهزية المؤسسات البلدية لاستيعاب هذه الحلول وتشغيلها.</w:t>
      </w:r>
    </w:p>
    <w:p w14:paraId="18754B58"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ومن هنا تنبع فكرة هذه الدراسة التي تسعى إلى تقديم قراءةٍ علميةٍ متأنّيةٍ لواقع منظومة إدارة النفايات في المدن السعودية الكبرى، وتشخيص مستوى جاهزيتها التقنية والمؤسسية، والوقوف على العوائق التي تحول دون التحوّل الذكي والعوامل الحاسمة لإنجاحه، وصولاً إلى بناء نموذجٍ إطاريٍّ متكاملٍ يجمع بين الحلول التقنية المختلفة في منظومةٍ واحدة. وقد نُظِّم البحث في خمسة فصولٍ متكاملة، يتناول أولها الإطار العام للدراسة، ويعرض ثانيها الإطار النظري والدراسات السابقة، ويشرح ثالثها منهجية الدراسة وإجراءاتها، ويقدّم رابعها النتائج ومناقشتها، ويختم خامسها بالاستنتاجات والتوصيات والمقترحات.</w:t>
      </w:r>
    </w:p>
    <w:p w14:paraId="66D84090"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2" w:name="_Toc234378202"/>
      <w:r w:rsidRPr="00706773">
        <w:rPr>
          <w:rFonts w:ascii="Sakkal Majalla" w:eastAsia="Arial" w:hAnsi="Sakkal Majalla" w:cs="Sakkal Majalla"/>
          <w:b/>
          <w:bCs/>
          <w:kern w:val="0"/>
          <w:sz w:val="29"/>
          <w:szCs w:val="29"/>
          <w:rtl/>
          <w14:ligatures w14:val="none"/>
        </w:rPr>
        <w:t>1-2  مشكلة الدراسة</w:t>
      </w:r>
      <w:bookmarkEnd w:id="2"/>
    </w:p>
    <w:p w14:paraId="1131CD1A"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تتبلور مشكلة هذه الدراسة حول فجوةٍ واضحةٍ بين طرفين: من جهةٍ تحدياتٌ متصاعدةٌ لإدارة النفايات في المدن السعودية تتجاوز فيها الكميات المتولدة قدرة المنظومات التقليدية على استيعابها بكفاءة، ومن جهةٍ أخرى قصورٌ ملحوظٌ في توظيف الحلول التقنية الحديثة توظيفاً منهجياً فاعلاً على الرغم من نضجها وتوافرها عالمياً. فبينما تُتيح تقنيات إنترنت الأشياء والذكاء الاصطناعي والاستشعار عن بُعد فرصاً غير مسبوقةٍ لرفع الكفاءة، لا تزال كثيرٌ من المنظومات البلدية تعتمد على أساليب يدويةٍ في التجميع وتوجيه المسارات والفرز، بما يُفضي إلى هدرٍ اقتصاديٍّ وتلوّثٍ بيئيٍّ وتدنٍّ في مستوى الأداء التشغيلي.</w:t>
      </w:r>
    </w:p>
    <w:p w14:paraId="3E960A6E"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lastRenderedPageBreak/>
        <w:t>وتتجلّى هذه المشكلة في مؤشراتٍ قابلةٍ للقياس؛ فتدنّي نسبة إعادة التدوير عند حدود 10% إلى 15% يقابله في الدول ذات الدخل المرتفع تحويلٌ لأكثر من ثلث النفايات عبر التدوير والتسبيخ (</w:t>
      </w:r>
      <w:r w:rsidRPr="00706773">
        <w:rPr>
          <w:rFonts w:ascii="Sakkal Majalla" w:eastAsia="Arial" w:hAnsi="Sakkal Majalla" w:cs="Sakkal Majalla"/>
          <w:kern w:val="0"/>
          <w:sz w:val="28"/>
          <w:szCs w:val="28"/>
          <w14:ligatures w14:val="none"/>
        </w:rPr>
        <w:t>Kaza</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et al., 2018</w:t>
      </w:r>
      <w:r w:rsidRPr="00706773">
        <w:rPr>
          <w:rFonts w:ascii="Sakkal Majalla" w:eastAsia="Arial" w:hAnsi="Sakkal Majalla" w:cs="Sakkal Majalla"/>
          <w:kern w:val="0"/>
          <w:sz w:val="28"/>
          <w:szCs w:val="28"/>
          <w:rtl/>
          <w14:ligatures w14:val="none"/>
        </w:rPr>
        <w:t>)، وارتفاع التكاليف التشغيلية لجمع النفايات ونقلها يرتبط بغياب التوجيه الذكي لمسارات المركبات، وتتزايد كميات النفايات المتدفقة إلى المطامر دون فرزٍ أو معالجة. يُضاف إلى ذلك ضعفٌ في دقة بيانات كميات النفايات وتوزيعها، وهو ما يُقوّض أي محاولةٍ للتخطيط المبني على الأدلة.</w:t>
      </w:r>
    </w:p>
    <w:p w14:paraId="1D1AE957"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ولا يقلّ عن ذلك أهميةً أن تبنّي الحلول التقنية لا يتوقف عند توافر الأجهزة والبرمجيات، بل يرتهن بمنظومةٍ من العوامل التنظيمية والمالية والبشرية؛ من مدى نضج البنية الرقمية وقابلية الأنظمة للتشغيل البيني، إلى كفاية التمويل، فتأهيل الكوادر ومواجهة مقاومة التغيير، وصولاً إلى وضوح الأطر التشريعية والتنسيق بين الجهات. ومن ثمّ فإن فهم هذه العوامل مجتمعةً — لا مجرد استعراض التقنيات — هو مفتاح أي تحوّلٍ ناجح.</w:t>
      </w:r>
    </w:p>
    <w:p w14:paraId="2C767E1B" w14:textId="77777777" w:rsidR="00706773" w:rsidRPr="00706773" w:rsidRDefault="00706773" w:rsidP="00706773">
      <w:pPr>
        <w:bidi/>
        <w:spacing w:after="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وبناءً على ما تقدَّم، يمكن صياغة مشكلة الدراسة في تساؤلها الرئيس الآتي:</w:t>
      </w:r>
    </w:p>
    <w:p w14:paraId="58D0A0EF" w14:textId="77777777" w:rsidR="00706773" w:rsidRPr="00706773" w:rsidRDefault="00706773" w:rsidP="00706773">
      <w:pPr>
        <w:bidi/>
        <w:spacing w:after="140" w:line="396"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«كيف يمكن توظيف الحلول التقنية الحديثة لتطوير منظومة إدارة النفايات في المدن السعودية نحو نموذجٍ ذكيٍّ ومستدام؟»</w:t>
      </w:r>
    </w:p>
    <w:p w14:paraId="56BAC378"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3" w:name="_Toc234378203"/>
      <w:r w:rsidRPr="00706773">
        <w:rPr>
          <w:rFonts w:ascii="Sakkal Majalla" w:eastAsia="Arial" w:hAnsi="Sakkal Majalla" w:cs="Sakkal Majalla"/>
          <w:b/>
          <w:bCs/>
          <w:kern w:val="0"/>
          <w:sz w:val="29"/>
          <w:szCs w:val="29"/>
          <w:rtl/>
          <w14:ligatures w14:val="none"/>
        </w:rPr>
        <w:t>1-3  أسئلة الدراسة</w:t>
      </w:r>
      <w:bookmarkEnd w:id="3"/>
    </w:p>
    <w:p w14:paraId="55E9B9D8"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يتفرّع عن التساؤل الرئيس مجموعةٌ من الأسئلة الفرعية التي تُوجّه مسار الدراسة النظري والميداني، وهي:</w:t>
      </w:r>
    </w:p>
    <w:p w14:paraId="028B78DA" w14:textId="77777777" w:rsidR="00706773" w:rsidRPr="00706773" w:rsidRDefault="00706773" w:rsidP="00706773">
      <w:pPr>
        <w:numPr>
          <w:ilvl w:val="0"/>
          <w:numId w:val="2"/>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ما الواقع الراهن لمنظومة إدارة النفايات في المدن السعودية، وما مستوى كفاءتها التشغيلية والبيئية في ظل الأساليب التقليدية المعتمدة؟</w:t>
      </w:r>
    </w:p>
    <w:p w14:paraId="3BA7ED75" w14:textId="77777777" w:rsidR="00706773" w:rsidRPr="00706773" w:rsidRDefault="00706773" w:rsidP="00706773">
      <w:pPr>
        <w:numPr>
          <w:ilvl w:val="0"/>
          <w:numId w:val="2"/>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ما أبرز الحلول التقنية المتاحة عالمياً في مجال إدارة النفايات الذكية، وما مدى قابليتها للتطبيق في السياق السعودي؟</w:t>
      </w:r>
    </w:p>
    <w:p w14:paraId="344D6611" w14:textId="77777777" w:rsidR="00706773" w:rsidRPr="00706773" w:rsidRDefault="00706773" w:rsidP="00706773">
      <w:pPr>
        <w:numPr>
          <w:ilvl w:val="0"/>
          <w:numId w:val="2"/>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lastRenderedPageBreak/>
        <w:t>ما مستوى جاهزية البنية التحتية الرقمية والمؤسسية في المدن السعودية المستهدفة لاستيعاب هذه الحلول؟</w:t>
      </w:r>
    </w:p>
    <w:p w14:paraId="18516C60" w14:textId="77777777" w:rsidR="00706773" w:rsidRPr="00706773" w:rsidRDefault="00706773" w:rsidP="00706773">
      <w:pPr>
        <w:numPr>
          <w:ilvl w:val="0"/>
          <w:numId w:val="2"/>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ما العوائق والتحديات التنظيمية والمالية والبشرية التي تواجه تطبيق الحلول التقنية من منظور المسؤولين والخبراء؟</w:t>
      </w:r>
    </w:p>
    <w:p w14:paraId="06B75C52" w14:textId="77777777" w:rsidR="00706773" w:rsidRPr="00706773" w:rsidRDefault="00706773" w:rsidP="00706773">
      <w:pPr>
        <w:numPr>
          <w:ilvl w:val="0"/>
          <w:numId w:val="2"/>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ما العوامل الحاسمة لنجاح تطبيق الحلول التقنية في إدارة النفايات استناداً إلى التجارب الدولية الناجحة؟</w:t>
      </w:r>
    </w:p>
    <w:p w14:paraId="435D672B" w14:textId="77777777" w:rsidR="00706773" w:rsidRPr="00706773" w:rsidRDefault="00706773" w:rsidP="00706773">
      <w:pPr>
        <w:numPr>
          <w:ilvl w:val="0"/>
          <w:numId w:val="2"/>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ما ملامح النموذج الإطاري المقترح لتطبيق الحلول التقنية المتكاملة في إدارة النفايات بالمدن السعودية؟</w:t>
      </w:r>
    </w:p>
    <w:p w14:paraId="714BAAFE"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4" w:name="_Toc234378204"/>
      <w:r w:rsidRPr="00706773">
        <w:rPr>
          <w:rFonts w:ascii="Sakkal Majalla" w:eastAsia="Arial" w:hAnsi="Sakkal Majalla" w:cs="Sakkal Majalla"/>
          <w:b/>
          <w:bCs/>
          <w:kern w:val="0"/>
          <w:sz w:val="29"/>
          <w:szCs w:val="29"/>
          <w:rtl/>
          <w14:ligatures w14:val="none"/>
        </w:rPr>
        <w:t>1-4  فروض الدراسة</w:t>
      </w:r>
      <w:bookmarkEnd w:id="4"/>
    </w:p>
    <w:p w14:paraId="7EEBD253"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لمّا كانت الدراسة تعتمد المنهج المختلط الجامع بين الجانبين الكمي والنوعي، فإنها تنطلق في شقّها الكمي من فرضيةٍ رئيسةٍ وخمس فرضياتٍ فرعيةٍ قابلةٍ للاختبار الإحصائي، هي:</w:t>
      </w:r>
    </w:p>
    <w:p w14:paraId="37F0A454"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5" w:name="_Toc234378205"/>
      <w:r w:rsidRPr="00706773">
        <w:rPr>
          <w:rFonts w:ascii="Sakkal Majalla" w:eastAsia="Arial" w:hAnsi="Sakkal Majalla" w:cs="Sakkal Majalla"/>
          <w:b/>
          <w:bCs/>
          <w:kern w:val="0"/>
          <w:sz w:val="26"/>
          <w:szCs w:val="26"/>
          <w:rtl/>
          <w14:ligatures w14:val="none"/>
        </w:rPr>
        <w:t>الفرضية الرئيسة</w:t>
      </w:r>
      <w:bookmarkEnd w:id="5"/>
    </w:p>
    <w:p w14:paraId="25DCECD4"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توجد علاقةٌ ذات دلالةٍ إحصائيةٍ بين مستوى توظيف الحلول التقنية الحديثة في إدارة النفايات ودرجة تحسّن الكفاءة التشغيلية والبيئية للمنظومة.</w:t>
      </w:r>
    </w:p>
    <w:p w14:paraId="27765157"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6" w:name="_Toc234378206"/>
      <w:r w:rsidRPr="00706773">
        <w:rPr>
          <w:rFonts w:ascii="Sakkal Majalla" w:eastAsia="Arial" w:hAnsi="Sakkal Majalla" w:cs="Sakkal Majalla"/>
          <w:b/>
          <w:bCs/>
          <w:kern w:val="0"/>
          <w:sz w:val="26"/>
          <w:szCs w:val="26"/>
          <w:rtl/>
          <w14:ligatures w14:val="none"/>
        </w:rPr>
        <w:t>الفرضيات الفرعية</w:t>
      </w:r>
      <w:bookmarkEnd w:id="6"/>
    </w:p>
    <w:p w14:paraId="011B45A9" w14:textId="77777777" w:rsidR="00706773" w:rsidRPr="00706773" w:rsidRDefault="00706773" w:rsidP="00706773">
      <w:pPr>
        <w:numPr>
          <w:ilvl w:val="0"/>
          <w:numId w:val="4"/>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ف1: </w:t>
      </w:r>
      <w:r w:rsidRPr="00706773">
        <w:rPr>
          <w:rFonts w:ascii="Sakkal Majalla" w:eastAsia="Arial" w:hAnsi="Sakkal Majalla" w:cs="Sakkal Majalla"/>
          <w:kern w:val="0"/>
          <w:sz w:val="28"/>
          <w:szCs w:val="28"/>
          <w:rtl/>
          <w14:ligatures w14:val="none"/>
        </w:rPr>
        <w:t>يُسهم تطبيق تقنيات إنترنت الأشياء في تجميع النفايات إسهاماً جوهرياً في خفض التكاليف التشغيلية لمركبات الجمع.</w:t>
      </w:r>
    </w:p>
    <w:p w14:paraId="0E4C09B6" w14:textId="77777777" w:rsidR="00706773" w:rsidRPr="00706773" w:rsidRDefault="00706773" w:rsidP="00706773">
      <w:pPr>
        <w:numPr>
          <w:ilvl w:val="0"/>
          <w:numId w:val="4"/>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ف2: </w:t>
      </w:r>
      <w:r w:rsidRPr="00706773">
        <w:rPr>
          <w:rFonts w:ascii="Sakkal Majalla" w:eastAsia="Arial" w:hAnsi="Sakkal Majalla" w:cs="Sakkal Majalla"/>
          <w:kern w:val="0"/>
          <w:sz w:val="28"/>
          <w:szCs w:val="28"/>
          <w:rtl/>
          <w14:ligatures w14:val="none"/>
        </w:rPr>
        <w:t>يرتبط توظيف الذكاء الاصطناعي في تصنيف النفايات ارتباطاً موجباً دالاً إحصائياً بارتفاع معدلات إعادة التدوير.</w:t>
      </w:r>
    </w:p>
    <w:p w14:paraId="161D5021" w14:textId="77777777" w:rsidR="00706773" w:rsidRPr="00706773" w:rsidRDefault="00706773" w:rsidP="00706773">
      <w:pPr>
        <w:numPr>
          <w:ilvl w:val="0"/>
          <w:numId w:val="4"/>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ف3: </w:t>
      </w:r>
      <w:r w:rsidRPr="00706773">
        <w:rPr>
          <w:rFonts w:ascii="Sakkal Majalla" w:eastAsia="Arial" w:hAnsi="Sakkal Majalla" w:cs="Sakkal Majalla"/>
          <w:kern w:val="0"/>
          <w:sz w:val="28"/>
          <w:szCs w:val="28"/>
          <w:rtl/>
          <w14:ligatures w14:val="none"/>
        </w:rPr>
        <w:t>توجد علاقةٌ طرديةٌ ذات دلالةٍ إحصائيةٍ بين مستوى الجاهزية الرقمية للمؤسسات البلدية ودرجة نجاح تطبيق الحلول التقنية في إدارة النفايات.</w:t>
      </w:r>
    </w:p>
    <w:p w14:paraId="7D97CC20" w14:textId="77777777" w:rsidR="00706773" w:rsidRPr="00706773" w:rsidRDefault="00706773" w:rsidP="00706773">
      <w:pPr>
        <w:numPr>
          <w:ilvl w:val="0"/>
          <w:numId w:val="4"/>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lastRenderedPageBreak/>
        <w:t xml:space="preserve">ف4: </w:t>
      </w:r>
      <w:r w:rsidRPr="00706773">
        <w:rPr>
          <w:rFonts w:ascii="Sakkal Majalla" w:eastAsia="Arial" w:hAnsi="Sakkal Majalla" w:cs="Sakkal Majalla"/>
          <w:kern w:val="0"/>
          <w:sz w:val="28"/>
          <w:szCs w:val="28"/>
          <w:rtl/>
          <w14:ligatures w14:val="none"/>
        </w:rPr>
        <w:t>تُسهم الحلول التقنية المتكاملة في تقليل الأثر البيئي السلبي لعمليات إدارة النفايات بصورةٍ تفوق الأساليب التقليدية.</w:t>
      </w:r>
    </w:p>
    <w:p w14:paraId="437EF0C8" w14:textId="77777777" w:rsidR="00706773" w:rsidRPr="00706773" w:rsidRDefault="00706773" w:rsidP="00706773">
      <w:pPr>
        <w:numPr>
          <w:ilvl w:val="0"/>
          <w:numId w:val="4"/>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ف5: </w:t>
      </w:r>
      <w:r w:rsidRPr="00706773">
        <w:rPr>
          <w:rFonts w:ascii="Sakkal Majalla" w:eastAsia="Arial" w:hAnsi="Sakkal Majalla" w:cs="Sakkal Majalla"/>
          <w:kern w:val="0"/>
          <w:sz w:val="28"/>
          <w:szCs w:val="28"/>
          <w:rtl/>
          <w14:ligatures w14:val="none"/>
        </w:rPr>
        <w:t>توجد فروقٌ ذات دلالةٍ إحصائيةٍ في مستوى توظيف الحلول التقنية تُعزى للمتغيرات الديموغرافية والمؤسسية (كالمدينة ونوع المؤسسة).</w:t>
      </w:r>
    </w:p>
    <w:p w14:paraId="77E80258"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7" w:name="_Toc234378207"/>
      <w:r w:rsidRPr="00706773">
        <w:rPr>
          <w:rFonts w:ascii="Sakkal Majalla" w:eastAsia="Arial" w:hAnsi="Sakkal Majalla" w:cs="Sakkal Majalla"/>
          <w:b/>
          <w:bCs/>
          <w:kern w:val="0"/>
          <w:sz w:val="29"/>
          <w:szCs w:val="29"/>
          <w:rtl/>
          <w14:ligatures w14:val="none"/>
        </w:rPr>
        <w:t>1-5  أهداف الدراسة</w:t>
      </w:r>
      <w:bookmarkEnd w:id="7"/>
    </w:p>
    <w:p w14:paraId="1AAED412"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8" w:name="_Toc234378208"/>
      <w:r w:rsidRPr="00706773">
        <w:rPr>
          <w:rFonts w:ascii="Sakkal Majalla" w:eastAsia="Arial" w:hAnsi="Sakkal Majalla" w:cs="Sakkal Majalla"/>
          <w:b/>
          <w:bCs/>
          <w:kern w:val="0"/>
          <w:sz w:val="26"/>
          <w:szCs w:val="26"/>
          <w:rtl/>
          <w14:ligatures w14:val="none"/>
        </w:rPr>
        <w:t>الهدف العام</w:t>
      </w:r>
      <w:bookmarkEnd w:id="8"/>
    </w:p>
    <w:p w14:paraId="400A71CF"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تحليل واقع إدارة النفايات في المدن السعودية، وتقديم إطارٍ مقترحٍ للحلول التقنية المتكاملة القادرة على تطوير هذه المنظومة نحو نموذجٍ ذكيٍّ ومستدام.</w:t>
      </w:r>
    </w:p>
    <w:p w14:paraId="6BBCDFAC"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9" w:name="_Toc234378209"/>
      <w:r w:rsidRPr="00706773">
        <w:rPr>
          <w:rFonts w:ascii="Sakkal Majalla" w:eastAsia="Arial" w:hAnsi="Sakkal Majalla" w:cs="Sakkal Majalla"/>
          <w:b/>
          <w:bCs/>
          <w:kern w:val="0"/>
          <w:sz w:val="26"/>
          <w:szCs w:val="26"/>
          <w:rtl/>
          <w14:ligatures w14:val="none"/>
        </w:rPr>
        <w:t>الأهداف الخاصة</w:t>
      </w:r>
      <w:bookmarkEnd w:id="9"/>
    </w:p>
    <w:p w14:paraId="47DDC2A5"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تنبثق عن الهدف العام أهدافٌ خاصةٌ إجرائية، تتمثل في:</w:t>
      </w:r>
    </w:p>
    <w:p w14:paraId="218102D8" w14:textId="77777777" w:rsidR="00706773" w:rsidRPr="00706773" w:rsidRDefault="00706773" w:rsidP="00706773">
      <w:pPr>
        <w:numPr>
          <w:ilvl w:val="0"/>
          <w:numId w:val="6"/>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رصد وتشخيص واقع منظومة إدارة النفايات في المدن السعودية وتحديد أبرز جوانب القصور في الأساليب التقليدية المعتمدة.</w:t>
      </w:r>
    </w:p>
    <w:p w14:paraId="6D56D635" w14:textId="77777777" w:rsidR="00706773" w:rsidRPr="00706773" w:rsidRDefault="00706773" w:rsidP="00706773">
      <w:pPr>
        <w:numPr>
          <w:ilvl w:val="0"/>
          <w:numId w:val="6"/>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مراجعة وتصنيف الحلول التقنية الحديثة المتاحة لإدارة النفايات كإنترنت الأشياء والذكاء الاصطناعي والاستشعار وتحليل البيانات الضخمة.</w:t>
      </w:r>
    </w:p>
    <w:p w14:paraId="3764A2DE" w14:textId="77777777" w:rsidR="00706773" w:rsidRPr="00706773" w:rsidRDefault="00706773" w:rsidP="00706773">
      <w:pPr>
        <w:numPr>
          <w:ilvl w:val="0"/>
          <w:numId w:val="6"/>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تقييم مستوى جاهزية البنية التحتية الرقمية والمؤسسية في المدن المستهدفة لاستيعاب هذه الحلول وتطبيقها.</w:t>
      </w:r>
    </w:p>
    <w:p w14:paraId="2AC902FB" w14:textId="77777777" w:rsidR="00706773" w:rsidRPr="00706773" w:rsidRDefault="00706773" w:rsidP="00706773">
      <w:pPr>
        <w:numPr>
          <w:ilvl w:val="0"/>
          <w:numId w:val="6"/>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استكشاف العوائق الرئيسة التنظيمية والمالية والبشرية التي تُعرقل اعتماد الحلول التقنية.</w:t>
      </w:r>
    </w:p>
    <w:p w14:paraId="7C8412F9" w14:textId="77777777" w:rsidR="00706773" w:rsidRPr="00706773" w:rsidRDefault="00706773" w:rsidP="00706773">
      <w:pPr>
        <w:numPr>
          <w:ilvl w:val="0"/>
          <w:numId w:val="6"/>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تحديد العوامل الحاسمة لنجاح التطبيق في سياق المدن السعودية استناداً إلى التجارب الدولية.</w:t>
      </w:r>
    </w:p>
    <w:p w14:paraId="71D8D8B5" w14:textId="77777777" w:rsidR="00706773" w:rsidRPr="00706773" w:rsidRDefault="00706773" w:rsidP="00706773">
      <w:pPr>
        <w:numPr>
          <w:ilvl w:val="0"/>
          <w:numId w:val="6"/>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بناء نموذجٍ إطاريٍّ متكاملٍ يجمع بين الحلول التقنية ويوفّر خارطة طريقٍ قابلةٍ للتطبيق.</w:t>
      </w:r>
    </w:p>
    <w:p w14:paraId="26FE9A81"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10" w:name="_Toc234378210"/>
      <w:r w:rsidRPr="00706773">
        <w:rPr>
          <w:rFonts w:ascii="Sakkal Majalla" w:eastAsia="Arial" w:hAnsi="Sakkal Majalla" w:cs="Sakkal Majalla"/>
          <w:b/>
          <w:bCs/>
          <w:kern w:val="0"/>
          <w:sz w:val="29"/>
          <w:szCs w:val="29"/>
          <w:rtl/>
          <w14:ligatures w14:val="none"/>
        </w:rPr>
        <w:lastRenderedPageBreak/>
        <w:t>1-6  أهمية الدراسة</w:t>
      </w:r>
      <w:bookmarkEnd w:id="10"/>
    </w:p>
    <w:p w14:paraId="107A1F5B"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تستمد هذه الدراسة أهميتها من تقاطع موضوعها مع أولويةٍ وطنيةٍ وبيئيةٍ راهنة، وتتوزّع هذه الأهمية على بُعدين متكاملين: علميٍّ نظري، وتطبيقيٍّ عملي. ويزيد من هذه الأهمية أن الدراسة تأتي في لحظةٍ فارقةٍ يشهد فيها القطاع تحوّلاً مؤسسياً وتشريعياً متسارعاً، مما يجعل نتائجها ذات صلةٍ مباشرةٍ بالقرارات الجاري اتخاذها لا مجرد إضافةٍ أكاديميةٍ نظرية.</w:t>
      </w:r>
    </w:p>
    <w:p w14:paraId="3811AD64" w14:textId="77777777" w:rsidR="00706773" w:rsidRPr="00706773" w:rsidRDefault="00706773" w:rsidP="00706773">
      <w:pPr>
        <w:spacing w:after="0" w:line="360" w:lineRule="auto"/>
        <w:rPr>
          <w:rFonts w:ascii="Sakkal Majalla" w:eastAsia="Arial" w:hAnsi="Sakkal Majalla" w:cs="Sakkal Majalla"/>
          <w:b/>
          <w:bCs/>
          <w:kern w:val="0"/>
          <w:sz w:val="26"/>
          <w:szCs w:val="26"/>
          <w14:ligatures w14:val="none"/>
        </w:rPr>
      </w:pPr>
      <w:r w:rsidRPr="00706773">
        <w:rPr>
          <w:rFonts w:ascii="Sakkal Majalla" w:eastAsia="Arial" w:hAnsi="Sakkal Majalla" w:cs="Sakkal Majalla"/>
          <w:b/>
          <w:bCs/>
          <w:kern w:val="0"/>
          <w:sz w:val="26"/>
          <w:szCs w:val="26"/>
          <w:rtl/>
          <w14:ligatures w14:val="none"/>
        </w:rPr>
        <w:br w:type="page"/>
      </w:r>
    </w:p>
    <w:p w14:paraId="1935AC2C" w14:textId="77777777" w:rsidR="00706773" w:rsidRPr="00706773" w:rsidRDefault="00706773" w:rsidP="00706773">
      <w:pPr>
        <w:bidi/>
        <w:spacing w:before="160" w:after="90" w:line="396" w:lineRule="auto"/>
        <w:outlineLvl w:val="2"/>
        <w:rPr>
          <w:rFonts w:ascii="Sakkal Majalla" w:eastAsia="Arial" w:hAnsi="Sakkal Majalla" w:cs="Sakkal Majalla"/>
          <w:kern w:val="0"/>
          <w:rtl/>
          <w14:ligatures w14:val="none"/>
        </w:rPr>
      </w:pPr>
      <w:bookmarkStart w:id="11" w:name="_Toc234378211"/>
      <w:r w:rsidRPr="00706773">
        <w:rPr>
          <w:rFonts w:ascii="Sakkal Majalla" w:eastAsia="Arial" w:hAnsi="Sakkal Majalla" w:cs="Sakkal Majalla"/>
          <w:b/>
          <w:bCs/>
          <w:kern w:val="0"/>
          <w:sz w:val="26"/>
          <w:szCs w:val="26"/>
          <w:rtl/>
          <w14:ligatures w14:val="none"/>
        </w:rPr>
        <w:lastRenderedPageBreak/>
        <w:t>أ) الأهمية العلمية</w:t>
      </w:r>
      <w:bookmarkEnd w:id="11"/>
    </w:p>
    <w:p w14:paraId="3B1ADB77" w14:textId="77777777" w:rsidR="00706773" w:rsidRPr="00706773" w:rsidRDefault="00706773" w:rsidP="00706773">
      <w:pPr>
        <w:numPr>
          <w:ilvl w:val="0"/>
          <w:numId w:val="8"/>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إثراء الأدبيات العربية في مجال التقنيات البيئية الذكية، التي لا تزال شحيحةً مقارنةً بنظيراتها الغربية، ولا سيما في ما يخص السياقين السعودي والخليجي بخصوصيتهما التنظيمية والاجتماعية.</w:t>
      </w:r>
    </w:p>
    <w:p w14:paraId="10624903" w14:textId="77777777" w:rsidR="00706773" w:rsidRPr="00706773" w:rsidRDefault="00706773" w:rsidP="00706773">
      <w:pPr>
        <w:numPr>
          <w:ilvl w:val="0"/>
          <w:numId w:val="8"/>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تقديم إطارٍ نظريٍّ يربط بين تقنيات إنترنت الأشياء والذكاء الاصطناعي وتحليل البيانات ومنظومة إدارة النفايات ربطاً منهجياً موحّداً بدلاً من تناولها منفصلةً كما هو شائع.</w:t>
      </w:r>
    </w:p>
    <w:p w14:paraId="2597B755" w14:textId="77777777" w:rsidR="00706773" w:rsidRPr="00706773" w:rsidRDefault="00706773" w:rsidP="00706773">
      <w:pPr>
        <w:numPr>
          <w:ilvl w:val="0"/>
          <w:numId w:val="8"/>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سدّ فجوةٍ معرفيةٍ تتعلق بجدوى تطبيق هذه الحلول في ظل السياق الجغرافي والمؤسسي للمدن السعودية، والتأسيس لنموذجٍ قابلٍ للاختبار في دراساتٍ مقارنةٍ لاحقة على مستوى دول مجلس التعاون.</w:t>
      </w:r>
    </w:p>
    <w:p w14:paraId="4860F70B" w14:textId="77777777" w:rsidR="00706773" w:rsidRPr="00706773" w:rsidRDefault="00706773" w:rsidP="00706773">
      <w:pPr>
        <w:numPr>
          <w:ilvl w:val="0"/>
          <w:numId w:val="8"/>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توظيف منهجٍ مختلطٍ يجمع بين التحليل الكمي والنوعي في دراسة موضوعات الاستدامة والتقنية، بما يقدّم فهماً أعمق من الاكتفاء بمنهجٍ واحد.</w:t>
      </w:r>
    </w:p>
    <w:p w14:paraId="4AF23F8E"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12" w:name="_Toc234378212"/>
      <w:r w:rsidRPr="00706773">
        <w:rPr>
          <w:rFonts w:ascii="Sakkal Majalla" w:eastAsia="Arial" w:hAnsi="Sakkal Majalla" w:cs="Sakkal Majalla"/>
          <w:b/>
          <w:bCs/>
          <w:kern w:val="0"/>
          <w:sz w:val="26"/>
          <w:szCs w:val="26"/>
          <w:rtl/>
          <w14:ligatures w14:val="none"/>
        </w:rPr>
        <w:t>ب) الأهمية التطبيقية</w:t>
      </w:r>
      <w:bookmarkEnd w:id="12"/>
    </w:p>
    <w:p w14:paraId="4A7D0D44" w14:textId="77777777" w:rsidR="00706773" w:rsidRPr="00706773" w:rsidRDefault="00706773" w:rsidP="00706773">
      <w:pPr>
        <w:numPr>
          <w:ilvl w:val="0"/>
          <w:numId w:val="8"/>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تزويد الجهات البلدية والمؤسسات المعنية بتوصياتٍ عمليةٍ مستندةٍ إلى الأدلة حول أفضل التقنيات الواجب اعتمادها وترتيب أولويات تبنّيها.</w:t>
      </w:r>
    </w:p>
    <w:p w14:paraId="3A72CC02" w14:textId="77777777" w:rsidR="00706773" w:rsidRPr="00706773" w:rsidRDefault="00706773" w:rsidP="00706773">
      <w:pPr>
        <w:numPr>
          <w:ilvl w:val="0"/>
          <w:numId w:val="8"/>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مساعدة صانعي السياسات في وزارة البيئة والمياه والزراعة ووزارة الشؤون البلدية والقروية والإسكان على صياغة استراتيجياتٍ فاعلةٍ لإدارة النفايات الذكية.</w:t>
      </w:r>
    </w:p>
    <w:p w14:paraId="61094E8D" w14:textId="77777777" w:rsidR="00706773" w:rsidRPr="00706773" w:rsidRDefault="00706773" w:rsidP="00706773">
      <w:pPr>
        <w:numPr>
          <w:ilvl w:val="0"/>
          <w:numId w:val="8"/>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تقديم أساسٍ تقييميٍّ لمستوى الجاهزية التقنية يُمكّن المؤسسات من تشخيص أوضاعها ورسم خارطة طريقٍ لتطوير منظومتها.</w:t>
      </w:r>
    </w:p>
    <w:p w14:paraId="3D1771A8" w14:textId="77777777" w:rsidR="00706773" w:rsidRPr="00706773" w:rsidRDefault="00706773" w:rsidP="00706773">
      <w:pPr>
        <w:numPr>
          <w:ilvl w:val="0"/>
          <w:numId w:val="8"/>
        </w:numPr>
        <w:bidi/>
        <w:spacing w:after="9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دعم تحقيق مستهدفات رؤية 2030 المتعلقة بالاستدامة البيئية والمدن الذكية وتطوير البنية التحتية الرقمية.</w:t>
      </w:r>
    </w:p>
    <w:p w14:paraId="47700C3A" w14:textId="77777777" w:rsidR="00706773" w:rsidRPr="00706773" w:rsidRDefault="00706773" w:rsidP="00706773">
      <w:pPr>
        <w:spacing w:after="0" w:line="360" w:lineRule="auto"/>
        <w:rPr>
          <w:rFonts w:ascii="Sakkal Majalla" w:eastAsia="Arial" w:hAnsi="Sakkal Majalla" w:cs="Sakkal Majalla"/>
          <w:b/>
          <w:bCs/>
          <w:kern w:val="0"/>
          <w:sz w:val="29"/>
          <w:szCs w:val="29"/>
          <w14:ligatures w14:val="none"/>
        </w:rPr>
      </w:pPr>
      <w:r w:rsidRPr="00706773">
        <w:rPr>
          <w:rFonts w:ascii="Sakkal Majalla" w:eastAsia="Arial" w:hAnsi="Sakkal Majalla" w:cs="Sakkal Majalla"/>
          <w:b/>
          <w:bCs/>
          <w:kern w:val="0"/>
          <w:sz w:val="29"/>
          <w:szCs w:val="29"/>
          <w:rtl/>
          <w14:ligatures w14:val="none"/>
        </w:rPr>
        <w:br w:type="page"/>
      </w:r>
    </w:p>
    <w:p w14:paraId="3091F0E0"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rtl/>
          <w14:ligatures w14:val="none"/>
        </w:rPr>
      </w:pPr>
      <w:bookmarkStart w:id="13" w:name="_Toc234378213"/>
      <w:r w:rsidRPr="00706773">
        <w:rPr>
          <w:rFonts w:ascii="Sakkal Majalla" w:eastAsia="Arial" w:hAnsi="Sakkal Majalla" w:cs="Sakkal Majalla"/>
          <w:b/>
          <w:bCs/>
          <w:kern w:val="0"/>
          <w:sz w:val="29"/>
          <w:szCs w:val="29"/>
          <w:rtl/>
          <w14:ligatures w14:val="none"/>
        </w:rPr>
        <w:lastRenderedPageBreak/>
        <w:t>1-7  حدود الدراسة</w:t>
      </w:r>
      <w:bookmarkEnd w:id="13"/>
    </w:p>
    <w:p w14:paraId="69D2991D"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تلتزم الدراسة بحدودٍ تضبط نطاقها وتُحدّد مجال تعميم نتائجها، على النحو الآتي:</w:t>
      </w:r>
    </w:p>
    <w:p w14:paraId="4F48E246"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الحدود الموضوعية: </w:t>
      </w:r>
      <w:r w:rsidRPr="00706773">
        <w:rPr>
          <w:rFonts w:ascii="Sakkal Majalla" w:eastAsia="Arial" w:hAnsi="Sakkal Majalla" w:cs="Sakkal Majalla"/>
          <w:kern w:val="0"/>
          <w:sz w:val="28"/>
          <w:szCs w:val="28"/>
          <w:rtl/>
          <w14:ligatures w14:val="none"/>
        </w:rPr>
        <w:t>تتمحور الدراسة حول الحلول التقنية المتاحة لتطوير إدارة النفايات الصلبة الحضرية دون التعمّق في النفايات الخطرة أو الصناعية المتخصصة التي تخضع لمنظومةٍ تشريعيةٍ ومؤسسيةٍ مختلفة.</w:t>
      </w:r>
    </w:p>
    <w:p w14:paraId="3A1D711F"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الحدود المكانية: </w:t>
      </w:r>
      <w:r w:rsidRPr="00706773">
        <w:rPr>
          <w:rFonts w:ascii="Sakkal Majalla" w:eastAsia="Arial" w:hAnsi="Sakkal Majalla" w:cs="Sakkal Majalla"/>
          <w:kern w:val="0"/>
          <w:sz w:val="28"/>
          <w:szCs w:val="28"/>
          <w:rtl/>
          <w14:ligatures w14:val="none"/>
        </w:rPr>
        <w:t>أُجريت الدراسة في ثلاث مدنٍ رئيسة هي الرياض (المنطقة الوسطى) وجدة (منطقة مكة المكرمة) والدمام (المنطقة الشرقية)، باعتبارها الحواضر الأكبر والأكثر توليداً للنفايات في المملكة.</w:t>
      </w:r>
    </w:p>
    <w:p w14:paraId="16897600"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الحدود البشرية: </w:t>
      </w:r>
      <w:r w:rsidRPr="00706773">
        <w:rPr>
          <w:rFonts w:ascii="Sakkal Majalla" w:eastAsia="Arial" w:hAnsi="Sakkal Majalla" w:cs="Sakkal Majalla"/>
          <w:kern w:val="0"/>
          <w:sz w:val="28"/>
          <w:szCs w:val="28"/>
          <w:rtl/>
          <w14:ligatures w14:val="none"/>
        </w:rPr>
        <w:t>اقتصرت الدراسة على العاملين والمسؤولين في المستويات الإدارية والتقنية بأمانات المدن وشركات إدارة النفايات والجهات الأكاديمية، دون التوسّع ليشمل سكان المدن عموماً.</w:t>
      </w:r>
    </w:p>
    <w:p w14:paraId="32809945"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الحدود الزمنية: </w:t>
      </w:r>
      <w:r w:rsidRPr="00706773">
        <w:rPr>
          <w:rFonts w:ascii="Sakkal Majalla" w:eastAsia="Arial" w:hAnsi="Sakkal Majalla" w:cs="Sakkal Majalla"/>
          <w:kern w:val="0"/>
          <w:sz w:val="28"/>
          <w:szCs w:val="28"/>
          <w:rtl/>
          <w14:ligatures w14:val="none"/>
        </w:rPr>
        <w:t>جرت المراجعة الأدبية مطلع عام 2026، وأُنجز جمع البيانات الميدانية خلال الفترة من مارس إلى يونيو 2026، وتلاه تحليل البيانات وكتابة التقرير النهائي.</w:t>
      </w:r>
    </w:p>
    <w:p w14:paraId="0A84B98C"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14" w:name="_Toc234378214"/>
      <w:r w:rsidRPr="00706773">
        <w:rPr>
          <w:rFonts w:ascii="Sakkal Majalla" w:eastAsia="Arial" w:hAnsi="Sakkal Majalla" w:cs="Sakkal Majalla"/>
          <w:b/>
          <w:bCs/>
          <w:kern w:val="0"/>
          <w:sz w:val="29"/>
          <w:szCs w:val="29"/>
          <w:rtl/>
          <w14:ligatures w14:val="none"/>
        </w:rPr>
        <w:t>1-8  مصطلحات الدراسة</w:t>
      </w:r>
      <w:bookmarkEnd w:id="14"/>
    </w:p>
    <w:p w14:paraId="20CEDC4B"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حرصاً على دقة الفهم ووحدة الدلالة، تُعرّف الدراسة أبرز مصطلحاتها تعريفاً مفاهيمياً وإجرائياً على النحو الآتي:</w:t>
      </w:r>
    </w:p>
    <w:p w14:paraId="3AE5F812"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إدارة النفايات الذكية: </w:t>
      </w:r>
      <w:r w:rsidRPr="00706773">
        <w:rPr>
          <w:rFonts w:ascii="Sakkal Majalla" w:eastAsia="Arial" w:hAnsi="Sakkal Majalla" w:cs="Sakkal Majalla"/>
          <w:kern w:val="0"/>
          <w:sz w:val="28"/>
          <w:szCs w:val="28"/>
          <w:rtl/>
          <w14:ligatures w14:val="none"/>
        </w:rPr>
        <w:t>مفاهيمياً هي منظومةٌ متكاملةٌ توظّف التقنيات الرقمية في مراحل التجميع والفرز والنقل والمعالجة وإعادة التدوير بغية رفع الكفاءة وتقليل الأثر البيئي. وإجرائياً تُقاس في هذه الدراسة بمجموع استجابات المبحوثين على مقياس جاهزية وتطبيق الحلول التقنية.</w:t>
      </w:r>
    </w:p>
    <w:p w14:paraId="236AA7AD"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إنترنت الأشياء (</w:t>
      </w:r>
      <w:r w:rsidRPr="00706773">
        <w:rPr>
          <w:rFonts w:ascii="Sakkal Majalla" w:eastAsia="Arial" w:hAnsi="Sakkal Majalla" w:cs="Sakkal Majalla"/>
          <w:b/>
          <w:bCs/>
          <w:kern w:val="0"/>
          <w:sz w:val="28"/>
          <w:szCs w:val="28"/>
          <w14:ligatures w14:val="none"/>
        </w:rPr>
        <w:t>IoT</w:t>
      </w:r>
      <w:r w:rsidRPr="00706773">
        <w:rPr>
          <w:rFonts w:ascii="Sakkal Majalla" w:eastAsia="Arial" w:hAnsi="Sakkal Majalla" w:cs="Sakkal Majalla"/>
          <w:b/>
          <w:bCs/>
          <w:kern w:val="0"/>
          <w:sz w:val="28"/>
          <w:szCs w:val="28"/>
          <w:rtl/>
          <w14:ligatures w14:val="none"/>
        </w:rPr>
        <w:t xml:space="preserve">): </w:t>
      </w:r>
      <w:r w:rsidRPr="00706773">
        <w:rPr>
          <w:rFonts w:ascii="Sakkal Majalla" w:eastAsia="Arial" w:hAnsi="Sakkal Majalla" w:cs="Sakkal Majalla"/>
          <w:kern w:val="0"/>
          <w:sz w:val="28"/>
          <w:szCs w:val="28"/>
          <w:rtl/>
          <w14:ligatures w14:val="none"/>
        </w:rPr>
        <w:t>مفاهيمياً شبكةٌ من الأجهزة والحسّاسات المتصلة القادرة على جمع البيانات وتبادلها لحظياً عبر الإنترنت. وإجرائياً يشير في هذه الدراسة إلى حسّاسات امتلاء الحاويات وأنظمة تتبّع المركبات والتوجيه الذكي للمسارات.</w:t>
      </w:r>
    </w:p>
    <w:p w14:paraId="4DAF6938"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lastRenderedPageBreak/>
        <w:t>الذكاء الاصطناعي (</w:t>
      </w:r>
      <w:r w:rsidRPr="00706773">
        <w:rPr>
          <w:rFonts w:ascii="Sakkal Majalla" w:eastAsia="Arial" w:hAnsi="Sakkal Majalla" w:cs="Sakkal Majalla"/>
          <w:b/>
          <w:bCs/>
          <w:kern w:val="0"/>
          <w:sz w:val="28"/>
          <w:szCs w:val="28"/>
          <w14:ligatures w14:val="none"/>
        </w:rPr>
        <w:t>AI</w:t>
      </w:r>
      <w:r w:rsidRPr="00706773">
        <w:rPr>
          <w:rFonts w:ascii="Sakkal Majalla" w:eastAsia="Arial" w:hAnsi="Sakkal Majalla" w:cs="Sakkal Majalla"/>
          <w:b/>
          <w:bCs/>
          <w:kern w:val="0"/>
          <w:sz w:val="28"/>
          <w:szCs w:val="28"/>
          <w:rtl/>
          <w14:ligatures w14:val="none"/>
        </w:rPr>
        <w:t xml:space="preserve">): </w:t>
      </w:r>
      <w:r w:rsidRPr="00706773">
        <w:rPr>
          <w:rFonts w:ascii="Sakkal Majalla" w:eastAsia="Arial" w:hAnsi="Sakkal Majalla" w:cs="Sakkal Majalla"/>
          <w:kern w:val="0"/>
          <w:sz w:val="28"/>
          <w:szCs w:val="28"/>
          <w:rtl/>
          <w14:ligatures w14:val="none"/>
        </w:rPr>
        <w:t>مفاهيمياً فرعٌ من علوم الحاسب يُعنى ببناء أنظمةٍ قادرةٍ على أداء مهامٍ تتطلب ذكاءً بشرياً كالتصنيف والتنبؤ. وإجرائياً يشير إلى خوارزميات الرؤية الحاسوبية والتعلّم الآلي المستخدمة في تصنيف النفايات وفرزها والتنبؤ بكمياتها.</w:t>
      </w:r>
    </w:p>
    <w:p w14:paraId="5D646D39"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الجاهزية الرقمية: </w:t>
      </w:r>
      <w:r w:rsidRPr="00706773">
        <w:rPr>
          <w:rFonts w:ascii="Sakkal Majalla" w:eastAsia="Arial" w:hAnsi="Sakkal Majalla" w:cs="Sakkal Majalla"/>
          <w:kern w:val="0"/>
          <w:sz w:val="28"/>
          <w:szCs w:val="28"/>
          <w:rtl/>
          <w14:ligatures w14:val="none"/>
        </w:rPr>
        <w:t>مفاهيمياً مدى امتلاك المؤسسة للبنية التحتية والأنظمة والكوادر والبيانات اللازمة لاستيعاب الحلول التقنية وتشغيلها. وإجرائياً تُقاس بدرجة موافقة المبحوثين على بنود محور الجاهزية في الاستبانة.</w:t>
      </w:r>
    </w:p>
    <w:p w14:paraId="70BF026A"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الاقتصاد الدائري: </w:t>
      </w:r>
      <w:r w:rsidRPr="00706773">
        <w:rPr>
          <w:rFonts w:ascii="Sakkal Majalla" w:eastAsia="Arial" w:hAnsi="Sakkal Majalla" w:cs="Sakkal Majalla"/>
          <w:kern w:val="0"/>
          <w:sz w:val="28"/>
          <w:szCs w:val="28"/>
          <w:rtl/>
          <w14:ligatures w14:val="none"/>
        </w:rPr>
        <w:t>مفاهيمياً نموذجٌ اقتصاديٌّ يقوم على إغلاق دورة حياة المواد وتقليل الهدر عبر إعادة الاستخدام والتدوير واسترداد الموارد، في مقابل النموذج الخطّي القائم على «الإنتاج ثم الاستهلاك ثم التخلّص».</w:t>
      </w:r>
    </w:p>
    <w:p w14:paraId="6ACC8D1F"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المدن السعودية الكبرى: </w:t>
      </w:r>
      <w:r w:rsidRPr="00706773">
        <w:rPr>
          <w:rFonts w:ascii="Sakkal Majalla" w:eastAsia="Arial" w:hAnsi="Sakkal Majalla" w:cs="Sakkal Majalla"/>
          <w:kern w:val="0"/>
          <w:sz w:val="28"/>
          <w:szCs w:val="28"/>
          <w:rtl/>
          <w14:ligatures w14:val="none"/>
        </w:rPr>
        <w:t>يُقصد بها في هذه الدراسة مدن الرياض وجدة والدمام، باعتبارها الحواضر الأكبر سكاناً والأعلى توليداً للنفايات على مستوى المملكة.</w:t>
      </w:r>
    </w:p>
    <w:p w14:paraId="444EDEC4"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15" w:name="_Toc234378215"/>
      <w:r w:rsidRPr="00706773">
        <w:rPr>
          <w:rFonts w:ascii="Sakkal Majalla" w:eastAsia="Arial" w:hAnsi="Sakkal Majalla" w:cs="Sakkal Majalla"/>
          <w:b/>
          <w:bCs/>
          <w:kern w:val="0"/>
          <w:sz w:val="29"/>
          <w:szCs w:val="29"/>
          <w:rtl/>
          <w14:ligatures w14:val="none"/>
        </w:rPr>
        <w:t>1-9  هيكل الدراسة</w:t>
      </w:r>
      <w:bookmarkEnd w:id="15"/>
    </w:p>
    <w:p w14:paraId="20C4CC76"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تنتظم هذه الدراسة في خمسة فصولٍ متكاملةٍ يُفضي كلٌّ منها إلى الذي يليه. فالفصل الأول — وهو هذا الفصل — يرسم الإطار العام للدراسة من مقدمةٍ ومشكلةٍ وأسئلةٍ وفرضياتٍ وأهدافٍ وأهميةٍ وحدودٍ ومصطلحات. ويتناول الفصل الثاني الإطار النظري للحلول التقنية ومنطلقاتها، ويستعرض الدراسات السابقة ويحدّد الفجوة البحثية. ويشرح الفصل الثالث منهجية الدراسة وإجراءاتها من مجتمعٍ وعينةٍ وأداةٍ وأساليبَ إحصائية. ويعرض الفصل الرابع نتائج الدراسة الميدانية بشقّيها الكمي والنوعي ويناقشها في ضوء الأدبيات. ويختم الفصل الخامس بالاستنتاجات والتوصيات والنموذج الإطاري المقترح ومقترحات البحوث المستقبلية، تعقبه قائمة المراجع والملاحق.</w:t>
      </w:r>
    </w:p>
    <w:p w14:paraId="38E49ABE" w14:textId="77777777" w:rsidR="00706773" w:rsidRPr="00706773" w:rsidRDefault="00706773" w:rsidP="00706773">
      <w:pPr>
        <w:spacing w:after="0" w:line="360" w:lineRule="auto"/>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14:ligatures w14:val="none"/>
        </w:rPr>
        <w:br w:type="page"/>
      </w:r>
    </w:p>
    <w:p w14:paraId="351136A1" w14:textId="77777777" w:rsidR="00706773" w:rsidRPr="00706773" w:rsidRDefault="00706773" w:rsidP="00706773">
      <w:pPr>
        <w:pBdr>
          <w:bottom w:val="single" w:sz="12" w:space="6" w:color="1F3864"/>
        </w:pBdr>
        <w:bidi/>
        <w:spacing w:before="240" w:after="200" w:line="396" w:lineRule="auto"/>
        <w:jc w:val="center"/>
        <w:outlineLvl w:val="0"/>
        <w:rPr>
          <w:rFonts w:ascii="Sakkal Majalla" w:eastAsia="Arial" w:hAnsi="Sakkal Majalla" w:cs="Sakkal Majalla"/>
          <w:kern w:val="0"/>
          <w:sz w:val="32"/>
          <w:szCs w:val="32"/>
          <w14:ligatures w14:val="none"/>
        </w:rPr>
      </w:pPr>
      <w:bookmarkStart w:id="16" w:name="_Toc234378216"/>
      <w:r w:rsidRPr="00706773">
        <w:rPr>
          <w:rFonts w:ascii="Sakkal Majalla" w:eastAsia="Arial" w:hAnsi="Sakkal Majalla" w:cs="Sakkal Majalla"/>
          <w:b/>
          <w:bCs/>
          <w:kern w:val="0"/>
          <w:sz w:val="34"/>
          <w:szCs w:val="34"/>
          <w:rtl/>
          <w14:ligatures w14:val="none"/>
        </w:rPr>
        <w:lastRenderedPageBreak/>
        <w:t>الفصل الثاني: الإطار النظري والدراسات السابقة</w:t>
      </w:r>
      <w:bookmarkEnd w:id="16"/>
    </w:p>
    <w:p w14:paraId="70697C87"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17" w:name="_Toc234378217"/>
      <w:r w:rsidRPr="00706773">
        <w:rPr>
          <w:rFonts w:ascii="Sakkal Majalla" w:eastAsia="Arial" w:hAnsi="Sakkal Majalla" w:cs="Sakkal Majalla"/>
          <w:b/>
          <w:bCs/>
          <w:kern w:val="0"/>
          <w:sz w:val="29"/>
          <w:szCs w:val="29"/>
          <w:rtl/>
          <w14:ligatures w14:val="none"/>
        </w:rPr>
        <w:t>2-1  تمهيد</w:t>
      </w:r>
      <w:bookmarkEnd w:id="17"/>
    </w:p>
    <w:p w14:paraId="19DB302C"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يُعنى هذا الفصل ببناء الأساس المعرفي الذي تنهض عليه الدراسة، وينقسم إلى شطرين متكاملين: يتناول الأول الإطار النظري الذي يحدّد المفاهيم المحورية لإدارة النفايات وتقنياتها الذكية والمنطلقات النظرية المفسّرة لتبنّيها، ويستعرض الثاني الدراسات السابقة العربية والأجنبية ذات الصلة مرتّبةً موضوعياً، ثم يُعقّب عليها لاستخلاص الفجوة البحثية التي تسعى الدراسة الحالية إلى سدّها. والغاية من هذا الترتيب أن يتدرّج القارئ من المفهوم إلى النظرية، ومن النظرية إلى ما أنجزه الباحثون من قبل، حتى يتّضح موقع هذه الدراسة من الجهد العلمي التراكمي في الميدان.</w:t>
      </w:r>
    </w:p>
    <w:p w14:paraId="08D3B578"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18" w:name="_Toc234378218"/>
      <w:r w:rsidRPr="00706773">
        <w:rPr>
          <w:rFonts w:ascii="Sakkal Majalla" w:eastAsia="Arial" w:hAnsi="Sakkal Majalla" w:cs="Sakkal Majalla"/>
          <w:b/>
          <w:bCs/>
          <w:kern w:val="0"/>
          <w:sz w:val="29"/>
          <w:szCs w:val="29"/>
          <w:rtl/>
          <w14:ligatures w14:val="none"/>
        </w:rPr>
        <w:t>2-2  منظومة إدارة النفايات: المفهوم والمراحل</w:t>
      </w:r>
      <w:bookmarkEnd w:id="18"/>
    </w:p>
    <w:p w14:paraId="3CE579E3"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تُعرَّف إدارة النفايات الصلبة البلدية بأنها مجموع العمليات المنظَّمة التي تُعنى بجمع النفايات المتولدة عن الأنشطة السكنية والتجارية والمؤسسية ونقلها ومعالجتها والتخلّص منها بطريقةٍ تحفظ الصحة العامة وتصون البيئة (</w:t>
      </w:r>
      <w:r w:rsidRPr="00706773">
        <w:rPr>
          <w:rFonts w:ascii="Sakkal Majalla" w:eastAsia="Arial" w:hAnsi="Sakkal Majalla" w:cs="Sakkal Majalla"/>
          <w:kern w:val="0"/>
          <w:sz w:val="28"/>
          <w:szCs w:val="28"/>
          <w14:ligatures w14:val="none"/>
        </w:rPr>
        <w:t>Kaza et al., 2018</w:t>
      </w:r>
      <w:r w:rsidRPr="00706773">
        <w:rPr>
          <w:rFonts w:ascii="Sakkal Majalla" w:eastAsia="Arial" w:hAnsi="Sakkal Majalla" w:cs="Sakkal Majalla"/>
          <w:kern w:val="0"/>
          <w:sz w:val="28"/>
          <w:szCs w:val="28"/>
          <w:rtl/>
          <w14:ligatures w14:val="none"/>
        </w:rPr>
        <w:t>). وقد تطوّر مفهوم هذه الإدارة تطوّراً جوهرياً؛ فبعد أن كان ينحصر في مجرد إزالة النفايات عن الأنظار، صار اليوم منظومةً متكاملةً تُقاس بمؤشرات كفاءةٍ اقتصاديةٍ وبيئيةٍ دقيقة، وتُدار وفق مبدأٍ يُعرف بـ«الهرم الهرمي لإدارة النفايات» الذي يرتّب الخيارات من الأفضل بيئياً إلى الأقل تفضيلاً.</w:t>
      </w:r>
    </w:p>
    <w:p w14:paraId="4A81C345"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 xml:space="preserve">ويتدرّج هذا الهرم من المنع والتقليل من المصدر في قمّته، مروراً بإعادة الاستخدام ثم التدوير ثم الاسترداد (كتوليد الطاقة من النفايات)، وصولاً إلى الطمر بوصفه الخيار الأخير الأقل تفضيلاً. والمفارقة أن منظومة إدارة النفايات في كثيرٍ من الدول النامية — ومنها المملكة — لا تزال مقلوبةً على قاعدتها؛ إذ يستأثر الطمر بالنصيب الأكبر بينما </w:t>
      </w:r>
      <w:r w:rsidRPr="00706773">
        <w:rPr>
          <w:rFonts w:ascii="Sakkal Majalla" w:eastAsia="Arial" w:hAnsi="Sakkal Majalla" w:cs="Sakkal Majalla"/>
          <w:kern w:val="0"/>
          <w:sz w:val="28"/>
          <w:szCs w:val="28"/>
          <w:rtl/>
          <w14:ligatures w14:val="none"/>
        </w:rPr>
        <w:lastRenderedPageBreak/>
        <w:t>تتضاءل نسب التدوير والاسترداد (</w:t>
      </w:r>
      <w:proofErr w:type="spellStart"/>
      <w:r w:rsidRPr="00706773">
        <w:rPr>
          <w:rFonts w:ascii="Sakkal Majalla" w:eastAsia="Arial" w:hAnsi="Sakkal Majalla" w:cs="Sakkal Majalla"/>
          <w:kern w:val="0"/>
          <w:sz w:val="28"/>
          <w:szCs w:val="28"/>
          <w14:ligatures w14:val="none"/>
        </w:rPr>
        <w:t>Ferronato</w:t>
      </w:r>
      <w:proofErr w:type="spellEnd"/>
      <w:r w:rsidRPr="00706773">
        <w:rPr>
          <w:rFonts w:ascii="Sakkal Majalla" w:eastAsia="Arial" w:hAnsi="Sakkal Majalla" w:cs="Sakkal Majalla"/>
          <w:kern w:val="0"/>
          <w:sz w:val="28"/>
          <w:szCs w:val="28"/>
          <w:rtl/>
          <w14:ligatures w14:val="none"/>
        </w:rPr>
        <w:t xml:space="preserve"> &amp; </w:t>
      </w:r>
      <w:r w:rsidRPr="00706773">
        <w:rPr>
          <w:rFonts w:ascii="Sakkal Majalla" w:eastAsia="Arial" w:hAnsi="Sakkal Majalla" w:cs="Sakkal Majalla"/>
          <w:kern w:val="0"/>
          <w:sz w:val="28"/>
          <w:szCs w:val="28"/>
          <w14:ligatures w14:val="none"/>
        </w:rPr>
        <w:t>Torretta, 2019</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Abdel-</w:t>
      </w:r>
      <w:proofErr w:type="spellStart"/>
      <w:r w:rsidRPr="00706773">
        <w:rPr>
          <w:rFonts w:ascii="Sakkal Majalla" w:eastAsia="Arial" w:hAnsi="Sakkal Majalla" w:cs="Sakkal Majalla"/>
          <w:kern w:val="0"/>
          <w:sz w:val="28"/>
          <w:szCs w:val="28"/>
          <w14:ligatures w14:val="none"/>
        </w:rPr>
        <w:t>Shafy</w:t>
      </w:r>
      <w:proofErr w:type="spellEnd"/>
      <w:r w:rsidRPr="00706773">
        <w:rPr>
          <w:rFonts w:ascii="Sakkal Majalla" w:eastAsia="Arial" w:hAnsi="Sakkal Majalla" w:cs="Sakkal Majalla"/>
          <w:kern w:val="0"/>
          <w:sz w:val="28"/>
          <w:szCs w:val="28"/>
          <w:rtl/>
          <w14:ligatures w14:val="none"/>
        </w:rPr>
        <w:t xml:space="preserve"> &amp; </w:t>
      </w:r>
      <w:r w:rsidRPr="00706773">
        <w:rPr>
          <w:rFonts w:ascii="Sakkal Majalla" w:eastAsia="Arial" w:hAnsi="Sakkal Majalla" w:cs="Sakkal Majalla"/>
          <w:kern w:val="0"/>
          <w:sz w:val="28"/>
          <w:szCs w:val="28"/>
          <w14:ligatures w14:val="none"/>
        </w:rPr>
        <w:t>Mansour, 2018</w:t>
      </w:r>
      <w:r w:rsidRPr="00706773">
        <w:rPr>
          <w:rFonts w:ascii="Sakkal Majalla" w:eastAsia="Arial" w:hAnsi="Sakkal Majalla" w:cs="Sakkal Majalla"/>
          <w:kern w:val="0"/>
          <w:sz w:val="28"/>
          <w:szCs w:val="28"/>
          <w:rtl/>
          <w14:ligatures w14:val="none"/>
        </w:rPr>
        <w:t>). ويوضّح الجدول (2-1) مستويات هذا الهرم ومضامينها.</w:t>
      </w:r>
    </w:p>
    <w:p w14:paraId="6F2D04AE" w14:textId="77777777" w:rsidR="00706773" w:rsidRPr="00706773" w:rsidRDefault="00706773" w:rsidP="00706773">
      <w:pPr>
        <w:spacing w:after="0" w:line="360" w:lineRule="auto"/>
        <w:rPr>
          <w:rFonts w:ascii="Sakkal Majalla" w:eastAsia="Arial" w:hAnsi="Sakkal Majalla" w:cs="Sakkal Majalla"/>
          <w:b/>
          <w:bCs/>
          <w:kern w:val="0"/>
          <w:sz w:val="22"/>
          <w:szCs w:val="22"/>
          <w14:ligatures w14:val="none"/>
        </w:rPr>
      </w:pPr>
      <w:r w:rsidRPr="00706773">
        <w:rPr>
          <w:rFonts w:ascii="Sakkal Majalla" w:eastAsia="Arial" w:hAnsi="Sakkal Majalla" w:cs="Sakkal Majalla"/>
          <w:b/>
          <w:bCs/>
          <w:kern w:val="0"/>
          <w:sz w:val="22"/>
          <w:szCs w:val="22"/>
          <w:rtl/>
          <w14:ligatures w14:val="none"/>
        </w:rPr>
        <w:br w:type="page"/>
      </w:r>
    </w:p>
    <w:p w14:paraId="2D198684" w14:textId="77777777" w:rsidR="00706773" w:rsidRPr="00706773" w:rsidRDefault="00706773" w:rsidP="00706773">
      <w:pPr>
        <w:bidi/>
        <w:spacing w:before="60" w:after="60" w:line="396" w:lineRule="auto"/>
        <w:jc w:val="center"/>
        <w:rPr>
          <w:rFonts w:ascii="Sakkal Majalla" w:eastAsia="Arial" w:hAnsi="Sakkal Majalla" w:cs="Sakkal Majalla"/>
          <w:kern w:val="0"/>
          <w:sz w:val="28"/>
          <w:szCs w:val="28"/>
          <w:rtl/>
          <w14:ligatures w14:val="none"/>
        </w:rPr>
      </w:pPr>
      <w:r w:rsidRPr="00706773">
        <w:rPr>
          <w:rFonts w:ascii="Sakkal Majalla" w:eastAsia="Arial" w:hAnsi="Sakkal Majalla" w:cs="Sakkal Majalla"/>
          <w:b/>
          <w:bCs/>
          <w:kern w:val="0"/>
          <w:sz w:val="22"/>
          <w:szCs w:val="22"/>
          <w:rtl/>
          <w14:ligatures w14:val="none"/>
        </w:rPr>
        <w:lastRenderedPageBreak/>
        <w:t>جدول (2-1): الهرم الهرمي لإدارة النفايات ومضامين مستوياته</w:t>
      </w:r>
    </w:p>
    <w:tbl>
      <w:tblPr>
        <w:bidiVisual/>
        <w:tblW w:w="9200" w:type="dxa"/>
        <w:tblBorders>
          <w:top w:val="single" w:sz="4" w:space="0" w:color="9BB8AF"/>
          <w:left w:val="single" w:sz="4" w:space="0" w:color="9BB8AF"/>
          <w:bottom w:val="single" w:sz="4" w:space="0" w:color="9BB8AF"/>
          <w:right w:val="single" w:sz="4" w:space="0" w:color="9BB8AF"/>
          <w:insideH w:val="single" w:sz="2" w:space="0" w:color="C9D8D3"/>
          <w:insideV w:val="single" w:sz="2" w:space="0" w:color="C9D8D3"/>
        </w:tblBorders>
        <w:shd w:val="clear" w:color="auto" w:fill="FFFFFF"/>
        <w:tblCellMar>
          <w:left w:w="10" w:type="dxa"/>
          <w:right w:w="10" w:type="dxa"/>
        </w:tblCellMar>
        <w:tblLook w:val="04A0" w:firstRow="1" w:lastRow="0" w:firstColumn="1" w:lastColumn="0" w:noHBand="0" w:noVBand="1"/>
      </w:tblPr>
      <w:tblGrid>
        <w:gridCol w:w="1285"/>
        <w:gridCol w:w="1800"/>
        <w:gridCol w:w="6115"/>
      </w:tblGrid>
      <w:tr w:rsidR="00706773" w:rsidRPr="00706773" w14:paraId="7DA9BA02" w14:textId="77777777" w:rsidTr="00706773">
        <w:trPr>
          <w:tblHeader/>
        </w:trPr>
        <w:tc>
          <w:tcPr>
            <w:tcW w:w="1285" w:type="dxa"/>
            <w:tcBorders>
              <w:top w:val="single" w:sz="4" w:space="0" w:color="9BB8AF"/>
              <w:left w:val="single" w:sz="4" w:space="0" w:color="9BB8AF"/>
              <w:bottom w:val="single" w:sz="2" w:space="0" w:color="C9D8D3"/>
              <w:right w:val="single" w:sz="2" w:space="0" w:color="C9D8D3"/>
            </w:tcBorders>
            <w:shd w:val="clear" w:color="auto" w:fill="D9D9D9"/>
            <w:tcMar>
              <w:top w:w="40" w:type="dxa"/>
              <w:left w:w="70" w:type="dxa"/>
              <w:bottom w:w="40" w:type="dxa"/>
              <w:right w:w="70" w:type="dxa"/>
            </w:tcMar>
            <w:vAlign w:val="center"/>
            <w:hideMark/>
          </w:tcPr>
          <w:p w14:paraId="474A40CE"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الأولوية</w:t>
            </w:r>
          </w:p>
        </w:tc>
        <w:tc>
          <w:tcPr>
            <w:tcW w:w="1800" w:type="dxa"/>
            <w:tcBorders>
              <w:top w:val="single" w:sz="4" w:space="0" w:color="9BB8AF"/>
              <w:left w:val="single" w:sz="2" w:space="0" w:color="C9D8D3"/>
              <w:bottom w:val="single" w:sz="2" w:space="0" w:color="C9D8D3"/>
              <w:right w:val="single" w:sz="2" w:space="0" w:color="C9D8D3"/>
            </w:tcBorders>
            <w:shd w:val="clear" w:color="auto" w:fill="D9D9D9"/>
            <w:tcMar>
              <w:top w:w="40" w:type="dxa"/>
              <w:left w:w="70" w:type="dxa"/>
              <w:bottom w:w="40" w:type="dxa"/>
              <w:right w:w="70" w:type="dxa"/>
            </w:tcMar>
            <w:vAlign w:val="center"/>
            <w:hideMark/>
          </w:tcPr>
          <w:p w14:paraId="06A50A49"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المستوى</w:t>
            </w:r>
          </w:p>
        </w:tc>
        <w:tc>
          <w:tcPr>
            <w:tcW w:w="6115" w:type="dxa"/>
            <w:tcBorders>
              <w:top w:val="single" w:sz="4" w:space="0" w:color="9BB8AF"/>
              <w:left w:val="single" w:sz="2" w:space="0" w:color="C9D8D3"/>
              <w:bottom w:val="single" w:sz="2" w:space="0" w:color="C9D8D3"/>
              <w:right w:val="single" w:sz="4" w:space="0" w:color="9BB8AF"/>
            </w:tcBorders>
            <w:shd w:val="clear" w:color="auto" w:fill="D9D9D9"/>
            <w:tcMar>
              <w:top w:w="40" w:type="dxa"/>
              <w:left w:w="70" w:type="dxa"/>
              <w:bottom w:w="40" w:type="dxa"/>
              <w:right w:w="70" w:type="dxa"/>
            </w:tcMar>
            <w:vAlign w:val="center"/>
            <w:hideMark/>
          </w:tcPr>
          <w:p w14:paraId="0488582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المضمون</w:t>
            </w:r>
          </w:p>
        </w:tc>
      </w:tr>
      <w:tr w:rsidR="00706773" w:rsidRPr="00706773" w14:paraId="54328F33" w14:textId="77777777" w:rsidTr="00706773">
        <w:tc>
          <w:tcPr>
            <w:tcW w:w="128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7351DEA0"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الأعلى</w:t>
            </w:r>
          </w:p>
        </w:tc>
        <w:tc>
          <w:tcPr>
            <w:tcW w:w="18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26D6A2BA"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المنع والتقليل</w:t>
            </w:r>
          </w:p>
        </w:tc>
        <w:tc>
          <w:tcPr>
            <w:tcW w:w="611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132D8421" w14:textId="77777777" w:rsidR="00706773" w:rsidRPr="00706773" w:rsidRDefault="00706773" w:rsidP="00706773">
            <w:pPr>
              <w:bidi/>
              <w:spacing w:after="0" w:line="264" w:lineRule="auto"/>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خفض كمية النفايات من المصدر عبر التصميم المستدام وترشيد الاستهلاك</w:t>
            </w:r>
          </w:p>
        </w:tc>
      </w:tr>
      <w:tr w:rsidR="00706773" w:rsidRPr="00706773" w14:paraId="3FAF384C" w14:textId="77777777" w:rsidTr="00706773">
        <w:tc>
          <w:tcPr>
            <w:tcW w:w="128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tcPr>
          <w:p w14:paraId="32AC6D9F"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p>
        </w:tc>
        <w:tc>
          <w:tcPr>
            <w:tcW w:w="18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1BF63B4A"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إعادة الاستخدام</w:t>
            </w:r>
          </w:p>
        </w:tc>
        <w:tc>
          <w:tcPr>
            <w:tcW w:w="611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504D4725" w14:textId="77777777" w:rsidR="00706773" w:rsidRPr="00706773" w:rsidRDefault="00706773" w:rsidP="00706773">
            <w:pPr>
              <w:bidi/>
              <w:spacing w:after="0" w:line="264" w:lineRule="auto"/>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إعادة توظيف المنتجات بحالتها دون معالجةٍ صناعية</w:t>
            </w:r>
          </w:p>
        </w:tc>
      </w:tr>
      <w:tr w:rsidR="00706773" w:rsidRPr="00706773" w14:paraId="4D01B5F6" w14:textId="77777777" w:rsidTr="00706773">
        <w:tc>
          <w:tcPr>
            <w:tcW w:w="128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tcPr>
          <w:p w14:paraId="400F9DFE"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p>
        </w:tc>
        <w:tc>
          <w:tcPr>
            <w:tcW w:w="18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322CDFB5"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إعادة التدوير</w:t>
            </w:r>
          </w:p>
        </w:tc>
        <w:tc>
          <w:tcPr>
            <w:tcW w:w="611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7E8EF2B3" w14:textId="77777777" w:rsidR="00706773" w:rsidRPr="00706773" w:rsidRDefault="00706773" w:rsidP="00706773">
            <w:pPr>
              <w:bidi/>
              <w:spacing w:after="0" w:line="264" w:lineRule="auto"/>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تحويل المواد المفروزة إلى مدخلاتٍ إنتاجيةٍ جديدة</w:t>
            </w:r>
          </w:p>
        </w:tc>
      </w:tr>
      <w:tr w:rsidR="00706773" w:rsidRPr="00706773" w14:paraId="02698E7C" w14:textId="77777777" w:rsidTr="00706773">
        <w:tc>
          <w:tcPr>
            <w:tcW w:w="128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tcPr>
          <w:p w14:paraId="55AE7ECD"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p>
        </w:tc>
        <w:tc>
          <w:tcPr>
            <w:tcW w:w="18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22434F8C"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الاسترداد</w:t>
            </w:r>
          </w:p>
        </w:tc>
        <w:tc>
          <w:tcPr>
            <w:tcW w:w="611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0B4F75DE" w14:textId="77777777" w:rsidR="00706773" w:rsidRPr="00706773" w:rsidRDefault="00706773" w:rsidP="00706773">
            <w:pPr>
              <w:bidi/>
              <w:spacing w:after="0" w:line="264" w:lineRule="auto"/>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استرداد الطاقة أو المواد من النفايات المتبقّية (مثل تحويلها إلى طاقة)</w:t>
            </w:r>
          </w:p>
        </w:tc>
      </w:tr>
      <w:tr w:rsidR="00706773" w:rsidRPr="00706773" w14:paraId="20AE4E49" w14:textId="77777777" w:rsidTr="00706773">
        <w:tc>
          <w:tcPr>
            <w:tcW w:w="1285" w:type="dxa"/>
            <w:tcBorders>
              <w:top w:val="single" w:sz="2" w:space="0" w:color="C9D8D3"/>
              <w:left w:val="single" w:sz="4" w:space="0" w:color="9BB8AF"/>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268BCD71"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الأدنى</w:t>
            </w:r>
          </w:p>
        </w:tc>
        <w:tc>
          <w:tcPr>
            <w:tcW w:w="1800" w:type="dxa"/>
            <w:tcBorders>
              <w:top w:val="single" w:sz="2" w:space="0" w:color="C9D8D3"/>
              <w:left w:val="single" w:sz="2" w:space="0" w:color="C9D8D3"/>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5C5529D7"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التخلّص (الطمر)</w:t>
            </w:r>
          </w:p>
        </w:tc>
        <w:tc>
          <w:tcPr>
            <w:tcW w:w="6115" w:type="dxa"/>
            <w:tcBorders>
              <w:top w:val="single" w:sz="2" w:space="0" w:color="C9D8D3"/>
              <w:left w:val="single" w:sz="2" w:space="0" w:color="C9D8D3"/>
              <w:bottom w:val="single" w:sz="4" w:space="0" w:color="9BB8AF"/>
              <w:right w:val="single" w:sz="4" w:space="0" w:color="9BB8AF"/>
            </w:tcBorders>
            <w:shd w:val="clear" w:color="auto" w:fill="FFFFFF"/>
            <w:tcMar>
              <w:top w:w="40" w:type="dxa"/>
              <w:left w:w="70" w:type="dxa"/>
              <w:bottom w:w="40" w:type="dxa"/>
              <w:right w:w="70" w:type="dxa"/>
            </w:tcMar>
            <w:vAlign w:val="center"/>
            <w:hideMark/>
          </w:tcPr>
          <w:p w14:paraId="4A32FA04" w14:textId="77777777" w:rsidR="00706773" w:rsidRPr="00706773" w:rsidRDefault="00706773" w:rsidP="00706773">
            <w:pPr>
              <w:bidi/>
              <w:spacing w:after="0" w:line="264" w:lineRule="auto"/>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الطمر الصحّي بوصفه الخيار الأخير للنفايات غير القابلة للمعالجة</w:t>
            </w:r>
          </w:p>
        </w:tc>
      </w:tr>
    </w:tbl>
    <w:p w14:paraId="59FE1066" w14:textId="77777777" w:rsidR="00706773" w:rsidRPr="00706773" w:rsidRDefault="00706773" w:rsidP="00706773">
      <w:pPr>
        <w:bidi/>
        <w:spacing w:before="20" w:line="360"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i/>
          <w:iCs/>
          <w:kern w:val="0"/>
          <w:sz w:val="19"/>
          <w:szCs w:val="19"/>
          <w:rtl/>
          <w14:ligatures w14:val="none"/>
        </w:rPr>
        <w:t xml:space="preserve">المصدر: إعداد الباحث استناداً إلى </w:t>
      </w:r>
      <w:r w:rsidRPr="00706773">
        <w:rPr>
          <w:rFonts w:ascii="Sakkal Majalla" w:eastAsia="Arial" w:hAnsi="Sakkal Majalla" w:cs="Sakkal Majalla"/>
          <w:i/>
          <w:iCs/>
          <w:kern w:val="0"/>
          <w:sz w:val="19"/>
          <w:szCs w:val="19"/>
          <w14:ligatures w14:val="none"/>
        </w:rPr>
        <w:t>Kaza et al</w:t>
      </w:r>
      <w:r w:rsidRPr="00706773">
        <w:rPr>
          <w:rFonts w:ascii="Sakkal Majalla" w:eastAsia="Arial" w:hAnsi="Sakkal Majalla" w:cs="Sakkal Majalla"/>
          <w:i/>
          <w:iCs/>
          <w:kern w:val="0"/>
          <w:sz w:val="19"/>
          <w:szCs w:val="19"/>
          <w:rtl/>
          <w14:ligatures w14:val="none"/>
        </w:rPr>
        <w:t>. (2018) و</w:t>
      </w:r>
      <w:proofErr w:type="spellStart"/>
      <w:r w:rsidRPr="00706773">
        <w:rPr>
          <w:rFonts w:ascii="Sakkal Majalla" w:eastAsia="Arial" w:hAnsi="Sakkal Majalla" w:cs="Sakkal Majalla"/>
          <w:i/>
          <w:iCs/>
          <w:kern w:val="0"/>
          <w:sz w:val="19"/>
          <w:szCs w:val="19"/>
          <w14:ligatures w14:val="none"/>
        </w:rPr>
        <w:t>Ferronato</w:t>
      </w:r>
      <w:proofErr w:type="spellEnd"/>
      <w:r w:rsidRPr="00706773">
        <w:rPr>
          <w:rFonts w:ascii="Sakkal Majalla" w:eastAsia="Arial" w:hAnsi="Sakkal Majalla" w:cs="Sakkal Majalla"/>
          <w:i/>
          <w:iCs/>
          <w:kern w:val="0"/>
          <w:sz w:val="19"/>
          <w:szCs w:val="19"/>
          <w:rtl/>
          <w14:ligatures w14:val="none"/>
        </w:rPr>
        <w:t xml:space="preserve"> &amp; </w:t>
      </w:r>
      <w:r w:rsidRPr="00706773">
        <w:rPr>
          <w:rFonts w:ascii="Sakkal Majalla" w:eastAsia="Arial" w:hAnsi="Sakkal Majalla" w:cs="Sakkal Majalla"/>
          <w:i/>
          <w:iCs/>
          <w:kern w:val="0"/>
          <w:sz w:val="19"/>
          <w:szCs w:val="19"/>
          <w14:ligatures w14:val="none"/>
        </w:rPr>
        <w:t>Torretta</w:t>
      </w:r>
      <w:r w:rsidRPr="00706773">
        <w:rPr>
          <w:rFonts w:ascii="Sakkal Majalla" w:eastAsia="Arial" w:hAnsi="Sakkal Majalla" w:cs="Sakkal Majalla"/>
          <w:i/>
          <w:iCs/>
          <w:kern w:val="0"/>
          <w:sz w:val="19"/>
          <w:szCs w:val="19"/>
          <w:rtl/>
          <w14:ligatures w14:val="none"/>
        </w:rPr>
        <w:t xml:space="preserve"> (2019).</w:t>
      </w:r>
    </w:p>
    <w:p w14:paraId="02C7F6A5"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ويكشف هذا الترتيب عن جوهر المشكلة التقنية التي تعالجها الدراسة؛ فالانتقال من قاعدة الهرم إلى قمّته لا يتحقق بالجهد البشري وحده، بل يتطلب بياناتٍ دقيقةً وأنظمةً قادرةً على الفرز والتتبّع والتنبؤ، وهنا تحديداً يبرز دور التقنيات الذكية بوصفها الوسيلة التي تُعيد المنظومة إلى وضعها الصحيح.</w:t>
      </w:r>
    </w:p>
    <w:p w14:paraId="4C4DC666"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19" w:name="_Toc234378219"/>
      <w:r w:rsidRPr="00706773">
        <w:rPr>
          <w:rFonts w:ascii="Sakkal Majalla" w:eastAsia="Arial" w:hAnsi="Sakkal Majalla" w:cs="Sakkal Majalla"/>
          <w:b/>
          <w:bCs/>
          <w:kern w:val="0"/>
          <w:sz w:val="26"/>
          <w:szCs w:val="26"/>
          <w:rtl/>
          <w14:ligatures w14:val="none"/>
        </w:rPr>
        <w:t>2-2-1  تحديات إدارة النفايات وتمويلها في الدول النامية</w:t>
      </w:r>
      <w:bookmarkEnd w:id="19"/>
    </w:p>
    <w:p w14:paraId="5EC10235"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تتفاقم إشكالية إدارة النفايات في الدول النامية ومتوسطة الدخل لأسبابٍ متشابكة. فعلى مستوى التغطية، تظل نسب الجمع في المناطق منخفضة الدخل متواضعةً لا سيما في الأطراف الريفية، في مقابل تغطيةٍ شبه شاملةٍ في الدول مرتفعة الدخل التي تسترد أكثر من ثلث نفاياتها عبر التدوير والتسبيخ (</w:t>
      </w:r>
      <w:r w:rsidRPr="00706773">
        <w:rPr>
          <w:rFonts w:ascii="Sakkal Majalla" w:eastAsia="Arial" w:hAnsi="Sakkal Majalla" w:cs="Sakkal Majalla"/>
          <w:kern w:val="0"/>
          <w:sz w:val="28"/>
          <w:szCs w:val="28"/>
          <w14:ligatures w14:val="none"/>
        </w:rPr>
        <w:t>Kaza et al., 2018</w:t>
      </w:r>
      <w:r w:rsidRPr="00706773">
        <w:rPr>
          <w:rFonts w:ascii="Sakkal Majalla" w:eastAsia="Arial" w:hAnsi="Sakkal Majalla" w:cs="Sakkal Majalla"/>
          <w:kern w:val="0"/>
          <w:sz w:val="28"/>
          <w:szCs w:val="28"/>
          <w:rtl/>
          <w14:ligatures w14:val="none"/>
        </w:rPr>
        <w:t>). وعلى مستوى التمويل، تلتهم إدارة النفايات حصةً كبيرةً من الميزانيات البلدية تبلغ نحو 20% في الدول منخفضة الدخل وأكثر من 10% في متوسطة الدخل، وهو عبءٌ يتنافس مع أولوياتٍ تنمويةٍ أخرى ويجعل كفاءة الإنفاق مسألةً حاسمة.</w:t>
      </w:r>
    </w:p>
    <w:p w14:paraId="2D7EA337"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أما على مستوى الأثر، فإن بقاء نحو ثلث النفايات العالمية خارج أي إدارةٍ آمنةٍ — عبر الطمر المكشوف أو الحرق — يُنتج تلوّثاً للتربة والمياه والهواء وانبعاثاتٍ للميثان بالغة الخطورة على المناخ (</w:t>
      </w:r>
      <w:r w:rsidRPr="00706773">
        <w:rPr>
          <w:rFonts w:ascii="Sakkal Majalla" w:eastAsia="Arial" w:hAnsi="Sakkal Majalla" w:cs="Sakkal Majalla"/>
          <w:kern w:val="0"/>
          <w:sz w:val="28"/>
          <w:szCs w:val="28"/>
          <w14:ligatures w14:val="none"/>
        </w:rPr>
        <w:t>Kaza et al., 2018</w:t>
      </w:r>
      <w:r w:rsidRPr="00706773">
        <w:rPr>
          <w:rFonts w:ascii="Sakkal Majalla" w:eastAsia="Arial" w:hAnsi="Sakkal Majalla" w:cs="Sakkal Majalla"/>
          <w:kern w:val="0"/>
          <w:sz w:val="28"/>
          <w:szCs w:val="28"/>
          <w:rtl/>
          <w14:ligatures w14:val="none"/>
        </w:rPr>
        <w:t xml:space="preserve">؛ </w:t>
      </w:r>
      <w:proofErr w:type="spellStart"/>
      <w:r w:rsidRPr="00706773">
        <w:rPr>
          <w:rFonts w:ascii="Sakkal Majalla" w:eastAsia="Arial" w:hAnsi="Sakkal Majalla" w:cs="Sakkal Majalla"/>
          <w:kern w:val="0"/>
          <w:sz w:val="28"/>
          <w:szCs w:val="28"/>
          <w14:ligatures w14:val="none"/>
        </w:rPr>
        <w:t>Ferronato</w:t>
      </w:r>
      <w:proofErr w:type="spellEnd"/>
      <w:r w:rsidRPr="00706773">
        <w:rPr>
          <w:rFonts w:ascii="Sakkal Majalla" w:eastAsia="Arial" w:hAnsi="Sakkal Majalla" w:cs="Sakkal Majalla"/>
          <w:kern w:val="0"/>
          <w:sz w:val="28"/>
          <w:szCs w:val="28"/>
          <w:rtl/>
          <w14:ligatures w14:val="none"/>
        </w:rPr>
        <w:t xml:space="preserve"> &amp; </w:t>
      </w:r>
      <w:r w:rsidRPr="00706773">
        <w:rPr>
          <w:rFonts w:ascii="Sakkal Majalla" w:eastAsia="Arial" w:hAnsi="Sakkal Majalla" w:cs="Sakkal Majalla"/>
          <w:kern w:val="0"/>
          <w:sz w:val="28"/>
          <w:szCs w:val="28"/>
          <w14:ligatures w14:val="none"/>
        </w:rPr>
        <w:t>Torretta, 2019</w:t>
      </w:r>
      <w:r w:rsidRPr="00706773">
        <w:rPr>
          <w:rFonts w:ascii="Sakkal Majalla" w:eastAsia="Arial" w:hAnsi="Sakkal Majalla" w:cs="Sakkal Majalla"/>
          <w:kern w:val="0"/>
          <w:sz w:val="28"/>
          <w:szCs w:val="28"/>
          <w:rtl/>
          <w14:ligatures w14:val="none"/>
        </w:rPr>
        <w:t xml:space="preserve">). ويُتوقَّع أن يتضاعف إنتاج النفايات في إقليم الشرق الأوسط وشمال إفريقيا بحلول عام 2050، مما يضع المنطقة — والمملكة في قلبها — أمام ضغطٍ متصاعدٍ يجعل من رفع الكفاءة عبر التقنية ضرورةً اقتصاديةً </w:t>
      </w:r>
      <w:r w:rsidRPr="00706773">
        <w:rPr>
          <w:rFonts w:ascii="Sakkal Majalla" w:eastAsia="Arial" w:hAnsi="Sakkal Majalla" w:cs="Sakkal Majalla"/>
          <w:kern w:val="0"/>
          <w:sz w:val="28"/>
          <w:szCs w:val="28"/>
          <w:rtl/>
          <w14:ligatures w14:val="none"/>
        </w:rPr>
        <w:lastRenderedPageBreak/>
        <w:t>وبيئيةً في آنٍ معاً. وهذه الصورة الإقليمية هي الخلفية التي تكتسب في ضوئها الحلول الذكية أهميتها بوصفها أداةً لكسر معادلة «كلفةٍ مرتفعةٍ وكفاءةٍ متدنية».</w:t>
      </w:r>
    </w:p>
    <w:p w14:paraId="6E484766"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20" w:name="_Toc234378220"/>
      <w:r w:rsidRPr="00706773">
        <w:rPr>
          <w:rFonts w:ascii="Sakkal Majalla" w:eastAsia="Arial" w:hAnsi="Sakkal Majalla" w:cs="Sakkal Majalla"/>
          <w:b/>
          <w:bCs/>
          <w:kern w:val="0"/>
          <w:sz w:val="29"/>
          <w:szCs w:val="29"/>
          <w:rtl/>
          <w14:ligatures w14:val="none"/>
        </w:rPr>
        <w:t>2-3  من النموذج الخطّي إلى الاقتصاد الدائري</w:t>
      </w:r>
      <w:bookmarkEnd w:id="20"/>
    </w:p>
    <w:p w14:paraId="65E80CC3"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يقوم النموذج الخطّي التقليدي على تسلسلٍ بسيط: استخراج المواد، ثم تصنيعها واستهلاكها، ثم التخلّص منها. وهو نموذجٌ يفترض وفرةً لا متناهيةً في الموارد وقدرةً غير محدودةٍ للبيئة على استيعاب المخلّفات، وكلا الافتراضين لم يعد صالحاً في ظل الضغوط الراهنة (</w:t>
      </w:r>
      <w:r w:rsidRPr="00706773">
        <w:rPr>
          <w:rFonts w:ascii="Sakkal Majalla" w:eastAsia="Arial" w:hAnsi="Sakkal Majalla" w:cs="Sakkal Majalla"/>
          <w:kern w:val="0"/>
          <w:sz w:val="28"/>
          <w:szCs w:val="28"/>
          <w14:ligatures w14:val="none"/>
        </w:rPr>
        <w:t>Ghosh, 2020</w:t>
      </w:r>
      <w:r w:rsidRPr="00706773">
        <w:rPr>
          <w:rFonts w:ascii="Sakkal Majalla" w:eastAsia="Arial" w:hAnsi="Sakkal Majalla" w:cs="Sakkal Majalla"/>
          <w:kern w:val="0"/>
          <w:sz w:val="28"/>
          <w:szCs w:val="28"/>
          <w:rtl/>
          <w14:ligatures w14:val="none"/>
        </w:rPr>
        <w:t>). وفي مقابله يطرح الاقتصاد الدائري رؤيةً بديلةً تقوم على إغلاق دورة حياة المواد والحفاظ على قيمتها أطول مدةٍ ممكنة، بحيث تتحوّل مخرجات عمليةٍ إلى مدخلاتٍ لأخرى، ويصبح مفهوم «النفاية» ذاته موضع مراجعة.</w:t>
      </w:r>
    </w:p>
    <w:p w14:paraId="123E86A9"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ويُبرز الجدول (2-2) الفروق الجوهرية بين النموذجين، وهي فروقٌ تتجاوز التقنية إلى الفلسفة الاقتصادية التي تحكم التعامل مع الموارد. ولا يخفى أن تحقيق التحوّل الدائري يظل رهيناً بتوافر بنيةٍ تقنيةٍ قادرةٍ على الفرز الدقيق وتتبّع المواد، وهو ما يجعل التقنيات الذكية شرطاً ممكِّناً لهذا التحوّل لا مجرد إضافةٍ تحسينية.</w:t>
      </w:r>
    </w:p>
    <w:p w14:paraId="03C0B181" w14:textId="77777777" w:rsidR="00706773" w:rsidRPr="00706773" w:rsidRDefault="00706773" w:rsidP="00706773">
      <w:pPr>
        <w:bidi/>
        <w:spacing w:before="60" w:after="60" w:line="396"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جدول (2-2): مقارنة بين النموذج الخطّي ونموذج الاقتصاد الدائري</w:t>
      </w:r>
    </w:p>
    <w:tbl>
      <w:tblPr>
        <w:bidiVisual/>
        <w:tblW w:w="9200" w:type="dxa"/>
        <w:tblBorders>
          <w:top w:val="single" w:sz="4" w:space="0" w:color="9BB8AF"/>
          <w:left w:val="single" w:sz="4" w:space="0" w:color="9BB8AF"/>
          <w:bottom w:val="single" w:sz="4" w:space="0" w:color="9BB8AF"/>
          <w:right w:val="single" w:sz="4" w:space="0" w:color="9BB8AF"/>
          <w:insideH w:val="single" w:sz="2" w:space="0" w:color="C9D8D3"/>
          <w:insideV w:val="single" w:sz="2" w:space="0" w:color="C9D8D3"/>
        </w:tblBorders>
        <w:shd w:val="clear" w:color="auto" w:fill="FFFFFF"/>
        <w:tblCellMar>
          <w:left w:w="10" w:type="dxa"/>
          <w:right w:w="10" w:type="dxa"/>
        </w:tblCellMar>
        <w:tblLook w:val="04A0" w:firstRow="1" w:lastRow="0" w:firstColumn="1" w:lastColumn="0" w:noHBand="0" w:noVBand="1"/>
      </w:tblPr>
      <w:tblGrid>
        <w:gridCol w:w="2400"/>
        <w:gridCol w:w="3400"/>
        <w:gridCol w:w="3400"/>
      </w:tblGrid>
      <w:tr w:rsidR="00706773" w:rsidRPr="00706773" w14:paraId="0287D63B" w14:textId="77777777" w:rsidTr="00706773">
        <w:trPr>
          <w:tblHeader/>
        </w:trPr>
        <w:tc>
          <w:tcPr>
            <w:tcW w:w="2400" w:type="dxa"/>
            <w:tcBorders>
              <w:top w:val="single" w:sz="4" w:space="0" w:color="9BB8AF"/>
              <w:left w:val="single" w:sz="4" w:space="0" w:color="9BB8AF"/>
              <w:bottom w:val="single" w:sz="2" w:space="0" w:color="C9D8D3"/>
              <w:right w:val="single" w:sz="2" w:space="0" w:color="C9D8D3"/>
            </w:tcBorders>
            <w:shd w:val="clear" w:color="auto" w:fill="D9D9D9"/>
            <w:tcMar>
              <w:top w:w="40" w:type="dxa"/>
              <w:left w:w="70" w:type="dxa"/>
              <w:bottom w:w="40" w:type="dxa"/>
              <w:right w:w="70" w:type="dxa"/>
            </w:tcMar>
            <w:vAlign w:val="center"/>
            <w:hideMark/>
          </w:tcPr>
          <w:p w14:paraId="1266468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وجه المقارنة</w:t>
            </w:r>
          </w:p>
        </w:tc>
        <w:tc>
          <w:tcPr>
            <w:tcW w:w="3400" w:type="dxa"/>
            <w:tcBorders>
              <w:top w:val="single" w:sz="4" w:space="0" w:color="9BB8AF"/>
              <w:left w:val="single" w:sz="2" w:space="0" w:color="C9D8D3"/>
              <w:bottom w:val="single" w:sz="2" w:space="0" w:color="C9D8D3"/>
              <w:right w:val="single" w:sz="2" w:space="0" w:color="C9D8D3"/>
            </w:tcBorders>
            <w:shd w:val="clear" w:color="auto" w:fill="D9D9D9"/>
            <w:tcMar>
              <w:top w:w="40" w:type="dxa"/>
              <w:left w:w="70" w:type="dxa"/>
              <w:bottom w:w="40" w:type="dxa"/>
              <w:right w:w="70" w:type="dxa"/>
            </w:tcMar>
            <w:vAlign w:val="center"/>
            <w:hideMark/>
          </w:tcPr>
          <w:p w14:paraId="78AB95E1"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النموذج الخطّي</w:t>
            </w:r>
          </w:p>
        </w:tc>
        <w:tc>
          <w:tcPr>
            <w:tcW w:w="3400" w:type="dxa"/>
            <w:tcBorders>
              <w:top w:val="single" w:sz="4" w:space="0" w:color="9BB8AF"/>
              <w:left w:val="single" w:sz="2" w:space="0" w:color="C9D8D3"/>
              <w:bottom w:val="single" w:sz="2" w:space="0" w:color="C9D8D3"/>
              <w:right w:val="single" w:sz="4" w:space="0" w:color="9BB8AF"/>
            </w:tcBorders>
            <w:shd w:val="clear" w:color="auto" w:fill="D9D9D9"/>
            <w:tcMar>
              <w:top w:w="40" w:type="dxa"/>
              <w:left w:w="70" w:type="dxa"/>
              <w:bottom w:w="40" w:type="dxa"/>
              <w:right w:w="70" w:type="dxa"/>
            </w:tcMar>
            <w:vAlign w:val="center"/>
            <w:hideMark/>
          </w:tcPr>
          <w:p w14:paraId="69A1E2D4"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الاقتصاد الدائري</w:t>
            </w:r>
          </w:p>
        </w:tc>
      </w:tr>
      <w:tr w:rsidR="00706773" w:rsidRPr="00706773" w14:paraId="071E9770" w14:textId="77777777" w:rsidTr="00706773">
        <w:tc>
          <w:tcPr>
            <w:tcW w:w="2400"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30324889"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منطق الموارد</w:t>
            </w:r>
          </w:p>
        </w:tc>
        <w:tc>
          <w:tcPr>
            <w:tcW w:w="34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141584F8"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استخراج – استهلاك – تخلّص</w:t>
            </w:r>
          </w:p>
        </w:tc>
        <w:tc>
          <w:tcPr>
            <w:tcW w:w="3400"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189AD65E"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إبقاء المواد في الدورة أطول مدة</w:t>
            </w:r>
          </w:p>
        </w:tc>
      </w:tr>
      <w:tr w:rsidR="00706773" w:rsidRPr="00706773" w14:paraId="7363EB2E" w14:textId="77777777" w:rsidTr="00706773">
        <w:tc>
          <w:tcPr>
            <w:tcW w:w="2400"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3BA45B82"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مفهوم النفاية</w:t>
            </w:r>
          </w:p>
        </w:tc>
        <w:tc>
          <w:tcPr>
            <w:tcW w:w="34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2B57706E"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عبءٌ يجب التخلّص منه</w:t>
            </w:r>
          </w:p>
        </w:tc>
        <w:tc>
          <w:tcPr>
            <w:tcW w:w="3400"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5480FC8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موردٌ يُعاد استرداد قيمته</w:t>
            </w:r>
          </w:p>
        </w:tc>
      </w:tr>
      <w:tr w:rsidR="00706773" w:rsidRPr="00706773" w14:paraId="3424E148" w14:textId="77777777" w:rsidTr="00706773">
        <w:tc>
          <w:tcPr>
            <w:tcW w:w="2400"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5B422963"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المؤشر المستهدف</w:t>
            </w:r>
          </w:p>
        </w:tc>
        <w:tc>
          <w:tcPr>
            <w:tcW w:w="34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143AA78A"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سرعة الجمع والتخلّص</w:t>
            </w:r>
          </w:p>
        </w:tc>
        <w:tc>
          <w:tcPr>
            <w:tcW w:w="3400"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293A142E"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نسبة التحويل عن الطمر والاسترداد</w:t>
            </w:r>
          </w:p>
        </w:tc>
      </w:tr>
      <w:tr w:rsidR="00706773" w:rsidRPr="00706773" w14:paraId="67BC96FA" w14:textId="77777777" w:rsidTr="00706773">
        <w:tc>
          <w:tcPr>
            <w:tcW w:w="2400"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05E36652"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دور التقنية</w:t>
            </w:r>
          </w:p>
        </w:tc>
        <w:tc>
          <w:tcPr>
            <w:tcW w:w="34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7FD8FF1F"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هامشي / تشغيلي</w:t>
            </w:r>
          </w:p>
        </w:tc>
        <w:tc>
          <w:tcPr>
            <w:tcW w:w="3400"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42C05653"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ممكِّن جوهري للفرز والتتبّع</w:t>
            </w:r>
          </w:p>
        </w:tc>
      </w:tr>
      <w:tr w:rsidR="00706773" w:rsidRPr="00706773" w14:paraId="285EC8DE" w14:textId="77777777" w:rsidTr="00706773">
        <w:tc>
          <w:tcPr>
            <w:tcW w:w="2400" w:type="dxa"/>
            <w:tcBorders>
              <w:top w:val="single" w:sz="2" w:space="0" w:color="C9D8D3"/>
              <w:left w:val="single" w:sz="4" w:space="0" w:color="9BB8AF"/>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48F8D314"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الأثر البيئي</w:t>
            </w:r>
          </w:p>
        </w:tc>
        <w:tc>
          <w:tcPr>
            <w:tcW w:w="3400" w:type="dxa"/>
            <w:tcBorders>
              <w:top w:val="single" w:sz="2" w:space="0" w:color="C9D8D3"/>
              <w:left w:val="single" w:sz="2" w:space="0" w:color="C9D8D3"/>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0CC69371"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انبعاثاتٌ وتلوّثٌ متراكم</w:t>
            </w:r>
          </w:p>
        </w:tc>
        <w:tc>
          <w:tcPr>
            <w:tcW w:w="3400" w:type="dxa"/>
            <w:tcBorders>
              <w:top w:val="single" w:sz="2" w:space="0" w:color="C9D8D3"/>
              <w:left w:val="single" w:sz="2" w:space="0" w:color="C9D8D3"/>
              <w:bottom w:val="single" w:sz="4" w:space="0" w:color="9BB8AF"/>
              <w:right w:val="single" w:sz="4" w:space="0" w:color="9BB8AF"/>
            </w:tcBorders>
            <w:shd w:val="clear" w:color="auto" w:fill="FFFFFF"/>
            <w:tcMar>
              <w:top w:w="40" w:type="dxa"/>
              <w:left w:w="70" w:type="dxa"/>
              <w:bottom w:w="40" w:type="dxa"/>
              <w:right w:w="70" w:type="dxa"/>
            </w:tcMar>
            <w:vAlign w:val="center"/>
            <w:hideMark/>
          </w:tcPr>
          <w:p w14:paraId="3912FC1D"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خفض الانبعاثات وصون الموارد</w:t>
            </w:r>
          </w:p>
        </w:tc>
      </w:tr>
    </w:tbl>
    <w:p w14:paraId="574CA871" w14:textId="77777777" w:rsidR="00706773" w:rsidRPr="00706773" w:rsidRDefault="00706773" w:rsidP="00706773">
      <w:pPr>
        <w:bidi/>
        <w:spacing w:before="20" w:line="360"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i/>
          <w:iCs/>
          <w:kern w:val="0"/>
          <w:sz w:val="19"/>
          <w:szCs w:val="19"/>
          <w:rtl/>
          <w14:ligatures w14:val="none"/>
        </w:rPr>
        <w:t xml:space="preserve">المصدر: إعداد الباحث استناداً إلى </w:t>
      </w:r>
      <w:r w:rsidRPr="00706773">
        <w:rPr>
          <w:rFonts w:ascii="Sakkal Majalla" w:eastAsia="Arial" w:hAnsi="Sakkal Majalla" w:cs="Sakkal Majalla"/>
          <w:i/>
          <w:iCs/>
          <w:kern w:val="0"/>
          <w:sz w:val="19"/>
          <w:szCs w:val="19"/>
          <w14:ligatures w14:val="none"/>
        </w:rPr>
        <w:t>Ghosh</w:t>
      </w:r>
      <w:r w:rsidRPr="00706773">
        <w:rPr>
          <w:rFonts w:ascii="Sakkal Majalla" w:eastAsia="Arial" w:hAnsi="Sakkal Majalla" w:cs="Sakkal Majalla"/>
          <w:i/>
          <w:iCs/>
          <w:kern w:val="0"/>
          <w:sz w:val="19"/>
          <w:szCs w:val="19"/>
          <w:rtl/>
          <w14:ligatures w14:val="none"/>
        </w:rPr>
        <w:t xml:space="preserve"> (2020) و</w:t>
      </w:r>
      <w:r w:rsidRPr="00706773">
        <w:rPr>
          <w:rFonts w:ascii="Sakkal Majalla" w:eastAsia="Arial" w:hAnsi="Sakkal Majalla" w:cs="Sakkal Majalla"/>
          <w:i/>
          <w:iCs/>
          <w:kern w:val="0"/>
          <w:sz w:val="19"/>
          <w:szCs w:val="19"/>
          <w14:ligatures w14:val="none"/>
        </w:rPr>
        <w:t>Ellen MacArthur Foundation</w:t>
      </w:r>
      <w:r w:rsidRPr="00706773">
        <w:rPr>
          <w:rFonts w:ascii="Sakkal Majalla" w:eastAsia="Arial" w:hAnsi="Sakkal Majalla" w:cs="Sakkal Majalla"/>
          <w:i/>
          <w:iCs/>
          <w:kern w:val="0"/>
          <w:sz w:val="19"/>
          <w:szCs w:val="19"/>
          <w:rtl/>
          <w14:ligatures w14:val="none"/>
        </w:rPr>
        <w:t xml:space="preserve"> (2013).</w:t>
      </w:r>
    </w:p>
    <w:p w14:paraId="32E6CEF1"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 xml:space="preserve">ويكتسب الاقتصاد الدائري في الحالة السعودية بُعداً إضافياً؛ فمع بلوغ النفايات العضوية والغذائية نحو نصف المتولّد، تتوافر مادةٌ خامٌ وفيرةٌ للتسبيخ وتوليد الطاقة الحيوية لو أُحسِن فرزها. وهنا يلتقي البُعدان التقني </w:t>
      </w:r>
      <w:r w:rsidRPr="00706773">
        <w:rPr>
          <w:rFonts w:ascii="Sakkal Majalla" w:eastAsia="Arial" w:hAnsi="Sakkal Majalla" w:cs="Sakkal Majalla"/>
          <w:kern w:val="0"/>
          <w:sz w:val="28"/>
          <w:szCs w:val="28"/>
          <w:rtl/>
          <w14:ligatures w14:val="none"/>
        </w:rPr>
        <w:lastRenderedPageBreak/>
        <w:t>والاقتصادي: فالفرز الدقيق المدعوم بالتقنية هو البوابة التي تتحوّل عبرها النفاية من عبءٍ يُدفَع للتخلّص منه إلى موردٍ يُدرّ عائداً، وهو ما يجعل الاستثمار في التقنية استثماراً في القيمة لا مجرد كلفةٍ تشغيلية. وهذا المنطق تحديداً هو ما تستهدفه الاستراتيجية الوطنية حين تسعى إلى تحويل الجزء الأكبر من النفايات بعيداً عن المطامر.</w:t>
      </w:r>
    </w:p>
    <w:p w14:paraId="5B9DCFDC" w14:textId="77777777" w:rsidR="00706773" w:rsidRPr="00706773" w:rsidRDefault="00706773" w:rsidP="00706773">
      <w:pPr>
        <w:spacing w:after="0" w:line="360" w:lineRule="auto"/>
        <w:rPr>
          <w:rFonts w:ascii="Sakkal Majalla" w:eastAsia="Arial" w:hAnsi="Sakkal Majalla" w:cs="Sakkal Majalla"/>
          <w:b/>
          <w:bCs/>
          <w:kern w:val="0"/>
          <w:sz w:val="29"/>
          <w:szCs w:val="29"/>
          <w14:ligatures w14:val="none"/>
        </w:rPr>
      </w:pPr>
      <w:r w:rsidRPr="00706773">
        <w:rPr>
          <w:rFonts w:ascii="Sakkal Majalla" w:eastAsia="Arial" w:hAnsi="Sakkal Majalla" w:cs="Sakkal Majalla"/>
          <w:b/>
          <w:bCs/>
          <w:kern w:val="0"/>
          <w:sz w:val="29"/>
          <w:szCs w:val="29"/>
          <w:rtl/>
          <w14:ligatures w14:val="none"/>
        </w:rPr>
        <w:br w:type="page"/>
      </w:r>
    </w:p>
    <w:p w14:paraId="503C22BB"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rtl/>
          <w14:ligatures w14:val="none"/>
        </w:rPr>
      </w:pPr>
      <w:bookmarkStart w:id="21" w:name="_Toc234378221"/>
      <w:r w:rsidRPr="00706773">
        <w:rPr>
          <w:rFonts w:ascii="Sakkal Majalla" w:eastAsia="Arial" w:hAnsi="Sakkal Majalla" w:cs="Sakkal Majalla"/>
          <w:b/>
          <w:bCs/>
          <w:kern w:val="0"/>
          <w:sz w:val="29"/>
          <w:szCs w:val="29"/>
          <w:rtl/>
          <w14:ligatures w14:val="none"/>
        </w:rPr>
        <w:lastRenderedPageBreak/>
        <w:t>2-4  التقنيات الذكية في إدارة النفايات</w:t>
      </w:r>
      <w:bookmarkEnd w:id="21"/>
    </w:p>
    <w:p w14:paraId="2E0D4AC8"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يُقصد بالتقنيات الذكية في هذا السياق منظومة الأدوات الرقمية المنبثقة عن الثورة الصناعية الرابعة، التي تُحوّل إدارة النفايات من عملياتٍ تُدار بالحدس والجداول الثابتة إلى عملياتٍ تُدار بالبيانات والاستجابة اللحظية. وتتكامل هذه التقنيات في أربع طبقاتٍ رئيسة يعرضها هذا المبحث تباعاً، ويوضّحها الشكل (2-1) في تدرّجها من الطبقة الحسّية التي تلتقط البيانات إلى طبقة التكامل التي تتّخذ القرار.</w:t>
      </w:r>
    </w:p>
    <w:p w14:paraId="4EFAB53E" w14:textId="77777777" w:rsidR="00706773" w:rsidRPr="00706773" w:rsidRDefault="00706773" w:rsidP="00706773">
      <w:pPr>
        <w:spacing w:before="80" w:after="40" w:line="360"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noProof/>
          <w:kern w:val="0"/>
          <w:sz w:val="28"/>
          <w:szCs w:val="28"/>
          <w14:ligatures w14:val="none"/>
        </w:rPr>
        <w:drawing>
          <wp:inline distT="0" distB="0" distL="0" distR="0" wp14:anchorId="47FA17C9" wp14:editId="4D620DD0">
            <wp:extent cx="5334000" cy="3429000"/>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34000" cy="3429000"/>
                    </a:xfrm>
                    <a:prstGeom prst="rect">
                      <a:avLst/>
                    </a:prstGeom>
                    <a:noFill/>
                    <a:ln>
                      <a:noFill/>
                    </a:ln>
                  </pic:spPr>
                </pic:pic>
              </a:graphicData>
            </a:graphic>
          </wp:inline>
        </w:drawing>
      </w:r>
    </w:p>
    <w:p w14:paraId="0307FC85" w14:textId="77777777" w:rsidR="00706773" w:rsidRPr="00706773" w:rsidRDefault="00706773" w:rsidP="00706773">
      <w:pPr>
        <w:bidi/>
        <w:spacing w:before="60" w:after="60" w:line="396"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شكل (2-1): الطبقات الأربع للمنظومة الذكية لإدارة النفايات</w:t>
      </w:r>
    </w:p>
    <w:p w14:paraId="646F2A7E" w14:textId="77777777" w:rsidR="00706773" w:rsidRPr="00706773" w:rsidRDefault="00706773" w:rsidP="00706773">
      <w:pPr>
        <w:bidi/>
        <w:spacing w:before="20" w:line="360"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i/>
          <w:iCs/>
          <w:kern w:val="0"/>
          <w:sz w:val="19"/>
          <w:szCs w:val="19"/>
          <w:rtl/>
          <w14:ligatures w14:val="none"/>
        </w:rPr>
        <w:t>المصدر: إعداد الباحث.</w:t>
      </w:r>
    </w:p>
    <w:p w14:paraId="17BE1C1D"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22" w:name="_Toc234378222"/>
      <w:r w:rsidRPr="00706773">
        <w:rPr>
          <w:rFonts w:ascii="Sakkal Majalla" w:eastAsia="Arial" w:hAnsi="Sakkal Majalla" w:cs="Sakkal Majalla"/>
          <w:b/>
          <w:bCs/>
          <w:kern w:val="0"/>
          <w:sz w:val="26"/>
          <w:szCs w:val="26"/>
          <w:rtl/>
          <w14:ligatures w14:val="none"/>
        </w:rPr>
        <w:t>2-4-1  إنترنت الأشياء (</w:t>
      </w:r>
      <w:r w:rsidRPr="00706773">
        <w:rPr>
          <w:rFonts w:ascii="Sakkal Majalla" w:eastAsia="Arial" w:hAnsi="Sakkal Majalla" w:cs="Sakkal Majalla"/>
          <w:b/>
          <w:bCs/>
          <w:kern w:val="0"/>
          <w:sz w:val="26"/>
          <w:szCs w:val="26"/>
          <w14:ligatures w14:val="none"/>
        </w:rPr>
        <w:t>IoT</w:t>
      </w:r>
      <w:r w:rsidRPr="00706773">
        <w:rPr>
          <w:rFonts w:ascii="Sakkal Majalla" w:eastAsia="Arial" w:hAnsi="Sakkal Majalla" w:cs="Sakkal Majalla"/>
          <w:b/>
          <w:bCs/>
          <w:kern w:val="0"/>
          <w:sz w:val="26"/>
          <w:szCs w:val="26"/>
          <w:rtl/>
          <w14:ligatures w14:val="none"/>
        </w:rPr>
        <w:t>)</w:t>
      </w:r>
      <w:bookmarkEnd w:id="22"/>
    </w:p>
    <w:p w14:paraId="73494412"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يُمثّل إنترنت الأشياء الطبقة الحسّية للمنظومة الذكية؛ فهو شبكةٌ من الحسّاسات المدمجة في الحاويات والمركبات تلتقط بياناتٍ لحظيةً عن مستوى الامتلاء ودرجة الحرارة والموقع الجغرافي، وترسلها إلى منصّاتٍ مركزيةٍ لاتخاذ القرار (</w:t>
      </w:r>
      <w:r w:rsidRPr="00706773">
        <w:rPr>
          <w:rFonts w:ascii="Sakkal Majalla" w:eastAsia="Arial" w:hAnsi="Sakkal Majalla" w:cs="Sakkal Majalla"/>
          <w:kern w:val="0"/>
          <w:sz w:val="28"/>
          <w:szCs w:val="28"/>
          <w14:ligatures w14:val="none"/>
        </w:rPr>
        <w:t>Anagnostopoulos et al</w:t>
      </w:r>
      <w:r w:rsidRPr="00706773">
        <w:rPr>
          <w:rFonts w:ascii="Sakkal Majalla" w:eastAsia="Arial" w:hAnsi="Sakkal Majalla" w:cs="Sakkal Majalla"/>
          <w:kern w:val="0"/>
          <w:sz w:val="28"/>
          <w:szCs w:val="28"/>
          <w:rtl/>
          <w14:ligatures w14:val="none"/>
        </w:rPr>
        <w:t xml:space="preserve">., 2017). وقد أثبتت المراجعات المنهجية أن دمج حسّاسات الامتلاء بأنظمة الجدولة </w:t>
      </w:r>
      <w:r w:rsidRPr="00706773">
        <w:rPr>
          <w:rFonts w:ascii="Sakkal Majalla" w:eastAsia="Arial" w:hAnsi="Sakkal Majalla" w:cs="Sakkal Majalla"/>
          <w:kern w:val="0"/>
          <w:sz w:val="28"/>
          <w:szCs w:val="28"/>
          <w:rtl/>
          <w14:ligatures w14:val="none"/>
        </w:rPr>
        <w:lastRenderedPageBreak/>
        <w:t>الذكية يُغني عن الجمع الدوري غير الضروري ويُعيد توزيع الجهد على الحاويات التي تحتاج إليه فعلاً، بما ينعكس خفضاً ملموساً في مسافات القطع والوقود والانبعاثات (</w:t>
      </w:r>
      <w:r w:rsidRPr="00706773">
        <w:rPr>
          <w:rFonts w:ascii="Sakkal Majalla" w:eastAsia="Arial" w:hAnsi="Sakkal Majalla" w:cs="Sakkal Majalla"/>
          <w:kern w:val="0"/>
          <w:sz w:val="28"/>
          <w:szCs w:val="28"/>
          <w14:ligatures w14:val="none"/>
        </w:rPr>
        <w:t>Hannan et al., 2015</w:t>
      </w:r>
      <w:r w:rsidRPr="00706773">
        <w:rPr>
          <w:rFonts w:ascii="Sakkal Majalla" w:eastAsia="Arial" w:hAnsi="Sakkal Majalla" w:cs="Sakkal Majalla"/>
          <w:kern w:val="0"/>
          <w:sz w:val="28"/>
          <w:szCs w:val="28"/>
          <w:rtl/>
          <w14:ligatures w14:val="none"/>
        </w:rPr>
        <w:t>). وعلى صعيد توجيه المركبات تحديداً، بيّنت دراسات نمذجة مسارات المركبات ذات السعة المحدودة أن خوارزميات التحسين — كخوارزمية سرب الطيور (</w:t>
      </w:r>
      <w:r w:rsidRPr="00706773">
        <w:rPr>
          <w:rFonts w:ascii="Sakkal Majalla" w:eastAsia="Arial" w:hAnsi="Sakkal Majalla" w:cs="Sakkal Majalla"/>
          <w:kern w:val="0"/>
          <w:sz w:val="28"/>
          <w:szCs w:val="28"/>
          <w14:ligatures w14:val="none"/>
        </w:rPr>
        <w:t>PSO</w:t>
      </w:r>
      <w:r w:rsidRPr="00706773">
        <w:rPr>
          <w:rFonts w:ascii="Sakkal Majalla" w:eastAsia="Arial" w:hAnsi="Sakkal Majalla" w:cs="Sakkal Majalla"/>
          <w:kern w:val="0"/>
          <w:sz w:val="28"/>
          <w:szCs w:val="28"/>
          <w:rtl/>
          <w14:ligatures w14:val="none"/>
        </w:rPr>
        <w:t>) — قادرةٌ على إعادة رسم المسارات بكفاءةٍ تفوق التوجيه اليدوي بفارقٍ اقتصاديٍّ معتبر (</w:t>
      </w:r>
      <w:r w:rsidRPr="00706773">
        <w:rPr>
          <w:rFonts w:ascii="Sakkal Majalla" w:eastAsia="Arial" w:hAnsi="Sakkal Majalla" w:cs="Sakkal Majalla"/>
          <w:kern w:val="0"/>
          <w:sz w:val="28"/>
          <w:szCs w:val="28"/>
          <w14:ligatures w14:val="none"/>
        </w:rPr>
        <w:t>Hannan et al., 2018</w:t>
      </w:r>
      <w:r w:rsidRPr="00706773">
        <w:rPr>
          <w:rFonts w:ascii="Sakkal Majalla" w:eastAsia="Arial" w:hAnsi="Sakkal Majalla" w:cs="Sakkal Majalla"/>
          <w:kern w:val="0"/>
          <w:sz w:val="28"/>
          <w:szCs w:val="28"/>
          <w:rtl/>
          <w14:ligatures w14:val="none"/>
        </w:rPr>
        <w:t>).</w:t>
      </w:r>
    </w:p>
    <w:p w14:paraId="5CC567F0"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ولا تقف فائدة إنترنت الأشياء عند خفض عدد الرحلات، بل تمتد إلى تحويل الحاوية نفسها إلى مصدر بياناتٍ حيّ. فكل حاويةٍ مزوّدةٍ بحسّاسٍ تُصبح نقطةً في خريطةٍ لحظيةٍ لتوزّع النفايات في المدينة، تُغذّي لوحات المتابعة وتُنبّه إلى الحاويات المكتظّة أو المعطّلة قبل أن تتحوّل إلى مشكلةٍ بيئيةٍ أو شكوى مواطن. وبهذا المعنى فإن قيمة الطبقة الحسّية لا تُقاس بالأجهزة بذاتها بل بالبيانات التي تولّدها، وهو ما يجعل نجاحها مرهوناً بوجود بنيةٍ لاستقبال هذه البيانات ومعالجتها — وهي حلقةٌ كثيراً ما تغيب في التطبيقات الجزئية.</w:t>
      </w:r>
    </w:p>
    <w:p w14:paraId="1C3156B4"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23" w:name="_Toc234378223"/>
      <w:r w:rsidRPr="00706773">
        <w:rPr>
          <w:rFonts w:ascii="Sakkal Majalla" w:eastAsia="Arial" w:hAnsi="Sakkal Majalla" w:cs="Sakkal Majalla"/>
          <w:b/>
          <w:bCs/>
          <w:kern w:val="0"/>
          <w:sz w:val="26"/>
          <w:szCs w:val="26"/>
          <w:rtl/>
          <w14:ligatures w14:val="none"/>
        </w:rPr>
        <w:t>2-4-2  الذكاء الاصطناعي والتعلّم الآلي</w:t>
      </w:r>
      <w:bookmarkEnd w:id="23"/>
    </w:p>
    <w:p w14:paraId="2BD7FC2D"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إذا كان إنترنت الأشياء عيني المنظومة، فإن الذكاء الاصطناعي عقلها المُفسِّر. فخوارزميات التعلّم الآلي والرؤية الحاسوبية تُوظَّف في تصنيف النفايات وفرزها آلياً إلى فئاتٍ (لدائن، ورق، معادن، زجاج، عضوي) بالاعتماد على تحليل الصور، وهو ما يرفع دقّة الفرز وسرعته مقارنةً بالفرز اليدوي المُعرَّض للخطأ والإرهاق. وقد أظهرت أنظمة الحاويات الذكية المزوّدة بنماذج الرؤية الحاسوبية دقّة تصنيفٍ تجاوزت 95% في بعض التطبيقات، مع قدرةٍ على الفرز الميكانيكي الآني (</w:t>
      </w:r>
      <w:r w:rsidRPr="00706773">
        <w:rPr>
          <w:rFonts w:ascii="Sakkal Majalla" w:eastAsia="Arial" w:hAnsi="Sakkal Majalla" w:cs="Sakkal Majalla"/>
          <w:kern w:val="0"/>
          <w:sz w:val="28"/>
          <w:szCs w:val="28"/>
          <w14:ligatures w14:val="none"/>
        </w:rPr>
        <w:t>Design and Implementation of an IoT and</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ML-based Smart Waste Management System, 2024</w:t>
      </w:r>
      <w:r w:rsidRPr="00706773">
        <w:rPr>
          <w:rFonts w:ascii="Sakkal Majalla" w:eastAsia="Arial" w:hAnsi="Sakkal Majalla" w:cs="Sakkal Majalla"/>
          <w:kern w:val="0"/>
          <w:sz w:val="28"/>
          <w:szCs w:val="28"/>
          <w:rtl/>
          <w14:ligatures w14:val="none"/>
        </w:rPr>
        <w:t>). وفي مراجعةٍ منهجيةٍ شاملةٍ لتطبيقات الذكاء الاصطناعي في إدارة النفايات، خلص عبد الله وزملاؤه إلى أن هذه التطبيقات — من التنبؤ بالكميات إلى تحسين المسارات والتصنيف — تُحقّق تحسيناتٍ منهجيةً في الكفاءة، وإن ظلّت مشروطةً بجودة البيانات وتوافر البنية التحتية (</w:t>
      </w:r>
      <w:r w:rsidRPr="00706773">
        <w:rPr>
          <w:rFonts w:ascii="Sakkal Majalla" w:eastAsia="Arial" w:hAnsi="Sakkal Majalla" w:cs="Sakkal Majalla"/>
          <w:kern w:val="0"/>
          <w:sz w:val="28"/>
          <w:szCs w:val="28"/>
          <w14:ligatures w14:val="none"/>
        </w:rPr>
        <w:t>Abdallah et al., 2020</w:t>
      </w:r>
      <w:r w:rsidRPr="00706773">
        <w:rPr>
          <w:rFonts w:ascii="Sakkal Majalla" w:eastAsia="Arial" w:hAnsi="Sakkal Majalla" w:cs="Sakkal Majalla"/>
          <w:kern w:val="0"/>
          <w:sz w:val="28"/>
          <w:szCs w:val="28"/>
          <w:rtl/>
          <w14:ligatures w14:val="none"/>
        </w:rPr>
        <w:t>).</w:t>
      </w:r>
    </w:p>
    <w:p w14:paraId="17F21A73"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lastRenderedPageBreak/>
        <w:t>والأثر الأعمق للذكاء الاصطناعي لا يكمن في استبدال العامل البشري بل في تمكينه؛ فحين يتولّى النظام مهمة الفرز المتكرر والمرهق، يتحرّر العنصر البشري للإشراف والصيانة واتخاذ القرار، وترتفع دقة الفرز فترتفع تبعاً لها جودة المواد المستردّة وقيمتها السوقية، وهو ما يُغذّي الاقتصاد الدائري مباشرةً. غير أن هذه المنظومة تتطلب «وقوداً» من البيانات المُصنَّفة لتدريب النماذج، وكوادرَ قادرةً على تشغيلها وصيانتها، ولذلك فإن أي خطةٍ لتبنّي الذكاء الاصطناعي لا تبدأ ببناء قاعدة البيانات وتأهيل الكوادر إنما تبني على رمال.</w:t>
      </w:r>
    </w:p>
    <w:p w14:paraId="3DED67EC"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24" w:name="_Toc234378224"/>
      <w:r w:rsidRPr="00706773">
        <w:rPr>
          <w:rFonts w:ascii="Sakkal Majalla" w:eastAsia="Arial" w:hAnsi="Sakkal Majalla" w:cs="Sakkal Majalla"/>
          <w:b/>
          <w:bCs/>
          <w:kern w:val="0"/>
          <w:sz w:val="26"/>
          <w:szCs w:val="26"/>
          <w:rtl/>
          <w14:ligatures w14:val="none"/>
        </w:rPr>
        <w:t>2-4-3  تحليل البيانات الضخمة والتنبؤ</w:t>
      </w:r>
      <w:bookmarkEnd w:id="24"/>
    </w:p>
    <w:p w14:paraId="57B8A0C6"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تُشكّل البيانات الضخمة الطبقة التحليلية الاستشرافية للمنظومة؛ إذ تُبنى عليها نماذج التنبؤ بكميات النفايات المتولدة استناداً إلى متغيراتٍ سكانيةٍ واقتصاديةٍ وموسمية، بما يُمكّن الجهات من التخطيط الاستباقي لتوزيع الحاويات وجدولة الأساطيل وتقدير الطاقة الاستيعابية للمرافق (</w:t>
      </w:r>
      <w:r w:rsidRPr="00706773">
        <w:rPr>
          <w:rFonts w:ascii="Sakkal Majalla" w:eastAsia="Arial" w:hAnsi="Sakkal Majalla" w:cs="Sakkal Majalla"/>
          <w:kern w:val="0"/>
          <w:sz w:val="28"/>
          <w:szCs w:val="28"/>
          <w14:ligatures w14:val="none"/>
        </w:rPr>
        <w:t>Kaza et al., 2018</w:t>
      </w:r>
      <w:r w:rsidRPr="00706773">
        <w:rPr>
          <w:rFonts w:ascii="Sakkal Majalla" w:eastAsia="Arial" w:hAnsi="Sakkal Majalla" w:cs="Sakkal Majalla"/>
          <w:kern w:val="0"/>
          <w:sz w:val="28"/>
          <w:szCs w:val="28"/>
          <w:rtl/>
          <w14:ligatures w14:val="none"/>
        </w:rPr>
        <w:t>). وحين تتكامل هذه النماذج مع بيانات الاستشعار اللحظية، تنتقل الإدارة من ردّ الفعل إلى الاستباق، فيصبح القرار مبنياً على توقّعٍ محسوبٍ لا على ملاحظةٍ متأخرة. غير أن جدوى هذه النماذج ترتهن بوجود بياناتٍ منظّمةٍ وقابلةٍ للتشغيل البيني، وهو شرطٌ يُعدّ من أبرز نقاط الضعف في السياقات النامية.</w:t>
      </w:r>
    </w:p>
    <w:p w14:paraId="60FCB62D"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والقيمة الاستراتيجية للبيانات الضخمة لا تقف عند التنبؤ بالكميات، بل تمتد إلى تحويل إدارة النفايات إلى منظومةٍ تُقاس وتُحسَّن باستمرار. فمن تحليل الأنماط الزمانية والمكانية لتوليد النفايات يمكن إعادة تصميم شبكة الحاويات ومواقع المرافق، ومن ربط بيانات التشغيل بمؤشرات الكلفة يمكن كشف مواطن الهدر، ومن مقارنة الأداء بين الأحياء والمدن يمكن نشر أفضل الممارسات. وبهذا تصبح البيانات هي اللغة المشتركة التي تُوحّد بين طبقات المنظومة المختلفة، وتفسّر لماذا وضع المبحوثون توحيد البيانات في صدارة أولويات التحوّل.</w:t>
      </w:r>
    </w:p>
    <w:p w14:paraId="59E5CBEA"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25" w:name="_Toc234378225"/>
      <w:r w:rsidRPr="00706773">
        <w:rPr>
          <w:rFonts w:ascii="Sakkal Majalla" w:eastAsia="Arial" w:hAnsi="Sakkal Majalla" w:cs="Sakkal Majalla"/>
          <w:b/>
          <w:bCs/>
          <w:kern w:val="0"/>
          <w:sz w:val="26"/>
          <w:szCs w:val="26"/>
          <w:rtl/>
          <w14:ligatures w14:val="none"/>
        </w:rPr>
        <w:t>2-4-4  التكامل والمنظومة الذكية</w:t>
      </w:r>
      <w:bookmarkEnd w:id="25"/>
    </w:p>
    <w:p w14:paraId="5FCCBB9A"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lastRenderedPageBreak/>
        <w:t>لا تتحقق القيمة الحقيقية لهذه التقنيات حين تعمل منفصلة، بل حين تتكامل في منظومةٍ واحدةٍ تنساب فيها البيانات من الحسّاس إلى الخوارزمية إلى منصّة القرار. فالحسّاس يرصد، والخوارزمية تُصنّف وتتنبّأ، والمنصّة توجّه وتُقيّم، في حلقةٍ مغلقةٍ من التحسين المستمر (</w:t>
      </w:r>
      <w:r w:rsidRPr="00706773">
        <w:rPr>
          <w:rFonts w:ascii="Sakkal Majalla" w:eastAsia="Arial" w:hAnsi="Sakkal Majalla" w:cs="Sakkal Majalla"/>
          <w:kern w:val="0"/>
          <w:sz w:val="28"/>
          <w:szCs w:val="28"/>
          <w14:ligatures w14:val="none"/>
        </w:rPr>
        <w:t>Anagnostopoulos</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et al., 2017</w:t>
      </w:r>
      <w:r w:rsidRPr="00706773">
        <w:rPr>
          <w:rFonts w:ascii="Sakkal Majalla" w:eastAsia="Arial" w:hAnsi="Sakkal Majalla" w:cs="Sakkal Majalla"/>
          <w:kern w:val="0"/>
          <w:sz w:val="28"/>
          <w:szCs w:val="28"/>
          <w:rtl/>
          <w14:ligatures w14:val="none"/>
        </w:rPr>
        <w:t xml:space="preserve">؛ </w:t>
      </w:r>
      <w:proofErr w:type="spellStart"/>
      <w:r w:rsidRPr="00706773">
        <w:rPr>
          <w:rFonts w:ascii="Sakkal Majalla" w:eastAsia="Arial" w:hAnsi="Sakkal Majalla" w:cs="Sakkal Majalla"/>
          <w:kern w:val="0"/>
          <w:sz w:val="28"/>
          <w:szCs w:val="28"/>
          <w14:ligatures w14:val="none"/>
        </w:rPr>
        <w:t>Alwadei</w:t>
      </w:r>
      <w:proofErr w:type="spellEnd"/>
      <w:r w:rsidRPr="00706773">
        <w:rPr>
          <w:rFonts w:ascii="Sakkal Majalla" w:eastAsia="Arial" w:hAnsi="Sakkal Majalla" w:cs="Sakkal Majalla"/>
          <w:kern w:val="0"/>
          <w:sz w:val="28"/>
          <w:szCs w:val="28"/>
          <w14:ligatures w14:val="none"/>
        </w:rPr>
        <w:t xml:space="preserve"> et al., 2024</w:t>
      </w:r>
      <w:r w:rsidRPr="00706773">
        <w:rPr>
          <w:rFonts w:ascii="Sakkal Majalla" w:eastAsia="Arial" w:hAnsi="Sakkal Majalla" w:cs="Sakkal Majalla"/>
          <w:kern w:val="0"/>
          <w:sz w:val="28"/>
          <w:szCs w:val="28"/>
          <w:rtl/>
          <w14:ligatures w14:val="none"/>
        </w:rPr>
        <w:t>). وهذا التصوّر التكاملي هو جوهر النموذج الإطاري الذي تسعى الدراسة الحالية إلى بنائه، إذ إن ضعف التكامل — لا غياب التقنية بذاتها — هو ما يُعطّل كثيراً من المبادرات الجزئية القائمة.</w:t>
      </w:r>
    </w:p>
    <w:p w14:paraId="4C45FCDA"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ويمكن تشبيه المنظومة الذكية المتكاملة بالجهاز العصبي؛ فالحسّاسات أطرافٌ حسّية، والخوارزميات دماغٌ يُحلّل، ومنصّة القرار إرادةٌ تُوجّه، والبيانات هي النبضات التي تسري بينها. وحين ينقطع أيٌّ من هذه الروابط تتحوّل الأجزاء إلى جزرٍ معزولةٍ عاجزةٍ عن التصرّف الجمعي، وهو ما يفسّر لماذا تفشل الحلول التقنية المتفرّقة مهما بلغت جودة كل قطعةٍ على حدة. ومن هنا فإن الرهان الحقيقي ليس على اقتناء أحدث الأجهزة، بل على نسج الروابط بينها ضمن حوكمةٍ رقميةٍ موحّدة — وهي الرسالة التي تتردّد في نتائج هذه الدراسة من أولها إلى آخرها.</w:t>
      </w:r>
    </w:p>
    <w:p w14:paraId="34022557" w14:textId="77777777" w:rsidR="00706773" w:rsidRPr="00706773" w:rsidRDefault="00706773" w:rsidP="00706773">
      <w:pPr>
        <w:bidi/>
        <w:spacing w:before="160" w:after="90" w:line="396" w:lineRule="auto"/>
        <w:outlineLvl w:val="2"/>
        <w:rPr>
          <w:rFonts w:ascii="Sakkal Majalla" w:eastAsia="Arial" w:hAnsi="Sakkal Majalla" w:cs="Sakkal Majalla"/>
          <w:kern w:val="0"/>
          <w14:ligatures w14:val="none"/>
        </w:rPr>
      </w:pPr>
      <w:bookmarkStart w:id="26" w:name="_Toc234378226"/>
      <w:r w:rsidRPr="00706773">
        <w:rPr>
          <w:rFonts w:ascii="Sakkal Majalla" w:eastAsia="Arial" w:hAnsi="Sakkal Majalla" w:cs="Sakkal Majalla"/>
          <w:b/>
          <w:bCs/>
          <w:kern w:val="0"/>
          <w:sz w:val="26"/>
          <w:szCs w:val="26"/>
          <w:rtl/>
          <w14:ligatures w14:val="none"/>
        </w:rPr>
        <w:t>2-4-5  التجارب الدولية الرائدة</w:t>
      </w:r>
      <w:bookmarkEnd w:id="26"/>
    </w:p>
    <w:p w14:paraId="515F54E5"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تقدّم التجارب الدولية دروساً ثمينةً يمكن الاستفادة منها في السياق السعودي بعد مواءمتها. فمدينة سنغافورة تُعدّ من أبرز النماذج في هذا المجال؛ إذ بنت منظومةً متكاملةً تجمع بين محطات تحويل النفايات إلى طاقةٍ ومطمرٍ بحريٍّ مبتكرٍ (سيماكاو) ضمن مخططٍ وطنيٍّ للنفايات الصفرية، ووظّفت الاستشعار الذكي في مراقبة الحاويات والمرافق. وفي كوريا الجنوبية طُبِّق نظام الرسوم القائمة على الحجم مع حاوياتٍ ذكيةٍ تعمل بتقنية التعريف بموجات الراديو (</w:t>
      </w:r>
      <w:r w:rsidRPr="00706773">
        <w:rPr>
          <w:rFonts w:ascii="Sakkal Majalla" w:eastAsia="Arial" w:hAnsi="Sakkal Majalla" w:cs="Sakkal Majalla"/>
          <w:kern w:val="0"/>
          <w:sz w:val="28"/>
          <w:szCs w:val="28"/>
          <w14:ligatures w14:val="none"/>
        </w:rPr>
        <w:t>RFID</w:t>
      </w:r>
      <w:r w:rsidRPr="00706773">
        <w:rPr>
          <w:rFonts w:ascii="Sakkal Majalla" w:eastAsia="Arial" w:hAnsi="Sakkal Majalla" w:cs="Sakkal Majalla"/>
          <w:kern w:val="0"/>
          <w:sz w:val="28"/>
          <w:szCs w:val="28"/>
          <w:rtl/>
          <w14:ligatures w14:val="none"/>
        </w:rPr>
        <w:t>) لنفايات الطعام، فحقّق خفضاً كبيراً في الكميات المتولدة عبر ربط الكلفة بالسلوك. أما المدن الأوروبية كبرشلونة فقد اعتمدت أنظمة الجمع الهوائي عبر الأنابيب وحاويات الاستشعار، في حين رسّخت مدنٌ أمريكيةٌ كسان فرانسيسكو ثقافة الفرز الإلزامي من المصدر والتسبيخ الواسع.</w:t>
      </w:r>
    </w:p>
    <w:p w14:paraId="5148AA4F"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lastRenderedPageBreak/>
        <w:t>وتُظهر مقارنةٌ أُجريت بين الرياض ونماذج مثل سنغافورة وأمستردام أن الفارق الجوهري لا يكمن في توافر التقنية بل في نضج البنية الرقمية وثقافة الفرز وحوكمة البيانات (</w:t>
      </w:r>
      <w:r w:rsidRPr="00706773">
        <w:rPr>
          <w:rFonts w:ascii="Sakkal Majalla" w:eastAsia="Arial" w:hAnsi="Sakkal Majalla" w:cs="Sakkal Majalla"/>
          <w:kern w:val="0"/>
          <w:sz w:val="28"/>
          <w:szCs w:val="28"/>
          <w14:ligatures w14:val="none"/>
        </w:rPr>
        <w:t>Smart Planning of Waste</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Management System in Saudi Arabia, 2022</w:t>
      </w:r>
      <w:r w:rsidRPr="00706773">
        <w:rPr>
          <w:rFonts w:ascii="Sakkal Majalla" w:eastAsia="Arial" w:hAnsi="Sakkal Majalla" w:cs="Sakkal Majalla"/>
          <w:kern w:val="0"/>
          <w:sz w:val="28"/>
          <w:szCs w:val="28"/>
          <w:rtl/>
          <w14:ligatures w14:val="none"/>
        </w:rPr>
        <w:t>). والدرس المستفاد أن نقل التجارب حرفياً لا يُجدي، وأن النجاح رهنٌ بمواءمتها مع الخصوصية المحلية تدريجياً — وهو ما ستؤكده لاحقاً شهادات الخبراء في الجانب الميداني من هذه الدراسة.</w:t>
      </w:r>
    </w:p>
    <w:p w14:paraId="6BBA7FB9"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27" w:name="_Toc234378227"/>
      <w:r w:rsidRPr="00706773">
        <w:rPr>
          <w:rFonts w:ascii="Sakkal Majalla" w:eastAsia="Arial" w:hAnsi="Sakkal Majalla" w:cs="Sakkal Majalla"/>
          <w:b/>
          <w:bCs/>
          <w:kern w:val="0"/>
          <w:sz w:val="29"/>
          <w:szCs w:val="29"/>
          <w:rtl/>
          <w14:ligatures w14:val="none"/>
        </w:rPr>
        <w:t>2-5  المنطلقات النظرية للدراسة</w:t>
      </w:r>
      <w:bookmarkEnd w:id="27"/>
    </w:p>
    <w:p w14:paraId="6CC2D30A"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تستند الدراسة إلى خمسة أطرٍ نظريةٍ يُكمل بعضها بعضاً في تفسير ظاهرة تبنّي التقنيات الذكية وتقييم أثرها. فبينما تشرح نظريتا الأنظمة والابتكار كيفية عمل المنظومة وانتشار الجديد فيها، يوفّر الاقتصاد الدائري والاستدامة معايير الحكم على المخرجات، ويكشف نموذج قبول التقنية العوامل السلوكية التي تحسم نجاح التطبيق على أرض الواقع. ويلخّص الجدول (2-3) هذه الأطر ووظيفة كلٍّ منها في الدراسة.</w:t>
      </w:r>
    </w:p>
    <w:p w14:paraId="09272A23"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نظرية الأنظمة الذكية: </w:t>
      </w:r>
      <w:r w:rsidRPr="00706773">
        <w:rPr>
          <w:rFonts w:ascii="Sakkal Majalla" w:eastAsia="Arial" w:hAnsi="Sakkal Majalla" w:cs="Sakkal Majalla"/>
          <w:kern w:val="0"/>
          <w:sz w:val="28"/>
          <w:szCs w:val="28"/>
          <w:rtl/>
          <w14:ligatures w14:val="none"/>
        </w:rPr>
        <w:t>تفسّر كيفية تكامل مكوّنات النظام التقني (الاستشعار والتحليل واتخاذ القرار) في كلٍّ عضويٍّ يستجيب للمتغيرات البيئية والتشغيلية، وتُوظّف لفهم كيفية اندماج إنترنت الأشياء والذكاء الاصطناعي والبيانات في منظومةٍ واحدة.</w:t>
      </w:r>
    </w:p>
    <w:p w14:paraId="3E882BCD"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نظرية انتشار الابتكارات (</w:t>
      </w:r>
      <w:r w:rsidRPr="00706773">
        <w:rPr>
          <w:rFonts w:ascii="Sakkal Majalla" w:eastAsia="Arial" w:hAnsi="Sakkal Majalla" w:cs="Sakkal Majalla"/>
          <w:b/>
          <w:bCs/>
          <w:kern w:val="0"/>
          <w:sz w:val="28"/>
          <w:szCs w:val="28"/>
          <w14:ligatures w14:val="none"/>
        </w:rPr>
        <w:t>Rogers, 2003</w:t>
      </w:r>
      <w:r w:rsidRPr="00706773">
        <w:rPr>
          <w:rFonts w:ascii="Sakkal Majalla" w:eastAsia="Arial" w:hAnsi="Sakkal Majalla" w:cs="Sakkal Majalla"/>
          <w:b/>
          <w:bCs/>
          <w:kern w:val="0"/>
          <w:sz w:val="28"/>
          <w:szCs w:val="28"/>
          <w:rtl/>
          <w14:ligatures w14:val="none"/>
        </w:rPr>
        <w:t xml:space="preserve">): </w:t>
      </w:r>
      <w:r w:rsidRPr="00706773">
        <w:rPr>
          <w:rFonts w:ascii="Sakkal Majalla" w:eastAsia="Arial" w:hAnsi="Sakkal Majalla" w:cs="Sakkal Majalla"/>
          <w:kern w:val="0"/>
          <w:sz w:val="28"/>
          <w:szCs w:val="28"/>
          <w:rtl/>
          <w14:ligatures w14:val="none"/>
        </w:rPr>
        <w:t>تُحدّد مراحل تبنّي التقنيات الجديدة والعوامل المؤثرة فيه، كالميزة النسبية والتوافقية وقابلية التجريب، وتُوفّر عدسةً لتحليل عوامل تبنّي الحلول التقنية في المؤسسات البلدية السعودية.</w:t>
      </w:r>
    </w:p>
    <w:p w14:paraId="09051BF6"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نظرية الاقتصاد الدائري (</w:t>
      </w:r>
      <w:r w:rsidRPr="00706773">
        <w:rPr>
          <w:rFonts w:ascii="Sakkal Majalla" w:eastAsia="Arial" w:hAnsi="Sakkal Majalla" w:cs="Sakkal Majalla"/>
          <w:b/>
          <w:bCs/>
          <w:kern w:val="0"/>
          <w:sz w:val="28"/>
          <w:szCs w:val="28"/>
          <w14:ligatures w14:val="none"/>
        </w:rPr>
        <w:t>Ellen MacArthur Foundation, 2013</w:t>
      </w:r>
      <w:r w:rsidRPr="00706773">
        <w:rPr>
          <w:rFonts w:ascii="Sakkal Majalla" w:eastAsia="Arial" w:hAnsi="Sakkal Majalla" w:cs="Sakkal Majalla"/>
          <w:b/>
          <w:bCs/>
          <w:kern w:val="0"/>
          <w:sz w:val="28"/>
          <w:szCs w:val="28"/>
          <w:rtl/>
          <w14:ligatures w14:val="none"/>
        </w:rPr>
        <w:t xml:space="preserve">؛ </w:t>
      </w:r>
      <w:r w:rsidRPr="00706773">
        <w:rPr>
          <w:rFonts w:ascii="Sakkal Majalla" w:eastAsia="Arial" w:hAnsi="Sakkal Majalla" w:cs="Sakkal Majalla"/>
          <w:b/>
          <w:bCs/>
          <w:kern w:val="0"/>
          <w:sz w:val="28"/>
          <w:szCs w:val="28"/>
          <w14:ligatures w14:val="none"/>
        </w:rPr>
        <w:t>Ghosh, 2020</w:t>
      </w:r>
      <w:r w:rsidRPr="00706773">
        <w:rPr>
          <w:rFonts w:ascii="Sakkal Majalla" w:eastAsia="Arial" w:hAnsi="Sakkal Majalla" w:cs="Sakkal Majalla"/>
          <w:b/>
          <w:bCs/>
          <w:kern w:val="0"/>
          <w:sz w:val="28"/>
          <w:szCs w:val="28"/>
          <w:rtl/>
          <w14:ligatures w14:val="none"/>
        </w:rPr>
        <w:t xml:space="preserve">): </w:t>
      </w:r>
      <w:r w:rsidRPr="00706773">
        <w:rPr>
          <w:rFonts w:ascii="Sakkal Majalla" w:eastAsia="Arial" w:hAnsi="Sakkal Majalla" w:cs="Sakkal Majalla"/>
          <w:kern w:val="0"/>
          <w:sz w:val="28"/>
          <w:szCs w:val="28"/>
          <w:rtl/>
          <w14:ligatures w14:val="none"/>
        </w:rPr>
        <w:t>تُقدّم معيار الحكم على مدى إسهام الحلول التقنية في إغلاق دورة المواد وتقليل الهدر واسترداد القيمة.</w:t>
      </w:r>
    </w:p>
    <w:p w14:paraId="240E6098"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lastRenderedPageBreak/>
        <w:t>نظرية الاستدامة البيئية (</w:t>
      </w:r>
      <w:r w:rsidRPr="00706773">
        <w:rPr>
          <w:rFonts w:ascii="Sakkal Majalla" w:eastAsia="Arial" w:hAnsi="Sakkal Majalla" w:cs="Sakkal Majalla"/>
          <w:b/>
          <w:bCs/>
          <w:kern w:val="0"/>
          <w:sz w:val="28"/>
          <w:szCs w:val="28"/>
          <w14:ligatures w14:val="none"/>
        </w:rPr>
        <w:t>WCED, 1987</w:t>
      </w:r>
      <w:r w:rsidRPr="00706773">
        <w:rPr>
          <w:rFonts w:ascii="Sakkal Majalla" w:eastAsia="Arial" w:hAnsi="Sakkal Majalla" w:cs="Sakkal Majalla"/>
          <w:b/>
          <w:bCs/>
          <w:kern w:val="0"/>
          <w:sz w:val="28"/>
          <w:szCs w:val="28"/>
          <w:rtl/>
          <w14:ligatures w14:val="none"/>
        </w:rPr>
        <w:t xml:space="preserve">): </w:t>
      </w:r>
      <w:r w:rsidRPr="00706773">
        <w:rPr>
          <w:rFonts w:ascii="Sakkal Majalla" w:eastAsia="Arial" w:hAnsi="Sakkal Majalla" w:cs="Sakkal Majalla"/>
          <w:kern w:val="0"/>
          <w:sz w:val="28"/>
          <w:szCs w:val="28"/>
          <w:rtl/>
          <w14:ligatures w14:val="none"/>
        </w:rPr>
        <w:t>تُرسّخ مفهوم التنمية المستدامة الموازِن بين حاجات الحاضر وحقوق الأجيال القادمة، وتُوفّر إطاراً لتقييم الأثر البيئي للممارسات المختلفة.</w:t>
      </w:r>
    </w:p>
    <w:p w14:paraId="569C71D9"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نموذج قبول التقنية (</w:t>
      </w:r>
      <w:r w:rsidRPr="00706773">
        <w:rPr>
          <w:rFonts w:ascii="Sakkal Majalla" w:eastAsia="Arial" w:hAnsi="Sakkal Majalla" w:cs="Sakkal Majalla"/>
          <w:b/>
          <w:bCs/>
          <w:kern w:val="0"/>
          <w:sz w:val="28"/>
          <w:szCs w:val="28"/>
          <w14:ligatures w14:val="none"/>
        </w:rPr>
        <w:t>Davis, 1989</w:t>
      </w:r>
      <w:r w:rsidRPr="00706773">
        <w:rPr>
          <w:rFonts w:ascii="Sakkal Majalla" w:eastAsia="Arial" w:hAnsi="Sakkal Majalla" w:cs="Sakkal Majalla"/>
          <w:b/>
          <w:bCs/>
          <w:kern w:val="0"/>
          <w:sz w:val="28"/>
          <w:szCs w:val="28"/>
          <w:rtl/>
          <w14:ligatures w14:val="none"/>
        </w:rPr>
        <w:t xml:space="preserve">): </w:t>
      </w:r>
      <w:r w:rsidRPr="00706773">
        <w:rPr>
          <w:rFonts w:ascii="Sakkal Majalla" w:eastAsia="Arial" w:hAnsi="Sakkal Majalla" w:cs="Sakkal Majalla"/>
          <w:kern w:val="0"/>
          <w:sz w:val="28"/>
          <w:szCs w:val="28"/>
          <w:rtl/>
          <w14:ligatures w14:val="none"/>
        </w:rPr>
        <w:t>يفسّر قبول المستخدمين للتقنيات الجديدة عبر متغيري «سهولة الاستخدام المُدرَكة» و«المنفعة المُدرَكة»، ويُعين على فهم عوامل قبول الكوادر للحلول الذكية ومقاومتها لها.</w:t>
      </w:r>
    </w:p>
    <w:p w14:paraId="4AC86860"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وتستحق نظريتا انتشار الابتكارات وقبول التقنية وقفةً أعمق لصلتهما المباشرة بنتائج هذه الدراسة. فروجرز يرى أن تبنّي أي ابتكارٍ يمرّ بمراحل تبدأ بالمعرفة فالإقناع فالقرار فالتطبيق ثم التثبيت، وأن سرعة هذا التبنّي تتحدّد بخمس خصائص: الميزة النسبية للابتكار، وتوافقه مع القيم والحاجات القائمة، ودرجة تعقيده، وقابليته للتجريب على نطاقٍ محدود، وقابلية ملاحظة نتائجه. وهذه الخصائص تُفسّر لماذا يميل الممارسون — كما ستُظهر النتائج — إلى تفضيل الحلول الأبسط والأقل كلفةً (كالاستشعار) بوصفها الأسهل تجريباً وملاحظةً للنتائج، قبل الانتقال إلى الأعقد (كالفرز المؤتمت).</w:t>
      </w:r>
    </w:p>
    <w:p w14:paraId="0558FCDA"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أما نموذج قبول التقنية فيُكمل هذه الصورة على المستوى الفردي؛ إذ يجعل من «المنفعة المُدرَكة» و«سهولة الاستخدام المُدرَكة» بوابتين لتشكّل نية استخدام التقنية ثم استخدامها الفعلي. ومقاومة التغيير التي كثيراً ما تُعزى إلى العاملين ليست في جوهرها رفضاً للتقنية بقدر ما هي انخفاضٌ في إدراك منفعتها أو سهولتها، وهو ما يُعالَج ببناء القدرات والتدريب لا بالإلزام وحده. ولذلك سيتبيّن لاحقاً أن «بناء القدرات» يتصدّر عوامل النجاح في تصوّرات المبحوثين، تصديقاً لهذا الإطار النظري.</w:t>
      </w:r>
    </w:p>
    <w:p w14:paraId="41E8DFBB" w14:textId="77777777" w:rsidR="00706773" w:rsidRPr="00706773" w:rsidRDefault="00706773" w:rsidP="00706773">
      <w:pPr>
        <w:bidi/>
        <w:spacing w:before="60" w:after="60" w:line="396"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جدول (2-3): المنطلقات النظرية الخمس ووظيفة كلٍّ منها في الدراسة</w:t>
      </w:r>
    </w:p>
    <w:tbl>
      <w:tblPr>
        <w:bidiVisual/>
        <w:tblW w:w="9200" w:type="dxa"/>
        <w:tblBorders>
          <w:top w:val="single" w:sz="4" w:space="0" w:color="9BB8AF"/>
          <w:left w:val="single" w:sz="4" w:space="0" w:color="9BB8AF"/>
          <w:bottom w:val="single" w:sz="4" w:space="0" w:color="9BB8AF"/>
          <w:right w:val="single" w:sz="4" w:space="0" w:color="9BB8AF"/>
          <w:insideH w:val="single" w:sz="2" w:space="0" w:color="C9D8D3"/>
          <w:insideV w:val="single" w:sz="2" w:space="0" w:color="C9D8D3"/>
        </w:tblBorders>
        <w:shd w:val="clear" w:color="auto" w:fill="FFFFFF"/>
        <w:tblCellMar>
          <w:left w:w="10" w:type="dxa"/>
          <w:right w:w="10" w:type="dxa"/>
        </w:tblCellMar>
        <w:tblLook w:val="04A0" w:firstRow="1" w:lastRow="0" w:firstColumn="1" w:lastColumn="0" w:noHBand="0" w:noVBand="1"/>
      </w:tblPr>
      <w:tblGrid>
        <w:gridCol w:w="2400"/>
        <w:gridCol w:w="2900"/>
        <w:gridCol w:w="3900"/>
      </w:tblGrid>
      <w:tr w:rsidR="00706773" w:rsidRPr="00706773" w14:paraId="29AC453F" w14:textId="77777777" w:rsidTr="00706773">
        <w:trPr>
          <w:tblHeader/>
        </w:trPr>
        <w:tc>
          <w:tcPr>
            <w:tcW w:w="2400" w:type="dxa"/>
            <w:tcBorders>
              <w:top w:val="single" w:sz="4" w:space="0" w:color="9BB8AF"/>
              <w:left w:val="single" w:sz="4" w:space="0" w:color="9BB8AF"/>
              <w:bottom w:val="single" w:sz="2" w:space="0" w:color="C9D8D3"/>
              <w:right w:val="single" w:sz="2" w:space="0" w:color="C9D8D3"/>
            </w:tcBorders>
            <w:shd w:val="clear" w:color="auto" w:fill="D9D9D9"/>
            <w:tcMar>
              <w:top w:w="40" w:type="dxa"/>
              <w:left w:w="70" w:type="dxa"/>
              <w:bottom w:w="40" w:type="dxa"/>
              <w:right w:w="70" w:type="dxa"/>
            </w:tcMar>
            <w:vAlign w:val="center"/>
            <w:hideMark/>
          </w:tcPr>
          <w:p w14:paraId="1DDBED0A"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النظرية / النموذج</w:t>
            </w:r>
          </w:p>
        </w:tc>
        <w:tc>
          <w:tcPr>
            <w:tcW w:w="2900" w:type="dxa"/>
            <w:tcBorders>
              <w:top w:val="single" w:sz="4" w:space="0" w:color="9BB8AF"/>
              <w:left w:val="single" w:sz="2" w:space="0" w:color="C9D8D3"/>
              <w:bottom w:val="single" w:sz="2" w:space="0" w:color="C9D8D3"/>
              <w:right w:val="single" w:sz="2" w:space="0" w:color="C9D8D3"/>
            </w:tcBorders>
            <w:shd w:val="clear" w:color="auto" w:fill="D9D9D9"/>
            <w:tcMar>
              <w:top w:w="40" w:type="dxa"/>
              <w:left w:w="70" w:type="dxa"/>
              <w:bottom w:w="40" w:type="dxa"/>
              <w:right w:w="70" w:type="dxa"/>
            </w:tcMar>
            <w:vAlign w:val="center"/>
            <w:hideMark/>
          </w:tcPr>
          <w:p w14:paraId="192165E3"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المصدر الأصلي</w:t>
            </w:r>
          </w:p>
        </w:tc>
        <w:tc>
          <w:tcPr>
            <w:tcW w:w="3900" w:type="dxa"/>
            <w:tcBorders>
              <w:top w:val="single" w:sz="4" w:space="0" w:color="9BB8AF"/>
              <w:left w:val="single" w:sz="2" w:space="0" w:color="C9D8D3"/>
              <w:bottom w:val="single" w:sz="2" w:space="0" w:color="C9D8D3"/>
              <w:right w:val="single" w:sz="4" w:space="0" w:color="9BB8AF"/>
            </w:tcBorders>
            <w:shd w:val="clear" w:color="auto" w:fill="D9D9D9"/>
            <w:tcMar>
              <w:top w:w="40" w:type="dxa"/>
              <w:left w:w="70" w:type="dxa"/>
              <w:bottom w:w="40" w:type="dxa"/>
              <w:right w:w="70" w:type="dxa"/>
            </w:tcMar>
            <w:vAlign w:val="center"/>
            <w:hideMark/>
          </w:tcPr>
          <w:p w14:paraId="314E735B"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وظيفتها في الدراسة</w:t>
            </w:r>
          </w:p>
        </w:tc>
      </w:tr>
      <w:tr w:rsidR="00706773" w:rsidRPr="00706773" w14:paraId="6C586C1C" w14:textId="77777777" w:rsidTr="00706773">
        <w:tc>
          <w:tcPr>
            <w:tcW w:w="2400"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50E95DE6"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الأنظمة الذكية</w:t>
            </w:r>
          </w:p>
        </w:tc>
        <w:tc>
          <w:tcPr>
            <w:tcW w:w="29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23C41C7E"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أدبيات هندسة النظم</w:t>
            </w:r>
          </w:p>
        </w:tc>
        <w:tc>
          <w:tcPr>
            <w:tcW w:w="3900"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3585E2BE"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تفسير تكامل مكوّنات المنظومة الذكية</w:t>
            </w:r>
          </w:p>
        </w:tc>
      </w:tr>
      <w:tr w:rsidR="00706773" w:rsidRPr="00706773" w14:paraId="2829B06F" w14:textId="77777777" w:rsidTr="00706773">
        <w:tc>
          <w:tcPr>
            <w:tcW w:w="2400"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17386D41"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انتشار الابتكارات</w:t>
            </w:r>
          </w:p>
        </w:tc>
        <w:tc>
          <w:tcPr>
            <w:tcW w:w="29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6AC40C7C"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Rogers</w:t>
            </w:r>
            <w:r w:rsidRPr="00706773">
              <w:rPr>
                <w:rFonts w:ascii="Sakkal Majalla" w:eastAsia="Arial" w:hAnsi="Sakkal Majalla" w:cs="Sakkal Majalla"/>
                <w:kern w:val="0"/>
                <w:sz w:val="21"/>
                <w:szCs w:val="21"/>
                <w:rtl/>
                <w14:ligatures w14:val="none"/>
              </w:rPr>
              <w:t xml:space="preserve"> (2003)</w:t>
            </w:r>
          </w:p>
        </w:tc>
        <w:tc>
          <w:tcPr>
            <w:tcW w:w="3900"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7E1FE1E3"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تحليل عوامل تبنّي التقنية مؤسسياً</w:t>
            </w:r>
          </w:p>
        </w:tc>
      </w:tr>
      <w:tr w:rsidR="00706773" w:rsidRPr="00706773" w14:paraId="590209B6" w14:textId="77777777" w:rsidTr="00706773">
        <w:tc>
          <w:tcPr>
            <w:tcW w:w="2400"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62626C9C"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الاقتصاد الدائري</w:t>
            </w:r>
          </w:p>
        </w:tc>
        <w:tc>
          <w:tcPr>
            <w:tcW w:w="29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74ED9827"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EMF (2013); Ghosh</w:t>
            </w:r>
            <w:r w:rsidRPr="00706773">
              <w:rPr>
                <w:rFonts w:ascii="Sakkal Majalla" w:eastAsia="Arial" w:hAnsi="Sakkal Majalla" w:cs="Sakkal Majalla"/>
                <w:kern w:val="0"/>
                <w:sz w:val="21"/>
                <w:szCs w:val="21"/>
                <w:rtl/>
                <w14:ligatures w14:val="none"/>
              </w:rPr>
              <w:t xml:space="preserve"> (2020)</w:t>
            </w:r>
          </w:p>
        </w:tc>
        <w:tc>
          <w:tcPr>
            <w:tcW w:w="3900"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59F2F731"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معيار قياس إغلاق دورة المواد</w:t>
            </w:r>
          </w:p>
        </w:tc>
      </w:tr>
      <w:tr w:rsidR="00706773" w:rsidRPr="00706773" w14:paraId="6362E7C2" w14:textId="77777777" w:rsidTr="00706773">
        <w:tc>
          <w:tcPr>
            <w:tcW w:w="2400"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3E3B6F12"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lastRenderedPageBreak/>
              <w:t>الاستدامة البيئية</w:t>
            </w:r>
          </w:p>
        </w:tc>
        <w:tc>
          <w:tcPr>
            <w:tcW w:w="290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0920EB38"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WCED</w:t>
            </w:r>
            <w:r w:rsidRPr="00706773">
              <w:rPr>
                <w:rFonts w:ascii="Sakkal Majalla" w:eastAsia="Arial" w:hAnsi="Sakkal Majalla" w:cs="Sakkal Majalla"/>
                <w:kern w:val="0"/>
                <w:sz w:val="21"/>
                <w:szCs w:val="21"/>
                <w:rtl/>
                <w14:ligatures w14:val="none"/>
              </w:rPr>
              <w:t xml:space="preserve"> (1987)</w:t>
            </w:r>
          </w:p>
        </w:tc>
        <w:tc>
          <w:tcPr>
            <w:tcW w:w="3900"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4EEC897A"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تقييم الأثر البيئي للحلول</w:t>
            </w:r>
          </w:p>
        </w:tc>
      </w:tr>
      <w:tr w:rsidR="00706773" w:rsidRPr="00706773" w14:paraId="15BB4120" w14:textId="77777777" w:rsidTr="00706773">
        <w:tc>
          <w:tcPr>
            <w:tcW w:w="2400" w:type="dxa"/>
            <w:tcBorders>
              <w:top w:val="single" w:sz="2" w:space="0" w:color="C9D8D3"/>
              <w:left w:val="single" w:sz="4" w:space="0" w:color="9BB8AF"/>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6461E088" w14:textId="77777777" w:rsidR="00706773" w:rsidRPr="00706773" w:rsidRDefault="00706773" w:rsidP="00706773">
            <w:pPr>
              <w:bidi/>
              <w:spacing w:after="0" w:line="264" w:lineRule="auto"/>
              <w:jc w:val="center"/>
              <w:rPr>
                <w:rFonts w:ascii="Sakkal Majalla" w:eastAsia="Arial" w:hAnsi="Sakkal Majalla" w:cs="Sakkal Majalla"/>
                <w:b/>
                <w:bCs/>
                <w:kern w:val="0"/>
                <w:sz w:val="28"/>
                <w:szCs w:val="28"/>
                <w14:ligatures w14:val="none"/>
              </w:rPr>
            </w:pPr>
            <w:r w:rsidRPr="00706773">
              <w:rPr>
                <w:rFonts w:ascii="Sakkal Majalla" w:eastAsia="Arial" w:hAnsi="Sakkal Majalla" w:cs="Sakkal Majalla"/>
                <w:b/>
                <w:bCs/>
                <w:kern w:val="0"/>
                <w:sz w:val="21"/>
                <w:szCs w:val="21"/>
                <w:rtl/>
                <w14:ligatures w14:val="none"/>
              </w:rPr>
              <w:t>قبول التقنية (</w:t>
            </w:r>
            <w:r w:rsidRPr="00706773">
              <w:rPr>
                <w:rFonts w:ascii="Sakkal Majalla" w:eastAsia="Arial" w:hAnsi="Sakkal Majalla" w:cs="Sakkal Majalla"/>
                <w:b/>
                <w:bCs/>
                <w:kern w:val="0"/>
                <w:sz w:val="21"/>
                <w:szCs w:val="21"/>
                <w14:ligatures w14:val="none"/>
              </w:rPr>
              <w:t>TAM</w:t>
            </w:r>
            <w:r w:rsidRPr="00706773">
              <w:rPr>
                <w:rFonts w:ascii="Sakkal Majalla" w:eastAsia="Arial" w:hAnsi="Sakkal Majalla" w:cs="Sakkal Majalla"/>
                <w:b/>
                <w:bCs/>
                <w:kern w:val="0"/>
                <w:sz w:val="21"/>
                <w:szCs w:val="21"/>
                <w:rtl/>
                <w14:ligatures w14:val="none"/>
              </w:rPr>
              <w:t>)</w:t>
            </w:r>
          </w:p>
        </w:tc>
        <w:tc>
          <w:tcPr>
            <w:tcW w:w="2900" w:type="dxa"/>
            <w:tcBorders>
              <w:top w:val="single" w:sz="2" w:space="0" w:color="C9D8D3"/>
              <w:left w:val="single" w:sz="2" w:space="0" w:color="C9D8D3"/>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19EFA031"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Davis</w:t>
            </w:r>
            <w:r w:rsidRPr="00706773">
              <w:rPr>
                <w:rFonts w:ascii="Sakkal Majalla" w:eastAsia="Arial" w:hAnsi="Sakkal Majalla" w:cs="Sakkal Majalla"/>
                <w:kern w:val="0"/>
                <w:sz w:val="21"/>
                <w:szCs w:val="21"/>
                <w:rtl/>
                <w14:ligatures w14:val="none"/>
              </w:rPr>
              <w:t xml:space="preserve"> (1989)</w:t>
            </w:r>
          </w:p>
        </w:tc>
        <w:tc>
          <w:tcPr>
            <w:tcW w:w="3900" w:type="dxa"/>
            <w:tcBorders>
              <w:top w:val="single" w:sz="2" w:space="0" w:color="C9D8D3"/>
              <w:left w:val="single" w:sz="2" w:space="0" w:color="C9D8D3"/>
              <w:bottom w:val="single" w:sz="4" w:space="0" w:color="9BB8AF"/>
              <w:right w:val="single" w:sz="4" w:space="0" w:color="9BB8AF"/>
            </w:tcBorders>
            <w:shd w:val="clear" w:color="auto" w:fill="FFFFFF"/>
            <w:tcMar>
              <w:top w:w="40" w:type="dxa"/>
              <w:left w:w="70" w:type="dxa"/>
              <w:bottom w:w="40" w:type="dxa"/>
              <w:right w:w="70" w:type="dxa"/>
            </w:tcMar>
            <w:vAlign w:val="center"/>
            <w:hideMark/>
          </w:tcPr>
          <w:p w14:paraId="18E14907"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تفسير قبول الكوادر ومقاومتها</w:t>
            </w:r>
          </w:p>
        </w:tc>
      </w:tr>
    </w:tbl>
    <w:p w14:paraId="4BBE2936" w14:textId="77777777" w:rsidR="00706773" w:rsidRPr="00706773" w:rsidRDefault="00706773" w:rsidP="00706773">
      <w:pPr>
        <w:bidi/>
        <w:spacing w:before="20" w:line="360"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i/>
          <w:iCs/>
          <w:kern w:val="0"/>
          <w:sz w:val="19"/>
          <w:szCs w:val="19"/>
          <w:rtl/>
          <w14:ligatures w14:val="none"/>
        </w:rPr>
        <w:t>المصدر: إعداد الباحث.</w:t>
      </w:r>
    </w:p>
    <w:p w14:paraId="593FEC7C" w14:textId="77777777" w:rsidR="00706773" w:rsidRPr="00706773" w:rsidRDefault="00706773" w:rsidP="00706773">
      <w:pPr>
        <w:bidi/>
        <w:spacing w:before="220" w:after="120" w:line="396" w:lineRule="auto"/>
        <w:jc w:val="right"/>
        <w:outlineLvl w:val="1"/>
        <w:rPr>
          <w:rFonts w:ascii="Sakkal Majalla" w:eastAsia="Arial" w:hAnsi="Sakkal Majalla" w:cs="Sakkal Majalla"/>
          <w:kern w:val="0"/>
          <w:sz w:val="26"/>
          <w:szCs w:val="26"/>
          <w14:ligatures w14:val="none"/>
        </w:rPr>
      </w:pPr>
      <w:bookmarkStart w:id="28" w:name="_Toc234378228"/>
      <w:r w:rsidRPr="00706773">
        <w:rPr>
          <w:rFonts w:ascii="Sakkal Majalla" w:eastAsia="Arial" w:hAnsi="Sakkal Majalla" w:cs="Sakkal Majalla"/>
          <w:b/>
          <w:bCs/>
          <w:kern w:val="0"/>
          <w:sz w:val="29"/>
          <w:szCs w:val="29"/>
          <w:rtl/>
          <w14:ligatures w14:val="none"/>
        </w:rPr>
        <w:t>2-6  السياق السعودي: رؤية 2030 والاستراتيجية الوطنية</w:t>
      </w:r>
      <w:bookmarkEnd w:id="28"/>
    </w:p>
    <w:p w14:paraId="04603228"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لا يكتمل الإطار النظري دون ربطه بالسياق الذي تجري فيه الدراسة. فالمملكة العربية السعودية تمرّ بتحوّلٍ مؤسسيٍّ عميقٍ في قطاع النفايات؛ إذ صدر نظام إدارة النفايات عام 2021 لينظّم النقل والفرز والتخزين والتخلّص، وأُنشئ المركز الوطني لإدارة النفايات (</w:t>
      </w:r>
      <w:r w:rsidRPr="00706773">
        <w:rPr>
          <w:rFonts w:ascii="Sakkal Majalla" w:eastAsia="Arial" w:hAnsi="Sakkal Majalla" w:cs="Sakkal Majalla"/>
          <w:kern w:val="0"/>
          <w:sz w:val="28"/>
          <w:szCs w:val="28"/>
          <w14:ligatures w14:val="none"/>
        </w:rPr>
        <w:t>MWAN</w:t>
      </w:r>
      <w:r w:rsidRPr="00706773">
        <w:rPr>
          <w:rFonts w:ascii="Sakkal Majalla" w:eastAsia="Arial" w:hAnsi="Sakkal Majalla" w:cs="Sakkal Majalla"/>
          <w:kern w:val="0"/>
          <w:sz w:val="28"/>
          <w:szCs w:val="28"/>
          <w:rtl/>
          <w14:ligatures w14:val="none"/>
        </w:rPr>
        <w:t>) ليشرف على القطاع ويعزّز مبادئ الاقتصاد الدائري، إلى جانب الشركة السعودية للاستثمار في إعادة التدوير (</w:t>
      </w:r>
      <w:r w:rsidRPr="00706773">
        <w:rPr>
          <w:rFonts w:ascii="Sakkal Majalla" w:eastAsia="Arial" w:hAnsi="Sakkal Majalla" w:cs="Sakkal Majalla"/>
          <w:kern w:val="0"/>
          <w:sz w:val="28"/>
          <w:szCs w:val="28"/>
          <w14:ligatures w14:val="none"/>
        </w:rPr>
        <w:t>SIRC</w:t>
      </w:r>
      <w:r w:rsidRPr="00706773">
        <w:rPr>
          <w:rFonts w:ascii="Sakkal Majalla" w:eastAsia="Arial" w:hAnsi="Sakkal Majalla" w:cs="Sakkal Majalla"/>
          <w:kern w:val="0"/>
          <w:sz w:val="28"/>
          <w:szCs w:val="28"/>
          <w:rtl/>
          <w14:ligatures w14:val="none"/>
        </w:rPr>
        <w:t>) بوصفها الذراع الاستثمارية (</w:t>
      </w:r>
      <w:r w:rsidRPr="00706773">
        <w:rPr>
          <w:rFonts w:ascii="Sakkal Majalla" w:eastAsia="Arial" w:hAnsi="Sakkal Majalla" w:cs="Sakkal Majalla"/>
          <w:kern w:val="0"/>
          <w:sz w:val="28"/>
          <w:szCs w:val="28"/>
          <w14:ligatures w14:val="none"/>
        </w:rPr>
        <w:t>National Center for Waste</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Management, 2023</w:t>
      </w:r>
      <w:r w:rsidRPr="00706773">
        <w:rPr>
          <w:rFonts w:ascii="Sakkal Majalla" w:eastAsia="Arial" w:hAnsi="Sakkal Majalla" w:cs="Sakkal Majalla"/>
          <w:kern w:val="0"/>
          <w:sz w:val="28"/>
          <w:szCs w:val="28"/>
          <w:rtl/>
          <w14:ligatures w14:val="none"/>
        </w:rPr>
        <w:t>). وتضع الاستراتيجية الوطنية لإدارة النفايات مستهدفاتٍ طموحةً أبرزها تحويل ما يصل إلى 90% من النفايات بعيداً عن المطامر بحلول عام 2040، بما ينسجم مع ركائز رؤية المملكة 2030 في الاستدامة والمدن الذكية (وزارة الشؤون البلدية والقروية والإسكان، 2022).</w:t>
      </w:r>
    </w:p>
    <w:p w14:paraId="7970EB97"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غير أن الفجوة بين طموح السياسات وواقع التطبيق تظل قائمة؛ إذ تشير الدراسات إلى أن مدينةً كالرياض تواجه أربع مشكلاتٍ محوريةٍ في منظومتها: عدم كفاءة مسارات الجمع، والحاويات المكشوفة، وضعف جمع البيانات، ومحدودية الفرز من المصدر (</w:t>
      </w:r>
      <w:r w:rsidRPr="00706773">
        <w:rPr>
          <w:rFonts w:ascii="Sakkal Majalla" w:eastAsia="Arial" w:hAnsi="Sakkal Majalla" w:cs="Sakkal Majalla"/>
          <w:kern w:val="0"/>
          <w:sz w:val="28"/>
          <w:szCs w:val="28"/>
          <w14:ligatures w14:val="none"/>
        </w:rPr>
        <w:t>Smart Planning of Waste Management</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System in Saudi Arabia, 2022</w:t>
      </w:r>
      <w:r w:rsidRPr="00706773">
        <w:rPr>
          <w:rFonts w:ascii="Sakkal Majalla" w:eastAsia="Arial" w:hAnsi="Sakkal Majalla" w:cs="Sakkal Majalla"/>
          <w:kern w:val="0"/>
          <w:sz w:val="28"/>
          <w:szCs w:val="28"/>
          <w:rtl/>
          <w14:ligatures w14:val="none"/>
        </w:rPr>
        <w:t>). وهذه المشكلات الأربع تكاد تكون ترجمةً حرفيةً للحاجة إلى الحلول التقنية الأربع التي عُرضت آنفاً، مما يمنح الدراسة الحالية مسوّغاً عملياً واضحاً.</w:t>
      </w:r>
    </w:p>
    <w:p w14:paraId="7C0AEF7F"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29" w:name="_Toc234378229"/>
      <w:r w:rsidRPr="00706773">
        <w:rPr>
          <w:rFonts w:ascii="Sakkal Majalla" w:eastAsia="Arial" w:hAnsi="Sakkal Majalla" w:cs="Sakkal Majalla"/>
          <w:b/>
          <w:bCs/>
          <w:kern w:val="0"/>
          <w:sz w:val="29"/>
          <w:szCs w:val="29"/>
          <w:rtl/>
          <w14:ligatures w14:val="none"/>
        </w:rPr>
        <w:t>2-7  الدراسات السابقة: المحور الأول — إنترنت الأشياء في إدارة النفايات</w:t>
      </w:r>
      <w:bookmarkEnd w:id="29"/>
    </w:p>
    <w:p w14:paraId="4A92CDDA"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 xml:space="preserve">حظي توظيف إنترنت الأشياء في إدارة النفايات باهتمامٍ بحثيٍّ مبكّرٍ ومتصاعد. فقد قدّم أناجنوستوبولوس وزملاؤه (2017) مسحاً تحليلياً شاملاً لبنية نظم إنترنت الأشياء في المدن الذكية، مُركّزين على التكامل بين البنية الحسّية </w:t>
      </w:r>
      <w:r w:rsidRPr="00706773">
        <w:rPr>
          <w:rFonts w:ascii="Sakkal Majalla" w:eastAsia="Arial" w:hAnsi="Sakkal Majalla" w:cs="Sakkal Majalla"/>
          <w:kern w:val="0"/>
          <w:sz w:val="28"/>
          <w:szCs w:val="28"/>
          <w:rtl/>
          <w14:ligatures w14:val="none"/>
        </w:rPr>
        <w:lastRenderedPageBreak/>
        <w:t>وأنظمة اتخاذ القرار في إدارة النفايات الصلبة؛ غير أن دراستهم انصبّت على السياق الأوروبي، وهو ما يترك مساحةً لاختبار هذه النماذج في بيئاتٍ مختلفةٍ كالبيئة السعودية. وفي مراجعةٍ منهجيةٍ للتقنيات المستخدمة في رصد النفايات وإدارتها، خلص هنّان وزملاؤه (2015) إلى أن منظومات الاستشعار المدمجة بخوارزميات الجدولة تُحقّق تحسّناً معتبراً في الكفاءة التشغيلية، لكنهم نبّهوا إلى تحدياتٍ تتعلق بموثوقية الحسّاسات وكلفة الصيانة وتكامل البيانات.</w:t>
      </w:r>
    </w:p>
    <w:p w14:paraId="7CF001A1"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وعلى صعيد تحسين المسارات تحديداً، طوّر هنّان وزملاؤه (2018) نموذجاً لمسارات المركبات ذات السعة المحدودة باستخدام خوارزمية سرب الطيور لجدولة جمع النفايات وتحسين مساراتها، وأثبتوا تفوّق التوجيه المُحسَّن خوارزمياً على التوجيه اليدوي من حيث المسافة والكلفة. وفي السياق ذاته، قدّم مأمون وهنّان وزملاؤهما (2015) نظاماً متكاملاً لأجهزة الاستشعار وخوارزميات إدارة حالة حاويات النفايات آلياً، بينما استعرض لو وزملاؤه (2017) منظومات الجمع الحضري الذكية والخضراء وتحدياتها وآفاقها. وتُسهم هذه الدراسات مجتمعةً في تأسيس البنية التجريبية للفرضية الأولى في البحث الحالي، المتعلقة بأثر إنترنت الأشياء في خفض التكاليف التشغيلية للجمع.</w:t>
      </w:r>
    </w:p>
    <w:p w14:paraId="1E7B6ABC"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30" w:name="_Toc234378230"/>
      <w:r w:rsidRPr="00706773">
        <w:rPr>
          <w:rFonts w:ascii="Sakkal Majalla" w:eastAsia="Arial" w:hAnsi="Sakkal Majalla" w:cs="Sakkal Majalla"/>
          <w:b/>
          <w:bCs/>
          <w:kern w:val="0"/>
          <w:sz w:val="29"/>
          <w:szCs w:val="29"/>
          <w:rtl/>
          <w14:ligatures w14:val="none"/>
        </w:rPr>
        <w:t>2-8  المحور الثاني — الذكاء الاصطناعي وتحليل البيانات</w:t>
      </w:r>
      <w:bookmarkEnd w:id="30"/>
    </w:p>
    <w:p w14:paraId="7FBA81D7"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تتجه موجةٌ بحثيةٌ متنامية إلى توظيف الذكاء الاصطناعي في قلب منظومة النفايات. فقد أنجز عبد الله وزملاؤه (2020) مراجعةً بحثيةً منهجيةً لتطبيقات الذكاء الاصطناعي في إدارة النفايات الصلبة، صنّفوا فيها هذه التطبيقات إلى تنبّؤٍ بالكميات، وتحسينٍ للمسارات، وتصنيفٍ آليٍّ للمواد، وخلصوا إلى أن النماذج القائمة على التعلّم الآلي تتفوّق باطّرادٍ على الأساليب التقليدية، شريطة توافر بياناتٍ كافيةٍ وعاليةِ الجودة. وهذه الخلاصة تُشكّل سنداً مباشراً للفرضية الثانية في البحث الحالي حول ارتباط الذكاء الاصطناعي بارتفاع معدلات إعادة التدوير.</w:t>
      </w:r>
    </w:p>
    <w:p w14:paraId="31140340"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وفي التطبيقات العملية للحاويات الذكية، بيّنت دراساتٌ حديثةٌ أن أنظمة الرؤية الحاسوبية المدمجة في حاوياتٍ مزوّدةٍ بالفرز الميكانيكي بلغت دقّة تصنيفٍ تجاوزت 95%، مع قدرةٍ على تمييز اللدائن والزجاج والورق والمعادن والمواد العضوية آنياً، وربط ذلك بأهداف رؤية 2030 والاقتصاد الدائري (</w:t>
      </w:r>
      <w:r w:rsidRPr="00706773">
        <w:rPr>
          <w:rFonts w:ascii="Sakkal Majalla" w:eastAsia="Arial" w:hAnsi="Sakkal Majalla" w:cs="Sakkal Majalla"/>
          <w:kern w:val="0"/>
          <w:sz w:val="28"/>
          <w:szCs w:val="28"/>
          <w14:ligatures w14:val="none"/>
        </w:rPr>
        <w:t xml:space="preserve">Design and Implementation of an IoT </w:t>
      </w:r>
      <w:r w:rsidRPr="00706773">
        <w:rPr>
          <w:rFonts w:ascii="Sakkal Majalla" w:eastAsia="Arial" w:hAnsi="Sakkal Majalla" w:cs="Sakkal Majalla"/>
          <w:kern w:val="0"/>
          <w:sz w:val="28"/>
          <w:szCs w:val="28"/>
          <w14:ligatures w14:val="none"/>
        </w:rPr>
        <w:lastRenderedPageBreak/>
        <w:t>and ML-based</w:t>
      </w:r>
      <w:r w:rsidRPr="00706773">
        <w:rPr>
          <w:rFonts w:ascii="Sakkal Majalla" w:eastAsia="Arial" w:hAnsi="Sakkal Majalla" w:cs="Sakkal Majalla"/>
          <w:kern w:val="0"/>
          <w:sz w:val="28"/>
          <w:szCs w:val="28"/>
          <w:rtl/>
          <w14:ligatures w14:val="none"/>
        </w:rPr>
        <w:t xml:space="preserve"> </w:t>
      </w:r>
      <w:r w:rsidRPr="00706773">
        <w:rPr>
          <w:rFonts w:ascii="Sakkal Majalla" w:eastAsia="Arial" w:hAnsi="Sakkal Majalla" w:cs="Sakkal Majalla"/>
          <w:kern w:val="0"/>
          <w:sz w:val="28"/>
          <w:szCs w:val="28"/>
          <w14:ligatures w14:val="none"/>
        </w:rPr>
        <w:t>Smart Waste Management System, 2024</w:t>
      </w:r>
      <w:r w:rsidRPr="00706773">
        <w:rPr>
          <w:rFonts w:ascii="Sakkal Majalla" w:eastAsia="Arial" w:hAnsi="Sakkal Majalla" w:cs="Sakkal Majalla"/>
          <w:kern w:val="0"/>
          <w:sz w:val="28"/>
          <w:szCs w:val="28"/>
          <w:rtl/>
          <w14:ligatures w14:val="none"/>
        </w:rPr>
        <w:t>). ويكشف هذا الرقم عن الفارق النوعي بين الفرز الآلي واليدوي، ويُبرز الإمكان الكامن الذي تسعى الدراسة إلى قياس إدراك الممارسين له في السياق السعودي.</w:t>
      </w:r>
    </w:p>
    <w:p w14:paraId="67CD88B0"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31" w:name="_Toc234378231"/>
      <w:r w:rsidRPr="00706773">
        <w:rPr>
          <w:rFonts w:ascii="Sakkal Majalla" w:eastAsia="Arial" w:hAnsi="Sakkal Majalla" w:cs="Sakkal Majalla"/>
          <w:b/>
          <w:bCs/>
          <w:kern w:val="0"/>
          <w:sz w:val="29"/>
          <w:szCs w:val="29"/>
          <w:rtl/>
          <w14:ligatures w14:val="none"/>
        </w:rPr>
        <w:t>2-9  المحور الثالث — الاستدامة والاقتصاد الدائري والسياق العربي</w:t>
      </w:r>
      <w:bookmarkEnd w:id="31"/>
    </w:p>
    <w:p w14:paraId="5301AAFE"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على المستوى الإقليمي، قدّم عبد الشافي ومنصور (2018) دراسةً تفصيليةً لمنظومة إدارة النفايات الصلبة في منطقة الشرق الأوسط وشمال إفريقيا، حدّدا فيها العوامل الثقافية والتنظيمية والمالية المؤثرة في فاعلية المنظومة، وأبرزا هيمنة الطمر غير المُعالَج وتدنّي التدوير. وفي إطارٍ أوسع، ناقش فيرّوناتو وتوريتّا (2019) في مراجعةٍ عالميةٍ إشكالية سوء إدارة النفايات في الدول النامية، مُركّزَين على الفجوة بين السياسات المُعلنة والممارسات الفعلية، وهي فجوةٌ تتردّد أصداؤها بوضوحٍ في السياق السعودي. أما غوش (2020) فقدّم تحليلاً لنماذج الاقتصاد الدائري وآليات تقييم الأداء البيئي المرتبط بها، بما يوفّر للدراسة الحالية إطاراً لقياس أثر الحلول التقنية على المؤشرات البيئية.</w:t>
      </w:r>
    </w:p>
    <w:p w14:paraId="0209B110"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وعلى المستوى الوطني، تكتسب الدراسات السعودية أهميةً خاصةً لقربها من موضوع البحث. فقد اقترح الوادعي وزملاؤه (2024) نموذجاً لمنظومة إدارة نفاياتٍ ذكيةٍ في المملكة يقوم على التعلّم الآلي وإنترنت الأشياء ومبادئ الاقتصاد الدائري، مؤكّدين توافقه مع مستهدفات التنمية المستدامة وتقنيات الصناعة الرابعة. كما قارن القحطاني وزملاؤه (2022) بين بدائل تقنيةٍ متعددةٍ لإدارة النفايات في المملكة — من الأنابيب الهوائية إلى محطات توليد الطاقة إلى الحاويات المدعومة بإنترنت الأشياء — من زاوية الجدوى الاقتصادية والبيئية. وتتّفق هذه الدراسات على وجود إمكانٍ كامنٍ كبير، لكنها تُجمع كذلك على أن العائق ليس في التقنية بحدّ ذاتها، بل في البنية التحتية الرقمية وندرة البيانات المنظّمة وضعف التشغيل البيني، وهو ما يوجّه بوصلة الدراسة الحالية نحو قياس الجاهزية والعوائق لا مجرد استعراض التقنيات.</w:t>
      </w:r>
    </w:p>
    <w:p w14:paraId="48DA5DAC"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 xml:space="preserve">وتتقاطع مع هذا الاتجاه دراساتٌ ميدانيةٌ سعوديةٌ أخرى؛ فقد تناولت دراسةٌ في مكة المكرمة تطبيق إنترنت الأشياء في إدارة النفايات بالمناطق العامة الرسمية وغير الرسمية، مقترحةً استراتيجيةً للجمع تصل إلى المناطق التي يصعب </w:t>
      </w:r>
      <w:r w:rsidRPr="00706773">
        <w:rPr>
          <w:rFonts w:ascii="Sakkal Majalla" w:eastAsia="Arial" w:hAnsi="Sakkal Majalla" w:cs="Sakkal Majalla"/>
          <w:kern w:val="0"/>
          <w:sz w:val="28"/>
          <w:szCs w:val="28"/>
          <w:rtl/>
          <w14:ligatures w14:val="none"/>
        </w:rPr>
        <w:lastRenderedPageBreak/>
        <w:t>على الشاحنات التقليدية بلوغها. كما وظّفت دراسةٌ في جدة أساليب تصميم التجارب ومنهجية سطح الاستجابة لتحسين معاملات جمع النفايات وخفض كلفة الرحلة الواحدة، تأكيداً على أن تحسين العمليات بالبيانات يُحقّق وفراً ملموساً حتى قبل الانتقال إلى الحلول الأكثر تعقيداً. وتُثري هذه الأعمال مجتمعةً الأرضية المحلية التي تنطلق منها الدراسة الحالية، وتؤكد أن الحراك البحثي في المملكة يتّجه بوضوحٍ نحو التقنيات الذكية وإن ظلّ مبعثراً في مبادراتٍ جزئيةٍ تنتظر إطاراً جامعاً.</w:t>
      </w:r>
    </w:p>
    <w:p w14:paraId="7C48656D"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32" w:name="_Toc234378232"/>
      <w:r w:rsidRPr="00706773">
        <w:rPr>
          <w:rFonts w:ascii="Sakkal Majalla" w:eastAsia="Arial" w:hAnsi="Sakkal Majalla" w:cs="Sakkal Majalla"/>
          <w:b/>
          <w:bCs/>
          <w:kern w:val="0"/>
          <w:sz w:val="29"/>
          <w:szCs w:val="29"/>
          <w:rtl/>
          <w14:ligatures w14:val="none"/>
        </w:rPr>
        <w:t>2-10  التعقيب على الدراسات السابقة</w:t>
      </w:r>
      <w:bookmarkEnd w:id="32"/>
    </w:p>
    <w:p w14:paraId="0068048E"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يتّضح من الاستعراض السابق أن الأدبيات قطعت شوطاً في إثبات جدوى كلٍّ من إنترنت الأشياء والذكاء الاصطناعي وتحليل البيانات على حدة، وأن ثمة توافقاً واسعاً على أن الأساليب التقليدية باتت قاصرةً عن مواكبة حجم التحدي. غير أن قراءةً نقديةً لهذه الدراسات تكشف عن ملاحظاتٍ ثلاث: أولاها أن معظم البحوث ذات القيمة التجريبية العالية أُجريت في سياقاتٍ أوروبيةٍ وآسيويةٍ متقدمةٍ رقمياً، مما يحدّ من قابلية تعميم نتائجها على بيئاتٍ ذات جاهزيةٍ مختلفة. وثانيتها أن الدراسات نزعت إلى تناول كل تقنيةٍ منعزلةً عن أخواتها، فقلّت الأعمال التي عالجت التكامل بينها في منظومةٍ واحدة. وثالثتها أن الجانب المؤسسي والبشري — من التمويل والتشريع والكوادر ومقاومة التغيير — ظلّ في كثيرٍ من الأحيان في هامش الاهتمام مقارنةً بالجانب التقني البحت. ويوجز الجدول (2-4) أبرز الدراسات المستعرَضة.</w:t>
      </w:r>
    </w:p>
    <w:p w14:paraId="31837C1A" w14:textId="77777777" w:rsidR="00706773" w:rsidRPr="00706773" w:rsidRDefault="00706773" w:rsidP="00706773">
      <w:pPr>
        <w:spacing w:after="0" w:line="360" w:lineRule="auto"/>
        <w:rPr>
          <w:rFonts w:ascii="Sakkal Majalla" w:eastAsia="Arial" w:hAnsi="Sakkal Majalla" w:cs="Sakkal Majalla"/>
          <w:b/>
          <w:bCs/>
          <w:kern w:val="0"/>
          <w:sz w:val="22"/>
          <w:szCs w:val="22"/>
          <w14:ligatures w14:val="none"/>
        </w:rPr>
      </w:pPr>
      <w:r w:rsidRPr="00706773">
        <w:rPr>
          <w:rFonts w:ascii="Sakkal Majalla" w:eastAsia="Arial" w:hAnsi="Sakkal Majalla" w:cs="Sakkal Majalla"/>
          <w:b/>
          <w:bCs/>
          <w:kern w:val="0"/>
          <w:sz w:val="22"/>
          <w:szCs w:val="22"/>
          <w:rtl/>
          <w14:ligatures w14:val="none"/>
        </w:rPr>
        <w:br w:type="page"/>
      </w:r>
    </w:p>
    <w:p w14:paraId="1C3CB3FC" w14:textId="77777777" w:rsidR="00706773" w:rsidRPr="00706773" w:rsidRDefault="00706773" w:rsidP="00706773">
      <w:pPr>
        <w:bidi/>
        <w:spacing w:before="60" w:after="60" w:line="396" w:lineRule="auto"/>
        <w:jc w:val="center"/>
        <w:rPr>
          <w:rFonts w:ascii="Sakkal Majalla" w:eastAsia="Arial" w:hAnsi="Sakkal Majalla" w:cs="Sakkal Majalla"/>
          <w:kern w:val="0"/>
          <w:sz w:val="28"/>
          <w:szCs w:val="28"/>
          <w:rtl/>
          <w14:ligatures w14:val="none"/>
        </w:rPr>
      </w:pPr>
      <w:r w:rsidRPr="00706773">
        <w:rPr>
          <w:rFonts w:ascii="Sakkal Majalla" w:eastAsia="Arial" w:hAnsi="Sakkal Majalla" w:cs="Sakkal Majalla"/>
          <w:b/>
          <w:bCs/>
          <w:kern w:val="0"/>
          <w:sz w:val="22"/>
          <w:szCs w:val="22"/>
          <w:rtl/>
          <w14:ligatures w14:val="none"/>
        </w:rPr>
        <w:lastRenderedPageBreak/>
        <w:t>جدول (2-4): ملخص أبرز الدراسات السابقة</w:t>
      </w:r>
    </w:p>
    <w:tbl>
      <w:tblPr>
        <w:bidiVisual/>
        <w:tblW w:w="9200" w:type="dxa"/>
        <w:tblBorders>
          <w:top w:val="single" w:sz="4" w:space="0" w:color="9BB8AF"/>
          <w:left w:val="single" w:sz="4" w:space="0" w:color="9BB8AF"/>
          <w:bottom w:val="single" w:sz="4" w:space="0" w:color="9BB8AF"/>
          <w:right w:val="single" w:sz="4" w:space="0" w:color="9BB8AF"/>
          <w:insideH w:val="single" w:sz="2" w:space="0" w:color="C9D8D3"/>
          <w:insideV w:val="single" w:sz="2" w:space="0" w:color="C9D8D3"/>
        </w:tblBorders>
        <w:shd w:val="clear" w:color="auto" w:fill="FFFFFF"/>
        <w:tblCellMar>
          <w:left w:w="10" w:type="dxa"/>
          <w:right w:w="10" w:type="dxa"/>
        </w:tblCellMar>
        <w:tblLook w:val="04A0" w:firstRow="1" w:lastRow="0" w:firstColumn="1" w:lastColumn="0" w:noHBand="0" w:noVBand="1"/>
      </w:tblPr>
      <w:tblGrid>
        <w:gridCol w:w="2365"/>
        <w:gridCol w:w="1350"/>
        <w:gridCol w:w="1620"/>
        <w:gridCol w:w="3865"/>
      </w:tblGrid>
      <w:tr w:rsidR="00706773" w:rsidRPr="00706773" w14:paraId="5FF20287" w14:textId="77777777" w:rsidTr="00706773">
        <w:trPr>
          <w:tblHeader/>
        </w:trPr>
        <w:tc>
          <w:tcPr>
            <w:tcW w:w="2365" w:type="dxa"/>
            <w:tcBorders>
              <w:top w:val="single" w:sz="4" w:space="0" w:color="9BB8AF"/>
              <w:left w:val="single" w:sz="4" w:space="0" w:color="9BB8AF"/>
              <w:bottom w:val="single" w:sz="2" w:space="0" w:color="C9D8D3"/>
              <w:right w:val="single" w:sz="2" w:space="0" w:color="C9D8D3"/>
            </w:tcBorders>
            <w:shd w:val="clear" w:color="auto" w:fill="BFBFBF"/>
            <w:tcMar>
              <w:top w:w="40" w:type="dxa"/>
              <w:left w:w="70" w:type="dxa"/>
              <w:bottom w:w="40" w:type="dxa"/>
              <w:right w:w="70" w:type="dxa"/>
            </w:tcMar>
            <w:vAlign w:val="center"/>
            <w:hideMark/>
          </w:tcPr>
          <w:p w14:paraId="5FD197CC"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الدراسة</w:t>
            </w:r>
          </w:p>
        </w:tc>
        <w:tc>
          <w:tcPr>
            <w:tcW w:w="1350" w:type="dxa"/>
            <w:tcBorders>
              <w:top w:val="single" w:sz="4" w:space="0" w:color="9BB8AF"/>
              <w:left w:val="single" w:sz="2" w:space="0" w:color="C9D8D3"/>
              <w:bottom w:val="single" w:sz="2" w:space="0" w:color="C9D8D3"/>
              <w:right w:val="single" w:sz="2" w:space="0" w:color="C9D8D3"/>
            </w:tcBorders>
            <w:shd w:val="clear" w:color="auto" w:fill="BFBFBF"/>
            <w:tcMar>
              <w:top w:w="40" w:type="dxa"/>
              <w:left w:w="70" w:type="dxa"/>
              <w:bottom w:w="40" w:type="dxa"/>
              <w:right w:w="70" w:type="dxa"/>
            </w:tcMar>
            <w:vAlign w:val="center"/>
            <w:hideMark/>
          </w:tcPr>
          <w:p w14:paraId="06B9515E"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المجال</w:t>
            </w:r>
          </w:p>
        </w:tc>
        <w:tc>
          <w:tcPr>
            <w:tcW w:w="1620" w:type="dxa"/>
            <w:tcBorders>
              <w:top w:val="single" w:sz="4" w:space="0" w:color="9BB8AF"/>
              <w:left w:val="single" w:sz="2" w:space="0" w:color="C9D8D3"/>
              <w:bottom w:val="single" w:sz="2" w:space="0" w:color="C9D8D3"/>
              <w:right w:val="single" w:sz="2" w:space="0" w:color="C9D8D3"/>
            </w:tcBorders>
            <w:shd w:val="clear" w:color="auto" w:fill="BFBFBF"/>
            <w:tcMar>
              <w:top w:w="40" w:type="dxa"/>
              <w:left w:w="70" w:type="dxa"/>
              <w:bottom w:w="40" w:type="dxa"/>
              <w:right w:w="70" w:type="dxa"/>
            </w:tcMar>
            <w:vAlign w:val="center"/>
            <w:hideMark/>
          </w:tcPr>
          <w:p w14:paraId="0E7337FA"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المنهج</w:t>
            </w:r>
          </w:p>
        </w:tc>
        <w:tc>
          <w:tcPr>
            <w:tcW w:w="3865" w:type="dxa"/>
            <w:tcBorders>
              <w:top w:val="single" w:sz="4" w:space="0" w:color="9BB8AF"/>
              <w:left w:val="single" w:sz="2" w:space="0" w:color="C9D8D3"/>
              <w:bottom w:val="single" w:sz="2" w:space="0" w:color="C9D8D3"/>
              <w:right w:val="single" w:sz="4" w:space="0" w:color="9BB8AF"/>
            </w:tcBorders>
            <w:shd w:val="clear" w:color="auto" w:fill="BFBFBF"/>
            <w:tcMar>
              <w:top w:w="40" w:type="dxa"/>
              <w:left w:w="70" w:type="dxa"/>
              <w:bottom w:w="40" w:type="dxa"/>
              <w:right w:w="70" w:type="dxa"/>
            </w:tcMar>
            <w:vAlign w:val="center"/>
            <w:hideMark/>
          </w:tcPr>
          <w:p w14:paraId="75372777"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2"/>
                <w:szCs w:val="22"/>
                <w:rtl/>
                <w14:ligatures w14:val="none"/>
              </w:rPr>
              <w:t>أبرز نتيجة</w:t>
            </w:r>
          </w:p>
        </w:tc>
      </w:tr>
      <w:tr w:rsidR="00706773" w:rsidRPr="00706773" w14:paraId="54FA0884" w14:textId="77777777" w:rsidTr="00706773">
        <w:tc>
          <w:tcPr>
            <w:tcW w:w="236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6257F073"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Anagnostopoulos et al</w:t>
            </w:r>
            <w:r w:rsidRPr="00706773">
              <w:rPr>
                <w:rFonts w:ascii="Sakkal Majalla" w:eastAsia="Arial" w:hAnsi="Sakkal Majalla" w:cs="Sakkal Majalla"/>
                <w:kern w:val="0"/>
                <w:sz w:val="21"/>
                <w:szCs w:val="21"/>
                <w:rtl/>
                <w14:ligatures w14:val="none"/>
              </w:rPr>
              <w:t>. (2017)</w:t>
            </w:r>
          </w:p>
        </w:tc>
        <w:tc>
          <w:tcPr>
            <w:tcW w:w="135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62B04BD5"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إنترنت الأشياء</w:t>
            </w:r>
          </w:p>
        </w:tc>
        <w:tc>
          <w:tcPr>
            <w:tcW w:w="162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205A2557"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مسح تحليلي</w:t>
            </w:r>
          </w:p>
        </w:tc>
        <w:tc>
          <w:tcPr>
            <w:tcW w:w="386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3D5730DB"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بنية تكاملية لنظم النفايات في المدن الذكية</w:t>
            </w:r>
          </w:p>
        </w:tc>
      </w:tr>
      <w:tr w:rsidR="00706773" w:rsidRPr="00706773" w14:paraId="75B05E03" w14:textId="77777777" w:rsidTr="00706773">
        <w:tc>
          <w:tcPr>
            <w:tcW w:w="236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17258A5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Hannan et al</w:t>
            </w:r>
            <w:r w:rsidRPr="00706773">
              <w:rPr>
                <w:rFonts w:ascii="Sakkal Majalla" w:eastAsia="Arial" w:hAnsi="Sakkal Majalla" w:cs="Sakkal Majalla"/>
                <w:kern w:val="0"/>
                <w:sz w:val="21"/>
                <w:szCs w:val="21"/>
                <w:rtl/>
                <w14:ligatures w14:val="none"/>
              </w:rPr>
              <w:t>. (2015)</w:t>
            </w:r>
          </w:p>
        </w:tc>
        <w:tc>
          <w:tcPr>
            <w:tcW w:w="135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16382184"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الاستشعار والرصد</w:t>
            </w:r>
          </w:p>
        </w:tc>
        <w:tc>
          <w:tcPr>
            <w:tcW w:w="162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026A8180"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مراجعة منهجية</w:t>
            </w:r>
          </w:p>
        </w:tc>
        <w:tc>
          <w:tcPr>
            <w:tcW w:w="386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4AF6B5FC"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تحسّن الكفاءة مع تحديات الموثوقية والكلفة</w:t>
            </w:r>
          </w:p>
        </w:tc>
      </w:tr>
      <w:tr w:rsidR="00706773" w:rsidRPr="00706773" w14:paraId="2A210268" w14:textId="77777777" w:rsidTr="00706773">
        <w:tc>
          <w:tcPr>
            <w:tcW w:w="236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0A13854A"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Hannan et al</w:t>
            </w:r>
            <w:r w:rsidRPr="00706773">
              <w:rPr>
                <w:rFonts w:ascii="Sakkal Majalla" w:eastAsia="Arial" w:hAnsi="Sakkal Majalla" w:cs="Sakkal Majalla"/>
                <w:kern w:val="0"/>
                <w:sz w:val="21"/>
                <w:szCs w:val="21"/>
                <w:rtl/>
                <w14:ligatures w14:val="none"/>
              </w:rPr>
              <w:t>. (2018)</w:t>
            </w:r>
          </w:p>
        </w:tc>
        <w:tc>
          <w:tcPr>
            <w:tcW w:w="135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29ED2673"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تحسين المسارات</w:t>
            </w:r>
          </w:p>
        </w:tc>
        <w:tc>
          <w:tcPr>
            <w:tcW w:w="162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09E8D6F5"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نمذجة (</w:t>
            </w:r>
            <w:r w:rsidRPr="00706773">
              <w:rPr>
                <w:rFonts w:ascii="Sakkal Majalla" w:eastAsia="Arial" w:hAnsi="Sakkal Majalla" w:cs="Sakkal Majalla"/>
                <w:kern w:val="0"/>
                <w:sz w:val="21"/>
                <w:szCs w:val="21"/>
                <w14:ligatures w14:val="none"/>
              </w:rPr>
              <w:t>PSO</w:t>
            </w:r>
            <w:r w:rsidRPr="00706773">
              <w:rPr>
                <w:rFonts w:ascii="Sakkal Majalla" w:eastAsia="Arial" w:hAnsi="Sakkal Majalla" w:cs="Sakkal Majalla"/>
                <w:kern w:val="0"/>
                <w:sz w:val="21"/>
                <w:szCs w:val="21"/>
                <w:rtl/>
                <w14:ligatures w14:val="none"/>
              </w:rPr>
              <w:t>)</w:t>
            </w:r>
          </w:p>
        </w:tc>
        <w:tc>
          <w:tcPr>
            <w:tcW w:w="386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448B2BED"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تفوّق التوجيه الخوارزمي على اليدوي</w:t>
            </w:r>
          </w:p>
        </w:tc>
      </w:tr>
      <w:tr w:rsidR="00706773" w:rsidRPr="00706773" w14:paraId="17EF735D" w14:textId="77777777" w:rsidTr="00706773">
        <w:tc>
          <w:tcPr>
            <w:tcW w:w="236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4F662B6B"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Abdallah et al</w:t>
            </w:r>
            <w:r w:rsidRPr="00706773">
              <w:rPr>
                <w:rFonts w:ascii="Sakkal Majalla" w:eastAsia="Arial" w:hAnsi="Sakkal Majalla" w:cs="Sakkal Majalla"/>
                <w:kern w:val="0"/>
                <w:sz w:val="21"/>
                <w:szCs w:val="21"/>
                <w:rtl/>
                <w14:ligatures w14:val="none"/>
              </w:rPr>
              <w:t>. (2020)</w:t>
            </w:r>
          </w:p>
        </w:tc>
        <w:tc>
          <w:tcPr>
            <w:tcW w:w="135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1D9C8755"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الذكاء الاصطناعي</w:t>
            </w:r>
          </w:p>
        </w:tc>
        <w:tc>
          <w:tcPr>
            <w:tcW w:w="162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19008B18"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مراجعة منهجية</w:t>
            </w:r>
          </w:p>
        </w:tc>
        <w:tc>
          <w:tcPr>
            <w:tcW w:w="386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44E4C89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تفوّق التعلّم الآلي مشروطاً بجودة البيانات</w:t>
            </w:r>
          </w:p>
        </w:tc>
      </w:tr>
      <w:tr w:rsidR="00706773" w:rsidRPr="00706773" w14:paraId="60673AB9" w14:textId="77777777" w:rsidTr="00706773">
        <w:tc>
          <w:tcPr>
            <w:tcW w:w="236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582986F5"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Abdel-</w:t>
            </w:r>
            <w:proofErr w:type="spellStart"/>
            <w:r w:rsidRPr="00706773">
              <w:rPr>
                <w:rFonts w:ascii="Sakkal Majalla" w:eastAsia="Arial" w:hAnsi="Sakkal Majalla" w:cs="Sakkal Majalla"/>
                <w:kern w:val="0"/>
                <w:sz w:val="21"/>
                <w:szCs w:val="21"/>
                <w14:ligatures w14:val="none"/>
              </w:rPr>
              <w:t>Shafy</w:t>
            </w:r>
            <w:proofErr w:type="spellEnd"/>
            <w:r w:rsidRPr="00706773">
              <w:rPr>
                <w:rFonts w:ascii="Sakkal Majalla" w:eastAsia="Arial" w:hAnsi="Sakkal Majalla" w:cs="Sakkal Majalla"/>
                <w:kern w:val="0"/>
                <w:sz w:val="21"/>
                <w:szCs w:val="21"/>
                <w:rtl/>
                <w14:ligatures w14:val="none"/>
              </w:rPr>
              <w:t xml:space="preserve"> &amp; </w:t>
            </w:r>
            <w:r w:rsidRPr="00706773">
              <w:rPr>
                <w:rFonts w:ascii="Sakkal Majalla" w:eastAsia="Arial" w:hAnsi="Sakkal Majalla" w:cs="Sakkal Majalla"/>
                <w:kern w:val="0"/>
                <w:sz w:val="21"/>
                <w:szCs w:val="21"/>
                <w14:ligatures w14:val="none"/>
              </w:rPr>
              <w:t>Mansour</w:t>
            </w:r>
            <w:r w:rsidRPr="00706773">
              <w:rPr>
                <w:rFonts w:ascii="Sakkal Majalla" w:eastAsia="Arial" w:hAnsi="Sakkal Majalla" w:cs="Sakkal Majalla"/>
                <w:kern w:val="0"/>
                <w:sz w:val="21"/>
                <w:szCs w:val="21"/>
                <w:rtl/>
                <w14:ligatures w14:val="none"/>
              </w:rPr>
              <w:t xml:space="preserve"> (2018)</w:t>
            </w:r>
          </w:p>
        </w:tc>
        <w:tc>
          <w:tcPr>
            <w:tcW w:w="135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4C2B4C7B"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الشرق الأوسط</w:t>
            </w:r>
          </w:p>
        </w:tc>
        <w:tc>
          <w:tcPr>
            <w:tcW w:w="162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3421DE9B"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دراسة حالة</w:t>
            </w:r>
          </w:p>
        </w:tc>
        <w:tc>
          <w:tcPr>
            <w:tcW w:w="386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1265A49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هيمنة الطمر وتدنّي التدوير إقليمياً</w:t>
            </w:r>
          </w:p>
        </w:tc>
      </w:tr>
      <w:tr w:rsidR="00706773" w:rsidRPr="00706773" w14:paraId="2566E97A" w14:textId="77777777" w:rsidTr="00706773">
        <w:tc>
          <w:tcPr>
            <w:tcW w:w="236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7344A23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proofErr w:type="spellStart"/>
            <w:r w:rsidRPr="00706773">
              <w:rPr>
                <w:rFonts w:ascii="Sakkal Majalla" w:eastAsia="Arial" w:hAnsi="Sakkal Majalla" w:cs="Sakkal Majalla"/>
                <w:kern w:val="0"/>
                <w:sz w:val="21"/>
                <w:szCs w:val="21"/>
                <w14:ligatures w14:val="none"/>
              </w:rPr>
              <w:t>Ferronato</w:t>
            </w:r>
            <w:proofErr w:type="spellEnd"/>
            <w:r w:rsidRPr="00706773">
              <w:rPr>
                <w:rFonts w:ascii="Sakkal Majalla" w:eastAsia="Arial" w:hAnsi="Sakkal Majalla" w:cs="Sakkal Majalla"/>
                <w:kern w:val="0"/>
                <w:sz w:val="21"/>
                <w:szCs w:val="21"/>
                <w:rtl/>
                <w14:ligatures w14:val="none"/>
              </w:rPr>
              <w:t xml:space="preserve"> &amp; </w:t>
            </w:r>
            <w:r w:rsidRPr="00706773">
              <w:rPr>
                <w:rFonts w:ascii="Sakkal Majalla" w:eastAsia="Arial" w:hAnsi="Sakkal Majalla" w:cs="Sakkal Majalla"/>
                <w:kern w:val="0"/>
                <w:sz w:val="21"/>
                <w:szCs w:val="21"/>
                <w14:ligatures w14:val="none"/>
              </w:rPr>
              <w:t>Torretta</w:t>
            </w:r>
            <w:r w:rsidRPr="00706773">
              <w:rPr>
                <w:rFonts w:ascii="Sakkal Majalla" w:eastAsia="Arial" w:hAnsi="Sakkal Majalla" w:cs="Sakkal Majalla"/>
                <w:kern w:val="0"/>
                <w:sz w:val="21"/>
                <w:szCs w:val="21"/>
                <w:rtl/>
                <w14:ligatures w14:val="none"/>
              </w:rPr>
              <w:t xml:space="preserve"> (2019)</w:t>
            </w:r>
          </w:p>
        </w:tc>
        <w:tc>
          <w:tcPr>
            <w:tcW w:w="135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2B0F53F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الدول النامية</w:t>
            </w:r>
          </w:p>
        </w:tc>
        <w:tc>
          <w:tcPr>
            <w:tcW w:w="162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06144774"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مراجعة عالمية</w:t>
            </w:r>
          </w:p>
        </w:tc>
        <w:tc>
          <w:tcPr>
            <w:tcW w:w="386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5305ED21"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فجوة بين السياسات والممارسة</w:t>
            </w:r>
          </w:p>
        </w:tc>
      </w:tr>
      <w:tr w:rsidR="00706773" w:rsidRPr="00706773" w14:paraId="60CC1B5C" w14:textId="77777777" w:rsidTr="00706773">
        <w:tc>
          <w:tcPr>
            <w:tcW w:w="2365" w:type="dxa"/>
            <w:tcBorders>
              <w:top w:val="single" w:sz="2" w:space="0" w:color="C9D8D3"/>
              <w:left w:val="single" w:sz="4" w:space="0" w:color="9BB8AF"/>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7817A2AB"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proofErr w:type="spellStart"/>
            <w:r w:rsidRPr="00706773">
              <w:rPr>
                <w:rFonts w:ascii="Sakkal Majalla" w:eastAsia="Arial" w:hAnsi="Sakkal Majalla" w:cs="Sakkal Majalla"/>
                <w:kern w:val="0"/>
                <w:sz w:val="21"/>
                <w:szCs w:val="21"/>
                <w14:ligatures w14:val="none"/>
              </w:rPr>
              <w:t>Alwadei</w:t>
            </w:r>
            <w:proofErr w:type="spellEnd"/>
            <w:r w:rsidRPr="00706773">
              <w:rPr>
                <w:rFonts w:ascii="Sakkal Majalla" w:eastAsia="Arial" w:hAnsi="Sakkal Majalla" w:cs="Sakkal Majalla"/>
                <w:kern w:val="0"/>
                <w:sz w:val="21"/>
                <w:szCs w:val="21"/>
                <w14:ligatures w14:val="none"/>
              </w:rPr>
              <w:t xml:space="preserve"> et al</w:t>
            </w:r>
            <w:r w:rsidRPr="00706773">
              <w:rPr>
                <w:rFonts w:ascii="Sakkal Majalla" w:eastAsia="Arial" w:hAnsi="Sakkal Majalla" w:cs="Sakkal Majalla"/>
                <w:kern w:val="0"/>
                <w:sz w:val="21"/>
                <w:szCs w:val="21"/>
                <w:rtl/>
                <w14:ligatures w14:val="none"/>
              </w:rPr>
              <w:t>. (2024)</w:t>
            </w:r>
          </w:p>
        </w:tc>
        <w:tc>
          <w:tcPr>
            <w:tcW w:w="135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3DC8608C"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السعودية</w:t>
            </w:r>
          </w:p>
        </w:tc>
        <w:tc>
          <w:tcPr>
            <w:tcW w:w="1620" w:type="dxa"/>
            <w:tcBorders>
              <w:top w:val="single" w:sz="2" w:space="0" w:color="C9D8D3"/>
              <w:left w:val="single" w:sz="2" w:space="0" w:color="C9D8D3"/>
              <w:bottom w:val="single" w:sz="2" w:space="0" w:color="C9D8D3"/>
              <w:right w:val="single" w:sz="2" w:space="0" w:color="C9D8D3"/>
            </w:tcBorders>
            <w:shd w:val="clear" w:color="auto" w:fill="FFFFFF"/>
            <w:tcMar>
              <w:top w:w="40" w:type="dxa"/>
              <w:left w:w="70" w:type="dxa"/>
              <w:bottom w:w="40" w:type="dxa"/>
              <w:right w:w="70" w:type="dxa"/>
            </w:tcMar>
            <w:vAlign w:val="center"/>
            <w:hideMark/>
          </w:tcPr>
          <w:p w14:paraId="4B2CC063"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نموذج مقترح</w:t>
            </w:r>
          </w:p>
        </w:tc>
        <w:tc>
          <w:tcPr>
            <w:tcW w:w="3865" w:type="dxa"/>
            <w:tcBorders>
              <w:top w:val="single" w:sz="2" w:space="0" w:color="C9D8D3"/>
              <w:left w:val="single" w:sz="2" w:space="0" w:color="C9D8D3"/>
              <w:bottom w:val="single" w:sz="2" w:space="0" w:color="C9D8D3"/>
              <w:right w:val="single" w:sz="4" w:space="0" w:color="9BB8AF"/>
            </w:tcBorders>
            <w:shd w:val="clear" w:color="auto" w:fill="FFFFFF"/>
            <w:tcMar>
              <w:top w:w="40" w:type="dxa"/>
              <w:left w:w="70" w:type="dxa"/>
              <w:bottom w:w="40" w:type="dxa"/>
              <w:right w:w="70" w:type="dxa"/>
            </w:tcMar>
            <w:vAlign w:val="center"/>
            <w:hideMark/>
          </w:tcPr>
          <w:p w14:paraId="0EDD7487"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 xml:space="preserve">منظومة ذكية قائمة على </w:t>
            </w:r>
            <w:r w:rsidRPr="00706773">
              <w:rPr>
                <w:rFonts w:ascii="Sakkal Majalla" w:eastAsia="Arial" w:hAnsi="Sakkal Majalla" w:cs="Sakkal Majalla"/>
                <w:kern w:val="0"/>
                <w:sz w:val="21"/>
                <w:szCs w:val="21"/>
                <w14:ligatures w14:val="none"/>
              </w:rPr>
              <w:t>IoT</w:t>
            </w:r>
            <w:r w:rsidRPr="00706773">
              <w:rPr>
                <w:rFonts w:ascii="Sakkal Majalla" w:eastAsia="Arial" w:hAnsi="Sakkal Majalla" w:cs="Sakkal Majalla"/>
                <w:kern w:val="0"/>
                <w:sz w:val="21"/>
                <w:szCs w:val="21"/>
                <w:rtl/>
                <w14:ligatures w14:val="none"/>
              </w:rPr>
              <w:t xml:space="preserve"> والتعلّم الآلي</w:t>
            </w:r>
          </w:p>
        </w:tc>
      </w:tr>
      <w:tr w:rsidR="00706773" w:rsidRPr="00706773" w14:paraId="126B9D19" w14:textId="77777777" w:rsidTr="00706773">
        <w:tc>
          <w:tcPr>
            <w:tcW w:w="2365" w:type="dxa"/>
            <w:tcBorders>
              <w:top w:val="single" w:sz="2" w:space="0" w:color="C9D8D3"/>
              <w:left w:val="single" w:sz="4" w:space="0" w:color="9BB8AF"/>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11427ABB"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14:ligatures w14:val="none"/>
              </w:rPr>
              <w:t>Alqahtani et al</w:t>
            </w:r>
            <w:r w:rsidRPr="00706773">
              <w:rPr>
                <w:rFonts w:ascii="Sakkal Majalla" w:eastAsia="Arial" w:hAnsi="Sakkal Majalla" w:cs="Sakkal Majalla"/>
                <w:kern w:val="0"/>
                <w:sz w:val="21"/>
                <w:szCs w:val="21"/>
                <w:rtl/>
                <w14:ligatures w14:val="none"/>
              </w:rPr>
              <w:t>. (2022)</w:t>
            </w:r>
          </w:p>
        </w:tc>
        <w:tc>
          <w:tcPr>
            <w:tcW w:w="1350" w:type="dxa"/>
            <w:tcBorders>
              <w:top w:val="single" w:sz="2" w:space="0" w:color="C9D8D3"/>
              <w:left w:val="single" w:sz="2" w:space="0" w:color="C9D8D3"/>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3E6B1766"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السعودية</w:t>
            </w:r>
          </w:p>
        </w:tc>
        <w:tc>
          <w:tcPr>
            <w:tcW w:w="1620" w:type="dxa"/>
            <w:tcBorders>
              <w:top w:val="single" w:sz="2" w:space="0" w:color="C9D8D3"/>
              <w:left w:val="single" w:sz="2" w:space="0" w:color="C9D8D3"/>
              <w:bottom w:val="single" w:sz="4" w:space="0" w:color="9BB8AF"/>
              <w:right w:val="single" w:sz="2" w:space="0" w:color="C9D8D3"/>
            </w:tcBorders>
            <w:shd w:val="clear" w:color="auto" w:fill="FFFFFF"/>
            <w:tcMar>
              <w:top w:w="40" w:type="dxa"/>
              <w:left w:w="70" w:type="dxa"/>
              <w:bottom w:w="40" w:type="dxa"/>
              <w:right w:w="70" w:type="dxa"/>
            </w:tcMar>
            <w:vAlign w:val="center"/>
            <w:hideMark/>
          </w:tcPr>
          <w:p w14:paraId="2D6D7820"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تحليل بدائل</w:t>
            </w:r>
          </w:p>
        </w:tc>
        <w:tc>
          <w:tcPr>
            <w:tcW w:w="3865" w:type="dxa"/>
            <w:tcBorders>
              <w:top w:val="single" w:sz="2" w:space="0" w:color="C9D8D3"/>
              <w:left w:val="single" w:sz="2" w:space="0" w:color="C9D8D3"/>
              <w:bottom w:val="single" w:sz="4" w:space="0" w:color="9BB8AF"/>
              <w:right w:val="single" w:sz="4" w:space="0" w:color="9BB8AF"/>
            </w:tcBorders>
            <w:shd w:val="clear" w:color="auto" w:fill="FFFFFF"/>
            <w:tcMar>
              <w:top w:w="40" w:type="dxa"/>
              <w:left w:w="70" w:type="dxa"/>
              <w:bottom w:w="40" w:type="dxa"/>
              <w:right w:w="70" w:type="dxa"/>
            </w:tcMar>
            <w:vAlign w:val="center"/>
            <w:hideMark/>
          </w:tcPr>
          <w:p w14:paraId="5BA635D2" w14:textId="77777777" w:rsidR="00706773" w:rsidRPr="00706773" w:rsidRDefault="00706773" w:rsidP="00706773">
            <w:pPr>
              <w:bidi/>
              <w:spacing w:after="0" w:line="264"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1"/>
                <w:szCs w:val="21"/>
                <w:rtl/>
                <w14:ligatures w14:val="none"/>
              </w:rPr>
              <w:t>مقارنة جدوى الحلول التقنية محلياً</w:t>
            </w:r>
          </w:p>
        </w:tc>
      </w:tr>
    </w:tbl>
    <w:p w14:paraId="45767976" w14:textId="77777777" w:rsidR="00706773" w:rsidRPr="00706773" w:rsidRDefault="00706773" w:rsidP="00706773">
      <w:pPr>
        <w:bidi/>
        <w:spacing w:before="20" w:line="360" w:lineRule="auto"/>
        <w:jc w:val="center"/>
        <w:rPr>
          <w:rFonts w:ascii="Sakkal Majalla" w:eastAsia="Arial" w:hAnsi="Sakkal Majalla" w:cs="Sakkal Majalla"/>
          <w:kern w:val="0"/>
          <w:sz w:val="28"/>
          <w:szCs w:val="28"/>
          <w14:ligatures w14:val="none"/>
        </w:rPr>
      </w:pPr>
      <w:r w:rsidRPr="00706773">
        <w:rPr>
          <w:rFonts w:ascii="Sakkal Majalla" w:eastAsia="Arial" w:hAnsi="Sakkal Majalla" w:cs="Sakkal Majalla"/>
          <w:i/>
          <w:iCs/>
          <w:kern w:val="0"/>
          <w:sz w:val="19"/>
          <w:szCs w:val="19"/>
          <w:rtl/>
          <w14:ligatures w14:val="none"/>
        </w:rPr>
        <w:t>المصدر: إعداد الباحث.</w:t>
      </w:r>
    </w:p>
    <w:p w14:paraId="6D1E723D"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33" w:name="_Toc234378233"/>
      <w:r w:rsidRPr="00706773">
        <w:rPr>
          <w:rFonts w:ascii="Sakkal Majalla" w:eastAsia="Arial" w:hAnsi="Sakkal Majalla" w:cs="Sakkal Majalla"/>
          <w:b/>
          <w:bCs/>
          <w:kern w:val="0"/>
          <w:sz w:val="29"/>
          <w:szCs w:val="29"/>
          <w:rtl/>
          <w14:ligatures w14:val="none"/>
        </w:rPr>
        <w:t>2-11  الفجوة البحثية</w:t>
      </w:r>
      <w:bookmarkEnd w:id="33"/>
    </w:p>
    <w:p w14:paraId="44118E36"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بناءً على التعقيب السابق، تتحدّد الفجوة البحثية التي تنهض هذه الدراسة لسدّها في أربعة أبعادٍ متداخلة:</w:t>
      </w:r>
    </w:p>
    <w:p w14:paraId="708997CA"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الفجوة الجغرافية: </w:t>
      </w:r>
      <w:r w:rsidRPr="00706773">
        <w:rPr>
          <w:rFonts w:ascii="Sakkal Majalla" w:eastAsia="Arial" w:hAnsi="Sakkal Majalla" w:cs="Sakkal Majalla"/>
          <w:kern w:val="0"/>
          <w:sz w:val="28"/>
          <w:szCs w:val="28"/>
          <w:rtl/>
          <w14:ligatures w14:val="none"/>
        </w:rPr>
        <w:t>ندرة الدراسات التي تعالج السياق السعودي تحديداً بخصوصيته التنظيمية والاجتماعية، مقابل وفرتها في السياقات الأوروبية والآسيوية.</w:t>
      </w:r>
    </w:p>
    <w:p w14:paraId="699108FB"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الفجوة المنهجية: </w:t>
      </w:r>
      <w:r w:rsidRPr="00706773">
        <w:rPr>
          <w:rFonts w:ascii="Sakkal Majalla" w:eastAsia="Arial" w:hAnsi="Sakkal Majalla" w:cs="Sakkal Majalla"/>
          <w:kern w:val="0"/>
          <w:sz w:val="28"/>
          <w:szCs w:val="28"/>
          <w:rtl/>
          <w14:ligatures w14:val="none"/>
        </w:rPr>
        <w:t>غلبة المنهج الكمي وحده أو النوعي وحده على الأدبيات، وقلّة الأعمال التي تجمع بينهما لتقديم فهمٍ أعمق كما تفعل الدراسة الحالية بمنهجها المختلط.</w:t>
      </w:r>
    </w:p>
    <w:p w14:paraId="7C1274E6"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الفجوة التكاملية: </w:t>
      </w:r>
      <w:r w:rsidRPr="00706773">
        <w:rPr>
          <w:rFonts w:ascii="Sakkal Majalla" w:eastAsia="Arial" w:hAnsi="Sakkal Majalla" w:cs="Sakkal Majalla"/>
          <w:kern w:val="0"/>
          <w:sz w:val="28"/>
          <w:szCs w:val="28"/>
          <w:rtl/>
          <w14:ligatures w14:val="none"/>
        </w:rPr>
        <w:t>ندرة الدراسات التي عالجت التكامل بين التقنيات المختلفة في منظومةٍ واحدة، وغياب النماذج الإطارية القابلة للتطبيق في البيئة السعودية.</w:t>
      </w:r>
    </w:p>
    <w:p w14:paraId="6B1B9516"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b/>
          <w:bCs/>
          <w:kern w:val="0"/>
          <w:sz w:val="28"/>
          <w:szCs w:val="28"/>
          <w:rtl/>
          <w14:ligatures w14:val="none"/>
        </w:rPr>
        <w:t xml:space="preserve">الفجوة التقييمية: </w:t>
      </w:r>
      <w:r w:rsidRPr="00706773">
        <w:rPr>
          <w:rFonts w:ascii="Sakkal Majalla" w:eastAsia="Arial" w:hAnsi="Sakkal Majalla" w:cs="Sakkal Majalla"/>
          <w:kern w:val="0"/>
          <w:sz w:val="28"/>
          <w:szCs w:val="28"/>
          <w:rtl/>
          <w14:ligatures w14:val="none"/>
        </w:rPr>
        <w:t>افتقار الميدان إلى أدواتٍ مُقنَّنةٍ لقياس مستوى جاهزية المؤسسات البلدية السعودية لتبنّي هذه التقنيات، وهو ما تسدّه أداة الدراسة الحالية.</w:t>
      </w:r>
    </w:p>
    <w:p w14:paraId="1C335ED0"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lastRenderedPageBreak/>
        <w:t>وبتقاطع هذه الأبعاد الأربعة يتحدّد موقع الدراسة الحالية بوصفها محاولةً لتقديم قراءةٍ متكاملةٍ — جغرافياً ومنهجياً وتقنياً وتقييمياً — لواقع التحوّل الذكي في إدارة النفايات بالمدن السعودية الكبرى.</w:t>
      </w:r>
    </w:p>
    <w:p w14:paraId="79C901BD" w14:textId="77777777" w:rsidR="00706773" w:rsidRPr="00706773" w:rsidRDefault="00706773" w:rsidP="00706773">
      <w:pPr>
        <w:bidi/>
        <w:spacing w:before="220" w:after="120" w:line="396" w:lineRule="auto"/>
        <w:outlineLvl w:val="1"/>
        <w:rPr>
          <w:rFonts w:ascii="Sakkal Majalla" w:eastAsia="Arial" w:hAnsi="Sakkal Majalla" w:cs="Sakkal Majalla"/>
          <w:kern w:val="0"/>
          <w:sz w:val="26"/>
          <w:szCs w:val="26"/>
          <w14:ligatures w14:val="none"/>
        </w:rPr>
      </w:pPr>
      <w:bookmarkStart w:id="34" w:name="_Toc234378234"/>
      <w:r w:rsidRPr="00706773">
        <w:rPr>
          <w:rFonts w:ascii="Sakkal Majalla" w:eastAsia="Arial" w:hAnsi="Sakkal Majalla" w:cs="Sakkal Majalla"/>
          <w:b/>
          <w:bCs/>
          <w:kern w:val="0"/>
          <w:sz w:val="29"/>
          <w:szCs w:val="29"/>
          <w:rtl/>
          <w14:ligatures w14:val="none"/>
        </w:rPr>
        <w:t>2-12  خلاصة الفصل</w:t>
      </w:r>
      <w:bookmarkEnd w:id="34"/>
    </w:p>
    <w:p w14:paraId="2F54A7FF" w14:textId="77777777" w:rsidR="00706773" w:rsidRPr="00706773" w:rsidRDefault="00706773" w:rsidP="00706773">
      <w:pPr>
        <w:bidi/>
        <w:spacing w:after="180" w:line="396" w:lineRule="auto"/>
        <w:jc w:val="both"/>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rtl/>
          <w14:ligatures w14:val="none"/>
        </w:rPr>
        <w:t>عرض هذا الفصل الإطار المفاهيمي لإدارة النفايات وهرمها الهرمي، وتحوّلها من النموذج الخطّي إلى الاقتصاد الدائري، ثم فصّل الطبقات الأربع للتقنيات الذكية وأطرها النظرية الخمسة، وربطها بالسياق السعودي ومستهدفاته. وفي شقّه الثاني استعرض الدراسات السابقة موضوعياً وعقّب عليها نقدياً، ليخلص إلى فجوةٍ بحثيةٍ رباعية الأبعاد تُشكّل مسوّغ الدراسة. ويُمهّد هذا كلّه للفصل الثالث الذي يعرض المنهجية والإجراءات التي اتُّبعت في الجانب الميداني لاختبار فرضيات الدراسة والإجابة عن أسئلتها.</w:t>
      </w:r>
    </w:p>
    <w:p w14:paraId="5DBDB0AF" w14:textId="77777777" w:rsidR="00706773" w:rsidRPr="00706773" w:rsidRDefault="00706773" w:rsidP="00706773">
      <w:pPr>
        <w:spacing w:after="0" w:line="360" w:lineRule="auto"/>
        <w:rPr>
          <w:rFonts w:ascii="Sakkal Majalla" w:eastAsia="Arial" w:hAnsi="Sakkal Majalla" w:cs="Sakkal Majalla"/>
          <w:kern w:val="0"/>
          <w:sz w:val="28"/>
          <w:szCs w:val="28"/>
          <w14:ligatures w14:val="none"/>
        </w:rPr>
      </w:pPr>
      <w:r w:rsidRPr="00706773">
        <w:rPr>
          <w:rFonts w:ascii="Sakkal Majalla" w:eastAsia="Arial" w:hAnsi="Sakkal Majalla" w:cs="Sakkal Majalla"/>
          <w:kern w:val="0"/>
          <w:sz w:val="28"/>
          <w:szCs w:val="28"/>
          <w14:ligatures w14:val="none"/>
        </w:rPr>
        <w:br w:type="page"/>
      </w:r>
    </w:p>
    <w:p w14:paraId="7986C4AD" w14:textId="77777777" w:rsidR="00005A2B" w:rsidRDefault="00005A2B"/>
    <w:sectPr w:rsidR="00005A2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320FED"/>
    <w:multiLevelType w:val="hybridMultilevel"/>
    <w:tmpl w:val="29B67F66"/>
    <w:lvl w:ilvl="0" w:tplc="DC4CFB76">
      <w:start w:val="1"/>
      <w:numFmt w:val="decimal"/>
      <w:lvlText w:val="%1."/>
      <w:lvlJc w:val="left"/>
      <w:pPr>
        <w:ind w:left="500" w:hanging="320"/>
      </w:pPr>
      <w:rPr>
        <w:rFonts w:ascii="Arial" w:eastAsia="Arial" w:hAnsi="Arial" w:cs="Arial"/>
        <w:b/>
        <w:bCs/>
        <w:color w:val="auto"/>
      </w:rPr>
    </w:lvl>
    <w:lvl w:ilvl="1" w:tplc="D174E630">
      <w:numFmt w:val="decimal"/>
      <w:lvlText w:val=""/>
      <w:lvlJc w:val="left"/>
      <w:pPr>
        <w:ind w:left="0" w:firstLine="0"/>
      </w:pPr>
    </w:lvl>
    <w:lvl w:ilvl="2" w:tplc="4E8812B8">
      <w:numFmt w:val="decimal"/>
      <w:lvlText w:val=""/>
      <w:lvlJc w:val="left"/>
      <w:pPr>
        <w:ind w:left="0" w:firstLine="0"/>
      </w:pPr>
    </w:lvl>
    <w:lvl w:ilvl="3" w:tplc="6CE27F46">
      <w:numFmt w:val="decimal"/>
      <w:lvlText w:val=""/>
      <w:lvlJc w:val="left"/>
      <w:pPr>
        <w:ind w:left="0" w:firstLine="0"/>
      </w:pPr>
    </w:lvl>
    <w:lvl w:ilvl="4" w:tplc="3FFAAC3A">
      <w:numFmt w:val="decimal"/>
      <w:lvlText w:val=""/>
      <w:lvlJc w:val="left"/>
      <w:pPr>
        <w:ind w:left="0" w:firstLine="0"/>
      </w:pPr>
    </w:lvl>
    <w:lvl w:ilvl="5" w:tplc="B6F6A076">
      <w:numFmt w:val="decimal"/>
      <w:lvlText w:val=""/>
      <w:lvlJc w:val="left"/>
      <w:pPr>
        <w:ind w:left="0" w:firstLine="0"/>
      </w:pPr>
    </w:lvl>
    <w:lvl w:ilvl="6" w:tplc="73889126">
      <w:numFmt w:val="decimal"/>
      <w:lvlText w:val=""/>
      <w:lvlJc w:val="left"/>
      <w:pPr>
        <w:ind w:left="0" w:firstLine="0"/>
      </w:pPr>
    </w:lvl>
    <w:lvl w:ilvl="7" w:tplc="0CCE985E">
      <w:numFmt w:val="decimal"/>
      <w:lvlText w:val=""/>
      <w:lvlJc w:val="left"/>
      <w:pPr>
        <w:ind w:left="0" w:firstLine="0"/>
      </w:pPr>
    </w:lvl>
    <w:lvl w:ilvl="8" w:tplc="D1040C28">
      <w:numFmt w:val="decimal"/>
      <w:lvlText w:val=""/>
      <w:lvlJc w:val="left"/>
      <w:pPr>
        <w:ind w:left="0" w:firstLine="0"/>
      </w:pPr>
    </w:lvl>
  </w:abstractNum>
  <w:abstractNum w:abstractNumId="1" w15:restartNumberingAfterBreak="0">
    <w:nsid w:val="5E244364"/>
    <w:multiLevelType w:val="hybridMultilevel"/>
    <w:tmpl w:val="50BCB000"/>
    <w:lvl w:ilvl="0" w:tplc="62E2FCA2">
      <w:start w:val="1"/>
      <w:numFmt w:val="decimal"/>
      <w:lvlText w:val="%1."/>
      <w:lvlJc w:val="left"/>
      <w:pPr>
        <w:ind w:left="500" w:hanging="320"/>
      </w:pPr>
      <w:rPr>
        <w:rFonts w:ascii="Arial" w:eastAsia="Arial" w:hAnsi="Arial" w:cs="Arial"/>
        <w:b/>
        <w:bCs/>
        <w:color w:val="000000"/>
      </w:rPr>
    </w:lvl>
    <w:lvl w:ilvl="1" w:tplc="BE7E9016">
      <w:numFmt w:val="decimal"/>
      <w:lvlText w:val=""/>
      <w:lvlJc w:val="left"/>
      <w:pPr>
        <w:ind w:left="0" w:firstLine="0"/>
      </w:pPr>
    </w:lvl>
    <w:lvl w:ilvl="2" w:tplc="483CBC24">
      <w:numFmt w:val="decimal"/>
      <w:lvlText w:val=""/>
      <w:lvlJc w:val="left"/>
      <w:pPr>
        <w:ind w:left="0" w:firstLine="0"/>
      </w:pPr>
    </w:lvl>
    <w:lvl w:ilvl="3" w:tplc="69566682">
      <w:numFmt w:val="decimal"/>
      <w:lvlText w:val=""/>
      <w:lvlJc w:val="left"/>
      <w:pPr>
        <w:ind w:left="0" w:firstLine="0"/>
      </w:pPr>
    </w:lvl>
    <w:lvl w:ilvl="4" w:tplc="15D02538">
      <w:numFmt w:val="decimal"/>
      <w:lvlText w:val=""/>
      <w:lvlJc w:val="left"/>
      <w:pPr>
        <w:ind w:left="0" w:firstLine="0"/>
      </w:pPr>
    </w:lvl>
    <w:lvl w:ilvl="5" w:tplc="23CA74AE">
      <w:numFmt w:val="decimal"/>
      <w:lvlText w:val=""/>
      <w:lvlJc w:val="left"/>
      <w:pPr>
        <w:ind w:left="0" w:firstLine="0"/>
      </w:pPr>
    </w:lvl>
    <w:lvl w:ilvl="6" w:tplc="B41062B8">
      <w:numFmt w:val="decimal"/>
      <w:lvlText w:val=""/>
      <w:lvlJc w:val="left"/>
      <w:pPr>
        <w:ind w:left="0" w:firstLine="0"/>
      </w:pPr>
    </w:lvl>
    <w:lvl w:ilvl="7" w:tplc="8B560502">
      <w:numFmt w:val="decimal"/>
      <w:lvlText w:val=""/>
      <w:lvlJc w:val="left"/>
      <w:pPr>
        <w:ind w:left="0" w:firstLine="0"/>
      </w:pPr>
    </w:lvl>
    <w:lvl w:ilvl="8" w:tplc="68BC95B2">
      <w:numFmt w:val="decimal"/>
      <w:lvlText w:val=""/>
      <w:lvlJc w:val="left"/>
      <w:pPr>
        <w:ind w:left="0" w:firstLine="0"/>
      </w:pPr>
    </w:lvl>
  </w:abstractNum>
  <w:abstractNum w:abstractNumId="2" w15:restartNumberingAfterBreak="0">
    <w:nsid w:val="68154434"/>
    <w:multiLevelType w:val="hybridMultilevel"/>
    <w:tmpl w:val="772C399C"/>
    <w:lvl w:ilvl="0" w:tplc="6A5A6FB6">
      <w:start w:val="1"/>
      <w:numFmt w:val="bullet"/>
      <w:lvlText w:val="•"/>
      <w:lvlJc w:val="left"/>
      <w:pPr>
        <w:ind w:left="500" w:hanging="260"/>
      </w:pPr>
      <w:rPr>
        <w:rFonts w:ascii="Arial" w:eastAsia="Arial" w:hAnsi="Arial" w:cs="Arial"/>
      </w:rPr>
    </w:lvl>
    <w:lvl w:ilvl="1" w:tplc="3814A254">
      <w:start w:val="1"/>
      <w:numFmt w:val="bullet"/>
      <w:lvlText w:val="◦"/>
      <w:lvlJc w:val="left"/>
      <w:pPr>
        <w:ind w:left="900" w:hanging="260"/>
      </w:pPr>
      <w:rPr>
        <w:rFonts w:ascii="Arial" w:eastAsia="Arial" w:hAnsi="Arial" w:cs="Arial"/>
      </w:rPr>
    </w:lvl>
    <w:lvl w:ilvl="2" w:tplc="033A0C4C">
      <w:numFmt w:val="decimal"/>
      <w:lvlText w:val=""/>
      <w:lvlJc w:val="left"/>
      <w:pPr>
        <w:ind w:left="0" w:firstLine="0"/>
      </w:pPr>
    </w:lvl>
    <w:lvl w:ilvl="3" w:tplc="19E49868">
      <w:numFmt w:val="decimal"/>
      <w:lvlText w:val=""/>
      <w:lvlJc w:val="left"/>
      <w:pPr>
        <w:ind w:left="0" w:firstLine="0"/>
      </w:pPr>
    </w:lvl>
    <w:lvl w:ilvl="4" w:tplc="37809A74">
      <w:numFmt w:val="decimal"/>
      <w:lvlText w:val=""/>
      <w:lvlJc w:val="left"/>
      <w:pPr>
        <w:ind w:left="0" w:firstLine="0"/>
      </w:pPr>
    </w:lvl>
    <w:lvl w:ilvl="5" w:tplc="C72A2802">
      <w:numFmt w:val="decimal"/>
      <w:lvlText w:val=""/>
      <w:lvlJc w:val="left"/>
      <w:pPr>
        <w:ind w:left="0" w:firstLine="0"/>
      </w:pPr>
    </w:lvl>
    <w:lvl w:ilvl="6" w:tplc="1D3830B8">
      <w:numFmt w:val="decimal"/>
      <w:lvlText w:val=""/>
      <w:lvlJc w:val="left"/>
      <w:pPr>
        <w:ind w:left="0" w:firstLine="0"/>
      </w:pPr>
    </w:lvl>
    <w:lvl w:ilvl="7" w:tplc="8B20B45C">
      <w:numFmt w:val="decimal"/>
      <w:lvlText w:val=""/>
      <w:lvlJc w:val="left"/>
      <w:pPr>
        <w:ind w:left="0" w:firstLine="0"/>
      </w:pPr>
    </w:lvl>
    <w:lvl w:ilvl="8" w:tplc="C0146C7A">
      <w:numFmt w:val="decimal"/>
      <w:lvlText w:val=""/>
      <w:lvlJc w:val="left"/>
      <w:pPr>
        <w:ind w:left="0" w:firstLine="0"/>
      </w:pPr>
    </w:lvl>
  </w:abstractNum>
  <w:abstractNum w:abstractNumId="3" w15:restartNumberingAfterBreak="0">
    <w:nsid w:val="7F9D03F7"/>
    <w:multiLevelType w:val="hybridMultilevel"/>
    <w:tmpl w:val="F5C07FCA"/>
    <w:lvl w:ilvl="0" w:tplc="EAE4D324">
      <w:start w:val="1"/>
      <w:numFmt w:val="decimal"/>
      <w:lvlText w:val="%1."/>
      <w:lvlJc w:val="left"/>
      <w:pPr>
        <w:ind w:left="500" w:hanging="320"/>
      </w:pPr>
      <w:rPr>
        <w:rFonts w:ascii="Arial" w:eastAsia="Arial" w:hAnsi="Arial" w:cs="Arial"/>
        <w:b/>
        <w:bCs/>
        <w:color w:val="auto"/>
      </w:rPr>
    </w:lvl>
    <w:lvl w:ilvl="1" w:tplc="86AE55B2">
      <w:numFmt w:val="decimal"/>
      <w:lvlText w:val=""/>
      <w:lvlJc w:val="left"/>
      <w:pPr>
        <w:ind w:left="0" w:firstLine="0"/>
      </w:pPr>
    </w:lvl>
    <w:lvl w:ilvl="2" w:tplc="EA7E6F94">
      <w:numFmt w:val="decimal"/>
      <w:lvlText w:val=""/>
      <w:lvlJc w:val="left"/>
      <w:pPr>
        <w:ind w:left="0" w:firstLine="0"/>
      </w:pPr>
    </w:lvl>
    <w:lvl w:ilvl="3" w:tplc="11181208">
      <w:numFmt w:val="decimal"/>
      <w:lvlText w:val=""/>
      <w:lvlJc w:val="left"/>
      <w:pPr>
        <w:ind w:left="0" w:firstLine="0"/>
      </w:pPr>
    </w:lvl>
    <w:lvl w:ilvl="4" w:tplc="2086FAD4">
      <w:numFmt w:val="decimal"/>
      <w:lvlText w:val=""/>
      <w:lvlJc w:val="left"/>
      <w:pPr>
        <w:ind w:left="0" w:firstLine="0"/>
      </w:pPr>
    </w:lvl>
    <w:lvl w:ilvl="5" w:tplc="34EC9AFE">
      <w:numFmt w:val="decimal"/>
      <w:lvlText w:val=""/>
      <w:lvlJc w:val="left"/>
      <w:pPr>
        <w:ind w:left="0" w:firstLine="0"/>
      </w:pPr>
    </w:lvl>
    <w:lvl w:ilvl="6" w:tplc="86D0525C">
      <w:numFmt w:val="decimal"/>
      <w:lvlText w:val=""/>
      <w:lvlJc w:val="left"/>
      <w:pPr>
        <w:ind w:left="0" w:firstLine="0"/>
      </w:pPr>
    </w:lvl>
    <w:lvl w:ilvl="7" w:tplc="02A49750">
      <w:numFmt w:val="decimal"/>
      <w:lvlText w:val=""/>
      <w:lvlJc w:val="left"/>
      <w:pPr>
        <w:ind w:left="0" w:firstLine="0"/>
      </w:pPr>
    </w:lvl>
    <w:lvl w:ilvl="8" w:tplc="4B1CBF7C">
      <w:numFmt w:val="decimal"/>
      <w:lvlText w:val=""/>
      <w:lvlJc w:val="left"/>
      <w:pPr>
        <w:ind w:left="0" w:firstLine="0"/>
      </w:pPr>
    </w:lvl>
  </w:abstractNum>
  <w:num w:numId="1" w16cid:durableId="861820776">
    <w:abstractNumId w:val="1"/>
  </w:num>
  <w:num w:numId="2" w16cid:durableId="1941600733">
    <w:abstractNumId w:val="1"/>
    <w:lvlOverride w:ilvl="0">
      <w:startOverride w:val="1"/>
    </w:lvlOverride>
    <w:lvlOverride w:ilvl="1"/>
    <w:lvlOverride w:ilvl="2"/>
    <w:lvlOverride w:ilvl="3"/>
    <w:lvlOverride w:ilvl="4"/>
    <w:lvlOverride w:ilvl="5"/>
    <w:lvlOverride w:ilvl="6"/>
    <w:lvlOverride w:ilvl="7"/>
    <w:lvlOverride w:ilvl="8"/>
  </w:num>
  <w:num w:numId="3" w16cid:durableId="90589524">
    <w:abstractNumId w:val="3"/>
  </w:num>
  <w:num w:numId="4" w16cid:durableId="1317150322">
    <w:abstractNumId w:val="3"/>
    <w:lvlOverride w:ilvl="0">
      <w:startOverride w:val="1"/>
    </w:lvlOverride>
    <w:lvlOverride w:ilvl="1"/>
    <w:lvlOverride w:ilvl="2"/>
    <w:lvlOverride w:ilvl="3"/>
    <w:lvlOverride w:ilvl="4"/>
    <w:lvlOverride w:ilvl="5"/>
    <w:lvlOverride w:ilvl="6"/>
    <w:lvlOverride w:ilvl="7"/>
    <w:lvlOverride w:ilvl="8"/>
  </w:num>
  <w:num w:numId="5" w16cid:durableId="659621180">
    <w:abstractNumId w:val="0"/>
  </w:num>
  <w:num w:numId="6" w16cid:durableId="1886989310">
    <w:abstractNumId w:val="0"/>
    <w:lvlOverride w:ilvl="0">
      <w:startOverride w:val="1"/>
    </w:lvlOverride>
    <w:lvlOverride w:ilvl="1"/>
    <w:lvlOverride w:ilvl="2"/>
    <w:lvlOverride w:ilvl="3"/>
    <w:lvlOverride w:ilvl="4"/>
    <w:lvlOverride w:ilvl="5"/>
    <w:lvlOverride w:ilvl="6"/>
    <w:lvlOverride w:ilvl="7"/>
    <w:lvlOverride w:ilvl="8"/>
  </w:num>
  <w:num w:numId="7" w16cid:durableId="152990721">
    <w:abstractNumId w:val="2"/>
  </w:num>
  <w:num w:numId="8" w16cid:durableId="615603382">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EF"/>
    <w:rsid w:val="00005A2B"/>
    <w:rsid w:val="00086FC0"/>
    <w:rsid w:val="000C17C6"/>
    <w:rsid w:val="003365EF"/>
    <w:rsid w:val="00381EC2"/>
    <w:rsid w:val="004F706E"/>
    <w:rsid w:val="00595D36"/>
    <w:rsid w:val="00706773"/>
    <w:rsid w:val="008B07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7659"/>
  <w15:chartTrackingRefBased/>
  <w15:docId w15:val="{03091510-3BDF-4581-9A5A-D52E36E01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5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365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65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65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65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65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5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5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5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مشروع"/>
    <w:basedOn w:val="Normal"/>
    <w:next w:val="Normal"/>
    <w:link w:val="TitleChar"/>
    <w:autoRedefine/>
    <w:uiPriority w:val="10"/>
    <w:qFormat/>
    <w:rsid w:val="000C17C6"/>
    <w:pPr>
      <w:spacing w:after="80" w:line="480" w:lineRule="auto"/>
      <w:contextualSpacing/>
      <w:jc w:val="center"/>
    </w:pPr>
    <w:rPr>
      <w:rFonts w:ascii="Calibri Light" w:eastAsiaTheme="majorEastAsia" w:hAnsi="Calibri Light" w:cstheme="majorBidi"/>
      <w:b/>
      <w:color w:val="EE0000"/>
      <w:spacing w:val="-10"/>
      <w:kern w:val="28"/>
      <w:sz w:val="40"/>
      <w:szCs w:val="56"/>
      <w:u w:val="single"/>
    </w:rPr>
  </w:style>
  <w:style w:type="character" w:customStyle="1" w:styleId="TitleChar">
    <w:name w:val="Title Char"/>
    <w:aliases w:val="مشروع Char"/>
    <w:basedOn w:val="DefaultParagraphFont"/>
    <w:link w:val="Title"/>
    <w:uiPriority w:val="10"/>
    <w:rsid w:val="000C17C6"/>
    <w:rPr>
      <w:rFonts w:ascii="Calibri Light" w:eastAsiaTheme="majorEastAsia" w:hAnsi="Calibri Light" w:cstheme="majorBidi"/>
      <w:b/>
      <w:color w:val="EE0000"/>
      <w:spacing w:val="-10"/>
      <w:kern w:val="28"/>
      <w:sz w:val="40"/>
      <w:szCs w:val="56"/>
      <w:u w:val="single"/>
    </w:rPr>
  </w:style>
  <w:style w:type="character" w:customStyle="1" w:styleId="Heading1Char">
    <w:name w:val="Heading 1 Char"/>
    <w:basedOn w:val="DefaultParagraphFont"/>
    <w:link w:val="Heading1"/>
    <w:uiPriority w:val="9"/>
    <w:rsid w:val="003365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365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65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65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65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65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5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5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5EF"/>
    <w:rPr>
      <w:rFonts w:eastAsiaTheme="majorEastAsia" w:cstheme="majorBidi"/>
      <w:color w:val="272727" w:themeColor="text1" w:themeTint="D8"/>
    </w:rPr>
  </w:style>
  <w:style w:type="paragraph" w:styleId="Subtitle">
    <w:name w:val="Subtitle"/>
    <w:basedOn w:val="Normal"/>
    <w:next w:val="Normal"/>
    <w:link w:val="SubtitleChar"/>
    <w:uiPriority w:val="11"/>
    <w:qFormat/>
    <w:rsid w:val="003365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5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5EF"/>
    <w:pPr>
      <w:spacing w:before="160"/>
      <w:jc w:val="center"/>
    </w:pPr>
    <w:rPr>
      <w:i/>
      <w:iCs/>
      <w:color w:val="404040" w:themeColor="text1" w:themeTint="BF"/>
    </w:rPr>
  </w:style>
  <w:style w:type="character" w:customStyle="1" w:styleId="QuoteChar">
    <w:name w:val="Quote Char"/>
    <w:basedOn w:val="DefaultParagraphFont"/>
    <w:link w:val="Quote"/>
    <w:uiPriority w:val="29"/>
    <w:rsid w:val="003365EF"/>
    <w:rPr>
      <w:i/>
      <w:iCs/>
      <w:color w:val="404040" w:themeColor="text1" w:themeTint="BF"/>
    </w:rPr>
  </w:style>
  <w:style w:type="paragraph" w:styleId="ListParagraph">
    <w:name w:val="List Paragraph"/>
    <w:basedOn w:val="Normal"/>
    <w:qFormat/>
    <w:rsid w:val="003365EF"/>
    <w:pPr>
      <w:ind w:left="720"/>
      <w:contextualSpacing/>
    </w:pPr>
  </w:style>
  <w:style w:type="character" w:styleId="IntenseEmphasis">
    <w:name w:val="Intense Emphasis"/>
    <w:basedOn w:val="DefaultParagraphFont"/>
    <w:uiPriority w:val="21"/>
    <w:qFormat/>
    <w:rsid w:val="003365EF"/>
    <w:rPr>
      <w:i/>
      <w:iCs/>
      <w:color w:val="2F5496" w:themeColor="accent1" w:themeShade="BF"/>
    </w:rPr>
  </w:style>
  <w:style w:type="paragraph" w:styleId="IntenseQuote">
    <w:name w:val="Intense Quote"/>
    <w:basedOn w:val="Normal"/>
    <w:next w:val="Normal"/>
    <w:link w:val="IntenseQuoteChar"/>
    <w:uiPriority w:val="30"/>
    <w:qFormat/>
    <w:rsid w:val="003365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65EF"/>
    <w:rPr>
      <w:i/>
      <w:iCs/>
      <w:color w:val="2F5496" w:themeColor="accent1" w:themeShade="BF"/>
    </w:rPr>
  </w:style>
  <w:style w:type="character" w:styleId="IntenseReference">
    <w:name w:val="Intense Reference"/>
    <w:basedOn w:val="DefaultParagraphFont"/>
    <w:uiPriority w:val="32"/>
    <w:qFormat/>
    <w:rsid w:val="003365EF"/>
    <w:rPr>
      <w:b/>
      <w:bCs/>
      <w:smallCaps/>
      <w:color w:val="2F5496" w:themeColor="accent1" w:themeShade="BF"/>
      <w:spacing w:val="5"/>
    </w:rPr>
  </w:style>
  <w:style w:type="numbering" w:customStyle="1" w:styleId="NoList1">
    <w:name w:val="No List1"/>
    <w:next w:val="NoList"/>
    <w:uiPriority w:val="99"/>
    <w:semiHidden/>
    <w:unhideWhenUsed/>
    <w:rsid w:val="00706773"/>
  </w:style>
  <w:style w:type="character" w:styleId="Hyperlink">
    <w:name w:val="Hyperlink"/>
    <w:uiPriority w:val="99"/>
    <w:semiHidden/>
    <w:unhideWhenUsed/>
    <w:rsid w:val="00706773"/>
    <w:rPr>
      <w:color w:val="0563C1"/>
      <w:u w:val="single"/>
    </w:rPr>
  </w:style>
  <w:style w:type="character" w:customStyle="1" w:styleId="FollowedHyperlink1">
    <w:name w:val="FollowedHyperlink1"/>
    <w:basedOn w:val="DefaultParagraphFont"/>
    <w:uiPriority w:val="99"/>
    <w:semiHidden/>
    <w:unhideWhenUsed/>
    <w:rsid w:val="00706773"/>
    <w:rPr>
      <w:color w:val="954F72"/>
      <w:u w:val="single"/>
    </w:rPr>
  </w:style>
  <w:style w:type="paragraph" w:customStyle="1" w:styleId="msonormal0">
    <w:name w:val="msonormal"/>
    <w:basedOn w:val="Normal"/>
    <w:rsid w:val="00706773"/>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1">
    <w:name w:val="toc 1"/>
    <w:basedOn w:val="Normal"/>
    <w:next w:val="Normal"/>
    <w:autoRedefine/>
    <w:uiPriority w:val="39"/>
    <w:semiHidden/>
    <w:unhideWhenUsed/>
    <w:rsid w:val="00706773"/>
    <w:pPr>
      <w:spacing w:after="100" w:line="360" w:lineRule="auto"/>
    </w:pPr>
    <w:rPr>
      <w:rFonts w:ascii="Arial" w:eastAsia="Arial" w:hAnsi="Arial" w:cs="Arial"/>
      <w:color w:val="3B3B3B"/>
      <w:kern w:val="0"/>
      <w:sz w:val="28"/>
      <w:szCs w:val="28"/>
      <w14:ligatures w14:val="none"/>
    </w:rPr>
  </w:style>
  <w:style w:type="paragraph" w:styleId="TOC2">
    <w:name w:val="toc 2"/>
    <w:basedOn w:val="Normal"/>
    <w:next w:val="Normal"/>
    <w:autoRedefine/>
    <w:uiPriority w:val="39"/>
    <w:semiHidden/>
    <w:unhideWhenUsed/>
    <w:rsid w:val="00706773"/>
    <w:pPr>
      <w:spacing w:after="100" w:line="360" w:lineRule="auto"/>
      <w:ind w:left="280"/>
    </w:pPr>
    <w:rPr>
      <w:rFonts w:ascii="Arial" w:eastAsia="Arial" w:hAnsi="Arial" w:cs="Arial"/>
      <w:color w:val="3B3B3B"/>
      <w:kern w:val="0"/>
      <w:sz w:val="28"/>
      <w:szCs w:val="28"/>
      <w14:ligatures w14:val="none"/>
    </w:rPr>
  </w:style>
  <w:style w:type="paragraph" w:styleId="TOC3">
    <w:name w:val="toc 3"/>
    <w:basedOn w:val="Normal"/>
    <w:next w:val="Normal"/>
    <w:autoRedefine/>
    <w:uiPriority w:val="39"/>
    <w:semiHidden/>
    <w:unhideWhenUsed/>
    <w:rsid w:val="00706773"/>
    <w:pPr>
      <w:spacing w:after="100" w:line="360" w:lineRule="auto"/>
      <w:ind w:left="560"/>
    </w:pPr>
    <w:rPr>
      <w:rFonts w:ascii="Arial" w:eastAsia="Arial" w:hAnsi="Arial" w:cs="Arial"/>
      <w:color w:val="3B3B3B"/>
      <w:kern w:val="0"/>
      <w:sz w:val="28"/>
      <w:szCs w:val="28"/>
      <w14:ligatures w14:val="none"/>
    </w:rPr>
  </w:style>
  <w:style w:type="paragraph" w:styleId="TOC4">
    <w:name w:val="toc 4"/>
    <w:basedOn w:val="Normal"/>
    <w:next w:val="Normal"/>
    <w:autoRedefine/>
    <w:uiPriority w:val="39"/>
    <w:semiHidden/>
    <w:unhideWhenUsed/>
    <w:rsid w:val="00706773"/>
    <w:pPr>
      <w:spacing w:after="100" w:line="276" w:lineRule="auto"/>
      <w:ind w:left="720"/>
    </w:pPr>
    <w:rPr>
      <w:rFonts w:ascii="Calibri" w:eastAsia="Times New Roman" w:hAnsi="Calibri" w:cs="Arial"/>
    </w:rPr>
  </w:style>
  <w:style w:type="paragraph" w:styleId="TOC5">
    <w:name w:val="toc 5"/>
    <w:basedOn w:val="Normal"/>
    <w:next w:val="Normal"/>
    <w:autoRedefine/>
    <w:uiPriority w:val="39"/>
    <w:semiHidden/>
    <w:unhideWhenUsed/>
    <w:rsid w:val="00706773"/>
    <w:pPr>
      <w:spacing w:after="100" w:line="276" w:lineRule="auto"/>
      <w:ind w:left="960"/>
    </w:pPr>
    <w:rPr>
      <w:rFonts w:ascii="Calibri" w:eastAsia="Times New Roman" w:hAnsi="Calibri" w:cs="Arial"/>
    </w:rPr>
  </w:style>
  <w:style w:type="paragraph" w:styleId="TOC6">
    <w:name w:val="toc 6"/>
    <w:basedOn w:val="Normal"/>
    <w:next w:val="Normal"/>
    <w:autoRedefine/>
    <w:uiPriority w:val="39"/>
    <w:semiHidden/>
    <w:unhideWhenUsed/>
    <w:rsid w:val="00706773"/>
    <w:pPr>
      <w:spacing w:after="100" w:line="276" w:lineRule="auto"/>
      <w:ind w:left="1200"/>
    </w:pPr>
    <w:rPr>
      <w:rFonts w:ascii="Calibri" w:eastAsia="Times New Roman" w:hAnsi="Calibri" w:cs="Arial"/>
    </w:rPr>
  </w:style>
  <w:style w:type="paragraph" w:styleId="TOC7">
    <w:name w:val="toc 7"/>
    <w:basedOn w:val="Normal"/>
    <w:next w:val="Normal"/>
    <w:autoRedefine/>
    <w:uiPriority w:val="39"/>
    <w:semiHidden/>
    <w:unhideWhenUsed/>
    <w:rsid w:val="00706773"/>
    <w:pPr>
      <w:spacing w:after="100" w:line="276" w:lineRule="auto"/>
      <w:ind w:left="1440"/>
    </w:pPr>
    <w:rPr>
      <w:rFonts w:ascii="Calibri" w:eastAsia="Times New Roman" w:hAnsi="Calibri" w:cs="Arial"/>
    </w:rPr>
  </w:style>
  <w:style w:type="paragraph" w:styleId="TOC8">
    <w:name w:val="toc 8"/>
    <w:basedOn w:val="Normal"/>
    <w:next w:val="Normal"/>
    <w:autoRedefine/>
    <w:uiPriority w:val="39"/>
    <w:semiHidden/>
    <w:unhideWhenUsed/>
    <w:rsid w:val="00706773"/>
    <w:pPr>
      <w:spacing w:after="100" w:line="276" w:lineRule="auto"/>
      <w:ind w:left="1680"/>
    </w:pPr>
    <w:rPr>
      <w:rFonts w:ascii="Calibri" w:eastAsia="Times New Roman" w:hAnsi="Calibri" w:cs="Arial"/>
    </w:rPr>
  </w:style>
  <w:style w:type="paragraph" w:styleId="TOC9">
    <w:name w:val="toc 9"/>
    <w:basedOn w:val="Normal"/>
    <w:next w:val="Normal"/>
    <w:autoRedefine/>
    <w:uiPriority w:val="39"/>
    <w:semiHidden/>
    <w:unhideWhenUsed/>
    <w:rsid w:val="00706773"/>
    <w:pPr>
      <w:spacing w:after="100" w:line="276" w:lineRule="auto"/>
      <w:ind w:left="1920"/>
    </w:pPr>
    <w:rPr>
      <w:rFonts w:ascii="Calibri" w:eastAsia="Times New Roman" w:hAnsi="Calibri" w:cs="Arial"/>
    </w:rPr>
  </w:style>
  <w:style w:type="paragraph" w:styleId="FootnoteText">
    <w:name w:val="footnote text"/>
    <w:link w:val="FootnoteTextChar"/>
    <w:uiPriority w:val="99"/>
    <w:semiHidden/>
    <w:unhideWhenUsed/>
    <w:rsid w:val="00706773"/>
    <w:pPr>
      <w:spacing w:after="0" w:line="240" w:lineRule="auto"/>
    </w:pPr>
    <w:rPr>
      <w:rFonts w:ascii="Arial" w:eastAsia="Arial" w:hAnsi="Arial" w:cs="Arial"/>
      <w:color w:val="3B3B3B"/>
      <w:kern w:val="0"/>
      <w:sz w:val="20"/>
      <w:szCs w:val="20"/>
      <w14:ligatures w14:val="none"/>
    </w:rPr>
  </w:style>
  <w:style w:type="character" w:customStyle="1" w:styleId="FootnoteTextChar">
    <w:name w:val="Footnote Text Char"/>
    <w:basedOn w:val="DefaultParagraphFont"/>
    <w:link w:val="FootnoteText"/>
    <w:uiPriority w:val="99"/>
    <w:semiHidden/>
    <w:rsid w:val="00706773"/>
    <w:rPr>
      <w:rFonts w:ascii="Arial" w:eastAsia="Arial" w:hAnsi="Arial" w:cs="Arial"/>
      <w:color w:val="3B3B3B"/>
      <w:kern w:val="0"/>
      <w:sz w:val="20"/>
      <w:szCs w:val="20"/>
      <w14:ligatures w14:val="none"/>
    </w:rPr>
  </w:style>
  <w:style w:type="paragraph" w:styleId="EndnoteText">
    <w:name w:val="endnote text"/>
    <w:link w:val="EndnoteTextChar"/>
    <w:uiPriority w:val="99"/>
    <w:semiHidden/>
    <w:unhideWhenUsed/>
    <w:rsid w:val="00706773"/>
    <w:pPr>
      <w:spacing w:after="0" w:line="240" w:lineRule="auto"/>
    </w:pPr>
    <w:rPr>
      <w:rFonts w:ascii="Arial" w:eastAsia="Arial" w:hAnsi="Arial" w:cs="Arial"/>
      <w:color w:val="3B3B3B"/>
      <w:kern w:val="0"/>
      <w:sz w:val="20"/>
      <w:szCs w:val="20"/>
      <w14:ligatures w14:val="none"/>
    </w:rPr>
  </w:style>
  <w:style w:type="character" w:customStyle="1" w:styleId="EndnoteTextChar">
    <w:name w:val="Endnote Text Char"/>
    <w:basedOn w:val="DefaultParagraphFont"/>
    <w:link w:val="EndnoteText"/>
    <w:uiPriority w:val="99"/>
    <w:semiHidden/>
    <w:rsid w:val="00706773"/>
    <w:rPr>
      <w:rFonts w:ascii="Arial" w:eastAsia="Arial" w:hAnsi="Arial" w:cs="Arial"/>
      <w:color w:val="3B3B3B"/>
      <w:kern w:val="0"/>
      <w:sz w:val="20"/>
      <w:szCs w:val="20"/>
      <w14:ligatures w14:val="none"/>
    </w:rPr>
  </w:style>
  <w:style w:type="paragraph" w:customStyle="1" w:styleId="Strong1">
    <w:name w:val="Strong1"/>
    <w:qFormat/>
    <w:rsid w:val="00706773"/>
    <w:pPr>
      <w:spacing w:after="0" w:line="360" w:lineRule="auto"/>
    </w:pPr>
    <w:rPr>
      <w:rFonts w:ascii="Arial" w:eastAsia="Arial" w:hAnsi="Arial" w:cs="Arial"/>
      <w:b/>
      <w:bCs/>
      <w:color w:val="3B3B3B"/>
      <w:kern w:val="0"/>
      <w:sz w:val="28"/>
      <w:szCs w:val="28"/>
      <w14:ligatures w14:val="none"/>
    </w:rPr>
  </w:style>
  <w:style w:type="character" w:styleId="FootnoteReference">
    <w:name w:val="footnote reference"/>
    <w:uiPriority w:val="99"/>
    <w:semiHidden/>
    <w:unhideWhenUsed/>
    <w:rsid w:val="00706773"/>
    <w:rPr>
      <w:vertAlign w:val="superscript"/>
    </w:rPr>
  </w:style>
  <w:style w:type="character" w:styleId="EndnoteReference">
    <w:name w:val="endnote reference"/>
    <w:uiPriority w:val="99"/>
    <w:semiHidden/>
    <w:unhideWhenUsed/>
    <w:rsid w:val="00706773"/>
    <w:rPr>
      <w:vertAlign w:val="superscript"/>
    </w:rPr>
  </w:style>
  <w:style w:type="character" w:styleId="FollowedHyperlink">
    <w:name w:val="FollowedHyperlink"/>
    <w:basedOn w:val="DefaultParagraphFont"/>
    <w:uiPriority w:val="99"/>
    <w:semiHidden/>
    <w:unhideWhenUsed/>
    <w:rsid w:val="007067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5486</Words>
  <Characters>31276</Characters>
  <Application>Microsoft Office Word</Application>
  <DocSecurity>0</DocSecurity>
  <Lines>260</Lines>
  <Paragraphs>73</Paragraphs>
  <ScaleCrop>false</ScaleCrop>
  <Company/>
  <LinksUpToDate>false</LinksUpToDate>
  <CharactersWithSpaces>36689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Odah</dc:creator>
  <cp:keywords/>
  <dc:description/>
  <cp:lastModifiedBy>Mohammad Odah</cp:lastModifiedBy>
  <cp:revision>2</cp:revision>
  <dcterms:created xsi:type="dcterms:W3CDTF">2026-07-09T17:25:00Z</dcterms:created>
  <dcterms:modified xsi:type="dcterms:W3CDTF">2026-07-09T17:26:00Z</dcterms:modified>
</cp:coreProperties>
</file>