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336CCE" w14:textId="77777777" w:rsidR="008A1308" w:rsidRPr="003340FD" w:rsidRDefault="008A1308" w:rsidP="008A130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340FD">
        <w:rPr>
          <w:rFonts w:ascii="Sakkal Majalla" w:hAnsi="Sakkal Majalla" w:cs="Sakkal Majalla"/>
          <w:b/>
          <w:bCs/>
          <w:noProof/>
          <w:color w:val="000000" w:themeColor="text1"/>
          <w:sz w:val="32"/>
          <w:szCs w:val="32"/>
        </w:rPr>
        <w:drawing>
          <wp:anchor distT="0" distB="0" distL="114300" distR="114300" simplePos="0" relativeHeight="251653632" behindDoc="0" locked="0" layoutInCell="1" allowOverlap="1" wp14:anchorId="0610C4AF" wp14:editId="28F20345">
            <wp:simplePos x="0" y="0"/>
            <wp:positionH relativeFrom="margin">
              <wp:posOffset>0</wp:posOffset>
            </wp:positionH>
            <wp:positionV relativeFrom="margin">
              <wp:posOffset>7620</wp:posOffset>
            </wp:positionV>
            <wp:extent cx="1647825" cy="152908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7825" cy="1529080"/>
                    </a:xfrm>
                    <a:prstGeom prst="rect">
                      <a:avLst/>
                    </a:prstGeom>
                  </pic:spPr>
                </pic:pic>
              </a:graphicData>
            </a:graphic>
            <wp14:sizeRelH relativeFrom="margin">
              <wp14:pctWidth>0</wp14:pctWidth>
            </wp14:sizeRelH>
            <wp14:sizeRelV relativeFrom="margin">
              <wp14:pctHeight>0</wp14:pctHeight>
            </wp14:sizeRelV>
          </wp:anchor>
        </w:drawing>
      </w:r>
      <w:r w:rsidRPr="003340FD">
        <w:rPr>
          <w:rFonts w:ascii="Sakkal Majalla" w:hAnsi="Sakkal Majalla" w:cs="Sakkal Majalla"/>
          <w:b/>
          <w:bCs/>
          <w:color w:val="000000" w:themeColor="text1"/>
          <w:sz w:val="32"/>
          <w:szCs w:val="32"/>
          <w:rtl/>
          <w:lang w:bidi="ar-EG"/>
        </w:rPr>
        <w:t xml:space="preserve">جامعة ميدأوشن </w:t>
      </w:r>
    </w:p>
    <w:p w14:paraId="36E1E0D2" w14:textId="77777777" w:rsidR="008A1308" w:rsidRPr="003340FD" w:rsidRDefault="008A1308" w:rsidP="008A13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340FD">
        <w:rPr>
          <w:rFonts w:ascii="Sakkal Majalla" w:hAnsi="Sakkal Majalla" w:cs="Sakkal Majalla"/>
          <w:b/>
          <w:bCs/>
          <w:color w:val="000000" w:themeColor="text1"/>
          <w:sz w:val="32"/>
          <w:szCs w:val="32"/>
          <w:rtl/>
          <w:lang w:bidi="ar-EG"/>
        </w:rPr>
        <w:t xml:space="preserve">كلية الإدارة </w:t>
      </w:r>
    </w:p>
    <w:p w14:paraId="127AA4CB" w14:textId="55534437" w:rsidR="008A1308" w:rsidRPr="003340FD" w:rsidRDefault="008A1308" w:rsidP="00DD663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340FD">
        <w:rPr>
          <w:rFonts w:ascii="Sakkal Majalla" w:hAnsi="Sakkal Majalla" w:cs="Sakkal Majalla"/>
          <w:b/>
          <w:bCs/>
          <w:color w:val="000000" w:themeColor="text1"/>
          <w:sz w:val="32"/>
          <w:szCs w:val="32"/>
          <w:rtl/>
          <w:lang w:bidi="ar-EG"/>
        </w:rPr>
        <w:t xml:space="preserve">قسم / </w:t>
      </w:r>
      <w:r w:rsidR="00DD663A" w:rsidRPr="003340FD">
        <w:rPr>
          <w:rFonts w:ascii="Sakkal Majalla" w:hAnsi="Sakkal Majalla" w:cs="Sakkal Majalla" w:hint="cs"/>
          <w:b/>
          <w:bCs/>
          <w:color w:val="000000" w:themeColor="text1"/>
          <w:sz w:val="32"/>
          <w:szCs w:val="32"/>
          <w:rtl/>
          <w:lang w:bidi="ar-EG"/>
        </w:rPr>
        <w:t>تخصص إدارة أعمال</w:t>
      </w:r>
    </w:p>
    <w:p w14:paraId="175E0F45" w14:textId="77777777" w:rsidR="008A1308" w:rsidRPr="003340FD" w:rsidRDefault="008A1308" w:rsidP="008A1308">
      <w:pPr>
        <w:spacing w:before="100" w:beforeAutospacing="1" w:after="100" w:afterAutospacing="1" w:line="360" w:lineRule="auto"/>
        <w:jc w:val="both"/>
        <w:rPr>
          <w:rFonts w:ascii="Sakkal Majalla" w:hAnsi="Sakkal Majalla" w:cs="Sakkal Majalla"/>
          <w:color w:val="000000" w:themeColor="text1"/>
          <w:sz w:val="28"/>
          <w:szCs w:val="28"/>
          <w:rtl/>
        </w:rPr>
      </w:pPr>
    </w:p>
    <w:p w14:paraId="171E9DC0" w14:textId="0F8E9995" w:rsidR="006B3E13" w:rsidRPr="003340FD" w:rsidRDefault="003C4583" w:rsidP="008A1308">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3340FD">
        <w:rPr>
          <w:rFonts w:ascii="Sakkal Majalla" w:hAnsi="Sakkal Majalla" w:cs="Sakkal Majalla"/>
          <w:b/>
          <w:bCs/>
          <w:color w:val="000000" w:themeColor="text1"/>
          <w:sz w:val="40"/>
          <w:szCs w:val="40"/>
          <w:rtl/>
        </w:rPr>
        <w:t>دراسة العوائق والتحديات التي تعيق تطور قطاع التجزئة وتحقيق اهداف  استدامة رؤية المملكة 2030</w:t>
      </w:r>
    </w:p>
    <w:p w14:paraId="429049CB" w14:textId="6CA69AF4" w:rsidR="008A1308" w:rsidRPr="003340FD" w:rsidRDefault="008A1308" w:rsidP="008A130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اسم الطالب/</w:t>
      </w:r>
    </w:p>
    <w:p w14:paraId="178C470D" w14:textId="4CA516E1" w:rsidR="008A1308" w:rsidRPr="003340FD" w:rsidRDefault="00DD663A" w:rsidP="00DD663A">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عبد الله السيد محمد ظاهر البخاري</w:t>
      </w:r>
    </w:p>
    <w:p w14:paraId="7B8E6DAC" w14:textId="131AE121" w:rsidR="008A1308" w:rsidRPr="003340FD" w:rsidRDefault="008A1308" w:rsidP="008A130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إشراف/</w:t>
      </w:r>
    </w:p>
    <w:p w14:paraId="093B7726" w14:textId="7C179042" w:rsidR="008A1308" w:rsidRPr="003340FD" w:rsidRDefault="008A1308" w:rsidP="008A130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أ.د/ الفيصل عبد الحميد</w:t>
      </w:r>
    </w:p>
    <w:p w14:paraId="2F063CF3" w14:textId="4E937AD3" w:rsidR="008A1308" w:rsidRPr="003340FD" w:rsidRDefault="008A1308" w:rsidP="008A130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أ.د/ فايز جراد</w:t>
      </w:r>
    </w:p>
    <w:p w14:paraId="4B48DFDA" w14:textId="0ADBD7FB" w:rsidR="008A1308" w:rsidRPr="003340FD" w:rsidRDefault="008A1308" w:rsidP="008A130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العام الدراسي/</w:t>
      </w:r>
    </w:p>
    <w:p w14:paraId="5759C349" w14:textId="77777777" w:rsidR="008A1308" w:rsidRPr="003340FD" w:rsidRDefault="008A1308" w:rsidP="008A1308">
      <w:pPr>
        <w:spacing w:before="100" w:beforeAutospacing="1" w:after="100" w:afterAutospacing="1" w:line="360" w:lineRule="auto"/>
        <w:jc w:val="center"/>
        <w:rPr>
          <w:rFonts w:ascii="Sakkal Majalla" w:hAnsi="Sakkal Majalla" w:cs="Sakkal Majalla"/>
          <w:b/>
          <w:bCs/>
          <w:color w:val="000000" w:themeColor="text1"/>
          <w:sz w:val="36"/>
          <w:szCs w:val="36"/>
          <w:rtl/>
        </w:rPr>
        <w:sectPr w:rsidR="008A1308" w:rsidRPr="003340FD" w:rsidSect="008A1308">
          <w:type w:val="continuous"/>
          <w:pgSz w:w="11907" w:h="16840" w:code="9"/>
          <w:pgMar w:top="1440" w:right="1985" w:bottom="1440" w:left="1418" w:header="720" w:footer="720" w:gutter="567"/>
          <w:pgNumType w:fmt="arabicAbjad" w:start="1"/>
          <w:cols w:space="708"/>
          <w:bidi/>
          <w:rtlGutter/>
          <w:docGrid w:linePitch="360"/>
        </w:sectPr>
      </w:pPr>
      <w:r w:rsidRPr="003340FD">
        <w:rPr>
          <w:rFonts w:ascii="Sakkal Majalla" w:hAnsi="Sakkal Majalla" w:cs="Sakkal Majalla" w:hint="cs"/>
          <w:b/>
          <w:bCs/>
          <w:color w:val="000000" w:themeColor="text1"/>
          <w:sz w:val="36"/>
          <w:szCs w:val="36"/>
          <w:rtl/>
        </w:rPr>
        <w:t xml:space="preserve">1447 </w:t>
      </w:r>
      <w:r w:rsidRPr="003340FD">
        <w:rPr>
          <w:rFonts w:ascii="Sakkal Majalla" w:hAnsi="Sakkal Majalla" w:cs="Sakkal Majalla"/>
          <w:b/>
          <w:bCs/>
          <w:color w:val="000000" w:themeColor="text1"/>
          <w:sz w:val="36"/>
          <w:szCs w:val="36"/>
          <w:rtl/>
        </w:rPr>
        <w:t>–</w:t>
      </w:r>
      <w:r w:rsidRPr="003340FD">
        <w:rPr>
          <w:rFonts w:ascii="Sakkal Majalla" w:hAnsi="Sakkal Majalla" w:cs="Sakkal Majalla" w:hint="cs"/>
          <w:b/>
          <w:bCs/>
          <w:color w:val="000000" w:themeColor="text1"/>
          <w:sz w:val="36"/>
          <w:szCs w:val="36"/>
          <w:rtl/>
        </w:rPr>
        <w:t xml:space="preserve"> 2025</w:t>
      </w:r>
    </w:p>
    <w:p w14:paraId="06B2F04E" w14:textId="1CE5472B" w:rsidR="00E81F00" w:rsidRPr="003340FD" w:rsidRDefault="00DD663A" w:rsidP="00DD663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3340FD">
        <w:rPr>
          <w:rFonts w:ascii="Sakkal Majalla" w:hAnsi="Sakkal Majalla" w:cs="Sakkal Majalla" w:hint="cs"/>
          <w:b/>
          <w:bCs/>
          <w:color w:val="000000" w:themeColor="text1"/>
          <w:sz w:val="40"/>
          <w:szCs w:val="40"/>
          <w:rtl/>
          <w:lang w:bidi="ar-EG"/>
        </w:rPr>
        <w:lastRenderedPageBreak/>
        <w:t>الفصل الأول: الإطار العام للدراسة</w:t>
      </w:r>
    </w:p>
    <w:p w14:paraId="22E7FBF0" w14:textId="44759F12" w:rsidR="00DD663A" w:rsidRPr="003340FD" w:rsidRDefault="00DD663A" w:rsidP="00DD663A">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r w:rsidRPr="003340FD">
        <w:rPr>
          <w:rFonts w:ascii="Sakkal Majalla" w:hAnsi="Sakkal Majalla" w:cs="Sakkal Majalla" w:hint="cs"/>
          <w:b/>
          <w:bCs/>
          <w:color w:val="000000" w:themeColor="text1"/>
          <w:sz w:val="36"/>
          <w:szCs w:val="36"/>
          <w:rtl/>
          <w:lang w:bidi="ar-EG"/>
        </w:rPr>
        <w:t xml:space="preserve">1.1 المقدمة </w:t>
      </w:r>
    </w:p>
    <w:p w14:paraId="4D670258" w14:textId="77777777" w:rsidR="00DD663A" w:rsidRPr="003340FD" w:rsidRDefault="00DD663A" w:rsidP="00DD663A">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t>أصبحت الاستدامة محركاً حاسما للابتكار، والمسؤولية المؤسسية، واستدامة الأعمال على المدى الطويل في ممارسات الأعمال المعاصرة في قطاع الطيران - الذي يتميز بالاستهلاك العالي للطاقة، والانبعاثات الكربونية، والعمليات العالمية - تصبحالحاجة إلى استراتيجيات مستدامة أكثر إلحاحا تتعرض شركات الطيران الضغوط متزايدة من الحكومات، والمدافعين عن البيئة. واللوائح الدولية لتقليل بصمتها البيئية، وتحسين كفاءة استخدام الموارد والمساهمة بشكل إيجابي في التنمية الاجتماعية والاقتصادية.</w:t>
      </w:r>
    </w:p>
    <w:p w14:paraId="03D1CE9A" w14:textId="77777777" w:rsidR="00DD663A" w:rsidRPr="003340FD" w:rsidRDefault="00DD663A" w:rsidP="00DD663A">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t>أكدت المملكة العربية السعودية، من خلال إطار رؤية 2030، على الاستدامة كأولوية وطنية، بهدف تنويع الاقتصاد وتقليل الاعتماد على الوقود الأحفوري. تلعب الخطوط الجوية السعودية، بصفتها الناقل الوطني، دورا حيويا في تحقيق هذه الرؤية. وبصفتها كيانا مملوكا للحكومة وتعمل على المستوى الدولي، يتوقع من السعودية أن تكون رائدة في دمج الاستدامة في خططها الاستراتيجية وعملياتها اليومية وآليات تفاعلها مع أصحاب المصلحة.</w:t>
      </w:r>
    </w:p>
    <w:p w14:paraId="76D007B3" w14:textId="22EF9B40" w:rsidR="00DD663A" w:rsidRPr="003340FD" w:rsidRDefault="00DD663A" w:rsidP="00DD663A">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t>تستكشف هذه الدراسة كيفية دمج الاستدامة في الإطار التشغيلي للخطوط الجوية السعودية، وتحقق في مدى تبني الممارسات المستدامة، ومدى توافقها مع معايير الطيران العالمية، والتحديات التي تواجه التنفيذ. كما تقارن ممارسات السعودية مع شركات طيران عالمية مثل لوفتهانزا، وطيران الإمارات، ودلتا، لتقييم القدرة التنافسية وتحديد الثغرات.</w:t>
      </w:r>
    </w:p>
    <w:p w14:paraId="7EB80148" w14:textId="1B3D5868" w:rsidR="00D76D88" w:rsidRPr="003340FD" w:rsidRDefault="00D76D88" w:rsidP="00D76D8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3340FD">
        <w:rPr>
          <w:rFonts w:ascii="Sakkal Majalla" w:hAnsi="Sakkal Majalla" w:cs="Sakkal Majalla" w:hint="cs"/>
          <w:b/>
          <w:bCs/>
          <w:color w:val="000000" w:themeColor="text1"/>
          <w:sz w:val="36"/>
          <w:szCs w:val="36"/>
          <w:rtl/>
          <w:lang w:bidi="ar-EG"/>
        </w:rPr>
        <w:t xml:space="preserve">2.1 </w:t>
      </w:r>
      <w:r w:rsidRPr="003340FD">
        <w:rPr>
          <w:rFonts w:ascii="Sakkal Majalla" w:hAnsi="Sakkal Majalla" w:cs="Sakkal Majalla"/>
          <w:b/>
          <w:bCs/>
          <w:color w:val="000000" w:themeColor="text1"/>
          <w:sz w:val="36"/>
          <w:szCs w:val="36"/>
          <w:rtl/>
          <w:lang w:bidi="ar-EG"/>
        </w:rPr>
        <w:t>مشكلة الدراسة:</w:t>
      </w:r>
    </w:p>
    <w:p w14:paraId="741630DF"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t>رغم التطور السريع الذي يشهده قطاع التجزئة في المملكة العربية السعودية، إلا أن هذا النمو يواجه العديد من التحديات التي قد تعيق استدامته وتحقيق أهداف رؤية المملكة 2030.</w:t>
      </w:r>
    </w:p>
    <w:p w14:paraId="125DD5D3"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lastRenderedPageBreak/>
        <w:t>وتتمثل هذه التحديات في عوامل متعددة، مثل حدة المنافسة بين العلامات التجارية المحلية والعالمية، وتغير أنماط سلوك المستهلك، وضعف التوطين الوظيفي في بعض فروع القطاع، بالإضافة إلى التحولات الرقمية السريعة التي تتطلب بنية تحتية وتقنيات متقدمة.</w:t>
      </w:r>
    </w:p>
    <w:p w14:paraId="34E0A80A"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t>كما تواجه الشركات العاملة في قطاع التجزئة صعوبة في التكيف مع توقعات العملاء المتزايدة، ومتطلبات التجارة الإلكترونية، وضغوط تقلبات الأسعار وسلاسل الإمداد لذا، تبرز الحاجة إلى دراسة عميقة لهذه التحديات وتحليل</w:t>
      </w:r>
    </w:p>
    <w:p w14:paraId="5C293CCD" w14:textId="299B5DCD"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t>أثرها على مستقبل القطاع، وتحديد السبل الممكنة لتطويره وتحقيق الاستدامة والربحية فيه.</w:t>
      </w:r>
    </w:p>
    <w:p w14:paraId="16C9055C" w14:textId="2A14C466" w:rsidR="00D76D88" w:rsidRPr="003340FD" w:rsidRDefault="00D76D88" w:rsidP="00D76D8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3.1 </w:t>
      </w:r>
      <w:r w:rsidRPr="003340FD">
        <w:rPr>
          <w:rFonts w:ascii="Sakkal Majalla" w:hAnsi="Sakkal Majalla" w:cs="Sakkal Majalla"/>
          <w:b/>
          <w:bCs/>
          <w:color w:val="000000" w:themeColor="text1"/>
          <w:sz w:val="36"/>
          <w:szCs w:val="36"/>
          <w:rtl/>
        </w:rPr>
        <w:t>أهمية الدراسة:</w:t>
      </w:r>
    </w:p>
    <w:p w14:paraId="38DF498D"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تنبع أهمية هذه الدراسة من الدور الحيوي الذي يلعبه قطاع التجزئة في دعم الاقتصاد الوطني، وكونه من أكثر القطاعات تأثيرا في حياة المستهلكين اليومية.</w:t>
      </w:r>
    </w:p>
    <w:p w14:paraId="691589BA" w14:textId="77777777" w:rsidR="00D76D88" w:rsidRPr="003340FD" w:rsidRDefault="00D76D88" w:rsidP="00D76D8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وتعد هذه الدراسة مهمة لعدة أسباب، من أبرزها:</w:t>
      </w:r>
    </w:p>
    <w:p w14:paraId="7A5186CC" w14:textId="7278DD9C"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الاقتصادية</w:t>
      </w:r>
    </w:p>
    <w:p w14:paraId="24AD4555"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تسلط الضوء على مساهمة قطاع التجزئة في الناتج المحلي الإجمالي، وتكشف عن فرص النمو والاستثمار فيه، مما يساعد صناع القرار والمستثمرين على اتخاذ قرارات مبنية على معطيات دقيقة.</w:t>
      </w:r>
    </w:p>
    <w:p w14:paraId="2649A639" w14:textId="21DAAC6D"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الاجتماعية</w:t>
      </w:r>
    </w:p>
    <w:p w14:paraId="727A9219"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توضح أهمية القطاع في خلق فرص العمل وتوطين الوظائف، خاصة في ظل التركيز الحكومي على تمكين الكوادر الوطنية ضمن رؤية 2030.</w:t>
      </w:r>
    </w:p>
    <w:p w14:paraId="6343CE87" w14:textId="207B0E4E"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الإدارية والتطويرية</w:t>
      </w:r>
    </w:p>
    <w:p w14:paraId="3B56FE37"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تقدم الدراسة تحليلا للتحديات الإدارية والتقنية التي تواجه مؤسسات التجزئة، ما يسهم في تحسين أداء الشركات وتبني استراتيجيات أكثر فعالية وابتكارا.</w:t>
      </w:r>
    </w:p>
    <w:p w14:paraId="13635069" w14:textId="2BE09D1B"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التقنية:</w:t>
      </w:r>
    </w:p>
    <w:p w14:paraId="64108A1C"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توضح أهمية التحول الرقمي والتجارة الإلكترونية في تطوير تجربة التسوق، وتبرز دور التكنولوجيا في تعزيز كفاءة العمليات وتقليل التكاليف.</w:t>
      </w:r>
    </w:p>
    <w:p w14:paraId="698F3653" w14:textId="333CDBCE"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الأكاديمية والبحثية</w:t>
      </w:r>
    </w:p>
    <w:p w14:paraId="48EB3F14" w14:textId="0B638932"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تسد هذه الدراسة فجوة في الأدبيات البحثية المحلية المتعلقة بقطاع التجزئة، وتشكل مرجعا للباحثين والدارسين المهتمين بتطورات هذا القطاع الحيوي.</w:t>
      </w:r>
    </w:p>
    <w:p w14:paraId="52841FE2" w14:textId="77777777"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توفير قاعدة بيانات للباحثين وصناع القرار:</w:t>
      </w:r>
    </w:p>
    <w:p w14:paraId="31C8128B"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تساعد الدراسة في بناء مرجع بحثي محلي حول قطاع التجزئة يمكن الاستفادة منه في إعداد السياسات والخطط الاقتصادية المستقبلية.</w:t>
      </w:r>
    </w:p>
    <w:p w14:paraId="637C387C" w14:textId="77782D88"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تسليط الضوء على دور المنشآت الصغيرة والمتوسطة (</w:t>
      </w:r>
      <w:r w:rsidRPr="003340FD">
        <w:rPr>
          <w:rFonts w:ascii="Sakkal Majalla" w:hAnsi="Sakkal Majalla" w:cs="Sakkal Majalla"/>
          <w:b/>
          <w:bCs/>
          <w:color w:val="000000" w:themeColor="text1"/>
          <w:sz w:val="28"/>
          <w:szCs w:val="28"/>
        </w:rPr>
        <w:t>SMEs</w:t>
      </w:r>
      <w:r w:rsidRPr="003340FD">
        <w:rPr>
          <w:rFonts w:ascii="Sakkal Majalla" w:hAnsi="Sakkal Majalla" w:cs="Sakkal Majalla"/>
          <w:b/>
          <w:bCs/>
          <w:color w:val="000000" w:themeColor="text1"/>
          <w:sz w:val="28"/>
          <w:szCs w:val="28"/>
          <w:rtl/>
        </w:rPr>
        <w:t>)</w:t>
      </w:r>
    </w:p>
    <w:p w14:paraId="2F8FCCA8"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توضح الدراسة أهمية دعم وتمكين المنشآت الصغيرة والمتوسطة التي تعد ركيزة أساسية في نمو قطاع التجزئة وتنويع الاقتصاد.</w:t>
      </w:r>
    </w:p>
    <w:p w14:paraId="3AAB1A2E" w14:textId="77777777"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قياس جاهزية السوق للتطورات العالمية</w:t>
      </w:r>
    </w:p>
    <w:p w14:paraId="511825AF"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تمكن الدراسة من تقييم مدى استعداد سوق التجزئة السعودي للتفاعل مع الاتجاهات العالمية مثل التجارة الذكية التجزئة المدعومة بالذكاء الاصطناعي، ومتاجر التجربة (</w:t>
      </w:r>
      <w:r w:rsidRPr="003340FD">
        <w:rPr>
          <w:rFonts w:ascii="Sakkal Majalla" w:hAnsi="Sakkal Majalla" w:cs="Sakkal Majalla"/>
          <w:color w:val="000000" w:themeColor="text1"/>
          <w:sz w:val="28"/>
          <w:szCs w:val="28"/>
        </w:rPr>
        <w:t>Experience Stores</w:t>
      </w:r>
      <w:r w:rsidRPr="003340FD">
        <w:rPr>
          <w:rFonts w:ascii="Sakkal Majalla" w:hAnsi="Sakkal Majalla" w:cs="Sakkal Majalla"/>
          <w:color w:val="000000" w:themeColor="text1"/>
          <w:sz w:val="28"/>
          <w:szCs w:val="28"/>
          <w:rtl/>
        </w:rPr>
        <w:t>).</w:t>
      </w:r>
    </w:p>
    <w:p w14:paraId="266A95A6" w14:textId="33786CA8"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تعزيز المحتوى المحلي وتفضيل المنتج الوطني:</w:t>
      </w:r>
    </w:p>
    <w:p w14:paraId="61FBCA6F"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تبرز الدراسة العلاقة بين تطور قطاع التجزئة وتشجيع المستهلكين على شراء المنتجات الوطنية، ما يساهم في دعم الصناعات المحلية.</w:t>
      </w:r>
    </w:p>
    <w:p w14:paraId="1391E8F5" w14:textId="0361A8B8"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الكشف عن الفجوات في سلاسل الإمداد والتوزيع</w:t>
      </w:r>
    </w:p>
    <w:p w14:paraId="5FA2B04E"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تسلط الضوء على نقاط الضعف في سلاسل التوريد المرتبطة بالتجزئة، وتدعم التوجه نحو تطوير بنية لوجستية أكثر كفاءة وربطا بين مناطق المملكة...</w:t>
      </w:r>
    </w:p>
    <w:p w14:paraId="7F528E1A" w14:textId="54925D28"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دعم خطط التوطين (السعودة)</w:t>
      </w:r>
    </w:p>
    <w:p w14:paraId="1D227F9F"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تقدم الدراسة مؤشرات حول العقبات التي تعيق زيادة نسبة السعودة في القطاع، وتساعد في اقتراح حلول تعزز من قابلية الشباب السعودي للعمل في هذا المجال الحيوي.</w:t>
      </w:r>
    </w:p>
    <w:p w14:paraId="4F86BA1F" w14:textId="3762D6E2"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تعزيز ثقافة ريادة الأعمال في التجزئة:</w:t>
      </w:r>
    </w:p>
    <w:p w14:paraId="7E9F1C69" w14:textId="77777777"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تساهم الدراسة في تشجيع الشباب والمستثمرين الجدد على دخول قطاع التجزئة من خلال توضيح الفرص الناشئة فيه خاصة في ظل التحول الرقمي والدعم الحكومي.</w:t>
      </w:r>
    </w:p>
    <w:p w14:paraId="0047A1DB" w14:textId="5F983CE9"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تقييم تأثير التشريعات والسياسات الحكومية</w:t>
      </w:r>
    </w:p>
    <w:p w14:paraId="36C20631" w14:textId="57190F98"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تمكن الدراسة من فهم تأثير الأنظمة والتشريعات الجديدة على أداء القطاع، مثل نظام التستر التجاري ونظام حماية المستهلك، وأنظمة الدفع الإلكتروني.</w:t>
      </w:r>
    </w:p>
    <w:p w14:paraId="11007EF3" w14:textId="5898EA67" w:rsidR="00D76D88" w:rsidRPr="003340FD" w:rsidRDefault="00D76D88" w:rsidP="00D76D88">
      <w:pPr>
        <w:pStyle w:val="ListParagraph"/>
        <w:numPr>
          <w:ilvl w:val="0"/>
          <w:numId w:val="22"/>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رصد التغيرات الثقافية والاجتماعية المؤثرة في السوق</w:t>
      </w:r>
    </w:p>
    <w:p w14:paraId="0493099A" w14:textId="4A485EC8" w:rsidR="00D76D88" w:rsidRPr="003340FD" w:rsidRDefault="00D76D88" w:rsidP="00D76D88">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تساعد في فهم كيف أثرت التغيرات الثقافية، كقيادة المرأة للسيارة، والانفتاح الاجتماعي، على توجهات</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الشراء ونمو قطاعات تجزئة جديدة (الأزياء الترفيه، التجميل....).</w:t>
      </w:r>
    </w:p>
    <w:p w14:paraId="0CEA1074" w14:textId="715A6933" w:rsidR="00E76095" w:rsidRPr="003340FD" w:rsidRDefault="00E76095" w:rsidP="00E760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4.1 </w:t>
      </w:r>
      <w:r w:rsidRPr="003340FD">
        <w:rPr>
          <w:rFonts w:ascii="Sakkal Majalla" w:hAnsi="Sakkal Majalla" w:cs="Sakkal Majalla"/>
          <w:b/>
          <w:bCs/>
          <w:color w:val="000000" w:themeColor="text1"/>
          <w:sz w:val="36"/>
          <w:szCs w:val="36"/>
          <w:rtl/>
        </w:rPr>
        <w:t>أهداف الدراسة:</w:t>
      </w:r>
    </w:p>
    <w:p w14:paraId="4EB26577" w14:textId="7AF3A2AB" w:rsidR="00E76095" w:rsidRPr="003340FD" w:rsidRDefault="00E76095" w:rsidP="00E76095">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تهدف هذه الدراسة إلى تحقيق مجموعة من الأهداف التي تساهم في فهم وتحليل واقع قطاع التجزئة في المملكة</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العربية السعودية، ومن أبرزها:</w:t>
      </w:r>
    </w:p>
    <w:p w14:paraId="2CEB66F7" w14:textId="7CE74A0E" w:rsidR="00E76095" w:rsidRPr="003340FD" w:rsidRDefault="00E76095" w:rsidP="00E76095">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تحليل واقع قطاع التجزئة في المملكة وتحديد أبرز ملامح تطوره خلال السنوات الأخيرة في ظل رؤية 2030.</w:t>
      </w:r>
    </w:p>
    <w:p w14:paraId="5DD9D850" w14:textId="5010EACE" w:rsidR="00E76095" w:rsidRPr="003340FD" w:rsidRDefault="00E76095" w:rsidP="00E76095">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رصد التحديات التي تواجه مؤسسات وشركات التجزئة، سواء كانت تحديات تنظيمية، تسويقية، رقمية أو متعلقة بسلوك المستهلك.</w:t>
      </w:r>
    </w:p>
    <w:p w14:paraId="094C52F4" w14:textId="340CB415" w:rsidR="00E76095" w:rsidRPr="003340FD" w:rsidRDefault="00E76095" w:rsidP="00E76095">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دراسة أثر التحول الرقمي والتجارة الإلكترونية على أداء قطاع التجزئة، ومدى جاهزية السوق المحلي لهذا التحول.</w:t>
      </w:r>
    </w:p>
    <w:p w14:paraId="5016FE9B" w14:textId="66655BE6" w:rsidR="00E76095" w:rsidRPr="003340FD" w:rsidRDefault="00E76095" w:rsidP="00E76095">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تحديد الفرص الاستثمارية المتاحة في قطاع التجزئة، ومدى استجابة السوق لها.</w:t>
      </w:r>
    </w:p>
    <w:p w14:paraId="1D326158" w14:textId="59837154" w:rsidR="00E76095" w:rsidRPr="003340FD" w:rsidRDefault="00E76095" w:rsidP="00E76095">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قياس مستوى رضا المستهلكين عن خدمات التجزئة التقليدية والرقمية، ومعرفة توجهاتهم الشرائية.</w:t>
      </w:r>
    </w:p>
    <w:p w14:paraId="63486F69" w14:textId="30CD2910" w:rsidR="005A4481" w:rsidRPr="003340FD" w:rsidRDefault="00E76095" w:rsidP="00E76095">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اقتراح توصيات عملية لتطوير القطاع وتعزيز قدرته على المنافسة محليا وإقليميا، مع التأكيد على أهمية توطين الوظائف وتطوير الكفاءات الوطنية.</w:t>
      </w:r>
    </w:p>
    <w:p w14:paraId="78899AFA" w14:textId="77777777" w:rsidR="000D63E4" w:rsidRPr="003340FD" w:rsidRDefault="00E76095" w:rsidP="000D63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5.1 </w:t>
      </w:r>
      <w:r w:rsidR="000D63E4" w:rsidRPr="003340FD">
        <w:rPr>
          <w:rFonts w:ascii="Sakkal Majalla" w:hAnsi="Sakkal Majalla" w:cs="Sakkal Majalla"/>
          <w:b/>
          <w:bCs/>
          <w:color w:val="000000" w:themeColor="text1"/>
          <w:sz w:val="36"/>
          <w:szCs w:val="36"/>
          <w:rtl/>
        </w:rPr>
        <w:t>تساؤلات الدراسة</w:t>
      </w:r>
    </w:p>
    <w:p w14:paraId="1BC011CF" w14:textId="4D25F8B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تسعى هذه الدراسة إلى الإجابة على مجموعة من التساؤلات التي توضح أبعاد موضوع تطور قطاع التجزئة في المملكة</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ومن أبرز هذه التساؤلات:</w:t>
      </w:r>
    </w:p>
    <w:p w14:paraId="3277E30E" w14:textId="5DC290B9" w:rsidR="000D63E4"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ما هو واقع قطاع التجزئة في المملكة العربية السعودية حالياً؟</w:t>
      </w:r>
    </w:p>
    <w:p w14:paraId="3C4E540C" w14:textId="0C37042B" w:rsidR="000D63E4"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ما أهم العوامل التي ساهمت في تطور قطاع التجزئة خلال السنوات الأخيرة؟</w:t>
      </w:r>
    </w:p>
    <w:p w14:paraId="23FB2089" w14:textId="35A79BDF" w:rsidR="000D63E4"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ما أبرز التحديات التي تواجه مؤسسات وشركات التجزئة في المملكة؟</w:t>
      </w:r>
    </w:p>
    <w:p w14:paraId="741BE8E1" w14:textId="77777777" w:rsidR="000D63E4"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كيف أثر التحول الرقعي والتجارة الإلكترونية على أداء قطاع التجزئة؟</w:t>
      </w:r>
    </w:p>
    <w:p w14:paraId="6DC1FA05" w14:textId="7A1380F7" w:rsidR="000D63E4"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ما مدى رضا المستهلكين عن الخدمات المقدمة في قطاع التجزئة ؟</w:t>
      </w:r>
    </w:p>
    <w:p w14:paraId="45A17C70" w14:textId="59478475" w:rsidR="000D63E4"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ما هي الفرص المتاحة لتوسيع الاستثمارات في قطاع التجزئة السعودي ؟</w:t>
      </w:r>
    </w:p>
    <w:p w14:paraId="5F2FC0CF" w14:textId="27B158BE" w:rsidR="000D63E4"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ما دور رؤية المملكة 2030 في دعم وتطوير قطاع التجزئة؟</w:t>
      </w:r>
    </w:p>
    <w:p w14:paraId="746D5BB8" w14:textId="4604A329" w:rsidR="005A4481" w:rsidRPr="003340FD" w:rsidRDefault="000D63E4" w:rsidP="000D63E4">
      <w:pPr>
        <w:pStyle w:val="ListParagraph"/>
        <w:numPr>
          <w:ilvl w:val="0"/>
          <w:numId w:val="2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ما التوصيات التي يمكن تقديمها لتحسين أداء القطاع وزيادة قدرته التنافسية؟</w:t>
      </w:r>
    </w:p>
    <w:p w14:paraId="503612BB" w14:textId="77777777" w:rsidR="000D63E4" w:rsidRPr="003340FD" w:rsidRDefault="000D63E4" w:rsidP="000D63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6.1 </w:t>
      </w:r>
      <w:r w:rsidRPr="003340FD">
        <w:rPr>
          <w:rFonts w:ascii="Sakkal Majalla" w:hAnsi="Sakkal Majalla" w:cs="Sakkal Majalla"/>
          <w:b/>
          <w:bCs/>
          <w:color w:val="000000" w:themeColor="text1"/>
          <w:sz w:val="36"/>
          <w:szCs w:val="36"/>
          <w:rtl/>
        </w:rPr>
        <w:t>فروض الدراسة:</w:t>
      </w:r>
    </w:p>
    <w:p w14:paraId="45798340"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بنيت هذه الدراسة على مجموعة من الفرضيات التي سيتم اختبارها وتحليلها للوصول إلى نتائج دقيقة، ومن أبرز هذه</w:t>
      </w:r>
    </w:p>
    <w:p w14:paraId="61ACF6A1" w14:textId="77777777"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t>الفرضيات:</w:t>
      </w:r>
    </w:p>
    <w:p w14:paraId="437E6A29" w14:textId="5CBEC8EE"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توجد علاقة إيجابية بين دعم الحكومة ( من خلال رؤية (2030) وتطور قطاع التجزئة في المملكة العربية</w:t>
      </w:r>
    </w:p>
    <w:p w14:paraId="63BB8168" w14:textId="77777777"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السعودية.</w:t>
      </w:r>
    </w:p>
    <w:p w14:paraId="2B605CCE" w14:textId="1E2F4242"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يؤثر التحول الرقمي والتجارة الإلكترونية بشكل كبير على نمو قطاع التجزئة وزيادة كفاءته التشغيلية.</w:t>
      </w:r>
    </w:p>
    <w:p w14:paraId="2AD52580" w14:textId="160D91C1"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توجد تحديات تنظيمية وتقنية تعيق تحقيق الاستفادة القصوى من فرص النمو في قطاع التجزئة.</w:t>
      </w:r>
    </w:p>
    <w:p w14:paraId="4E0C7119" w14:textId="77777777"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يؤثر رضا المستهلكين عن خدمات التجزئة في تحسين الأداء العام للقطاع وزيادة المبيعات.</w:t>
      </w:r>
    </w:p>
    <w:p w14:paraId="4E5B9E81" w14:textId="219D604C"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تسهم الاستثمارات المحلية والأجنبية في رفع مستوى التنافسية داخل قطاع التجزئة السعودي.</w:t>
      </w:r>
    </w:p>
    <w:p w14:paraId="2BDC8D36" w14:textId="2D840C84"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هناك نقص في الكفاءات الوطنية المدربة بشكل كاف للعمل في قطاع التجزئة، مما يؤثر على توطين</w:t>
      </w:r>
    </w:p>
    <w:p w14:paraId="47221BFF" w14:textId="77777777" w:rsidR="000D63E4"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الوظائف.</w:t>
      </w:r>
    </w:p>
    <w:p w14:paraId="0AA0ACFD" w14:textId="192D6C8D" w:rsidR="005A4481" w:rsidRPr="003340FD" w:rsidRDefault="000D63E4" w:rsidP="000D63E4">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w:t>
      </w:r>
      <w:r w:rsidRPr="003340FD">
        <w:rPr>
          <w:rFonts w:ascii="Sakkal Majalla" w:hAnsi="Sakkal Majalla" w:cs="Sakkal Majalla" w:hint="cs"/>
          <w:color w:val="000000" w:themeColor="text1"/>
          <w:sz w:val="28"/>
          <w:szCs w:val="28"/>
          <w:rtl/>
        </w:rPr>
        <w:t>ت</w:t>
      </w:r>
      <w:r w:rsidRPr="003340FD">
        <w:rPr>
          <w:rFonts w:ascii="Sakkal Majalla" w:hAnsi="Sakkal Majalla" w:cs="Sakkal Majalla"/>
          <w:color w:val="000000" w:themeColor="text1"/>
          <w:sz w:val="28"/>
          <w:szCs w:val="28"/>
          <w:rtl/>
        </w:rPr>
        <w:t>باين درجة التكيف مع التغيرات الحديثة في قطاع التجزئة بين الشركات المحلية والعالمية العاملة في</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المملكة.</w:t>
      </w:r>
    </w:p>
    <w:p w14:paraId="7816A678" w14:textId="77777777" w:rsidR="000D63E4" w:rsidRPr="003340FD" w:rsidRDefault="000D63E4" w:rsidP="000D63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7.1 </w:t>
      </w:r>
      <w:r w:rsidRPr="003340FD">
        <w:rPr>
          <w:rFonts w:ascii="Sakkal Majalla" w:hAnsi="Sakkal Majalla" w:cs="Sakkal Majalla"/>
          <w:b/>
          <w:bCs/>
          <w:color w:val="000000" w:themeColor="text1"/>
          <w:sz w:val="36"/>
          <w:szCs w:val="36"/>
          <w:rtl/>
        </w:rPr>
        <w:t>الدراسات السابقة:</w:t>
      </w:r>
    </w:p>
    <w:p w14:paraId="17FD459A"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تعددت الدراسات والبحوث التي تناولت موضوع قطاع التجزئة في المملكة العربية السعودية، وركزت على جوانب مختلفة مثل النمو الاقتصادي، التحول الرقعي، سلوك المستهلك، والتحديات التنظيمية. فيما يلي عرض لأهم هذه</w:t>
      </w:r>
    </w:p>
    <w:p w14:paraId="6A63F019" w14:textId="77777777"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t>الدراسات:</w:t>
      </w:r>
    </w:p>
    <w:p w14:paraId="16FED00B" w14:textId="7F93CEF0"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دراسة البنك السعودي للاستثمار (2019)</w:t>
      </w:r>
    </w:p>
    <w:p w14:paraId="487FEB1F"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تناولت واقع سوق التجزئة السعودي وتوقعت أن تصل مبيعات القطاع إلى أكثر من 130 مليار ريال بحلول 2025، وأكدت على أهمية التجارة الإلكترونية كأحد المحركات الأساسية للنمو.</w:t>
      </w:r>
    </w:p>
    <w:p w14:paraId="6E6BD5C8" w14:textId="6476C06D"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دراسة وزارة التجارة السعودية (2021)</w:t>
      </w:r>
    </w:p>
    <w:p w14:paraId="39F54B79"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ركزت على تأثير التحول الرقمي في قطاع التجزئة، وبينت أن الشركات التي تبنت حلول التجارة الإلكترونية والذكاء الاصطناعي شهدت تحسنا في الأداء بنسبة تفوق 40%.</w:t>
      </w:r>
    </w:p>
    <w:p w14:paraId="125D3781" w14:textId="2E5C4C77"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دراسة جامعة الملك سعود - كلية إدارة الأعمال (2020)</w:t>
      </w:r>
    </w:p>
    <w:p w14:paraId="7B8A1FDA" w14:textId="428BFA29"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بحثت في تحديات توطين الوظائف في قطاع التجزئة، ووجدت أن العوائق تتعلق بثقافة العمل، ضعف</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التدريب، وانخفاض الرواتب مقارنة بقطاعات أخرى.</w:t>
      </w:r>
    </w:p>
    <w:p w14:paraId="7CF4F8A9" w14:textId="0F08BC5B"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دراسة الغامدي وآخرون (2022)</w:t>
      </w:r>
    </w:p>
    <w:p w14:paraId="3FA6D114" w14:textId="7DAFC760"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تناولت سلوك المستهلك السعودي تجاه التسوق الرقعي، وأظهرت أن 68% من المشاركين يفضلون الشراء عبر الإنترنت، خاصة في الفئات العمرية من 20 إلى 35 سنة.</w:t>
      </w:r>
    </w:p>
    <w:p w14:paraId="1EAC92F8" w14:textId="77777777"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دراسة صندوق النقد الدولي (</w:t>
      </w:r>
      <w:r w:rsidRPr="003340FD">
        <w:rPr>
          <w:rFonts w:ascii="Sakkal Majalla" w:hAnsi="Sakkal Majalla" w:cs="Sakkal Majalla"/>
          <w:b/>
          <w:bCs/>
          <w:color w:val="000000" w:themeColor="text1"/>
          <w:sz w:val="28"/>
          <w:szCs w:val="28"/>
        </w:rPr>
        <w:t>IMF</w:t>
      </w:r>
      <w:r w:rsidRPr="003340FD">
        <w:rPr>
          <w:rFonts w:ascii="Sakkal Majalla" w:hAnsi="Sakkal Majalla" w:cs="Sakkal Majalla"/>
          <w:b/>
          <w:bCs/>
          <w:color w:val="000000" w:themeColor="text1"/>
          <w:sz w:val="28"/>
          <w:szCs w:val="28"/>
          <w:rtl/>
        </w:rPr>
        <w:t>) - تقرير عن الاقتصاد السعودي (2023)</w:t>
      </w:r>
    </w:p>
    <w:p w14:paraId="534764CF" w14:textId="20E20ABF"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أشار إلى أن قطاع التجزئة يعد من أكثر القطاعات قابلية للنمو والتوظيف، خصوصا مع الإصلاحات</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الاقتصادية الجارية ودعم المنشآت الصغيرة والمتوسطة.</w:t>
      </w:r>
    </w:p>
    <w:p w14:paraId="74F32865" w14:textId="77777777"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t>تحليل عام للدراسات السابقة:</w:t>
      </w:r>
    </w:p>
    <w:p w14:paraId="5B80A948" w14:textId="2F61AAAC"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يتبين من الدراسات السابقة أن هناك إجماعا على أهمية قطاع التجزئة كأحد الأعمدة الأساسية للاقتصاد السعودي، وأن التحول الرقعي يشكل فرصة استراتيجية لنمو هذا القطاع. ومع ذلك، فقد أظهرت بعض الدراسات محدودية التوطين، ووجود فجوة في تأهيل الكوادر المحلية وتهيئتها لمتطلبات السوق الحديثة.</w:t>
      </w:r>
    </w:p>
    <w:p w14:paraId="62265FCF" w14:textId="77777777" w:rsidR="000D63E4" w:rsidRPr="003340FD" w:rsidRDefault="000D63E4" w:rsidP="000D63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8.1 </w:t>
      </w:r>
      <w:r w:rsidRPr="003340FD">
        <w:rPr>
          <w:rFonts w:ascii="Sakkal Majalla" w:hAnsi="Sakkal Majalla" w:cs="Sakkal Majalla"/>
          <w:b/>
          <w:bCs/>
          <w:color w:val="000000" w:themeColor="text1"/>
          <w:sz w:val="36"/>
          <w:szCs w:val="36"/>
          <w:rtl/>
        </w:rPr>
        <w:t>المنطلقات النظرية للدراسة:</w:t>
      </w:r>
    </w:p>
    <w:p w14:paraId="75367CC9"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ترتكز هذه الدراسة على مجموعة من الأطر والنظريات الاقتصادية والإدارية التي تفسر تطور قطاع التجزئة وتحولاته في المملكة العربية السعودية، ومن أبرز هذه المنطلقات:</w:t>
      </w:r>
    </w:p>
    <w:p w14:paraId="465E1D23" w14:textId="14B872A4"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نظرية العرض والطلبة</w:t>
      </w:r>
    </w:p>
    <w:p w14:paraId="239093C5"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تعد من أهم الأسس الاقتصادية التي تحكم حركة الأسواق، حيث يساهم ازدياد الطلب الاستهلاكي نتيجة ارتفاع عدد السكان وتحسن مستوى الدخل في تحفيز التوسع في قطاع التجزئة وتنوع خدماته.</w:t>
      </w:r>
    </w:p>
    <w:p w14:paraId="7C81AE0D" w14:textId="0312A7D7"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نظرية التحول الرقمي:</w:t>
      </w:r>
    </w:p>
    <w:p w14:paraId="15FF1F7D"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تنطلق من فرضية أن استخدام التكنولوجيا والابتكار يحسن كفاءة العمليات التجارية، ويعزز تجربة العملاء، وهو ما ينعكس بوضوح في توجه قطاع التجزئة نحو التجارة الإلكترونية والمنصات الرقمية.</w:t>
      </w:r>
    </w:p>
    <w:p w14:paraId="7767AE23" w14:textId="2ABF3150"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نظرية رضا المستهلك</w:t>
      </w:r>
      <w:r w:rsidRPr="003340FD">
        <w:rPr>
          <w:rFonts w:ascii="Sakkal Majalla" w:hAnsi="Sakkal Majalla" w:cs="Sakkal Majalla"/>
          <w:b/>
          <w:bCs/>
          <w:color w:val="000000" w:themeColor="text1"/>
          <w:sz w:val="28"/>
          <w:szCs w:val="28"/>
        </w:rPr>
        <w:t xml:space="preserve"> </w:t>
      </w:r>
      <w:r w:rsidRPr="003340FD">
        <w:rPr>
          <w:rFonts w:ascii="Sakkal Majalla" w:hAnsi="Sakkal Majalla" w:cs="Sakkal Majalla"/>
          <w:b/>
          <w:bCs/>
          <w:color w:val="000000" w:themeColor="text1"/>
          <w:sz w:val="28"/>
          <w:szCs w:val="28"/>
        </w:rPr>
        <w:t>Consumer Satisfaction Theory</w:t>
      </w:r>
    </w:p>
    <w:p w14:paraId="5F90699A"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تؤكد هذه النظرية أن رضا المستهلك يمثل عاملاً حاسما في تحسين الأداء وزيادة المبيعات، وبالتالي فإن الشركات التي تركز على تلبية احتياجات العملاء وكسب ولاتهم تحقق ميزة تنافسية في سوق التجزئة.</w:t>
      </w:r>
    </w:p>
    <w:p w14:paraId="42302092" w14:textId="2E3D3B2D"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نظرية الميزة التنافسية</w:t>
      </w:r>
      <w:r w:rsidRPr="003340FD">
        <w:rPr>
          <w:rFonts w:ascii="Sakkal Majalla" w:hAnsi="Sakkal Majalla" w:cs="Sakkal Majalla"/>
          <w:b/>
          <w:bCs/>
          <w:color w:val="000000" w:themeColor="text1"/>
          <w:sz w:val="28"/>
          <w:szCs w:val="28"/>
        </w:rPr>
        <w:t xml:space="preserve"> </w:t>
      </w:r>
      <w:r w:rsidRPr="003340FD">
        <w:rPr>
          <w:rFonts w:ascii="Sakkal Majalla" w:hAnsi="Sakkal Majalla" w:cs="Sakkal Majalla"/>
          <w:b/>
          <w:bCs/>
          <w:color w:val="000000" w:themeColor="text1"/>
          <w:sz w:val="28"/>
          <w:szCs w:val="28"/>
        </w:rPr>
        <w:t>Porter's Competitive Advantage</w:t>
      </w:r>
    </w:p>
    <w:p w14:paraId="1EBC8DF6" w14:textId="0C3911D9"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توضح أهمية التميز في الأسعار، الجودة، أو الخدمة لتحقيق التفوق في السوق، وهو ما تسعى إليه شركات</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التجزئة العاملة في المملكة وسط بيئة تتسم بالمنافسة المتزايدة.</w:t>
      </w:r>
    </w:p>
    <w:p w14:paraId="5F008495" w14:textId="7EE7499E"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رؤية المملكة 2030 كمظلة استراتيجية:</w:t>
      </w:r>
    </w:p>
    <w:p w14:paraId="48C93125" w14:textId="3B7E611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تمثل الرؤية إطارا مرجعيا ومنطلقا استراتيجيا يقود إصلاحات شاملة في الاقتصاد، ويؤكد على أهمية تنمية</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القطاعات غير النفطية، وعلى رأسها قطاع التجزئة، كمحرك رئيسي للنمو وتنويع مصادر الدخل.</w:t>
      </w:r>
    </w:p>
    <w:p w14:paraId="2438EA6E" w14:textId="77777777" w:rsidR="000D63E4" w:rsidRPr="003340FD" w:rsidRDefault="000D63E4" w:rsidP="000D63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9.1 </w:t>
      </w:r>
      <w:r w:rsidRPr="003340FD">
        <w:rPr>
          <w:rFonts w:ascii="Sakkal Majalla" w:hAnsi="Sakkal Majalla" w:cs="Sakkal Majalla"/>
          <w:b/>
          <w:bCs/>
          <w:color w:val="000000" w:themeColor="text1"/>
          <w:sz w:val="36"/>
          <w:szCs w:val="36"/>
          <w:rtl/>
        </w:rPr>
        <w:t>المنهجية وطرق البحث</w:t>
      </w:r>
    </w:p>
    <w:p w14:paraId="3686393B" w14:textId="77777777" w:rsidR="000D63E4" w:rsidRPr="003340FD" w:rsidRDefault="000D63E4" w:rsidP="000D63E4">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تعتمد هذه الدراسة على منهجية علمية منظمة تهدف إلى تحليل واقع قطاع التجزئة في المملكة العربية السعودية والتعرف على أبرز التحديات والفرص التي تواجهه. وقد تم استخدام المناهج والأساليب التالية:</w:t>
      </w:r>
    </w:p>
    <w:p w14:paraId="16DC1271" w14:textId="1B1B4FD6"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t>أولا:</w:t>
      </w:r>
      <w:r w:rsidRPr="003340FD">
        <w:rPr>
          <w:rFonts w:ascii="Sakkal Majalla" w:hAnsi="Sakkal Majalla" w:cs="Sakkal Majalla" w:hint="cs"/>
          <w:b/>
          <w:bCs/>
          <w:color w:val="000000" w:themeColor="text1"/>
          <w:sz w:val="32"/>
          <w:szCs w:val="32"/>
          <w:rtl/>
        </w:rPr>
        <w:t xml:space="preserve"> </w:t>
      </w:r>
      <w:r w:rsidRPr="003340FD">
        <w:rPr>
          <w:rFonts w:ascii="Sakkal Majalla" w:hAnsi="Sakkal Majalla" w:cs="Sakkal Majalla"/>
          <w:b/>
          <w:bCs/>
          <w:color w:val="000000" w:themeColor="text1"/>
          <w:sz w:val="32"/>
          <w:szCs w:val="32"/>
          <w:rtl/>
        </w:rPr>
        <w:t>منهج البحث المستخدم</w:t>
      </w:r>
    </w:p>
    <w:p w14:paraId="391E3983" w14:textId="22AFA5BC"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المنهج الوصفي التحليلي</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اعتمدت الدراسة على المنهج الوصفي التحليلي، بهدف وصف الظواهر المتعلقة بقطاع التجزئة (مثل التغيرات الاقتصادية سلوك المستهلك التحول الرقمي)، ومن ثم تحليلها للوصول إلى نتائج وتفسيرات علمية.</w:t>
      </w:r>
    </w:p>
    <w:p w14:paraId="76B6EC3E" w14:textId="6A9FAA82" w:rsidR="000D63E4" w:rsidRPr="003340FD" w:rsidRDefault="000D63E4" w:rsidP="000D63E4">
      <w:pPr>
        <w:pStyle w:val="ListParagraph"/>
        <w:numPr>
          <w:ilvl w:val="0"/>
          <w:numId w:val="26"/>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المنهج الكمي (إن وجدت بيانات</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تم دعم الدراسة بمؤشرات رقمية وإحصاءات حديثة من مصادر موثوقة مثل الهيئة العامة للإحصاء، وزارة التجارة، وتقارير المؤسسات الدولية.</w:t>
      </w:r>
    </w:p>
    <w:p w14:paraId="17D3B6D7" w14:textId="65C61F0B"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lastRenderedPageBreak/>
        <w:t>ثانيا:</w:t>
      </w:r>
      <w:r w:rsidRPr="003340FD">
        <w:rPr>
          <w:rFonts w:ascii="Sakkal Majalla" w:hAnsi="Sakkal Majalla" w:cs="Sakkal Majalla" w:hint="cs"/>
          <w:b/>
          <w:bCs/>
          <w:color w:val="000000" w:themeColor="text1"/>
          <w:sz w:val="32"/>
          <w:szCs w:val="32"/>
          <w:rtl/>
        </w:rPr>
        <w:t xml:space="preserve"> </w:t>
      </w:r>
      <w:r w:rsidRPr="003340FD">
        <w:rPr>
          <w:rFonts w:ascii="Sakkal Majalla" w:hAnsi="Sakkal Majalla" w:cs="Sakkal Majalla"/>
          <w:b/>
          <w:bCs/>
          <w:color w:val="000000" w:themeColor="text1"/>
          <w:sz w:val="32"/>
          <w:szCs w:val="32"/>
          <w:rtl/>
        </w:rPr>
        <w:t>أدوات جمع البيانات</w:t>
      </w:r>
    </w:p>
    <w:p w14:paraId="71F70A69" w14:textId="66434BD3"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1. البيانات الثانوية (المكتبية)</w:t>
      </w:r>
    </w:p>
    <w:p w14:paraId="2D575189" w14:textId="77777777" w:rsidR="000D63E4" w:rsidRPr="003340FD" w:rsidRDefault="000D63E4" w:rsidP="000D63E4">
      <w:pPr>
        <w:pStyle w:val="ListParagraph"/>
        <w:numPr>
          <w:ilvl w:val="0"/>
          <w:numId w:val="27"/>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مراجعة الأدبيات السابقة والدراسات ذات الصلة.</w:t>
      </w:r>
    </w:p>
    <w:p w14:paraId="09DFC41F" w14:textId="77777777" w:rsidR="000D63E4" w:rsidRPr="003340FD" w:rsidRDefault="000D63E4" w:rsidP="000D63E4">
      <w:pPr>
        <w:pStyle w:val="ListParagraph"/>
        <w:numPr>
          <w:ilvl w:val="0"/>
          <w:numId w:val="27"/>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تحليل التقارير الرسمية الصادرة عن الهيئات الحكومية السعودية (مثل وزارة التجارة، هيئة السوق، إلخ).</w:t>
      </w:r>
    </w:p>
    <w:p w14:paraId="68739A72" w14:textId="3EC0C62D" w:rsidR="000D63E4" w:rsidRPr="003340FD" w:rsidRDefault="000D63E4" w:rsidP="000D63E4">
      <w:pPr>
        <w:pStyle w:val="ListParagraph"/>
        <w:numPr>
          <w:ilvl w:val="0"/>
          <w:numId w:val="27"/>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 xml:space="preserve">الاستعانة بمصادر دولية مثل صندوق النقد الدولي البنك الدولي، </w:t>
      </w:r>
      <w:r w:rsidRPr="003340FD">
        <w:rPr>
          <w:rFonts w:ascii="Sakkal Majalla" w:hAnsi="Sakkal Majalla" w:cs="Sakkal Majalla"/>
          <w:color w:val="000000" w:themeColor="text1"/>
          <w:sz w:val="28"/>
          <w:szCs w:val="28"/>
        </w:rPr>
        <w:t>PWC</w:t>
      </w:r>
      <w:r w:rsidRPr="003340FD">
        <w:rPr>
          <w:rFonts w:ascii="Sakkal Majalla" w:hAnsi="Sakkal Majalla" w:cs="Sakkal Majalla"/>
          <w:color w:val="000000" w:themeColor="text1"/>
          <w:sz w:val="28"/>
          <w:szCs w:val="28"/>
        </w:rPr>
        <w:t>)</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 xml:space="preserve">، </w:t>
      </w:r>
      <w:r w:rsidRPr="003340FD">
        <w:rPr>
          <w:rFonts w:ascii="Sakkal Majalla" w:hAnsi="Sakkal Majalla" w:cs="Sakkal Majalla"/>
          <w:color w:val="000000" w:themeColor="text1"/>
          <w:sz w:val="28"/>
          <w:szCs w:val="28"/>
        </w:rPr>
        <w:t>McKinsey</w:t>
      </w:r>
      <w:r w:rsidRPr="003340FD">
        <w:rPr>
          <w:rFonts w:ascii="Sakkal Majalla" w:hAnsi="Sakkal Majalla" w:cs="Sakkal Majalla"/>
          <w:color w:val="000000" w:themeColor="text1"/>
          <w:sz w:val="28"/>
          <w:szCs w:val="28"/>
          <w:rtl/>
        </w:rPr>
        <w:t>).</w:t>
      </w:r>
    </w:p>
    <w:p w14:paraId="35F908AB" w14:textId="2902C2C3"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340FD">
        <w:rPr>
          <w:rFonts w:ascii="Sakkal Majalla" w:hAnsi="Sakkal Majalla" w:cs="Sakkal Majalla" w:hint="cs"/>
          <w:b/>
          <w:bCs/>
          <w:color w:val="000000" w:themeColor="text1"/>
          <w:sz w:val="28"/>
          <w:szCs w:val="28"/>
          <w:rtl/>
        </w:rPr>
        <w:t>2.</w:t>
      </w:r>
      <w:r w:rsidRPr="003340FD">
        <w:rPr>
          <w:rFonts w:ascii="Sakkal Majalla" w:hAnsi="Sakkal Majalla" w:cs="Sakkal Majalla"/>
          <w:b/>
          <w:bCs/>
          <w:color w:val="000000" w:themeColor="text1"/>
          <w:sz w:val="28"/>
          <w:szCs w:val="28"/>
          <w:rtl/>
        </w:rPr>
        <w:t xml:space="preserve"> البيانات الأولية (إن استخدمت)</w:t>
      </w:r>
    </w:p>
    <w:p w14:paraId="2DCE4843" w14:textId="77777777" w:rsidR="000D63E4" w:rsidRPr="003340FD" w:rsidRDefault="000D63E4" w:rsidP="000D63E4">
      <w:pPr>
        <w:pStyle w:val="ListParagraph"/>
        <w:numPr>
          <w:ilvl w:val="0"/>
          <w:numId w:val="28"/>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استبانة إلكترونية موجهة إلى عينة من المستهلكين والعاملين في قطاع التجزئة، بهدف قياس أرائهم حول رضاهم التحديات ، وسلوك الشراء.</w:t>
      </w:r>
    </w:p>
    <w:p w14:paraId="38020EFD" w14:textId="5DB6F865" w:rsidR="003C4583" w:rsidRPr="003340FD" w:rsidRDefault="000D63E4" w:rsidP="000D63E4">
      <w:pPr>
        <w:pStyle w:val="ListParagraph"/>
        <w:numPr>
          <w:ilvl w:val="0"/>
          <w:numId w:val="28"/>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مقابلات شبه موجهة مع بعض أصحاب المتاجر أو مديري الفروع للحصول على رؤى مباشرة حول التحديات والفرص.</w:t>
      </w:r>
    </w:p>
    <w:p w14:paraId="2B0B9422" w14:textId="4B7E77D6" w:rsidR="000D63E4" w:rsidRPr="003340FD" w:rsidRDefault="000D63E4" w:rsidP="000D63E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t>ثالثا:</w:t>
      </w:r>
      <w:r w:rsidRPr="003340FD">
        <w:rPr>
          <w:rFonts w:ascii="Sakkal Majalla" w:hAnsi="Sakkal Majalla" w:cs="Sakkal Majalla" w:hint="cs"/>
          <w:b/>
          <w:bCs/>
          <w:color w:val="000000" w:themeColor="text1"/>
          <w:sz w:val="32"/>
          <w:szCs w:val="32"/>
          <w:rtl/>
        </w:rPr>
        <w:t xml:space="preserve"> </w:t>
      </w:r>
      <w:r w:rsidRPr="003340FD">
        <w:rPr>
          <w:rFonts w:ascii="Sakkal Majalla" w:hAnsi="Sakkal Majalla" w:cs="Sakkal Majalla"/>
          <w:b/>
          <w:bCs/>
          <w:color w:val="000000" w:themeColor="text1"/>
          <w:sz w:val="32"/>
          <w:szCs w:val="32"/>
          <w:rtl/>
        </w:rPr>
        <w:t>مجتمع وعينة الدراسة</w:t>
      </w:r>
    </w:p>
    <w:p w14:paraId="5B25F268" w14:textId="114681C5" w:rsidR="000D63E4" w:rsidRPr="003340FD" w:rsidRDefault="000D63E4" w:rsidP="000D63E4">
      <w:pPr>
        <w:pStyle w:val="ListParagraph"/>
        <w:numPr>
          <w:ilvl w:val="0"/>
          <w:numId w:val="29"/>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مجتمع الدراسة:</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يشمل العاملين في قطاع التجزئة بالمملكة، إضافة إلى المستهلكين السعوديين من مختلف الأعمار والمناطق.</w:t>
      </w:r>
    </w:p>
    <w:p w14:paraId="69F68482" w14:textId="1DD78E9D" w:rsidR="000D63E4" w:rsidRPr="003340FD" w:rsidRDefault="000D63E4" w:rsidP="000D63E4">
      <w:pPr>
        <w:pStyle w:val="ListParagraph"/>
        <w:numPr>
          <w:ilvl w:val="0"/>
          <w:numId w:val="29"/>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b/>
          <w:bCs/>
          <w:color w:val="000000" w:themeColor="text1"/>
          <w:sz w:val="28"/>
          <w:szCs w:val="28"/>
          <w:rtl/>
        </w:rPr>
        <w:t>عينة الدراسة</w:t>
      </w:r>
      <w:r w:rsidRPr="003340FD">
        <w:rPr>
          <w:rFonts w:ascii="Sakkal Majalla" w:hAnsi="Sakkal Majalla" w:cs="Sakkal Majalla"/>
          <w:color w:val="000000" w:themeColor="text1"/>
          <w:sz w:val="28"/>
          <w:szCs w:val="28"/>
          <w:rtl/>
        </w:rPr>
        <w:t>:</w:t>
      </w:r>
      <w:r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تم اختيار عينة عشوائية أو قصدية (حسب توفر البيانات)، لتمثل تنوع التركيبة السكانية والشرائحالاقتصادية المستهدفة من قطاع التجزئة.</w:t>
      </w:r>
    </w:p>
    <w:p w14:paraId="5BFC495A" w14:textId="77777777" w:rsidR="009F6E22" w:rsidRPr="003340FD" w:rsidRDefault="000D63E4" w:rsidP="009F6E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10.1 </w:t>
      </w:r>
      <w:r w:rsidR="009F6E22" w:rsidRPr="003340FD">
        <w:rPr>
          <w:rFonts w:ascii="Sakkal Majalla" w:hAnsi="Sakkal Majalla" w:cs="Sakkal Majalla"/>
          <w:b/>
          <w:bCs/>
          <w:color w:val="000000" w:themeColor="text1"/>
          <w:sz w:val="36"/>
          <w:szCs w:val="36"/>
          <w:rtl/>
        </w:rPr>
        <w:t>أدوات الدراسة:</w:t>
      </w:r>
    </w:p>
    <w:p w14:paraId="7896FA8D" w14:textId="77777777" w:rsidR="009F6E22" w:rsidRPr="003340FD" w:rsidRDefault="009F6E22" w:rsidP="009F6E22">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لتحقيق أهداف الدراسة والإجابة على تساؤلاتها، تم الاعتماد على مجموعة من أدوات البحث العلمي التي تسهم في جمع البيانات وتحليلها بدقة. وتتمثل هذه الأدوات في ما يلي:</w:t>
      </w:r>
    </w:p>
    <w:p w14:paraId="5316F2E6" w14:textId="77777777" w:rsidR="009F6E22" w:rsidRPr="003340FD" w:rsidRDefault="009F6E22" w:rsidP="009F6E2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lastRenderedPageBreak/>
        <w:t>1- الاستبيان (الاستبانة)</w:t>
      </w:r>
    </w:p>
    <w:p w14:paraId="32714F2D" w14:textId="51C4BB01" w:rsidR="009F6E22" w:rsidRPr="003340FD" w:rsidRDefault="009F6E22" w:rsidP="009F6E22">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أداة رئيسية تم تصميمها وتوزيعها على عينة من المستهلكين والعاملين في قطاع التجزئة، بهدف جمع معلومات حول</w:t>
      </w:r>
      <w:r w:rsidRPr="003340FD">
        <w:rPr>
          <w:rFonts w:ascii="Sakkal Majalla" w:hAnsi="Sakkal Majalla" w:cs="Sakkal Majalla" w:hint="cs"/>
          <w:color w:val="000000" w:themeColor="text1"/>
          <w:sz w:val="28"/>
          <w:szCs w:val="28"/>
          <w:rtl/>
        </w:rPr>
        <w:t xml:space="preserve">: </w:t>
      </w:r>
    </w:p>
    <w:p w14:paraId="3FF74139" w14:textId="77777777" w:rsidR="009F6E22" w:rsidRPr="003340FD" w:rsidRDefault="009F6E22" w:rsidP="009F6E22">
      <w:pPr>
        <w:pStyle w:val="ListParagraph"/>
        <w:numPr>
          <w:ilvl w:val="0"/>
          <w:numId w:val="30"/>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مدى رضا المستهلكين عن خدمات التجزئة.</w:t>
      </w:r>
    </w:p>
    <w:p w14:paraId="0B8DF350" w14:textId="77777777" w:rsidR="009F6E22" w:rsidRPr="003340FD" w:rsidRDefault="009F6E22" w:rsidP="009F6E22">
      <w:pPr>
        <w:pStyle w:val="ListParagraph"/>
        <w:numPr>
          <w:ilvl w:val="0"/>
          <w:numId w:val="30"/>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 xml:space="preserve">تفضيلات الشراء (تقليدي </w:t>
      </w:r>
      <w:proofErr w:type="spellStart"/>
      <w:r w:rsidRPr="003340FD">
        <w:rPr>
          <w:rFonts w:ascii="Sakkal Majalla" w:hAnsi="Sakkal Majalla" w:cs="Sakkal Majalla"/>
          <w:color w:val="000000" w:themeColor="text1"/>
          <w:sz w:val="28"/>
          <w:szCs w:val="28"/>
        </w:rPr>
        <w:t>vs</w:t>
      </w:r>
      <w:proofErr w:type="spellEnd"/>
      <w:r w:rsidRPr="003340FD">
        <w:rPr>
          <w:rFonts w:ascii="Sakkal Majalla" w:hAnsi="Sakkal Majalla" w:cs="Sakkal Majalla"/>
          <w:color w:val="000000" w:themeColor="text1"/>
          <w:sz w:val="28"/>
          <w:szCs w:val="28"/>
          <w:rtl/>
        </w:rPr>
        <w:t xml:space="preserve"> إلكتروني).</w:t>
      </w:r>
    </w:p>
    <w:p w14:paraId="5FBC021A" w14:textId="77777777" w:rsidR="009F6E22" w:rsidRPr="003340FD" w:rsidRDefault="009F6E22" w:rsidP="009F6E22">
      <w:pPr>
        <w:pStyle w:val="ListParagraph"/>
        <w:numPr>
          <w:ilvl w:val="0"/>
          <w:numId w:val="30"/>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التحديات التي تواجه العاملين في القطاع.</w:t>
      </w:r>
    </w:p>
    <w:p w14:paraId="4AA98892" w14:textId="77777777" w:rsidR="009F6E22" w:rsidRPr="003340FD" w:rsidRDefault="009F6E22" w:rsidP="009F6E22">
      <w:pPr>
        <w:pStyle w:val="ListParagraph"/>
        <w:numPr>
          <w:ilvl w:val="0"/>
          <w:numId w:val="30"/>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أثر التحول الرقمي على تجربة الشراء.</w:t>
      </w:r>
    </w:p>
    <w:p w14:paraId="64E91CCF" w14:textId="77777777" w:rsidR="009F6E22" w:rsidRPr="003340FD" w:rsidRDefault="009F6E22" w:rsidP="009F6E22">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تم استخدام مقياس ليكرت الخماسي من أوافق بشدة" إلى "لا أوافق بشدة لقياس درجة الاتفاق مع العبارات المطروحة.</w:t>
      </w:r>
    </w:p>
    <w:p w14:paraId="5E030DE2" w14:textId="26B5C622" w:rsidR="009F6E22" w:rsidRPr="003340FD" w:rsidRDefault="009F6E22" w:rsidP="009F6E2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t>2- المقابلات الشخصية (إن وحدت )</w:t>
      </w:r>
    </w:p>
    <w:p w14:paraId="1B6E2A81" w14:textId="13A71CD8" w:rsidR="009F6E22" w:rsidRPr="003340FD" w:rsidRDefault="009F6E22" w:rsidP="009F6E22">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أجريت مقابلات شبه موجهة مع عدد من أصحاب المتاجر أو مديري الفروع الكبرى في قطاع التجزئة، للحصول على رؤى مباشرة حول</w:t>
      </w:r>
      <w:r w:rsidRPr="003340FD">
        <w:rPr>
          <w:rFonts w:ascii="Sakkal Majalla" w:hAnsi="Sakkal Majalla" w:cs="Sakkal Majalla" w:hint="cs"/>
          <w:color w:val="000000" w:themeColor="text1"/>
          <w:sz w:val="28"/>
          <w:szCs w:val="28"/>
          <w:rtl/>
        </w:rPr>
        <w:t xml:space="preserve">: </w:t>
      </w:r>
    </w:p>
    <w:p w14:paraId="6C614FE2" w14:textId="77777777" w:rsidR="009F6E22" w:rsidRPr="003340FD" w:rsidRDefault="009F6E22" w:rsidP="009F6E22">
      <w:pPr>
        <w:pStyle w:val="ListParagraph"/>
        <w:numPr>
          <w:ilvl w:val="0"/>
          <w:numId w:val="31"/>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التحديات التشغيلية.</w:t>
      </w:r>
    </w:p>
    <w:p w14:paraId="6C4273B4" w14:textId="77777777" w:rsidR="009F6E22" w:rsidRPr="003340FD" w:rsidRDefault="009F6E22" w:rsidP="009F6E22">
      <w:pPr>
        <w:pStyle w:val="ListParagraph"/>
        <w:numPr>
          <w:ilvl w:val="0"/>
          <w:numId w:val="31"/>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تأثير الأنظمة الجديدة وسياسات التوطين.</w:t>
      </w:r>
    </w:p>
    <w:p w14:paraId="3958BABA" w14:textId="4C5DC217" w:rsidR="003C4583" w:rsidRPr="003340FD" w:rsidRDefault="009F6E22" w:rsidP="009F6E22">
      <w:pPr>
        <w:pStyle w:val="ListParagraph"/>
        <w:numPr>
          <w:ilvl w:val="0"/>
          <w:numId w:val="31"/>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آراء هم حول التحول الرقمي والتوسع في التجارة الإلكترونية.</w:t>
      </w:r>
    </w:p>
    <w:p w14:paraId="5F61EC0E" w14:textId="634F5BAA" w:rsidR="009F6E22" w:rsidRPr="003340FD" w:rsidRDefault="009F6E22" w:rsidP="009F6E2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b/>
          <w:bCs/>
          <w:color w:val="000000" w:themeColor="text1"/>
          <w:sz w:val="32"/>
          <w:szCs w:val="32"/>
          <w:rtl/>
        </w:rPr>
        <w:t>3- تحليل الوثائق والتقارير الرسمية:</w:t>
      </w:r>
    </w:p>
    <w:p w14:paraId="4AA9B4B2" w14:textId="77777777" w:rsidR="009F6E22" w:rsidRPr="003340FD" w:rsidRDefault="009F6E22" w:rsidP="009F6E22">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تم الرجوع إلى وثائق رسمية وتقارير حكومية وخاصة مثل:</w:t>
      </w:r>
    </w:p>
    <w:p w14:paraId="6B85E1CF" w14:textId="77777777" w:rsidR="009F6E22" w:rsidRPr="003340FD" w:rsidRDefault="009F6E22" w:rsidP="009F6E22">
      <w:pPr>
        <w:pStyle w:val="ListParagraph"/>
        <w:numPr>
          <w:ilvl w:val="0"/>
          <w:numId w:val="32"/>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تقارير وزارة التجارة السعودية.</w:t>
      </w:r>
    </w:p>
    <w:p w14:paraId="0A34B78A" w14:textId="77777777" w:rsidR="009F6E22" w:rsidRPr="003340FD" w:rsidRDefault="009F6E22" w:rsidP="009F6E22">
      <w:pPr>
        <w:pStyle w:val="ListParagraph"/>
        <w:numPr>
          <w:ilvl w:val="0"/>
          <w:numId w:val="32"/>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تقارير هيئة الإحصاء</w:t>
      </w:r>
    </w:p>
    <w:p w14:paraId="2371EDFE" w14:textId="77777777" w:rsidR="009F6E22" w:rsidRPr="003340FD" w:rsidRDefault="009F6E22" w:rsidP="009F6E22">
      <w:pPr>
        <w:pStyle w:val="ListParagraph"/>
        <w:numPr>
          <w:ilvl w:val="0"/>
          <w:numId w:val="32"/>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 xml:space="preserve">دراسات من مؤسسات استشارية ( مثل </w:t>
      </w:r>
      <w:r w:rsidRPr="003340FD">
        <w:rPr>
          <w:rFonts w:ascii="Sakkal Majalla" w:hAnsi="Sakkal Majalla" w:cs="Sakkal Majalla"/>
          <w:color w:val="000000" w:themeColor="text1"/>
          <w:sz w:val="28"/>
          <w:szCs w:val="28"/>
        </w:rPr>
        <w:t>PWC</w:t>
      </w:r>
      <w:r w:rsidRPr="003340FD">
        <w:rPr>
          <w:rFonts w:ascii="Sakkal Majalla" w:hAnsi="Sakkal Majalla" w:cs="Sakkal Majalla"/>
          <w:color w:val="000000" w:themeColor="text1"/>
          <w:sz w:val="28"/>
          <w:szCs w:val="28"/>
          <w:rtl/>
        </w:rPr>
        <w:t xml:space="preserve"> و </w:t>
      </w:r>
      <w:r w:rsidRPr="003340FD">
        <w:rPr>
          <w:rFonts w:ascii="Sakkal Majalla" w:hAnsi="Sakkal Majalla" w:cs="Sakkal Majalla"/>
          <w:color w:val="000000" w:themeColor="text1"/>
          <w:sz w:val="28"/>
          <w:szCs w:val="28"/>
        </w:rPr>
        <w:t>McKinsey</w:t>
      </w:r>
      <w:r w:rsidRPr="003340FD">
        <w:rPr>
          <w:rFonts w:ascii="Sakkal Majalla" w:hAnsi="Sakkal Majalla" w:cs="Sakkal Majalla"/>
          <w:color w:val="000000" w:themeColor="text1"/>
          <w:sz w:val="28"/>
          <w:szCs w:val="28"/>
          <w:rtl/>
        </w:rPr>
        <w:t>).</w:t>
      </w:r>
    </w:p>
    <w:p w14:paraId="64C40057" w14:textId="77777777" w:rsidR="009F6E22" w:rsidRPr="003340FD" w:rsidRDefault="009F6E22" w:rsidP="009F6E22">
      <w:pPr>
        <w:pStyle w:val="ListParagraph"/>
        <w:numPr>
          <w:ilvl w:val="0"/>
          <w:numId w:val="32"/>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محتوى رؤية المملكة 2030 المرتبط بقطاع التجزئة.</w:t>
      </w:r>
    </w:p>
    <w:p w14:paraId="4E4DE5FE" w14:textId="72593407" w:rsidR="009F6E22" w:rsidRPr="003340FD" w:rsidRDefault="009F6E22" w:rsidP="009F6E2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340FD">
        <w:rPr>
          <w:rFonts w:ascii="Sakkal Majalla" w:hAnsi="Sakkal Majalla" w:cs="Sakkal Majalla" w:hint="cs"/>
          <w:b/>
          <w:bCs/>
          <w:color w:val="000000" w:themeColor="text1"/>
          <w:sz w:val="32"/>
          <w:szCs w:val="32"/>
          <w:rtl/>
        </w:rPr>
        <w:t xml:space="preserve">4- </w:t>
      </w:r>
      <w:r w:rsidRPr="003340FD">
        <w:rPr>
          <w:rFonts w:ascii="Sakkal Majalla" w:hAnsi="Sakkal Majalla" w:cs="Sakkal Majalla"/>
          <w:b/>
          <w:bCs/>
          <w:color w:val="000000" w:themeColor="text1"/>
          <w:sz w:val="32"/>
          <w:szCs w:val="32"/>
          <w:rtl/>
        </w:rPr>
        <w:t>الملاحظة غير المباشرة</w:t>
      </w:r>
    </w:p>
    <w:p w14:paraId="6FFB0A55" w14:textId="1D7D19B1" w:rsidR="00463F2A" w:rsidRPr="003340FD" w:rsidRDefault="009F6E22" w:rsidP="009F6E22">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تمت ملاحظة بعض الظواهر في بيئة السوق مثل انتشار نقاط البيع الرقمية، التفاعل داخل المتاجر، وحجم الإقبال على المتاجر الإلكترونية، وذلك لدعم التحليل الميداني بشكل غير مباشر.</w:t>
      </w:r>
    </w:p>
    <w:p w14:paraId="5348FBC1" w14:textId="77777777" w:rsidR="009F6E22" w:rsidRPr="003340FD" w:rsidRDefault="009F6E22" w:rsidP="009F6E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t xml:space="preserve">11.1 </w:t>
      </w:r>
      <w:r w:rsidRPr="003340FD">
        <w:rPr>
          <w:rFonts w:ascii="Sakkal Majalla" w:hAnsi="Sakkal Majalla" w:cs="Sakkal Majalla"/>
          <w:b/>
          <w:bCs/>
          <w:color w:val="000000" w:themeColor="text1"/>
          <w:sz w:val="36"/>
          <w:szCs w:val="36"/>
          <w:rtl/>
        </w:rPr>
        <w:t>حدود الدراسة:</w:t>
      </w:r>
    </w:p>
    <w:p w14:paraId="3A8AE008" w14:textId="037311F4" w:rsidR="009F6E22" w:rsidRPr="003340FD" w:rsidRDefault="009F6E22" w:rsidP="009F6E22">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الحدود الجغرافية</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تركز الدراسة على قطاع التجزئة في المملكة العربية السعودية فقط، مع استثناء الأسواق الخارجية أو قطاع التجزئة في دول أخرى.</w:t>
      </w:r>
    </w:p>
    <w:p w14:paraId="248F6063" w14:textId="75B0DAF2" w:rsidR="009F6E22" w:rsidRPr="003340FD" w:rsidRDefault="009F6E22" w:rsidP="009F6E22">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الحدود الزمنية</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تغطي الدراسة الفترة الزمنية من عام 2015 وحتى 2025، حيث تم التركيز على التطورات التي شهدها القطاع خلال هذه السنوات، خاصة في ظل تنفيذ رؤية المملكة 2030.</w:t>
      </w:r>
    </w:p>
    <w:p w14:paraId="3B8D4734" w14:textId="08096B03" w:rsidR="009F6E22" w:rsidRPr="003340FD" w:rsidRDefault="009F6E22" w:rsidP="009F6E22">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الحدود الموضوعية</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تركز الدراسة على الجوانب الاقتصادية، التقنية، والسلوكية في قطاع التجزئة، مثل تأثير التحول الرقمي سلوك المستهلك، والتحديات التنظيمية، مع عدم التعمق في الجوانب القانونية أو البيلية بشكل موسع.</w:t>
      </w:r>
    </w:p>
    <w:p w14:paraId="084182AA" w14:textId="24114ADB" w:rsidR="009F6E22" w:rsidRPr="003340FD" w:rsidRDefault="009F6E22" w:rsidP="009F6E22">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الحدود المنهجية</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تعتمد الدراسة بشكل رئيسي على البيانات الثانوية، مع دعم محدود من البيانات الأولية من خلال استبيانات ومقابلات ميدانية، وذلك حسب توفر الوقت والموارد.</w:t>
      </w:r>
    </w:p>
    <w:p w14:paraId="7E8153F6" w14:textId="3A1CE559" w:rsidR="00463F2A" w:rsidRPr="003340FD" w:rsidRDefault="009F6E22" w:rsidP="009F6E22">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3340FD">
        <w:rPr>
          <w:rFonts w:ascii="Sakkal Majalla" w:hAnsi="Sakkal Majalla" w:cs="Sakkal Majalla"/>
          <w:b/>
          <w:bCs/>
          <w:color w:val="000000" w:themeColor="text1"/>
          <w:sz w:val="28"/>
          <w:szCs w:val="28"/>
          <w:rtl/>
        </w:rPr>
        <w:t>الحدود الديموغرافية</w:t>
      </w:r>
      <w:r w:rsidRPr="003340FD">
        <w:rPr>
          <w:rFonts w:ascii="Sakkal Majalla" w:hAnsi="Sakkal Majalla" w:cs="Sakkal Majalla" w:hint="cs"/>
          <w:b/>
          <w:bCs/>
          <w:color w:val="000000" w:themeColor="text1"/>
          <w:sz w:val="28"/>
          <w:szCs w:val="28"/>
          <w:rtl/>
        </w:rPr>
        <w:t xml:space="preserve"> </w:t>
      </w:r>
      <w:r w:rsidRPr="003340FD">
        <w:rPr>
          <w:rFonts w:ascii="Sakkal Majalla" w:hAnsi="Sakkal Majalla" w:cs="Sakkal Majalla"/>
          <w:color w:val="000000" w:themeColor="text1"/>
          <w:sz w:val="28"/>
          <w:szCs w:val="28"/>
          <w:rtl/>
        </w:rPr>
        <w:t>تستهدف الدراسة عينة من المستهلكين والعاملين في قطاع التجزئة من مختلف الفئات العمرية والمناطق داخل المملكة، مع إمكانية وجود تحيز في بعض المناطق أو الفئات.</w:t>
      </w:r>
    </w:p>
    <w:p w14:paraId="1C49D919" w14:textId="77777777" w:rsidR="00463F2A" w:rsidRPr="003340FD" w:rsidRDefault="00463F2A" w:rsidP="008A1308">
      <w:pPr>
        <w:spacing w:before="100" w:beforeAutospacing="1" w:after="100" w:afterAutospacing="1" w:line="360" w:lineRule="auto"/>
        <w:jc w:val="both"/>
        <w:rPr>
          <w:rFonts w:ascii="Sakkal Majalla" w:hAnsi="Sakkal Majalla" w:cs="Sakkal Majalla"/>
          <w:color w:val="000000" w:themeColor="text1"/>
          <w:sz w:val="28"/>
          <w:szCs w:val="28"/>
          <w:rtl/>
        </w:rPr>
      </w:pPr>
    </w:p>
    <w:p w14:paraId="10E22665" w14:textId="77777777" w:rsidR="00E81F00" w:rsidRPr="003340FD" w:rsidRDefault="00E81F00">
      <w:pPr>
        <w:rPr>
          <w:rFonts w:ascii="Sakkal Majalla" w:hAnsi="Sakkal Majalla" w:cs="Sakkal Majalla"/>
          <w:color w:val="000000" w:themeColor="text1"/>
          <w:sz w:val="28"/>
          <w:szCs w:val="28"/>
          <w:rtl/>
          <w:lang w:bidi="ar-EG"/>
        </w:rPr>
      </w:pPr>
      <w:r w:rsidRPr="003340FD">
        <w:rPr>
          <w:rFonts w:ascii="Sakkal Majalla" w:hAnsi="Sakkal Majalla" w:cs="Sakkal Majalla"/>
          <w:color w:val="000000" w:themeColor="text1"/>
          <w:sz w:val="28"/>
          <w:szCs w:val="28"/>
          <w:rtl/>
          <w:lang w:bidi="ar-EG"/>
        </w:rPr>
        <w:br w:type="page"/>
      </w:r>
    </w:p>
    <w:p w14:paraId="4EE7A79D" w14:textId="7564564B" w:rsidR="00E81F00" w:rsidRPr="003340FD" w:rsidRDefault="00E81F00" w:rsidP="00E81F0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3340FD">
        <w:rPr>
          <w:rFonts w:ascii="Sakkal Majalla" w:hAnsi="Sakkal Majalla" w:cs="Sakkal Majalla" w:hint="cs"/>
          <w:b/>
          <w:bCs/>
          <w:color w:val="000000" w:themeColor="text1"/>
          <w:sz w:val="40"/>
          <w:szCs w:val="40"/>
          <w:rtl/>
        </w:rPr>
        <w:lastRenderedPageBreak/>
        <w:t>الفصل الثاني: الإطار النظري</w:t>
      </w:r>
    </w:p>
    <w:p w14:paraId="4C58C72F" w14:textId="3189DCA3" w:rsidR="00463F2A" w:rsidRPr="003340FD" w:rsidRDefault="00463F2A" w:rsidP="00E81F0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3340FD">
        <w:rPr>
          <w:rFonts w:ascii="Sakkal Majalla" w:hAnsi="Sakkal Majalla" w:cs="Sakkal Majalla"/>
          <w:b/>
          <w:bCs/>
          <w:color w:val="000000" w:themeColor="text1"/>
          <w:sz w:val="36"/>
          <w:szCs w:val="36"/>
          <w:rtl/>
        </w:rPr>
        <w:t>المبحث الأول: العوائق والتحديات في قطاع التجزئة</w:t>
      </w:r>
    </w:p>
    <w:p w14:paraId="04DE2BF2" w14:textId="285847DA" w:rsidR="00463F2A"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1.1.2</w:t>
      </w:r>
      <w:r w:rsidR="00463F2A" w:rsidRPr="003340FD">
        <w:rPr>
          <w:rFonts w:ascii="Sakkal Majalla" w:hAnsi="Sakkal Majalla" w:cs="Sakkal Majalla"/>
          <w:b/>
          <w:bCs/>
          <w:color w:val="000000" w:themeColor="text1"/>
          <w:sz w:val="32"/>
          <w:szCs w:val="32"/>
          <w:rtl/>
        </w:rPr>
        <w:t xml:space="preserve"> الإطار المفاهيمي للعوائق والتحديات</w:t>
      </w:r>
    </w:p>
    <w:p w14:paraId="5A489C88" w14:textId="5E504D67" w:rsidR="00463F2A" w:rsidRPr="003340FD" w:rsidRDefault="00463F2A"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يُعدّ قطاع التجزئة من أهم القطاعات الاقتصادية التي تسهم في دعم النمو المستدام، وتنويع مصادر الدخل، وتوفير فرص العمل في الاقتصاد الوطني ، فإن هذا القطاع يواجه مجموعة من العوائق والتحديات التي تحد من قدرته على التطور والتكيّف مع متطلبات الأسواق الحديثة،  وقد تناولت الأدبيات الاقتصادية والإدارية مفهوم "العوائق والتحديات" من زوايا متعددة، تتعلق بالبيئة التنظيمية، والموارد البشرية، والهياكل التمويلية، والتطور التكنولوجي، ويشير هذا المفهوم إلى مجموعة العوامل التي تُعيق الأداء المؤسسي أو تبطئ من وتيرة التقدم، سواء كانت داخلية مرتبطة بالهيكل التنظيمي والإدارة، أو خارجية متعلقة بالبيئة الاقتصادية والتقنية المحيطة بالمؤسسة (آل عوض، 2021)</w:t>
      </w:r>
      <w:r w:rsidRPr="003340FD">
        <w:rPr>
          <w:rFonts w:ascii="Sakkal Majalla" w:hAnsi="Sakkal Majalla" w:cs="Sakkal Majalla"/>
          <w:color w:val="000000" w:themeColor="text1"/>
          <w:sz w:val="28"/>
          <w:szCs w:val="28"/>
        </w:rPr>
        <w:t>.</w:t>
      </w:r>
    </w:p>
    <w:p w14:paraId="2EAA0166" w14:textId="6D522207" w:rsidR="00463F2A" w:rsidRPr="003340FD" w:rsidRDefault="00463F2A"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 تُفهم العوائق على أنها "الظروف أو الممارسات أو الهياكل التي تعيق تحقيق الأهداف التنظيمية أو تقلل من كفاءة الموارد،  بينما تُعرّف التحديات بأنها "الظروف المستقبلية التي تتطلب من المنظمات تبني سياسات واستراتيجيات استباقية للتعامل مع المتغيرات" وبالتالي، فإن العلاقة بين العائق والتحدي علاقة زمنية ومنهجية؛ إذ إن العوائق تمثل حالة حالية من الضعف أو القصور، بينما التحديات تمثل احتمالات أو تهديدات مستقبلية تحتاج إلى حلول ابتكارية واستراتيجية (الخزرجي والشمري، 2024)</w:t>
      </w:r>
      <w:r w:rsidRPr="003340FD">
        <w:rPr>
          <w:rFonts w:ascii="Sakkal Majalla" w:hAnsi="Sakkal Majalla" w:cs="Sakkal Majalla"/>
          <w:color w:val="000000" w:themeColor="text1"/>
          <w:sz w:val="28"/>
          <w:szCs w:val="28"/>
        </w:rPr>
        <w:t>.</w:t>
      </w:r>
    </w:p>
    <w:p w14:paraId="4B04606C" w14:textId="1D7114CC" w:rsidR="00463F2A" w:rsidRPr="003340FD" w:rsidRDefault="00463F2A" w:rsidP="00E81F00">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t>تُظهر الأدبيات أن قطاع التجزئة، باعتباره قطاعًا يتعامل مباشرة مع المستهلكين النهائيين، يتأثر سريعًا بأي تغيرات في البيئة الاقتصادية أو التقنية</w:t>
      </w:r>
      <w:r w:rsidR="00760000" w:rsidRPr="003340FD">
        <w:rPr>
          <w:rFonts w:ascii="Sakkal Majalla" w:hAnsi="Sakkal Majalla" w:cs="Sakkal Majalla"/>
          <w:color w:val="000000" w:themeColor="text1"/>
          <w:sz w:val="28"/>
          <w:szCs w:val="28"/>
          <w:rtl/>
        </w:rPr>
        <w:t xml:space="preserve">، </w:t>
      </w:r>
      <w:r w:rsidRPr="003340FD">
        <w:rPr>
          <w:rFonts w:ascii="Sakkal Majalla" w:hAnsi="Sakkal Majalla" w:cs="Sakkal Majalla"/>
          <w:color w:val="000000" w:themeColor="text1"/>
          <w:sz w:val="28"/>
          <w:szCs w:val="28"/>
          <w:rtl/>
        </w:rPr>
        <w:t xml:space="preserve"> فالتوسع في التجارة الإلكترونية، وتغير أنماط الاستهلاك، والتحول نحو القنوات الرقمية، فرضت على مؤسسات التجزئة إعادة صياغة نماذج أعمالها. لكنّ غياب المرونة الإدارية، وضعف التمويل، ومحدودية البنية الرقمية، جعلت هذه المؤسسات تواجه عوائق هيكلية تحدّ من تطورها</w:t>
      </w:r>
      <w:r w:rsidRPr="003340FD">
        <w:rPr>
          <w:rFonts w:ascii="Sakkal Majalla" w:hAnsi="Sakkal Majalla" w:cs="Sakkal Majalla"/>
          <w:color w:val="000000" w:themeColor="text1"/>
          <w:sz w:val="28"/>
          <w:szCs w:val="28"/>
        </w:rPr>
        <w:t xml:space="preserve"> </w:t>
      </w:r>
      <w:proofErr w:type="spellStart"/>
      <w:r w:rsidRPr="003340FD">
        <w:rPr>
          <w:rFonts w:ascii="Sakkal Majalla" w:hAnsi="Sakkal Majalla" w:cs="Sakkal Majalla"/>
          <w:color w:val="000000" w:themeColor="text1"/>
          <w:sz w:val="28"/>
          <w:szCs w:val="28"/>
        </w:rPr>
        <w:t>Pattanayak</w:t>
      </w:r>
      <w:proofErr w:type="spellEnd"/>
      <w:r w:rsidRPr="003340FD">
        <w:rPr>
          <w:rFonts w:ascii="Sakkal Majalla" w:hAnsi="Sakkal Majalla" w:cs="Sakkal Majalla"/>
          <w:color w:val="000000" w:themeColor="text1"/>
          <w:sz w:val="28"/>
          <w:szCs w:val="28"/>
        </w:rPr>
        <w:t xml:space="preserve"> et al., 2023).</w:t>
      </w:r>
      <w:r w:rsidR="00760000" w:rsidRPr="003340FD">
        <w:rPr>
          <w:rFonts w:ascii="Sakkal Majalla" w:hAnsi="Sakkal Majalla" w:cs="Sakkal Majalla"/>
          <w:color w:val="000000" w:themeColor="text1"/>
          <w:sz w:val="28"/>
          <w:szCs w:val="28"/>
          <w:rtl/>
        </w:rPr>
        <w:t>)</w:t>
      </w:r>
    </w:p>
    <w:p w14:paraId="69D5F0BF" w14:textId="77777777" w:rsidR="00760000" w:rsidRPr="003340FD" w:rsidRDefault="00463F2A" w:rsidP="00E81F00">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3340FD">
        <w:rPr>
          <w:rFonts w:ascii="Sakkal Majalla" w:hAnsi="Sakkal Majalla" w:cs="Sakkal Majalla"/>
          <w:color w:val="000000" w:themeColor="text1"/>
          <w:sz w:val="28"/>
          <w:szCs w:val="28"/>
          <w:rtl/>
        </w:rPr>
        <w:lastRenderedPageBreak/>
        <w:t xml:space="preserve">كما يشير بعض الباحثين إلى أن فهم طبيعة هذه العوائق لا يمكن أن يتم بمعزل عن الإطار المؤسسي والثقافي الذي تعمل فيه المؤسسات. ففي السياق السعودي، ترتبط التحديات الإدارية والتنظيمية غالبًا ببطء عمليات التحول الداخلي، وبالحاجة إلى تأهيل الكوادر الوطنية لقيادة التغيير في بيئة تتسم بالتنافسية العالية والتغير السريع (الرشادة وآخرون، 2022). أما على المستوى </w:t>
      </w:r>
    </w:p>
    <w:p w14:paraId="01F3FC2F" w14:textId="21CDA8EB" w:rsidR="00463F2A" w:rsidRPr="003340FD" w:rsidRDefault="00463F2A"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إن القطاع يواجه ضغوطًا من ارتفاع تكاليف التشغيل، وتفاوت القوة الشرائية، والتقلبات السوقية. وفي المجال التقني، تتجلى التحديات في الفجوة الرقمية بين الشركات الكبرى التي تمتلك بنية تحتية قوية، والمنشآت الصغيرة والمتوسطة التي تفتقر إلى الموارد اللازمة للتحول الرقمي الفعال</w:t>
      </w:r>
      <w:r w:rsidRPr="003340FD">
        <w:rPr>
          <w:rFonts w:ascii="Sakkal Majalla" w:hAnsi="Sakkal Majalla" w:cs="Sakkal Majalla"/>
          <w:color w:val="000000" w:themeColor="text1"/>
          <w:sz w:val="28"/>
          <w:szCs w:val="28"/>
        </w:rPr>
        <w:t xml:space="preserve"> (Kaur et al., 2022).</w:t>
      </w:r>
    </w:p>
    <w:p w14:paraId="081E4E9A" w14:textId="77777777" w:rsidR="00463F2A" w:rsidRPr="003340FD" w:rsidRDefault="00463F2A"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وبالتالي، يُمكن النظر إلى العوائق والتحديات في قطاع التجزئة من خلال ثلاث زوايا مترابطة</w:t>
      </w:r>
      <w:r w:rsidRPr="003340FD">
        <w:rPr>
          <w:rFonts w:ascii="Sakkal Majalla" w:hAnsi="Sakkal Majalla" w:cs="Sakkal Majalla"/>
          <w:color w:val="000000" w:themeColor="text1"/>
          <w:sz w:val="28"/>
          <w:szCs w:val="28"/>
        </w:rPr>
        <w:t>:</w:t>
      </w:r>
    </w:p>
    <w:p w14:paraId="0DBA0DEB" w14:textId="77777777" w:rsidR="00463F2A" w:rsidRPr="003340FD" w:rsidRDefault="00463F2A" w:rsidP="00E81F00">
      <w:pPr>
        <w:numPr>
          <w:ilvl w:val="0"/>
          <w:numId w:val="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الزاوية الإدارية والتنظيمية</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وتعكس مدى قدرة المؤسسة على بناء هيكل مرن وواضح الصلاحيات يدعم اتخاذ القرار ويعزز الكفاءة التشغيلية</w:t>
      </w:r>
      <w:r w:rsidRPr="003340FD">
        <w:rPr>
          <w:rFonts w:ascii="Sakkal Majalla" w:hAnsi="Sakkal Majalla" w:cs="Sakkal Majalla"/>
          <w:color w:val="000000" w:themeColor="text1"/>
          <w:sz w:val="28"/>
          <w:szCs w:val="28"/>
        </w:rPr>
        <w:t>.</w:t>
      </w:r>
    </w:p>
    <w:p w14:paraId="35B49BAC" w14:textId="77777777" w:rsidR="00463F2A" w:rsidRPr="003340FD" w:rsidRDefault="00463F2A" w:rsidP="00E81F00">
      <w:pPr>
        <w:numPr>
          <w:ilvl w:val="0"/>
          <w:numId w:val="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الزاوية الاقتصادية والتمويلية</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وتشمل القيود المتعلقة بالموارد المالية والتمويل الذاتي والقدرة على مواجهة تقلبات السوق</w:t>
      </w:r>
      <w:r w:rsidRPr="003340FD">
        <w:rPr>
          <w:rFonts w:ascii="Sakkal Majalla" w:hAnsi="Sakkal Majalla" w:cs="Sakkal Majalla"/>
          <w:color w:val="000000" w:themeColor="text1"/>
          <w:sz w:val="28"/>
          <w:szCs w:val="28"/>
        </w:rPr>
        <w:t>.</w:t>
      </w:r>
    </w:p>
    <w:p w14:paraId="6CC4DFA0" w14:textId="77777777" w:rsidR="00463F2A" w:rsidRPr="003340FD" w:rsidRDefault="00463F2A" w:rsidP="00E81F00">
      <w:pPr>
        <w:numPr>
          <w:ilvl w:val="0"/>
          <w:numId w:val="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الزاوية التقنية والتحول الرقمي</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وهي محور التنافسية الحديثة الذي يحدد مدى قدرة مؤسسات التجزئة على البقاء في سوق يعتمد على التكنولوجيا والتحليلات الذكية</w:t>
      </w:r>
      <w:r w:rsidRPr="003340FD">
        <w:rPr>
          <w:rFonts w:ascii="Sakkal Majalla" w:hAnsi="Sakkal Majalla" w:cs="Sakkal Majalla"/>
          <w:color w:val="000000" w:themeColor="text1"/>
          <w:sz w:val="28"/>
          <w:szCs w:val="28"/>
        </w:rPr>
        <w:t>.</w:t>
      </w:r>
    </w:p>
    <w:p w14:paraId="0FCE6D6A" w14:textId="44C0B613"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 xml:space="preserve">2.1.2 </w:t>
      </w:r>
      <w:r w:rsidR="00760000" w:rsidRPr="003340FD">
        <w:rPr>
          <w:rFonts w:ascii="Sakkal Majalla" w:hAnsi="Sakkal Majalla" w:cs="Sakkal Majalla"/>
          <w:b/>
          <w:bCs/>
          <w:color w:val="000000" w:themeColor="text1"/>
          <w:sz w:val="32"/>
          <w:szCs w:val="32"/>
          <w:rtl/>
        </w:rPr>
        <w:t>البعد الإداري والتنظيمي للعوائق والتحديات في قطاع التجزئة</w:t>
      </w:r>
    </w:p>
    <w:p w14:paraId="7D4823F7"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يشكّل البعد الإداري والتنظيمي أحد أهم مرتكزات الأداء في قطاع التجزئة، إذ تعتمد فعالية هذا القطاع إلى حدّ كبير على كفاءة البنية التنظيمية، والقدرة الإدارية على إدارة الموارد وتنسيق الجهود وتوجيهها نحو تحقيق الأهداف الاستراتيجية. وقد بيّنت الأدبيات الإدارية أنّ المشكلات التنظيمية تعد من أبرز الأسباب التي تحد من نمو المؤسسات وتضعف قدرتها التنافسية، خاصة في القطاعات التي تتطلب استجابة سريعة للمتغيرات السوقية، مثل قطاع التجزئة (آل عوض، 2021؛ الرشادة وآخرون، 2022)</w:t>
      </w:r>
      <w:r w:rsidRPr="003340FD">
        <w:rPr>
          <w:rFonts w:ascii="Sakkal Majalla" w:hAnsi="Sakkal Majalla" w:cs="Sakkal Majalla"/>
          <w:color w:val="000000" w:themeColor="text1"/>
          <w:sz w:val="28"/>
          <w:szCs w:val="28"/>
        </w:rPr>
        <w:t>.</w:t>
      </w:r>
    </w:p>
    <w:p w14:paraId="5398BE3B"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تُظهر الدراسات أن ضعف الهياكل التنظيمية يؤدي إلى قصور في وضوح الأدوار والمسؤوليات، مما ينعكس سلبًا على فعالية اتخاذ القرار ويزيد من احتمالية تضارب الصلاحيات داخل المؤسسات. وغالبًا ما يُعزى هذا الخلل إلى غياب ثقافة مؤسسية قائمة على الشفافية والمساءلة، وإلى مركزية القرار التي تحد من مرونة المؤسسات في التعامل مع المستجدات (التميمي واللافي، 2020). وتبرز هذه الإشكالية بشكل خاص في بيئة التجزئة السعودية، حيث تتسم الكثير من المنشآت الصغيرة والمتوسطة بسيطرة النمط العائلي أو الفردي في الإدارة، مع ضعف تطبيق مبادئ الحوكمة والتنظيم المؤسسي</w:t>
      </w:r>
      <w:r w:rsidRPr="003340FD">
        <w:rPr>
          <w:rFonts w:ascii="Sakkal Majalla" w:hAnsi="Sakkal Majalla" w:cs="Sakkal Majalla"/>
          <w:color w:val="000000" w:themeColor="text1"/>
          <w:sz w:val="28"/>
          <w:szCs w:val="28"/>
        </w:rPr>
        <w:t>.</w:t>
      </w:r>
    </w:p>
    <w:p w14:paraId="25C6AEE2"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من ناحية أخرى، يشير الزعبي والحنيطي (2021) إلى أن الهياكل التنظيمية التقليدية في المؤسسات التجارية لا تتلاءم مع متطلبات الأسواق الحديثة، إذ تفتقر إلى آليات تواصل داخلي فعّالة، ولا تعتمد على نظم معلوماتية تدعم اتخاذ القرار في الوقت المناسب. فالتجزئة الحديثة تتطلب سرعة في الاستجابة وتحليلاً مستمرًا للبيانات الاستهلاكية، وهي خصائص لا يمكن تحقيقها في ظل بيروقراطية تنظيمية أو ضعف التنسيق بين الأقسام التشغيلية والإدارية</w:t>
      </w:r>
      <w:r w:rsidRPr="003340FD">
        <w:rPr>
          <w:rFonts w:ascii="Sakkal Majalla" w:hAnsi="Sakkal Majalla" w:cs="Sakkal Majalla"/>
          <w:color w:val="000000" w:themeColor="text1"/>
          <w:sz w:val="28"/>
          <w:szCs w:val="28"/>
        </w:rPr>
        <w:t>.</w:t>
      </w:r>
    </w:p>
    <w:p w14:paraId="522FD896"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وفي السياق ذاته، يوضح بغدادي (2020) أن نجاح المؤسسات الخدمية والتجارية يعتمد على قدرتها على إعادة هيكلة إداراتها بما يواكب متطلبات الكفاءة والإنتاجية. فالهيكل التنظيمي لم يعد مجرد توزيع إداري للسلطات، بل أصبح نظامًا ديناميكيًا يربط الأداء الفردي بالأداء المؤسسي من خلال وضوح خطوط الاتصال والمساءلة. ومن هنا، يصبح غياب هذا التكامل التنظيمي أحد أهم التحديات التي تعيق مؤسسات التجزئة عن تحقيق تطورها المستدام</w:t>
      </w:r>
      <w:r w:rsidRPr="003340FD">
        <w:rPr>
          <w:rFonts w:ascii="Sakkal Majalla" w:hAnsi="Sakkal Majalla" w:cs="Sakkal Majalla"/>
          <w:color w:val="000000" w:themeColor="text1"/>
          <w:sz w:val="28"/>
          <w:szCs w:val="28"/>
        </w:rPr>
        <w:t>.</w:t>
      </w:r>
    </w:p>
    <w:p w14:paraId="1094CD15"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كما أن محدودية الكفاءات الإدارية المؤهلة لإدارة عمليات التغيير والتحول داخل قطاع التجزئة تُعد من أبرز العوائق التنظيمية. حيث لا يزال بعض القادة الإداريين يتبعون أساليب إدارة تقليدية تركز على الإشراف والسيطرة أكثر من التحفيز والتمكين، مما يضعف بيئة العمل ويحد من الابتكار الداخلي</w:t>
      </w:r>
      <w:r w:rsidRPr="003340FD">
        <w:rPr>
          <w:rFonts w:ascii="Sakkal Majalla" w:hAnsi="Sakkal Majalla" w:cs="Sakkal Majalla"/>
          <w:color w:val="000000" w:themeColor="text1"/>
          <w:sz w:val="28"/>
          <w:szCs w:val="28"/>
        </w:rPr>
        <w:t xml:space="preserve"> (Alt et al., 2025). </w:t>
      </w:r>
      <w:r w:rsidRPr="003340FD">
        <w:rPr>
          <w:rFonts w:ascii="Sakkal Majalla" w:hAnsi="Sakkal Majalla" w:cs="Sakkal Majalla"/>
          <w:color w:val="000000" w:themeColor="text1"/>
          <w:sz w:val="28"/>
          <w:szCs w:val="28"/>
          <w:rtl/>
        </w:rPr>
        <w:t>وتُظهر التجارب العالمية الناجحة في هذا المجال أنّ تطوير الكوادر الإدارية وتبنّي ثقافة التعلم التنظيمي يمثلان شرطًا أساسيًا لتجاوز التحديات التنظيمية وتحقيق الكفاءة في قطاع التجزئة</w:t>
      </w:r>
      <w:r w:rsidRPr="003340FD">
        <w:rPr>
          <w:rFonts w:ascii="Sakkal Majalla" w:hAnsi="Sakkal Majalla" w:cs="Sakkal Majalla"/>
          <w:color w:val="000000" w:themeColor="text1"/>
          <w:sz w:val="28"/>
          <w:szCs w:val="28"/>
        </w:rPr>
        <w:t>.</w:t>
      </w:r>
    </w:p>
    <w:p w14:paraId="378C6942"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يُضاف إلى ذلك أنّ العوائق الإدارية تتجلى أيضًا في ضعف إدارة الوقت وسوء توزيع المهام، مما يؤدي إلى ارتفاع التكاليف التشغيلية وانخفاض جودة الخدمة المقدمة للعملاء. فغياب آليات الرقابة الإدارية الحديثة يجعل المؤسسات عرضة للأخطاء المتكررة، ويضعف قدرتها على مراقبة الأداء ومحاسبة المسؤولين (الخزرجي والشمري، 2024). وتبرز أهمية التحول من الإدارة التقليدية إلى الإدارة المبنية على مؤشرات الأداء</w:t>
      </w:r>
      <w:r w:rsidRPr="003340FD">
        <w:rPr>
          <w:rFonts w:ascii="Sakkal Majalla" w:hAnsi="Sakkal Majalla" w:cs="Sakkal Majalla"/>
          <w:color w:val="000000" w:themeColor="text1"/>
          <w:sz w:val="28"/>
          <w:szCs w:val="28"/>
        </w:rPr>
        <w:t xml:space="preserve"> (KPIs) </w:t>
      </w:r>
      <w:r w:rsidRPr="003340FD">
        <w:rPr>
          <w:rFonts w:ascii="Sakkal Majalla" w:hAnsi="Sakkal Majalla" w:cs="Sakkal Majalla"/>
          <w:color w:val="000000" w:themeColor="text1"/>
          <w:sz w:val="28"/>
          <w:szCs w:val="28"/>
          <w:rtl/>
        </w:rPr>
        <w:t>والحوكمة المؤسسية كأداة لتقليص هذه الفجوات</w:t>
      </w:r>
      <w:r w:rsidRPr="003340FD">
        <w:rPr>
          <w:rFonts w:ascii="Sakkal Majalla" w:hAnsi="Sakkal Majalla" w:cs="Sakkal Majalla"/>
          <w:color w:val="000000" w:themeColor="text1"/>
          <w:sz w:val="28"/>
          <w:szCs w:val="28"/>
        </w:rPr>
        <w:t>.</w:t>
      </w:r>
    </w:p>
    <w:p w14:paraId="20AEDF85"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وفيما يتعلق بالتنظيم الداخلي، تواجه العديد من المؤسسات تحديات مرتبطة بعدم وجود توصيف وظيفي واضح أو ضعف في الربط بين الحوافز والأداء. وتؤكد الزهراني (2021) أن هذه الفجوة التنظيمية تُضعف الولاء المؤسسي وتزيد من معدلات دوران العمالة، خاصة في القطاعات التي تعتمد على قوى عاملة شبابية مثل التجزئة. إذ تشير نتائج بعض الدراسات إلى أن ضعف القيادة التنظيمية وفقدان المسار المهني الواضح يسهمان في تراجع الكفاءة والإنتاجية</w:t>
      </w:r>
      <w:r w:rsidRPr="003340FD">
        <w:rPr>
          <w:rFonts w:ascii="Sakkal Majalla" w:hAnsi="Sakkal Majalla" w:cs="Sakkal Majalla"/>
          <w:color w:val="000000" w:themeColor="text1"/>
          <w:sz w:val="28"/>
          <w:szCs w:val="28"/>
        </w:rPr>
        <w:t>.</w:t>
      </w:r>
    </w:p>
    <w:p w14:paraId="6FC1C349"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علاوة على ذلك، فإن التغيرات المتسارعة في بيئة الأعمال تتطلب من مؤسسات التجزئة أن تتبنى استراتيجيات تنظيمية مرنة تستجيب للتحولات الرقمية، وهو ما يمثل تحديًا كبيرًا في ظل البنى الإدارية الجامدة. وقد أشار إسماعيل (2021) إلى أن التحول نحو الإدارة الرقمية يتطلب إعادة تصميم العمليات الإدارية لتتكامل مع أنظمة المعلومات الذكية، بما يتيح اتخاذ قرارات فورية مبنية على بيانات دقيقة. هذا الانتقال من النظم الورقية إلى النظم الرقمية لا يقتصر على الجانب التقني فقط، بل يشمل كذلك تغيير الثقافة الإدارية لتصبح أكثر ابتكارًا ومبنية على التحليل بدل الحدس</w:t>
      </w:r>
      <w:r w:rsidRPr="003340FD">
        <w:rPr>
          <w:rFonts w:ascii="Sakkal Majalla" w:hAnsi="Sakkal Majalla" w:cs="Sakkal Majalla"/>
          <w:color w:val="000000" w:themeColor="text1"/>
          <w:sz w:val="28"/>
          <w:szCs w:val="28"/>
        </w:rPr>
        <w:t>.</w:t>
      </w:r>
    </w:p>
    <w:p w14:paraId="776DBCC7"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وبالنظر إلى البيئة التنظيمية في قطاع التجزئة السعودي، يمكن القول إن العوائق الإدارية والتنظيمية ترتبط غالبًا بثلاثة محاور رئيسة</w:t>
      </w:r>
      <w:r w:rsidRPr="003340FD">
        <w:rPr>
          <w:rFonts w:ascii="Sakkal Majalla" w:hAnsi="Sakkal Majalla" w:cs="Sakkal Majalla"/>
          <w:color w:val="000000" w:themeColor="text1"/>
          <w:sz w:val="28"/>
          <w:szCs w:val="28"/>
        </w:rPr>
        <w:t>:</w:t>
      </w:r>
    </w:p>
    <w:p w14:paraId="47F028D6" w14:textId="77777777" w:rsidR="00760000" w:rsidRPr="003340FD" w:rsidRDefault="00760000" w:rsidP="00E81F00">
      <w:pPr>
        <w:numPr>
          <w:ilvl w:val="0"/>
          <w:numId w:val="7"/>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ضعف الهيكل الإداري المؤسسي وما يترتب عليه من تضارب صلاحيات وغياب وضوح الأدوار</w:t>
      </w:r>
      <w:r w:rsidRPr="003340FD">
        <w:rPr>
          <w:rFonts w:ascii="Sakkal Majalla" w:hAnsi="Sakkal Majalla" w:cs="Sakkal Majalla"/>
          <w:color w:val="000000" w:themeColor="text1"/>
          <w:sz w:val="28"/>
          <w:szCs w:val="28"/>
        </w:rPr>
        <w:t>.</w:t>
      </w:r>
    </w:p>
    <w:p w14:paraId="635B6E09" w14:textId="77777777" w:rsidR="00760000" w:rsidRPr="003340FD" w:rsidRDefault="00760000" w:rsidP="00E81F00">
      <w:pPr>
        <w:numPr>
          <w:ilvl w:val="0"/>
          <w:numId w:val="7"/>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محدودية الكفاءات الإدارية والتدريب القيادي الذي يمكن أن يدعم التحول المؤسسي</w:t>
      </w:r>
      <w:r w:rsidRPr="003340FD">
        <w:rPr>
          <w:rFonts w:ascii="Sakkal Majalla" w:hAnsi="Sakkal Majalla" w:cs="Sakkal Majalla"/>
          <w:color w:val="000000" w:themeColor="text1"/>
          <w:sz w:val="28"/>
          <w:szCs w:val="28"/>
        </w:rPr>
        <w:t>.</w:t>
      </w:r>
    </w:p>
    <w:p w14:paraId="4599365F" w14:textId="77777777" w:rsidR="00760000" w:rsidRPr="003340FD" w:rsidRDefault="00760000" w:rsidP="00E81F00">
      <w:pPr>
        <w:numPr>
          <w:ilvl w:val="0"/>
          <w:numId w:val="7"/>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قصور تطبيق نظم الحوكمة والتقييم المؤسسي مما يحد من قدرة المؤسسات على إدارة الأداء بكفاءة</w:t>
      </w:r>
      <w:r w:rsidRPr="003340FD">
        <w:rPr>
          <w:rFonts w:ascii="Sakkal Majalla" w:hAnsi="Sakkal Majalla" w:cs="Sakkal Majalla"/>
          <w:color w:val="000000" w:themeColor="text1"/>
          <w:sz w:val="28"/>
          <w:szCs w:val="28"/>
        </w:rPr>
        <w:t>.</w:t>
      </w:r>
    </w:p>
    <w:p w14:paraId="21C7B1F5"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إن تجاوز هذه العوائق يتطلب اعتماد هيكل تنظيمي مرن، يقوم على تفويض الصلاحيات، وتمكين القيادات الوسطى، وتبني نظم حوكمة فعّالة تعزز الشفافية والمساءلة. كما أن تطوير ثقافة تنظيمية تحفز الابتكار والاستجابة السريعة يعد ضرورة ملحة لتحقيق التوازن بين النمو الاقتصادي والاستدامة في قطاع التجزئة، وهو ما يتماشى مع توجهات رؤية المملكة 2030 في بناء مؤسسات قادرة على المنافسة والتأقلم مع التحول الرقمي والاقتصادي المتسارع</w:t>
      </w:r>
      <w:r w:rsidRPr="003340FD">
        <w:rPr>
          <w:rFonts w:ascii="Sakkal Majalla" w:hAnsi="Sakkal Majalla" w:cs="Sakkal Majalla"/>
          <w:color w:val="000000" w:themeColor="text1"/>
          <w:sz w:val="28"/>
          <w:szCs w:val="28"/>
        </w:rPr>
        <w:t>.</w:t>
      </w:r>
    </w:p>
    <w:p w14:paraId="7E6592CB" w14:textId="6FEE28EA"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3.1.2</w:t>
      </w:r>
      <w:r w:rsidR="00760000" w:rsidRPr="003340FD">
        <w:rPr>
          <w:rFonts w:ascii="Sakkal Majalla" w:hAnsi="Sakkal Majalla" w:cs="Sakkal Majalla"/>
          <w:b/>
          <w:bCs/>
          <w:color w:val="000000" w:themeColor="text1"/>
          <w:sz w:val="32"/>
          <w:szCs w:val="32"/>
          <w:rtl/>
        </w:rPr>
        <w:t xml:space="preserve"> البعد الاقتصادي والتمويلي للعوائق والتحديات في قطاع التجزئة</w:t>
      </w:r>
    </w:p>
    <w:p w14:paraId="19BD82D7"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يُعدّ البعد الاقتصادي والتمويلي من أكثر الأبعاد تأثيرًا في قدرة قطاع التجزئة على التطور والنمو المستدام، إذ تمثل الموارد المالية القاعدة التي تقوم عليها جميع الأنشطة التجارية، بدءًا من التمويل التشغيلي وانتهاءً بالتوسع الاستثماري. ويُنظر إلى التحديات الاقتصادية والتمويلية على أنها من العوامل البنيوية التي تحدد مدى مرونة مؤسسات التجزئة وقدرتها على مواجهة التغيرات في البيئة السوقية. فالمؤسسات التي تعاني من ضعف في رأس المال أو من صعوبات في الحصول على التمويل تواجه قيودًا تحدّ من قدرتها على تحديث بنيتها التحتية، وتبني التقنيات الحديثة، وتحقيق التوسع الأفقي أو الرأسي في أنشطتها (الزعبي والحنيطي، 2021؛ كامل، 2020)</w:t>
      </w:r>
      <w:r w:rsidRPr="003340FD">
        <w:rPr>
          <w:rFonts w:ascii="Sakkal Majalla" w:hAnsi="Sakkal Majalla" w:cs="Sakkal Majalla"/>
          <w:color w:val="000000" w:themeColor="text1"/>
          <w:sz w:val="28"/>
          <w:szCs w:val="28"/>
        </w:rPr>
        <w:t>.</w:t>
      </w:r>
    </w:p>
    <w:p w14:paraId="165126C8"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تواجه شركات التجزئة في الاقتصادات النامية ـ ومنها المملكة العربية السعودية ـ تحديات تمويلية متعددة ترتبط بعدة عوامل، أبرزها محدودية القنوات التمويلية المناسبة لطبيعة هذا القطاع، وارتفاع متطلبات الضمانات البنكية، وضعف الابتكار في منتجات التمويل التجاري. ورغم الجهود الحكومية لتسهيل الوصول إلى التمويل عبر برامج مثل "كفالة" و"منشآت"، إلا أن العديد من المؤسسات الصغيرة والمتوسطة العاملة في التجزئة ما زالت تواجه صعوبة في تأمين التمويل الكافي لتطوير عملياتها أو الاستثمار في التحول الرقمي. ويرتبط ذلك جزئيًا بنقص البيانات المالية الدقيقة والشفافية المحاسبية، مما يضعف ثقة الممولين ويزيد من تكلفة الاقتراض</w:t>
      </w:r>
      <w:r w:rsidRPr="003340FD">
        <w:rPr>
          <w:rFonts w:ascii="Sakkal Majalla" w:hAnsi="Sakkal Majalla" w:cs="Sakkal Majalla"/>
          <w:color w:val="000000" w:themeColor="text1"/>
          <w:sz w:val="28"/>
          <w:szCs w:val="28"/>
        </w:rPr>
        <w:t xml:space="preserve"> (Alt et al., 2025).</w:t>
      </w:r>
    </w:p>
    <w:p w14:paraId="424994BB"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 xml:space="preserve">من منظور الاقتصاد الكلي، تتأثر قدرة قطاع التجزئة أيضًا بالعوامل الاقتصادية العامة مثل معدلات التضخم، والسياسات الضريبية، وتقلبات الطلب الكلي. فالضغوط التضخمية تؤدي إلى ارتفاع </w:t>
      </w:r>
      <w:r w:rsidRPr="003340FD">
        <w:rPr>
          <w:rFonts w:ascii="Sakkal Majalla" w:hAnsi="Sakkal Majalla" w:cs="Sakkal Majalla"/>
          <w:color w:val="000000" w:themeColor="text1"/>
          <w:sz w:val="28"/>
          <w:szCs w:val="28"/>
          <w:rtl/>
        </w:rPr>
        <w:lastRenderedPageBreak/>
        <w:t>تكاليف التشغيل وتراجع هامش الربحية، خاصة في القطاعات ذات الحساسية السعرية العالية. كما أن تغيرات سلوك المستهلكين في ظل ظروف اقتصادية غير مستقرة تدفع المؤسسات إلى اتباع استراتيجيات تسعير متحفظة قد تقلل من قدرتها على تحقيق النمو المطلوب</w:t>
      </w:r>
      <w:r w:rsidRPr="003340FD">
        <w:rPr>
          <w:rFonts w:ascii="Sakkal Majalla" w:hAnsi="Sakkal Majalla" w:cs="Sakkal Majalla"/>
          <w:color w:val="000000" w:themeColor="text1"/>
          <w:sz w:val="28"/>
          <w:szCs w:val="28"/>
        </w:rPr>
        <w:t xml:space="preserve"> (Butt et al., 2024). </w:t>
      </w:r>
      <w:r w:rsidRPr="003340FD">
        <w:rPr>
          <w:rFonts w:ascii="Sakkal Majalla" w:hAnsi="Sakkal Majalla" w:cs="Sakkal Majalla"/>
          <w:color w:val="000000" w:themeColor="text1"/>
          <w:sz w:val="28"/>
          <w:szCs w:val="28"/>
          <w:rtl/>
        </w:rPr>
        <w:t>وفي السياق ذاته، فإن المنافسة الحادة بين الشركات المحلية والعالمية العاملة في السوق السعودي تشكل ضغطًا إضافيًا على الشركات الصغيرة والمتوسطة، التي تجد نفسها في مواجهة كيانات تمتلك قدرات مالية واستثمارية أكبر</w:t>
      </w:r>
      <w:r w:rsidRPr="003340FD">
        <w:rPr>
          <w:rFonts w:ascii="Sakkal Majalla" w:hAnsi="Sakkal Majalla" w:cs="Sakkal Majalla"/>
          <w:color w:val="000000" w:themeColor="text1"/>
          <w:sz w:val="28"/>
          <w:szCs w:val="28"/>
        </w:rPr>
        <w:t>.</w:t>
      </w:r>
    </w:p>
    <w:p w14:paraId="1BDBAE1E"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ويشير بغدادي (2020) إلى أن من بين أبرز العوائق التمويلية التي تواجه مؤسسات التجزئة غياب الوعي المالي الاستراتيجي لدى الإدارة العليا. إذ تركز الكثير من المؤسسات على السيولة قصيرة الأجل دون وضع خطط تمويل طويلة المدى تضمن الاستقرار المالي في فترات الركود أو الأزمات. كما أن الاعتماد المفرط على التمويل الذاتي وعدم تنويع مصادر التمويل يجعل هذه المؤسسات أكثر هشاشة أمام التغيرات الاقتصادية. لذلك، فإن تنمية القدرات المالية والإدارية في مجال إدارة رأس المال التشغيلي وإدارة التدفقات النقدية يمثل عاملاً حاسمًا لتجاوز هذه العقبات</w:t>
      </w:r>
      <w:r w:rsidRPr="003340FD">
        <w:rPr>
          <w:rFonts w:ascii="Sakkal Majalla" w:hAnsi="Sakkal Majalla" w:cs="Sakkal Majalla"/>
          <w:color w:val="000000" w:themeColor="text1"/>
          <w:sz w:val="28"/>
          <w:szCs w:val="28"/>
        </w:rPr>
        <w:t>.</w:t>
      </w:r>
    </w:p>
    <w:p w14:paraId="55B362C1"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وفي هذا الإطار، يرى الخزرجي والشمري (2024) أن إحدى العقبات الجوهرية التي تواجه مؤسسات التجزئة هي ضعف الاستثمار في البحث التسويقي والتحليل المالي. فغياب البيانات الدقيقة حول الأسواق والمستهلكين يجعل القرارات الاستثمارية أقرب إلى التقديرات العشوائية منها إلى التحليل العلمي، مما يؤدي إلى سوء تخصيص الموارد المالية، ويحدّ من قدرة الشركات على المنافسة. أما المؤسسات التي تنتهج منهجية تحليل مالي دقيقة وتدمجها مع دراسات السوق، فتكون أكثر قدرة على اتخاذ قرارات تمويل رشيدة تعزز قدرتها التنافسية واستدامتها</w:t>
      </w:r>
      <w:r w:rsidRPr="003340FD">
        <w:rPr>
          <w:rFonts w:ascii="Sakkal Majalla" w:hAnsi="Sakkal Majalla" w:cs="Sakkal Majalla"/>
          <w:color w:val="000000" w:themeColor="text1"/>
          <w:sz w:val="28"/>
          <w:szCs w:val="28"/>
        </w:rPr>
        <w:t>.</w:t>
      </w:r>
    </w:p>
    <w:p w14:paraId="5DE0663F"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وعلى المستوى الدولي، أوضحت دراسات</w:t>
      </w:r>
      <w:r w:rsidRPr="003340FD">
        <w:rPr>
          <w:rFonts w:ascii="Sakkal Majalla" w:hAnsi="Sakkal Majalla" w:cs="Sakkal Majalla"/>
          <w:color w:val="000000" w:themeColor="text1"/>
          <w:sz w:val="28"/>
          <w:szCs w:val="28"/>
        </w:rPr>
        <w:t xml:space="preserve"> Alt, </w:t>
      </w:r>
      <w:proofErr w:type="spellStart"/>
      <w:r w:rsidRPr="003340FD">
        <w:rPr>
          <w:rFonts w:ascii="Sakkal Majalla" w:hAnsi="Sakkal Majalla" w:cs="Sakkal Majalla"/>
          <w:color w:val="000000" w:themeColor="text1"/>
          <w:sz w:val="28"/>
          <w:szCs w:val="28"/>
        </w:rPr>
        <w:t>Berezvai</w:t>
      </w:r>
      <w:proofErr w:type="spellEnd"/>
      <w:r w:rsidRPr="003340FD">
        <w:rPr>
          <w:rFonts w:ascii="Sakkal Majalla" w:hAnsi="Sakkal Majalla" w:cs="Sakkal Majalla"/>
          <w:color w:val="000000" w:themeColor="text1"/>
          <w:sz w:val="28"/>
          <w:szCs w:val="28"/>
        </w:rPr>
        <w:t xml:space="preserve"> &amp; </w:t>
      </w:r>
      <w:proofErr w:type="spellStart"/>
      <w:r w:rsidRPr="003340FD">
        <w:rPr>
          <w:rFonts w:ascii="Sakkal Majalla" w:hAnsi="Sakkal Majalla" w:cs="Sakkal Majalla"/>
          <w:color w:val="000000" w:themeColor="text1"/>
          <w:sz w:val="28"/>
          <w:szCs w:val="28"/>
        </w:rPr>
        <w:t>Agárdi</w:t>
      </w:r>
      <w:proofErr w:type="spellEnd"/>
      <w:r w:rsidRPr="003340FD">
        <w:rPr>
          <w:rFonts w:ascii="Sakkal Majalla" w:hAnsi="Sakkal Majalla" w:cs="Sakkal Majalla"/>
          <w:color w:val="000000" w:themeColor="text1"/>
          <w:sz w:val="28"/>
          <w:szCs w:val="28"/>
        </w:rPr>
        <w:t xml:space="preserve"> (2025) </w:t>
      </w:r>
      <w:r w:rsidRPr="003340FD">
        <w:rPr>
          <w:rFonts w:ascii="Sakkal Majalla" w:hAnsi="Sakkal Majalla" w:cs="Sakkal Majalla"/>
          <w:color w:val="000000" w:themeColor="text1"/>
          <w:sz w:val="28"/>
          <w:szCs w:val="28"/>
          <w:rtl/>
        </w:rPr>
        <w:t>أنّ المؤسسات التي تربط استراتيجياتها التمويلية بأهداف الاستدامة تحقق أداء ماليًا أفضل على المدى الطويل، مقارنة بالمؤسسات التي تركز فقط على الربح قصير الأجل. فالتمويل المستدام الذي يراعي الأبعاد الاجتماعية والبيئية أصبح أحد محركات النمو في قطاع التجزئة الحديث. وتبرز أهمية هذا النهج في ظل توجه رؤية المملكة 2030 نحو بناء اقتصاد متنوع ومستدام يعتمد على كفاءة الإنفاق وإدارة الموارد المالية بفعالية</w:t>
      </w:r>
      <w:r w:rsidRPr="003340FD">
        <w:rPr>
          <w:rFonts w:ascii="Sakkal Majalla" w:hAnsi="Sakkal Majalla" w:cs="Sakkal Majalla"/>
          <w:color w:val="000000" w:themeColor="text1"/>
          <w:sz w:val="28"/>
          <w:szCs w:val="28"/>
        </w:rPr>
        <w:t>.</w:t>
      </w:r>
    </w:p>
    <w:p w14:paraId="72A37E20"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من هذا المنطلق، يمكن القول إن التحديات الاقتصادية والتمويلية في قطاع التجزئة تنقسم إلى ثلاثة محاور رئيسة مترابطة</w:t>
      </w:r>
      <w:r w:rsidRPr="003340FD">
        <w:rPr>
          <w:rFonts w:ascii="Sakkal Majalla" w:hAnsi="Sakkal Majalla" w:cs="Sakkal Majalla"/>
          <w:color w:val="000000" w:themeColor="text1"/>
          <w:sz w:val="28"/>
          <w:szCs w:val="28"/>
        </w:rPr>
        <w:t>:</w:t>
      </w:r>
    </w:p>
    <w:p w14:paraId="052A7AE7" w14:textId="77777777" w:rsidR="00760000" w:rsidRPr="003340FD" w:rsidRDefault="00760000" w:rsidP="00E81F00">
      <w:pPr>
        <w:numPr>
          <w:ilvl w:val="0"/>
          <w:numId w:val="8"/>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التحديات التمويلية الداخلية</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مثل ضعف نظم المحاسبة والرقابة المالية وغياب التخطيط المالي الاستراتيجي</w:t>
      </w:r>
      <w:r w:rsidRPr="003340FD">
        <w:rPr>
          <w:rFonts w:ascii="Sakkal Majalla" w:hAnsi="Sakkal Majalla" w:cs="Sakkal Majalla"/>
          <w:color w:val="000000" w:themeColor="text1"/>
          <w:sz w:val="28"/>
          <w:szCs w:val="28"/>
        </w:rPr>
        <w:t>.</w:t>
      </w:r>
    </w:p>
    <w:p w14:paraId="49B9AB56" w14:textId="77777777" w:rsidR="00760000" w:rsidRPr="003340FD" w:rsidRDefault="00760000" w:rsidP="00E81F00">
      <w:pPr>
        <w:numPr>
          <w:ilvl w:val="0"/>
          <w:numId w:val="8"/>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التحديات الاقتصادية الخارجية</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المتمثلة في تقلبات السوق، وارتفاع التكاليف التشغيلية، وضعف مرونة الأسعار</w:t>
      </w:r>
      <w:r w:rsidRPr="003340FD">
        <w:rPr>
          <w:rFonts w:ascii="Sakkal Majalla" w:hAnsi="Sakkal Majalla" w:cs="Sakkal Majalla"/>
          <w:color w:val="000000" w:themeColor="text1"/>
          <w:sz w:val="28"/>
          <w:szCs w:val="28"/>
        </w:rPr>
        <w:t>.</w:t>
      </w:r>
    </w:p>
    <w:p w14:paraId="72EEDDA7" w14:textId="77777777" w:rsidR="00760000" w:rsidRPr="003340FD" w:rsidRDefault="00760000" w:rsidP="00E81F00">
      <w:pPr>
        <w:numPr>
          <w:ilvl w:val="0"/>
          <w:numId w:val="8"/>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التحديات الاستثمارية</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وتشمل صعوبة الوصول إلى مصادر التمويل المستدام وضعف الاستفادة من الأدوات المالية المبتكرة</w:t>
      </w:r>
      <w:r w:rsidRPr="003340FD">
        <w:rPr>
          <w:rFonts w:ascii="Sakkal Majalla" w:hAnsi="Sakkal Majalla" w:cs="Sakkal Majalla"/>
          <w:color w:val="000000" w:themeColor="text1"/>
          <w:sz w:val="28"/>
          <w:szCs w:val="28"/>
        </w:rPr>
        <w:t>.</w:t>
      </w:r>
    </w:p>
    <w:p w14:paraId="50BA4096"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إن تجاوز هذه العوائق يتطلب من مؤسسات التجزئة إعادة التفكير في نموذجها الاقتصادي والتمويلي، من خلال تنويع مصادر التمويل، وتبني استراتيجيات مالية مستدامة تراعي الكفاءة والشفافية، وتعزيز الشراكة مع القطاع المالي لتوفير حلول تمويل مرنة تتناسب مع خصوصية القطاع. فتمكين التجزئة من الوصول إلى التمويل الفعّال ليس مجرد مطلب اقتصادي، بل شرط أساسي لتحقيق الأهداف الاستراتيجية للاستدامة التي تركز عليها رؤية المملكة 2030</w:t>
      </w:r>
      <w:r w:rsidRPr="003340FD">
        <w:rPr>
          <w:rFonts w:ascii="Sakkal Majalla" w:hAnsi="Sakkal Majalla" w:cs="Sakkal Majalla"/>
          <w:color w:val="000000" w:themeColor="text1"/>
          <w:sz w:val="28"/>
          <w:szCs w:val="28"/>
        </w:rPr>
        <w:t>.</w:t>
      </w:r>
    </w:p>
    <w:p w14:paraId="43166C13" w14:textId="5296FBB3"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4.1.2</w:t>
      </w:r>
      <w:r w:rsidR="00760000" w:rsidRPr="003340FD">
        <w:rPr>
          <w:rFonts w:ascii="Sakkal Majalla" w:hAnsi="Sakkal Majalla" w:cs="Sakkal Majalla"/>
          <w:b/>
          <w:bCs/>
          <w:color w:val="000000" w:themeColor="text1"/>
          <w:sz w:val="32"/>
          <w:szCs w:val="32"/>
          <w:rtl/>
        </w:rPr>
        <w:t xml:space="preserve"> البعد التقني والتحول الرقمي كأحد تحديات تطوير قطاع التجزئة</w:t>
      </w:r>
    </w:p>
    <w:p w14:paraId="4E3CE0A8"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يمثل البعد التقني والتحول الرقمي أحد المحاور الجوهرية التي تحدد قدرة قطاع التجزئة على التكيف مع متغيرات السوق العالمية ومتطلبات الاقتصاد الحديث. فالتحول الرقمي لم يعد خيارًا إضافيًا للمؤسسات التجارية، بل أصبح ضرورة استراتيجية لرفع الكفاءة التشغيلية وتعزيز تجربة العملاء وتحقيق التنافسية المستدامة. ومع ذلك، فإن الكثير من مؤسسات التجزئة تواجه صعوبات حقيقية في تبني التقنيات الحديثة، سواء بسبب ضعف البنية التحتية التقنية، أو محدودية الوعي بأهمية التحول الرقمي، أو لاعتبارات مالية وتنظيمية تعيق الاستثمار في هذا المجال</w:t>
      </w:r>
      <w:r w:rsidRPr="003340FD">
        <w:rPr>
          <w:rFonts w:ascii="Sakkal Majalla" w:hAnsi="Sakkal Majalla" w:cs="Sakkal Majalla"/>
          <w:color w:val="000000" w:themeColor="text1"/>
          <w:sz w:val="28"/>
          <w:szCs w:val="28"/>
        </w:rPr>
        <w:t xml:space="preserve"> (Kaur et al., 2022</w:t>
      </w:r>
      <w:r w:rsidRPr="003340FD">
        <w:rPr>
          <w:rFonts w:ascii="Sakkal Majalla" w:hAnsi="Sakkal Majalla" w:cs="Sakkal Majalla"/>
          <w:color w:val="000000" w:themeColor="text1"/>
          <w:sz w:val="28"/>
          <w:szCs w:val="28"/>
          <w:rtl/>
        </w:rPr>
        <w:t>؛ إسماعيل، 2021</w:t>
      </w:r>
      <w:r w:rsidRPr="003340FD">
        <w:rPr>
          <w:rFonts w:ascii="Sakkal Majalla" w:hAnsi="Sakkal Majalla" w:cs="Sakkal Majalla"/>
          <w:color w:val="000000" w:themeColor="text1"/>
          <w:sz w:val="28"/>
          <w:szCs w:val="28"/>
        </w:rPr>
        <w:t>).</w:t>
      </w:r>
    </w:p>
    <w:p w14:paraId="10835903"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يشير إسماعيل (2021) إلى أن التحول الرقمي في قطاع التجزئة يرتكز على دمج التقنيات الذكية في جميع مراحل سلسلة القيمة، بدءًا من إدارة المخزون وسلاسل الإمداد وصولاً إلى أنظمة الدفع وخدمة العملاء. ويُظهر الواقع أن الكثير من المؤسسات المحلية ما زالت في مراحلها الأولى من هذا التحول، حيث تعتمد على نظم تقليدية لإدارة العمليات، مما يحد من قدرتها على التنبؤ بالطلب وتحليل سلوك المستهلكين. كما أن ضعف الكفاءات التقنية داخل المنشآت الصغيرة والمتوسطة يؤدي إلى تباطؤ عملية التحول ويزيد من الفجوة الرقمية مقارنة بالشركات الكبرى أو العلامات العالمية</w:t>
      </w:r>
      <w:r w:rsidRPr="003340FD">
        <w:rPr>
          <w:rFonts w:ascii="Sakkal Majalla" w:hAnsi="Sakkal Majalla" w:cs="Sakkal Majalla"/>
          <w:color w:val="000000" w:themeColor="text1"/>
          <w:sz w:val="28"/>
          <w:szCs w:val="28"/>
        </w:rPr>
        <w:t>.</w:t>
      </w:r>
    </w:p>
    <w:p w14:paraId="19FA829D"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من جهة أخرى، ترى الزهراني (2021) أن أحد أهم التحديات التقنية يتمثل في ضعف الوعي بأهمية البيانات في دعم القرارات الإدارية. فالمؤسسات التي لا تمتلك أنظمة معلومات فعّالة تجد صعوبة في تحليل الاتجاهات السوقية والتنبؤ بالطلب، مما يؤدي إلى سوء تخصيص الموارد. وفي المقابل، أظهرت دراسات حديثة أن تبني أنظمة تحليل البيانات الضخمة</w:t>
      </w:r>
      <w:r w:rsidRPr="003340FD">
        <w:rPr>
          <w:rFonts w:ascii="Sakkal Majalla" w:hAnsi="Sakkal Majalla" w:cs="Sakkal Majalla"/>
          <w:color w:val="000000" w:themeColor="text1"/>
          <w:sz w:val="28"/>
          <w:szCs w:val="28"/>
        </w:rPr>
        <w:t xml:space="preserve"> (Big Data Analytics) </w:t>
      </w:r>
      <w:r w:rsidRPr="003340FD">
        <w:rPr>
          <w:rFonts w:ascii="Sakkal Majalla" w:hAnsi="Sakkal Majalla" w:cs="Sakkal Majalla"/>
          <w:color w:val="000000" w:themeColor="text1"/>
          <w:sz w:val="28"/>
          <w:szCs w:val="28"/>
          <w:rtl/>
        </w:rPr>
        <w:t>يسهم في رفع كفاءة التخطيط وتحسين استجابة المؤسسات لاحتياجات العملاء</w:t>
      </w:r>
      <w:r w:rsidRPr="003340FD">
        <w:rPr>
          <w:rFonts w:ascii="Sakkal Majalla" w:hAnsi="Sakkal Majalla" w:cs="Sakkal Majalla"/>
          <w:color w:val="000000" w:themeColor="text1"/>
          <w:sz w:val="28"/>
          <w:szCs w:val="28"/>
        </w:rPr>
        <w:t xml:space="preserve"> (</w:t>
      </w:r>
      <w:proofErr w:type="spellStart"/>
      <w:r w:rsidRPr="003340FD">
        <w:rPr>
          <w:rFonts w:ascii="Sakkal Majalla" w:hAnsi="Sakkal Majalla" w:cs="Sakkal Majalla"/>
          <w:color w:val="000000" w:themeColor="text1"/>
          <w:sz w:val="28"/>
          <w:szCs w:val="28"/>
        </w:rPr>
        <w:t>Pattanayak</w:t>
      </w:r>
      <w:proofErr w:type="spellEnd"/>
      <w:r w:rsidRPr="003340FD">
        <w:rPr>
          <w:rFonts w:ascii="Sakkal Majalla" w:hAnsi="Sakkal Majalla" w:cs="Sakkal Majalla"/>
          <w:color w:val="000000" w:themeColor="text1"/>
          <w:sz w:val="28"/>
          <w:szCs w:val="28"/>
        </w:rPr>
        <w:t xml:space="preserve"> et al., 2023). </w:t>
      </w:r>
      <w:r w:rsidRPr="003340FD">
        <w:rPr>
          <w:rFonts w:ascii="Sakkal Majalla" w:hAnsi="Sakkal Majalla" w:cs="Sakkal Majalla"/>
          <w:color w:val="000000" w:themeColor="text1"/>
          <w:sz w:val="28"/>
          <w:szCs w:val="28"/>
          <w:rtl/>
        </w:rPr>
        <w:t>ويُعد هذا التحول نحو التحليل الرقمي خطوة أساسية لتقليل الهدر وتعزيز الأداء المالي والتسويقي في مؤسسات التجزئة</w:t>
      </w:r>
      <w:r w:rsidRPr="003340FD">
        <w:rPr>
          <w:rFonts w:ascii="Sakkal Majalla" w:hAnsi="Sakkal Majalla" w:cs="Sakkal Majalla"/>
          <w:color w:val="000000" w:themeColor="text1"/>
          <w:sz w:val="28"/>
          <w:szCs w:val="28"/>
        </w:rPr>
        <w:t>.</w:t>
      </w:r>
    </w:p>
    <w:p w14:paraId="3A716F31"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كما أن استخدام تقنيات إنترنت الأشياء</w:t>
      </w:r>
      <w:r w:rsidRPr="003340FD">
        <w:rPr>
          <w:rFonts w:ascii="Sakkal Majalla" w:hAnsi="Sakkal Majalla" w:cs="Sakkal Majalla"/>
          <w:color w:val="000000" w:themeColor="text1"/>
          <w:sz w:val="28"/>
          <w:szCs w:val="28"/>
        </w:rPr>
        <w:t xml:space="preserve"> (</w:t>
      </w:r>
      <w:proofErr w:type="spellStart"/>
      <w:r w:rsidRPr="003340FD">
        <w:rPr>
          <w:rFonts w:ascii="Sakkal Majalla" w:hAnsi="Sakkal Majalla" w:cs="Sakkal Majalla"/>
          <w:color w:val="000000" w:themeColor="text1"/>
          <w:sz w:val="28"/>
          <w:szCs w:val="28"/>
        </w:rPr>
        <w:t>IoT</w:t>
      </w:r>
      <w:proofErr w:type="spellEnd"/>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يمثل أحد المظاهر الحديثة للتحول الرقمي في قطاع التجزئة. حيث تتيح هذه التقنيات مراقبة دقيقة لحركة المنتجات والمخزون في الوقت الفعلي، ما يسهم في تحسين إدارة العمليات وتقليل الأخطاء البشرية</w:t>
      </w:r>
      <w:r w:rsidRPr="003340FD">
        <w:rPr>
          <w:rFonts w:ascii="Sakkal Majalla" w:hAnsi="Sakkal Majalla" w:cs="Sakkal Majalla"/>
          <w:color w:val="000000" w:themeColor="text1"/>
          <w:sz w:val="28"/>
          <w:szCs w:val="28"/>
        </w:rPr>
        <w:t xml:space="preserve"> (Kaur et al., 2022). </w:t>
      </w:r>
      <w:r w:rsidRPr="003340FD">
        <w:rPr>
          <w:rFonts w:ascii="Sakkal Majalla" w:hAnsi="Sakkal Majalla" w:cs="Sakkal Majalla"/>
          <w:color w:val="000000" w:themeColor="text1"/>
          <w:sz w:val="28"/>
          <w:szCs w:val="28"/>
          <w:rtl/>
        </w:rPr>
        <w:t>ومع ذلك، تواجه المؤسسات تحديات في تطبيق هذه الحلول بسبب ارتفاع تكلفتها، ونقص الكوادر الفنية المؤهلة لإدارتها، فضلاً عن ضعف الوعي الأمني المتعلق بحماية البيانات. فالتحول الرقمي لا يقتصر على إدخال أدوات تقنية، بل يتطلب منظومة متكاملة من الأمن السيبراني والسياسات التنظيمية التي تضمن سلامة المعلومات واستدامة التشغيل</w:t>
      </w:r>
      <w:r w:rsidRPr="003340FD">
        <w:rPr>
          <w:rFonts w:ascii="Sakkal Majalla" w:hAnsi="Sakkal Majalla" w:cs="Sakkal Majalla"/>
          <w:color w:val="000000" w:themeColor="text1"/>
          <w:sz w:val="28"/>
          <w:szCs w:val="28"/>
        </w:rPr>
        <w:t>.</w:t>
      </w:r>
    </w:p>
    <w:p w14:paraId="69CC490B"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وتشير دراسات حديثة إلى أن أهم معوقات التحول الرقمي في قطاع التجزئة يمكن تلخيصها في أربعة محاور رئيسة</w:t>
      </w:r>
      <w:r w:rsidRPr="003340FD">
        <w:rPr>
          <w:rFonts w:ascii="Sakkal Majalla" w:hAnsi="Sakkal Majalla" w:cs="Sakkal Majalla"/>
          <w:color w:val="000000" w:themeColor="text1"/>
          <w:sz w:val="28"/>
          <w:szCs w:val="28"/>
        </w:rPr>
        <w:t>:</w:t>
      </w:r>
    </w:p>
    <w:p w14:paraId="5D1B232E" w14:textId="77777777" w:rsidR="00760000" w:rsidRPr="003340FD" w:rsidRDefault="00760000" w:rsidP="00E81F00">
      <w:pPr>
        <w:numPr>
          <w:ilvl w:val="0"/>
          <w:numId w:val="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نقص الكفاءات التقنية المؤهلة لإدارة التحول وتنفيذ الأنظمة الرقمية</w:t>
      </w:r>
      <w:r w:rsidRPr="003340FD">
        <w:rPr>
          <w:rFonts w:ascii="Sakkal Majalla" w:hAnsi="Sakkal Majalla" w:cs="Sakkal Majalla"/>
          <w:color w:val="000000" w:themeColor="text1"/>
          <w:sz w:val="28"/>
          <w:szCs w:val="28"/>
        </w:rPr>
        <w:t>.</w:t>
      </w:r>
    </w:p>
    <w:p w14:paraId="75218309" w14:textId="77777777" w:rsidR="00760000" w:rsidRPr="003340FD" w:rsidRDefault="00760000" w:rsidP="00E81F00">
      <w:pPr>
        <w:numPr>
          <w:ilvl w:val="0"/>
          <w:numId w:val="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محدودية الميزانيات المخصصة للتحول الرقمي في المؤسسات الصغيرة والمتوسطة</w:t>
      </w:r>
      <w:r w:rsidRPr="003340FD">
        <w:rPr>
          <w:rFonts w:ascii="Sakkal Majalla" w:hAnsi="Sakkal Majalla" w:cs="Sakkal Majalla"/>
          <w:color w:val="000000" w:themeColor="text1"/>
          <w:sz w:val="28"/>
          <w:szCs w:val="28"/>
        </w:rPr>
        <w:t>.</w:t>
      </w:r>
    </w:p>
    <w:p w14:paraId="21ACDC9E" w14:textId="77777777" w:rsidR="00760000" w:rsidRPr="003340FD" w:rsidRDefault="00760000" w:rsidP="00E81F00">
      <w:pPr>
        <w:numPr>
          <w:ilvl w:val="0"/>
          <w:numId w:val="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ضعف الثقافة الرقمية لدى بعض الإدارات والموظفين، مما يؤدي إلى مقاومة التغيير</w:t>
      </w:r>
      <w:r w:rsidRPr="003340FD">
        <w:rPr>
          <w:rFonts w:ascii="Sakkal Majalla" w:hAnsi="Sakkal Majalla" w:cs="Sakkal Majalla"/>
          <w:color w:val="000000" w:themeColor="text1"/>
          <w:sz w:val="28"/>
          <w:szCs w:val="28"/>
        </w:rPr>
        <w:t>.</w:t>
      </w:r>
    </w:p>
    <w:p w14:paraId="7F98660C" w14:textId="77777777" w:rsidR="00760000" w:rsidRPr="003340FD" w:rsidRDefault="00760000" w:rsidP="00E81F00">
      <w:pPr>
        <w:numPr>
          <w:ilvl w:val="0"/>
          <w:numId w:val="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المخاوف الأمنية وحماية البيانات، وهي من أبرز التحديات التي تواجه المؤسسات في ظل تنامي التهديدات السيبرانية</w:t>
      </w:r>
      <w:r w:rsidRPr="003340FD">
        <w:rPr>
          <w:rFonts w:ascii="Sakkal Majalla" w:hAnsi="Sakkal Majalla" w:cs="Sakkal Majalla"/>
          <w:color w:val="000000" w:themeColor="text1"/>
          <w:sz w:val="28"/>
          <w:szCs w:val="28"/>
        </w:rPr>
        <w:t>.</w:t>
      </w:r>
    </w:p>
    <w:p w14:paraId="478390A4" w14:textId="1FE2C259"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 xml:space="preserve">5.1.2 </w:t>
      </w:r>
      <w:r w:rsidR="00760000" w:rsidRPr="003340FD">
        <w:rPr>
          <w:rFonts w:ascii="Sakkal Majalla" w:hAnsi="Sakkal Majalla" w:cs="Sakkal Majalla"/>
          <w:b/>
          <w:bCs/>
          <w:color w:val="000000" w:themeColor="text1"/>
          <w:sz w:val="32"/>
          <w:szCs w:val="32"/>
          <w:rtl/>
        </w:rPr>
        <w:t>العلاقة بين العوائق والتحديات وتحقيق النمو في قطاع التجزئة</w:t>
      </w:r>
    </w:p>
    <w:p w14:paraId="1D50B57A"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تتسم العلاقة بين العوائق والتحديات من جهة، وتطور قطاع التجزئة من جهة أخرى، بطبيعة معقدة تتداخل فيها الأبعاد الإدارية والاقتصادية والتقنية في إطار بيئة اقتصادية متغيرة وسوقية متنافسة. فكل نوع من العوائق ينعكس على كفاءة الأداء المؤسسي، وعلى قدرة القطاع على النمو والاستدامة. وتُظهر الأدبيات الإدارية والاقتصادية أن تجاوز هذه التحديات لا يتحقق إلا من خلال مقاربة شمولية تتعامل مع العوائق بوصفها فرصًا للتطوير والتحسين، وليس مجرد مشكلات يجب احتواؤها مؤقتًا</w:t>
      </w:r>
      <w:r w:rsidRPr="003340FD">
        <w:rPr>
          <w:rFonts w:ascii="Sakkal Majalla" w:hAnsi="Sakkal Majalla" w:cs="Sakkal Majalla"/>
          <w:color w:val="000000" w:themeColor="text1"/>
          <w:sz w:val="28"/>
          <w:szCs w:val="28"/>
        </w:rPr>
        <w:t xml:space="preserve"> (Alt et al., 2025</w:t>
      </w:r>
      <w:r w:rsidRPr="003340FD">
        <w:rPr>
          <w:rFonts w:ascii="Sakkal Majalla" w:hAnsi="Sakkal Majalla" w:cs="Sakkal Majalla"/>
          <w:color w:val="000000" w:themeColor="text1"/>
          <w:sz w:val="28"/>
          <w:szCs w:val="28"/>
          <w:rtl/>
        </w:rPr>
        <w:t>؛</w:t>
      </w:r>
      <w:r w:rsidRPr="003340FD">
        <w:rPr>
          <w:rFonts w:ascii="Sakkal Majalla" w:hAnsi="Sakkal Majalla" w:cs="Sakkal Majalla"/>
          <w:color w:val="000000" w:themeColor="text1"/>
          <w:sz w:val="28"/>
          <w:szCs w:val="28"/>
        </w:rPr>
        <w:t xml:space="preserve"> Butt et al., 2024).</w:t>
      </w:r>
    </w:p>
    <w:p w14:paraId="3C4ED141"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من الناحية الإدارية والتنظيمية، تؤدي العوائق إلى إضعاف التفاعل بين المستويات الإدارية، وتباطؤ عملية اتخاذ القرار، وهو ما يُعدّ من أبرز معوقات التطور المؤسسي. فعندما تفتقر المؤسسات إلى هياكل تنظيمية مرنة وأنظمة رقابية فعالة، تصبح غير قادرة على التكيّف مع المتغيرات السوقية أو التكنولوجية. وقد أكد التميمي واللافي (2020) أن المؤسسات التي تعتمد نماذج القيادة الرؤيوية وتُشرك موظفيها في صنع القرار أكثر قدرة على مواجهة هذه التحديات وتحويلها إلى محفزات للنمو التنظيمي، مما يعزز قدرتها على التطور في بيئة تنافسية مثل التجزئة</w:t>
      </w:r>
      <w:r w:rsidRPr="003340FD">
        <w:rPr>
          <w:rFonts w:ascii="Sakkal Majalla" w:hAnsi="Sakkal Majalla" w:cs="Sakkal Majalla"/>
          <w:color w:val="000000" w:themeColor="text1"/>
          <w:sz w:val="28"/>
          <w:szCs w:val="28"/>
        </w:rPr>
        <w:t>.</w:t>
      </w:r>
    </w:p>
    <w:p w14:paraId="36BE6C7A"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أما على المستوى الاقتصادي والتمويلي، فإن العوائق المرتبطة بنقص التمويل أو ضعف السيولة تؤدي إلى بطء في تنفيذ الخطط التوسعية وتراجع الاستثمارات في الابتكار والتكنولوجيا. فالمؤسسات التي تعاني من شح الموارد غالبًا ما تلجأ إلى خفض التكاليف التشغيلية على حساب الجودة أو التطوير، ما ينعكس سلبًا على رضا العملاء وتكرار التعامل معهم. وقد بيّن الزعبي والحنيطي (2021) أن التمويل بالتجزئة في المؤسسات المالية يمكن أن يساهم في دعم قطاعات البيع بالتجزئة إذا ما تم توجيهه ضمن أطر استدامة مالية توازن بين الربحية والمسؤولية الاجتماعية</w:t>
      </w:r>
      <w:r w:rsidRPr="003340FD">
        <w:rPr>
          <w:rFonts w:ascii="Sakkal Majalla" w:hAnsi="Sakkal Majalla" w:cs="Sakkal Majalla"/>
          <w:color w:val="000000" w:themeColor="text1"/>
          <w:sz w:val="28"/>
          <w:szCs w:val="28"/>
        </w:rPr>
        <w:t>.</w:t>
      </w:r>
    </w:p>
    <w:p w14:paraId="42545132"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وفي المقابل، فإن العوائق التقنية والتحول الرقمي تمثل جانبًا مزدوج التأثير، إذ يمكن أن تكون مصدرًا للنمو إذا أُديرت بفعالية، أو عاملًا معرقلًا إذا أُهملت. فتبني الحلول الرقمية المتقدمة كتحليل البيانات والتجارة الإلكترونية يسهم في تحسين الكفاءة التشغيلية وتوسيع قاعدة العملاء. لكن غياب المهارات التقنية أو ضعف الاستثمارات الرقمية يجعل هذه الإمكانات غير مستغلة، مما يؤدي إلى فجوة تنافسية بين الشركات المحلية ونظيراتها العالمية</w:t>
      </w:r>
      <w:r w:rsidRPr="003340FD">
        <w:rPr>
          <w:rFonts w:ascii="Sakkal Majalla" w:hAnsi="Sakkal Majalla" w:cs="Sakkal Majalla"/>
          <w:color w:val="000000" w:themeColor="text1"/>
          <w:sz w:val="28"/>
          <w:szCs w:val="28"/>
        </w:rPr>
        <w:t xml:space="preserve"> (Kaur et al., 2022</w:t>
      </w:r>
      <w:r w:rsidRPr="003340FD">
        <w:rPr>
          <w:rFonts w:ascii="Sakkal Majalla" w:hAnsi="Sakkal Majalla" w:cs="Sakkal Majalla"/>
          <w:color w:val="000000" w:themeColor="text1"/>
          <w:sz w:val="28"/>
          <w:szCs w:val="28"/>
          <w:rtl/>
        </w:rPr>
        <w:t>؛</w:t>
      </w:r>
      <w:r w:rsidRPr="003340FD">
        <w:rPr>
          <w:rFonts w:ascii="Sakkal Majalla" w:hAnsi="Sakkal Majalla" w:cs="Sakkal Majalla"/>
          <w:color w:val="000000" w:themeColor="text1"/>
          <w:sz w:val="28"/>
          <w:szCs w:val="28"/>
        </w:rPr>
        <w:t xml:space="preserve"> Kang et al., 2023).</w:t>
      </w:r>
    </w:p>
    <w:p w14:paraId="37BBD2F1"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من منظور الاقتصاد الكلي، فإن العلاقة بين العوائق والنمو في قطاع التجزئة ترتبط كذلك بقدرة البيئة الاقتصادية على توفير مناخ استثماري محفز، يوازن بين المنافسة العادلة وحماية المنشآت الصغيرة والمتوسطة. فوجود سياسات اقتصادية مرنة وتشريعات داعمة للاستثمار والابتكار يُعدّ من أهم العوامل التي تساعد المؤسسات على تخطي العوائق البنيوية وتحقيق النمو المستدام. وقد أوضح</w:t>
      </w:r>
      <w:r w:rsidRPr="003340FD">
        <w:rPr>
          <w:rFonts w:ascii="Sakkal Majalla" w:hAnsi="Sakkal Majalla" w:cs="Sakkal Majalla"/>
          <w:color w:val="000000" w:themeColor="text1"/>
          <w:sz w:val="28"/>
          <w:szCs w:val="28"/>
        </w:rPr>
        <w:t xml:space="preserve"> Hossain (2025) </w:t>
      </w:r>
      <w:r w:rsidRPr="003340FD">
        <w:rPr>
          <w:rFonts w:ascii="Sakkal Majalla" w:hAnsi="Sakkal Majalla" w:cs="Sakkal Majalla"/>
          <w:color w:val="000000" w:themeColor="text1"/>
          <w:sz w:val="28"/>
          <w:szCs w:val="28"/>
          <w:rtl/>
        </w:rPr>
        <w:t>أن تطوير منظومة الخدمات اللوجستية وإدارة سلاسل الإمداد يُعدّ من بين الركائز الأساسية لتجاوز القيود الاقتصادية وتحقيق كفاءة في الموارد تعزز من مساهمة قطاع التجزئة في تحقيق أهداف التنمية المستدامة</w:t>
      </w:r>
      <w:r w:rsidRPr="003340FD">
        <w:rPr>
          <w:rFonts w:ascii="Sakkal Majalla" w:hAnsi="Sakkal Majalla" w:cs="Sakkal Majalla"/>
          <w:color w:val="000000" w:themeColor="text1"/>
          <w:sz w:val="28"/>
          <w:szCs w:val="28"/>
        </w:rPr>
        <w:t>.</w:t>
      </w:r>
    </w:p>
    <w:p w14:paraId="3B9830FB"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تؤكد الأدبيات أيضًا أن التفاعل بين الأبعاد الثلاثة للعوائق (الإدارية، الاقتصادية، التقنية) يولّد أثرًا تراكميًا على الأداء المؤسسي. فالمؤسسة التي تواجه ضعفًا إداريًا ستجد صعوبة في إدارة الموارد المالية بفعالية، وستتعثر في تبني التقنيات الحديثة حتى وإن توفرت الإمكانات. ومن هنا تأتي أهمية التكامل بين هذه الأبعاد في أي استراتيجية تطويرية تستهدف النمو والتحول نحو الاستدامة. فالنجاح في التغلب على العوائق يتطلب بناء منظومة مؤسسية متكاملة قادرة على إدارة التغيير وإعادة توجيه الموارد نحو الابتكار والتحسين المستمر (إسماعيل، 2021؛ آل عوض، 2021)</w:t>
      </w:r>
      <w:r w:rsidRPr="003340FD">
        <w:rPr>
          <w:rFonts w:ascii="Sakkal Majalla" w:hAnsi="Sakkal Majalla" w:cs="Sakkal Majalla"/>
          <w:color w:val="000000" w:themeColor="text1"/>
          <w:sz w:val="28"/>
          <w:szCs w:val="28"/>
        </w:rPr>
        <w:t>.</w:t>
      </w:r>
    </w:p>
    <w:p w14:paraId="589BE752" w14:textId="25E9D6E0"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وفي السياق السعودي، تتضح العلاقة بين العوائق والتطور في قطاع التجزئة من خلال التحولات التي يشهدها الاقتصاد الوطني في ظل رؤية المملكة 2030</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 xml:space="preserve">إذ تسعى الحكومة إلى رفع مساهمة قطاع التجزئة في الناتج المحلي الإجمالي عبر دعم التحول الرقمي وتمكين الكفاءات الوطنية وتوسيع نطاق الاستثمار. ومع ذلك، ما تزال بعض المؤسسات تعاني من بطء في التكيف مع هذه التحولات نتيجة القيود التنظيمية أو ضعف المرونة الإدارية. </w:t>
      </w:r>
    </w:p>
    <w:p w14:paraId="30883BA1" w14:textId="3CAAA5CA" w:rsidR="00E81F00" w:rsidRPr="003340FD" w:rsidRDefault="00E81F00" w:rsidP="00E81F0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3340FD">
        <w:rPr>
          <w:rFonts w:ascii="Sakkal Majalla" w:hAnsi="Sakkal Majalla" w:cs="Sakkal Majalla" w:hint="cs"/>
          <w:b/>
          <w:bCs/>
          <w:color w:val="000000" w:themeColor="text1"/>
          <w:sz w:val="36"/>
          <w:szCs w:val="36"/>
          <w:rtl/>
        </w:rPr>
        <w:lastRenderedPageBreak/>
        <w:t xml:space="preserve">المبحث الثاني: </w:t>
      </w:r>
      <w:r w:rsidRPr="003340FD">
        <w:rPr>
          <w:rFonts w:ascii="Sakkal Majalla" w:hAnsi="Sakkal Majalla" w:cs="Sakkal Majalla"/>
          <w:b/>
          <w:bCs/>
          <w:color w:val="000000" w:themeColor="text1"/>
          <w:sz w:val="36"/>
          <w:szCs w:val="36"/>
          <w:rtl/>
        </w:rPr>
        <w:t>قطاع التجزئة وأهميته الاقتصادية</w:t>
      </w:r>
    </w:p>
    <w:p w14:paraId="4BB7DB90" w14:textId="2BC9EFE1"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1.1.2</w:t>
      </w:r>
      <w:r w:rsidR="00760000" w:rsidRPr="003340FD">
        <w:rPr>
          <w:rFonts w:ascii="Sakkal Majalla" w:hAnsi="Sakkal Majalla" w:cs="Sakkal Majalla"/>
          <w:b/>
          <w:bCs/>
          <w:color w:val="000000" w:themeColor="text1"/>
          <w:sz w:val="32"/>
          <w:szCs w:val="32"/>
          <w:rtl/>
        </w:rPr>
        <w:t xml:space="preserve"> مفهوم تطور قطاع التجزئة وأهميته الاقتصادية</w:t>
      </w:r>
    </w:p>
    <w:p w14:paraId="019BCA18" w14:textId="77777777" w:rsidR="00E81F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3340FD">
        <w:rPr>
          <w:rFonts w:ascii="Sakkal Majalla" w:hAnsi="Sakkal Majalla" w:cs="Sakkal Majalla" w:hint="cs"/>
          <w:color w:val="000000" w:themeColor="text1"/>
          <w:sz w:val="28"/>
          <w:szCs w:val="28"/>
          <w:rtl/>
          <w:lang w:bidi="ar-EG"/>
        </w:rPr>
        <w:t>يُعدّ قطاع التجزئة من أهم القطاعات الاقتصادية في العالم، إذ يمثل حلقة الوصل بين المنتج والمستهلك، ويعكس ديناميكية النشاط الاقتصادي ومستوى التقدم الحضاري للمجتمعات. فهو لا يُسهم فقط في تحريك عجلة الاقتصاد من خلال زيادة معدلات الاستهلاك وتوليد فرص العمل، بل يُعد أيضًا أحد المؤشرات الرئيسة لقياس النمو الاقتصادي ومستوى التنافسية في الأسواق المحلية والعالمية</w:t>
      </w:r>
      <w:r w:rsidR="00E81F00" w:rsidRPr="003340FD">
        <w:rPr>
          <w:rFonts w:ascii="Sakkal Majalla" w:hAnsi="Sakkal Majalla" w:cs="Sakkal Majalla" w:hint="cs"/>
          <w:color w:val="000000" w:themeColor="text1"/>
          <w:sz w:val="28"/>
          <w:szCs w:val="28"/>
          <w:lang w:bidi="ar-EG"/>
        </w:rPr>
        <w:t xml:space="preserve"> (Butt et al., 2024).</w:t>
      </w:r>
    </w:p>
    <w:p w14:paraId="676F0145" w14:textId="50A4A427" w:rsidR="00760000" w:rsidRPr="003340FD" w:rsidRDefault="00760000" w:rsidP="00E81F00">
      <w:pPr>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3340FD">
        <w:rPr>
          <w:rFonts w:ascii="Sakkal Majalla" w:hAnsi="Sakkal Majalla" w:cs="Sakkal Majalla" w:hint="cs"/>
          <w:color w:val="000000" w:themeColor="text1"/>
          <w:sz w:val="28"/>
          <w:szCs w:val="28"/>
          <w:rtl/>
          <w:lang w:bidi="ar-EG"/>
        </w:rPr>
        <w:t>ويشير</w:t>
      </w:r>
      <w:r w:rsidRPr="003340FD">
        <w:rPr>
          <w:rFonts w:ascii="Sakkal Majalla" w:hAnsi="Sakkal Majalla" w:cs="Sakkal Majalla" w:hint="cs"/>
          <w:color w:val="000000" w:themeColor="text1"/>
          <w:sz w:val="28"/>
          <w:szCs w:val="28"/>
          <w:lang w:bidi="ar-EG"/>
        </w:rPr>
        <w:t xml:space="preserve"> Alt et al. (2025) </w:t>
      </w:r>
      <w:r w:rsidRPr="003340FD">
        <w:rPr>
          <w:rFonts w:ascii="Sakkal Majalla" w:hAnsi="Sakkal Majalla" w:cs="Sakkal Majalla" w:hint="cs"/>
          <w:color w:val="000000" w:themeColor="text1"/>
          <w:sz w:val="28"/>
          <w:szCs w:val="28"/>
          <w:rtl/>
          <w:lang w:bidi="ar-EG"/>
        </w:rPr>
        <w:t>إلى أن تطور قطاع التجزئة يُقاس بمدى قدرته على التكيف مع المتغيرات السوقية والتكنولوجية، وتنويع قنوات التوزيع، وتحقيق التوازن بين الكفاءة التشغيلية وجودة الخدمة المقدمة للمستهلك</w:t>
      </w:r>
      <w:r w:rsidRPr="003340FD">
        <w:rPr>
          <w:rFonts w:ascii="Sakkal Majalla" w:hAnsi="Sakkal Majalla" w:cs="Sakkal Majalla" w:hint="cs"/>
          <w:color w:val="000000" w:themeColor="text1"/>
          <w:sz w:val="28"/>
          <w:szCs w:val="28"/>
          <w:lang w:bidi="ar-EG"/>
        </w:rPr>
        <w:t>.</w:t>
      </w:r>
    </w:p>
    <w:p w14:paraId="2890ABBB" w14:textId="0313B3EA"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 xml:space="preserve">في السياق السعودي، يُعتبر قطاع التجزئة أحد المحركات الاستراتيجية لتنويع الاقتصاد الوطني وتقليل الاعتماد على النفط، وهو ما جعل تطويره أحد مستهدفات رؤية المملكة 2030، </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حيث تسعى الرؤية إلى رفع مساهمة هذا القطاع في الناتج المحلي الإجمالي إلى ما يفوق 20% بحلول عام 2030، عبر تعزيز بيئة الاستثمار، وتوسيع قاعدة الشركات الصغيرة والمتوسطة، وتحفيز التحول نحو التجارة الإلكترونية والرقمنة (وزارة الاقتصاد والتخطيط، 2023)</w:t>
      </w:r>
      <w:r w:rsidRPr="003340FD">
        <w:rPr>
          <w:rFonts w:ascii="Sakkal Majalla" w:hAnsi="Sakkal Majalla" w:cs="Sakkal Majalla"/>
          <w:color w:val="000000" w:themeColor="text1"/>
          <w:sz w:val="28"/>
          <w:szCs w:val="28"/>
        </w:rPr>
        <w:t>.</w:t>
      </w:r>
    </w:p>
    <w:p w14:paraId="5118DB7B" w14:textId="75D38F03"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ويتميز قطاع التجزئة في المملكة بتنوعه الكبير من حيث الحجم والنطاق والأنشطة، إذ يضم متاجر تقليدية وأخرى رقمية وشركات كبرى تعمل وفق نماذج عالمية، إلى جانب آلاف المؤسسات الصغيرة والمتوسطة التي تشكل العمود الفقري لهذا القطاع. ومع ذلك، فإن التطور لا يُقاس فقط بالنمو الكمي أو في عدد المتاجر والمبيعات، بل في مدى تحول هذا القطاع إلى منظومة متكاملة قائمة على الكفاءة، والابتكار، والاستدامة (إسماعيل، 2021) .</w:t>
      </w:r>
    </w:p>
    <w:p w14:paraId="41A8E084"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ويُشير الخزرجي والشمري (2024) إلى أن تطور قطاع التجزئة لا يتحقق بمعزل عن البيئة الاقتصادية والتنظيمية المحيطة، بل يتطلب تكامل السياسات الاقتصادية والتمويلية والتقنية. فالمؤسسات القادرة على استيعاب التحولات التكنولوجية وإعادة هيكلة عملياتها وفق النظم الرقمية الحديثة، هي الأكثر قدرة على المنافسة والنمو المستدام. كما أن التطور المؤسسي في هذا القطاع أصبح يعتمد على البيانات والتحليلات التنبؤية كأساس لاتخاذ القرارات، بدلاً من الأساليب التقليدية التي تعتمد على الحدس أو التجربة</w:t>
      </w:r>
      <w:r w:rsidRPr="003340FD">
        <w:rPr>
          <w:rFonts w:ascii="Sakkal Majalla" w:hAnsi="Sakkal Majalla" w:cs="Sakkal Majalla"/>
          <w:color w:val="000000" w:themeColor="text1"/>
          <w:sz w:val="28"/>
          <w:szCs w:val="28"/>
        </w:rPr>
        <w:t>.</w:t>
      </w:r>
    </w:p>
    <w:p w14:paraId="06B9F1D6" w14:textId="31312C80"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وفي ضوء التحولات العالمية، أصبح قطاع التجزئة أحد المجالات الأكثر تأثرًا بثورة المعلومات والاتصالات، حيث أدى انتشار التجارة الإلكترونية إلى إعادة تشكيل خريطة السوق، وجعل من الابتكار في تجربة العميل والتكامل اللوجستي عوامل أساسية للتميز، وتظهر التجارب الدولية أن المؤسسات التي تبنت التحول الرقمي في وقت مبكر، تمكنت من تحقيق معدلات نمو تفوق نظيراتها التقليدية، فضلاً عن تحسين استدامتها البيئية من خلال تقليل الهدر في الموارد</w:t>
      </w:r>
      <w:r w:rsidRPr="003340FD">
        <w:rPr>
          <w:rFonts w:ascii="Sakkal Majalla" w:hAnsi="Sakkal Majalla" w:cs="Sakkal Majalla"/>
          <w:color w:val="000000" w:themeColor="text1"/>
          <w:sz w:val="28"/>
          <w:szCs w:val="28"/>
        </w:rPr>
        <w:t xml:space="preserve"> (Kaur et al., 2022).</w:t>
      </w:r>
    </w:p>
    <w:p w14:paraId="7E11B98C" w14:textId="2E49511A"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وبناءً على ذلك، فإن تطور قطاع التجزئة السعودي يُعدّ مؤشرًا على كفاءة النظام الاقتصادي ككل، إذ يجمع بين النمو في الاستثمار المحلي، وتطوير رأس المال البشري، وتعزيز القدرات التقنية،  كما أن دوره في تحقيق التوازن بين العرض والطلب يجعله أحد أهم الركائز في استقرار الاقتصاد الوطني وتنمية المجتمع، خصوصًا في ظل التوجه نحو بناء اقتصاد قائم على المعرفة والتقنية</w:t>
      </w:r>
      <w:r w:rsidRPr="003340FD">
        <w:rPr>
          <w:rFonts w:ascii="Sakkal Majalla" w:hAnsi="Sakkal Majalla" w:cs="Sakkal Majalla"/>
          <w:color w:val="000000" w:themeColor="text1"/>
          <w:sz w:val="28"/>
          <w:szCs w:val="28"/>
        </w:rPr>
        <w:t>.</w:t>
      </w:r>
    </w:p>
    <w:p w14:paraId="09082161" w14:textId="142ABF53"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2.1.2</w:t>
      </w:r>
      <w:r w:rsidR="00760000" w:rsidRPr="003340FD">
        <w:rPr>
          <w:rFonts w:ascii="Sakkal Majalla" w:hAnsi="Sakkal Majalla" w:cs="Sakkal Majalla"/>
          <w:b/>
          <w:bCs/>
          <w:color w:val="000000" w:themeColor="text1"/>
          <w:sz w:val="32"/>
          <w:szCs w:val="32"/>
          <w:rtl/>
        </w:rPr>
        <w:t xml:space="preserve"> التحولات الاستراتيجية في قطاع التجزئة السعودي</w:t>
      </w:r>
    </w:p>
    <w:p w14:paraId="17F540E9" w14:textId="04747E4C"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 xml:space="preserve">شهد قطاع التجزئة السعودي خلال السنوات الأخيرة تحولات جذرية مدفوعة بعوامل اقتصادية وتنظيمية وتقنية، تماشياً مع برامج التحول الوطني ورؤية المملكة 2030، هذه التحولات لم تقتصر على تغيير في الهياكل التشغيلية، بل شملت إعادة صياغة المفهوم الاستراتيجي للتجزئة من نشاط تجاري تقليدي إلى منظومة متكاملة ترتكز على التحول الرقمي، وتمكين الكفاءات الوطنية، وتبني ممارسات الاستدامة </w:t>
      </w:r>
      <w:r w:rsidR="00E81F00" w:rsidRPr="003340FD">
        <w:rPr>
          <w:rFonts w:ascii="Sakkal Majalla" w:hAnsi="Sakkal Majalla" w:cs="Sakkal Majalla" w:hint="cs"/>
          <w:color w:val="000000" w:themeColor="text1"/>
          <w:sz w:val="28"/>
          <w:szCs w:val="28"/>
          <w:rtl/>
        </w:rPr>
        <w:t>(</w:t>
      </w:r>
      <w:r w:rsidRPr="003340FD">
        <w:rPr>
          <w:rFonts w:ascii="Sakkal Majalla" w:hAnsi="Sakkal Majalla" w:cs="Sakkal Majalla"/>
          <w:color w:val="000000" w:themeColor="text1"/>
          <w:sz w:val="28"/>
          <w:szCs w:val="28"/>
          <w:rtl/>
        </w:rPr>
        <w:t>وزارة التجارة، 2022</w:t>
      </w:r>
      <w:r w:rsidR="00E81F00" w:rsidRPr="003340FD">
        <w:rPr>
          <w:rFonts w:ascii="Sakkal Majalla" w:hAnsi="Sakkal Majalla" w:cs="Sakkal Majalla" w:hint="cs"/>
          <w:color w:val="000000" w:themeColor="text1"/>
          <w:sz w:val="28"/>
          <w:szCs w:val="28"/>
          <w:rtl/>
        </w:rPr>
        <w:t>)</w:t>
      </w:r>
      <w:r w:rsidRPr="003340FD">
        <w:rPr>
          <w:rFonts w:ascii="Sakkal Majalla" w:hAnsi="Sakkal Majalla" w:cs="Sakkal Majalla"/>
          <w:color w:val="000000" w:themeColor="text1"/>
          <w:sz w:val="28"/>
          <w:szCs w:val="28"/>
        </w:rPr>
        <w:t>.</w:t>
      </w:r>
    </w:p>
    <w:p w14:paraId="36C7E6BD" w14:textId="7973EF2B"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أول هذه التحولات يتمثل في الرقمنة الشاملة، حيث تسارعت وتيرة التجارة الإلكترونية بعد جائحة كوفيد-19، مما دفع المؤسسات إلى اعتماد أنظمة رقمية لإدارة عمليات البيع والتوزيع والتسويق. وقد ساهمت مبادرات حكومية مثل "متاجر إلكترونية سعودية" و"سجلّ تجاري إلكتروني" في تسهيل التحول نحو المنصات الرقمية، ورفع مستوى الثقة في المعاملات الإلكترونية (الزهراني، 2021)</w:t>
      </w:r>
      <w:r w:rsidR="00E81F00"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كما أطلقت الهيئة العامة للمنشآت الصغيرة والمتوسطة (منشآت) برامج لتأهيل أصحاب المتاجر التقليدية للتحول إلى قنوات البيع الإلكترونية، مما عزز قدرة القطاع على مواكبة الاتجاهات العالمية</w:t>
      </w:r>
      <w:r w:rsidRPr="003340FD">
        <w:rPr>
          <w:rFonts w:ascii="Sakkal Majalla" w:hAnsi="Sakkal Majalla" w:cs="Sakkal Majalla"/>
          <w:color w:val="000000" w:themeColor="text1"/>
          <w:sz w:val="28"/>
          <w:szCs w:val="28"/>
        </w:rPr>
        <w:t>.</w:t>
      </w:r>
    </w:p>
    <w:p w14:paraId="2DEBAE10"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أما التحول الثاني فيتمثل في تحسين البيئة التنظيمية والتنافسية، من خلال سنّ تشريعات جديدة تسهّل دخول المستثمرين، وتحفّز الشفافية في العمليات التجارية، وتحدّ من الممارسات الاحتكارية. وقد مكّنت هذه التشريعات الشركات المحلية من بناء شراكات مع علامات تجارية عالمية، ما ساهم في نقل الخبرات الإدارية والتقنية وتعزيز جودة الخدمة (التميمي واللافي، 2020)</w:t>
      </w:r>
      <w:r w:rsidRPr="003340FD">
        <w:rPr>
          <w:rFonts w:ascii="Sakkal Majalla" w:hAnsi="Sakkal Majalla" w:cs="Sakkal Majalla"/>
          <w:color w:val="000000" w:themeColor="text1"/>
          <w:sz w:val="28"/>
          <w:szCs w:val="28"/>
        </w:rPr>
        <w:t>.</w:t>
      </w:r>
    </w:p>
    <w:p w14:paraId="458167A4"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أما التحول الثالث فهو تمكين رأس المال البشري في القطاع، إذ تم تبنّي برامج توطين وتدريب تستهدف رفع مهارات العاملين في التجزئة، وتحويلهم من مجرد منفذين إلى كوادر قادرة على إدارة التغيير والابتكار. فالاستثمار في العنصر البشري أصبح من الركائز الأساسية لتطور القطاع، خاصة في المجالات المرتبطة بالتحليل الرقمي وإدارة البيانات وسلوك المستهلك (الرشادة وآخرون، 2022)</w:t>
      </w:r>
      <w:r w:rsidRPr="003340FD">
        <w:rPr>
          <w:rFonts w:ascii="Sakkal Majalla" w:hAnsi="Sakkal Majalla" w:cs="Sakkal Majalla"/>
          <w:color w:val="000000" w:themeColor="text1"/>
          <w:sz w:val="28"/>
          <w:szCs w:val="28"/>
        </w:rPr>
        <w:t>.</w:t>
      </w:r>
    </w:p>
    <w:p w14:paraId="1071D187"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التحول الرابع يرتبط بـ الابتكار في تجربة العميل، حيث أصبح التفاعل مع المستهلكين يعتمد على تقنيات الذكاء الاصطناعي والتحليل التنبؤي لتخصيص الخدمات وتحسين تجربة الشراء. فالمؤسسات التي استطاعت بناء تجربة عميل رقمية متكاملة زادت قدرتها على الاحتفاظ بالعملاء ورفع مستوى الرضا، ما انعكس على استدامة أرباحها ومكانتها السوقية</w:t>
      </w:r>
      <w:r w:rsidRPr="003340FD">
        <w:rPr>
          <w:rFonts w:ascii="Sakkal Majalla" w:hAnsi="Sakkal Majalla" w:cs="Sakkal Majalla"/>
          <w:color w:val="000000" w:themeColor="text1"/>
          <w:sz w:val="28"/>
          <w:szCs w:val="28"/>
        </w:rPr>
        <w:t xml:space="preserve"> (Kang et al., 2023).</w:t>
      </w:r>
    </w:p>
    <w:p w14:paraId="797FDE70" w14:textId="56D31495"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كل هذه التحولات جعلت من قطاع التجزئة السعودي نموذجًا في التحديث والتكامل بين الإصلاح الإداري والابتكار التقني،  إلا أن هذا التطور لا يخلو من تحديات تتعلق بسرعة التغير، وتفاوت جاهزية المؤسسات الصغيرة مقارنة بالكبيرة، إضافة إلى الحاجة إلى تكامل الجهود بين القطاعين العام والخاص لضمان نمو متوازن ومستدام</w:t>
      </w:r>
      <w:r w:rsidRPr="003340FD">
        <w:rPr>
          <w:rFonts w:ascii="Sakkal Majalla" w:hAnsi="Sakkal Majalla" w:cs="Sakkal Majalla"/>
          <w:color w:val="000000" w:themeColor="text1"/>
          <w:sz w:val="28"/>
          <w:szCs w:val="28"/>
        </w:rPr>
        <w:t>.</w:t>
      </w:r>
    </w:p>
    <w:p w14:paraId="7198100F" w14:textId="49E8B87F"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lastRenderedPageBreak/>
        <w:t>3.1.2</w:t>
      </w:r>
      <w:r w:rsidR="00760000" w:rsidRPr="003340FD">
        <w:rPr>
          <w:rFonts w:ascii="Sakkal Majalla" w:hAnsi="Sakkal Majalla" w:cs="Sakkal Majalla"/>
          <w:b/>
          <w:bCs/>
          <w:color w:val="000000" w:themeColor="text1"/>
          <w:sz w:val="32"/>
          <w:szCs w:val="32"/>
          <w:rtl/>
        </w:rPr>
        <w:t xml:space="preserve"> العلاقة بين تطور قطاع التجزئة والاستدامة الاقتصادية</w:t>
      </w:r>
    </w:p>
    <w:p w14:paraId="71ACF0A1" w14:textId="480EDA4D"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يُعد تطور قطاع التجزئة أحد المحركات الأساسية لتحقيق الاستدامة الاقتصادية، إذ يسهم في تنويع مصادر الدخل، وتوليد فرص العمل، وتحفيز الابتكار في أساليب الإنتاج والاستهلاك. فالتجزئة ليست مجرد نشاط تجاري محدود، بل تمثل منظومة اقتصادية متكاملة تشمل الإنتاج، والتوزيع، والخدمات اللوجستية، والتسويق، والتجارة الإلكترونية،  وتؤكد الدراسات الحديثة أن العلاقة بين تطور هذا القطاع والاستدامة الاقتصادية علاقة تبادلية؛ فكلما ارتفع مستوى التنظيم والكفاءة في قطاع التجزئة، ازدادت مساهمته في تحقيق التنمية المستدامة، والعكس صحيح</w:t>
      </w:r>
      <w:r w:rsidRPr="003340FD">
        <w:rPr>
          <w:rFonts w:ascii="Sakkal Majalla" w:hAnsi="Sakkal Majalla" w:cs="Sakkal Majalla"/>
          <w:color w:val="000000" w:themeColor="text1"/>
          <w:sz w:val="28"/>
          <w:szCs w:val="28"/>
        </w:rPr>
        <w:t xml:space="preserve"> (Alt et al., 2025).</w:t>
      </w:r>
    </w:p>
    <w:p w14:paraId="129840F5" w14:textId="1D1D3B2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يرى</w:t>
      </w:r>
      <w:r w:rsidRPr="003340FD">
        <w:rPr>
          <w:rFonts w:ascii="Sakkal Majalla" w:hAnsi="Sakkal Majalla" w:cs="Sakkal Majalla"/>
          <w:color w:val="000000" w:themeColor="text1"/>
          <w:sz w:val="28"/>
          <w:szCs w:val="28"/>
        </w:rPr>
        <w:t xml:space="preserve"> Butt et al. (2024) </w:t>
      </w:r>
      <w:r w:rsidRPr="003340FD">
        <w:rPr>
          <w:rFonts w:ascii="Sakkal Majalla" w:hAnsi="Sakkal Majalla" w:cs="Sakkal Majalla"/>
          <w:color w:val="000000" w:themeColor="text1"/>
          <w:sz w:val="28"/>
          <w:szCs w:val="28"/>
          <w:rtl/>
        </w:rPr>
        <w:t>أن التحول في قطاع التجزئة نحو النماذج المستدامة يعزز من مرونة الاقتصاد الوطني، ويقلل من الهدر في الموارد عبر تبني ممارسات الاقتصاد الدائري، مثل إدارة العائدات وإعادة التدوير وإعادة التوريد</w:t>
      </w:r>
      <w:r w:rsidRPr="003340FD">
        <w:rPr>
          <w:rFonts w:ascii="Sakkal Majalla" w:hAnsi="Sakkal Majalla" w:cs="Sakkal Majalla"/>
          <w:color w:val="000000" w:themeColor="text1"/>
          <w:sz w:val="28"/>
          <w:szCs w:val="28"/>
        </w:rPr>
        <w:t xml:space="preserve"> (Reverse Logistics). </w:t>
      </w:r>
      <w:r w:rsidRPr="003340FD">
        <w:rPr>
          <w:rFonts w:ascii="Sakkal Majalla" w:hAnsi="Sakkal Majalla" w:cs="Sakkal Majalla"/>
          <w:color w:val="000000" w:themeColor="text1"/>
          <w:sz w:val="28"/>
          <w:szCs w:val="28"/>
          <w:rtl/>
        </w:rPr>
        <w:t>وقد أثبتت التجارب الميدانية في أوروبا أن الشركات التي دمجت مبدأ الاستدامة في عملياتها حققت أداءً مالياً أفضل على المدى الطويل، نتيجة لتحسين كفاءة التشغيل وزيادة ولاء العملاء، وتُظهر هذه التجارب أن استدامة التجزئة لا تتحقق فقط من خلال تقليل الأثر البيئي، بل من خلال بناء نماذج أعمال متوازنة اقتصاديًا واجتماعيًا</w:t>
      </w:r>
      <w:r w:rsidRPr="003340FD">
        <w:rPr>
          <w:rFonts w:ascii="Sakkal Majalla" w:hAnsi="Sakkal Majalla" w:cs="Sakkal Majalla"/>
          <w:color w:val="000000" w:themeColor="text1"/>
          <w:sz w:val="28"/>
          <w:szCs w:val="28"/>
        </w:rPr>
        <w:t>.</w:t>
      </w:r>
    </w:p>
    <w:p w14:paraId="7600C334" w14:textId="4BD1F24C"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وفي السياق السعودي، تُعد الاستدامة الاقتصادية أحد المحاور الجوهرية لرؤية المملكة 2030، التي تستهدف بناء اقتصاد متنوع وقادر على المنافسة العالمية،  ويُسهم قطاع التجزئة في تحقيق هذه الرؤية عبر خلق فرص استثمارية جديدة في مجالات التجارة الإلكترونية، والخدمات اللوجستية، والتقنيات المالية، كما أن تطوير البيئة التنظيمية والرقمية ساعد في تحسين كفاءة السوق وتشجيع المستثمرين المحليين والدوليين على دخول القطاع، مما زاد من معدل النمو المركب للقطاع خلال السنوات الأخيرة (وزارة الاقتصاد والتخطيط، 2023)</w:t>
      </w:r>
      <w:r w:rsidRPr="003340FD">
        <w:rPr>
          <w:rFonts w:ascii="Sakkal Majalla" w:hAnsi="Sakkal Majalla" w:cs="Sakkal Majalla"/>
          <w:color w:val="000000" w:themeColor="text1"/>
          <w:sz w:val="28"/>
          <w:szCs w:val="28"/>
        </w:rPr>
        <w:t>.</w:t>
      </w:r>
    </w:p>
    <w:p w14:paraId="164D97AE" w14:textId="02E545F4"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من ناحية أخرى، يُسهم تطور قطاع التجزئة في تحفيز سلاسل الإمداد الوطنية من خلال زيادة الطلب على الخدمات المساندة مثل النقل والتخزين والتوزيع. فكل نمو في قطاع التجزئة ينعكس إيجاباً على بقية القطاعات الاقتصادية المرتبطة به، وتوضح دراسات مثل</w:t>
      </w:r>
      <w:r w:rsidRPr="003340FD">
        <w:rPr>
          <w:rFonts w:ascii="Sakkal Majalla" w:hAnsi="Sakkal Majalla" w:cs="Sakkal Majalla"/>
          <w:color w:val="000000" w:themeColor="text1"/>
          <w:sz w:val="28"/>
          <w:szCs w:val="28"/>
        </w:rPr>
        <w:t xml:space="preserve"> Hossain (2025) </w:t>
      </w:r>
      <w:r w:rsidRPr="003340FD">
        <w:rPr>
          <w:rFonts w:ascii="Sakkal Majalla" w:hAnsi="Sakkal Majalla" w:cs="Sakkal Majalla"/>
          <w:color w:val="000000" w:themeColor="text1"/>
          <w:sz w:val="28"/>
          <w:szCs w:val="28"/>
          <w:rtl/>
        </w:rPr>
        <w:t xml:space="preserve">أن كفاءة سلاسل الإمداد </w:t>
      </w:r>
      <w:r w:rsidRPr="003340FD">
        <w:rPr>
          <w:rFonts w:ascii="Sakkal Majalla" w:hAnsi="Sakkal Majalla" w:cs="Sakkal Majalla"/>
          <w:color w:val="000000" w:themeColor="text1"/>
          <w:sz w:val="28"/>
          <w:szCs w:val="28"/>
          <w:rtl/>
        </w:rPr>
        <w:lastRenderedPageBreak/>
        <w:t>المستدامة تمثل أساسًا لتعزيز قدرة التجزئة على دعم أهداف التنمية المستدامة</w:t>
      </w:r>
      <w:r w:rsidRPr="003340FD">
        <w:rPr>
          <w:rFonts w:ascii="Sakkal Majalla" w:hAnsi="Sakkal Majalla" w:cs="Sakkal Majalla"/>
          <w:color w:val="000000" w:themeColor="text1"/>
          <w:sz w:val="28"/>
          <w:szCs w:val="28"/>
        </w:rPr>
        <w:t xml:space="preserve"> (SDGs)</w:t>
      </w:r>
      <w:r w:rsidRPr="003340FD">
        <w:rPr>
          <w:rFonts w:ascii="Sakkal Majalla" w:hAnsi="Sakkal Majalla" w:cs="Sakkal Majalla"/>
          <w:color w:val="000000" w:themeColor="text1"/>
          <w:sz w:val="28"/>
          <w:szCs w:val="28"/>
          <w:rtl/>
        </w:rPr>
        <w:t>، لاسيما في ما يتعلق بتحسين إدارة الموارد وتقليل البصمة الكربونية. ويشير الباحث إلى أن اعتماد الممارسات البيئية والاجتماعية في سلسلة القيمة أصبح من معايير التنافسية الحديثة</w:t>
      </w:r>
      <w:r w:rsidRPr="003340FD">
        <w:rPr>
          <w:rFonts w:ascii="Sakkal Majalla" w:hAnsi="Sakkal Majalla" w:cs="Sakkal Majalla"/>
          <w:color w:val="000000" w:themeColor="text1"/>
          <w:sz w:val="28"/>
          <w:szCs w:val="28"/>
        </w:rPr>
        <w:t>.</w:t>
      </w:r>
    </w:p>
    <w:p w14:paraId="39C0B65E"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كما أن التحول الرقمي في قطاع التجزئة يخلق مزايا اقتصادية واضحة، إذ يؤدي إلى خفض تكاليف التشغيل وتحسين إدارة المخزون وتوسيع قاعدة العملاء، مما يسهم في تحقيق نمو اقتصادي مستدام. وتُظهر دراسة</w:t>
      </w:r>
      <w:r w:rsidRPr="003340FD">
        <w:rPr>
          <w:rFonts w:ascii="Sakkal Majalla" w:hAnsi="Sakkal Majalla" w:cs="Sakkal Majalla"/>
          <w:color w:val="000000" w:themeColor="text1"/>
          <w:sz w:val="28"/>
          <w:szCs w:val="28"/>
        </w:rPr>
        <w:t xml:space="preserve"> Pattanayak et al. (2023) </w:t>
      </w:r>
      <w:r w:rsidRPr="003340FD">
        <w:rPr>
          <w:rFonts w:ascii="Sakkal Majalla" w:hAnsi="Sakkal Majalla" w:cs="Sakkal Majalla"/>
          <w:color w:val="000000" w:themeColor="text1"/>
          <w:sz w:val="28"/>
          <w:szCs w:val="28"/>
          <w:rtl/>
        </w:rPr>
        <w:t>أن استخدام أدوات التسويق الرقمي والذكاء الاصطناعي مكّن مؤسسات التجزئة من زيادة كفاءتها التسويقية وخفض تكاليف الوصول إلى المستهلكين بنسبة كبيرة، الأمر الذي يعزز استدامة الإيرادات على المدى الطويل. ومن هذا المنطلق، فإن دمج التقنيات الحديثة يُعد أحد أهم محركات الاستدامة في الاقتصاد السعودي الحديث</w:t>
      </w:r>
      <w:r w:rsidRPr="003340FD">
        <w:rPr>
          <w:rFonts w:ascii="Sakkal Majalla" w:hAnsi="Sakkal Majalla" w:cs="Sakkal Majalla"/>
          <w:color w:val="000000" w:themeColor="text1"/>
          <w:sz w:val="28"/>
          <w:szCs w:val="28"/>
        </w:rPr>
        <w:t>.</w:t>
      </w:r>
    </w:p>
    <w:p w14:paraId="31210AEB" w14:textId="01543BF6"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ويُضاف إلى ذلك أن تطور التجزئة يسهم في تحقيق العدالة الاقتصادية عبر تمكين المؤسسات الصغيرة والمتوسطة</w:t>
      </w:r>
      <w:r w:rsidRPr="003340FD">
        <w:rPr>
          <w:rFonts w:ascii="Sakkal Majalla" w:hAnsi="Sakkal Majalla" w:cs="Sakkal Majalla"/>
          <w:color w:val="000000" w:themeColor="text1"/>
          <w:sz w:val="28"/>
          <w:szCs w:val="28"/>
        </w:rPr>
        <w:t xml:space="preserve">. </w:t>
      </w:r>
      <w:r w:rsidRPr="003340FD">
        <w:rPr>
          <w:rFonts w:ascii="Sakkal Majalla" w:hAnsi="Sakkal Majalla" w:cs="Sakkal Majalla"/>
          <w:color w:val="000000" w:themeColor="text1"/>
          <w:sz w:val="28"/>
          <w:szCs w:val="28"/>
          <w:rtl/>
        </w:rPr>
        <w:t>فهذه المؤسسات تمثل أكثر من 90% من الشركات العاملة في القطاع، وتعد المحرك الرئيس لخلق الوظائف، ومن خلال برامج التحفيز والتمويل والدعم التقني التي تقدمها الحكومة السعودية، أصبح بإمكانها التوسع والمنافسة، مما يعزز من استدامة الاقتصاد المحلي ويقلل من الاعتماد على الواردات. ويؤكد كامل (2020) أن تعزيز القدرات التسويقية والابتكارية لهذه المؤسسات يسهم في دعم ممارسات النمو الريادي وتحقيق ميزة تنافسية مستدامة</w:t>
      </w:r>
      <w:r w:rsidRPr="003340FD">
        <w:rPr>
          <w:rFonts w:ascii="Sakkal Majalla" w:hAnsi="Sakkal Majalla" w:cs="Sakkal Majalla"/>
          <w:color w:val="000000" w:themeColor="text1"/>
          <w:sz w:val="28"/>
          <w:szCs w:val="28"/>
        </w:rPr>
        <w:t>.</w:t>
      </w:r>
    </w:p>
    <w:p w14:paraId="5BAC99E2" w14:textId="6D5512A4"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أما من الناحية الاجتماعية والتنموية، فإن نمو قطاع التجزئة يسهم في دعم التنمية المجتمعية من خلال تمكين المرأة ورفع مستوى الدخل وتحسين جودة الحياة،  وتشير آل عوض (2021) والرَّشادة وآخرون (2022) إلى أن تمكين المرأة السعودية للعمل في هذا القطاع كان له أثر مزدوج: من ناحية أسهم في تقليص الفجوة الاقتصادية بين الجنسين، ومن ناحية أخرى عزز من القوة الشرائية في الاقتصاد المحلي، مما انعكس إيجابًا على الأداء العام للقطاع. هذا الجانب الاجتماعي يُعد جزءًا لا يتجزأ من مفهوم الاستدامة الاقتصادية المتكاملة</w:t>
      </w:r>
      <w:r w:rsidRPr="003340FD">
        <w:rPr>
          <w:rFonts w:ascii="Sakkal Majalla" w:hAnsi="Sakkal Majalla" w:cs="Sakkal Majalla"/>
          <w:color w:val="000000" w:themeColor="text1"/>
          <w:sz w:val="28"/>
          <w:szCs w:val="28"/>
        </w:rPr>
        <w:t>.</w:t>
      </w:r>
    </w:p>
    <w:p w14:paraId="07985C01" w14:textId="54F29156"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وتبرز أهمية الابتكار والإنتاجية كعاملين رئيسين في ربط التجزئة بالاستدامة الاقتصادية. فالتطور لا يعني فقط التوسع في حجم السوق، بل رفع كفاءة الموارد وتحسين الإنتاجية باستخدام أدوات الإدارة الذكية،  ويشير التوزاني والمحمادي (2024) إلى أن الابتكار في المنتجات والخدمات في مؤسسات التجزئة يعزز من القيمة المضافة ويزيد من قدرة السوق على التصدير، مما يرفع مساهمة القطاع في الاقتصاد الكلي. كما أن مؤسسات التجزئة التي تستثمر في تقنيات التحليل الذكي والتخطيط المستدام تحقق توازنًا بين النمو المالي وحماية البيئة</w:t>
      </w:r>
      <w:r w:rsidRPr="003340FD">
        <w:rPr>
          <w:rFonts w:ascii="Sakkal Majalla" w:hAnsi="Sakkal Majalla" w:cs="Sakkal Majalla"/>
          <w:color w:val="000000" w:themeColor="text1"/>
          <w:sz w:val="28"/>
          <w:szCs w:val="28"/>
        </w:rPr>
        <w:t>.</w:t>
      </w:r>
    </w:p>
    <w:p w14:paraId="7B0E513A"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يمكن تلخيص العلاقة بين تطور قطاع التجزئة والاستدامة الاقتصادية في النقاط التالية</w:t>
      </w:r>
      <w:r w:rsidRPr="003340FD">
        <w:rPr>
          <w:rFonts w:ascii="Sakkal Majalla" w:hAnsi="Sakkal Majalla" w:cs="Sakkal Majalla"/>
          <w:color w:val="000000" w:themeColor="text1"/>
          <w:sz w:val="28"/>
          <w:szCs w:val="28"/>
        </w:rPr>
        <w:t>:</w:t>
      </w:r>
    </w:p>
    <w:p w14:paraId="6F4F071E" w14:textId="77777777" w:rsidR="00760000" w:rsidRPr="003340FD" w:rsidRDefault="00760000" w:rsidP="00E81F00">
      <w:pPr>
        <w:numPr>
          <w:ilvl w:val="0"/>
          <w:numId w:val="1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تحفيز النمو الاقتصادي من خلال زيادة الإنتاجية وتنويع مصادر الدخل</w:t>
      </w:r>
      <w:r w:rsidRPr="003340FD">
        <w:rPr>
          <w:rFonts w:ascii="Sakkal Majalla" w:hAnsi="Sakkal Majalla" w:cs="Sakkal Majalla"/>
          <w:color w:val="000000" w:themeColor="text1"/>
          <w:sz w:val="28"/>
          <w:szCs w:val="28"/>
        </w:rPr>
        <w:t>.</w:t>
      </w:r>
    </w:p>
    <w:p w14:paraId="45D0FD37" w14:textId="77777777" w:rsidR="00760000" w:rsidRPr="003340FD" w:rsidRDefault="00760000" w:rsidP="00E81F00">
      <w:pPr>
        <w:numPr>
          <w:ilvl w:val="0"/>
          <w:numId w:val="1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تحسين الكفاءة التشغيلية عبر التحول الرقمي وإدارة الموارد بفعالية</w:t>
      </w:r>
      <w:r w:rsidRPr="003340FD">
        <w:rPr>
          <w:rFonts w:ascii="Sakkal Majalla" w:hAnsi="Sakkal Majalla" w:cs="Sakkal Majalla"/>
          <w:color w:val="000000" w:themeColor="text1"/>
          <w:sz w:val="28"/>
          <w:szCs w:val="28"/>
        </w:rPr>
        <w:t>.</w:t>
      </w:r>
    </w:p>
    <w:p w14:paraId="7D8EEF6F" w14:textId="77777777" w:rsidR="00760000" w:rsidRPr="003340FD" w:rsidRDefault="00760000" w:rsidP="00E81F00">
      <w:pPr>
        <w:numPr>
          <w:ilvl w:val="0"/>
          <w:numId w:val="1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تعزيز استدامة سلاسل الإمداد وتقليل الفاقد في العمليات</w:t>
      </w:r>
      <w:r w:rsidRPr="003340FD">
        <w:rPr>
          <w:rFonts w:ascii="Sakkal Majalla" w:hAnsi="Sakkal Majalla" w:cs="Sakkal Majalla"/>
          <w:color w:val="000000" w:themeColor="text1"/>
          <w:sz w:val="28"/>
          <w:szCs w:val="28"/>
        </w:rPr>
        <w:t>.</w:t>
      </w:r>
    </w:p>
    <w:p w14:paraId="6F8467F6" w14:textId="77777777" w:rsidR="00760000" w:rsidRPr="003340FD" w:rsidRDefault="00760000" w:rsidP="00E81F00">
      <w:pPr>
        <w:numPr>
          <w:ilvl w:val="0"/>
          <w:numId w:val="1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تمكين المؤسسات الصغيرة والمتوسطة للمساهمة في خلق فرص العمل</w:t>
      </w:r>
      <w:r w:rsidRPr="003340FD">
        <w:rPr>
          <w:rFonts w:ascii="Sakkal Majalla" w:hAnsi="Sakkal Majalla" w:cs="Sakkal Majalla"/>
          <w:color w:val="000000" w:themeColor="text1"/>
          <w:sz w:val="28"/>
          <w:szCs w:val="28"/>
        </w:rPr>
        <w:t>.</w:t>
      </w:r>
    </w:p>
    <w:p w14:paraId="45954546" w14:textId="77777777" w:rsidR="00760000" w:rsidRPr="003340FD" w:rsidRDefault="00760000" w:rsidP="00E81F00">
      <w:pPr>
        <w:numPr>
          <w:ilvl w:val="0"/>
          <w:numId w:val="1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رفع الوعي بالمسؤولية الاجتماعية وتعزيز العدالة الاقتصادية</w:t>
      </w:r>
      <w:r w:rsidRPr="003340FD">
        <w:rPr>
          <w:rFonts w:ascii="Sakkal Majalla" w:hAnsi="Sakkal Majalla" w:cs="Sakkal Majalla"/>
          <w:color w:val="000000" w:themeColor="text1"/>
          <w:sz w:val="28"/>
          <w:szCs w:val="28"/>
        </w:rPr>
        <w:t>.</w:t>
      </w:r>
    </w:p>
    <w:p w14:paraId="352C924F" w14:textId="120399D6" w:rsidR="00760000" w:rsidRPr="003340FD" w:rsidRDefault="00E81F00" w:rsidP="00E81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3340FD">
        <w:rPr>
          <w:rFonts w:ascii="Sakkal Majalla" w:hAnsi="Sakkal Majalla" w:cs="Sakkal Majalla" w:hint="cs"/>
          <w:b/>
          <w:bCs/>
          <w:color w:val="000000" w:themeColor="text1"/>
          <w:sz w:val="32"/>
          <w:szCs w:val="32"/>
          <w:rtl/>
        </w:rPr>
        <w:t xml:space="preserve">4.1.2 </w:t>
      </w:r>
      <w:r w:rsidR="00760000" w:rsidRPr="003340FD">
        <w:rPr>
          <w:rFonts w:ascii="Sakkal Majalla" w:hAnsi="Sakkal Majalla" w:cs="Sakkal Majalla"/>
          <w:b/>
          <w:bCs/>
          <w:color w:val="000000" w:themeColor="text1"/>
          <w:sz w:val="32"/>
          <w:szCs w:val="32"/>
          <w:rtl/>
        </w:rPr>
        <w:t>الاستدامة البيئية والاجتماعية في قطاع التجزئة ودورها في تحقيق رؤية المملكة 2030</w:t>
      </w:r>
    </w:p>
    <w:p w14:paraId="09F5B18D" w14:textId="46BDFF2E"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تُعد الاستدامة البيئية والاجتماعية من المحاور الجوهرية التي تعيد تعريف دور قطاع التجزئة في الاقتصادات الحديثة، إذ لم يعد النمو يقاس فقط بالمبيعات أو الأرباح، بل بقدرة المؤسسات على تحقيق التوازن بين الأداء الاقتصادي والمسؤولية تجاه البيئة والمجتمع،  وتُشير</w:t>
      </w:r>
      <w:r w:rsidRPr="003340FD">
        <w:rPr>
          <w:rFonts w:ascii="Sakkal Majalla" w:hAnsi="Sakkal Majalla" w:cs="Sakkal Majalla"/>
          <w:color w:val="000000" w:themeColor="text1"/>
          <w:sz w:val="28"/>
          <w:szCs w:val="28"/>
        </w:rPr>
        <w:t xml:space="preserve"> Alt et al. (2025) </w:t>
      </w:r>
      <w:r w:rsidRPr="003340FD">
        <w:rPr>
          <w:rFonts w:ascii="Sakkal Majalla" w:hAnsi="Sakkal Majalla" w:cs="Sakkal Majalla"/>
          <w:color w:val="000000" w:themeColor="text1"/>
          <w:sz w:val="28"/>
          <w:szCs w:val="28"/>
          <w:rtl/>
        </w:rPr>
        <w:t>إلى أن تبني مبادئ الاستدامة في التجزئة يسهم في تحسين الأداء المالي للمؤسسات على المدى الطويل، من خلال بناء سمعة إيجابية، وتعزيز ولاء العملاء، وتقليل التكاليف المرتبطة بالهدر واستهلاك الطاقة</w:t>
      </w:r>
      <w:r w:rsidRPr="003340FD">
        <w:rPr>
          <w:rFonts w:ascii="Sakkal Majalla" w:hAnsi="Sakkal Majalla" w:cs="Sakkal Majalla"/>
          <w:color w:val="000000" w:themeColor="text1"/>
          <w:sz w:val="28"/>
          <w:szCs w:val="28"/>
        </w:rPr>
        <w:t>.</w:t>
      </w:r>
    </w:p>
    <w:p w14:paraId="40704259" w14:textId="20E5BCC3"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 xml:space="preserve">وفي هذا السياق، أصبحت المملكة العربية السعودية تولي اهتمامًا متزايدًا بدمج ممارسات الاستدامة في مختلف القطاعات الاقتصادية، وعلى رأسها قطاع التجزئة، باعتباره من أكثر القطاعات </w:t>
      </w:r>
      <w:r w:rsidRPr="003340FD">
        <w:rPr>
          <w:rFonts w:ascii="Sakkal Majalla" w:hAnsi="Sakkal Majalla" w:cs="Sakkal Majalla"/>
          <w:color w:val="000000" w:themeColor="text1"/>
          <w:sz w:val="28"/>
          <w:szCs w:val="28"/>
          <w:rtl/>
        </w:rPr>
        <w:lastRenderedPageBreak/>
        <w:t>ارتباطًا بالمستهلك والبيئة، إذ تسعى رؤية المملكة 2030 إلى بناء اقتصاد مزدهر ومجتمع حيوي، من خلال رفع كفاءة استخدام الموارد الطبيعية، وتبني أنماط إنتاج واستهلاك مستدامة، وتعزيز ثقافة المسؤولية الاجتماعية لدى مؤسسات الأعمال</w:t>
      </w:r>
      <w:r w:rsidRPr="003340FD">
        <w:rPr>
          <w:rFonts w:ascii="Sakkal Majalla" w:hAnsi="Sakkal Majalla" w:cs="Sakkal Majalla"/>
          <w:color w:val="000000" w:themeColor="text1"/>
          <w:sz w:val="28"/>
          <w:szCs w:val="28"/>
        </w:rPr>
        <w:t>.</w:t>
      </w:r>
    </w:p>
    <w:p w14:paraId="2DAE17F7" w14:textId="77777777" w:rsidR="00760000" w:rsidRPr="003340FD" w:rsidRDefault="00760000" w:rsidP="008A1308">
      <w:pPr>
        <w:spacing w:before="100" w:beforeAutospacing="1" w:after="100" w:afterAutospacing="1" w:line="360" w:lineRule="auto"/>
        <w:jc w:val="both"/>
        <w:rPr>
          <w:rFonts w:ascii="Sakkal Majalla" w:hAnsi="Sakkal Majalla" w:cs="Sakkal Majalla"/>
          <w:b/>
          <w:bCs/>
          <w:color w:val="000000" w:themeColor="text1"/>
          <w:sz w:val="28"/>
          <w:szCs w:val="28"/>
        </w:rPr>
      </w:pPr>
      <w:r w:rsidRPr="003340FD">
        <w:rPr>
          <w:rFonts w:ascii="Sakkal Majalla" w:hAnsi="Sakkal Majalla" w:cs="Sakkal Majalla"/>
          <w:b/>
          <w:bCs/>
          <w:color w:val="000000" w:themeColor="text1"/>
          <w:sz w:val="28"/>
          <w:szCs w:val="28"/>
          <w:rtl/>
        </w:rPr>
        <w:t>أولًا: البعد البيئي في ممارسات قطاع التجزئة</w:t>
      </w:r>
    </w:p>
    <w:p w14:paraId="0ADA2B16" w14:textId="777777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يشمل البعد البيئي في التجزئة مجموعة من الأنشطة والسياسات التي تهدف إلى تقليل الأثر السلبي للعمليات التجارية على البيئة، من خلال إدارة المخلفات، وتقليل الانبعاثات، وترشيد استهلاك الطاقة والمياه. وتشير دراسة</w:t>
      </w:r>
      <w:r w:rsidRPr="003340FD">
        <w:rPr>
          <w:rFonts w:ascii="Sakkal Majalla" w:hAnsi="Sakkal Majalla" w:cs="Sakkal Majalla"/>
          <w:color w:val="000000" w:themeColor="text1"/>
          <w:sz w:val="28"/>
          <w:szCs w:val="28"/>
        </w:rPr>
        <w:t xml:space="preserve"> Butt et al. (2024) </w:t>
      </w:r>
      <w:r w:rsidRPr="003340FD">
        <w:rPr>
          <w:rFonts w:ascii="Sakkal Majalla" w:hAnsi="Sakkal Majalla" w:cs="Sakkal Majalla"/>
          <w:color w:val="000000" w:themeColor="text1"/>
          <w:sz w:val="28"/>
          <w:szCs w:val="28"/>
          <w:rtl/>
        </w:rPr>
        <w:t>إلى أن تطبيق مفاهيم اللوجستيات العكسية</w:t>
      </w:r>
      <w:r w:rsidRPr="003340FD">
        <w:rPr>
          <w:rFonts w:ascii="Sakkal Majalla" w:hAnsi="Sakkal Majalla" w:cs="Sakkal Majalla"/>
          <w:color w:val="000000" w:themeColor="text1"/>
          <w:sz w:val="28"/>
          <w:szCs w:val="28"/>
        </w:rPr>
        <w:t xml:space="preserve"> (Reverse Logistics) </w:t>
      </w:r>
      <w:r w:rsidRPr="003340FD">
        <w:rPr>
          <w:rFonts w:ascii="Sakkal Majalla" w:hAnsi="Sakkal Majalla" w:cs="Sakkal Majalla"/>
          <w:color w:val="000000" w:themeColor="text1"/>
          <w:sz w:val="28"/>
          <w:szCs w:val="28"/>
          <w:rtl/>
        </w:rPr>
        <w:t>في سلاسل الإمداد بالتجزئة يُعد أحد أهم الابتكارات البيئية التي تدعم أهداف التنمية المستدامة. فإعادة تدوير المنتجات وإدارة المرتجعات لا تقلل فقط من النفايات، بل تخلق فرصًا اقتصادية جديدة وتخفض التكاليف التشغيلية</w:t>
      </w:r>
      <w:r w:rsidRPr="003340FD">
        <w:rPr>
          <w:rFonts w:ascii="Sakkal Majalla" w:hAnsi="Sakkal Majalla" w:cs="Sakkal Majalla"/>
          <w:color w:val="000000" w:themeColor="text1"/>
          <w:sz w:val="28"/>
          <w:szCs w:val="28"/>
        </w:rPr>
        <w:t>.</w:t>
      </w:r>
    </w:p>
    <w:p w14:paraId="6EB3A1FD" w14:textId="5D4691C9"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كما بيّن</w:t>
      </w:r>
      <w:r w:rsidRPr="003340FD">
        <w:rPr>
          <w:rFonts w:ascii="Sakkal Majalla" w:hAnsi="Sakkal Majalla" w:cs="Sakkal Majalla"/>
          <w:color w:val="000000" w:themeColor="text1"/>
          <w:sz w:val="28"/>
          <w:szCs w:val="28"/>
        </w:rPr>
        <w:t xml:space="preserve"> Hossain (2025) </w:t>
      </w:r>
      <w:r w:rsidRPr="003340FD">
        <w:rPr>
          <w:rFonts w:ascii="Sakkal Majalla" w:hAnsi="Sakkal Majalla" w:cs="Sakkal Majalla"/>
          <w:color w:val="000000" w:themeColor="text1"/>
          <w:sz w:val="28"/>
          <w:szCs w:val="28"/>
          <w:rtl/>
        </w:rPr>
        <w:t>أن الشركات العاملة في قطاع التجزئة في الأسواق الأوروبية بدأت تعتمد أنظمة ذكية لمراقبة استهلاك الطاقة والانبعاثات الكربونية، وتطبيق معايير “الخضرنة” في عمليات النقل والتغليف،  وتُظهر التجارب أن هذه الإجراءات لا تؤدي إلى حماية البيئة فحسب، بل ترفع من كفاءة العمليات وتزيد من ثقة العملاء الذين أصبحوا أكثر وعيًا بالمسؤولية البيئية للشركات</w:t>
      </w:r>
      <w:r w:rsidRPr="003340FD">
        <w:rPr>
          <w:rFonts w:ascii="Sakkal Majalla" w:hAnsi="Sakkal Majalla" w:cs="Sakkal Majalla"/>
          <w:color w:val="000000" w:themeColor="text1"/>
          <w:sz w:val="28"/>
          <w:szCs w:val="28"/>
        </w:rPr>
        <w:t>.</w:t>
      </w:r>
    </w:p>
    <w:p w14:paraId="7C5A4D2F" w14:textId="21AE49AC"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وفي السياق السعودي، اتجهت العديد من شركات التجزئة الكبرى إلى تطبيق مبادرات صديقة للبيئة مثل استخدام الأكياس القابلة لإعادة الاستخدام، وتقليل استهلاك الورق عبر الفواتير الإلكترونية، وتطوير مراكز توزيع تعتمد الطاقة الشمسية، هذه الجهود تتكامل مع برامج وطنية مثل "السعودية الخضراء" و"الشرق الأوسط الأخضر"، اللتين تهدفان إلى خفض الانبعاثات الكربونية بنسبة كبيرة بحلول عام 2030. كما تُسهم المؤسسات في بناء سلوك استهلاكي واعٍ عبر حملات توعية تحث على الشراء المسؤول وإعادة التدوير</w:t>
      </w:r>
      <w:r w:rsidRPr="003340FD">
        <w:rPr>
          <w:rFonts w:ascii="Sakkal Majalla" w:hAnsi="Sakkal Majalla" w:cs="Sakkal Majalla"/>
          <w:color w:val="000000" w:themeColor="text1"/>
          <w:sz w:val="28"/>
          <w:szCs w:val="28"/>
        </w:rPr>
        <w:t>.</w:t>
      </w:r>
    </w:p>
    <w:p w14:paraId="2B6AAD6C" w14:textId="7B3D12DF"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lastRenderedPageBreak/>
        <w:t>ويشير التوزاني والمحمادي (2024) إلى أن دمج مبادئ الاقتصاد الدائري في قطاع التجزئة يمكّن المؤسسات من تحقيق كفاءة عالية في الموارد وتقليل الهدر عبر إعادة استخدام المنتجات أو مواد التغليف، وهو اتجاه عالمي يتسق مع مفاهيم التنمية المستدامة التي تسعى المملكة إلى ترسيخها ضمن رؤيتها المستقبلية</w:t>
      </w:r>
      <w:r w:rsidRPr="003340FD">
        <w:rPr>
          <w:rFonts w:ascii="Sakkal Majalla" w:hAnsi="Sakkal Majalla" w:cs="Sakkal Majalla"/>
          <w:color w:val="000000" w:themeColor="text1"/>
          <w:sz w:val="28"/>
          <w:szCs w:val="28"/>
        </w:rPr>
        <w:t>.</w:t>
      </w:r>
    </w:p>
    <w:p w14:paraId="368BCAC6" w14:textId="77777777" w:rsidR="00760000" w:rsidRPr="003340FD" w:rsidRDefault="00760000" w:rsidP="008A1308">
      <w:pPr>
        <w:spacing w:before="100" w:beforeAutospacing="1" w:after="100" w:afterAutospacing="1" w:line="360" w:lineRule="auto"/>
        <w:jc w:val="both"/>
        <w:rPr>
          <w:rFonts w:ascii="Sakkal Majalla" w:hAnsi="Sakkal Majalla" w:cs="Sakkal Majalla"/>
          <w:b/>
          <w:bCs/>
          <w:color w:val="000000" w:themeColor="text1"/>
          <w:sz w:val="28"/>
          <w:szCs w:val="28"/>
        </w:rPr>
      </w:pPr>
      <w:r w:rsidRPr="003340FD">
        <w:rPr>
          <w:rFonts w:ascii="Sakkal Majalla" w:hAnsi="Sakkal Majalla" w:cs="Sakkal Majalla"/>
          <w:b/>
          <w:bCs/>
          <w:color w:val="000000" w:themeColor="text1"/>
          <w:sz w:val="28"/>
          <w:szCs w:val="28"/>
          <w:rtl/>
        </w:rPr>
        <w:t>ثانيًا: البعد الاجتماعي في ممارسات الاستدامة</w:t>
      </w:r>
    </w:p>
    <w:p w14:paraId="2BEECCCC" w14:textId="78C1718E"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يُعتبر البعد الاجتماعي أحد الركائز الرئيسة في مفهوم الاستدامة، إذ يهدف إلى تعزيز العدالة الاجتماعية، وتمكين الأفراد، وتحسين جودة الحياة من خلال ممارسات مؤسسية مسؤولة، وفي قطاع التجزئة، يظهر هذا البعد في تمكين المرأة والشباب، وتوفير بيئة عمل عادلة وآمنة، والمساهمة في التنمية المحلية</w:t>
      </w:r>
      <w:r w:rsidRPr="003340FD">
        <w:rPr>
          <w:rFonts w:ascii="Sakkal Majalla" w:hAnsi="Sakkal Majalla" w:cs="Sakkal Majalla"/>
          <w:color w:val="000000" w:themeColor="text1"/>
          <w:sz w:val="28"/>
          <w:szCs w:val="28"/>
        </w:rPr>
        <w:t>.</w:t>
      </w:r>
    </w:p>
    <w:p w14:paraId="033370CD" w14:textId="083FDBEE"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أوضحت آل عوض (2021) أن التحديات الاجتماعية والاقتصادية لعمل المرأة السعودية في قطاع التجزئة كانت في السابق من أبرز المعوقات التي حدت من مشاركتها، إلا أن الإصلاحات الأخيرة في البيئة التشريعية والاقتصادية مكنت النساء من دخول هذا القطاع بقوة، مما أدى إلى رفع نسب التوظيف النسائي وتحقيق أحد أهداف رؤية المملكة 2030 في تمكين المرأة، كما بيّنت الرشادة وآخرون (2022) أن مشاركة المرأة في التجزئة لم تقتصر على الوظائف التنفيذية، بل امتدت إلى المناصب الإدارية والقيادية، وهو ما يعزز العدالة الاجتماعية والمساواة في الفرص</w:t>
      </w:r>
      <w:r w:rsidRPr="003340FD">
        <w:rPr>
          <w:rFonts w:ascii="Sakkal Majalla" w:hAnsi="Sakkal Majalla" w:cs="Sakkal Majalla"/>
          <w:color w:val="000000" w:themeColor="text1"/>
          <w:sz w:val="28"/>
          <w:szCs w:val="28"/>
        </w:rPr>
        <w:t>.</w:t>
      </w:r>
    </w:p>
    <w:p w14:paraId="677B0EE9" w14:textId="643F8E8A"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إضافةً إلى ذلك، يشير كامل (2020) إلى أن المسؤولية الاجتماعية للشركات أصبحت أداة استراتيجية تعزز الولاء المجتمعي وتدعم استدامة النمو الاقتصادي. فالمؤسسات التي تستثمر في التعليم والتدريب والرعاية المجتمعية تسهم بشكل مباشر في بناء رأس مال بشري قادر على الابتكار والإنتاج، ويُعد هذا النهج مكملاً لأهداف التنمية البشرية التي تُعد من ركائز رؤية المملكة 2030</w:t>
      </w:r>
      <w:r w:rsidRPr="003340FD">
        <w:rPr>
          <w:rFonts w:ascii="Sakkal Majalla" w:hAnsi="Sakkal Majalla" w:cs="Sakkal Majalla"/>
          <w:color w:val="000000" w:themeColor="text1"/>
          <w:sz w:val="28"/>
          <w:szCs w:val="28"/>
        </w:rPr>
        <w:t>.</w:t>
      </w:r>
    </w:p>
    <w:p w14:paraId="1E9103B2" w14:textId="3E9077D6"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 xml:space="preserve">وفي هذا الإطار، عملت وزارة الموارد البشرية والتنمية الاجتماعية على تعزيز ممارسات العمل اللائق في مؤسسات التجزئة من خلال رفع معايير السلامة المهنية، وضمان حقوق العاملين، وتشجيع </w:t>
      </w:r>
      <w:r w:rsidRPr="003340FD">
        <w:rPr>
          <w:rFonts w:ascii="Sakkal Majalla" w:hAnsi="Sakkal Majalla" w:cs="Sakkal Majalla"/>
          <w:color w:val="000000" w:themeColor="text1"/>
          <w:sz w:val="28"/>
          <w:szCs w:val="28"/>
          <w:rtl/>
        </w:rPr>
        <w:lastRenderedPageBreak/>
        <w:t>الممارسات العادلة في التوظيف والأجور، وتُظهر تقارير التنمية أن هذه الإجراءات انعكست إيجاباً على رضا الموظفين واستقرارهم الوظيفي، مما أسهم في رفع كفاءة الخدمة وتحقيق توازن بين الربحية والمسؤولية الاجتماعية (الزهراني، 2021)</w:t>
      </w:r>
      <w:r w:rsidRPr="003340FD">
        <w:rPr>
          <w:rFonts w:ascii="Sakkal Majalla" w:hAnsi="Sakkal Majalla" w:cs="Sakkal Majalla"/>
          <w:color w:val="000000" w:themeColor="text1"/>
          <w:sz w:val="28"/>
          <w:szCs w:val="28"/>
        </w:rPr>
        <w:t>.</w:t>
      </w:r>
    </w:p>
    <w:p w14:paraId="3C479483" w14:textId="77777777" w:rsidR="00760000" w:rsidRPr="003340FD" w:rsidRDefault="00760000" w:rsidP="008A1308">
      <w:pPr>
        <w:spacing w:before="100" w:beforeAutospacing="1" w:after="100" w:afterAutospacing="1" w:line="360" w:lineRule="auto"/>
        <w:jc w:val="both"/>
        <w:rPr>
          <w:rFonts w:ascii="Sakkal Majalla" w:hAnsi="Sakkal Majalla" w:cs="Sakkal Majalla"/>
          <w:b/>
          <w:bCs/>
          <w:color w:val="000000" w:themeColor="text1"/>
          <w:sz w:val="28"/>
          <w:szCs w:val="28"/>
        </w:rPr>
      </w:pPr>
      <w:r w:rsidRPr="003340FD">
        <w:rPr>
          <w:rFonts w:ascii="Sakkal Majalla" w:hAnsi="Sakkal Majalla" w:cs="Sakkal Majalla"/>
          <w:b/>
          <w:bCs/>
          <w:color w:val="000000" w:themeColor="text1"/>
          <w:sz w:val="28"/>
          <w:szCs w:val="28"/>
          <w:rtl/>
        </w:rPr>
        <w:t>ثالثًا: دور الاستدامة في تحقيق رؤية المملكة 2030</w:t>
      </w:r>
    </w:p>
    <w:p w14:paraId="21193F0E" w14:textId="39F4C810"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تسعى رؤية المملكة 2030 إلى بناء نموذج تنموي متوازن يجمع بين النمو الاقتصادي والاستدامة البيئية والاجتماعية، ومن هذا المنطلق، يُعد قطاع التجزئة أحد القطاعات الإستراتيجية لتحقيق هذه الأهداف، نظرًا لاتصاله المباشر بالمستهلكين، وقدرته على التأثير في أنماط الإنتاج والاستهلاك</w:t>
      </w:r>
      <w:r w:rsidRPr="003340FD">
        <w:rPr>
          <w:rFonts w:ascii="Sakkal Majalla" w:hAnsi="Sakkal Majalla" w:cs="Sakkal Majalla"/>
          <w:color w:val="000000" w:themeColor="text1"/>
          <w:sz w:val="28"/>
          <w:szCs w:val="28"/>
        </w:rPr>
        <w:t>.</w:t>
      </w:r>
    </w:p>
    <w:p w14:paraId="6094D147" w14:textId="77777777" w:rsidR="00760000" w:rsidRPr="003340FD" w:rsidRDefault="00760000" w:rsidP="008A1308">
      <w:pPr>
        <w:spacing w:before="100" w:beforeAutospacing="1" w:after="100" w:afterAutospacing="1" w:line="360" w:lineRule="auto"/>
        <w:jc w:val="both"/>
        <w:rPr>
          <w:rFonts w:ascii="Sakkal Majalla" w:hAnsi="Sakkal Majalla" w:cs="Sakkal Majalla"/>
          <w:b/>
          <w:bCs/>
          <w:color w:val="000000" w:themeColor="text1"/>
          <w:sz w:val="28"/>
          <w:szCs w:val="28"/>
        </w:rPr>
      </w:pPr>
      <w:r w:rsidRPr="003340FD">
        <w:rPr>
          <w:rFonts w:ascii="Sakkal Majalla" w:hAnsi="Sakkal Majalla" w:cs="Sakkal Majalla"/>
          <w:b/>
          <w:bCs/>
          <w:color w:val="000000" w:themeColor="text1"/>
          <w:sz w:val="28"/>
          <w:szCs w:val="28"/>
          <w:rtl/>
        </w:rPr>
        <w:t>يُسهم القطاع في تحقيق أهداف الرؤية من خلال</w:t>
      </w:r>
      <w:r w:rsidRPr="003340FD">
        <w:rPr>
          <w:rFonts w:ascii="Sakkal Majalla" w:hAnsi="Sakkal Majalla" w:cs="Sakkal Majalla"/>
          <w:b/>
          <w:bCs/>
          <w:color w:val="000000" w:themeColor="text1"/>
          <w:sz w:val="28"/>
          <w:szCs w:val="28"/>
        </w:rPr>
        <w:t>:</w:t>
      </w:r>
    </w:p>
    <w:p w14:paraId="482D7ECA" w14:textId="77777777" w:rsidR="00760000" w:rsidRPr="003340FD" w:rsidRDefault="00760000" w:rsidP="00E81F00">
      <w:pPr>
        <w:numPr>
          <w:ilvl w:val="0"/>
          <w:numId w:val="11"/>
        </w:numPr>
        <w:tabs>
          <w:tab w:val="clear" w:pos="720"/>
          <w:tab w:val="num" w:pos="424"/>
        </w:tabs>
        <w:spacing w:before="100" w:beforeAutospacing="1" w:after="100" w:afterAutospacing="1" w:line="360" w:lineRule="auto"/>
        <w:ind w:left="282"/>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رفع كفاءة الموارد عبر التحول نحو الاقتصاد الدائري وتقنيات البيع الذكي</w:t>
      </w:r>
      <w:r w:rsidRPr="003340FD">
        <w:rPr>
          <w:rFonts w:ascii="Sakkal Majalla" w:hAnsi="Sakkal Majalla" w:cs="Sakkal Majalla"/>
          <w:color w:val="000000" w:themeColor="text1"/>
          <w:sz w:val="28"/>
          <w:szCs w:val="28"/>
        </w:rPr>
        <w:t>.</w:t>
      </w:r>
    </w:p>
    <w:p w14:paraId="1465D7BD" w14:textId="77777777" w:rsidR="00760000" w:rsidRPr="003340FD" w:rsidRDefault="00760000" w:rsidP="00E81F00">
      <w:pPr>
        <w:numPr>
          <w:ilvl w:val="0"/>
          <w:numId w:val="11"/>
        </w:numPr>
        <w:tabs>
          <w:tab w:val="clear" w:pos="720"/>
          <w:tab w:val="num" w:pos="424"/>
        </w:tabs>
        <w:spacing w:before="100" w:beforeAutospacing="1" w:after="100" w:afterAutospacing="1" w:line="360" w:lineRule="auto"/>
        <w:ind w:left="282"/>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تعزيز الشمول الاجتماعي عبر تمكين المرأة وخلق فرص عمل للشباب</w:t>
      </w:r>
      <w:r w:rsidRPr="003340FD">
        <w:rPr>
          <w:rFonts w:ascii="Sakkal Majalla" w:hAnsi="Sakkal Majalla" w:cs="Sakkal Majalla"/>
          <w:color w:val="000000" w:themeColor="text1"/>
          <w:sz w:val="28"/>
          <w:szCs w:val="28"/>
        </w:rPr>
        <w:t>.</w:t>
      </w:r>
    </w:p>
    <w:p w14:paraId="221224A9" w14:textId="77777777" w:rsidR="00760000" w:rsidRPr="003340FD" w:rsidRDefault="00760000" w:rsidP="00E81F00">
      <w:pPr>
        <w:numPr>
          <w:ilvl w:val="0"/>
          <w:numId w:val="11"/>
        </w:numPr>
        <w:tabs>
          <w:tab w:val="clear" w:pos="720"/>
          <w:tab w:val="num" w:pos="424"/>
        </w:tabs>
        <w:spacing w:before="100" w:beforeAutospacing="1" w:after="100" w:afterAutospacing="1" w:line="360" w:lineRule="auto"/>
        <w:ind w:left="282"/>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دعم المسؤولية البيئية من خلال تبني ممارسات خضراء تقلل من الانبعاثات والنفايات</w:t>
      </w:r>
      <w:r w:rsidRPr="003340FD">
        <w:rPr>
          <w:rFonts w:ascii="Sakkal Majalla" w:hAnsi="Sakkal Majalla" w:cs="Sakkal Majalla"/>
          <w:color w:val="000000" w:themeColor="text1"/>
          <w:sz w:val="28"/>
          <w:szCs w:val="28"/>
        </w:rPr>
        <w:t>.</w:t>
      </w:r>
    </w:p>
    <w:p w14:paraId="2D15274F" w14:textId="77777777" w:rsidR="00760000" w:rsidRPr="003340FD" w:rsidRDefault="00760000" w:rsidP="008A1308">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نشر ثقافة الاستهلاك المستدام من خلال التوعية المجتمعية بالشركات المسؤولة بيئيًا</w:t>
      </w:r>
      <w:r w:rsidRPr="003340FD">
        <w:rPr>
          <w:rFonts w:ascii="Sakkal Majalla" w:hAnsi="Sakkal Majalla" w:cs="Sakkal Majalla"/>
          <w:color w:val="000000" w:themeColor="text1"/>
          <w:sz w:val="28"/>
          <w:szCs w:val="28"/>
        </w:rPr>
        <w:t>.</w:t>
      </w:r>
    </w:p>
    <w:p w14:paraId="1F91D938" w14:textId="0572912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ويشير</w:t>
      </w:r>
      <w:r w:rsidRPr="003340FD">
        <w:rPr>
          <w:rFonts w:ascii="Sakkal Majalla" w:hAnsi="Sakkal Majalla" w:cs="Sakkal Majalla"/>
          <w:color w:val="000000" w:themeColor="text1"/>
          <w:sz w:val="28"/>
          <w:szCs w:val="28"/>
        </w:rPr>
        <w:t xml:space="preserve"> Kang et al. (2023) </w:t>
      </w:r>
      <w:r w:rsidRPr="003340FD">
        <w:rPr>
          <w:rFonts w:ascii="Sakkal Majalla" w:hAnsi="Sakkal Majalla" w:cs="Sakkal Majalla"/>
          <w:color w:val="000000" w:themeColor="text1"/>
          <w:sz w:val="28"/>
          <w:szCs w:val="28"/>
          <w:rtl/>
        </w:rPr>
        <w:t>إلى أن تطبيق تقنيات الواقع المعزز والذكاء الاصطناعي في متاجر التجزئة يسهم في تقليل الحاجة إلى الموارد المادية من خلال التسويق الافتراضي، ويقلل الهدر الناتج عن العمليات اللوجستية، ما يجعل هذه التقنيات أداة فعالة لتحقيق الاستدامة</w:t>
      </w:r>
      <w:r w:rsidR="00E81F00" w:rsidRPr="003340FD">
        <w:rPr>
          <w:rFonts w:ascii="Sakkal Majalla" w:hAnsi="Sakkal Majalla" w:cs="Sakkal Majalla"/>
          <w:color w:val="000000" w:themeColor="text1"/>
          <w:sz w:val="28"/>
          <w:szCs w:val="28"/>
        </w:rPr>
        <w:t>.</w:t>
      </w:r>
      <w:r w:rsidR="00E81F00" w:rsidRPr="003340FD">
        <w:rPr>
          <w:rFonts w:ascii="Sakkal Majalla" w:hAnsi="Sakkal Majalla" w:cs="Sakkal Majalla" w:hint="cs"/>
          <w:color w:val="000000" w:themeColor="text1"/>
          <w:sz w:val="28"/>
          <w:szCs w:val="28"/>
          <w:rtl/>
        </w:rPr>
        <w:t xml:space="preserve"> </w:t>
      </w:r>
      <w:r w:rsidRPr="003340FD">
        <w:rPr>
          <w:rFonts w:ascii="Sakkal Majalla" w:hAnsi="Sakkal Majalla" w:cs="Sakkal Majalla"/>
          <w:color w:val="000000" w:themeColor="text1"/>
          <w:sz w:val="28"/>
          <w:szCs w:val="28"/>
          <w:rtl/>
        </w:rPr>
        <w:t>كما أظهرت دراسة</w:t>
      </w:r>
      <w:r w:rsidRPr="003340FD">
        <w:rPr>
          <w:rFonts w:ascii="Sakkal Majalla" w:hAnsi="Sakkal Majalla" w:cs="Sakkal Majalla"/>
          <w:color w:val="000000" w:themeColor="text1"/>
          <w:sz w:val="28"/>
          <w:szCs w:val="28"/>
        </w:rPr>
        <w:t xml:space="preserve"> Kaur et al. (2022) </w:t>
      </w:r>
      <w:r w:rsidRPr="003340FD">
        <w:rPr>
          <w:rFonts w:ascii="Sakkal Majalla" w:hAnsi="Sakkal Majalla" w:cs="Sakkal Majalla"/>
          <w:color w:val="000000" w:themeColor="text1"/>
          <w:sz w:val="28"/>
          <w:szCs w:val="28"/>
          <w:rtl/>
        </w:rPr>
        <w:t>أن دمج إنترنت الأشياء في أنظمة التجزئة يُسهم في تحسين كفاءة استهلاك الطاقة والمياه في المتاجر، ويُمكّن من مراقبة الأداء البيئي في الوقت الفعلي</w:t>
      </w:r>
      <w:r w:rsidRPr="003340FD">
        <w:rPr>
          <w:rFonts w:ascii="Sakkal Majalla" w:hAnsi="Sakkal Majalla" w:cs="Sakkal Majalla"/>
          <w:color w:val="000000" w:themeColor="text1"/>
          <w:sz w:val="28"/>
          <w:szCs w:val="28"/>
        </w:rPr>
        <w:t>.</w:t>
      </w:r>
    </w:p>
    <w:p w14:paraId="3946F2D1" w14:textId="691DE877" w:rsidR="00760000" w:rsidRPr="003340FD" w:rsidRDefault="00760000" w:rsidP="00E81F00">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3340FD">
        <w:rPr>
          <w:rFonts w:ascii="Sakkal Majalla" w:hAnsi="Sakkal Majalla" w:cs="Sakkal Majalla"/>
          <w:color w:val="000000" w:themeColor="text1"/>
          <w:sz w:val="28"/>
          <w:szCs w:val="28"/>
          <w:rtl/>
        </w:rPr>
        <w:t>هذه المبادرات تؤكد أن تحقيق الاستدامة في التجزئة لم يعد خيارًا ترفيهيًا، بل هو ضرورة استراتيجية لضمان استمرارية القطاع ومواكبته للتحولات العالمية، فالمؤسسات التي تفشل في التكيف مع معايير الاستدامة قد تفقد قدرتها التنافسية في المستقبل، خاصة مع ازدياد وعي المستهلكين وتوجهاتهم نحو العلامات التجارية المسؤولة</w:t>
      </w:r>
      <w:r w:rsidRPr="003340FD">
        <w:rPr>
          <w:rFonts w:ascii="Sakkal Majalla" w:hAnsi="Sakkal Majalla" w:cs="Sakkal Majalla"/>
          <w:color w:val="000000" w:themeColor="text1"/>
          <w:sz w:val="28"/>
          <w:szCs w:val="28"/>
        </w:rPr>
        <w:t>.</w:t>
      </w:r>
    </w:p>
    <w:p w14:paraId="7BDC45DA" w14:textId="2466C1CA" w:rsidR="009F6E22" w:rsidRPr="003340FD" w:rsidRDefault="009F6E22" w:rsidP="009158B5">
      <w:pPr>
        <w:spacing w:before="100" w:beforeAutospacing="1" w:after="100" w:afterAutospacing="1" w:line="360" w:lineRule="auto"/>
        <w:ind w:left="720"/>
        <w:jc w:val="center"/>
        <w:rPr>
          <w:rFonts w:cs="Sakkal Majalla"/>
          <w:b/>
          <w:bCs/>
          <w:color w:val="000000" w:themeColor="text1"/>
          <w:sz w:val="24"/>
          <w:szCs w:val="32"/>
        </w:rPr>
        <w:sectPr w:rsidR="009F6E22" w:rsidRPr="003340FD" w:rsidSect="00E81F00">
          <w:footerReference w:type="default" r:id="rId8"/>
          <w:pgSz w:w="11907" w:h="16840" w:code="9"/>
          <w:pgMar w:top="1440" w:right="1985" w:bottom="1440" w:left="1418" w:header="720" w:footer="720" w:gutter="567"/>
          <w:pgNumType w:start="1"/>
          <w:cols w:space="708"/>
          <w:bidi/>
          <w:rtlGutter/>
          <w:docGrid w:linePitch="360"/>
        </w:sectPr>
      </w:pPr>
      <w:bookmarkStart w:id="0" w:name="_GoBack"/>
      <w:bookmarkEnd w:id="0"/>
    </w:p>
    <w:p w14:paraId="51119228" w14:textId="7F04CC32" w:rsidR="009F6E22" w:rsidRPr="003340FD" w:rsidRDefault="009F6E22" w:rsidP="009F6E22">
      <w:pPr>
        <w:bidi w:val="0"/>
        <w:spacing w:before="100" w:beforeAutospacing="1" w:after="100" w:afterAutospacing="1" w:line="360" w:lineRule="auto"/>
        <w:rPr>
          <w:rFonts w:ascii="Sakkal Majalla" w:hAnsi="Sakkal Majalla" w:cs="Sakkal Majalla"/>
          <w:b/>
          <w:bCs/>
          <w:color w:val="000000" w:themeColor="text1"/>
          <w:sz w:val="32"/>
          <w:szCs w:val="32"/>
        </w:rPr>
      </w:pPr>
      <w:r w:rsidRPr="003340FD">
        <w:rPr>
          <w:rFonts w:cs="Sakkal Majalla"/>
          <w:b/>
          <w:bCs/>
          <w:noProof/>
          <w:color w:val="000000" w:themeColor="text1"/>
          <w:szCs w:val="28"/>
        </w:rPr>
        <w:lastRenderedPageBreak/>
        <w:drawing>
          <wp:anchor distT="0" distB="0" distL="114300" distR="114300" simplePos="0" relativeHeight="251665920" behindDoc="0" locked="0" layoutInCell="1" allowOverlap="1" wp14:anchorId="5E3EC656" wp14:editId="45A55B40">
            <wp:simplePos x="0" y="0"/>
            <wp:positionH relativeFrom="margin">
              <wp:align>right</wp:align>
            </wp:positionH>
            <wp:positionV relativeFrom="paragraph">
              <wp:posOffset>0</wp:posOffset>
            </wp:positionV>
            <wp:extent cx="2231390" cy="762000"/>
            <wp:effectExtent l="0" t="0" r="0" b="0"/>
            <wp:wrapSquare wrapText="bothSides"/>
            <wp:docPr id="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3340FD">
        <w:rPr>
          <w:rFonts w:ascii="Sakkal Majalla" w:hAnsi="Sakkal Majalla" w:cs="Sakkal Majalla"/>
          <w:b/>
          <w:bCs/>
          <w:color w:val="000000" w:themeColor="text1"/>
          <w:sz w:val="32"/>
          <w:szCs w:val="32"/>
        </w:rPr>
        <w:t>MedOcean</w:t>
      </w:r>
      <w:proofErr w:type="spellEnd"/>
      <w:r w:rsidRPr="003340FD">
        <w:rPr>
          <w:rFonts w:ascii="Sakkal Majalla" w:hAnsi="Sakkal Majalla" w:cs="Sakkal Majalla"/>
          <w:b/>
          <w:bCs/>
          <w:color w:val="000000" w:themeColor="text1"/>
          <w:sz w:val="32"/>
          <w:szCs w:val="32"/>
        </w:rPr>
        <w:t xml:space="preserve"> University</w:t>
      </w:r>
    </w:p>
    <w:p w14:paraId="2A20F8DA" w14:textId="1D91D77E" w:rsidR="009F6E22" w:rsidRPr="003340FD" w:rsidRDefault="009F6E22" w:rsidP="009F6E22">
      <w:pPr>
        <w:bidi w:val="0"/>
        <w:spacing w:before="100" w:beforeAutospacing="1" w:after="100" w:afterAutospacing="1" w:line="360" w:lineRule="auto"/>
        <w:rPr>
          <w:rFonts w:ascii="Sakkal Majalla" w:hAnsi="Sakkal Majalla" w:cs="Sakkal Majalla"/>
          <w:b/>
          <w:bCs/>
          <w:color w:val="000000" w:themeColor="text1"/>
          <w:sz w:val="32"/>
          <w:szCs w:val="32"/>
        </w:rPr>
      </w:pPr>
      <w:r w:rsidRPr="003340FD">
        <w:rPr>
          <w:rFonts w:ascii="Sakkal Majalla" w:hAnsi="Sakkal Majalla" w:cs="Sakkal Majalla"/>
          <w:b/>
          <w:bCs/>
          <w:color w:val="000000" w:themeColor="text1"/>
          <w:sz w:val="32"/>
          <w:szCs w:val="32"/>
        </w:rPr>
        <w:t>College of Management</w:t>
      </w:r>
    </w:p>
    <w:p w14:paraId="4DF78163" w14:textId="77777777" w:rsidR="009F6E22" w:rsidRPr="003340FD" w:rsidRDefault="009F6E22" w:rsidP="009F6E22">
      <w:pPr>
        <w:bidi w:val="0"/>
        <w:spacing w:before="100" w:beforeAutospacing="1" w:after="100" w:afterAutospacing="1" w:line="360" w:lineRule="auto"/>
        <w:rPr>
          <w:rFonts w:ascii="Sakkal Majalla" w:hAnsi="Sakkal Majalla" w:cs="Sakkal Majalla"/>
          <w:b/>
          <w:bCs/>
          <w:color w:val="000000" w:themeColor="text1"/>
          <w:sz w:val="32"/>
          <w:szCs w:val="32"/>
        </w:rPr>
      </w:pPr>
      <w:r w:rsidRPr="003340FD">
        <w:rPr>
          <w:rFonts w:ascii="Sakkal Majalla" w:hAnsi="Sakkal Majalla" w:cs="Sakkal Majalla"/>
          <w:b/>
          <w:bCs/>
          <w:color w:val="000000" w:themeColor="text1"/>
          <w:sz w:val="32"/>
          <w:szCs w:val="32"/>
        </w:rPr>
        <w:t>Department/Major: Business Administration</w:t>
      </w:r>
    </w:p>
    <w:p w14:paraId="3F66DC49" w14:textId="77777777" w:rsidR="009F6E22" w:rsidRPr="003340FD" w:rsidRDefault="009F6E22" w:rsidP="009F6E22">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3340FD">
        <w:rPr>
          <w:rFonts w:ascii="Sakkal Majalla" w:hAnsi="Sakkal Majalla" w:cs="Sakkal Majalla"/>
          <w:b/>
          <w:bCs/>
          <w:color w:val="000000" w:themeColor="text1"/>
          <w:sz w:val="40"/>
          <w:szCs w:val="40"/>
        </w:rPr>
        <w:t>A Study of the Obstacles and Challenges Hindering the Development of the Retail Sector and Achieving the Sustainable Goals of the Kingdom's Vision 2030</w:t>
      </w:r>
    </w:p>
    <w:p w14:paraId="681DB9F4" w14:textId="77777777" w:rsidR="009F6E22" w:rsidRPr="003340FD" w:rsidRDefault="009F6E22" w:rsidP="009F6E2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340FD">
        <w:rPr>
          <w:rFonts w:ascii="Sakkal Majalla" w:hAnsi="Sakkal Majalla" w:cs="Sakkal Majalla"/>
          <w:b/>
          <w:bCs/>
          <w:color w:val="000000" w:themeColor="text1"/>
          <w:sz w:val="36"/>
          <w:szCs w:val="36"/>
        </w:rPr>
        <w:t>Student Name</w:t>
      </w:r>
      <w:r w:rsidRPr="003340FD">
        <w:rPr>
          <w:rFonts w:ascii="Sakkal Majalla" w:hAnsi="Sakkal Majalla" w:cs="Sakkal Majalla"/>
          <w:b/>
          <w:bCs/>
          <w:color w:val="000000" w:themeColor="text1"/>
          <w:sz w:val="36"/>
          <w:szCs w:val="36"/>
          <w:rtl/>
        </w:rPr>
        <w:t>:</w:t>
      </w:r>
    </w:p>
    <w:p w14:paraId="5773B2E3" w14:textId="77777777" w:rsidR="009F6E22" w:rsidRPr="003340FD" w:rsidRDefault="009F6E22" w:rsidP="009F6E22">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3340FD">
        <w:rPr>
          <w:rFonts w:ascii="Sakkal Majalla" w:hAnsi="Sakkal Majalla" w:cs="Sakkal Majalla"/>
          <w:color w:val="000000" w:themeColor="text1"/>
          <w:sz w:val="36"/>
          <w:szCs w:val="36"/>
        </w:rPr>
        <w:t>Abdullah Al-</w:t>
      </w:r>
      <w:proofErr w:type="spellStart"/>
      <w:r w:rsidRPr="003340FD">
        <w:rPr>
          <w:rFonts w:ascii="Sakkal Majalla" w:hAnsi="Sakkal Majalla" w:cs="Sakkal Majalla"/>
          <w:color w:val="000000" w:themeColor="text1"/>
          <w:sz w:val="36"/>
          <w:szCs w:val="36"/>
        </w:rPr>
        <w:t>Sayed</w:t>
      </w:r>
      <w:proofErr w:type="spellEnd"/>
      <w:r w:rsidRPr="003340FD">
        <w:rPr>
          <w:rFonts w:ascii="Sakkal Majalla" w:hAnsi="Sakkal Majalla" w:cs="Sakkal Majalla"/>
          <w:color w:val="000000" w:themeColor="text1"/>
          <w:sz w:val="36"/>
          <w:szCs w:val="36"/>
        </w:rPr>
        <w:t xml:space="preserve"> Mohammed </w:t>
      </w:r>
      <w:proofErr w:type="spellStart"/>
      <w:r w:rsidRPr="003340FD">
        <w:rPr>
          <w:rFonts w:ascii="Sakkal Majalla" w:hAnsi="Sakkal Majalla" w:cs="Sakkal Majalla"/>
          <w:color w:val="000000" w:themeColor="text1"/>
          <w:sz w:val="36"/>
          <w:szCs w:val="36"/>
        </w:rPr>
        <w:t>Zahir</w:t>
      </w:r>
      <w:proofErr w:type="spellEnd"/>
      <w:r w:rsidRPr="003340FD">
        <w:rPr>
          <w:rFonts w:ascii="Sakkal Majalla" w:hAnsi="Sakkal Majalla" w:cs="Sakkal Majalla"/>
          <w:color w:val="000000" w:themeColor="text1"/>
          <w:sz w:val="36"/>
          <w:szCs w:val="36"/>
        </w:rPr>
        <w:t xml:space="preserve"> Al-</w:t>
      </w:r>
      <w:proofErr w:type="spellStart"/>
      <w:r w:rsidRPr="003340FD">
        <w:rPr>
          <w:rFonts w:ascii="Sakkal Majalla" w:hAnsi="Sakkal Majalla" w:cs="Sakkal Majalla"/>
          <w:color w:val="000000" w:themeColor="text1"/>
          <w:sz w:val="36"/>
          <w:szCs w:val="36"/>
        </w:rPr>
        <w:t>Bukhari</w:t>
      </w:r>
      <w:proofErr w:type="spellEnd"/>
    </w:p>
    <w:p w14:paraId="0CA281DD" w14:textId="77777777" w:rsidR="009F6E22" w:rsidRPr="003340FD" w:rsidRDefault="009F6E22" w:rsidP="009F6E2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340FD">
        <w:rPr>
          <w:rFonts w:ascii="Sakkal Majalla" w:hAnsi="Sakkal Majalla" w:cs="Sakkal Majalla"/>
          <w:b/>
          <w:bCs/>
          <w:color w:val="000000" w:themeColor="text1"/>
          <w:sz w:val="36"/>
          <w:szCs w:val="36"/>
        </w:rPr>
        <w:t>Supervisors</w:t>
      </w:r>
      <w:r w:rsidRPr="003340FD">
        <w:rPr>
          <w:rFonts w:ascii="Sakkal Majalla" w:hAnsi="Sakkal Majalla" w:cs="Sakkal Majalla"/>
          <w:b/>
          <w:bCs/>
          <w:color w:val="000000" w:themeColor="text1"/>
          <w:sz w:val="36"/>
          <w:szCs w:val="36"/>
          <w:rtl/>
        </w:rPr>
        <w:t>:</w:t>
      </w:r>
    </w:p>
    <w:p w14:paraId="515CB521" w14:textId="77777777" w:rsidR="009F6E22" w:rsidRPr="003340FD" w:rsidRDefault="009F6E22" w:rsidP="009F6E22">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3340FD">
        <w:rPr>
          <w:rFonts w:ascii="Sakkal Majalla" w:hAnsi="Sakkal Majalla" w:cs="Sakkal Majalla"/>
          <w:color w:val="000000" w:themeColor="text1"/>
          <w:sz w:val="36"/>
          <w:szCs w:val="36"/>
        </w:rPr>
        <w:t>Prof. Dr. Al-Faisal Abdul Hamid</w:t>
      </w:r>
    </w:p>
    <w:p w14:paraId="6C9D9584" w14:textId="77777777" w:rsidR="009F6E22" w:rsidRPr="003340FD" w:rsidRDefault="009F6E22" w:rsidP="009F6E22">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3340FD">
        <w:rPr>
          <w:rFonts w:ascii="Sakkal Majalla" w:hAnsi="Sakkal Majalla" w:cs="Sakkal Majalla"/>
          <w:color w:val="000000" w:themeColor="text1"/>
          <w:sz w:val="36"/>
          <w:szCs w:val="36"/>
        </w:rPr>
        <w:t xml:space="preserve">Prof. Dr. Fayez </w:t>
      </w:r>
      <w:proofErr w:type="spellStart"/>
      <w:r w:rsidRPr="003340FD">
        <w:rPr>
          <w:rFonts w:ascii="Sakkal Majalla" w:hAnsi="Sakkal Majalla" w:cs="Sakkal Majalla"/>
          <w:color w:val="000000" w:themeColor="text1"/>
          <w:sz w:val="36"/>
          <w:szCs w:val="36"/>
        </w:rPr>
        <w:t>Jarad</w:t>
      </w:r>
      <w:proofErr w:type="spellEnd"/>
    </w:p>
    <w:p w14:paraId="335D72B2" w14:textId="73AA89E7" w:rsidR="00463F2A" w:rsidRPr="003340FD" w:rsidRDefault="009F6E22" w:rsidP="009F6E22">
      <w:pPr>
        <w:bidi w:val="0"/>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3340FD">
        <w:rPr>
          <w:rFonts w:ascii="Sakkal Majalla" w:hAnsi="Sakkal Majalla" w:cs="Sakkal Majalla"/>
          <w:b/>
          <w:bCs/>
          <w:color w:val="000000" w:themeColor="text1"/>
          <w:sz w:val="36"/>
          <w:szCs w:val="36"/>
        </w:rPr>
        <w:t>1447-2025</w:t>
      </w:r>
    </w:p>
    <w:p w14:paraId="295E3D6A" w14:textId="77777777" w:rsidR="009F6E22" w:rsidRPr="003340FD" w:rsidRDefault="009F6E22" w:rsidP="009F6E22">
      <w:pPr>
        <w:rPr>
          <w:rFonts w:ascii="Sakkal Majalla" w:hAnsi="Sakkal Majalla" w:cs="Sakkal Majalla"/>
          <w:color w:val="000000" w:themeColor="text1"/>
          <w:sz w:val="28"/>
          <w:szCs w:val="28"/>
        </w:rPr>
      </w:pPr>
    </w:p>
    <w:p w14:paraId="492BBC7F" w14:textId="77777777" w:rsidR="009F6E22" w:rsidRPr="003340FD" w:rsidRDefault="009F6E22" w:rsidP="009F6E22">
      <w:pPr>
        <w:rPr>
          <w:rFonts w:ascii="Sakkal Majalla" w:hAnsi="Sakkal Majalla" w:cs="Sakkal Majalla"/>
          <w:color w:val="000000" w:themeColor="text1"/>
          <w:sz w:val="28"/>
          <w:szCs w:val="28"/>
        </w:rPr>
      </w:pPr>
    </w:p>
    <w:p w14:paraId="63DA00DA" w14:textId="77777777" w:rsidR="00463F2A" w:rsidRPr="003340FD" w:rsidRDefault="00463F2A" w:rsidP="003340FD">
      <w:pPr>
        <w:rPr>
          <w:rFonts w:ascii="Sakkal Majalla" w:hAnsi="Sakkal Majalla" w:cs="Sakkal Majalla"/>
          <w:color w:val="000000" w:themeColor="text1"/>
          <w:sz w:val="28"/>
          <w:szCs w:val="28"/>
        </w:rPr>
      </w:pPr>
    </w:p>
    <w:sectPr w:rsidR="00463F2A" w:rsidRPr="003340FD" w:rsidSect="00E81F00">
      <w:footerReference w:type="default" r:id="rId10"/>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584FC1" w14:textId="77777777" w:rsidR="00330C8A" w:rsidRDefault="00330C8A" w:rsidP="008A1308">
      <w:pPr>
        <w:spacing w:after="0" w:line="240" w:lineRule="auto"/>
      </w:pPr>
      <w:r>
        <w:separator/>
      </w:r>
    </w:p>
  </w:endnote>
  <w:endnote w:type="continuationSeparator" w:id="0">
    <w:p w14:paraId="2CE290BF" w14:textId="77777777" w:rsidR="00330C8A" w:rsidRDefault="00330C8A" w:rsidP="008A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08567860"/>
      <w:docPartObj>
        <w:docPartGallery w:val="Page Numbers (Bottom of Page)"/>
        <w:docPartUnique/>
      </w:docPartObj>
    </w:sdtPr>
    <w:sdtContent>
      <w:p w14:paraId="0F47EC74" w14:textId="77777777" w:rsidR="00B5322C" w:rsidRDefault="00B5322C">
        <w:pPr>
          <w:pStyle w:val="Footer"/>
        </w:pPr>
        <w:r>
          <w:rPr>
            <w:noProof/>
          </w:rPr>
          <mc:AlternateContent>
            <mc:Choice Requires="wps">
              <w:drawing>
                <wp:anchor distT="0" distB="0" distL="114300" distR="114300" simplePos="0" relativeHeight="251663360" behindDoc="0" locked="0" layoutInCell="0" allowOverlap="1" wp14:anchorId="5546D19E" wp14:editId="18E46C13">
                  <wp:simplePos x="0" y="0"/>
                  <wp:positionH relativeFrom="rightMargin">
                    <wp:posOffset>-2771775</wp:posOffset>
                  </wp:positionH>
                  <wp:positionV relativeFrom="bottomMargin">
                    <wp:posOffset>203200</wp:posOffset>
                  </wp:positionV>
                  <wp:extent cx="505460" cy="403860"/>
                  <wp:effectExtent l="6350" t="9525" r="12065" b="57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460" cy="403860"/>
                          </a:xfrm>
                          <a:prstGeom prst="foldedCorner">
                            <a:avLst>
                              <a:gd name="adj" fmla="val 34560"/>
                            </a:avLst>
                          </a:prstGeom>
                          <a:solidFill>
                            <a:srgbClr val="FFFFFF"/>
                          </a:solidFill>
                          <a:ln w="3175">
                            <a:solidFill>
                              <a:srgbClr val="808080"/>
                            </a:solidFill>
                            <a:round/>
                            <a:headEnd/>
                            <a:tailEnd/>
                          </a:ln>
                        </wps:spPr>
                        <wps:txbx>
                          <w:txbxContent>
                            <w:p w14:paraId="41D85711" w14:textId="77777777" w:rsidR="00B5322C" w:rsidRPr="008A1308" w:rsidRDefault="00B5322C">
                              <w:pPr>
                                <w:jc w:val="center"/>
                                <w:rPr>
                                  <w:rFonts w:ascii="Sakkal Majalla" w:hAnsi="Sakkal Majalla" w:cs="Sakkal Majalla"/>
                                  <w:b/>
                                  <w:bCs/>
                                  <w:sz w:val="24"/>
                                  <w:szCs w:val="24"/>
                                </w:rPr>
                              </w:pPr>
                              <w:r w:rsidRPr="008A1308">
                                <w:rPr>
                                  <w:rFonts w:ascii="Sakkal Majalla" w:hAnsi="Sakkal Majalla" w:cs="Sakkal Majalla"/>
                                  <w:b/>
                                  <w:bCs/>
                                  <w:sz w:val="24"/>
                                  <w:szCs w:val="24"/>
                                </w:rPr>
                                <w:fldChar w:fldCharType="begin"/>
                              </w:r>
                              <w:r w:rsidRPr="008A1308">
                                <w:rPr>
                                  <w:rFonts w:ascii="Sakkal Majalla" w:hAnsi="Sakkal Majalla" w:cs="Sakkal Majalla"/>
                                  <w:b/>
                                  <w:bCs/>
                                  <w:sz w:val="24"/>
                                  <w:szCs w:val="24"/>
                                </w:rPr>
                                <w:instrText xml:space="preserve"> PAGE    \* MERGEFORMAT </w:instrText>
                              </w:r>
                              <w:r w:rsidRPr="008A1308">
                                <w:rPr>
                                  <w:rFonts w:ascii="Sakkal Majalla" w:hAnsi="Sakkal Majalla" w:cs="Sakkal Majalla"/>
                                  <w:b/>
                                  <w:bCs/>
                                  <w:sz w:val="24"/>
                                  <w:szCs w:val="24"/>
                                </w:rPr>
                                <w:fldChar w:fldCharType="separate"/>
                              </w:r>
                              <w:r w:rsidR="009158B5">
                                <w:rPr>
                                  <w:rFonts w:ascii="Sakkal Majalla" w:hAnsi="Sakkal Majalla" w:cs="Sakkal Majalla"/>
                                  <w:b/>
                                  <w:bCs/>
                                  <w:noProof/>
                                  <w:sz w:val="24"/>
                                  <w:szCs w:val="24"/>
                                  <w:rtl/>
                                </w:rPr>
                                <w:t>31</w:t>
                              </w:r>
                              <w:r w:rsidRPr="008A1308">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46D19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2" o:spid="_x0000_s1026" type="#_x0000_t65" style="position:absolute;left:0;text-align:left;margin-left:-218.25pt;margin-top:16pt;width:39.8pt;height:31.8pt;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" o:allowincell="f" adj="14135" strokecolor="gray" strokeweight=".25pt">
                  <v:textbox>
                    <w:txbxContent>
                      <w:p w14:paraId="41D85711" w14:textId="77777777" w:rsidR="00B5322C" w:rsidRPr="008A1308" w:rsidRDefault="00B5322C">
                        <w:pPr>
                          <w:jc w:val="center"/>
                          <w:rPr>
                            <w:rFonts w:ascii="Sakkal Majalla" w:hAnsi="Sakkal Majalla" w:cs="Sakkal Majalla"/>
                            <w:b/>
                            <w:bCs/>
                            <w:sz w:val="24"/>
                            <w:szCs w:val="24"/>
                          </w:rPr>
                        </w:pPr>
                        <w:r w:rsidRPr="008A1308">
                          <w:rPr>
                            <w:rFonts w:ascii="Sakkal Majalla" w:hAnsi="Sakkal Majalla" w:cs="Sakkal Majalla"/>
                            <w:b/>
                            <w:bCs/>
                            <w:sz w:val="24"/>
                            <w:szCs w:val="24"/>
                          </w:rPr>
                          <w:fldChar w:fldCharType="begin"/>
                        </w:r>
                        <w:r w:rsidRPr="008A1308">
                          <w:rPr>
                            <w:rFonts w:ascii="Sakkal Majalla" w:hAnsi="Sakkal Majalla" w:cs="Sakkal Majalla"/>
                            <w:b/>
                            <w:bCs/>
                            <w:sz w:val="24"/>
                            <w:szCs w:val="24"/>
                          </w:rPr>
                          <w:instrText xml:space="preserve"> PAGE    \* MERGEFORMAT </w:instrText>
                        </w:r>
                        <w:r w:rsidRPr="008A1308">
                          <w:rPr>
                            <w:rFonts w:ascii="Sakkal Majalla" w:hAnsi="Sakkal Majalla" w:cs="Sakkal Majalla"/>
                            <w:b/>
                            <w:bCs/>
                            <w:sz w:val="24"/>
                            <w:szCs w:val="24"/>
                          </w:rPr>
                          <w:fldChar w:fldCharType="separate"/>
                        </w:r>
                        <w:r w:rsidR="009158B5">
                          <w:rPr>
                            <w:rFonts w:ascii="Sakkal Majalla" w:hAnsi="Sakkal Majalla" w:cs="Sakkal Majalla"/>
                            <w:b/>
                            <w:bCs/>
                            <w:noProof/>
                            <w:sz w:val="24"/>
                            <w:szCs w:val="24"/>
                            <w:rtl/>
                          </w:rPr>
                          <w:t>31</w:t>
                        </w:r>
                        <w:r w:rsidRPr="008A1308">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AA378" w14:textId="4F620861" w:rsidR="009F6E22" w:rsidRDefault="009F6E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C46A94" w14:textId="77777777" w:rsidR="00330C8A" w:rsidRDefault="00330C8A" w:rsidP="008A1308">
      <w:pPr>
        <w:spacing w:after="0" w:line="240" w:lineRule="auto"/>
      </w:pPr>
      <w:r>
        <w:separator/>
      </w:r>
    </w:p>
  </w:footnote>
  <w:footnote w:type="continuationSeparator" w:id="0">
    <w:p w14:paraId="07471DA8" w14:textId="77777777" w:rsidR="00330C8A" w:rsidRDefault="00330C8A" w:rsidP="008A13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6079D"/>
    <w:multiLevelType w:val="multilevel"/>
    <w:tmpl w:val="6DB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7F2D87"/>
    <w:multiLevelType w:val="hybridMultilevel"/>
    <w:tmpl w:val="9524EEC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0A5E9D"/>
    <w:multiLevelType w:val="hybridMultilevel"/>
    <w:tmpl w:val="CD2CC61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7D1D28"/>
    <w:multiLevelType w:val="multilevel"/>
    <w:tmpl w:val="9AB6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0F0F63"/>
    <w:multiLevelType w:val="hybridMultilevel"/>
    <w:tmpl w:val="12768AA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B53CF6"/>
    <w:multiLevelType w:val="multilevel"/>
    <w:tmpl w:val="E51AB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C12C1A"/>
    <w:multiLevelType w:val="multilevel"/>
    <w:tmpl w:val="3B4A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97659A"/>
    <w:multiLevelType w:val="hybridMultilevel"/>
    <w:tmpl w:val="267A70F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AA5FDE"/>
    <w:multiLevelType w:val="hybridMultilevel"/>
    <w:tmpl w:val="20B4E8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7521F4"/>
    <w:multiLevelType w:val="hybridMultilevel"/>
    <w:tmpl w:val="FAC8693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80B90"/>
    <w:multiLevelType w:val="multilevel"/>
    <w:tmpl w:val="63B23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A344B"/>
    <w:multiLevelType w:val="hybridMultilevel"/>
    <w:tmpl w:val="1278EC5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2D46EA"/>
    <w:multiLevelType w:val="hybridMultilevel"/>
    <w:tmpl w:val="A66635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13777F"/>
    <w:multiLevelType w:val="multilevel"/>
    <w:tmpl w:val="0C6E2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EA3DC1"/>
    <w:multiLevelType w:val="multilevel"/>
    <w:tmpl w:val="A502E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8CB05EF"/>
    <w:multiLevelType w:val="hybridMultilevel"/>
    <w:tmpl w:val="A2A872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1D597E"/>
    <w:multiLevelType w:val="hybridMultilevel"/>
    <w:tmpl w:val="14BA656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855B42"/>
    <w:multiLevelType w:val="multilevel"/>
    <w:tmpl w:val="88129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657E2F"/>
    <w:multiLevelType w:val="multilevel"/>
    <w:tmpl w:val="264CA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3D1144"/>
    <w:multiLevelType w:val="multilevel"/>
    <w:tmpl w:val="023E5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B497D8E"/>
    <w:multiLevelType w:val="multilevel"/>
    <w:tmpl w:val="29145E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BF663FB"/>
    <w:multiLevelType w:val="hybridMultilevel"/>
    <w:tmpl w:val="DACC8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E73B7E"/>
    <w:multiLevelType w:val="multilevel"/>
    <w:tmpl w:val="3E4A2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3354F5"/>
    <w:multiLevelType w:val="multilevel"/>
    <w:tmpl w:val="0922D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C0424"/>
    <w:multiLevelType w:val="multilevel"/>
    <w:tmpl w:val="ED1CF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A55944"/>
    <w:multiLevelType w:val="hybridMultilevel"/>
    <w:tmpl w:val="B852D9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592B18"/>
    <w:multiLevelType w:val="hybridMultilevel"/>
    <w:tmpl w:val="F64668E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ADE1FB8"/>
    <w:multiLevelType w:val="multilevel"/>
    <w:tmpl w:val="0172E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6B682D"/>
    <w:multiLevelType w:val="hybridMultilevel"/>
    <w:tmpl w:val="A46896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865F1E"/>
    <w:multiLevelType w:val="hybridMultilevel"/>
    <w:tmpl w:val="7CBEF85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375758"/>
    <w:multiLevelType w:val="hybridMultilevel"/>
    <w:tmpl w:val="385A3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FA537B8"/>
    <w:multiLevelType w:val="multilevel"/>
    <w:tmpl w:val="B490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4"/>
  </w:num>
  <w:num w:numId="3">
    <w:abstractNumId w:val="3"/>
  </w:num>
  <w:num w:numId="4">
    <w:abstractNumId w:val="6"/>
  </w:num>
  <w:num w:numId="5">
    <w:abstractNumId w:val="23"/>
  </w:num>
  <w:num w:numId="6">
    <w:abstractNumId w:val="29"/>
  </w:num>
  <w:num w:numId="7">
    <w:abstractNumId w:val="14"/>
  </w:num>
  <w:num w:numId="8">
    <w:abstractNumId w:val="15"/>
  </w:num>
  <w:num w:numId="9">
    <w:abstractNumId w:val="5"/>
  </w:num>
  <w:num w:numId="10">
    <w:abstractNumId w:val="10"/>
  </w:num>
  <w:num w:numId="11">
    <w:abstractNumId w:val="18"/>
  </w:num>
  <w:num w:numId="12">
    <w:abstractNumId w:val="21"/>
  </w:num>
  <w:num w:numId="13">
    <w:abstractNumId w:val="25"/>
  </w:num>
  <w:num w:numId="14">
    <w:abstractNumId w:val="33"/>
  </w:num>
  <w:num w:numId="15">
    <w:abstractNumId w:val="0"/>
  </w:num>
  <w:num w:numId="16">
    <w:abstractNumId w:val="20"/>
  </w:num>
  <w:num w:numId="17">
    <w:abstractNumId w:val="32"/>
  </w:num>
  <w:num w:numId="18">
    <w:abstractNumId w:val="30"/>
  </w:num>
  <w:num w:numId="19">
    <w:abstractNumId w:val="16"/>
  </w:num>
  <w:num w:numId="20">
    <w:abstractNumId w:val="11"/>
  </w:num>
  <w:num w:numId="21">
    <w:abstractNumId w:val="28"/>
  </w:num>
  <w:num w:numId="22">
    <w:abstractNumId w:val="9"/>
  </w:num>
  <w:num w:numId="23">
    <w:abstractNumId w:val="8"/>
  </w:num>
  <w:num w:numId="24">
    <w:abstractNumId w:val="26"/>
  </w:num>
  <w:num w:numId="25">
    <w:abstractNumId w:val="13"/>
  </w:num>
  <w:num w:numId="26">
    <w:abstractNumId w:val="17"/>
  </w:num>
  <w:num w:numId="27">
    <w:abstractNumId w:val="1"/>
  </w:num>
  <w:num w:numId="28">
    <w:abstractNumId w:val="4"/>
  </w:num>
  <w:num w:numId="29">
    <w:abstractNumId w:val="31"/>
  </w:num>
  <w:num w:numId="30">
    <w:abstractNumId w:val="7"/>
  </w:num>
  <w:num w:numId="31">
    <w:abstractNumId w:val="2"/>
  </w:num>
  <w:num w:numId="32">
    <w:abstractNumId w:val="27"/>
  </w:num>
  <w:num w:numId="33">
    <w:abstractNumId w:val="12"/>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975"/>
    <w:rsid w:val="00063C6A"/>
    <w:rsid w:val="000D63E4"/>
    <w:rsid w:val="000F19F9"/>
    <w:rsid w:val="0030015D"/>
    <w:rsid w:val="00330C8A"/>
    <w:rsid w:val="003340FD"/>
    <w:rsid w:val="003C4583"/>
    <w:rsid w:val="00455708"/>
    <w:rsid w:val="00463F2A"/>
    <w:rsid w:val="00464015"/>
    <w:rsid w:val="005A4481"/>
    <w:rsid w:val="005D0405"/>
    <w:rsid w:val="006B3E13"/>
    <w:rsid w:val="007203D3"/>
    <w:rsid w:val="00760000"/>
    <w:rsid w:val="008A1308"/>
    <w:rsid w:val="009158B5"/>
    <w:rsid w:val="00960975"/>
    <w:rsid w:val="009F6E22"/>
    <w:rsid w:val="00B5322C"/>
    <w:rsid w:val="00B81633"/>
    <w:rsid w:val="00CC7883"/>
    <w:rsid w:val="00D70379"/>
    <w:rsid w:val="00D76D88"/>
    <w:rsid w:val="00DA213E"/>
    <w:rsid w:val="00DD663A"/>
    <w:rsid w:val="00E76095"/>
    <w:rsid w:val="00E81F00"/>
    <w:rsid w:val="00EB585A"/>
    <w:rsid w:val="00F47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3BEB1"/>
  <w15:chartTrackingRefBased/>
  <w15:docId w15:val="{111147B1-456C-4E9D-AC67-F0227B600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09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09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09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09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09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0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9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09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09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09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09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0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975"/>
    <w:rPr>
      <w:rFonts w:eastAsiaTheme="majorEastAsia" w:cstheme="majorBidi"/>
      <w:color w:val="272727" w:themeColor="text1" w:themeTint="D8"/>
    </w:rPr>
  </w:style>
  <w:style w:type="paragraph" w:styleId="Title">
    <w:name w:val="Title"/>
    <w:basedOn w:val="Normal"/>
    <w:next w:val="Normal"/>
    <w:link w:val="TitleChar"/>
    <w:uiPriority w:val="10"/>
    <w:qFormat/>
    <w:rsid w:val="00960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975"/>
    <w:pPr>
      <w:spacing w:before="160"/>
      <w:jc w:val="center"/>
    </w:pPr>
    <w:rPr>
      <w:i/>
      <w:iCs/>
      <w:color w:val="404040" w:themeColor="text1" w:themeTint="BF"/>
    </w:rPr>
  </w:style>
  <w:style w:type="character" w:customStyle="1" w:styleId="QuoteChar">
    <w:name w:val="Quote Char"/>
    <w:basedOn w:val="DefaultParagraphFont"/>
    <w:link w:val="Quote"/>
    <w:uiPriority w:val="29"/>
    <w:rsid w:val="00960975"/>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960975"/>
    <w:pPr>
      <w:ind w:left="720"/>
      <w:contextualSpacing/>
    </w:pPr>
  </w:style>
  <w:style w:type="character" w:styleId="IntenseEmphasis">
    <w:name w:val="Intense Emphasis"/>
    <w:basedOn w:val="DefaultParagraphFont"/>
    <w:uiPriority w:val="21"/>
    <w:qFormat/>
    <w:rsid w:val="00960975"/>
    <w:rPr>
      <w:i/>
      <w:iCs/>
      <w:color w:val="2F5496" w:themeColor="accent1" w:themeShade="BF"/>
    </w:rPr>
  </w:style>
  <w:style w:type="paragraph" w:styleId="IntenseQuote">
    <w:name w:val="Intense Quote"/>
    <w:basedOn w:val="Normal"/>
    <w:next w:val="Normal"/>
    <w:link w:val="IntenseQuoteChar"/>
    <w:uiPriority w:val="30"/>
    <w:qFormat/>
    <w:rsid w:val="009609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0975"/>
    <w:rPr>
      <w:i/>
      <w:iCs/>
      <w:color w:val="2F5496" w:themeColor="accent1" w:themeShade="BF"/>
    </w:rPr>
  </w:style>
  <w:style w:type="character" w:styleId="IntenseReference">
    <w:name w:val="Intense Reference"/>
    <w:basedOn w:val="DefaultParagraphFont"/>
    <w:uiPriority w:val="32"/>
    <w:qFormat/>
    <w:rsid w:val="00960975"/>
    <w:rPr>
      <w:b/>
      <w:bCs/>
      <w:smallCaps/>
      <w:color w:val="2F5496" w:themeColor="accent1" w:themeShade="BF"/>
      <w:spacing w:val="5"/>
    </w:rPr>
  </w:style>
  <w:style w:type="character" w:styleId="Hyperlink">
    <w:name w:val="Hyperlink"/>
    <w:basedOn w:val="DefaultParagraphFont"/>
    <w:uiPriority w:val="99"/>
    <w:unhideWhenUsed/>
    <w:rsid w:val="00463F2A"/>
    <w:rPr>
      <w:color w:val="0563C1" w:themeColor="hyperlink"/>
      <w:u w:val="single"/>
    </w:rPr>
  </w:style>
  <w:style w:type="character" w:customStyle="1" w:styleId="UnresolvedMention">
    <w:name w:val="Unresolved Mention"/>
    <w:basedOn w:val="DefaultParagraphFont"/>
    <w:uiPriority w:val="99"/>
    <w:semiHidden/>
    <w:unhideWhenUsed/>
    <w:rsid w:val="00463F2A"/>
    <w:rPr>
      <w:color w:val="605E5C"/>
      <w:shd w:val="clear" w:color="auto" w:fill="E1DFDD"/>
    </w:rPr>
  </w:style>
  <w:style w:type="paragraph" w:styleId="NormalWeb">
    <w:name w:val="Normal (Web)"/>
    <w:basedOn w:val="Normal"/>
    <w:uiPriority w:val="99"/>
    <w:semiHidden/>
    <w:unhideWhenUsed/>
    <w:rsid w:val="00760000"/>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760000"/>
    <w:rPr>
      <w:b/>
      <w:bCs/>
    </w:rPr>
  </w:style>
  <w:style w:type="paragraph" w:styleId="Header">
    <w:name w:val="header"/>
    <w:basedOn w:val="Normal"/>
    <w:link w:val="HeaderChar"/>
    <w:uiPriority w:val="99"/>
    <w:unhideWhenUsed/>
    <w:rsid w:val="008A1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308"/>
  </w:style>
  <w:style w:type="paragraph" w:styleId="Footer">
    <w:name w:val="footer"/>
    <w:basedOn w:val="Normal"/>
    <w:link w:val="FooterChar"/>
    <w:uiPriority w:val="99"/>
    <w:unhideWhenUsed/>
    <w:rsid w:val="008A1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308"/>
  </w:style>
  <w:style w:type="table" w:styleId="TableGrid">
    <w:name w:val="Table Grid"/>
    <w:basedOn w:val="TableNormal"/>
    <w:uiPriority w:val="39"/>
    <w:rsid w:val="008A13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2">
    <w:name w:val="Grid Table 1 Light Accent 2"/>
    <w:basedOn w:val="TableNormal"/>
    <w:uiPriority w:val="46"/>
    <w:rsid w:val="008A1308"/>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5322C"/>
  </w:style>
  <w:style w:type="table" w:styleId="GridTable6Colorful-Accent3">
    <w:name w:val="Grid Table 6 Colorful Accent 3"/>
    <w:basedOn w:val="TableNormal"/>
    <w:uiPriority w:val="51"/>
    <w:rsid w:val="00B5322C"/>
    <w:pPr>
      <w:bidi w:val="0"/>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74826">
      <w:bodyDiv w:val="1"/>
      <w:marLeft w:val="0"/>
      <w:marRight w:val="0"/>
      <w:marTop w:val="0"/>
      <w:marBottom w:val="0"/>
      <w:divBdr>
        <w:top w:val="none" w:sz="0" w:space="0" w:color="auto"/>
        <w:left w:val="none" w:sz="0" w:space="0" w:color="auto"/>
        <w:bottom w:val="none" w:sz="0" w:space="0" w:color="auto"/>
        <w:right w:val="none" w:sz="0" w:space="0" w:color="auto"/>
      </w:divBdr>
    </w:div>
    <w:div w:id="168830807">
      <w:bodyDiv w:val="1"/>
      <w:marLeft w:val="0"/>
      <w:marRight w:val="0"/>
      <w:marTop w:val="0"/>
      <w:marBottom w:val="0"/>
      <w:divBdr>
        <w:top w:val="none" w:sz="0" w:space="0" w:color="auto"/>
        <w:left w:val="none" w:sz="0" w:space="0" w:color="auto"/>
        <w:bottom w:val="none" w:sz="0" w:space="0" w:color="auto"/>
        <w:right w:val="none" w:sz="0" w:space="0" w:color="auto"/>
      </w:divBdr>
    </w:div>
    <w:div w:id="209614859">
      <w:bodyDiv w:val="1"/>
      <w:marLeft w:val="0"/>
      <w:marRight w:val="0"/>
      <w:marTop w:val="0"/>
      <w:marBottom w:val="0"/>
      <w:divBdr>
        <w:top w:val="none" w:sz="0" w:space="0" w:color="auto"/>
        <w:left w:val="none" w:sz="0" w:space="0" w:color="auto"/>
        <w:bottom w:val="none" w:sz="0" w:space="0" w:color="auto"/>
        <w:right w:val="none" w:sz="0" w:space="0" w:color="auto"/>
      </w:divBdr>
    </w:div>
    <w:div w:id="216942580">
      <w:bodyDiv w:val="1"/>
      <w:marLeft w:val="0"/>
      <w:marRight w:val="0"/>
      <w:marTop w:val="0"/>
      <w:marBottom w:val="0"/>
      <w:divBdr>
        <w:top w:val="none" w:sz="0" w:space="0" w:color="auto"/>
        <w:left w:val="none" w:sz="0" w:space="0" w:color="auto"/>
        <w:bottom w:val="none" w:sz="0" w:space="0" w:color="auto"/>
        <w:right w:val="none" w:sz="0" w:space="0" w:color="auto"/>
      </w:divBdr>
    </w:div>
    <w:div w:id="302082570">
      <w:bodyDiv w:val="1"/>
      <w:marLeft w:val="0"/>
      <w:marRight w:val="0"/>
      <w:marTop w:val="0"/>
      <w:marBottom w:val="0"/>
      <w:divBdr>
        <w:top w:val="none" w:sz="0" w:space="0" w:color="auto"/>
        <w:left w:val="none" w:sz="0" w:space="0" w:color="auto"/>
        <w:bottom w:val="none" w:sz="0" w:space="0" w:color="auto"/>
        <w:right w:val="none" w:sz="0" w:space="0" w:color="auto"/>
      </w:divBdr>
    </w:div>
    <w:div w:id="312759206">
      <w:bodyDiv w:val="1"/>
      <w:marLeft w:val="0"/>
      <w:marRight w:val="0"/>
      <w:marTop w:val="0"/>
      <w:marBottom w:val="0"/>
      <w:divBdr>
        <w:top w:val="none" w:sz="0" w:space="0" w:color="auto"/>
        <w:left w:val="none" w:sz="0" w:space="0" w:color="auto"/>
        <w:bottom w:val="none" w:sz="0" w:space="0" w:color="auto"/>
        <w:right w:val="none" w:sz="0" w:space="0" w:color="auto"/>
      </w:divBdr>
    </w:div>
    <w:div w:id="425541332">
      <w:bodyDiv w:val="1"/>
      <w:marLeft w:val="0"/>
      <w:marRight w:val="0"/>
      <w:marTop w:val="0"/>
      <w:marBottom w:val="0"/>
      <w:divBdr>
        <w:top w:val="none" w:sz="0" w:space="0" w:color="auto"/>
        <w:left w:val="none" w:sz="0" w:space="0" w:color="auto"/>
        <w:bottom w:val="none" w:sz="0" w:space="0" w:color="auto"/>
        <w:right w:val="none" w:sz="0" w:space="0" w:color="auto"/>
      </w:divBdr>
    </w:div>
    <w:div w:id="479617930">
      <w:bodyDiv w:val="1"/>
      <w:marLeft w:val="0"/>
      <w:marRight w:val="0"/>
      <w:marTop w:val="0"/>
      <w:marBottom w:val="0"/>
      <w:divBdr>
        <w:top w:val="none" w:sz="0" w:space="0" w:color="auto"/>
        <w:left w:val="none" w:sz="0" w:space="0" w:color="auto"/>
        <w:bottom w:val="none" w:sz="0" w:space="0" w:color="auto"/>
        <w:right w:val="none" w:sz="0" w:space="0" w:color="auto"/>
      </w:divBdr>
      <w:divsChild>
        <w:div w:id="28529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561568">
          <w:marLeft w:val="0"/>
          <w:marRight w:val="0"/>
          <w:marTop w:val="0"/>
          <w:marBottom w:val="0"/>
          <w:divBdr>
            <w:top w:val="none" w:sz="0" w:space="0" w:color="auto"/>
            <w:left w:val="none" w:sz="0" w:space="0" w:color="auto"/>
            <w:bottom w:val="none" w:sz="0" w:space="0" w:color="auto"/>
            <w:right w:val="none" w:sz="0" w:space="0" w:color="auto"/>
          </w:divBdr>
          <w:divsChild>
            <w:div w:id="1231190701">
              <w:marLeft w:val="0"/>
              <w:marRight w:val="0"/>
              <w:marTop w:val="0"/>
              <w:marBottom w:val="0"/>
              <w:divBdr>
                <w:top w:val="none" w:sz="0" w:space="0" w:color="auto"/>
                <w:left w:val="none" w:sz="0" w:space="0" w:color="auto"/>
                <w:bottom w:val="none" w:sz="0" w:space="0" w:color="auto"/>
                <w:right w:val="none" w:sz="0" w:space="0" w:color="auto"/>
              </w:divBdr>
            </w:div>
          </w:divsChild>
        </w:div>
        <w:div w:id="2147238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253938">
      <w:bodyDiv w:val="1"/>
      <w:marLeft w:val="0"/>
      <w:marRight w:val="0"/>
      <w:marTop w:val="0"/>
      <w:marBottom w:val="0"/>
      <w:divBdr>
        <w:top w:val="none" w:sz="0" w:space="0" w:color="auto"/>
        <w:left w:val="none" w:sz="0" w:space="0" w:color="auto"/>
        <w:bottom w:val="none" w:sz="0" w:space="0" w:color="auto"/>
        <w:right w:val="none" w:sz="0" w:space="0" w:color="auto"/>
      </w:divBdr>
    </w:div>
    <w:div w:id="566234166">
      <w:bodyDiv w:val="1"/>
      <w:marLeft w:val="0"/>
      <w:marRight w:val="0"/>
      <w:marTop w:val="0"/>
      <w:marBottom w:val="0"/>
      <w:divBdr>
        <w:top w:val="none" w:sz="0" w:space="0" w:color="auto"/>
        <w:left w:val="none" w:sz="0" w:space="0" w:color="auto"/>
        <w:bottom w:val="none" w:sz="0" w:space="0" w:color="auto"/>
        <w:right w:val="none" w:sz="0" w:space="0" w:color="auto"/>
      </w:divBdr>
    </w:div>
    <w:div w:id="689989586">
      <w:bodyDiv w:val="1"/>
      <w:marLeft w:val="0"/>
      <w:marRight w:val="0"/>
      <w:marTop w:val="0"/>
      <w:marBottom w:val="0"/>
      <w:divBdr>
        <w:top w:val="none" w:sz="0" w:space="0" w:color="auto"/>
        <w:left w:val="none" w:sz="0" w:space="0" w:color="auto"/>
        <w:bottom w:val="none" w:sz="0" w:space="0" w:color="auto"/>
        <w:right w:val="none" w:sz="0" w:space="0" w:color="auto"/>
      </w:divBdr>
    </w:div>
    <w:div w:id="690885824">
      <w:bodyDiv w:val="1"/>
      <w:marLeft w:val="0"/>
      <w:marRight w:val="0"/>
      <w:marTop w:val="0"/>
      <w:marBottom w:val="0"/>
      <w:divBdr>
        <w:top w:val="none" w:sz="0" w:space="0" w:color="auto"/>
        <w:left w:val="none" w:sz="0" w:space="0" w:color="auto"/>
        <w:bottom w:val="none" w:sz="0" w:space="0" w:color="auto"/>
        <w:right w:val="none" w:sz="0" w:space="0" w:color="auto"/>
      </w:divBdr>
    </w:div>
    <w:div w:id="731855361">
      <w:bodyDiv w:val="1"/>
      <w:marLeft w:val="0"/>
      <w:marRight w:val="0"/>
      <w:marTop w:val="0"/>
      <w:marBottom w:val="0"/>
      <w:divBdr>
        <w:top w:val="none" w:sz="0" w:space="0" w:color="auto"/>
        <w:left w:val="none" w:sz="0" w:space="0" w:color="auto"/>
        <w:bottom w:val="none" w:sz="0" w:space="0" w:color="auto"/>
        <w:right w:val="none" w:sz="0" w:space="0" w:color="auto"/>
      </w:divBdr>
    </w:div>
    <w:div w:id="753622668">
      <w:bodyDiv w:val="1"/>
      <w:marLeft w:val="0"/>
      <w:marRight w:val="0"/>
      <w:marTop w:val="0"/>
      <w:marBottom w:val="0"/>
      <w:divBdr>
        <w:top w:val="none" w:sz="0" w:space="0" w:color="auto"/>
        <w:left w:val="none" w:sz="0" w:space="0" w:color="auto"/>
        <w:bottom w:val="none" w:sz="0" w:space="0" w:color="auto"/>
        <w:right w:val="none" w:sz="0" w:space="0" w:color="auto"/>
      </w:divBdr>
    </w:div>
    <w:div w:id="796799624">
      <w:bodyDiv w:val="1"/>
      <w:marLeft w:val="0"/>
      <w:marRight w:val="0"/>
      <w:marTop w:val="0"/>
      <w:marBottom w:val="0"/>
      <w:divBdr>
        <w:top w:val="none" w:sz="0" w:space="0" w:color="auto"/>
        <w:left w:val="none" w:sz="0" w:space="0" w:color="auto"/>
        <w:bottom w:val="none" w:sz="0" w:space="0" w:color="auto"/>
        <w:right w:val="none" w:sz="0" w:space="0" w:color="auto"/>
      </w:divBdr>
      <w:divsChild>
        <w:div w:id="2035157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512114">
          <w:marLeft w:val="0"/>
          <w:marRight w:val="0"/>
          <w:marTop w:val="0"/>
          <w:marBottom w:val="0"/>
          <w:divBdr>
            <w:top w:val="none" w:sz="0" w:space="0" w:color="auto"/>
            <w:left w:val="none" w:sz="0" w:space="0" w:color="auto"/>
            <w:bottom w:val="none" w:sz="0" w:space="0" w:color="auto"/>
            <w:right w:val="none" w:sz="0" w:space="0" w:color="auto"/>
          </w:divBdr>
          <w:divsChild>
            <w:div w:id="2134129134">
              <w:marLeft w:val="0"/>
              <w:marRight w:val="0"/>
              <w:marTop w:val="0"/>
              <w:marBottom w:val="0"/>
              <w:divBdr>
                <w:top w:val="none" w:sz="0" w:space="0" w:color="auto"/>
                <w:left w:val="none" w:sz="0" w:space="0" w:color="auto"/>
                <w:bottom w:val="none" w:sz="0" w:space="0" w:color="auto"/>
                <w:right w:val="none" w:sz="0" w:space="0" w:color="auto"/>
              </w:divBdr>
            </w:div>
          </w:divsChild>
        </w:div>
        <w:div w:id="175727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8542212">
      <w:bodyDiv w:val="1"/>
      <w:marLeft w:val="0"/>
      <w:marRight w:val="0"/>
      <w:marTop w:val="0"/>
      <w:marBottom w:val="0"/>
      <w:divBdr>
        <w:top w:val="none" w:sz="0" w:space="0" w:color="auto"/>
        <w:left w:val="none" w:sz="0" w:space="0" w:color="auto"/>
        <w:bottom w:val="none" w:sz="0" w:space="0" w:color="auto"/>
        <w:right w:val="none" w:sz="0" w:space="0" w:color="auto"/>
      </w:divBdr>
    </w:div>
    <w:div w:id="896237356">
      <w:bodyDiv w:val="1"/>
      <w:marLeft w:val="0"/>
      <w:marRight w:val="0"/>
      <w:marTop w:val="0"/>
      <w:marBottom w:val="0"/>
      <w:divBdr>
        <w:top w:val="none" w:sz="0" w:space="0" w:color="auto"/>
        <w:left w:val="none" w:sz="0" w:space="0" w:color="auto"/>
        <w:bottom w:val="none" w:sz="0" w:space="0" w:color="auto"/>
        <w:right w:val="none" w:sz="0" w:space="0" w:color="auto"/>
      </w:divBdr>
      <w:divsChild>
        <w:div w:id="2073700153">
          <w:blockQuote w:val="1"/>
          <w:marLeft w:val="720"/>
          <w:marRight w:val="720"/>
          <w:marTop w:val="100"/>
          <w:marBottom w:val="100"/>
          <w:divBdr>
            <w:top w:val="none" w:sz="0" w:space="0" w:color="auto"/>
            <w:left w:val="none" w:sz="0" w:space="0" w:color="auto"/>
            <w:bottom w:val="none" w:sz="0" w:space="0" w:color="auto"/>
            <w:right w:val="none" w:sz="0" w:space="0" w:color="auto"/>
          </w:divBdr>
        </w:div>
        <w:div w:id="87047164">
          <w:marLeft w:val="0"/>
          <w:marRight w:val="0"/>
          <w:marTop w:val="0"/>
          <w:marBottom w:val="0"/>
          <w:divBdr>
            <w:top w:val="none" w:sz="0" w:space="0" w:color="auto"/>
            <w:left w:val="none" w:sz="0" w:space="0" w:color="auto"/>
            <w:bottom w:val="none" w:sz="0" w:space="0" w:color="auto"/>
            <w:right w:val="none" w:sz="0" w:space="0" w:color="auto"/>
          </w:divBdr>
          <w:divsChild>
            <w:div w:id="1537157937">
              <w:marLeft w:val="0"/>
              <w:marRight w:val="0"/>
              <w:marTop w:val="0"/>
              <w:marBottom w:val="0"/>
              <w:divBdr>
                <w:top w:val="none" w:sz="0" w:space="0" w:color="auto"/>
                <w:left w:val="none" w:sz="0" w:space="0" w:color="auto"/>
                <w:bottom w:val="none" w:sz="0" w:space="0" w:color="auto"/>
                <w:right w:val="none" w:sz="0" w:space="0" w:color="auto"/>
              </w:divBdr>
            </w:div>
          </w:divsChild>
        </w:div>
        <w:div w:id="1329285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189986">
      <w:bodyDiv w:val="1"/>
      <w:marLeft w:val="0"/>
      <w:marRight w:val="0"/>
      <w:marTop w:val="0"/>
      <w:marBottom w:val="0"/>
      <w:divBdr>
        <w:top w:val="none" w:sz="0" w:space="0" w:color="auto"/>
        <w:left w:val="none" w:sz="0" w:space="0" w:color="auto"/>
        <w:bottom w:val="none" w:sz="0" w:space="0" w:color="auto"/>
        <w:right w:val="none" w:sz="0" w:space="0" w:color="auto"/>
      </w:divBdr>
    </w:div>
    <w:div w:id="979457545">
      <w:bodyDiv w:val="1"/>
      <w:marLeft w:val="0"/>
      <w:marRight w:val="0"/>
      <w:marTop w:val="0"/>
      <w:marBottom w:val="0"/>
      <w:divBdr>
        <w:top w:val="none" w:sz="0" w:space="0" w:color="auto"/>
        <w:left w:val="none" w:sz="0" w:space="0" w:color="auto"/>
        <w:bottom w:val="none" w:sz="0" w:space="0" w:color="auto"/>
        <w:right w:val="none" w:sz="0" w:space="0" w:color="auto"/>
      </w:divBdr>
    </w:div>
    <w:div w:id="984359043">
      <w:bodyDiv w:val="1"/>
      <w:marLeft w:val="0"/>
      <w:marRight w:val="0"/>
      <w:marTop w:val="0"/>
      <w:marBottom w:val="0"/>
      <w:divBdr>
        <w:top w:val="none" w:sz="0" w:space="0" w:color="auto"/>
        <w:left w:val="none" w:sz="0" w:space="0" w:color="auto"/>
        <w:bottom w:val="none" w:sz="0" w:space="0" w:color="auto"/>
        <w:right w:val="none" w:sz="0" w:space="0" w:color="auto"/>
      </w:divBdr>
    </w:div>
    <w:div w:id="1033387641">
      <w:bodyDiv w:val="1"/>
      <w:marLeft w:val="0"/>
      <w:marRight w:val="0"/>
      <w:marTop w:val="0"/>
      <w:marBottom w:val="0"/>
      <w:divBdr>
        <w:top w:val="none" w:sz="0" w:space="0" w:color="auto"/>
        <w:left w:val="none" w:sz="0" w:space="0" w:color="auto"/>
        <w:bottom w:val="none" w:sz="0" w:space="0" w:color="auto"/>
        <w:right w:val="none" w:sz="0" w:space="0" w:color="auto"/>
      </w:divBdr>
    </w:div>
    <w:div w:id="1034618853">
      <w:bodyDiv w:val="1"/>
      <w:marLeft w:val="0"/>
      <w:marRight w:val="0"/>
      <w:marTop w:val="0"/>
      <w:marBottom w:val="0"/>
      <w:divBdr>
        <w:top w:val="none" w:sz="0" w:space="0" w:color="auto"/>
        <w:left w:val="none" w:sz="0" w:space="0" w:color="auto"/>
        <w:bottom w:val="none" w:sz="0" w:space="0" w:color="auto"/>
        <w:right w:val="none" w:sz="0" w:space="0" w:color="auto"/>
      </w:divBdr>
      <w:divsChild>
        <w:div w:id="1945771402">
          <w:marLeft w:val="0"/>
          <w:marRight w:val="0"/>
          <w:marTop w:val="0"/>
          <w:marBottom w:val="0"/>
          <w:divBdr>
            <w:top w:val="none" w:sz="0" w:space="0" w:color="auto"/>
            <w:left w:val="none" w:sz="0" w:space="0" w:color="auto"/>
            <w:bottom w:val="none" w:sz="0" w:space="0" w:color="auto"/>
            <w:right w:val="none" w:sz="0" w:space="0" w:color="auto"/>
          </w:divBdr>
          <w:divsChild>
            <w:div w:id="1610970740">
              <w:marLeft w:val="0"/>
              <w:marRight w:val="0"/>
              <w:marTop w:val="0"/>
              <w:marBottom w:val="0"/>
              <w:divBdr>
                <w:top w:val="none" w:sz="0" w:space="0" w:color="auto"/>
                <w:left w:val="none" w:sz="0" w:space="0" w:color="auto"/>
                <w:bottom w:val="none" w:sz="0" w:space="0" w:color="auto"/>
                <w:right w:val="none" w:sz="0" w:space="0" w:color="auto"/>
              </w:divBdr>
            </w:div>
          </w:divsChild>
        </w:div>
        <w:div w:id="1271621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8232870">
      <w:bodyDiv w:val="1"/>
      <w:marLeft w:val="0"/>
      <w:marRight w:val="0"/>
      <w:marTop w:val="0"/>
      <w:marBottom w:val="0"/>
      <w:divBdr>
        <w:top w:val="none" w:sz="0" w:space="0" w:color="auto"/>
        <w:left w:val="none" w:sz="0" w:space="0" w:color="auto"/>
        <w:bottom w:val="none" w:sz="0" w:space="0" w:color="auto"/>
        <w:right w:val="none" w:sz="0" w:space="0" w:color="auto"/>
      </w:divBdr>
    </w:div>
    <w:div w:id="1116364684">
      <w:bodyDiv w:val="1"/>
      <w:marLeft w:val="0"/>
      <w:marRight w:val="0"/>
      <w:marTop w:val="0"/>
      <w:marBottom w:val="0"/>
      <w:divBdr>
        <w:top w:val="none" w:sz="0" w:space="0" w:color="auto"/>
        <w:left w:val="none" w:sz="0" w:space="0" w:color="auto"/>
        <w:bottom w:val="none" w:sz="0" w:space="0" w:color="auto"/>
        <w:right w:val="none" w:sz="0" w:space="0" w:color="auto"/>
      </w:divBdr>
      <w:divsChild>
        <w:div w:id="2104297744">
          <w:marLeft w:val="0"/>
          <w:marRight w:val="0"/>
          <w:marTop w:val="0"/>
          <w:marBottom w:val="0"/>
          <w:divBdr>
            <w:top w:val="none" w:sz="0" w:space="0" w:color="auto"/>
            <w:left w:val="none" w:sz="0" w:space="0" w:color="auto"/>
            <w:bottom w:val="none" w:sz="0" w:space="0" w:color="auto"/>
            <w:right w:val="none" w:sz="0" w:space="0" w:color="auto"/>
          </w:divBdr>
          <w:divsChild>
            <w:div w:id="1966736634">
              <w:marLeft w:val="0"/>
              <w:marRight w:val="0"/>
              <w:marTop w:val="0"/>
              <w:marBottom w:val="0"/>
              <w:divBdr>
                <w:top w:val="none" w:sz="0" w:space="0" w:color="auto"/>
                <w:left w:val="none" w:sz="0" w:space="0" w:color="auto"/>
                <w:bottom w:val="none" w:sz="0" w:space="0" w:color="auto"/>
                <w:right w:val="none" w:sz="0" w:space="0" w:color="auto"/>
              </w:divBdr>
            </w:div>
          </w:divsChild>
        </w:div>
        <w:div w:id="718018403">
          <w:marLeft w:val="0"/>
          <w:marRight w:val="0"/>
          <w:marTop w:val="0"/>
          <w:marBottom w:val="0"/>
          <w:divBdr>
            <w:top w:val="none" w:sz="0" w:space="0" w:color="auto"/>
            <w:left w:val="none" w:sz="0" w:space="0" w:color="auto"/>
            <w:bottom w:val="none" w:sz="0" w:space="0" w:color="auto"/>
            <w:right w:val="none" w:sz="0" w:space="0" w:color="auto"/>
          </w:divBdr>
          <w:divsChild>
            <w:div w:id="173666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11049">
      <w:bodyDiv w:val="1"/>
      <w:marLeft w:val="0"/>
      <w:marRight w:val="0"/>
      <w:marTop w:val="0"/>
      <w:marBottom w:val="0"/>
      <w:divBdr>
        <w:top w:val="none" w:sz="0" w:space="0" w:color="auto"/>
        <w:left w:val="none" w:sz="0" w:space="0" w:color="auto"/>
        <w:bottom w:val="none" w:sz="0" w:space="0" w:color="auto"/>
        <w:right w:val="none" w:sz="0" w:space="0" w:color="auto"/>
      </w:divBdr>
      <w:divsChild>
        <w:div w:id="1218467498">
          <w:marLeft w:val="0"/>
          <w:marRight w:val="0"/>
          <w:marTop w:val="0"/>
          <w:marBottom w:val="0"/>
          <w:divBdr>
            <w:top w:val="none" w:sz="0" w:space="0" w:color="auto"/>
            <w:left w:val="none" w:sz="0" w:space="0" w:color="auto"/>
            <w:bottom w:val="none" w:sz="0" w:space="0" w:color="auto"/>
            <w:right w:val="none" w:sz="0" w:space="0" w:color="auto"/>
          </w:divBdr>
          <w:divsChild>
            <w:div w:id="104202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9002">
      <w:bodyDiv w:val="1"/>
      <w:marLeft w:val="0"/>
      <w:marRight w:val="0"/>
      <w:marTop w:val="0"/>
      <w:marBottom w:val="0"/>
      <w:divBdr>
        <w:top w:val="none" w:sz="0" w:space="0" w:color="auto"/>
        <w:left w:val="none" w:sz="0" w:space="0" w:color="auto"/>
        <w:bottom w:val="none" w:sz="0" w:space="0" w:color="auto"/>
        <w:right w:val="none" w:sz="0" w:space="0" w:color="auto"/>
      </w:divBdr>
    </w:div>
    <w:div w:id="1312439939">
      <w:bodyDiv w:val="1"/>
      <w:marLeft w:val="0"/>
      <w:marRight w:val="0"/>
      <w:marTop w:val="0"/>
      <w:marBottom w:val="0"/>
      <w:divBdr>
        <w:top w:val="none" w:sz="0" w:space="0" w:color="auto"/>
        <w:left w:val="none" w:sz="0" w:space="0" w:color="auto"/>
        <w:bottom w:val="none" w:sz="0" w:space="0" w:color="auto"/>
        <w:right w:val="none" w:sz="0" w:space="0" w:color="auto"/>
      </w:divBdr>
      <w:divsChild>
        <w:div w:id="1671786050">
          <w:marLeft w:val="0"/>
          <w:marRight w:val="0"/>
          <w:marTop w:val="0"/>
          <w:marBottom w:val="0"/>
          <w:divBdr>
            <w:top w:val="none" w:sz="0" w:space="0" w:color="auto"/>
            <w:left w:val="none" w:sz="0" w:space="0" w:color="auto"/>
            <w:bottom w:val="none" w:sz="0" w:space="0" w:color="auto"/>
            <w:right w:val="none" w:sz="0" w:space="0" w:color="auto"/>
          </w:divBdr>
          <w:divsChild>
            <w:div w:id="980382207">
              <w:marLeft w:val="0"/>
              <w:marRight w:val="0"/>
              <w:marTop w:val="0"/>
              <w:marBottom w:val="0"/>
              <w:divBdr>
                <w:top w:val="none" w:sz="0" w:space="0" w:color="auto"/>
                <w:left w:val="none" w:sz="0" w:space="0" w:color="auto"/>
                <w:bottom w:val="none" w:sz="0" w:space="0" w:color="auto"/>
                <w:right w:val="none" w:sz="0" w:space="0" w:color="auto"/>
              </w:divBdr>
            </w:div>
          </w:divsChild>
        </w:div>
        <w:div w:id="1856069127">
          <w:marLeft w:val="0"/>
          <w:marRight w:val="0"/>
          <w:marTop w:val="0"/>
          <w:marBottom w:val="0"/>
          <w:divBdr>
            <w:top w:val="none" w:sz="0" w:space="0" w:color="auto"/>
            <w:left w:val="none" w:sz="0" w:space="0" w:color="auto"/>
            <w:bottom w:val="none" w:sz="0" w:space="0" w:color="auto"/>
            <w:right w:val="none" w:sz="0" w:space="0" w:color="auto"/>
          </w:divBdr>
          <w:divsChild>
            <w:div w:id="789082980">
              <w:marLeft w:val="0"/>
              <w:marRight w:val="0"/>
              <w:marTop w:val="0"/>
              <w:marBottom w:val="0"/>
              <w:divBdr>
                <w:top w:val="none" w:sz="0" w:space="0" w:color="auto"/>
                <w:left w:val="none" w:sz="0" w:space="0" w:color="auto"/>
                <w:bottom w:val="none" w:sz="0" w:space="0" w:color="auto"/>
                <w:right w:val="none" w:sz="0" w:space="0" w:color="auto"/>
              </w:divBdr>
            </w:div>
          </w:divsChild>
        </w:div>
        <w:div w:id="1287084370">
          <w:marLeft w:val="0"/>
          <w:marRight w:val="0"/>
          <w:marTop w:val="0"/>
          <w:marBottom w:val="0"/>
          <w:divBdr>
            <w:top w:val="none" w:sz="0" w:space="0" w:color="auto"/>
            <w:left w:val="none" w:sz="0" w:space="0" w:color="auto"/>
            <w:bottom w:val="none" w:sz="0" w:space="0" w:color="auto"/>
            <w:right w:val="none" w:sz="0" w:space="0" w:color="auto"/>
          </w:divBdr>
          <w:divsChild>
            <w:div w:id="9949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50521">
      <w:bodyDiv w:val="1"/>
      <w:marLeft w:val="0"/>
      <w:marRight w:val="0"/>
      <w:marTop w:val="0"/>
      <w:marBottom w:val="0"/>
      <w:divBdr>
        <w:top w:val="none" w:sz="0" w:space="0" w:color="auto"/>
        <w:left w:val="none" w:sz="0" w:space="0" w:color="auto"/>
        <w:bottom w:val="none" w:sz="0" w:space="0" w:color="auto"/>
        <w:right w:val="none" w:sz="0" w:space="0" w:color="auto"/>
      </w:divBdr>
    </w:div>
    <w:div w:id="1439911191">
      <w:bodyDiv w:val="1"/>
      <w:marLeft w:val="0"/>
      <w:marRight w:val="0"/>
      <w:marTop w:val="0"/>
      <w:marBottom w:val="0"/>
      <w:divBdr>
        <w:top w:val="none" w:sz="0" w:space="0" w:color="auto"/>
        <w:left w:val="none" w:sz="0" w:space="0" w:color="auto"/>
        <w:bottom w:val="none" w:sz="0" w:space="0" w:color="auto"/>
        <w:right w:val="none" w:sz="0" w:space="0" w:color="auto"/>
      </w:divBdr>
    </w:div>
    <w:div w:id="1442801913">
      <w:bodyDiv w:val="1"/>
      <w:marLeft w:val="0"/>
      <w:marRight w:val="0"/>
      <w:marTop w:val="0"/>
      <w:marBottom w:val="0"/>
      <w:divBdr>
        <w:top w:val="none" w:sz="0" w:space="0" w:color="auto"/>
        <w:left w:val="none" w:sz="0" w:space="0" w:color="auto"/>
        <w:bottom w:val="none" w:sz="0" w:space="0" w:color="auto"/>
        <w:right w:val="none" w:sz="0" w:space="0" w:color="auto"/>
      </w:divBdr>
    </w:div>
    <w:div w:id="1580797095">
      <w:bodyDiv w:val="1"/>
      <w:marLeft w:val="0"/>
      <w:marRight w:val="0"/>
      <w:marTop w:val="0"/>
      <w:marBottom w:val="0"/>
      <w:divBdr>
        <w:top w:val="none" w:sz="0" w:space="0" w:color="auto"/>
        <w:left w:val="none" w:sz="0" w:space="0" w:color="auto"/>
        <w:bottom w:val="none" w:sz="0" w:space="0" w:color="auto"/>
        <w:right w:val="none" w:sz="0" w:space="0" w:color="auto"/>
      </w:divBdr>
    </w:div>
    <w:div w:id="1648586633">
      <w:bodyDiv w:val="1"/>
      <w:marLeft w:val="0"/>
      <w:marRight w:val="0"/>
      <w:marTop w:val="0"/>
      <w:marBottom w:val="0"/>
      <w:divBdr>
        <w:top w:val="none" w:sz="0" w:space="0" w:color="auto"/>
        <w:left w:val="none" w:sz="0" w:space="0" w:color="auto"/>
        <w:bottom w:val="none" w:sz="0" w:space="0" w:color="auto"/>
        <w:right w:val="none" w:sz="0" w:space="0" w:color="auto"/>
      </w:divBdr>
      <w:divsChild>
        <w:div w:id="1871338724">
          <w:marLeft w:val="0"/>
          <w:marRight w:val="0"/>
          <w:marTop w:val="0"/>
          <w:marBottom w:val="0"/>
          <w:divBdr>
            <w:top w:val="none" w:sz="0" w:space="0" w:color="auto"/>
            <w:left w:val="none" w:sz="0" w:space="0" w:color="auto"/>
            <w:bottom w:val="none" w:sz="0" w:space="0" w:color="auto"/>
            <w:right w:val="none" w:sz="0" w:space="0" w:color="auto"/>
          </w:divBdr>
          <w:divsChild>
            <w:div w:id="92357653">
              <w:marLeft w:val="0"/>
              <w:marRight w:val="0"/>
              <w:marTop w:val="0"/>
              <w:marBottom w:val="0"/>
              <w:divBdr>
                <w:top w:val="none" w:sz="0" w:space="0" w:color="auto"/>
                <w:left w:val="none" w:sz="0" w:space="0" w:color="auto"/>
                <w:bottom w:val="none" w:sz="0" w:space="0" w:color="auto"/>
                <w:right w:val="none" w:sz="0" w:space="0" w:color="auto"/>
              </w:divBdr>
            </w:div>
          </w:divsChild>
        </w:div>
        <w:div w:id="747656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0154798">
      <w:bodyDiv w:val="1"/>
      <w:marLeft w:val="0"/>
      <w:marRight w:val="0"/>
      <w:marTop w:val="0"/>
      <w:marBottom w:val="0"/>
      <w:divBdr>
        <w:top w:val="none" w:sz="0" w:space="0" w:color="auto"/>
        <w:left w:val="none" w:sz="0" w:space="0" w:color="auto"/>
        <w:bottom w:val="none" w:sz="0" w:space="0" w:color="auto"/>
        <w:right w:val="none" w:sz="0" w:space="0" w:color="auto"/>
      </w:divBdr>
    </w:div>
    <w:div w:id="1813208194">
      <w:bodyDiv w:val="1"/>
      <w:marLeft w:val="0"/>
      <w:marRight w:val="0"/>
      <w:marTop w:val="0"/>
      <w:marBottom w:val="0"/>
      <w:divBdr>
        <w:top w:val="none" w:sz="0" w:space="0" w:color="auto"/>
        <w:left w:val="none" w:sz="0" w:space="0" w:color="auto"/>
        <w:bottom w:val="none" w:sz="0" w:space="0" w:color="auto"/>
        <w:right w:val="none" w:sz="0" w:space="0" w:color="auto"/>
      </w:divBdr>
    </w:div>
    <w:div w:id="1851604966">
      <w:bodyDiv w:val="1"/>
      <w:marLeft w:val="0"/>
      <w:marRight w:val="0"/>
      <w:marTop w:val="0"/>
      <w:marBottom w:val="0"/>
      <w:divBdr>
        <w:top w:val="none" w:sz="0" w:space="0" w:color="auto"/>
        <w:left w:val="none" w:sz="0" w:space="0" w:color="auto"/>
        <w:bottom w:val="none" w:sz="0" w:space="0" w:color="auto"/>
        <w:right w:val="none" w:sz="0" w:space="0" w:color="auto"/>
      </w:divBdr>
    </w:div>
    <w:div w:id="1903976411">
      <w:bodyDiv w:val="1"/>
      <w:marLeft w:val="0"/>
      <w:marRight w:val="0"/>
      <w:marTop w:val="0"/>
      <w:marBottom w:val="0"/>
      <w:divBdr>
        <w:top w:val="none" w:sz="0" w:space="0" w:color="auto"/>
        <w:left w:val="none" w:sz="0" w:space="0" w:color="auto"/>
        <w:bottom w:val="none" w:sz="0" w:space="0" w:color="auto"/>
        <w:right w:val="none" w:sz="0" w:space="0" w:color="auto"/>
      </w:divBdr>
    </w:div>
    <w:div w:id="1946304407">
      <w:bodyDiv w:val="1"/>
      <w:marLeft w:val="0"/>
      <w:marRight w:val="0"/>
      <w:marTop w:val="0"/>
      <w:marBottom w:val="0"/>
      <w:divBdr>
        <w:top w:val="none" w:sz="0" w:space="0" w:color="auto"/>
        <w:left w:val="none" w:sz="0" w:space="0" w:color="auto"/>
        <w:bottom w:val="none" w:sz="0" w:space="0" w:color="auto"/>
        <w:right w:val="none" w:sz="0" w:space="0" w:color="auto"/>
      </w:divBdr>
      <w:divsChild>
        <w:div w:id="36590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222305">
          <w:marLeft w:val="0"/>
          <w:marRight w:val="0"/>
          <w:marTop w:val="0"/>
          <w:marBottom w:val="0"/>
          <w:divBdr>
            <w:top w:val="none" w:sz="0" w:space="0" w:color="auto"/>
            <w:left w:val="none" w:sz="0" w:space="0" w:color="auto"/>
            <w:bottom w:val="none" w:sz="0" w:space="0" w:color="auto"/>
            <w:right w:val="none" w:sz="0" w:space="0" w:color="auto"/>
          </w:divBdr>
          <w:divsChild>
            <w:div w:id="302543732">
              <w:marLeft w:val="0"/>
              <w:marRight w:val="0"/>
              <w:marTop w:val="0"/>
              <w:marBottom w:val="0"/>
              <w:divBdr>
                <w:top w:val="none" w:sz="0" w:space="0" w:color="auto"/>
                <w:left w:val="none" w:sz="0" w:space="0" w:color="auto"/>
                <w:bottom w:val="none" w:sz="0" w:space="0" w:color="auto"/>
                <w:right w:val="none" w:sz="0" w:space="0" w:color="auto"/>
              </w:divBdr>
            </w:div>
          </w:divsChild>
        </w:div>
        <w:div w:id="82534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867491">
      <w:bodyDiv w:val="1"/>
      <w:marLeft w:val="0"/>
      <w:marRight w:val="0"/>
      <w:marTop w:val="0"/>
      <w:marBottom w:val="0"/>
      <w:divBdr>
        <w:top w:val="none" w:sz="0" w:space="0" w:color="auto"/>
        <w:left w:val="none" w:sz="0" w:space="0" w:color="auto"/>
        <w:bottom w:val="none" w:sz="0" w:space="0" w:color="auto"/>
        <w:right w:val="none" w:sz="0" w:space="0" w:color="auto"/>
      </w:divBdr>
      <w:divsChild>
        <w:div w:id="1187063119">
          <w:blockQuote w:val="1"/>
          <w:marLeft w:val="720"/>
          <w:marRight w:val="720"/>
          <w:marTop w:val="100"/>
          <w:marBottom w:val="100"/>
          <w:divBdr>
            <w:top w:val="none" w:sz="0" w:space="0" w:color="auto"/>
            <w:left w:val="none" w:sz="0" w:space="0" w:color="auto"/>
            <w:bottom w:val="none" w:sz="0" w:space="0" w:color="auto"/>
            <w:right w:val="none" w:sz="0" w:space="0" w:color="auto"/>
          </w:divBdr>
        </w:div>
        <w:div w:id="831797758">
          <w:marLeft w:val="0"/>
          <w:marRight w:val="0"/>
          <w:marTop w:val="0"/>
          <w:marBottom w:val="0"/>
          <w:divBdr>
            <w:top w:val="none" w:sz="0" w:space="0" w:color="auto"/>
            <w:left w:val="none" w:sz="0" w:space="0" w:color="auto"/>
            <w:bottom w:val="none" w:sz="0" w:space="0" w:color="auto"/>
            <w:right w:val="none" w:sz="0" w:space="0" w:color="auto"/>
          </w:divBdr>
          <w:divsChild>
            <w:div w:id="837312410">
              <w:marLeft w:val="0"/>
              <w:marRight w:val="0"/>
              <w:marTop w:val="0"/>
              <w:marBottom w:val="0"/>
              <w:divBdr>
                <w:top w:val="none" w:sz="0" w:space="0" w:color="auto"/>
                <w:left w:val="none" w:sz="0" w:space="0" w:color="auto"/>
                <w:bottom w:val="none" w:sz="0" w:space="0" w:color="auto"/>
                <w:right w:val="none" w:sz="0" w:space="0" w:color="auto"/>
              </w:divBdr>
            </w:div>
          </w:divsChild>
        </w:div>
        <w:div w:id="1803768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00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6987</Words>
  <Characters>39827</Characters>
  <Application>Microsoft Office Word</Application>
  <DocSecurity>0</DocSecurity>
  <Lines>331</Lines>
  <Paragraphs>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Microsoft account</cp:lastModifiedBy>
  <cp:revision>2</cp:revision>
  <cp:lastPrinted>2025-11-02T17:57:00Z</cp:lastPrinted>
  <dcterms:created xsi:type="dcterms:W3CDTF">2025-11-02T17:59:00Z</dcterms:created>
  <dcterms:modified xsi:type="dcterms:W3CDTF">2025-11-02T17:59:00Z</dcterms:modified>
</cp:coreProperties>
</file>