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5FF8EDA" w14:textId="77777777" w:rsidR="00E471C2" w:rsidRDefault="00E471C2" w:rsidP="00E471C2">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71160D0D" w14:textId="1CBBFB68" w:rsidR="00E471C2" w:rsidRPr="00C02409" w:rsidRDefault="00E471C2" w:rsidP="00E471C2">
      <w:pPr>
        <w:bidi/>
      </w:pPr>
      <w:r>
        <w:rPr>
          <w:rFonts w:hint="cs"/>
          <w:rtl/>
        </w:rPr>
        <w:t>تقييم الخطة البحثية للطالب</w:t>
      </w:r>
      <w:r>
        <w:rPr>
          <w:rFonts w:hint="cs"/>
          <w:rtl/>
        </w:rPr>
        <w:t>ة</w:t>
      </w:r>
      <w:r>
        <w:rPr>
          <w:rFonts w:hint="cs"/>
          <w:rtl/>
        </w:rPr>
        <w:t xml:space="preserve"> /</w:t>
      </w:r>
      <w:r>
        <w:rPr>
          <w:rFonts w:hint="cs"/>
          <w:rtl/>
        </w:rPr>
        <w:t xml:space="preserve"> رباب الرحيلي</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686DB90D" w14:textId="2CA0A42B" w:rsidR="000271CA" w:rsidRDefault="004451D7" w:rsidP="005E29D6">
            <w:pPr>
              <w:bidi/>
              <w:rPr>
                <w:rtl/>
              </w:rPr>
            </w:pPr>
            <w:r>
              <w:rPr>
                <w:rFonts w:hint="cs"/>
                <w:rtl/>
              </w:rPr>
              <w:t>أ</w:t>
            </w:r>
            <w:r>
              <w:rPr>
                <w:rtl/>
              </w:rPr>
              <w:t>قتر</w:t>
            </w:r>
            <w:r w:rsidR="000271CA">
              <w:rPr>
                <w:rtl/>
              </w:rPr>
              <w:t>ح تعديل العنوان لي</w:t>
            </w:r>
            <w:r>
              <w:rPr>
                <w:rtl/>
              </w:rPr>
              <w:t xml:space="preserve">ظهر بوضوح </w:t>
            </w:r>
            <w:r w:rsidR="000271CA">
              <w:rPr>
                <w:rFonts w:hint="cs"/>
                <w:rtl/>
              </w:rPr>
              <w:t xml:space="preserve">القانون </w:t>
            </w:r>
            <w:r w:rsidR="005E29D6">
              <w:rPr>
                <w:rFonts w:hint="cs"/>
                <w:rtl/>
              </w:rPr>
              <w:t xml:space="preserve">او النظام </w:t>
            </w:r>
            <w:r w:rsidR="000271CA">
              <w:rPr>
                <w:rFonts w:hint="cs"/>
                <w:rtl/>
              </w:rPr>
              <w:t>المقارن</w:t>
            </w:r>
          </w:p>
          <w:p w14:paraId="2D682ABB" w14:textId="77777777" w:rsidR="000271CA" w:rsidRDefault="000271CA" w:rsidP="000271CA">
            <w:pPr>
              <w:bidi/>
              <w:rPr>
                <w:rtl/>
              </w:rPr>
            </w:pPr>
          </w:p>
          <w:p w14:paraId="57F239E2" w14:textId="6FE88462" w:rsidR="007B760A" w:rsidRDefault="004451D7" w:rsidP="000271CA">
            <w:pPr>
              <w:bidi/>
            </w:pPr>
            <w:r>
              <w:rPr>
                <w:rtl/>
              </w:rPr>
              <w:t xml:space="preserve">وتحديد </w:t>
            </w:r>
            <w:r w:rsidR="000271CA">
              <w:rPr>
                <w:rFonts w:hint="cs"/>
                <w:rtl/>
              </w:rPr>
              <w:t xml:space="preserve">نطاق الموضوع ببيان </w:t>
            </w:r>
            <w:r>
              <w:rPr>
                <w:rtl/>
              </w:rPr>
              <w:t xml:space="preserve">ما إذا </w:t>
            </w:r>
            <w:r w:rsidR="000271CA">
              <w:rPr>
                <w:rtl/>
              </w:rPr>
              <w:t>كان التركيزعلى إجراءات التقاضي أو البنية التحتية الرقمية</w:t>
            </w:r>
            <w:r>
              <w:rPr>
                <w:rtl/>
              </w:rPr>
              <w:t xml:space="preserve"> أو أثر التحول الرقمي على العدالة</w:t>
            </w:r>
            <w:r>
              <w:t>.</w:t>
            </w:r>
          </w:p>
        </w:tc>
        <w:tc>
          <w:tcPr>
            <w:tcW w:w="2903" w:type="dxa"/>
          </w:tcPr>
          <w:p w14:paraId="7B27D5A8" w14:textId="30D791B4" w:rsidR="004451D7" w:rsidRDefault="004451D7" w:rsidP="008E5F42">
            <w:pPr>
              <w:bidi/>
              <w:rPr>
                <w:rtl/>
              </w:rPr>
            </w:pPr>
            <w:r>
              <w:rPr>
                <w:rtl/>
              </w:rPr>
              <w:t xml:space="preserve">تحديد طرف المقارنة </w:t>
            </w:r>
          </w:p>
          <w:p w14:paraId="2512E909" w14:textId="77777777" w:rsidR="004451D7" w:rsidRDefault="004451D7" w:rsidP="004451D7">
            <w:pPr>
              <w:bidi/>
              <w:rPr>
                <w:rtl/>
              </w:rPr>
            </w:pPr>
          </w:p>
          <w:p w14:paraId="5637A173" w14:textId="423C79A1" w:rsidR="007B760A" w:rsidRDefault="004451D7" w:rsidP="004451D7">
            <w:pPr>
              <w:bidi/>
            </w:pPr>
            <w:r>
              <w:rPr>
                <w:rtl/>
              </w:rPr>
              <w:t>وبيان نطاق التحول الرقمي المقصود في النظام القضائي</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0C691CDD" w14:textId="77777777" w:rsidR="003405C0" w:rsidRDefault="008358BC" w:rsidP="003405C0">
            <w:pPr>
              <w:bidi/>
              <w:rPr>
                <w:rtl/>
              </w:rPr>
            </w:pPr>
            <w:r>
              <w:rPr>
                <w:rtl/>
              </w:rPr>
              <w:t>ينصح بتوسيع المقدمة لتشمل تمهيدًا أعمق يهيئ ذهن القارئ للموضوع، مع تح</w:t>
            </w:r>
            <w:r w:rsidR="003405C0">
              <w:rPr>
                <w:rtl/>
              </w:rPr>
              <w:t>ديد نطاق التحول الرقمي المقصود</w:t>
            </w:r>
            <w:r w:rsidR="003405C0">
              <w:rPr>
                <w:rFonts w:hint="cs"/>
                <w:rtl/>
              </w:rPr>
              <w:t>.</w:t>
            </w:r>
          </w:p>
          <w:p w14:paraId="17976AF0" w14:textId="01D1ACFE" w:rsidR="007B760A" w:rsidRDefault="008358BC" w:rsidP="003405C0">
            <w:pPr>
              <w:bidi/>
            </w:pPr>
            <w:r>
              <w:rPr>
                <w:rtl/>
              </w:rPr>
              <w:t>بالإضافة إلى تحديد الدولة أو النظام القانوني محل المقارنة مع النظام القضائي السعودي</w:t>
            </w:r>
            <w:r w:rsidR="003405C0">
              <w:rPr>
                <w:rFonts w:hint="cs"/>
                <w:rtl/>
              </w:rPr>
              <w:t>.</w:t>
            </w:r>
          </w:p>
        </w:tc>
        <w:tc>
          <w:tcPr>
            <w:tcW w:w="2903" w:type="dxa"/>
          </w:tcPr>
          <w:p w14:paraId="1B341BEC" w14:textId="773D85CA" w:rsidR="007B760A" w:rsidRDefault="008358BC" w:rsidP="008E5F42">
            <w:pPr>
              <w:bidi/>
            </w:pPr>
            <w:r>
              <w:rPr>
                <w:rtl/>
              </w:rPr>
              <w:t>المقدمة بحاجة إلى مزيد من الاستفاضة، مع بيان نطاق الموضوع والنقطة البحثية المحورية، وتحديد النظام المقارن مع النظام السعودي</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35DEFE0A" w14:textId="77777777" w:rsidR="003A51D6" w:rsidRDefault="003A51D6" w:rsidP="008E5F42">
            <w:pPr>
              <w:bidi/>
              <w:rPr>
                <w:rtl/>
              </w:rPr>
            </w:pPr>
            <w:r>
              <w:rPr>
                <w:rtl/>
              </w:rPr>
              <w:t>الإشكالية جيدة في مضمونها، لكنها مطولة وفيها</w:t>
            </w:r>
            <w:r>
              <w:rPr>
                <w:rtl/>
              </w:rPr>
              <w:t xml:space="preserve"> بعض التكرار في المفاهيم، مما ي</w:t>
            </w:r>
            <w:r>
              <w:rPr>
                <w:rtl/>
              </w:rPr>
              <w:t xml:space="preserve">ضعف التركيز على جوهر المشكلة. </w:t>
            </w:r>
          </w:p>
          <w:p w14:paraId="7F85BDDE" w14:textId="77777777" w:rsidR="003A51D6" w:rsidRDefault="003A51D6" w:rsidP="003A51D6">
            <w:pPr>
              <w:bidi/>
              <w:rPr>
                <w:rtl/>
              </w:rPr>
            </w:pPr>
          </w:p>
          <w:p w14:paraId="7959B20B" w14:textId="77777777" w:rsidR="00F42B30" w:rsidRDefault="003A51D6" w:rsidP="003A51D6">
            <w:pPr>
              <w:bidi/>
              <w:rPr>
                <w:rtl/>
              </w:rPr>
            </w:pPr>
            <w:r>
              <w:rPr>
                <w:rtl/>
              </w:rPr>
              <w:t>كما أن بعض العبارات تحتاج</w:t>
            </w:r>
            <w:r>
              <w:rPr>
                <w:rtl/>
              </w:rPr>
              <w:t xml:space="preserve"> إلى صياغة قانونية أكثر دقة</w:t>
            </w:r>
            <w:r w:rsidR="00F42B30">
              <w:rPr>
                <w:rFonts w:hint="cs"/>
                <w:rtl/>
              </w:rPr>
              <w:t xml:space="preserve"> وبيان لنظام محدد محل المقارنة، كما يجب تحديد الإشكالية على نحو الدقة وعدم التفرع والتشعب بين الموضوعات، كما أنك خلطت بين النظام القضائي والنظام التشريعي فيجب التحديد والالتزام بالنطاق المحدد طوال الدراسة.</w:t>
            </w:r>
          </w:p>
          <w:p w14:paraId="64EA0B53" w14:textId="66918C59" w:rsidR="007B760A" w:rsidRDefault="007B760A" w:rsidP="00F42B30">
            <w:pPr>
              <w:bidi/>
            </w:pPr>
          </w:p>
        </w:tc>
        <w:tc>
          <w:tcPr>
            <w:tcW w:w="2903" w:type="dxa"/>
          </w:tcPr>
          <w:p w14:paraId="73E85297" w14:textId="1D617573" w:rsidR="007B760A" w:rsidRDefault="00E955B3" w:rsidP="00E955B3">
            <w:pPr>
              <w:bidi/>
            </w:pPr>
            <w:r>
              <w:rPr>
                <w:rtl/>
              </w:rPr>
              <w:t>الإشكالية بحاجة إلى اختصار</w:t>
            </w:r>
            <w:r>
              <w:rPr>
                <w:rFonts w:hint="cs"/>
                <w:rtl/>
              </w:rPr>
              <w:t xml:space="preserve"> </w:t>
            </w:r>
            <w:r>
              <w:rPr>
                <w:rtl/>
              </w:rPr>
              <w:t>مع ربط أوضح بأهداف البحث</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379B5182" w:rsidR="007B760A" w:rsidRDefault="00326863" w:rsidP="00326863">
            <w:pPr>
              <w:bidi/>
            </w:pPr>
            <w:r>
              <w:rPr>
                <w:rtl/>
              </w:rPr>
              <w:t>ينبغي تحديد ما إذا كان التركيز على إجراءات التقاضي، أو البنية الرقمية، أو ضمانات العدالة، مع ذكر الدولة أو الدول المقارنة بوضوح، لضمان اتساق التساؤل</w:t>
            </w:r>
            <w:r>
              <w:rPr>
                <w:rFonts w:hint="cs"/>
                <w:rtl/>
              </w:rPr>
              <w:t>ات</w:t>
            </w:r>
            <w:r>
              <w:rPr>
                <w:rtl/>
              </w:rPr>
              <w:t xml:space="preserve"> مع عنوان البحث</w:t>
            </w:r>
            <w:r>
              <w:rPr>
                <w:rFonts w:hint="cs"/>
                <w:rtl/>
              </w:rPr>
              <w:t xml:space="preserve"> والإشكالية</w:t>
            </w:r>
            <w:r>
              <w:rPr>
                <w:rtl/>
              </w:rPr>
              <w:t xml:space="preserve"> </w:t>
            </w:r>
            <w:r>
              <w:rPr>
                <w:rFonts w:hint="cs"/>
                <w:rtl/>
              </w:rPr>
              <w:t>بعد التعديلات.</w:t>
            </w:r>
          </w:p>
        </w:tc>
        <w:tc>
          <w:tcPr>
            <w:tcW w:w="2903" w:type="dxa"/>
          </w:tcPr>
          <w:p w14:paraId="1EF5C165" w14:textId="6EBFDCC6" w:rsidR="007B760A" w:rsidRDefault="00326863" w:rsidP="008E5F42">
            <w:pPr>
              <w:bidi/>
            </w:pPr>
            <w:r>
              <w:rPr>
                <w:rtl/>
              </w:rPr>
              <w:t>صياغة التساؤل الرئيسي عامة وغير محددة من حيث نطاق التحول الرقمي والنظام المقارن</w:t>
            </w:r>
            <w:r>
              <w:rPr>
                <w:rFonts w:hint="cs"/>
                <w:rtl/>
              </w:rPr>
              <w:t>.</w:t>
            </w:r>
          </w:p>
        </w:tc>
        <w:tc>
          <w:tcPr>
            <w:tcW w:w="3126" w:type="dxa"/>
            <w:shd w:val="clear" w:color="auto" w:fill="D5DCE4" w:themeFill="text2" w:themeFillTint="33"/>
          </w:tcPr>
          <w:p w14:paraId="6D73832D" w14:textId="2DF35A60" w:rsidR="007B760A" w:rsidRDefault="007B760A" w:rsidP="008E5F42">
            <w:pPr>
              <w:bidi/>
              <w:rPr>
                <w:rtl/>
              </w:rPr>
            </w:pPr>
            <w:r>
              <w:rPr>
                <w:rFonts w:hint="cs"/>
                <w:rtl/>
              </w:rPr>
              <w:t>تساؤلات</w:t>
            </w:r>
            <w:r w:rsidR="00F95F0A">
              <w:rPr>
                <w:rFonts w:hint="cs"/>
                <w:rtl/>
              </w:rPr>
              <w:t xml:space="preserve"> </w:t>
            </w:r>
            <w:r>
              <w:rPr>
                <w:rFonts w:hint="cs"/>
                <w:rtl/>
              </w:rPr>
              <w:t xml:space="preserve">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20A97BD2" w:rsidR="007B760A" w:rsidRDefault="008F771B" w:rsidP="007300F2">
            <w:pPr>
              <w:bidi/>
            </w:pPr>
            <w:r>
              <w:rPr>
                <w:rtl/>
              </w:rPr>
              <w:lastRenderedPageBreak/>
              <w:t>ينصح بدمج عناصر الأهمية في فقرة واحدة تُبرز القيمة العلمية للبحث، وتوضح أبعاد التقدم الذي حققته المملكة في التحول الرقمي القضائي، و</w:t>
            </w:r>
            <w:r w:rsidR="007300F2">
              <w:rPr>
                <w:rFonts w:hint="cs"/>
                <w:rtl/>
              </w:rPr>
              <w:t>تحديد النظام المقارن و</w:t>
            </w:r>
            <w:r>
              <w:rPr>
                <w:rtl/>
              </w:rPr>
              <w:t>ما تمثله التجربة المقارنة</w:t>
            </w:r>
            <w:r>
              <w:rPr>
                <w:rFonts w:hint="cs"/>
                <w:rtl/>
              </w:rPr>
              <w:t xml:space="preserve"> من إضافة للرسالة.</w:t>
            </w:r>
          </w:p>
        </w:tc>
        <w:tc>
          <w:tcPr>
            <w:tcW w:w="2903" w:type="dxa"/>
          </w:tcPr>
          <w:p w14:paraId="301DEE32" w14:textId="022913A7" w:rsidR="007B760A" w:rsidRDefault="00E1201D" w:rsidP="009E2A46">
            <w:pPr>
              <w:bidi/>
            </w:pPr>
            <w:r>
              <w:rPr>
                <w:rtl/>
              </w:rPr>
              <w:t xml:space="preserve">إعادة صياغة أهمية البحث في فقرة متماسكة بدلًا من سردها في نقاط، مع تعميق الطرح وبيان الأهمية </w:t>
            </w:r>
            <w:r w:rsidR="007300F2">
              <w:rPr>
                <w:rFonts w:hint="cs"/>
                <w:rtl/>
              </w:rPr>
              <w:t xml:space="preserve">القانونية والقضائية </w:t>
            </w:r>
            <w:r w:rsidR="009E2A46">
              <w:rPr>
                <w:rFonts w:hint="cs"/>
                <w:rtl/>
              </w:rPr>
              <w:t>بالنسبة للمجتمع والباحثين من بعدك.</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43F6676B" w:rsidR="007B760A" w:rsidRDefault="0005312F" w:rsidP="008E5F42">
            <w:pPr>
              <w:bidi/>
            </w:pPr>
            <w:r>
              <w:rPr>
                <w:rtl/>
              </w:rPr>
              <w:t>ي</w:t>
            </w:r>
            <w:r>
              <w:rPr>
                <w:rFonts w:hint="cs"/>
                <w:rtl/>
              </w:rPr>
              <w:t>وصى</w:t>
            </w:r>
            <w:r w:rsidR="00A55C8F">
              <w:rPr>
                <w:rtl/>
              </w:rPr>
              <w:t xml:space="preserve"> </w:t>
            </w:r>
            <w:r>
              <w:rPr>
                <w:rFonts w:hint="cs"/>
                <w:rtl/>
              </w:rPr>
              <w:t>ب</w:t>
            </w:r>
            <w:r w:rsidR="00A55C8F">
              <w:rPr>
                <w:rtl/>
              </w:rPr>
              <w:t>حصر المقارنة بدولة واحدة أو اثنتين فقط لضمان التركيز والعمق في المعالجة المنهجية</w:t>
            </w:r>
            <w:r w:rsidR="00A55C8F">
              <w:t>.</w:t>
            </w:r>
          </w:p>
        </w:tc>
        <w:tc>
          <w:tcPr>
            <w:tcW w:w="2903" w:type="dxa"/>
          </w:tcPr>
          <w:p w14:paraId="2578DCA8" w14:textId="593850E6" w:rsidR="007B760A" w:rsidRDefault="0005312F" w:rsidP="00A55C8F">
            <w:pPr>
              <w:bidi/>
            </w:pPr>
            <w:r>
              <w:rPr>
                <w:rFonts w:hint="cs"/>
                <w:rtl/>
              </w:rPr>
              <w:t>تجنب</w:t>
            </w:r>
            <w:r w:rsidR="00A55C8F">
              <w:rPr>
                <w:rtl/>
              </w:rPr>
              <w:t xml:space="preserve"> التعدد</w:t>
            </w:r>
            <w:r w:rsidR="00A55C8F">
              <w:rPr>
                <w:rFonts w:hint="cs"/>
                <w:rtl/>
              </w:rPr>
              <w:t xml:space="preserve"> في المقارنة كي يكون العرض في الرسالة محدد ودقيق.</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F95F0A">
        <w:trPr>
          <w:trHeight w:val="773"/>
        </w:trPr>
        <w:tc>
          <w:tcPr>
            <w:tcW w:w="2976" w:type="dxa"/>
          </w:tcPr>
          <w:p w14:paraId="237DAD36" w14:textId="77777777" w:rsidR="005E29D6" w:rsidRDefault="005E29D6" w:rsidP="005E29D6">
            <w:pPr>
              <w:bidi/>
              <w:rPr>
                <w:rtl/>
              </w:rPr>
            </w:pPr>
            <w:r>
              <w:rPr>
                <w:rFonts w:hint="cs"/>
                <w:rtl/>
              </w:rPr>
              <w:t>نوصي ب</w:t>
            </w:r>
            <w:r>
              <w:rPr>
                <w:rtl/>
              </w:rPr>
              <w:t xml:space="preserve">إعادة صياغة فقرة المنهجية بشكل أدق، مع تعريف كل منهج مستخدم وبيان مبررات اختياره. </w:t>
            </w:r>
          </w:p>
          <w:p w14:paraId="42EC29F5" w14:textId="77777777" w:rsidR="005E29D6" w:rsidRDefault="005E29D6" w:rsidP="005E29D6">
            <w:pPr>
              <w:bidi/>
              <w:rPr>
                <w:rtl/>
              </w:rPr>
            </w:pPr>
          </w:p>
          <w:p w14:paraId="5ACCBD53" w14:textId="77777777" w:rsidR="005E29D6" w:rsidRDefault="005E29D6" w:rsidP="005E29D6">
            <w:pPr>
              <w:bidi/>
              <w:rPr>
                <w:rtl/>
              </w:rPr>
            </w:pPr>
            <w:r>
              <w:rPr>
                <w:rtl/>
              </w:rPr>
              <w:t>يجب تحديد كيفية توظيف المنهج الوصفي التحليلي في تحليل النصوص النظامية والمبادرات القضائية، والمنهج المقارن عند دراسة أوجه الشبه والاختلاف بين التجربة السعودية وتجارب دول محددة (و</w:t>
            </w:r>
            <w:r>
              <w:rPr>
                <w:rFonts w:hint="cs"/>
                <w:rtl/>
              </w:rPr>
              <w:t>يلزم</w:t>
            </w:r>
            <w:r>
              <w:rPr>
                <w:rtl/>
              </w:rPr>
              <w:t xml:space="preserve"> ذكر </w:t>
            </w:r>
            <w:r>
              <w:rPr>
                <w:rFonts w:hint="cs"/>
                <w:rtl/>
              </w:rPr>
              <w:t>الدولة أو النظام محل المقارنة بالتحديد</w:t>
            </w:r>
            <w:r>
              <w:rPr>
                <w:rtl/>
              </w:rPr>
              <w:t xml:space="preserve">). </w:t>
            </w:r>
          </w:p>
          <w:p w14:paraId="2AAF9E5E" w14:textId="77777777" w:rsidR="005E29D6" w:rsidRDefault="005E29D6" w:rsidP="005E29D6">
            <w:pPr>
              <w:bidi/>
              <w:rPr>
                <w:rtl/>
              </w:rPr>
            </w:pPr>
          </w:p>
          <w:p w14:paraId="4E265F77" w14:textId="6DB725C6" w:rsidR="00122593" w:rsidRDefault="005E29D6" w:rsidP="005E29D6">
            <w:pPr>
              <w:bidi/>
            </w:pPr>
            <w:r>
              <w:rPr>
                <w:rtl/>
              </w:rPr>
              <w:t>كما</w:t>
            </w:r>
            <w:r>
              <w:rPr>
                <w:rFonts w:hint="cs"/>
                <w:rtl/>
              </w:rPr>
              <w:t xml:space="preserve"> نلفت الانتباه</w:t>
            </w:r>
            <w:r>
              <w:rPr>
                <w:rtl/>
              </w:rPr>
              <w:t xml:space="preserve"> إلى أن المنهج الاستشرافي لا يُعد منهجًا رئيسيًا في الدراسات القانونية، لذا يجب حصر استخدامه في </w:t>
            </w:r>
            <w:r>
              <w:rPr>
                <w:rStyle w:val="Strong"/>
                <w:rtl/>
              </w:rPr>
              <w:t>جزء التوصيات فقط</w:t>
            </w:r>
            <w:r>
              <w:rPr>
                <w:rtl/>
              </w:rPr>
              <w:t xml:space="preserve"> لتقديم رؤية تطويرية مستقبلية مبنية على نتائج واقعية، وليس في صلب التحليل القانوني</w:t>
            </w:r>
            <w:r>
              <w:rPr>
                <w:rFonts w:hint="cs"/>
                <w:rtl/>
              </w:rPr>
              <w:t>.</w:t>
            </w:r>
          </w:p>
        </w:tc>
        <w:tc>
          <w:tcPr>
            <w:tcW w:w="2903" w:type="dxa"/>
          </w:tcPr>
          <w:p w14:paraId="31294148" w14:textId="36D2AA5F" w:rsidR="00122593" w:rsidRDefault="00B80D0E" w:rsidP="00B80D0E">
            <w:pPr>
              <w:bidi/>
            </w:pPr>
            <w:r>
              <w:rPr>
                <w:rtl/>
              </w:rPr>
              <w:t>منهجية البحث تحتاج إلى</w:t>
            </w:r>
            <w:r>
              <w:rPr>
                <w:rtl/>
              </w:rPr>
              <w:t xml:space="preserve"> بيان ماهية كل منهج وحدود استخدامه داخل البحث، وتوضيح طريقة الاعتماد عليه</w:t>
            </w:r>
            <w:r>
              <w:rPr>
                <w:rFonts w:hint="cs"/>
                <w:rtl/>
              </w:rPr>
              <w:t>.</w:t>
            </w:r>
          </w:p>
        </w:tc>
        <w:tc>
          <w:tcPr>
            <w:tcW w:w="3126" w:type="dxa"/>
            <w:shd w:val="clear" w:color="auto" w:fill="D5DCE4" w:themeFill="text2" w:themeFillTint="33"/>
          </w:tcPr>
          <w:p w14:paraId="16BA33F6" w14:textId="33F4C50F" w:rsidR="00122593" w:rsidRDefault="00F95F0A" w:rsidP="00122593">
            <w:pPr>
              <w:bidi/>
              <w:rPr>
                <w:rtl/>
              </w:rPr>
            </w:pPr>
            <w:r>
              <w:rPr>
                <w:rFonts w:hint="cs"/>
                <w:rtl/>
              </w:rPr>
              <w:t>منهجية الدراسة</w:t>
            </w:r>
          </w:p>
        </w:tc>
      </w:tr>
      <w:tr w:rsidR="007B760A" w14:paraId="5BD04BE1" w14:textId="77777777" w:rsidTr="00F95F0A">
        <w:trPr>
          <w:trHeight w:val="620"/>
        </w:trPr>
        <w:tc>
          <w:tcPr>
            <w:tcW w:w="2976" w:type="dxa"/>
          </w:tcPr>
          <w:p w14:paraId="66F29055" w14:textId="2891E133" w:rsidR="00065F7C" w:rsidRDefault="00065F7C" w:rsidP="00065F7C">
            <w:pPr>
              <w:pStyle w:val="NormalWeb"/>
              <w:bidi/>
            </w:pPr>
            <w:r>
              <w:rPr>
                <w:rtl/>
              </w:rPr>
              <w:t xml:space="preserve">إعادة صياغة الخطة على نحو يوضح بجلاء ما إذا كان التركيز سيكون على </w:t>
            </w:r>
            <w:r w:rsidRPr="00065F7C">
              <w:rPr>
                <w:rStyle w:val="Strong"/>
                <w:rFonts w:eastAsiaTheme="majorEastAsia"/>
                <w:b w:val="0"/>
                <w:bCs w:val="0"/>
                <w:rtl/>
              </w:rPr>
              <w:t>إجراءات التقاضي الرقمية</w:t>
            </w:r>
            <w:r w:rsidRPr="00065F7C">
              <w:rPr>
                <w:b/>
                <w:bCs/>
                <w:rtl/>
              </w:rPr>
              <w:t xml:space="preserve"> أو </w:t>
            </w:r>
            <w:r w:rsidRPr="00065F7C">
              <w:rPr>
                <w:rStyle w:val="Strong"/>
                <w:rFonts w:eastAsiaTheme="majorEastAsia"/>
                <w:b w:val="0"/>
                <w:bCs w:val="0"/>
                <w:rtl/>
              </w:rPr>
              <w:t>البنية التحتية الرقمية القضائية</w:t>
            </w:r>
            <w:r w:rsidRPr="00065F7C">
              <w:rPr>
                <w:b/>
                <w:bCs/>
                <w:rtl/>
              </w:rPr>
              <w:t xml:space="preserve"> أو </w:t>
            </w:r>
            <w:r w:rsidRPr="00065F7C">
              <w:rPr>
                <w:rStyle w:val="Strong"/>
                <w:rFonts w:eastAsiaTheme="majorEastAsia"/>
                <w:b w:val="0"/>
                <w:bCs w:val="0"/>
                <w:rtl/>
              </w:rPr>
              <w:t>أثر التحول الرقمي على العدالة القضائية</w:t>
            </w:r>
            <w:r w:rsidRPr="00065F7C">
              <w:rPr>
                <w:b/>
                <w:bCs/>
              </w:rPr>
              <w:t>.</w:t>
            </w:r>
          </w:p>
          <w:p w14:paraId="02980106" w14:textId="48428A6B" w:rsidR="00065F7C" w:rsidRDefault="00065F7C" w:rsidP="00065F7C">
            <w:pPr>
              <w:pStyle w:val="NormalWeb"/>
              <w:bidi/>
              <w:rPr>
                <w:rtl/>
              </w:rPr>
            </w:pPr>
            <w:r>
              <w:rPr>
                <w:rtl/>
              </w:rPr>
              <w:t>تحديد النظام أو الأنظمة محل المقارنة بدقة في الخطة</w:t>
            </w:r>
            <w:r>
              <w:rPr>
                <w:rFonts w:hint="cs"/>
                <w:rtl/>
              </w:rPr>
              <w:t>.</w:t>
            </w:r>
          </w:p>
          <w:p w14:paraId="0FE550B5" w14:textId="77777777" w:rsidR="00065F7C" w:rsidRDefault="00065F7C" w:rsidP="00065F7C">
            <w:pPr>
              <w:pStyle w:val="NormalWeb"/>
              <w:bidi/>
            </w:pPr>
          </w:p>
          <w:p w14:paraId="6403168C" w14:textId="77777777" w:rsidR="007B760A" w:rsidRPr="00065F7C" w:rsidRDefault="007B760A" w:rsidP="008E5F42">
            <w:pPr>
              <w:bidi/>
              <w:rPr>
                <w:lang w:val="en-US"/>
              </w:rPr>
            </w:pPr>
          </w:p>
        </w:tc>
        <w:tc>
          <w:tcPr>
            <w:tcW w:w="2903" w:type="dxa"/>
          </w:tcPr>
          <w:p w14:paraId="35F2736A" w14:textId="552ECD5D" w:rsidR="007B760A" w:rsidRDefault="000F3517" w:rsidP="008E5F42">
            <w:pPr>
              <w:bidi/>
            </w:pPr>
            <w:r>
              <w:rPr>
                <w:rtl/>
              </w:rPr>
              <w:t xml:space="preserve">ضرورة إعادة النظر في </w:t>
            </w:r>
            <w:r w:rsidRPr="000F3517">
              <w:rPr>
                <w:rStyle w:val="Strong"/>
                <w:b w:val="0"/>
                <w:bCs w:val="0"/>
                <w:rtl/>
              </w:rPr>
              <w:t>تقسيم وتبويب خطة البحث</w:t>
            </w:r>
            <w:r>
              <w:rPr>
                <w:rtl/>
              </w:rPr>
              <w:t>، بما يراعي التدرج المنطقي بين المحاور، وبيان صلة كل محور بإشكالية البحث، مع تقليص أو دمج المحاور المتقاربة لتجنب التكرار، وضمان تركيز البحث في إطاره المحدد</w:t>
            </w:r>
            <w:r>
              <w:t>.</w:t>
            </w:r>
          </w:p>
        </w:tc>
        <w:tc>
          <w:tcPr>
            <w:tcW w:w="3126" w:type="dxa"/>
            <w:shd w:val="clear" w:color="auto" w:fill="D5DCE4" w:themeFill="text2" w:themeFillTint="33"/>
          </w:tcPr>
          <w:p w14:paraId="31426959" w14:textId="17099190" w:rsidR="007B760A" w:rsidRDefault="00F95F0A" w:rsidP="00C34464">
            <w:pPr>
              <w:bidi/>
              <w:rPr>
                <w:rtl/>
              </w:rPr>
            </w:pPr>
            <w:r>
              <w:rPr>
                <w:rFonts w:hint="cs"/>
                <w:rtl/>
              </w:rPr>
              <w:t>التقسيم والتبويب</w:t>
            </w:r>
            <w:r w:rsidR="000F3517">
              <w:rPr>
                <w:rFonts w:hint="cs"/>
                <w:rtl/>
              </w:rPr>
              <w:t xml:space="preserve"> (خطة البحث)</w:t>
            </w:r>
          </w:p>
        </w:tc>
      </w:tr>
    </w:tbl>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bookmarkStart w:id="0" w:name="_GoBack"/>
      <w:bookmarkEnd w:id="0"/>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lastRenderedPageBreak/>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51F22" w14:textId="77777777" w:rsidR="00EA70D1" w:rsidRDefault="00EA70D1" w:rsidP="00C02409">
      <w:pPr>
        <w:spacing w:after="0" w:line="240" w:lineRule="auto"/>
      </w:pPr>
      <w:r>
        <w:separator/>
      </w:r>
    </w:p>
  </w:endnote>
  <w:endnote w:type="continuationSeparator" w:id="0">
    <w:p w14:paraId="2EE656B4" w14:textId="77777777" w:rsidR="00EA70D1" w:rsidRDefault="00EA70D1"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9DD4E" w14:textId="77777777" w:rsidR="00EA70D1" w:rsidRDefault="00EA70D1" w:rsidP="00C02409">
      <w:pPr>
        <w:spacing w:after="0" w:line="240" w:lineRule="auto"/>
      </w:pPr>
      <w:r>
        <w:separator/>
      </w:r>
    </w:p>
  </w:footnote>
  <w:footnote w:type="continuationSeparator" w:id="0">
    <w:p w14:paraId="6E88256E" w14:textId="77777777" w:rsidR="00EA70D1" w:rsidRDefault="00EA70D1"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48385" w14:textId="7EA04B13" w:rsidR="00C02409" w:rsidRDefault="00EA70D1">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8E77F" w14:textId="005FAB49" w:rsidR="00C02409" w:rsidRDefault="00EA70D1">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5A3B2" w14:textId="1BDEA793" w:rsidR="00C02409" w:rsidRDefault="00EA70D1">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AD6924"/>
    <w:multiLevelType w:val="hybridMultilevel"/>
    <w:tmpl w:val="BA4ED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78643A"/>
    <w:multiLevelType w:val="hybridMultilevel"/>
    <w:tmpl w:val="F63C010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271CA"/>
    <w:rsid w:val="0005312F"/>
    <w:rsid w:val="00065F7C"/>
    <w:rsid w:val="000E10DF"/>
    <w:rsid w:val="000F3517"/>
    <w:rsid w:val="00122593"/>
    <w:rsid w:val="002C727C"/>
    <w:rsid w:val="003113FE"/>
    <w:rsid w:val="00326863"/>
    <w:rsid w:val="003405C0"/>
    <w:rsid w:val="003A51D6"/>
    <w:rsid w:val="003B4C92"/>
    <w:rsid w:val="0041387C"/>
    <w:rsid w:val="004451D7"/>
    <w:rsid w:val="004A7E51"/>
    <w:rsid w:val="004D2598"/>
    <w:rsid w:val="00512F48"/>
    <w:rsid w:val="00565A38"/>
    <w:rsid w:val="005A1BF1"/>
    <w:rsid w:val="005A311A"/>
    <w:rsid w:val="005E29D6"/>
    <w:rsid w:val="007300F2"/>
    <w:rsid w:val="007B760A"/>
    <w:rsid w:val="00827059"/>
    <w:rsid w:val="008358BC"/>
    <w:rsid w:val="0089011B"/>
    <w:rsid w:val="008E5F42"/>
    <w:rsid w:val="008F771B"/>
    <w:rsid w:val="00916B48"/>
    <w:rsid w:val="0096102C"/>
    <w:rsid w:val="009C4F02"/>
    <w:rsid w:val="009E2A46"/>
    <w:rsid w:val="00A55C8F"/>
    <w:rsid w:val="00B34EBC"/>
    <w:rsid w:val="00B80D0E"/>
    <w:rsid w:val="00BC3E3B"/>
    <w:rsid w:val="00BD07A9"/>
    <w:rsid w:val="00BF3C78"/>
    <w:rsid w:val="00C02409"/>
    <w:rsid w:val="00C34464"/>
    <w:rsid w:val="00CB5B6E"/>
    <w:rsid w:val="00D106E2"/>
    <w:rsid w:val="00D16071"/>
    <w:rsid w:val="00D20980"/>
    <w:rsid w:val="00D326E8"/>
    <w:rsid w:val="00D60B89"/>
    <w:rsid w:val="00DF42F0"/>
    <w:rsid w:val="00E04288"/>
    <w:rsid w:val="00E1201D"/>
    <w:rsid w:val="00E379C6"/>
    <w:rsid w:val="00E471C2"/>
    <w:rsid w:val="00E86FE4"/>
    <w:rsid w:val="00E955B3"/>
    <w:rsid w:val="00EA70D1"/>
    <w:rsid w:val="00F04D60"/>
    <w:rsid w:val="00F2768B"/>
    <w:rsid w:val="00F42B30"/>
    <w:rsid w:val="00F502C1"/>
    <w:rsid w:val="00F95F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E29D6"/>
    <w:rPr>
      <w:b/>
      <w:bCs/>
    </w:rPr>
  </w:style>
  <w:style w:type="paragraph" w:styleId="NormalWeb">
    <w:name w:val="Normal (Web)"/>
    <w:basedOn w:val="Normal"/>
    <w:uiPriority w:val="99"/>
    <w:semiHidden/>
    <w:unhideWhenUsed/>
    <w:rsid w:val="00065F7C"/>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54842417">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3</Pages>
  <Words>547</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Apple_Tech</cp:lastModifiedBy>
  <cp:revision>21</cp:revision>
  <dcterms:created xsi:type="dcterms:W3CDTF">2025-07-22T15:01:00Z</dcterms:created>
  <dcterms:modified xsi:type="dcterms:W3CDTF">2025-07-22T18:14:00Z</dcterms:modified>
</cp:coreProperties>
</file>