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C0E4A" w14:textId="294B1829" w:rsidR="003872C1" w:rsidRPr="00822632" w:rsidRDefault="00B27B8B" w:rsidP="003872C1">
      <w:pPr>
        <w:spacing w:after="200"/>
        <w:rPr>
          <w:rFonts w:ascii="Times New Roman" w:eastAsia="Times New Roman" w:hAnsi="Times New Roman" w:cs="Times New Roman"/>
          <w:color w:val="1C1C1C"/>
          <w:sz w:val="24"/>
          <w:szCs w:val="24"/>
        </w:rPr>
      </w:pPr>
      <w:r>
        <w:rPr>
          <w:rFonts w:ascii="Times New Roman" w:eastAsia="Times New Roman" w:hAnsi="Times New Roman" w:cs="Times New Roman"/>
          <w:noProof/>
          <w:color w:val="1C1C1C"/>
          <w:sz w:val="24"/>
          <w:szCs w:val="24"/>
        </w:rPr>
        <w:drawing>
          <wp:anchor distT="0" distB="0" distL="114300" distR="114300" simplePos="0" relativeHeight="251688960" behindDoc="1" locked="0" layoutInCell="1" allowOverlap="1" wp14:anchorId="415B2EDC" wp14:editId="52764B40">
            <wp:simplePos x="0" y="0"/>
            <wp:positionH relativeFrom="column">
              <wp:posOffset>3794760</wp:posOffset>
            </wp:positionH>
            <wp:positionV relativeFrom="paragraph">
              <wp:posOffset>144780</wp:posOffset>
            </wp:positionV>
            <wp:extent cx="2385060" cy="93726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5060" cy="937260"/>
                    </a:xfrm>
                    <a:prstGeom prst="rect">
                      <a:avLst/>
                    </a:prstGeom>
                    <a:noFill/>
                  </pic:spPr>
                </pic:pic>
              </a:graphicData>
            </a:graphic>
          </wp:anchor>
        </w:drawing>
      </w:r>
      <w:r>
        <w:rPr>
          <w:rFonts w:ascii="Times New Roman" w:eastAsia="Times New Roman" w:hAnsi="Times New Roman" w:cs="Times New Roman"/>
          <w:noProof/>
          <w:color w:val="1C1C1C"/>
          <w:sz w:val="24"/>
          <w:szCs w:val="24"/>
        </w:rPr>
        <w:drawing>
          <wp:inline distT="0" distB="0" distL="0" distR="0" wp14:anchorId="23C2937F" wp14:editId="03F6D347">
            <wp:extent cx="2346960" cy="1109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1109345"/>
                    </a:xfrm>
                    <a:prstGeom prst="rect">
                      <a:avLst/>
                    </a:prstGeom>
                    <a:noFill/>
                  </pic:spPr>
                </pic:pic>
              </a:graphicData>
            </a:graphic>
          </wp:inline>
        </w:drawing>
      </w:r>
    </w:p>
    <w:p w14:paraId="255CFB69" w14:textId="77777777" w:rsidR="003872C1" w:rsidRPr="00822632" w:rsidRDefault="003872C1" w:rsidP="003872C1">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sz w:val="28"/>
          <w:szCs w:val="28"/>
          <w:rtl/>
        </w:rPr>
        <mc:AlternateContent>
          <mc:Choice Requires="wps">
            <w:drawing>
              <wp:anchor distT="0" distB="0" distL="114300" distR="114300" simplePos="0" relativeHeight="251674624" behindDoc="0" locked="0" layoutInCell="1" allowOverlap="1" wp14:anchorId="23B420A0" wp14:editId="5054729D">
                <wp:simplePos x="0" y="0"/>
                <wp:positionH relativeFrom="column">
                  <wp:posOffset>3327400</wp:posOffset>
                </wp:positionH>
                <wp:positionV relativeFrom="paragraph">
                  <wp:posOffset>154940</wp:posOffset>
                </wp:positionV>
                <wp:extent cx="235331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235331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61C8990" w14:textId="77777777" w:rsidR="003872C1" w:rsidRPr="0039166C" w:rsidRDefault="003872C1" w:rsidP="003872C1">
                            <w:pPr>
                              <w:jc w:val="center"/>
                              <w:rPr>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B420A0" id="Rectangle 53" o:spid="_x0000_s1026" style="position:absolute;margin-left:262pt;margin-top:12.2pt;width:185.3pt;height:1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" fillcolor="window" strokecolor="window" strokeweight="1pt">
                <v:textbox>
                  <w:txbxContent>
                    <w:p w14:paraId="561C8990" w14:textId="77777777" w:rsidR="003872C1" w:rsidRPr="0039166C" w:rsidRDefault="003872C1" w:rsidP="003872C1">
                      <w:pPr>
                        <w:jc w:val="center"/>
                        <w:rPr>
                          <w:sz w:val="28"/>
                          <w:szCs w:val="28"/>
                          <w:lang w:bidi="ar-EG"/>
                        </w:rPr>
                      </w:pPr>
                    </w:p>
                  </w:txbxContent>
                </v:textbox>
              </v:rect>
            </w:pict>
          </mc:Fallback>
        </mc:AlternateContent>
      </w:r>
    </w:p>
    <w:p w14:paraId="7B25AC67" w14:textId="77777777" w:rsidR="003872C1" w:rsidRPr="00822632" w:rsidRDefault="003872C1" w:rsidP="003872C1">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6AE6496E"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F53F3A3" w14:textId="77777777" w:rsidR="003872C1" w:rsidRDefault="003872C1" w:rsidP="00243286">
            <w:pPr>
              <w:jc w:val="center"/>
              <w:rPr>
                <w:rFonts w:ascii="Times New Roman" w:eastAsia="Times New Roman" w:hAnsi="Times New Roman" w:cs="Times New Roman"/>
                <w:color w:val="1C1C1C"/>
                <w:sz w:val="24"/>
                <w:szCs w:val="24"/>
                <w:rtl/>
              </w:rPr>
            </w:pPr>
          </w:p>
          <w:p w14:paraId="02B696C0" w14:textId="77777777" w:rsidR="00B80D8C" w:rsidRDefault="00B80D8C" w:rsidP="00243286">
            <w:pPr>
              <w:jc w:val="center"/>
              <w:rPr>
                <w:rFonts w:ascii="Times New Roman" w:eastAsia="Times New Roman" w:hAnsi="Times New Roman" w:cs="Times New Roman"/>
                <w:color w:val="1C1C1C"/>
                <w:sz w:val="24"/>
                <w:szCs w:val="24"/>
                <w:rtl/>
              </w:rPr>
            </w:pPr>
          </w:p>
          <w:p w14:paraId="31C1F1D5" w14:textId="77777777" w:rsidR="0036120F" w:rsidRPr="00822632" w:rsidRDefault="0036120F" w:rsidP="0036120F">
            <w:pPr>
              <w:rPr>
                <w:rFonts w:ascii="Times New Roman" w:eastAsia="Times New Roman" w:hAnsi="Times New Roman" w:cs="Times New Roman"/>
                <w:color w:val="1C1C1C"/>
                <w:sz w:val="24"/>
                <w:szCs w:val="24"/>
              </w:rPr>
            </w:pPr>
          </w:p>
          <w:p w14:paraId="7867470E" w14:textId="77777777" w:rsidR="003872C1" w:rsidRPr="00822632" w:rsidRDefault="003872C1" w:rsidP="00243286">
            <w:pPr>
              <w:jc w:val="right"/>
              <w:rPr>
                <w:rFonts w:ascii="Times New Roman" w:eastAsia="Times New Roman" w:hAnsi="Times New Roman" w:cs="Times New Roman"/>
                <w:color w:val="1C1C1C"/>
                <w:sz w:val="24"/>
                <w:szCs w:val="24"/>
              </w:rPr>
            </w:pPr>
          </w:p>
          <w:p w14:paraId="2D1DCA4A" w14:textId="77777777"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1F9BE4EB" w14:textId="77777777" w:rsidR="003872C1" w:rsidRPr="00510E8D" w:rsidRDefault="003872C1" w:rsidP="003872C1">
      <w:pPr>
        <w:tabs>
          <w:tab w:val="left" w:pos="5505"/>
        </w:tabs>
        <w:bidi/>
        <w:spacing w:after="160" w:line="259" w:lineRule="auto"/>
        <w:jc w:val="center"/>
        <w:rPr>
          <w:rFonts w:ascii="Traditional Arabic" w:eastAsiaTheme="minorHAnsi" w:hAnsi="Traditional Arabic" w:cs="Traditional Arabic"/>
          <w:b/>
          <w:bCs/>
          <w:color w:val="auto"/>
          <w:sz w:val="36"/>
          <w:szCs w:val="36"/>
          <w:lang w:bidi="ar-EG"/>
        </w:rPr>
      </w:pPr>
      <w:r w:rsidRPr="00463AAC">
        <w:rPr>
          <w:rFonts w:ascii="Traditional Arabic" w:hAnsi="Traditional Arabic" w:cs="Traditional Arabic" w:hint="cs"/>
          <w:b/>
          <w:bCs/>
          <w:sz w:val="36"/>
          <w:szCs w:val="36"/>
          <w:rtl/>
          <w:lang w:bidi="ar-EG"/>
        </w:rPr>
        <w:t>العوامل</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المؤثرة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تمكين</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القيادات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النسائية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المؤسسات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السعودية</w:t>
      </w:r>
    </w:p>
    <w:p w14:paraId="3AA9CAD6" w14:textId="77777777" w:rsidR="003872C1" w:rsidRPr="00822632" w:rsidRDefault="003872C1" w:rsidP="003872C1">
      <w:pPr>
        <w:spacing w:after="80"/>
        <w:jc w:val="center"/>
        <w:rPr>
          <w:rFonts w:ascii="Times New Roman" w:eastAsia="Times New Roman" w:hAnsi="Times New Roman" w:cs="Times New Roman"/>
          <w:b/>
          <w:bCs/>
          <w:color w:val="1C1C1C"/>
          <w:sz w:val="32"/>
          <w:szCs w:val="32"/>
        </w:rPr>
      </w:pPr>
    </w:p>
    <w:p w14:paraId="1ED747D0"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43EAC8C2" w14:textId="77777777" w:rsidR="003872C1" w:rsidRPr="00822632" w:rsidRDefault="003872C1" w:rsidP="003872C1">
      <w:pPr>
        <w:spacing w:after="80"/>
        <w:jc w:val="center"/>
        <w:rPr>
          <w:rFonts w:ascii="Times New Roman" w:eastAsia="Times New Roman" w:hAnsi="Times New Roman" w:cs="Times New Roman"/>
          <w:color w:val="1C1C1C"/>
          <w:sz w:val="32"/>
          <w:szCs w:val="32"/>
        </w:rPr>
      </w:pPr>
    </w:p>
    <w:p w14:paraId="21249E49" w14:textId="77777777" w:rsidR="003872C1" w:rsidRDefault="003872C1" w:rsidP="00F9626D">
      <w:pPr>
        <w:spacing w:after="8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hint="cs"/>
          <w:color w:val="1C1C1C"/>
          <w:sz w:val="32"/>
          <w:szCs w:val="32"/>
          <w:rtl/>
        </w:rPr>
        <w:t>إعداد</w:t>
      </w:r>
      <w:bookmarkStart w:id="0" w:name="OLE_LINK2"/>
    </w:p>
    <w:p w14:paraId="14D907E6" w14:textId="6F18280D" w:rsidR="00BC2ECE" w:rsidRDefault="00B27B8B" w:rsidP="00B27B8B">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سلمى أحمد شريف</w:t>
      </w:r>
    </w:p>
    <w:p w14:paraId="6510D0EE" w14:textId="77777777" w:rsidR="00BC2ECE" w:rsidRDefault="00BC2ECE" w:rsidP="003872C1">
      <w:pPr>
        <w:spacing w:after="60" w:line="276" w:lineRule="auto"/>
        <w:rPr>
          <w:rFonts w:ascii="Times New Roman" w:eastAsia="Times New Roman" w:hAnsi="Times New Roman" w:cs="Times New Roman"/>
          <w:color w:val="1C1C1C"/>
          <w:sz w:val="28"/>
          <w:szCs w:val="28"/>
        </w:rPr>
      </w:pPr>
    </w:p>
    <w:p w14:paraId="512C1426" w14:textId="77777777" w:rsidR="00BC2ECE" w:rsidRDefault="00BC2ECE" w:rsidP="003872C1">
      <w:pPr>
        <w:spacing w:after="60" w:line="276" w:lineRule="auto"/>
        <w:rPr>
          <w:rFonts w:ascii="Times New Roman" w:eastAsia="Times New Roman" w:hAnsi="Times New Roman" w:cs="Times New Roman"/>
          <w:color w:val="1C1C1C"/>
          <w:sz w:val="28"/>
          <w:szCs w:val="28"/>
          <w:rtl/>
        </w:rPr>
      </w:pPr>
    </w:p>
    <w:p w14:paraId="230DDFE8" w14:textId="77777777" w:rsidR="00B80D8C" w:rsidRDefault="00B80D8C" w:rsidP="003872C1">
      <w:pPr>
        <w:spacing w:after="60" w:line="276" w:lineRule="auto"/>
        <w:rPr>
          <w:rFonts w:ascii="Times New Roman" w:eastAsia="Times New Roman" w:hAnsi="Times New Roman" w:cs="Times New Roman"/>
          <w:color w:val="1C1C1C"/>
          <w:sz w:val="28"/>
          <w:szCs w:val="28"/>
          <w:rtl/>
        </w:rPr>
      </w:pPr>
    </w:p>
    <w:p w14:paraId="6653828C" w14:textId="77777777" w:rsidR="00B80D8C" w:rsidRDefault="00B80D8C" w:rsidP="003872C1">
      <w:pPr>
        <w:spacing w:after="60" w:line="276" w:lineRule="auto"/>
        <w:rPr>
          <w:rFonts w:ascii="Times New Roman" w:eastAsia="Times New Roman" w:hAnsi="Times New Roman" w:cs="Times New Roman"/>
          <w:color w:val="1C1C1C"/>
          <w:sz w:val="28"/>
          <w:szCs w:val="28"/>
          <w:rtl/>
        </w:rPr>
      </w:pPr>
    </w:p>
    <w:p w14:paraId="2CC428B3" w14:textId="77777777" w:rsidR="00B80D8C" w:rsidRDefault="00B80D8C" w:rsidP="003872C1">
      <w:pPr>
        <w:spacing w:after="60" w:line="276" w:lineRule="auto"/>
        <w:rPr>
          <w:rFonts w:ascii="Times New Roman" w:eastAsia="Times New Roman" w:hAnsi="Times New Roman" w:cs="Times New Roman"/>
          <w:color w:val="1C1C1C"/>
          <w:sz w:val="28"/>
          <w:szCs w:val="28"/>
          <w:rtl/>
        </w:rPr>
      </w:pPr>
    </w:p>
    <w:p w14:paraId="7C5A2DD2" w14:textId="77777777" w:rsidR="00B80D8C" w:rsidRPr="00822632" w:rsidRDefault="00B80D8C" w:rsidP="003872C1">
      <w:pPr>
        <w:spacing w:after="60" w:line="276" w:lineRule="auto"/>
        <w:rPr>
          <w:rFonts w:ascii="Times New Roman" w:eastAsia="Times New Roman" w:hAnsi="Times New Roman" w:cs="Times New Roman"/>
          <w:color w:val="1C1C1C"/>
          <w:sz w:val="28"/>
          <w:szCs w:val="28"/>
        </w:rPr>
      </w:pPr>
    </w:p>
    <w:p w14:paraId="2A9CC67B" w14:textId="77777777" w:rsidR="003872C1" w:rsidRPr="00822632" w:rsidRDefault="003872C1" w:rsidP="003872C1">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5B771374" w14:textId="77777777" w:rsidR="003872C1" w:rsidRPr="00822632" w:rsidRDefault="003872C1" w:rsidP="003872C1">
      <w:pPr>
        <w:bidi/>
        <w:spacing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bookmarkEnd w:id="0"/>
    <w:p w14:paraId="023240E1"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5CEFB541"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73095D52"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494E1A69" w14:textId="77777777" w:rsidR="003872C1" w:rsidRDefault="003872C1" w:rsidP="00B80D8C">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457FF4A" w14:textId="75DB1B29" w:rsidR="003872C1" w:rsidRPr="00822632" w:rsidRDefault="001114BD" w:rsidP="003872C1">
      <w:pPr>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75648" behindDoc="0" locked="0" layoutInCell="1" allowOverlap="1" wp14:anchorId="52BDDEBB" wp14:editId="67DE16EE">
                <wp:simplePos x="0" y="0"/>
                <wp:positionH relativeFrom="column">
                  <wp:posOffset>3740150</wp:posOffset>
                </wp:positionH>
                <wp:positionV relativeFrom="paragraph">
                  <wp:posOffset>40640</wp:posOffset>
                </wp:positionV>
                <wp:extent cx="2498090" cy="929640"/>
                <wp:effectExtent l="0" t="0" r="16510" b="22860"/>
                <wp:wrapSquare wrapText="bothSides"/>
                <wp:docPr id="1" name="Rectangle 9"/>
                <wp:cNvGraphicFramePr/>
                <a:graphic xmlns:a="http://schemas.openxmlformats.org/drawingml/2006/main">
                  <a:graphicData uri="http://schemas.microsoft.com/office/word/2010/wordprocessingShape">
                    <wps:wsp>
                      <wps:cNvSpPr/>
                      <wps:spPr>
                        <a:xfrm>
                          <a:off x="0" y="0"/>
                          <a:ext cx="249809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1610A08" w14:textId="42AC7F6C" w:rsidR="001114BD" w:rsidRDefault="001114BD" w:rsidP="001114BD">
                            <w:pPr>
                              <w:rPr>
                                <w:b/>
                                <w:bCs/>
                                <w:sz w:val="28"/>
                                <w:szCs w:val="28"/>
                                <w:lang w:bidi="ar-EG"/>
                              </w:rPr>
                            </w:pPr>
                            <w:r>
                              <w:rPr>
                                <w:b/>
                                <w:bCs/>
                                <w:sz w:val="28"/>
                                <w:szCs w:val="28"/>
                                <w:lang w:bidi="ar-EG"/>
                              </w:rPr>
                              <w:t>Mi</w:t>
                            </w:r>
                            <w:r w:rsidRPr="0039166C">
                              <w:rPr>
                                <w:b/>
                                <w:bCs/>
                                <w:sz w:val="28"/>
                                <w:szCs w:val="28"/>
                                <w:lang w:bidi="ar-EG"/>
                              </w:rPr>
                              <w:t>docean University</w:t>
                            </w:r>
                          </w:p>
                          <w:p w14:paraId="0A4A89B7" w14:textId="77777777" w:rsidR="001114BD" w:rsidRPr="0039166C" w:rsidRDefault="001114BD" w:rsidP="001114BD">
                            <w:pPr>
                              <w:rPr>
                                <w:b/>
                                <w:bCs/>
                                <w:sz w:val="28"/>
                                <w:szCs w:val="28"/>
                                <w:lang w:bidi="ar-EG"/>
                              </w:rPr>
                            </w:pPr>
                            <w:r>
                              <w:rPr>
                                <w:rFonts w:hint="cs"/>
                                <w:b/>
                                <w:bCs/>
                                <w:sz w:val="28"/>
                                <w:szCs w:val="28"/>
                                <w:rtl/>
                                <w:lang w:bidi="ar-EG"/>
                              </w:rPr>
                              <w:t xml:space="preserve">    </w:t>
                            </w:r>
                            <w:r w:rsidRPr="0039166C">
                              <w:rPr>
                                <w:b/>
                                <w:bCs/>
                                <w:sz w:val="28"/>
                                <w:szCs w:val="28"/>
                                <w:lang w:bidi="ar-EG"/>
                              </w:rPr>
                              <w:t>Ph.D. program</w:t>
                            </w:r>
                          </w:p>
                          <w:p w14:paraId="6EA12926" w14:textId="245D0D22" w:rsidR="001114BD" w:rsidRPr="0039166C" w:rsidRDefault="001114BD" w:rsidP="001114BD">
                            <w:pPr>
                              <w:rPr>
                                <w:b/>
                                <w:bCs/>
                                <w:sz w:val="28"/>
                                <w:szCs w:val="28"/>
                                <w:rtl/>
                                <w:lang w:bidi="ar-EG"/>
                              </w:rPr>
                            </w:pPr>
                          </w:p>
                          <w:p w14:paraId="7B5D83D5" w14:textId="32CABCFC" w:rsidR="003872C1" w:rsidRDefault="003872C1" w:rsidP="003872C1">
                            <w:pPr>
                              <w:rPr>
                                <w:b/>
                                <w:bCs/>
                                <w:sz w:val="28"/>
                                <w:szCs w:val="28"/>
                                <w:lang w:bidi="ar-EG"/>
                              </w:rPr>
                            </w:pPr>
                          </w:p>
                          <w:p w14:paraId="4D977372" w14:textId="214E865A" w:rsidR="00F9626D" w:rsidRDefault="00F9626D" w:rsidP="003872C1">
                            <w:pPr>
                              <w:rPr>
                                <w:b/>
                                <w:bCs/>
                                <w:sz w:val="28"/>
                                <w:szCs w:val="28"/>
                                <w:lang w:bidi="ar-EG"/>
                              </w:rPr>
                            </w:pPr>
                          </w:p>
                          <w:p w14:paraId="4634BA00" w14:textId="77777777" w:rsidR="00F9626D" w:rsidRDefault="00F9626D" w:rsidP="003872C1">
                            <w:pPr>
                              <w:rPr>
                                <w:b/>
                                <w:bCs/>
                                <w:sz w:val="28"/>
                                <w:szCs w:val="28"/>
                                <w:lang w:bidi="ar-EG"/>
                              </w:rPr>
                            </w:pPr>
                          </w:p>
                          <w:p w14:paraId="6FD066D1" w14:textId="77777777" w:rsidR="00F9626D" w:rsidRDefault="00F9626D" w:rsidP="003872C1">
                            <w:pPr>
                              <w:rPr>
                                <w:b/>
                                <w:bCs/>
                                <w:sz w:val="28"/>
                                <w:szCs w:val="28"/>
                                <w:lang w:bidi="ar-EG"/>
                              </w:rPr>
                            </w:pPr>
                          </w:p>
                          <w:p w14:paraId="29055172" w14:textId="77777777" w:rsidR="00F9626D" w:rsidRDefault="00F9626D" w:rsidP="003872C1">
                            <w:pPr>
                              <w:rPr>
                                <w:b/>
                                <w:bCs/>
                                <w:sz w:val="28"/>
                                <w:szCs w:val="28"/>
                                <w:lang w:bidi="ar-EG"/>
                              </w:rPr>
                            </w:pPr>
                          </w:p>
                          <w:p w14:paraId="4C123D15" w14:textId="77777777" w:rsidR="00F9626D" w:rsidRDefault="00F9626D" w:rsidP="003872C1">
                            <w:pPr>
                              <w:rPr>
                                <w:b/>
                                <w:bCs/>
                                <w:sz w:val="28"/>
                                <w:szCs w:val="28"/>
                                <w:lang w:bidi="ar-EG"/>
                              </w:rPr>
                            </w:pPr>
                          </w:p>
                          <w:p w14:paraId="72BE3115" w14:textId="77777777" w:rsidR="00F9626D" w:rsidRDefault="00F9626D" w:rsidP="003872C1">
                            <w:pPr>
                              <w:rPr>
                                <w:b/>
                                <w:bCs/>
                                <w:sz w:val="28"/>
                                <w:szCs w:val="28"/>
                                <w:lang w:bidi="ar-EG"/>
                              </w:rPr>
                            </w:pPr>
                          </w:p>
                          <w:p w14:paraId="056DE666" w14:textId="77777777" w:rsidR="00F9626D" w:rsidRDefault="00F9626D" w:rsidP="003872C1">
                            <w:pPr>
                              <w:rPr>
                                <w:b/>
                                <w:bCs/>
                                <w:sz w:val="28"/>
                                <w:szCs w:val="28"/>
                                <w:lang w:bidi="ar-EG"/>
                              </w:rPr>
                            </w:pPr>
                          </w:p>
                          <w:p w14:paraId="642C7C98" w14:textId="77777777" w:rsidR="00F9626D" w:rsidRDefault="00F9626D" w:rsidP="003872C1">
                            <w:pPr>
                              <w:rPr>
                                <w:b/>
                                <w:bCs/>
                                <w:sz w:val="28"/>
                                <w:szCs w:val="28"/>
                                <w:lang w:bidi="ar-EG"/>
                              </w:rPr>
                            </w:pPr>
                          </w:p>
                          <w:p w14:paraId="19B4AD23" w14:textId="77777777" w:rsidR="00F9626D" w:rsidRDefault="00F9626D" w:rsidP="003872C1">
                            <w:pPr>
                              <w:rPr>
                                <w:b/>
                                <w:bCs/>
                                <w:sz w:val="28"/>
                                <w:szCs w:val="28"/>
                                <w:lang w:bidi="ar-EG"/>
                              </w:rPr>
                            </w:pPr>
                          </w:p>
                          <w:p w14:paraId="4362C9FE" w14:textId="77777777" w:rsidR="00F9626D" w:rsidRDefault="00F9626D" w:rsidP="003872C1">
                            <w:pPr>
                              <w:rPr>
                                <w:b/>
                                <w:bCs/>
                                <w:sz w:val="28"/>
                                <w:szCs w:val="28"/>
                                <w:lang w:bidi="ar-EG"/>
                              </w:rPr>
                            </w:pPr>
                          </w:p>
                          <w:p w14:paraId="3FEBEA8B" w14:textId="77777777" w:rsidR="00F9626D" w:rsidRPr="0039166C" w:rsidRDefault="00F9626D" w:rsidP="003872C1">
                            <w:pPr>
                              <w:rPr>
                                <w:b/>
                                <w:bCs/>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BDDEBB" id="Rectangle 9" o:spid="_x0000_s1027" style="position:absolute;margin-left:294.5pt;margin-top:3.2pt;width:196.7pt;height:73.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" fillcolor="window" strokecolor="window" strokeweight="1pt">
                <v:textbox>
                  <w:txbxContent>
                    <w:p w14:paraId="71610A08" w14:textId="42AC7F6C" w:rsidR="001114BD" w:rsidRDefault="001114BD" w:rsidP="001114BD">
                      <w:pPr>
                        <w:rPr>
                          <w:b/>
                          <w:bCs/>
                          <w:sz w:val="28"/>
                          <w:szCs w:val="28"/>
                          <w:lang w:bidi="ar-EG"/>
                        </w:rPr>
                      </w:pPr>
                      <w:r>
                        <w:rPr>
                          <w:b/>
                          <w:bCs/>
                          <w:sz w:val="28"/>
                          <w:szCs w:val="28"/>
                          <w:lang w:bidi="ar-EG"/>
                        </w:rPr>
                        <w:t>Mi</w:t>
                      </w:r>
                      <w:r w:rsidRPr="0039166C">
                        <w:rPr>
                          <w:b/>
                          <w:bCs/>
                          <w:sz w:val="28"/>
                          <w:szCs w:val="28"/>
                          <w:lang w:bidi="ar-EG"/>
                        </w:rPr>
                        <w:t>docean University</w:t>
                      </w:r>
                    </w:p>
                    <w:p w14:paraId="0A4A89B7" w14:textId="77777777" w:rsidR="001114BD" w:rsidRPr="0039166C" w:rsidRDefault="001114BD" w:rsidP="001114BD">
                      <w:pPr>
                        <w:rPr>
                          <w:b/>
                          <w:bCs/>
                          <w:sz w:val="28"/>
                          <w:szCs w:val="28"/>
                          <w:lang w:bidi="ar-EG"/>
                        </w:rPr>
                      </w:pPr>
                      <w:r>
                        <w:rPr>
                          <w:rFonts w:hint="cs"/>
                          <w:b/>
                          <w:bCs/>
                          <w:sz w:val="28"/>
                          <w:szCs w:val="28"/>
                          <w:rtl/>
                          <w:lang w:bidi="ar-EG"/>
                        </w:rPr>
                        <w:t xml:space="preserve">    </w:t>
                      </w:r>
                      <w:r w:rsidRPr="0039166C">
                        <w:rPr>
                          <w:b/>
                          <w:bCs/>
                          <w:sz w:val="28"/>
                          <w:szCs w:val="28"/>
                          <w:lang w:bidi="ar-EG"/>
                        </w:rPr>
                        <w:t>Ph.D. program</w:t>
                      </w:r>
                    </w:p>
                    <w:p w14:paraId="6EA12926" w14:textId="245D0D22" w:rsidR="001114BD" w:rsidRPr="0039166C" w:rsidRDefault="001114BD" w:rsidP="001114BD">
                      <w:pPr>
                        <w:rPr>
                          <w:b/>
                          <w:bCs/>
                          <w:sz w:val="28"/>
                          <w:szCs w:val="28"/>
                          <w:rtl/>
                          <w:lang w:bidi="ar-EG"/>
                        </w:rPr>
                      </w:pPr>
                    </w:p>
                    <w:p w14:paraId="7B5D83D5" w14:textId="32CABCFC" w:rsidR="003872C1" w:rsidRDefault="003872C1" w:rsidP="003872C1">
                      <w:pPr>
                        <w:rPr>
                          <w:b/>
                          <w:bCs/>
                          <w:sz w:val="28"/>
                          <w:szCs w:val="28"/>
                          <w:lang w:bidi="ar-EG"/>
                        </w:rPr>
                      </w:pPr>
                    </w:p>
                    <w:p w14:paraId="4D977372" w14:textId="214E865A" w:rsidR="00F9626D" w:rsidRDefault="00F9626D" w:rsidP="003872C1">
                      <w:pPr>
                        <w:rPr>
                          <w:b/>
                          <w:bCs/>
                          <w:sz w:val="28"/>
                          <w:szCs w:val="28"/>
                          <w:lang w:bidi="ar-EG"/>
                        </w:rPr>
                      </w:pPr>
                    </w:p>
                    <w:p w14:paraId="4634BA00" w14:textId="77777777" w:rsidR="00F9626D" w:rsidRDefault="00F9626D" w:rsidP="003872C1">
                      <w:pPr>
                        <w:rPr>
                          <w:b/>
                          <w:bCs/>
                          <w:sz w:val="28"/>
                          <w:szCs w:val="28"/>
                          <w:lang w:bidi="ar-EG"/>
                        </w:rPr>
                      </w:pPr>
                    </w:p>
                    <w:p w14:paraId="6FD066D1" w14:textId="77777777" w:rsidR="00F9626D" w:rsidRDefault="00F9626D" w:rsidP="003872C1">
                      <w:pPr>
                        <w:rPr>
                          <w:b/>
                          <w:bCs/>
                          <w:sz w:val="28"/>
                          <w:szCs w:val="28"/>
                          <w:lang w:bidi="ar-EG"/>
                        </w:rPr>
                      </w:pPr>
                    </w:p>
                    <w:p w14:paraId="29055172" w14:textId="77777777" w:rsidR="00F9626D" w:rsidRDefault="00F9626D" w:rsidP="003872C1">
                      <w:pPr>
                        <w:rPr>
                          <w:b/>
                          <w:bCs/>
                          <w:sz w:val="28"/>
                          <w:szCs w:val="28"/>
                          <w:lang w:bidi="ar-EG"/>
                        </w:rPr>
                      </w:pPr>
                    </w:p>
                    <w:p w14:paraId="4C123D15" w14:textId="77777777" w:rsidR="00F9626D" w:rsidRDefault="00F9626D" w:rsidP="003872C1">
                      <w:pPr>
                        <w:rPr>
                          <w:b/>
                          <w:bCs/>
                          <w:sz w:val="28"/>
                          <w:szCs w:val="28"/>
                          <w:lang w:bidi="ar-EG"/>
                        </w:rPr>
                      </w:pPr>
                    </w:p>
                    <w:p w14:paraId="72BE3115" w14:textId="77777777" w:rsidR="00F9626D" w:rsidRDefault="00F9626D" w:rsidP="003872C1">
                      <w:pPr>
                        <w:rPr>
                          <w:b/>
                          <w:bCs/>
                          <w:sz w:val="28"/>
                          <w:szCs w:val="28"/>
                          <w:lang w:bidi="ar-EG"/>
                        </w:rPr>
                      </w:pPr>
                    </w:p>
                    <w:p w14:paraId="056DE666" w14:textId="77777777" w:rsidR="00F9626D" w:rsidRDefault="00F9626D" w:rsidP="003872C1">
                      <w:pPr>
                        <w:rPr>
                          <w:b/>
                          <w:bCs/>
                          <w:sz w:val="28"/>
                          <w:szCs w:val="28"/>
                          <w:lang w:bidi="ar-EG"/>
                        </w:rPr>
                      </w:pPr>
                    </w:p>
                    <w:p w14:paraId="642C7C98" w14:textId="77777777" w:rsidR="00F9626D" w:rsidRDefault="00F9626D" w:rsidP="003872C1">
                      <w:pPr>
                        <w:rPr>
                          <w:b/>
                          <w:bCs/>
                          <w:sz w:val="28"/>
                          <w:szCs w:val="28"/>
                          <w:lang w:bidi="ar-EG"/>
                        </w:rPr>
                      </w:pPr>
                    </w:p>
                    <w:p w14:paraId="19B4AD23" w14:textId="77777777" w:rsidR="00F9626D" w:rsidRDefault="00F9626D" w:rsidP="003872C1">
                      <w:pPr>
                        <w:rPr>
                          <w:b/>
                          <w:bCs/>
                          <w:sz w:val="28"/>
                          <w:szCs w:val="28"/>
                          <w:lang w:bidi="ar-EG"/>
                        </w:rPr>
                      </w:pPr>
                    </w:p>
                    <w:p w14:paraId="4362C9FE" w14:textId="77777777" w:rsidR="00F9626D" w:rsidRDefault="00F9626D" w:rsidP="003872C1">
                      <w:pPr>
                        <w:rPr>
                          <w:b/>
                          <w:bCs/>
                          <w:sz w:val="28"/>
                          <w:szCs w:val="28"/>
                          <w:lang w:bidi="ar-EG"/>
                        </w:rPr>
                      </w:pPr>
                    </w:p>
                    <w:p w14:paraId="3FEBEA8B" w14:textId="77777777" w:rsidR="00F9626D" w:rsidRPr="0039166C" w:rsidRDefault="00F9626D" w:rsidP="003872C1">
                      <w:pPr>
                        <w:rPr>
                          <w:b/>
                          <w:bCs/>
                          <w:sz w:val="28"/>
                          <w:szCs w:val="28"/>
                          <w:lang w:bidi="ar-EG"/>
                        </w:rPr>
                      </w:pPr>
                    </w:p>
                  </w:txbxContent>
                </v:textbox>
                <w10:wrap type="square"/>
              </v:rect>
            </w:pict>
          </mc:Fallback>
        </mc:AlternateContent>
      </w:r>
      <w:r w:rsidR="00B27B8B">
        <w:rPr>
          <w:rFonts w:ascii="Times New Roman" w:eastAsia="Times New Roman" w:hAnsi="Times New Roman" w:cs="Times New Roman"/>
          <w:noProof/>
          <w:color w:val="1C1C1C"/>
          <w:sz w:val="24"/>
          <w:szCs w:val="24"/>
        </w:rPr>
        <w:drawing>
          <wp:anchor distT="0" distB="0" distL="114300" distR="114300" simplePos="0" relativeHeight="251689984" behindDoc="1" locked="0" layoutInCell="1" allowOverlap="1" wp14:anchorId="08675F02" wp14:editId="0B71493D">
            <wp:simplePos x="0" y="0"/>
            <wp:positionH relativeFrom="margin">
              <wp:posOffset>-335280</wp:posOffset>
            </wp:positionH>
            <wp:positionV relativeFrom="paragraph">
              <wp:posOffset>-76200</wp:posOffset>
            </wp:positionV>
            <wp:extent cx="2346960" cy="110934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6960" cy="1109345"/>
                    </a:xfrm>
                    <a:prstGeom prst="rect">
                      <a:avLst/>
                    </a:prstGeom>
                    <a:noFill/>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53133393"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EE9AF38" w14:textId="183D6665" w:rsidR="003872C1" w:rsidRDefault="003872C1" w:rsidP="00243286">
            <w:pPr>
              <w:jc w:val="center"/>
              <w:rPr>
                <w:rFonts w:ascii="Times New Roman" w:eastAsia="Times New Roman" w:hAnsi="Times New Roman" w:cs="Times New Roman"/>
                <w:color w:val="1C1C1C"/>
                <w:sz w:val="24"/>
                <w:szCs w:val="24"/>
                <w:rtl/>
              </w:rPr>
            </w:pPr>
          </w:p>
          <w:p w14:paraId="75F3E26A" w14:textId="77777777" w:rsidR="007C5B13" w:rsidRDefault="007C5B13" w:rsidP="00243286">
            <w:pPr>
              <w:jc w:val="center"/>
              <w:rPr>
                <w:rFonts w:ascii="Times New Roman" w:eastAsia="Times New Roman" w:hAnsi="Times New Roman" w:cs="Times New Roman"/>
                <w:color w:val="1C1C1C"/>
                <w:sz w:val="24"/>
                <w:szCs w:val="24"/>
                <w:rtl/>
              </w:rPr>
            </w:pPr>
          </w:p>
          <w:p w14:paraId="2841EC01" w14:textId="77777777" w:rsidR="007C5B13" w:rsidRDefault="007C5B13" w:rsidP="00243286">
            <w:pPr>
              <w:jc w:val="center"/>
              <w:rPr>
                <w:rFonts w:ascii="Times New Roman" w:eastAsia="Times New Roman" w:hAnsi="Times New Roman" w:cs="Times New Roman"/>
                <w:color w:val="1C1C1C"/>
                <w:sz w:val="24"/>
                <w:szCs w:val="24"/>
                <w:rtl/>
              </w:rPr>
            </w:pPr>
          </w:p>
          <w:p w14:paraId="0407A0A2" w14:textId="77777777" w:rsidR="007C5B13" w:rsidRDefault="007C5B13" w:rsidP="00243286">
            <w:pPr>
              <w:jc w:val="center"/>
              <w:rPr>
                <w:rFonts w:ascii="Times New Roman" w:eastAsia="Times New Roman" w:hAnsi="Times New Roman" w:cs="Times New Roman"/>
                <w:color w:val="1C1C1C"/>
                <w:sz w:val="24"/>
                <w:szCs w:val="24"/>
              </w:rPr>
            </w:pPr>
          </w:p>
          <w:p w14:paraId="33AA1828" w14:textId="77777777" w:rsidR="00F9626D" w:rsidRDefault="00F9626D" w:rsidP="00243286">
            <w:pPr>
              <w:jc w:val="center"/>
              <w:rPr>
                <w:rFonts w:ascii="Times New Roman" w:eastAsia="Times New Roman" w:hAnsi="Times New Roman" w:cs="Times New Roman"/>
                <w:color w:val="1C1C1C"/>
                <w:sz w:val="24"/>
                <w:szCs w:val="24"/>
                <w:rtl/>
              </w:rPr>
            </w:pPr>
          </w:p>
          <w:p w14:paraId="1F6D7DF1" w14:textId="77777777" w:rsidR="007C5B13" w:rsidRPr="00822632" w:rsidRDefault="007C5B13" w:rsidP="00243286">
            <w:pPr>
              <w:jc w:val="center"/>
              <w:rPr>
                <w:rFonts w:ascii="Times New Roman" w:eastAsia="Times New Roman" w:hAnsi="Times New Roman" w:cs="Times New Roman"/>
                <w:color w:val="1C1C1C"/>
                <w:sz w:val="24"/>
                <w:szCs w:val="24"/>
              </w:rPr>
            </w:pPr>
          </w:p>
          <w:p w14:paraId="46853DFF" w14:textId="10CCFE8E" w:rsidR="003872C1" w:rsidRPr="00822632" w:rsidRDefault="003872C1" w:rsidP="00243286">
            <w:pPr>
              <w:jc w:val="center"/>
              <w:rPr>
                <w:rFonts w:ascii="Times New Roman" w:eastAsia="Times New Roman" w:hAnsi="Times New Roman" w:cs="Times New Roman"/>
                <w:color w:val="1C1C1C"/>
                <w:sz w:val="24"/>
                <w:szCs w:val="24"/>
              </w:rPr>
            </w:pPr>
          </w:p>
          <w:p w14:paraId="00A8495D" w14:textId="7ACE337B"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22AE707D" w14:textId="77777777" w:rsidR="003872C1" w:rsidRPr="00463AAC" w:rsidRDefault="003872C1" w:rsidP="003872C1">
      <w:pPr>
        <w:tabs>
          <w:tab w:val="left" w:pos="5505"/>
        </w:tabs>
        <w:jc w:val="center"/>
        <w:rPr>
          <w:rFonts w:asciiTheme="majorBidi" w:hAnsiTheme="majorBidi" w:cstheme="majorBidi"/>
          <w:sz w:val="36"/>
          <w:szCs w:val="36"/>
          <w:rtl/>
          <w:lang w:bidi="ar-EG"/>
        </w:rPr>
      </w:pPr>
      <w:r w:rsidRPr="00463AAC">
        <w:rPr>
          <w:rFonts w:asciiTheme="majorBidi" w:hAnsiTheme="majorBidi" w:cstheme="majorBidi"/>
          <w:sz w:val="36"/>
          <w:szCs w:val="36"/>
          <w:lang w:bidi="ar-EG"/>
        </w:rPr>
        <w:t>Factors affecting the empowerment of female leaders in Saudi institutions</w:t>
      </w:r>
    </w:p>
    <w:p w14:paraId="191E2170" w14:textId="77777777" w:rsidR="003872C1" w:rsidRDefault="003872C1" w:rsidP="003872C1">
      <w:pPr>
        <w:tabs>
          <w:tab w:val="left" w:pos="5505"/>
        </w:tabs>
        <w:jc w:val="center"/>
        <w:rPr>
          <w:rFonts w:asciiTheme="majorBidi" w:hAnsiTheme="majorBidi" w:cstheme="majorBidi"/>
          <w:sz w:val="36"/>
          <w:szCs w:val="36"/>
          <w:rtl/>
          <w:lang w:bidi="ar-EG"/>
        </w:rPr>
      </w:pPr>
      <w:r>
        <w:rPr>
          <w:rFonts w:asciiTheme="majorBidi" w:hAnsiTheme="majorBidi" w:cstheme="majorBidi"/>
          <w:sz w:val="36"/>
          <w:szCs w:val="36"/>
          <w:lang w:bidi="ar-EG"/>
        </w:rPr>
        <w:tab/>
      </w:r>
    </w:p>
    <w:p w14:paraId="33F577BE" w14:textId="77777777" w:rsidR="003872C1" w:rsidRPr="00822632" w:rsidRDefault="003872C1" w:rsidP="003872C1">
      <w:pPr>
        <w:spacing w:after="80"/>
        <w:jc w:val="center"/>
        <w:rPr>
          <w:rFonts w:ascii="Times New Roman" w:eastAsia="Times New Roman" w:hAnsi="Times New Roman" w:cs="Times New Roman"/>
          <w:color w:val="1C1C1C"/>
          <w:sz w:val="28"/>
          <w:szCs w:val="28"/>
          <w:lang w:bidi="ar-EG"/>
        </w:rPr>
      </w:pPr>
    </w:p>
    <w:p w14:paraId="6AFF7462"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6520D4ED" w14:textId="71ADE509" w:rsidR="003872C1" w:rsidRDefault="003872C1" w:rsidP="003872C1">
      <w:pPr>
        <w:spacing w:after="8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37386EE6" w14:textId="54EAC2E5" w:rsidR="001114BD" w:rsidRDefault="001114BD" w:rsidP="003872C1">
      <w:pPr>
        <w:spacing w:after="80"/>
        <w:jc w:val="center"/>
        <w:rPr>
          <w:rFonts w:ascii="Times New Roman" w:eastAsia="Times New Roman" w:hAnsi="Times New Roman" w:cs="Times New Roman"/>
          <w:color w:val="1C1C1C"/>
          <w:sz w:val="28"/>
          <w:szCs w:val="28"/>
        </w:rPr>
      </w:pPr>
    </w:p>
    <w:p w14:paraId="4D43ACD3" w14:textId="162E261B" w:rsidR="001114BD" w:rsidRDefault="001114BD" w:rsidP="003872C1">
      <w:pPr>
        <w:spacing w:after="80"/>
        <w:jc w:val="center"/>
        <w:rPr>
          <w:rFonts w:ascii="Times New Roman" w:eastAsia="Times New Roman" w:hAnsi="Times New Roman" w:cs="Times New Roman"/>
          <w:color w:val="1C1C1C"/>
          <w:sz w:val="28"/>
          <w:szCs w:val="28"/>
          <w:rtl/>
        </w:rPr>
      </w:pPr>
      <w:r>
        <w:rPr>
          <w:rFonts w:ascii="Times New Roman" w:eastAsia="Times New Roman" w:hAnsi="Times New Roman" w:cs="Times New Roman"/>
          <w:color w:val="1C1C1C"/>
          <w:sz w:val="28"/>
          <w:szCs w:val="28"/>
        </w:rPr>
        <w:t>Salma Ahmed Sherif</w:t>
      </w:r>
    </w:p>
    <w:p w14:paraId="379575B8" w14:textId="77777777" w:rsidR="007C5B13" w:rsidRDefault="007C5B13" w:rsidP="003872C1">
      <w:pPr>
        <w:spacing w:after="80"/>
        <w:jc w:val="center"/>
        <w:rPr>
          <w:rFonts w:ascii="Times New Roman" w:eastAsia="Times New Roman" w:hAnsi="Times New Roman" w:cs="Times New Roman"/>
          <w:color w:val="1C1C1C"/>
          <w:sz w:val="28"/>
          <w:szCs w:val="28"/>
          <w:rtl/>
        </w:rPr>
      </w:pPr>
    </w:p>
    <w:p w14:paraId="7BD1E3B7" w14:textId="77777777" w:rsidR="003872C1" w:rsidRPr="00822632" w:rsidRDefault="003872C1" w:rsidP="003872C1">
      <w:pPr>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Pr="00510E8D">
        <w:t xml:space="preserve"> </w:t>
      </w:r>
    </w:p>
    <w:p w14:paraId="3E19D572" w14:textId="77777777" w:rsidR="003872C1" w:rsidRPr="00822632" w:rsidRDefault="003872C1" w:rsidP="003872C1">
      <w:pPr>
        <w:spacing w:after="60"/>
        <w:rPr>
          <w:rFonts w:ascii="Times New Roman" w:eastAsia="Times New Roman" w:hAnsi="Times New Roman" w:cs="Times New Roman"/>
          <w:color w:val="1C1C1C"/>
          <w:sz w:val="24"/>
          <w:szCs w:val="24"/>
        </w:rPr>
      </w:pPr>
    </w:p>
    <w:p w14:paraId="001E5AE6" w14:textId="77777777" w:rsidR="00BC2ECE" w:rsidRDefault="00BC2ECE" w:rsidP="00BC2ECE">
      <w:pPr>
        <w:spacing w:after="60"/>
        <w:jc w:val="center"/>
        <w:rPr>
          <w:rFonts w:ascii="Times New Roman" w:eastAsia="Times New Roman" w:hAnsi="Times New Roman" w:cs="Times New Roman"/>
          <w:color w:val="1C1C1C"/>
          <w:sz w:val="24"/>
          <w:szCs w:val="24"/>
        </w:rPr>
      </w:pPr>
    </w:p>
    <w:p w14:paraId="2791CCEC" w14:textId="77777777" w:rsidR="00BC2ECE" w:rsidRDefault="00BC2ECE" w:rsidP="00BC2ECE">
      <w:pPr>
        <w:spacing w:after="60"/>
        <w:jc w:val="center"/>
        <w:rPr>
          <w:rFonts w:ascii="Times New Roman" w:eastAsia="Times New Roman" w:hAnsi="Times New Roman" w:cs="Times New Roman"/>
          <w:color w:val="1C1C1C"/>
          <w:sz w:val="24"/>
          <w:szCs w:val="24"/>
        </w:rPr>
      </w:pPr>
    </w:p>
    <w:p w14:paraId="1F6F4963" w14:textId="77777777" w:rsidR="00BC2ECE" w:rsidRDefault="00BC2ECE" w:rsidP="00BC2ECE">
      <w:pPr>
        <w:spacing w:after="60"/>
        <w:jc w:val="center"/>
        <w:rPr>
          <w:rFonts w:ascii="Times New Roman" w:eastAsia="Times New Roman" w:hAnsi="Times New Roman" w:cs="Times New Roman"/>
          <w:color w:val="1C1C1C"/>
          <w:sz w:val="24"/>
          <w:szCs w:val="24"/>
        </w:rPr>
      </w:pPr>
    </w:p>
    <w:p w14:paraId="0B5F200D" w14:textId="77777777" w:rsidR="00BC2ECE" w:rsidRDefault="00BC2ECE" w:rsidP="00BC2ECE">
      <w:pPr>
        <w:spacing w:after="60"/>
        <w:jc w:val="center"/>
        <w:rPr>
          <w:rFonts w:ascii="Times New Roman" w:eastAsia="Times New Roman" w:hAnsi="Times New Roman" w:cs="Times New Roman"/>
          <w:color w:val="1C1C1C"/>
          <w:sz w:val="24"/>
          <w:szCs w:val="24"/>
          <w:rtl/>
        </w:rPr>
      </w:pPr>
    </w:p>
    <w:p w14:paraId="5B5D5854" w14:textId="77777777" w:rsidR="00B80D8C" w:rsidRDefault="00B80D8C" w:rsidP="00BC2ECE">
      <w:pPr>
        <w:spacing w:after="60"/>
        <w:jc w:val="center"/>
        <w:rPr>
          <w:rFonts w:ascii="Times New Roman" w:eastAsia="Times New Roman" w:hAnsi="Times New Roman" w:cs="Times New Roman"/>
          <w:color w:val="1C1C1C"/>
          <w:sz w:val="24"/>
          <w:szCs w:val="24"/>
          <w:rtl/>
        </w:rPr>
      </w:pPr>
    </w:p>
    <w:p w14:paraId="271284E7" w14:textId="77777777" w:rsidR="00B80D8C" w:rsidRDefault="00B80D8C" w:rsidP="00BC2ECE">
      <w:pPr>
        <w:spacing w:after="60"/>
        <w:jc w:val="center"/>
        <w:rPr>
          <w:rFonts w:ascii="Times New Roman" w:eastAsia="Times New Roman" w:hAnsi="Times New Roman" w:cs="Times New Roman"/>
          <w:color w:val="1C1C1C"/>
          <w:sz w:val="24"/>
          <w:szCs w:val="24"/>
          <w:rtl/>
        </w:rPr>
      </w:pPr>
    </w:p>
    <w:p w14:paraId="0C816B76" w14:textId="77777777" w:rsidR="00B80D8C" w:rsidRDefault="00B80D8C" w:rsidP="00BC2ECE">
      <w:pPr>
        <w:spacing w:after="60"/>
        <w:jc w:val="center"/>
        <w:rPr>
          <w:rFonts w:ascii="Times New Roman" w:eastAsia="Times New Roman" w:hAnsi="Times New Roman" w:cs="Times New Roman"/>
          <w:color w:val="1C1C1C"/>
          <w:sz w:val="24"/>
          <w:szCs w:val="24"/>
          <w:rtl/>
        </w:rPr>
      </w:pPr>
    </w:p>
    <w:p w14:paraId="5C0443AA" w14:textId="77777777" w:rsidR="00B80D8C" w:rsidRPr="00822632" w:rsidRDefault="00B80D8C" w:rsidP="00BC2ECE">
      <w:pPr>
        <w:spacing w:after="60"/>
        <w:jc w:val="center"/>
        <w:rPr>
          <w:rFonts w:ascii="Times New Roman" w:eastAsia="Times New Roman" w:hAnsi="Times New Roman" w:cs="Times New Roman"/>
          <w:color w:val="1C1C1C"/>
          <w:sz w:val="24"/>
          <w:szCs w:val="24"/>
        </w:rPr>
      </w:pPr>
    </w:p>
    <w:p w14:paraId="2AA4BAA2" w14:textId="77777777" w:rsidR="003872C1" w:rsidRPr="00822632" w:rsidRDefault="003872C1" w:rsidP="003872C1">
      <w:pPr>
        <w:spacing w:after="60" w:line="276" w:lineRule="auto"/>
        <w:jc w:val="center"/>
        <w:rPr>
          <w:rFonts w:ascii="Times New Roman" w:eastAsia="Times New Roman" w:hAnsi="Times New Roman" w:cs="Times New Roman"/>
          <w:color w:val="1C1C1C"/>
          <w:sz w:val="24"/>
          <w:szCs w:val="24"/>
        </w:rPr>
      </w:pPr>
    </w:p>
    <w:p w14:paraId="0C98A595"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5714F89B"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17902EA1" w14:textId="0378A770" w:rsidR="003872C1" w:rsidRPr="001114BD" w:rsidRDefault="003872C1" w:rsidP="001114BD">
      <w:pPr>
        <w:spacing w:line="276" w:lineRule="auto"/>
        <w:jc w:val="center"/>
        <w:rPr>
          <w:rFonts w:ascii="Times New Roman" w:eastAsia="Times New Roman" w:hAnsi="Times New Roman" w:cs="Times New Roman"/>
          <w:b/>
          <w:bCs/>
          <w:color w:val="1C1C1C"/>
          <w:sz w:val="24"/>
          <w:szCs w:val="24"/>
          <w:rtl/>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(Management)</w:t>
      </w:r>
    </w:p>
    <w:p w14:paraId="1159A23E"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36B1F080"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63643F61" w14:textId="77777777" w:rsidR="003872C1" w:rsidRPr="00822632" w:rsidRDefault="003872C1" w:rsidP="003872C1">
      <w:pPr>
        <w:pBdr>
          <w:top w:val="nil"/>
          <w:left w:val="nil"/>
          <w:bottom w:val="nil"/>
          <w:right w:val="nil"/>
          <w:between w:val="nil"/>
          <w:bar w:val="nil"/>
        </w:pBdr>
        <w:bidi/>
        <w:spacing w:before="50" w:after="50"/>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7E06720"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16E0E5E8" w14:textId="77777777" w:rsidR="003872C1" w:rsidRPr="0070499B" w:rsidRDefault="003872C1" w:rsidP="003872C1">
      <w:pPr>
        <w:bidi/>
        <w:spacing w:line="360" w:lineRule="auto"/>
        <w:rPr>
          <w:rFonts w:asciiTheme="majorBidi" w:hAnsiTheme="majorBidi" w:cstheme="majorBidi"/>
          <w:sz w:val="28"/>
          <w:szCs w:val="28"/>
        </w:rPr>
      </w:pPr>
    </w:p>
    <w:p w14:paraId="4CE0C05C" w14:textId="77777777" w:rsidR="00E46874" w:rsidRDefault="00E46874" w:rsidP="00B420BD">
      <w:pPr>
        <w:rPr>
          <w:rtl/>
        </w:rPr>
      </w:pPr>
    </w:p>
    <w:p w14:paraId="65406369" w14:textId="77777777" w:rsidR="00E46874" w:rsidRDefault="00E46874" w:rsidP="00B420BD">
      <w:pPr>
        <w:rPr>
          <w:rtl/>
        </w:rPr>
      </w:pPr>
    </w:p>
    <w:p w14:paraId="723292C0" w14:textId="77777777" w:rsidR="00E46874" w:rsidRDefault="00E46874" w:rsidP="00B420BD">
      <w:pPr>
        <w:rPr>
          <w:rtl/>
        </w:rPr>
      </w:pPr>
    </w:p>
    <w:p w14:paraId="1934C743" w14:textId="77777777" w:rsidR="00E46874" w:rsidRDefault="00E46874" w:rsidP="00B420BD">
      <w:pPr>
        <w:rPr>
          <w:rtl/>
        </w:rPr>
      </w:pPr>
    </w:p>
    <w:p w14:paraId="18CD2464" w14:textId="77777777" w:rsidR="00E46874" w:rsidRDefault="00E46874" w:rsidP="00B420BD">
      <w:pPr>
        <w:rPr>
          <w:rtl/>
        </w:rPr>
      </w:pPr>
    </w:p>
    <w:p w14:paraId="10F9DC02" w14:textId="77777777" w:rsidR="00E46874" w:rsidRDefault="00E46874" w:rsidP="00B420BD">
      <w:pPr>
        <w:rPr>
          <w:rtl/>
        </w:rPr>
      </w:pPr>
    </w:p>
    <w:p w14:paraId="5C79FDBC" w14:textId="77777777" w:rsidR="00E46874" w:rsidRDefault="00E46874" w:rsidP="00AF19F0">
      <w:pPr>
        <w:bidi/>
        <w:rPr>
          <w:rtl/>
        </w:rPr>
      </w:pPr>
    </w:p>
    <w:p w14:paraId="4F07FA4D" w14:textId="77777777" w:rsidR="00E853D0" w:rsidRDefault="00E853D0" w:rsidP="00E853D0">
      <w:pPr>
        <w:bidi/>
        <w:rPr>
          <w:rtl/>
        </w:rPr>
      </w:pPr>
    </w:p>
    <w:p w14:paraId="001A301F" w14:textId="77777777" w:rsidR="000E4EA4" w:rsidRDefault="000E4EA4" w:rsidP="000E4EA4">
      <w:pPr>
        <w:bidi/>
        <w:rPr>
          <w:rtl/>
        </w:rPr>
      </w:pPr>
    </w:p>
    <w:p w14:paraId="07B4C811" w14:textId="77777777" w:rsidR="00E853D0" w:rsidRDefault="00E853D0" w:rsidP="00E853D0">
      <w:pPr>
        <w:bidi/>
        <w:rPr>
          <w:rtl/>
        </w:rPr>
      </w:pPr>
    </w:p>
    <w:p w14:paraId="3D6BED7F" w14:textId="77777777" w:rsidR="00E853D0" w:rsidRDefault="00E853D0" w:rsidP="00E853D0">
      <w:pPr>
        <w:bidi/>
        <w:rPr>
          <w:rtl/>
        </w:rPr>
      </w:pPr>
    </w:p>
    <w:p w14:paraId="708307A0" w14:textId="77777777" w:rsidR="00E853D0" w:rsidRDefault="00E853D0" w:rsidP="00E853D0">
      <w:pPr>
        <w:bidi/>
        <w:rPr>
          <w:rtl/>
        </w:rPr>
      </w:pPr>
    </w:p>
    <w:p w14:paraId="6DC8889F" w14:textId="77777777" w:rsidR="00E853D0" w:rsidRDefault="00E853D0" w:rsidP="00E853D0">
      <w:pPr>
        <w:bidi/>
        <w:rPr>
          <w:rtl/>
        </w:rPr>
      </w:pPr>
    </w:p>
    <w:p w14:paraId="412E3393" w14:textId="77777777" w:rsidR="00E853D0" w:rsidRDefault="00E853D0" w:rsidP="00E853D0">
      <w:pPr>
        <w:bidi/>
        <w:rPr>
          <w:rtl/>
        </w:rPr>
      </w:pPr>
    </w:p>
    <w:p w14:paraId="247D52F7" w14:textId="77777777" w:rsidR="00E853D0" w:rsidRDefault="00E853D0" w:rsidP="00E853D0">
      <w:pPr>
        <w:bidi/>
        <w:rPr>
          <w:rtl/>
        </w:rPr>
      </w:pPr>
    </w:p>
    <w:p w14:paraId="76E488EC" w14:textId="77777777" w:rsidR="00E853D0" w:rsidRDefault="00E853D0" w:rsidP="00E853D0">
      <w:pPr>
        <w:bidi/>
        <w:rPr>
          <w:rtl/>
        </w:rPr>
      </w:pPr>
    </w:p>
    <w:p w14:paraId="3865B29B" w14:textId="77777777" w:rsidR="003872C1" w:rsidRDefault="003872C1" w:rsidP="003872C1">
      <w:pPr>
        <w:bidi/>
        <w:rPr>
          <w:rtl/>
        </w:rPr>
      </w:pPr>
    </w:p>
    <w:p w14:paraId="3081BB4D" w14:textId="77777777" w:rsidR="003872C1" w:rsidRDefault="003872C1" w:rsidP="003872C1">
      <w:pPr>
        <w:bidi/>
        <w:rPr>
          <w:rtl/>
        </w:rPr>
      </w:pPr>
    </w:p>
    <w:p w14:paraId="7BFB4E63" w14:textId="77777777" w:rsidR="003872C1" w:rsidRDefault="003872C1" w:rsidP="003872C1">
      <w:pPr>
        <w:bidi/>
        <w:rPr>
          <w:rtl/>
        </w:rPr>
      </w:pPr>
    </w:p>
    <w:p w14:paraId="72FB2EDD" w14:textId="77777777" w:rsidR="003872C1" w:rsidRDefault="003872C1" w:rsidP="003872C1">
      <w:pPr>
        <w:bidi/>
        <w:rPr>
          <w:rtl/>
        </w:rPr>
      </w:pPr>
    </w:p>
    <w:p w14:paraId="2941BAB7" w14:textId="77777777" w:rsidR="003872C1" w:rsidRDefault="003872C1" w:rsidP="003872C1">
      <w:pPr>
        <w:bidi/>
        <w:rPr>
          <w:rtl/>
        </w:rPr>
      </w:pPr>
    </w:p>
    <w:p w14:paraId="59A4BDA5" w14:textId="77777777" w:rsidR="003872C1" w:rsidRDefault="003872C1" w:rsidP="003872C1">
      <w:pPr>
        <w:bidi/>
        <w:rPr>
          <w:rtl/>
        </w:rPr>
      </w:pPr>
    </w:p>
    <w:p w14:paraId="200C4181" w14:textId="77777777" w:rsidR="001A3637" w:rsidRDefault="001A3637" w:rsidP="001A3637">
      <w:pPr>
        <w:tabs>
          <w:tab w:val="left" w:pos="5505"/>
        </w:tabs>
        <w:bidi/>
        <w:rPr>
          <w:rtl/>
        </w:rPr>
      </w:pPr>
    </w:p>
    <w:p w14:paraId="1139AE2F" w14:textId="77777777" w:rsidR="00E853D0" w:rsidRDefault="00E853D0" w:rsidP="00E853D0">
      <w:pPr>
        <w:tabs>
          <w:tab w:val="left" w:pos="5505"/>
        </w:tabs>
        <w:bidi/>
        <w:rPr>
          <w:rtl/>
        </w:rPr>
      </w:pPr>
    </w:p>
    <w:p w14:paraId="6CDBFD04"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4E866848"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155B664E"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6E707123" w14:textId="77777777" w:rsidR="001A3637" w:rsidRDefault="001A3637" w:rsidP="001A3637">
      <w:pPr>
        <w:tabs>
          <w:tab w:val="left" w:pos="5505"/>
        </w:tabs>
        <w:bidi/>
        <w:rPr>
          <w:rFonts w:ascii="Traditional Arabic" w:hAnsi="Traditional Arabic" w:cs="Traditional Arabic"/>
          <w:b/>
          <w:bCs/>
          <w:sz w:val="32"/>
          <w:szCs w:val="32"/>
          <w:lang w:bidi="ar-EG"/>
        </w:rPr>
      </w:pPr>
    </w:p>
    <w:p w14:paraId="6AB12B65" w14:textId="77777777" w:rsidR="00F9626D" w:rsidRDefault="00F9626D" w:rsidP="00F9626D">
      <w:pPr>
        <w:tabs>
          <w:tab w:val="left" w:pos="5505"/>
        </w:tabs>
        <w:bidi/>
        <w:rPr>
          <w:rFonts w:ascii="Traditional Arabic" w:hAnsi="Traditional Arabic" w:cs="Traditional Arabic"/>
          <w:b/>
          <w:bCs/>
          <w:sz w:val="32"/>
          <w:szCs w:val="32"/>
          <w:lang w:bidi="ar-EG"/>
        </w:rPr>
      </w:pPr>
    </w:p>
    <w:p w14:paraId="29DAC03F" w14:textId="77777777" w:rsidR="00F9626D" w:rsidRDefault="00F9626D" w:rsidP="00F9626D">
      <w:pPr>
        <w:tabs>
          <w:tab w:val="left" w:pos="5505"/>
        </w:tabs>
        <w:bidi/>
        <w:rPr>
          <w:rFonts w:ascii="Traditional Arabic" w:hAnsi="Traditional Arabic" w:cs="Traditional Arabic"/>
          <w:b/>
          <w:bCs/>
          <w:sz w:val="32"/>
          <w:szCs w:val="32"/>
          <w:lang w:bidi="ar-EG"/>
        </w:rPr>
      </w:pPr>
    </w:p>
    <w:p w14:paraId="480E02B5" w14:textId="77777777" w:rsidR="00F9626D" w:rsidRDefault="00F9626D" w:rsidP="00F9626D">
      <w:pPr>
        <w:tabs>
          <w:tab w:val="left" w:pos="5505"/>
        </w:tabs>
        <w:bidi/>
        <w:rPr>
          <w:rFonts w:ascii="Traditional Arabic" w:hAnsi="Traditional Arabic" w:cs="Traditional Arabic"/>
          <w:b/>
          <w:bCs/>
          <w:sz w:val="32"/>
          <w:szCs w:val="32"/>
          <w:lang w:bidi="ar-EG"/>
        </w:rPr>
      </w:pPr>
    </w:p>
    <w:p w14:paraId="5C8AC114" w14:textId="77777777" w:rsidR="00F9626D" w:rsidRPr="003F3EF0" w:rsidRDefault="00F9626D" w:rsidP="00F9626D">
      <w:pPr>
        <w:tabs>
          <w:tab w:val="left" w:pos="5505"/>
        </w:tabs>
        <w:bidi/>
        <w:rPr>
          <w:rFonts w:ascii="Traditional Arabic" w:hAnsi="Traditional Arabic" w:cs="Traditional Arabic"/>
          <w:b/>
          <w:bCs/>
          <w:sz w:val="32"/>
          <w:szCs w:val="32"/>
          <w:rtl/>
          <w:lang w:bidi="ar-EG"/>
        </w:rPr>
      </w:pPr>
    </w:p>
    <w:p w14:paraId="521E089C" w14:textId="77777777" w:rsidR="001A3637" w:rsidRPr="00FB52A7" w:rsidRDefault="001A3637" w:rsidP="001A3637">
      <w:pPr>
        <w:pStyle w:val="Heading1"/>
        <w:bidi/>
        <w:jc w:val="center"/>
        <w:rPr>
          <w:rFonts w:ascii="Microsoft Uighur" w:hAnsi="Microsoft Uighur" w:cs="Microsoft Uighur"/>
          <w:b w:val="0"/>
          <w:bCs w:val="0"/>
          <w:color w:val="auto"/>
          <w:sz w:val="96"/>
          <w:szCs w:val="96"/>
          <w:rtl/>
          <w:lang w:bidi="ar-EG"/>
        </w:rPr>
      </w:pPr>
      <w:bookmarkStart w:id="1" w:name="_Toc204916647"/>
      <w:r w:rsidRPr="00FB52A7">
        <w:rPr>
          <w:rFonts w:ascii="Microsoft Uighur" w:hAnsi="Microsoft Uighur" w:cs="Microsoft Uighur"/>
          <w:color w:val="auto"/>
          <w:sz w:val="96"/>
          <w:szCs w:val="96"/>
          <w:rtl/>
          <w:lang w:bidi="ar-EG"/>
        </w:rPr>
        <w:t>الفصل الأول: الإطار المنهجي للدراسة</w:t>
      </w:r>
      <w:bookmarkEnd w:id="1"/>
    </w:p>
    <w:p w14:paraId="653D3B89" w14:textId="77777777" w:rsidR="001A3637" w:rsidRDefault="001A3637" w:rsidP="001A3637">
      <w:pPr>
        <w:tabs>
          <w:tab w:val="left" w:pos="5505"/>
        </w:tabs>
        <w:bidi/>
        <w:rPr>
          <w:rFonts w:ascii="Traditional Arabic" w:hAnsi="Traditional Arabic" w:cs="Traditional Arabic"/>
          <w:b/>
          <w:bCs/>
          <w:sz w:val="32"/>
          <w:szCs w:val="32"/>
          <w:lang w:bidi="ar-EG"/>
        </w:rPr>
      </w:pPr>
    </w:p>
    <w:p w14:paraId="7921E210" w14:textId="77777777" w:rsidR="001A3637" w:rsidRDefault="001A3637" w:rsidP="001A3637">
      <w:pPr>
        <w:tabs>
          <w:tab w:val="left" w:pos="5505"/>
        </w:tabs>
        <w:bidi/>
        <w:rPr>
          <w:rFonts w:ascii="Traditional Arabic" w:hAnsi="Traditional Arabic" w:cs="Traditional Arabic"/>
          <w:b/>
          <w:bCs/>
          <w:sz w:val="32"/>
          <w:szCs w:val="32"/>
          <w:lang w:bidi="ar-EG"/>
        </w:rPr>
      </w:pPr>
    </w:p>
    <w:p w14:paraId="23EA8436"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43722C52" w14:textId="46BC2E0E" w:rsidR="003872C1" w:rsidRDefault="003872C1" w:rsidP="003872C1">
      <w:pPr>
        <w:tabs>
          <w:tab w:val="left" w:pos="5505"/>
        </w:tabs>
        <w:bidi/>
        <w:rPr>
          <w:rFonts w:ascii="Traditional Arabic" w:hAnsi="Traditional Arabic" w:cs="Traditional Arabic"/>
          <w:b/>
          <w:bCs/>
          <w:sz w:val="32"/>
          <w:szCs w:val="32"/>
          <w:lang w:bidi="ar-EG"/>
        </w:rPr>
      </w:pPr>
    </w:p>
    <w:p w14:paraId="3C3FBC08" w14:textId="77777777" w:rsidR="001114BD" w:rsidRDefault="001114BD" w:rsidP="001114BD">
      <w:pPr>
        <w:tabs>
          <w:tab w:val="left" w:pos="5505"/>
        </w:tabs>
        <w:bidi/>
        <w:rPr>
          <w:rFonts w:ascii="Traditional Arabic" w:hAnsi="Traditional Arabic" w:cs="Traditional Arabic"/>
          <w:b/>
          <w:bCs/>
          <w:sz w:val="32"/>
          <w:szCs w:val="32"/>
          <w:lang w:bidi="ar-EG"/>
        </w:rPr>
      </w:pPr>
    </w:p>
    <w:p w14:paraId="0E1B1E5C" w14:textId="77777777" w:rsidR="00F9626D" w:rsidRDefault="00F9626D" w:rsidP="00F9626D">
      <w:pPr>
        <w:tabs>
          <w:tab w:val="left" w:pos="5505"/>
        </w:tabs>
        <w:bidi/>
        <w:rPr>
          <w:rFonts w:ascii="Traditional Arabic" w:hAnsi="Traditional Arabic" w:cs="Traditional Arabic"/>
          <w:b/>
          <w:bCs/>
          <w:sz w:val="32"/>
          <w:szCs w:val="32"/>
          <w:rtl/>
          <w:lang w:bidi="ar-EG"/>
        </w:rPr>
      </w:pPr>
    </w:p>
    <w:p w14:paraId="4168575C" w14:textId="77777777" w:rsidR="001A3637" w:rsidRPr="00EC57FE" w:rsidRDefault="001A3637" w:rsidP="001A3637">
      <w:pPr>
        <w:pStyle w:val="Heading2"/>
        <w:bidi/>
        <w:rPr>
          <w:rFonts w:ascii="Traditional Arabic" w:hAnsi="Traditional Arabic" w:cs="Traditional Arabic"/>
          <w:b w:val="0"/>
          <w:bCs w:val="0"/>
          <w:color w:val="auto"/>
          <w:rtl/>
          <w:lang w:bidi="ar-EG"/>
        </w:rPr>
      </w:pPr>
      <w:bookmarkStart w:id="2" w:name="_Toc204916648"/>
      <w:r>
        <w:rPr>
          <w:rFonts w:ascii="Traditional Arabic" w:hAnsi="Traditional Arabic" w:cs="Traditional Arabic" w:hint="cs"/>
          <w:color w:val="auto"/>
          <w:rtl/>
          <w:lang w:bidi="ar-EG"/>
        </w:rPr>
        <w:lastRenderedPageBreak/>
        <w:t>المقدمة</w:t>
      </w:r>
      <w:r>
        <w:rPr>
          <w:rFonts w:ascii="Traditional Arabic" w:hAnsi="Traditional Arabic" w:cs="Traditional Arabic"/>
          <w:color w:val="auto"/>
          <w:lang w:bidi="ar-EG"/>
        </w:rPr>
        <w:t>:</w:t>
      </w:r>
      <w:bookmarkEnd w:id="2"/>
    </w:p>
    <w:p w14:paraId="5AEC3724"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تعتبر المملكة العربية السعودية واحدة من أكثر البلدان التي شهدت تطورات وتحولات جذرية في العقود الأخيرة، حيث تحولت من دولة تتمحور فيها الأدوار التقليدية للمرأة إلى دولة تدعم بشكل كبير مشاركتها في كافة جوانب الحياة السياسية والاقتصادية والاجتماعية. هذه التحولات الكبيرة تأتي في إطار رؤية المملكة 2030، التي أطلقها ولي العهد الأمير محمد بن سلمان في عام 2016، وتعد خارطة طريق للمستقبل، تهدف إلى تحديث الاقتصاد السعودي وتنويع مصادر الدخل الوطني، وتعزيز مكانة المملكة على الساحة الدولية. وقد ركزت الرؤية بشكل واضح على تمكين المرأة وتعزيز مشاركتها في تحقيق التنمية المستدامة، حيث تمثل المرأة في الرؤية أحد عناصر القوة التي تدفع عجلة التنمية قدماً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2025</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Almutari</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330C4E4C"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ومن بين المجالات التي شهدت طفرة نوعية في تمكين المرأة هو مجال القيادة. ففي السنوات الأخيرة، ارتفعت نسبة النساء اللواتي يتقلدن المناصب القيادية في القطاعين العام والخاص، وباتت هناك تحولات جذرية في كيفية تعامل المؤسسات السعودية مع دور المرأة في العمل الإداري واتخاذ القرارات. كان لمشاركة المرأة في المجال القيادي صدى إيجابي للغاية، حيث أثبتت العديد من النساء السعوديات في مختلف المجالات كفاءتهن، وتمكنَّ من تحطيم العديد من الحواجز الاجتماعية والثقافية التي كانت تعيقهن في الماضي. وعلى الرغم من ذلك، فإن الطريق لا يزال مليئاً بالتحديات التي تحتاج إلى حلول جذرية تتماشى مع التغيرات المجتمعية والاقتصادية التي تشهدها المملكة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2023</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Mutair</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A249ADD"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إن دخول المرأة في مجالات القيادة لم يكن وليد الصدفة، بل كان نتيجة لجهود استراتيجية في إطار رؤية 2030 التي خصصت جزءاً كبيراً من اهتماماتها لتطوير دور المرأة وتمكينها من الوصول إلى مواقع صنع القرار. ومع كل هذه الفرص التي أتاحتها المملكة للمرأة، إلا أن هناك عدداً من التحديات التي ما تزال تواجهها. التحديات الاجتماعية تعتبر من أبرز هذه العوائق، حيث لا يزال هناك بعض التقاليد الثقافية والمجتمعية التي تقيد مشاركة المرأة في بعض المجالات. كما أن قلة الوعي المجتمعي بأهمية الدور القيادي للمرأة في بعض القطاعات قد يعرقل مسيرتها المهنية. كذلك، لا تزال بعض النساء يواجهن تحديات متعلقة بالقدرة على التوفيق بين أدوارهن العائلية والمهنية، مما يحد من إمكانية تقدمهن إلى المناصب القيادية العليا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2022</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Bishop</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695607A5"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لا تقتصر التحديات على الصعيد الاجتماعي فقط، بل تشمل أيضاً العوامل الاقتصادية والسياسية. فقد تظل النساء في بعض القطاعات محاطات بعوائق تتعلق بالهيكلة التنظيمية، بالإضافة إلى غياب الدعم الكامل من بعض المؤسسات والقطاع الخاص لتوظيف النساء في المناصب القيادية. وهناك حاجة ماسة لإجراء تغييرات في السياسات والتشريعات التي تضمن توظيف المرأة بشكل </w:t>
      </w:r>
      <w:r w:rsidRPr="00F3715C">
        <w:rPr>
          <w:rFonts w:ascii="Traditional Arabic" w:hAnsi="Traditional Arabic" w:cs="Traditional Arabic"/>
          <w:sz w:val="28"/>
          <w:szCs w:val="28"/>
          <w:rtl/>
        </w:rPr>
        <w:lastRenderedPageBreak/>
        <w:t xml:space="preserve">عادل وتوفير بيئات عمل ملائمة تتيح لها الفرص الكافية للتطور والتقدم المهني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2024</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Chanda</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p>
    <w:p w14:paraId="24702C6B" w14:textId="77777777" w:rsidR="001A3637" w:rsidRPr="00F3715C" w:rsidRDefault="001A3637" w:rsidP="008B1FFD">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ومع ذلك، فإن هناك العديد من الفرص التي اتاحتها رؤية 2030 للمرأة السعودية في مختلف المجالات. فقد بدأت المؤسسات التعليمية في المملكة تركز على تزويد المرأة بالمعارف والمهارات اللازمة للوصول إلى المناصب القيادية. كما تم تخصيص عدد من البرامج الحكومية والخاصة التي تهدف إلى تأهيل المرأة وتدريبها على القيادة، مما يعزز من قدرتها على المنافسة في سوق العمل على قدم المساواة مع الرجل. على سبيل المثال، تزايدت الفرص أمام النساء في شغل المناصب العليا في الشركات الكبرى وفي الحكومة، مما يعكس التزام المملكة بتوسيع دور المرأة في الاقتصاد الوطني وتحقيق العدالة والمساواة في الفرص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2020</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Mohammed</w:t>
      </w:r>
      <w:r w:rsidR="004F7268" w:rsidRPr="00E968AC">
        <w:rPr>
          <w:rFonts w:ascii="Traditional Arabic" w:hAnsi="Traditional Arabic" w:cs="Traditional Arabic" w:hint="cs"/>
          <w:noProof/>
          <w:sz w:val="28"/>
          <w:szCs w:val="28"/>
          <w:rtl/>
          <w:lang w:bidi="ar-EG"/>
        </w:rPr>
        <w:t>)</w:t>
      </w:r>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E64D8CA" w14:textId="77777777" w:rsidR="001A3637" w:rsidRDefault="001A3637" w:rsidP="001A3637">
      <w:pPr>
        <w:bidi/>
        <w:spacing w:line="360" w:lineRule="auto"/>
        <w:ind w:firstLine="571"/>
        <w:jc w:val="both"/>
        <w:rPr>
          <w:rFonts w:ascii="Traditional Arabic" w:hAnsi="Traditional Arabic" w:cs="Traditional Arabic"/>
          <w:sz w:val="28"/>
          <w:szCs w:val="28"/>
        </w:rPr>
      </w:pPr>
      <w:r w:rsidRPr="00F3715C">
        <w:rPr>
          <w:rFonts w:ascii="Traditional Arabic" w:hAnsi="Traditional Arabic" w:cs="Traditional Arabic"/>
          <w:sz w:val="28"/>
          <w:szCs w:val="28"/>
          <w:rtl/>
        </w:rPr>
        <w:t>تمثل العوامل المؤثرة في تمكين القيادات النسائية في المؤسسات السعودية مجموعة من العوامل التي تساهم بشكل رئيسي في تعزيز دور المرأة في المناصب القيادية. من أبرز هذه العوامل، الدعم الحكومي المتمثل في رؤية المملكة 2030 التي تهدف إلى تعزيز مشاركة المرأة في سوق العمل، بالإضافة إلى تطوير البيئة التشريعية التي تضمن حقوق المرأة وتوفر لها فرصًا متساوية. كما تسهم المؤسسات التعليمية والتدريبية في تأهيل النساء لشغل المناصب القيادية من خلال برامج متخصصة، إلى جانب التغيرات الثقافية والاجتماعية التي تشهدها المملكة، والتي تسهم في زيادة قبول المجتمع للقيادات النسائية في مختلف المجالات</w:t>
      </w:r>
    </w:p>
    <w:p w14:paraId="7DDDA801" w14:textId="77777777" w:rsidR="008B1FFD" w:rsidRPr="00F3715C" w:rsidRDefault="008B1FFD" w:rsidP="008B1FFD">
      <w:pPr>
        <w:bidi/>
        <w:spacing w:line="360" w:lineRule="auto"/>
        <w:jc w:val="both"/>
        <w:rPr>
          <w:rFonts w:ascii="Traditional Arabic" w:hAnsi="Traditional Arabic" w:cs="Traditional Arabic"/>
          <w:sz w:val="28"/>
          <w:szCs w:val="28"/>
          <w:rtl/>
        </w:rPr>
      </w:pPr>
      <w:r w:rsidRPr="008B1FFD">
        <w:rPr>
          <w:rFonts w:ascii="Traditional Arabic" w:hAnsi="Traditional Arabic" w:cs="Traditional Arabic"/>
          <w:sz w:val="28"/>
          <w:szCs w:val="28"/>
          <w:rtl/>
        </w:rPr>
        <w:t>وجاءت هذه الدراسة بهدف التعرف إلى العوامل المؤثرة في تمكين القيادات النسائية في المؤسسات السعودية، والكشف عن مدى تأثير العوامل التنظيمية والثقافية والاجتماعية والتشريعية والشخصية في تعزيز وصول المرأة إلى المناصب القيادية وممارستها لأدوارها القيادية بفاعلية، إلى جانب تحديد أبرز التحديات التي تواجه القيادات النسائية، واستكشاف السبل والممارسات التي يمكن أن تسهم في تعزيز تمكين المرأة في مواقع القيادة، بما يتوافق مع توجهات المملكة العربية السعودية ورؤية السعودية 2030 نحو تعزيز مشاركة المرأة في التنمية والقيادة المؤسسية.</w:t>
      </w:r>
    </w:p>
    <w:p w14:paraId="3B831A7C" w14:textId="77777777" w:rsidR="008B1FFD" w:rsidRPr="003F3EF0" w:rsidRDefault="008B1FFD" w:rsidP="008B1FFD">
      <w:pPr>
        <w:tabs>
          <w:tab w:val="left" w:pos="5505"/>
        </w:tabs>
        <w:bidi/>
        <w:rPr>
          <w:rFonts w:ascii="Traditional Arabic" w:hAnsi="Traditional Arabic" w:cs="Traditional Arabic"/>
          <w:b/>
          <w:bCs/>
          <w:sz w:val="32"/>
          <w:szCs w:val="32"/>
          <w:rtl/>
        </w:rPr>
      </w:pPr>
    </w:p>
    <w:p w14:paraId="2F9BE515" w14:textId="77777777" w:rsidR="001A3637" w:rsidRDefault="001A3637" w:rsidP="001A3637">
      <w:pPr>
        <w:pStyle w:val="Heading2"/>
        <w:bidi/>
        <w:rPr>
          <w:rFonts w:ascii="Traditional Arabic" w:hAnsi="Traditional Arabic" w:cs="Traditional Arabic"/>
          <w:b w:val="0"/>
          <w:bCs w:val="0"/>
          <w:color w:val="auto"/>
          <w:lang w:bidi="ar-EG"/>
        </w:rPr>
      </w:pPr>
      <w:bookmarkStart w:id="3" w:name="_Toc204916649"/>
      <w:r w:rsidRPr="003F3EF0">
        <w:rPr>
          <w:rFonts w:ascii="Traditional Arabic" w:hAnsi="Traditional Arabic" w:cs="Traditional Arabic"/>
          <w:color w:val="auto"/>
          <w:rtl/>
          <w:lang w:bidi="ar-EG"/>
        </w:rPr>
        <w:t>مشكلة الدراسة</w:t>
      </w:r>
      <w:r>
        <w:rPr>
          <w:rFonts w:ascii="Traditional Arabic" w:hAnsi="Traditional Arabic" w:cs="Traditional Arabic"/>
          <w:color w:val="auto"/>
          <w:lang w:bidi="ar-EG"/>
        </w:rPr>
        <w:t>:</w:t>
      </w:r>
      <w:bookmarkEnd w:id="3"/>
    </w:p>
    <w:p w14:paraId="0AB02EE6" w14:textId="77777777"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تُعد القيادة النسائية في المملكة العربية السعودية موضوعًا حيويًا وجديدًا في ظل التغيرات الكبرى التي تشهدها المملكة خلال السنوات الأخيرة، ولا سيما في إطار رؤية 2030. وقد شهدت المملكة خطوات واسعة نحو تمكين المرأة في العديد من المجالات الاقتصادية والاجتماعية والسياسية، إلا أن مشاركة المرأة في المناصب القيادية، سواء في القطاع العام أو الخاص، لا تزال تواجه تحديات كبيرة، رغم الجهود المستمرة لدعمها. المشكلة الرئيسية التي يتناولها هذا البحث هي التحديات التي تعترض تمكين المرأة </w:t>
      </w:r>
      <w:r w:rsidRPr="00FB52A7">
        <w:rPr>
          <w:rFonts w:ascii="Traditional Arabic" w:hAnsi="Traditional Arabic" w:cs="Traditional Arabic"/>
          <w:sz w:val="28"/>
          <w:szCs w:val="28"/>
          <w:rtl/>
        </w:rPr>
        <w:lastRenderedPageBreak/>
        <w:t>السعودية في الوصول إلى المناصب القيادية على الرغم من الفرص التي أتاحتها رؤية 2030. ففي حين أن هناك العديد من المبادرات التي تدعم المرأة، إلا أن الواقع يشير إلى أن القيادات النسائية ما زالت قليلة في معظم المجالات، وهذا يعود إلى عدة عوامل منها الاجتماعية والثقافية والسياسية، بالإضافة إلى بعض العوائق الاقتصادية</w:t>
      </w:r>
      <w:r>
        <w:rPr>
          <w:rFonts w:ascii="Traditional Arabic" w:hAnsi="Traditional Arabic" w:cs="Traditional Arabic" w:hint="cs"/>
          <w:sz w:val="28"/>
          <w:szCs w:val="28"/>
          <w:rtl/>
        </w:rPr>
        <w:t xml:space="preserve">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2022</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ALHARBI</w:t>
      </w:r>
      <w:r w:rsidR="004F7268" w:rsidRPr="00E968AC">
        <w:rPr>
          <w:rFonts w:ascii="Traditional Arabic" w:hAnsi="Traditional Arabic" w:cs="Traditional Arabic" w:hint="cs"/>
          <w:noProof/>
          <w:sz w:val="28"/>
          <w:szCs w:val="28"/>
          <w:rtl/>
          <w:lang w:bidi="ar-EG"/>
        </w:rPr>
        <w:t>)</w:t>
      </w:r>
      <w:r>
        <w:rPr>
          <w:rFonts w:ascii="Traditional Arabic" w:hAnsi="Traditional Arabic" w:cs="Traditional Arabic"/>
          <w:sz w:val="28"/>
          <w:szCs w:val="28"/>
        </w:rPr>
        <w:t xml:space="preserve">   </w:t>
      </w:r>
      <w:r w:rsidRPr="00FB52A7">
        <w:rPr>
          <w:rFonts w:ascii="Traditional Arabic" w:hAnsi="Traditional Arabic" w:cs="Traditional Arabic"/>
          <w:sz w:val="28"/>
          <w:szCs w:val="28"/>
          <w:lang w:bidi="ar-EG"/>
        </w:rPr>
        <w:t>.</w:t>
      </w:r>
    </w:p>
    <w:p w14:paraId="2403DFFC" w14:textId="77777777" w:rsidR="001A3637" w:rsidRDefault="001A3637" w:rsidP="001A3637">
      <w:pPr>
        <w:bidi/>
        <w:spacing w:line="360" w:lineRule="auto"/>
        <w:ind w:firstLine="571"/>
        <w:jc w:val="both"/>
        <w:rPr>
          <w:rFonts w:ascii="Traditional Arabic" w:hAnsi="Traditional Arabic" w:cs="Traditional Arabic"/>
          <w:sz w:val="28"/>
          <w:szCs w:val="28"/>
          <w:lang w:bidi="ar-EG"/>
        </w:rPr>
      </w:pPr>
      <w:r w:rsidRPr="00FB52A7">
        <w:rPr>
          <w:rFonts w:ascii="Traditional Arabic" w:hAnsi="Traditional Arabic" w:cs="Traditional Arabic"/>
          <w:sz w:val="28"/>
          <w:szCs w:val="28"/>
          <w:rtl/>
        </w:rPr>
        <w:t xml:space="preserve">على الرغم من أن المملكة شهدت تقدماً ملحوظًا في مجال تمكين المرأة، إلا أن الفجوة بين الفرص المتاحة والواقع العملي تظل كبيرة. فبينما تركز رؤية 2030 على تعزيز دور المرأة في جميع المجالات، إلا أن هذه الطموحات لا تتحقق بالشكل الكامل بسبب وجود تحديات وعقبات لا تزال قائمة. هذه التحديات تعكس مقاومة مجتمعية وثقافية لبعض الأدوار القيادية النسائية، مما يجعل المرأة تواجه صعوبة في إثبات قدرتها على القيادة في بيئات العمل التقليدية، التي تهيمن عليها معايير ذكورية في بعض الأحيان. كما أن هناك تحديات أخرى تتعلق بالتوقعات الاجتماعية التي تفرض على النساء أدوارًا متعددة، مما يحد من فرصهن في التقدم الوظيفي والمشاركة في صنع القرار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2023</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Parveen</w:t>
      </w:r>
      <w:r w:rsidR="004F7268" w:rsidRPr="00E968AC">
        <w:rPr>
          <w:rFonts w:ascii="Traditional Arabic" w:hAnsi="Traditional Arabic" w:cs="Traditional Arabic" w:hint="cs"/>
          <w:noProof/>
          <w:sz w:val="28"/>
          <w:szCs w:val="28"/>
          <w:rtl/>
          <w:lang w:bidi="ar-EG"/>
        </w:rPr>
        <w:t>)</w:t>
      </w:r>
      <w:r w:rsidRPr="00FB52A7">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43B48364" w14:textId="77777777" w:rsidR="008B1FFD" w:rsidRDefault="008B1FFD" w:rsidP="008B1FFD">
      <w:pPr>
        <w:bidi/>
        <w:spacing w:line="360" w:lineRule="auto"/>
        <w:jc w:val="both"/>
        <w:rPr>
          <w:rFonts w:ascii="Traditional Arabic" w:hAnsi="Traditional Arabic" w:cs="Traditional Arabic"/>
          <w:sz w:val="28"/>
          <w:szCs w:val="28"/>
          <w:lang w:bidi="ar-EG"/>
        </w:rPr>
      </w:pPr>
      <w:r w:rsidRPr="008B1FFD">
        <w:rPr>
          <w:rFonts w:ascii="Traditional Arabic" w:hAnsi="Traditional Arabic" w:cs="Traditional Arabic"/>
          <w:sz w:val="28"/>
          <w:szCs w:val="28"/>
          <w:rtl/>
          <w:lang w:bidi="ar-EG"/>
        </w:rPr>
        <w:t>وعلى الرغم من هذه التطورات، لا تزال عملية تمكين القيادات النسائية تواجه مجموعة من التحديات والعوامل التي قد تؤثر في قدرة المرأة على الوصول إلى المناصب القيادية أو ممارسة أدوارها القيادية بكفاءة وفاعلية، وتتنوع هذه العوامل بين عوامل تنظيمية، مثل الثقافة التنظيمية والسياسات والإجراءات الإدارية وفرص التدريب والتطوير، وعوامل اجتماعية وثقافية مرتبطة بالاتجاهات المجتمعية تجاه قيادة المرأة، إضافة إلى عوامل شخصية ومهنية تتصل بالخبرات والمهارات والثقة بالقدرات القيادية، فضلًا عن مدى فاعلية التشريعات والسياسات الداعمة للمرأة.</w:t>
      </w:r>
      <w:r>
        <w:rPr>
          <w:rFonts w:ascii="Traditional Arabic" w:hAnsi="Traditional Arabic" w:cs="Traditional Arabic"/>
          <w:sz w:val="28"/>
          <w:szCs w:val="28"/>
          <w:lang w:bidi="ar-EG"/>
        </w:rPr>
        <w:t xml:space="preserve"> </w:t>
      </w:r>
    </w:p>
    <w:p w14:paraId="7F2159AF" w14:textId="77777777" w:rsidR="008B1FFD" w:rsidRDefault="008B1FFD" w:rsidP="008B1FFD">
      <w:pPr>
        <w:bidi/>
        <w:spacing w:line="360" w:lineRule="auto"/>
        <w:jc w:val="both"/>
        <w:rPr>
          <w:rFonts w:ascii="Traditional Arabic" w:hAnsi="Traditional Arabic" w:cs="Traditional Arabic"/>
          <w:sz w:val="28"/>
          <w:szCs w:val="28"/>
          <w:rtl/>
          <w:lang w:bidi="ar-EG"/>
        </w:rPr>
      </w:pPr>
      <w:r w:rsidRPr="008B1FFD">
        <w:rPr>
          <w:rFonts w:ascii="Traditional Arabic" w:hAnsi="Traditional Arabic" w:cs="Traditional Arabic"/>
          <w:sz w:val="28"/>
          <w:szCs w:val="28"/>
          <w:rtl/>
          <w:lang w:bidi="ar-EG"/>
        </w:rPr>
        <w:t>وتتمثل مشكلة الدراسة في الحاجة إلى تحديد هذه العوامل بصورة أكثر دقة، والكشف عن درجة تأثيرها في تمكين القيادات النسائية داخل المؤسسات السعودية، خاصة في ظل التحولات المتسارعة التي يشهدها المجتمع السعودي وتزايد مشاركة المرأة في مختلف القطاعات، كما تبرز الحاجة إلى فهم طبيعة الجوانب التي يمكن تطويرها على مستوى المؤسسات والسياسات والممارسات الإدارية.</w:t>
      </w:r>
    </w:p>
    <w:p w14:paraId="3D7A7DEB" w14:textId="77777777" w:rsidR="001A3637" w:rsidRPr="00F3715C"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FB52A7">
        <w:rPr>
          <w:rFonts w:ascii="Traditional Arabic" w:hAnsi="Traditional Arabic" w:cs="Traditional Arabic"/>
          <w:sz w:val="28"/>
          <w:szCs w:val="28"/>
          <w:rtl/>
        </w:rPr>
        <w:t>، يطرح هذا البحث السؤال الرئيسي التالي</w:t>
      </w:r>
      <w:r w:rsidRPr="00FB52A7">
        <w:rPr>
          <w:rFonts w:ascii="Traditional Arabic" w:hAnsi="Traditional Arabic" w:cs="Traditional Arabic"/>
          <w:sz w:val="28"/>
          <w:szCs w:val="28"/>
          <w:lang w:bidi="ar-EG"/>
        </w:rPr>
        <w:t>:</w:t>
      </w:r>
      <w:r w:rsidRPr="00FB52A7">
        <w:rPr>
          <w:rFonts w:ascii="Traditional Arabic" w:hAnsi="Traditional Arabic" w:cs="Traditional Arabic"/>
          <w:sz w:val="28"/>
          <w:szCs w:val="28"/>
          <w:rtl/>
          <w:lang w:bidi="ar-EG"/>
        </w:rPr>
        <w:t xml:space="preserve"> </w:t>
      </w:r>
      <w:r w:rsidRPr="00FB52A7">
        <w:rPr>
          <w:rFonts w:ascii="Traditional Arabic" w:hAnsi="Traditional Arabic" w:cs="Traditional Arabic"/>
          <w:b/>
          <w:bCs/>
          <w:sz w:val="28"/>
          <w:szCs w:val="28"/>
          <w:rtl/>
        </w:rPr>
        <w:t>ما هي متطلبات تمكين القيادات النسائية في المؤسسات السعودية؟</w:t>
      </w:r>
    </w:p>
    <w:p w14:paraId="1F3D7737" w14:textId="77777777" w:rsidR="001A3637" w:rsidRDefault="001A3637" w:rsidP="001A3637">
      <w:pPr>
        <w:bidi/>
        <w:spacing w:line="360" w:lineRule="auto"/>
        <w:jc w:val="both"/>
        <w:rPr>
          <w:rFonts w:ascii="Traditional Arabic" w:hAnsi="Traditional Arabic" w:cs="Traditional Arabic"/>
          <w:b/>
          <w:bCs/>
          <w:sz w:val="28"/>
          <w:szCs w:val="28"/>
          <w:rtl/>
        </w:rPr>
      </w:pPr>
    </w:p>
    <w:p w14:paraId="14134077" w14:textId="77777777" w:rsidR="0027583A" w:rsidRDefault="0027583A" w:rsidP="0027583A">
      <w:pPr>
        <w:bidi/>
        <w:spacing w:line="360" w:lineRule="auto"/>
        <w:jc w:val="both"/>
        <w:rPr>
          <w:rFonts w:ascii="Traditional Arabic" w:hAnsi="Traditional Arabic" w:cs="Traditional Arabic"/>
          <w:b/>
          <w:bCs/>
          <w:sz w:val="28"/>
          <w:szCs w:val="28"/>
          <w:rtl/>
        </w:rPr>
      </w:pPr>
    </w:p>
    <w:p w14:paraId="419CD3A5" w14:textId="77777777" w:rsidR="0027583A" w:rsidRDefault="0027583A" w:rsidP="0027583A">
      <w:pPr>
        <w:bidi/>
        <w:spacing w:line="360" w:lineRule="auto"/>
        <w:jc w:val="both"/>
        <w:rPr>
          <w:rFonts w:ascii="Traditional Arabic" w:hAnsi="Traditional Arabic" w:cs="Traditional Arabic"/>
          <w:b/>
          <w:bCs/>
          <w:sz w:val="28"/>
          <w:szCs w:val="28"/>
        </w:rPr>
      </w:pPr>
    </w:p>
    <w:p w14:paraId="3870468C" w14:textId="77777777" w:rsidR="001A3637" w:rsidRPr="003F3EF0" w:rsidRDefault="001A3637" w:rsidP="001A3637">
      <w:pPr>
        <w:pStyle w:val="Heading2"/>
        <w:bidi/>
        <w:rPr>
          <w:rFonts w:ascii="Traditional Arabic" w:hAnsi="Traditional Arabic" w:cs="Traditional Arabic"/>
          <w:b w:val="0"/>
          <w:bCs w:val="0"/>
          <w:color w:val="auto"/>
          <w:rtl/>
        </w:rPr>
      </w:pPr>
      <w:bookmarkStart w:id="4" w:name="_Toc204916650"/>
      <w:r w:rsidRPr="003F3EF0">
        <w:rPr>
          <w:rFonts w:ascii="Traditional Arabic" w:hAnsi="Traditional Arabic" w:cs="Traditional Arabic"/>
          <w:color w:val="auto"/>
          <w:rtl/>
          <w:lang w:bidi="ar-EG"/>
        </w:rPr>
        <w:lastRenderedPageBreak/>
        <w:t>تساؤلات الدراسة</w:t>
      </w:r>
      <w:r w:rsidRPr="003F3EF0">
        <w:rPr>
          <w:rFonts w:ascii="Traditional Arabic" w:hAnsi="Traditional Arabic" w:cs="Traditional Arabic"/>
          <w:color w:val="auto"/>
          <w:lang w:bidi="ar-EG"/>
        </w:rPr>
        <w:t>:</w:t>
      </w:r>
      <w:bookmarkEnd w:id="4"/>
    </w:p>
    <w:p w14:paraId="464F2806"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lang w:bidi="ar-EG"/>
        </w:rPr>
      </w:pPr>
      <w:r w:rsidRPr="00FB52A7">
        <w:rPr>
          <w:rFonts w:ascii="Traditional Arabic" w:hAnsi="Traditional Arabic" w:cs="Traditional Arabic"/>
          <w:b/>
          <w:bCs/>
          <w:sz w:val="28"/>
          <w:szCs w:val="28"/>
          <w:rtl/>
        </w:rPr>
        <w:t>السؤال الرئيسي</w:t>
      </w:r>
    </w:p>
    <w:p w14:paraId="65BF4CBD" w14:textId="77777777" w:rsidR="001A3637" w:rsidRPr="00FB52A7" w:rsidRDefault="001A3637" w:rsidP="001A3637">
      <w:pPr>
        <w:pStyle w:val="ListParagraph"/>
        <w:widowControl/>
        <w:numPr>
          <w:ilvl w:val="0"/>
          <w:numId w:val="14"/>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lang w:bidi="ar-EG"/>
        </w:rPr>
        <w:t>ما هي متطلبات تمكين القيادات النسائية في المؤسسات السعودية؟</w:t>
      </w:r>
    </w:p>
    <w:p w14:paraId="76EFD156"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rtl/>
          <w:lang w:bidi="ar-EG"/>
        </w:rPr>
      </w:pPr>
      <w:r w:rsidRPr="00FB52A7">
        <w:rPr>
          <w:rFonts w:ascii="Traditional Arabic" w:hAnsi="Traditional Arabic" w:cs="Traditional Arabic"/>
          <w:b/>
          <w:bCs/>
          <w:sz w:val="28"/>
          <w:szCs w:val="28"/>
          <w:rtl/>
        </w:rPr>
        <w:t>الأسئلة الفرعية</w:t>
      </w:r>
    </w:p>
    <w:p w14:paraId="693ED8E9"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الاجتماعية شغل المراة السعودية للمناصب القيادية؟</w:t>
      </w:r>
    </w:p>
    <w:p w14:paraId="2B144879"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الثقافية من شغل المرأة السعودية للمناصب القيادية؟</w:t>
      </w:r>
    </w:p>
    <w:p w14:paraId="442D1E07" w14:textId="77777777" w:rsidR="001A363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التنظيمية من شغل المراة السعودية للمناصب القيادية؟</w:t>
      </w:r>
    </w:p>
    <w:p w14:paraId="11E5C4BE" w14:textId="77777777" w:rsidR="00E853D0" w:rsidRPr="00765AF2" w:rsidRDefault="00E853D0" w:rsidP="00E853D0">
      <w:pPr>
        <w:pStyle w:val="ListParagraph"/>
        <w:widowControl/>
        <w:autoSpaceDE/>
        <w:autoSpaceDN/>
        <w:bidi/>
        <w:adjustRightInd/>
        <w:spacing w:after="160" w:line="360" w:lineRule="auto"/>
        <w:rPr>
          <w:rFonts w:ascii="Traditional Arabic" w:hAnsi="Traditional Arabic" w:cs="Traditional Arabic"/>
          <w:sz w:val="28"/>
          <w:szCs w:val="28"/>
        </w:rPr>
      </w:pPr>
    </w:p>
    <w:p w14:paraId="36B96A77" w14:textId="77777777" w:rsidR="001A3637" w:rsidRDefault="001A3637" w:rsidP="001A3637">
      <w:pPr>
        <w:pStyle w:val="Heading2"/>
        <w:bidi/>
        <w:rPr>
          <w:rFonts w:ascii="Traditional Arabic" w:hAnsi="Traditional Arabic" w:cs="Traditional Arabic"/>
          <w:b w:val="0"/>
          <w:bCs w:val="0"/>
          <w:color w:val="auto"/>
          <w:lang w:bidi="ar-EG"/>
        </w:rPr>
      </w:pPr>
      <w:bookmarkStart w:id="5" w:name="_Toc204916651"/>
      <w:r w:rsidRPr="003F3EF0">
        <w:rPr>
          <w:rFonts w:ascii="Traditional Arabic" w:hAnsi="Traditional Arabic" w:cs="Traditional Arabic"/>
          <w:color w:val="auto"/>
          <w:rtl/>
          <w:lang w:bidi="ar-EG"/>
        </w:rPr>
        <w:t>أهمية الدراسة</w:t>
      </w:r>
      <w:r>
        <w:rPr>
          <w:rFonts w:ascii="Traditional Arabic" w:hAnsi="Traditional Arabic" w:cs="Traditional Arabic"/>
          <w:color w:val="auto"/>
          <w:lang w:bidi="ar-EG"/>
        </w:rPr>
        <w:t>:</w:t>
      </w:r>
      <w:bookmarkEnd w:id="5"/>
    </w:p>
    <w:p w14:paraId="02362EFA" w14:textId="77777777" w:rsidR="001A3637" w:rsidRPr="00FB52A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تعتبر دراسة العوامل المؤثرة في تمكين القيادات النسائية في المؤسسات السعودية ذات أهمية كبيرة في سياق التغيرات الاجتماعية والاقتصادية التي تشهدها المملكة، خاصة في إطار رؤية المملكة 2030 التي تسعى لتعزيز دور المرأة في جميع جوانب الحياة، بما في ذلك المجالات القيادية والإدارية. ففي الوقت الذي تشهد فيه المملكة تحولات كبيرة نحو تمكين المرأة، فإن دراسة هذه العوامل تساعد في فهم التحديات والفرص التي تواجه النساء في الوصول إلى المناصب القيادية، وتسلط الضوء على العوامل التي تسهم في هذا التمكين أو تعيقه. الأهمية النظرية لهذه الدراسة تتمثل في إثراء الأدبيات الأكاديمية المتخصصة في تمكين المرأة في بيئات العمل العربية والسعودية، وتقديم رؤى جديدة حول كيفية تأثير العوامل الاجتماعية والثقافية والسياسية على تقدم النساء في مجالات القيادة. أما الأهمية التطبيقية، فهي تكمن في تقديم حلول عملية تسهم في تطوير سياسات وبرامج تمكينية للمؤسسات السعودية، مما يساعد على خلق بيئة عمل أكثر شمولية وتنوعًا. كما تساهم الدراسة في تحفيز المؤسسات على اعتماد استراتيجيات تدعم المرأة في الوصول إلى المناصب القيادية، مثل تطوير برامج تدريبية متخصصة، تحسين سياسات التوازن بين الحياة الشخصية والمهنية، وتوفير بيئات عمل مرنة. في النهاية، هذه الدراسة تقدم إطارًا عمليًا ومؤسسيًا يساعد في تحقيق التوازن والمساواة بين الجنسين في القيادة، مما يعزز من الأداء المؤسسي ويساهم في تحقيق الأهداف التنموية للمملكة على المدى الطويل</w:t>
      </w:r>
      <w:r w:rsidRPr="00FB52A7">
        <w:rPr>
          <w:rFonts w:ascii="Traditional Arabic" w:hAnsi="Traditional Arabic" w:cs="Traditional Arabic"/>
          <w:sz w:val="28"/>
          <w:szCs w:val="28"/>
          <w:lang w:bidi="ar-EG"/>
        </w:rPr>
        <w:t>.</w:t>
      </w:r>
    </w:p>
    <w:p w14:paraId="73B4D4D4"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النظرية</w:t>
      </w:r>
    </w:p>
    <w:p w14:paraId="7B55C911"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 xml:space="preserve">تتمثل الأهمية النظرية لدراسة العوامل المؤثرة في تمكين القيادات النسائية في المؤسسات السعودية في إثراء المعرفة الأكاديمية </w:t>
      </w:r>
      <w:r w:rsidRPr="00FB52A7">
        <w:rPr>
          <w:rFonts w:ascii="Traditional Arabic" w:hAnsi="Traditional Arabic" w:cs="Traditional Arabic"/>
          <w:sz w:val="28"/>
          <w:szCs w:val="28"/>
          <w:rtl/>
        </w:rPr>
        <w:lastRenderedPageBreak/>
        <w:t>والبحثية حول دور المرأة في المناصب القيادية في السياق السعودي، وتحديداً في بيئة تتسم بتحديات اجتماعية وثقافية خاصة. تسهم هذه الدراسة في تقديم فهم شامل لآلية تأثير العوامل السياسية والاجتماعية والاقتصادية على وصول النساء إلى المناصب القيادية، وتساعد في توضيح كيفية تفاعل هذه العوامل مع بعضها البعض. من خلال تحليل السياسات الحكومية مثل رؤية المملكة 2030، والتي تسعى إلى تعزيز دور المرأة في المجتمع السعودي، تسهم هذه الدراسة في إثراء الأدبيات الأكاديمية حول التمكين القيادي للنساء في بيئات العمل العربية بشكل عام والسعودية بشكل خاص</w:t>
      </w:r>
      <w:r w:rsidRPr="00FB52A7">
        <w:rPr>
          <w:rFonts w:ascii="Traditional Arabic" w:hAnsi="Traditional Arabic" w:cs="Traditional Arabic"/>
          <w:sz w:val="28"/>
          <w:szCs w:val="28"/>
        </w:rPr>
        <w:t>.</w:t>
      </w:r>
    </w:p>
    <w:p w14:paraId="250F9247" w14:textId="77777777" w:rsidR="001A3637" w:rsidRPr="00FB52A7" w:rsidRDefault="001A3637" w:rsidP="001A3637">
      <w:pPr>
        <w:bidi/>
        <w:spacing w:line="360" w:lineRule="auto"/>
        <w:ind w:firstLine="571"/>
        <w:jc w:val="both"/>
        <w:rPr>
          <w:rFonts w:ascii="Traditional Arabic" w:hAnsi="Traditional Arabic" w:cs="Traditional Arabic"/>
          <w:sz w:val="28"/>
          <w:szCs w:val="28"/>
        </w:rPr>
      </w:pPr>
      <w:r w:rsidRPr="00FB52A7">
        <w:rPr>
          <w:rFonts w:ascii="Traditional Arabic" w:hAnsi="Traditional Arabic" w:cs="Traditional Arabic"/>
          <w:sz w:val="28"/>
          <w:szCs w:val="28"/>
          <w:rtl/>
        </w:rPr>
        <w:t xml:space="preserve">من خلال استكشاف العوامل الثقافية والاجتماعية التي قد تحد من مشاركة المرأة في القيادة، فإن الدراسة تعطي لمحة نظرية عن كيفية تأثير التقاليد والمفاهيم الاجتماعية السائدة على تصورات الناس حول دور المرأة في العمل. تسلط هذه الدراسة الضوء على العلاقة بين المجتمع ودوره في تعزيز أو تقليص الفرص المتاحة للمرأة للوصول إلى المناصب القيادية، وهذا يساهم في تطوير النظرية حول تأثير البيئة المجتمعية في تقدم النساء في مجالات العمل القيادي. بالإضافة إلى ذلك، فإن الدراسة قد تقدم تفسيرات نظرية حول كيفية تقاطع هذه العوامل مع بعضها، مما يساهم في فهم أعمق للعوائق والفرص التي تواجه القيادات النسائية في المؤسسات السعودية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2019</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Alghofaily</w:t>
      </w:r>
      <w:r w:rsidR="004F7268" w:rsidRPr="00E968AC">
        <w:rPr>
          <w:rFonts w:ascii="Traditional Arabic" w:hAnsi="Traditional Arabic" w:cs="Traditional Arabic" w:hint="cs"/>
          <w:noProof/>
          <w:sz w:val="28"/>
          <w:szCs w:val="28"/>
          <w:rtl/>
          <w:lang w:bidi="ar-EG"/>
        </w:rPr>
        <w:t>)</w:t>
      </w:r>
      <w:r w:rsidRPr="00FB52A7">
        <w:rPr>
          <w:rFonts w:ascii="Traditional Arabic" w:hAnsi="Traditional Arabic" w:cs="Traditional Arabic"/>
          <w:sz w:val="28"/>
          <w:szCs w:val="28"/>
        </w:rPr>
        <w:t>.</w:t>
      </w:r>
    </w:p>
    <w:p w14:paraId="616B866E"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التطبيقية</w:t>
      </w:r>
    </w:p>
    <w:p w14:paraId="75112597"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أما من الناحية التطبيقية، فإن دراسة العوامل المؤثرة في تمكين القيادات النسائية في المؤسسات السعودية تكتسب أهمية كبيرة في تقديم حلول عملية يمكن تطبيقها على أرض الواقع. من خلال هذه الدراسة، يمكن للمؤسسات الحكومية والخاصة في المملكة العربية السعودية التعرف على مجموعة من العوامل التي قد تؤثر على تمكين المرأة، وبالتالي اتخاذ خطوات عملية لتحسين الوضع القائم. يمكن أن تسهم النتائج في تصميم استراتيجيات مبتكرة تهدف إلى زيادة مشاركة المرأة في المناصب القيادية، سواء كان ذلك من خلال تطوير برامج التدريب والتطوير المهني التي تركز على تحسين المهارات القيادية للنساء، أو من خلال توفير بيئات عمل مرنة تدعم التوازن بين الحياة الشخصية والمهنية</w:t>
      </w:r>
      <w:r w:rsidRPr="00FB52A7">
        <w:rPr>
          <w:rFonts w:ascii="Traditional Arabic" w:hAnsi="Traditional Arabic" w:cs="Traditional Arabic"/>
          <w:sz w:val="28"/>
          <w:szCs w:val="28"/>
        </w:rPr>
        <w:t>.</w:t>
      </w:r>
    </w:p>
    <w:p w14:paraId="2DDC06D2"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إن هذه الدراسة تساعد في توجيه السياسات الحكومية والمؤسسات التعليمية نحو دعم المبادرات التي تهدف إلى رفع كفاءة النساء في القيادة. على سبيل المثال، قد تسهم نتائج الدراسة في توجيه المؤسسات إلى تصميم برامج للتوجيه والإرشاد</w:t>
      </w:r>
      <w:r w:rsidRPr="00FB52A7">
        <w:rPr>
          <w:rFonts w:ascii="Traditional Arabic" w:hAnsi="Traditional Arabic" w:cs="Traditional Arabic"/>
          <w:sz w:val="28"/>
          <w:szCs w:val="28"/>
        </w:rPr>
        <w:t xml:space="preserve"> (Mentoring) </w:t>
      </w:r>
      <w:r w:rsidRPr="00FB52A7">
        <w:rPr>
          <w:rFonts w:ascii="Traditional Arabic" w:hAnsi="Traditional Arabic" w:cs="Traditional Arabic"/>
          <w:sz w:val="28"/>
          <w:szCs w:val="28"/>
          <w:rtl/>
        </w:rPr>
        <w:t xml:space="preserve">الخاصة بالقيادات النسائية، والتي تمكن النساء من تطوير مهاراتهن القيادية وتعلم استراتيجيات التعامل مع التحديات المهنية. من جانب آخر، فإن تحليل العوامل المؤثرة في تمكين القيادات النسائية يساعد في إعادة النظر في السياسات </w:t>
      </w:r>
      <w:r w:rsidRPr="00FB52A7">
        <w:rPr>
          <w:rFonts w:ascii="Traditional Arabic" w:hAnsi="Traditional Arabic" w:cs="Traditional Arabic"/>
          <w:sz w:val="28"/>
          <w:szCs w:val="28"/>
          <w:rtl/>
        </w:rPr>
        <w:lastRenderedPageBreak/>
        <w:t xml:space="preserve">الداخلية للمؤسسات لتحسين بيئات العمل وضمان أن تكون أكثر شمولاً للنساء، بما يساهم في خلق فرص متساوية في الترقية والوصول إلى المناصب القيادية </w:t>
      </w:r>
      <w:r w:rsidR="004F7268" w:rsidRPr="00E968AC">
        <w:rPr>
          <w:rFonts w:ascii="Traditional Arabic" w:hAnsi="Traditional Arabic" w:cs="Traditional Arabic" w:hint="cs"/>
          <w:noProof/>
          <w:sz w:val="28"/>
          <w:szCs w:val="28"/>
          <w:rtl/>
          <w:lang w:bidi="ar-EG"/>
        </w:rPr>
        <w:t>(</w:t>
      </w:r>
      <w:r w:rsidR="004F7268">
        <w:rPr>
          <w:rFonts w:ascii="Traditional Arabic" w:hAnsi="Traditional Arabic" w:cs="Traditional Arabic"/>
          <w:noProof/>
          <w:sz w:val="28"/>
          <w:szCs w:val="28"/>
          <w:lang w:bidi="ar-EG"/>
        </w:rPr>
        <w:t>2024</w:t>
      </w:r>
      <w:r w:rsidR="004F7268" w:rsidRPr="00E968AC">
        <w:rPr>
          <w:rFonts w:ascii="Traditional Arabic" w:hAnsi="Traditional Arabic" w:cs="Traditional Arabic" w:hint="cs"/>
          <w:noProof/>
          <w:sz w:val="28"/>
          <w:szCs w:val="28"/>
          <w:rtl/>
          <w:lang w:bidi="ar-EG"/>
        </w:rPr>
        <w:t xml:space="preserve">، </w:t>
      </w:r>
      <w:r w:rsidR="004F7268" w:rsidRPr="00E968AC">
        <w:rPr>
          <w:rFonts w:ascii="Traditional Arabic" w:hAnsi="Traditional Arabic" w:cs="Traditional Arabic" w:hint="cs"/>
          <w:noProof/>
          <w:sz w:val="28"/>
          <w:szCs w:val="28"/>
          <w:lang w:bidi="ar-EG"/>
        </w:rPr>
        <w:t>Manal</w:t>
      </w:r>
      <w:r w:rsidR="004F7268" w:rsidRPr="00E968AC">
        <w:rPr>
          <w:rFonts w:ascii="Traditional Arabic" w:hAnsi="Traditional Arabic" w:cs="Traditional Arabic" w:hint="cs"/>
          <w:noProof/>
          <w:sz w:val="28"/>
          <w:szCs w:val="28"/>
          <w:rtl/>
          <w:lang w:bidi="ar-EG"/>
        </w:rPr>
        <w:t>)</w:t>
      </w:r>
      <w:r w:rsidRPr="00FB52A7">
        <w:rPr>
          <w:rFonts w:ascii="Traditional Arabic" w:hAnsi="Traditional Arabic" w:cs="Traditional Arabic"/>
          <w:sz w:val="28"/>
          <w:szCs w:val="28"/>
        </w:rPr>
        <w:t>.</w:t>
      </w:r>
    </w:p>
    <w:p w14:paraId="6CFE6E98"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تساهم هذه الدراسة في تحسين فهم المسؤولين عن أهمية تمكين النساء في المناصب القيادية، ومدى تأثير ذلك في الأداء المؤسسي بشكل عام. فتمكين المرأة في القيادة لا يقتصر فقط على ضمان العدالة والمساواة بين الجنسين، بل يمتد ليشمل تحسين الأداء المؤسسي، إذ تشير الدراسات إلى أن التنوع في القيادة يمكن أن يعزز من الابتكار ويسهم في اتخاذ قرارات أفضل وأكثر شمولية. كما أن تمكين النساء في المؤسسات السعودية يسهم في تعزيز التنمية الاقتصادية والاجتماعية، من خلال زيادة نسبة المشاركة النسائية في سوق العمل وتحقيق أهداف التنمية المستدامة للمملكة.</w:t>
      </w:r>
    </w:p>
    <w:p w14:paraId="77E5A1EB" w14:textId="77777777" w:rsidR="001A3637" w:rsidRPr="00FB52A7" w:rsidRDefault="001A3637" w:rsidP="001A3637">
      <w:pPr>
        <w:bidi/>
        <w:spacing w:line="360" w:lineRule="auto"/>
        <w:jc w:val="both"/>
        <w:rPr>
          <w:rFonts w:ascii="Traditional Arabic" w:hAnsi="Traditional Arabic" w:cs="Traditional Arabic"/>
          <w:sz w:val="28"/>
          <w:szCs w:val="28"/>
          <w:rtl/>
        </w:rPr>
      </w:pPr>
    </w:p>
    <w:p w14:paraId="3F81B95F" w14:textId="77777777" w:rsidR="001A3637" w:rsidRDefault="001A3637" w:rsidP="001A3637">
      <w:pPr>
        <w:pStyle w:val="Heading2"/>
        <w:bidi/>
        <w:rPr>
          <w:rFonts w:ascii="Traditional Arabic" w:hAnsi="Traditional Arabic" w:cs="Traditional Arabic"/>
          <w:b w:val="0"/>
          <w:bCs w:val="0"/>
          <w:color w:val="auto"/>
          <w:lang w:bidi="ar-EG"/>
        </w:rPr>
      </w:pPr>
      <w:bookmarkStart w:id="6" w:name="_Toc204916652"/>
      <w:r w:rsidRPr="003F3EF0">
        <w:rPr>
          <w:rFonts w:ascii="Traditional Arabic" w:hAnsi="Traditional Arabic" w:cs="Traditional Arabic"/>
          <w:color w:val="auto"/>
          <w:rtl/>
          <w:lang w:bidi="ar-EG"/>
        </w:rPr>
        <w:t>أهداف الدراسة</w:t>
      </w:r>
      <w:r>
        <w:rPr>
          <w:rFonts w:ascii="Traditional Arabic" w:hAnsi="Traditional Arabic" w:cs="Traditional Arabic"/>
          <w:color w:val="auto"/>
          <w:lang w:bidi="ar-EG"/>
        </w:rPr>
        <w:t>:</w:t>
      </w:r>
      <w:bookmarkEnd w:id="6"/>
    </w:p>
    <w:p w14:paraId="6EB134DF"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الهدف الرئيسي</w:t>
      </w:r>
    </w:p>
    <w:p w14:paraId="1F46342B" w14:textId="77777777" w:rsidR="001A3637" w:rsidRPr="00FB52A7" w:rsidRDefault="001A3637" w:rsidP="001A3637">
      <w:pPr>
        <w:pStyle w:val="ListParagraph"/>
        <w:widowControl/>
        <w:numPr>
          <w:ilvl w:val="0"/>
          <w:numId w:val="17"/>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تهدف هذه الدراسة إلى التعرف على العوامل المؤثرة في تمكين القيادات النسائية في المؤسسات السعودية</w:t>
      </w:r>
      <w:r w:rsidRPr="00FB52A7">
        <w:rPr>
          <w:rFonts w:ascii="Traditional Arabic" w:hAnsi="Traditional Arabic" w:cs="Traditional Arabic"/>
          <w:sz w:val="28"/>
          <w:szCs w:val="28"/>
          <w:lang w:bidi="ar-EG"/>
        </w:rPr>
        <w:t>.</w:t>
      </w:r>
    </w:p>
    <w:p w14:paraId="634C117D"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الأهداف الفرعية</w:t>
      </w:r>
    </w:p>
    <w:p w14:paraId="7847C744" w14:textId="77777777" w:rsidR="001A3637" w:rsidRPr="00FB52A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التعرف على ما إذا كانت العوامل الاجتماعية تدعم شغل المرأة للمناصب القيادية في المؤسسات السعودية</w:t>
      </w:r>
      <w:r w:rsidRPr="00FB52A7">
        <w:rPr>
          <w:rFonts w:ascii="Traditional Arabic" w:hAnsi="Traditional Arabic" w:cs="Traditional Arabic"/>
          <w:sz w:val="28"/>
          <w:szCs w:val="28"/>
          <w:lang w:bidi="ar-EG"/>
        </w:rPr>
        <w:t>.</w:t>
      </w:r>
    </w:p>
    <w:p w14:paraId="74B47A41" w14:textId="77777777" w:rsidR="001A363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تحليل تأثير الثقافة المجتمعية على قبول المجتمع لوجود النساء في المناصب القيادية في المؤسسات السعودية</w:t>
      </w:r>
      <w:r w:rsidRPr="00FB52A7">
        <w:rPr>
          <w:rFonts w:ascii="Traditional Arabic" w:hAnsi="Traditional Arabic" w:cs="Traditional Arabic"/>
          <w:sz w:val="28"/>
          <w:szCs w:val="28"/>
          <w:lang w:bidi="ar-EG"/>
        </w:rPr>
        <w:t>.</w:t>
      </w:r>
    </w:p>
    <w:p w14:paraId="4AC307DF" w14:textId="77777777" w:rsidR="001A3637" w:rsidRPr="00E853D0" w:rsidRDefault="001A3637" w:rsidP="00E853D0">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765AF2">
        <w:rPr>
          <w:rFonts w:ascii="Traditional Arabic" w:eastAsia="Times New Roman" w:hAnsi="Traditional Arabic" w:cs="Traditional Arabic" w:hint="cs"/>
          <w:sz w:val="28"/>
          <w:szCs w:val="28"/>
          <w:rtl/>
        </w:rPr>
        <w:t>تحليل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تأثير</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العوامل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التنظيمية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داخل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المؤسسات</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السعودية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على</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تمكين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المرأة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من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تولي</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المناصب</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القيادية</w:t>
      </w:r>
      <w:r w:rsidRPr="00765AF2">
        <w:rPr>
          <w:rFonts w:ascii="Traditional Arabic" w:eastAsia="Times New Roman" w:hAnsi="Traditional Arabic" w:cs="Traditional Arabic"/>
          <w:sz w:val="28"/>
          <w:szCs w:val="28"/>
          <w:rtl/>
        </w:rPr>
        <w:t>.</w:t>
      </w:r>
    </w:p>
    <w:p w14:paraId="3711E462" w14:textId="77777777" w:rsidR="001A3637" w:rsidRPr="003F3EF0" w:rsidRDefault="001A3637" w:rsidP="001A3637">
      <w:pPr>
        <w:pStyle w:val="Heading2"/>
        <w:bidi/>
        <w:rPr>
          <w:rFonts w:ascii="Traditional Arabic" w:hAnsi="Traditional Arabic" w:cs="Traditional Arabic"/>
          <w:b w:val="0"/>
          <w:bCs w:val="0"/>
          <w:color w:val="auto"/>
          <w:rtl/>
          <w:lang w:bidi="ar-EG"/>
        </w:rPr>
      </w:pPr>
      <w:bookmarkStart w:id="7" w:name="_Toc204916653"/>
      <w:r w:rsidRPr="003F3EF0">
        <w:rPr>
          <w:rFonts w:ascii="Traditional Arabic" w:hAnsi="Traditional Arabic" w:cs="Traditional Arabic"/>
          <w:color w:val="auto"/>
          <w:rtl/>
          <w:lang w:bidi="ar-EG"/>
        </w:rPr>
        <w:t>فروض الدراسة</w:t>
      </w:r>
      <w:r>
        <w:rPr>
          <w:rFonts w:ascii="Traditional Arabic" w:hAnsi="Traditional Arabic" w:cs="Traditional Arabic"/>
          <w:color w:val="auto"/>
          <w:lang w:bidi="ar-EG"/>
        </w:rPr>
        <w:t>:</w:t>
      </w:r>
      <w:bookmarkEnd w:id="7"/>
    </w:p>
    <w:p w14:paraId="44734C6F"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الاجتماعية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16480715"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الثقافية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6444726A"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التنظيمية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30E638C8" w14:textId="77777777" w:rsidR="001A3637" w:rsidRDefault="001A3637" w:rsidP="001A3637">
      <w:pPr>
        <w:pStyle w:val="NormalWeb"/>
        <w:bidi/>
        <w:spacing w:before="0" w:beforeAutospacing="0" w:after="0" w:afterAutospacing="0" w:line="360" w:lineRule="auto"/>
        <w:jc w:val="both"/>
        <w:rPr>
          <w:rFonts w:ascii="Traditional Arabic" w:hAnsi="Traditional Arabic" w:cs="Traditional Arabic"/>
          <w:sz w:val="28"/>
          <w:szCs w:val="28"/>
          <w:rtl/>
        </w:rPr>
      </w:pPr>
    </w:p>
    <w:p w14:paraId="0B1D1631" w14:textId="77777777" w:rsidR="0027583A" w:rsidRDefault="0027583A" w:rsidP="0027583A">
      <w:pPr>
        <w:pStyle w:val="NormalWeb"/>
        <w:bidi/>
        <w:spacing w:before="0" w:beforeAutospacing="0" w:after="0" w:afterAutospacing="0" w:line="360" w:lineRule="auto"/>
        <w:jc w:val="both"/>
        <w:rPr>
          <w:rFonts w:ascii="Traditional Arabic" w:hAnsi="Traditional Arabic" w:cs="Traditional Arabic"/>
          <w:sz w:val="28"/>
          <w:szCs w:val="28"/>
          <w:rtl/>
        </w:rPr>
      </w:pPr>
    </w:p>
    <w:p w14:paraId="75E91EDA" w14:textId="77777777" w:rsidR="0027583A" w:rsidRPr="00D7268F" w:rsidRDefault="0027583A" w:rsidP="0027583A">
      <w:pPr>
        <w:pStyle w:val="NormalWeb"/>
        <w:bidi/>
        <w:spacing w:before="0" w:beforeAutospacing="0" w:after="0" w:afterAutospacing="0" w:line="360" w:lineRule="auto"/>
        <w:jc w:val="both"/>
        <w:rPr>
          <w:rFonts w:ascii="Traditional Arabic" w:hAnsi="Traditional Arabic" w:cs="Traditional Arabic"/>
          <w:sz w:val="28"/>
          <w:szCs w:val="28"/>
        </w:rPr>
      </w:pPr>
    </w:p>
    <w:p w14:paraId="0B519539" w14:textId="77777777" w:rsidR="001A3637" w:rsidRDefault="001A3637" w:rsidP="001A3637">
      <w:pPr>
        <w:pStyle w:val="Heading2"/>
        <w:bidi/>
        <w:spacing w:line="360" w:lineRule="auto"/>
        <w:rPr>
          <w:rFonts w:ascii="Traditional Arabic" w:hAnsi="Traditional Arabic" w:cs="Traditional Arabic"/>
          <w:b w:val="0"/>
          <w:bCs w:val="0"/>
          <w:color w:val="auto"/>
          <w:lang w:bidi="ar-EG"/>
        </w:rPr>
      </w:pPr>
      <w:bookmarkStart w:id="8" w:name="_Toc204916654"/>
      <w:r w:rsidRPr="003F3EF0">
        <w:rPr>
          <w:rFonts w:ascii="Traditional Arabic" w:hAnsi="Traditional Arabic" w:cs="Traditional Arabic"/>
          <w:color w:val="auto"/>
          <w:rtl/>
          <w:lang w:bidi="ar-EG"/>
        </w:rPr>
        <w:lastRenderedPageBreak/>
        <w:t>مفاهيم الدراسة</w:t>
      </w:r>
      <w:r>
        <w:rPr>
          <w:rFonts w:ascii="Traditional Arabic" w:hAnsi="Traditional Arabic" w:cs="Traditional Arabic"/>
          <w:color w:val="auto"/>
          <w:lang w:bidi="ar-EG"/>
        </w:rPr>
        <w:t>:</w:t>
      </w:r>
      <w:bookmarkEnd w:id="8"/>
    </w:p>
    <w:p w14:paraId="53D66148"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القيادة النسائية</w:t>
      </w:r>
      <w:r w:rsidRPr="00D7268F">
        <w:rPr>
          <w:rFonts w:ascii="Traditional Arabic" w:hAnsi="Traditional Arabic" w:cs="Traditional Arabic"/>
          <w:b/>
          <w:bCs/>
          <w:sz w:val="28"/>
          <w:szCs w:val="28"/>
          <w:lang w:bidi="ar-EG"/>
        </w:rPr>
        <w:t>:</w:t>
      </w:r>
    </w:p>
    <w:p w14:paraId="625EDC20" w14:textId="77777777"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القيادة النسائية هي القدرة على اتخاذ القرارات الاستراتيجية، وتوجيه الأفراد أو الفرق نحو تحقيق أهداف معينة، حيث تعتمد على مهارات التواصل والإلهام والابتكار. يتعلق هذا النوع من القيادة بالقدرة على التأثير الإيجابي وتحقيق التغيير داخل المؤسسات والمجتمعات </w:t>
      </w:r>
      <w:r w:rsidR="00AE5651" w:rsidRPr="00E968AC">
        <w:rPr>
          <w:rFonts w:ascii="Traditional Arabic" w:hAnsi="Traditional Arabic" w:cs="Traditional Arabic" w:hint="cs"/>
          <w:noProof/>
          <w:sz w:val="28"/>
          <w:szCs w:val="28"/>
          <w:rtl/>
          <w:lang w:bidi="ar-EG"/>
        </w:rPr>
        <w:t>(</w:t>
      </w:r>
      <w:r w:rsidR="00AE5651">
        <w:rPr>
          <w:rFonts w:ascii="Traditional Arabic" w:hAnsi="Traditional Arabic" w:cs="Traditional Arabic" w:hint="cs"/>
          <w:noProof/>
          <w:sz w:val="28"/>
          <w:szCs w:val="28"/>
          <w:rtl/>
          <w:lang w:bidi="ar-EG"/>
        </w:rPr>
        <w:t>2023</w:t>
      </w:r>
      <w:r w:rsidR="00AE5651" w:rsidRPr="00E968AC">
        <w:rPr>
          <w:rFonts w:ascii="Traditional Arabic" w:hAnsi="Traditional Arabic" w:cs="Traditional Arabic" w:hint="cs"/>
          <w:noProof/>
          <w:sz w:val="28"/>
          <w:szCs w:val="28"/>
          <w:rtl/>
          <w:lang w:bidi="ar-EG"/>
        </w:rPr>
        <w:t xml:space="preserve">، </w:t>
      </w:r>
      <w:r w:rsidR="00AE5651" w:rsidRPr="00E968AC">
        <w:rPr>
          <w:rFonts w:ascii="Traditional Arabic" w:hAnsi="Traditional Arabic" w:cs="Traditional Arabic" w:hint="cs"/>
          <w:noProof/>
          <w:sz w:val="28"/>
          <w:szCs w:val="28"/>
          <w:lang w:bidi="ar-EG"/>
        </w:rPr>
        <w:t>Ruiyao</w:t>
      </w:r>
      <w:r w:rsidR="00AE5651" w:rsidRPr="00E968AC">
        <w:rPr>
          <w:rFonts w:ascii="Traditional Arabic" w:hAnsi="Traditional Arabic" w:cs="Traditional Arabic" w:hint="cs"/>
          <w:noProof/>
          <w:sz w:val="28"/>
          <w:szCs w:val="28"/>
          <w:rtl/>
          <w:lang w:bidi="ar-EG"/>
        </w:rPr>
        <w:t>)</w:t>
      </w:r>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6C2F90B6" w14:textId="77777777"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هذا البحث، يُقصد بالقيادة النسائية تمكين المرأة السعودية من تولي المناصب القيادية في القطاعات المختلفة، سواء في القطاع العام أو الخاص، من خلال تفعيل قدراتها على اتخاذ القرارات وإحداث التغيير داخل بيئات العمل</w:t>
      </w:r>
      <w:r w:rsidRPr="00D7268F">
        <w:rPr>
          <w:rFonts w:ascii="Traditional Arabic" w:hAnsi="Traditional Arabic" w:cs="Traditional Arabic"/>
          <w:sz w:val="28"/>
          <w:szCs w:val="28"/>
          <w:lang w:bidi="ar-EG"/>
        </w:rPr>
        <w:t>.</w:t>
      </w:r>
    </w:p>
    <w:p w14:paraId="77CF9531" w14:textId="77777777" w:rsidR="001A3637" w:rsidRPr="00D7268F" w:rsidRDefault="001A3637" w:rsidP="001A3637">
      <w:pPr>
        <w:bidi/>
        <w:spacing w:line="360" w:lineRule="auto"/>
        <w:jc w:val="both"/>
        <w:rPr>
          <w:rFonts w:ascii="Traditional Arabic" w:hAnsi="Traditional Arabic" w:cs="Traditional Arabic"/>
          <w:sz w:val="28"/>
          <w:szCs w:val="28"/>
          <w:lang w:bidi="ar-EG"/>
        </w:rPr>
      </w:pPr>
    </w:p>
    <w:p w14:paraId="719B7B66"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رؤية 2030</w:t>
      </w:r>
      <w:r w:rsidRPr="00D7268F">
        <w:rPr>
          <w:rFonts w:ascii="Traditional Arabic" w:hAnsi="Traditional Arabic" w:cs="Traditional Arabic"/>
          <w:b/>
          <w:bCs/>
          <w:sz w:val="28"/>
          <w:szCs w:val="28"/>
          <w:lang w:bidi="ar-EG"/>
        </w:rPr>
        <w:t>:</w:t>
      </w:r>
    </w:p>
    <w:p w14:paraId="74D9E8F8" w14:textId="77777777" w:rsidR="001A3637" w:rsidRPr="00D7268F" w:rsidRDefault="001A3637" w:rsidP="001A3637">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رؤية 2030 هي استراتيجية وطنية طويلة المدى وضعتها المملكة العربية السعودية بهدف تحويل الاقتصاد الوطني وتعزيز التنمية المستدامة من خلال إصلاحات شاملة في القطاعات المختلفة. تسعى الرؤية إلى تحقيق التنوع الاقتصادي وتعزيز تمكين المرأة وزيادة مشاركتها في المجالات الاجتماعية والاقتصادية </w:t>
      </w:r>
      <w:r w:rsidR="00AE5651" w:rsidRPr="00E968AC">
        <w:rPr>
          <w:rFonts w:ascii="Traditional Arabic" w:hAnsi="Traditional Arabic" w:cs="Traditional Arabic" w:hint="cs"/>
          <w:noProof/>
          <w:sz w:val="28"/>
          <w:szCs w:val="28"/>
          <w:rtl/>
          <w:lang w:bidi="ar-EG"/>
        </w:rPr>
        <w:t>(</w:t>
      </w:r>
      <w:r w:rsidR="00AE5651">
        <w:rPr>
          <w:rFonts w:ascii="Traditional Arabic" w:hAnsi="Traditional Arabic" w:cs="Traditional Arabic" w:hint="cs"/>
          <w:noProof/>
          <w:sz w:val="28"/>
          <w:szCs w:val="28"/>
          <w:rtl/>
          <w:lang w:bidi="ar-EG"/>
        </w:rPr>
        <w:t>2018</w:t>
      </w:r>
      <w:r w:rsidR="00AE5651" w:rsidRPr="00E968AC">
        <w:rPr>
          <w:rFonts w:ascii="Traditional Arabic" w:hAnsi="Traditional Arabic" w:cs="Traditional Arabic" w:hint="cs"/>
          <w:noProof/>
          <w:sz w:val="28"/>
          <w:szCs w:val="28"/>
          <w:rtl/>
          <w:lang w:bidi="ar-EG"/>
        </w:rPr>
        <w:t xml:space="preserve">، </w:t>
      </w:r>
      <w:r w:rsidR="00AE5651" w:rsidRPr="00E968AC">
        <w:rPr>
          <w:rFonts w:ascii="Traditional Arabic" w:hAnsi="Traditional Arabic" w:cs="Traditional Arabic" w:hint="cs"/>
          <w:noProof/>
          <w:sz w:val="28"/>
          <w:szCs w:val="28"/>
          <w:lang w:bidi="ar-EG"/>
        </w:rPr>
        <w:t>Moshashai</w:t>
      </w:r>
      <w:r w:rsidR="00AE5651" w:rsidRPr="00E968AC">
        <w:rPr>
          <w:rFonts w:ascii="Traditional Arabic" w:hAnsi="Traditional Arabic" w:cs="Traditional Arabic" w:hint="cs"/>
          <w:noProof/>
          <w:sz w:val="28"/>
          <w:szCs w:val="28"/>
          <w:rtl/>
          <w:lang w:bidi="ar-EG"/>
        </w:rPr>
        <w:t>)</w:t>
      </w:r>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66CB681B" w14:textId="77777777" w:rsidR="001A3637" w:rsidRPr="00E853D0" w:rsidRDefault="001A3637" w:rsidP="00E853D0">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رؤية 2030 إلى السياسات والإجراءات التي أطلقتها الحكومة السعودية لتوسيع نطاق مشاركة المرأة في الحياة الاقتصادية والاجتماعية والسياسية، بالإضافة إلى إحداث تغييرات تشريعية وداعمة تساعد في زيادة تمثيل المرأة في المناصب القيادية</w:t>
      </w:r>
      <w:r w:rsidRPr="00D7268F">
        <w:rPr>
          <w:rFonts w:ascii="Traditional Arabic" w:hAnsi="Traditional Arabic" w:cs="Traditional Arabic"/>
          <w:sz w:val="28"/>
          <w:szCs w:val="28"/>
          <w:lang w:bidi="ar-EG"/>
        </w:rPr>
        <w:t>.</w:t>
      </w:r>
    </w:p>
    <w:p w14:paraId="2465B0F2"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تمكين المرأة</w:t>
      </w:r>
      <w:r w:rsidRPr="00D7268F">
        <w:rPr>
          <w:rFonts w:ascii="Traditional Arabic" w:hAnsi="Traditional Arabic" w:cs="Traditional Arabic"/>
          <w:b/>
          <w:bCs/>
          <w:sz w:val="28"/>
          <w:szCs w:val="28"/>
          <w:lang w:bidi="ar-EG"/>
        </w:rPr>
        <w:t>:</w:t>
      </w:r>
    </w:p>
    <w:p w14:paraId="6C420549" w14:textId="77777777" w:rsidR="001A3637" w:rsidRPr="00D7268F"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تمكين المرأة هو عملية تحسين قدرتها على السيطرة على حياتها الشخصية والاجتماعية والمهنية من خلال توفير الفرص والموارد، وتعزيز حقوقها في المشاركة واتخاذ القرارات </w:t>
      </w:r>
      <w:r w:rsidR="00AE5651" w:rsidRPr="00E968AC">
        <w:rPr>
          <w:rFonts w:ascii="Traditional Arabic" w:hAnsi="Traditional Arabic" w:cs="Traditional Arabic" w:hint="cs"/>
          <w:noProof/>
          <w:sz w:val="28"/>
          <w:szCs w:val="28"/>
          <w:rtl/>
          <w:lang w:bidi="ar-EG"/>
        </w:rPr>
        <w:t>(</w:t>
      </w:r>
      <w:r w:rsidR="00AE5651">
        <w:rPr>
          <w:rFonts w:ascii="Traditional Arabic" w:hAnsi="Traditional Arabic" w:cs="Traditional Arabic" w:hint="cs"/>
          <w:noProof/>
          <w:sz w:val="28"/>
          <w:szCs w:val="28"/>
          <w:rtl/>
          <w:lang w:bidi="ar-EG"/>
        </w:rPr>
        <w:t>2022</w:t>
      </w:r>
      <w:r w:rsidR="00AE5651" w:rsidRPr="00E968AC">
        <w:rPr>
          <w:rFonts w:ascii="Traditional Arabic" w:hAnsi="Traditional Arabic" w:cs="Traditional Arabic" w:hint="cs"/>
          <w:noProof/>
          <w:sz w:val="28"/>
          <w:szCs w:val="28"/>
          <w:rtl/>
          <w:lang w:bidi="ar-EG"/>
        </w:rPr>
        <w:t xml:space="preserve">، </w:t>
      </w:r>
      <w:r w:rsidR="00AE5651" w:rsidRPr="00E968AC">
        <w:rPr>
          <w:rFonts w:ascii="Traditional Arabic" w:hAnsi="Traditional Arabic" w:cs="Traditional Arabic" w:hint="cs"/>
          <w:noProof/>
          <w:sz w:val="28"/>
          <w:szCs w:val="28"/>
          <w:lang w:bidi="ar-EG"/>
        </w:rPr>
        <w:t>Lwamba</w:t>
      </w:r>
      <w:r w:rsidR="00AE5651" w:rsidRPr="00E968AC">
        <w:rPr>
          <w:rFonts w:ascii="Traditional Arabic" w:hAnsi="Traditional Arabic" w:cs="Traditional Arabic" w:hint="cs"/>
          <w:noProof/>
          <w:sz w:val="28"/>
          <w:szCs w:val="28"/>
          <w:rtl/>
          <w:lang w:bidi="ar-EG"/>
        </w:rPr>
        <w:t>)</w:t>
      </w:r>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3BD1A566" w14:textId="77777777" w:rsidR="001A3637"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lastRenderedPageBreak/>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سياق هذه الدراسة، تمكين المرأة يشمل تمكين المرأة السعودية من تولي المناصب القيادية في مختلف المؤسسات الحكومية والخاصة، وذلك من خلال تعزيز فرص التعليم والتدريب، وتوفير بيئة عمل داعمة للنساء لتمكينهن من الوصول إلى المراكز القيادية</w:t>
      </w:r>
      <w:r w:rsidRPr="00D7268F">
        <w:rPr>
          <w:rFonts w:ascii="Traditional Arabic" w:hAnsi="Traditional Arabic" w:cs="Traditional Arabic"/>
          <w:sz w:val="28"/>
          <w:szCs w:val="28"/>
          <w:lang w:bidi="ar-EG"/>
        </w:rPr>
        <w:t>.</w:t>
      </w:r>
    </w:p>
    <w:p w14:paraId="74C318D6" w14:textId="77777777" w:rsidR="001A3637" w:rsidRPr="00D7268F" w:rsidRDefault="001A3637" w:rsidP="001A3637">
      <w:pPr>
        <w:bidi/>
        <w:spacing w:line="360" w:lineRule="auto"/>
        <w:ind w:left="713"/>
        <w:jc w:val="both"/>
        <w:rPr>
          <w:rFonts w:ascii="Traditional Arabic" w:hAnsi="Traditional Arabic" w:cs="Traditional Arabic"/>
          <w:sz w:val="28"/>
          <w:szCs w:val="28"/>
          <w:lang w:bidi="ar-EG"/>
        </w:rPr>
      </w:pPr>
    </w:p>
    <w:p w14:paraId="7B9CC153"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التحديات الاجتماعية والثقافية</w:t>
      </w:r>
      <w:r w:rsidRPr="00D7268F">
        <w:rPr>
          <w:rFonts w:ascii="Traditional Arabic" w:hAnsi="Traditional Arabic" w:cs="Traditional Arabic"/>
          <w:b/>
          <w:bCs/>
          <w:sz w:val="28"/>
          <w:szCs w:val="28"/>
          <w:lang w:bidi="ar-EG"/>
        </w:rPr>
        <w:t>:</w:t>
      </w:r>
    </w:p>
    <w:p w14:paraId="47B18975" w14:textId="77777777" w:rsidR="001A3637" w:rsidRPr="00AE5651" w:rsidRDefault="001A3637" w:rsidP="00AE5651">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التحديات الاجتماعية والثقافية هي العوامل المرتبطة بالبيئة الاجتماعية والمجتمعية التي قد تؤثر على مشاركة المرأة في المجالات المختلفة، مثل التقاليد، والعادات، والمعتقدات الثقافية التي قد تعيق تقدّمها</w:t>
      </w:r>
      <w:r w:rsidRPr="00AE5651">
        <w:rPr>
          <w:rFonts w:ascii="Traditional Arabic" w:hAnsi="Traditional Arabic" w:cs="Traditional Arabic"/>
          <w:sz w:val="28"/>
          <w:szCs w:val="28"/>
          <w:rtl/>
        </w:rPr>
        <w:t xml:space="preserve"> </w:t>
      </w:r>
      <w:r w:rsidR="00AE5651" w:rsidRPr="00AE5651">
        <w:rPr>
          <w:rFonts w:ascii="Traditional Arabic" w:hAnsi="Traditional Arabic" w:cs="Traditional Arabic" w:hint="cs"/>
          <w:noProof/>
          <w:sz w:val="28"/>
          <w:szCs w:val="28"/>
          <w:rtl/>
          <w:lang w:bidi="ar-EG"/>
        </w:rPr>
        <w:t xml:space="preserve">(2021، </w:t>
      </w:r>
      <w:r w:rsidR="00AE5651" w:rsidRPr="00AE5651">
        <w:rPr>
          <w:rFonts w:ascii="Traditional Arabic" w:hAnsi="Traditional Arabic" w:cs="Traditional Arabic" w:hint="cs"/>
          <w:noProof/>
          <w:sz w:val="28"/>
          <w:szCs w:val="28"/>
          <w:lang w:bidi="ar-EG"/>
        </w:rPr>
        <w:t>Samman A</w:t>
      </w:r>
      <w:r w:rsidR="00AE5651" w:rsidRPr="00AE5651">
        <w:rPr>
          <w:rFonts w:ascii="Traditional Arabic" w:hAnsi="Traditional Arabic" w:cs="Traditional Arabic" w:hint="cs"/>
          <w:noProof/>
          <w:sz w:val="28"/>
          <w:szCs w:val="28"/>
          <w:rtl/>
          <w:lang w:bidi="ar-EG"/>
        </w:rPr>
        <w:t>)</w:t>
      </w:r>
      <w:r w:rsidRPr="00AE5651">
        <w:rPr>
          <w:rFonts w:ascii="Traditional Arabic" w:hAnsi="Traditional Arabic" w:cs="Traditional Arabic"/>
          <w:sz w:val="28"/>
          <w:szCs w:val="28"/>
          <w:lang w:bidi="ar-EG"/>
        </w:rPr>
        <w:t>.</w:t>
      </w:r>
      <w:r w:rsidRPr="00AE5651">
        <w:rPr>
          <w:rFonts w:ascii="Traditional Arabic" w:hAnsi="Traditional Arabic" w:cs="Traditional Arabic"/>
          <w:sz w:val="28"/>
          <w:szCs w:val="28"/>
          <w:rtl/>
          <w:lang w:bidi="ar-EG"/>
        </w:rPr>
        <w:t xml:space="preserve"> </w:t>
      </w:r>
    </w:p>
    <w:p w14:paraId="00F33489" w14:textId="77777777"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التحديات الاجتماعية والثقافية إلى العوامل المجتمعية التي قد تعيق مشاركة النساء في المناصب القيادية في المملكة العربية السعودية، مثل القيم الاجتماعية التي قد تحد من دور المرأة في القيادة، والقيود الثقافية التي تحد من قدرة النساء على الوصول إلى مناصب اتخاذ القرار في العمل والمجتمع</w:t>
      </w:r>
      <w:r w:rsidRPr="00D7268F">
        <w:rPr>
          <w:rFonts w:ascii="Traditional Arabic" w:hAnsi="Traditional Arabic" w:cs="Traditional Arabic"/>
          <w:sz w:val="28"/>
          <w:szCs w:val="28"/>
          <w:lang w:bidi="ar-EG"/>
        </w:rPr>
        <w:t>.</w:t>
      </w:r>
    </w:p>
    <w:p w14:paraId="0D3315E2" w14:textId="77777777" w:rsidR="001A3637" w:rsidRDefault="001A3637" w:rsidP="001A3637">
      <w:pPr>
        <w:rPr>
          <w:rtl/>
          <w:lang w:bidi="ar-EG"/>
        </w:rPr>
      </w:pPr>
    </w:p>
    <w:p w14:paraId="7BDB35B9" w14:textId="77777777" w:rsidR="001A3637" w:rsidRDefault="001A3637" w:rsidP="001A3637">
      <w:pPr>
        <w:pStyle w:val="Heading2"/>
        <w:bidi/>
        <w:rPr>
          <w:rFonts w:ascii="Traditional Arabic" w:hAnsi="Traditional Arabic" w:cs="Traditional Arabic"/>
          <w:b w:val="0"/>
          <w:bCs w:val="0"/>
          <w:color w:val="auto"/>
          <w:lang w:bidi="ar-EG"/>
        </w:rPr>
      </w:pPr>
      <w:bookmarkStart w:id="9" w:name="_Toc204916655"/>
      <w:r w:rsidRPr="003F3EF0">
        <w:rPr>
          <w:rFonts w:ascii="Traditional Arabic" w:hAnsi="Traditional Arabic" w:cs="Traditional Arabic"/>
          <w:color w:val="auto"/>
          <w:rtl/>
          <w:lang w:bidi="ar-EG"/>
        </w:rPr>
        <w:t>حدود الدراسة</w:t>
      </w:r>
      <w:r>
        <w:rPr>
          <w:rFonts w:ascii="Traditional Arabic" w:hAnsi="Traditional Arabic" w:cs="Traditional Arabic"/>
          <w:color w:val="auto"/>
          <w:lang w:bidi="ar-EG"/>
        </w:rPr>
        <w:t>:</w:t>
      </w:r>
      <w:bookmarkEnd w:id="9"/>
    </w:p>
    <w:p w14:paraId="23A8EF82"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المكانية</w:t>
      </w:r>
      <w:r w:rsidRPr="00BD7763">
        <w:rPr>
          <w:rFonts w:ascii="Traditional Arabic" w:hAnsi="Traditional Arabic" w:cs="Traditional Arabic"/>
          <w:b/>
          <w:bCs/>
          <w:sz w:val="28"/>
          <w:szCs w:val="28"/>
          <w:lang w:bidi="ar-EG"/>
        </w:rPr>
        <w:t>:</w:t>
      </w:r>
    </w:p>
    <w:p w14:paraId="22F922AC" w14:textId="77777777" w:rsidR="001A3637" w:rsidRDefault="001A3637" w:rsidP="001A3637">
      <w:pPr>
        <w:bidi/>
        <w:spacing w:line="360" w:lineRule="auto"/>
        <w:jc w:val="both"/>
        <w:rPr>
          <w:rFonts w:ascii="Traditional Arabic" w:hAnsi="Traditional Arabic" w:cs="Traditional Arabic"/>
          <w:sz w:val="28"/>
          <w:szCs w:val="28"/>
          <w:lang w:bidi="ar-EG"/>
        </w:rPr>
      </w:pPr>
      <w:r w:rsidRPr="00AE2D87">
        <w:rPr>
          <w:rFonts w:ascii="Traditional Arabic" w:hAnsi="Traditional Arabic" w:cs="Traditional Arabic"/>
          <w:sz w:val="28"/>
          <w:szCs w:val="28"/>
          <w:rtl/>
        </w:rPr>
        <w:t>تم تحديد نطاق الدراسة ليشمل المؤسسات السعودية في كل من القطاعين العام والخاص داخل محافظة جدة، إحدى أكبر وأهم المحافظات في المملكة العربية السعودية من حيث التنوع الاقتصادي والاجتماعي. وتتميز جدة بوجود عدد كبير من المؤسسات التي تشهد تطورًا ملموسًا في سياسات تمكين المرأة، بالإضافة إلى كونها مركزًا حضريًا رئيسيًا يحتضن مبادرات حكومية وخاصة تدعم مشاركة المرأة في مواقع القيادة. يتيح هذا التحديد الجغرافي للدراسة التركيز العميق على البيئة المؤسسية والثقافية ضمن محافظة واحدة، مما يعزز من دقة التحليل ووضوح النتائج، مع إمكانية تعميم بعض الاستنتاجات على محافظات أخرى ذات خصائص مشابهة. ويُتوقع أن تقدم هذه الدراسة صورة دقيقة للعوامل المؤثرة في تمكين القيادات النسائية في محافظة جدة، خاصة في ظل التغيرات المتسارعة التي تشهدها المملكة على صعيد تمكين المرأة</w:t>
      </w:r>
      <w:r w:rsidRPr="00AE2D87">
        <w:rPr>
          <w:rFonts w:ascii="Traditional Arabic" w:hAnsi="Traditional Arabic" w:cs="Traditional Arabic"/>
          <w:sz w:val="28"/>
          <w:szCs w:val="28"/>
          <w:lang w:bidi="ar-EG"/>
        </w:rPr>
        <w:t>.</w:t>
      </w:r>
    </w:p>
    <w:p w14:paraId="4AB3EF29" w14:textId="77777777" w:rsidR="008B1FFD" w:rsidRPr="00AE2D87" w:rsidRDefault="008B1FFD" w:rsidP="008B1FFD">
      <w:pPr>
        <w:bidi/>
        <w:spacing w:line="360" w:lineRule="auto"/>
        <w:jc w:val="both"/>
        <w:rPr>
          <w:rFonts w:ascii="Traditional Arabic" w:hAnsi="Traditional Arabic" w:cs="Traditional Arabic"/>
          <w:sz w:val="28"/>
          <w:szCs w:val="28"/>
          <w:lang w:bidi="ar-EG"/>
        </w:rPr>
      </w:pPr>
    </w:p>
    <w:p w14:paraId="73EAC717"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lastRenderedPageBreak/>
        <w:t>الحدود الزمانية</w:t>
      </w:r>
      <w:r w:rsidRPr="00BD7763">
        <w:rPr>
          <w:rFonts w:ascii="Traditional Arabic" w:hAnsi="Traditional Arabic" w:cs="Traditional Arabic"/>
          <w:b/>
          <w:bCs/>
          <w:sz w:val="28"/>
          <w:szCs w:val="28"/>
          <w:lang w:bidi="ar-EG"/>
        </w:rPr>
        <w:t>:</w:t>
      </w:r>
    </w:p>
    <w:p w14:paraId="10E4BD56"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تتمحور الدراسة حول الفترة الزمنية الحالية (من عام 2024 إلى 2025) في إطار التطورات التي تشهدها المملكة ضمن رؤية السعودية 2030، والتي تركز على تمكين المرأة وتحقيق المساواة في العديد من المجالات، بما في ذلك القيادة. تسعى الدراسة إلى فهم التغيرات التي تحدث في هذا السياق الزمني، مع التركيز على التحولات التي طرأت على سياسات تمكين المرأة في السنوات الأخيرة، وأثر هذه التحولات على تمكين القيادات النسائية في المؤسسات المختلفة. وبالتالي، فإن البيانات التي سيتم جمعها وتحليلها تعكس الواقع المعاصر الذي تشهده المملكة في هذا المجال</w:t>
      </w:r>
      <w:r w:rsidRPr="00BD7763">
        <w:rPr>
          <w:rFonts w:ascii="Traditional Arabic" w:hAnsi="Traditional Arabic" w:cs="Traditional Arabic"/>
          <w:sz w:val="28"/>
          <w:szCs w:val="28"/>
          <w:lang w:bidi="ar-EG"/>
        </w:rPr>
        <w:t>.</w:t>
      </w:r>
    </w:p>
    <w:p w14:paraId="32404903"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البشرية</w:t>
      </w:r>
    </w:p>
    <w:p w14:paraId="673DB77A" w14:textId="77777777" w:rsidR="001A3637" w:rsidRDefault="001A3637" w:rsidP="001A3637">
      <w:pPr>
        <w:bidi/>
        <w:spacing w:line="360" w:lineRule="auto"/>
        <w:jc w:val="both"/>
        <w:rPr>
          <w:rFonts w:ascii="Traditional Arabic" w:hAnsi="Traditional Arabic" w:cs="Traditional Arabic"/>
          <w:sz w:val="28"/>
          <w:szCs w:val="28"/>
          <w:lang w:bidi="ar-EG"/>
        </w:rPr>
      </w:pPr>
      <w:r w:rsidRPr="00AE2D87">
        <w:rPr>
          <w:rFonts w:ascii="Traditional Arabic" w:hAnsi="Traditional Arabic" w:cs="Traditional Arabic"/>
          <w:sz w:val="28"/>
          <w:szCs w:val="28"/>
          <w:rtl/>
        </w:rPr>
        <w:t>تتمثل الحدود البشرية لهذه الدراسة في القيادات النسائية العاملات في المؤسسات السعودية ضمن محافظة جدة، حيث تركز الدراسة بشكل أساسي على النساء اللاتي يشغلن مناصب قيادية بمختلف مستوياتها، سواء في القطاع العام أو الخاص. ويشمل ذلك القيادات النسائية في المستويات الإدارية المتوسطة والعليا، إلى جانب بعض الموظفات اللاتي يعملن في مؤسسات تتبنى سياسات أو برامج داعمة لتمكين المرأة في القيادة، وذلك بهدف استقصاء تجاربهن وتقييم مدى فاعلية هذه البرامج. كما قد تتضمن العينة، بشكل محدود، بعض المسؤولين من الجنسين ممن يساهمون في وضع أو تنفيذ السياسات المؤسسية المرتبطة بتمكين المرأة، بغرض استكمال الصورة وتحليل البيئة التنظيمية الداعمة أو المعيقة لتمكين القيادات النسائية. وقد تم اختيار العينة بحيث تتنوع من حيث العمر، المؤهل العلمي، والخبرة العملية، بما يثري النتائج ويوفر تصورًا أكثر شمولًا حول العوامل المؤثرة في تمكين المرأة السعودية من الوصول إلى المناصب القيادية</w:t>
      </w:r>
      <w:r w:rsidRPr="00AE2D87">
        <w:rPr>
          <w:rFonts w:ascii="Traditional Arabic" w:hAnsi="Traditional Arabic" w:cs="Traditional Arabic"/>
          <w:sz w:val="28"/>
          <w:szCs w:val="28"/>
          <w:lang w:bidi="ar-EG"/>
        </w:rPr>
        <w:t>.</w:t>
      </w:r>
    </w:p>
    <w:p w14:paraId="45B4B6C9" w14:textId="77777777" w:rsidR="00DF0AA9" w:rsidRPr="00AE2D87" w:rsidRDefault="00DF0AA9" w:rsidP="00DF0AA9">
      <w:pPr>
        <w:bidi/>
        <w:spacing w:line="360" w:lineRule="auto"/>
        <w:jc w:val="both"/>
        <w:rPr>
          <w:rFonts w:ascii="Traditional Arabic" w:hAnsi="Traditional Arabic" w:cs="Traditional Arabic"/>
          <w:sz w:val="28"/>
          <w:szCs w:val="28"/>
          <w:rtl/>
          <w:lang w:bidi="ar-EG"/>
        </w:rPr>
      </w:pPr>
    </w:p>
    <w:p w14:paraId="40D51356" w14:textId="77777777" w:rsidR="001A3637" w:rsidRPr="00E4793C" w:rsidRDefault="001A3637" w:rsidP="001A3637">
      <w:pPr>
        <w:pStyle w:val="Heading2"/>
        <w:bidi/>
        <w:rPr>
          <w:rFonts w:ascii="Traditional Arabic" w:hAnsi="Traditional Arabic" w:cs="Traditional Arabic"/>
          <w:b w:val="0"/>
          <w:bCs w:val="0"/>
          <w:i w:val="0"/>
          <w:iCs w:val="0"/>
          <w:color w:val="auto"/>
          <w:lang w:bidi="ar-EG"/>
        </w:rPr>
      </w:pPr>
      <w:bookmarkStart w:id="10" w:name="_Toc204916656"/>
      <w:r w:rsidRPr="00E4793C">
        <w:rPr>
          <w:rFonts w:ascii="Traditional Arabic" w:hAnsi="Traditional Arabic" w:cs="Traditional Arabic"/>
          <w:i w:val="0"/>
          <w:iCs w:val="0"/>
          <w:color w:val="auto"/>
          <w:rtl/>
          <w:lang w:bidi="ar-EG"/>
        </w:rPr>
        <w:t>إجراءات ومنهجية الدراسة</w:t>
      </w:r>
      <w:r w:rsidRPr="00E4793C">
        <w:rPr>
          <w:rFonts w:ascii="Traditional Arabic" w:hAnsi="Traditional Arabic" w:cs="Traditional Arabic"/>
          <w:i w:val="0"/>
          <w:iCs w:val="0"/>
          <w:color w:val="auto"/>
          <w:lang w:bidi="ar-EG"/>
        </w:rPr>
        <w:t>:</w:t>
      </w:r>
      <w:bookmarkEnd w:id="10"/>
    </w:p>
    <w:p w14:paraId="4953ADAC" w14:textId="77777777" w:rsidR="001A3637"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تعتمد الدراسة الحالية على المنهج الوصفي التحليلي، الذي يهدف إلى تحليل العوامل المؤثرة في تمكين القيادات النسائية في المؤسسات السعودية عبر جمع البيانات من مصادر متعددة ثم تحليلها بطريقة منهجية. المنهج الوصفي التحليلي يتيح للباحث وصف الظاهرة بشكل دقيق، وتحليل البيانات المجمعة للوصول إلى نتائج دقيقة تساعد في فهم أعمق حول العوامل التي تؤثر في تمكين القيادات النسائية</w:t>
      </w:r>
      <w:r w:rsidRPr="00BD7763">
        <w:rPr>
          <w:rFonts w:ascii="Traditional Arabic" w:hAnsi="Traditional Arabic" w:cs="Traditional Arabic"/>
          <w:sz w:val="28"/>
          <w:szCs w:val="28"/>
          <w:lang w:bidi="ar-EG"/>
        </w:rPr>
        <w:t>.</w:t>
      </w:r>
    </w:p>
    <w:p w14:paraId="2A3A7AC0" w14:textId="77777777" w:rsidR="008B1FFD" w:rsidRDefault="008B1FFD" w:rsidP="008B1FFD">
      <w:pPr>
        <w:bidi/>
        <w:spacing w:line="360" w:lineRule="auto"/>
        <w:jc w:val="both"/>
        <w:rPr>
          <w:rFonts w:ascii="Traditional Arabic" w:hAnsi="Traditional Arabic" w:cs="Traditional Arabic"/>
          <w:sz w:val="28"/>
          <w:szCs w:val="28"/>
          <w:lang w:bidi="ar-EG"/>
        </w:rPr>
      </w:pPr>
    </w:p>
    <w:p w14:paraId="2083D45F" w14:textId="77777777" w:rsidR="008B1FFD" w:rsidRPr="00BD7763" w:rsidRDefault="008B1FFD" w:rsidP="008B1FFD">
      <w:pPr>
        <w:bidi/>
        <w:spacing w:line="360" w:lineRule="auto"/>
        <w:jc w:val="both"/>
        <w:rPr>
          <w:rFonts w:ascii="Traditional Arabic" w:hAnsi="Traditional Arabic" w:cs="Traditional Arabic"/>
          <w:sz w:val="28"/>
          <w:szCs w:val="28"/>
          <w:lang w:bidi="ar-EG"/>
        </w:rPr>
      </w:pPr>
    </w:p>
    <w:p w14:paraId="7C76F1F6"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مجتمع الدراسة</w:t>
      </w:r>
      <w:r w:rsidRPr="00BD7763">
        <w:rPr>
          <w:rFonts w:ascii="Traditional Arabic" w:hAnsi="Traditional Arabic" w:cs="Traditional Arabic"/>
          <w:b/>
          <w:bCs/>
          <w:sz w:val="28"/>
          <w:szCs w:val="28"/>
          <w:lang w:bidi="ar-EG"/>
        </w:rPr>
        <w:t>:</w:t>
      </w:r>
    </w:p>
    <w:p w14:paraId="7A2D6612"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يشمل مجتمع الدراسة المؤسسات السعودية الحكومية والخاصة التي تعمل في مجالات متعددة، والتي تضم قيادات نسائية أو لديها إمكانية توظيف المرأة في المناصب القيادية. سيتم التركيز على المؤسسات التي تشهد تغييرات في السياسات المتعلقة بالمرأة أو تلك التي تطبق برامج تمكين القيادة النسائية</w:t>
      </w:r>
      <w:r w:rsidR="00E4793C">
        <w:rPr>
          <w:rFonts w:ascii="Traditional Arabic" w:hAnsi="Traditional Arabic" w:cs="Traditional Arabic" w:hint="cs"/>
          <w:sz w:val="28"/>
          <w:szCs w:val="28"/>
          <w:rtl/>
        </w:rPr>
        <w:t xml:space="preserve"> </w:t>
      </w:r>
      <w:r w:rsidRPr="00BD7763">
        <w:rPr>
          <w:rFonts w:ascii="Traditional Arabic" w:hAnsi="Traditional Arabic" w:cs="Traditional Arabic"/>
          <w:sz w:val="28"/>
          <w:szCs w:val="28"/>
          <w:rtl/>
        </w:rPr>
        <w:t>يتوزع مجتمع الدراسة بين المؤسسات الكبيرة والمتوسطة في قطاعات مختلفة مثل التعليم، الصحة، التقنية، والخدمات المالية</w:t>
      </w:r>
      <w:r w:rsidRPr="00BD7763">
        <w:rPr>
          <w:rFonts w:ascii="Traditional Arabic" w:hAnsi="Traditional Arabic" w:cs="Traditional Arabic"/>
          <w:sz w:val="28"/>
          <w:szCs w:val="28"/>
          <w:lang w:bidi="ar-EG"/>
        </w:rPr>
        <w:t>.</w:t>
      </w:r>
    </w:p>
    <w:p w14:paraId="3AB1BC8C"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عينة الدراسة</w:t>
      </w:r>
      <w:r w:rsidRPr="00BD7763">
        <w:rPr>
          <w:rFonts w:ascii="Traditional Arabic" w:hAnsi="Traditional Arabic" w:cs="Traditional Arabic"/>
          <w:b/>
          <w:bCs/>
          <w:sz w:val="28"/>
          <w:szCs w:val="28"/>
          <w:lang w:bidi="ar-EG"/>
        </w:rPr>
        <w:t>:</w:t>
      </w:r>
    </w:p>
    <w:p w14:paraId="4F9B1203" w14:textId="77777777" w:rsidR="00BE7F28" w:rsidRDefault="00BE7F28" w:rsidP="00BE7F28">
      <w:pPr>
        <w:bidi/>
        <w:spacing w:line="360" w:lineRule="auto"/>
        <w:rPr>
          <w:rFonts w:ascii="Traditional Arabic" w:hAnsi="Traditional Arabic" w:cs="Traditional Arabic"/>
          <w:sz w:val="28"/>
          <w:szCs w:val="28"/>
        </w:rPr>
      </w:pPr>
      <w:r w:rsidRPr="00BE7F28">
        <w:rPr>
          <w:rFonts w:ascii="Traditional Arabic" w:hAnsi="Traditional Arabic" w:cs="Traditional Arabic"/>
          <w:sz w:val="28"/>
          <w:szCs w:val="28"/>
          <w:rtl/>
        </w:rPr>
        <w:t>تم اختيار عينة الدراسة بطريقة العينة العشوائية البسيطة، بحيث تمثل مجموعة متنوعة من المؤسسات السعودية في القطاعين العام والخاص، وتشمل القيادات النسائية، والموظفات في المناصب الإدارية، والمسؤولين المعنيين بتطوير السياسات والممارسات المتعلقة بالتمكين القيادي للمرأة، وقد تم تحديد حجم عينة الدراسة بواقع (385) مفردة، بالاستناد إلى جدول تحديد حجم العينة الذي أعده كريجسي ومورجان</w:t>
      </w:r>
      <w:r w:rsidRPr="00BE7F28">
        <w:rPr>
          <w:rFonts w:ascii="Traditional Arabic" w:hAnsi="Traditional Arabic" w:cs="Traditional Arabic"/>
          <w:sz w:val="28"/>
          <w:szCs w:val="28"/>
        </w:rPr>
        <w:t xml:space="preserve"> (</w:t>
      </w:r>
      <w:proofErr w:type="spellStart"/>
      <w:r w:rsidRPr="00BE7F28">
        <w:rPr>
          <w:rFonts w:ascii="Traditional Arabic" w:hAnsi="Traditional Arabic" w:cs="Traditional Arabic"/>
          <w:sz w:val="28"/>
          <w:szCs w:val="28"/>
        </w:rPr>
        <w:t>Krejcie</w:t>
      </w:r>
      <w:proofErr w:type="spellEnd"/>
      <w:r w:rsidRPr="00BE7F28">
        <w:rPr>
          <w:rFonts w:ascii="Traditional Arabic" w:hAnsi="Traditional Arabic" w:cs="Traditional Arabic"/>
          <w:sz w:val="28"/>
          <w:szCs w:val="28"/>
        </w:rPr>
        <w:t xml:space="preserve"> &amp; Morgan)</w:t>
      </w:r>
      <w:r w:rsidRPr="00BE7F28">
        <w:rPr>
          <w:rFonts w:ascii="Traditional Arabic" w:hAnsi="Traditional Arabic" w:cs="Traditional Arabic"/>
          <w:sz w:val="28"/>
          <w:szCs w:val="28"/>
          <w:rtl/>
        </w:rPr>
        <w:t>، بما يتناسب مع حجم مجتمع الدراسة، وسيُراعى عند اختيار أفراد العينة التنوع في الخصائص الديموغرافية والمهنية، مثل الفئة العمرية، الجنس، الدرجة العلمية، سنوات الخبرة العملية في المؤسسة، بما يسهم في الحصول على بيانات أكثر شمولًا ودقة حول العوامل المؤثرة في تمكين القيادات النسائية في المؤسسات السعودية</w:t>
      </w:r>
    </w:p>
    <w:p w14:paraId="0B0EDE0D" w14:textId="77777777" w:rsidR="00BE7F28" w:rsidRDefault="00BE7F28" w:rsidP="001A3637">
      <w:pPr>
        <w:spacing w:line="360" w:lineRule="auto"/>
        <w:jc w:val="center"/>
        <w:rPr>
          <w:rFonts w:ascii="Traditional Arabic" w:hAnsi="Traditional Arabic" w:cs="Traditional Arabic"/>
          <w:sz w:val="28"/>
          <w:szCs w:val="28"/>
        </w:rPr>
      </w:pPr>
      <w:r w:rsidRPr="00BE7F28">
        <w:rPr>
          <w:rFonts w:ascii="Traditional Arabic" w:hAnsi="Traditional Arabic" w:cs="Traditional Arabic"/>
          <w:sz w:val="28"/>
          <w:szCs w:val="28"/>
        </w:rPr>
        <w:t>.</w:t>
      </w:r>
    </w:p>
    <w:p w14:paraId="54694DD9" w14:textId="77777777" w:rsidR="001A3637" w:rsidRPr="00BE7F28"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E7F28">
        <w:rPr>
          <w:rFonts w:ascii="Traditional Arabic" w:hAnsi="Traditional Arabic" w:cs="Traditional Arabic"/>
          <w:b/>
          <w:bCs/>
          <w:sz w:val="28"/>
          <w:szCs w:val="28"/>
          <w:rtl/>
        </w:rPr>
        <w:t>أداة البحث</w:t>
      </w:r>
      <w:r w:rsidRPr="00BE7F28">
        <w:rPr>
          <w:rFonts w:ascii="Traditional Arabic" w:hAnsi="Traditional Arabic" w:cs="Traditional Arabic"/>
          <w:b/>
          <w:bCs/>
          <w:sz w:val="28"/>
          <w:szCs w:val="28"/>
          <w:lang w:bidi="ar-EG"/>
        </w:rPr>
        <w:t>:</w:t>
      </w:r>
    </w:p>
    <w:p w14:paraId="66DC4F5A" w14:textId="77777777" w:rsidR="001A3637"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استبانة كأداة رئيسية لجمع البيانات، حيث تم تصميم الاستبانة لتشمل مجموعة من الأسئلة المغلقة التي تهدف إلى قياس تأثير العوامل الاجتماعية، الثقافية، ا</w:t>
      </w:r>
      <w:r w:rsidR="00833EDE">
        <w:rPr>
          <w:rFonts w:ascii="Traditional Arabic" w:hAnsi="Traditional Arabic" w:cs="Traditional Arabic" w:hint="cs"/>
          <w:sz w:val="28"/>
          <w:szCs w:val="28"/>
          <w:rtl/>
        </w:rPr>
        <w:t>لتنظيمية</w:t>
      </w:r>
      <w:r w:rsidRPr="00BD7763">
        <w:rPr>
          <w:rFonts w:ascii="Traditional Arabic" w:hAnsi="Traditional Arabic" w:cs="Traditional Arabic"/>
          <w:sz w:val="28"/>
          <w:szCs w:val="28"/>
          <w:rtl/>
        </w:rPr>
        <w:t>، والسياسات الحكومية على تمكين القيادات النسائية. سيتم تصميم الاستبانة بحيث تغطي مجموعة من المحاور مثل: دعم الأسرة والمجتمع للمرأة في العمل، السياسات الحكومية لتشجيع التوظيف النسائي، الفروق الثقافية في التعامل مع القيادات النسائية، والدعم المؤسسي المتاح للنساء. كما تسيم التأكد من مصداقية الاستبانة باستخدام معايير علمية مثل التحقق من صدق الأداة من خلال الاستشارات مع خبراء في المجال، ومعيار موثوقية ألفا كرونباخ</w:t>
      </w:r>
      <w:r w:rsidRPr="00BD7763">
        <w:rPr>
          <w:rFonts w:ascii="Traditional Arabic" w:hAnsi="Traditional Arabic" w:cs="Traditional Arabic"/>
          <w:sz w:val="28"/>
          <w:szCs w:val="28"/>
          <w:lang w:bidi="ar-EG"/>
        </w:rPr>
        <w:t>.</w:t>
      </w:r>
    </w:p>
    <w:p w14:paraId="2CDD2183" w14:textId="77777777" w:rsidR="001A3637" w:rsidRPr="00BD7763" w:rsidRDefault="001A3637" w:rsidP="001A3637">
      <w:pPr>
        <w:bidi/>
        <w:spacing w:line="360" w:lineRule="auto"/>
        <w:jc w:val="both"/>
        <w:rPr>
          <w:rFonts w:ascii="Traditional Arabic" w:hAnsi="Traditional Arabic" w:cs="Traditional Arabic"/>
          <w:sz w:val="28"/>
          <w:szCs w:val="28"/>
          <w:rtl/>
        </w:rPr>
      </w:pPr>
    </w:p>
    <w:p w14:paraId="3A5B750F" w14:textId="77777777" w:rsidR="001A3637" w:rsidRPr="00BE62D5" w:rsidRDefault="001A3637" w:rsidP="001A3637">
      <w:pPr>
        <w:pStyle w:val="Heading2"/>
        <w:bidi/>
        <w:spacing w:line="360" w:lineRule="auto"/>
        <w:rPr>
          <w:rFonts w:ascii="Traditional Arabic" w:hAnsi="Traditional Arabic" w:cs="Traditional Arabic"/>
          <w:b w:val="0"/>
          <w:bCs w:val="0"/>
          <w:i w:val="0"/>
          <w:iCs w:val="0"/>
          <w:color w:val="auto"/>
          <w:rtl/>
          <w:lang w:bidi="ar-EG"/>
        </w:rPr>
      </w:pPr>
      <w:bookmarkStart w:id="11" w:name="_Toc191153658"/>
      <w:bookmarkStart w:id="12" w:name="_Toc204916657"/>
      <w:r w:rsidRPr="00BE62D5">
        <w:rPr>
          <w:rFonts w:ascii="Traditional Arabic" w:hAnsi="Traditional Arabic" w:cs="Traditional Arabic"/>
          <w:i w:val="0"/>
          <w:iCs w:val="0"/>
          <w:color w:val="auto"/>
          <w:rtl/>
          <w:lang w:bidi="ar-EG"/>
        </w:rPr>
        <w:lastRenderedPageBreak/>
        <w:t>المعالجات الإحصائية:</w:t>
      </w:r>
      <w:bookmarkEnd w:id="11"/>
      <w:bookmarkEnd w:id="12"/>
    </w:p>
    <w:p w14:paraId="61A68B73"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مجموعة من الأساليب الإحصائية لتحليل البيانات المجمعة من الاستبانات والمقابلات</w:t>
      </w:r>
      <w:r w:rsidRPr="00BD7763">
        <w:rPr>
          <w:rFonts w:ascii="Traditional Arabic" w:hAnsi="Traditional Arabic" w:cs="Traditional Arabic"/>
          <w:sz w:val="28"/>
          <w:szCs w:val="28"/>
          <w:lang w:bidi="ar-EG"/>
        </w:rPr>
        <w:t>:</w:t>
      </w:r>
    </w:p>
    <w:p w14:paraId="4D40B429"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الإحصاءات الوصفية</w:t>
      </w:r>
    </w:p>
    <w:p w14:paraId="464C6CA0"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يتضمن ذلك حساب المتوسطات، الانحرافات المعيارية، التكرارات والنسب المئوية، مما يساعد في فهم توزيع العوامل الاجتماعية، الثقافية، وال</w:t>
      </w:r>
      <w:r w:rsidR="004D2518">
        <w:rPr>
          <w:rFonts w:ascii="Traditional Arabic" w:hAnsi="Traditional Arabic" w:cs="Traditional Arabic" w:hint="cs"/>
          <w:sz w:val="28"/>
          <w:szCs w:val="28"/>
          <w:rtl/>
        </w:rPr>
        <w:t>تنظيمية</w:t>
      </w:r>
      <w:r w:rsidRPr="00BD7763">
        <w:rPr>
          <w:rFonts w:ascii="Traditional Arabic" w:hAnsi="Traditional Arabic" w:cs="Traditional Arabic"/>
          <w:sz w:val="28"/>
          <w:szCs w:val="28"/>
          <w:rtl/>
        </w:rPr>
        <w:t xml:space="preserve"> في العينة</w:t>
      </w:r>
      <w:r w:rsidRPr="00BD7763">
        <w:rPr>
          <w:rFonts w:ascii="Traditional Arabic" w:hAnsi="Traditional Arabic" w:cs="Traditional Arabic"/>
          <w:sz w:val="28"/>
          <w:szCs w:val="28"/>
          <w:lang w:bidi="ar-EG"/>
        </w:rPr>
        <w:t>.</w:t>
      </w:r>
    </w:p>
    <w:p w14:paraId="7CF006E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 xml:space="preserve">الفا كرونباخ </w:t>
      </w:r>
      <w:r w:rsidRPr="009E471A">
        <w:rPr>
          <w:rFonts w:ascii="Traditional Arabic" w:hAnsi="Traditional Arabic" w:cs="Traditional Arabic"/>
          <w:b/>
          <w:bCs/>
        </w:rPr>
        <w:t>(Cronbach’s Alpha)</w:t>
      </w:r>
    </w:p>
    <w:p w14:paraId="1F45780E"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معامل ألفا لكرونباخ لقياس الموثوقية الداخلية للأداة البحثية. من خلال هذا المقياس، يمكن التحقق من أن الأسئلة المستخدمة لقياس المتغيرات المستقلة والتابعة في الدراسة تتسم بالاتساق الداخلي إذا كانت قيمة ألفا لكرونباخ أكثر من 0.7، فإن الأداة تُعتبر موثوقة</w:t>
      </w:r>
      <w:r w:rsidRPr="00BD7763">
        <w:rPr>
          <w:rFonts w:ascii="Traditional Arabic" w:hAnsi="Traditional Arabic" w:cs="Traditional Arabic"/>
          <w:sz w:val="28"/>
          <w:szCs w:val="28"/>
          <w:lang w:bidi="ar-EG"/>
        </w:rPr>
        <w:t>.</w:t>
      </w:r>
    </w:p>
    <w:p w14:paraId="471B641D" w14:textId="77777777" w:rsidR="001A3637" w:rsidRPr="004D00CC" w:rsidRDefault="001A3637" w:rsidP="001A3637">
      <w:pPr>
        <w:bidi/>
        <w:spacing w:line="360" w:lineRule="auto"/>
        <w:jc w:val="both"/>
        <w:rPr>
          <w:rFonts w:ascii="Traditional Arabic" w:hAnsi="Traditional Arabic" w:cs="Traditional Arabic"/>
          <w:sz w:val="28"/>
          <w:szCs w:val="28"/>
          <w:rtl/>
          <w:lang w:bidi="ar-EG"/>
        </w:rPr>
      </w:pPr>
    </w:p>
    <w:p w14:paraId="00DC7AC4" w14:textId="77777777" w:rsidR="001A3637" w:rsidRPr="00BE62D5" w:rsidRDefault="001A3637" w:rsidP="001A3637">
      <w:pPr>
        <w:pStyle w:val="Heading2"/>
        <w:bidi/>
        <w:rPr>
          <w:rFonts w:ascii="Traditional Arabic" w:hAnsi="Traditional Arabic" w:cs="Traditional Arabic"/>
          <w:b w:val="0"/>
          <w:bCs w:val="0"/>
          <w:i w:val="0"/>
          <w:iCs w:val="0"/>
          <w:color w:val="auto"/>
          <w:lang w:bidi="ar-EG"/>
        </w:rPr>
      </w:pPr>
      <w:bookmarkStart w:id="13" w:name="_Toc204916658"/>
      <w:r w:rsidRPr="00BE62D5">
        <w:rPr>
          <w:rFonts w:ascii="Traditional Arabic" w:hAnsi="Traditional Arabic" w:cs="Traditional Arabic"/>
          <w:i w:val="0"/>
          <w:iCs w:val="0"/>
          <w:color w:val="auto"/>
          <w:rtl/>
          <w:lang w:bidi="ar-EG"/>
        </w:rPr>
        <w:t>نموذج الدراسة</w:t>
      </w:r>
      <w:r w:rsidRPr="00BE62D5">
        <w:rPr>
          <w:rFonts w:ascii="Traditional Arabic" w:hAnsi="Traditional Arabic" w:cs="Traditional Arabic"/>
          <w:i w:val="0"/>
          <w:iCs w:val="0"/>
          <w:color w:val="auto"/>
          <w:lang w:bidi="ar-EG"/>
        </w:rPr>
        <w:t>:</w:t>
      </w:r>
      <w:bookmarkEnd w:id="13"/>
    </w:p>
    <w:p w14:paraId="255E5698"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 التابع</w:t>
      </w:r>
      <w:r w:rsidRPr="00486E62">
        <w:rPr>
          <w:rFonts w:ascii="Traditional Arabic" w:hAnsi="Traditional Arabic" w:cs="Traditional Arabic"/>
          <w:b/>
          <w:bCs/>
          <w:sz w:val="28"/>
          <w:szCs w:val="28"/>
          <w:lang w:bidi="ar-EG"/>
        </w:rPr>
        <w:t>:</w:t>
      </w:r>
    </w:p>
    <w:p w14:paraId="2F2CD133" w14:textId="77777777" w:rsidR="001A3637" w:rsidRPr="00A54732" w:rsidRDefault="001A3637" w:rsidP="001A3637">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6562578C" w14:textId="77777777"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في المؤسسات السعودية</w:t>
      </w:r>
      <w:r w:rsidR="00BE62D5">
        <w:rPr>
          <w:rFonts w:ascii="Traditional Arabic" w:hAnsi="Traditional Arabic" w:cs="Traditional Arabic" w:hint="cs"/>
          <w:sz w:val="28"/>
          <w:szCs w:val="28"/>
          <w:rtl/>
        </w:rPr>
        <w:t xml:space="preserve"> </w:t>
      </w:r>
      <w:r w:rsidRPr="00486E62">
        <w:rPr>
          <w:rFonts w:ascii="Traditional Arabic" w:hAnsi="Traditional Arabic" w:cs="Traditional Arabic"/>
          <w:sz w:val="28"/>
          <w:szCs w:val="28"/>
          <w:rtl/>
        </w:rPr>
        <w:t>هذا المتغير يعكس قدرة المرأة على الوصول إلى المناصب القيادية في مختلف المؤسسات سواء كانت حكومية أو خاصة</w:t>
      </w:r>
      <w:r w:rsidR="00BE62D5">
        <w:rPr>
          <w:rFonts w:ascii="Traditional Arabic" w:hAnsi="Traditional Arabic" w:cs="Traditional Arabic" w:hint="cs"/>
          <w:sz w:val="28"/>
          <w:szCs w:val="28"/>
          <w:rtl/>
        </w:rPr>
        <w:t xml:space="preserve"> </w:t>
      </w:r>
      <w:r w:rsidRPr="00486E62">
        <w:rPr>
          <w:rFonts w:ascii="Traditional Arabic" w:hAnsi="Traditional Arabic" w:cs="Traditional Arabic"/>
          <w:sz w:val="28"/>
          <w:szCs w:val="28"/>
          <w:rtl/>
        </w:rPr>
        <w:t>يعد هذا المتغير هو المؤشر الأساسي الذي تسعى الدراسة لقياسه وتحليله بناءً على العوامل المختلفة التي قد تؤثر عليه يشمل شغل المرأة للمناصب القيادية الوصول إلى المناصب العليا مثل 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08C57908"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1AC0D790" w14:textId="77777777" w:rsidR="001A3637" w:rsidRDefault="001A3637" w:rsidP="001A3637">
      <w:pPr>
        <w:bidi/>
        <w:spacing w:line="360" w:lineRule="auto"/>
        <w:jc w:val="both"/>
        <w:rPr>
          <w:rFonts w:ascii="Traditional Arabic" w:hAnsi="Traditional Arabic" w:cs="Traditional Arabic"/>
          <w:sz w:val="28"/>
          <w:szCs w:val="28"/>
          <w:rtl/>
          <w:lang w:bidi="ar-EG"/>
        </w:rPr>
      </w:pPr>
      <w:r w:rsidRPr="00486E62">
        <w:rPr>
          <w:rFonts w:ascii="Traditional Arabic" w:hAnsi="Traditional Arabic" w:cs="Traditional Arabic"/>
          <w:sz w:val="28"/>
          <w:szCs w:val="28"/>
          <w:rtl/>
        </w:rPr>
        <w:t xml:space="preserve">المتغيرات المستقلة هي العوامل التي يُعتقد أنها تؤثر على المتغير التابع، وفي هذه الدراسة تشمل مجموعة من العوامل الثقافية، التنظيمية، </w:t>
      </w:r>
      <w:r w:rsidR="00B325E4" w:rsidRPr="00B325E4">
        <w:rPr>
          <w:rFonts w:ascii="Traditional Arabic" w:hAnsi="Traditional Arabic" w:cs="Traditional Arabic"/>
          <w:sz w:val="28"/>
          <w:szCs w:val="28"/>
          <w:rtl/>
        </w:rPr>
        <w:t xml:space="preserve">الاجتماعية </w:t>
      </w:r>
      <w:r w:rsidRPr="00486E62">
        <w:rPr>
          <w:rFonts w:ascii="Traditional Arabic" w:hAnsi="Traditional Arabic" w:cs="Traditional Arabic"/>
          <w:sz w:val="28"/>
          <w:szCs w:val="28"/>
          <w:rtl/>
        </w:rPr>
        <w:t>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731A76DE" w14:textId="77777777" w:rsidR="00BE7F28" w:rsidRDefault="00BE7F28" w:rsidP="00BE7F28">
      <w:pPr>
        <w:bidi/>
        <w:spacing w:line="360" w:lineRule="auto"/>
        <w:jc w:val="both"/>
        <w:rPr>
          <w:rFonts w:ascii="Traditional Arabic" w:hAnsi="Traditional Arabic" w:cs="Traditional Arabic"/>
          <w:sz w:val="28"/>
          <w:szCs w:val="28"/>
          <w:rtl/>
          <w:lang w:bidi="ar-EG"/>
        </w:rPr>
      </w:pPr>
    </w:p>
    <w:p w14:paraId="594F0E65" w14:textId="77777777" w:rsidR="00BE7F28" w:rsidRPr="00486E62" w:rsidRDefault="00BE7F28" w:rsidP="00BE7F28">
      <w:pPr>
        <w:bidi/>
        <w:spacing w:line="360" w:lineRule="auto"/>
        <w:jc w:val="both"/>
        <w:rPr>
          <w:rFonts w:ascii="Traditional Arabic" w:hAnsi="Traditional Arabic" w:cs="Traditional Arabic"/>
          <w:sz w:val="28"/>
          <w:szCs w:val="28"/>
          <w:lang w:bidi="ar-EG"/>
        </w:rPr>
      </w:pPr>
    </w:p>
    <w:p w14:paraId="48E81A53"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lastRenderedPageBreak/>
        <w:t>العوامل الثقافية</w:t>
      </w:r>
    </w:p>
    <w:p w14:paraId="0B46AFA2" w14:textId="77777777" w:rsidR="001A3637" w:rsidRDefault="001A3637" w:rsidP="00BE7F28">
      <w:pPr>
        <w:bidi/>
        <w:spacing w:line="360" w:lineRule="auto"/>
        <w:ind w:left="720"/>
        <w:jc w:val="both"/>
        <w:rPr>
          <w:rFonts w:ascii="Traditional Arabic" w:hAnsi="Traditional Arabic" w:cs="Traditional Arabic"/>
          <w:sz w:val="28"/>
          <w:szCs w:val="28"/>
          <w:rtl/>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w:t>
      </w:r>
      <w:r w:rsidR="0055603F">
        <w:rPr>
          <w:rFonts w:ascii="Traditional Arabic" w:hAnsi="Traditional Arabic" w:cs="Traditional Arabic" w:hint="cs"/>
          <w:sz w:val="28"/>
          <w:szCs w:val="28"/>
          <w:rtl/>
        </w:rPr>
        <w:t xml:space="preserve"> </w:t>
      </w:r>
      <w:r w:rsidRPr="00486E62">
        <w:rPr>
          <w:rFonts w:ascii="Traditional Arabic" w:hAnsi="Traditional Arabic" w:cs="Traditional Arabic"/>
          <w:sz w:val="28"/>
          <w:szCs w:val="28"/>
          <w:rtl/>
        </w:rPr>
        <w:t>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31CC8649"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p>
    <w:p w14:paraId="0E486D59"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0B97A61C"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التنظيمية تتعلق بالسياسات والإجراءات داخل المؤسسات نفسها وتشمل هذه العوامل الهيكل التنظيمي 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53CC2B2E"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w:t>
      </w:r>
      <w:r w:rsidR="00BE7F28">
        <w:rPr>
          <w:rFonts w:ascii="Traditional Arabic" w:hAnsi="Traditional Arabic" w:cs="Traditional Arabic" w:hint="cs"/>
          <w:b/>
          <w:bCs/>
          <w:sz w:val="28"/>
          <w:szCs w:val="28"/>
          <w:rtl/>
          <w:lang w:bidi="ar-EG"/>
        </w:rPr>
        <w:t>جتماعية</w:t>
      </w:r>
    </w:p>
    <w:p w14:paraId="5AA16797" w14:textId="77777777" w:rsidR="001A3637" w:rsidRDefault="00BE7F28" w:rsidP="00BE7F28">
      <w:pPr>
        <w:pStyle w:val="ListParagraph"/>
        <w:bidi/>
        <w:spacing w:line="360" w:lineRule="auto"/>
        <w:jc w:val="both"/>
        <w:rPr>
          <w:rFonts w:ascii="Traditional Arabic" w:hAnsi="Traditional Arabic" w:cs="Traditional Arabic"/>
          <w:sz w:val="28"/>
          <w:szCs w:val="28"/>
          <w:rtl/>
          <w14:ligatures w14:val="none"/>
        </w:rPr>
      </w:pPr>
      <w:r w:rsidRPr="00BE7F28">
        <w:rPr>
          <w:rFonts w:ascii="Traditional Arabic" w:hAnsi="Traditional Arabic" w:cs="Traditional Arabic"/>
          <w:sz w:val="28"/>
          <w:szCs w:val="28"/>
          <w:rtl/>
          <w14:ligatures w14:val="none"/>
        </w:rPr>
        <w:t>تُعد العوامل الاجتماعية من العوامل المهمة المؤثرة في تمكين القيادات النسائية في المؤسسات السعودية، لما لها من دور في تشكيل اتجاهات المجتمع والأسرة نحو مشاركة المرأة في مواقع القيادة، وتشمل هذه العوامل مدى تقبل المجتمع لتولي المرأة المناصب القيادية، ومستوى الدعم الأسري والاجتماعي الذي تحصل عليه المرأة، والصور النمطية المرتبطة بأدوارها القيادية، إضافة إلى قدرتها على تحقيق التوازن بين مسؤولياتها الأسرية والمهنية، كما يرتبط التمكين الاجتماعي بتوافر النماذج النسائية القيادية الناجحة، وشبكات العلاقات الاجتماعية والمهنية التي يمكن أن تدعم المرأة في مسارها الوظيفي، بما يسهم في تعزيز ثقتها بقدراتها القيادية وتهيئة بيئة اجتماعية أكثر دعمًا لمشاركتها في صنع القرار وتولي المناصب القيادية</w:t>
      </w:r>
    </w:p>
    <w:p w14:paraId="7D0FEA90" w14:textId="77777777" w:rsidR="00BE7F28" w:rsidRDefault="00BE7F28" w:rsidP="00BE7F28">
      <w:pPr>
        <w:pStyle w:val="ListParagraph"/>
        <w:bidi/>
        <w:spacing w:line="360" w:lineRule="auto"/>
        <w:jc w:val="both"/>
        <w:rPr>
          <w:rFonts w:ascii="Traditional Arabic" w:hAnsi="Traditional Arabic" w:cs="Traditional Arabic"/>
          <w:sz w:val="28"/>
          <w:szCs w:val="28"/>
          <w:rtl/>
          <w14:ligatures w14:val="none"/>
        </w:rPr>
      </w:pPr>
    </w:p>
    <w:p w14:paraId="66A686ED" w14:textId="77777777" w:rsidR="00BE7F28" w:rsidRDefault="00BE7F28" w:rsidP="00BE7F28">
      <w:pPr>
        <w:pStyle w:val="ListParagraph"/>
        <w:bidi/>
        <w:spacing w:line="360" w:lineRule="auto"/>
        <w:jc w:val="both"/>
        <w:rPr>
          <w:rFonts w:ascii="Traditional Arabic" w:hAnsi="Traditional Arabic" w:cs="Traditional Arabic"/>
          <w:sz w:val="28"/>
          <w:szCs w:val="28"/>
          <w:rtl/>
          <w14:ligatures w14:val="none"/>
        </w:rPr>
      </w:pPr>
    </w:p>
    <w:p w14:paraId="1D93329A" w14:textId="77777777" w:rsidR="00BE7F28" w:rsidRDefault="00BE7F28" w:rsidP="00BE7F28">
      <w:pPr>
        <w:pStyle w:val="ListParagraph"/>
        <w:bidi/>
        <w:spacing w:line="360" w:lineRule="auto"/>
        <w:jc w:val="both"/>
        <w:rPr>
          <w:rFonts w:ascii="Traditional Arabic" w:hAnsi="Traditional Arabic" w:cs="Traditional Arabic"/>
          <w:sz w:val="28"/>
          <w:szCs w:val="28"/>
          <w:rtl/>
          <w14:ligatures w14:val="none"/>
        </w:rPr>
      </w:pPr>
    </w:p>
    <w:p w14:paraId="33090521" w14:textId="77777777" w:rsidR="00BE7F28" w:rsidRDefault="00BE7F28" w:rsidP="00BE7F28">
      <w:pPr>
        <w:pStyle w:val="ListParagraph"/>
        <w:bidi/>
        <w:spacing w:line="360" w:lineRule="auto"/>
        <w:jc w:val="both"/>
        <w:rPr>
          <w:rFonts w:ascii="Traditional Arabic" w:hAnsi="Traditional Arabic" w:cs="Traditional Arabic"/>
          <w:sz w:val="28"/>
          <w:szCs w:val="28"/>
          <w:rtl/>
          <w14:ligatures w14:val="none"/>
        </w:rPr>
      </w:pPr>
    </w:p>
    <w:p w14:paraId="7C168BE4" w14:textId="77777777" w:rsidR="00BE7F28" w:rsidRDefault="00BE7F28" w:rsidP="00BE7F28">
      <w:pPr>
        <w:pStyle w:val="ListParagraph"/>
        <w:bidi/>
        <w:spacing w:line="360" w:lineRule="auto"/>
        <w:jc w:val="both"/>
        <w:rPr>
          <w:rFonts w:ascii="Traditional Arabic" w:hAnsi="Traditional Arabic" w:cs="Traditional Arabic"/>
          <w:sz w:val="28"/>
          <w:szCs w:val="28"/>
          <w:rtl/>
        </w:rPr>
      </w:pPr>
    </w:p>
    <w:p w14:paraId="08019FEB" w14:textId="77777777" w:rsidR="001A3637" w:rsidRPr="00BE7F28" w:rsidRDefault="00BE7F28" w:rsidP="00BE7F28">
      <w:pPr>
        <w:pStyle w:val="ListParagraph"/>
        <w:bidi/>
        <w:spacing w:line="360" w:lineRule="auto"/>
        <w:jc w:val="both"/>
        <w:rPr>
          <w:rFonts w:ascii="Simplified Arabic" w:hAnsi="Simplified Arabic" w:cs="Simplified Arabic"/>
          <w:rtl/>
          <w:lang w:bidi="ar-EG"/>
        </w:rPr>
      </w:pPr>
      <w:r>
        <w:rPr>
          <w:rFonts w:ascii="Traditional Arabic" w:hAnsi="Traditional Arabic" w:cs="Traditional Arabic"/>
          <w:noProof/>
          <w:sz w:val="28"/>
          <w:szCs w:val="28"/>
        </w:rPr>
        <mc:AlternateContent>
          <mc:Choice Requires="wps">
            <w:drawing>
              <wp:anchor distT="0" distB="0" distL="114300" distR="114300" simplePos="0" relativeHeight="251685888" behindDoc="0" locked="0" layoutInCell="1" allowOverlap="1" wp14:anchorId="4FA3D3C6" wp14:editId="5B0037B5">
                <wp:simplePos x="0" y="0"/>
                <wp:positionH relativeFrom="column">
                  <wp:posOffset>2440940</wp:posOffset>
                </wp:positionH>
                <wp:positionV relativeFrom="paragraph">
                  <wp:posOffset>1922306</wp:posOffset>
                </wp:positionV>
                <wp:extent cx="1222375" cy="52070"/>
                <wp:effectExtent l="38100" t="57150" r="15875" b="100330"/>
                <wp:wrapNone/>
                <wp:docPr id="2" name="Straight Arrow Connector 7"/>
                <wp:cNvGraphicFramePr/>
                <a:graphic xmlns:a="http://schemas.openxmlformats.org/drawingml/2006/main">
                  <a:graphicData uri="http://schemas.microsoft.com/office/word/2010/wordprocessingShape">
                    <wps:wsp>
                      <wps:cNvCnPr/>
                      <wps:spPr>
                        <a:xfrm flipH="1">
                          <a:off x="0" y="0"/>
                          <a:ext cx="1222375" cy="5207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type w14:anchorId="63D6D085" id="_x0000_t32" coordsize="21600,21600" o:spt="32" o:oned="t" path="m,l21600,21600e" filled="f">
                <v:path arrowok="t" fillok="f" o:connecttype="none"/>
                <o:lock v:ext="edit" shapetype="t"/>
              </v:shapetype>
              <v:shape id="Straight Arrow Connector 7" o:spid="_x0000_s1026" type="#_x0000_t32" style="position:absolute;margin-left:192.2pt;margin-top:151.35pt;width:96.25pt;height:4.1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" strokecolor="#156082 [3204]" strokeweight="3pt">
                <v:stroke endarrow="block" joinstyle="miter"/>
              </v:shape>
            </w:pict>
          </mc:Fallback>
        </mc:AlternateContent>
      </w:r>
      <w:r w:rsidRPr="009121C1">
        <w:rPr>
          <w:rFonts w:ascii="Traditional Arabic" w:hAnsi="Traditional Arabic" w:cs="Traditional Arabic"/>
          <w:noProof/>
          <w:sz w:val="28"/>
          <w:szCs w:val="28"/>
        </w:rPr>
        <mc:AlternateContent>
          <mc:Choice Requires="wps">
            <w:drawing>
              <wp:anchor distT="45720" distB="45720" distL="114300" distR="114300" simplePos="0" relativeHeight="251687936" behindDoc="0" locked="0" layoutInCell="1" allowOverlap="1" wp14:anchorId="3266005C" wp14:editId="0E288897">
                <wp:simplePos x="0" y="0"/>
                <wp:positionH relativeFrom="margin">
                  <wp:align>center</wp:align>
                </wp:positionH>
                <wp:positionV relativeFrom="paragraph">
                  <wp:posOffset>3085714</wp:posOffset>
                </wp:positionV>
                <wp:extent cx="2360930" cy="1404620"/>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6777850" w14:textId="77777777" w:rsidR="00BE7F28" w:rsidRPr="00585B8B" w:rsidRDefault="00BE7F28" w:rsidP="00BE7F28">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B2B2E">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104F72CD" w14:textId="77777777" w:rsidR="00BE7F28" w:rsidRDefault="00BE7F28" w:rsidP="00BE7F2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266005C" id="_x0000_t202" coordsize="21600,21600" o:spt="202" path="m,l,21600r21600,l21600,xe">
                <v:stroke joinstyle="miter"/>
                <v:path gradientshapeok="t" o:connecttype="rect"/>
              </v:shapetype>
              <v:shape id="Text Box 2" o:spid="_x0000_s1028" type="#_x0000_t202" style="position:absolute;left:0;text-align:left;margin-left:0;margin-top:242.95pt;width:185.9pt;height:110.6pt;z-index:25168793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" filled="f" stroked="f">
                <v:textbox style="mso-fit-shape-to-text:t">
                  <w:txbxContent>
                    <w:p w14:paraId="66777850" w14:textId="77777777" w:rsidR="00BE7F28" w:rsidRPr="00585B8B" w:rsidRDefault="00BE7F28" w:rsidP="00BE7F28">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B2B2E">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104F72CD" w14:textId="77777777" w:rsidR="00BE7F28" w:rsidRDefault="00BE7F28" w:rsidP="00BE7F28"/>
                  </w:txbxContent>
                </v:textbox>
                <w10:wrap anchorx="margin"/>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4864" behindDoc="0" locked="0" layoutInCell="1" allowOverlap="1" wp14:anchorId="440CC10D" wp14:editId="3856F267">
                <wp:simplePos x="0" y="0"/>
                <wp:positionH relativeFrom="column">
                  <wp:posOffset>2439393</wp:posOffset>
                </wp:positionH>
                <wp:positionV relativeFrom="paragraph">
                  <wp:posOffset>1284329</wp:posOffset>
                </wp:positionV>
                <wp:extent cx="1224252" cy="617054"/>
                <wp:effectExtent l="38100" t="19050" r="14605" b="50165"/>
                <wp:wrapNone/>
                <wp:docPr id="46" name="Straight Arrow Connector 7"/>
                <wp:cNvGraphicFramePr/>
                <a:graphic xmlns:a="http://schemas.openxmlformats.org/drawingml/2006/main">
                  <a:graphicData uri="http://schemas.microsoft.com/office/word/2010/wordprocessingShape">
                    <wps:wsp>
                      <wps:cNvCnPr/>
                      <wps:spPr>
                        <a:xfrm flipH="1">
                          <a:off x="0" y="0"/>
                          <a:ext cx="1224252" cy="61705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 w14:anchorId="5C436EB9" id="Straight Arrow Connector 7" o:spid="_x0000_s1026" type="#_x0000_t32" style="position:absolute;margin-left:192.1pt;margin-top:101.15pt;width:96.4pt;height:48.6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6912" behindDoc="0" locked="0" layoutInCell="1" allowOverlap="1" wp14:anchorId="7A9E3BB8" wp14:editId="23660E09">
                <wp:simplePos x="0" y="0"/>
                <wp:positionH relativeFrom="column">
                  <wp:posOffset>2447344</wp:posOffset>
                </wp:positionH>
                <wp:positionV relativeFrom="paragraph">
                  <wp:posOffset>2044507</wp:posOffset>
                </wp:positionV>
                <wp:extent cx="1230547" cy="472274"/>
                <wp:effectExtent l="0" t="57150" r="8255" b="23495"/>
                <wp:wrapNone/>
                <wp:docPr id="47" name="Straight Arrow Connector 7"/>
                <wp:cNvGraphicFramePr/>
                <a:graphic xmlns:a="http://schemas.openxmlformats.org/drawingml/2006/main">
                  <a:graphicData uri="http://schemas.microsoft.com/office/word/2010/wordprocessingShape">
                    <wps:wsp>
                      <wps:cNvCnPr/>
                      <wps:spPr>
                        <a:xfrm flipH="1" flipV="1">
                          <a:off x="0" y="0"/>
                          <a:ext cx="1230547" cy="47227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 w14:anchorId="1EA498E8" id="Straight Arrow Connector 7" o:spid="_x0000_s1026" type="#_x0000_t32" style="position:absolute;margin-left:192.7pt;margin-top:161pt;width:96.9pt;height:37.2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3840" behindDoc="0" locked="0" layoutInCell="1" allowOverlap="1" wp14:anchorId="1D35436B" wp14:editId="1F6812AD">
                <wp:simplePos x="0" y="0"/>
                <wp:positionH relativeFrom="column">
                  <wp:posOffset>920750</wp:posOffset>
                </wp:positionH>
                <wp:positionV relativeFrom="paragraph">
                  <wp:posOffset>1701165</wp:posOffset>
                </wp:positionV>
                <wp:extent cx="1500892" cy="476084"/>
                <wp:effectExtent l="0" t="0" r="23495" b="19685"/>
                <wp:wrapNone/>
                <wp:docPr id="50"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70B9AD8F" w14:textId="77777777" w:rsidR="00BE7F28" w:rsidRPr="00FA6B48" w:rsidRDefault="00BE7F28" w:rsidP="00BE7F28">
                            <w:pPr>
                              <w:jc w:val="center"/>
                              <w:rPr>
                                <w:b/>
                                <w:bCs/>
                                <w:sz w:val="22"/>
                                <w:szCs w:val="22"/>
                                <w:lang w:bidi="ar-EG"/>
                              </w:rPr>
                            </w:pPr>
                            <w:r w:rsidRPr="00FA6B48">
                              <w:rPr>
                                <w:rFonts w:hint="cs"/>
                                <w:b/>
                                <w:bCs/>
                                <w:sz w:val="22"/>
                                <w:szCs w:val="22"/>
                                <w:rtl/>
                                <w:lang w:bidi="ar-EG"/>
                              </w:rPr>
                              <w:t>تمكين القيادات النسائية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5436B" id="Rectangle 6" o:spid="_x0000_s1029" style="position:absolute;left:0;text-align:left;margin-left:72.5pt;margin-top:133.95pt;width:118.2pt;height: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" fillcolor="#0e3f56 [2148]" strokecolor="#030e13 [484]" strokeweight="1pt">
                <v:fill color2="#45b0e1 [1940]" rotate="t" angle="180" colors="0 #0e4057;31457f #16678b;1 #46b1e1" focus="100%" type="gradient"/>
                <v:textbox>
                  <w:txbxContent>
                    <w:p w14:paraId="70B9AD8F" w14:textId="77777777" w:rsidR="00BE7F28" w:rsidRPr="00FA6B48" w:rsidRDefault="00BE7F28" w:rsidP="00BE7F28">
                      <w:pPr>
                        <w:jc w:val="center"/>
                        <w:rPr>
                          <w:b/>
                          <w:bCs/>
                          <w:sz w:val="22"/>
                          <w:szCs w:val="22"/>
                          <w:lang w:bidi="ar-EG"/>
                        </w:rPr>
                      </w:pPr>
                      <w:r w:rsidRPr="00FA6B48">
                        <w:rPr>
                          <w:rFonts w:hint="cs"/>
                          <w:b/>
                          <w:bCs/>
                          <w:sz w:val="22"/>
                          <w:szCs w:val="22"/>
                          <w:rtl/>
                          <w:lang w:bidi="ar-EG"/>
                        </w:rPr>
                        <w:t>تمكين القيادات النسائية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2816" behindDoc="0" locked="0" layoutInCell="1" allowOverlap="1" wp14:anchorId="76A1302A" wp14:editId="20C1B9BD">
                <wp:simplePos x="0" y="0"/>
                <wp:positionH relativeFrom="column">
                  <wp:posOffset>3672840</wp:posOffset>
                </wp:positionH>
                <wp:positionV relativeFrom="paragraph">
                  <wp:posOffset>2312035</wp:posOffset>
                </wp:positionV>
                <wp:extent cx="1500892" cy="476084"/>
                <wp:effectExtent l="0" t="0" r="23495" b="19685"/>
                <wp:wrapNone/>
                <wp:docPr id="51"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37D8897A"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1302A" id="_x0000_s1030" style="position:absolute;left:0;text-align:left;margin-left:289.2pt;margin-top:182.05pt;width:118.2pt;height: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" fillcolor="#0e3f56 [2148]" strokecolor="#030e13 [484]" strokeweight="1pt">
                <v:fill color2="#45b0e1 [1940]" rotate="t" angle="180" colors="0 #0e4057;31457f #16678b;1 #46b1e1" focus="100%" type="gradient"/>
                <v:textbox>
                  <w:txbxContent>
                    <w:p w14:paraId="37D8897A"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الاجتماعية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1792" behindDoc="0" locked="0" layoutInCell="1" allowOverlap="1" wp14:anchorId="42FF5283" wp14:editId="580D5709">
                <wp:simplePos x="0" y="0"/>
                <wp:positionH relativeFrom="column">
                  <wp:posOffset>3672840</wp:posOffset>
                </wp:positionH>
                <wp:positionV relativeFrom="paragraph">
                  <wp:posOffset>1700530</wp:posOffset>
                </wp:positionV>
                <wp:extent cx="1500892" cy="476084"/>
                <wp:effectExtent l="0" t="0" r="23495" b="19685"/>
                <wp:wrapNone/>
                <wp:docPr id="52"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7FEA94D5"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FF5283" id="_x0000_s1031" style="position:absolute;left:0;text-align:left;margin-left:289.2pt;margin-top:133.9pt;width:118.2pt;height: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" fillcolor="#0e3f56 [2148]" strokecolor="#030e13 [484]" strokeweight="1pt">
                <v:fill color2="#45b0e1 [1940]" rotate="t" angle="180" colors="0 #0e4057;31457f #16678b;1 #46b1e1" focus="100%" type="gradient"/>
                <v:textbox>
                  <w:txbxContent>
                    <w:p w14:paraId="7FEA94D5"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التنظيمية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80768" behindDoc="0" locked="0" layoutInCell="1" allowOverlap="1" wp14:anchorId="12D0E03F" wp14:editId="72377A8B">
                <wp:simplePos x="0" y="0"/>
                <wp:positionH relativeFrom="column">
                  <wp:posOffset>3672840</wp:posOffset>
                </wp:positionH>
                <wp:positionV relativeFrom="paragraph">
                  <wp:posOffset>1064895</wp:posOffset>
                </wp:positionV>
                <wp:extent cx="1500892" cy="476084"/>
                <wp:effectExtent l="0" t="0" r="23495" b="19685"/>
                <wp:wrapNone/>
                <wp:docPr id="53"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2FC01931"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الثقافية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D0E03F" id="_x0000_s1032" style="position:absolute;left:0;text-align:left;margin-left:289.2pt;margin-top:83.85pt;width:118.2pt;height:3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" fillcolor="#0e3f56 [2148]" strokecolor="#030e13 [484]" strokeweight="1pt">
                <v:fill color2="#45b0e1 [1940]" rotate="t" angle="180" colors="0 #0e4057;31457f #16678b;1 #46b1e1" focus="100%" type="gradient"/>
                <v:textbox>
                  <w:txbxContent>
                    <w:p w14:paraId="2FC01931" w14:textId="77777777" w:rsidR="00BE7F28" w:rsidRPr="00FA6B48" w:rsidRDefault="00BE7F28" w:rsidP="00BE7F28">
                      <w:pPr>
                        <w:jc w:val="center"/>
                        <w:rPr>
                          <w:b/>
                          <w:bCs/>
                          <w:sz w:val="20"/>
                          <w:szCs w:val="20"/>
                          <w:lang w:bidi="ar-EG"/>
                        </w:rPr>
                      </w:pPr>
                      <w:r w:rsidRPr="00FA6B48">
                        <w:rPr>
                          <w:rFonts w:hint="cs"/>
                          <w:b/>
                          <w:bCs/>
                          <w:sz w:val="20"/>
                          <w:szCs w:val="20"/>
                          <w:rtl/>
                          <w:lang w:bidi="ar-EG"/>
                        </w:rPr>
                        <w:t>العوامل الثقافية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79744" behindDoc="0" locked="0" layoutInCell="1" allowOverlap="1" wp14:anchorId="55652666" wp14:editId="247EF34B">
                <wp:simplePos x="0" y="0"/>
                <wp:positionH relativeFrom="column">
                  <wp:posOffset>921385</wp:posOffset>
                </wp:positionH>
                <wp:positionV relativeFrom="paragraph">
                  <wp:posOffset>8255</wp:posOffset>
                </wp:positionV>
                <wp:extent cx="1500892" cy="476084"/>
                <wp:effectExtent l="0" t="0" r="23495" b="19685"/>
                <wp:wrapNone/>
                <wp:docPr id="54"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641320E6" w14:textId="77777777" w:rsidR="00BE7F28" w:rsidRPr="00FA6B48" w:rsidRDefault="00BE7F28" w:rsidP="00BE7F28">
                            <w:pPr>
                              <w:jc w:val="center"/>
                              <w:rPr>
                                <w:b/>
                                <w:bCs/>
                                <w:sz w:val="22"/>
                                <w:szCs w:val="22"/>
                                <w:lang w:bidi="ar-EG"/>
                              </w:rPr>
                            </w:pPr>
                            <w:r w:rsidRPr="00FA6B48">
                              <w:rPr>
                                <w:rFonts w:hint="cs"/>
                                <w:b/>
                                <w:bCs/>
                                <w:sz w:val="22"/>
                                <w:szCs w:val="22"/>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652666" id="_x0000_s1033" style="position:absolute;left:0;text-align:left;margin-left:72.55pt;margin-top:.65pt;width:118.2pt;height: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" fillcolor="#0e3f56 [2148]" strokecolor="#030e13 [484]" strokeweight="1pt">
                <v:fill color2="#45b0e1 [1940]" rotate="t" angle="180" colors="0 #0e4057;31457f #16678b;1 #46b1e1" focus="100%" type="gradient"/>
                <v:textbox>
                  <w:txbxContent>
                    <w:p w14:paraId="641320E6" w14:textId="77777777" w:rsidR="00BE7F28" w:rsidRPr="00FA6B48" w:rsidRDefault="00BE7F28" w:rsidP="00BE7F28">
                      <w:pPr>
                        <w:jc w:val="center"/>
                        <w:rPr>
                          <w:b/>
                          <w:bCs/>
                          <w:sz w:val="22"/>
                          <w:szCs w:val="22"/>
                          <w:lang w:bidi="ar-EG"/>
                        </w:rPr>
                      </w:pPr>
                      <w:r w:rsidRPr="00FA6B48">
                        <w:rPr>
                          <w:rFonts w:hint="cs"/>
                          <w:b/>
                          <w:bCs/>
                          <w:sz w:val="22"/>
                          <w:szCs w:val="22"/>
                          <w:rtl/>
                          <w:lang w:bidi="ar-EG"/>
                        </w:rPr>
                        <w:t>المتغير التابع</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78720" behindDoc="0" locked="0" layoutInCell="1" allowOverlap="1" wp14:anchorId="35484EBA" wp14:editId="3200FE2D">
                <wp:simplePos x="0" y="0"/>
                <wp:positionH relativeFrom="column">
                  <wp:posOffset>3673475</wp:posOffset>
                </wp:positionH>
                <wp:positionV relativeFrom="paragraph">
                  <wp:posOffset>8255</wp:posOffset>
                </wp:positionV>
                <wp:extent cx="1500892" cy="476084"/>
                <wp:effectExtent l="0" t="0" r="23495" b="19685"/>
                <wp:wrapNone/>
                <wp:docPr id="55"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832051A" w14:textId="77777777" w:rsidR="00BE7F28" w:rsidRPr="00FA6B48" w:rsidRDefault="00BE7F28" w:rsidP="00BE7F28">
                            <w:pPr>
                              <w:jc w:val="center"/>
                              <w:rPr>
                                <w:b/>
                                <w:bCs/>
                                <w:lang w:bidi="ar-EG"/>
                              </w:rPr>
                            </w:pPr>
                            <w:r w:rsidRPr="00FA6B48">
                              <w:rPr>
                                <w:rFonts w:hint="cs"/>
                                <w:b/>
                                <w:bCs/>
                                <w:rtl/>
                                <w:lang w:bidi="ar-EG"/>
                              </w:rPr>
                              <w:t>المتغيرات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84EBA" id="_x0000_s1034" style="position:absolute;left:0;text-align:left;margin-left:289.25pt;margin-top:.65pt;width:118.2pt;height: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" fillcolor="#0e3f56 [2148]" strokecolor="#030e13 [484]" strokeweight="1pt">
                <v:fill color2="#45b0e1 [1940]" rotate="t" angle="180" colors="0 #0e4057;31457f #16678b;1 #46b1e1" focus="100%" type="gradient"/>
                <v:textbox>
                  <w:txbxContent>
                    <w:p w14:paraId="1832051A" w14:textId="77777777" w:rsidR="00BE7F28" w:rsidRPr="00FA6B48" w:rsidRDefault="00BE7F28" w:rsidP="00BE7F28">
                      <w:pPr>
                        <w:jc w:val="center"/>
                        <w:rPr>
                          <w:b/>
                          <w:bCs/>
                          <w:lang w:bidi="ar-EG"/>
                        </w:rPr>
                      </w:pPr>
                      <w:r w:rsidRPr="00FA6B48">
                        <w:rPr>
                          <w:rFonts w:hint="cs"/>
                          <w:b/>
                          <w:bCs/>
                          <w:rtl/>
                          <w:lang w:bidi="ar-EG"/>
                        </w:rPr>
                        <w:t>المتغيرات المستقلة</w:t>
                      </w:r>
                    </w:p>
                  </w:txbxContent>
                </v:textbox>
              </v:rect>
            </w:pict>
          </mc:Fallback>
        </mc:AlternateContent>
      </w:r>
      <w:r>
        <w:rPr>
          <w:rFonts w:ascii="Traditional Arabic" w:hAnsi="Traditional Arabic" w:cs="Traditional Arabic"/>
          <w:sz w:val="28"/>
          <w:szCs w:val="28"/>
        </w:rPr>
        <w:br w:type="page"/>
      </w:r>
    </w:p>
    <w:p w14:paraId="4160B80A" w14:textId="77777777" w:rsidR="001A3637" w:rsidRDefault="001A3637" w:rsidP="001A3637">
      <w:pPr>
        <w:bidi/>
        <w:rPr>
          <w:rtl/>
        </w:rPr>
      </w:pPr>
    </w:p>
    <w:p w14:paraId="36811DEB" w14:textId="77777777" w:rsidR="001A3637" w:rsidRDefault="001A3637" w:rsidP="001A3637">
      <w:pPr>
        <w:bidi/>
        <w:rPr>
          <w:rtl/>
        </w:rPr>
      </w:pPr>
    </w:p>
    <w:p w14:paraId="12658263" w14:textId="77777777" w:rsidR="001A3637" w:rsidRDefault="001A3637" w:rsidP="001A3637">
      <w:pPr>
        <w:bidi/>
        <w:rPr>
          <w:rtl/>
        </w:rPr>
      </w:pPr>
    </w:p>
    <w:p w14:paraId="5B47C46A" w14:textId="77777777" w:rsidR="001A3637" w:rsidRDefault="001A3637" w:rsidP="001A3637">
      <w:pPr>
        <w:bidi/>
        <w:rPr>
          <w:rtl/>
        </w:rPr>
      </w:pPr>
    </w:p>
    <w:p w14:paraId="6B46F60A" w14:textId="77777777" w:rsidR="001A3637" w:rsidRDefault="001A3637" w:rsidP="001A3637">
      <w:pPr>
        <w:bidi/>
        <w:rPr>
          <w:rtl/>
        </w:rPr>
      </w:pPr>
    </w:p>
    <w:p w14:paraId="1C59CE2D" w14:textId="77777777" w:rsidR="001A3637" w:rsidRDefault="001A3637" w:rsidP="001A3637">
      <w:pPr>
        <w:bidi/>
        <w:rPr>
          <w:rtl/>
        </w:rPr>
      </w:pPr>
    </w:p>
    <w:p w14:paraId="3C476798" w14:textId="77777777" w:rsidR="001A3637" w:rsidRDefault="001A3637" w:rsidP="001A3637">
      <w:pPr>
        <w:bidi/>
        <w:rPr>
          <w:rtl/>
        </w:rPr>
      </w:pPr>
    </w:p>
    <w:p w14:paraId="1A5E047E" w14:textId="77777777" w:rsidR="001A3637" w:rsidRDefault="001A3637" w:rsidP="001A3637">
      <w:pPr>
        <w:bidi/>
        <w:rPr>
          <w:rtl/>
        </w:rPr>
      </w:pPr>
    </w:p>
    <w:p w14:paraId="23DF1A2F" w14:textId="77777777" w:rsidR="001A3637" w:rsidRDefault="001A3637" w:rsidP="001A3637">
      <w:pPr>
        <w:bidi/>
        <w:rPr>
          <w:rtl/>
        </w:rPr>
      </w:pPr>
    </w:p>
    <w:p w14:paraId="40FC50B2" w14:textId="77777777" w:rsidR="001A3637" w:rsidRDefault="001A3637" w:rsidP="001A3637">
      <w:pPr>
        <w:bidi/>
        <w:rPr>
          <w:rtl/>
        </w:rPr>
      </w:pPr>
    </w:p>
    <w:p w14:paraId="2AB08B6A" w14:textId="77777777" w:rsidR="001A3637" w:rsidRDefault="001A3637" w:rsidP="001A3637">
      <w:pPr>
        <w:bidi/>
        <w:rPr>
          <w:rtl/>
        </w:rPr>
      </w:pPr>
    </w:p>
    <w:p w14:paraId="51E137AD" w14:textId="77777777" w:rsidR="001A3637" w:rsidRDefault="001A3637" w:rsidP="001A3637">
      <w:pPr>
        <w:bidi/>
        <w:rPr>
          <w:rtl/>
        </w:rPr>
      </w:pPr>
    </w:p>
    <w:p w14:paraId="4821BD5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169961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AB0926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42ED584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66073F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D4E5C5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23A697A" w14:textId="77777777" w:rsidR="00E853D0" w:rsidRPr="003F3EF0" w:rsidRDefault="00E853D0" w:rsidP="00E853D0">
      <w:pPr>
        <w:tabs>
          <w:tab w:val="left" w:pos="5505"/>
        </w:tabs>
        <w:bidi/>
        <w:rPr>
          <w:rFonts w:ascii="Traditional Arabic" w:hAnsi="Traditional Arabic" w:cs="Traditional Arabic"/>
          <w:b/>
          <w:bCs/>
          <w:sz w:val="32"/>
          <w:szCs w:val="32"/>
          <w:rtl/>
          <w:lang w:bidi="ar-EG"/>
        </w:rPr>
      </w:pPr>
    </w:p>
    <w:p w14:paraId="35ED334E"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4" w:name="_Toc215318381"/>
      <w:r w:rsidRPr="00381527">
        <w:rPr>
          <w:rFonts w:ascii="Traditional Arabic" w:hAnsi="Traditional Arabic" w:cs="Traditional Arabic"/>
          <w:color w:val="auto"/>
          <w:sz w:val="96"/>
          <w:szCs w:val="96"/>
          <w:rtl/>
          <w:lang w:bidi="ar-EG"/>
        </w:rPr>
        <w:t>الفصل الثاني:</w:t>
      </w:r>
      <w:bookmarkEnd w:id="14"/>
    </w:p>
    <w:p w14:paraId="67D603D6"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5" w:name="_Toc215318382"/>
      <w:r w:rsidRPr="00381527">
        <w:rPr>
          <w:rFonts w:ascii="Traditional Arabic" w:hAnsi="Traditional Arabic" w:cs="Traditional Arabic"/>
          <w:color w:val="auto"/>
          <w:sz w:val="96"/>
          <w:szCs w:val="96"/>
          <w:rtl/>
          <w:lang w:bidi="ar-EG"/>
        </w:rPr>
        <w:t>الإطار النظري للدراسة</w:t>
      </w:r>
      <w:bookmarkEnd w:id="15"/>
      <w:r w:rsidRPr="00381527">
        <w:rPr>
          <w:rFonts w:ascii="Traditional Arabic" w:hAnsi="Traditional Arabic" w:cs="Traditional Arabic"/>
          <w:color w:val="auto"/>
          <w:sz w:val="96"/>
          <w:szCs w:val="96"/>
          <w:rtl/>
          <w:lang w:bidi="ar-EG"/>
        </w:rPr>
        <w:t xml:space="preserve"> </w:t>
      </w:r>
    </w:p>
    <w:p w14:paraId="185E140B" w14:textId="77777777" w:rsidR="00560D63" w:rsidRPr="00381527" w:rsidRDefault="00560D63" w:rsidP="00560D63">
      <w:pPr>
        <w:pStyle w:val="Heading1"/>
        <w:bidi/>
        <w:jc w:val="center"/>
        <w:rPr>
          <w:rFonts w:ascii="Microsoft Uighur" w:hAnsi="Microsoft Uighur" w:cs="Microsoft Uighur"/>
          <w:b w:val="0"/>
          <w:bCs w:val="0"/>
          <w:color w:val="auto"/>
          <w:sz w:val="96"/>
          <w:szCs w:val="96"/>
          <w:rtl/>
          <w:lang w:bidi="ar-EG"/>
        </w:rPr>
      </w:pPr>
    </w:p>
    <w:p w14:paraId="6C33A1AA" w14:textId="77777777" w:rsidR="00560D63" w:rsidRDefault="00560D63" w:rsidP="00560D63">
      <w:pPr>
        <w:tabs>
          <w:tab w:val="left" w:pos="5505"/>
        </w:tabs>
        <w:bidi/>
        <w:rPr>
          <w:rFonts w:ascii="Traditional Arabic" w:hAnsi="Traditional Arabic" w:cs="Traditional Arabic"/>
          <w:b/>
          <w:bCs/>
          <w:sz w:val="32"/>
          <w:szCs w:val="32"/>
          <w:lang w:bidi="ar-EG"/>
        </w:rPr>
      </w:pPr>
    </w:p>
    <w:p w14:paraId="13CDF564" w14:textId="77777777" w:rsidR="00560D63" w:rsidRDefault="00560D63" w:rsidP="00560D63">
      <w:pPr>
        <w:tabs>
          <w:tab w:val="left" w:pos="5505"/>
        </w:tabs>
        <w:bidi/>
        <w:rPr>
          <w:rFonts w:ascii="Traditional Arabic" w:hAnsi="Traditional Arabic" w:cs="Traditional Arabic"/>
          <w:b/>
          <w:bCs/>
          <w:sz w:val="32"/>
          <w:szCs w:val="32"/>
          <w:lang w:bidi="ar-EG"/>
        </w:rPr>
      </w:pPr>
    </w:p>
    <w:p w14:paraId="5F4BAFE7"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5A8220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4E2F7DED"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EFEDD45"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27B5052"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FC532BB" w14:textId="77777777" w:rsidR="00560D63" w:rsidRDefault="00560D63" w:rsidP="00560D63">
      <w:pPr>
        <w:tabs>
          <w:tab w:val="left" w:pos="5505"/>
        </w:tabs>
        <w:bidi/>
        <w:rPr>
          <w:rFonts w:ascii="Traditional Arabic" w:hAnsi="Traditional Arabic" w:cs="Traditional Arabic"/>
          <w:b/>
          <w:bCs/>
          <w:sz w:val="32"/>
          <w:szCs w:val="32"/>
          <w:lang w:bidi="ar-EG"/>
        </w:rPr>
      </w:pPr>
    </w:p>
    <w:p w14:paraId="3B37FAB6" w14:textId="77777777" w:rsidR="00560D63" w:rsidRDefault="00560D63" w:rsidP="00560D63">
      <w:pPr>
        <w:pStyle w:val="Heading1"/>
        <w:bidi/>
        <w:spacing w:line="360" w:lineRule="auto"/>
        <w:rPr>
          <w:rFonts w:ascii="Traditional Arabic" w:hAnsi="Traditional Arabic" w:cs="Traditional Arabic"/>
          <w:b w:val="0"/>
          <w:bCs w:val="0"/>
          <w:color w:val="auto"/>
          <w:lang w:bidi="ar-EG"/>
        </w:rPr>
      </w:pPr>
      <w:bookmarkStart w:id="16" w:name="_Toc215318384"/>
      <w:r>
        <w:rPr>
          <w:rFonts w:ascii="Traditional Arabic" w:hAnsi="Traditional Arabic" w:cs="Traditional Arabic" w:hint="cs"/>
          <w:color w:val="auto"/>
          <w:rtl/>
          <w:lang w:bidi="ar-EG"/>
        </w:rPr>
        <w:lastRenderedPageBreak/>
        <w:t>الإطار النظري للدراسة</w:t>
      </w:r>
      <w:r>
        <w:rPr>
          <w:rFonts w:ascii="Traditional Arabic" w:hAnsi="Traditional Arabic" w:cs="Traditional Arabic"/>
          <w:color w:val="auto"/>
          <w:lang w:bidi="ar-EG"/>
        </w:rPr>
        <w:t>:</w:t>
      </w:r>
      <w:bookmarkEnd w:id="16"/>
    </w:p>
    <w:p w14:paraId="6D99FC98"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مفهوم تمكين القيادات النسائية</w:t>
      </w:r>
    </w:p>
    <w:p w14:paraId="477C4350" w14:textId="77777777" w:rsidR="003A4FE4" w:rsidRPr="002B71ED" w:rsidRDefault="00560D63" w:rsidP="00BE62D5">
      <w:pPr>
        <w:tabs>
          <w:tab w:val="left" w:pos="5505"/>
        </w:tabs>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يمثل</w:t>
      </w:r>
      <w:r w:rsidRPr="002B71ED">
        <w:rPr>
          <w:rFonts w:ascii="Traditional Arabic" w:hAnsi="Traditional Arabic" w:cs="Traditional Arabic"/>
          <w:sz w:val="28"/>
          <w:szCs w:val="28"/>
          <w:rtl/>
        </w:rPr>
        <w:t xml:space="preserve"> تمكين القيادات النسائية أحد المفاهيم الحديثة التي اكتسبت أهمية كبيرة في الأدبيات الإدارية والتنموية، باعتباره بوابة لتعزيز الكفاءة المؤسسية وتحقيق العدالة المهنية. ويقصد بالتمكين توفر مجموعة من الآليات والسياسات والموارد التي تسمح للمرأة باكتساب القوة التنظيمية والقدرة على التأثير وصنع القرار داخل المؤسسة ويتجاوز التمكين مجرد حصول المرأة على منصب إداري، ليشمل تهيئة البيئة المؤسسية التي تساعدها على النمو المهني، وإكسابها المهارات القيادية، وتعزيز ثقتها الذاتية، ودعمها لتولي المسؤوليات العليا كما يتضمن التمكين قدرة المؤسسة على إزالة المعوقات وتطوير ثقافة داعمة تشجع مشاركة المرأة في جميع مستويات القيادة. وفي السياق السعودي، يكتسب موضوع التمكين أهمية استثنائية في ظل التحولات الوطنية الطموحة التي تشهدها المملكة، والتي تهدف إلى رفع مكانة المرأة في سوق العمل وزيادة نسبتها في المناصب القيادية، إلا أن مستوى التمكين ما يزال يتأثر بمجموعة من العوامل الاجتماعية والتنظيمية والاقتصادية التي تحد من قدرة المرأة على الوصول إلى الأدوار القيادية بشكل كامل</w:t>
      </w:r>
      <w:r>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2021</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Ibrahim</w:t>
      </w:r>
      <w:r w:rsidR="003A4FE4" w:rsidRPr="00E968AC">
        <w:rPr>
          <w:rFonts w:ascii="Traditional Arabic" w:hAnsi="Traditional Arabic" w:cs="Traditional Arabic" w:hint="cs"/>
          <w:noProof/>
          <w:sz w:val="28"/>
          <w:szCs w:val="28"/>
          <w:rtl/>
          <w:lang w:bidi="ar-EG"/>
        </w:rPr>
        <w:t>)</w:t>
      </w:r>
      <w:r w:rsidRPr="002B71ED">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052F23B7"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يُعد الشعور بالتمكين النفسي من العناصر الداعمة للإبداع الإداري لدى القيادات النسائية؛ إذ أظهرت بيانات كمية جُمعت من (377) من القيادات الأكاديمية في عدد من الجامعات السعودية أن إدراك المرأة لقدرتها على التأثير والاستقلال في أداء مهامها يرتبط بممارسة الدور القيادي بكفاءة وتقديم مبادرات إدارية أكثر إبداعًا، بما يوضح أن التمكين يتجاوز مجرد شغل المنصب القيادي</w:t>
      </w:r>
      <w:r w:rsidR="00BE62D5" w:rsidRPr="00F47563">
        <w:rPr>
          <w:rFonts w:ascii="Traditional Arabic" w:hAnsi="Traditional Arabic" w:cs="Traditional Arabic"/>
          <w:sz w:val="28"/>
          <w:szCs w:val="28"/>
          <w:rtl/>
        </w:rPr>
        <w:t xml:space="preserve"> </w:t>
      </w:r>
      <w:r w:rsidRPr="00F47563">
        <w:rPr>
          <w:rFonts w:ascii="Traditional Arabic" w:hAnsi="Traditional Arabic" w:cs="Traditional Arabic"/>
          <w:sz w:val="28"/>
          <w:szCs w:val="28"/>
          <w:rtl/>
        </w:rPr>
        <w:t>(Ghamdi، 2016).</w:t>
      </w:r>
    </w:p>
    <w:p w14:paraId="7C79DA2D"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تتطلب عملية تمكين المرأة في البيئة الجامعية توافر العدالة وتكافؤ الفرص والثقافة التنظيمية الداعمة، إلى جانب سياسات تراعي الاحتياجات المهنية والأسرية. وقد ظهر ذلك من خلال مقابلات شبه منظمة مع (20) عضوة هيئة تدريس في جامعتين حكوميتين، حيث ارتبطت هذه العناصر بزيادة شعور المرأة بالتمكين وقدرتها على الاستمرار والتقدم في المسار الأكاديمي والقيادي</w:t>
      </w:r>
      <w:r w:rsidR="00F47563" w:rsidRPr="00F47563">
        <w:rPr>
          <w:rFonts w:ascii="Traditional Arabic" w:hAnsi="Traditional Arabic" w:cs="Traditional Arabic"/>
          <w:sz w:val="28"/>
          <w:szCs w:val="28"/>
          <w:rtl/>
        </w:rPr>
        <w:t xml:space="preserve"> </w:t>
      </w:r>
      <w:r w:rsidRPr="00F47563">
        <w:rPr>
          <w:rFonts w:ascii="Traditional Arabic" w:hAnsi="Traditional Arabic" w:cs="Traditional Arabic"/>
          <w:sz w:val="28"/>
          <w:szCs w:val="28"/>
          <w:rtl/>
        </w:rPr>
        <w:t>(Kalsoom، 2024).</w:t>
      </w:r>
    </w:p>
    <w:p w14:paraId="69B3E11D"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يرتبط تشكيل القيادة الاستراتيجية للمرأة بقدرتها على المشاركة في صنع القرار وبناء فرق العمل، وبما تمتلكه من مهارات الاتصال والابتكار وإدارة التغيير. كما يتأثر نمو القيادة النسائية بقدرة المؤسسة على إتاحة فرص فعلية للمشاركة والتقدم، مع مراعاة التحديات المتعلقة بالموازنة بين الأسرة والمهنة(Zhang، 2024).</w:t>
      </w:r>
    </w:p>
    <w:p w14:paraId="34CFFD9D" w14:textId="77777777" w:rsidR="00F66693" w:rsidRPr="00F47563" w:rsidRDefault="00777236">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F47563">
        <w:rPr>
          <w:rFonts w:ascii="Traditional Arabic" w:hAnsi="Traditional Arabic" w:cs="Traditional Arabic"/>
          <w:b/>
          <w:bCs/>
          <w:sz w:val="28"/>
          <w:szCs w:val="28"/>
          <w:rtl/>
        </w:rPr>
        <w:lastRenderedPageBreak/>
        <w:t>أبعاد تمكين المرأة ومجالاته</w:t>
      </w:r>
    </w:p>
    <w:p w14:paraId="2A412EFA"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لا يقتصر مفهوم تمكين المرأة على إتاحة فرصة العمل أو الوصول إلى منصب إداري، وإنما يُنظر إليه بوصفه عملية شمولية تبدأ من إدراك المرأة لذاتها وقدرتها على التحكم في شؤون حياتها واتخاذ القرارات المرتبطة بمسارها الشخصي والمهني، ثم تمتد إلى قدرتها على المشاركة في عملية التنمية والتأثير في محيطها. ويأخذ التمكين في مستواه الجماعي صورة أوسع تتمثل في وعي النساء بحقوقهن الفردية والجماعية، وقدرتهن على المشاركة المنظمة والتعبير عن المصالح والاحتياجات، بما يحول المرأة من مجرد مستفيدة من برامج التنمية إلى عنصر فاعل ومشارك في صنعها وتوجيهها، وهو ما يربط بين التمكين والقدرة على الاختيار والمشاركة وتحسين نوعية الفرص المتاحة(كشرود ومرزوقي، 2019).</w:t>
      </w:r>
    </w:p>
    <w:p w14:paraId="21B3F67A"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ويُفهم التمكين كذلك باعتباره عملية منظمة تتضمن إجراءات تحويلية وتغييرية لا تتوقف عند تنمية المهارات الفردية، بل تمتد إلى تعديل البيئة المحيطة بالمرأة بما يسمح لها بممارسة أدوارها بصورة أكثر فاعلية. ويتطلب ذلك وجود سياسات وبرامج تنموية تعمل على توسيع مجال المشاركة، وإتاحة المعلومات، وإشراك المرأة في الحوار وصنع القرار، مع مساعدتها على تحليل الظروف الاجتماعية والثقافية والاقتصادية والمؤسسية التي تؤثر في مكانتها وفرصها ومن ثم يصبح التمكين مسارًا يجمع بين بناء القدرة الذاتية من ناحية وتطوير البيئة المساندة من ناحية أخرى، بما يحقق انتقالًا فعليًا من المشاركة الشكلية إلى المشاركة المؤثرة في المؤسسة والمجتمع (النقيب، 2021).</w:t>
      </w:r>
    </w:p>
    <w:p w14:paraId="10036F01" w14:textId="77777777" w:rsidR="00F66693" w:rsidRPr="00F47563"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وتتعدد أبعاد تمكين المرأة تبعًا للمجال الذي تمارس فيه أدوارها؛ فالتمكين الاجتماعي يرتبط بتحسين مكانتها وقدرتها على التأثير في القرارات الاجتماعية وبناء شبكات الدعم والتواصل، بينما يرتبط التمكين الاقتصادي بتوسيع فرص العمل والاستقلال المالي والقدرة على التملك والاستفادة من الموارد والفرص التمويلية ويعبر التمكين القانوني عن وعي المرأة بحقوقها ومسؤولياتها وقدرتها على الاستفادة من التشريعات والأنظمة التي تكفل تلك الحقوق، في حين يرتبط التمكين المؤسسي بوجود هياكل وسياسات وقنوات اتصال تسمح للمرأة بالمشاركة والتقدم داخل المؤسسات كما يمتد التمكين إلى البعد السياسي والقيادي عندما تصبح المرأة قادرة على المشاركة في صنع القرار وتولي مواقع المسؤولية والتأثير في السياسات العامة والتنظيمية (النقيب، 2021؛ العاجيب وجواد، 2020).</w:t>
      </w:r>
    </w:p>
    <w:p w14:paraId="6EC6342E"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 xml:space="preserve">ويمثل التمكين المؤسسي أحد الأبعاد ذات الصلة المباشرة بالقيادة النسائية، لأنه ينقل مفهوم التمكين من مستوى القدرة الشخصية إلى مستوى البيئة التي تسمح باستخدام هذه القدرة. ويظهر ذلك من خلال قوة البنية المؤسسية، وإتاحة قنوات التواصل، وتكوين </w:t>
      </w:r>
      <w:r w:rsidRPr="00F47563">
        <w:rPr>
          <w:rFonts w:ascii="Traditional Arabic" w:hAnsi="Traditional Arabic" w:cs="Traditional Arabic"/>
          <w:sz w:val="28"/>
          <w:szCs w:val="28"/>
          <w:rtl/>
        </w:rPr>
        <w:lastRenderedPageBreak/>
        <w:t>شبكات مهنية تساعد المرأة على الوصول إلى المعلومات وصانعي السياسات، ووجود أنظمة واضحة للتطوير والترقية والمشاركة. أما التمكين القانوني فيوفر الإطار الذي يحمي هذه المشاركة من خلال معرفة الحقوق والواجبات والضمانات التي تمنح المرأة فرصة عادلة لممارسة أدوارها. وبذلك يصبح الجمع بين الوعي القانوني والدعم المؤسسي شرطًا مهمًا لتحويل الكفاءة والخبرة إلى ممارسة قيادية فعلية داخل بيئة العمل (النقيب، 2021).</w:t>
      </w:r>
    </w:p>
    <w:p w14:paraId="44CCB91A"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وفي مجال القيادة، يتطلب التمكين أكثر من مجرد شغل المنصب؛ إذ يرتبط بامتلاك المرأة للقدرات الشخصية والقيادية والإدارية التي تساعدها على إدارة الأعمال والموارد والتفاعل مع العاملين، إلى جانب حصولها على المعلومات والخبرة وفرص تبادل المعرفة. كما أن إتاحة المشاركة في القرارات وتطوير القدرات بصورة مستمرة يساعدان على رفع مستوى الاستقلالية المهنية والثقة في الأداء، ويجعلان وجود المرأة في الموقع القيادي مرتبطًا بسلطة فعلية وقدرة على التأثير، وليس بمجرد التمثيل العددي. ويزداد أثر هذا النوع من التمكين عندما تتكامل المهارات القيادية مع البيئة القانونية والاقتصادية الداعمة التي تتيح ممارسة الدور واستمراره وتطويره (العاجيب وجواد، 2020).</w:t>
      </w:r>
    </w:p>
    <w:p w14:paraId="7CE605F7"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F47563">
        <w:rPr>
          <w:rFonts w:ascii="Traditional Arabic" w:hAnsi="Traditional Arabic" w:cs="Traditional Arabic"/>
          <w:sz w:val="28"/>
          <w:szCs w:val="28"/>
          <w:rtl/>
        </w:rPr>
        <w:t>ويرتبط التمكين ارتباطًا مباشرًا بالتنمية؛ لأن توسيع قدرة المرأة على اتخاذ القرار والمشاركة في النشاط الاقتصادي والاجتماعي يزيد من إمكانية الاستفادة من طاقاتها وخبراتها داخل المجتمع ولا تتحقق المشاركة التنموية بصورة كاملة عندما تكون المرأة موجودة في سوق العمل دون قدرة على التأثير أو الوصول إلى الموارد والفرص، ولذلك فإن جوهر التمكين يتمثل في توسيع مجال الاختيار ورفع القدرة على المشاركة في القرارات التي تمس الحياة المهنية والاجتماعية. كما أن إدماج المرأة في التنمية يتأثر بعوامل اجتماعية وثقافية واقتصادية قد تعمل كعوامل دعم أو كعوامل إعاقة، وهو ما يجعل دراسة هذه العوامل ضرورية لفهم مستوى التمكين الفعلي (كشرود ومرزوقي، 2019).</w:t>
      </w:r>
    </w:p>
    <w:p w14:paraId="1F7FC7AC" w14:textId="77777777" w:rsidR="00F66693" w:rsidRDefault="00777236">
      <w:pPr>
        <w:tabs>
          <w:tab w:val="left" w:pos="5505"/>
        </w:tabs>
        <w:bidi/>
        <w:spacing w:line="360" w:lineRule="auto"/>
        <w:jc w:val="both"/>
        <w:rPr>
          <w:rFonts w:ascii="Traditional Arabic" w:hAnsi="Traditional Arabic" w:cs="Traditional Arabic"/>
          <w:sz w:val="28"/>
          <w:szCs w:val="28"/>
        </w:rPr>
      </w:pPr>
      <w:r w:rsidRPr="00F47563">
        <w:rPr>
          <w:rFonts w:ascii="Traditional Arabic" w:hAnsi="Traditional Arabic" w:cs="Traditional Arabic"/>
          <w:sz w:val="28"/>
          <w:szCs w:val="28"/>
          <w:rtl/>
        </w:rPr>
        <w:t>ولا تنعكس آثار التمكين على المجال المهني وحده، بل تمتد إلى الحياة الأسرية والاجتماعية؛ إذ ترتبط زيادة وعي المرأة وقدرتها على اتخاذ القرار ومستوى مشاركتها الاقتصادية والاجتماعية بتحسن قدرتها على إدارة شؤون الأسرة والمشاركة في تحمل المسؤوليات. وقد ظهر وجود ارتباط موجب بين أبعاد التمكين الاقتصادي والاجتماعي والسياسي وبين الرضا عن الحياة الأسرية، كما ظهر ارتفاع إجمالي التمكين لدى النساء العاملات مقارنة بغير العاملات، بما يشير إلى أن العمل والمشاركة واكتساب الخبرة قد تدعم قدرة المرأة على إدارة الموارد واتخاذ القرارات وتطوير مكانتها داخل الأسرة والمجتمع (الحيطاوي وآخرون، 2021).</w:t>
      </w:r>
    </w:p>
    <w:p w14:paraId="041BDD8A" w14:textId="77777777" w:rsidR="00FA6B48" w:rsidRPr="00F91271" w:rsidRDefault="00FA6B48" w:rsidP="00FA6B48">
      <w:pPr>
        <w:tabs>
          <w:tab w:val="left" w:pos="5505"/>
        </w:tabs>
        <w:bidi/>
        <w:spacing w:line="360" w:lineRule="auto"/>
        <w:jc w:val="both"/>
        <w:rPr>
          <w:rFonts w:ascii="Traditional Arabic" w:hAnsi="Traditional Arabic" w:cs="Traditional Arabic"/>
          <w:sz w:val="28"/>
          <w:szCs w:val="28"/>
          <w:lang w:bidi="ar-EG"/>
        </w:rPr>
      </w:pPr>
    </w:p>
    <w:p w14:paraId="3C0EB89F" w14:textId="77777777" w:rsidR="00F66693" w:rsidRPr="00934CB1" w:rsidRDefault="00777236">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934CB1">
        <w:rPr>
          <w:rFonts w:ascii="Traditional Arabic" w:hAnsi="Traditional Arabic" w:cs="Traditional Arabic"/>
          <w:b/>
          <w:bCs/>
          <w:sz w:val="28"/>
          <w:szCs w:val="28"/>
          <w:rtl/>
        </w:rPr>
        <w:lastRenderedPageBreak/>
        <w:t>المداخل النظرية المفسرة لتمكين المرأة</w:t>
      </w:r>
    </w:p>
    <w:p w14:paraId="1BCD7C2A"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يمكن تفسير تمكين المرأة من خلال نظرية التبادل الاجتماعي التي تنظر إلى العلاقات الاجتماعية باعتبارها علاقات تقوم على التفاعل المتبادل بين الحقوق والواجبات والمكاسب التي يحصل عليها الأطراف. وتستمر العلاقة وتصبح أكثر توازنًا كلما شعر الأفراد بأن ما يقدمونه يقابله تقدير أو فائدة أو مكافأة مناسبة، كما ترتبط عمليات التبادل بتوزيع القوة والسلطة داخل العلاقات الاجتماعية والتنظيمية. وفي سياق تمكين المرأة، يؤدي حصولها على الاستقلال الاقتصادي والخبرة والموارد إلى تغير نسبي في مكانتها وفي قدرتها على المشاركة في إدارة شؤون الأسرة والعمل، ويصبح التوازن بين ما تتحمله من مسؤوليات وما تحصل عليه من حقوق وفرص عنصرًا مؤثرًا في مستوى تمكينها (الزهراني، 2017).</w:t>
      </w:r>
    </w:p>
    <w:p w14:paraId="352106EA"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وتوفر نظرية الدور مدخلًا آخر لفهم التحديات التي تواجه المرأة، إذ يرتبط الدور بالسلوك المتوقع من الفرد بحكم موقعه الاجتماعي أو التنظيمي، بينما يؤدي تعدد الأدوار وتعارض توقعاتها أحيانًا إلى ما يُعرف بصراع الدور. وتظهر أهمية هذا المدخل عند دراسة القيادات النسائية لأن المرأة قد تجمع بين أدوار أسرية ومهنية وقيادية في الوقت نفسه، في حين تستمر بعض التوقعات الاجتماعية في تحميلها الجزء الأكبر من مسؤوليات الرعاية والعمل المنزلي حتى مع مشاركتها في سوق العمل. وعندما لا تتوافر ترتيبات تنظيمية ودعم اجتماعي يساعدان على التوفيق بين هذه الأدوار، قد يتحول تعدد الأدوار إلى ضغط يحد من الاستمرار أو التقدم المهني (الزهراني، 2017).</w:t>
      </w:r>
    </w:p>
    <w:p w14:paraId="4F130690"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ومن خلال الربط بين نظرية التبادل ونظرية الدور يمكن النظر إلى تمكين القيادات النسائية باعتباره نتيجة لتوازن متبادل بين ما تمتلكه المرأة من مهارات وخبرات وما تمنحه البيئة المحيطة من فرص وصلاحيات ودعم، وفي الوقت نفسه نتيجة لإعادة تعريف الأدوار الاجتماعية والتنظيمية بما يسمح للمرأة بأن تمارس الدور القيادي دون أن تُقيد بتوقعات نمطية ثابتة. وعليه فإن زيادة الموارد والتقدير والعدالة في الفرص تدعم مكانة المرأة داخل المؤسسة، بينما يسهم تخفيف التعارض بين الأدوار الأسرية والمهنية في تعزيز قدرتها على الاستمرار والتقدم، وهو ما يجعل التمكين عملية متداخلة بين الفرد والأسرة والمؤسسة والمجتمع (الزهراني، 2017).</w:t>
      </w:r>
    </w:p>
    <w:p w14:paraId="27EFAE10"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الثقافية ودورها في تمكين القيادات النسائية</w:t>
      </w:r>
    </w:p>
    <w:p w14:paraId="30F556EF"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تمثل</w:t>
      </w:r>
      <w:r w:rsidRPr="002B71ED">
        <w:rPr>
          <w:rFonts w:ascii="Traditional Arabic" w:hAnsi="Traditional Arabic" w:cs="Traditional Arabic"/>
          <w:sz w:val="28"/>
          <w:szCs w:val="28"/>
          <w:rtl/>
        </w:rPr>
        <w:t xml:space="preserve"> العوامل الثقافية من أبرز المحددات التي تشكل المسار المهني للمرأة في المجتمع السعودي، إذ تؤثر الثقافة السائدة على بناء التصورات المتعلقة بأدوار الجنسين وعلى مدى تقبل المجتمع لوجود المرأة في مواقع القيادة. وتنعكس الثقافة الاجتماعية على طبيعة </w:t>
      </w:r>
      <w:r w:rsidRPr="002B71ED">
        <w:rPr>
          <w:rFonts w:ascii="Traditional Arabic" w:hAnsi="Traditional Arabic" w:cs="Traditional Arabic"/>
          <w:sz w:val="28"/>
          <w:szCs w:val="28"/>
          <w:rtl/>
        </w:rPr>
        <w:lastRenderedPageBreak/>
        <w:t>الأفكار المرتبطة بقدرات المرأة وإمكاناتها المهنية، إذ يستمر حضور بعض الصور النمطية التي تربط القيادة بالرجال وتضع المرأة في إطار الأدوار الأسرية والرعائية، مما يؤثر في نظرة المجتمع إلى جدارتها القيادية. كما أن الموقف الاجتماعي من خروج المرأة للعمل وتوليها مناصب قيادية يشكل عنصرًا مؤثرًا في مشاركتها الفعلية، حيث إن قبول الأسرة والمحيط الاجتماعي يُعد عامل دعم مهم يساعد المرأة على تحقيق التوازن بين مسؤولياتها المهنية والأسرية، الأمر الذي ينعكس إيجابًا على قدرتها على إدارة مهام القيادة بثقة وفعالية</w:t>
      </w:r>
      <w:r w:rsidRPr="002B71ED">
        <w:rPr>
          <w:rFonts w:ascii="Traditional Arabic" w:hAnsi="Traditional Arabic" w:cs="Traditional Arabic"/>
          <w:sz w:val="28"/>
          <w:szCs w:val="28"/>
          <w:lang w:bidi="ar-EG"/>
        </w:rPr>
        <w:t>.</w:t>
      </w:r>
    </w:p>
    <w:p w14:paraId="4F14CE5D"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وتشهد المملكة في السنوات الأخيرة تحولات ثقافية واضحة نتيجة برامج التمكين الوطني ورؤية 2030 التي سعت إلى تعزيز حضور المرأة في جميع القطاعات. وقد أسهم هذا التحول في تراجع العديد من المعوقات الثقافية التقليدية، إلا أن تأثيرها لم يختفِ تمامًا، حيث ما تزال بعض المؤسسات تتأثر بثقافة ذكورية غير معلنة تتجلى في تفضيل الرجال للمناصب القيادية أو التشكيك في قدرة المرأة على تحمّل ضغوط القيادة. ومن هنا يمكن القول إن الثقافة المجتمعية إما أن تكون عامل دعم يعزز من فرص تمكين المرأة، أو تكون عامل إعاقة يقلل من وصولها إلى مواقع السلطة، وذلك بحسب الوعي المجتمعي والتحولات القيمية التي تمر بها البيئة السعودية المعاصرة</w:t>
      </w:r>
      <w:r>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2025</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Muthuswamy</w:t>
      </w:r>
      <w:r w:rsidR="003A4FE4" w:rsidRPr="00E968AC">
        <w:rPr>
          <w:rFonts w:ascii="Traditional Arabic" w:hAnsi="Traditional Arabic" w:cs="Traditional Arabic" w:hint="cs"/>
          <w:noProof/>
          <w:sz w:val="28"/>
          <w:szCs w:val="28"/>
          <w:rtl/>
          <w:lang w:bidi="ar-EG"/>
        </w:rPr>
        <w:t>)</w:t>
      </w:r>
      <w:r w:rsidRPr="002B71ED">
        <w:rPr>
          <w:rFonts w:ascii="Traditional Arabic" w:hAnsi="Traditional Arabic" w:cs="Traditional Arabic"/>
          <w:sz w:val="28"/>
          <w:szCs w:val="28"/>
          <w:lang w:bidi="ar-EG"/>
        </w:rPr>
        <w:t>.</w:t>
      </w:r>
    </w:p>
    <w:p w14:paraId="6C3DA0D2"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تتأثر فرص نجاح المرأة السعودية في قيادة المنظمات بطبيعة التصورات الاجتماعية والثقافية السائدة حول قدرتها على القيادة، وبالمفاهيم المرتبطة بالفصل بين الجنسين ومدى تقبل المجتمع لمشاركتها في المواقع القيادية. وكلما اتسع الدعم المجتمعي وتغيرت النظرة التقليدية لدور المرأة زادت فرص حضورها ونجاحها في قيادة المؤسسات(Kattan، 2016).</w:t>
      </w:r>
    </w:p>
    <w:p w14:paraId="134F8CBB"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تمثل الثقافة المجتمعية عنصرًا مؤثرًا في مشاركة المرأة السعودية في الأنشطة الريادية، لأن البناء الاجتماعي والثقافي والديني ينعكس على اختياراتها المهنية وعلى مستوى القبول الاجتماعي للأدوار الجديدة التي تمارسها</w:t>
      </w:r>
      <w:r w:rsidR="00934CB1">
        <w:rPr>
          <w:rFonts w:ascii="Traditional Arabic" w:hAnsi="Traditional Arabic" w:cs="Traditional Arabic" w:hint="cs"/>
          <w:sz w:val="28"/>
          <w:szCs w:val="28"/>
          <w:rtl/>
        </w:rPr>
        <w:t xml:space="preserve"> </w:t>
      </w:r>
      <w:r w:rsidRPr="00934CB1">
        <w:rPr>
          <w:rFonts w:ascii="Traditional Arabic" w:hAnsi="Traditional Arabic" w:cs="Traditional Arabic"/>
          <w:sz w:val="28"/>
          <w:szCs w:val="28"/>
          <w:rtl/>
        </w:rPr>
        <w:t>ومن ثم فإن تفسير مشاركة المرأة ونجاحها المهني يرتبط بفهم السياق الثقافي الذي تتشكل داخله اتجاهات الأفراد نحو عملها وريادتها(Musallam، 2021).</w:t>
      </w:r>
    </w:p>
    <w:p w14:paraId="6DD69FE6"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لا يُعد العامل الثقافي عائقًا ثابتًا أمام تمكين المرأة في القيادة؛ إذ يمكن لبعض الممارسات الثقافية أن تحد من مشاركتها، في حين يمكن لممارسات أخرى أن توفر فرصًا داعمة إذا جرى توظيفها بصورة إيجابية. ويستلزم توسيع فرص القيادة النسائية تغيير بعض أنماط التفكير والسلوك والممارسات الاجتماعية التي تقيد حضور المرأة في مواقع القيادة (Jendia، 2019).</w:t>
      </w:r>
    </w:p>
    <w:p w14:paraId="5DC11CB6"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 xml:space="preserve">تتكون الثقافة المجتمعية من منظومة القيم والعادات والتقاليد وأساليب التنشئة التي تحدد ما يُنظر إليه بوصفه دورًا مقبولًا لكل من الرجل والمرأة، ولذلك فهي تؤثر بصورة مباشرة في تفسير المجتمع لتعليم المرأة وعملها واستقلالها ووصولها إلى مواقع المسؤولية. وقد </w:t>
      </w:r>
      <w:r w:rsidRPr="00934CB1">
        <w:rPr>
          <w:rFonts w:ascii="Traditional Arabic" w:hAnsi="Traditional Arabic" w:cs="Traditional Arabic"/>
          <w:sz w:val="28"/>
          <w:szCs w:val="28"/>
          <w:rtl/>
        </w:rPr>
        <w:lastRenderedPageBreak/>
        <w:t>تتحول بعض المعتقدات المتوارثة إلى قيود عندما تربط نجاح المرأة بصورة أساسية بأدوار محددة وتضعف قبول استمرارها في التعليم أو توسعها في العمل، بينما يمكن للتحول في أنماط التنشئة والوعي أن يعيد صياغة هذه التوقعات بصورة أكثر دعمًا للمشاركة. ومن ثم فإن التغيير الثقافي لا يعني إلغاء قيم المجتمع، وإنما تطوير الفهم الاجتماعي للأدوار بما يسمح باستثمار قدرات المرأة في التنمية والقيادة (كشرود ومرزوقي، 2019).</w:t>
      </w:r>
    </w:p>
    <w:p w14:paraId="54774A28"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كما أن الصور النمطية لا تعمل فقط من خلال نظرة المجتمع الخارجية، بل قد تؤثر في إدراك المرأة لذاتها وفي مستوى ثقتها بقدراتها إذا تكررت بصورة مستمرة داخل الأسرة أو العمل</w:t>
      </w:r>
      <w:r w:rsidR="00934CB1" w:rsidRPr="00934CB1">
        <w:rPr>
          <w:rFonts w:ascii="Traditional Arabic" w:hAnsi="Traditional Arabic" w:cs="Traditional Arabic" w:hint="cs"/>
          <w:sz w:val="28"/>
          <w:szCs w:val="28"/>
          <w:rtl/>
        </w:rPr>
        <w:t xml:space="preserve"> </w:t>
      </w:r>
      <w:r w:rsidRPr="00934CB1">
        <w:rPr>
          <w:rFonts w:ascii="Traditional Arabic" w:hAnsi="Traditional Arabic" w:cs="Traditional Arabic"/>
          <w:sz w:val="28"/>
          <w:szCs w:val="28"/>
          <w:rtl/>
        </w:rPr>
        <w:t>ولهذا فإن التمكين الثقافي يحتاج إلى مسارين متوازيين: مسار داخلي يعزز وعي المرأة بقدراتها وحقوقها وثقتها في قدرتها على ممارسة الدور القيادي، ومسار خارجي يعمل على تحسين التصورات المجتمعية حول كفاءتها ومكانتها. ويساعد التعليم ورفع الوعي وإبراز النماذج النسائية الناجحة على تقليل أثر القوالب الجامدة وتوسيع المجال أمام قبول المرأة في مواقع القرار والمسؤولية (الحسني وجابر، 2017).</w:t>
      </w:r>
    </w:p>
    <w:p w14:paraId="7F64CAC7"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وفي المجتمع السعودي ارتبط توسع مشاركة المرأة بتحولات اجتماعية واقتصادية ومعرفية أسهمت في تغير كثير من التصورات التقليدية تجاه أدوارها وقد أتاح تطور التعليم وسوق العمل واتساع مجالات المشاركة المهنية انتقال المرأة إلى قطاعات متعددة مثل التعليم والصحة والتجارة والخدمات وغيرها، ثم امتد ذلك إلى مواقع المسؤولية والمشاركة في اتخاذ القرار. ويعكس هذا التحول أن الثقافة ليست عنصرًا ثابتًا، بل تتغير مع تغير الخبرة المجتمعية والسياسات والفرص المتاحة، وأن زيادة حضور المرأة ونجاحها في مجالات متنوعة يمكن أن يسهم بدوره في تعديل التصورات الاجتماعية عنها (الزهراني، 2017).</w:t>
      </w:r>
    </w:p>
    <w:p w14:paraId="58C423DC"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وتبرز هنا أهمية التوعية بوصفها أداة ثقافية داعمة للتمكين، لأن رفع وعي المجتمع بقيمة مشاركة المرأة يساعد على تقليل التمييز غير المباشر وتوسيع قبولها في الأدوار القيادية. كما أن توعية المرأة نفسها بحقوقها والفرص المتاحة لها يزيد من قدرتها على المطالبة بالمشاركة والاستفادة من مسارات التعليم والتدريب والعمل. وعندما تتكامل التوعية المجتمعية مع الممارسات المؤسسية العادلة، تتحول الثقافة من مصدر محتمل للقيود إلى عامل يساند الثقة والاختيار والمشاركة، الأمر الذي يدعم استمرارية المرأة في المواقع القيادية ويعزز شرعية حضورها داخل المؤسسة والمجتمع (أبو كليلة، 2017؛ الحسني وجابر، 2017).</w:t>
      </w:r>
    </w:p>
    <w:p w14:paraId="77A09A97"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التنظيمية المؤثرة في تمكين القيادات النسائية</w:t>
      </w:r>
    </w:p>
    <w:p w14:paraId="675793BB"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 xml:space="preserve">تشكل العوامل التنظيمية الإطار الداخلي الذي تتحرك ضمنه المرأة داخل المؤسسات، وهي العوامل الأكثر قدرة على التأثير المباشر في تمكينها الفعلي. فالسياسات الإدارية المتعلقة بالترقية والتوظيف وأنظمة العمل تمثل حجر الأساس في تحديد فرص النساء للوصول </w:t>
      </w:r>
      <w:r w:rsidRPr="002B71ED">
        <w:rPr>
          <w:rFonts w:ascii="Traditional Arabic" w:hAnsi="Traditional Arabic" w:cs="Traditional Arabic"/>
          <w:sz w:val="28"/>
          <w:szCs w:val="28"/>
          <w:rtl/>
        </w:rPr>
        <w:lastRenderedPageBreak/>
        <w:t>إلى القيادة. ففي المؤسسات التي تعتمد معايير تقييم موضوعية وشفافة، تكون فرص المرأة في الترقي والوصول إلى مناصب قيادية أكبر بكثير من المؤسسات التي تعتمد على العلاقات الشخصية أو الاجتهادات الفردية. كما أن ثقافة المنظمة تلعب دورًا حاسمًا في تعزيز أو إعاقة التمكين، فحين تتبنى المؤسسة ثقافة داعمة للتنوع والمساواة، يصبح تمكين المرأة جزءًا من هويتها التنظيمية، بينما تقف الثقافة الذكورية أو التحيز الجندري عائقًا أمام تطلعات القيادات النسائية</w:t>
      </w:r>
      <w:r w:rsidRPr="002B71ED">
        <w:rPr>
          <w:rFonts w:ascii="Traditional Arabic" w:hAnsi="Traditional Arabic" w:cs="Traditional Arabic"/>
          <w:sz w:val="28"/>
          <w:szCs w:val="28"/>
          <w:lang w:bidi="ar-EG"/>
        </w:rPr>
        <w:t>.</w:t>
      </w:r>
    </w:p>
    <w:p w14:paraId="25CB56F6"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ويشكل</w:t>
      </w:r>
      <w:r w:rsidRPr="002B71ED">
        <w:rPr>
          <w:rFonts w:ascii="Traditional Arabic" w:hAnsi="Traditional Arabic" w:cs="Traditional Arabic"/>
          <w:sz w:val="28"/>
          <w:szCs w:val="28"/>
          <w:rtl/>
        </w:rPr>
        <w:t xml:space="preserve"> الدعم القيادي عاملاً مهمًا في عملية التمكين، حيث يتطلب نجاح المرأة في القيادة وجود إدارة عليا تؤمن بقدراتها وتعمل على توفير فرص التطوير والتدريب والتوجيه لها، ما يساهم في رفع مستوى كفاءتها وبناء ثقتها بنفسها. كما أن بيئة العمل المرنة التي تراعي مسؤوليات المرأة، وتمنحها فرصًا للتوازن بين الالتزامات المهنية والأسرية، تمثل عاملاً أساسيًا في تعزيز جاهزيتها للمناصب العليا. ولا يقل التدريب والتطوير المهني أهمية عن العوامل الأخرى، إذ تحتاج المرأة إلى برامج متخصصة في القيادة الاستراتيجية والإدارة العليا لتقوية مهاراتها وتمكينها من المنافسة العادلة في شغل الأدوار القيادية</w:t>
      </w:r>
      <w:r>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2024</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Mahmoud</w:t>
      </w:r>
      <w:r w:rsidR="003A4FE4" w:rsidRPr="00E968AC">
        <w:rPr>
          <w:rFonts w:ascii="Traditional Arabic" w:hAnsi="Traditional Arabic" w:cs="Traditional Arabic" w:hint="cs"/>
          <w:noProof/>
          <w:sz w:val="28"/>
          <w:szCs w:val="28"/>
          <w:rtl/>
          <w:lang w:bidi="ar-EG"/>
        </w:rPr>
        <w:t>)</w:t>
      </w:r>
      <w:r w:rsidRPr="002B71ED">
        <w:rPr>
          <w:rFonts w:ascii="Traditional Arabic" w:hAnsi="Traditional Arabic" w:cs="Traditional Arabic"/>
          <w:sz w:val="28"/>
          <w:szCs w:val="28"/>
          <w:lang w:bidi="ar-EG"/>
        </w:rPr>
        <w:t>.</w:t>
      </w:r>
    </w:p>
    <w:p w14:paraId="04D3CFAC"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تُعد بيئة العمل والثقافة التنظيمية من أبرز المحددات الداخلية لتمكين المرأة في الأدوار القيادية بجامعة الإمام عبد الرحمن بن فيصل؛ فقد أظهرت (74) استجابة صحيحة جُمعت باستخدام مقياس ليكرت الخماسي ارتفاع مستوى الموافقة على العوائق المرتبطة ببيئة العمل والثقافة التنظيمية مقارنة بالعوائق المرتبطة بالحياة الشخصية، وهو ما يبرز أهمية التدريب والتوجيه وتهيئة بيئة تنظيمية أكثر دعمًا للقيادات النسائية(Bakr، 2022).</w:t>
      </w:r>
    </w:p>
    <w:p w14:paraId="4CD2A4B8"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يرتبط أسلوب القيادة النسائي بالصحة التنظيمية داخل بيئة العمل؛ ففي مجتمع مكوّن من (400) موظفة إدارية بجامعة الملك سعود يعملن تحت إشراف قيادات نسائية، ظهر الأسلوب الديمقراطي بوصفه الأكثر تطبيقًا، كما جاء مستوى الصحة التنظيمية مرتفعًا وظهرت علاقة طردية بين القيادة الديمقراطية والصحة التنظيمية، بما يبرز أهمية الحوافز ومعايير الاختيار والتقييم في دعم القيادات النسائية (Al-Saati، 2024).</w:t>
      </w:r>
    </w:p>
    <w:p w14:paraId="4805F944"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يتجسد التمكين الإداري للقيادات النسائية في مجموعة من الأبعاد تشمل تفويض السلطة والعمل الجماعي والتدريب والتحفيز والاتصال الفعال. وفي جامعة جازان، أظهرت استجابات (57) قائدة نسائية توافر مهارات العمل الجماعي والتدريب والتحفيز والاتصال بدرجة كبيرة، في مقابل ضعف تفويض السلطة نتيجة مركزية الإدارة، بما يبرز الحاجة إلى مناخ تنظيمي داعم وتوسيع الصلاحيات والحوافز(مخلوف، 2020).</w:t>
      </w:r>
    </w:p>
    <w:p w14:paraId="2838780D"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 xml:space="preserve">يتحقق التمكين داخل المؤسسة عندما تتحول السياسات والهياكل التنظيمية إلى أدوات تتيح للمرأة استخدام قدراتها، وليس عندما </w:t>
      </w:r>
      <w:r w:rsidRPr="00934CB1">
        <w:rPr>
          <w:rFonts w:ascii="Traditional Arabic" w:hAnsi="Traditional Arabic" w:cs="Traditional Arabic"/>
          <w:sz w:val="28"/>
          <w:szCs w:val="28"/>
          <w:rtl/>
        </w:rPr>
        <w:lastRenderedPageBreak/>
        <w:t>تقتصر المؤسسة على وجود المرأة عدديًا في بعض المواقع. ويشمل ذلك وضوح الصلاحيات، وإتاحة المعلومات، وبناء قنوات اتصال مهنية، وتوفير فرص المشاركة في القرارات والتخطيط، إضافة إلى وجود شبكات وعلاقات تربط المرأة بمصادر الدعم وصانعي السياسات داخل بيئة العمل. ويؤدي هذا النوع من التمكين المؤسسي إلى تقوية قدرة المرأة على المبادرة وتحمل المسؤولية والتأثير في النتائج، كما يقلل من اعتماد ممارسة الدور القيادي على العلاقات الفردية أو الاجتهادات غير المنظمة (النقيب، 2021).</w:t>
      </w:r>
    </w:p>
    <w:p w14:paraId="1962561A"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وتحتاج البيئة التنظيمية الداعمة إلى سياسات واضحة للتدريب والتطوير والترقية وتقييم الأداء وتفويض الصلاحيات، لأن فرص القيادة تتأثر بالطريقة التي توزع بها المؤسسة الموارد والمسؤوليات والفرص. كما أن إشراك المرأة في المعلومات وفي صنع القرارات يرفع من قدرتها على فهم سياق العمل ومواجهة المشكلات واختيار البدائل، في حين يؤدي حجب المعلومات أو محدودية التفويض إلى تقليص الاستقلالية حتى مع شغل منصب رسمي ولذلك يمثل الانتقال من الإدارة القائمة على الإجراءات الجامدة إلى الإدارة التي توسع المشاركة والثقة أحد المداخل المهمة لرفع مستوى التمكين الفعلي للقيادات النسائية (النقيب، 2021).</w:t>
      </w:r>
    </w:p>
    <w:p w14:paraId="6C8DF2F1"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وتظهر أهمية المتطلبات التنظيمية بصورة واضحة في البيئة الجامعية؛ إذ لا يرتبط تمكين المرأة في الوظائف القيادية بمؤهلاتها العلمية فقط، بل يحتاج كذلك إلى متطلبات شخصية وإدارية وتنظيمية وتنموية تسمح لها بممارسة القيادة بكفاءة. كما أن تطوير اللوائح والقواعد المنظمة للعمل الجامعي بما يدعم مشاركة المرأة ويسهل ممارستها للأدوار الإدارية يمثل جانبًا أساسيًا في بناء بيئة أكاديمية مساندة. ومن ثم فإن السياسات الجامعية التي تجمع بين التطوير المهني وتنظيم الصلاحيات والعدالة في الفرص تهيئ مسارًا أكثر وضوحًا لوصول المرأة إلى المواقع الإدارية والقيادية واستمرارها فيها(الرشيدي، 2016).</w:t>
      </w:r>
    </w:p>
    <w:p w14:paraId="1CADFD0A"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ولا ينفصل التمكين التنظيمي عن تنمية المهارات القيادية؛ فالمرأة تحتاج إلى فرص لاكتساب الخبرة في الإدارة والتخطيط والاتصال وإدارة الأعمال، كما تحتاج إلى الوصول إلى المعلومات وتبادل المعرفة مع الزملاء والقيادات ويؤدي الجمع بين التدريب والتوجيه والمشاركة الفعلية في القرارات إلى تحويل التعلم من معرفة نظرية إلى خبرة قيادية قابلة للممارسة</w:t>
      </w:r>
      <w:r w:rsidR="001C3709">
        <w:rPr>
          <w:rFonts w:ascii="Traditional Arabic" w:hAnsi="Traditional Arabic" w:cs="Traditional Arabic" w:hint="cs"/>
          <w:sz w:val="28"/>
          <w:szCs w:val="28"/>
          <w:rtl/>
        </w:rPr>
        <w:t xml:space="preserve"> </w:t>
      </w:r>
      <w:r w:rsidRPr="00934CB1">
        <w:rPr>
          <w:rFonts w:ascii="Traditional Arabic" w:hAnsi="Traditional Arabic" w:cs="Traditional Arabic"/>
          <w:sz w:val="28"/>
          <w:szCs w:val="28"/>
          <w:rtl/>
        </w:rPr>
        <w:t>ولذلك فإن المؤسسة التي تمنح المرأة فرصًا للتطوير دون أن تمنحها مساحة حقيقية للتطبيق أو التفويض لا تحقق التمكين بصورة كاملة، في حين يدعم التكامل بين بناء القدرات والصلاحيات والمسؤولية قدرة المرأة على ممارسة القيادة وتحمل نتائج القرار (العاجيب وجواد، 2020؛ الرشيدي، 2016).</w:t>
      </w:r>
    </w:p>
    <w:p w14:paraId="59D13B47" w14:textId="77777777" w:rsidR="00560D63" w:rsidRDefault="00560D63" w:rsidP="00830357">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الا</w:t>
      </w:r>
      <w:r w:rsidR="00E87103">
        <w:rPr>
          <w:rFonts w:ascii="Traditional Arabic" w:hAnsi="Traditional Arabic" w:cs="Traditional Arabic" w:hint="cs"/>
          <w:b/>
          <w:bCs/>
          <w:sz w:val="28"/>
          <w:szCs w:val="28"/>
          <w:rtl/>
        </w:rPr>
        <w:t>جتماعية</w:t>
      </w:r>
      <w:r w:rsidRPr="002B71ED">
        <w:rPr>
          <w:rFonts w:ascii="Traditional Arabic" w:hAnsi="Traditional Arabic" w:cs="Traditional Arabic"/>
          <w:b/>
          <w:bCs/>
          <w:sz w:val="28"/>
          <w:szCs w:val="28"/>
          <w:rtl/>
        </w:rPr>
        <w:t xml:space="preserve"> وتأثيرها على تمكين المرأة القيادية</w:t>
      </w:r>
    </w:p>
    <w:p w14:paraId="4ADBFA0B" w14:textId="77777777" w:rsidR="00E87103" w:rsidRPr="00E87103" w:rsidRDefault="00E87103" w:rsidP="00830357">
      <w:pPr>
        <w:pStyle w:val="ListParagraph"/>
        <w:widowControl/>
        <w:tabs>
          <w:tab w:val="left" w:pos="5505"/>
        </w:tabs>
        <w:autoSpaceDE/>
        <w:autoSpaceDN/>
        <w:bidi/>
        <w:adjustRightInd/>
        <w:spacing w:after="160" w:line="360" w:lineRule="auto"/>
        <w:ind w:left="-188"/>
        <w:jc w:val="both"/>
        <w:rPr>
          <w:rFonts w:ascii="Traditional Arabic" w:hAnsi="Traditional Arabic" w:cs="Traditional Arabic"/>
          <w:sz w:val="28"/>
          <w:szCs w:val="28"/>
          <w:lang w:bidi="ar-EG"/>
        </w:rPr>
      </w:pPr>
      <w:r w:rsidRPr="00E87103">
        <w:rPr>
          <w:rFonts w:ascii="Traditional Arabic" w:hAnsi="Traditional Arabic" w:cs="Traditional Arabic"/>
          <w:sz w:val="28"/>
          <w:szCs w:val="28"/>
          <w:rtl/>
          <w:lang w:bidi="ar-EG"/>
        </w:rPr>
        <w:t xml:space="preserve">تُعد العوامل الاجتماعية من العوامل المؤثرة في تمكين القيادات النسائية، إذ ترتبط بمدى تقبل المجتمع والأسرة لتولي المرأة الأدوار القيادية، ومستوى الدعم الاجتماعي والأسري الذي تحصل عليه، فضلًا عن الصور النمطية المرتبطة بأدوار المرأة وشبكات العلاقات والنماذج </w:t>
      </w:r>
      <w:r w:rsidRPr="00E87103">
        <w:rPr>
          <w:rFonts w:ascii="Traditional Arabic" w:hAnsi="Traditional Arabic" w:cs="Traditional Arabic"/>
          <w:sz w:val="28"/>
          <w:szCs w:val="28"/>
          <w:rtl/>
          <w:lang w:bidi="ar-EG"/>
        </w:rPr>
        <w:lastRenderedPageBreak/>
        <w:t>النسائية القيادية. وقد أظهرت دراسات في السياق السعودي أن الدعم الأسري والاجتماعي يمثل عاملًا مهمًا في تعزيز المسار القيادي للمرأة، في حين يمكن للأنماط الاجتماعية والثقافية التقليدية والصور النمطية المرتبطة بالنوع الاجتماعي أن تحد من فرصها القيادية، كما بينت دراسات حديثة أن التغيرات الاجتماعية والثقافية التي تشهدها المملكة في إطار رؤية السعودية 2030 أسهمت في إعادة تشكيل اتجاهات المجتمع نحو قيادة المرأة وزيادة فرصها في الوصول إلى المناصب القيادية (</w:t>
      </w:r>
      <w:r w:rsidRPr="00E87103">
        <w:rPr>
          <w:rFonts w:ascii="Traditional Arabic" w:hAnsi="Traditional Arabic" w:cs="Traditional Arabic"/>
          <w:sz w:val="28"/>
          <w:szCs w:val="28"/>
          <w:lang w:bidi="ar-EG"/>
        </w:rPr>
        <w:t xml:space="preserve">Alghamdi &amp; Donne, 2026; </w:t>
      </w:r>
      <w:proofErr w:type="spellStart"/>
      <w:r w:rsidRPr="00E87103">
        <w:rPr>
          <w:rFonts w:ascii="Traditional Arabic" w:hAnsi="Traditional Arabic" w:cs="Traditional Arabic"/>
          <w:sz w:val="28"/>
          <w:szCs w:val="28"/>
          <w:lang w:bidi="ar-EG"/>
        </w:rPr>
        <w:t>Asfahani</w:t>
      </w:r>
      <w:proofErr w:type="spellEnd"/>
      <w:r w:rsidRPr="00E87103">
        <w:rPr>
          <w:rFonts w:ascii="Traditional Arabic" w:hAnsi="Traditional Arabic" w:cs="Traditional Arabic"/>
          <w:sz w:val="28"/>
          <w:szCs w:val="28"/>
          <w:lang w:bidi="ar-EG"/>
        </w:rPr>
        <w:t xml:space="preserve"> et al., 2025</w:t>
      </w:r>
      <w:r w:rsidRPr="00E87103">
        <w:rPr>
          <w:rFonts w:ascii="Traditional Arabic" w:hAnsi="Traditional Arabic" w:cs="Traditional Arabic"/>
          <w:sz w:val="28"/>
          <w:szCs w:val="28"/>
          <w:rtl/>
          <w:lang w:bidi="ar-EG"/>
        </w:rPr>
        <w:t>).</w:t>
      </w:r>
    </w:p>
    <w:p w14:paraId="74145D5F" w14:textId="77777777"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934CB1">
        <w:rPr>
          <w:rFonts w:ascii="Traditional Arabic" w:hAnsi="Traditional Arabic" w:cs="Traditional Arabic"/>
          <w:sz w:val="28"/>
          <w:szCs w:val="28"/>
          <w:rtl/>
        </w:rPr>
        <w:t>لا يضمن تحسن حضور النساء في مجالات العمل والأكاديميا والحكومة وصولهن تلقائيًا إلى المستويات العليا من القيادة، إذ يمكن للتحيز والميل إلى تكوين العلاقات داخل المجموعات المتشابهة أن يبطئا صعود المرأة عبر التسلسلات الهرمية المهنية. لذلك قد يتطلب الوصول إلى قدر أكبر من التكافؤ تدخلات مقصودة تقلل أثر هذه العوامل وتوسع فرص النساء في المستويات القيادية (Clifton، 2019</w:t>
      </w:r>
      <w:r w:rsidRPr="004F1D02">
        <w:rPr>
          <w:rFonts w:ascii="Traditional Arabic" w:hAnsi="Traditional Arabic" w:cs="Traditional Arabic"/>
          <w:sz w:val="28"/>
          <w:szCs w:val="28"/>
          <w:rtl/>
        </w:rPr>
        <w:t>).</w:t>
      </w:r>
    </w:p>
    <w:p w14:paraId="4C4EFC7F"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تتراجع فرص انتقال المرأة إلى المناصب القيادية عندما تجتمع محدودية فرص الترقي مع ضعف دعم الإدارة العليا واستمرار الصور النمطية المرتبطة بقدرتها على النجاح في القيادة. وقد ظهر تفاوت واضح بين خبرات الرجال والنساء ومناصبهم القيادية في مكاتب التعليم بمنطقة إيلو أبا بورا في إثيوبيا، الأمر الذي يبرز أهمية الإجراءات العملية الداعمة لتقدم المرأة في مستويات صنع القرار(Aga، 2017).</w:t>
      </w:r>
    </w:p>
    <w:p w14:paraId="0D397F10" w14:textId="77777777"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تتخذ التحديات التي تواجه المرأة في طريقها إلى المناصب القيادية صورًا خارجية وداخلية، من بينها التحيزات والصور النمطية الجنسانية التي قد تظهر داخل بيئة العمل بصورة واعية أو غير واعية. ويتطلب توسيع حضور القيادات النسائية ممارسات تنظيمية واجتماعية تقلل هذه التحيزات وتوفر للمرأة بيئة أكثر عدالة ودعمًا في مسارها المهني، وفقًا لـ (Galsanjigmed، 2023).</w:t>
      </w:r>
    </w:p>
    <w:p w14:paraId="71CC4401"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تتأثر فرص النساء في الوصول إلى المناصب الإدارية بعوامل متعددة تشمل التوازن بين العمل والحياة، وممارسات الموارد البشرية المتحيزة، وصعوبة الوصول إلى شبكات التأثير، والتدقيق المفرط في الأداء. وبينت بيانات (579) امرأة من ثلاث مؤسسات مالية إسبانية أن القيادة التحويلية وبعض صور الدعم الإشرافي يمكن أن تخفف من إدراك هذه العوائق، بما يبرز أهمية البيئة الاجتماعية والمهنية المحيطة في دعم تقدم المرأة(Latorre، 2025).</w:t>
      </w:r>
    </w:p>
    <w:p w14:paraId="4459C73C"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 xml:space="preserve">يمثل التمكين الاجتماعي أحد الجوانب التي تعكس مدى قدرة المرأة على المشاركة في العلاقات والقرارات التي تؤثر في حياتها، وعلى بناء مكانة اجتماعية تسمح لها بالتعبير والتأثير. ويتداخل هذا البعد مع الحياة الأسرية بصورة مباشرة؛ إذ ارتبط ارتفاع التمكين </w:t>
      </w:r>
      <w:r w:rsidRPr="004F1D02">
        <w:rPr>
          <w:rFonts w:ascii="Traditional Arabic" w:hAnsi="Traditional Arabic" w:cs="Traditional Arabic"/>
          <w:sz w:val="28"/>
          <w:szCs w:val="28"/>
          <w:rtl/>
        </w:rPr>
        <w:lastRenderedPageBreak/>
        <w:t>الاجتماعي والاقتصادي والسياسي بارتفاع الرضا عن الحياة الأسرية، كما ظهر أن التمكين الاجتماعي كان من أكثر الأبعاد إسهامًا في تفسير الاختلاف في مستوى الرضا لدى ربات الأسر. ويشير ذلك إلى أن الدعم الاجتماعي والمشاركة والثقة في اتخاذ القرار لا تمثل نتائج جانبية للتمكين، وإنما تشكل جزءًا من بنائه واستمراره (الحيطاوي وآخرون، 2021).</w:t>
      </w:r>
    </w:p>
    <w:p w14:paraId="433D1FCA"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ويؤثر توزيع المسؤوليات الأسرية في قدرة المرأة على الاستمرار في العمل والتقدم إلى مواقع القيادة؛ فالجمع بين العمل المهني ومسؤوليات الرعاية والمنزل قد يؤدي إلى ضغط أو صراع بين الأدوار عندما لا يقابله دعم أسري أو ترتيبات مرنة في العمل. وتزداد أهمية هذا الجانب في المناصب القيادية التي تتطلب وقتًا وجهدًا ومسؤولية أكبر، ولذلك فإن مشاركة الأسرة في تحمل المسؤوليات وتقبلها لطموح المرأة المهني يمنحانها مساحة أكبر للاستمرار والتطوير. ومن هذا المنطلق لا يمكن فصل التمكين القيادي عن طبيعة العلاقات الاجتماعية المحيطة بالمرأة وعن درجة التوازن بين الحقوق والواجبات داخل الأسرة والمجتمع (الزهراني، 2017).</w:t>
      </w:r>
    </w:p>
    <w:p w14:paraId="1AF95DCE"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كما يرتبط مستوى التمكين بوجود شبكات دعم اجتماعية ومهنية تساعد المرأة على الوصول إلى المعرفة والخبرة والفرص، في مقابل تأثير سلبي لضعف التقدير المجتمعي أو التمييز أو غياب الدعم تجاه توليها المناصب القيادية. وقد تمتد هذه المعوقات إلى ضعف الوعي بأهمية مشاركة المرأة أو محدودية البرامج التي تعمل على بناء القدرات والتواصل، وهو ما يجعل التدريب والتوعية وتوسيع دوائر المساندة من العناصر التي يمكن أن تخفف أثر العزلة وتزيد من فرص المشاركة في الأنشطة المهنية والقيادية (أبو كليلة، 2017).</w:t>
      </w:r>
    </w:p>
    <w:p w14:paraId="6B905E02"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ويتطلب التمكين الاجتماعي للمرأة القيادية أن يتغير التفاعل بين قدراتها الذاتية ونظرة الآخرين إليها؛ فتعزيز الثقة بالنفس والوعي بالحقوق يساعد المرأة على المبادرة والمطالبة بالفرص، بينما يسهم تحسين نظرة المجتمع إلى الكفاءة النسائية في تقليل المقاومة الخارجية أمام وصولها إلى مواقع المسؤولية. ولا يكفي أي من المسارين منفردًا، لأن ارتفاع الثقة الذاتية في بيئة ترفض مشاركة المرأة قد يظل محدود الأثر، كما أن تغير النظرة المجتمعية دون إعداد المرأة وتطوير قدراتها لا يضمن ممارسة قيادية فعالة. ومن ثم يقوم التمكين المستدام على تفاعل الدعم النفسي والاجتماعي مع فرص المشاركة الواقعية (الحسني وجابر، 2017).</w:t>
      </w:r>
    </w:p>
    <w:p w14:paraId="1C735915"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العلاقة بين العوامل الثقافية والتنظيمية والا</w:t>
      </w:r>
      <w:r w:rsidR="00E87103">
        <w:rPr>
          <w:rFonts w:ascii="Traditional Arabic" w:hAnsi="Traditional Arabic" w:cs="Traditional Arabic" w:hint="cs"/>
          <w:b/>
          <w:bCs/>
          <w:sz w:val="28"/>
          <w:szCs w:val="28"/>
          <w:rtl/>
        </w:rPr>
        <w:t>جتماعية</w:t>
      </w:r>
      <w:r w:rsidRPr="002B71ED">
        <w:rPr>
          <w:rFonts w:ascii="Traditional Arabic" w:hAnsi="Traditional Arabic" w:cs="Traditional Arabic"/>
          <w:b/>
          <w:bCs/>
          <w:sz w:val="28"/>
          <w:szCs w:val="28"/>
          <w:rtl/>
        </w:rPr>
        <w:t xml:space="preserve"> وتمكين القيادات النسائية</w:t>
      </w:r>
    </w:p>
    <w:p w14:paraId="102D32E7"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تتداخل العوامل الثقافية والتنظيمية والا</w:t>
      </w:r>
      <w:r w:rsidR="00E87103">
        <w:rPr>
          <w:rFonts w:ascii="Traditional Arabic" w:hAnsi="Traditional Arabic" w:cs="Traditional Arabic" w:hint="cs"/>
          <w:sz w:val="28"/>
          <w:szCs w:val="28"/>
          <w:rtl/>
        </w:rPr>
        <w:t>جتماعية</w:t>
      </w:r>
      <w:r w:rsidRPr="002B71ED">
        <w:rPr>
          <w:rFonts w:ascii="Traditional Arabic" w:hAnsi="Traditional Arabic" w:cs="Traditional Arabic"/>
          <w:sz w:val="28"/>
          <w:szCs w:val="28"/>
          <w:rtl/>
        </w:rPr>
        <w:t xml:space="preserve"> بعلاقات معقدة تشكل مجتمعة الإطار الشامل لعملية تمكين القيادات النسائية. فالعوامل الثقافية تحدد مدى تقبل المجتمع والمؤسسة لفكرة القيادة النسائية، بينما تحدد العوامل التنظيمية الكيفية التي يمكن للمؤسسة من خلالها تحويل هذا القبول إلى ممارسات فعلية تعزز من وجود المرأة في مواقع القيادة</w:t>
      </w:r>
      <w:r w:rsidR="00E87103" w:rsidRPr="00E87103">
        <w:rPr>
          <w:rtl/>
        </w:rPr>
        <w:t xml:space="preserve"> </w:t>
      </w:r>
      <w:r w:rsidR="00E87103" w:rsidRPr="00E87103">
        <w:rPr>
          <w:rFonts w:ascii="Traditional Arabic" w:hAnsi="Traditional Arabic" w:cs="Traditional Arabic"/>
          <w:sz w:val="28"/>
          <w:szCs w:val="28"/>
          <w:rtl/>
        </w:rPr>
        <w:t xml:space="preserve">أما العوامل الاجتماعية في اتجاهات المجتمع والأسرة نحو قيادة المرأة، ومستوى الدعم الاجتماعي والأسري، والصور النمطية المرتبطة بأدوار المرأة، وشبكات العلاقات والنماذج </w:t>
      </w:r>
      <w:r w:rsidR="00E87103" w:rsidRPr="00E87103">
        <w:rPr>
          <w:rFonts w:ascii="Traditional Arabic" w:hAnsi="Traditional Arabic" w:cs="Traditional Arabic"/>
          <w:sz w:val="28"/>
          <w:szCs w:val="28"/>
          <w:rtl/>
        </w:rPr>
        <w:lastRenderedPageBreak/>
        <w:t>النسائية القيادية الداعمة لتمكينها</w:t>
      </w:r>
      <w:r w:rsidR="00E87103">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2025</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Sahni</w:t>
      </w:r>
      <w:r w:rsidR="003A4FE4" w:rsidRPr="00E968AC">
        <w:rPr>
          <w:rFonts w:ascii="Traditional Arabic" w:hAnsi="Traditional Arabic" w:cs="Traditional Arabic" w:hint="cs"/>
          <w:noProof/>
          <w:sz w:val="28"/>
          <w:szCs w:val="28"/>
          <w:rtl/>
          <w:lang w:bidi="ar-EG"/>
        </w:rPr>
        <w:t>)</w:t>
      </w:r>
      <w:r w:rsidRPr="002B71ED">
        <w:rPr>
          <w:rFonts w:ascii="Traditional Arabic" w:hAnsi="Traditional Arabic" w:cs="Traditional Arabic"/>
          <w:sz w:val="28"/>
          <w:szCs w:val="28"/>
          <w:lang w:bidi="ar-EG"/>
        </w:rPr>
        <w:t>.</w:t>
      </w:r>
    </w:p>
    <w:p w14:paraId="31068B34"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63172813"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وتوضح الأدبيات أن العوامل الثقافية والاجتماعية والتنظيمية لا تعمل في مسارات منفصلة، بل ينتقل أثرها من مستوى إلى آخر؛ فالقيم والتصورات الثقافية تحدد جانبًا من توقعات الأسرة والمجتمع تجاه المرأة، وهذه التوقعات قد تنعكس بدورها على اختياراتها المهنية وعلى مستوى الدعم الذي تحصل عليه، كما يمكن أن تتسرب إلى المؤسسة في صورة ممارسات أو قواعد غير رسمية تؤثر في التوظيف والتدريب والترقية وتوزيع الصلاحيات</w:t>
      </w:r>
      <w:r w:rsidR="004F1D02">
        <w:rPr>
          <w:rFonts w:ascii="Traditional Arabic" w:hAnsi="Traditional Arabic" w:cs="Traditional Arabic" w:hint="cs"/>
          <w:sz w:val="28"/>
          <w:szCs w:val="28"/>
          <w:rtl/>
        </w:rPr>
        <w:t xml:space="preserve"> </w:t>
      </w:r>
      <w:r w:rsidRPr="004F1D02">
        <w:rPr>
          <w:rFonts w:ascii="Traditional Arabic" w:hAnsi="Traditional Arabic" w:cs="Traditional Arabic"/>
          <w:sz w:val="28"/>
          <w:szCs w:val="28"/>
          <w:rtl/>
        </w:rPr>
        <w:t>وفي المقابل تستطيع السياسات المؤسسية العادلة والنجاحات المهنية المتراكمة أن تسهم في تعديل التصورات الاجتماعية والثقافية، وهو ما يبين أن التمكين عملية ديناميكية تتأثر بالتفاعل المتبادل بين المرأة وبيئتها (كشرود ومرزوقي، 2019؛ الزهراني، 2017).</w:t>
      </w:r>
    </w:p>
    <w:p w14:paraId="0A69471C"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وبناء على ذلك، يمكن النظر إلى تمكين القيادات النسائية في المؤسسات السعودية بوصفه بناء متعدد المستويات يبدأ من القدرة الذاتية والثقة والمهارات، ويمر بالدعم الأسري والاجتماعي وقبول المجتمع، ويتطلب في الوقت نفسه ثقافة تنظيمية وسياسات ولوائح توفر فرصًا عادلة للتطوير والمشاركة والتقدم. ويكتمل هذا البناء بوعي المرأة بحقوقها ووجود إطار قانوني ومؤسسي يسمح بتحويل الكفاءة إلى سلطة ومسؤولية وتأثير فعلي. ولذلك فإن معالجة عامل واحد بصورة منفردة قد تحقق أثرًا محدودًا، بينما يزداد احتمال التمكين المستدام عندما تتسق القدرات الفردية مع الدعم الاجتماعي والتحول الثقافي والممارسات التنظيمية المساندة (النقيب، 2021؛ الرشيدي، 2016؛ العاجيب وجواد، 2020).</w:t>
      </w:r>
    </w:p>
    <w:p w14:paraId="03D9A75C"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t>التعليم والتدريب وبناء القدرات القيادية</w:t>
      </w:r>
    </w:p>
    <w:p w14:paraId="4FF63203"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يمثل التعليم أحد المرتكزات الأساسية في بناء قدرة المرأة على المشاركة والاختيار؛ فكلما اتسعت فرص التعلم اكتسبت المرأة معرفة أكبر بحقوقها وإمكاناتها، وأصبحت أكثر قدرة على تجاوز العزلة والاستبعاد والدخول إلى مجالات العمل والإنتاج والمشاركة الاجتماعية. ولا يقتصر أثر التعليم على الحصول على المؤهل، بل يمتد إلى تنمية مهارات الاتصال والوصول إلى المعرفة والتكنولوجيا واكتساب الخبرات التي تعزز الاستقلال والثقة بالقدرة على اتخاذ القرار. وتزداد أهمية هذا الجانب بالنسبة للقيادات النسائية؛ لأن الوصول إلى موقع قيادي يحتاج إلى تراكم معرفي ومهاري يسمح بفهم البيئة التنظيمية والتعامل مع المعلومات وحل المشكلات وتوجيه الآخرين. ومن ثم فإن الاستثمار في تعليم المرأة وتدريبها يمثل مسارًا مباشرًا لزيادة جاهزيتها للمشاركة في مواقع المسؤولية (أبو كليلة، 2017).</w:t>
      </w:r>
    </w:p>
    <w:p w14:paraId="32E982C5"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lastRenderedPageBreak/>
        <w:t>ولا يتحقق بناء القدرات القيادية بصورة كاملة من خلال التعليم العام وحده، بل يحتاج إلى برامج تدريبية ومهنية مرتبطة بمتطلبات الوظيفة القيادية نفسها. وتشمل هذه المتطلبات المهارات الشخصية والإدارية والتنظيمية والتنموية، إلى جانب القدرة على التخطيط والتواصل وإدارة الوقت والعمل الجماعي واتخاذ القرار. وفي البيئة الجامعية تظهر الحاجة إلى تطوير اللوائح والبرامج التي تتيح للمرأة ممارسة هذه المهارات عمليًا، بحيث ينتقل التدريب من مجرد نشاط منفصل إلى مسار مستمر للإعداد للقيادة. كما أن إتاحة فرص التوجيه المهني والتعلم من القيادات الأكثر خبرة وتبادل التجارب بين القيادات النسائية يساعد على تكوين رصيد من الخبرات يمكن الاعتماد عليه عند الانتقال إلى مستويات أعلى من المسؤولية. ويعكس ذلك أن التمكين القيادي يرتبط ببناء القدرة بقدر ارتباطه بإتاحة المنصب (الرشيدي، 2016).</w:t>
      </w:r>
    </w:p>
    <w:p w14:paraId="434A85B3"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t>التمكين القانوني والمؤسسي</w:t>
      </w:r>
    </w:p>
    <w:p w14:paraId="1CF7FE78" w14:textId="77777777"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يعد الوعي القانوني أحد المكونات المهمة في تمكين المرأة، لأنه يحدد مدى معرفتها بالحقوق والواجبات والضمانات التي تكفلها الأنظمة والتشريعات، ومدى قدرتها على الاستفادة من هذه الحقوق في الواقع العملي. فوجود النصوص القانونية وحده لا يضمن التمكين إذا لم تكن المرأة قادرة على فهمها أو المطالبة بها أو إذا لم تتوافر آليات مؤسسية واضحة لتطبيقها. ومن هذا المنطلق يرتبط التمكين القانوني بزيادة الوعي بحقوق العمل والمشاركة والملكية والعدالة في الفرص، وبوجود إجراءات تحمي المرأة من التمييز وتدعم وصولها إلى مسارات التظلم والإنصاف. وعندما يتكامل الوعي القانوني مع التطبيق المؤسسي يصبح القانون عنصرًا فعليًا في توسيع مساحة الاختيار والمشاركة، بدل أن يظل إطارًا شكليًا لا ينعكس على الممارسة اليومية (النقيب، 2021).</w:t>
      </w:r>
    </w:p>
    <w:p w14:paraId="70E9FE48" w14:textId="77777777" w:rsidR="00F66693" w:rsidRDefault="00777236">
      <w:pPr>
        <w:tabs>
          <w:tab w:val="left" w:pos="5505"/>
        </w:tabs>
        <w:bidi/>
        <w:spacing w:line="360" w:lineRule="auto"/>
        <w:jc w:val="both"/>
        <w:rPr>
          <w:rFonts w:ascii="Traditional Arabic" w:hAnsi="Traditional Arabic" w:cs="Traditional Arabic"/>
          <w:sz w:val="28"/>
          <w:szCs w:val="28"/>
          <w:rtl/>
        </w:rPr>
      </w:pPr>
      <w:r w:rsidRPr="004F1D02">
        <w:rPr>
          <w:rFonts w:ascii="Traditional Arabic" w:hAnsi="Traditional Arabic" w:cs="Traditional Arabic"/>
          <w:sz w:val="28"/>
          <w:szCs w:val="28"/>
          <w:rtl/>
        </w:rPr>
        <w:t>أما التمكين المؤسسي فيرتبط بقدرة المؤسسة على بناء بيئة تسمح للمرأة بالوصول إلى المعلومات والموارد وشبكات التواصل وصانعي القرار، وتوفر لها فرصًا عادلة للمشاركة في اللجان والمشروعات والتخطيط والترقية. ويعني ذلك أن المؤسسة لا تكتفي بتعيين المرأة في موقع إداري، بل تعمل على تقوية البنية التي تساعدها على ممارسة الدور بما يتضمن وضوح الصلاحيات، وتحديد المسؤوليات، ودعم الاتصال الأفقي والرأسي، وتوفير الموارد اللازمة لإنجاز المهام. وتكتسب شبكات العلاقات المهنية أهمية خاصة لأنها تقلل العزلة التنظيمية وتزيد الوصول إلى الخبرة والمعلومات والفرص غير الرسمية التي تؤثر في المسار الوظيفي. وبذلك يصبح التمكين المؤسسي حلقة وصل بين الكفاءة الفردية والقدرة الفعلية على التأثير في القرار(النقيب، 2021).</w:t>
      </w:r>
    </w:p>
    <w:p w14:paraId="5BCD154D" w14:textId="77777777" w:rsidR="0027583A" w:rsidRPr="00F91271" w:rsidRDefault="0027583A" w:rsidP="0027583A">
      <w:pPr>
        <w:tabs>
          <w:tab w:val="left" w:pos="5505"/>
        </w:tabs>
        <w:bidi/>
        <w:spacing w:line="360" w:lineRule="auto"/>
        <w:jc w:val="both"/>
        <w:rPr>
          <w:rFonts w:ascii="Traditional Arabic" w:hAnsi="Traditional Arabic" w:cs="Traditional Arabic"/>
          <w:sz w:val="28"/>
          <w:szCs w:val="28"/>
          <w:lang w:bidi="ar-EG"/>
        </w:rPr>
      </w:pPr>
    </w:p>
    <w:p w14:paraId="65B722A2"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lastRenderedPageBreak/>
        <w:t>التمكين الاقتصادي والاستقلال في اتخاذ القرار</w:t>
      </w:r>
    </w:p>
    <w:p w14:paraId="3DB87DC3"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يرتبط التمكين الاقتصادي بقدرة المرأة على المشاركة في النشاط الاقتصادي والاستفادة من عوائده بصورة تعزز استقلالها وقدرتها على الاختيار. ويمكن النظر إليه من خلال مؤشرات مثل المشاركة في سوق العمل، والاعتماد على الذات، والقدرة على التملك، والوصول إلى التمويل والتسهيلات الائتمانية، والمشاركة في المشروعات والأعمال الريادية. وتنعكس هذه الجوانب على موقع المرأة داخل الأسرة والمؤسسة؛ لأن امتلاك الموارد والخبرة الاقتصادية يزيد قدرتها على المشاركة في القرارات المتعلقة بالعمل والحياة الأسرية ويعزز قدرتها على التخطيط للمستقبل. كما أن الاستقلال الاقتصادي لا يعني الانفصال عن المحيط الاجتماعي، بل يعني امتلاك مساحة أوسع للمبادرة والتفاوض واتخاذ القرار، وهو ما يرفع من قابلية المرأة لتولي مسؤوليات قيادية وإدارية أكثر تعقيدًا (العاجيب وجواد، 2020).</w:t>
      </w:r>
    </w:p>
    <w:p w14:paraId="69BD84AB"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ويمتد أثر التمكين الاقتصادي إلى التنمية الشاملة عندما تتحول المرأة من متلقية للفرص إلى منتجة ومشاركة في توجيه الموارد والقرارات. غير أن هذا التحول يتأثر بالسياق الاجتماعي والثقافي والتنظيمي الذي تعمل فيه؛ فتوفر فرص العمل أو التمويل قد لا يكون كافيًا إذا استمرت القيود الاجتماعية أو ضعف الاعتراف بالمشاركة النسائية أو محدودية المسارات المؤسسية التي تسمح بالتقدم. ولذلك فإن زيادة المشاركة الاقتصادية ينبغي أن تقترن بسياسات تدعم التدريب، وتزيل العوائق أمام الوصول إلى الموارد، وتوسع الاعتراف بالأدوار الإنتاجية للمرأة، وتربط بين تمكينها الاقتصادي وقدرتها على المشاركة في صنع القرار داخل المؤسسة والمجتمع. ويؤكد ذلك أن التنمية والتمكين يرتبطان بعلاقة متبادلة يتعزز فيها كل منهما بالآخر (كشرود ومرزوقي، 2019).</w:t>
      </w:r>
    </w:p>
    <w:p w14:paraId="2697845E"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t>التوازن بين الأدوار الأسرية والمهنية</w:t>
      </w:r>
    </w:p>
    <w:p w14:paraId="1DBDC15F" w14:textId="77777777"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تؤدي المرأة في كثير من الأحيان أدوارًا متزامنة داخل الأسرة والعمل والمجتمع، وهو ما يجعل التوازن بين هذه الأدوار عاملًا مؤثرًا في استمراريتها المهنية وقدرتها على التقدم نحو المناصب القيادية. فزيادة متطلبات الوظيفة القيادية من حيث الوقت والمسؤولية واتخاذ القرار قد تتقاطع مع مسؤوليات الرعاية والأسرة، خاصة عندما تظل الأدوار المنزلية موزعة بصورة غير متوازنة. وفي هذه الحالة قد يظهر صراع الدور نتيجة تعارض توقعات الأسرة مع متطلبات العمل أو نتيجة محدودية المرونة التنظيمية. ومن ثم فإن الدعم الأسري، وتوزيع المسؤوليات، والمرونة في بيئة العمل، وإتاحة ترتيبات تساعد على التوفيق بين الالتزامات تمثل عناصر تساعد المرأة على الاستمرار في المسار القيادي دون أن تتحول المسؤوليات المتعددة إلى عائق أمام التطور المهني (الزهراني، 2017).</w:t>
      </w:r>
    </w:p>
    <w:p w14:paraId="13B02E55"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lastRenderedPageBreak/>
        <w:t>كما توضح العلاقة بين التمكين والحياة الأسرية أن مشاركة المرأة في القرار واكتسابها للخبرة الاقتصادية والاجتماعية يمكن أن تنعكس إيجابًا على إدارتها لشؤون الأسرة وعلى مستوى الرضا عن الحياة الأسرية. وقد ظهر أن التمكين الاجتماعي والاقتصادي والسياسي يرتبط بدرجات مختلفة بجوانب الرضا الأسري، كما أن النساء العاملات قد يتمتعن بمستوى أعلى من التمكين نتيجة الخبرة والمشاركة وتحمل المسؤولية. ولا يعني ذلك أن العمل وحده يضمن التمكين، لكنه يوضح أهمية وجود فرص حقيقية للمشاركة والتعلم واتخاذ القرار. وفي سياق القيادة تصبح الأسرة مصدرًا محتملًا للدعم عندما تتقبل الطموح المهني للمرأة وتشارك في تهيئة الظروف التي تساعدها على الاستمرار والتقدم(الحيطاوي وآخرون، 2021).</w:t>
      </w:r>
    </w:p>
    <w:p w14:paraId="68EE3E08"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t>الثقة بالذات والوعي المجتمعي</w:t>
      </w:r>
    </w:p>
    <w:p w14:paraId="16CE99DE"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لا يقتصر التمكين على التغيرات الخارجية في الأنظمة والمؤسسات، بل يتضمن بعدًا داخليًا يرتبط بإدراك المرأة لقدراتها وثقتها في إمكانية التأثير والاختيار. فالمرأة التي تدرك حقوقها وتمتلك ثقة أكبر بقدرتها على الإنجاز تكون أكثر استعدادًا للمبادرة والمشاركة وتحمل المسؤولية ومواجهة المواقف التي تتطلب اتخاذ قرار. وفي المقابل، يمكن للصور النمطية المتكررة أو التقليل المستمر من الكفاءة أن ينعكسا على مستوى الثقة ويقللا من الإقدام على المنافسة أو المطالبة بالفرص. ولهذا فإن بناء الثقة لا يتم بمعزل عن البيئة، بل يحتاج إلى خبرات نجاح فعلية، وتقدير مهني، وفرص للتجربة، ونماذج نسائية ناجحة تظهر إمكانية الوصول إلى مواقع المسؤولية. ويشكل هذا البعد النفسي قاعدة مهمة لاستدامة التمكين (الحسني وجابر، 2017).</w:t>
      </w:r>
    </w:p>
    <w:p w14:paraId="0EF18EC7" w14:textId="77777777" w:rsidR="00F66693" w:rsidRDefault="00777236">
      <w:pPr>
        <w:tabs>
          <w:tab w:val="left" w:pos="5505"/>
        </w:tabs>
        <w:bidi/>
        <w:spacing w:line="360" w:lineRule="auto"/>
        <w:jc w:val="both"/>
        <w:rPr>
          <w:rFonts w:ascii="Traditional Arabic" w:hAnsi="Traditional Arabic" w:cs="Traditional Arabic"/>
          <w:sz w:val="28"/>
          <w:szCs w:val="28"/>
          <w:rtl/>
        </w:rPr>
      </w:pPr>
      <w:r w:rsidRPr="004F1D02">
        <w:rPr>
          <w:rFonts w:ascii="Traditional Arabic" w:hAnsi="Traditional Arabic" w:cs="Traditional Arabic"/>
          <w:sz w:val="28"/>
          <w:szCs w:val="28"/>
          <w:rtl/>
        </w:rPr>
        <w:t>ويقابل التمكين الداخلي مسار خارجي يتعلق بوعي المجتمع بقيمة مشاركة المرأة وبقدرته على تجاوز التصورات التي تحصر أدوارها في نطاقات محددة وتساعد برامج التوعية والتعليم وإبراز الإنجازات المهنية على تغيير الصور النمطية تدريجيًا، كما يساهم الحضور الفعلي للمرأة في مجالات العمل والقيادة في إعادة تشكيل التوقعات الاجتماعية حول كفاءتها. ويتطلب هذا التحول مشاركة الأسرة والمؤسسات التعليمية والإعلام والمؤسسات المهنية في تقديم خطاب يدعم الكفاءة وتكافؤ الفرص ويبتعد عن الحكم المسبق المرتبط بالنوع. وكلما اتسعت دائرة القبول الاجتماعي أصبح وصول المرأة إلى مواقع القيادة أكثر ارتباطًا بالقدرة والخبرة وأقل تأثرًا بالتصورات المسبقة (أبو كليلة، 2017؛ الحسني وجابر، 2017).</w:t>
      </w:r>
    </w:p>
    <w:p w14:paraId="63FF1373" w14:textId="77777777" w:rsidR="0027583A" w:rsidRDefault="0027583A" w:rsidP="0027583A">
      <w:pPr>
        <w:tabs>
          <w:tab w:val="left" w:pos="5505"/>
        </w:tabs>
        <w:bidi/>
        <w:spacing w:line="360" w:lineRule="auto"/>
        <w:jc w:val="both"/>
        <w:rPr>
          <w:rFonts w:ascii="Traditional Arabic" w:hAnsi="Traditional Arabic" w:cs="Traditional Arabic"/>
          <w:sz w:val="28"/>
          <w:szCs w:val="28"/>
          <w:rtl/>
        </w:rPr>
      </w:pPr>
    </w:p>
    <w:p w14:paraId="4B9A1498" w14:textId="77777777" w:rsidR="0027583A" w:rsidRPr="00F91271" w:rsidRDefault="0027583A" w:rsidP="0027583A">
      <w:pPr>
        <w:tabs>
          <w:tab w:val="left" w:pos="5505"/>
        </w:tabs>
        <w:bidi/>
        <w:spacing w:line="360" w:lineRule="auto"/>
        <w:jc w:val="both"/>
        <w:rPr>
          <w:rFonts w:ascii="Traditional Arabic" w:hAnsi="Traditional Arabic" w:cs="Traditional Arabic"/>
          <w:sz w:val="28"/>
          <w:szCs w:val="28"/>
          <w:lang w:bidi="ar-EG"/>
        </w:rPr>
      </w:pPr>
    </w:p>
    <w:p w14:paraId="7114E1AF" w14:textId="77777777" w:rsidR="00F66693" w:rsidRPr="004F1D02" w:rsidRDefault="00777236">
      <w:pPr>
        <w:pStyle w:val="ListParagraph"/>
        <w:widowControl/>
        <w:numPr>
          <w:ilvl w:val="0"/>
          <w:numId w:val="6"/>
        </w:numPr>
        <w:tabs>
          <w:tab w:val="left" w:pos="5505"/>
        </w:tabs>
        <w:autoSpaceDE/>
        <w:autoSpaceDN/>
        <w:bidi/>
        <w:adjustRightInd/>
        <w:spacing w:before="120" w:after="80" w:line="360" w:lineRule="auto"/>
        <w:jc w:val="both"/>
        <w:rPr>
          <w:rFonts w:ascii="Traditional Arabic" w:hAnsi="Traditional Arabic" w:cs="Traditional Arabic"/>
          <w:b/>
          <w:bCs/>
          <w:sz w:val="28"/>
          <w:szCs w:val="28"/>
          <w:lang w:bidi="ar-EG"/>
        </w:rPr>
      </w:pPr>
      <w:r w:rsidRPr="004F1D02">
        <w:rPr>
          <w:rFonts w:ascii="Traditional Arabic" w:hAnsi="Traditional Arabic" w:cs="Traditional Arabic"/>
          <w:b/>
          <w:bCs/>
          <w:sz w:val="28"/>
          <w:szCs w:val="28"/>
          <w:rtl/>
        </w:rPr>
        <w:lastRenderedPageBreak/>
        <w:t>التكامل بين مستويات التمكين</w:t>
      </w:r>
    </w:p>
    <w:p w14:paraId="4922E7F1" w14:textId="77777777" w:rsidR="00F66693" w:rsidRPr="00F91271"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يتضح من العرض السابق أن تمكين القيادات النسائية عملية متعددة المستويات؛ تبدأ من المستوى الفردي بما يشمله من معرفة وثقة ومهارات، ثم تمتد إلى المستوى الأسري والاجتماعي بما يوفره من قبول ودعم وشبكات علاقات، وتصل إلى المستوى التنظيمي والقانوني والاقتصادي الذي يحدد حجم الموارد والصلاحيات والفرص المتاحة. ولا يعمل أي مستوى بصورة مستقلة، لأن ضعف أحدها قد يقلل من أثر المستويات الأخرى؛ فالمهارات المرتفعة لا تتحول إلى قيادة مؤثرة إذا غابت الصلاحيات، كما أن السياسات الداعمة قد لا تحقق أثرها الكامل إذا استمرت الصور النمطية أو لم تتوافر للمرأة الثقة والخبرة اللازمة للاستفادة منها. ولذلك فإن التمكين المستدام يتطلب تزامن بناء القدرات مع إصلاح البيئة المحيطة (النقيب، 2021؛ الزهراني، 2017).</w:t>
      </w:r>
    </w:p>
    <w:p w14:paraId="5B28DBA5" w14:textId="77777777" w:rsidR="00F66693" w:rsidRPr="004F1D02" w:rsidRDefault="00777236">
      <w:pPr>
        <w:tabs>
          <w:tab w:val="left" w:pos="5505"/>
        </w:tabs>
        <w:bidi/>
        <w:spacing w:line="360" w:lineRule="auto"/>
        <w:jc w:val="both"/>
        <w:rPr>
          <w:rFonts w:ascii="Traditional Arabic" w:hAnsi="Traditional Arabic" w:cs="Traditional Arabic"/>
          <w:sz w:val="28"/>
          <w:szCs w:val="28"/>
          <w:lang w:bidi="ar-EG"/>
        </w:rPr>
      </w:pPr>
      <w:r w:rsidRPr="004F1D02">
        <w:rPr>
          <w:rFonts w:ascii="Traditional Arabic" w:hAnsi="Traditional Arabic" w:cs="Traditional Arabic"/>
          <w:sz w:val="28"/>
          <w:szCs w:val="28"/>
          <w:rtl/>
        </w:rPr>
        <w:t>وفي ضوء ذلك يمكن صياغة الإطار النظري للدراسة على أساس أن تمكين القيادات النسائية في المؤسسات السعودية يمثل نتيجة لتفاعل ثلاثة مجالات رئيسية هي العوامل الثقافية والاجتماعية والتنظيمية، مع وجود عناصر مساندة مثل التعليم والتدريب والوعي القانوني والاستقلال الاقتصادي والثقة بالذات. فالعوامل الثقافية تحدد درجة القبول والتصورات العامة، والعوامل الاجتماعية تحدد نوع الدعم والعلاقات والتوازن بين الأدوار، بينما تحدد العوامل التنظيمية مقدار الصلاحيات والموارد والفرص التي تحول القدرة إلى ممارسة قيادية. ويتيح هذا التصور تفسير التمكين باعتباره عملية متكاملة لا تختزل في التعيين أو الترقية، بل تقاس بمدى قدرة المرأة على المشاركة والتأثير والاستمرار والتقدم في مواقع صنع القرار (كشرود ومرزوقي، 2019؛ الرشيدي، 2016؛ العاجيب وجواد، 2020).</w:t>
      </w:r>
    </w:p>
    <w:p w14:paraId="497F33A4" w14:textId="77777777" w:rsidR="00560D63" w:rsidRPr="00BE62D5" w:rsidRDefault="00560D63" w:rsidP="00560D63">
      <w:pPr>
        <w:pStyle w:val="Heading2"/>
        <w:bidi/>
        <w:spacing w:line="360" w:lineRule="auto"/>
        <w:rPr>
          <w:rFonts w:ascii="Traditional Arabic" w:hAnsi="Traditional Arabic" w:cs="Traditional Arabic"/>
          <w:b w:val="0"/>
          <w:bCs w:val="0"/>
          <w:i w:val="0"/>
          <w:iCs w:val="0"/>
          <w:color w:val="auto"/>
          <w:sz w:val="32"/>
          <w:szCs w:val="32"/>
          <w:rtl/>
          <w:lang w:bidi="ar-EG"/>
        </w:rPr>
      </w:pPr>
      <w:bookmarkStart w:id="17" w:name="_Toc215318385"/>
      <w:r w:rsidRPr="00BE62D5">
        <w:rPr>
          <w:rFonts w:ascii="Traditional Arabic" w:hAnsi="Traditional Arabic" w:cs="Traditional Arabic"/>
          <w:i w:val="0"/>
          <w:iCs w:val="0"/>
          <w:color w:val="auto"/>
          <w:sz w:val="32"/>
          <w:szCs w:val="32"/>
          <w:rtl/>
          <w:lang w:bidi="ar-EG"/>
        </w:rPr>
        <w:t>الدراسات السابقة:</w:t>
      </w:r>
      <w:bookmarkEnd w:id="17"/>
    </w:p>
    <w:p w14:paraId="2FECE73B" w14:textId="77777777" w:rsidR="00560D63" w:rsidRPr="00BC61E5" w:rsidRDefault="00560D63" w:rsidP="00560D63">
      <w:pPr>
        <w:bidi/>
        <w:spacing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Pr="00BC61E5">
        <w:rPr>
          <w:rFonts w:ascii="Traditional Arabic" w:hAnsi="Traditional Arabic" w:cs="Traditional Arabic" w:hint="cs"/>
          <w:b/>
          <w:bCs/>
          <w:sz w:val="28"/>
          <w:szCs w:val="28"/>
          <w:u w:val="single"/>
          <w:rtl/>
        </w:rPr>
        <w:t>تمكين</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القيادات</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النسائية)</w:t>
      </w:r>
      <w:r w:rsidRPr="00BC61E5">
        <w:rPr>
          <w:rFonts w:ascii="Traditional Arabic" w:hAnsi="Traditional Arabic" w:cs="Traditional Arabic"/>
          <w:b/>
          <w:bCs/>
          <w:sz w:val="28"/>
          <w:szCs w:val="28"/>
          <w:u w:val="single"/>
          <w:rtl/>
        </w:rPr>
        <w:t xml:space="preserve"> </w:t>
      </w:r>
    </w:p>
    <w:p w14:paraId="2E6F954E"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82007541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رفا24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(رفاعي،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الكشف عن آليات تمكين القيادات النسائية في مراكز صنع القرار، وتحديات تمكينها. ولتحقيق هذه الهدف اعتمد البحث على المنهج الوصفي، وتم استخدام أداة المقابلة المتعمقة كأداة أساسية لجمع البيانات، من خلال دليل طُبق على عينة عمدية قوامها (25) مفردة من القيادات النسائية بعدد من الوزارات بمحافظة الدقهلية والمشاركات ببرنامج المرأة تقود بالمحافظات. وتوصل البحث إلى عدة نتائج من أهمها: جاءت الكفاءة الوظيفية في مقدمة طرق اختيار القيادات النسائية، وعن آليات تمكين القيادات النسائية جاء في مقدمتها امتلاك القيادات النسائية المهارات الشخصية والمقومات الفنية والإدارية والفكرية، على حين ظهر ضعف مساهمة بيئة العمل التنظيمية في تمكين القيادات النسائية، وفيما يخص الحوكمة والشفافية </w:t>
      </w:r>
      <w:r w:rsidRPr="00BC61E5">
        <w:rPr>
          <w:rFonts w:ascii="Traditional Arabic" w:hAnsi="Traditional Arabic" w:cs="Traditional Arabic"/>
          <w:sz w:val="28"/>
          <w:szCs w:val="28"/>
          <w:rtl/>
        </w:rPr>
        <w:lastRenderedPageBreak/>
        <w:t>توفرت آليات معتمدة للمحاسبة، في حين لم تتوفر إجراءات واضحة لتعيين القيادات. كما ظهرت تحديات شخصية، واجتماعية، وثقافية، وتنظيمية، وتحديات نقص التمكين للقيادات النسائية. وأوصي البحث بتعزيز التدريب والتطوير المهني المستدام للقيادات النسائية، وإعداد برامج لتأهيل القيادات النسائية قبل تكليفها في مراكز صنع القرار، وبناء صفٍّ ثانٍ من القيادات النسائية لزيادة فرص المرأة في الوصول إلى مراكز صنع القرار.</w:t>
      </w:r>
    </w:p>
    <w:p w14:paraId="09BFA722"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ويُعد التمكين استراتيجية تنظيمية، ومهارة تهدف إلى اعطاء العاملين الصلاحيات والمسؤوليات، ومنحهم الحرية لأداء العمل بطريقتهم دون تدخل مباشر من الإدارة، مع توفير كافة الموارد، وبيئة العمل المناسبة لتأهيلهم كهنياً وسلوكياً لأداء العمل مع الثقة التامة بهم. وحيث إن القيادات النسائية لا يُمكنها القيام بمهامها إلا من خلال تمكين إداري وقيادي يمكنها من القيام بهذه المهام لتحقيق أهداف التنمية المستدامة.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 xml:space="preserve">ويتناول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1433310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الع242</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rPr>
            <w:t>(العمري،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معالجة موضوع تمكين القيادات النسائية من خلال استعراض مشكلة البحث واهميته وأهدافه وتساؤلاته اضافة الى حدود البحث الموضوعية والزمانية وسرد البحث أهم المصطلحات المتضمنة والمتمثلة في مفهوم التمكين، ومفهوم القيادات النسائية، كما تطرق البحث لأهم الاطر النظرية المرتبطة بموضوعه والتي شملت متطلبات التمكين، والتحديات التي تواجه تمكين القيادات الأكاديمية النسائية، ومجالات تمكين المرأة السعودية في ضوء أهداف التنمية المستدامة بالمملكة العربية السعودية، وتم عرض الدراسات السابقة العربية والاجنبية ذات الصلة مع توضيح أوجه الاختلاف وأوجه الاستفادة من الدراسات السابقة اضافة الى ما تميز به البحث، كما تم عرض النتائج التي توصل اليها البحث في ضوء الإجابة على تساؤلاته، كما اشتمل البحث على المراجع العربية والاجنبية المستخدمة.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وتم اتباع المنهج الوصفي؛ من خلال انتهاج البحث  للوصف التحليلي الكيقي للأدبيات المتاحة بمحركات البحث وقواعد المعلومات والمراجع العلمية لتقديم وصف دقيق عن متطلبات تمكين القيادات الأكاديمية النسائية لتحقيق أهداف التنمية المستدامة وذلك بالتركيز على التعليم العالي الجامعي بالجامعات السعودية.</w:t>
      </w:r>
    </w:p>
    <w:p w14:paraId="187B7601"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30881558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(العنزي، 2025)</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التعرف على واقع تطوير أداء القيادات النسائية في الجامعات السعودية في ضوء مدخل التمكين الإداري، وتحديد الصعوبات التي تحد من تطوير أداء القيادات النسائية في الجامعات السعودية في ضوء مدخل التمكين الإداري، وتقديم عدد من المقترحات التي تعزز من تطوير أداء القيادات النسائية في الجامعات السعودية في ضوء مدخل التمكين الإداري من وجهة نظر القيادات الأكاديمية، ولتحقيق ذلك تم الاعتماد على المنهج الوصفي، والاستبانة كأداة لجمع البيانات، وتم اختيار عينة تكونت من (242) قائداً أكاديمياً، وتوصلت النتائج إلى أن واقع تطوير أداء القيادات النسائية في الجامعات السعودية في ضوء مدخل التمكين الإداري جاء بدرجة متوسطة وعلى جميع الأبعاد، وإلى وجود صعوبات تحد من تطوير أداء القيادات </w:t>
      </w:r>
      <w:r w:rsidRPr="00BC61E5">
        <w:rPr>
          <w:rFonts w:ascii="Traditional Arabic" w:hAnsi="Traditional Arabic" w:cs="Traditional Arabic"/>
          <w:sz w:val="28"/>
          <w:szCs w:val="28"/>
          <w:rtl/>
        </w:rPr>
        <w:lastRenderedPageBreak/>
        <w:t>النسائية في الجامعات السعودية في ضوء مدخل التمكين الإداري بدرجة متوسطة، بينما جاءت الموافقة على المقترحات التي تعزز من تطوير أداء القيادات النسائية في الجامعات السعودية في ضوء مدخل التمكين الإداري من وجهة نظر القيادات الأكاديمية بدرجة عالية</w:t>
      </w:r>
      <w:r w:rsidRPr="00BC61E5">
        <w:rPr>
          <w:rFonts w:ascii="Traditional Arabic" w:hAnsi="Traditional Arabic" w:cs="Traditional Arabic"/>
          <w:sz w:val="28"/>
          <w:szCs w:val="28"/>
        </w:rPr>
        <w:t>.</w:t>
      </w:r>
    </w:p>
    <w:p w14:paraId="536AD61C"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204211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الك23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(الكبتي،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الى معرفة واقع التمكين الإداري للمرأة الأكاديمية بالمناصب القيادية في جامعة بنغازي، وذلك من خلال التعرف على مقومات التمكين الإداري للقيادات الأكاديمية النسائية في كلية الآداب. استخدمت الباحثة المنهج النوعي، وتكونت عينة الدراسة من (11) مشاركة من القيادات الأكاديمية النسائية في الكلية وهن: ــــ (وكيلة الكلية ـــــ رئيسة مكتب ضمان الجودة ـــــ رئيسة مكتب خدمة المجتمع والبيئة ــــ رئيسة قسم ــــــ منسقات برامج العمل) للفصل الثاني من العام الدراسي (2022ـ 2023). واللاتي تم اختيارهن بالمعاينة الهادفة. واستخدمت الباحثة لجمع البيانات أسلوب المقابلة المقننة، وتم قياس التمكين الإداري من خلال معرفة مقومات التمكين في بيئة العمل الإداري في الكلية، ومن خلال معرفة المهارات القيادية لدى أفراد العينة. وتوصلت الدراسة من خلال نتائجها الى ضعف مقومات التمكين الإداري في الكلية والمتمثلة في: ــــ (تفويض السلطات ـــــ التدريب ـــــ التحفيزــــ الاتصال الفعال) باستثناء بعد العمل الجماعي الذي كان مرتفعا. إلا أن الكلية تدفع بالشخصيات النسائية الأكاديمية لتولي المناصب القيادية، وتمنح لهن الفرص بشكل متكافئ مع القيادات الرجالية في الكلية، كما توصلت الدراسة الى ارتفاع توفر المهارات القيادية لدى أفراد العينة والمتمثلة في: ــــ (تحمل المسؤولية ـــــ السلوك الإبداعي ــــ القدرة على الاستئناف ـــ القدرة على الموضوعية) وعلى ضوء هذه النتائج قدمت الباحثة مجموعة من التوصيات بالخصوص</w:t>
      </w:r>
      <w:r w:rsidRPr="00BC61E5">
        <w:rPr>
          <w:rFonts w:ascii="Traditional Arabic" w:hAnsi="Traditional Arabic" w:cs="Traditional Arabic"/>
          <w:sz w:val="28"/>
          <w:szCs w:val="28"/>
        </w:rPr>
        <w:t>.</w:t>
      </w:r>
    </w:p>
    <w:p w14:paraId="44A4D088"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الافتراضات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لدراسات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النوع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الأمر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أكثر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نتيجة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للطبيعة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يُعد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إدماج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فارقة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الميزة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الأنثوية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صعود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المستوى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وبالتالي،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2023</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Meza-Mejia</w:t>
      </w:r>
      <w:r w:rsidR="003A4FE4" w:rsidRPr="00E968AC">
        <w:rPr>
          <w:rFonts w:ascii="Traditional Arabic" w:hAnsi="Traditional Arabic" w:cs="Traditional Arabic" w:hint="cs"/>
          <w:noProof/>
          <w:sz w:val="28"/>
          <w:szCs w:val="28"/>
          <w:rtl/>
          <w:lang w:bidi="ar-EG"/>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أنماط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تتخذها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الأوساط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الأكاديمية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ممارسة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فهم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السلوك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العلمي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اتبعت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ونظمت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إرشادات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PRISMA.2020</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الببليوغرافية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المحددة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قاعدة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Scopus</w:t>
      </w:r>
      <w:r w:rsidRPr="00BC61E5">
        <w:rPr>
          <w:rFonts w:ascii="Traditional Arabic" w:hAnsi="Traditional Arabic" w:cs="Traditional Arabic" w:hint="cs"/>
          <w:sz w:val="28"/>
          <w:szCs w:val="28"/>
          <w:rtl/>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طريقة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أخرى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بالتزامن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وثائقي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الحصول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عليها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تخلص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يمارسن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أدوار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والإدارة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بمشاركة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غير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متساوية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منها</w:t>
      </w:r>
      <w:r w:rsidRPr="00BC61E5">
        <w:rPr>
          <w:rFonts w:ascii="Traditional Arabic" w:hAnsi="Traditional Arabic" w:cs="Traditional Arabic"/>
          <w:sz w:val="28"/>
          <w:szCs w:val="28"/>
          <w:rtl/>
        </w:rPr>
        <w:t>.</w:t>
      </w:r>
    </w:p>
    <w:p w14:paraId="01E0BB84"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هدفت دراسة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2024</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Kalsoom</w:t>
      </w:r>
      <w:r w:rsidR="003A4FE4" w:rsidRPr="00E968AC">
        <w:rPr>
          <w:rFonts w:ascii="Traditional Arabic" w:hAnsi="Traditional Arabic" w:cs="Traditional Arabic" w:hint="cs"/>
          <w:noProof/>
          <w:sz w:val="28"/>
          <w:szCs w:val="28"/>
          <w:rtl/>
          <w:lang w:bidi="ar-EG"/>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نُفِّذت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قائم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التفسير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تقنية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العينات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المريحة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لاختيار</w:t>
      </w:r>
      <w:r w:rsidRPr="00BC61E5">
        <w:rPr>
          <w:rFonts w:ascii="Traditional Arabic" w:hAnsi="Traditional Arabic" w:cs="Traditional Arabic"/>
          <w:sz w:val="28"/>
          <w:szCs w:val="28"/>
          <w:rtl/>
        </w:rPr>
        <w:t xml:space="preserve"> 20 </w:t>
      </w:r>
      <w:r w:rsidRPr="00BC61E5">
        <w:rPr>
          <w:rFonts w:ascii="Traditional Arabic" w:hAnsi="Traditional Arabic" w:cs="Traditional Arabic" w:hint="cs"/>
          <w:sz w:val="28"/>
          <w:szCs w:val="28"/>
          <w:rtl/>
        </w:rPr>
        <w:t>عضوة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جامعتين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حكوميتين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بروتوكول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المقابلات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لتوليد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وطُبِّق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الموضوعي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لتحديد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أوجه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التشابه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والاختلاف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المشاركات،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ولبلورة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يشتكين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يشعرن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بأنهن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مُمكَّنات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الأقسام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عادلة،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متكافئة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بغض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التعويضات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أساس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والإنتاجية،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مدفوعة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الأجر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لجميع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أعضاء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الإناث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والذكور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قادرون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الوطني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والدولي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أمومة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أقسامية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داعمة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والتأكد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اتباع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السياسات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هناك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بعض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الثقافية،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ومحدودية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الموارد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والأموال،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وضعف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تمثيل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ويوصي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والحكومات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باتخاذ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المزيد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المبادرات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w:t>
      </w:r>
    </w:p>
    <w:p w14:paraId="25865CB8" w14:textId="77777777"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وتزايد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بدأت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أعداد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متزايدة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يبرزن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كقائدات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مختلف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المجالات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والصعوبات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المعضلات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اكتشافات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واقتراحات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2024</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Zhang</w:t>
      </w:r>
      <w:r w:rsidR="003A4FE4" w:rsidRPr="00E968AC">
        <w:rPr>
          <w:rFonts w:ascii="Traditional Arabic" w:hAnsi="Traditional Arabic" w:cs="Traditional Arabic" w:hint="cs"/>
          <w:noProof/>
          <w:sz w:val="28"/>
          <w:szCs w:val="28"/>
          <w:rtl/>
          <w:lang w:bidi="ar-EG"/>
        </w:rPr>
        <w:t>)</w:t>
      </w:r>
      <w:r>
        <w:rPr>
          <w:rFonts w:ascii="Traditional Arabic" w:hAnsi="Traditional Arabic" w:cs="Traditional Arabic" w:hint="cs"/>
          <w:sz w:val="28"/>
          <w:szCs w:val="28"/>
          <w:rtl/>
        </w:rPr>
        <w:t xml:space="preserve"> </w:t>
      </w:r>
      <w:r w:rsidRPr="00BC61E5">
        <w:rPr>
          <w:rFonts w:ascii="Traditional Arabic" w:hAnsi="Traditional Arabic" w:cs="Traditional Arabic" w:hint="cs"/>
          <w:sz w:val="28"/>
          <w:szCs w:val="28"/>
          <w:rtl/>
        </w:rPr>
        <w:t>مناهج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لإجراء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الاستراتيجية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وموقعها،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وقدراتها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واستراتيجياتها،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وترقيتها،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وأسلوب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وثقافتها،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ومتعدد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الجوانب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تلعب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صانعات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إيلاء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اهتمام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خاص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للتفاصيل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والعواطف،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مواجهة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تحدي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الموازنة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والمهنة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مهارات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ممتازة،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وصنع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وابتكار،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وتغيير،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بالإضافة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تركيزهن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الآثار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طويلة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المدى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المستدامة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التمييز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والمسؤوليات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يشكلان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عقبات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ترقيتهن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توفير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والتطوير،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lastRenderedPageBreak/>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وكسر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نأمل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نتمكن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ودفع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عجلة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ازدهار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وتقدمها</w:t>
      </w:r>
      <w:r w:rsidRPr="00BC61E5">
        <w:rPr>
          <w:rFonts w:ascii="Traditional Arabic" w:hAnsi="Traditional Arabic" w:cs="Traditional Arabic"/>
          <w:sz w:val="28"/>
          <w:szCs w:val="28"/>
          <w:rtl/>
        </w:rPr>
        <w:t>.</w:t>
      </w:r>
    </w:p>
    <w:p w14:paraId="2E9FC74E" w14:textId="77777777" w:rsidR="00560D63" w:rsidRPr="00BC61E5" w:rsidRDefault="00560D63" w:rsidP="00560D63">
      <w:pPr>
        <w:tabs>
          <w:tab w:val="left" w:pos="5505"/>
        </w:tabs>
        <w:bidi/>
        <w:spacing w:line="360" w:lineRule="auto"/>
        <w:ind w:firstLine="571"/>
        <w:jc w:val="both"/>
        <w:rPr>
          <w:rFonts w:ascii="Traditional Arabic" w:hAnsi="Traditional Arabic" w:cs="Traditional Arabic"/>
          <w:sz w:val="28"/>
          <w:szCs w:val="28"/>
        </w:rPr>
      </w:pPr>
      <w:r w:rsidRPr="004660C1">
        <w:rPr>
          <w:rFonts w:ascii="Traditional Arabic" w:hAnsi="Traditional Arabic" w:cs="Traditional Arabic" w:hint="cs"/>
          <w:sz w:val="28"/>
          <w:szCs w:val="28"/>
          <w:rtl/>
        </w:rPr>
        <w:t>هدفت</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3A4FE4" w:rsidRPr="00E968AC">
        <w:rPr>
          <w:rFonts w:ascii="Traditional Arabic" w:hAnsi="Traditional Arabic" w:cs="Traditional Arabic" w:hint="cs"/>
          <w:noProof/>
          <w:sz w:val="28"/>
          <w:szCs w:val="28"/>
          <w:rtl/>
        </w:rPr>
        <w:t>(</w:t>
      </w:r>
      <w:r w:rsidR="003A4FE4">
        <w:rPr>
          <w:rFonts w:ascii="Traditional Arabic" w:hAnsi="Traditional Arabic" w:cs="Traditional Arabic" w:hint="cs"/>
          <w:noProof/>
          <w:sz w:val="28"/>
          <w:szCs w:val="28"/>
          <w:rtl/>
        </w:rPr>
        <w:t>2016</w:t>
      </w:r>
      <w:r w:rsidR="003A4FE4" w:rsidRPr="00E968AC">
        <w:rPr>
          <w:rFonts w:ascii="Traditional Arabic" w:hAnsi="Traditional Arabic" w:cs="Traditional Arabic" w:hint="cs"/>
          <w:noProof/>
          <w:sz w:val="28"/>
          <w:szCs w:val="28"/>
          <w:rtl/>
        </w:rPr>
        <w:t xml:space="preserve">، </w:t>
      </w:r>
      <w:r w:rsidR="003A4FE4" w:rsidRPr="00E968AC">
        <w:rPr>
          <w:rFonts w:ascii="Traditional Arabic" w:hAnsi="Traditional Arabic" w:cs="Traditional Arabic" w:hint="cs"/>
          <w:noProof/>
          <w:sz w:val="28"/>
          <w:szCs w:val="28"/>
        </w:rPr>
        <w:t>Ghamdi</w:t>
      </w:r>
      <w:r w:rsidR="003A4FE4" w:rsidRPr="00E968AC">
        <w:rPr>
          <w:rFonts w:ascii="Traditional Arabic" w:hAnsi="Traditional Arabic" w:cs="Traditional Arabic" w:hint="cs"/>
          <w:noProof/>
          <w:sz w:val="28"/>
          <w:szCs w:val="28"/>
          <w:rtl/>
        </w:rPr>
        <w:t>)</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الكمية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أسئلة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إرشادية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(1)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(2)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(3) </w:t>
      </w:r>
      <w:r w:rsidRPr="004660C1">
        <w:rPr>
          <w:rFonts w:ascii="Traditional Arabic" w:hAnsi="Traditional Arabic" w:cs="Traditional Arabic" w:hint="cs"/>
          <w:sz w:val="28"/>
          <w:szCs w:val="28"/>
          <w:rtl/>
        </w:rPr>
        <w:t>كيف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تختلف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(4)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الخصائص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الأخرى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w:t>
      </w:r>
      <w:r w:rsidRPr="004660C1">
        <w:rPr>
          <w:rFonts w:ascii="Traditional Arabic" w:hAnsi="Traditional Arabic" w:cs="Traditional Arabic"/>
          <w:sz w:val="28"/>
          <w:szCs w:val="28"/>
          <w:rtl/>
        </w:rPr>
        <w:t xml:space="preserve">(5)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تألف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جميع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ست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حكومية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طريقة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أخذ</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العشوائية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الطبقية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المشاركين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تصنيف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حسب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والجنس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شارك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مجموعه</w:t>
      </w:r>
      <w:r w:rsidRPr="004660C1">
        <w:rPr>
          <w:rFonts w:ascii="Traditional Arabic" w:hAnsi="Traditional Arabic" w:cs="Traditional Arabic"/>
          <w:sz w:val="28"/>
          <w:szCs w:val="28"/>
          <w:rtl/>
        </w:rPr>
        <w:t xml:space="preserve"> 377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بمعدل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استجابة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بلغ</w:t>
      </w:r>
      <w:r w:rsidRPr="004660C1">
        <w:rPr>
          <w:rFonts w:ascii="Traditional Arabic" w:hAnsi="Traditional Arabic" w:cs="Traditional Arabic"/>
          <w:sz w:val="28"/>
          <w:szCs w:val="28"/>
          <w:rtl/>
        </w:rPr>
        <w:t xml:space="preserve"> 47%). </w:t>
      </w:r>
      <w:r w:rsidRPr="004660C1">
        <w:rPr>
          <w:rFonts w:ascii="Traditional Arabic" w:hAnsi="Traditional Arabic" w:cs="Traditional Arabic" w:hint="cs"/>
          <w:sz w:val="28"/>
          <w:szCs w:val="28"/>
          <w:rtl/>
        </w:rPr>
        <w:t>وبشكل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الديموغرافية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الأبعاد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المعنى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والكفاءة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وتقرير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المصير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وأظهر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الانحدار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المتعدد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إيجابيًا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كبيرًا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ويخلص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وبناءً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الاستنتاج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بحاجة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للوصول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المنشود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w:t>
      </w:r>
    </w:p>
    <w:p w14:paraId="42ADB841" w14:textId="77777777" w:rsidR="00560D63" w:rsidRPr="00F94996" w:rsidRDefault="00560D63" w:rsidP="00560D63">
      <w:pPr>
        <w:tabs>
          <w:tab w:val="left" w:pos="5505"/>
        </w:tabs>
        <w:bidi/>
        <w:rPr>
          <w:rFonts w:ascii="Traditional Arabic" w:hAnsi="Traditional Arabic" w:cs="Traditional Arabic"/>
          <w:sz w:val="28"/>
          <w:szCs w:val="28"/>
          <w:rtl/>
        </w:rPr>
      </w:pPr>
    </w:p>
    <w:p w14:paraId="1D8262F1"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الثقافية)</w:t>
      </w:r>
    </w:p>
    <w:p w14:paraId="2E1A7C69" w14:textId="77777777" w:rsidR="00560D63" w:rsidRDefault="00560D63" w:rsidP="00560D63">
      <w:pPr>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21950849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(محمود، 2022)</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إلى معرفة دور الثقافة التنظيمية في تمكين القيادة النسائية في مؤسسات القطاع الحكومي في اليمن. واستخدمت الدراسة المنهج الوصفي التحليلي، كما تم استخدام استبانه احتوت على 42 عبارة موزعة إلى عناصر الثقافة التنظيمية. وتم تخصيص جزء من هذه العبارات تضمنت تمكين القيادة النسائية بشكل خاص، ومعرفة واقع التمكين في المؤسسة بشكل عام، سعت الباحثة في اختيار العينة العشوائية البسيطة لتشمل فئة حاملين شهادات البكالوريوس والماجستير والدكتوراه  لمجتمع </w:t>
      </w:r>
      <w:r w:rsidRPr="004660C1">
        <w:rPr>
          <w:rFonts w:ascii="Traditional Arabic" w:hAnsi="Traditional Arabic" w:cs="Traditional Arabic"/>
          <w:sz w:val="28"/>
          <w:szCs w:val="28"/>
          <w:rtl/>
        </w:rPr>
        <w:lastRenderedPageBreak/>
        <w:t>الدراسة في المؤسسة العامة للاتصالات البالغ عددهم 600 شخص، فقد اعتمدت في إختيارها لحجم العينة على ما نسبته 21% من مجتمع الدراسة الكلي بالاقتراب لما نسبته 23% وما تحققه هذه النسبة من فاعلية تساعد الوصول للتقديرات الدقيقة بناء على حجم الدراسة</w:t>
      </w:r>
      <w:r>
        <w:rPr>
          <w:rFonts w:ascii="Traditional Arabic" w:hAnsi="Traditional Arabic" w:cs="Traditional Arabic" w:hint="cs"/>
          <w:sz w:val="28"/>
          <w:szCs w:val="28"/>
          <w:rtl/>
        </w:rPr>
        <w:t>.</w:t>
      </w:r>
    </w:p>
    <w:p w14:paraId="49239F36"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تواجه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أشكال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الفصل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الجنسين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عائقًا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أمام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خيارها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شغل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منصب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الخطوط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الأمامية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هناك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مفاهيم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خاطئة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مجتمعنا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مفادها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غير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مؤهلة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حتى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اقتراح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نموذج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ومناقشته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لضمان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المذكورة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أعلاه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تتوقع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مستقبلًا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مشرقًا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عبد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الله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بدورها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والحفاظ</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إثبات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Pr>
          <w:rFonts w:ascii="Traditional Arabic" w:hAnsi="Traditional Arabic" w:cs="Traditional Arabic" w:hint="cs"/>
          <w:sz w:val="28"/>
          <w:szCs w:val="28"/>
          <w:rtl/>
        </w:rPr>
        <w:t xml:space="preserve">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2016</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Kattan</w:t>
      </w:r>
      <w:r w:rsidR="003A4FE4" w:rsidRPr="00E968AC">
        <w:rPr>
          <w:rFonts w:ascii="Traditional Arabic" w:hAnsi="Traditional Arabic" w:cs="Traditional Arabic" w:hint="cs"/>
          <w:noProof/>
          <w:sz w:val="28"/>
          <w:szCs w:val="28"/>
          <w:rtl/>
          <w:lang w:bidi="ar-EG"/>
        </w:rPr>
        <w:t>)</w:t>
      </w:r>
      <w:r w:rsidRPr="004660C1">
        <w:rPr>
          <w:rFonts w:ascii="Traditional Arabic" w:hAnsi="Traditional Arabic" w:cs="Traditional Arabic"/>
          <w:sz w:val="28"/>
          <w:szCs w:val="28"/>
          <w:rtl/>
        </w:rPr>
        <w:t>.</w:t>
      </w:r>
    </w:p>
    <w:p w14:paraId="769FB700"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واحدة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منغلقة،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نظام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أبوي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وتقليدية،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ودينية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وصفت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دولة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مدفوعة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هيكلتها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تقليديًا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اجتماعية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حقوق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مشاركة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بالهيكل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الاجتماعي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والديني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للبلاد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رائدات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واعتمدت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مراجعة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نقدية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للدراسات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والأدبيات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السابقة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2021</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Musallam</w:t>
      </w:r>
      <w:r w:rsidR="003A4FE4" w:rsidRPr="00E968AC">
        <w:rPr>
          <w:rFonts w:ascii="Traditional Arabic" w:hAnsi="Traditional Arabic" w:cs="Traditional Arabic" w:hint="cs"/>
          <w:noProof/>
          <w:sz w:val="28"/>
          <w:szCs w:val="28"/>
          <w:rtl/>
          <w:lang w:bidi="ar-EG"/>
        </w:rPr>
        <w:t>)</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لرواد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أجل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الشركات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الصغيرة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والمتوسطة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الحجم،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يجب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أو</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الاعتبار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قبل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التخطيط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التجارية</w:t>
      </w:r>
      <w:r w:rsidRPr="004660C1">
        <w:rPr>
          <w:rFonts w:ascii="Traditional Arabic" w:hAnsi="Traditional Arabic" w:cs="Traditional Arabic"/>
          <w:sz w:val="28"/>
          <w:szCs w:val="28"/>
          <w:rtl/>
        </w:rPr>
        <w:t>.</w:t>
      </w:r>
    </w:p>
    <w:p w14:paraId="683C79C7"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يتناول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بحث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2019</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Jendia</w:t>
      </w:r>
      <w:r w:rsidR="003A4FE4" w:rsidRPr="00E968AC">
        <w:rPr>
          <w:rFonts w:ascii="Traditional Arabic" w:hAnsi="Traditional Arabic" w:cs="Traditional Arabic" w:hint="cs"/>
          <w:noProof/>
          <w:sz w:val="28"/>
          <w:szCs w:val="28"/>
          <w:rtl/>
          <w:lang w:bidi="ar-EG"/>
        </w:rPr>
        <w:t>)</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موضوع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السياق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الأوغندي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الباحثين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الممارسات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الأفريقية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تُعيق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تُجادل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بعكس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تنطوي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وكان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تغيير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العقلية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والسلوكيات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والممارسات</w:t>
      </w:r>
      <w:r w:rsidRPr="004660C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نهج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مدعوم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بمنهجية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مكتبية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وتتمثل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وتقدم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ثلاث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lastRenderedPageBreak/>
        <w:t>توصيات</w:t>
      </w:r>
      <w:r w:rsidRPr="004660C1">
        <w:rPr>
          <w:rFonts w:ascii="Traditional Arabic" w:hAnsi="Traditional Arabic" w:cs="Traditional Arabic"/>
          <w:sz w:val="28"/>
          <w:szCs w:val="28"/>
          <w:rtl/>
        </w:rPr>
        <w:t>.</w:t>
      </w:r>
    </w:p>
    <w:p w14:paraId="7318AE04"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النسائية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إمكاناتهن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ويحدث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يُلتفت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الديناميكيات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الخطابية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تهدف</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3A4FE4" w:rsidRPr="00E968AC">
        <w:rPr>
          <w:rFonts w:ascii="Traditional Arabic" w:hAnsi="Traditional Arabic" w:cs="Traditional Arabic" w:hint="cs"/>
          <w:noProof/>
          <w:sz w:val="28"/>
          <w:szCs w:val="28"/>
          <w:rtl/>
          <w:lang w:bidi="ar-EG"/>
        </w:rPr>
        <w:t>(</w:t>
      </w:r>
      <w:r w:rsidR="003A4FE4">
        <w:rPr>
          <w:rFonts w:ascii="Traditional Arabic" w:hAnsi="Traditional Arabic" w:cs="Traditional Arabic" w:hint="cs"/>
          <w:noProof/>
          <w:sz w:val="28"/>
          <w:szCs w:val="28"/>
          <w:rtl/>
          <w:lang w:bidi="ar-EG"/>
        </w:rPr>
        <w:t>2019</w:t>
      </w:r>
      <w:r w:rsidR="003A4FE4" w:rsidRPr="00E968AC">
        <w:rPr>
          <w:rFonts w:ascii="Traditional Arabic" w:hAnsi="Traditional Arabic" w:cs="Traditional Arabic" w:hint="cs"/>
          <w:noProof/>
          <w:sz w:val="28"/>
          <w:szCs w:val="28"/>
          <w:rtl/>
          <w:lang w:bidi="ar-EG"/>
        </w:rPr>
        <w:t xml:space="preserve">، </w:t>
      </w:r>
      <w:r w:rsidR="003A4FE4" w:rsidRPr="00E968AC">
        <w:rPr>
          <w:rFonts w:ascii="Traditional Arabic" w:hAnsi="Traditional Arabic" w:cs="Traditional Arabic" w:hint="cs"/>
          <w:noProof/>
          <w:sz w:val="28"/>
          <w:szCs w:val="28"/>
          <w:lang w:bidi="ar-EG"/>
        </w:rPr>
        <w:t>Kalaitzi</w:t>
      </w:r>
      <w:r w:rsidR="003A4FE4" w:rsidRPr="00E968AC">
        <w:rPr>
          <w:rFonts w:ascii="Traditional Arabic" w:hAnsi="Traditional Arabic" w:cs="Traditional Arabic" w:hint="cs"/>
          <w:noProof/>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تقييم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المرتبطة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الخصائص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المقارنة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ومالطا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وينبع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الاهتمام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بهذين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أدائهما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فجوة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التوظيف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والتغيرات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والاقتصادية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تشهدها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الأوروبية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المتوسطية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وثلاثون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معمقة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والرجال</w:t>
      </w:r>
      <w:r w:rsidRPr="00D57CEF">
        <w:rPr>
          <w:rFonts w:ascii="Traditional Arabic" w:hAnsi="Traditional Arabic" w:cs="Traditional Arabic"/>
          <w:sz w:val="28"/>
          <w:szCs w:val="28"/>
          <w:rtl/>
          <w:lang w:bidi="ar-EG"/>
        </w:rPr>
        <w:t xml:space="preserve"> (18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18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وفقًا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لمخطط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ترميز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الخريطة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المنهج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لتفسير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سياقها</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وواحد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والمالطية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وشملت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السائدة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والحياة،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الأسري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الزوجي</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ولوحظت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واختلاف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انتشار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المحددة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قيّمت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تجريبيًا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الوطنية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كشفت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التفاعلات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والسياقات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يوضح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تفاوت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المعايير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ممارسات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المساواة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التضييق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إليه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أفادت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إطار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مفاهيمي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لتطوير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البحث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w:t>
      </w:r>
    </w:p>
    <w:p w14:paraId="14D8D0C8"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لقد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أصبحت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ممثلات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أفضل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الأعمال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والأوساط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الأكاديمية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والحكومة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ندرة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عزا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علماء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المستقر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عوامل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ونفسية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الفصل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وهنا،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رياضيًا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بسيطًا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يكشف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يلعبه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وراء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عكس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النماذج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يتوقع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ليس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حتميًا،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التدخل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المتعمد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مطلوبًا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المجالات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للتحقق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صحة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النموذج،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قاعدة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بيانات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جديدة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للتجزئة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لـ</w:t>
      </w:r>
      <w:r w:rsidRPr="00D57CEF">
        <w:rPr>
          <w:rFonts w:ascii="Traditional Arabic" w:hAnsi="Traditional Arabic" w:cs="Traditional Arabic"/>
          <w:sz w:val="28"/>
          <w:szCs w:val="28"/>
          <w:rtl/>
          <w:lang w:bidi="ar-EG"/>
        </w:rPr>
        <w:t xml:space="preserve"> 16 </w:t>
      </w:r>
      <w:r w:rsidRPr="00D57CEF">
        <w:rPr>
          <w:rFonts w:ascii="Traditional Arabic" w:hAnsi="Traditional Arabic" w:cs="Traditional Arabic" w:hint="cs"/>
          <w:sz w:val="28"/>
          <w:szCs w:val="28"/>
          <w:rtl/>
          <w:lang w:bidi="ar-EG"/>
        </w:rPr>
        <w:t>تسلسلًا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lastRenderedPageBreak/>
        <w:t>هرميًا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تسلسل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تدخلات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محددة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أسرع</w:t>
      </w:r>
      <w:r>
        <w:rPr>
          <w:rFonts w:ascii="Traditional Arabic" w:hAnsi="Traditional Arabic" w:cs="Traditional Arabic" w:hint="cs"/>
          <w:sz w:val="28"/>
          <w:szCs w:val="28"/>
          <w:rtl/>
          <w:lang w:bidi="ar-EG"/>
        </w:rPr>
        <w:t xml:space="preserve"> </w:t>
      </w:r>
      <w:r w:rsidR="00B70967" w:rsidRPr="00E968AC">
        <w:rPr>
          <w:rFonts w:ascii="Traditional Arabic" w:hAnsi="Traditional Arabic" w:cs="Traditional Arabic" w:hint="cs"/>
          <w:noProof/>
          <w:sz w:val="28"/>
          <w:szCs w:val="28"/>
          <w:rtl/>
          <w:lang w:bidi="ar-EG"/>
        </w:rPr>
        <w:t>(</w:t>
      </w:r>
      <w:r w:rsidR="00B70967">
        <w:rPr>
          <w:rFonts w:ascii="Traditional Arabic" w:hAnsi="Traditional Arabic" w:cs="Traditional Arabic" w:hint="cs"/>
          <w:noProof/>
          <w:sz w:val="28"/>
          <w:szCs w:val="28"/>
          <w:rtl/>
          <w:lang w:bidi="ar-EG"/>
        </w:rPr>
        <w:t>2019</w:t>
      </w:r>
      <w:r w:rsidR="00B70967" w:rsidRPr="00E968AC">
        <w:rPr>
          <w:rFonts w:ascii="Traditional Arabic" w:hAnsi="Traditional Arabic" w:cs="Traditional Arabic" w:hint="cs"/>
          <w:noProof/>
          <w:sz w:val="28"/>
          <w:szCs w:val="28"/>
          <w:rtl/>
          <w:lang w:bidi="ar-EG"/>
        </w:rPr>
        <w:t xml:space="preserve">، </w:t>
      </w:r>
      <w:r w:rsidR="00B70967" w:rsidRPr="00E968AC">
        <w:rPr>
          <w:rFonts w:ascii="Traditional Arabic" w:hAnsi="Traditional Arabic" w:cs="Traditional Arabic" w:hint="cs"/>
          <w:noProof/>
          <w:sz w:val="28"/>
          <w:szCs w:val="28"/>
          <w:lang w:bidi="ar-EG"/>
        </w:rPr>
        <w:t>Clifton</w:t>
      </w:r>
      <w:r w:rsidR="00B70967" w:rsidRPr="00E968AC">
        <w:rPr>
          <w:rFonts w:ascii="Traditional Arabic" w:hAnsi="Traditional Arabic" w:cs="Traditional Arabic" w:hint="cs"/>
          <w:noProof/>
          <w:sz w:val="28"/>
          <w:szCs w:val="28"/>
          <w:rtl/>
          <w:lang w:bidi="ar-EG"/>
        </w:rPr>
        <w:t>)</w:t>
      </w:r>
      <w:r w:rsidRPr="00D57CEF">
        <w:rPr>
          <w:rFonts w:ascii="Traditional Arabic" w:hAnsi="Traditional Arabic" w:cs="Traditional Arabic"/>
          <w:sz w:val="28"/>
          <w:szCs w:val="28"/>
          <w:rtl/>
          <w:lang w:bidi="ar-EG"/>
        </w:rPr>
        <w:t>.</w:t>
      </w:r>
    </w:p>
    <w:p w14:paraId="5CCE4FE9"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بغض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حقيقة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الجهود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بُذلت،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واعتمدت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الآليات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القانونية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والتنظيمية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نسبتها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بسبب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علاوة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القطاع،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عرض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جانب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أفراد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B70967" w:rsidRPr="00E968AC">
        <w:rPr>
          <w:rFonts w:ascii="Traditional Arabic" w:hAnsi="Traditional Arabic" w:cs="Traditional Arabic" w:hint="cs"/>
          <w:noProof/>
          <w:sz w:val="28"/>
          <w:szCs w:val="28"/>
          <w:rtl/>
          <w:lang w:bidi="ar-EG"/>
        </w:rPr>
        <w:t>(</w:t>
      </w:r>
      <w:r w:rsidR="00B70967">
        <w:rPr>
          <w:rFonts w:ascii="Traditional Arabic" w:hAnsi="Traditional Arabic" w:cs="Traditional Arabic" w:hint="cs"/>
          <w:noProof/>
          <w:sz w:val="28"/>
          <w:szCs w:val="28"/>
          <w:rtl/>
          <w:lang w:bidi="ar-EG"/>
        </w:rPr>
        <w:t>2017</w:t>
      </w:r>
      <w:r w:rsidR="00B70967" w:rsidRPr="00E968AC">
        <w:rPr>
          <w:rFonts w:ascii="Traditional Arabic" w:hAnsi="Traditional Arabic" w:cs="Traditional Arabic" w:hint="cs"/>
          <w:noProof/>
          <w:sz w:val="28"/>
          <w:szCs w:val="28"/>
          <w:rtl/>
          <w:lang w:bidi="ar-EG"/>
        </w:rPr>
        <w:t xml:space="preserve">، </w:t>
      </w:r>
      <w:r w:rsidR="00B70967" w:rsidRPr="00E968AC">
        <w:rPr>
          <w:rFonts w:ascii="Traditional Arabic" w:hAnsi="Traditional Arabic" w:cs="Traditional Arabic" w:hint="cs"/>
          <w:noProof/>
          <w:sz w:val="28"/>
          <w:szCs w:val="28"/>
          <w:lang w:bidi="ar-EG"/>
        </w:rPr>
        <w:t>Aga</w:t>
      </w:r>
      <w:r w:rsidR="00B70967" w:rsidRPr="00E968AC">
        <w:rPr>
          <w:rFonts w:ascii="Traditional Arabic" w:hAnsi="Traditional Arabic" w:cs="Traditional Arabic" w:hint="cs"/>
          <w:noProof/>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الرئيسية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التنقل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ضدهن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إيلو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جنوب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إثيوبيا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تصميم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الوصفي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24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22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وبلدتين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إداريتين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اختيار</w:t>
      </w:r>
      <w:r w:rsidRPr="00D57CEF">
        <w:rPr>
          <w:rFonts w:ascii="Traditional Arabic" w:hAnsi="Traditional Arabic" w:cs="Traditional Arabic"/>
          <w:sz w:val="28"/>
          <w:szCs w:val="28"/>
          <w:rtl/>
          <w:lang w:bidi="ar-EG"/>
        </w:rPr>
        <w:t xml:space="preserve"> 6 </w:t>
      </w:r>
      <w:r w:rsidRPr="00D57CEF">
        <w:rPr>
          <w:rFonts w:ascii="Traditional Arabic" w:hAnsi="Traditional Arabic" w:cs="Traditional Arabic" w:hint="cs"/>
          <w:sz w:val="28"/>
          <w:szCs w:val="28"/>
          <w:rtl/>
          <w:lang w:bidi="ar-EG"/>
        </w:rPr>
        <w:t>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عشوائيًا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مجموعه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حوالي</w:t>
      </w:r>
      <w:r w:rsidRPr="00D57CEF">
        <w:rPr>
          <w:rFonts w:ascii="Traditional Arabic" w:hAnsi="Traditional Arabic" w:cs="Traditional Arabic"/>
          <w:sz w:val="28"/>
          <w:szCs w:val="28"/>
          <w:rtl/>
          <w:lang w:bidi="ar-EG"/>
        </w:rPr>
        <w:t xml:space="preserve"> 214 </w:t>
      </w:r>
      <w:r w:rsidRPr="00D57CEF">
        <w:rPr>
          <w:rFonts w:ascii="Traditional Arabic" w:hAnsi="Traditional Arabic" w:cs="Traditional Arabic" w:hint="cs"/>
          <w:sz w:val="28"/>
          <w:szCs w:val="28"/>
          <w:rtl/>
          <w:lang w:bidi="ar-EG"/>
        </w:rPr>
        <w:t>عاملاً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الستة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منهم</w:t>
      </w:r>
      <w:r w:rsidRPr="00D57CEF">
        <w:rPr>
          <w:rFonts w:ascii="Traditional Arabic" w:hAnsi="Traditional Arabic" w:cs="Traditional Arabic"/>
          <w:sz w:val="28"/>
          <w:szCs w:val="28"/>
          <w:rtl/>
          <w:lang w:bidi="ar-EG"/>
        </w:rPr>
        <w:t xml:space="preserve"> 79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29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تعيين</w:t>
      </w:r>
      <w:r w:rsidRPr="00D57CEF">
        <w:rPr>
          <w:rFonts w:ascii="Traditional Arabic" w:hAnsi="Traditional Arabic" w:cs="Traditional Arabic"/>
          <w:sz w:val="28"/>
          <w:szCs w:val="28"/>
          <w:rtl/>
          <w:lang w:bidi="ar-EG"/>
        </w:rPr>
        <w:t xml:space="preserve"> 108 </w:t>
      </w:r>
      <w:r w:rsidRPr="00D57CEF">
        <w:rPr>
          <w:rFonts w:ascii="Traditional Arabic" w:hAnsi="Traditional Arabic" w:cs="Traditional Arabic" w:hint="cs"/>
          <w:sz w:val="28"/>
          <w:szCs w:val="28"/>
          <w:rtl/>
          <w:lang w:bidi="ar-EG"/>
        </w:rPr>
        <w:t>عاملين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50.5%) </w:t>
      </w:r>
      <w:r w:rsidRPr="00D57CEF">
        <w:rPr>
          <w:rFonts w:ascii="Traditional Arabic" w:hAnsi="Traditional Arabic" w:cs="Traditional Arabic" w:hint="cs"/>
          <w:sz w:val="28"/>
          <w:szCs w:val="28"/>
          <w:rtl/>
          <w:lang w:bidi="ar-EG"/>
        </w:rPr>
        <w:t>لملء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الاستبيان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8 </w:t>
      </w:r>
      <w:r w:rsidRPr="00D57CEF">
        <w:rPr>
          <w:rFonts w:ascii="Traditional Arabic" w:hAnsi="Traditional Arabic" w:cs="Traditional Arabic" w:hint="cs"/>
          <w:sz w:val="28"/>
          <w:szCs w:val="28"/>
          <w:rtl/>
          <w:lang w:bidi="ar-EG"/>
        </w:rPr>
        <w:t>موظفات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وبالتالي،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(74.4%)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لديهم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الأقسام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الوحدات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المدرسية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مديري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المدارس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المديرين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قبل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الانضمام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(38%)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مدرستهن</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يقرب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36.6%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(17.7%)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(18.9%) </w:t>
      </w:r>
      <w:r w:rsidRPr="00D57CEF">
        <w:rPr>
          <w:rFonts w:ascii="Traditional Arabic" w:hAnsi="Traditional Arabic" w:cs="Traditional Arabic" w:hint="cs"/>
          <w:sz w:val="28"/>
          <w:szCs w:val="28"/>
          <w:rtl/>
          <w:lang w:bidi="ar-EG"/>
        </w:rPr>
        <w:t>مرة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واحدة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شغلت</w:t>
      </w:r>
      <w:r w:rsidRPr="00D57CEF">
        <w:rPr>
          <w:rFonts w:ascii="Traditional Arabic" w:hAnsi="Traditional Arabic" w:cs="Traditional Arabic"/>
          <w:sz w:val="28"/>
          <w:szCs w:val="28"/>
          <w:rtl/>
          <w:lang w:bidi="ar-EG"/>
        </w:rPr>
        <w:t xml:space="preserve"> 6.8%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الشيء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نفسه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مواقف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يتعلق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بمناصبهم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كانوا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الذكور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وأظهرت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أيضًا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وإرشادات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الرغم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تنفيذها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بالكامل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معالجة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الترقيات،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العليا،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وتوقعات</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تقييمات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نجاحات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وغيرها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وأخيرًا،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الاستفادة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الهيكل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لتصفية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المعلومات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المتعلقة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آخر،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مراعاة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جميع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القرار،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برنامج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المشاكل،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الإيجابي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w:t>
      </w:r>
    </w:p>
    <w:p w14:paraId="71DC93E1" w14:textId="77777777" w:rsidR="00560D63" w:rsidRDefault="00560D63" w:rsidP="00560D63">
      <w:pPr>
        <w:bidi/>
        <w:spacing w:line="360" w:lineRule="auto"/>
        <w:ind w:firstLine="571"/>
        <w:jc w:val="both"/>
        <w:rPr>
          <w:rFonts w:ascii="Traditional Arabic" w:hAnsi="Traditional Arabic" w:cs="Traditional Arabic"/>
          <w:sz w:val="28"/>
          <w:szCs w:val="28"/>
          <w:rtl/>
        </w:rPr>
      </w:pPr>
      <w:r w:rsidRPr="00D57CEF">
        <w:rPr>
          <w:rFonts w:ascii="Traditional Arabic" w:hAnsi="Traditional Arabic" w:cs="Traditional Arabic" w:hint="cs"/>
          <w:sz w:val="28"/>
          <w:szCs w:val="28"/>
          <w:rtl/>
        </w:rPr>
        <w:lastRenderedPageBreak/>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الرغم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التقدم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الكبير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أحرز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يتعلق</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بالمساواة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الجنسين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وتمكين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تزال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هناك</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ثقافية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ومجتمعية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المستقبل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تهدف</w:t>
      </w:r>
      <w:r w:rsidRPr="00D57CEF">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r w:rsidR="00B70967" w:rsidRPr="00E968AC">
        <w:rPr>
          <w:rFonts w:ascii="Traditional Arabic" w:hAnsi="Traditional Arabic" w:cs="Traditional Arabic" w:hint="cs"/>
          <w:noProof/>
          <w:sz w:val="28"/>
          <w:szCs w:val="28"/>
          <w:rtl/>
          <w:lang w:bidi="ar-EG"/>
        </w:rPr>
        <w:t>(</w:t>
      </w:r>
      <w:r w:rsidR="00B70967">
        <w:rPr>
          <w:rFonts w:ascii="Traditional Arabic" w:hAnsi="Traditional Arabic" w:cs="Traditional Arabic" w:hint="cs"/>
          <w:noProof/>
          <w:sz w:val="28"/>
          <w:szCs w:val="28"/>
          <w:rtl/>
          <w:lang w:bidi="ar-EG"/>
        </w:rPr>
        <w:t>2021</w:t>
      </w:r>
      <w:r w:rsidR="00B70967" w:rsidRPr="00E968AC">
        <w:rPr>
          <w:rFonts w:ascii="Traditional Arabic" w:hAnsi="Traditional Arabic" w:cs="Traditional Arabic" w:hint="cs"/>
          <w:noProof/>
          <w:sz w:val="28"/>
          <w:szCs w:val="28"/>
          <w:rtl/>
          <w:lang w:bidi="ar-EG"/>
        </w:rPr>
        <w:t xml:space="preserve">، </w:t>
      </w:r>
      <w:r w:rsidR="00B70967" w:rsidRPr="00E968AC">
        <w:rPr>
          <w:rFonts w:ascii="Traditional Arabic" w:hAnsi="Traditional Arabic" w:cs="Traditional Arabic" w:hint="cs"/>
          <w:noProof/>
          <w:sz w:val="28"/>
          <w:szCs w:val="28"/>
          <w:lang w:bidi="ar-EG"/>
        </w:rPr>
        <w:t>Samman A.</w:t>
      </w:r>
      <w:r w:rsidR="00B70967" w:rsidRPr="00E968AC">
        <w:rPr>
          <w:rFonts w:ascii="Traditional Arabic" w:hAnsi="Traditional Arabic" w:cs="Traditional Arabic" w:hint="cs"/>
          <w:noProof/>
          <w:sz w:val="28"/>
          <w:szCs w:val="28"/>
          <w:rtl/>
          <w:lang w:bidi="ar-EG"/>
        </w:rPr>
        <w:t>)</w:t>
      </w:r>
      <w:r>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rPr>
        <w:t>إلى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هذه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تشمل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الخدمات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توزيع</w:t>
      </w:r>
      <w:r w:rsidRPr="00D57CEF">
        <w:rPr>
          <w:rFonts w:ascii="Traditional Arabic" w:hAnsi="Traditional Arabic" w:cs="Traditional Arabic"/>
          <w:sz w:val="28"/>
          <w:szCs w:val="28"/>
          <w:rtl/>
        </w:rPr>
        <w:t xml:space="preserve"> 182 </w:t>
      </w:r>
      <w:r w:rsidRPr="00D57CEF">
        <w:rPr>
          <w:rFonts w:ascii="Traditional Arabic" w:hAnsi="Traditional Arabic" w:cs="Traditional Arabic" w:hint="cs"/>
          <w:sz w:val="28"/>
          <w:szCs w:val="28"/>
          <w:rtl/>
        </w:rPr>
        <w:t>استبيانًا،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عينة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عشوائية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بسيطة،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الموظفين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مختلف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التخصصات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الانحدار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البسيط</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والمتعدد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لتحليل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البيانات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واختبار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الفرضيات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تكشف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النتائج</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الرئيسية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وجود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دلالة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إحصائية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للحواجز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بأبعادها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المختلفة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الشركات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التجارية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حيث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كانت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الأبعاد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الأكثر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الوضع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تليها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ومشاركتها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يوصي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السلبية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تجاه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شأنه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توسيع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رؤية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تولي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w:t>
      </w:r>
    </w:p>
    <w:p w14:paraId="362210B5" w14:textId="77777777" w:rsidR="00E853D0" w:rsidRDefault="00E853D0" w:rsidP="00E853D0">
      <w:pPr>
        <w:bidi/>
        <w:spacing w:line="360" w:lineRule="auto"/>
        <w:jc w:val="both"/>
        <w:rPr>
          <w:rFonts w:ascii="Traditional Arabic" w:hAnsi="Traditional Arabic" w:cs="Traditional Arabic"/>
          <w:sz w:val="28"/>
          <w:szCs w:val="28"/>
          <w:rtl/>
        </w:rPr>
      </w:pPr>
    </w:p>
    <w:p w14:paraId="53E7ADDE" w14:textId="77777777" w:rsidR="00E853D0" w:rsidRPr="00AF5F0D" w:rsidRDefault="00E853D0" w:rsidP="00E853D0">
      <w:pPr>
        <w:bidi/>
        <w:spacing w:line="360" w:lineRule="auto"/>
        <w:jc w:val="both"/>
        <w:rPr>
          <w:rFonts w:ascii="Traditional Arabic" w:hAnsi="Traditional Arabic" w:cs="Traditional Arabic"/>
          <w:sz w:val="28"/>
          <w:szCs w:val="28"/>
          <w:rtl/>
        </w:rPr>
      </w:pPr>
    </w:p>
    <w:p w14:paraId="7A060DBD"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التنظيمية)</w:t>
      </w:r>
      <w:r w:rsidRPr="000C6D1E">
        <w:rPr>
          <w:rFonts w:ascii="Traditional Arabic" w:hAnsi="Traditional Arabic" w:cs="Traditional Arabic"/>
          <w:b/>
          <w:bCs/>
          <w:sz w:val="28"/>
          <w:szCs w:val="28"/>
          <w:u w:val="single"/>
          <w:rtl/>
        </w:rPr>
        <w:t xml:space="preserve"> </w:t>
      </w:r>
    </w:p>
    <w:p w14:paraId="554A01AC"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2920C1">
        <w:rPr>
          <w:rFonts w:ascii="Traditional Arabic" w:hAnsi="Traditional Arabic" w:cs="Traditional Arabic" w:hint="cs"/>
          <w:sz w:val="28"/>
          <w:szCs w:val="28"/>
          <w:rtl/>
          <w:lang w:bidi="ar-EG"/>
        </w:rPr>
        <w:t>الفجوة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دوائر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التعليم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المملكة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العربية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السعودية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ومستمرة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ومنهجية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تبحث</w:t>
      </w:r>
      <w:r w:rsidRPr="002920C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C210D5" w:rsidRPr="00E968AC">
        <w:rPr>
          <w:rFonts w:ascii="Traditional Arabic" w:hAnsi="Traditional Arabic" w:cs="Traditional Arabic" w:hint="cs"/>
          <w:noProof/>
          <w:sz w:val="28"/>
          <w:szCs w:val="28"/>
          <w:rtl/>
          <w:lang w:bidi="ar-EG"/>
        </w:rPr>
        <w:t>(</w:t>
      </w:r>
      <w:r w:rsidR="00C210D5">
        <w:rPr>
          <w:rFonts w:ascii="Traditional Arabic" w:hAnsi="Traditional Arabic" w:cs="Traditional Arabic" w:hint="cs"/>
          <w:noProof/>
          <w:sz w:val="28"/>
          <w:szCs w:val="28"/>
          <w:rtl/>
          <w:lang w:bidi="ar-EG"/>
        </w:rPr>
        <w:t>2022</w:t>
      </w:r>
      <w:r w:rsidR="00C210D5" w:rsidRPr="00E968AC">
        <w:rPr>
          <w:rFonts w:ascii="Traditional Arabic" w:hAnsi="Traditional Arabic" w:cs="Traditional Arabic" w:hint="cs"/>
          <w:noProof/>
          <w:sz w:val="28"/>
          <w:szCs w:val="28"/>
          <w:rtl/>
          <w:lang w:bidi="ar-EG"/>
        </w:rPr>
        <w:t xml:space="preserve">، </w:t>
      </w:r>
      <w:r w:rsidR="00C210D5" w:rsidRPr="00E968AC">
        <w:rPr>
          <w:rFonts w:ascii="Traditional Arabic" w:hAnsi="Traditional Arabic" w:cs="Traditional Arabic" w:hint="cs"/>
          <w:noProof/>
          <w:sz w:val="28"/>
          <w:szCs w:val="28"/>
          <w:lang w:bidi="ar-EG"/>
        </w:rPr>
        <w:t>Bakr</w:t>
      </w:r>
      <w:r w:rsidR="00C210D5" w:rsidRPr="00E968AC">
        <w:rPr>
          <w:rFonts w:ascii="Traditional Arabic" w:hAnsi="Traditional Arabic" w:cs="Traditional Arabic" w:hint="cs"/>
          <w:noProof/>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تجريبياً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كعقبات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تسلط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الضوء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التشجيع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والدعم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تحدده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لتمكينهن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أخذ</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عينة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اللواتي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يشغلن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مناصب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مجموعه</w:t>
      </w:r>
      <w:r w:rsidRPr="002920C1">
        <w:rPr>
          <w:rFonts w:ascii="Traditional Arabic" w:hAnsi="Traditional Arabic" w:cs="Traditional Arabic"/>
          <w:sz w:val="28"/>
          <w:szCs w:val="28"/>
          <w:rtl/>
          <w:lang w:bidi="ar-EG"/>
        </w:rPr>
        <w:t xml:space="preserve"> 74 </w:t>
      </w:r>
      <w:r w:rsidRPr="002920C1">
        <w:rPr>
          <w:rFonts w:ascii="Traditional Arabic" w:hAnsi="Traditional Arabic" w:cs="Traditional Arabic" w:hint="cs"/>
          <w:sz w:val="28"/>
          <w:szCs w:val="28"/>
          <w:rtl/>
          <w:lang w:bidi="ar-EG"/>
        </w:rPr>
        <w:t>استجابة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صحيحة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تمثل</w:t>
      </w:r>
      <w:r w:rsidRPr="002920C1">
        <w:rPr>
          <w:rFonts w:ascii="Traditional Arabic" w:hAnsi="Traditional Arabic" w:cs="Traditional Arabic"/>
          <w:sz w:val="28"/>
          <w:szCs w:val="28"/>
          <w:rtl/>
          <w:lang w:bidi="ar-EG"/>
        </w:rPr>
        <w:t xml:space="preserve"> 90.2٪).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تصميم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استقصائي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البيانات،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وطُلب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درجة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عدم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العناصر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مقياس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ليكرت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5 </w:t>
      </w:r>
      <w:r w:rsidRPr="002920C1">
        <w:rPr>
          <w:rFonts w:ascii="Traditional Arabic" w:hAnsi="Traditional Arabic" w:cs="Traditional Arabic" w:hint="cs"/>
          <w:sz w:val="28"/>
          <w:szCs w:val="28"/>
          <w:rtl/>
          <w:lang w:bidi="ar-EG"/>
        </w:rPr>
        <w:t>نقاط</w:t>
      </w:r>
      <w:r w:rsidRPr="002920C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تجاه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ببيئة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والثقافة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التنظيمية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المتوسط</w:t>
      </w:r>
      <w:r w:rsidRPr="002920C1">
        <w:rPr>
          <w:rFonts w:ascii="Traditional Arabic" w:hAnsi="Traditional Arabic" w:cs="Traditional Arabic"/>
          <w:sz w:val="28"/>
          <w:szCs w:val="28"/>
          <w:rtl/>
          <w:lang w:bidi="ar-EG"/>
        </w:rPr>
        <w:t xml:space="preserve"> </w:t>
      </w:r>
      <w:r w:rsidRPr="002920C1">
        <w:rPr>
          <w:rFonts w:ascii="Times New Roman" w:hAnsi="Times New Roman" w:cs="Times New Roman" w:hint="cs"/>
          <w:sz w:val="28"/>
          <w:szCs w:val="28"/>
          <w:rtl/>
          <w:lang w:bidi="ar-EG"/>
        </w:rPr>
        <w:t>​​</w:t>
      </w:r>
      <w:r w:rsidRPr="002920C1">
        <w:rPr>
          <w:rFonts w:ascii="Traditional Arabic" w:hAnsi="Traditional Arabic" w:cs="Traditional Arabic"/>
          <w:sz w:val="28"/>
          <w:szCs w:val="28"/>
          <w:rtl/>
          <w:lang w:bidi="ar-EG"/>
        </w:rPr>
        <w:t xml:space="preserve">3.71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3.59</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0.77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0.78</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مقارنة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بحياتهم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الشخصية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سجلت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2.66</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0.73)</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كان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للاتفاق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3.42</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0.60).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أيضًا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دلالة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إحصائية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المجموعات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المستجيب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 &lt;0.05)</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العثور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الخاص</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بالمستجيبين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المشرفين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lastRenderedPageBreak/>
        <w:t>عليهم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علاوة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تُظهر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يوجد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بعد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تعديل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وسنوات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يمكن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الاستنتاج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الإناث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والذكور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تأثير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مماثل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تواجه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الوصول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ونظرًا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للترابط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الدراسة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هناك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حاجة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جهود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أكثر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تركيزًا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وجوهرية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لتحقيق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التكافؤ</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خلال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تضييق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والقضاء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النهاية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متنوعة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التوصيات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العليا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للاتحاد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الفلكي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الدولي،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مركز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كمنصة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للتواصل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والتوجيه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برامج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الحالية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والمستقبلية</w:t>
      </w:r>
      <w:r w:rsidRPr="002920C1">
        <w:rPr>
          <w:rFonts w:ascii="Traditional Arabic" w:hAnsi="Traditional Arabic" w:cs="Traditional Arabic"/>
          <w:sz w:val="28"/>
          <w:szCs w:val="28"/>
          <w:rtl/>
          <w:lang w:bidi="ar-EG"/>
        </w:rPr>
        <w:t>.</w:t>
      </w:r>
    </w:p>
    <w:p w14:paraId="132F00A0"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204355230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الس242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(الساعاتي، 2024)</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إلى التعرف على النمط القيادي النسائي السائد بجامعة الملك سعود، وواقع الصحة التنظيمية، والعلاقة بينهما. وتكون مجتمع البحث من الموظفات الإداريات اللاتي يعملن تحت إشراف قيادات نسائية في جامعة الملك سعود، وعددهن (400) موظفة. واعتمدت الباحثة على المنهج المسحي، والاستبانة كأداة لجمع البيانات. وتتلخص أهم النتائج في، أولًا: أن النمط الديمقراطي هو النمط القيادي النسائي السائد والأكثر تطبيق ومساهمة في تحقيق الصحة التنظيمية مقارنة بالنمط الأوتوقراطي والنمط الحر حيث جاء بمتوسط حسابي بلغ (٣.٨١) وبانحراف معياري (٠.٩٥). ثانيًا: أن واقع الصحة التنظيمية لدى الموظفات الإداريات في جامعة الملك سعود جاء بدرجة مرتفعة بمتوسط حسابي بلغ (٣.٧٧) وانحراف معياري (٠.٦٨). ثالثًا: اتضح وجود علاقة طردية بين النمط الديمقراطي والصحة التنظيمية بمعامل ارتباط (0.690) عند مستوى دلالة (0.00)، كما بينت النتائج عدم وجود علاقة بين النمط الأوتوقراطي وكذلك النمط الحر مع الصحة التنظيمية. وأهم التوصيات ترشيح واختيار القيادات النسائية وفقًا لمعايير تولي اهتمامًا بأبعاد الصحة التنظيمية، مع الاهتمام بتقديم الحوافز المادية والمعنوية لهن؛ بغرض الاستمرار في تطبيق النمط القيادي المناسب في سبيل تعزيز مستوى الصحة التنظيمية في الجامعة. العمل على خلق التوازن بين إنتاجية وإنجاز الموظفات الإداريات مع ما يتقاضونه من رواتب وذلك من خلال تقييم الأداء خلال فترات زمنية محددة</w:t>
      </w:r>
      <w:r w:rsidRPr="008E0A54">
        <w:rPr>
          <w:rFonts w:ascii="Traditional Arabic" w:hAnsi="Traditional Arabic" w:cs="Traditional Arabic"/>
          <w:sz w:val="28"/>
          <w:szCs w:val="28"/>
          <w:lang w:bidi="ar-EG"/>
        </w:rPr>
        <w:t>.</w:t>
      </w:r>
    </w:p>
    <w:p w14:paraId="0D37A523" w14:textId="77777777" w:rsidR="00560D63" w:rsidRPr="008E0A54" w:rsidRDefault="00560D63" w:rsidP="00560D63">
      <w:pPr>
        <w:bidi/>
        <w:spacing w:line="360" w:lineRule="auto"/>
        <w:ind w:firstLine="571"/>
        <w:jc w:val="both"/>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هدف بحث </w:t>
      </w:r>
      <w:r w:rsidR="00C210D5" w:rsidRPr="00C210D5">
        <w:rPr>
          <w:rFonts w:ascii="Traditional Arabic" w:hAnsi="Traditional Arabic" w:cs="Traditional Arabic"/>
          <w:sz w:val="28"/>
          <w:szCs w:val="28"/>
          <w:rtl/>
          <w:lang w:bidi="ar-EG"/>
        </w:rPr>
        <w:t>(</w:t>
      </w:r>
      <w:r w:rsidR="00C210D5">
        <w:rPr>
          <w:rFonts w:ascii="Traditional Arabic" w:hAnsi="Traditional Arabic" w:cs="Traditional Arabic" w:hint="cs"/>
          <w:sz w:val="28"/>
          <w:szCs w:val="28"/>
          <w:rtl/>
          <w:lang w:bidi="ar-EG"/>
        </w:rPr>
        <w:t>2024</w:t>
      </w:r>
      <w:r w:rsidR="00C210D5" w:rsidRPr="00C210D5">
        <w:rPr>
          <w:rFonts w:ascii="Traditional Arabic" w:hAnsi="Traditional Arabic" w:cs="Traditional Arabic"/>
          <w:sz w:val="28"/>
          <w:szCs w:val="28"/>
          <w:rtl/>
          <w:lang w:bidi="ar-EG"/>
        </w:rPr>
        <w:t xml:space="preserve">، </w:t>
      </w:r>
      <w:r w:rsidR="00C210D5" w:rsidRPr="00C210D5">
        <w:rPr>
          <w:rFonts w:ascii="Traditional Arabic" w:hAnsi="Traditional Arabic" w:cs="Traditional Arabic"/>
          <w:sz w:val="28"/>
          <w:szCs w:val="28"/>
          <w:lang w:bidi="ar-EG"/>
        </w:rPr>
        <w:t>Al-</w:t>
      </w:r>
      <w:proofErr w:type="spellStart"/>
      <w:r w:rsidR="00C210D5" w:rsidRPr="00C210D5">
        <w:rPr>
          <w:rFonts w:ascii="Traditional Arabic" w:hAnsi="Traditional Arabic" w:cs="Traditional Arabic"/>
          <w:sz w:val="28"/>
          <w:szCs w:val="28"/>
          <w:lang w:bidi="ar-EG"/>
        </w:rPr>
        <w:t>Saati</w:t>
      </w:r>
      <w:proofErr w:type="spellEnd"/>
      <w:r w:rsidR="00C210D5" w:rsidRPr="00C210D5">
        <w:rPr>
          <w:rFonts w:ascii="Traditional Arabic" w:hAnsi="Traditional Arabic" w:cs="Traditional Arabic"/>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معرفة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مجتمع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(400) </w:t>
      </w:r>
      <w:r w:rsidRPr="008E0A54">
        <w:rPr>
          <w:rFonts w:ascii="Traditional Arabic" w:hAnsi="Traditional Arabic" w:cs="Traditional Arabic" w:hint="cs"/>
          <w:sz w:val="28"/>
          <w:szCs w:val="28"/>
          <w:rtl/>
          <w:lang w:bidi="ar-EG"/>
        </w:rPr>
        <w:t>موظفة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اعتمدت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الباحثة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والاستبانة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كأداة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تتلخص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والأكثر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ومساهمة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بلغ</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متوسطه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الحسابي</w:t>
      </w:r>
      <w:r w:rsidRPr="008E0A54">
        <w:rPr>
          <w:rFonts w:ascii="Traditional Arabic" w:hAnsi="Traditional Arabic" w:cs="Traditional Arabic"/>
          <w:sz w:val="28"/>
          <w:szCs w:val="28"/>
          <w:rtl/>
          <w:lang w:bidi="ar-EG"/>
        </w:rPr>
        <w:t xml:space="preserve"> (3.81) </w:t>
      </w:r>
      <w:r w:rsidRPr="008E0A54">
        <w:rPr>
          <w:rFonts w:ascii="Traditional Arabic" w:hAnsi="Traditional Arabic" w:cs="Traditional Arabic" w:hint="cs"/>
          <w:sz w:val="28"/>
          <w:szCs w:val="28"/>
          <w:rtl/>
          <w:lang w:bidi="ar-EG"/>
        </w:rPr>
        <w:t>وانحرافه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المعياري</w:t>
      </w:r>
      <w:r w:rsidRPr="008E0A54">
        <w:rPr>
          <w:rFonts w:ascii="Traditional Arabic" w:hAnsi="Traditional Arabic" w:cs="Traditional Arabic"/>
          <w:sz w:val="28"/>
          <w:szCs w:val="28"/>
          <w:rtl/>
          <w:lang w:bidi="ar-EG"/>
        </w:rPr>
        <w:t xml:space="preserve"> (0.95).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مرتفعًا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بمتوسط</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حسابي</w:t>
      </w:r>
      <w:r w:rsidRPr="008E0A54">
        <w:rPr>
          <w:rFonts w:ascii="Traditional Arabic" w:hAnsi="Traditional Arabic" w:cs="Traditional Arabic"/>
          <w:sz w:val="28"/>
          <w:szCs w:val="28"/>
          <w:rtl/>
          <w:lang w:bidi="ar-EG"/>
        </w:rPr>
        <w:t xml:space="preserve"> (3.77) </w:t>
      </w:r>
      <w:r w:rsidRPr="008E0A54">
        <w:rPr>
          <w:rFonts w:ascii="Traditional Arabic" w:hAnsi="Traditional Arabic" w:cs="Traditional Arabic" w:hint="cs"/>
          <w:sz w:val="28"/>
          <w:szCs w:val="28"/>
          <w:rtl/>
          <w:lang w:bidi="ar-EG"/>
        </w:rPr>
        <w:t>وانحراف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معياري</w:t>
      </w:r>
      <w:r w:rsidRPr="008E0A54">
        <w:rPr>
          <w:rFonts w:ascii="Traditional Arabic" w:hAnsi="Traditional Arabic" w:cs="Traditional Arabic"/>
          <w:sz w:val="28"/>
          <w:szCs w:val="28"/>
          <w:rtl/>
          <w:lang w:bidi="ar-EG"/>
        </w:rPr>
        <w:t xml:space="preserve"> (0.68).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طردية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بمعامل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(0.690)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(0.00).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الأوتوقراطي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التوصيات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ترشيح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واختيار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معايير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أبعاد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الاهتمام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بتوفير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حوافز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لمواصلة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إنتاجية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وإنجاز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ورواتبهن،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أدائهن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محددة</w:t>
      </w:r>
      <w:r w:rsidRPr="008E0A54">
        <w:rPr>
          <w:rFonts w:ascii="Traditional Arabic" w:hAnsi="Traditional Arabic" w:cs="Traditional Arabic"/>
          <w:sz w:val="28"/>
          <w:szCs w:val="28"/>
          <w:rtl/>
          <w:lang w:bidi="ar-EG"/>
        </w:rPr>
        <w:t>.</w:t>
      </w:r>
    </w:p>
    <w:p w14:paraId="2AC6ED3C"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دخلن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بالفعل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وظائف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مغلقة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سابقًا،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قبل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قرن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يشبهه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الإلزامية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ينبغي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وتوفر</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C210D5" w:rsidRPr="00E968AC">
        <w:rPr>
          <w:rFonts w:ascii="Traditional Arabic" w:hAnsi="Traditional Arabic" w:cs="Traditional Arabic" w:hint="cs"/>
          <w:noProof/>
          <w:sz w:val="28"/>
          <w:szCs w:val="28"/>
          <w:rtl/>
          <w:lang w:bidi="ar-EG"/>
        </w:rPr>
        <w:t>(</w:t>
      </w:r>
      <w:r w:rsidR="00C210D5">
        <w:rPr>
          <w:rFonts w:ascii="Traditional Arabic" w:hAnsi="Traditional Arabic" w:cs="Traditional Arabic" w:hint="cs"/>
          <w:noProof/>
          <w:sz w:val="28"/>
          <w:szCs w:val="28"/>
          <w:rtl/>
          <w:lang w:bidi="ar-EG"/>
        </w:rPr>
        <w:t>2020</w:t>
      </w:r>
      <w:r w:rsidR="00C210D5" w:rsidRPr="00E968AC">
        <w:rPr>
          <w:rFonts w:ascii="Traditional Arabic" w:hAnsi="Traditional Arabic" w:cs="Traditional Arabic" w:hint="cs"/>
          <w:noProof/>
          <w:sz w:val="28"/>
          <w:szCs w:val="28"/>
          <w:rtl/>
          <w:lang w:bidi="ar-EG"/>
        </w:rPr>
        <w:t xml:space="preserve">، </w:t>
      </w:r>
      <w:r w:rsidR="00C210D5" w:rsidRPr="00E968AC">
        <w:rPr>
          <w:rFonts w:ascii="Traditional Arabic" w:hAnsi="Traditional Arabic" w:cs="Traditional Arabic" w:hint="cs"/>
          <w:noProof/>
          <w:sz w:val="28"/>
          <w:szCs w:val="28"/>
          <w:lang w:bidi="ar-EG"/>
        </w:rPr>
        <w:t>Authors</w:t>
      </w:r>
      <w:r w:rsidR="00C210D5" w:rsidRPr="00E968AC">
        <w:rPr>
          <w:rFonts w:ascii="Traditional Arabic" w:hAnsi="Traditional Arabic" w:cs="Traditional Arabic" w:hint="cs"/>
          <w:noProof/>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للاختلافات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وتخلص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w:t>
      </w:r>
    </w:p>
    <w:p w14:paraId="2C87CF25"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68844044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مخل20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(مخلوف، 2020)</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معرفة درجة توافر أبعاد التمکين الإداري لدى القيادات النسائية في جامعة جازان، وکيفية مساهماتهن في تطوير التعليم الجامعي وإحداث عمليات التغيير، واقتراح مجموعة من الآليات والتوصيات الإجرائية لتفعيل دور جامعة جازان في تعزيز التمکين الإداري لدى القيادات النسائية بها. ولتحقيق أهداف الدراسة صممت الباحثة استبانة، وُجهت إلى المجتمع الکلي من القيادات النسائية بکليات جامعة جازان، والذي يتکون من عميدات ووکيلات الکليات ورئيسات الأقسام، وشملت العينة (57) قائدة نسائية. وتکونت الاستبانة من قسمين، اشتمل القسم الأول على البيانات الأساسية التي تحدد خصائص أفراد العينة، بينما تضمن القسم الثاني خمسة أبعاد تتعلق بـ "التمکين الإداري"، وهي أبعاد: تفويض السُلطة، والعمل الجماعي، والتدريب، والتحفيز، والاتصال الفعّال على التوالي. واتبعت الباحثة المنهج الوصفي، واستخدمت برنامج</w:t>
      </w:r>
      <w:r w:rsidRPr="008E0A54">
        <w:rPr>
          <w:rFonts w:ascii="Traditional Arabic" w:hAnsi="Traditional Arabic" w:cs="Traditional Arabic"/>
          <w:sz w:val="28"/>
          <w:szCs w:val="28"/>
          <w:lang w:bidi="ar-EG"/>
        </w:rPr>
        <w:t xml:space="preserve"> (SPSS) </w:t>
      </w:r>
      <w:r w:rsidRPr="008E0A54">
        <w:rPr>
          <w:rFonts w:ascii="Traditional Arabic" w:hAnsi="Traditional Arabic" w:cs="Traditional Arabic"/>
          <w:sz w:val="28"/>
          <w:szCs w:val="28"/>
          <w:rtl/>
        </w:rPr>
        <w:t xml:space="preserve">في المعالجات الإحصائية وحساب متغيرات الدراسة (الکلية، سنوات الخبرة، التفرغ للعمل الإداري، والدورات التدريبية). وأوضحت النتائج أن القيادات النسائية في جامعة جازان تمتلک – إلى حد کبير- مهارات التمکين الإداري المتعلقة بأربعة أبعاد فقط هي: العمل الجماعي، والتدريب، والتحفيز، والاتصال الفعّال، بينما لا تمتلک مهارات تفويض السُلطة لأن جامعة جازان تتبع النظام المرکزي في الإدارة الذي لا يسمح لهن اتخاذ القرارات دون الرجوع إلى الإدارة العُليا بالجامعة. کذلک لا توجد فروق ذات دلالة إحصائية وفقاً </w:t>
      </w:r>
      <w:r w:rsidRPr="008E0A54">
        <w:rPr>
          <w:rFonts w:ascii="Traditional Arabic" w:hAnsi="Traditional Arabic" w:cs="Traditional Arabic"/>
          <w:sz w:val="28"/>
          <w:szCs w:val="28"/>
          <w:rtl/>
        </w:rPr>
        <w:lastRenderedPageBreak/>
        <w:t>لاستجابات أفراد العينة تعزى إلى متغيرات الکلية، وسنوات الخبرة، والدورات التدريبية، بينما توجد فروق ذات دلالة إحصائية وفقاً لاستجابات أفراد العينة تعزى إلى متغير "التفرغ للعمل الإداري"، جاءت لصالح القيادات النسائية المتفرغة کلياً لممارسة العمل الإداري. ومن أهم توصيات الدراسة: تعزيز المناخ التنظيمي المناسب الذي تعمل وفقاً له إدارة جامعة جازان ويشجع القيادات النسائية على ممارسة التمکين الإداري فکرياً وعملياً، وتفعيل الاتجاه نحو لامرکزية الإدارة، وإظهار شخصيات القيادات النسائية ومواهبها، ودعم تفويض الصلاحيات لهن، وزيادة الحوافز للمتميزات منهن</w:t>
      </w:r>
      <w:r w:rsidRPr="008E0A54">
        <w:rPr>
          <w:rFonts w:ascii="Traditional Arabic" w:hAnsi="Traditional Arabic" w:cs="Traditional Arabic"/>
          <w:sz w:val="28"/>
          <w:szCs w:val="28"/>
          <w:lang w:bidi="ar-EG"/>
        </w:rPr>
        <w:t>.</w:t>
      </w:r>
    </w:p>
    <w:p w14:paraId="712288B1"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يُعدّ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وتهيئة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مريحة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جزءًا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غالبًا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تظهر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يجب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التغلّب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مجموعة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متنوعة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يصبحن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الخلفية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المذكورة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أعلاه،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نراجع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وندمج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وتحديدًا،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ندرس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الخارجية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والداخلية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العقبات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الطامحات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منظور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جنساني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واستنادًا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نناقش</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الآثار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المترتبة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Pr>
          <w:rFonts w:ascii="Traditional Arabic" w:hAnsi="Traditional Arabic" w:cs="Traditional Arabic" w:hint="cs"/>
          <w:sz w:val="28"/>
          <w:szCs w:val="28"/>
          <w:rtl/>
          <w:lang w:bidi="ar-EG"/>
        </w:rPr>
        <w:t xml:space="preserve"> </w:t>
      </w:r>
      <w:r w:rsidR="00C210D5" w:rsidRPr="00E968AC">
        <w:rPr>
          <w:rFonts w:ascii="Traditional Arabic" w:hAnsi="Traditional Arabic" w:cs="Traditional Arabic" w:hint="cs"/>
          <w:noProof/>
          <w:sz w:val="28"/>
          <w:szCs w:val="28"/>
          <w:rtl/>
          <w:lang w:bidi="ar-EG"/>
        </w:rPr>
        <w:t>(</w:t>
      </w:r>
      <w:r w:rsidR="00C210D5">
        <w:rPr>
          <w:rFonts w:ascii="Traditional Arabic" w:hAnsi="Traditional Arabic" w:cs="Traditional Arabic" w:hint="cs"/>
          <w:noProof/>
          <w:sz w:val="28"/>
          <w:szCs w:val="28"/>
          <w:rtl/>
          <w:lang w:bidi="ar-EG"/>
        </w:rPr>
        <w:t>2023</w:t>
      </w:r>
      <w:r w:rsidR="00C210D5" w:rsidRPr="00E968AC">
        <w:rPr>
          <w:rFonts w:ascii="Traditional Arabic" w:hAnsi="Traditional Arabic" w:cs="Traditional Arabic" w:hint="cs"/>
          <w:noProof/>
          <w:sz w:val="28"/>
          <w:szCs w:val="28"/>
          <w:rtl/>
          <w:lang w:bidi="ar-EG"/>
        </w:rPr>
        <w:t xml:space="preserve">، </w:t>
      </w:r>
      <w:r w:rsidR="00C210D5" w:rsidRPr="00E968AC">
        <w:rPr>
          <w:rFonts w:ascii="Traditional Arabic" w:hAnsi="Traditional Arabic" w:cs="Traditional Arabic" w:hint="cs"/>
          <w:noProof/>
          <w:sz w:val="28"/>
          <w:szCs w:val="28"/>
          <w:lang w:bidi="ar-EG"/>
        </w:rPr>
        <w:t>Galsanjigmed</w:t>
      </w:r>
      <w:r w:rsidR="00C210D5" w:rsidRPr="00E968AC">
        <w:rPr>
          <w:rFonts w:ascii="Traditional Arabic" w:hAnsi="Traditional Arabic" w:cs="Traditional Arabic" w:hint="cs"/>
          <w:noProof/>
          <w:sz w:val="28"/>
          <w:szCs w:val="28"/>
          <w:rtl/>
          <w:lang w:bidi="ar-EG"/>
        </w:rPr>
        <w:t>)</w:t>
      </w:r>
      <w:r w:rsidRPr="008E0A54">
        <w:rPr>
          <w:rFonts w:ascii="Traditional Arabic" w:hAnsi="Traditional Arabic" w:cs="Traditional Arabic"/>
          <w:sz w:val="28"/>
          <w:szCs w:val="28"/>
          <w:rtl/>
          <w:lang w:bidi="ar-EG"/>
        </w:rPr>
        <w:t>.</w:t>
      </w:r>
    </w:p>
    <w:p w14:paraId="54E2EEBA"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التطورات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الحديثة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عديدة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تتعلق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المتحيزة،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شبكات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والخضوع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لتدقيق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مُفرط،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والحاجة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إظهار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مساهماتهن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أكبر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تُفاقم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ذكورية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يُخفف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تتمتع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أفضل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والتعاطف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احتياجاتهن،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وتقديم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والدعوة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مُنصفة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تتناول</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C210D5" w:rsidRPr="00E968AC">
        <w:rPr>
          <w:rFonts w:ascii="Traditional Arabic" w:hAnsi="Traditional Arabic" w:cs="Traditional Arabic" w:hint="cs"/>
          <w:noProof/>
          <w:sz w:val="28"/>
          <w:szCs w:val="28"/>
          <w:rtl/>
          <w:lang w:bidi="ar-EG"/>
        </w:rPr>
        <w:t>(</w:t>
      </w:r>
      <w:r w:rsidR="00C210D5">
        <w:rPr>
          <w:rFonts w:ascii="Traditional Arabic" w:hAnsi="Traditional Arabic" w:cs="Traditional Arabic" w:hint="cs"/>
          <w:noProof/>
          <w:sz w:val="28"/>
          <w:szCs w:val="28"/>
          <w:rtl/>
          <w:lang w:bidi="ar-EG"/>
        </w:rPr>
        <w:t>2025</w:t>
      </w:r>
      <w:r w:rsidR="00C210D5" w:rsidRPr="00E968AC">
        <w:rPr>
          <w:rFonts w:ascii="Traditional Arabic" w:hAnsi="Traditional Arabic" w:cs="Traditional Arabic" w:hint="cs"/>
          <w:noProof/>
          <w:sz w:val="28"/>
          <w:szCs w:val="28"/>
          <w:rtl/>
          <w:lang w:bidi="ar-EG"/>
        </w:rPr>
        <w:t xml:space="preserve">، </w:t>
      </w:r>
      <w:r w:rsidR="00C210D5" w:rsidRPr="00E968AC">
        <w:rPr>
          <w:rFonts w:ascii="Traditional Arabic" w:hAnsi="Traditional Arabic" w:cs="Traditional Arabic" w:hint="cs"/>
          <w:noProof/>
          <w:sz w:val="28"/>
          <w:szCs w:val="28"/>
          <w:lang w:bidi="ar-EG"/>
        </w:rPr>
        <w:t>Latorre</w:t>
      </w:r>
      <w:r w:rsidR="00C210D5" w:rsidRPr="00E968AC">
        <w:rPr>
          <w:rFonts w:ascii="Traditional Arabic" w:hAnsi="Traditional Arabic" w:cs="Traditional Arabic" w:hint="cs"/>
          <w:noProof/>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المباشر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وتأثيراتهما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التفاعلية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العينة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579 </w:t>
      </w:r>
      <w:r w:rsidRPr="008E0A54">
        <w:rPr>
          <w:rFonts w:ascii="Traditional Arabic" w:hAnsi="Traditional Arabic" w:cs="Traditional Arabic" w:hint="cs"/>
          <w:sz w:val="28"/>
          <w:szCs w:val="28"/>
          <w:rtl/>
          <w:lang w:bidi="ar-EG"/>
        </w:rPr>
        <w:t>امرأة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ثلاث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إسبانية،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تتراوح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التنفيذيات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ومسؤولات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البنوك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proofErr w:type="spellStart"/>
      <w:r w:rsidRPr="008E0A54">
        <w:rPr>
          <w:rFonts w:ascii="Traditional Arabic" w:hAnsi="Traditional Arabic" w:cs="Traditional Arabic"/>
          <w:sz w:val="28"/>
          <w:szCs w:val="28"/>
          <w:lang w:bidi="ar-EG"/>
        </w:rPr>
        <w:t>Mplus</w:t>
      </w:r>
      <w:proofErr w:type="spellEnd"/>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لربط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المرتبطة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يُقلل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المتكافئ</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هناك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تفاعلي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مشرفون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يُلاحظ</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وبالتالي،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فإن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يعتمد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سلوكياتهن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التخفيف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الإشراف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w:t>
      </w:r>
    </w:p>
    <w:p w14:paraId="20ED3C4D" w14:textId="7777777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ثبت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المعترف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أيضًا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ممثلات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ناقصًا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والتكنولوجيا،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يؤدي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هدر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الجهود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ونقص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الأبحاث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تركز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الأنشطة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وللرد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الفجوة،</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r w:rsidR="000304FD" w:rsidRPr="00E968AC">
        <w:rPr>
          <w:rFonts w:ascii="Traditional Arabic" w:hAnsi="Traditional Arabic" w:cs="Traditional Arabic" w:hint="cs"/>
          <w:noProof/>
          <w:sz w:val="28"/>
          <w:szCs w:val="28"/>
          <w:rtl/>
          <w:lang w:bidi="ar-EG"/>
        </w:rPr>
        <w:t>(</w:t>
      </w:r>
      <w:r w:rsidR="000304FD">
        <w:rPr>
          <w:rFonts w:ascii="Traditional Arabic" w:hAnsi="Traditional Arabic" w:cs="Traditional Arabic" w:hint="cs"/>
          <w:noProof/>
          <w:sz w:val="28"/>
          <w:szCs w:val="28"/>
          <w:rtl/>
          <w:lang w:bidi="ar-EG"/>
        </w:rPr>
        <w:t>2017</w:t>
      </w:r>
      <w:r w:rsidR="000304FD" w:rsidRPr="00E968AC">
        <w:rPr>
          <w:rFonts w:ascii="Traditional Arabic" w:hAnsi="Traditional Arabic" w:cs="Traditional Arabic" w:hint="cs"/>
          <w:noProof/>
          <w:sz w:val="28"/>
          <w:szCs w:val="28"/>
          <w:rtl/>
          <w:lang w:bidi="ar-EG"/>
        </w:rPr>
        <w:t xml:space="preserve">، </w:t>
      </w:r>
      <w:r w:rsidR="000304FD" w:rsidRPr="00E968AC">
        <w:rPr>
          <w:rFonts w:ascii="Traditional Arabic" w:hAnsi="Traditional Arabic" w:cs="Traditional Arabic" w:hint="cs"/>
          <w:noProof/>
          <w:sz w:val="28"/>
          <w:szCs w:val="28"/>
          <w:lang w:bidi="ar-EG"/>
        </w:rPr>
        <w:t>Nguyen-Duc</w:t>
      </w:r>
      <w:r w:rsidR="000304FD" w:rsidRPr="00E968AC">
        <w:rPr>
          <w:rFonts w:ascii="Traditional Arabic" w:hAnsi="Traditional Arabic" w:cs="Traditional Arabic" w:hint="cs"/>
          <w:noProof/>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تجربة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تطوير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البرمجيات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المحتملة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متعددة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والمقابلات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والملاحظة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وتقارير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أبلغنا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بعض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وجدنا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لاحظنا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محتمل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الإنسان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سيناريوهات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المنخفضة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العالية</w:t>
      </w:r>
      <w:r w:rsidRPr="008E0A54">
        <w:rPr>
          <w:rFonts w:ascii="Traditional Arabic" w:hAnsi="Traditional Arabic" w:cs="Traditional Arabic"/>
          <w:sz w:val="28"/>
          <w:szCs w:val="28"/>
          <w:rtl/>
          <w:lang w:bidi="ar-EG"/>
        </w:rPr>
        <w:t>.</w:t>
      </w:r>
    </w:p>
    <w:p w14:paraId="482F0A92" w14:textId="77777777" w:rsidR="00E853D0" w:rsidRPr="00AF5F0D" w:rsidRDefault="00E853D0" w:rsidP="00E853D0">
      <w:pPr>
        <w:bidi/>
        <w:spacing w:line="360" w:lineRule="auto"/>
        <w:jc w:val="both"/>
        <w:rPr>
          <w:rFonts w:ascii="Traditional Arabic" w:hAnsi="Traditional Arabic" w:cs="Traditional Arabic"/>
          <w:sz w:val="28"/>
          <w:szCs w:val="28"/>
          <w:rtl/>
          <w:lang w:bidi="ar-EG"/>
        </w:rPr>
      </w:pPr>
    </w:p>
    <w:p w14:paraId="4FB57082" w14:textId="77777777" w:rsidR="00560D63" w:rsidRDefault="00560D63" w:rsidP="00560D63">
      <w:pPr>
        <w:bidi/>
        <w:spacing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الا</w:t>
      </w:r>
      <w:r w:rsidR="00830357">
        <w:rPr>
          <w:rFonts w:ascii="Traditional Arabic" w:hAnsi="Traditional Arabic" w:cs="Traditional Arabic" w:hint="cs"/>
          <w:b/>
          <w:bCs/>
          <w:sz w:val="28"/>
          <w:szCs w:val="28"/>
          <w:u w:val="single"/>
          <w:rtl/>
        </w:rPr>
        <w:t>جتماعية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7EAA1386" w14:textId="77777777" w:rsidR="00830357" w:rsidRPr="00437642" w:rsidRDefault="00830357" w:rsidP="00830357">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تتحدد فرص المرأة في الوصول إلى الوظائف القيادية بعدد من العوامل الشخصية والتنظيمية والبيئية والاجتماعية</w:t>
      </w:r>
      <w:r w:rsidR="00BE62D5">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فالتدرج الوظيفي والخبرة والكفاءة تمثل مسارات مهمة للوصول إلى القيادة، في حين يمكن للأعباء الأسرية والتنشئة الاجتماعية ونظرة المجتمع لعمل المرأة القيادي والتمييز في المعاملة أن تحد من تقدمها وقد جمعت البيانات بالاستبيان إلى جانب مقابلات مع عدد من القيادات النسائية (رسلان، 2017).</w:t>
      </w:r>
    </w:p>
    <w:p w14:paraId="5DBBF5E3" w14:textId="77777777"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 xml:space="preserve">تتنوع معوقات تمكين المرأة بين عوامل ذاتية واجتماعية وتنظيمية واقتصادية وتعليمية، ويظهر الجانب الاجتماعي في ضعف الوعي بأهمية تمكين المرأة، ونقص التقدير والدعم، والتمييز لصالح الجنس الآخر. ويُعد التدريب ونشر الوعي وتوسيع فرص الوصول </w:t>
      </w:r>
      <w:r w:rsidRPr="00437642">
        <w:rPr>
          <w:rFonts w:ascii="Traditional Arabic" w:hAnsi="Traditional Arabic" w:cs="Traditional Arabic"/>
          <w:sz w:val="28"/>
          <w:szCs w:val="28"/>
          <w:rtl/>
        </w:rPr>
        <w:lastRenderedPageBreak/>
        <w:t>إلى المعرفة والتكنولوجيا من الوسائل التي يمكن أن تدعم مشاركة المرأة في العمل واتخاذ القرار (أبو كليلة، 2017).</w:t>
      </w:r>
    </w:p>
    <w:p w14:paraId="0ED4E933" w14:textId="77777777"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لا يتوقف تمكين المرأة من حقوقها القانونية على وجود النصوص والتشريعات فقط، بل يتأثر أيضًا بمدى تفعيلها وبالبيئة الاجتماعية والثقافية التي تعيش فيها المرأة</w:t>
      </w:r>
      <w:r w:rsidR="00437642" w:rsidRPr="00437642">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وتظهر معوقات التمكين في صور اجتماعية واقتصادية وسياسية وقانونية، بما يجعل دعم المشاركة وتفعيل الأطر القانونية والمؤسسية ضروريًا للاستفادة الفعلية من الحقوق المتاحة</w:t>
      </w:r>
      <w:r w:rsidR="00437642" w:rsidRPr="00437642">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(اللحمدي، 2018).</w:t>
      </w:r>
    </w:p>
    <w:p w14:paraId="1902F3F1" w14:textId="77777777" w:rsidR="00F66693" w:rsidRPr="00F91271"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يرتبط مستوى تمكين المرأة بدرجة مشاركتها في القوى العاملة، مع اختلاف قوة هذا الارتباط باختلاف السياق الاقتصادي للدول وفي عينة شملت خمس عشرة دولة عربية، ظهر أثر إيجابي ومعنوي لمؤشر التمكين التراكمي في مشاركة المرأة في القوى العاملة لدى مجموعة الدول مرتفعة الدخل، كما برز تأثير القيم المحلية والتقاليد والأدوار الاجتماعية وأعباء العمل المنزلي في قرارات المشاركة الاقتصادية</w:t>
      </w:r>
      <w:r w:rsidR="00437642" w:rsidRPr="00437642">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(شملاوي وسقف الحيط، 2019).</w:t>
      </w:r>
    </w:p>
    <w:p w14:paraId="215510B0" w14:textId="77777777"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يتكون تمكين المرأة من بعد داخلي يرتبط بالتمكين النفسي، وبعد خارجي يشمل صورًا متعددة مثل التمكين الاقتصادي والاجتماعي والسياسي والقانوني والتعليمي والصحي. ولذلك فإن التمكين عملية مركبة تحتاج إلى رغبة وقدرة لدى المرأة، إلى جانب بيئة محيطة توفر الدعم وتحد من التحديات التي تعوق فاعليتها ومشاركتها في الحياة العامة والعمل(الكعبي، 2020).</w:t>
      </w:r>
    </w:p>
    <w:p w14:paraId="576DE2E3" w14:textId="77777777" w:rsidR="00F66693" w:rsidRPr="00F91271"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يرتبط نمو الأعمال الريادية للمرأة بدرجة التمكين المتاحة لها، ولا سيما في أبعاده القيادية والقانونية والاقتصادية والمالية. ومن أصل (250) استبانة وُزعت على رائدات أعمال تلقين دعمًا من منظمات المجتمع المدني، بلغ عدد الاستبانات الصالحة للتحليل (214)، وأظهرت النتائج أثرًا ذا دلالة إحصائية لأبعاد التمكين مجتمعة في نمو الأعمال الريادية، مع بروز الأثر الأكبر للتمكين الاقتصادي والمالي (العاجيب وجواد، 2020).</w:t>
      </w:r>
    </w:p>
    <w:p w14:paraId="2DA60C16" w14:textId="77777777"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لا تكفي الاستجابات الدستورية والقانونية وحدها لضمان حضور فعلي للمرأة في مواقع صنع القرار</w:t>
      </w:r>
      <w:r w:rsidR="00BE62D5">
        <w:rPr>
          <w:rFonts w:ascii="Traditional Arabic" w:hAnsi="Traditional Arabic" w:cs="Traditional Arabic" w:hint="cs"/>
          <w:sz w:val="28"/>
          <w:szCs w:val="28"/>
          <w:rtl/>
        </w:rPr>
        <w:t xml:space="preserve"> </w:t>
      </w:r>
      <w:r w:rsidRPr="00437642">
        <w:rPr>
          <w:rFonts w:ascii="Traditional Arabic" w:hAnsi="Traditional Arabic" w:cs="Traditional Arabic"/>
          <w:sz w:val="28"/>
          <w:szCs w:val="28"/>
          <w:rtl/>
        </w:rPr>
        <w:t>إذ قد يظل تمثيلها محدودًا رغم الاعتراف بقدراتها العلمية والمهنية، بسبب استمرار بعض الإشكالات الاجتماعية والسياسية والممارسات التي تحد من المشاركة. ومن ثم تبرز أهمية تفعيل مبدأ المساواة وتوسيع الفرص على أساس الكفاءة والقدرة على المشاركة في اتخاذ القرار(بن عثمان، 2020).</w:t>
      </w:r>
    </w:p>
    <w:p w14:paraId="562A77DD" w14:textId="77777777" w:rsidR="00F66693" w:rsidRPr="00F91271"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تعكس المرأة المقاولة جانبًا من تحولات النسق الاجتماعي واتساع الأدوار الاجتماعية والاقتصادية للمرأة، حيث يرتبط تعزيز مشاركتها بدعم وجودها في المؤسسات الاقتصادية من دون تمييز أو إقصاء، وتطوير إعدادها العلمي وتأهيلها المهني ودمجها في عملية الإنتاج الاجتماعي، إلى جانب توسيع حضورها في مواقع المسؤولية واتخاذ القرار (الجزار، 2021).</w:t>
      </w:r>
    </w:p>
    <w:p w14:paraId="36454B41" w14:textId="77777777" w:rsidR="00F66693" w:rsidRPr="00437642"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lastRenderedPageBreak/>
        <w:t>تتأثر قيادة المرأة في قطاع الرعاية الصحية بطبيعة السياق الاجتماعي والثقافي المحيط بها؛ فقد كشفت (36) مقابلة فردية معمقة مع قادة من النساء والرجال في اليونان ومالطا عن عوائق متكررة شملت التوازن بين العمل والحياة، ونقص الدعم الأسري أو الزوجي، والثقافة، والصور النمطية، والتحيز الجنساني، ونقص الدعم الاجتماعي، مع اختلاف قوة هذه العوائق من مجتمع إلى آخر، (Kalaitzi et al., 2019).</w:t>
      </w:r>
    </w:p>
    <w:p w14:paraId="1B64BAA8" w14:textId="77777777" w:rsidR="00F66693" w:rsidRPr="00F91271" w:rsidRDefault="00777236">
      <w:pPr>
        <w:bidi/>
        <w:spacing w:line="360" w:lineRule="auto"/>
        <w:ind w:firstLine="571"/>
        <w:jc w:val="both"/>
        <w:rPr>
          <w:rFonts w:ascii="Traditional Arabic" w:hAnsi="Traditional Arabic" w:cs="Traditional Arabic"/>
          <w:sz w:val="28"/>
          <w:szCs w:val="28"/>
          <w:rtl/>
          <w:lang w:bidi="ar-EG"/>
        </w:rPr>
      </w:pPr>
      <w:r w:rsidRPr="00437642">
        <w:rPr>
          <w:rFonts w:ascii="Traditional Arabic" w:hAnsi="Traditional Arabic" w:cs="Traditional Arabic"/>
          <w:sz w:val="28"/>
          <w:szCs w:val="28"/>
          <w:rtl/>
        </w:rPr>
        <w:t>تؤثر الحواجز المجتمعية والثقافية في مساهمة المرأة في قطاع الخدمات الخاص، ويظهر هذا التأثير بصورة خاصة في الوضع الاجتماعي للمرأة ونظرة المجتمع لعملها ومشاركتها في المناصب القيادية. وقد أظهرت بيانات (182) استبانة في البحرين، بعد تحليلها بالانحدار البسيط والمتعدد، وجود أثر ذي دلالة إحصائية لهذه الحواجز في عمل المرأة، بما يبرز أهمية تحسين النظرة المجتمعية تجاه المرأة العاملة ودعم اتساع مشاركتها القيادية (Al Samman et al., 2021).</w:t>
      </w:r>
    </w:p>
    <w:p w14:paraId="025981CC" w14:textId="77777777" w:rsidR="00560D63" w:rsidRPr="00F91271" w:rsidRDefault="00560D63" w:rsidP="00AF19F0">
      <w:pPr>
        <w:spacing w:line="360" w:lineRule="auto"/>
        <w:jc w:val="center"/>
        <w:rPr>
          <w:sz w:val="28"/>
          <w:szCs w:val="28"/>
          <w:rtl/>
          <w:lang w:bidi="ar-EG"/>
        </w:rPr>
      </w:pPr>
    </w:p>
    <w:p w14:paraId="3ED51C84" w14:textId="77777777" w:rsidR="00560D63" w:rsidRPr="00F91271" w:rsidRDefault="00560D63" w:rsidP="00AF19F0">
      <w:pPr>
        <w:spacing w:line="360" w:lineRule="auto"/>
        <w:jc w:val="center"/>
        <w:rPr>
          <w:sz w:val="28"/>
          <w:szCs w:val="28"/>
          <w:rtl/>
        </w:rPr>
      </w:pPr>
    </w:p>
    <w:p w14:paraId="10B3D0A5" w14:textId="77777777" w:rsidR="00560D63" w:rsidRPr="00F91271" w:rsidRDefault="00560D63" w:rsidP="00AF19F0">
      <w:pPr>
        <w:spacing w:line="360" w:lineRule="auto"/>
        <w:jc w:val="center"/>
        <w:rPr>
          <w:sz w:val="28"/>
          <w:szCs w:val="28"/>
          <w:rtl/>
        </w:rPr>
      </w:pPr>
    </w:p>
    <w:p w14:paraId="5D580881" w14:textId="77777777" w:rsidR="00560D63" w:rsidRPr="00F91271" w:rsidRDefault="00560D63" w:rsidP="00AF19F0">
      <w:pPr>
        <w:spacing w:line="360" w:lineRule="auto"/>
        <w:jc w:val="center"/>
        <w:rPr>
          <w:sz w:val="28"/>
          <w:szCs w:val="28"/>
          <w:rtl/>
        </w:rPr>
      </w:pPr>
    </w:p>
    <w:p w14:paraId="154B3068" w14:textId="77777777" w:rsidR="00560D63" w:rsidRPr="00F91271" w:rsidRDefault="00560D63" w:rsidP="00AF19F0">
      <w:pPr>
        <w:spacing w:line="360" w:lineRule="auto"/>
        <w:jc w:val="center"/>
        <w:rPr>
          <w:sz w:val="28"/>
          <w:szCs w:val="28"/>
          <w:rtl/>
        </w:rPr>
      </w:pPr>
    </w:p>
    <w:p w14:paraId="008CBCB5" w14:textId="77777777" w:rsidR="00560D63" w:rsidRPr="00F91271" w:rsidRDefault="00560D63" w:rsidP="00AF19F0">
      <w:pPr>
        <w:spacing w:line="360" w:lineRule="auto"/>
        <w:jc w:val="center"/>
        <w:rPr>
          <w:sz w:val="28"/>
          <w:szCs w:val="28"/>
          <w:rtl/>
        </w:rPr>
      </w:pPr>
    </w:p>
    <w:p w14:paraId="323024B3" w14:textId="77777777" w:rsidR="00560D63" w:rsidRPr="00F91271" w:rsidRDefault="00560D63" w:rsidP="00AF19F0">
      <w:pPr>
        <w:spacing w:line="360" w:lineRule="auto"/>
        <w:jc w:val="center"/>
        <w:rPr>
          <w:sz w:val="28"/>
          <w:szCs w:val="28"/>
          <w:rtl/>
        </w:rPr>
      </w:pPr>
    </w:p>
    <w:p w14:paraId="7BFCC2AA" w14:textId="77777777" w:rsidR="00560D63" w:rsidRPr="00F91271" w:rsidRDefault="00560D63" w:rsidP="00AF19F0">
      <w:pPr>
        <w:spacing w:line="360" w:lineRule="auto"/>
        <w:jc w:val="center"/>
        <w:rPr>
          <w:sz w:val="28"/>
          <w:szCs w:val="28"/>
          <w:rtl/>
        </w:rPr>
      </w:pPr>
    </w:p>
    <w:p w14:paraId="2AC4DEB8" w14:textId="77777777" w:rsidR="00560D63" w:rsidRPr="00F91271" w:rsidRDefault="00560D63" w:rsidP="00AF19F0">
      <w:pPr>
        <w:spacing w:line="360" w:lineRule="auto"/>
        <w:jc w:val="center"/>
        <w:rPr>
          <w:sz w:val="28"/>
          <w:szCs w:val="28"/>
          <w:rtl/>
        </w:rPr>
      </w:pPr>
    </w:p>
    <w:p w14:paraId="5DA10ABD" w14:textId="77777777" w:rsidR="00560D63" w:rsidRPr="00F91271" w:rsidRDefault="00560D63" w:rsidP="00AF19F0">
      <w:pPr>
        <w:spacing w:line="360" w:lineRule="auto"/>
        <w:jc w:val="center"/>
        <w:rPr>
          <w:sz w:val="28"/>
          <w:szCs w:val="28"/>
          <w:rtl/>
        </w:rPr>
      </w:pPr>
    </w:p>
    <w:p w14:paraId="0625E2F5" w14:textId="77777777" w:rsidR="00560D63" w:rsidRPr="00F91271" w:rsidRDefault="00560D63" w:rsidP="00AF19F0">
      <w:pPr>
        <w:spacing w:line="360" w:lineRule="auto"/>
        <w:jc w:val="center"/>
        <w:rPr>
          <w:sz w:val="28"/>
          <w:szCs w:val="28"/>
          <w:rtl/>
        </w:rPr>
      </w:pPr>
    </w:p>
    <w:p w14:paraId="768092DD" w14:textId="77777777" w:rsidR="00560D63" w:rsidRPr="00F91271" w:rsidRDefault="00560D63" w:rsidP="00AF19F0">
      <w:pPr>
        <w:spacing w:line="360" w:lineRule="auto"/>
        <w:jc w:val="center"/>
        <w:rPr>
          <w:sz w:val="28"/>
          <w:szCs w:val="28"/>
          <w:rtl/>
        </w:rPr>
      </w:pPr>
    </w:p>
    <w:p w14:paraId="3D8F1B86" w14:textId="77777777" w:rsidR="00560D63" w:rsidRPr="00F91271" w:rsidRDefault="00560D63" w:rsidP="00AF19F0">
      <w:pPr>
        <w:spacing w:line="360" w:lineRule="auto"/>
        <w:jc w:val="center"/>
        <w:rPr>
          <w:sz w:val="28"/>
          <w:szCs w:val="28"/>
          <w:rtl/>
        </w:rPr>
      </w:pPr>
    </w:p>
    <w:p w14:paraId="361FCB9B" w14:textId="77777777" w:rsidR="00560D63" w:rsidRPr="00F91271" w:rsidRDefault="00560D63" w:rsidP="00AF19F0">
      <w:pPr>
        <w:spacing w:line="360" w:lineRule="auto"/>
        <w:jc w:val="center"/>
        <w:rPr>
          <w:sz w:val="28"/>
          <w:szCs w:val="28"/>
          <w:rtl/>
        </w:rPr>
      </w:pPr>
    </w:p>
    <w:p w14:paraId="7CD2D0AC" w14:textId="77777777" w:rsidR="00560D63" w:rsidRPr="00F91271" w:rsidRDefault="00560D63" w:rsidP="00AF19F0">
      <w:pPr>
        <w:spacing w:line="360" w:lineRule="auto"/>
        <w:jc w:val="center"/>
        <w:rPr>
          <w:sz w:val="28"/>
          <w:szCs w:val="28"/>
          <w:rtl/>
        </w:rPr>
      </w:pPr>
    </w:p>
    <w:p w14:paraId="3E9C4EBF" w14:textId="77777777" w:rsidR="00560D63" w:rsidRDefault="00560D63" w:rsidP="00AF19F0">
      <w:pPr>
        <w:spacing w:line="360" w:lineRule="auto"/>
        <w:jc w:val="center"/>
      </w:pPr>
    </w:p>
    <w:p w14:paraId="0D85BD65" w14:textId="77777777" w:rsidR="00AF19F0" w:rsidRDefault="00AF19F0" w:rsidP="00AF19F0">
      <w:pPr>
        <w:spacing w:line="360" w:lineRule="auto"/>
        <w:jc w:val="center"/>
      </w:pPr>
    </w:p>
    <w:p w14:paraId="5EBF9485" w14:textId="77777777" w:rsidR="00AF19F0" w:rsidRDefault="00AF19F0" w:rsidP="00AF19F0">
      <w:pPr>
        <w:spacing w:line="360" w:lineRule="auto"/>
        <w:jc w:val="center"/>
        <w:rPr>
          <w:rtl/>
        </w:rPr>
      </w:pPr>
    </w:p>
    <w:p w14:paraId="76B1A16F" w14:textId="77777777" w:rsidR="00E853D0" w:rsidRDefault="00E853D0" w:rsidP="00AF19F0">
      <w:pPr>
        <w:spacing w:line="360" w:lineRule="auto"/>
        <w:jc w:val="center"/>
        <w:rPr>
          <w:rtl/>
        </w:rPr>
      </w:pPr>
    </w:p>
    <w:p w14:paraId="178B077A" w14:textId="77777777" w:rsidR="00E853D0" w:rsidRDefault="00E853D0" w:rsidP="00AF19F0">
      <w:pPr>
        <w:spacing w:line="360" w:lineRule="auto"/>
        <w:jc w:val="center"/>
        <w:rPr>
          <w:rtl/>
        </w:rPr>
      </w:pPr>
    </w:p>
    <w:p w14:paraId="4BAA9961" w14:textId="77777777" w:rsidR="00E853D0" w:rsidRDefault="00E853D0" w:rsidP="00AF19F0">
      <w:pPr>
        <w:spacing w:line="360" w:lineRule="auto"/>
        <w:jc w:val="center"/>
        <w:rPr>
          <w:rtl/>
        </w:rPr>
      </w:pPr>
    </w:p>
    <w:p w14:paraId="6ACAF1B5" w14:textId="77777777" w:rsidR="00E853D0" w:rsidRDefault="00E853D0" w:rsidP="00AF19F0">
      <w:pPr>
        <w:spacing w:line="360" w:lineRule="auto"/>
        <w:jc w:val="center"/>
        <w:rPr>
          <w:rtl/>
        </w:rPr>
      </w:pPr>
    </w:p>
    <w:p w14:paraId="4E17E74B" w14:textId="77777777" w:rsidR="002F2EAD" w:rsidRPr="00AD326D" w:rsidRDefault="00437DE2" w:rsidP="00442B69">
      <w:pPr>
        <w:pStyle w:val="ThesisH1"/>
        <w:spacing w:line="360" w:lineRule="auto"/>
        <w:jc w:val="both"/>
        <w:rPr>
          <w:rFonts w:ascii="Arabic Typesetting" w:hAnsi="Arabic Typesetting" w:cs="Arabic Typesetting"/>
          <w:b w:val="0"/>
          <w:bCs/>
          <w:color w:val="auto"/>
          <w:szCs w:val="32"/>
        </w:rPr>
      </w:pPr>
      <w:r w:rsidRPr="00AD326D">
        <w:rPr>
          <w:rFonts w:ascii="Arabic Typesetting" w:hAnsi="Arabic Typesetting" w:cs="Arabic Typesetting"/>
          <w:b w:val="0"/>
          <w:bCs/>
          <w:color w:val="auto"/>
          <w:szCs w:val="32"/>
          <w:rtl/>
        </w:rPr>
        <w:t>الفصل الثالث: الطريقة والإجراءات (المنهجية)</w:t>
      </w:r>
    </w:p>
    <w:p w14:paraId="06110696"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يقدم هذا الفصل الإطار الإجرائي للدراسة، بدءًا من تحديد المنهج وتصميم البحث ومجتمع الدراسة وعينتها، مرورًا ببناء أداة القياس والتحقق من صدقها وثباتها، وانتهاءً بإجراءات تجهيز البيانات وأساليب التحليل الإحصائي المستخدمة لاختبار فروض الدراسة. وقد جرى توحيد جميع الأرقام في هذا الفصل مع ملف البيانات النهائي الذي يضم 380 استجابة صحيحة دون قيم مفقودة.</w:t>
      </w:r>
    </w:p>
    <w:p w14:paraId="56364FE7" w14:textId="77777777" w:rsidR="002F2EAD" w:rsidRPr="00AD326D" w:rsidRDefault="00437DE2" w:rsidP="00442B69">
      <w:pPr>
        <w:pStyle w:val="ThesisH2"/>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3.1 منهج الدراسة وتصميمها</w:t>
      </w:r>
    </w:p>
    <w:p w14:paraId="7CA43F95"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اعتمدت الدراسة المنهج الكمي الوصفي التحليلي؛ لأنه يسمح بتحويل اتجاهات القيادات النسائية إلى درجات رقمية قابلة للمقارنة، ووصف مستوى العوامل الاجتماعية والثقافية والتنظيمية والتمكين القيادي، ثم اختبار العلاقات والتأثيرات الإحصائية بينها. ويجمع التصميم الوصفي التحليلي بين وصف الواقع كما تدركه المشاركات وتحليل العلاقات بين المتغيرات دون تدخل تجريبي في ظروف العمل.</w:t>
      </w:r>
    </w:p>
    <w:p w14:paraId="44284232"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يتكون النموذج التحليلي من ثلاثة متغيرات مستقلة هي: العوامل الاجتماعية، والعوامل الثقافية، والعوامل التنظيمية؛ ومتغير تابع هو التمكين القيادي. وتُقاس المتغيرات من خلال متوسط درجات عشرة بنود لكل بُعد على مقياس ليكرت الخماسي.</w:t>
      </w:r>
    </w:p>
    <w:p w14:paraId="578056CC" w14:textId="77777777" w:rsidR="002F2EAD" w:rsidRPr="00AD326D" w:rsidRDefault="00437DE2" w:rsidP="00442B69">
      <w:pPr>
        <w:pStyle w:val="ThesisH2"/>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3.2 مجتمع الدراسة وعينتها</w:t>
      </w:r>
    </w:p>
    <w:p w14:paraId="718EB9C1"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يتكون مجتمع الدراسة المستهدف من القيادات النسائية العاملات في الجهات الحكومية بالمملكة العربية السعودية، ممن يشغلن مستويات إشرافية أو تنفيذية أو إدارية وسطى أو عليا. وبناءً على توجيه الدراسة، اقتصر الإطار التطبيقي على القيادات النسائية الحكومية، ولذلك ظهرت جميع حالات متغير الجنس في ملف البيانات ضمن فئة (أنثى).</w:t>
      </w:r>
    </w:p>
    <w:p w14:paraId="0B7925AA"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بلغ حجم العينة النهائية 380 استجابة. وتظهر مراجعة ملف البيانات أن عدد الحالات الصالحة 380 (100%)، وعدد الحالات المستبعدة 0 (0%)؛ ومن ثم استُخدمت جميع الاستجابات في التحليلات الوصفية والاستدلالية.</w:t>
      </w:r>
    </w:p>
    <w:p w14:paraId="41A6AAAC" w14:textId="77777777" w:rsidR="002F2EAD" w:rsidRPr="00AD326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جدول 3-1: ملخص معالجة الحالات في ملف البيانات النهائي</w:t>
      </w:r>
    </w:p>
    <w:tbl>
      <w:tblPr>
        <w:tblStyle w:val="PlainTable2"/>
        <w:bidiVisual/>
        <w:tblW w:w="9000" w:type="dxa"/>
        <w:tblLayout w:type="fixed"/>
        <w:tblLook w:val="04A0" w:firstRow="1" w:lastRow="0" w:firstColumn="1" w:lastColumn="0" w:noHBand="0" w:noVBand="1"/>
      </w:tblPr>
      <w:tblGrid>
        <w:gridCol w:w="5200"/>
        <w:gridCol w:w="1900"/>
        <w:gridCol w:w="1900"/>
      </w:tblGrid>
      <w:tr w:rsidR="00AD326D" w:rsidRPr="00AD326D" w14:paraId="14D148F0" w14:textId="77777777" w:rsidTr="00AD32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0" w:type="dxa"/>
          </w:tcPr>
          <w:p w14:paraId="31EE6000"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بيان المعالجة</w:t>
            </w:r>
          </w:p>
        </w:tc>
        <w:tc>
          <w:tcPr>
            <w:tcW w:w="1900" w:type="dxa"/>
          </w:tcPr>
          <w:p w14:paraId="20E5BFD6"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العدد</w:t>
            </w:r>
          </w:p>
        </w:tc>
        <w:tc>
          <w:tcPr>
            <w:tcW w:w="1900" w:type="dxa"/>
          </w:tcPr>
          <w:p w14:paraId="28FD346F"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النسبة</w:t>
            </w:r>
          </w:p>
        </w:tc>
      </w:tr>
      <w:tr w:rsidR="00AD326D" w:rsidRPr="00AD326D" w14:paraId="606FEA99"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0" w:type="dxa"/>
          </w:tcPr>
          <w:p w14:paraId="3BE7E505"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الحالات الصالحة</w:t>
            </w:r>
          </w:p>
        </w:tc>
        <w:tc>
          <w:tcPr>
            <w:tcW w:w="1900" w:type="dxa"/>
          </w:tcPr>
          <w:p w14:paraId="4A49D5B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380</w:t>
            </w:r>
          </w:p>
        </w:tc>
        <w:tc>
          <w:tcPr>
            <w:tcW w:w="1900" w:type="dxa"/>
          </w:tcPr>
          <w:p w14:paraId="0D99CD9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100.0%</w:t>
            </w:r>
          </w:p>
        </w:tc>
      </w:tr>
      <w:tr w:rsidR="00AD326D" w:rsidRPr="00AD326D" w14:paraId="32F76983" w14:textId="77777777" w:rsidTr="00AD326D">
        <w:tc>
          <w:tcPr>
            <w:cnfStyle w:val="001000000000" w:firstRow="0" w:lastRow="0" w:firstColumn="1" w:lastColumn="0" w:oddVBand="0" w:evenVBand="0" w:oddHBand="0" w:evenHBand="0" w:firstRowFirstColumn="0" w:firstRowLastColumn="0" w:lastRowFirstColumn="0" w:lastRowLastColumn="0"/>
            <w:tcW w:w="5200" w:type="dxa"/>
          </w:tcPr>
          <w:p w14:paraId="4087CEE4"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الحالات المستبعدة</w:t>
            </w:r>
          </w:p>
        </w:tc>
        <w:tc>
          <w:tcPr>
            <w:tcW w:w="1900" w:type="dxa"/>
          </w:tcPr>
          <w:p w14:paraId="3518DC7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w:t>
            </w:r>
          </w:p>
        </w:tc>
        <w:tc>
          <w:tcPr>
            <w:tcW w:w="1900" w:type="dxa"/>
          </w:tcPr>
          <w:p w14:paraId="15CEA0B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w:t>
            </w:r>
          </w:p>
        </w:tc>
      </w:tr>
      <w:tr w:rsidR="00AD326D" w:rsidRPr="00AD326D" w14:paraId="75B456A6"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0" w:type="dxa"/>
          </w:tcPr>
          <w:p w14:paraId="58979DCE"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lastRenderedPageBreak/>
              <w:t>الإجمالي</w:t>
            </w:r>
          </w:p>
        </w:tc>
        <w:tc>
          <w:tcPr>
            <w:tcW w:w="1900" w:type="dxa"/>
          </w:tcPr>
          <w:p w14:paraId="4B8DD22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380</w:t>
            </w:r>
          </w:p>
        </w:tc>
        <w:tc>
          <w:tcPr>
            <w:tcW w:w="1900" w:type="dxa"/>
          </w:tcPr>
          <w:p w14:paraId="1AC43F1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100.0%</w:t>
            </w:r>
          </w:p>
        </w:tc>
      </w:tr>
    </w:tbl>
    <w:p w14:paraId="226D1897" w14:textId="15144236"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color w:val="auto"/>
          <w:sz w:val="32"/>
          <w:szCs w:val="32"/>
        </w:rPr>
        <w:t>تؤكد</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النتائج</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أن</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قاعدة</w:t>
      </w:r>
      <w:proofErr w:type="spellEnd"/>
      <w:r w:rsidRPr="00AD326D">
        <w:rPr>
          <w:rFonts w:ascii="Arabic Typesetting" w:hAnsi="Arabic Typesetting" w:cs="Arabic Typesetting"/>
          <w:color w:val="auto"/>
          <w:sz w:val="32"/>
          <w:szCs w:val="32"/>
        </w:rPr>
        <w:t xml:space="preserve"> التحليل خالية من الحالات المفقودة أو المستبعدة؛ فقد استُخدمت الاستجابات الـ380 كاملة. وهذا يعزز قابلية مقارنة الجداول ويضمن أن جميع المؤشرات الإحصائية مبنية على الحجم نفسه للعينة.</w:t>
      </w:r>
    </w:p>
    <w:p w14:paraId="4E551D1D" w14:textId="77777777" w:rsidR="002F2EAD" w:rsidRPr="00AD326D" w:rsidRDefault="00437DE2" w:rsidP="00442B69">
      <w:pPr>
        <w:pStyle w:val="ThesisH2"/>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3.3 أداة الدراسة وبناؤها</w:t>
      </w:r>
    </w:p>
    <w:p w14:paraId="324ACD95"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استخدمت الدراسة استبانة منظمة باللغة العربية، وتضمن الجزء الأول بيانات الخصائص الديموغرافية والوظيفية، بينما تضمن الجزء الثاني 40 عبارة موزعة على أربعة أبعاد بواقع عشرة بنود لكل بُعد: العوامل الاجتماعية (SOC1–SOC10)، العوامل الثقافية (CUL1–CUL10)، العوامل التنظيمية (ORG1–ORG10)، والتمكين القيادي (EMP1–EMP10).</w:t>
      </w:r>
    </w:p>
    <w:p w14:paraId="7ABDA41E"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صيغت الاستجابات وفق مقياس ليكرت الخماسي: 1 = لا أوافق بشدة، 2 = لا أوافق، 3 = محايد/ة، 4 = أوافق، 5 = أوافق بشدة. وحُسبت الدرجة الكلية لكل بُعد باعتبارها المتوسط الحسابي لبنوده العشرة، بحيث تبقى الدرجة في نطاق 1–5 ويسهل تفسيرها.</w:t>
      </w:r>
    </w:p>
    <w:p w14:paraId="584E0EAE" w14:textId="77777777" w:rsidR="002F2EAD" w:rsidRPr="00AD326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جدول 3-2: توزيع بنود أداة الدراسة على الأبعاد الأربعة</w:t>
      </w:r>
    </w:p>
    <w:tbl>
      <w:tblPr>
        <w:tblStyle w:val="PlainTable2"/>
        <w:bidiVisual/>
        <w:tblW w:w="9026" w:type="dxa"/>
        <w:tblLayout w:type="fixed"/>
        <w:tblLook w:val="04A0" w:firstRow="1" w:lastRow="0" w:firstColumn="1" w:lastColumn="0" w:noHBand="0" w:noVBand="1"/>
      </w:tblPr>
      <w:tblGrid>
        <w:gridCol w:w="2500"/>
        <w:gridCol w:w="2200"/>
        <w:gridCol w:w="1500"/>
        <w:gridCol w:w="2826"/>
      </w:tblGrid>
      <w:tr w:rsidR="00AD326D" w:rsidRPr="00AD326D" w14:paraId="59C55098" w14:textId="77777777" w:rsidTr="00AD32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459605BF"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البُعد</w:t>
            </w:r>
          </w:p>
        </w:tc>
        <w:tc>
          <w:tcPr>
            <w:tcW w:w="2200" w:type="dxa"/>
          </w:tcPr>
          <w:p w14:paraId="276756BE"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رموز البنود</w:t>
            </w:r>
          </w:p>
        </w:tc>
        <w:tc>
          <w:tcPr>
            <w:tcW w:w="1500" w:type="dxa"/>
          </w:tcPr>
          <w:p w14:paraId="42776F25"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عدد البنود</w:t>
            </w:r>
          </w:p>
        </w:tc>
        <w:tc>
          <w:tcPr>
            <w:tcW w:w="2826" w:type="dxa"/>
          </w:tcPr>
          <w:p w14:paraId="7AEFBA26"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طبيعة القياس</w:t>
            </w:r>
          </w:p>
        </w:tc>
      </w:tr>
      <w:tr w:rsidR="00AD326D" w:rsidRPr="00AD326D" w14:paraId="1F789AE2"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01B1BCC0"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2200" w:type="dxa"/>
          </w:tcPr>
          <w:p w14:paraId="1AA2C9F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SOC1–SOC10</w:t>
            </w:r>
          </w:p>
        </w:tc>
        <w:tc>
          <w:tcPr>
            <w:tcW w:w="1500" w:type="dxa"/>
          </w:tcPr>
          <w:p w14:paraId="722A2B9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w:t>
            </w:r>
          </w:p>
        </w:tc>
        <w:tc>
          <w:tcPr>
            <w:tcW w:w="2826" w:type="dxa"/>
          </w:tcPr>
          <w:p w14:paraId="56D75F8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البنود</w:t>
            </w:r>
          </w:p>
        </w:tc>
      </w:tr>
      <w:tr w:rsidR="00AD326D" w:rsidRPr="00AD326D" w14:paraId="6B676761"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70DA8599"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2200" w:type="dxa"/>
          </w:tcPr>
          <w:p w14:paraId="0A4432F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CUL1–CUL10</w:t>
            </w:r>
          </w:p>
        </w:tc>
        <w:tc>
          <w:tcPr>
            <w:tcW w:w="1500" w:type="dxa"/>
          </w:tcPr>
          <w:p w14:paraId="75634B3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w:t>
            </w:r>
          </w:p>
        </w:tc>
        <w:tc>
          <w:tcPr>
            <w:tcW w:w="2826" w:type="dxa"/>
          </w:tcPr>
          <w:p w14:paraId="7D48C2D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البنود</w:t>
            </w:r>
          </w:p>
        </w:tc>
      </w:tr>
      <w:tr w:rsidR="00AD326D" w:rsidRPr="00AD326D" w14:paraId="5CBE4329"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78F5D3C5"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2200" w:type="dxa"/>
          </w:tcPr>
          <w:p w14:paraId="09CA1D3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ORG1–ORG10</w:t>
            </w:r>
          </w:p>
        </w:tc>
        <w:tc>
          <w:tcPr>
            <w:tcW w:w="1500" w:type="dxa"/>
          </w:tcPr>
          <w:p w14:paraId="29CE6E3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w:t>
            </w:r>
          </w:p>
        </w:tc>
        <w:tc>
          <w:tcPr>
            <w:tcW w:w="2826" w:type="dxa"/>
          </w:tcPr>
          <w:p w14:paraId="6F66FB2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البنود</w:t>
            </w:r>
          </w:p>
        </w:tc>
      </w:tr>
      <w:tr w:rsidR="00AD326D" w:rsidRPr="00AD326D" w14:paraId="1DA9F2AA"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0A23720F"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2200" w:type="dxa"/>
          </w:tcPr>
          <w:p w14:paraId="0CDB6E1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EMP1–EMP10</w:t>
            </w:r>
          </w:p>
        </w:tc>
        <w:tc>
          <w:tcPr>
            <w:tcW w:w="1500" w:type="dxa"/>
          </w:tcPr>
          <w:p w14:paraId="591B042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w:t>
            </w:r>
          </w:p>
        </w:tc>
        <w:tc>
          <w:tcPr>
            <w:tcW w:w="2826" w:type="dxa"/>
          </w:tcPr>
          <w:p w14:paraId="7C7B34E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البنود</w:t>
            </w:r>
          </w:p>
        </w:tc>
      </w:tr>
    </w:tbl>
    <w:p w14:paraId="1BCF2EC3" w14:textId="22015A75"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color w:val="auto"/>
          <w:sz w:val="32"/>
          <w:szCs w:val="32"/>
        </w:rPr>
        <w:t>يبين</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توزيع</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البنود</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توازن</w:t>
      </w:r>
      <w:proofErr w:type="spellEnd"/>
      <w:r w:rsidRPr="00AD326D">
        <w:rPr>
          <w:rFonts w:ascii="Arabic Typesetting" w:hAnsi="Arabic Typesetting" w:cs="Arabic Typesetting"/>
          <w:color w:val="auto"/>
          <w:sz w:val="32"/>
          <w:szCs w:val="32"/>
        </w:rPr>
        <w:t xml:space="preserve"> أداة القياس بين الأبعاد الأربعة، بواقع عشرة بنود لكل بُعد. ويساعد هذا التوازن على إعطاء كل بُعد وزنًا متقاربًا عند حساب المتوسطات المركبة والمقارنة بينها.</w:t>
      </w:r>
    </w:p>
    <w:p w14:paraId="7641C1DB" w14:textId="6E440F2E" w:rsidR="002F2EAD" w:rsidRDefault="00437DE2" w:rsidP="00442B69">
      <w:pPr>
        <w:pStyle w:val="ThesisH2"/>
        <w:numPr>
          <w:ilvl w:val="1"/>
          <w:numId w:val="15"/>
        </w:numPr>
        <w:spacing w:line="360" w:lineRule="auto"/>
        <w:jc w:val="both"/>
        <w:rPr>
          <w:rFonts w:ascii="Arabic Typesetting" w:hAnsi="Arabic Typesetting" w:cs="Arabic Typesetting"/>
          <w:b w:val="0"/>
          <w:bCs/>
          <w:color w:val="auto"/>
          <w:sz w:val="32"/>
          <w:szCs w:val="32"/>
          <w:rtl/>
        </w:rPr>
      </w:pPr>
      <w:r w:rsidRPr="00AD326D">
        <w:rPr>
          <w:rFonts w:ascii="Arabic Typesetting" w:hAnsi="Arabic Typesetting" w:cs="Arabic Typesetting"/>
          <w:b w:val="0"/>
          <w:bCs/>
          <w:color w:val="auto"/>
          <w:sz w:val="32"/>
          <w:szCs w:val="32"/>
          <w:rtl/>
        </w:rPr>
        <w:t>تعريف المتغيرات إجرائيًا</w:t>
      </w:r>
    </w:p>
    <w:p w14:paraId="14286F57" w14:textId="3963DE43" w:rsidR="00AD326D" w:rsidRPr="00AD326D" w:rsidRDefault="00AD326D" w:rsidP="00442B69">
      <w:pPr>
        <w:pStyle w:val="ThesisH2"/>
        <w:spacing w:line="360" w:lineRule="auto"/>
        <w:ind w:left="360"/>
        <w:jc w:val="both"/>
        <w:rPr>
          <w:rFonts w:ascii="Arabic Typesetting" w:hAnsi="Arabic Typesetting" w:cs="Arabic Typesetting"/>
          <w:b w:val="0"/>
          <w:color w:val="auto"/>
          <w:sz w:val="32"/>
          <w:szCs w:val="32"/>
          <w:lang w:val="en-GB"/>
        </w:rPr>
      </w:pPr>
      <w:r w:rsidRPr="00AD326D">
        <w:rPr>
          <w:rFonts w:ascii="Arabic Typesetting" w:hAnsi="Arabic Typesetting" w:cs="Arabic Typesetting"/>
          <w:b w:val="0"/>
          <w:color w:val="auto"/>
          <w:sz w:val="32"/>
          <w:szCs w:val="32"/>
          <w:rtl/>
        </w:rPr>
        <w:t xml:space="preserve">اعتمدت الدراسة مجموعة من التعريفات الإجرائية التي توضح المقصود بكل متغير وكيفية قياسه ميدانيًا، بما يضمن اتساق المفاهيم النظرية مع البيانات التي تم جمعها من أفراد العينة. وتتمثل المتغيرات المستقلة في العوامل الاجتماعية والعوامل الثقافية والعوامل التنظيمية، في حين يمثل التمكين القيادي المتغير التابع الذي تسعى الدراسة إلى تفسيره. وقد جرى قياس كل متغير من خلال عشرة </w:t>
      </w:r>
      <w:r w:rsidRPr="00AD326D">
        <w:rPr>
          <w:rFonts w:ascii="Arabic Typesetting" w:hAnsi="Arabic Typesetting" w:cs="Arabic Typesetting"/>
          <w:b w:val="0"/>
          <w:color w:val="auto"/>
          <w:sz w:val="32"/>
          <w:szCs w:val="32"/>
          <w:rtl/>
        </w:rPr>
        <w:lastRenderedPageBreak/>
        <w:t>بنود وفق مقياس ليكرت الخماسي، ثم حُسب المتوسط الحسابي لبنود كل بُعد للحصول على درجة كلية تمثل مستوى المتغير لدى كل مشاركة. ويساعد هذا الإجراء على توحيد طريقة القياس، وتسهيل المقارنة بين الأبعاد، وتحديد أثر كل عامل من العوامل المستقلة في مستوى التمكين القيادي لدى القيادات النسائية العاملات في الجهات الحكومية</w:t>
      </w:r>
      <w:r w:rsidRPr="00AD326D">
        <w:rPr>
          <w:rFonts w:ascii="Arabic Typesetting" w:hAnsi="Arabic Typesetting" w:cs="Arabic Typesetting"/>
          <w:b w:val="0"/>
          <w:color w:val="auto"/>
          <w:sz w:val="32"/>
          <w:szCs w:val="32"/>
          <w:lang w:val="en-GB"/>
        </w:rPr>
        <w:t>.</w:t>
      </w:r>
    </w:p>
    <w:p w14:paraId="53B6F8A7" w14:textId="77777777" w:rsidR="002F2EAD" w:rsidRPr="00AD326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جدول 3-3: التعريف الإجرائي لمتغيرات الدراسة</w:t>
      </w:r>
    </w:p>
    <w:tbl>
      <w:tblPr>
        <w:tblStyle w:val="PlainTable2"/>
        <w:bidiVisual/>
        <w:tblW w:w="9026" w:type="dxa"/>
        <w:tblLayout w:type="fixed"/>
        <w:tblLook w:val="04A0" w:firstRow="1" w:lastRow="0" w:firstColumn="1" w:lastColumn="0" w:noHBand="0" w:noVBand="1"/>
      </w:tblPr>
      <w:tblGrid>
        <w:gridCol w:w="1900"/>
        <w:gridCol w:w="1100"/>
        <w:gridCol w:w="4200"/>
        <w:gridCol w:w="1826"/>
      </w:tblGrid>
      <w:tr w:rsidR="00AD326D" w:rsidRPr="00AD326D" w14:paraId="5BF66A7F" w14:textId="77777777" w:rsidTr="00AD32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2D6DEF84"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المتغير</w:t>
            </w:r>
          </w:p>
        </w:tc>
        <w:tc>
          <w:tcPr>
            <w:tcW w:w="1100" w:type="dxa"/>
          </w:tcPr>
          <w:p w14:paraId="6D8A746A"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نوعه</w:t>
            </w:r>
          </w:p>
        </w:tc>
        <w:tc>
          <w:tcPr>
            <w:tcW w:w="4200" w:type="dxa"/>
          </w:tcPr>
          <w:p w14:paraId="73A1021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التعريف الإجرائي</w:t>
            </w:r>
          </w:p>
        </w:tc>
        <w:tc>
          <w:tcPr>
            <w:tcW w:w="1826" w:type="dxa"/>
          </w:tcPr>
          <w:p w14:paraId="02D90DE3"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طريقة الحساب</w:t>
            </w:r>
          </w:p>
        </w:tc>
      </w:tr>
      <w:tr w:rsidR="00AD326D" w:rsidRPr="00AD326D" w14:paraId="126B346B"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17606A5A"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1100" w:type="dxa"/>
          </w:tcPr>
          <w:p w14:paraId="68DCAB8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مستقل</w:t>
            </w:r>
          </w:p>
        </w:tc>
        <w:tc>
          <w:tcPr>
            <w:tcW w:w="4200" w:type="dxa"/>
          </w:tcPr>
          <w:p w14:paraId="74AC3F2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الدعم الأسري والاجتماعي، تقبل المجتمع، القدوات، المشاركة المجتمعية، والتوازن بين الأسرة والعمل.</w:t>
            </w:r>
          </w:p>
        </w:tc>
        <w:tc>
          <w:tcPr>
            <w:tcW w:w="1826" w:type="dxa"/>
          </w:tcPr>
          <w:p w14:paraId="0F001D2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SOC1–SOC10</w:t>
            </w:r>
          </w:p>
        </w:tc>
      </w:tr>
      <w:tr w:rsidR="00AD326D" w:rsidRPr="00AD326D" w14:paraId="642C0E16" w14:textId="77777777" w:rsidTr="00AD326D">
        <w:tc>
          <w:tcPr>
            <w:cnfStyle w:val="001000000000" w:firstRow="0" w:lastRow="0" w:firstColumn="1" w:lastColumn="0" w:oddVBand="0" w:evenVBand="0" w:oddHBand="0" w:evenHBand="0" w:firstRowFirstColumn="0" w:firstRowLastColumn="0" w:lastRowFirstColumn="0" w:lastRowLastColumn="0"/>
            <w:tcW w:w="1900" w:type="dxa"/>
          </w:tcPr>
          <w:p w14:paraId="35C698C8"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1100" w:type="dxa"/>
          </w:tcPr>
          <w:p w14:paraId="1EDFF51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مستقل</w:t>
            </w:r>
          </w:p>
        </w:tc>
        <w:tc>
          <w:tcPr>
            <w:tcW w:w="4200" w:type="dxa"/>
          </w:tcPr>
          <w:p w14:paraId="10C960C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القيم والتقاليد والسياسات والبرامج الثقافية والصور النمطية ومدى تقبل القيادة النسائية.</w:t>
            </w:r>
          </w:p>
        </w:tc>
        <w:tc>
          <w:tcPr>
            <w:tcW w:w="1826" w:type="dxa"/>
          </w:tcPr>
          <w:p w14:paraId="189340D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CUL1–CUL10</w:t>
            </w:r>
          </w:p>
        </w:tc>
      </w:tr>
      <w:tr w:rsidR="00AD326D" w:rsidRPr="00AD326D" w14:paraId="312DABFD"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09255DDA"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1100" w:type="dxa"/>
          </w:tcPr>
          <w:p w14:paraId="798E315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مستقل</w:t>
            </w:r>
          </w:p>
        </w:tc>
        <w:tc>
          <w:tcPr>
            <w:tcW w:w="4200" w:type="dxa"/>
          </w:tcPr>
          <w:p w14:paraId="5F07927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الهيكل والسياسات والموارد والتدريب والدعم الإداري والحماية من التمييز وآليات الترقية.</w:t>
            </w:r>
          </w:p>
        </w:tc>
        <w:tc>
          <w:tcPr>
            <w:tcW w:w="1826" w:type="dxa"/>
          </w:tcPr>
          <w:p w14:paraId="408B0AE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ORG1–ORG10</w:t>
            </w:r>
          </w:p>
        </w:tc>
      </w:tr>
      <w:tr w:rsidR="00AD326D" w:rsidRPr="00AD326D" w14:paraId="329E438B" w14:textId="77777777" w:rsidTr="00AD326D">
        <w:tc>
          <w:tcPr>
            <w:cnfStyle w:val="001000000000" w:firstRow="0" w:lastRow="0" w:firstColumn="1" w:lastColumn="0" w:oddVBand="0" w:evenVBand="0" w:oddHBand="0" w:evenHBand="0" w:firstRowFirstColumn="0" w:firstRowLastColumn="0" w:lastRowFirstColumn="0" w:lastRowLastColumn="0"/>
            <w:tcW w:w="1900" w:type="dxa"/>
          </w:tcPr>
          <w:p w14:paraId="402BD69C"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1100" w:type="dxa"/>
          </w:tcPr>
          <w:p w14:paraId="6CD5065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تابع</w:t>
            </w:r>
          </w:p>
        </w:tc>
        <w:tc>
          <w:tcPr>
            <w:tcW w:w="4200" w:type="dxa"/>
          </w:tcPr>
          <w:p w14:paraId="4362535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الصلاحية والاستقلالية والمشاركة في القرار والثقة وإدارة الفرق وحل المشكلات والاعتراف بالإنجاز.</w:t>
            </w:r>
          </w:p>
        </w:tc>
        <w:tc>
          <w:tcPr>
            <w:tcW w:w="1826" w:type="dxa"/>
          </w:tcPr>
          <w:p w14:paraId="2E23E89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EMP1–EMP10</w:t>
            </w:r>
          </w:p>
        </w:tc>
      </w:tr>
    </w:tbl>
    <w:p w14:paraId="171447CC" w14:textId="77777777" w:rsidR="00AD326D" w:rsidRPr="00AD326D" w:rsidRDefault="00AD326D" w:rsidP="00442B69">
      <w:pPr>
        <w:pStyle w:val="ThesisH2"/>
        <w:spacing w:line="360" w:lineRule="auto"/>
        <w:jc w:val="both"/>
        <w:rPr>
          <w:rFonts w:ascii="Arabic Typesetting" w:hAnsi="Arabic Typesetting" w:cs="Arabic Typesetting"/>
          <w:color w:val="auto"/>
          <w:sz w:val="32"/>
          <w:szCs w:val="32"/>
          <w:lang w:val="en-GB"/>
        </w:rPr>
      </w:pPr>
      <w:r w:rsidRPr="00AD326D">
        <w:rPr>
          <w:rFonts w:ascii="Arabic Typesetting" w:hAnsi="Arabic Typesetting" w:cs="Arabic Typesetting"/>
          <w:color w:val="auto"/>
          <w:sz w:val="32"/>
          <w:szCs w:val="32"/>
          <w:rtl/>
        </w:rPr>
        <w:t>توضح بيانات الجدول (3-3) أن الدراسة قامت بتحويل المفاهيم النظرية الرئيسة إلى متغيرات إجرائية قابلة للقياس والتحليل الإحصائي، بما يضمن وجود صلة واضحة بين الإطار النظري للدراسة وأداة الاستبانة المستخدمة في جمع البيانات. فقد حُددت العوامل الاجتماعية بوصفها متغيرًا مستقلًا يعبر عن مستوى الدعم الأسري والاجتماعي الذي تحصل عليه القيادات النسائية، ومدى تقبل المجتمع لدورها القيادي، وتوافر القدوات النسائية، والمشاركة في الفعاليات المجتمعية، فضلًا عن القدرة على تحقيق التوازن بين الأسرة والعمل، وتم قياسها من خلال البنود</w:t>
      </w:r>
      <w:r w:rsidRPr="00AD326D">
        <w:rPr>
          <w:rFonts w:ascii="Arabic Typesetting" w:hAnsi="Arabic Typesetting" w:cs="Arabic Typesetting"/>
          <w:color w:val="auto"/>
          <w:sz w:val="32"/>
          <w:szCs w:val="32"/>
          <w:lang w:val="en-GB"/>
        </w:rPr>
        <w:t xml:space="preserve"> SOC1–SOC10. </w:t>
      </w:r>
      <w:r w:rsidRPr="00AD326D">
        <w:rPr>
          <w:rFonts w:ascii="Arabic Typesetting" w:hAnsi="Arabic Typesetting" w:cs="Arabic Typesetting"/>
          <w:color w:val="auto"/>
          <w:sz w:val="32"/>
          <w:szCs w:val="32"/>
          <w:rtl/>
        </w:rPr>
        <w:t>كما عُرفت العوامل الثقافية باعتبارها متغيرًا مستقلًا يتناول أثر القيم والتقاليد السائدة، والسياسات والبرامج الثقافية، والصور النمطية المرتبطة بالمرأة، ومستوى تقبل المجتمع والمؤسسات للقيادة النسائية، وقيس هذا البعد من خلال البنود</w:t>
      </w:r>
      <w:r w:rsidRPr="00AD326D">
        <w:rPr>
          <w:rFonts w:ascii="Arabic Typesetting" w:hAnsi="Arabic Typesetting" w:cs="Arabic Typesetting"/>
          <w:color w:val="auto"/>
          <w:sz w:val="32"/>
          <w:szCs w:val="32"/>
          <w:lang w:val="en-GB"/>
        </w:rPr>
        <w:t xml:space="preserve"> CUL1–CUL10. </w:t>
      </w:r>
      <w:r w:rsidRPr="00AD326D">
        <w:rPr>
          <w:rFonts w:ascii="Arabic Typesetting" w:hAnsi="Arabic Typesetting" w:cs="Arabic Typesetting"/>
          <w:color w:val="auto"/>
          <w:sz w:val="32"/>
          <w:szCs w:val="32"/>
          <w:rtl/>
        </w:rPr>
        <w:t>أما العوامل التنظيمية فقد عُدت متغيرًا مستقلًا ثالثًا، وشملت الهيكل التنظيمي، والسياسات والإجراءات، وتوافر الموارد، وبرامج التدريب والتطوير، والدعم الإداري، والحماية من التمييز، وعدالة آليات الترقية، وتم قياسها باستخدام البنود</w:t>
      </w:r>
      <w:r w:rsidRPr="00AD326D">
        <w:rPr>
          <w:rFonts w:ascii="Arabic Typesetting" w:hAnsi="Arabic Typesetting" w:cs="Arabic Typesetting"/>
          <w:color w:val="auto"/>
          <w:sz w:val="32"/>
          <w:szCs w:val="32"/>
          <w:lang w:val="en-GB"/>
        </w:rPr>
        <w:t xml:space="preserve"> ORG1–ORG10. </w:t>
      </w:r>
      <w:r w:rsidRPr="00AD326D">
        <w:rPr>
          <w:rFonts w:ascii="Arabic Typesetting" w:hAnsi="Arabic Typesetting" w:cs="Arabic Typesetting"/>
          <w:color w:val="auto"/>
          <w:sz w:val="32"/>
          <w:szCs w:val="32"/>
          <w:rtl/>
        </w:rPr>
        <w:t>في المقابل، يمثل التمكين القيادي المتغير التابع في الدراسة، ويشير إلى مدى امتلاك القيادات النسائية للصلاحيات والاستقلالية، والمشاركة في اتخاذ القرارات، والثقة بالقدرات القيادية، والقدرة على إدارة الفرق وحل المشكلات، والحصول على الاعتراف بالإنجازات، وقد تم قياسه من خلال البنود</w:t>
      </w:r>
      <w:r w:rsidRPr="00AD326D">
        <w:rPr>
          <w:rFonts w:ascii="Arabic Typesetting" w:hAnsi="Arabic Typesetting" w:cs="Arabic Typesetting"/>
          <w:color w:val="auto"/>
          <w:sz w:val="32"/>
          <w:szCs w:val="32"/>
          <w:lang w:val="en-GB"/>
        </w:rPr>
        <w:t xml:space="preserve"> EMP1–EMP10. </w:t>
      </w:r>
      <w:r w:rsidRPr="00AD326D">
        <w:rPr>
          <w:rFonts w:ascii="Arabic Typesetting" w:hAnsi="Arabic Typesetting" w:cs="Arabic Typesetting"/>
          <w:color w:val="auto"/>
          <w:sz w:val="32"/>
          <w:szCs w:val="32"/>
          <w:rtl/>
        </w:rPr>
        <w:t xml:space="preserve">ويُلاحظ أن جميع المتغيرات قيسَت باستخدام عشرة بنود لكل بُعد </w:t>
      </w:r>
      <w:r w:rsidRPr="00AD326D">
        <w:rPr>
          <w:rFonts w:ascii="Arabic Typesetting" w:hAnsi="Arabic Typesetting" w:cs="Arabic Typesetting"/>
          <w:color w:val="auto"/>
          <w:sz w:val="32"/>
          <w:szCs w:val="32"/>
          <w:rtl/>
        </w:rPr>
        <w:lastRenderedPageBreak/>
        <w:t>وفق مقياس ليكرت الخماسي، ثم حُسب المتوسط الحسابي للبنود التابعة لكل متغير للحصول على درجة مركبة تمثل مستوى البعد لدى كل مشاركة. ويساعد هذا الأسلوب في الحفاظ على وحدة مقياس القياس، بحيث تظل الدرجات ضمن نطاق من 1 إلى 5، وتصبح المقارنة بين الأبعاد أكثر دقة ووضوحًا؛ فارتفاع المتوسط الحسابي يدل على ارتفاع مستوى توافر العامل أو ارتفاع مستوى التمكين القيادي، في حين يشير انخفاضه إلى ضعف نسبي في ذلك المجال. كما أن تحديد نوع كل متغير، سواء كان مستقلًا أو تابعًا، يوضح المسار التحليلي للدراسة؛ إذ تُستخدم العوامل الاجتماعية والثقافية والتنظيمية بوصفها متغيرات مفسرة أو متنبئة، بينما يُستخدم التمكين القيادي بوصفه النتيجة التي يُراد تفسيرها. ومن ثم، فإن التعريفات الإجرائية الواردة في الجدول لا تقتصر على توضيح المعنى العام للمتغيرات، بل تحدد بدقة كيفية تمثيلها في ملف البيانات وكيفية إدخالها في التحليلات الوصفية واختبارات الارتباط والانحدار. ويعزز هذا التنظيم من صدق القياس وقابلية تكرار الدراسة، ويمنع الخلط بين المفاهيم المتقاربة، كما يضمن أن النتائج الإحصائية اللاحقة تعكس الأبعاد الفعلية التي استهدفتها الدراسة لدى القيادات النسائية العاملات في الجهات الحكومية</w:t>
      </w:r>
      <w:r w:rsidRPr="00AD326D">
        <w:rPr>
          <w:rFonts w:ascii="Arabic Typesetting" w:hAnsi="Arabic Typesetting" w:cs="Arabic Typesetting"/>
          <w:color w:val="auto"/>
          <w:sz w:val="32"/>
          <w:szCs w:val="32"/>
          <w:lang w:val="en-GB"/>
        </w:rPr>
        <w:t>.</w:t>
      </w:r>
    </w:p>
    <w:p w14:paraId="0642E42E" w14:textId="77777777" w:rsidR="002F2EAD" w:rsidRPr="00AD326D" w:rsidRDefault="00437DE2" w:rsidP="00442B69">
      <w:pPr>
        <w:pStyle w:val="ThesisH2"/>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3.5 صدق الأداة وثباتها</w:t>
      </w:r>
    </w:p>
    <w:p w14:paraId="4F3870FB" w14:textId="77777777" w:rsidR="002F2EAD" w:rsidRPr="00AD326D" w:rsidRDefault="00437DE2" w:rsidP="00442B69">
      <w:pPr>
        <w:pStyle w:val="ThesisH3"/>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3.5.1 الصدق الظاهري وصدق المحتوى</w:t>
      </w:r>
    </w:p>
    <w:p w14:paraId="435336D5"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تمت مراجعة صياغة بنود الاستبانة من حيث وضوح اللغة وانتماء كل بند إلى البعد الذي يقيسه، وأُجريت التعديلات اللغوية اللازمة قبل اعتماد النسخة النهائية. كما روعي أن تغطي البنود مؤشرات الدعم الاجتماعي والثقافة المؤسسية والعوامل التنظيمية وممارسات التمكين القيادي كما حددها الإطار النظري والدراسات السابقة.</w:t>
      </w:r>
    </w:p>
    <w:p w14:paraId="6A6B6790" w14:textId="77777777" w:rsidR="002F2EAD" w:rsidRPr="00AD326D" w:rsidRDefault="00437DE2" w:rsidP="00442B69">
      <w:pPr>
        <w:pStyle w:val="ThesisH3"/>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3.5.2 صدق الاتساق الداخلي</w:t>
      </w:r>
    </w:p>
    <w:p w14:paraId="46212626" w14:textId="22311B6B" w:rsidR="00AD326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استخدمت مخرجات SPSS معاملات الارتباط المصححة بين كل بند ومجموع بعده بعد استبعاد البند (Corrected Item–Total Correlation). تراوحت القيم بين 0.527 و0.659 في بعد التمكين القيادي، وبين 0.527 و0.637 في البعد الثقافي، وبين 0.536 و0.634 في البعد التنظيمي، وبين 0.547 و0.659 في البعد الاجتماعي؛ وجميعها موجبة وأعلى من الحد الإرشادي الشائع 0.30، بما يدعم اتساق البنود مع أبعادها.</w:t>
      </w:r>
    </w:p>
    <w:p w14:paraId="4721C980" w14:textId="77777777" w:rsidR="002F2EAD" w:rsidRPr="00AD326D" w:rsidRDefault="00437DE2" w:rsidP="00442B69">
      <w:pPr>
        <w:pStyle w:val="ThesisH3"/>
        <w:spacing w:line="360" w:lineRule="auto"/>
        <w:jc w:val="both"/>
        <w:rPr>
          <w:rFonts w:ascii="Arabic Typesetting" w:hAnsi="Arabic Typesetting" w:cs="Arabic Typesetting"/>
          <w:b w:val="0"/>
          <w:bCs/>
          <w:color w:val="auto"/>
          <w:sz w:val="32"/>
          <w:szCs w:val="32"/>
          <w:rtl/>
        </w:rPr>
      </w:pPr>
      <w:r w:rsidRPr="00AD326D">
        <w:rPr>
          <w:rFonts w:ascii="Arabic Typesetting" w:hAnsi="Arabic Typesetting" w:cs="Arabic Typesetting"/>
          <w:b w:val="0"/>
          <w:bCs/>
          <w:color w:val="auto"/>
          <w:sz w:val="32"/>
          <w:szCs w:val="32"/>
          <w:rtl/>
        </w:rPr>
        <w:t>3.5.3 ثبات الأداة (Cronbach’s Alpha)</w:t>
      </w:r>
    </w:p>
    <w:p w14:paraId="4A1EC466" w14:textId="3DA7D8B9" w:rsidR="00AD326D" w:rsidRPr="00AD326D" w:rsidRDefault="00AD326D" w:rsidP="00442B69">
      <w:pPr>
        <w:pStyle w:val="ThesisH3"/>
        <w:spacing w:line="360" w:lineRule="auto"/>
        <w:jc w:val="both"/>
        <w:rPr>
          <w:rFonts w:ascii="Arabic Typesetting" w:hAnsi="Arabic Typesetting" w:cs="Arabic Typesetting"/>
          <w:color w:val="auto"/>
          <w:sz w:val="32"/>
          <w:szCs w:val="32"/>
          <w:lang w:val="en-GB"/>
        </w:rPr>
      </w:pPr>
      <w:r w:rsidRPr="00AD326D">
        <w:rPr>
          <w:rFonts w:ascii="Arabic Typesetting" w:hAnsi="Arabic Typesetting" w:cs="Arabic Typesetting"/>
          <w:color w:val="auto"/>
          <w:sz w:val="32"/>
          <w:szCs w:val="32"/>
          <w:rtl/>
        </w:rPr>
        <w:t>للتحقق من ثبات أداة الدراسة ودرجة اتساق بنودها داخليًا، تم استخدام معامل كرونباخ ألفا</w:t>
      </w:r>
      <w:r w:rsidRPr="00AD326D">
        <w:rPr>
          <w:rFonts w:ascii="Arabic Typesetting" w:hAnsi="Arabic Typesetting" w:cs="Arabic Typesetting"/>
          <w:color w:val="auto"/>
          <w:sz w:val="32"/>
          <w:szCs w:val="32"/>
          <w:lang w:val="en-GB"/>
        </w:rPr>
        <w:t xml:space="preserve"> (Cronbach’s Alpha)</w:t>
      </w:r>
      <w:r w:rsidRPr="00AD326D">
        <w:rPr>
          <w:rFonts w:ascii="Arabic Typesetting" w:hAnsi="Arabic Typesetting" w:cs="Arabic Typesetting"/>
          <w:color w:val="auto"/>
          <w:sz w:val="32"/>
          <w:szCs w:val="32"/>
          <w:rtl/>
        </w:rPr>
        <w:t xml:space="preserve">، باعتباره من أكثر المؤشرات الإحصائية شيوعًا في قياس مدى تجانس البنود التي تنتمي إلى البعد نفسه. وقد تم حساب معامل الثبات لكل بُعد من </w:t>
      </w:r>
      <w:r w:rsidRPr="00AD326D">
        <w:rPr>
          <w:rFonts w:ascii="Arabic Typesetting" w:hAnsi="Arabic Typesetting" w:cs="Arabic Typesetting"/>
          <w:color w:val="auto"/>
          <w:sz w:val="32"/>
          <w:szCs w:val="32"/>
          <w:rtl/>
        </w:rPr>
        <w:lastRenderedPageBreak/>
        <w:t>أبعاد الاستبانة بصورة مستقلة، بالإضافة إلى حسابه لجميع بنود الأداة البالغ عددها 40 بندًا. ويشير ارتفاع قيمة معامل ألفا واقترابها من الواحد الصحيح إلى ارتفاع مستوى الاتساق الداخلي وموثوقية القياس، في حين تُعد القيم التي تتجاوز 0.70 مقبولة إحصائيًا في الدراسات الاجتماعية والإنسانية. وبناءً على ذلك، يعرض الجدول التالي معاملات الثبات المستخرجة من مخرجات</w:t>
      </w:r>
      <w:r w:rsidRPr="00AD326D">
        <w:rPr>
          <w:rFonts w:ascii="Arabic Typesetting" w:hAnsi="Arabic Typesetting" w:cs="Arabic Typesetting"/>
          <w:color w:val="auto"/>
          <w:sz w:val="32"/>
          <w:szCs w:val="32"/>
          <w:lang w:val="en-GB"/>
        </w:rPr>
        <w:t xml:space="preserve"> SPSS </w:t>
      </w:r>
      <w:r w:rsidRPr="00AD326D">
        <w:rPr>
          <w:rFonts w:ascii="Arabic Typesetting" w:hAnsi="Arabic Typesetting" w:cs="Arabic Typesetting"/>
          <w:color w:val="auto"/>
          <w:sz w:val="32"/>
          <w:szCs w:val="32"/>
          <w:rtl/>
        </w:rPr>
        <w:t>والبيانات النهائية، مع بيان عدد البنود ومستوى التقدير لكل بُعد من أبعاد الدراسة</w:t>
      </w:r>
      <w:r w:rsidRPr="00AD326D">
        <w:rPr>
          <w:rFonts w:ascii="Arabic Typesetting" w:hAnsi="Arabic Typesetting" w:cs="Arabic Typesetting"/>
          <w:color w:val="auto"/>
          <w:sz w:val="32"/>
          <w:szCs w:val="32"/>
          <w:lang w:val="en-GB"/>
        </w:rPr>
        <w:t>.</w:t>
      </w:r>
    </w:p>
    <w:p w14:paraId="763C1774" w14:textId="77777777" w:rsidR="002F2EAD" w:rsidRPr="00AD326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جدول 3-4: معاملات ثبات أبعاد الاستبانة وفق مخرجات SPSS والبيانات النهائية</w:t>
      </w:r>
    </w:p>
    <w:tbl>
      <w:tblPr>
        <w:tblStyle w:val="PlainTable2"/>
        <w:bidiVisual/>
        <w:tblW w:w="9026" w:type="dxa"/>
        <w:tblLayout w:type="fixed"/>
        <w:tblLook w:val="04A0" w:firstRow="1" w:lastRow="0" w:firstColumn="1" w:lastColumn="0" w:noHBand="0" w:noVBand="1"/>
      </w:tblPr>
      <w:tblGrid>
        <w:gridCol w:w="3600"/>
        <w:gridCol w:w="1300"/>
        <w:gridCol w:w="1800"/>
        <w:gridCol w:w="2326"/>
      </w:tblGrid>
      <w:tr w:rsidR="00AD326D" w:rsidRPr="00AD326D" w14:paraId="34623503" w14:textId="77777777" w:rsidTr="00AD32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A5CA2D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البعد</w:t>
            </w:r>
          </w:p>
        </w:tc>
        <w:tc>
          <w:tcPr>
            <w:tcW w:w="1300" w:type="dxa"/>
          </w:tcPr>
          <w:p w14:paraId="4EDF187F"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عدد البنود</w:t>
            </w:r>
          </w:p>
        </w:tc>
        <w:tc>
          <w:tcPr>
            <w:tcW w:w="1800" w:type="dxa"/>
          </w:tcPr>
          <w:p w14:paraId="5FBBA19E"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كرونباخ ألفا</w:t>
            </w:r>
          </w:p>
        </w:tc>
        <w:tc>
          <w:tcPr>
            <w:tcW w:w="2326" w:type="dxa"/>
          </w:tcPr>
          <w:p w14:paraId="3C34104D"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التقدير</w:t>
            </w:r>
          </w:p>
        </w:tc>
      </w:tr>
      <w:tr w:rsidR="00AD326D" w:rsidRPr="00AD326D" w14:paraId="0816DB13"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698822B"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1300" w:type="dxa"/>
          </w:tcPr>
          <w:p w14:paraId="13C6697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w:t>
            </w:r>
          </w:p>
        </w:tc>
        <w:tc>
          <w:tcPr>
            <w:tcW w:w="1800" w:type="dxa"/>
          </w:tcPr>
          <w:p w14:paraId="3DC7C1E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0.882</w:t>
            </w:r>
          </w:p>
        </w:tc>
        <w:tc>
          <w:tcPr>
            <w:tcW w:w="2326" w:type="dxa"/>
          </w:tcPr>
          <w:p w14:paraId="3366C16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مرتفع</w:t>
            </w:r>
          </w:p>
        </w:tc>
      </w:tr>
      <w:tr w:rsidR="00AD326D" w:rsidRPr="00AD326D" w14:paraId="76CE8B65" w14:textId="77777777" w:rsidTr="00AD326D">
        <w:tc>
          <w:tcPr>
            <w:cnfStyle w:val="001000000000" w:firstRow="0" w:lastRow="0" w:firstColumn="1" w:lastColumn="0" w:oddVBand="0" w:evenVBand="0" w:oddHBand="0" w:evenHBand="0" w:firstRowFirstColumn="0" w:firstRowLastColumn="0" w:lastRowFirstColumn="0" w:lastRowLastColumn="0"/>
            <w:tcW w:w="3600" w:type="dxa"/>
          </w:tcPr>
          <w:p w14:paraId="6FDF1A0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1300" w:type="dxa"/>
          </w:tcPr>
          <w:p w14:paraId="5CF66C3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w:t>
            </w:r>
          </w:p>
        </w:tc>
        <w:tc>
          <w:tcPr>
            <w:tcW w:w="1800" w:type="dxa"/>
          </w:tcPr>
          <w:p w14:paraId="74A3370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0.879</w:t>
            </w:r>
          </w:p>
        </w:tc>
        <w:tc>
          <w:tcPr>
            <w:tcW w:w="2326" w:type="dxa"/>
          </w:tcPr>
          <w:p w14:paraId="3481E8D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مرتفع</w:t>
            </w:r>
          </w:p>
        </w:tc>
      </w:tr>
      <w:tr w:rsidR="00AD326D" w:rsidRPr="00AD326D" w14:paraId="15727A98"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6CC6953A"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1300" w:type="dxa"/>
          </w:tcPr>
          <w:p w14:paraId="1957D5D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w:t>
            </w:r>
          </w:p>
        </w:tc>
        <w:tc>
          <w:tcPr>
            <w:tcW w:w="1800" w:type="dxa"/>
          </w:tcPr>
          <w:p w14:paraId="59B492F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0.877</w:t>
            </w:r>
          </w:p>
        </w:tc>
        <w:tc>
          <w:tcPr>
            <w:tcW w:w="2326" w:type="dxa"/>
          </w:tcPr>
          <w:p w14:paraId="7F770E7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مرتفع</w:t>
            </w:r>
          </w:p>
        </w:tc>
      </w:tr>
      <w:tr w:rsidR="00AD326D" w:rsidRPr="00AD326D" w14:paraId="6F22AD08" w14:textId="77777777" w:rsidTr="00AD326D">
        <w:tc>
          <w:tcPr>
            <w:cnfStyle w:val="001000000000" w:firstRow="0" w:lastRow="0" w:firstColumn="1" w:lastColumn="0" w:oddVBand="0" w:evenVBand="0" w:oddHBand="0" w:evenHBand="0" w:firstRowFirstColumn="0" w:firstRowLastColumn="0" w:lastRowFirstColumn="0" w:lastRowLastColumn="0"/>
            <w:tcW w:w="3600" w:type="dxa"/>
          </w:tcPr>
          <w:p w14:paraId="63D5D5D5"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1300" w:type="dxa"/>
          </w:tcPr>
          <w:p w14:paraId="1D794A9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w:t>
            </w:r>
          </w:p>
        </w:tc>
        <w:tc>
          <w:tcPr>
            <w:tcW w:w="1800" w:type="dxa"/>
          </w:tcPr>
          <w:p w14:paraId="512E254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0.860</w:t>
            </w:r>
          </w:p>
        </w:tc>
        <w:tc>
          <w:tcPr>
            <w:tcW w:w="2326" w:type="dxa"/>
          </w:tcPr>
          <w:p w14:paraId="725983D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مرتفع</w:t>
            </w:r>
          </w:p>
        </w:tc>
      </w:tr>
      <w:tr w:rsidR="00AD326D" w:rsidRPr="00AD326D" w14:paraId="72DF9129"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0551075"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الاستبانة كاملة (40 بندًا)</w:t>
            </w:r>
          </w:p>
        </w:tc>
        <w:tc>
          <w:tcPr>
            <w:tcW w:w="1300" w:type="dxa"/>
          </w:tcPr>
          <w:p w14:paraId="7A65186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40</w:t>
            </w:r>
          </w:p>
        </w:tc>
        <w:tc>
          <w:tcPr>
            <w:tcW w:w="1800" w:type="dxa"/>
          </w:tcPr>
          <w:p w14:paraId="1366986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0.907</w:t>
            </w:r>
          </w:p>
        </w:tc>
        <w:tc>
          <w:tcPr>
            <w:tcW w:w="2326" w:type="dxa"/>
          </w:tcPr>
          <w:p w14:paraId="61F0EDC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مرتفع</w:t>
            </w:r>
          </w:p>
        </w:tc>
      </w:tr>
    </w:tbl>
    <w:p w14:paraId="05D0BADF" w14:textId="00C15394"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color w:val="auto"/>
          <w:sz w:val="32"/>
          <w:szCs w:val="32"/>
        </w:rPr>
        <w:t>تتراوح</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قيم</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ألفا</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للأبعاد</w:t>
      </w:r>
      <w:proofErr w:type="spellEnd"/>
      <w:r w:rsidRPr="00AD326D">
        <w:rPr>
          <w:rFonts w:ascii="Arabic Typesetting" w:hAnsi="Arabic Typesetting" w:cs="Arabic Typesetting"/>
          <w:color w:val="auto"/>
          <w:sz w:val="32"/>
          <w:szCs w:val="32"/>
        </w:rPr>
        <w:t xml:space="preserve"> بين 0.860 و0.882، في حين بلغ ثبات الأداة كاملة 0.907؛ وهي قيم مرتفعة تدعم الاعتماد على الأبعاد في التحليل. ولا توجد إشارة إلى ضعف اتساق داخلي يستدعي حذف أحد الأبعاد أو البنود.</w:t>
      </w:r>
    </w:p>
    <w:p w14:paraId="339DC2EC" w14:textId="77777777" w:rsidR="002F2EAD" w:rsidRPr="00AD326D" w:rsidRDefault="00437DE2" w:rsidP="00442B69">
      <w:pPr>
        <w:pStyle w:val="ThesisNote"/>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تشير قيم ألفا (0.860–0.882) إلى اتساق داخلي مرتفع لأبعاد الأداة. ولأغراض التحقق الإضافي، بلغ ألفا المحسوب لجميع البنود الأربعين 0.907، وهو مؤشر مرتفع يسمح باستخدام الدرجات المركبة في الارتباط والانحدار.</w:t>
      </w:r>
    </w:p>
    <w:p w14:paraId="464B9D45" w14:textId="77777777" w:rsidR="002F2EAD" w:rsidRPr="00442B69" w:rsidRDefault="00437DE2" w:rsidP="00442B69">
      <w:pPr>
        <w:pStyle w:val="ThesisH2"/>
        <w:spacing w:line="360" w:lineRule="auto"/>
        <w:jc w:val="both"/>
        <w:rPr>
          <w:rFonts w:ascii="Arabic Typesetting" w:hAnsi="Arabic Typesetting" w:cs="Arabic Typesetting"/>
          <w:b w:val="0"/>
          <w:bCs/>
          <w:color w:val="auto"/>
          <w:sz w:val="32"/>
          <w:szCs w:val="32"/>
        </w:rPr>
      </w:pPr>
      <w:r w:rsidRPr="00442B69">
        <w:rPr>
          <w:rFonts w:ascii="Arabic Typesetting" w:hAnsi="Arabic Typesetting" w:cs="Arabic Typesetting"/>
          <w:b w:val="0"/>
          <w:bCs/>
          <w:color w:val="auto"/>
          <w:sz w:val="32"/>
          <w:szCs w:val="32"/>
          <w:rtl/>
        </w:rPr>
        <w:t>3.6 إجراءات تنفيذ الدراسة وتجهيز البيانات</w:t>
      </w:r>
    </w:p>
    <w:p w14:paraId="5DDD291F"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بعد جمع الاستجابات، رُمزت بدائل ليكرت إلى أرقام من 1 إلى 5، ثم راجعت البيانات للتأكد من اكتمالها وصحة نطاقها. أظهر ملخص معالجة الحالات أن جميع الاستجابات وعددها 380 صالحة ولا توجد قيم مفقودة في المتغيرات الداخلة في التحليل. حُسبت المتوسطات المركبة للأبعاد الأربعة باستخدام متوسط البنود العشرة لكل بعد، ثم استُخدمت هذه الدرجات في التحليلات الاستدلالية.</w:t>
      </w:r>
    </w:p>
    <w:p w14:paraId="087F67ED"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رُوعي في التعامل مع البيانات قصر مجتمع الدراسة على القيادات النسائية في الجهات الحكومية، وعدم إجراء أي استدلال مقارن حسب الجنس؛ لأن العينة لا تتضمن فئة أخرى يمكن المقارنة بها.</w:t>
      </w:r>
    </w:p>
    <w:p w14:paraId="1AC2A486" w14:textId="77777777" w:rsidR="002F2EAD" w:rsidRDefault="00437DE2" w:rsidP="00442B69">
      <w:pPr>
        <w:pStyle w:val="ThesisH2"/>
        <w:spacing w:line="360" w:lineRule="auto"/>
        <w:jc w:val="both"/>
        <w:rPr>
          <w:rFonts w:ascii="Arabic Typesetting" w:hAnsi="Arabic Typesetting" w:cs="Arabic Typesetting"/>
          <w:b w:val="0"/>
          <w:bCs/>
          <w:color w:val="auto"/>
          <w:sz w:val="32"/>
          <w:szCs w:val="32"/>
          <w:rtl/>
        </w:rPr>
      </w:pPr>
      <w:r w:rsidRPr="00AD326D">
        <w:rPr>
          <w:rFonts w:ascii="Arabic Typesetting" w:hAnsi="Arabic Typesetting" w:cs="Arabic Typesetting"/>
          <w:b w:val="0"/>
          <w:bCs/>
          <w:color w:val="auto"/>
          <w:sz w:val="32"/>
          <w:szCs w:val="32"/>
          <w:rtl/>
        </w:rPr>
        <w:t>3.7 المعالجات الإحصائية وقواعد اتخاذ القرار</w:t>
      </w:r>
    </w:p>
    <w:p w14:paraId="1F1F8865" w14:textId="6A9583A2" w:rsidR="00AD326D" w:rsidRPr="00AD326D" w:rsidRDefault="00AD326D" w:rsidP="00442B69">
      <w:pPr>
        <w:pStyle w:val="ThesisH2"/>
        <w:spacing w:line="360" w:lineRule="auto"/>
        <w:jc w:val="both"/>
        <w:rPr>
          <w:rFonts w:ascii="Arabic Typesetting" w:hAnsi="Arabic Typesetting" w:cs="Arabic Typesetting"/>
          <w:b w:val="0"/>
          <w:color w:val="auto"/>
          <w:sz w:val="32"/>
          <w:szCs w:val="32"/>
          <w:lang w:val="en-GB"/>
        </w:rPr>
      </w:pPr>
      <w:r w:rsidRPr="00AD326D">
        <w:rPr>
          <w:rFonts w:ascii="Arabic Typesetting" w:hAnsi="Arabic Typesetting" w:cs="Arabic Typesetting"/>
          <w:b w:val="0"/>
          <w:color w:val="auto"/>
          <w:sz w:val="32"/>
          <w:szCs w:val="32"/>
          <w:rtl/>
          <w:lang w:val="en-GB"/>
        </w:rPr>
        <w:lastRenderedPageBreak/>
        <w:t>اعتمدت الدراسة على مجموعة متكاملة من المعالجات الإحصائية التي تتناسب مع طبيعة أسئلتها وفروضها، وذلك باستخدام البيانات الرقمية النهائية البالغ عددها 380 استجابة. فقد استُخدمت التكرارات والنسب المئوية لوصف الخصائص الديموغرافية والوظيفية لأفراد العينة، كما استُخدمت المتوسطات الحسابية والانحرافات المعيارية والحدود الدنيا والعليا لتحديد مستوى استجابات المشاركات وترتيب الأبعاد والبنود حسب درجة تأثيرها. وللتحقق من جودة أداة القياس، تم الاعتماد على معامل كرونباخ ألفا ومعامل الارتباط المصحح بين البند ومجموع بُعده. كما استُخدم معامل ارتباط بيرسون لاختبار طبيعة واتجاه العلاقة بين العوامل الاجتماعية والثقافية والتنظيمية والتمكين القيادي، في حين استُخدم تحليل الانحدار الخطي المتعدد لتقدير الأثر النسبي والمشترك للعوامل المستقلة في المتغير التابع. كذلك تم تطبيق تحليل التباين الأحادي</w:t>
      </w:r>
      <w:r w:rsidRPr="00AD326D">
        <w:rPr>
          <w:rFonts w:ascii="Arabic Typesetting" w:hAnsi="Arabic Typesetting" w:cs="Arabic Typesetting"/>
          <w:b w:val="0"/>
          <w:color w:val="auto"/>
          <w:sz w:val="32"/>
          <w:szCs w:val="32"/>
          <w:lang w:val="en-GB"/>
        </w:rPr>
        <w:t xml:space="preserve"> One-Way ANOVA </w:t>
      </w:r>
      <w:r w:rsidRPr="00AD326D">
        <w:rPr>
          <w:rFonts w:ascii="Arabic Typesetting" w:hAnsi="Arabic Typesetting" w:cs="Arabic Typesetting"/>
          <w:b w:val="0"/>
          <w:color w:val="auto"/>
          <w:sz w:val="32"/>
          <w:szCs w:val="32"/>
          <w:rtl/>
          <w:lang w:val="en-GB"/>
        </w:rPr>
        <w:t>لاختبار الفروق في متوسط التمكين القيادي وفق الخصائص الديموغرافية والوظيفية. واعتمدت الدراسة مستوى دلالة إحصائية قدره</w:t>
      </w:r>
      <w:r w:rsidRPr="00AD326D">
        <w:rPr>
          <w:rFonts w:ascii="Arabic Typesetting" w:hAnsi="Arabic Typesetting" w:cs="Arabic Typesetting"/>
          <w:b w:val="0"/>
          <w:color w:val="auto"/>
          <w:sz w:val="32"/>
          <w:szCs w:val="32"/>
          <w:lang w:val="en-GB"/>
        </w:rPr>
        <w:t xml:space="preserve"> </w:t>
      </w:r>
      <w:r w:rsidRPr="00AD326D">
        <w:rPr>
          <w:rFonts w:ascii="Cambria" w:hAnsi="Cambria" w:cs="Cambria"/>
          <w:b w:val="0"/>
          <w:color w:val="auto"/>
          <w:sz w:val="32"/>
          <w:szCs w:val="32"/>
          <w:lang w:val="en-GB"/>
        </w:rPr>
        <w:t>α</w:t>
      </w:r>
      <w:r w:rsidRPr="00AD326D">
        <w:rPr>
          <w:rFonts w:ascii="Arabic Typesetting" w:hAnsi="Arabic Typesetting" w:cs="Arabic Typesetting"/>
          <w:b w:val="0"/>
          <w:color w:val="auto"/>
          <w:sz w:val="32"/>
          <w:szCs w:val="32"/>
          <w:lang w:val="en-GB"/>
        </w:rPr>
        <w:t>=0.05</w:t>
      </w:r>
      <w:r w:rsidRPr="00AD326D">
        <w:rPr>
          <w:rFonts w:ascii="Arabic Typesetting" w:hAnsi="Arabic Typesetting" w:cs="Arabic Typesetting"/>
          <w:b w:val="0"/>
          <w:color w:val="auto"/>
          <w:sz w:val="32"/>
          <w:szCs w:val="32"/>
          <w:rtl/>
          <w:lang w:val="en-GB"/>
        </w:rPr>
        <w:t>، بحيث يُعد الأثر أو الفرق دالًا إحصائيًا إذا كانت قيمة</w:t>
      </w:r>
      <w:r w:rsidRPr="00AD326D">
        <w:rPr>
          <w:rFonts w:ascii="Arabic Typesetting" w:hAnsi="Arabic Typesetting" w:cs="Arabic Typesetting"/>
          <w:b w:val="0"/>
          <w:color w:val="auto"/>
          <w:sz w:val="32"/>
          <w:szCs w:val="32"/>
          <w:lang w:val="en-GB"/>
        </w:rPr>
        <w:t xml:space="preserve"> Sig. </w:t>
      </w:r>
      <w:r w:rsidRPr="00AD326D">
        <w:rPr>
          <w:rFonts w:ascii="Arabic Typesetting" w:hAnsi="Arabic Typesetting" w:cs="Arabic Typesetting"/>
          <w:b w:val="0"/>
          <w:color w:val="auto"/>
          <w:sz w:val="32"/>
          <w:szCs w:val="32"/>
          <w:rtl/>
          <w:lang w:val="en-GB"/>
        </w:rPr>
        <w:t>أقل من 0.05، مع مراعاة اتجاه المعامل وحجم الأثر عند تفسير النتائج واتخاذ القرار بشأن قبول الفروض أو رفضها</w:t>
      </w:r>
      <w:r w:rsidRPr="00AD326D">
        <w:rPr>
          <w:rFonts w:ascii="Arabic Typesetting" w:hAnsi="Arabic Typesetting" w:cs="Arabic Typesetting"/>
          <w:b w:val="0"/>
          <w:color w:val="auto"/>
          <w:sz w:val="32"/>
          <w:szCs w:val="32"/>
          <w:lang w:val="en-GB"/>
        </w:rPr>
        <w:t>.</w:t>
      </w:r>
    </w:p>
    <w:p w14:paraId="382E6FB6" w14:textId="77777777" w:rsidR="002F2EAD" w:rsidRPr="00AD326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جدول 3-5: خطة المعالجة الإحصائية المستخدمة في الدراسة</w:t>
      </w:r>
    </w:p>
    <w:tbl>
      <w:tblPr>
        <w:tblStyle w:val="PlainTable2"/>
        <w:tblW w:w="9026" w:type="dxa"/>
        <w:tblLayout w:type="fixed"/>
        <w:tblLook w:val="04A0" w:firstRow="1" w:lastRow="0" w:firstColumn="1" w:lastColumn="0" w:noHBand="0" w:noVBand="1"/>
      </w:tblPr>
      <w:tblGrid>
        <w:gridCol w:w="2400"/>
        <w:gridCol w:w="3700"/>
        <w:gridCol w:w="2926"/>
      </w:tblGrid>
      <w:tr w:rsidR="00AD326D" w:rsidRPr="00AD326D" w14:paraId="403D36AA" w14:textId="77777777" w:rsidTr="00442B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68807A72"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التحليل</w:t>
            </w:r>
          </w:p>
        </w:tc>
        <w:tc>
          <w:tcPr>
            <w:tcW w:w="3700" w:type="dxa"/>
          </w:tcPr>
          <w:p w14:paraId="23E665BF"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الغرض</w:t>
            </w:r>
          </w:p>
        </w:tc>
        <w:tc>
          <w:tcPr>
            <w:tcW w:w="2926" w:type="dxa"/>
          </w:tcPr>
          <w:p w14:paraId="58DA0D4D"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مؤشرات الإبلاغ</w:t>
            </w:r>
          </w:p>
        </w:tc>
      </w:tr>
      <w:tr w:rsidR="00AD326D" w:rsidRPr="00AD326D" w14:paraId="1992C2D1" w14:textId="77777777" w:rsidTr="00442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0766DC9F"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الإحصاء الوصفي</w:t>
            </w:r>
          </w:p>
        </w:tc>
        <w:tc>
          <w:tcPr>
            <w:tcW w:w="3700" w:type="dxa"/>
          </w:tcPr>
          <w:p w14:paraId="102A707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وصف خصائص العينة ومستوى الاستجابة لكل بند وبعد.</w:t>
            </w:r>
          </w:p>
        </w:tc>
        <w:tc>
          <w:tcPr>
            <w:tcW w:w="2926" w:type="dxa"/>
          </w:tcPr>
          <w:p w14:paraId="4729619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التكرار، النسبة، المتوسط، الانحراف المعياري، الحد الأدنى والأقصى.</w:t>
            </w:r>
          </w:p>
        </w:tc>
      </w:tr>
      <w:tr w:rsidR="00AD326D" w:rsidRPr="00AD326D" w14:paraId="6E4B137C" w14:textId="77777777" w:rsidTr="00442B69">
        <w:tc>
          <w:tcPr>
            <w:cnfStyle w:val="001000000000" w:firstRow="0" w:lastRow="0" w:firstColumn="1" w:lastColumn="0" w:oddVBand="0" w:evenVBand="0" w:oddHBand="0" w:evenHBand="0" w:firstRowFirstColumn="0" w:firstRowLastColumn="0" w:lastRowFirstColumn="0" w:lastRowLastColumn="0"/>
            <w:tcW w:w="2400" w:type="dxa"/>
          </w:tcPr>
          <w:p w14:paraId="2E488C4A"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الثبات والاتساق الداخلي</w:t>
            </w:r>
          </w:p>
        </w:tc>
        <w:tc>
          <w:tcPr>
            <w:tcW w:w="3700" w:type="dxa"/>
          </w:tcPr>
          <w:p w14:paraId="303ACDD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التأكد من موثوقية بنود كل بعد.</w:t>
            </w:r>
          </w:p>
        </w:tc>
        <w:tc>
          <w:tcPr>
            <w:tcW w:w="2926" w:type="dxa"/>
          </w:tcPr>
          <w:p w14:paraId="5AF7C4F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Cronbach’s Alpha وCorrected Item–Total Correlation.</w:t>
            </w:r>
          </w:p>
        </w:tc>
      </w:tr>
      <w:tr w:rsidR="00AD326D" w:rsidRPr="00AD326D" w14:paraId="14820286" w14:textId="77777777" w:rsidTr="00442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5137764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ارتباط بيرسون</w:t>
            </w:r>
          </w:p>
        </w:tc>
        <w:tc>
          <w:tcPr>
            <w:tcW w:w="3700" w:type="dxa"/>
          </w:tcPr>
          <w:p w14:paraId="57C07F5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اختبار العلاقة الخطية بين الأبعاد المستقلة والتمكين القيادي.</w:t>
            </w:r>
          </w:p>
        </w:tc>
        <w:tc>
          <w:tcPr>
            <w:tcW w:w="2926" w:type="dxa"/>
          </w:tcPr>
          <w:p w14:paraId="0EE223B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r، Sig. (2-tailed)، N=380.</w:t>
            </w:r>
          </w:p>
        </w:tc>
      </w:tr>
      <w:tr w:rsidR="00AD326D" w:rsidRPr="00AD326D" w14:paraId="0903D4F7" w14:textId="77777777" w:rsidTr="00442B69">
        <w:tc>
          <w:tcPr>
            <w:cnfStyle w:val="001000000000" w:firstRow="0" w:lastRow="0" w:firstColumn="1" w:lastColumn="0" w:oddVBand="0" w:evenVBand="0" w:oddHBand="0" w:evenHBand="0" w:firstRowFirstColumn="0" w:firstRowLastColumn="0" w:lastRowFirstColumn="0" w:lastRowLastColumn="0"/>
            <w:tcW w:w="2400" w:type="dxa"/>
          </w:tcPr>
          <w:p w14:paraId="5AA781A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الانحدار الخطي المتعدد</w:t>
            </w:r>
          </w:p>
        </w:tc>
        <w:tc>
          <w:tcPr>
            <w:tcW w:w="3700" w:type="dxa"/>
          </w:tcPr>
          <w:p w14:paraId="6724EB1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تقدير الأثر النسبي للأبعاد الاجتماعية والثقافية والتنظيمية مجتمعة.</w:t>
            </w:r>
          </w:p>
        </w:tc>
        <w:tc>
          <w:tcPr>
            <w:tcW w:w="2926" w:type="dxa"/>
          </w:tcPr>
          <w:p w14:paraId="0E5C610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R، R²، Adjusted R²، F، B، SE، Beta، t، Sig.، VIF، Tolerance.</w:t>
            </w:r>
          </w:p>
        </w:tc>
      </w:tr>
      <w:tr w:rsidR="00AD326D" w:rsidRPr="00AD326D" w14:paraId="696D582B" w14:textId="77777777" w:rsidTr="00442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730DC5C5"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One-Way ANOVA</w:t>
            </w:r>
          </w:p>
        </w:tc>
        <w:tc>
          <w:tcPr>
            <w:tcW w:w="3700" w:type="dxa"/>
          </w:tcPr>
          <w:p w14:paraId="7268FFB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اختبار اختلاف متوسط التمكين القيادي حسب العمر والتعليم والخبرة والمستوى والقطاع.</w:t>
            </w:r>
          </w:p>
        </w:tc>
        <w:tc>
          <w:tcPr>
            <w:tcW w:w="2926" w:type="dxa"/>
          </w:tcPr>
          <w:p w14:paraId="4125FD2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F، Sig.، Eta-squared؛ وتعذر اختبار الجنس لثبات فئته.</w:t>
            </w:r>
          </w:p>
        </w:tc>
      </w:tr>
    </w:tbl>
    <w:p w14:paraId="22DC60C2" w14:textId="04E7D91D"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color w:val="auto"/>
          <w:sz w:val="32"/>
          <w:szCs w:val="32"/>
        </w:rPr>
        <w:t>خطة</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التحليل</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جميع</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أسئلة</w:t>
      </w:r>
      <w:proofErr w:type="spellEnd"/>
      <w:r w:rsidRPr="00AD326D">
        <w:rPr>
          <w:rFonts w:ascii="Arabic Typesetting" w:hAnsi="Arabic Typesetting" w:cs="Arabic Typesetting"/>
          <w:color w:val="auto"/>
          <w:sz w:val="32"/>
          <w:szCs w:val="32"/>
        </w:rPr>
        <w:t xml:space="preserve"> الدراسة: الوصف، والثبات، والارتباط، والانحدار، والفروق بين المجموعات. ويضمن تحديد مؤشرات الإبلاغ وقاعدة الدلالة </w:t>
      </w:r>
      <w:r w:rsidRPr="00AD326D">
        <w:rPr>
          <w:rFonts w:ascii="Cambria" w:hAnsi="Cambria" w:cs="Cambria"/>
          <w:color w:val="auto"/>
          <w:sz w:val="32"/>
          <w:szCs w:val="32"/>
        </w:rPr>
        <w:t>α</w:t>
      </w:r>
      <w:r w:rsidRPr="00AD326D">
        <w:rPr>
          <w:rFonts w:ascii="Arabic Typesetting" w:hAnsi="Arabic Typesetting" w:cs="Arabic Typesetting"/>
          <w:color w:val="auto"/>
          <w:sz w:val="32"/>
          <w:szCs w:val="32"/>
        </w:rPr>
        <w:t>=0.05 قراءة موحدة للنتائج واتخاذ قرارات الفروض على أساس إحصائي معلن.</w:t>
      </w:r>
    </w:p>
    <w:p w14:paraId="7B78C4F8" w14:textId="77777777" w:rsidR="002F2EAD" w:rsidRDefault="00437DE2" w:rsidP="00442B69">
      <w:pPr>
        <w:pStyle w:val="ThesisBody"/>
        <w:spacing w:line="360" w:lineRule="auto"/>
        <w:jc w:val="both"/>
        <w:rPr>
          <w:rFonts w:ascii="Arabic Typesetting" w:hAnsi="Arabic Typesetting" w:cs="Arabic Typesetting"/>
          <w:color w:val="auto"/>
          <w:sz w:val="32"/>
          <w:szCs w:val="32"/>
          <w:rtl/>
        </w:rPr>
      </w:pPr>
      <w:r w:rsidRPr="00AD326D">
        <w:rPr>
          <w:rFonts w:ascii="Arabic Typesetting" w:hAnsi="Arabic Typesetting" w:cs="Arabic Typesetting"/>
          <w:color w:val="auto"/>
          <w:sz w:val="32"/>
          <w:szCs w:val="32"/>
          <w:rtl/>
        </w:rPr>
        <w:lastRenderedPageBreak/>
        <w:t xml:space="preserve">اعتمد مستوى دلالة </w:t>
      </w:r>
      <w:r w:rsidRPr="00AD326D">
        <w:rPr>
          <w:rFonts w:ascii="Cambria" w:hAnsi="Cambria" w:cs="Cambria" w:hint="cs"/>
          <w:color w:val="auto"/>
          <w:sz w:val="32"/>
          <w:szCs w:val="32"/>
          <w:rtl/>
        </w:rPr>
        <w:t>α</w:t>
      </w:r>
      <w:r w:rsidRPr="00AD326D">
        <w:rPr>
          <w:rFonts w:ascii="Arabic Typesetting" w:hAnsi="Arabic Typesetting" w:cs="Arabic Typesetting"/>
          <w:color w:val="auto"/>
          <w:sz w:val="32"/>
          <w:szCs w:val="32"/>
          <w:rtl/>
        </w:rPr>
        <w:t xml:space="preserve"> = 0.05. </w:t>
      </w:r>
      <w:r w:rsidRPr="00AD326D">
        <w:rPr>
          <w:rFonts w:ascii="Arabic Typesetting" w:hAnsi="Arabic Typesetting" w:cs="Arabic Typesetting" w:hint="cs"/>
          <w:color w:val="auto"/>
          <w:sz w:val="32"/>
          <w:szCs w:val="32"/>
          <w:rtl/>
        </w:rPr>
        <w:t>تُقبل</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الفرضية</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إذا</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كانت</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قيمة</w:t>
      </w:r>
      <w:r w:rsidRPr="00AD326D">
        <w:rPr>
          <w:rFonts w:ascii="Arabic Typesetting" w:hAnsi="Arabic Typesetting" w:cs="Arabic Typesetting"/>
          <w:color w:val="auto"/>
          <w:sz w:val="32"/>
          <w:szCs w:val="32"/>
          <w:rtl/>
        </w:rPr>
        <w:t xml:space="preserve"> Sig. </w:t>
      </w:r>
      <w:r w:rsidRPr="00AD326D">
        <w:rPr>
          <w:rFonts w:ascii="Arabic Typesetting" w:hAnsi="Arabic Typesetting" w:cs="Arabic Typesetting" w:hint="cs"/>
          <w:color w:val="auto"/>
          <w:sz w:val="32"/>
          <w:szCs w:val="32"/>
          <w:rtl/>
        </w:rPr>
        <w:t>أقل</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من</w:t>
      </w:r>
      <w:r w:rsidRPr="00AD326D">
        <w:rPr>
          <w:rFonts w:ascii="Arabic Typesetting" w:hAnsi="Arabic Typesetting" w:cs="Arabic Typesetting"/>
          <w:color w:val="auto"/>
          <w:sz w:val="32"/>
          <w:szCs w:val="32"/>
          <w:rtl/>
        </w:rPr>
        <w:t xml:space="preserve"> 0.05 </w:t>
      </w:r>
      <w:r w:rsidRPr="00AD326D">
        <w:rPr>
          <w:rFonts w:ascii="Arabic Typesetting" w:hAnsi="Arabic Typesetting" w:cs="Arabic Typesetting" w:hint="cs"/>
          <w:color w:val="auto"/>
          <w:sz w:val="32"/>
          <w:szCs w:val="32"/>
          <w:rtl/>
        </w:rPr>
        <w:t>وكان</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اتجاه</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المعامل</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موجبًا</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بما</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يتفق</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مع</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الفرضية،</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بينما</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تُرفض</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الفرضية</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الصفرية</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عند</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تحقق</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ذلك</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وتُفسر</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المتوسطات</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على</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مقياس</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ليكرت</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وفق</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الفئات</w:t>
      </w:r>
      <w:r w:rsidRPr="00AD326D">
        <w:rPr>
          <w:rFonts w:ascii="Arabic Typesetting" w:hAnsi="Arabic Typesetting" w:cs="Arabic Typesetting"/>
          <w:color w:val="auto"/>
          <w:sz w:val="32"/>
          <w:szCs w:val="32"/>
          <w:rtl/>
        </w:rPr>
        <w:t>: 1.00</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1.80 </w:t>
      </w:r>
      <w:r w:rsidRPr="00AD326D">
        <w:rPr>
          <w:rFonts w:ascii="Arabic Typesetting" w:hAnsi="Arabic Typesetting" w:cs="Arabic Typesetting" w:hint="cs"/>
          <w:color w:val="auto"/>
          <w:sz w:val="32"/>
          <w:szCs w:val="32"/>
          <w:rtl/>
        </w:rPr>
        <w:t>منخفض</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جدًا،</w:t>
      </w:r>
      <w:r w:rsidRPr="00AD326D">
        <w:rPr>
          <w:rFonts w:ascii="Arabic Typesetting" w:hAnsi="Arabic Typesetting" w:cs="Arabic Typesetting"/>
          <w:color w:val="auto"/>
          <w:sz w:val="32"/>
          <w:szCs w:val="32"/>
          <w:rtl/>
        </w:rPr>
        <w:t xml:space="preserve"> 1.81</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2.60 </w:t>
      </w:r>
      <w:r w:rsidRPr="00AD326D">
        <w:rPr>
          <w:rFonts w:ascii="Arabic Typesetting" w:hAnsi="Arabic Typesetting" w:cs="Arabic Typesetting" w:hint="cs"/>
          <w:color w:val="auto"/>
          <w:sz w:val="32"/>
          <w:szCs w:val="32"/>
          <w:rtl/>
        </w:rPr>
        <w:t>منخفض،</w:t>
      </w:r>
      <w:r w:rsidRPr="00AD326D">
        <w:rPr>
          <w:rFonts w:ascii="Arabic Typesetting" w:hAnsi="Arabic Typesetting" w:cs="Arabic Typesetting"/>
          <w:color w:val="auto"/>
          <w:sz w:val="32"/>
          <w:szCs w:val="32"/>
          <w:rtl/>
        </w:rPr>
        <w:t xml:space="preserve"> 2.61</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3.40 </w:t>
      </w:r>
      <w:r w:rsidRPr="00AD326D">
        <w:rPr>
          <w:rFonts w:ascii="Arabic Typesetting" w:hAnsi="Arabic Typesetting" w:cs="Arabic Typesetting" w:hint="cs"/>
          <w:color w:val="auto"/>
          <w:sz w:val="32"/>
          <w:szCs w:val="32"/>
          <w:rtl/>
        </w:rPr>
        <w:t>متوسط،</w:t>
      </w:r>
      <w:r w:rsidRPr="00AD326D">
        <w:rPr>
          <w:rFonts w:ascii="Arabic Typesetting" w:hAnsi="Arabic Typesetting" w:cs="Arabic Typesetting"/>
          <w:color w:val="auto"/>
          <w:sz w:val="32"/>
          <w:szCs w:val="32"/>
          <w:rtl/>
        </w:rPr>
        <w:t xml:space="preserve"> 3.41</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4.20 </w:t>
      </w:r>
      <w:r w:rsidRPr="00AD326D">
        <w:rPr>
          <w:rFonts w:ascii="Arabic Typesetting" w:hAnsi="Arabic Typesetting" w:cs="Arabic Typesetting" w:hint="cs"/>
          <w:color w:val="auto"/>
          <w:sz w:val="32"/>
          <w:szCs w:val="32"/>
          <w:rtl/>
        </w:rPr>
        <w:t>مرتفع،</w:t>
      </w:r>
      <w:r w:rsidRPr="00AD326D">
        <w:rPr>
          <w:rFonts w:ascii="Arabic Typesetting" w:hAnsi="Arabic Typesetting" w:cs="Arabic Typesetting"/>
          <w:color w:val="auto"/>
          <w:sz w:val="32"/>
          <w:szCs w:val="32"/>
          <w:rtl/>
        </w:rPr>
        <w:t xml:space="preserve"> 4.21</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5.00 </w:t>
      </w:r>
      <w:r w:rsidRPr="00AD326D">
        <w:rPr>
          <w:rFonts w:ascii="Arabic Typesetting" w:hAnsi="Arabic Typesetting" w:cs="Arabic Typesetting" w:hint="cs"/>
          <w:color w:val="auto"/>
          <w:sz w:val="32"/>
          <w:szCs w:val="32"/>
          <w:rtl/>
        </w:rPr>
        <w:t>مرتفع</w:t>
      </w:r>
      <w:r w:rsidRPr="00AD326D">
        <w:rPr>
          <w:rFonts w:ascii="Arabic Typesetting" w:hAnsi="Arabic Typesetting" w:cs="Arabic Typesetting"/>
          <w:color w:val="auto"/>
          <w:sz w:val="32"/>
          <w:szCs w:val="32"/>
          <w:rtl/>
        </w:rPr>
        <w:t xml:space="preserve"> </w:t>
      </w:r>
      <w:r w:rsidRPr="00AD326D">
        <w:rPr>
          <w:rFonts w:ascii="Arabic Typesetting" w:hAnsi="Arabic Typesetting" w:cs="Arabic Typesetting" w:hint="cs"/>
          <w:color w:val="auto"/>
          <w:sz w:val="32"/>
          <w:szCs w:val="32"/>
          <w:rtl/>
        </w:rPr>
        <w:t>جدًا</w:t>
      </w:r>
      <w:r w:rsidRPr="00AD326D">
        <w:rPr>
          <w:rFonts w:ascii="Arabic Typesetting" w:hAnsi="Arabic Typesetting" w:cs="Arabic Typesetting"/>
          <w:color w:val="auto"/>
          <w:sz w:val="32"/>
          <w:szCs w:val="32"/>
          <w:rtl/>
        </w:rPr>
        <w:t>.</w:t>
      </w:r>
    </w:p>
    <w:p w14:paraId="631CEF15" w14:textId="77777777" w:rsidR="00AD326D" w:rsidRDefault="00AD326D" w:rsidP="00AD326D">
      <w:pPr>
        <w:pStyle w:val="ThesisBody"/>
        <w:jc w:val="both"/>
        <w:rPr>
          <w:rFonts w:ascii="Arabic Typesetting" w:hAnsi="Arabic Typesetting" w:cs="Arabic Typesetting"/>
          <w:color w:val="auto"/>
          <w:sz w:val="32"/>
          <w:szCs w:val="32"/>
          <w:rtl/>
        </w:rPr>
      </w:pPr>
    </w:p>
    <w:p w14:paraId="4F40B3C6" w14:textId="77777777" w:rsidR="00AD326D" w:rsidRDefault="00AD326D" w:rsidP="00AD326D">
      <w:pPr>
        <w:pStyle w:val="ThesisBody"/>
        <w:jc w:val="both"/>
        <w:rPr>
          <w:rFonts w:ascii="Arabic Typesetting" w:hAnsi="Arabic Typesetting" w:cs="Arabic Typesetting"/>
          <w:color w:val="auto"/>
          <w:sz w:val="32"/>
          <w:szCs w:val="32"/>
          <w:rtl/>
        </w:rPr>
      </w:pPr>
    </w:p>
    <w:p w14:paraId="54CF8D6B" w14:textId="77777777" w:rsidR="00AD326D" w:rsidRDefault="00AD326D" w:rsidP="00AD326D">
      <w:pPr>
        <w:pStyle w:val="ThesisBody"/>
        <w:jc w:val="both"/>
        <w:rPr>
          <w:rFonts w:ascii="Arabic Typesetting" w:hAnsi="Arabic Typesetting" w:cs="Arabic Typesetting"/>
          <w:color w:val="auto"/>
          <w:sz w:val="32"/>
          <w:szCs w:val="32"/>
          <w:rtl/>
        </w:rPr>
      </w:pPr>
    </w:p>
    <w:p w14:paraId="44240AF5" w14:textId="77777777" w:rsidR="00AD326D" w:rsidRDefault="00AD326D" w:rsidP="00AD326D">
      <w:pPr>
        <w:pStyle w:val="ThesisBody"/>
        <w:jc w:val="both"/>
        <w:rPr>
          <w:rFonts w:ascii="Arabic Typesetting" w:hAnsi="Arabic Typesetting" w:cs="Arabic Typesetting"/>
          <w:color w:val="auto"/>
          <w:sz w:val="32"/>
          <w:szCs w:val="32"/>
          <w:rtl/>
        </w:rPr>
      </w:pPr>
    </w:p>
    <w:p w14:paraId="77F81B1A" w14:textId="77777777" w:rsidR="00442B69" w:rsidRDefault="00442B69" w:rsidP="00AD326D">
      <w:pPr>
        <w:pStyle w:val="ThesisBody"/>
        <w:jc w:val="both"/>
        <w:rPr>
          <w:rFonts w:ascii="Arabic Typesetting" w:hAnsi="Arabic Typesetting" w:cs="Arabic Typesetting"/>
          <w:color w:val="auto"/>
          <w:sz w:val="32"/>
          <w:szCs w:val="32"/>
          <w:rtl/>
        </w:rPr>
      </w:pPr>
    </w:p>
    <w:p w14:paraId="759E4F11" w14:textId="77777777" w:rsidR="00442B69" w:rsidRDefault="00442B69" w:rsidP="00AD326D">
      <w:pPr>
        <w:pStyle w:val="ThesisBody"/>
        <w:jc w:val="both"/>
        <w:rPr>
          <w:rFonts w:ascii="Arabic Typesetting" w:hAnsi="Arabic Typesetting" w:cs="Arabic Typesetting"/>
          <w:color w:val="auto"/>
          <w:sz w:val="32"/>
          <w:szCs w:val="32"/>
          <w:rtl/>
        </w:rPr>
      </w:pPr>
    </w:p>
    <w:p w14:paraId="6587C7AE" w14:textId="77777777" w:rsidR="00442B69" w:rsidRDefault="00442B69" w:rsidP="00AD326D">
      <w:pPr>
        <w:pStyle w:val="ThesisBody"/>
        <w:jc w:val="both"/>
        <w:rPr>
          <w:rFonts w:ascii="Arabic Typesetting" w:hAnsi="Arabic Typesetting" w:cs="Arabic Typesetting"/>
          <w:color w:val="auto"/>
          <w:sz w:val="32"/>
          <w:szCs w:val="32"/>
          <w:rtl/>
        </w:rPr>
      </w:pPr>
    </w:p>
    <w:p w14:paraId="31D80F01" w14:textId="77777777" w:rsidR="00442B69" w:rsidRDefault="00442B69" w:rsidP="00AD326D">
      <w:pPr>
        <w:pStyle w:val="ThesisBody"/>
        <w:jc w:val="both"/>
        <w:rPr>
          <w:rFonts w:ascii="Arabic Typesetting" w:hAnsi="Arabic Typesetting" w:cs="Arabic Typesetting"/>
          <w:color w:val="auto"/>
          <w:sz w:val="32"/>
          <w:szCs w:val="32"/>
          <w:rtl/>
        </w:rPr>
      </w:pPr>
    </w:p>
    <w:p w14:paraId="2F657307" w14:textId="77777777" w:rsidR="00442B69" w:rsidRDefault="00442B69" w:rsidP="00AD326D">
      <w:pPr>
        <w:pStyle w:val="ThesisBody"/>
        <w:jc w:val="both"/>
        <w:rPr>
          <w:rFonts w:ascii="Arabic Typesetting" w:hAnsi="Arabic Typesetting" w:cs="Arabic Typesetting"/>
          <w:color w:val="auto"/>
          <w:sz w:val="32"/>
          <w:szCs w:val="32"/>
          <w:rtl/>
        </w:rPr>
      </w:pPr>
    </w:p>
    <w:p w14:paraId="65792133" w14:textId="77777777" w:rsidR="00442B69" w:rsidRDefault="00442B69" w:rsidP="00AD326D">
      <w:pPr>
        <w:pStyle w:val="ThesisBody"/>
        <w:jc w:val="both"/>
        <w:rPr>
          <w:rFonts w:ascii="Arabic Typesetting" w:hAnsi="Arabic Typesetting" w:cs="Arabic Typesetting"/>
          <w:color w:val="auto"/>
          <w:sz w:val="32"/>
          <w:szCs w:val="32"/>
          <w:rtl/>
        </w:rPr>
      </w:pPr>
    </w:p>
    <w:p w14:paraId="3692E17B" w14:textId="77777777" w:rsidR="00442B69" w:rsidRDefault="00442B69" w:rsidP="00AD326D">
      <w:pPr>
        <w:pStyle w:val="ThesisBody"/>
        <w:jc w:val="both"/>
        <w:rPr>
          <w:rFonts w:ascii="Arabic Typesetting" w:hAnsi="Arabic Typesetting" w:cs="Arabic Typesetting"/>
          <w:color w:val="auto"/>
          <w:sz w:val="32"/>
          <w:szCs w:val="32"/>
          <w:rtl/>
        </w:rPr>
      </w:pPr>
    </w:p>
    <w:p w14:paraId="4424A5C3" w14:textId="77777777" w:rsidR="00442B69" w:rsidRDefault="00442B69" w:rsidP="00AD326D">
      <w:pPr>
        <w:pStyle w:val="ThesisBody"/>
        <w:jc w:val="both"/>
        <w:rPr>
          <w:rFonts w:ascii="Arabic Typesetting" w:hAnsi="Arabic Typesetting" w:cs="Arabic Typesetting"/>
          <w:color w:val="auto"/>
          <w:sz w:val="32"/>
          <w:szCs w:val="32"/>
          <w:rtl/>
        </w:rPr>
      </w:pPr>
    </w:p>
    <w:p w14:paraId="63DFA2CB" w14:textId="77777777" w:rsidR="00442B69" w:rsidRDefault="00442B69" w:rsidP="00AD326D">
      <w:pPr>
        <w:pStyle w:val="ThesisBody"/>
        <w:jc w:val="both"/>
        <w:rPr>
          <w:rFonts w:ascii="Arabic Typesetting" w:hAnsi="Arabic Typesetting" w:cs="Arabic Typesetting"/>
          <w:color w:val="auto"/>
          <w:sz w:val="32"/>
          <w:szCs w:val="32"/>
          <w:rtl/>
        </w:rPr>
      </w:pPr>
    </w:p>
    <w:p w14:paraId="4A240556" w14:textId="77777777" w:rsidR="00442B69" w:rsidRDefault="00442B69" w:rsidP="00AD326D">
      <w:pPr>
        <w:pStyle w:val="ThesisBody"/>
        <w:jc w:val="both"/>
        <w:rPr>
          <w:rFonts w:ascii="Arabic Typesetting" w:hAnsi="Arabic Typesetting" w:cs="Arabic Typesetting"/>
          <w:color w:val="auto"/>
          <w:sz w:val="32"/>
          <w:szCs w:val="32"/>
          <w:rtl/>
        </w:rPr>
      </w:pPr>
    </w:p>
    <w:p w14:paraId="4EBACBA5" w14:textId="77777777" w:rsidR="00AD326D" w:rsidRDefault="00AD326D" w:rsidP="00AD326D">
      <w:pPr>
        <w:pStyle w:val="ThesisBody"/>
        <w:jc w:val="both"/>
        <w:rPr>
          <w:rFonts w:ascii="Arabic Typesetting" w:hAnsi="Arabic Typesetting" w:cs="Arabic Typesetting"/>
          <w:color w:val="auto"/>
          <w:sz w:val="32"/>
          <w:szCs w:val="32"/>
          <w:rtl/>
        </w:rPr>
      </w:pPr>
    </w:p>
    <w:p w14:paraId="4D6DD8F1" w14:textId="77777777" w:rsidR="00442B69" w:rsidRDefault="00442B69" w:rsidP="00AD326D">
      <w:pPr>
        <w:pStyle w:val="ThesisBody"/>
        <w:jc w:val="both"/>
        <w:rPr>
          <w:rFonts w:ascii="Arabic Typesetting" w:hAnsi="Arabic Typesetting" w:cs="Arabic Typesetting"/>
          <w:color w:val="auto"/>
          <w:sz w:val="32"/>
          <w:szCs w:val="32"/>
          <w:rtl/>
        </w:rPr>
      </w:pPr>
    </w:p>
    <w:p w14:paraId="4A4C37C3" w14:textId="77777777" w:rsidR="00442B69" w:rsidRDefault="00442B69" w:rsidP="00AD326D">
      <w:pPr>
        <w:pStyle w:val="ThesisBody"/>
        <w:jc w:val="both"/>
        <w:rPr>
          <w:rFonts w:ascii="Arabic Typesetting" w:hAnsi="Arabic Typesetting" w:cs="Arabic Typesetting"/>
          <w:color w:val="auto"/>
          <w:sz w:val="32"/>
          <w:szCs w:val="32"/>
          <w:rtl/>
        </w:rPr>
      </w:pPr>
    </w:p>
    <w:p w14:paraId="5AF264DD" w14:textId="77777777" w:rsidR="00442B69" w:rsidRDefault="00442B69" w:rsidP="00AD326D">
      <w:pPr>
        <w:pStyle w:val="ThesisBody"/>
        <w:jc w:val="both"/>
        <w:rPr>
          <w:rFonts w:ascii="Arabic Typesetting" w:hAnsi="Arabic Typesetting" w:cs="Arabic Typesetting"/>
          <w:color w:val="auto"/>
          <w:sz w:val="32"/>
          <w:szCs w:val="32"/>
          <w:rtl/>
        </w:rPr>
      </w:pPr>
    </w:p>
    <w:p w14:paraId="4A42850D" w14:textId="77777777" w:rsidR="00442B69" w:rsidRPr="00AD326D" w:rsidRDefault="00442B69" w:rsidP="00AD326D">
      <w:pPr>
        <w:pStyle w:val="ThesisBody"/>
        <w:jc w:val="both"/>
        <w:rPr>
          <w:rFonts w:ascii="Arabic Typesetting" w:hAnsi="Arabic Typesetting" w:cs="Arabic Typesetting"/>
          <w:color w:val="auto"/>
          <w:sz w:val="32"/>
          <w:szCs w:val="32"/>
        </w:rPr>
      </w:pPr>
    </w:p>
    <w:p w14:paraId="63295DC5" w14:textId="77777777" w:rsidR="002F2EAD" w:rsidRPr="00AD326D" w:rsidRDefault="00437DE2" w:rsidP="00442B69">
      <w:pPr>
        <w:pStyle w:val="ThesisH1"/>
        <w:spacing w:line="360" w:lineRule="auto"/>
        <w:jc w:val="both"/>
        <w:rPr>
          <w:rFonts w:ascii="Arabic Typesetting" w:hAnsi="Arabic Typesetting" w:cs="Arabic Typesetting"/>
          <w:b w:val="0"/>
          <w:bCs/>
          <w:color w:val="auto"/>
          <w:szCs w:val="32"/>
        </w:rPr>
      </w:pPr>
      <w:r w:rsidRPr="00AD326D">
        <w:rPr>
          <w:rFonts w:ascii="Arabic Typesetting" w:hAnsi="Arabic Typesetting" w:cs="Arabic Typesetting"/>
          <w:b w:val="0"/>
          <w:bCs/>
          <w:color w:val="auto"/>
          <w:szCs w:val="32"/>
          <w:rtl/>
        </w:rPr>
        <w:lastRenderedPageBreak/>
        <w:t>الفصل الرابع: عرض وتحليل نتائج الدراسة الميدانية</w:t>
      </w:r>
    </w:p>
    <w:p w14:paraId="44FF3C30"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يعرض هذا الفصل نتائج التحليل الإحصائي للاستجابات النهائية البالغ عددها 380 استجابة من القيادات النسائية في الجهات الحكومية. يبدأ العرض بفحص جودة البيانات ووصف خصائص العينة، ثم ينتقل إلى تحليل كل بُعد على حدة، والتحليل الوصفي للأبعاد الكلية، واختبارات الثبات والارتباط والانحدار، وأخيرًا اختبار الفروق الديموغرافية والإجابة المباشرة عن أسئلة الدراسة وفروضها.</w:t>
      </w:r>
    </w:p>
    <w:p w14:paraId="0EB4CD50" w14:textId="77777777" w:rsidR="002F2EAD" w:rsidRPr="00AD326D" w:rsidRDefault="00437DE2" w:rsidP="00442B69">
      <w:pPr>
        <w:pStyle w:val="ThesisH2"/>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4.1 فحص البيانات ومعالجة الحالات</w:t>
      </w:r>
    </w:p>
    <w:p w14:paraId="493541AA"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أظهر ملف SPSS الجاهز وملخص Case Processing Summary أن عدد الحالات الصالحة بلغ 380 بنسبة 100.0%، ولم تُسجل أي حالة مستبعدة أو قيمة مفقودة. لذلك استُخدم N=380 في جميع الجداول، وهو تصحيح مباشر لأي أرقام سابقة كانت تشير إلى 385 أو 300 حالة.</w:t>
      </w:r>
    </w:p>
    <w:p w14:paraId="1B24FB2A" w14:textId="77777777" w:rsidR="002F2EAD" w:rsidRPr="00AD326D" w:rsidRDefault="00437DE2" w:rsidP="00442B69">
      <w:pPr>
        <w:pStyle w:val="ThesisH2"/>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4.2 وصف عينة الدراسة والبيانات الديموغرافية</w:t>
      </w:r>
    </w:p>
    <w:p w14:paraId="74C43D04"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يوضح الجدول التالي التوزيع الفعلي لعينة الدراسة. بلغ عدد الحالات 380 حالة مكتملة. جميع المشاركات إناث، وهو ما يتفق مع قصر مجتمع الدراسة على القيادات النسائية الحكومية. وتظهر بقية الخصائص تنوعًا في العمر والمؤهل والخبرة والمستوى القيادي والقطاع الحكومي، بما يسمح بوصف اتجاهات فئات وظيفية مختلفة داخل المجتمع المستهدف.</w:t>
      </w:r>
    </w:p>
    <w:p w14:paraId="2765BC97" w14:textId="77777777" w:rsidR="002F2EAD" w:rsidRPr="00AD326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جدول 4-1: التوزيع التكراري والنسبي للخصائص الديموغرافية والوظيفية (N=380)</w:t>
      </w:r>
    </w:p>
    <w:tbl>
      <w:tblPr>
        <w:tblStyle w:val="PlainTable2"/>
        <w:bidiVisual/>
        <w:tblW w:w="9026" w:type="dxa"/>
        <w:tblLayout w:type="fixed"/>
        <w:tblLook w:val="04A0" w:firstRow="1" w:lastRow="0" w:firstColumn="1" w:lastColumn="0" w:noHBand="0" w:noVBand="1"/>
      </w:tblPr>
      <w:tblGrid>
        <w:gridCol w:w="2500"/>
        <w:gridCol w:w="3900"/>
        <w:gridCol w:w="1200"/>
        <w:gridCol w:w="1426"/>
      </w:tblGrid>
      <w:tr w:rsidR="00AD326D" w:rsidRPr="00AD326D" w14:paraId="2C9B0DDB" w14:textId="77777777" w:rsidTr="00AD32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0500A355"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المتغير</w:t>
            </w:r>
          </w:p>
        </w:tc>
        <w:tc>
          <w:tcPr>
            <w:tcW w:w="3900" w:type="dxa"/>
          </w:tcPr>
          <w:p w14:paraId="0486A962"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الفئة</w:t>
            </w:r>
          </w:p>
        </w:tc>
        <w:tc>
          <w:tcPr>
            <w:tcW w:w="1200" w:type="dxa"/>
          </w:tcPr>
          <w:p w14:paraId="3D1CBC3D"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التكرار</w:t>
            </w:r>
          </w:p>
        </w:tc>
        <w:tc>
          <w:tcPr>
            <w:tcW w:w="1426" w:type="dxa"/>
          </w:tcPr>
          <w:p w14:paraId="126E4D6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النسبة</w:t>
            </w:r>
          </w:p>
        </w:tc>
      </w:tr>
      <w:tr w:rsidR="00AD326D" w:rsidRPr="00AD326D" w14:paraId="295E0946"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536F43F4"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الجنس</w:t>
            </w:r>
          </w:p>
        </w:tc>
        <w:tc>
          <w:tcPr>
            <w:tcW w:w="3900" w:type="dxa"/>
          </w:tcPr>
          <w:p w14:paraId="6E8EC6B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أنثى</w:t>
            </w:r>
          </w:p>
        </w:tc>
        <w:tc>
          <w:tcPr>
            <w:tcW w:w="1200" w:type="dxa"/>
          </w:tcPr>
          <w:p w14:paraId="766A944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380</w:t>
            </w:r>
          </w:p>
        </w:tc>
        <w:tc>
          <w:tcPr>
            <w:tcW w:w="1426" w:type="dxa"/>
          </w:tcPr>
          <w:p w14:paraId="71C839C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100.0%</w:t>
            </w:r>
          </w:p>
        </w:tc>
      </w:tr>
      <w:tr w:rsidR="00AD326D" w:rsidRPr="00AD326D" w14:paraId="0A432AE8"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179684E5"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العمر</w:t>
            </w:r>
          </w:p>
        </w:tc>
        <w:tc>
          <w:tcPr>
            <w:tcW w:w="3900" w:type="dxa"/>
          </w:tcPr>
          <w:p w14:paraId="0474FD1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أقل من 30 سنة</w:t>
            </w:r>
          </w:p>
        </w:tc>
        <w:tc>
          <w:tcPr>
            <w:tcW w:w="1200" w:type="dxa"/>
          </w:tcPr>
          <w:p w14:paraId="171E222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40</w:t>
            </w:r>
          </w:p>
        </w:tc>
        <w:tc>
          <w:tcPr>
            <w:tcW w:w="1426" w:type="dxa"/>
          </w:tcPr>
          <w:p w14:paraId="7A1171A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10.5%</w:t>
            </w:r>
          </w:p>
        </w:tc>
      </w:tr>
      <w:tr w:rsidR="00AD326D" w:rsidRPr="00AD326D" w14:paraId="39E85469"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4DD1C226"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03120AA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30–39 سنة</w:t>
            </w:r>
          </w:p>
        </w:tc>
        <w:tc>
          <w:tcPr>
            <w:tcW w:w="1200" w:type="dxa"/>
          </w:tcPr>
          <w:p w14:paraId="662FF3F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109</w:t>
            </w:r>
          </w:p>
        </w:tc>
        <w:tc>
          <w:tcPr>
            <w:tcW w:w="1426" w:type="dxa"/>
          </w:tcPr>
          <w:p w14:paraId="58AE831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28.7%</w:t>
            </w:r>
          </w:p>
        </w:tc>
      </w:tr>
      <w:tr w:rsidR="00AD326D" w:rsidRPr="00AD326D" w14:paraId="3572E9ED"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20FB236D"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5D8AD9E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40–49 سنة</w:t>
            </w:r>
          </w:p>
        </w:tc>
        <w:tc>
          <w:tcPr>
            <w:tcW w:w="1200" w:type="dxa"/>
          </w:tcPr>
          <w:p w14:paraId="32D71DF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165</w:t>
            </w:r>
          </w:p>
        </w:tc>
        <w:tc>
          <w:tcPr>
            <w:tcW w:w="1426" w:type="dxa"/>
          </w:tcPr>
          <w:p w14:paraId="01A5171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43.4%</w:t>
            </w:r>
          </w:p>
        </w:tc>
      </w:tr>
      <w:tr w:rsidR="00AD326D" w:rsidRPr="00AD326D" w14:paraId="35C637A6"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14850184"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4D97F0C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50 سنة فأكثر</w:t>
            </w:r>
          </w:p>
        </w:tc>
        <w:tc>
          <w:tcPr>
            <w:tcW w:w="1200" w:type="dxa"/>
          </w:tcPr>
          <w:p w14:paraId="58FCFB9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66</w:t>
            </w:r>
          </w:p>
        </w:tc>
        <w:tc>
          <w:tcPr>
            <w:tcW w:w="1426" w:type="dxa"/>
          </w:tcPr>
          <w:p w14:paraId="7C4D1FB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17.4%</w:t>
            </w:r>
          </w:p>
        </w:tc>
      </w:tr>
      <w:tr w:rsidR="00AD326D" w:rsidRPr="00AD326D" w14:paraId="5DF54544"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1051AD8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المؤهل العلمي</w:t>
            </w:r>
          </w:p>
        </w:tc>
        <w:tc>
          <w:tcPr>
            <w:tcW w:w="3900" w:type="dxa"/>
          </w:tcPr>
          <w:p w14:paraId="2879EB4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دبلوم</w:t>
            </w:r>
          </w:p>
        </w:tc>
        <w:tc>
          <w:tcPr>
            <w:tcW w:w="1200" w:type="dxa"/>
          </w:tcPr>
          <w:p w14:paraId="6844E71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w:t>
            </w:r>
          </w:p>
        </w:tc>
        <w:tc>
          <w:tcPr>
            <w:tcW w:w="1426" w:type="dxa"/>
          </w:tcPr>
          <w:p w14:paraId="3661B8A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8.9%</w:t>
            </w:r>
          </w:p>
        </w:tc>
      </w:tr>
      <w:tr w:rsidR="00AD326D" w:rsidRPr="00AD326D" w14:paraId="41554753"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256F2BCE"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34F0391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بكالوريوس</w:t>
            </w:r>
          </w:p>
        </w:tc>
        <w:tc>
          <w:tcPr>
            <w:tcW w:w="1200" w:type="dxa"/>
          </w:tcPr>
          <w:p w14:paraId="7ECB8E4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172</w:t>
            </w:r>
          </w:p>
        </w:tc>
        <w:tc>
          <w:tcPr>
            <w:tcW w:w="1426" w:type="dxa"/>
          </w:tcPr>
          <w:p w14:paraId="621E595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45.3%</w:t>
            </w:r>
          </w:p>
        </w:tc>
      </w:tr>
      <w:tr w:rsidR="00AD326D" w:rsidRPr="00AD326D" w14:paraId="53F22F61"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7F9E1F41"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7021F43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ماجستير</w:t>
            </w:r>
          </w:p>
        </w:tc>
        <w:tc>
          <w:tcPr>
            <w:tcW w:w="1200" w:type="dxa"/>
          </w:tcPr>
          <w:p w14:paraId="61A3396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119</w:t>
            </w:r>
          </w:p>
        </w:tc>
        <w:tc>
          <w:tcPr>
            <w:tcW w:w="1426" w:type="dxa"/>
          </w:tcPr>
          <w:p w14:paraId="4DDDE04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31.3%</w:t>
            </w:r>
          </w:p>
        </w:tc>
      </w:tr>
      <w:tr w:rsidR="00AD326D" w:rsidRPr="00AD326D" w14:paraId="04F43EE9"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0D10746F"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4B4F71C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دكتوراه</w:t>
            </w:r>
          </w:p>
        </w:tc>
        <w:tc>
          <w:tcPr>
            <w:tcW w:w="1200" w:type="dxa"/>
          </w:tcPr>
          <w:p w14:paraId="41CCECF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48</w:t>
            </w:r>
          </w:p>
        </w:tc>
        <w:tc>
          <w:tcPr>
            <w:tcW w:w="1426" w:type="dxa"/>
          </w:tcPr>
          <w:p w14:paraId="6DAC458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12.6%</w:t>
            </w:r>
          </w:p>
        </w:tc>
      </w:tr>
      <w:tr w:rsidR="00AD326D" w:rsidRPr="00AD326D" w14:paraId="5CDD215A"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291E35A8"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06FD2CA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أخرى</w:t>
            </w:r>
          </w:p>
        </w:tc>
        <w:tc>
          <w:tcPr>
            <w:tcW w:w="1200" w:type="dxa"/>
          </w:tcPr>
          <w:p w14:paraId="39A796A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7</w:t>
            </w:r>
          </w:p>
        </w:tc>
        <w:tc>
          <w:tcPr>
            <w:tcW w:w="1426" w:type="dxa"/>
          </w:tcPr>
          <w:p w14:paraId="6D4A77A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1.8%</w:t>
            </w:r>
          </w:p>
        </w:tc>
      </w:tr>
      <w:tr w:rsidR="00AD326D" w:rsidRPr="00AD326D" w14:paraId="00671E6F"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2A5551E3"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سنوات الخبرة في العمل الحكومي</w:t>
            </w:r>
          </w:p>
        </w:tc>
        <w:tc>
          <w:tcPr>
            <w:tcW w:w="3900" w:type="dxa"/>
          </w:tcPr>
          <w:p w14:paraId="2633434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أقل من 5 سنوات</w:t>
            </w:r>
          </w:p>
        </w:tc>
        <w:tc>
          <w:tcPr>
            <w:tcW w:w="1200" w:type="dxa"/>
          </w:tcPr>
          <w:p w14:paraId="17A92ED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38</w:t>
            </w:r>
          </w:p>
        </w:tc>
        <w:tc>
          <w:tcPr>
            <w:tcW w:w="1426" w:type="dxa"/>
          </w:tcPr>
          <w:p w14:paraId="507700D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10.0%</w:t>
            </w:r>
          </w:p>
        </w:tc>
      </w:tr>
      <w:tr w:rsidR="00AD326D" w:rsidRPr="00AD326D" w14:paraId="465F6C9D"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0F0726E6"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206BFD3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5–10 سنوات</w:t>
            </w:r>
          </w:p>
        </w:tc>
        <w:tc>
          <w:tcPr>
            <w:tcW w:w="1200" w:type="dxa"/>
          </w:tcPr>
          <w:p w14:paraId="69DE80B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115</w:t>
            </w:r>
          </w:p>
        </w:tc>
        <w:tc>
          <w:tcPr>
            <w:tcW w:w="1426" w:type="dxa"/>
          </w:tcPr>
          <w:p w14:paraId="17FC554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30.3%</w:t>
            </w:r>
          </w:p>
        </w:tc>
      </w:tr>
      <w:tr w:rsidR="00AD326D" w:rsidRPr="00AD326D" w14:paraId="43EE5D41"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55D6A03F"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25CE693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11–15 سنة</w:t>
            </w:r>
          </w:p>
        </w:tc>
        <w:tc>
          <w:tcPr>
            <w:tcW w:w="1200" w:type="dxa"/>
          </w:tcPr>
          <w:p w14:paraId="7AA7B5D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119</w:t>
            </w:r>
          </w:p>
        </w:tc>
        <w:tc>
          <w:tcPr>
            <w:tcW w:w="1426" w:type="dxa"/>
          </w:tcPr>
          <w:p w14:paraId="0EF7651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31.3%</w:t>
            </w:r>
          </w:p>
        </w:tc>
      </w:tr>
      <w:tr w:rsidR="00AD326D" w:rsidRPr="00AD326D" w14:paraId="60BCE217"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2A7C530B"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7E8A8AF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أكثر من 15 سنة</w:t>
            </w:r>
          </w:p>
        </w:tc>
        <w:tc>
          <w:tcPr>
            <w:tcW w:w="1200" w:type="dxa"/>
          </w:tcPr>
          <w:p w14:paraId="2401E18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108</w:t>
            </w:r>
          </w:p>
        </w:tc>
        <w:tc>
          <w:tcPr>
            <w:tcW w:w="1426" w:type="dxa"/>
          </w:tcPr>
          <w:p w14:paraId="7735A9B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28.4%</w:t>
            </w:r>
          </w:p>
        </w:tc>
      </w:tr>
      <w:tr w:rsidR="00AD326D" w:rsidRPr="00AD326D" w14:paraId="06D58345"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493A7C13"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سنوات الخبرة في منصب قيادي</w:t>
            </w:r>
          </w:p>
        </w:tc>
        <w:tc>
          <w:tcPr>
            <w:tcW w:w="3900" w:type="dxa"/>
          </w:tcPr>
          <w:p w14:paraId="63B6B81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أقل من 3 سنوات</w:t>
            </w:r>
          </w:p>
        </w:tc>
        <w:tc>
          <w:tcPr>
            <w:tcW w:w="1200" w:type="dxa"/>
          </w:tcPr>
          <w:p w14:paraId="73C07C3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98</w:t>
            </w:r>
          </w:p>
        </w:tc>
        <w:tc>
          <w:tcPr>
            <w:tcW w:w="1426" w:type="dxa"/>
          </w:tcPr>
          <w:p w14:paraId="3A69C5C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25.8%</w:t>
            </w:r>
          </w:p>
        </w:tc>
      </w:tr>
      <w:tr w:rsidR="00AD326D" w:rsidRPr="00AD326D" w14:paraId="2EAB25E9"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481999F9"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1934D03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 سنوات</w:t>
            </w:r>
          </w:p>
        </w:tc>
        <w:tc>
          <w:tcPr>
            <w:tcW w:w="1200" w:type="dxa"/>
          </w:tcPr>
          <w:p w14:paraId="1A253B0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109</w:t>
            </w:r>
          </w:p>
        </w:tc>
        <w:tc>
          <w:tcPr>
            <w:tcW w:w="1426" w:type="dxa"/>
          </w:tcPr>
          <w:p w14:paraId="215756D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28.7%</w:t>
            </w:r>
          </w:p>
        </w:tc>
      </w:tr>
      <w:tr w:rsidR="00AD326D" w:rsidRPr="00AD326D" w14:paraId="010E1189"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76DA3122"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2B9BEF3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6–10 سنوات</w:t>
            </w:r>
          </w:p>
        </w:tc>
        <w:tc>
          <w:tcPr>
            <w:tcW w:w="1200" w:type="dxa"/>
          </w:tcPr>
          <w:p w14:paraId="1835199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105</w:t>
            </w:r>
          </w:p>
        </w:tc>
        <w:tc>
          <w:tcPr>
            <w:tcW w:w="1426" w:type="dxa"/>
          </w:tcPr>
          <w:p w14:paraId="4822FB4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27.6%</w:t>
            </w:r>
          </w:p>
        </w:tc>
      </w:tr>
      <w:tr w:rsidR="00AD326D" w:rsidRPr="00AD326D" w14:paraId="4B2ACCEE"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13C3603B"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494F786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أكثر من 10 سنوات</w:t>
            </w:r>
          </w:p>
        </w:tc>
        <w:tc>
          <w:tcPr>
            <w:tcW w:w="1200" w:type="dxa"/>
          </w:tcPr>
          <w:p w14:paraId="08CAB28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68</w:t>
            </w:r>
          </w:p>
        </w:tc>
        <w:tc>
          <w:tcPr>
            <w:tcW w:w="1426" w:type="dxa"/>
          </w:tcPr>
          <w:p w14:paraId="6330333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17.9%</w:t>
            </w:r>
          </w:p>
        </w:tc>
      </w:tr>
      <w:tr w:rsidR="00AD326D" w:rsidRPr="00AD326D" w14:paraId="12E007B1"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4404A685"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المستوى القيادي الحالي</w:t>
            </w:r>
          </w:p>
        </w:tc>
        <w:tc>
          <w:tcPr>
            <w:tcW w:w="3900" w:type="dxa"/>
          </w:tcPr>
          <w:p w14:paraId="017510E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إشرافي</w:t>
            </w:r>
          </w:p>
        </w:tc>
        <w:tc>
          <w:tcPr>
            <w:tcW w:w="1200" w:type="dxa"/>
          </w:tcPr>
          <w:p w14:paraId="0316974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120</w:t>
            </w:r>
          </w:p>
        </w:tc>
        <w:tc>
          <w:tcPr>
            <w:tcW w:w="1426" w:type="dxa"/>
          </w:tcPr>
          <w:p w14:paraId="14B585F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31.6%</w:t>
            </w:r>
          </w:p>
        </w:tc>
      </w:tr>
      <w:tr w:rsidR="00AD326D" w:rsidRPr="00AD326D" w14:paraId="3372AA89"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3793BEAC"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3A06928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إدارة وسطى</w:t>
            </w:r>
          </w:p>
        </w:tc>
        <w:tc>
          <w:tcPr>
            <w:tcW w:w="1200" w:type="dxa"/>
          </w:tcPr>
          <w:p w14:paraId="292F421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140</w:t>
            </w:r>
          </w:p>
        </w:tc>
        <w:tc>
          <w:tcPr>
            <w:tcW w:w="1426" w:type="dxa"/>
          </w:tcPr>
          <w:p w14:paraId="150672E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36.8%</w:t>
            </w:r>
          </w:p>
        </w:tc>
      </w:tr>
      <w:tr w:rsidR="00AD326D" w:rsidRPr="00AD326D" w14:paraId="21F6CF90"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51052076"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4CBB2EC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قيادة تنفيذية</w:t>
            </w:r>
          </w:p>
        </w:tc>
        <w:tc>
          <w:tcPr>
            <w:tcW w:w="1200" w:type="dxa"/>
          </w:tcPr>
          <w:p w14:paraId="43FE4EF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w:t>
            </w:r>
          </w:p>
        </w:tc>
        <w:tc>
          <w:tcPr>
            <w:tcW w:w="1426" w:type="dxa"/>
          </w:tcPr>
          <w:p w14:paraId="0E27A52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9.2%</w:t>
            </w:r>
          </w:p>
        </w:tc>
      </w:tr>
      <w:tr w:rsidR="00AD326D" w:rsidRPr="00AD326D" w14:paraId="6169CBE1"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1485825C"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60E6BBF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إدارة عليا</w:t>
            </w:r>
          </w:p>
        </w:tc>
        <w:tc>
          <w:tcPr>
            <w:tcW w:w="1200" w:type="dxa"/>
          </w:tcPr>
          <w:p w14:paraId="0EC6DE7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85</w:t>
            </w:r>
          </w:p>
        </w:tc>
        <w:tc>
          <w:tcPr>
            <w:tcW w:w="1426" w:type="dxa"/>
          </w:tcPr>
          <w:p w14:paraId="7E50160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22.4%</w:t>
            </w:r>
          </w:p>
        </w:tc>
      </w:tr>
      <w:tr w:rsidR="00AD326D" w:rsidRPr="00AD326D" w14:paraId="721BC531"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32BF5F90"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قطاع الجهة الحكومية</w:t>
            </w:r>
          </w:p>
        </w:tc>
        <w:tc>
          <w:tcPr>
            <w:tcW w:w="3900" w:type="dxa"/>
          </w:tcPr>
          <w:p w14:paraId="72C1F59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تعليم</w:t>
            </w:r>
          </w:p>
        </w:tc>
        <w:tc>
          <w:tcPr>
            <w:tcW w:w="1200" w:type="dxa"/>
          </w:tcPr>
          <w:p w14:paraId="15F6CF3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105</w:t>
            </w:r>
          </w:p>
        </w:tc>
        <w:tc>
          <w:tcPr>
            <w:tcW w:w="1426" w:type="dxa"/>
          </w:tcPr>
          <w:p w14:paraId="3878171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27.6%</w:t>
            </w:r>
          </w:p>
        </w:tc>
      </w:tr>
      <w:tr w:rsidR="00AD326D" w:rsidRPr="00AD326D" w14:paraId="68D55C61"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2E68ED33"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0A6095D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صحة</w:t>
            </w:r>
          </w:p>
        </w:tc>
        <w:tc>
          <w:tcPr>
            <w:tcW w:w="1200" w:type="dxa"/>
          </w:tcPr>
          <w:p w14:paraId="3662456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98</w:t>
            </w:r>
          </w:p>
        </w:tc>
        <w:tc>
          <w:tcPr>
            <w:tcW w:w="1426" w:type="dxa"/>
          </w:tcPr>
          <w:p w14:paraId="730D85D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25.8%</w:t>
            </w:r>
          </w:p>
        </w:tc>
      </w:tr>
      <w:tr w:rsidR="00AD326D" w:rsidRPr="00AD326D" w14:paraId="0EF03275"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5C45E10F"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7FD7E4E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إدارة عامة</w:t>
            </w:r>
          </w:p>
        </w:tc>
        <w:tc>
          <w:tcPr>
            <w:tcW w:w="1200" w:type="dxa"/>
          </w:tcPr>
          <w:p w14:paraId="18752D5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71</w:t>
            </w:r>
          </w:p>
        </w:tc>
        <w:tc>
          <w:tcPr>
            <w:tcW w:w="1426" w:type="dxa"/>
          </w:tcPr>
          <w:p w14:paraId="625917B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18.7%</w:t>
            </w:r>
          </w:p>
        </w:tc>
      </w:tr>
      <w:tr w:rsidR="00AD326D" w:rsidRPr="00AD326D" w14:paraId="7128C3B1"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2FCC7DF5"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5308F67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مالية/اقتصاد</w:t>
            </w:r>
          </w:p>
        </w:tc>
        <w:tc>
          <w:tcPr>
            <w:tcW w:w="1200" w:type="dxa"/>
          </w:tcPr>
          <w:p w14:paraId="19E44AF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41</w:t>
            </w:r>
          </w:p>
        </w:tc>
        <w:tc>
          <w:tcPr>
            <w:tcW w:w="1426" w:type="dxa"/>
          </w:tcPr>
          <w:p w14:paraId="661C926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10.8%</w:t>
            </w:r>
          </w:p>
        </w:tc>
      </w:tr>
      <w:tr w:rsidR="00AD326D" w:rsidRPr="00AD326D" w14:paraId="7BDA60C5" w14:textId="77777777" w:rsidTr="00AD32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43E85470"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42FC1F5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خدمات اجتماعية</w:t>
            </w:r>
          </w:p>
        </w:tc>
        <w:tc>
          <w:tcPr>
            <w:tcW w:w="1200" w:type="dxa"/>
          </w:tcPr>
          <w:p w14:paraId="5D4AE72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49</w:t>
            </w:r>
          </w:p>
        </w:tc>
        <w:tc>
          <w:tcPr>
            <w:tcW w:w="1426" w:type="dxa"/>
          </w:tcPr>
          <w:p w14:paraId="1D91C25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12.9%</w:t>
            </w:r>
          </w:p>
        </w:tc>
      </w:tr>
      <w:tr w:rsidR="00AD326D" w:rsidRPr="00AD326D" w14:paraId="6D860AEF" w14:textId="77777777" w:rsidTr="00AD326D">
        <w:tc>
          <w:tcPr>
            <w:cnfStyle w:val="001000000000" w:firstRow="0" w:lastRow="0" w:firstColumn="1" w:lastColumn="0" w:oddVBand="0" w:evenVBand="0" w:oddHBand="0" w:evenHBand="0" w:firstRowFirstColumn="0" w:firstRowLastColumn="0" w:lastRowFirstColumn="0" w:lastRowLastColumn="0"/>
            <w:tcW w:w="2500" w:type="dxa"/>
          </w:tcPr>
          <w:p w14:paraId="03BF507E" w14:textId="77777777" w:rsidR="002F2EAD" w:rsidRPr="00AD326D" w:rsidRDefault="002F2EAD" w:rsidP="00442B69">
            <w:pPr>
              <w:bidi/>
              <w:spacing w:line="360" w:lineRule="auto"/>
              <w:jc w:val="both"/>
              <w:rPr>
                <w:rFonts w:ascii="Arabic Typesetting" w:hAnsi="Arabic Typesetting" w:cs="Arabic Typesetting"/>
                <w:color w:val="auto"/>
                <w:sz w:val="32"/>
                <w:szCs w:val="32"/>
              </w:rPr>
            </w:pPr>
          </w:p>
        </w:tc>
        <w:tc>
          <w:tcPr>
            <w:tcW w:w="3900" w:type="dxa"/>
          </w:tcPr>
          <w:p w14:paraId="5D7FAD0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أخرى</w:t>
            </w:r>
          </w:p>
        </w:tc>
        <w:tc>
          <w:tcPr>
            <w:tcW w:w="1200" w:type="dxa"/>
          </w:tcPr>
          <w:p w14:paraId="061E4C7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16</w:t>
            </w:r>
          </w:p>
        </w:tc>
        <w:tc>
          <w:tcPr>
            <w:tcW w:w="1426" w:type="dxa"/>
          </w:tcPr>
          <w:p w14:paraId="536890C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4.2%</w:t>
            </w:r>
          </w:p>
        </w:tc>
      </w:tr>
    </w:tbl>
    <w:p w14:paraId="3DE89C70" w14:textId="77777777" w:rsidR="00AD326D" w:rsidRPr="00AD326D" w:rsidRDefault="00AD326D" w:rsidP="00442B69">
      <w:pPr>
        <w:pStyle w:val="ThesisH2"/>
        <w:spacing w:line="360" w:lineRule="auto"/>
        <w:jc w:val="both"/>
        <w:rPr>
          <w:rFonts w:ascii="Arabic Typesetting" w:hAnsi="Arabic Typesetting" w:cs="Arabic Typesetting"/>
          <w:color w:val="auto"/>
          <w:sz w:val="32"/>
          <w:szCs w:val="32"/>
          <w:lang w:val="en-GB"/>
        </w:rPr>
      </w:pPr>
      <w:r w:rsidRPr="00AD326D">
        <w:rPr>
          <w:rFonts w:ascii="Arabic Typesetting" w:hAnsi="Arabic Typesetting" w:cs="Arabic Typesetting"/>
          <w:color w:val="auto"/>
          <w:sz w:val="32"/>
          <w:szCs w:val="32"/>
          <w:rtl/>
        </w:rPr>
        <w:t xml:space="preserve">يوضح الجدول (4-1) الخصائص الديموغرافية والوظيفية لعينة الدراسة، ويكشف عن طبيعة العينة ومستوى تنوعها ومدى ملاءمتها لتحليل واقع القيادات النسائية في الجهات الحكومية. وتتميز العينة بتجانس كامل من حيث الجنس، إذ بلغت نسبة المشاركات الإناث 100% بواقع 380 مشاركة، وهو ما يتفق مع تحديد مجتمع الدراسة بالقيادات النسائية الحكومية، إلا أن هذا التجانس يجعل من غير الممكن إجراء مقارنة إحصائية بين الذكور والإناث أو اختبار أثر الجنس في التمكين القيادي. أما من حيث العمر، فقد تركزت النسبة </w:t>
      </w:r>
      <w:r w:rsidRPr="00AD326D">
        <w:rPr>
          <w:rFonts w:ascii="Arabic Typesetting" w:hAnsi="Arabic Typesetting" w:cs="Arabic Typesetting"/>
          <w:color w:val="auto"/>
          <w:sz w:val="32"/>
          <w:szCs w:val="32"/>
          <w:rtl/>
        </w:rPr>
        <w:lastRenderedPageBreak/>
        <w:t>الأكبر في الفئة العمرية 40–49 سنة بنسبة 43.4%، تلتها فئة 30–39 سنة بنسبة 28.7%، وبذلك تمثل الفئتان معًا 72.1% من إجمالي العينة، مما يشير إلى أن غالبية المشاركات ينتمين إلى مراحل عمرية تتسم بالنضج المهني وتراكم الخبرة والقدرة على تقييم بيئة العمل والتمكين القيادي بصورة أكثر وعيًا، في حين بلغت نسبة من هن في سن 50 سنة فأكثر 17.4%، ونسبة الأقل من 30 سنة 10.5%. وبالنسبة للمؤهل العلمي، استحوذت فئة البكالوريوس على النسبة الأعلى بواقع 45.3%، تلتها فئة الماجستير بنسبة 31.3%، أي أن 76.6% من المشاركات يحملن مؤهلًا جامعيًا أو دراسات عليا، وهو ما يعكس مستوى تعليميًا مناسبًا لطبيعة المناصب القيادية ويسهم في رفع قدرة المشاركات على فهم بنود الاستبانة وتقييم السياسات والممارسات التنظيمية بدقة. كما تظهر بيانات الخبرة في العمل الحكومي أن 31.3% من المشاركات لديهن خبرة تتراوح بين 11 و15 سنة، و28.4% لديهن خبرة تزيد على 15 سنة، وبذلك تشكل الخبرات التي تتجاوز عشر سنوات 59.7% من العينة، الأمر الذي يدل على أن معظم الاستجابات صادرة عن قيادات لديهن معرفة تراكمية بالأنظمة الحكومية ومسارات الترقية والدعم الإداري والتحديات المرتبطة بالعمل القيادي. وفيما يتعلق بالخبرة في المنصب القيادي، جاءت الفئة من 3–5 سنوات في المرتبة الأولى بنسبة 28.7%، تلتها فئة 6–10 سنوات بنسبة 27.6%، بما يعكس وجود خبرة قيادية فعلية لدى أكثر من نصف العينة، مع تمثيل ملحوظ للفئة التي تقل خبرتها عن ثلاث سنوات بنسبة 25.8%، والفئة التي تزيد خبرتها على عشر سنوات بنسبة 17.9%. أما المستوى القيادي الحالي، فقد تركزت المشاركات في الإدارة الوسطى بنسبة 36.8%، تلتها الفئة الإشرافية بنسبة 31.6%، وبذلك تمثل المستويات الإشرافية والإدارة الوسطى 68.4% من العينة، في حين بلغت نسبة الإدارة العليا 22.4% والقيادة التنفيذية 9.2%، وهو توزيع يعكس مشاركة قيادات من مستويات إدارية متعددة، مع ملاحظة أن انخفاض عدد القيادات التنفيذية قد يحد من قوة المقارنة بينها وبين الفئات الأكبر حجمًا. وعلى مستوى قطاع الجهة الحكومية، جاء قطاع التعليم في المرتبة الأولى بنسبة 27.6%، يليه قطاع الصحة بنسبة 25.8%، ويشكل القطاعان معًا 53.4% من العينة، ثم الإدارة العامة بنسبة 18.7%، والخدمات الاجتماعية بنسبة 12.9%، والمالية والاقتصاد بنسبة 10.8%، في حين مثلت القطاعات الأخرى 4.2%. ويشير هذا التنوع القطاعي إلى أن النتائج لا ترتبط ببيئة حكومية واحدة فقط، بل تعكس خبرات من مجالات خدمية وإدارية مختلفة، مع ضرورة مراعاة تفاوت أحجام الفئات عند تفسير الفروق الإحصائية. وبوجه عام، تظهر العينة مزيجًا من النضج العمري، وارتفاع المستوى التعليمي، وتراكم الخبرة الحكومية والقيادية، والتنوع في المستويات والقطاعات، وهو ما يوفر أساسًا مناسبًا لتحليل تصورات القيادات النسائية للعوامل الاجتماعية والثقافية والتنظيمية وعلاقتها بالتمكين القيادي، مع التأكيد على أن نتائج المقارنة الديموغرافية تظل محصورة في خصائص العينة المدروسة، وأن متغير الجنس لا يمكن استخدامه لاختبار الفروق بسبب اقتصاره على فئة واحدة</w:t>
      </w:r>
      <w:r w:rsidRPr="00AD326D">
        <w:rPr>
          <w:rFonts w:ascii="Arabic Typesetting" w:hAnsi="Arabic Typesetting" w:cs="Arabic Typesetting"/>
          <w:color w:val="auto"/>
          <w:sz w:val="32"/>
          <w:szCs w:val="32"/>
          <w:lang w:val="en-GB"/>
        </w:rPr>
        <w:t>.</w:t>
      </w:r>
    </w:p>
    <w:p w14:paraId="24EE1F9A" w14:textId="77777777" w:rsidR="002F2EAD" w:rsidRPr="00AD326D" w:rsidRDefault="00437DE2" w:rsidP="00442B69">
      <w:pPr>
        <w:pStyle w:val="ThesisH2"/>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4.3 تحليل بُعد العوامل الاجتماعية</w:t>
      </w:r>
    </w:p>
    <w:p w14:paraId="5E3F1B6E"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 xml:space="preserve">بلغ المتوسط الكلي لبُعد العوامل الاجتماعية 3.5142 بانحراف معياري 0.6721، وهو يقع ضمن مستوى مرتفع وفق حدود التفسير </w:t>
      </w:r>
      <w:r w:rsidRPr="00AD326D">
        <w:rPr>
          <w:rFonts w:ascii="Arabic Typesetting" w:hAnsi="Arabic Typesetting" w:cs="Arabic Typesetting"/>
          <w:color w:val="auto"/>
          <w:sz w:val="32"/>
          <w:szCs w:val="32"/>
          <w:rtl/>
        </w:rPr>
        <w:lastRenderedPageBreak/>
        <w:t>المعتمدة. ويعرض الجدول جميع البنود العشرة، مع التوزيع الكامل لفئات الاستجابة الخمس، والمتوسط والانحراف المعياري والرتبة داخل البعد. سجل أعلى متوسط البند: «تساعدني المشاركة في الفعاليات المجتمعية والمهنية على تطوير مهاراتي القيادية.» بقيمة 3.563، بينما سجل أدنى متوسط البند: «يتقبل المجتمع مشاركة المرأة في اتخاذ القرارات المهمة المرتبطة بالعمل العام.» بقيمة 3.416.</w:t>
      </w:r>
    </w:p>
    <w:p w14:paraId="360C258D" w14:textId="77777777" w:rsidR="002F2EAD" w:rsidRPr="00AD326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جدول 4-3: التوزيع الكامل لاستجابات بنود العوامل الاجتماعية (N=380)</w:t>
      </w:r>
    </w:p>
    <w:tbl>
      <w:tblPr>
        <w:tblStyle w:val="PlainTable2"/>
        <w:bidiVisual/>
        <w:tblW w:w="9500" w:type="dxa"/>
        <w:tblLayout w:type="fixed"/>
        <w:tblLook w:val="04A0" w:firstRow="1" w:lastRow="0" w:firstColumn="1" w:lastColumn="0" w:noHBand="0" w:noVBand="1"/>
      </w:tblPr>
      <w:tblGrid>
        <w:gridCol w:w="600"/>
        <w:gridCol w:w="2750"/>
        <w:gridCol w:w="450"/>
        <w:gridCol w:w="450"/>
        <w:gridCol w:w="680"/>
        <w:gridCol w:w="680"/>
        <w:gridCol w:w="680"/>
        <w:gridCol w:w="680"/>
        <w:gridCol w:w="680"/>
        <w:gridCol w:w="650"/>
        <w:gridCol w:w="650"/>
        <w:gridCol w:w="550"/>
      </w:tblGrid>
      <w:tr w:rsidR="00AD326D" w:rsidRPr="00AD326D" w14:paraId="5963ED5B" w14:textId="77777777" w:rsidTr="00442B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B095CDB"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الكود</w:t>
            </w:r>
          </w:p>
        </w:tc>
        <w:tc>
          <w:tcPr>
            <w:tcW w:w="2750" w:type="dxa"/>
          </w:tcPr>
          <w:p w14:paraId="013BEDBE"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العبارة</w:t>
            </w:r>
          </w:p>
        </w:tc>
        <w:tc>
          <w:tcPr>
            <w:tcW w:w="450" w:type="dxa"/>
          </w:tcPr>
          <w:p w14:paraId="731C3DA1"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أدنى</w:t>
            </w:r>
          </w:p>
        </w:tc>
        <w:tc>
          <w:tcPr>
            <w:tcW w:w="450" w:type="dxa"/>
          </w:tcPr>
          <w:p w14:paraId="1D753EC1"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أقصى</w:t>
            </w:r>
          </w:p>
        </w:tc>
        <w:tc>
          <w:tcPr>
            <w:tcW w:w="680" w:type="dxa"/>
          </w:tcPr>
          <w:p w14:paraId="35F53B78"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 لا أوافق بشدة</w:t>
            </w:r>
          </w:p>
        </w:tc>
        <w:tc>
          <w:tcPr>
            <w:tcW w:w="680" w:type="dxa"/>
          </w:tcPr>
          <w:p w14:paraId="1BF73DC4"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2: لا أوافق</w:t>
            </w:r>
          </w:p>
        </w:tc>
        <w:tc>
          <w:tcPr>
            <w:tcW w:w="680" w:type="dxa"/>
          </w:tcPr>
          <w:p w14:paraId="77095381"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 محايد/ة</w:t>
            </w:r>
          </w:p>
        </w:tc>
        <w:tc>
          <w:tcPr>
            <w:tcW w:w="680" w:type="dxa"/>
          </w:tcPr>
          <w:p w14:paraId="3BD56AC2"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 أوافق</w:t>
            </w:r>
          </w:p>
        </w:tc>
        <w:tc>
          <w:tcPr>
            <w:tcW w:w="680" w:type="dxa"/>
          </w:tcPr>
          <w:p w14:paraId="056D67BA"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 أوافق بشدة</w:t>
            </w:r>
          </w:p>
        </w:tc>
        <w:tc>
          <w:tcPr>
            <w:tcW w:w="650" w:type="dxa"/>
          </w:tcPr>
          <w:p w14:paraId="5130F67A"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المتوسط</w:t>
            </w:r>
          </w:p>
        </w:tc>
        <w:tc>
          <w:tcPr>
            <w:tcW w:w="650" w:type="dxa"/>
          </w:tcPr>
          <w:p w14:paraId="5E6C9117"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الانحراف</w:t>
            </w:r>
          </w:p>
        </w:tc>
        <w:tc>
          <w:tcPr>
            <w:tcW w:w="550" w:type="dxa"/>
          </w:tcPr>
          <w:p w14:paraId="06071958"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الرتبة</w:t>
            </w:r>
          </w:p>
        </w:tc>
      </w:tr>
      <w:tr w:rsidR="00AD326D" w:rsidRPr="00AD326D" w14:paraId="45F191D4" w14:textId="77777777" w:rsidTr="00442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69959239"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SOC1</w:t>
            </w:r>
          </w:p>
        </w:tc>
        <w:tc>
          <w:tcPr>
            <w:tcW w:w="2750" w:type="dxa"/>
          </w:tcPr>
          <w:p w14:paraId="2A17909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يساندني تشجيع أسرتي في الاستمرار والتقدم في مساري القيادي داخل الجهة الحكومية.</w:t>
            </w:r>
          </w:p>
        </w:tc>
        <w:tc>
          <w:tcPr>
            <w:tcW w:w="450" w:type="dxa"/>
          </w:tcPr>
          <w:p w14:paraId="6511C7D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762B7F2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7DBA006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7 (1.8%)</w:t>
            </w:r>
          </w:p>
        </w:tc>
        <w:tc>
          <w:tcPr>
            <w:tcW w:w="680" w:type="dxa"/>
          </w:tcPr>
          <w:p w14:paraId="63ADD4A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45 (11.8%)</w:t>
            </w:r>
          </w:p>
        </w:tc>
        <w:tc>
          <w:tcPr>
            <w:tcW w:w="680" w:type="dxa"/>
          </w:tcPr>
          <w:p w14:paraId="1EC483F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130 (34.2%)</w:t>
            </w:r>
          </w:p>
        </w:tc>
        <w:tc>
          <w:tcPr>
            <w:tcW w:w="680" w:type="dxa"/>
          </w:tcPr>
          <w:p w14:paraId="74070DB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131 (34.5%)</w:t>
            </w:r>
          </w:p>
        </w:tc>
        <w:tc>
          <w:tcPr>
            <w:tcW w:w="680" w:type="dxa"/>
          </w:tcPr>
          <w:p w14:paraId="4DA5284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67 (17.6%)</w:t>
            </w:r>
          </w:p>
        </w:tc>
        <w:tc>
          <w:tcPr>
            <w:tcW w:w="650" w:type="dxa"/>
          </w:tcPr>
          <w:p w14:paraId="5406F1B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3.542</w:t>
            </w:r>
          </w:p>
        </w:tc>
        <w:tc>
          <w:tcPr>
            <w:tcW w:w="650" w:type="dxa"/>
          </w:tcPr>
          <w:p w14:paraId="29734BE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0.975</w:t>
            </w:r>
          </w:p>
        </w:tc>
        <w:tc>
          <w:tcPr>
            <w:tcW w:w="550" w:type="dxa"/>
          </w:tcPr>
          <w:p w14:paraId="47348C2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r>
      <w:tr w:rsidR="00AD326D" w:rsidRPr="00AD326D" w14:paraId="2E130DDF" w14:textId="77777777" w:rsidTr="00442B69">
        <w:tc>
          <w:tcPr>
            <w:cnfStyle w:val="001000000000" w:firstRow="0" w:lastRow="0" w:firstColumn="1" w:lastColumn="0" w:oddVBand="0" w:evenVBand="0" w:oddHBand="0" w:evenHBand="0" w:firstRowFirstColumn="0" w:firstRowLastColumn="0" w:lastRowFirstColumn="0" w:lastRowLastColumn="0"/>
            <w:tcW w:w="600" w:type="dxa"/>
          </w:tcPr>
          <w:p w14:paraId="5F744DCD"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SOC2</w:t>
            </w:r>
          </w:p>
        </w:tc>
        <w:tc>
          <w:tcPr>
            <w:tcW w:w="2750" w:type="dxa"/>
          </w:tcPr>
          <w:p w14:paraId="0BD99ED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أحظى بدعم اجتماعي من الزميلات والزملاء يساعدني على أداء دوري القيادي.</w:t>
            </w:r>
          </w:p>
        </w:tc>
        <w:tc>
          <w:tcPr>
            <w:tcW w:w="450" w:type="dxa"/>
          </w:tcPr>
          <w:p w14:paraId="36B08BF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2DF6F42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7601391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11 (2.9%)</w:t>
            </w:r>
          </w:p>
        </w:tc>
        <w:tc>
          <w:tcPr>
            <w:tcW w:w="680" w:type="dxa"/>
          </w:tcPr>
          <w:p w14:paraId="27F7CE5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52 (13.7%)</w:t>
            </w:r>
          </w:p>
        </w:tc>
        <w:tc>
          <w:tcPr>
            <w:tcW w:w="680" w:type="dxa"/>
          </w:tcPr>
          <w:p w14:paraId="68B2E4A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123 (32.4%)</w:t>
            </w:r>
          </w:p>
        </w:tc>
        <w:tc>
          <w:tcPr>
            <w:tcW w:w="680" w:type="dxa"/>
          </w:tcPr>
          <w:p w14:paraId="31FA8B5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142 (37.4%)</w:t>
            </w:r>
          </w:p>
        </w:tc>
        <w:tc>
          <w:tcPr>
            <w:tcW w:w="680" w:type="dxa"/>
          </w:tcPr>
          <w:p w14:paraId="73C197E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52 (13.7%)</w:t>
            </w:r>
          </w:p>
        </w:tc>
        <w:tc>
          <w:tcPr>
            <w:tcW w:w="650" w:type="dxa"/>
          </w:tcPr>
          <w:p w14:paraId="64ED2AF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3.453</w:t>
            </w:r>
          </w:p>
        </w:tc>
        <w:tc>
          <w:tcPr>
            <w:tcW w:w="650" w:type="dxa"/>
          </w:tcPr>
          <w:p w14:paraId="799652D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0.986</w:t>
            </w:r>
          </w:p>
        </w:tc>
        <w:tc>
          <w:tcPr>
            <w:tcW w:w="550" w:type="dxa"/>
          </w:tcPr>
          <w:p w14:paraId="16F41D4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9</w:t>
            </w:r>
          </w:p>
        </w:tc>
      </w:tr>
      <w:tr w:rsidR="00AD326D" w:rsidRPr="00AD326D" w14:paraId="6C03077F" w14:textId="77777777" w:rsidTr="00442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2C07F3E3"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SOC3</w:t>
            </w:r>
          </w:p>
        </w:tc>
        <w:tc>
          <w:tcPr>
            <w:tcW w:w="2750" w:type="dxa"/>
          </w:tcPr>
          <w:p w14:paraId="4824171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ينظر المجتمع المحيط بإيجابية إلى تولي المرأة مناصب قيادية في الجهات الحكومية.</w:t>
            </w:r>
          </w:p>
        </w:tc>
        <w:tc>
          <w:tcPr>
            <w:tcW w:w="450" w:type="dxa"/>
          </w:tcPr>
          <w:p w14:paraId="2B95CB9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2CAFD5E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70AD5F9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 (1.6%)</w:t>
            </w:r>
          </w:p>
        </w:tc>
        <w:tc>
          <w:tcPr>
            <w:tcW w:w="680" w:type="dxa"/>
          </w:tcPr>
          <w:p w14:paraId="46394D4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47 (12.4%)</w:t>
            </w:r>
          </w:p>
        </w:tc>
        <w:tc>
          <w:tcPr>
            <w:tcW w:w="680" w:type="dxa"/>
          </w:tcPr>
          <w:p w14:paraId="1F561E1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119 (31.3%)</w:t>
            </w:r>
          </w:p>
        </w:tc>
        <w:tc>
          <w:tcPr>
            <w:tcW w:w="680" w:type="dxa"/>
          </w:tcPr>
          <w:p w14:paraId="45CC4F6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156 (41.1%)</w:t>
            </w:r>
          </w:p>
        </w:tc>
        <w:tc>
          <w:tcPr>
            <w:tcW w:w="680" w:type="dxa"/>
          </w:tcPr>
          <w:p w14:paraId="4A0E614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52 (13.7%)</w:t>
            </w:r>
          </w:p>
        </w:tc>
        <w:tc>
          <w:tcPr>
            <w:tcW w:w="650" w:type="dxa"/>
          </w:tcPr>
          <w:p w14:paraId="24B7CD1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3.529</w:t>
            </w:r>
          </w:p>
        </w:tc>
        <w:tc>
          <w:tcPr>
            <w:tcW w:w="650" w:type="dxa"/>
          </w:tcPr>
          <w:p w14:paraId="3A43F0C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0.931</w:t>
            </w:r>
          </w:p>
        </w:tc>
        <w:tc>
          <w:tcPr>
            <w:tcW w:w="550" w:type="dxa"/>
          </w:tcPr>
          <w:p w14:paraId="5B79D59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w:t>
            </w:r>
          </w:p>
        </w:tc>
      </w:tr>
      <w:tr w:rsidR="00AD326D" w:rsidRPr="00AD326D" w14:paraId="151E233A" w14:textId="77777777" w:rsidTr="00442B69">
        <w:tc>
          <w:tcPr>
            <w:cnfStyle w:val="001000000000" w:firstRow="0" w:lastRow="0" w:firstColumn="1" w:lastColumn="0" w:oddVBand="0" w:evenVBand="0" w:oddHBand="0" w:evenHBand="0" w:firstRowFirstColumn="0" w:firstRowLastColumn="0" w:lastRowFirstColumn="0" w:lastRowLastColumn="0"/>
            <w:tcW w:w="600" w:type="dxa"/>
          </w:tcPr>
          <w:p w14:paraId="4B437B96"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SOC4</w:t>
            </w:r>
          </w:p>
        </w:tc>
        <w:tc>
          <w:tcPr>
            <w:tcW w:w="2750" w:type="dxa"/>
          </w:tcPr>
          <w:p w14:paraId="76E90B6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يشجعني وجود قدوات نسائية سعودية ناجحة على تطوير مساري القيادي.</w:t>
            </w:r>
          </w:p>
        </w:tc>
        <w:tc>
          <w:tcPr>
            <w:tcW w:w="450" w:type="dxa"/>
          </w:tcPr>
          <w:p w14:paraId="6568179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655D97F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529B49E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 (1.6%)</w:t>
            </w:r>
          </w:p>
        </w:tc>
        <w:tc>
          <w:tcPr>
            <w:tcW w:w="680" w:type="dxa"/>
          </w:tcPr>
          <w:p w14:paraId="2A6EE9B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44 (11.6%)</w:t>
            </w:r>
          </w:p>
        </w:tc>
        <w:tc>
          <w:tcPr>
            <w:tcW w:w="680" w:type="dxa"/>
          </w:tcPr>
          <w:p w14:paraId="7C0950F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137 (36.1%)</w:t>
            </w:r>
          </w:p>
        </w:tc>
        <w:tc>
          <w:tcPr>
            <w:tcW w:w="680" w:type="dxa"/>
          </w:tcPr>
          <w:p w14:paraId="0C752AF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122 (32.1%)</w:t>
            </w:r>
          </w:p>
        </w:tc>
        <w:tc>
          <w:tcPr>
            <w:tcW w:w="680" w:type="dxa"/>
          </w:tcPr>
          <w:p w14:paraId="05FE27F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71 (18.7%)</w:t>
            </w:r>
          </w:p>
        </w:tc>
        <w:tc>
          <w:tcPr>
            <w:tcW w:w="650" w:type="dxa"/>
          </w:tcPr>
          <w:p w14:paraId="024FE73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3.547</w:t>
            </w:r>
          </w:p>
        </w:tc>
        <w:tc>
          <w:tcPr>
            <w:tcW w:w="650" w:type="dxa"/>
          </w:tcPr>
          <w:p w14:paraId="4E66744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0.975</w:t>
            </w:r>
          </w:p>
        </w:tc>
        <w:tc>
          <w:tcPr>
            <w:tcW w:w="550" w:type="dxa"/>
          </w:tcPr>
          <w:p w14:paraId="4B87002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w:t>
            </w:r>
          </w:p>
        </w:tc>
      </w:tr>
      <w:tr w:rsidR="00AD326D" w:rsidRPr="00AD326D" w14:paraId="7984761D" w14:textId="77777777" w:rsidTr="00442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403A24FD"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SOC5</w:t>
            </w:r>
          </w:p>
        </w:tc>
        <w:tc>
          <w:tcPr>
            <w:tcW w:w="2750" w:type="dxa"/>
          </w:tcPr>
          <w:p w14:paraId="11A9CB3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تساعدني المشاركة في الفعاليات المجتمعية والمهنية على تطوير مهاراتي القيادية.</w:t>
            </w:r>
          </w:p>
        </w:tc>
        <w:tc>
          <w:tcPr>
            <w:tcW w:w="450" w:type="dxa"/>
          </w:tcPr>
          <w:p w14:paraId="39E6A80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60C89EE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0B84207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8 (2.1%)</w:t>
            </w:r>
          </w:p>
        </w:tc>
        <w:tc>
          <w:tcPr>
            <w:tcW w:w="680" w:type="dxa"/>
          </w:tcPr>
          <w:p w14:paraId="66DF33D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29 (7.6%)</w:t>
            </w:r>
          </w:p>
        </w:tc>
        <w:tc>
          <w:tcPr>
            <w:tcW w:w="680" w:type="dxa"/>
          </w:tcPr>
          <w:p w14:paraId="1BD40C6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144 (37.9%)</w:t>
            </w:r>
          </w:p>
        </w:tc>
        <w:tc>
          <w:tcPr>
            <w:tcW w:w="680" w:type="dxa"/>
          </w:tcPr>
          <w:p w14:paraId="30EBC03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139 (36.6%)</w:t>
            </w:r>
          </w:p>
        </w:tc>
        <w:tc>
          <w:tcPr>
            <w:tcW w:w="680" w:type="dxa"/>
          </w:tcPr>
          <w:p w14:paraId="5F3951F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60 (15.8%)</w:t>
            </w:r>
          </w:p>
        </w:tc>
        <w:tc>
          <w:tcPr>
            <w:tcW w:w="650" w:type="dxa"/>
          </w:tcPr>
          <w:p w14:paraId="350B8BF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3.563</w:t>
            </w:r>
          </w:p>
        </w:tc>
        <w:tc>
          <w:tcPr>
            <w:tcW w:w="650" w:type="dxa"/>
          </w:tcPr>
          <w:p w14:paraId="17044A0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0.918</w:t>
            </w:r>
          </w:p>
        </w:tc>
        <w:tc>
          <w:tcPr>
            <w:tcW w:w="550" w:type="dxa"/>
          </w:tcPr>
          <w:p w14:paraId="1A98F89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r>
      <w:tr w:rsidR="00AD326D" w:rsidRPr="00AD326D" w14:paraId="4AAB49E2" w14:textId="77777777" w:rsidTr="00442B69">
        <w:tc>
          <w:tcPr>
            <w:cnfStyle w:val="001000000000" w:firstRow="0" w:lastRow="0" w:firstColumn="1" w:lastColumn="0" w:oddVBand="0" w:evenVBand="0" w:oddHBand="0" w:evenHBand="0" w:firstRowFirstColumn="0" w:firstRowLastColumn="0" w:lastRowFirstColumn="0" w:lastRowLastColumn="0"/>
            <w:tcW w:w="600" w:type="dxa"/>
          </w:tcPr>
          <w:p w14:paraId="69B43383"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SOC6</w:t>
            </w:r>
          </w:p>
        </w:tc>
        <w:tc>
          <w:tcPr>
            <w:tcW w:w="2750" w:type="dxa"/>
          </w:tcPr>
          <w:p w14:paraId="412927E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تشجع القيم الاجتماعية السائدة في المجتمع السعودي المرأة على تولي أدوار قيادية.</w:t>
            </w:r>
          </w:p>
        </w:tc>
        <w:tc>
          <w:tcPr>
            <w:tcW w:w="450" w:type="dxa"/>
          </w:tcPr>
          <w:p w14:paraId="62EC46F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1D6B7C9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3F96DD2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11 (2.9%)</w:t>
            </w:r>
          </w:p>
        </w:tc>
        <w:tc>
          <w:tcPr>
            <w:tcW w:w="680" w:type="dxa"/>
          </w:tcPr>
          <w:p w14:paraId="19AE310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47 (12.4%)</w:t>
            </w:r>
          </w:p>
        </w:tc>
        <w:tc>
          <w:tcPr>
            <w:tcW w:w="680" w:type="dxa"/>
          </w:tcPr>
          <w:p w14:paraId="4A9AAA1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136 (35.8%)</w:t>
            </w:r>
          </w:p>
        </w:tc>
        <w:tc>
          <w:tcPr>
            <w:tcW w:w="680" w:type="dxa"/>
          </w:tcPr>
          <w:p w14:paraId="2A7AF23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126 (33.2%)</w:t>
            </w:r>
          </w:p>
        </w:tc>
        <w:tc>
          <w:tcPr>
            <w:tcW w:w="680" w:type="dxa"/>
          </w:tcPr>
          <w:p w14:paraId="49AB0FF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60 (15.8%)</w:t>
            </w:r>
          </w:p>
        </w:tc>
        <w:tc>
          <w:tcPr>
            <w:tcW w:w="650" w:type="dxa"/>
          </w:tcPr>
          <w:p w14:paraId="4290EE8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3.466</w:t>
            </w:r>
          </w:p>
        </w:tc>
        <w:tc>
          <w:tcPr>
            <w:tcW w:w="650" w:type="dxa"/>
          </w:tcPr>
          <w:p w14:paraId="4D1B321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0.994</w:t>
            </w:r>
          </w:p>
        </w:tc>
        <w:tc>
          <w:tcPr>
            <w:tcW w:w="550" w:type="dxa"/>
          </w:tcPr>
          <w:p w14:paraId="275D8B0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8</w:t>
            </w:r>
          </w:p>
        </w:tc>
      </w:tr>
      <w:tr w:rsidR="00AD326D" w:rsidRPr="00AD326D" w14:paraId="15FB5289" w14:textId="77777777" w:rsidTr="00442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283E41BD"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SOC7</w:t>
            </w:r>
          </w:p>
        </w:tc>
        <w:tc>
          <w:tcPr>
            <w:tcW w:w="2750" w:type="dxa"/>
          </w:tcPr>
          <w:p w14:paraId="776CB2F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يعزز الدعم النفسي من الأسرة والزملاء قدرتي على النجاح في دوري القيادي.</w:t>
            </w:r>
          </w:p>
        </w:tc>
        <w:tc>
          <w:tcPr>
            <w:tcW w:w="450" w:type="dxa"/>
          </w:tcPr>
          <w:p w14:paraId="2019CC1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18B7C15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5C81BDF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8 (2.1%)</w:t>
            </w:r>
          </w:p>
        </w:tc>
        <w:tc>
          <w:tcPr>
            <w:tcW w:w="680" w:type="dxa"/>
          </w:tcPr>
          <w:p w14:paraId="7860800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43 (11.3%)</w:t>
            </w:r>
          </w:p>
        </w:tc>
        <w:tc>
          <w:tcPr>
            <w:tcW w:w="680" w:type="dxa"/>
          </w:tcPr>
          <w:p w14:paraId="291C25D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125 (32.9%)</w:t>
            </w:r>
          </w:p>
        </w:tc>
        <w:tc>
          <w:tcPr>
            <w:tcW w:w="680" w:type="dxa"/>
          </w:tcPr>
          <w:p w14:paraId="37E59EC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136 (35.8%)</w:t>
            </w:r>
          </w:p>
        </w:tc>
        <w:tc>
          <w:tcPr>
            <w:tcW w:w="680" w:type="dxa"/>
          </w:tcPr>
          <w:p w14:paraId="7F08E5B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68 (17.9%)</w:t>
            </w:r>
          </w:p>
        </w:tc>
        <w:tc>
          <w:tcPr>
            <w:tcW w:w="650" w:type="dxa"/>
          </w:tcPr>
          <w:p w14:paraId="1360E0B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3.561</w:t>
            </w:r>
          </w:p>
        </w:tc>
        <w:tc>
          <w:tcPr>
            <w:tcW w:w="650" w:type="dxa"/>
          </w:tcPr>
          <w:p w14:paraId="06999A7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0.979</w:t>
            </w:r>
          </w:p>
        </w:tc>
        <w:tc>
          <w:tcPr>
            <w:tcW w:w="550" w:type="dxa"/>
          </w:tcPr>
          <w:p w14:paraId="4DC83DE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2</w:t>
            </w:r>
          </w:p>
        </w:tc>
      </w:tr>
      <w:tr w:rsidR="00AD326D" w:rsidRPr="00AD326D" w14:paraId="06D42AB6" w14:textId="77777777" w:rsidTr="00442B69">
        <w:tc>
          <w:tcPr>
            <w:cnfStyle w:val="001000000000" w:firstRow="0" w:lastRow="0" w:firstColumn="1" w:lastColumn="0" w:oddVBand="0" w:evenVBand="0" w:oddHBand="0" w:evenHBand="0" w:firstRowFirstColumn="0" w:firstRowLastColumn="0" w:lastRowFirstColumn="0" w:lastRowLastColumn="0"/>
            <w:tcW w:w="600" w:type="dxa"/>
          </w:tcPr>
          <w:p w14:paraId="659A0B2A"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SOC8</w:t>
            </w:r>
          </w:p>
        </w:tc>
        <w:tc>
          <w:tcPr>
            <w:tcW w:w="2750" w:type="dxa"/>
          </w:tcPr>
          <w:p w14:paraId="61AB295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أستطيع التوفيق بين مسؤولياتي الأسرية ومتطلبات دوري القيادي بصورة فعّالة.</w:t>
            </w:r>
          </w:p>
        </w:tc>
        <w:tc>
          <w:tcPr>
            <w:tcW w:w="450" w:type="dxa"/>
          </w:tcPr>
          <w:p w14:paraId="7E5DDBB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71C24DD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4631665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 (1.6%)</w:t>
            </w:r>
          </w:p>
        </w:tc>
        <w:tc>
          <w:tcPr>
            <w:tcW w:w="680" w:type="dxa"/>
          </w:tcPr>
          <w:p w14:paraId="703099E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40 (10.5%)</w:t>
            </w:r>
          </w:p>
        </w:tc>
        <w:tc>
          <w:tcPr>
            <w:tcW w:w="680" w:type="dxa"/>
          </w:tcPr>
          <w:p w14:paraId="138C515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133 (35.0%)</w:t>
            </w:r>
          </w:p>
        </w:tc>
        <w:tc>
          <w:tcPr>
            <w:tcW w:w="680" w:type="dxa"/>
          </w:tcPr>
          <w:p w14:paraId="091A23B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141 (37.1%)</w:t>
            </w:r>
          </w:p>
        </w:tc>
        <w:tc>
          <w:tcPr>
            <w:tcW w:w="680" w:type="dxa"/>
          </w:tcPr>
          <w:p w14:paraId="4ADA0A6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60 (15.8%)</w:t>
            </w:r>
          </w:p>
        </w:tc>
        <w:tc>
          <w:tcPr>
            <w:tcW w:w="650" w:type="dxa"/>
          </w:tcPr>
          <w:p w14:paraId="29CD540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3.550</w:t>
            </w:r>
          </w:p>
        </w:tc>
        <w:tc>
          <w:tcPr>
            <w:tcW w:w="650" w:type="dxa"/>
          </w:tcPr>
          <w:p w14:paraId="451E59A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0.933</w:t>
            </w:r>
          </w:p>
        </w:tc>
        <w:tc>
          <w:tcPr>
            <w:tcW w:w="550" w:type="dxa"/>
          </w:tcPr>
          <w:p w14:paraId="3861465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w:t>
            </w:r>
          </w:p>
        </w:tc>
      </w:tr>
      <w:tr w:rsidR="00AD326D" w:rsidRPr="00AD326D" w14:paraId="19222E93" w14:textId="77777777" w:rsidTr="00442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147736F3"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SOC9</w:t>
            </w:r>
          </w:p>
        </w:tc>
        <w:tc>
          <w:tcPr>
            <w:tcW w:w="2750" w:type="dxa"/>
          </w:tcPr>
          <w:p w14:paraId="3C83CFE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يتقبل المجتمع مشاركة المرأة في اتخاذ القرارات المهمة المرتبطة بالعمل العام.</w:t>
            </w:r>
          </w:p>
        </w:tc>
        <w:tc>
          <w:tcPr>
            <w:tcW w:w="450" w:type="dxa"/>
          </w:tcPr>
          <w:p w14:paraId="27CBEA0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54DCB8F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32B1F4E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8 (2.1%)</w:t>
            </w:r>
          </w:p>
        </w:tc>
        <w:tc>
          <w:tcPr>
            <w:tcW w:w="680" w:type="dxa"/>
          </w:tcPr>
          <w:p w14:paraId="700D8C8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50 (13.2%)</w:t>
            </w:r>
          </w:p>
        </w:tc>
        <w:tc>
          <w:tcPr>
            <w:tcW w:w="680" w:type="dxa"/>
          </w:tcPr>
          <w:p w14:paraId="52D4D08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149 (39.2%)</w:t>
            </w:r>
          </w:p>
        </w:tc>
        <w:tc>
          <w:tcPr>
            <w:tcW w:w="680" w:type="dxa"/>
          </w:tcPr>
          <w:p w14:paraId="495017B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122 (32.1%)</w:t>
            </w:r>
          </w:p>
        </w:tc>
        <w:tc>
          <w:tcPr>
            <w:tcW w:w="680" w:type="dxa"/>
          </w:tcPr>
          <w:p w14:paraId="20AAB76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51 (13.4%)</w:t>
            </w:r>
          </w:p>
        </w:tc>
        <w:tc>
          <w:tcPr>
            <w:tcW w:w="650" w:type="dxa"/>
          </w:tcPr>
          <w:p w14:paraId="504B924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3.416</w:t>
            </w:r>
          </w:p>
        </w:tc>
        <w:tc>
          <w:tcPr>
            <w:tcW w:w="650" w:type="dxa"/>
          </w:tcPr>
          <w:p w14:paraId="7E38C60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0.950</w:t>
            </w:r>
          </w:p>
        </w:tc>
        <w:tc>
          <w:tcPr>
            <w:tcW w:w="550" w:type="dxa"/>
          </w:tcPr>
          <w:p w14:paraId="6310DE0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10</w:t>
            </w:r>
          </w:p>
        </w:tc>
      </w:tr>
      <w:tr w:rsidR="00AD326D" w:rsidRPr="00AD326D" w14:paraId="39DFF267" w14:textId="77777777" w:rsidTr="00442B69">
        <w:tc>
          <w:tcPr>
            <w:cnfStyle w:val="001000000000" w:firstRow="0" w:lastRow="0" w:firstColumn="1" w:lastColumn="0" w:oddVBand="0" w:evenVBand="0" w:oddHBand="0" w:evenHBand="0" w:firstRowFirstColumn="0" w:firstRowLastColumn="0" w:lastRowFirstColumn="0" w:lastRowLastColumn="0"/>
            <w:tcW w:w="600" w:type="dxa"/>
          </w:tcPr>
          <w:p w14:paraId="4F617F30"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SOC10</w:t>
            </w:r>
          </w:p>
        </w:tc>
        <w:tc>
          <w:tcPr>
            <w:tcW w:w="2750" w:type="dxa"/>
          </w:tcPr>
          <w:p w14:paraId="6A5940B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أستطيع ممارسة دوري القيادي بكفاءة رغم ما قد أواجهه من ضغوط اجتماعية سلبية.</w:t>
            </w:r>
          </w:p>
        </w:tc>
        <w:tc>
          <w:tcPr>
            <w:tcW w:w="450" w:type="dxa"/>
          </w:tcPr>
          <w:p w14:paraId="7D144BA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0EA70EB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39ECACF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9 (2.4%)</w:t>
            </w:r>
          </w:p>
        </w:tc>
        <w:tc>
          <w:tcPr>
            <w:tcW w:w="680" w:type="dxa"/>
          </w:tcPr>
          <w:p w14:paraId="47B37C4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50 (13.2%)</w:t>
            </w:r>
          </w:p>
        </w:tc>
        <w:tc>
          <w:tcPr>
            <w:tcW w:w="680" w:type="dxa"/>
          </w:tcPr>
          <w:p w14:paraId="4BB4A59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125 (32.9%)</w:t>
            </w:r>
          </w:p>
        </w:tc>
        <w:tc>
          <w:tcPr>
            <w:tcW w:w="680" w:type="dxa"/>
          </w:tcPr>
          <w:p w14:paraId="6C42336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128 (33.7%)</w:t>
            </w:r>
          </w:p>
        </w:tc>
        <w:tc>
          <w:tcPr>
            <w:tcW w:w="680" w:type="dxa"/>
          </w:tcPr>
          <w:p w14:paraId="42B9E4A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68 (17.9%)</w:t>
            </w:r>
          </w:p>
        </w:tc>
        <w:tc>
          <w:tcPr>
            <w:tcW w:w="650" w:type="dxa"/>
          </w:tcPr>
          <w:p w14:paraId="7086DC5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3.516</w:t>
            </w:r>
          </w:p>
        </w:tc>
        <w:tc>
          <w:tcPr>
            <w:tcW w:w="650" w:type="dxa"/>
          </w:tcPr>
          <w:p w14:paraId="00BF325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1.008</w:t>
            </w:r>
          </w:p>
        </w:tc>
        <w:tc>
          <w:tcPr>
            <w:tcW w:w="550" w:type="dxa"/>
          </w:tcPr>
          <w:p w14:paraId="41FA496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7</w:t>
            </w:r>
          </w:p>
        </w:tc>
      </w:tr>
    </w:tbl>
    <w:p w14:paraId="70FBAD0D" w14:textId="77777777" w:rsidR="00AD326D" w:rsidRPr="00AD326D" w:rsidRDefault="00AD326D" w:rsidP="00442B69">
      <w:pPr>
        <w:pStyle w:val="ThesisH2"/>
        <w:spacing w:line="360" w:lineRule="auto"/>
        <w:jc w:val="both"/>
        <w:rPr>
          <w:rFonts w:ascii="Arabic Typesetting" w:hAnsi="Arabic Typesetting" w:cs="Arabic Typesetting"/>
          <w:color w:val="auto"/>
          <w:sz w:val="32"/>
          <w:szCs w:val="32"/>
          <w:lang w:val="en-GB"/>
        </w:rPr>
      </w:pPr>
      <w:r w:rsidRPr="00AD326D">
        <w:rPr>
          <w:rFonts w:ascii="Arabic Typesetting" w:hAnsi="Arabic Typesetting" w:cs="Arabic Typesetting"/>
          <w:color w:val="auto"/>
          <w:sz w:val="32"/>
          <w:szCs w:val="32"/>
          <w:rtl/>
        </w:rPr>
        <w:t>توضح نتائج الجدول (4-3) أن مستوى العوامل الاجتماعية لدى أفراد العينة جاء مرتفعًا بمتوسط حسابي كلي بلغ 3.5142 وانحراف معياري قدره 0.6721، وهو ما يعكس اتجاهًا إيجابيًا عامًا نحو أهمية البيئة الاجتماعية في دعم القيادات النسائية وتمكينها من أداء أدوارها الحكومية. وقد تراوحت المتوسطات الحسابية لبنود هذا البعد بين 3.416 و3.563، بما يشير إلى تقارب نسبي بين استجابات المشاركات وعدم وجود تفاوت حاد في تقديرهن للعوامل الاجتماعية، مع استمرار وجود فروق محدودة في قوة كل عامل. جاء البند</w:t>
      </w:r>
      <w:r w:rsidRPr="00AD326D">
        <w:rPr>
          <w:rFonts w:ascii="Arabic Typesetting" w:hAnsi="Arabic Typesetting" w:cs="Arabic Typesetting"/>
          <w:color w:val="auto"/>
          <w:sz w:val="32"/>
          <w:szCs w:val="32"/>
          <w:lang w:val="en-GB"/>
        </w:rPr>
        <w:t xml:space="preserve"> SOC5</w:t>
      </w:r>
      <w:r w:rsidRPr="00AD326D">
        <w:rPr>
          <w:rFonts w:ascii="Arabic Typesetting" w:hAnsi="Arabic Typesetting" w:cs="Arabic Typesetting"/>
          <w:color w:val="auto"/>
          <w:sz w:val="32"/>
          <w:szCs w:val="32"/>
          <w:rtl/>
        </w:rPr>
        <w:t>، الذي يقيس أثر المشاركة في الفعاليات المجتمعية والمهنية في تطوير المهارات القيادية، في المرتبة الأولى بمتوسط 3.563، وهو ما يدل على أن فرص التواصل المهني والمشاركة المجتمعية تمثل موردًا مهمًا لتطوير الخبرات القيادية وتوسيع شبكات العلاقات وتبادل الخبرات. وجاء البند</w:t>
      </w:r>
      <w:r w:rsidRPr="00AD326D">
        <w:rPr>
          <w:rFonts w:ascii="Arabic Typesetting" w:hAnsi="Arabic Typesetting" w:cs="Arabic Typesetting"/>
          <w:color w:val="auto"/>
          <w:sz w:val="32"/>
          <w:szCs w:val="32"/>
          <w:lang w:val="en-GB"/>
        </w:rPr>
        <w:t xml:space="preserve"> </w:t>
      </w:r>
      <w:r w:rsidRPr="00AD326D">
        <w:rPr>
          <w:rFonts w:ascii="Arabic Typesetting" w:hAnsi="Arabic Typesetting" w:cs="Arabic Typesetting"/>
          <w:color w:val="auto"/>
          <w:sz w:val="32"/>
          <w:szCs w:val="32"/>
          <w:lang w:val="en-GB"/>
        </w:rPr>
        <w:lastRenderedPageBreak/>
        <w:t>SOC7</w:t>
      </w:r>
      <w:r w:rsidRPr="00AD326D">
        <w:rPr>
          <w:rFonts w:ascii="Arabic Typesetting" w:hAnsi="Arabic Typesetting" w:cs="Arabic Typesetting"/>
          <w:color w:val="auto"/>
          <w:sz w:val="32"/>
          <w:szCs w:val="32"/>
          <w:rtl/>
        </w:rPr>
        <w:t>، المتعلق بالدعم النفسي من الأسرة والزملاء، في المرتبة الثانية بمتوسط 3.561، مما يؤكد أن المساندة المعنوية والتشجيع المستمر يسهمان في تعزيز الثقة بالنفس والقدرة على مواجهة ضغوط العمل القيادي. كما حصل البند</w:t>
      </w:r>
      <w:r w:rsidRPr="00AD326D">
        <w:rPr>
          <w:rFonts w:ascii="Arabic Typesetting" w:hAnsi="Arabic Typesetting" w:cs="Arabic Typesetting"/>
          <w:color w:val="auto"/>
          <w:sz w:val="32"/>
          <w:szCs w:val="32"/>
          <w:lang w:val="en-GB"/>
        </w:rPr>
        <w:t xml:space="preserve"> SOC8 </w:t>
      </w:r>
      <w:r w:rsidRPr="00AD326D">
        <w:rPr>
          <w:rFonts w:ascii="Arabic Typesetting" w:hAnsi="Arabic Typesetting" w:cs="Arabic Typesetting"/>
          <w:color w:val="auto"/>
          <w:sz w:val="32"/>
          <w:szCs w:val="32"/>
          <w:rtl/>
        </w:rPr>
        <w:t>الخاص بالقدرة على التوفيق بين المسؤوليات الأسرية ومتطلبات الدور القيادي على متوسط 3.550، الأمر الذي يبرز أهمية التوازن بين الحياة الأسرية والمهنية في استمرارية المرأة في المناصب القيادية، في حين سجل البند</w:t>
      </w:r>
      <w:r w:rsidRPr="00AD326D">
        <w:rPr>
          <w:rFonts w:ascii="Arabic Typesetting" w:hAnsi="Arabic Typesetting" w:cs="Arabic Typesetting"/>
          <w:color w:val="auto"/>
          <w:sz w:val="32"/>
          <w:szCs w:val="32"/>
          <w:lang w:val="en-GB"/>
        </w:rPr>
        <w:t xml:space="preserve"> SOC4 </w:t>
      </w:r>
      <w:r w:rsidRPr="00AD326D">
        <w:rPr>
          <w:rFonts w:ascii="Arabic Typesetting" w:hAnsi="Arabic Typesetting" w:cs="Arabic Typesetting"/>
          <w:color w:val="auto"/>
          <w:sz w:val="32"/>
          <w:szCs w:val="32"/>
          <w:rtl/>
        </w:rPr>
        <w:t>الخاص بتأثير القدوات النسائية السعودية الناجحة متوسطًا قدره 3.547، بما يعكس الدور التحفيزي للنماذج القيادية النسائية في تشجيع المشاركات على تطوير مساراتهن المهنية. وسجل البند</w:t>
      </w:r>
      <w:r w:rsidRPr="00AD326D">
        <w:rPr>
          <w:rFonts w:ascii="Arabic Typesetting" w:hAnsi="Arabic Typesetting" w:cs="Arabic Typesetting"/>
          <w:color w:val="auto"/>
          <w:sz w:val="32"/>
          <w:szCs w:val="32"/>
          <w:lang w:val="en-GB"/>
        </w:rPr>
        <w:t xml:space="preserve"> SOC3</w:t>
      </w:r>
      <w:r w:rsidRPr="00AD326D">
        <w:rPr>
          <w:rFonts w:ascii="Arabic Typesetting" w:hAnsi="Arabic Typesetting" w:cs="Arabic Typesetting"/>
          <w:color w:val="auto"/>
          <w:sz w:val="32"/>
          <w:szCs w:val="32"/>
          <w:rtl/>
        </w:rPr>
        <w:t>، المتعلق بنظرة المجتمع الإيجابية إلى تولي المرأة مناصب قيادية حكومية، متوسطًا قدره 3.529، مع ملاحظة أن نسبة الاستجابات الإيجابية له بلغت نحو 54.8%، وهي من أعلى نسب التأييد بين بنود البعد، بما يشير إلى وجود قبول اجتماعي ملحوظ للقيادة النسائية، وإن لم يكن قبولًا شاملًا لدى جميع أفراد العينة. أما البند</w:t>
      </w:r>
      <w:r w:rsidRPr="00AD326D">
        <w:rPr>
          <w:rFonts w:ascii="Arabic Typesetting" w:hAnsi="Arabic Typesetting" w:cs="Arabic Typesetting"/>
          <w:color w:val="auto"/>
          <w:sz w:val="32"/>
          <w:szCs w:val="32"/>
          <w:lang w:val="en-GB"/>
        </w:rPr>
        <w:t xml:space="preserve"> SOC10 </w:t>
      </w:r>
      <w:r w:rsidRPr="00AD326D">
        <w:rPr>
          <w:rFonts w:ascii="Arabic Typesetting" w:hAnsi="Arabic Typesetting" w:cs="Arabic Typesetting"/>
          <w:color w:val="auto"/>
          <w:sz w:val="32"/>
          <w:szCs w:val="32"/>
          <w:rtl/>
        </w:rPr>
        <w:t>المتعلق بالقدرة على ممارسة الدور القيادي رغم الضغوط الاجتماعية السلبية، فقد بلغ متوسطه 3.516، مما يدل على امتلاك المشاركات قدرًا جيدًا من القدرة على الاستمرار في أداء أدوارهن، مع بقاء الضغوط الاجتماعية عاملًا يستحق المعالجة. وفي المقابل، جاء البند</w:t>
      </w:r>
      <w:r w:rsidRPr="00AD326D">
        <w:rPr>
          <w:rFonts w:ascii="Arabic Typesetting" w:hAnsi="Arabic Typesetting" w:cs="Arabic Typesetting"/>
          <w:color w:val="auto"/>
          <w:sz w:val="32"/>
          <w:szCs w:val="32"/>
          <w:lang w:val="en-GB"/>
        </w:rPr>
        <w:t xml:space="preserve"> SOC9</w:t>
      </w:r>
      <w:r w:rsidRPr="00AD326D">
        <w:rPr>
          <w:rFonts w:ascii="Arabic Typesetting" w:hAnsi="Arabic Typesetting" w:cs="Arabic Typesetting"/>
          <w:color w:val="auto"/>
          <w:sz w:val="32"/>
          <w:szCs w:val="32"/>
          <w:rtl/>
        </w:rPr>
        <w:t>، الذي يقيس تقبل المجتمع لمشاركة المرأة في اتخاذ القرارات المهمة المرتبطة بالعمل العام، في المرتبة الأخيرة بمتوسط 3.416، ورغم وقوعه ضمن المستوى المرتفع وفق معيار الدراسة، فإنه يمثل أضعف جوانب البعد الاجتماعي نسبيًا، وقد يشير ذلك إلى أن التحدي لا يتمثل فقط في قبول المرأة كقيادية، بل في قبول مشاركتها الفعلية والمؤثرة في القرارات العامة والاستراتيجية. كما جاء البند</w:t>
      </w:r>
      <w:r w:rsidRPr="00AD326D">
        <w:rPr>
          <w:rFonts w:ascii="Arabic Typesetting" w:hAnsi="Arabic Typesetting" w:cs="Arabic Typesetting"/>
          <w:color w:val="auto"/>
          <w:sz w:val="32"/>
          <w:szCs w:val="32"/>
          <w:lang w:val="en-GB"/>
        </w:rPr>
        <w:t xml:space="preserve"> SOC6</w:t>
      </w:r>
      <w:r w:rsidRPr="00AD326D">
        <w:rPr>
          <w:rFonts w:ascii="Arabic Typesetting" w:hAnsi="Arabic Typesetting" w:cs="Arabic Typesetting"/>
          <w:color w:val="auto"/>
          <w:sz w:val="32"/>
          <w:szCs w:val="32"/>
          <w:rtl/>
        </w:rPr>
        <w:t>، الخاص بتشجيع القيم الاجتماعية السائدة للمرأة على تولي أدوار قيادية، بمتوسط 3.466، والبند</w:t>
      </w:r>
      <w:r w:rsidRPr="00AD326D">
        <w:rPr>
          <w:rFonts w:ascii="Arabic Typesetting" w:hAnsi="Arabic Typesetting" w:cs="Arabic Typesetting"/>
          <w:color w:val="auto"/>
          <w:sz w:val="32"/>
          <w:szCs w:val="32"/>
          <w:lang w:val="en-GB"/>
        </w:rPr>
        <w:t xml:space="preserve"> SOC2 </w:t>
      </w:r>
      <w:r w:rsidRPr="00AD326D">
        <w:rPr>
          <w:rFonts w:ascii="Arabic Typesetting" w:hAnsi="Arabic Typesetting" w:cs="Arabic Typesetting"/>
          <w:color w:val="auto"/>
          <w:sz w:val="32"/>
          <w:szCs w:val="32"/>
          <w:rtl/>
        </w:rPr>
        <w:t>المتعلق بالدعم الاجتماعي من الزميلات والزملاء بمتوسط 3.453، وهما نتيجتان توضحان أن الدعم الاجتماعي والقيمي موجودان بدرجة إيجابية، إلا أن أثرهما لا يزال أقل من أثر المشاركة المهنية والدعم النفسي والقدوات القيادية. وتشير التوزيعات التكرارية إلى أن نسبة الاستجابات الإيجابية تراوحت تقريبًا بين 45.5% في البند</w:t>
      </w:r>
      <w:r w:rsidRPr="00AD326D">
        <w:rPr>
          <w:rFonts w:ascii="Arabic Typesetting" w:hAnsi="Arabic Typesetting" w:cs="Arabic Typesetting"/>
          <w:color w:val="auto"/>
          <w:sz w:val="32"/>
          <w:szCs w:val="32"/>
          <w:lang w:val="en-GB"/>
        </w:rPr>
        <w:t xml:space="preserve"> SOC9 </w:t>
      </w:r>
      <w:r w:rsidRPr="00AD326D">
        <w:rPr>
          <w:rFonts w:ascii="Arabic Typesetting" w:hAnsi="Arabic Typesetting" w:cs="Arabic Typesetting"/>
          <w:color w:val="auto"/>
          <w:sz w:val="32"/>
          <w:szCs w:val="32"/>
          <w:rtl/>
        </w:rPr>
        <w:t>و54.8% في البند</w:t>
      </w:r>
      <w:r w:rsidRPr="00AD326D">
        <w:rPr>
          <w:rFonts w:ascii="Arabic Typesetting" w:hAnsi="Arabic Typesetting" w:cs="Arabic Typesetting"/>
          <w:color w:val="auto"/>
          <w:sz w:val="32"/>
          <w:szCs w:val="32"/>
          <w:lang w:val="en-GB"/>
        </w:rPr>
        <w:t xml:space="preserve"> SOC3</w:t>
      </w:r>
      <w:r w:rsidRPr="00AD326D">
        <w:rPr>
          <w:rFonts w:ascii="Arabic Typesetting" w:hAnsi="Arabic Typesetting" w:cs="Arabic Typesetting"/>
          <w:color w:val="auto"/>
          <w:sz w:val="32"/>
          <w:szCs w:val="32"/>
          <w:rtl/>
        </w:rPr>
        <w:t>، بينما تركزت نسبة معتبرة من الاستجابات في الفئة المحايدة، وهو ما يعكس أن بعض مظاهر الدعم الاجتماعي لم تترسخ بصورة متساوية لدى جميع المشاركات. كما يُلاحظ أن الانحراف المعياري الأعلى ظهر في البند</w:t>
      </w:r>
      <w:r w:rsidRPr="00AD326D">
        <w:rPr>
          <w:rFonts w:ascii="Arabic Typesetting" w:hAnsi="Arabic Typesetting" w:cs="Arabic Typesetting"/>
          <w:color w:val="auto"/>
          <w:sz w:val="32"/>
          <w:szCs w:val="32"/>
          <w:lang w:val="en-GB"/>
        </w:rPr>
        <w:t xml:space="preserve"> SOC10 </w:t>
      </w:r>
      <w:r w:rsidRPr="00AD326D">
        <w:rPr>
          <w:rFonts w:ascii="Arabic Typesetting" w:hAnsi="Arabic Typesetting" w:cs="Arabic Typesetting"/>
          <w:color w:val="auto"/>
          <w:sz w:val="32"/>
          <w:szCs w:val="32"/>
          <w:rtl/>
        </w:rPr>
        <w:t>بقيمة 1.008، بما يدل على اختلاف أكبر في تجارب المشاركات مع الضغوط الاجتماعية، في حين كان التباين أقل نسبيًا في البند</w:t>
      </w:r>
      <w:r w:rsidRPr="00AD326D">
        <w:rPr>
          <w:rFonts w:ascii="Arabic Typesetting" w:hAnsi="Arabic Typesetting" w:cs="Arabic Typesetting"/>
          <w:color w:val="auto"/>
          <w:sz w:val="32"/>
          <w:szCs w:val="32"/>
          <w:lang w:val="en-GB"/>
        </w:rPr>
        <w:t xml:space="preserve"> SOC3 </w:t>
      </w:r>
      <w:r w:rsidRPr="00AD326D">
        <w:rPr>
          <w:rFonts w:ascii="Arabic Typesetting" w:hAnsi="Arabic Typesetting" w:cs="Arabic Typesetting"/>
          <w:color w:val="auto"/>
          <w:sz w:val="32"/>
          <w:szCs w:val="32"/>
          <w:rtl/>
        </w:rPr>
        <w:t>بقيمة 0.931، مما يشير إلى قدر أكبر من التقارب في تقييم النظرة المجتمعية للقيادة النسائية. وبوجه عام، تكشف النتائج أن البيئة الاجتماعية توفر دعمًا إيجابيًا للقيادات النسائية، خاصة من خلال المشاركة المهنية والمساندة النفسية والتوازن الأسري والقدوات الناجحة، إلا أن تعزيز القبول بمشاركة المرأة في القرارات العامة، وتوسيع الدعم الزملائي، ومعالجة الضغوط والقيم الاجتماعية المقيدة، تظل مجالات مهمة لرفع مستوى التمكين الاجتماعي وتحويل الدعم العام إلى تأثير فعلي ومستدام في ممارسة القيادة</w:t>
      </w:r>
      <w:r w:rsidRPr="00AD326D">
        <w:rPr>
          <w:rFonts w:ascii="Arabic Typesetting" w:hAnsi="Arabic Typesetting" w:cs="Arabic Typesetting"/>
          <w:color w:val="auto"/>
          <w:sz w:val="32"/>
          <w:szCs w:val="32"/>
          <w:lang w:val="en-GB"/>
        </w:rPr>
        <w:t>.</w:t>
      </w:r>
    </w:p>
    <w:p w14:paraId="7D6FC899" w14:textId="77777777" w:rsidR="002F2EAD" w:rsidRPr="00AD326D" w:rsidRDefault="00437DE2" w:rsidP="00442B69">
      <w:pPr>
        <w:pStyle w:val="ThesisH2"/>
        <w:spacing w:line="360" w:lineRule="auto"/>
        <w:jc w:val="both"/>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4.4 تحليل بُعد العوامل الثقافية</w:t>
      </w:r>
    </w:p>
    <w:p w14:paraId="446FA2BF" w14:textId="77777777" w:rsidR="002F2EAD" w:rsidRDefault="00437DE2" w:rsidP="00442B69">
      <w:pPr>
        <w:pStyle w:val="ThesisBody"/>
        <w:spacing w:line="360" w:lineRule="auto"/>
        <w:jc w:val="both"/>
        <w:rPr>
          <w:rFonts w:ascii="Arabic Typesetting" w:hAnsi="Arabic Typesetting" w:cs="Arabic Typesetting"/>
          <w:color w:val="auto"/>
          <w:sz w:val="32"/>
          <w:szCs w:val="32"/>
          <w:rtl/>
        </w:rPr>
      </w:pPr>
      <w:r w:rsidRPr="00AD326D">
        <w:rPr>
          <w:rFonts w:ascii="Arabic Typesetting" w:hAnsi="Arabic Typesetting" w:cs="Arabic Typesetting"/>
          <w:color w:val="auto"/>
          <w:sz w:val="32"/>
          <w:szCs w:val="32"/>
          <w:rtl/>
        </w:rPr>
        <w:lastRenderedPageBreak/>
        <w:t>بلغ المتوسط الكلي لبُعد العوامل الثقافية 3.5116 بانحراف معياري 0.6731، وهو يقع ضمن مستوى مرتفع وفق حدود التفسير المعتمدة. ويعرض الجدول جميع البنود العشرة، مع التوزيع الكامل لفئات الاستجابة الخمس، والمتوسط والانحراف المعياري والرتبة داخل البعد. سجل أعلى متوسط البند: «تدعم ثقافة جهتي الحكومية تطوير مهارات القيادة لدى المرأة.» بقيمة 3.582، بينما سجل أدنى متوسط البند: «تسهم البرامج التوعوية في جهتي الحكومية في تعزيز تقبل القيادات النسائية.» بقيمة 3.434.</w:t>
      </w:r>
    </w:p>
    <w:p w14:paraId="53FE4239" w14:textId="77777777" w:rsidR="00E60CED" w:rsidRDefault="00E60CED" w:rsidP="00442B69">
      <w:pPr>
        <w:pStyle w:val="ThesisBody"/>
        <w:spacing w:line="360" w:lineRule="auto"/>
        <w:jc w:val="both"/>
        <w:rPr>
          <w:rFonts w:ascii="Arabic Typesetting" w:hAnsi="Arabic Typesetting" w:cs="Arabic Typesetting"/>
          <w:color w:val="auto"/>
          <w:sz w:val="32"/>
          <w:szCs w:val="32"/>
          <w:rtl/>
        </w:rPr>
      </w:pPr>
    </w:p>
    <w:p w14:paraId="0800BCAE" w14:textId="77777777" w:rsidR="00E60CED" w:rsidRPr="00AD326D" w:rsidRDefault="00E60CED" w:rsidP="00442B69">
      <w:pPr>
        <w:pStyle w:val="ThesisBody"/>
        <w:spacing w:line="360" w:lineRule="auto"/>
        <w:jc w:val="both"/>
        <w:rPr>
          <w:rFonts w:ascii="Arabic Typesetting" w:hAnsi="Arabic Typesetting" w:cs="Arabic Typesetting"/>
          <w:color w:val="auto"/>
          <w:sz w:val="32"/>
          <w:szCs w:val="32"/>
        </w:rPr>
      </w:pPr>
    </w:p>
    <w:p w14:paraId="09C35B52" w14:textId="77777777" w:rsidR="002F2EAD" w:rsidRPr="00AD326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AD326D">
        <w:rPr>
          <w:rFonts w:ascii="Arabic Typesetting" w:hAnsi="Arabic Typesetting" w:cs="Arabic Typesetting"/>
          <w:b w:val="0"/>
          <w:bCs/>
          <w:color w:val="auto"/>
          <w:sz w:val="32"/>
          <w:szCs w:val="32"/>
          <w:rtl/>
        </w:rPr>
        <w:t>جدول 4-4: التوزيع الكامل لاستجابات بنود العوامل الثقافية (N=380)</w:t>
      </w:r>
    </w:p>
    <w:tbl>
      <w:tblPr>
        <w:tblStyle w:val="PlainTable2"/>
        <w:bidiVisual/>
        <w:tblW w:w="9500" w:type="dxa"/>
        <w:tblLayout w:type="fixed"/>
        <w:tblLook w:val="04A0" w:firstRow="1" w:lastRow="0" w:firstColumn="1" w:lastColumn="0" w:noHBand="0" w:noVBand="1"/>
      </w:tblPr>
      <w:tblGrid>
        <w:gridCol w:w="600"/>
        <w:gridCol w:w="2750"/>
        <w:gridCol w:w="450"/>
        <w:gridCol w:w="450"/>
        <w:gridCol w:w="680"/>
        <w:gridCol w:w="680"/>
        <w:gridCol w:w="680"/>
        <w:gridCol w:w="680"/>
        <w:gridCol w:w="680"/>
        <w:gridCol w:w="650"/>
        <w:gridCol w:w="650"/>
        <w:gridCol w:w="550"/>
      </w:tblGrid>
      <w:tr w:rsidR="00AD326D" w:rsidRPr="00AD326D" w14:paraId="02E1B2F5" w14:textId="77777777" w:rsidTr="00E60C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26931BC7"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الكود</w:t>
            </w:r>
          </w:p>
        </w:tc>
        <w:tc>
          <w:tcPr>
            <w:tcW w:w="2750" w:type="dxa"/>
          </w:tcPr>
          <w:p w14:paraId="749D639A"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العبارة</w:t>
            </w:r>
          </w:p>
        </w:tc>
        <w:tc>
          <w:tcPr>
            <w:tcW w:w="450" w:type="dxa"/>
          </w:tcPr>
          <w:p w14:paraId="550301A1"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أدنى</w:t>
            </w:r>
          </w:p>
        </w:tc>
        <w:tc>
          <w:tcPr>
            <w:tcW w:w="450" w:type="dxa"/>
          </w:tcPr>
          <w:p w14:paraId="6F6272E6"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أقصى</w:t>
            </w:r>
          </w:p>
        </w:tc>
        <w:tc>
          <w:tcPr>
            <w:tcW w:w="680" w:type="dxa"/>
          </w:tcPr>
          <w:p w14:paraId="2EDED399"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 لا أوافق بشدة</w:t>
            </w:r>
          </w:p>
        </w:tc>
        <w:tc>
          <w:tcPr>
            <w:tcW w:w="680" w:type="dxa"/>
          </w:tcPr>
          <w:p w14:paraId="356859BE"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2: لا أوافق</w:t>
            </w:r>
          </w:p>
        </w:tc>
        <w:tc>
          <w:tcPr>
            <w:tcW w:w="680" w:type="dxa"/>
          </w:tcPr>
          <w:p w14:paraId="7F479A99"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 محايد/ة</w:t>
            </w:r>
          </w:p>
        </w:tc>
        <w:tc>
          <w:tcPr>
            <w:tcW w:w="680" w:type="dxa"/>
          </w:tcPr>
          <w:p w14:paraId="7902D1D8"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 أوافق</w:t>
            </w:r>
          </w:p>
        </w:tc>
        <w:tc>
          <w:tcPr>
            <w:tcW w:w="680" w:type="dxa"/>
          </w:tcPr>
          <w:p w14:paraId="7C394BD1"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 أوافق بشدة</w:t>
            </w:r>
          </w:p>
        </w:tc>
        <w:tc>
          <w:tcPr>
            <w:tcW w:w="650" w:type="dxa"/>
          </w:tcPr>
          <w:p w14:paraId="3D1E96F9"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المتوسط</w:t>
            </w:r>
          </w:p>
        </w:tc>
        <w:tc>
          <w:tcPr>
            <w:tcW w:w="650" w:type="dxa"/>
          </w:tcPr>
          <w:p w14:paraId="5992A6A5"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الانحراف</w:t>
            </w:r>
          </w:p>
        </w:tc>
        <w:tc>
          <w:tcPr>
            <w:tcW w:w="550" w:type="dxa"/>
          </w:tcPr>
          <w:p w14:paraId="6A10002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الرتبة</w:t>
            </w:r>
          </w:p>
        </w:tc>
      </w:tr>
      <w:tr w:rsidR="00AD326D" w:rsidRPr="00AD326D" w14:paraId="69BBB9BE"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279B00A0"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CUL1</w:t>
            </w:r>
          </w:p>
        </w:tc>
        <w:tc>
          <w:tcPr>
            <w:tcW w:w="2750" w:type="dxa"/>
          </w:tcPr>
          <w:p w14:paraId="0073C6A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تتقبل الثقافة السائدة في جهتي الحكومية تولي المرأة أدوارًا قيادية.</w:t>
            </w:r>
          </w:p>
        </w:tc>
        <w:tc>
          <w:tcPr>
            <w:tcW w:w="450" w:type="dxa"/>
          </w:tcPr>
          <w:p w14:paraId="7497EA6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03092C9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11FF9B4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 (1.3%)</w:t>
            </w:r>
          </w:p>
        </w:tc>
        <w:tc>
          <w:tcPr>
            <w:tcW w:w="680" w:type="dxa"/>
          </w:tcPr>
          <w:p w14:paraId="15F5D70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44 (11.6%)</w:t>
            </w:r>
          </w:p>
        </w:tc>
        <w:tc>
          <w:tcPr>
            <w:tcW w:w="680" w:type="dxa"/>
          </w:tcPr>
          <w:p w14:paraId="13461FC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143 (37.6%)</w:t>
            </w:r>
          </w:p>
        </w:tc>
        <w:tc>
          <w:tcPr>
            <w:tcW w:w="680" w:type="dxa"/>
          </w:tcPr>
          <w:p w14:paraId="043DC3A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133 (35.0%)</w:t>
            </w:r>
          </w:p>
        </w:tc>
        <w:tc>
          <w:tcPr>
            <w:tcW w:w="680" w:type="dxa"/>
          </w:tcPr>
          <w:p w14:paraId="5088880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55 (14.5%)</w:t>
            </w:r>
          </w:p>
        </w:tc>
        <w:tc>
          <w:tcPr>
            <w:tcW w:w="650" w:type="dxa"/>
          </w:tcPr>
          <w:p w14:paraId="20D77FF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3.497</w:t>
            </w:r>
          </w:p>
        </w:tc>
        <w:tc>
          <w:tcPr>
            <w:tcW w:w="650" w:type="dxa"/>
          </w:tcPr>
          <w:p w14:paraId="0655C1A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0.923</w:t>
            </w:r>
          </w:p>
        </w:tc>
        <w:tc>
          <w:tcPr>
            <w:tcW w:w="550" w:type="dxa"/>
          </w:tcPr>
          <w:p w14:paraId="22F3457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8</w:t>
            </w:r>
          </w:p>
        </w:tc>
      </w:tr>
      <w:tr w:rsidR="00AD326D" w:rsidRPr="00AD326D" w14:paraId="0C47EEF5"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61D1A8FB"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CUL2</w:t>
            </w:r>
          </w:p>
        </w:tc>
        <w:tc>
          <w:tcPr>
            <w:tcW w:w="2750" w:type="dxa"/>
          </w:tcPr>
          <w:p w14:paraId="434C81C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تسهم القيم والتقاليد المحلية الداعمة في رفع مستوى قبول المجتمع للمرأة في المناصب القيادية.</w:t>
            </w:r>
          </w:p>
        </w:tc>
        <w:tc>
          <w:tcPr>
            <w:tcW w:w="450" w:type="dxa"/>
          </w:tcPr>
          <w:p w14:paraId="691C361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7A53048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5DE1FE3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 (1.1%)</w:t>
            </w:r>
          </w:p>
        </w:tc>
        <w:tc>
          <w:tcPr>
            <w:tcW w:w="680" w:type="dxa"/>
          </w:tcPr>
          <w:p w14:paraId="41E28D5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49 (12.9%)</w:t>
            </w:r>
          </w:p>
        </w:tc>
        <w:tc>
          <w:tcPr>
            <w:tcW w:w="680" w:type="dxa"/>
          </w:tcPr>
          <w:p w14:paraId="2B5480F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148 (38.9%)</w:t>
            </w:r>
          </w:p>
        </w:tc>
        <w:tc>
          <w:tcPr>
            <w:tcW w:w="680" w:type="dxa"/>
          </w:tcPr>
          <w:p w14:paraId="63E47F6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117 (30.8%)</w:t>
            </w:r>
          </w:p>
        </w:tc>
        <w:tc>
          <w:tcPr>
            <w:tcW w:w="680" w:type="dxa"/>
          </w:tcPr>
          <w:p w14:paraId="4FF9C14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62 (16.3%)</w:t>
            </w:r>
          </w:p>
        </w:tc>
        <w:tc>
          <w:tcPr>
            <w:tcW w:w="650" w:type="dxa"/>
          </w:tcPr>
          <w:p w14:paraId="3B77C51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3.484</w:t>
            </w:r>
          </w:p>
        </w:tc>
        <w:tc>
          <w:tcPr>
            <w:tcW w:w="650" w:type="dxa"/>
          </w:tcPr>
          <w:p w14:paraId="7CD0BB1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0.948</w:t>
            </w:r>
          </w:p>
        </w:tc>
        <w:tc>
          <w:tcPr>
            <w:tcW w:w="550" w:type="dxa"/>
          </w:tcPr>
          <w:p w14:paraId="6EA6B3A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9</w:t>
            </w:r>
          </w:p>
        </w:tc>
      </w:tr>
      <w:tr w:rsidR="00AD326D" w:rsidRPr="00AD326D" w14:paraId="1EF5A919"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3EA6F144"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CUL3</w:t>
            </w:r>
          </w:p>
        </w:tc>
        <w:tc>
          <w:tcPr>
            <w:tcW w:w="2750" w:type="dxa"/>
          </w:tcPr>
          <w:p w14:paraId="2582836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تؤكد التوجهات والسياسات الرسمية في المملكة دعم تمكين المرأة في القيادة الحكومية.</w:t>
            </w:r>
          </w:p>
        </w:tc>
        <w:tc>
          <w:tcPr>
            <w:tcW w:w="450" w:type="dxa"/>
          </w:tcPr>
          <w:p w14:paraId="1AF743F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1AF6E36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0C7F82C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 (1.1%)</w:t>
            </w:r>
          </w:p>
        </w:tc>
        <w:tc>
          <w:tcPr>
            <w:tcW w:w="680" w:type="dxa"/>
          </w:tcPr>
          <w:p w14:paraId="12C8A5E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48 (12.6%)</w:t>
            </w:r>
          </w:p>
        </w:tc>
        <w:tc>
          <w:tcPr>
            <w:tcW w:w="680" w:type="dxa"/>
          </w:tcPr>
          <w:p w14:paraId="369206D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121 (31.8%)</w:t>
            </w:r>
          </w:p>
        </w:tc>
        <w:tc>
          <w:tcPr>
            <w:tcW w:w="680" w:type="dxa"/>
          </w:tcPr>
          <w:p w14:paraId="1B1DDB4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149 (39.2%)</w:t>
            </w:r>
          </w:p>
        </w:tc>
        <w:tc>
          <w:tcPr>
            <w:tcW w:w="680" w:type="dxa"/>
          </w:tcPr>
          <w:p w14:paraId="6371CC7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58 (15.3%)</w:t>
            </w:r>
          </w:p>
        </w:tc>
        <w:tc>
          <w:tcPr>
            <w:tcW w:w="650" w:type="dxa"/>
          </w:tcPr>
          <w:p w14:paraId="1FBEE33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3.550</w:t>
            </w:r>
          </w:p>
        </w:tc>
        <w:tc>
          <w:tcPr>
            <w:tcW w:w="650" w:type="dxa"/>
          </w:tcPr>
          <w:p w14:paraId="791FFFA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0.933</w:t>
            </w:r>
          </w:p>
        </w:tc>
        <w:tc>
          <w:tcPr>
            <w:tcW w:w="550" w:type="dxa"/>
          </w:tcPr>
          <w:p w14:paraId="5B9FDD3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2</w:t>
            </w:r>
          </w:p>
        </w:tc>
      </w:tr>
      <w:tr w:rsidR="00AD326D" w:rsidRPr="00AD326D" w14:paraId="7F21DF8B"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5164E711"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CUL4</w:t>
            </w:r>
          </w:p>
        </w:tc>
        <w:tc>
          <w:tcPr>
            <w:tcW w:w="2750" w:type="dxa"/>
          </w:tcPr>
          <w:p w14:paraId="27015FD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تشجع الثقافة المجتمعية العامة تكافؤ الفرص بين النساء والرجال في القيادة.</w:t>
            </w:r>
          </w:p>
        </w:tc>
        <w:tc>
          <w:tcPr>
            <w:tcW w:w="450" w:type="dxa"/>
          </w:tcPr>
          <w:p w14:paraId="7AC6FE8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3F1F035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23D0F8E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10 (2.6%)</w:t>
            </w:r>
          </w:p>
        </w:tc>
        <w:tc>
          <w:tcPr>
            <w:tcW w:w="680" w:type="dxa"/>
          </w:tcPr>
          <w:p w14:paraId="22E981E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56 (14.7%)</w:t>
            </w:r>
          </w:p>
        </w:tc>
        <w:tc>
          <w:tcPr>
            <w:tcW w:w="680" w:type="dxa"/>
          </w:tcPr>
          <w:p w14:paraId="73290F1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119 (31.3%)</w:t>
            </w:r>
          </w:p>
        </w:tc>
        <w:tc>
          <w:tcPr>
            <w:tcW w:w="680" w:type="dxa"/>
          </w:tcPr>
          <w:p w14:paraId="0934206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123 (32.4%)</w:t>
            </w:r>
          </w:p>
        </w:tc>
        <w:tc>
          <w:tcPr>
            <w:tcW w:w="680" w:type="dxa"/>
          </w:tcPr>
          <w:p w14:paraId="2FCCA4E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72 (18.9%)</w:t>
            </w:r>
          </w:p>
        </w:tc>
        <w:tc>
          <w:tcPr>
            <w:tcW w:w="650" w:type="dxa"/>
          </w:tcPr>
          <w:p w14:paraId="58DE16D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3.503</w:t>
            </w:r>
          </w:p>
        </w:tc>
        <w:tc>
          <w:tcPr>
            <w:tcW w:w="650" w:type="dxa"/>
          </w:tcPr>
          <w:p w14:paraId="5B1E29E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1.041</w:t>
            </w:r>
          </w:p>
        </w:tc>
        <w:tc>
          <w:tcPr>
            <w:tcW w:w="550" w:type="dxa"/>
          </w:tcPr>
          <w:p w14:paraId="2F3AD59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7</w:t>
            </w:r>
          </w:p>
        </w:tc>
      </w:tr>
      <w:tr w:rsidR="00AD326D" w:rsidRPr="00AD326D" w14:paraId="443023F1"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5189CCD5"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CUL5</w:t>
            </w:r>
          </w:p>
        </w:tc>
        <w:tc>
          <w:tcPr>
            <w:tcW w:w="2750" w:type="dxa"/>
          </w:tcPr>
          <w:p w14:paraId="2E83F29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تشجع البيئة الثقافية في جهتي الحكومية مشاركة القيادات النسائية في صنع القرار.</w:t>
            </w:r>
          </w:p>
        </w:tc>
        <w:tc>
          <w:tcPr>
            <w:tcW w:w="450" w:type="dxa"/>
          </w:tcPr>
          <w:p w14:paraId="16FED50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493EB07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050510B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10 (2.6%)</w:t>
            </w:r>
          </w:p>
        </w:tc>
        <w:tc>
          <w:tcPr>
            <w:tcW w:w="680" w:type="dxa"/>
          </w:tcPr>
          <w:p w14:paraId="2E5FE30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52 (13.7%)</w:t>
            </w:r>
          </w:p>
        </w:tc>
        <w:tc>
          <w:tcPr>
            <w:tcW w:w="680" w:type="dxa"/>
          </w:tcPr>
          <w:p w14:paraId="2F95382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120 (31.6%)</w:t>
            </w:r>
          </w:p>
        </w:tc>
        <w:tc>
          <w:tcPr>
            <w:tcW w:w="680" w:type="dxa"/>
          </w:tcPr>
          <w:p w14:paraId="0A97AA8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132 (34.7%)</w:t>
            </w:r>
          </w:p>
        </w:tc>
        <w:tc>
          <w:tcPr>
            <w:tcW w:w="680" w:type="dxa"/>
          </w:tcPr>
          <w:p w14:paraId="7776A52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66 (17.4%)</w:t>
            </w:r>
          </w:p>
        </w:tc>
        <w:tc>
          <w:tcPr>
            <w:tcW w:w="650" w:type="dxa"/>
          </w:tcPr>
          <w:p w14:paraId="1DAAE9B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3.505</w:t>
            </w:r>
          </w:p>
        </w:tc>
        <w:tc>
          <w:tcPr>
            <w:tcW w:w="650" w:type="dxa"/>
          </w:tcPr>
          <w:p w14:paraId="40D5DB6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1.016</w:t>
            </w:r>
          </w:p>
        </w:tc>
        <w:tc>
          <w:tcPr>
            <w:tcW w:w="550" w:type="dxa"/>
          </w:tcPr>
          <w:p w14:paraId="674E5C1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w:t>
            </w:r>
          </w:p>
        </w:tc>
      </w:tr>
      <w:tr w:rsidR="00AD326D" w:rsidRPr="00AD326D" w14:paraId="49E08CD6"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05DFADDF"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CUL6</w:t>
            </w:r>
          </w:p>
        </w:tc>
        <w:tc>
          <w:tcPr>
            <w:tcW w:w="2750" w:type="dxa"/>
          </w:tcPr>
          <w:p w14:paraId="711DE4E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أتمكن من ممارسة قيادتي دون أن تحد الصور النمطية عن دور المرأة من أدائي.</w:t>
            </w:r>
          </w:p>
        </w:tc>
        <w:tc>
          <w:tcPr>
            <w:tcW w:w="450" w:type="dxa"/>
          </w:tcPr>
          <w:p w14:paraId="22E3682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091F924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1B3BC68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10 (2.6%)</w:t>
            </w:r>
          </w:p>
        </w:tc>
        <w:tc>
          <w:tcPr>
            <w:tcW w:w="680" w:type="dxa"/>
          </w:tcPr>
          <w:p w14:paraId="5F3AD70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43 (11.3%)</w:t>
            </w:r>
          </w:p>
        </w:tc>
        <w:tc>
          <w:tcPr>
            <w:tcW w:w="680" w:type="dxa"/>
          </w:tcPr>
          <w:p w14:paraId="6F57AF5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125 (32.9%)</w:t>
            </w:r>
          </w:p>
        </w:tc>
        <w:tc>
          <w:tcPr>
            <w:tcW w:w="680" w:type="dxa"/>
          </w:tcPr>
          <w:p w14:paraId="11EE4BE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138 (36.3%)</w:t>
            </w:r>
          </w:p>
        </w:tc>
        <w:tc>
          <w:tcPr>
            <w:tcW w:w="680" w:type="dxa"/>
          </w:tcPr>
          <w:p w14:paraId="7DE20E9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64 (16.8%)</w:t>
            </w:r>
          </w:p>
        </w:tc>
        <w:tc>
          <w:tcPr>
            <w:tcW w:w="650" w:type="dxa"/>
          </w:tcPr>
          <w:p w14:paraId="6457A45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3.534</w:t>
            </w:r>
          </w:p>
        </w:tc>
        <w:tc>
          <w:tcPr>
            <w:tcW w:w="650" w:type="dxa"/>
          </w:tcPr>
          <w:p w14:paraId="114912B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0.986</w:t>
            </w:r>
          </w:p>
        </w:tc>
        <w:tc>
          <w:tcPr>
            <w:tcW w:w="550" w:type="dxa"/>
          </w:tcPr>
          <w:p w14:paraId="3B5F162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w:t>
            </w:r>
          </w:p>
        </w:tc>
      </w:tr>
      <w:tr w:rsidR="00AD326D" w:rsidRPr="00AD326D" w14:paraId="33E5C7A5"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4687C4F5"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CUL7</w:t>
            </w:r>
          </w:p>
        </w:tc>
        <w:tc>
          <w:tcPr>
            <w:tcW w:w="2750" w:type="dxa"/>
          </w:tcPr>
          <w:p w14:paraId="619BD55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تسهم البرامج التوعوية في جهتي الحكومية في تعزيز تقبل القيادات النسائية.</w:t>
            </w:r>
          </w:p>
        </w:tc>
        <w:tc>
          <w:tcPr>
            <w:tcW w:w="450" w:type="dxa"/>
          </w:tcPr>
          <w:p w14:paraId="3253C7B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5320926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239DC06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10 (2.6%)</w:t>
            </w:r>
          </w:p>
        </w:tc>
        <w:tc>
          <w:tcPr>
            <w:tcW w:w="680" w:type="dxa"/>
          </w:tcPr>
          <w:p w14:paraId="75EC003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53 (13.9%)</w:t>
            </w:r>
          </w:p>
        </w:tc>
        <w:tc>
          <w:tcPr>
            <w:tcW w:w="680" w:type="dxa"/>
          </w:tcPr>
          <w:p w14:paraId="79D1506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129 (33.9%)</w:t>
            </w:r>
          </w:p>
        </w:tc>
        <w:tc>
          <w:tcPr>
            <w:tcW w:w="680" w:type="dxa"/>
          </w:tcPr>
          <w:p w14:paraId="6E05E37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138 (36.3%)</w:t>
            </w:r>
          </w:p>
        </w:tc>
        <w:tc>
          <w:tcPr>
            <w:tcW w:w="680" w:type="dxa"/>
          </w:tcPr>
          <w:p w14:paraId="72F4560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50 (13.2%)</w:t>
            </w:r>
          </w:p>
        </w:tc>
        <w:tc>
          <w:tcPr>
            <w:tcW w:w="650" w:type="dxa"/>
          </w:tcPr>
          <w:p w14:paraId="2294FF8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3.434</w:t>
            </w:r>
          </w:p>
        </w:tc>
        <w:tc>
          <w:tcPr>
            <w:tcW w:w="650" w:type="dxa"/>
          </w:tcPr>
          <w:p w14:paraId="491B54F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0.974</w:t>
            </w:r>
          </w:p>
        </w:tc>
        <w:tc>
          <w:tcPr>
            <w:tcW w:w="550" w:type="dxa"/>
          </w:tcPr>
          <w:p w14:paraId="3897D57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10</w:t>
            </w:r>
          </w:p>
        </w:tc>
      </w:tr>
      <w:tr w:rsidR="00AD326D" w:rsidRPr="00AD326D" w14:paraId="45625211"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1128D75E"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CUL8</w:t>
            </w:r>
          </w:p>
        </w:tc>
        <w:tc>
          <w:tcPr>
            <w:tcW w:w="2750" w:type="dxa"/>
          </w:tcPr>
          <w:p w14:paraId="66DADD2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تدعم ثقافة جهتي الحكومية تطوير مهارات القيادة لدى المرأة.</w:t>
            </w:r>
          </w:p>
        </w:tc>
        <w:tc>
          <w:tcPr>
            <w:tcW w:w="450" w:type="dxa"/>
          </w:tcPr>
          <w:p w14:paraId="75622CB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525AD16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01215E8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8 (2.1%)</w:t>
            </w:r>
          </w:p>
        </w:tc>
        <w:tc>
          <w:tcPr>
            <w:tcW w:w="680" w:type="dxa"/>
          </w:tcPr>
          <w:p w14:paraId="7834144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41 (10.8%)</w:t>
            </w:r>
          </w:p>
        </w:tc>
        <w:tc>
          <w:tcPr>
            <w:tcW w:w="680" w:type="dxa"/>
          </w:tcPr>
          <w:p w14:paraId="00FB646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117 (30.8%)</w:t>
            </w:r>
          </w:p>
        </w:tc>
        <w:tc>
          <w:tcPr>
            <w:tcW w:w="680" w:type="dxa"/>
          </w:tcPr>
          <w:p w14:paraId="4746A83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150 (39.5%)</w:t>
            </w:r>
          </w:p>
        </w:tc>
        <w:tc>
          <w:tcPr>
            <w:tcW w:w="680" w:type="dxa"/>
          </w:tcPr>
          <w:p w14:paraId="7CB1258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64 (16.8%)</w:t>
            </w:r>
          </w:p>
        </w:tc>
        <w:tc>
          <w:tcPr>
            <w:tcW w:w="650" w:type="dxa"/>
          </w:tcPr>
          <w:p w14:paraId="32FA34B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3.582</w:t>
            </w:r>
          </w:p>
        </w:tc>
        <w:tc>
          <w:tcPr>
            <w:tcW w:w="650" w:type="dxa"/>
          </w:tcPr>
          <w:p w14:paraId="43C4330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0.962</w:t>
            </w:r>
          </w:p>
        </w:tc>
        <w:tc>
          <w:tcPr>
            <w:tcW w:w="550" w:type="dxa"/>
          </w:tcPr>
          <w:p w14:paraId="58E7883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r>
      <w:tr w:rsidR="00AD326D" w:rsidRPr="00AD326D" w14:paraId="2B0536DA"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67F34212"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CUL9</w:t>
            </w:r>
          </w:p>
        </w:tc>
        <w:tc>
          <w:tcPr>
            <w:tcW w:w="2750" w:type="dxa"/>
          </w:tcPr>
          <w:p w14:paraId="7A3A9BF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يعزز التقدير المجتمعي لنجاحات المرأة القيادية التزامي بالاستمرار والتطور.</w:t>
            </w:r>
          </w:p>
        </w:tc>
        <w:tc>
          <w:tcPr>
            <w:tcW w:w="450" w:type="dxa"/>
          </w:tcPr>
          <w:p w14:paraId="357DE3A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3993CCB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76209DA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 (0.3%)</w:t>
            </w:r>
          </w:p>
        </w:tc>
        <w:tc>
          <w:tcPr>
            <w:tcW w:w="680" w:type="dxa"/>
          </w:tcPr>
          <w:p w14:paraId="5C4C28F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61 (16.1%)</w:t>
            </w:r>
          </w:p>
        </w:tc>
        <w:tc>
          <w:tcPr>
            <w:tcW w:w="680" w:type="dxa"/>
          </w:tcPr>
          <w:p w14:paraId="70CB7E5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129 (33.9%)</w:t>
            </w:r>
          </w:p>
        </w:tc>
        <w:tc>
          <w:tcPr>
            <w:tcW w:w="680" w:type="dxa"/>
          </w:tcPr>
          <w:p w14:paraId="49BAB2C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121 (31.8%)</w:t>
            </w:r>
          </w:p>
        </w:tc>
        <w:tc>
          <w:tcPr>
            <w:tcW w:w="680" w:type="dxa"/>
          </w:tcPr>
          <w:p w14:paraId="1A6A9BE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68 (17.9%)</w:t>
            </w:r>
          </w:p>
        </w:tc>
        <w:tc>
          <w:tcPr>
            <w:tcW w:w="650" w:type="dxa"/>
          </w:tcPr>
          <w:p w14:paraId="06EC75B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3.511</w:t>
            </w:r>
          </w:p>
        </w:tc>
        <w:tc>
          <w:tcPr>
            <w:tcW w:w="650" w:type="dxa"/>
          </w:tcPr>
          <w:p w14:paraId="386CC42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0.973</w:t>
            </w:r>
          </w:p>
        </w:tc>
        <w:tc>
          <w:tcPr>
            <w:tcW w:w="550" w:type="dxa"/>
          </w:tcPr>
          <w:p w14:paraId="3FAEABE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r>
      <w:tr w:rsidR="00AD326D" w:rsidRPr="00AD326D" w14:paraId="182C15F1"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021607B1" w14:textId="77777777" w:rsidR="002F2EAD" w:rsidRPr="00AD326D" w:rsidRDefault="00437DE2" w:rsidP="00442B69">
            <w:pPr>
              <w:bidi/>
              <w:spacing w:line="360" w:lineRule="auto"/>
              <w:jc w:val="both"/>
              <w:rPr>
                <w:rFonts w:ascii="Arabic Typesetting" w:hAnsi="Arabic Typesetting" w:cs="Arabic Typesetting"/>
                <w:color w:val="auto"/>
                <w:sz w:val="20"/>
                <w:szCs w:val="20"/>
              </w:rPr>
            </w:pPr>
            <w:r w:rsidRPr="00AD326D">
              <w:rPr>
                <w:rFonts w:ascii="Arabic Typesetting" w:hAnsi="Arabic Typesetting" w:cs="Arabic Typesetting"/>
                <w:b w:val="0"/>
                <w:color w:val="auto"/>
                <w:sz w:val="20"/>
                <w:szCs w:val="20"/>
                <w:rtl/>
              </w:rPr>
              <w:t>CUL10</w:t>
            </w:r>
          </w:p>
        </w:tc>
        <w:tc>
          <w:tcPr>
            <w:tcW w:w="2750" w:type="dxa"/>
          </w:tcPr>
          <w:p w14:paraId="2231B12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تدعم الثقافة المحلية في المجتمع السعودي مشاركة المرأة في القيادة الاستراتيجية.</w:t>
            </w:r>
          </w:p>
        </w:tc>
        <w:tc>
          <w:tcPr>
            <w:tcW w:w="450" w:type="dxa"/>
          </w:tcPr>
          <w:p w14:paraId="6765B9D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w:t>
            </w:r>
          </w:p>
        </w:tc>
        <w:tc>
          <w:tcPr>
            <w:tcW w:w="450" w:type="dxa"/>
          </w:tcPr>
          <w:p w14:paraId="4497AFC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w:t>
            </w:r>
          </w:p>
        </w:tc>
        <w:tc>
          <w:tcPr>
            <w:tcW w:w="680" w:type="dxa"/>
          </w:tcPr>
          <w:p w14:paraId="0A3EEEA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5 (1.3%)</w:t>
            </w:r>
          </w:p>
        </w:tc>
        <w:tc>
          <w:tcPr>
            <w:tcW w:w="680" w:type="dxa"/>
          </w:tcPr>
          <w:p w14:paraId="2B5697E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49 (12.9%)</w:t>
            </w:r>
          </w:p>
        </w:tc>
        <w:tc>
          <w:tcPr>
            <w:tcW w:w="680" w:type="dxa"/>
          </w:tcPr>
          <w:p w14:paraId="340EF9F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137 (36.1%)</w:t>
            </w:r>
          </w:p>
        </w:tc>
        <w:tc>
          <w:tcPr>
            <w:tcW w:w="680" w:type="dxa"/>
          </w:tcPr>
          <w:p w14:paraId="3D998D7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123 (32.4%)</w:t>
            </w:r>
          </w:p>
        </w:tc>
        <w:tc>
          <w:tcPr>
            <w:tcW w:w="680" w:type="dxa"/>
          </w:tcPr>
          <w:p w14:paraId="46D5FD2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66 (17.4%)</w:t>
            </w:r>
          </w:p>
        </w:tc>
        <w:tc>
          <w:tcPr>
            <w:tcW w:w="650" w:type="dxa"/>
          </w:tcPr>
          <w:p w14:paraId="1A5DADF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3.516</w:t>
            </w:r>
          </w:p>
        </w:tc>
        <w:tc>
          <w:tcPr>
            <w:tcW w:w="650" w:type="dxa"/>
          </w:tcPr>
          <w:p w14:paraId="16E7ACA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0.968</w:t>
            </w:r>
          </w:p>
        </w:tc>
        <w:tc>
          <w:tcPr>
            <w:tcW w:w="550" w:type="dxa"/>
          </w:tcPr>
          <w:p w14:paraId="50D861C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AD326D">
              <w:rPr>
                <w:rFonts w:ascii="Arabic Typesetting" w:hAnsi="Arabic Typesetting" w:cs="Arabic Typesetting"/>
                <w:color w:val="auto"/>
                <w:sz w:val="20"/>
                <w:szCs w:val="20"/>
                <w:rtl/>
              </w:rPr>
              <w:t>4</w:t>
            </w:r>
          </w:p>
        </w:tc>
      </w:tr>
    </w:tbl>
    <w:p w14:paraId="6F125A70" w14:textId="77777777" w:rsidR="00E60CED" w:rsidRPr="00E60CED" w:rsidRDefault="00E60CED" w:rsidP="00442B69">
      <w:pPr>
        <w:pStyle w:val="ThesisH2"/>
        <w:spacing w:line="360" w:lineRule="auto"/>
        <w:jc w:val="both"/>
        <w:rPr>
          <w:rFonts w:ascii="Arabic Typesetting" w:hAnsi="Arabic Typesetting" w:cs="Arabic Typesetting"/>
          <w:color w:val="auto"/>
          <w:sz w:val="32"/>
          <w:szCs w:val="32"/>
          <w:lang w:val="en-GB"/>
        </w:rPr>
      </w:pPr>
      <w:r w:rsidRPr="00E60CED">
        <w:rPr>
          <w:rFonts w:ascii="Arabic Typesetting" w:hAnsi="Arabic Typesetting" w:cs="Arabic Typesetting"/>
          <w:color w:val="auto"/>
          <w:sz w:val="32"/>
          <w:szCs w:val="32"/>
          <w:rtl/>
        </w:rPr>
        <w:t xml:space="preserve">تكشف نتائج الجدول (4-4) أن مستوى العوامل الثقافية لدى أفراد العينة جاء مرتفعًا بمتوسط حسابي كلي بلغ 3.5116 وانحراف معياري قدره 0.6731، مما يدل على وجود اتجاه إيجابي عام نحو دور الثقافة المؤسسية والمجتمعية في دعم القيادة النسائية، مع الإشارة إلى أن هذا الدعم لا يزال متفاوتًا بين مكونات البعد المختلفة. وقد تراوحت المتوسطات الحسابية بين 3.434 و3.582، وهو نطاق يعكس تقاربًا نسبيًا </w:t>
      </w:r>
      <w:r w:rsidRPr="00E60CED">
        <w:rPr>
          <w:rFonts w:ascii="Arabic Typesetting" w:hAnsi="Arabic Typesetting" w:cs="Arabic Typesetting"/>
          <w:color w:val="auto"/>
          <w:sz w:val="32"/>
          <w:szCs w:val="32"/>
          <w:rtl/>
        </w:rPr>
        <w:lastRenderedPageBreak/>
        <w:t>بين البنود، لكنه يوضح في الوقت نفسه وجود بعض الجوانب الثقافية الأكثر رسوخًا من غيرها. جاء البند</w:t>
      </w:r>
      <w:r w:rsidRPr="00E60CED">
        <w:rPr>
          <w:rFonts w:ascii="Arabic Typesetting" w:hAnsi="Arabic Typesetting" w:cs="Arabic Typesetting"/>
          <w:color w:val="auto"/>
          <w:sz w:val="32"/>
          <w:szCs w:val="32"/>
          <w:lang w:val="en-GB"/>
        </w:rPr>
        <w:t xml:space="preserve"> CUL8</w:t>
      </w:r>
      <w:r w:rsidRPr="00E60CED">
        <w:rPr>
          <w:rFonts w:ascii="Arabic Typesetting" w:hAnsi="Arabic Typesetting" w:cs="Arabic Typesetting"/>
          <w:color w:val="auto"/>
          <w:sz w:val="32"/>
          <w:szCs w:val="32"/>
          <w:rtl/>
        </w:rPr>
        <w:t>، الذي ينص على أن ثقافة الجهة الحكومية تدعم تطوير مهارات القيادة لدى المرأة، في المرتبة الأولى بمتوسط 3.582، وبنسبة استجابات إيجابية بلغت نحو 56.3%، وهي أعلى نسبة تأييد بين بنود البعد، مما يشير إلى أن المشاركات يلمسن أثرًا واضحًا للبيئة المؤسسية في إتاحة فرص تنمية المهارات القيادية والتطوير المهني. ويعني ذلك أن الثقافة التنظيمية داخل الجهات الحكومية أصبحت أكثر قبولًا لفكرة إعداد المرأة وتطويرها لتولي أدوار قيادية، وليس مجرد السماح لها بشغل المنصب. وجاء البند</w:t>
      </w:r>
      <w:r w:rsidRPr="00E60CED">
        <w:rPr>
          <w:rFonts w:ascii="Arabic Typesetting" w:hAnsi="Arabic Typesetting" w:cs="Arabic Typesetting"/>
          <w:color w:val="auto"/>
          <w:sz w:val="32"/>
          <w:szCs w:val="32"/>
          <w:lang w:val="en-GB"/>
        </w:rPr>
        <w:t xml:space="preserve"> CUL3</w:t>
      </w:r>
      <w:r w:rsidRPr="00E60CED">
        <w:rPr>
          <w:rFonts w:ascii="Arabic Typesetting" w:hAnsi="Arabic Typesetting" w:cs="Arabic Typesetting"/>
          <w:color w:val="auto"/>
          <w:sz w:val="32"/>
          <w:szCs w:val="32"/>
          <w:rtl/>
        </w:rPr>
        <w:t>، المتعلق بتأكيد التوجهات والسياسات الرسمية في المملكة دعم تمكين المرأة في القيادة الحكومية، في المرتبة الثانية بمتوسط 3.550، مع نسبة استجابات إيجابية بلغت 54.5%، وهو ما يعكس إدراكًا مرتفعًا لدى المشاركات لوجود دعم رسمي وسياساتي لتمكين المرأة، كما يشير إلى أن التحول المؤسسي لا يعتمد فقط على المبادرات الفردية، بل يستند أيضًا إلى توجهات عامة وسياسات حكومية داعمة. أما البند</w:t>
      </w:r>
      <w:r w:rsidRPr="00E60CED">
        <w:rPr>
          <w:rFonts w:ascii="Arabic Typesetting" w:hAnsi="Arabic Typesetting" w:cs="Arabic Typesetting"/>
          <w:color w:val="auto"/>
          <w:sz w:val="32"/>
          <w:szCs w:val="32"/>
          <w:lang w:val="en-GB"/>
        </w:rPr>
        <w:t xml:space="preserve"> CUL6</w:t>
      </w:r>
      <w:r w:rsidRPr="00E60CED">
        <w:rPr>
          <w:rFonts w:ascii="Arabic Typesetting" w:hAnsi="Arabic Typesetting" w:cs="Arabic Typesetting"/>
          <w:color w:val="auto"/>
          <w:sz w:val="32"/>
          <w:szCs w:val="32"/>
          <w:rtl/>
        </w:rPr>
        <w:t>، الذي يقيس قدرة القيادات النسائية على ممارسة القيادة دون أن تحد الصور النمطية من أدائها، فقد حصل على متوسط 3.534 وبنسبة استجابات إيجابية بلغت 53.1%، بما يدل على امتلاك المشاركات قدرًا من القدرة على تجاوز الصور النمطية، مع بقاء هذه الصور عاملًا ثقافيًا مؤثرًا في الخبرة القيادية اليومية. وحصل البند</w:t>
      </w:r>
      <w:r w:rsidRPr="00E60CED">
        <w:rPr>
          <w:rFonts w:ascii="Arabic Typesetting" w:hAnsi="Arabic Typesetting" w:cs="Arabic Typesetting"/>
          <w:color w:val="auto"/>
          <w:sz w:val="32"/>
          <w:szCs w:val="32"/>
          <w:lang w:val="en-GB"/>
        </w:rPr>
        <w:t xml:space="preserve"> CUL10</w:t>
      </w:r>
      <w:r w:rsidRPr="00E60CED">
        <w:rPr>
          <w:rFonts w:ascii="Arabic Typesetting" w:hAnsi="Arabic Typesetting" w:cs="Arabic Typesetting"/>
          <w:color w:val="auto"/>
          <w:sz w:val="32"/>
          <w:szCs w:val="32"/>
          <w:rtl/>
        </w:rPr>
        <w:t>، الخاص بدعم الثقافة المحلية مشاركة المرأة في القيادة الاستراتيجية، على متوسط 3.516، يليه البند</w:t>
      </w:r>
      <w:r w:rsidRPr="00E60CED">
        <w:rPr>
          <w:rFonts w:ascii="Arabic Typesetting" w:hAnsi="Arabic Typesetting" w:cs="Arabic Typesetting"/>
          <w:color w:val="auto"/>
          <w:sz w:val="32"/>
          <w:szCs w:val="32"/>
          <w:lang w:val="en-GB"/>
        </w:rPr>
        <w:t xml:space="preserve"> CUL9 </w:t>
      </w:r>
      <w:r w:rsidRPr="00E60CED">
        <w:rPr>
          <w:rFonts w:ascii="Arabic Typesetting" w:hAnsi="Arabic Typesetting" w:cs="Arabic Typesetting"/>
          <w:color w:val="auto"/>
          <w:sz w:val="32"/>
          <w:szCs w:val="32"/>
          <w:rtl/>
        </w:rPr>
        <w:t>الخاص بأثر التقدير المجتمعي لنجاحات المرأة القيادية في تعزيز الالتزام بالاستمرار والتطور بمتوسط 3.511، وهو ما يوضح أن الاعتراف الاجتماعي بالإنجازات النسائية يسهم في تعزيز الدافعية المهنية، إلا أن أثره لا يزال بحاجة إلى مزيد من الترسخ والانتشار. كما سجل البند</w:t>
      </w:r>
      <w:r w:rsidRPr="00E60CED">
        <w:rPr>
          <w:rFonts w:ascii="Arabic Typesetting" w:hAnsi="Arabic Typesetting" w:cs="Arabic Typesetting"/>
          <w:color w:val="auto"/>
          <w:sz w:val="32"/>
          <w:szCs w:val="32"/>
          <w:lang w:val="en-GB"/>
        </w:rPr>
        <w:t xml:space="preserve"> CUL5</w:t>
      </w:r>
      <w:r w:rsidRPr="00E60CED">
        <w:rPr>
          <w:rFonts w:ascii="Arabic Typesetting" w:hAnsi="Arabic Typesetting" w:cs="Arabic Typesetting"/>
          <w:color w:val="auto"/>
          <w:sz w:val="32"/>
          <w:szCs w:val="32"/>
          <w:rtl/>
        </w:rPr>
        <w:t>، المتعلق بتشجيع البيئة الثقافية في الجهة الحكومية مشاركة القيادات النسائية في صنع القرار، متوسطًا قدره 3.505، وهو مستوى مرتفع لكنه يكشف أن قبول المرأة في موقع القيادة لا يعني بالضرورة إشراكها بصورة كاملة في القرارات المهمة، الأمر الذي يستدعي الانتقال من الدعم الرمزي إلى المشاركة الفعلية في صناعة السياسات والقرارات. وجاء البند</w:t>
      </w:r>
      <w:r w:rsidRPr="00E60CED">
        <w:rPr>
          <w:rFonts w:ascii="Arabic Typesetting" w:hAnsi="Arabic Typesetting" w:cs="Arabic Typesetting"/>
          <w:color w:val="auto"/>
          <w:sz w:val="32"/>
          <w:szCs w:val="32"/>
          <w:lang w:val="en-GB"/>
        </w:rPr>
        <w:t xml:space="preserve"> CUL4</w:t>
      </w:r>
      <w:r w:rsidRPr="00E60CED">
        <w:rPr>
          <w:rFonts w:ascii="Arabic Typesetting" w:hAnsi="Arabic Typesetting" w:cs="Arabic Typesetting"/>
          <w:color w:val="auto"/>
          <w:sz w:val="32"/>
          <w:szCs w:val="32"/>
          <w:rtl/>
        </w:rPr>
        <w:t>، الخاص بتشجيع الثقافة المجتمعية العامة تكافؤ الفرص بين النساء والرجال في القيادة، بمتوسط 3.503، مع ملاحظة ارتفاع انحرافه المعياري إلى 1.041، وهو أعلى تباين بين بنود البعد، مما يشير إلى اختلاف واضح في تجارب المشاركات وتقييماتهن لمستوى تكافؤ الفرص بين الجهات أو البيئات الوظيفية المختلفة. أما البند</w:t>
      </w:r>
      <w:r w:rsidRPr="00E60CED">
        <w:rPr>
          <w:rFonts w:ascii="Arabic Typesetting" w:hAnsi="Arabic Typesetting" w:cs="Arabic Typesetting"/>
          <w:color w:val="auto"/>
          <w:sz w:val="32"/>
          <w:szCs w:val="32"/>
          <w:lang w:val="en-GB"/>
        </w:rPr>
        <w:t xml:space="preserve"> CUL1</w:t>
      </w:r>
      <w:r w:rsidRPr="00E60CED">
        <w:rPr>
          <w:rFonts w:ascii="Arabic Typesetting" w:hAnsi="Arabic Typesetting" w:cs="Arabic Typesetting"/>
          <w:color w:val="auto"/>
          <w:sz w:val="32"/>
          <w:szCs w:val="32"/>
          <w:rtl/>
        </w:rPr>
        <w:t>، المتعلق بتقبل الثقافة السائدة في الجهة الحكومية تولي المرأة أدوارًا قيادية، فقد بلغ متوسطه 3.497، في حين سجل البند</w:t>
      </w:r>
      <w:r w:rsidRPr="00E60CED">
        <w:rPr>
          <w:rFonts w:ascii="Arabic Typesetting" w:hAnsi="Arabic Typesetting" w:cs="Arabic Typesetting"/>
          <w:color w:val="auto"/>
          <w:sz w:val="32"/>
          <w:szCs w:val="32"/>
          <w:lang w:val="en-GB"/>
        </w:rPr>
        <w:t xml:space="preserve"> CUL2</w:t>
      </w:r>
      <w:r w:rsidRPr="00E60CED">
        <w:rPr>
          <w:rFonts w:ascii="Arabic Typesetting" w:hAnsi="Arabic Typesetting" w:cs="Arabic Typesetting"/>
          <w:color w:val="auto"/>
          <w:sz w:val="32"/>
          <w:szCs w:val="32"/>
          <w:rtl/>
        </w:rPr>
        <w:t>، الخاص بإسهام القيم والتقاليد المحلية الداعمة في رفع قبول المجتمع للمرأة في المناصب القيادية، متوسطًا قدره 3.484، وهو ما يدل على أن القبول الثقافي العام موجود، لكنه قد يتأثر باختلاف القيم المحلية ودرجة انفتاح البيئة الاجتماعية على مشاركة المرأة القيادية. وجاء البند</w:t>
      </w:r>
      <w:r w:rsidRPr="00E60CED">
        <w:rPr>
          <w:rFonts w:ascii="Arabic Typesetting" w:hAnsi="Arabic Typesetting" w:cs="Arabic Typesetting"/>
          <w:color w:val="auto"/>
          <w:sz w:val="32"/>
          <w:szCs w:val="32"/>
          <w:lang w:val="en-GB"/>
        </w:rPr>
        <w:t xml:space="preserve"> CUL7</w:t>
      </w:r>
      <w:r w:rsidRPr="00E60CED">
        <w:rPr>
          <w:rFonts w:ascii="Arabic Typesetting" w:hAnsi="Arabic Typesetting" w:cs="Arabic Typesetting"/>
          <w:color w:val="auto"/>
          <w:sz w:val="32"/>
          <w:szCs w:val="32"/>
          <w:rtl/>
        </w:rPr>
        <w:t xml:space="preserve">، المتعلق بإسهام البرامج التوعوية في تعزيز تقبل القيادات النسائية، في المرتبة الأخيرة بمتوسط 3.434، ورغم وقوعه ضمن المستوى المرتفع وفق معيار الدراسة، فإنه يمثل أضعف جوانب البعد الثقافي، وقد يشير ذلك إلى أن البرامج التوعوية الحالية لا تصل إلى جميع الفئات بالدرجة نفسها، أو أنها لم تتحول بعد إلى تأثير ثقافي واسع ومستدام. كما أن نسبة الاستجابات الإيجابية لهذا البند بلغت نحو 49.5% فقط، وهو ما يعكس حاجة الجهات الحكومية إلى تطوير برامج أكثر انتظامًا ووضوحًا وارتباطًا بالممارسات اليومية، بحيث </w:t>
      </w:r>
      <w:r w:rsidRPr="00E60CED">
        <w:rPr>
          <w:rFonts w:ascii="Arabic Typesetting" w:hAnsi="Arabic Typesetting" w:cs="Arabic Typesetting"/>
          <w:color w:val="auto"/>
          <w:sz w:val="32"/>
          <w:szCs w:val="32"/>
          <w:rtl/>
        </w:rPr>
        <w:lastRenderedPageBreak/>
        <w:t>لا تقتصر على الرسائل العامة، بل تسهم في تعديل الصور النمطية ودعم تكافؤ الفرص. وبوجه عام، تراوحت نسب الاستجابات الإيجابية لبنود العوامل الثقافية بين 47.1% في البند</w:t>
      </w:r>
      <w:r w:rsidRPr="00E60CED">
        <w:rPr>
          <w:rFonts w:ascii="Arabic Typesetting" w:hAnsi="Arabic Typesetting" w:cs="Arabic Typesetting"/>
          <w:color w:val="auto"/>
          <w:sz w:val="32"/>
          <w:szCs w:val="32"/>
          <w:lang w:val="en-GB"/>
        </w:rPr>
        <w:t xml:space="preserve"> CUL2 </w:t>
      </w:r>
      <w:r w:rsidRPr="00E60CED">
        <w:rPr>
          <w:rFonts w:ascii="Arabic Typesetting" w:hAnsi="Arabic Typesetting" w:cs="Arabic Typesetting"/>
          <w:color w:val="auto"/>
          <w:sz w:val="32"/>
          <w:szCs w:val="32"/>
          <w:rtl/>
        </w:rPr>
        <w:t>و56.3% في البند</w:t>
      </w:r>
      <w:r w:rsidRPr="00E60CED">
        <w:rPr>
          <w:rFonts w:ascii="Arabic Typesetting" w:hAnsi="Arabic Typesetting" w:cs="Arabic Typesetting"/>
          <w:color w:val="auto"/>
          <w:sz w:val="32"/>
          <w:szCs w:val="32"/>
          <w:lang w:val="en-GB"/>
        </w:rPr>
        <w:t xml:space="preserve"> CUL8</w:t>
      </w:r>
      <w:r w:rsidRPr="00E60CED">
        <w:rPr>
          <w:rFonts w:ascii="Arabic Typesetting" w:hAnsi="Arabic Typesetting" w:cs="Arabic Typesetting"/>
          <w:color w:val="auto"/>
          <w:sz w:val="32"/>
          <w:szCs w:val="32"/>
          <w:rtl/>
        </w:rPr>
        <w:t>، بينما تركزت نسبة ملحوظة من الإجابات في الفئة المحايدة، الأمر الذي يعكس عدم تجانس الخبرات الثقافية لدى المشاركات، ووجود مساحة لتطوير الوعي والممارسات الداعمة. ويشير انخفاض الانحراف المعياري في البند</w:t>
      </w:r>
      <w:r w:rsidRPr="00E60CED">
        <w:rPr>
          <w:rFonts w:ascii="Arabic Typesetting" w:hAnsi="Arabic Typesetting" w:cs="Arabic Typesetting"/>
          <w:color w:val="auto"/>
          <w:sz w:val="32"/>
          <w:szCs w:val="32"/>
          <w:lang w:val="en-GB"/>
        </w:rPr>
        <w:t xml:space="preserve"> CUL1 </w:t>
      </w:r>
      <w:r w:rsidRPr="00E60CED">
        <w:rPr>
          <w:rFonts w:ascii="Arabic Typesetting" w:hAnsi="Arabic Typesetting" w:cs="Arabic Typesetting"/>
          <w:color w:val="auto"/>
          <w:sz w:val="32"/>
          <w:szCs w:val="32"/>
          <w:rtl/>
        </w:rPr>
        <w:t>إلى قدر أكبر من التقارب في تقييم تقبل الجهة الحكومية للقيادة النسائية، في حين يكشف ارتفاع التباين في بند تكافؤ الفرص عن اختلاف أكبر بين البيئات التنظيمية. وعليه، تؤكد النتائج أن الثقافة المؤسسية والرسمية تسير في اتجاه داعم لتمكين المرأة، خاصة في مجال تطوير المهارات والاعتراف بالدعم الرسمي، إلا أن تعزيز المشاركة في صنع القرار، وتقليص أثر الصور النمطية، وتفعيل برامج التوعية، وضمان تكافؤ الفرص بصورة عملية، تمثل متطلبات أساسية لتحويل الدعم الثقافي من اتجاه إيجابي عام إلى ثقافة مؤسسية راسخة تؤثر بصورة مباشرة في التمكين القيادي</w:t>
      </w:r>
      <w:r w:rsidRPr="00E60CED">
        <w:rPr>
          <w:rFonts w:ascii="Arabic Typesetting" w:hAnsi="Arabic Typesetting" w:cs="Arabic Typesetting"/>
          <w:color w:val="auto"/>
          <w:sz w:val="32"/>
          <w:szCs w:val="32"/>
          <w:lang w:val="en-GB"/>
        </w:rPr>
        <w:t>.</w:t>
      </w:r>
    </w:p>
    <w:p w14:paraId="6E460D2F" w14:textId="77777777" w:rsidR="002F2EAD" w:rsidRPr="00E60CED" w:rsidRDefault="00437DE2" w:rsidP="00442B69">
      <w:pPr>
        <w:pStyle w:val="ThesisH2"/>
        <w:spacing w:line="360" w:lineRule="auto"/>
        <w:jc w:val="both"/>
        <w:rPr>
          <w:rFonts w:ascii="Arabic Typesetting" w:hAnsi="Arabic Typesetting" w:cs="Arabic Typesetting"/>
          <w:b w:val="0"/>
          <w:bCs/>
          <w:color w:val="auto"/>
          <w:sz w:val="32"/>
          <w:szCs w:val="32"/>
        </w:rPr>
      </w:pPr>
      <w:r w:rsidRPr="00E60CED">
        <w:rPr>
          <w:rFonts w:ascii="Arabic Typesetting" w:hAnsi="Arabic Typesetting" w:cs="Arabic Typesetting"/>
          <w:b w:val="0"/>
          <w:bCs/>
          <w:color w:val="auto"/>
          <w:sz w:val="32"/>
          <w:szCs w:val="32"/>
          <w:rtl/>
        </w:rPr>
        <w:t>4.5 تحليل بُعد العوامل التنظيمية</w:t>
      </w:r>
    </w:p>
    <w:p w14:paraId="6F10E40A" w14:textId="21C099B5" w:rsidR="00E60CE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بلغ المتوسط الكلي لبُعد العوامل التنظيمية 3.5811 بانحراف معياري 0.6735، وهو يقع ضمن مستوى مرتفع وفق حدود التفسير المعتمدة. ويعرض الجدول جميع البنود العشرة، مع التوزيع الكامل لفئات الاستجابة الخمس، والمتوسط والانحراف المعياري والرتبة داخل البعد. سجل أعلى متوسط البند: «أحصل على دعم الإدارة العليا لأداء مسؤولياتي القيادية واتخاذ قراراتي.» بقيمة 3.605، بينما سجل أدنى متوسط البند: «تطبق سياسات الموارد البشرية في جهتي معايير عادلة وتدعم التمكين القيادي للنساء.» بقيمة 3.539.</w:t>
      </w:r>
    </w:p>
    <w:p w14:paraId="67F4480F" w14:textId="77777777" w:rsidR="002F2EAD" w:rsidRPr="00E60CE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E60CED">
        <w:rPr>
          <w:rFonts w:ascii="Arabic Typesetting" w:hAnsi="Arabic Typesetting" w:cs="Arabic Typesetting"/>
          <w:b w:val="0"/>
          <w:bCs/>
          <w:color w:val="auto"/>
          <w:sz w:val="32"/>
          <w:szCs w:val="32"/>
          <w:rtl/>
        </w:rPr>
        <w:t>جدول 4-5: التوزيع الكامل لاستجابات بنود العوامل التنظيمية (N=380)</w:t>
      </w:r>
    </w:p>
    <w:tbl>
      <w:tblPr>
        <w:tblStyle w:val="PlainTable2"/>
        <w:bidiVisual/>
        <w:tblW w:w="9500" w:type="dxa"/>
        <w:tblLayout w:type="fixed"/>
        <w:tblLook w:val="04A0" w:firstRow="1" w:lastRow="0" w:firstColumn="1" w:lastColumn="0" w:noHBand="0" w:noVBand="1"/>
      </w:tblPr>
      <w:tblGrid>
        <w:gridCol w:w="600"/>
        <w:gridCol w:w="2750"/>
        <w:gridCol w:w="450"/>
        <w:gridCol w:w="450"/>
        <w:gridCol w:w="680"/>
        <w:gridCol w:w="680"/>
        <w:gridCol w:w="680"/>
        <w:gridCol w:w="680"/>
        <w:gridCol w:w="680"/>
        <w:gridCol w:w="650"/>
        <w:gridCol w:w="650"/>
        <w:gridCol w:w="550"/>
      </w:tblGrid>
      <w:tr w:rsidR="00AD326D" w:rsidRPr="00E60CED" w14:paraId="62A1A838" w14:textId="77777777" w:rsidTr="00E60C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217D554C"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الكود</w:t>
            </w:r>
          </w:p>
        </w:tc>
        <w:tc>
          <w:tcPr>
            <w:tcW w:w="2750" w:type="dxa"/>
          </w:tcPr>
          <w:p w14:paraId="603E0306"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العبارة</w:t>
            </w:r>
          </w:p>
        </w:tc>
        <w:tc>
          <w:tcPr>
            <w:tcW w:w="450" w:type="dxa"/>
          </w:tcPr>
          <w:p w14:paraId="4606E2C8"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أدنى</w:t>
            </w:r>
          </w:p>
        </w:tc>
        <w:tc>
          <w:tcPr>
            <w:tcW w:w="450" w:type="dxa"/>
          </w:tcPr>
          <w:p w14:paraId="1136F830"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أقصى</w:t>
            </w:r>
          </w:p>
        </w:tc>
        <w:tc>
          <w:tcPr>
            <w:tcW w:w="680" w:type="dxa"/>
          </w:tcPr>
          <w:p w14:paraId="04DC01A3"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 لا أوافق بشدة</w:t>
            </w:r>
          </w:p>
        </w:tc>
        <w:tc>
          <w:tcPr>
            <w:tcW w:w="680" w:type="dxa"/>
          </w:tcPr>
          <w:p w14:paraId="07378689"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2: لا أوافق</w:t>
            </w:r>
          </w:p>
        </w:tc>
        <w:tc>
          <w:tcPr>
            <w:tcW w:w="680" w:type="dxa"/>
          </w:tcPr>
          <w:p w14:paraId="7830F1B6"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 محايد/ة</w:t>
            </w:r>
          </w:p>
        </w:tc>
        <w:tc>
          <w:tcPr>
            <w:tcW w:w="680" w:type="dxa"/>
          </w:tcPr>
          <w:p w14:paraId="08B5B8F3"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 أوافق</w:t>
            </w:r>
          </w:p>
        </w:tc>
        <w:tc>
          <w:tcPr>
            <w:tcW w:w="680" w:type="dxa"/>
          </w:tcPr>
          <w:p w14:paraId="3E84F00F"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 أوافق بشدة</w:t>
            </w:r>
          </w:p>
        </w:tc>
        <w:tc>
          <w:tcPr>
            <w:tcW w:w="650" w:type="dxa"/>
          </w:tcPr>
          <w:p w14:paraId="0CFA489E"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المتوسط</w:t>
            </w:r>
          </w:p>
        </w:tc>
        <w:tc>
          <w:tcPr>
            <w:tcW w:w="650" w:type="dxa"/>
          </w:tcPr>
          <w:p w14:paraId="78C08EB7"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الانحراف</w:t>
            </w:r>
          </w:p>
        </w:tc>
        <w:tc>
          <w:tcPr>
            <w:tcW w:w="550" w:type="dxa"/>
          </w:tcPr>
          <w:p w14:paraId="0E3000F6"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الرتبة</w:t>
            </w:r>
          </w:p>
        </w:tc>
      </w:tr>
      <w:tr w:rsidR="00AD326D" w:rsidRPr="00E60CED" w14:paraId="69C28FCA"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6EBF57CA"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ORG1</w:t>
            </w:r>
          </w:p>
        </w:tc>
        <w:tc>
          <w:tcPr>
            <w:tcW w:w="2750" w:type="dxa"/>
          </w:tcPr>
          <w:p w14:paraId="3D97CC5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يتيح الهيكل التنظيمي في جهتي الحكومية للمرأة الوصول إلى المناصب القيادية.</w:t>
            </w:r>
          </w:p>
        </w:tc>
        <w:tc>
          <w:tcPr>
            <w:tcW w:w="450" w:type="dxa"/>
          </w:tcPr>
          <w:p w14:paraId="03878F29"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028BD20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4905A1AC"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 (0.8%)</w:t>
            </w:r>
          </w:p>
        </w:tc>
        <w:tc>
          <w:tcPr>
            <w:tcW w:w="680" w:type="dxa"/>
          </w:tcPr>
          <w:p w14:paraId="78182DB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40 (10.5%)</w:t>
            </w:r>
          </w:p>
        </w:tc>
        <w:tc>
          <w:tcPr>
            <w:tcW w:w="680" w:type="dxa"/>
          </w:tcPr>
          <w:p w14:paraId="529F6581"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128 (33.7%)</w:t>
            </w:r>
          </w:p>
        </w:tc>
        <w:tc>
          <w:tcPr>
            <w:tcW w:w="680" w:type="dxa"/>
          </w:tcPr>
          <w:p w14:paraId="4805E865"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143 (37.6%)</w:t>
            </w:r>
          </w:p>
        </w:tc>
        <w:tc>
          <w:tcPr>
            <w:tcW w:w="680" w:type="dxa"/>
          </w:tcPr>
          <w:p w14:paraId="25B13F1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66 (17.4%)</w:t>
            </w:r>
          </w:p>
        </w:tc>
        <w:tc>
          <w:tcPr>
            <w:tcW w:w="650" w:type="dxa"/>
          </w:tcPr>
          <w:p w14:paraId="1BCD1085"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3.603</w:t>
            </w:r>
          </w:p>
        </w:tc>
        <w:tc>
          <w:tcPr>
            <w:tcW w:w="650" w:type="dxa"/>
          </w:tcPr>
          <w:p w14:paraId="24FF91A3"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0.920</w:t>
            </w:r>
          </w:p>
        </w:tc>
        <w:tc>
          <w:tcPr>
            <w:tcW w:w="550" w:type="dxa"/>
          </w:tcPr>
          <w:p w14:paraId="7B82F373"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2</w:t>
            </w:r>
          </w:p>
        </w:tc>
      </w:tr>
      <w:tr w:rsidR="00AD326D" w:rsidRPr="00E60CED" w14:paraId="518D7736"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681332E3"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ORG2</w:t>
            </w:r>
          </w:p>
        </w:tc>
        <w:tc>
          <w:tcPr>
            <w:tcW w:w="2750" w:type="dxa"/>
          </w:tcPr>
          <w:p w14:paraId="43942DFE"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تطبق سياسات الموارد البشرية في جهتي معايير عادلة وتدعم التمكين القيادي للنساء.</w:t>
            </w:r>
          </w:p>
        </w:tc>
        <w:tc>
          <w:tcPr>
            <w:tcW w:w="450" w:type="dxa"/>
          </w:tcPr>
          <w:p w14:paraId="26B548F5"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13BCB71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49C9EB1D"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 (1.6%)</w:t>
            </w:r>
          </w:p>
        </w:tc>
        <w:tc>
          <w:tcPr>
            <w:tcW w:w="680" w:type="dxa"/>
          </w:tcPr>
          <w:p w14:paraId="624DA2FB"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49 (12.9%)</w:t>
            </w:r>
          </w:p>
        </w:tc>
        <w:tc>
          <w:tcPr>
            <w:tcW w:w="680" w:type="dxa"/>
          </w:tcPr>
          <w:p w14:paraId="57726327"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127 (33.4%)</w:t>
            </w:r>
          </w:p>
        </w:tc>
        <w:tc>
          <w:tcPr>
            <w:tcW w:w="680" w:type="dxa"/>
          </w:tcPr>
          <w:p w14:paraId="5A52C58E"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130 (34.2%)</w:t>
            </w:r>
          </w:p>
        </w:tc>
        <w:tc>
          <w:tcPr>
            <w:tcW w:w="680" w:type="dxa"/>
          </w:tcPr>
          <w:p w14:paraId="3471B220"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68 (17.9%)</w:t>
            </w:r>
          </w:p>
        </w:tc>
        <w:tc>
          <w:tcPr>
            <w:tcW w:w="650" w:type="dxa"/>
          </w:tcPr>
          <w:p w14:paraId="08CB51CA"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3.539</w:t>
            </w:r>
          </w:p>
        </w:tc>
        <w:tc>
          <w:tcPr>
            <w:tcW w:w="650" w:type="dxa"/>
          </w:tcPr>
          <w:p w14:paraId="7B0D75E4"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0.981</w:t>
            </w:r>
          </w:p>
        </w:tc>
        <w:tc>
          <w:tcPr>
            <w:tcW w:w="550" w:type="dxa"/>
          </w:tcPr>
          <w:p w14:paraId="4E709EEB"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10</w:t>
            </w:r>
          </w:p>
        </w:tc>
      </w:tr>
      <w:tr w:rsidR="00AD326D" w:rsidRPr="00E60CED" w14:paraId="1222B8FF"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3B23244A"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ORG3</w:t>
            </w:r>
          </w:p>
        </w:tc>
        <w:tc>
          <w:tcPr>
            <w:tcW w:w="2750" w:type="dxa"/>
          </w:tcPr>
          <w:p w14:paraId="4E340446"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تتاح لي برامج تدريب وتطوير قيادي مرتبطة باحتياجات عملي ومسؤوليتي الحالية.</w:t>
            </w:r>
          </w:p>
        </w:tc>
        <w:tc>
          <w:tcPr>
            <w:tcW w:w="450" w:type="dxa"/>
          </w:tcPr>
          <w:p w14:paraId="3C94BFA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31895BC9"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7D92F9FE"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11 (2.9%)</w:t>
            </w:r>
          </w:p>
        </w:tc>
        <w:tc>
          <w:tcPr>
            <w:tcW w:w="680" w:type="dxa"/>
          </w:tcPr>
          <w:p w14:paraId="0A8D8C86"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37 (9.7%)</w:t>
            </w:r>
          </w:p>
        </w:tc>
        <w:tc>
          <w:tcPr>
            <w:tcW w:w="680" w:type="dxa"/>
          </w:tcPr>
          <w:p w14:paraId="73549EE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126 (33.2%)</w:t>
            </w:r>
          </w:p>
        </w:tc>
        <w:tc>
          <w:tcPr>
            <w:tcW w:w="680" w:type="dxa"/>
          </w:tcPr>
          <w:p w14:paraId="10612D42"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138 (36.3%)</w:t>
            </w:r>
          </w:p>
        </w:tc>
        <w:tc>
          <w:tcPr>
            <w:tcW w:w="680" w:type="dxa"/>
          </w:tcPr>
          <w:p w14:paraId="7B1203EE"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68 (17.9%)</w:t>
            </w:r>
          </w:p>
        </w:tc>
        <w:tc>
          <w:tcPr>
            <w:tcW w:w="650" w:type="dxa"/>
          </w:tcPr>
          <w:p w14:paraId="7D2DC22F"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3.566</w:t>
            </w:r>
          </w:p>
        </w:tc>
        <w:tc>
          <w:tcPr>
            <w:tcW w:w="650" w:type="dxa"/>
          </w:tcPr>
          <w:p w14:paraId="5F7F87AC"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0.987</w:t>
            </w:r>
          </w:p>
        </w:tc>
        <w:tc>
          <w:tcPr>
            <w:tcW w:w="550" w:type="dxa"/>
          </w:tcPr>
          <w:p w14:paraId="3A84C267"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8</w:t>
            </w:r>
          </w:p>
        </w:tc>
      </w:tr>
      <w:tr w:rsidR="00AD326D" w:rsidRPr="00E60CED" w14:paraId="61FF7E70"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591FBE5D"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ORG4</w:t>
            </w:r>
          </w:p>
        </w:tc>
        <w:tc>
          <w:tcPr>
            <w:tcW w:w="2750" w:type="dxa"/>
          </w:tcPr>
          <w:p w14:paraId="31D6EAAD"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توجد في جهتي آليات واضحة وموضوعية لتقييم الأداء القيادي.</w:t>
            </w:r>
          </w:p>
        </w:tc>
        <w:tc>
          <w:tcPr>
            <w:tcW w:w="450" w:type="dxa"/>
          </w:tcPr>
          <w:p w14:paraId="1CF5B01D"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18720408"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691162EC"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 (1.8%)</w:t>
            </w:r>
          </w:p>
        </w:tc>
        <w:tc>
          <w:tcPr>
            <w:tcW w:w="680" w:type="dxa"/>
          </w:tcPr>
          <w:p w14:paraId="5B0CE487"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48 (12.6%)</w:t>
            </w:r>
          </w:p>
        </w:tc>
        <w:tc>
          <w:tcPr>
            <w:tcW w:w="680" w:type="dxa"/>
          </w:tcPr>
          <w:p w14:paraId="18A8055C"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118 (31.1%)</w:t>
            </w:r>
          </w:p>
        </w:tc>
        <w:tc>
          <w:tcPr>
            <w:tcW w:w="680" w:type="dxa"/>
          </w:tcPr>
          <w:p w14:paraId="00E246A2"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131 (34.5%)</w:t>
            </w:r>
          </w:p>
        </w:tc>
        <w:tc>
          <w:tcPr>
            <w:tcW w:w="680" w:type="dxa"/>
          </w:tcPr>
          <w:p w14:paraId="03BC6EC6"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76 (20.0%)</w:t>
            </w:r>
          </w:p>
        </w:tc>
        <w:tc>
          <w:tcPr>
            <w:tcW w:w="650" w:type="dxa"/>
          </w:tcPr>
          <w:p w14:paraId="6EF26510"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3.582</w:t>
            </w:r>
          </w:p>
        </w:tc>
        <w:tc>
          <w:tcPr>
            <w:tcW w:w="650" w:type="dxa"/>
          </w:tcPr>
          <w:p w14:paraId="641C18EB"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1.005</w:t>
            </w:r>
          </w:p>
        </w:tc>
        <w:tc>
          <w:tcPr>
            <w:tcW w:w="550" w:type="dxa"/>
          </w:tcPr>
          <w:p w14:paraId="24F4E4F0"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w:t>
            </w:r>
          </w:p>
        </w:tc>
      </w:tr>
      <w:tr w:rsidR="00AD326D" w:rsidRPr="00E60CED" w14:paraId="7944892B"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21A271D2"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ORG5</w:t>
            </w:r>
          </w:p>
        </w:tc>
        <w:tc>
          <w:tcPr>
            <w:tcW w:w="2750" w:type="dxa"/>
          </w:tcPr>
          <w:p w14:paraId="6FF544AD"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أحصل على دعم الإدارة العليا لأداء مسؤولياتي القيادية واتخاذ قراراتي.</w:t>
            </w:r>
          </w:p>
        </w:tc>
        <w:tc>
          <w:tcPr>
            <w:tcW w:w="450" w:type="dxa"/>
          </w:tcPr>
          <w:p w14:paraId="2F58945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743E9774"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2045278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 (1.6%)</w:t>
            </w:r>
          </w:p>
        </w:tc>
        <w:tc>
          <w:tcPr>
            <w:tcW w:w="680" w:type="dxa"/>
          </w:tcPr>
          <w:p w14:paraId="180AB047"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38 (10.0%)</w:t>
            </w:r>
          </w:p>
        </w:tc>
        <w:tc>
          <w:tcPr>
            <w:tcW w:w="680" w:type="dxa"/>
          </w:tcPr>
          <w:p w14:paraId="6D1950C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122 (32.1%)</w:t>
            </w:r>
          </w:p>
        </w:tc>
        <w:tc>
          <w:tcPr>
            <w:tcW w:w="680" w:type="dxa"/>
          </w:tcPr>
          <w:p w14:paraId="7F3D034F"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148 (38.9%)</w:t>
            </w:r>
          </w:p>
        </w:tc>
        <w:tc>
          <w:tcPr>
            <w:tcW w:w="680" w:type="dxa"/>
          </w:tcPr>
          <w:p w14:paraId="62B4FB3D"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66 (17.4%)</w:t>
            </w:r>
          </w:p>
        </w:tc>
        <w:tc>
          <w:tcPr>
            <w:tcW w:w="650" w:type="dxa"/>
          </w:tcPr>
          <w:p w14:paraId="541731A5"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3.605</w:t>
            </w:r>
          </w:p>
        </w:tc>
        <w:tc>
          <w:tcPr>
            <w:tcW w:w="650" w:type="dxa"/>
          </w:tcPr>
          <w:p w14:paraId="18D862A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0.940</w:t>
            </w:r>
          </w:p>
        </w:tc>
        <w:tc>
          <w:tcPr>
            <w:tcW w:w="550" w:type="dxa"/>
          </w:tcPr>
          <w:p w14:paraId="404D871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r>
      <w:tr w:rsidR="00AD326D" w:rsidRPr="00E60CED" w14:paraId="0C9E4417"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554F3493"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ORG6</w:t>
            </w:r>
          </w:p>
        </w:tc>
        <w:tc>
          <w:tcPr>
            <w:tcW w:w="2750" w:type="dxa"/>
          </w:tcPr>
          <w:p w14:paraId="5AA0D247"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أشارك بصورة عادلة ومؤثرة في لجان صنع القرار والتخطيط داخل الجهة.</w:t>
            </w:r>
          </w:p>
        </w:tc>
        <w:tc>
          <w:tcPr>
            <w:tcW w:w="450" w:type="dxa"/>
          </w:tcPr>
          <w:p w14:paraId="66AFD6B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02CC2988"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6D620917"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 (1.6%)</w:t>
            </w:r>
          </w:p>
        </w:tc>
        <w:tc>
          <w:tcPr>
            <w:tcW w:w="680" w:type="dxa"/>
          </w:tcPr>
          <w:p w14:paraId="6503AA85"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40 (10.5%)</w:t>
            </w:r>
          </w:p>
        </w:tc>
        <w:tc>
          <w:tcPr>
            <w:tcW w:w="680" w:type="dxa"/>
          </w:tcPr>
          <w:p w14:paraId="58B1A820"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129 (33.9%)</w:t>
            </w:r>
          </w:p>
        </w:tc>
        <w:tc>
          <w:tcPr>
            <w:tcW w:w="680" w:type="dxa"/>
          </w:tcPr>
          <w:p w14:paraId="328BBE79"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130 (34.2%)</w:t>
            </w:r>
          </w:p>
        </w:tc>
        <w:tc>
          <w:tcPr>
            <w:tcW w:w="680" w:type="dxa"/>
          </w:tcPr>
          <w:p w14:paraId="3617028C"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75 (19.7%)</w:t>
            </w:r>
          </w:p>
        </w:tc>
        <w:tc>
          <w:tcPr>
            <w:tcW w:w="650" w:type="dxa"/>
          </w:tcPr>
          <w:p w14:paraId="2BC97F7D"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3.600</w:t>
            </w:r>
          </w:p>
        </w:tc>
        <w:tc>
          <w:tcPr>
            <w:tcW w:w="650" w:type="dxa"/>
          </w:tcPr>
          <w:p w14:paraId="6C2CB4F3"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0.971</w:t>
            </w:r>
          </w:p>
        </w:tc>
        <w:tc>
          <w:tcPr>
            <w:tcW w:w="550" w:type="dxa"/>
          </w:tcPr>
          <w:p w14:paraId="0A26C69E"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w:t>
            </w:r>
          </w:p>
        </w:tc>
      </w:tr>
      <w:tr w:rsidR="00AD326D" w:rsidRPr="00E60CED" w14:paraId="2D20C526"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2EA6CBAC"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ORG7</w:t>
            </w:r>
          </w:p>
        </w:tc>
        <w:tc>
          <w:tcPr>
            <w:tcW w:w="2750" w:type="dxa"/>
          </w:tcPr>
          <w:p w14:paraId="4FE04A7E"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 xml:space="preserve">تتوافر الموارد البشرية والمالية والمعلومات اللازمة لإنجاز مهامي </w:t>
            </w:r>
            <w:r w:rsidRPr="00E60CED">
              <w:rPr>
                <w:rFonts w:ascii="Arabic Typesetting" w:hAnsi="Arabic Typesetting" w:cs="Arabic Typesetting"/>
                <w:color w:val="auto"/>
                <w:sz w:val="20"/>
                <w:szCs w:val="20"/>
                <w:rtl/>
              </w:rPr>
              <w:lastRenderedPageBreak/>
              <w:t>القيادية.</w:t>
            </w:r>
          </w:p>
        </w:tc>
        <w:tc>
          <w:tcPr>
            <w:tcW w:w="450" w:type="dxa"/>
          </w:tcPr>
          <w:p w14:paraId="6A96A8C6"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1</w:t>
            </w:r>
          </w:p>
        </w:tc>
        <w:tc>
          <w:tcPr>
            <w:tcW w:w="450" w:type="dxa"/>
          </w:tcPr>
          <w:p w14:paraId="30D5AE7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1091D7D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 xml:space="preserve">5 </w:t>
            </w:r>
            <w:r w:rsidRPr="00E60CED">
              <w:rPr>
                <w:rFonts w:ascii="Arabic Typesetting" w:hAnsi="Arabic Typesetting" w:cs="Arabic Typesetting"/>
                <w:color w:val="auto"/>
                <w:sz w:val="20"/>
                <w:szCs w:val="20"/>
                <w:rtl/>
              </w:rPr>
              <w:lastRenderedPageBreak/>
              <w:t>(1.3%)</w:t>
            </w:r>
          </w:p>
        </w:tc>
        <w:tc>
          <w:tcPr>
            <w:tcW w:w="680" w:type="dxa"/>
          </w:tcPr>
          <w:p w14:paraId="4612A5E1"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 xml:space="preserve">42 </w:t>
            </w:r>
            <w:r w:rsidRPr="00E60CED">
              <w:rPr>
                <w:rFonts w:ascii="Arabic Typesetting" w:hAnsi="Arabic Typesetting" w:cs="Arabic Typesetting"/>
                <w:color w:val="auto"/>
                <w:sz w:val="20"/>
                <w:szCs w:val="20"/>
                <w:rtl/>
              </w:rPr>
              <w:lastRenderedPageBreak/>
              <w:t>(11.1%)</w:t>
            </w:r>
          </w:p>
        </w:tc>
        <w:tc>
          <w:tcPr>
            <w:tcW w:w="680" w:type="dxa"/>
          </w:tcPr>
          <w:p w14:paraId="547280DA"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 xml:space="preserve">122 </w:t>
            </w:r>
            <w:r w:rsidRPr="00E60CED">
              <w:rPr>
                <w:rFonts w:ascii="Arabic Typesetting" w:hAnsi="Arabic Typesetting" w:cs="Arabic Typesetting"/>
                <w:color w:val="auto"/>
                <w:sz w:val="20"/>
                <w:szCs w:val="20"/>
                <w:rtl/>
              </w:rPr>
              <w:lastRenderedPageBreak/>
              <w:t>(32.1%)</w:t>
            </w:r>
          </w:p>
        </w:tc>
        <w:tc>
          <w:tcPr>
            <w:tcW w:w="680" w:type="dxa"/>
          </w:tcPr>
          <w:p w14:paraId="47C61C69"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 xml:space="preserve">143 </w:t>
            </w:r>
            <w:r w:rsidRPr="00E60CED">
              <w:rPr>
                <w:rFonts w:ascii="Arabic Typesetting" w:hAnsi="Arabic Typesetting" w:cs="Arabic Typesetting"/>
                <w:color w:val="auto"/>
                <w:sz w:val="20"/>
                <w:szCs w:val="20"/>
                <w:rtl/>
              </w:rPr>
              <w:lastRenderedPageBreak/>
              <w:t>(37.6%)</w:t>
            </w:r>
          </w:p>
        </w:tc>
        <w:tc>
          <w:tcPr>
            <w:tcW w:w="680" w:type="dxa"/>
          </w:tcPr>
          <w:p w14:paraId="163CD39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 xml:space="preserve">68 </w:t>
            </w:r>
            <w:r w:rsidRPr="00E60CED">
              <w:rPr>
                <w:rFonts w:ascii="Arabic Typesetting" w:hAnsi="Arabic Typesetting" w:cs="Arabic Typesetting"/>
                <w:color w:val="auto"/>
                <w:sz w:val="20"/>
                <w:szCs w:val="20"/>
                <w:rtl/>
              </w:rPr>
              <w:lastRenderedPageBreak/>
              <w:t>(17.9%)</w:t>
            </w:r>
          </w:p>
        </w:tc>
        <w:tc>
          <w:tcPr>
            <w:tcW w:w="650" w:type="dxa"/>
          </w:tcPr>
          <w:p w14:paraId="368E33D4"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3.597</w:t>
            </w:r>
          </w:p>
        </w:tc>
        <w:tc>
          <w:tcPr>
            <w:tcW w:w="650" w:type="dxa"/>
          </w:tcPr>
          <w:p w14:paraId="08671C0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0.949</w:t>
            </w:r>
          </w:p>
        </w:tc>
        <w:tc>
          <w:tcPr>
            <w:tcW w:w="550" w:type="dxa"/>
          </w:tcPr>
          <w:p w14:paraId="76AB852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w:t>
            </w:r>
          </w:p>
        </w:tc>
      </w:tr>
      <w:tr w:rsidR="00AD326D" w:rsidRPr="00E60CED" w14:paraId="108746FC"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5D380677"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ORG8</w:t>
            </w:r>
          </w:p>
        </w:tc>
        <w:tc>
          <w:tcPr>
            <w:tcW w:w="2750" w:type="dxa"/>
          </w:tcPr>
          <w:p w14:paraId="495CDDE5"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توفر بيئة العمل حماية فعلية من التمييز والتحيز القائم على النوع الاجتماعي.</w:t>
            </w:r>
          </w:p>
        </w:tc>
        <w:tc>
          <w:tcPr>
            <w:tcW w:w="450" w:type="dxa"/>
          </w:tcPr>
          <w:p w14:paraId="0AB96BCB"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0668F6C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03D10F30"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 (1.6%)</w:t>
            </w:r>
          </w:p>
        </w:tc>
        <w:tc>
          <w:tcPr>
            <w:tcW w:w="680" w:type="dxa"/>
          </w:tcPr>
          <w:p w14:paraId="06404975"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50 (13.2%)</w:t>
            </w:r>
          </w:p>
        </w:tc>
        <w:tc>
          <w:tcPr>
            <w:tcW w:w="680" w:type="dxa"/>
          </w:tcPr>
          <w:p w14:paraId="6B4EB6A3"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114 (30.0%)</w:t>
            </w:r>
          </w:p>
        </w:tc>
        <w:tc>
          <w:tcPr>
            <w:tcW w:w="680" w:type="dxa"/>
          </w:tcPr>
          <w:p w14:paraId="45C180B4"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134 (35.3%)</w:t>
            </w:r>
          </w:p>
        </w:tc>
        <w:tc>
          <w:tcPr>
            <w:tcW w:w="680" w:type="dxa"/>
          </w:tcPr>
          <w:p w14:paraId="2B734C0A"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76 (20.0%)</w:t>
            </w:r>
          </w:p>
        </w:tc>
        <w:tc>
          <w:tcPr>
            <w:tcW w:w="650" w:type="dxa"/>
          </w:tcPr>
          <w:p w14:paraId="0138DC86"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3.589</w:t>
            </w:r>
          </w:p>
        </w:tc>
        <w:tc>
          <w:tcPr>
            <w:tcW w:w="650" w:type="dxa"/>
          </w:tcPr>
          <w:p w14:paraId="7D70BFB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1.001</w:t>
            </w:r>
          </w:p>
        </w:tc>
        <w:tc>
          <w:tcPr>
            <w:tcW w:w="550" w:type="dxa"/>
          </w:tcPr>
          <w:p w14:paraId="6976E049"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r>
      <w:tr w:rsidR="00AD326D" w:rsidRPr="00E60CED" w14:paraId="5FC63FF0"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30BAEBB1"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ORG9</w:t>
            </w:r>
          </w:p>
        </w:tc>
        <w:tc>
          <w:tcPr>
            <w:tcW w:w="2750" w:type="dxa"/>
          </w:tcPr>
          <w:p w14:paraId="0DF0BD5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تتسم برامج التمكين القيادي في جهتي الحكومية بالفعالية في تطوير أدائي ومساري.</w:t>
            </w:r>
          </w:p>
        </w:tc>
        <w:tc>
          <w:tcPr>
            <w:tcW w:w="450" w:type="dxa"/>
          </w:tcPr>
          <w:p w14:paraId="679C9CDA"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7E3A46C3"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1CB9927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8 (2.1%)</w:t>
            </w:r>
          </w:p>
        </w:tc>
        <w:tc>
          <w:tcPr>
            <w:tcW w:w="680" w:type="dxa"/>
          </w:tcPr>
          <w:p w14:paraId="1633A63C"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49 (12.9%)</w:t>
            </w:r>
          </w:p>
        </w:tc>
        <w:tc>
          <w:tcPr>
            <w:tcW w:w="680" w:type="dxa"/>
          </w:tcPr>
          <w:p w14:paraId="567D1394"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120 (31.6%)</w:t>
            </w:r>
          </w:p>
        </w:tc>
        <w:tc>
          <w:tcPr>
            <w:tcW w:w="680" w:type="dxa"/>
          </w:tcPr>
          <w:p w14:paraId="1764EF0F"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128 (33.7%)</w:t>
            </w:r>
          </w:p>
        </w:tc>
        <w:tc>
          <w:tcPr>
            <w:tcW w:w="680" w:type="dxa"/>
          </w:tcPr>
          <w:p w14:paraId="1633C135"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75 (19.7%)</w:t>
            </w:r>
          </w:p>
        </w:tc>
        <w:tc>
          <w:tcPr>
            <w:tcW w:w="650" w:type="dxa"/>
          </w:tcPr>
          <w:p w14:paraId="5A87CEEA"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3.561</w:t>
            </w:r>
          </w:p>
        </w:tc>
        <w:tc>
          <w:tcPr>
            <w:tcW w:w="650" w:type="dxa"/>
          </w:tcPr>
          <w:p w14:paraId="2719DDD9"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1.014</w:t>
            </w:r>
          </w:p>
        </w:tc>
        <w:tc>
          <w:tcPr>
            <w:tcW w:w="550" w:type="dxa"/>
          </w:tcPr>
          <w:p w14:paraId="26608475"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9</w:t>
            </w:r>
          </w:p>
        </w:tc>
      </w:tr>
      <w:tr w:rsidR="00AD326D" w:rsidRPr="00E60CED" w14:paraId="01F2C200"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538FC64F"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ORG10</w:t>
            </w:r>
          </w:p>
        </w:tc>
        <w:tc>
          <w:tcPr>
            <w:tcW w:w="2750" w:type="dxa"/>
          </w:tcPr>
          <w:p w14:paraId="4DB7A2A9"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توجد آلية معلنة للمتابعة والتطوير والترقيات الخاصة بالمسار القيادي.</w:t>
            </w:r>
          </w:p>
        </w:tc>
        <w:tc>
          <w:tcPr>
            <w:tcW w:w="450" w:type="dxa"/>
          </w:tcPr>
          <w:p w14:paraId="18E7FEB2"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1722A937"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27C25F73"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10 (2.6%)</w:t>
            </w:r>
          </w:p>
        </w:tc>
        <w:tc>
          <w:tcPr>
            <w:tcW w:w="680" w:type="dxa"/>
          </w:tcPr>
          <w:p w14:paraId="66D488A8"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42 (11.1%)</w:t>
            </w:r>
          </w:p>
        </w:tc>
        <w:tc>
          <w:tcPr>
            <w:tcW w:w="680" w:type="dxa"/>
          </w:tcPr>
          <w:p w14:paraId="028B729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120 (31.6%)</w:t>
            </w:r>
          </w:p>
        </w:tc>
        <w:tc>
          <w:tcPr>
            <w:tcW w:w="680" w:type="dxa"/>
          </w:tcPr>
          <w:p w14:paraId="3AB8EC38"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138 (36.3%)</w:t>
            </w:r>
          </w:p>
        </w:tc>
        <w:tc>
          <w:tcPr>
            <w:tcW w:w="680" w:type="dxa"/>
          </w:tcPr>
          <w:p w14:paraId="634AEB7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70 (18.4%)</w:t>
            </w:r>
          </w:p>
        </w:tc>
        <w:tc>
          <w:tcPr>
            <w:tcW w:w="650" w:type="dxa"/>
          </w:tcPr>
          <w:p w14:paraId="4C395F19"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3.568</w:t>
            </w:r>
          </w:p>
        </w:tc>
        <w:tc>
          <w:tcPr>
            <w:tcW w:w="650" w:type="dxa"/>
          </w:tcPr>
          <w:p w14:paraId="5002148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0.998</w:t>
            </w:r>
          </w:p>
        </w:tc>
        <w:tc>
          <w:tcPr>
            <w:tcW w:w="550" w:type="dxa"/>
          </w:tcPr>
          <w:p w14:paraId="7AD96B35"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w:t>
            </w:r>
          </w:p>
        </w:tc>
      </w:tr>
    </w:tbl>
    <w:p w14:paraId="59092349" w14:textId="74D56AA0"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color w:val="auto"/>
          <w:sz w:val="32"/>
          <w:szCs w:val="32"/>
        </w:rPr>
        <w:t>توضح</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بيانات</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العوامل</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التنظيمية</w:t>
      </w:r>
      <w:proofErr w:type="spellEnd"/>
      <w:r w:rsidRPr="00AD326D">
        <w:rPr>
          <w:rFonts w:ascii="Arabic Typesetting" w:hAnsi="Arabic Typesetting" w:cs="Arabic Typesetting"/>
          <w:color w:val="auto"/>
          <w:sz w:val="32"/>
          <w:szCs w:val="32"/>
        </w:rPr>
        <w:t xml:space="preserve"> أن المتوسط العام للبنود بلغ 3.5811 بانحراف معياري 0.6735، وهو مستوى مرتفع. جاء البند ORG5 في المرتبة الأولى بمتوسط 3.605، بينما جاء البند ORG2 في المرتبة الأخيرة بمتوسط 3.539. وتشير نسبة الاستجابات الإيجابية (أوافق/أوافق بشدة) البالغة نحو 54.5% إلى اتجاه عام داعم لهذا البعد، مع بقاء تباين محدود بين البنود.</w:t>
      </w:r>
    </w:p>
    <w:p w14:paraId="4E9B8495" w14:textId="77777777" w:rsidR="002F2EAD" w:rsidRPr="00E60CED" w:rsidRDefault="00437DE2" w:rsidP="00442B69">
      <w:pPr>
        <w:pStyle w:val="ThesisH2"/>
        <w:spacing w:line="360" w:lineRule="auto"/>
        <w:jc w:val="both"/>
        <w:rPr>
          <w:rFonts w:ascii="Arabic Typesetting" w:hAnsi="Arabic Typesetting" w:cs="Arabic Typesetting"/>
          <w:b w:val="0"/>
          <w:bCs/>
          <w:color w:val="auto"/>
          <w:sz w:val="32"/>
          <w:szCs w:val="32"/>
        </w:rPr>
      </w:pPr>
      <w:r w:rsidRPr="00E60CED">
        <w:rPr>
          <w:rFonts w:ascii="Arabic Typesetting" w:hAnsi="Arabic Typesetting" w:cs="Arabic Typesetting"/>
          <w:b w:val="0"/>
          <w:bCs/>
          <w:color w:val="auto"/>
          <w:sz w:val="32"/>
          <w:szCs w:val="32"/>
          <w:rtl/>
        </w:rPr>
        <w:t>4.6 تحليل بُعد التمكين القيادي</w:t>
      </w:r>
    </w:p>
    <w:p w14:paraId="3F3A2989"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بلغ المتوسط الكلي لبُعد التمكين القيادي 3.5311 بانحراف معياري 0.6290، وهو يقع ضمن مستوى مرتفع وفق حدود التفسير المعتمدة. ويعرض الجدول جميع البنود العشرة، مع التوزيع الكامل لفئات الاستجابة الخمس، والمتوسط والانحراف المعياري والرتبة داخل البعد. سجل أعلى متوسط البند: «أتمتع بالاستقلالية اللازمة لممارسة مهامي القيادية بفاعلية.» بقيمة 3.582، بينما سجل أدنى متوسط البند: «يتم الاعتراف بإسهاماتي وإنجازاتي القيادية داخل الجهة الحكومية.» بقيمة 3.479.</w:t>
      </w:r>
    </w:p>
    <w:p w14:paraId="35584BB4" w14:textId="77777777" w:rsidR="002F2EAD" w:rsidRPr="00E60CED"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E60CED">
        <w:rPr>
          <w:rFonts w:ascii="Arabic Typesetting" w:hAnsi="Arabic Typesetting" w:cs="Arabic Typesetting"/>
          <w:b w:val="0"/>
          <w:bCs/>
          <w:color w:val="auto"/>
          <w:sz w:val="32"/>
          <w:szCs w:val="32"/>
          <w:rtl/>
        </w:rPr>
        <w:t>جدول 4-6: التوزيع الكامل لاستجابات بنود التمكين القيادي (N=380)</w:t>
      </w:r>
    </w:p>
    <w:tbl>
      <w:tblPr>
        <w:tblStyle w:val="PlainTable2"/>
        <w:bidiVisual/>
        <w:tblW w:w="9500" w:type="dxa"/>
        <w:tblLayout w:type="fixed"/>
        <w:tblLook w:val="04A0" w:firstRow="1" w:lastRow="0" w:firstColumn="1" w:lastColumn="0" w:noHBand="0" w:noVBand="1"/>
      </w:tblPr>
      <w:tblGrid>
        <w:gridCol w:w="600"/>
        <w:gridCol w:w="2750"/>
        <w:gridCol w:w="450"/>
        <w:gridCol w:w="450"/>
        <w:gridCol w:w="680"/>
        <w:gridCol w:w="680"/>
        <w:gridCol w:w="680"/>
        <w:gridCol w:w="680"/>
        <w:gridCol w:w="680"/>
        <w:gridCol w:w="650"/>
        <w:gridCol w:w="650"/>
        <w:gridCol w:w="550"/>
      </w:tblGrid>
      <w:tr w:rsidR="00AD326D" w:rsidRPr="00E60CED" w14:paraId="44E47E44" w14:textId="77777777" w:rsidTr="00E60C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175D178D"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الكود</w:t>
            </w:r>
          </w:p>
        </w:tc>
        <w:tc>
          <w:tcPr>
            <w:tcW w:w="2750" w:type="dxa"/>
          </w:tcPr>
          <w:p w14:paraId="695D49EC"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العبارة</w:t>
            </w:r>
          </w:p>
        </w:tc>
        <w:tc>
          <w:tcPr>
            <w:tcW w:w="450" w:type="dxa"/>
          </w:tcPr>
          <w:p w14:paraId="3AE9CA70"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أدنى</w:t>
            </w:r>
          </w:p>
        </w:tc>
        <w:tc>
          <w:tcPr>
            <w:tcW w:w="450" w:type="dxa"/>
          </w:tcPr>
          <w:p w14:paraId="3607ED26"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أقصى</w:t>
            </w:r>
          </w:p>
        </w:tc>
        <w:tc>
          <w:tcPr>
            <w:tcW w:w="680" w:type="dxa"/>
          </w:tcPr>
          <w:p w14:paraId="6921A910"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 لا أوافق بشدة</w:t>
            </w:r>
          </w:p>
        </w:tc>
        <w:tc>
          <w:tcPr>
            <w:tcW w:w="680" w:type="dxa"/>
          </w:tcPr>
          <w:p w14:paraId="4B5FB7FC"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2: لا أوافق</w:t>
            </w:r>
          </w:p>
        </w:tc>
        <w:tc>
          <w:tcPr>
            <w:tcW w:w="680" w:type="dxa"/>
          </w:tcPr>
          <w:p w14:paraId="32220AFA"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 محايد/ة</w:t>
            </w:r>
          </w:p>
        </w:tc>
        <w:tc>
          <w:tcPr>
            <w:tcW w:w="680" w:type="dxa"/>
          </w:tcPr>
          <w:p w14:paraId="5F0BD6C9"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 أوافق</w:t>
            </w:r>
          </w:p>
        </w:tc>
        <w:tc>
          <w:tcPr>
            <w:tcW w:w="680" w:type="dxa"/>
          </w:tcPr>
          <w:p w14:paraId="643BBF2C"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 أوافق بشدة</w:t>
            </w:r>
          </w:p>
        </w:tc>
        <w:tc>
          <w:tcPr>
            <w:tcW w:w="650" w:type="dxa"/>
          </w:tcPr>
          <w:p w14:paraId="6321F93D"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المتوسط</w:t>
            </w:r>
          </w:p>
        </w:tc>
        <w:tc>
          <w:tcPr>
            <w:tcW w:w="650" w:type="dxa"/>
          </w:tcPr>
          <w:p w14:paraId="29637579"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الانحراف</w:t>
            </w:r>
          </w:p>
        </w:tc>
        <w:tc>
          <w:tcPr>
            <w:tcW w:w="550" w:type="dxa"/>
          </w:tcPr>
          <w:p w14:paraId="679E7467" w14:textId="77777777" w:rsidR="002F2EAD" w:rsidRPr="00E60CE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الرتبة</w:t>
            </w:r>
          </w:p>
        </w:tc>
      </w:tr>
      <w:tr w:rsidR="00AD326D" w:rsidRPr="00E60CED" w14:paraId="2CE5B408"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0CCCD14B"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EMP1</w:t>
            </w:r>
          </w:p>
        </w:tc>
        <w:tc>
          <w:tcPr>
            <w:tcW w:w="2750" w:type="dxa"/>
          </w:tcPr>
          <w:p w14:paraId="2885F4E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أمتلك الصلاحية اللازمة لاتخاذ القرارات المهمة المرتبطة باختصاصي.</w:t>
            </w:r>
          </w:p>
        </w:tc>
        <w:tc>
          <w:tcPr>
            <w:tcW w:w="450" w:type="dxa"/>
          </w:tcPr>
          <w:p w14:paraId="36100BE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20A6085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1C9AE6DF"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11 (2.9%)</w:t>
            </w:r>
          </w:p>
        </w:tc>
        <w:tc>
          <w:tcPr>
            <w:tcW w:w="680" w:type="dxa"/>
          </w:tcPr>
          <w:p w14:paraId="7D97B6C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48 (12.6%)</w:t>
            </w:r>
          </w:p>
        </w:tc>
        <w:tc>
          <w:tcPr>
            <w:tcW w:w="680" w:type="dxa"/>
          </w:tcPr>
          <w:p w14:paraId="404AD75D"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117 (30.8%)</w:t>
            </w:r>
          </w:p>
        </w:tc>
        <w:tc>
          <w:tcPr>
            <w:tcW w:w="680" w:type="dxa"/>
          </w:tcPr>
          <w:p w14:paraId="1234EF1E"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140 (36.8%)</w:t>
            </w:r>
          </w:p>
        </w:tc>
        <w:tc>
          <w:tcPr>
            <w:tcW w:w="680" w:type="dxa"/>
          </w:tcPr>
          <w:p w14:paraId="13C60DB2"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64 (16.8%)</w:t>
            </w:r>
          </w:p>
        </w:tc>
        <w:tc>
          <w:tcPr>
            <w:tcW w:w="650" w:type="dxa"/>
          </w:tcPr>
          <w:p w14:paraId="30081731"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3.521</w:t>
            </w:r>
          </w:p>
        </w:tc>
        <w:tc>
          <w:tcPr>
            <w:tcW w:w="650" w:type="dxa"/>
          </w:tcPr>
          <w:p w14:paraId="416E8F1D"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1.008</w:t>
            </w:r>
          </w:p>
        </w:tc>
        <w:tc>
          <w:tcPr>
            <w:tcW w:w="550" w:type="dxa"/>
          </w:tcPr>
          <w:p w14:paraId="49751CF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w:t>
            </w:r>
          </w:p>
        </w:tc>
      </w:tr>
      <w:tr w:rsidR="00AD326D" w:rsidRPr="00E60CED" w14:paraId="7A049F31"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03387180"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EMP2</w:t>
            </w:r>
          </w:p>
        </w:tc>
        <w:tc>
          <w:tcPr>
            <w:tcW w:w="2750" w:type="dxa"/>
          </w:tcPr>
          <w:p w14:paraId="2766DFC4"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أتمتع بالاستقلالية اللازمة لممارسة مهامي القيادية بفاعلية.</w:t>
            </w:r>
          </w:p>
        </w:tc>
        <w:tc>
          <w:tcPr>
            <w:tcW w:w="450" w:type="dxa"/>
          </w:tcPr>
          <w:p w14:paraId="30A338C0"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00C4E05E"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1BE0159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 (0.8%)</w:t>
            </w:r>
          </w:p>
        </w:tc>
        <w:tc>
          <w:tcPr>
            <w:tcW w:w="680" w:type="dxa"/>
          </w:tcPr>
          <w:p w14:paraId="7EAA3353"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39 (10.3%)</w:t>
            </w:r>
          </w:p>
        </w:tc>
        <w:tc>
          <w:tcPr>
            <w:tcW w:w="680" w:type="dxa"/>
          </w:tcPr>
          <w:p w14:paraId="627FF63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145 (38.2%)</w:t>
            </w:r>
          </w:p>
        </w:tc>
        <w:tc>
          <w:tcPr>
            <w:tcW w:w="680" w:type="dxa"/>
          </w:tcPr>
          <w:p w14:paraId="6214A1C5"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120 (31.6%)</w:t>
            </w:r>
          </w:p>
        </w:tc>
        <w:tc>
          <w:tcPr>
            <w:tcW w:w="680" w:type="dxa"/>
          </w:tcPr>
          <w:p w14:paraId="4C8EF8F4"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73 (19.2%)</w:t>
            </w:r>
          </w:p>
        </w:tc>
        <w:tc>
          <w:tcPr>
            <w:tcW w:w="650" w:type="dxa"/>
          </w:tcPr>
          <w:p w14:paraId="23F1822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3.582</w:t>
            </w:r>
          </w:p>
        </w:tc>
        <w:tc>
          <w:tcPr>
            <w:tcW w:w="650" w:type="dxa"/>
          </w:tcPr>
          <w:p w14:paraId="031BFAE0"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0.939</w:t>
            </w:r>
          </w:p>
        </w:tc>
        <w:tc>
          <w:tcPr>
            <w:tcW w:w="550" w:type="dxa"/>
          </w:tcPr>
          <w:p w14:paraId="637426E2"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r>
      <w:tr w:rsidR="00AD326D" w:rsidRPr="00E60CED" w14:paraId="33F5F5EC"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1E5C0BA5"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EMP3</w:t>
            </w:r>
          </w:p>
        </w:tc>
        <w:tc>
          <w:tcPr>
            <w:tcW w:w="2750" w:type="dxa"/>
          </w:tcPr>
          <w:p w14:paraId="4C3781B2"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أشارك بصورة مؤثرة في وضع استراتيجيات الجهة واتخاذ قراراتها التنظيمية.</w:t>
            </w:r>
          </w:p>
        </w:tc>
        <w:tc>
          <w:tcPr>
            <w:tcW w:w="450" w:type="dxa"/>
          </w:tcPr>
          <w:p w14:paraId="087771D1"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695624D5"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28CFEB47"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 (1.6%)</w:t>
            </w:r>
          </w:p>
        </w:tc>
        <w:tc>
          <w:tcPr>
            <w:tcW w:w="680" w:type="dxa"/>
          </w:tcPr>
          <w:p w14:paraId="4B81CBD9"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40 (10.5%)</w:t>
            </w:r>
          </w:p>
        </w:tc>
        <w:tc>
          <w:tcPr>
            <w:tcW w:w="680" w:type="dxa"/>
          </w:tcPr>
          <w:p w14:paraId="4D76217E"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143 (37.6%)</w:t>
            </w:r>
          </w:p>
        </w:tc>
        <w:tc>
          <w:tcPr>
            <w:tcW w:w="680" w:type="dxa"/>
          </w:tcPr>
          <w:p w14:paraId="47EFBA8F"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128 (33.7%)</w:t>
            </w:r>
          </w:p>
        </w:tc>
        <w:tc>
          <w:tcPr>
            <w:tcW w:w="680" w:type="dxa"/>
          </w:tcPr>
          <w:p w14:paraId="52D4ED5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63 (16.6%)</w:t>
            </w:r>
          </w:p>
        </w:tc>
        <w:tc>
          <w:tcPr>
            <w:tcW w:w="650" w:type="dxa"/>
          </w:tcPr>
          <w:p w14:paraId="4DA22A4D"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3.532</w:t>
            </w:r>
          </w:p>
        </w:tc>
        <w:tc>
          <w:tcPr>
            <w:tcW w:w="650" w:type="dxa"/>
          </w:tcPr>
          <w:p w14:paraId="613DA3F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0.942</w:t>
            </w:r>
          </w:p>
        </w:tc>
        <w:tc>
          <w:tcPr>
            <w:tcW w:w="550" w:type="dxa"/>
          </w:tcPr>
          <w:p w14:paraId="14C7117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r>
      <w:tr w:rsidR="00AD326D" w:rsidRPr="00E60CED" w14:paraId="4EF34BBD"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7DE82397"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EMP4</w:t>
            </w:r>
          </w:p>
        </w:tc>
        <w:tc>
          <w:tcPr>
            <w:tcW w:w="2750" w:type="dxa"/>
          </w:tcPr>
          <w:p w14:paraId="4DAA5549"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أشعر بأن الإدارة العليا تثق بقدراتي القيادية وتدعمني في عملي.</w:t>
            </w:r>
          </w:p>
        </w:tc>
        <w:tc>
          <w:tcPr>
            <w:tcW w:w="450" w:type="dxa"/>
          </w:tcPr>
          <w:p w14:paraId="1A96AE0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21A0357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1A2EE82D"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 (1.8%)</w:t>
            </w:r>
          </w:p>
        </w:tc>
        <w:tc>
          <w:tcPr>
            <w:tcW w:w="680" w:type="dxa"/>
          </w:tcPr>
          <w:p w14:paraId="148DBBB3"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47 (12.4%)</w:t>
            </w:r>
          </w:p>
        </w:tc>
        <w:tc>
          <w:tcPr>
            <w:tcW w:w="680" w:type="dxa"/>
          </w:tcPr>
          <w:p w14:paraId="1C668218"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124 (32.6%)</w:t>
            </w:r>
          </w:p>
        </w:tc>
        <w:tc>
          <w:tcPr>
            <w:tcW w:w="680" w:type="dxa"/>
          </w:tcPr>
          <w:p w14:paraId="239991C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139 (36.6%)</w:t>
            </w:r>
          </w:p>
        </w:tc>
        <w:tc>
          <w:tcPr>
            <w:tcW w:w="680" w:type="dxa"/>
          </w:tcPr>
          <w:p w14:paraId="557B89CA"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63 (16.6%)</w:t>
            </w:r>
          </w:p>
        </w:tc>
        <w:tc>
          <w:tcPr>
            <w:tcW w:w="650" w:type="dxa"/>
          </w:tcPr>
          <w:p w14:paraId="7F61F12E"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3.537</w:t>
            </w:r>
          </w:p>
        </w:tc>
        <w:tc>
          <w:tcPr>
            <w:tcW w:w="650" w:type="dxa"/>
          </w:tcPr>
          <w:p w14:paraId="6B6E7A0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0.970</w:t>
            </w:r>
          </w:p>
        </w:tc>
        <w:tc>
          <w:tcPr>
            <w:tcW w:w="550" w:type="dxa"/>
          </w:tcPr>
          <w:p w14:paraId="084B61CB"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w:t>
            </w:r>
          </w:p>
        </w:tc>
      </w:tr>
      <w:tr w:rsidR="00AD326D" w:rsidRPr="00E60CED" w14:paraId="5EB4A14C"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66AD64D4"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EMP5</w:t>
            </w:r>
          </w:p>
        </w:tc>
        <w:tc>
          <w:tcPr>
            <w:tcW w:w="2750" w:type="dxa"/>
          </w:tcPr>
          <w:p w14:paraId="25020AAF"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أثق بقدرتي على إدارة الفرق وتحفيز الموظفين لتحقيق أهداف الجهة.</w:t>
            </w:r>
          </w:p>
        </w:tc>
        <w:tc>
          <w:tcPr>
            <w:tcW w:w="450" w:type="dxa"/>
          </w:tcPr>
          <w:p w14:paraId="5A60A41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4884730E"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1C3EB25C"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 (1.8%)</w:t>
            </w:r>
          </w:p>
        </w:tc>
        <w:tc>
          <w:tcPr>
            <w:tcW w:w="680" w:type="dxa"/>
          </w:tcPr>
          <w:p w14:paraId="2C4D37D5"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45 (11.8%)</w:t>
            </w:r>
          </w:p>
        </w:tc>
        <w:tc>
          <w:tcPr>
            <w:tcW w:w="680" w:type="dxa"/>
          </w:tcPr>
          <w:p w14:paraId="2963BA0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132 (34.7%)</w:t>
            </w:r>
          </w:p>
        </w:tc>
        <w:tc>
          <w:tcPr>
            <w:tcW w:w="680" w:type="dxa"/>
          </w:tcPr>
          <w:p w14:paraId="71E360BF"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145 (38.2%)</w:t>
            </w:r>
          </w:p>
        </w:tc>
        <w:tc>
          <w:tcPr>
            <w:tcW w:w="680" w:type="dxa"/>
          </w:tcPr>
          <w:p w14:paraId="3B037BE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51 (13.4%)</w:t>
            </w:r>
          </w:p>
        </w:tc>
        <w:tc>
          <w:tcPr>
            <w:tcW w:w="650" w:type="dxa"/>
          </w:tcPr>
          <w:p w14:paraId="0FB5BC04"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3.495</w:t>
            </w:r>
          </w:p>
        </w:tc>
        <w:tc>
          <w:tcPr>
            <w:tcW w:w="650" w:type="dxa"/>
          </w:tcPr>
          <w:p w14:paraId="49FAB08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0.932</w:t>
            </w:r>
          </w:p>
        </w:tc>
        <w:tc>
          <w:tcPr>
            <w:tcW w:w="550" w:type="dxa"/>
          </w:tcPr>
          <w:p w14:paraId="31532B65"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9</w:t>
            </w:r>
          </w:p>
        </w:tc>
      </w:tr>
      <w:tr w:rsidR="00AD326D" w:rsidRPr="00E60CED" w14:paraId="280268FA"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529CD81F"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EMP6</w:t>
            </w:r>
          </w:p>
        </w:tc>
        <w:tc>
          <w:tcPr>
            <w:tcW w:w="2750" w:type="dxa"/>
          </w:tcPr>
          <w:p w14:paraId="661BEC3C"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أستخدم مهاراتي القيادية في حل المشكلات والأزمات المعقدة.</w:t>
            </w:r>
          </w:p>
        </w:tc>
        <w:tc>
          <w:tcPr>
            <w:tcW w:w="450" w:type="dxa"/>
          </w:tcPr>
          <w:p w14:paraId="5842A4DE"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0FBBC825"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31F9F1B5"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 (1.8%)</w:t>
            </w:r>
          </w:p>
        </w:tc>
        <w:tc>
          <w:tcPr>
            <w:tcW w:w="680" w:type="dxa"/>
          </w:tcPr>
          <w:p w14:paraId="5CBA846B"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36 (9.5%)</w:t>
            </w:r>
          </w:p>
        </w:tc>
        <w:tc>
          <w:tcPr>
            <w:tcW w:w="680" w:type="dxa"/>
          </w:tcPr>
          <w:p w14:paraId="7A76EAA3"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147 (38.7%)</w:t>
            </w:r>
          </w:p>
        </w:tc>
        <w:tc>
          <w:tcPr>
            <w:tcW w:w="680" w:type="dxa"/>
          </w:tcPr>
          <w:p w14:paraId="3F147364"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133 (35.0%)</w:t>
            </w:r>
          </w:p>
        </w:tc>
        <w:tc>
          <w:tcPr>
            <w:tcW w:w="680" w:type="dxa"/>
          </w:tcPr>
          <w:p w14:paraId="0E9B86B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57 (15.0%)</w:t>
            </w:r>
          </w:p>
        </w:tc>
        <w:tc>
          <w:tcPr>
            <w:tcW w:w="650" w:type="dxa"/>
          </w:tcPr>
          <w:p w14:paraId="7F8AF316"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3.518</w:t>
            </w:r>
          </w:p>
        </w:tc>
        <w:tc>
          <w:tcPr>
            <w:tcW w:w="650" w:type="dxa"/>
          </w:tcPr>
          <w:p w14:paraId="109C9B7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0.923</w:t>
            </w:r>
          </w:p>
        </w:tc>
        <w:tc>
          <w:tcPr>
            <w:tcW w:w="550" w:type="dxa"/>
          </w:tcPr>
          <w:p w14:paraId="6303E8A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w:t>
            </w:r>
          </w:p>
        </w:tc>
      </w:tr>
      <w:tr w:rsidR="00AD326D" w:rsidRPr="00E60CED" w14:paraId="456CBA14"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7F820BC5"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EMP7</w:t>
            </w:r>
          </w:p>
        </w:tc>
        <w:tc>
          <w:tcPr>
            <w:tcW w:w="2750" w:type="dxa"/>
          </w:tcPr>
          <w:p w14:paraId="3B0A735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 xml:space="preserve">أمتلك القدرة على تمثيل جهتي الحكومية في الفعاليات واللجان </w:t>
            </w:r>
            <w:r w:rsidRPr="00E60CED">
              <w:rPr>
                <w:rFonts w:ascii="Arabic Typesetting" w:hAnsi="Arabic Typesetting" w:cs="Arabic Typesetting"/>
                <w:color w:val="auto"/>
                <w:sz w:val="20"/>
                <w:szCs w:val="20"/>
                <w:rtl/>
              </w:rPr>
              <w:lastRenderedPageBreak/>
              <w:t>الخارجية.</w:t>
            </w:r>
          </w:p>
        </w:tc>
        <w:tc>
          <w:tcPr>
            <w:tcW w:w="450" w:type="dxa"/>
          </w:tcPr>
          <w:p w14:paraId="1AF68986"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1</w:t>
            </w:r>
          </w:p>
        </w:tc>
        <w:tc>
          <w:tcPr>
            <w:tcW w:w="450" w:type="dxa"/>
          </w:tcPr>
          <w:p w14:paraId="7F069BC3"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3B928FFC"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 xml:space="preserve">4 </w:t>
            </w:r>
            <w:r w:rsidRPr="00E60CED">
              <w:rPr>
                <w:rFonts w:ascii="Arabic Typesetting" w:hAnsi="Arabic Typesetting" w:cs="Arabic Typesetting"/>
                <w:color w:val="auto"/>
                <w:sz w:val="20"/>
                <w:szCs w:val="20"/>
                <w:rtl/>
              </w:rPr>
              <w:lastRenderedPageBreak/>
              <w:t>(1.1%)</w:t>
            </w:r>
          </w:p>
        </w:tc>
        <w:tc>
          <w:tcPr>
            <w:tcW w:w="680" w:type="dxa"/>
          </w:tcPr>
          <w:p w14:paraId="00AA920A"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 xml:space="preserve">45 </w:t>
            </w:r>
            <w:r w:rsidRPr="00E60CED">
              <w:rPr>
                <w:rFonts w:ascii="Arabic Typesetting" w:hAnsi="Arabic Typesetting" w:cs="Arabic Typesetting"/>
                <w:color w:val="auto"/>
                <w:sz w:val="20"/>
                <w:szCs w:val="20"/>
                <w:rtl/>
              </w:rPr>
              <w:lastRenderedPageBreak/>
              <w:t>(11.8%)</w:t>
            </w:r>
          </w:p>
        </w:tc>
        <w:tc>
          <w:tcPr>
            <w:tcW w:w="680" w:type="dxa"/>
          </w:tcPr>
          <w:p w14:paraId="2AB134C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 xml:space="preserve">137 </w:t>
            </w:r>
            <w:r w:rsidRPr="00E60CED">
              <w:rPr>
                <w:rFonts w:ascii="Arabic Typesetting" w:hAnsi="Arabic Typesetting" w:cs="Arabic Typesetting"/>
                <w:color w:val="auto"/>
                <w:sz w:val="20"/>
                <w:szCs w:val="20"/>
                <w:rtl/>
              </w:rPr>
              <w:lastRenderedPageBreak/>
              <w:t>(36.1%)</w:t>
            </w:r>
          </w:p>
        </w:tc>
        <w:tc>
          <w:tcPr>
            <w:tcW w:w="680" w:type="dxa"/>
          </w:tcPr>
          <w:p w14:paraId="6B431B33"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 xml:space="preserve">141 </w:t>
            </w:r>
            <w:r w:rsidRPr="00E60CED">
              <w:rPr>
                <w:rFonts w:ascii="Arabic Typesetting" w:hAnsi="Arabic Typesetting" w:cs="Arabic Typesetting"/>
                <w:color w:val="auto"/>
                <w:sz w:val="20"/>
                <w:szCs w:val="20"/>
                <w:rtl/>
              </w:rPr>
              <w:lastRenderedPageBreak/>
              <w:t>(37.1%)</w:t>
            </w:r>
          </w:p>
        </w:tc>
        <w:tc>
          <w:tcPr>
            <w:tcW w:w="680" w:type="dxa"/>
          </w:tcPr>
          <w:p w14:paraId="0877558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 xml:space="preserve">53 </w:t>
            </w:r>
            <w:r w:rsidRPr="00E60CED">
              <w:rPr>
                <w:rFonts w:ascii="Arabic Typesetting" w:hAnsi="Arabic Typesetting" w:cs="Arabic Typesetting"/>
                <w:color w:val="auto"/>
                <w:sz w:val="20"/>
                <w:szCs w:val="20"/>
                <w:rtl/>
              </w:rPr>
              <w:lastRenderedPageBreak/>
              <w:t>(13.9%)</w:t>
            </w:r>
          </w:p>
        </w:tc>
        <w:tc>
          <w:tcPr>
            <w:tcW w:w="650" w:type="dxa"/>
          </w:tcPr>
          <w:p w14:paraId="6517C2D3"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lastRenderedPageBreak/>
              <w:t>3.511</w:t>
            </w:r>
          </w:p>
        </w:tc>
        <w:tc>
          <w:tcPr>
            <w:tcW w:w="650" w:type="dxa"/>
          </w:tcPr>
          <w:p w14:paraId="5B9A02C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0.912</w:t>
            </w:r>
          </w:p>
        </w:tc>
        <w:tc>
          <w:tcPr>
            <w:tcW w:w="550" w:type="dxa"/>
          </w:tcPr>
          <w:p w14:paraId="3E686162"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8</w:t>
            </w:r>
          </w:p>
        </w:tc>
      </w:tr>
      <w:tr w:rsidR="00AD326D" w:rsidRPr="00E60CED" w14:paraId="2CE7FACC"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772B640F"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EMP8</w:t>
            </w:r>
          </w:p>
        </w:tc>
        <w:tc>
          <w:tcPr>
            <w:tcW w:w="2750" w:type="dxa"/>
          </w:tcPr>
          <w:p w14:paraId="56AA88A3"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يتم الاعتراف بإسهاماتي وإنجازاتي القيادية داخل الجهة الحكومية.</w:t>
            </w:r>
          </w:p>
        </w:tc>
        <w:tc>
          <w:tcPr>
            <w:tcW w:w="450" w:type="dxa"/>
          </w:tcPr>
          <w:p w14:paraId="6748B259"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6AEEF81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6CAF880E"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 (1.8%)</w:t>
            </w:r>
          </w:p>
        </w:tc>
        <w:tc>
          <w:tcPr>
            <w:tcW w:w="680" w:type="dxa"/>
          </w:tcPr>
          <w:p w14:paraId="25035FDF"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44 (11.6%)</w:t>
            </w:r>
          </w:p>
        </w:tc>
        <w:tc>
          <w:tcPr>
            <w:tcW w:w="680" w:type="dxa"/>
          </w:tcPr>
          <w:p w14:paraId="0D81BF50"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142 (37.4%)</w:t>
            </w:r>
          </w:p>
        </w:tc>
        <w:tc>
          <w:tcPr>
            <w:tcW w:w="680" w:type="dxa"/>
          </w:tcPr>
          <w:p w14:paraId="4595169C"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134 (35.3%)</w:t>
            </w:r>
          </w:p>
        </w:tc>
        <w:tc>
          <w:tcPr>
            <w:tcW w:w="680" w:type="dxa"/>
          </w:tcPr>
          <w:p w14:paraId="03914182"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53 (13.9%)</w:t>
            </w:r>
          </w:p>
        </w:tc>
        <w:tc>
          <w:tcPr>
            <w:tcW w:w="650" w:type="dxa"/>
          </w:tcPr>
          <w:p w14:paraId="768ABBBD"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3.479</w:t>
            </w:r>
          </w:p>
        </w:tc>
        <w:tc>
          <w:tcPr>
            <w:tcW w:w="650" w:type="dxa"/>
          </w:tcPr>
          <w:p w14:paraId="4351459C"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0.934</w:t>
            </w:r>
          </w:p>
        </w:tc>
        <w:tc>
          <w:tcPr>
            <w:tcW w:w="550" w:type="dxa"/>
          </w:tcPr>
          <w:p w14:paraId="1FE84691"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10</w:t>
            </w:r>
          </w:p>
        </w:tc>
      </w:tr>
      <w:tr w:rsidR="00AD326D" w:rsidRPr="00E60CED" w14:paraId="30732568" w14:textId="77777777" w:rsidTr="00E60C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5A8D40F2"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EMP9</w:t>
            </w:r>
          </w:p>
        </w:tc>
        <w:tc>
          <w:tcPr>
            <w:tcW w:w="2750" w:type="dxa"/>
          </w:tcPr>
          <w:p w14:paraId="78015FC6"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أستطيع إدارة التوازن بين مسؤولياتي القيادية ومهامي اليومية بكفاءة.</w:t>
            </w:r>
          </w:p>
        </w:tc>
        <w:tc>
          <w:tcPr>
            <w:tcW w:w="450" w:type="dxa"/>
          </w:tcPr>
          <w:p w14:paraId="67C4234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6A8AD18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6A952DB6"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 (1.1%)</w:t>
            </w:r>
          </w:p>
        </w:tc>
        <w:tc>
          <w:tcPr>
            <w:tcW w:w="680" w:type="dxa"/>
          </w:tcPr>
          <w:p w14:paraId="7807A11D"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43 (11.3%)</w:t>
            </w:r>
          </w:p>
        </w:tc>
        <w:tc>
          <w:tcPr>
            <w:tcW w:w="680" w:type="dxa"/>
          </w:tcPr>
          <w:p w14:paraId="57BCDB5B"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122 (32.1%)</w:t>
            </w:r>
          </w:p>
        </w:tc>
        <w:tc>
          <w:tcPr>
            <w:tcW w:w="680" w:type="dxa"/>
          </w:tcPr>
          <w:p w14:paraId="03381BC9"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155 (40.8%)</w:t>
            </w:r>
          </w:p>
        </w:tc>
        <w:tc>
          <w:tcPr>
            <w:tcW w:w="680" w:type="dxa"/>
          </w:tcPr>
          <w:p w14:paraId="1A8EACD0"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56 (14.7%)</w:t>
            </w:r>
          </w:p>
        </w:tc>
        <w:tc>
          <w:tcPr>
            <w:tcW w:w="650" w:type="dxa"/>
          </w:tcPr>
          <w:p w14:paraId="6E886348"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3.568</w:t>
            </w:r>
          </w:p>
        </w:tc>
        <w:tc>
          <w:tcPr>
            <w:tcW w:w="650" w:type="dxa"/>
          </w:tcPr>
          <w:p w14:paraId="0155A916"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0.912</w:t>
            </w:r>
          </w:p>
        </w:tc>
        <w:tc>
          <w:tcPr>
            <w:tcW w:w="550" w:type="dxa"/>
          </w:tcPr>
          <w:p w14:paraId="4E446212" w14:textId="77777777" w:rsidR="002F2EAD" w:rsidRPr="00E60CE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2</w:t>
            </w:r>
          </w:p>
        </w:tc>
      </w:tr>
      <w:tr w:rsidR="00AD326D" w:rsidRPr="00E60CED" w14:paraId="4CCAAD0D" w14:textId="77777777" w:rsidTr="00E60CED">
        <w:tc>
          <w:tcPr>
            <w:cnfStyle w:val="001000000000" w:firstRow="0" w:lastRow="0" w:firstColumn="1" w:lastColumn="0" w:oddVBand="0" w:evenVBand="0" w:oddHBand="0" w:evenHBand="0" w:firstRowFirstColumn="0" w:firstRowLastColumn="0" w:lastRowFirstColumn="0" w:lastRowLastColumn="0"/>
            <w:tcW w:w="600" w:type="dxa"/>
          </w:tcPr>
          <w:p w14:paraId="4C6ED60E" w14:textId="77777777" w:rsidR="002F2EAD" w:rsidRPr="00E60CED" w:rsidRDefault="00437DE2" w:rsidP="00442B69">
            <w:pPr>
              <w:bidi/>
              <w:spacing w:line="360" w:lineRule="auto"/>
              <w:jc w:val="both"/>
              <w:rPr>
                <w:rFonts w:ascii="Arabic Typesetting" w:hAnsi="Arabic Typesetting" w:cs="Arabic Typesetting"/>
                <w:color w:val="auto"/>
                <w:sz w:val="20"/>
                <w:szCs w:val="20"/>
              </w:rPr>
            </w:pPr>
            <w:r w:rsidRPr="00E60CED">
              <w:rPr>
                <w:rFonts w:ascii="Arabic Typesetting" w:hAnsi="Arabic Typesetting" w:cs="Arabic Typesetting"/>
                <w:b w:val="0"/>
                <w:color w:val="auto"/>
                <w:sz w:val="20"/>
                <w:szCs w:val="20"/>
                <w:rtl/>
              </w:rPr>
              <w:t>EMP10</w:t>
            </w:r>
          </w:p>
        </w:tc>
        <w:tc>
          <w:tcPr>
            <w:tcW w:w="2750" w:type="dxa"/>
          </w:tcPr>
          <w:p w14:paraId="5316B7AB"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أشعر بالحافز لمواصلة تطوير قدراتي وتولي مسؤوليات قيادية أكبر مستقبلًا.</w:t>
            </w:r>
          </w:p>
        </w:tc>
        <w:tc>
          <w:tcPr>
            <w:tcW w:w="450" w:type="dxa"/>
          </w:tcPr>
          <w:p w14:paraId="2990FA22"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w:t>
            </w:r>
          </w:p>
        </w:tc>
        <w:tc>
          <w:tcPr>
            <w:tcW w:w="450" w:type="dxa"/>
          </w:tcPr>
          <w:p w14:paraId="39D8AA1E"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5</w:t>
            </w:r>
          </w:p>
        </w:tc>
        <w:tc>
          <w:tcPr>
            <w:tcW w:w="680" w:type="dxa"/>
          </w:tcPr>
          <w:p w14:paraId="48030A7A"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 (0.3%)</w:t>
            </w:r>
          </w:p>
        </w:tc>
        <w:tc>
          <w:tcPr>
            <w:tcW w:w="680" w:type="dxa"/>
          </w:tcPr>
          <w:p w14:paraId="37B5D266"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60 (15.8%)</w:t>
            </w:r>
          </w:p>
        </w:tc>
        <w:tc>
          <w:tcPr>
            <w:tcW w:w="680" w:type="dxa"/>
          </w:tcPr>
          <w:p w14:paraId="555551FE"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116 (30.5%)</w:t>
            </w:r>
          </w:p>
        </w:tc>
        <w:tc>
          <w:tcPr>
            <w:tcW w:w="680" w:type="dxa"/>
          </w:tcPr>
          <w:p w14:paraId="45376D4B"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128 (33.7%)</w:t>
            </w:r>
          </w:p>
        </w:tc>
        <w:tc>
          <w:tcPr>
            <w:tcW w:w="680" w:type="dxa"/>
          </w:tcPr>
          <w:p w14:paraId="7A689EEC"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75 (19.7%)</w:t>
            </w:r>
          </w:p>
        </w:tc>
        <w:tc>
          <w:tcPr>
            <w:tcW w:w="650" w:type="dxa"/>
          </w:tcPr>
          <w:p w14:paraId="1AA5CB48"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3.568</w:t>
            </w:r>
          </w:p>
        </w:tc>
        <w:tc>
          <w:tcPr>
            <w:tcW w:w="650" w:type="dxa"/>
          </w:tcPr>
          <w:p w14:paraId="65745342"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0.987</w:t>
            </w:r>
          </w:p>
        </w:tc>
        <w:tc>
          <w:tcPr>
            <w:tcW w:w="550" w:type="dxa"/>
          </w:tcPr>
          <w:p w14:paraId="3AAAFD78" w14:textId="77777777" w:rsidR="002F2EAD" w:rsidRPr="00E60CE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20"/>
                <w:szCs w:val="20"/>
              </w:rPr>
            </w:pPr>
            <w:r w:rsidRPr="00E60CED">
              <w:rPr>
                <w:rFonts w:ascii="Arabic Typesetting" w:hAnsi="Arabic Typesetting" w:cs="Arabic Typesetting"/>
                <w:color w:val="auto"/>
                <w:sz w:val="20"/>
                <w:szCs w:val="20"/>
                <w:rtl/>
              </w:rPr>
              <w:t>3</w:t>
            </w:r>
          </w:p>
        </w:tc>
      </w:tr>
    </w:tbl>
    <w:p w14:paraId="2FB43521" w14:textId="77777777" w:rsidR="00E60CED" w:rsidRPr="00E60CED" w:rsidRDefault="00E60CED" w:rsidP="00442B69">
      <w:pPr>
        <w:pStyle w:val="ThesisH2"/>
        <w:spacing w:line="360" w:lineRule="auto"/>
        <w:jc w:val="both"/>
        <w:rPr>
          <w:rFonts w:ascii="Arabic Typesetting" w:hAnsi="Arabic Typesetting" w:cs="Arabic Typesetting"/>
          <w:color w:val="auto"/>
          <w:sz w:val="32"/>
          <w:szCs w:val="32"/>
          <w:lang w:val="en-GB"/>
        </w:rPr>
      </w:pPr>
      <w:r w:rsidRPr="00E60CED">
        <w:rPr>
          <w:rFonts w:ascii="Arabic Typesetting" w:hAnsi="Arabic Typesetting" w:cs="Arabic Typesetting"/>
          <w:color w:val="auto"/>
          <w:sz w:val="32"/>
          <w:szCs w:val="32"/>
          <w:rtl/>
        </w:rPr>
        <w:t>توضح نتائج الجدول (4-6) أن مستوى التمكين القيادي لدى القيادات النسائية المشاركات في الدراسة جاء مرتفعًا، إذ بلغ المتوسط الحسابي الكلي لبنود البعد 3.5311 بانحراف معياري قدره 0.6290، وهو ما يعكس إدراكًا إيجابيًا عامًا لدى أفراد العينة لامتلاكهن قدرًا مناسبًا من الصلاحيات والاستقلالية والقدرة على ممارسة الأدوار القيادية داخل الجهات الحكومية. وقد تراوحت المتوسطات الحسابية للبنود بين 3.479 و3.582، مما يشير إلى تقارب نسبي في تقييم مكونات التمكين القيادي، مع وجود اختلافات محدودة تكشف عن بعض الجوانب الأكثر تحققًا وأخرى تحتاج إلى مزيد من الدعم والتطوير. جاء البند</w:t>
      </w:r>
      <w:r w:rsidRPr="00E60CED">
        <w:rPr>
          <w:rFonts w:ascii="Arabic Typesetting" w:hAnsi="Arabic Typesetting" w:cs="Arabic Typesetting"/>
          <w:color w:val="auto"/>
          <w:sz w:val="32"/>
          <w:szCs w:val="32"/>
          <w:lang w:val="en-GB"/>
        </w:rPr>
        <w:t xml:space="preserve"> EMP2</w:t>
      </w:r>
      <w:r w:rsidRPr="00E60CED">
        <w:rPr>
          <w:rFonts w:ascii="Arabic Typesetting" w:hAnsi="Arabic Typesetting" w:cs="Arabic Typesetting"/>
          <w:color w:val="auto"/>
          <w:sz w:val="32"/>
          <w:szCs w:val="32"/>
          <w:rtl/>
        </w:rPr>
        <w:t>، المتعلق بالاستقلالية اللازمة لممارسة المهام القيادية بفاعلية، في المرتبة الأولى بمتوسط حسابي بلغ 3.582، وهو ما يدل على شعور المشاركات بامتلاك مساحة مناسبة من الحرية المهنية في أداء مسؤولياتهن القيادية. كما بلغت نسبة من اخترن «أوافق» أو «أوافق بشدة» لهذا البند 50.8%، مقابل 11.1% من الاستجابات السلبية، مما يؤكد أن الاستقلالية تمثل أحد أبرز مظاهر التمكين المتحققة لدى القيادات النسائية، رغم أن ارتفاع نسبة الاستجابات المحايدة إلى 38.2% يشير إلى أن هذه الاستقلالية قد لا تكون متوافرة بالدرجة نفسها لدى جميع المشاركات أو في جميع الجهات الحكومية. وجاء البند</w:t>
      </w:r>
      <w:r w:rsidRPr="00E60CED">
        <w:rPr>
          <w:rFonts w:ascii="Arabic Typesetting" w:hAnsi="Arabic Typesetting" w:cs="Arabic Typesetting"/>
          <w:color w:val="auto"/>
          <w:sz w:val="32"/>
          <w:szCs w:val="32"/>
          <w:lang w:val="en-GB"/>
        </w:rPr>
        <w:t xml:space="preserve"> EMP9</w:t>
      </w:r>
      <w:r w:rsidRPr="00E60CED">
        <w:rPr>
          <w:rFonts w:ascii="Arabic Typesetting" w:hAnsi="Arabic Typesetting" w:cs="Arabic Typesetting"/>
          <w:color w:val="auto"/>
          <w:sz w:val="32"/>
          <w:szCs w:val="32"/>
          <w:rtl/>
        </w:rPr>
        <w:t>، الخاص بالقدرة على تحقيق التوازن بين المسؤوليات القيادية والمهام اليومية، في المرتبة الثانية بمتوسط 3.568، كما سجل أعلى نسبة استجابات إيجابية بين بنود البعد بلغت 55.5%، وهو ما يعكس قدرة القيادات النسائية على تنظيم الأعباء الوظيفية وإدارة متطلبات العمل بكفاءة. وحصل البند</w:t>
      </w:r>
      <w:r w:rsidRPr="00E60CED">
        <w:rPr>
          <w:rFonts w:ascii="Arabic Typesetting" w:hAnsi="Arabic Typesetting" w:cs="Arabic Typesetting"/>
          <w:color w:val="auto"/>
          <w:sz w:val="32"/>
          <w:szCs w:val="32"/>
          <w:lang w:val="en-GB"/>
        </w:rPr>
        <w:t xml:space="preserve"> EMP10</w:t>
      </w:r>
      <w:r w:rsidRPr="00E60CED">
        <w:rPr>
          <w:rFonts w:ascii="Arabic Typesetting" w:hAnsi="Arabic Typesetting" w:cs="Arabic Typesetting"/>
          <w:color w:val="auto"/>
          <w:sz w:val="32"/>
          <w:szCs w:val="32"/>
          <w:rtl/>
        </w:rPr>
        <w:t>، المتعلق بالشعور بالحافز لمواصلة تطوير القدرات وتولي مسؤوليات قيادية أكبر مستقبلًا، على المتوسط نفسه البالغ 3.568 وجاء في المرتبة الثالثة، مع نسبة استجابات إيجابية بلغت 53.4%، مما يدل على ارتفاع الطموح القيادي واستعداد المشاركات للاستمرار في التطور المهني وتحمل مستويات أعلى من المسؤولية. وتكتسب هذه النتيجة أهمية خاصة؛ لأنها تشير إلى أن التمكين الحالي لا يقتصر على أداء المهام القائمة، بل يمتد إلى وجود توجه مستقبلي نحو النمو القيادي والترقي الوظيفي. وجاء البند</w:t>
      </w:r>
      <w:r w:rsidRPr="00E60CED">
        <w:rPr>
          <w:rFonts w:ascii="Arabic Typesetting" w:hAnsi="Arabic Typesetting" w:cs="Arabic Typesetting"/>
          <w:color w:val="auto"/>
          <w:sz w:val="32"/>
          <w:szCs w:val="32"/>
          <w:lang w:val="en-GB"/>
        </w:rPr>
        <w:t xml:space="preserve"> EMP4</w:t>
      </w:r>
      <w:r w:rsidRPr="00E60CED">
        <w:rPr>
          <w:rFonts w:ascii="Arabic Typesetting" w:hAnsi="Arabic Typesetting" w:cs="Arabic Typesetting"/>
          <w:color w:val="auto"/>
          <w:sz w:val="32"/>
          <w:szCs w:val="32"/>
          <w:rtl/>
        </w:rPr>
        <w:t>، المتعلق بثقة الإدارة العليا بقدرات القيادات النسائية ودعمها لهن في العمل، في المرتبة الرابعة بمتوسط 3.537 ونسبة استجابات إيجابية بلغت 53.2%، وهو ما يبرز أهمية الدعم الصادر عن المستويات الإدارية العليا في تعزيز الثقة وتحسين القدرة على اتخاذ المبادرات وتحمل المسؤولية. كما سجل البند</w:t>
      </w:r>
      <w:r w:rsidRPr="00E60CED">
        <w:rPr>
          <w:rFonts w:ascii="Arabic Typesetting" w:hAnsi="Arabic Typesetting" w:cs="Arabic Typesetting"/>
          <w:color w:val="auto"/>
          <w:sz w:val="32"/>
          <w:szCs w:val="32"/>
          <w:lang w:val="en-GB"/>
        </w:rPr>
        <w:t xml:space="preserve"> EMP3</w:t>
      </w:r>
      <w:r w:rsidRPr="00E60CED">
        <w:rPr>
          <w:rFonts w:ascii="Arabic Typesetting" w:hAnsi="Arabic Typesetting" w:cs="Arabic Typesetting"/>
          <w:color w:val="auto"/>
          <w:sz w:val="32"/>
          <w:szCs w:val="32"/>
          <w:rtl/>
        </w:rPr>
        <w:t xml:space="preserve">، الخاص بالمشاركة المؤثرة في وضع استراتيجيات الجهة واتخاذ قراراتها التنظيمية، متوسطًا قدره 3.532، وهو مستوى مرتفع يعكس وجود مشاركة قيادية إيجابية، إلا أن وصول نسبة الاستجابات المحايدة إلى 37.6% يشير إلى أن المشاركة الاستراتيجية قد تكون متفاوتة بين القيادات أو أنها لا تزال محدودة لدى بعض الفئات والمستويات </w:t>
      </w:r>
      <w:r w:rsidRPr="00E60CED">
        <w:rPr>
          <w:rFonts w:ascii="Arabic Typesetting" w:hAnsi="Arabic Typesetting" w:cs="Arabic Typesetting"/>
          <w:color w:val="auto"/>
          <w:sz w:val="32"/>
          <w:szCs w:val="32"/>
          <w:rtl/>
        </w:rPr>
        <w:lastRenderedPageBreak/>
        <w:t>الإدارية. أما البند</w:t>
      </w:r>
      <w:r w:rsidRPr="00E60CED">
        <w:rPr>
          <w:rFonts w:ascii="Arabic Typesetting" w:hAnsi="Arabic Typesetting" w:cs="Arabic Typesetting"/>
          <w:color w:val="auto"/>
          <w:sz w:val="32"/>
          <w:szCs w:val="32"/>
          <w:lang w:val="en-GB"/>
        </w:rPr>
        <w:t xml:space="preserve"> EMP1</w:t>
      </w:r>
      <w:r w:rsidRPr="00E60CED">
        <w:rPr>
          <w:rFonts w:ascii="Arabic Typesetting" w:hAnsi="Arabic Typesetting" w:cs="Arabic Typesetting"/>
          <w:color w:val="auto"/>
          <w:sz w:val="32"/>
          <w:szCs w:val="32"/>
          <w:rtl/>
        </w:rPr>
        <w:t>، المتعلق بامتلاك الصلاحية اللازمة لاتخاذ القرارات المهمة المرتبطة بالاختصاص، فقد بلغ متوسطه 3.521، وجاءت نسبة الاستجابات الإيجابية فيه 53.6%، بما يدل على وجود مستوى مناسب من تفويض الصلاحيات، إلا أن ارتفاع انحرافه المعياري إلى 1.008، وهو الأعلى بين بنود البعد، يعكس اختلافًا واضحًا في خبرات المشاركات، فقد تتمتع بعض القيادات بصلاحيات واسعة في حين تواجه أخريات حدودًا تنظيمية وإدارية تقلل من قدرتهن على اتخاذ القرارات بصورة مستقلة. وحصل البند</w:t>
      </w:r>
      <w:r w:rsidRPr="00E60CED">
        <w:rPr>
          <w:rFonts w:ascii="Arabic Typesetting" w:hAnsi="Arabic Typesetting" w:cs="Arabic Typesetting"/>
          <w:color w:val="auto"/>
          <w:sz w:val="32"/>
          <w:szCs w:val="32"/>
          <w:lang w:val="en-GB"/>
        </w:rPr>
        <w:t xml:space="preserve"> EMP6</w:t>
      </w:r>
      <w:r w:rsidRPr="00E60CED">
        <w:rPr>
          <w:rFonts w:ascii="Arabic Typesetting" w:hAnsi="Arabic Typesetting" w:cs="Arabic Typesetting"/>
          <w:color w:val="auto"/>
          <w:sz w:val="32"/>
          <w:szCs w:val="32"/>
          <w:rtl/>
        </w:rPr>
        <w:t>، الخاص باستخدام المهارات القيادية في حل المشكلات والأزمات المعقدة، على متوسط 3.518، مما يعكس ثقة إيجابية في القدرة على التعامل مع المواقف الصعبة، رغم أن نسبة الاستجابات المحايدة بلغت 38.7%، وهي النسبة الأعلى تقريبًا بين البنود، الأمر الذي قد يشير إلى اختلاف طبيعة المسؤوليات والأزمات التي تتعرض لها المشاركات أو تفاوت فرص ممارسة هذه المهارات فعليًا. كما جاء البند</w:t>
      </w:r>
      <w:r w:rsidRPr="00E60CED">
        <w:rPr>
          <w:rFonts w:ascii="Arabic Typesetting" w:hAnsi="Arabic Typesetting" w:cs="Arabic Typesetting"/>
          <w:color w:val="auto"/>
          <w:sz w:val="32"/>
          <w:szCs w:val="32"/>
          <w:lang w:val="en-GB"/>
        </w:rPr>
        <w:t xml:space="preserve"> EMP7</w:t>
      </w:r>
      <w:r w:rsidRPr="00E60CED">
        <w:rPr>
          <w:rFonts w:ascii="Arabic Typesetting" w:hAnsi="Arabic Typesetting" w:cs="Arabic Typesetting"/>
          <w:color w:val="auto"/>
          <w:sz w:val="32"/>
          <w:szCs w:val="32"/>
          <w:rtl/>
        </w:rPr>
        <w:t>، المتعلق بالقدرة على تمثيل الجهة الحكومية في الفعاليات واللجان الخارجية، بمتوسط 3.511 ونسبة استجابات إيجابية بلغت 51.0%، وهي نتيجة تدل على وجود فرص مناسبة للتمثيل الخارجي، إلا أنها توضح الحاجة إلى توسيع هذه الفرص بما يضمن مشاركة عدد أكبر من القيادات النسائية في اللجان والفعاليات المؤثرة. وفي المقابل، حصل البند</w:t>
      </w:r>
      <w:r w:rsidRPr="00E60CED">
        <w:rPr>
          <w:rFonts w:ascii="Arabic Typesetting" w:hAnsi="Arabic Typesetting" w:cs="Arabic Typesetting"/>
          <w:color w:val="auto"/>
          <w:sz w:val="32"/>
          <w:szCs w:val="32"/>
          <w:lang w:val="en-GB"/>
        </w:rPr>
        <w:t xml:space="preserve"> EMP5</w:t>
      </w:r>
      <w:r w:rsidRPr="00E60CED">
        <w:rPr>
          <w:rFonts w:ascii="Arabic Typesetting" w:hAnsi="Arabic Typesetting" w:cs="Arabic Typesetting"/>
          <w:color w:val="auto"/>
          <w:sz w:val="32"/>
          <w:szCs w:val="32"/>
          <w:rtl/>
        </w:rPr>
        <w:t>، الخاص بالثقة في القدرة على إدارة الفرق وتحفيز الموظفين لتحقيق أهداف الجهة، على متوسط 3.495 وجاء في المرتبة التاسعة، وعلى الرغم من وقوعه ضمن المستوى المرتفع، فإن ترتيبه المتأخر نسبيًا قد يعكس الحاجة إلى المزيد من التدريب العملي في مجالات إدارة الفرق، والتحفيز، والتواصل القيادي، وإدارة الأداء. وجاء البند</w:t>
      </w:r>
      <w:r w:rsidRPr="00E60CED">
        <w:rPr>
          <w:rFonts w:ascii="Arabic Typesetting" w:hAnsi="Arabic Typesetting" w:cs="Arabic Typesetting"/>
          <w:color w:val="auto"/>
          <w:sz w:val="32"/>
          <w:szCs w:val="32"/>
          <w:lang w:val="en-GB"/>
        </w:rPr>
        <w:t xml:space="preserve"> EMP8</w:t>
      </w:r>
      <w:r w:rsidRPr="00E60CED">
        <w:rPr>
          <w:rFonts w:ascii="Arabic Typesetting" w:hAnsi="Arabic Typesetting" w:cs="Arabic Typesetting"/>
          <w:color w:val="auto"/>
          <w:sz w:val="32"/>
          <w:szCs w:val="32"/>
          <w:rtl/>
        </w:rPr>
        <w:t>، المتعلق بالاعتراف بإسهامات وإنجازات القيادات النسائية داخل الجهة الحكومية، في المرتبة الأخيرة بمتوسط 3.479، كما سجل أدنى نسبة استجابات إيجابية بلغت 49.2%، وهو ما يكشف عن وجود فجوة نسبية في نظم الاعتراف والتقدير المؤسسي مقارنة بالجوانب الأخرى للتمكين. وتشير هذه النتيجة إلى أن القيادات النسائية قد تمتلكن الاستقلالية والقدرة على الأداء واتخاذ القرارات، إلا أن إنجازاتهن لا تحظى دائمًا بالمستوى نفسه من الإشادة أو المكافأة أو الظهور المؤسسي، مما قد يؤثر مستقبلًا في الدافعية والاستمرارية والتقدم الوظيفي. كما تكشف التوزيعات التكرارية عن تمركز نسبة ملحوظة من الاستجابات في الفئة المحايدة، التي تراوحت بين 30.5% و38.7%، وهو ما يشير إلى أن مظاهر التمكين القيادي لم تصل إلى الدرجة نفسها لدى جميع المشاركات، وأن بعضهن قد لا يمتلكن خبرة واضحة أو مستقرة تجاه الصلاحيات والمشاركة والدعم والاعتراف. وبوجه عام، تؤكد النتائج أن القيادات النسائية في الجهات الحكومية يتمتعن بمستوى مرتفع من التمكين، خاصة في جوانب الاستقلالية، وإدارة المسؤوليات اليومية، والطموح نحو تطوير القدرات وتولي مسؤوليات أكبر، إلا أن الوصول إلى مستوى أكثر تكاملًا واستدامة يتطلب تعزيز نظم الاعتراف بالإنجازات، وتوسيع المشاركة في القرارات الاستراتيجية، وتوحيد مستويات تفويض الصلاحيات، وتوفير برامج تدريبية متخصصة في إدارة الفرق والأزمات، وإتاحة فرص أكبر للتمثيل في اللجان والفعاليات الخارجية، بما يحول التمكين من شعور فردي بالقدرة إلى ممارسة تنظيمية ثابتة ومدعومة مؤسسيًا</w:t>
      </w:r>
      <w:r w:rsidRPr="00E60CED">
        <w:rPr>
          <w:rFonts w:ascii="Arabic Typesetting" w:hAnsi="Arabic Typesetting" w:cs="Arabic Typesetting"/>
          <w:color w:val="auto"/>
          <w:sz w:val="32"/>
          <w:szCs w:val="32"/>
          <w:lang w:val="en-GB"/>
        </w:rPr>
        <w:t>.</w:t>
      </w:r>
    </w:p>
    <w:p w14:paraId="1F9D0E65" w14:textId="77777777" w:rsidR="002F2EAD" w:rsidRDefault="00437DE2" w:rsidP="00442B69">
      <w:pPr>
        <w:pStyle w:val="ThesisH2"/>
        <w:spacing w:line="360" w:lineRule="auto"/>
        <w:jc w:val="both"/>
        <w:rPr>
          <w:rFonts w:ascii="Arabic Typesetting" w:hAnsi="Arabic Typesetting" w:cs="Arabic Typesetting"/>
          <w:b w:val="0"/>
          <w:bCs/>
          <w:color w:val="auto"/>
          <w:sz w:val="32"/>
          <w:szCs w:val="32"/>
          <w:rtl/>
        </w:rPr>
      </w:pPr>
      <w:r w:rsidRPr="00E60CED">
        <w:rPr>
          <w:rFonts w:ascii="Arabic Typesetting" w:hAnsi="Arabic Typesetting" w:cs="Arabic Typesetting"/>
          <w:b w:val="0"/>
          <w:bCs/>
          <w:color w:val="auto"/>
          <w:sz w:val="32"/>
          <w:szCs w:val="32"/>
          <w:rtl/>
        </w:rPr>
        <w:t>4.6 التحليل الوصفي على مستوى الأبعاد الكلية</w:t>
      </w:r>
    </w:p>
    <w:p w14:paraId="42E752E9" w14:textId="6FA6F5E0" w:rsidR="006F6583" w:rsidRPr="006F6583" w:rsidRDefault="006F6583" w:rsidP="00442B69">
      <w:pPr>
        <w:pStyle w:val="ThesisH2"/>
        <w:spacing w:line="360" w:lineRule="auto"/>
        <w:jc w:val="both"/>
        <w:rPr>
          <w:rFonts w:ascii="Arabic Typesetting" w:hAnsi="Arabic Typesetting" w:cs="Arabic Typesetting"/>
          <w:b w:val="0"/>
          <w:color w:val="auto"/>
          <w:sz w:val="32"/>
          <w:szCs w:val="32"/>
          <w:lang w:val="en-GB"/>
        </w:rPr>
      </w:pPr>
      <w:r w:rsidRPr="006F6583">
        <w:rPr>
          <w:rFonts w:ascii="Arabic Typesetting" w:hAnsi="Arabic Typesetting" w:cs="Arabic Typesetting"/>
          <w:b w:val="0"/>
          <w:color w:val="auto"/>
          <w:sz w:val="32"/>
          <w:szCs w:val="32"/>
          <w:rtl/>
        </w:rPr>
        <w:lastRenderedPageBreak/>
        <w:t>يقدم هذا الجزء تحليلًا وصفيًا إجماليًا لأبعاد الدراسة الأربعة، وذلك من خلال احتساب المتوسط المركب لبنود كل بُعد على حدة، بهدف تحديد المستوى العام للعوامل الاجتماعية والثقافية والتنظيمية ومستوى التمكين القيادي لدى أفراد العينة. ويعرض الجدول المتوسط الحسابي والانحراف المعياري والحدين الأدنى والأقصى والرتبة ومستوى كل بُعد، اعتمادًا على 380 استجابة صحيحة. ويساعد هذا التحليل في تكوين صورة شاملة عن الأبعاد المدروسة، وتحديد أي منها يحظى بالمستوى الأعلى من الإدراك لدى القيادات النسائية، مع تفسير النتائج وفق حدود مقياس ليكرت الخماسي المعتمدة في الدراسة، بحيث تشير المتوسطات الواقعة بين 3.41 و4.20 إلى مستوى مرتفع</w:t>
      </w:r>
      <w:r w:rsidRPr="006F6583">
        <w:rPr>
          <w:rFonts w:ascii="Arabic Typesetting" w:hAnsi="Arabic Typesetting" w:cs="Arabic Typesetting"/>
          <w:b w:val="0"/>
          <w:color w:val="auto"/>
          <w:sz w:val="32"/>
          <w:szCs w:val="32"/>
          <w:lang w:val="en-GB"/>
        </w:rPr>
        <w:t>.</w:t>
      </w:r>
    </w:p>
    <w:p w14:paraId="673DFCB9" w14:textId="77777777" w:rsidR="002F2EAD" w:rsidRPr="006F6583"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6F6583">
        <w:rPr>
          <w:rFonts w:ascii="Arabic Typesetting" w:hAnsi="Arabic Typesetting" w:cs="Arabic Typesetting"/>
          <w:b w:val="0"/>
          <w:bCs/>
          <w:color w:val="auto"/>
          <w:sz w:val="32"/>
          <w:szCs w:val="32"/>
          <w:rtl/>
        </w:rPr>
        <w:t>جدول 4-6: ملخص الإحصاء الوصفي للأبعاد الكلية</w:t>
      </w:r>
    </w:p>
    <w:tbl>
      <w:tblPr>
        <w:tblStyle w:val="PlainTable2"/>
        <w:bidiVisual/>
        <w:tblW w:w="9071" w:type="dxa"/>
        <w:tblLayout w:type="fixed"/>
        <w:tblLook w:val="04A0" w:firstRow="1" w:lastRow="0" w:firstColumn="1" w:lastColumn="0" w:noHBand="0" w:noVBand="1"/>
      </w:tblPr>
      <w:tblGrid>
        <w:gridCol w:w="2353"/>
        <w:gridCol w:w="633"/>
        <w:gridCol w:w="995"/>
        <w:gridCol w:w="995"/>
        <w:gridCol w:w="1176"/>
        <w:gridCol w:w="1357"/>
        <w:gridCol w:w="724"/>
        <w:gridCol w:w="838"/>
      </w:tblGrid>
      <w:tr w:rsidR="00AD326D" w:rsidRPr="00AD326D" w14:paraId="296CB2BD" w14:textId="77777777" w:rsidTr="00442B69">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353" w:type="dxa"/>
          </w:tcPr>
          <w:p w14:paraId="501542B6"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البعد</w:t>
            </w:r>
          </w:p>
        </w:tc>
        <w:tc>
          <w:tcPr>
            <w:tcW w:w="633" w:type="dxa"/>
          </w:tcPr>
          <w:p w14:paraId="5AAD2379"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N</w:t>
            </w:r>
          </w:p>
        </w:tc>
        <w:tc>
          <w:tcPr>
            <w:tcW w:w="995" w:type="dxa"/>
          </w:tcPr>
          <w:p w14:paraId="3F36AD4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الحد الأدنى</w:t>
            </w:r>
          </w:p>
        </w:tc>
        <w:tc>
          <w:tcPr>
            <w:tcW w:w="995" w:type="dxa"/>
          </w:tcPr>
          <w:p w14:paraId="2FA1575A"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الحد الأقصى</w:t>
            </w:r>
          </w:p>
        </w:tc>
        <w:tc>
          <w:tcPr>
            <w:tcW w:w="1176" w:type="dxa"/>
          </w:tcPr>
          <w:p w14:paraId="5BA0EF23"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المتوسط</w:t>
            </w:r>
          </w:p>
        </w:tc>
        <w:tc>
          <w:tcPr>
            <w:tcW w:w="1357" w:type="dxa"/>
          </w:tcPr>
          <w:p w14:paraId="4802EA94"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الانحراف المعياري</w:t>
            </w:r>
          </w:p>
        </w:tc>
        <w:tc>
          <w:tcPr>
            <w:tcW w:w="724" w:type="dxa"/>
          </w:tcPr>
          <w:p w14:paraId="32EE19F1"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الرتبة</w:t>
            </w:r>
          </w:p>
        </w:tc>
        <w:tc>
          <w:tcPr>
            <w:tcW w:w="838" w:type="dxa"/>
          </w:tcPr>
          <w:p w14:paraId="7365F4C9"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المستوى</w:t>
            </w:r>
          </w:p>
        </w:tc>
      </w:tr>
      <w:tr w:rsidR="00AD326D" w:rsidRPr="00AD326D" w14:paraId="42D28C96" w14:textId="77777777" w:rsidTr="00442B69">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2353" w:type="dxa"/>
          </w:tcPr>
          <w:p w14:paraId="4A11CFE8"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33" w:type="dxa"/>
          </w:tcPr>
          <w:p w14:paraId="2861C98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380</w:t>
            </w:r>
          </w:p>
        </w:tc>
        <w:tc>
          <w:tcPr>
            <w:tcW w:w="995" w:type="dxa"/>
          </w:tcPr>
          <w:p w14:paraId="4A7E10F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1.50</w:t>
            </w:r>
          </w:p>
        </w:tc>
        <w:tc>
          <w:tcPr>
            <w:tcW w:w="995" w:type="dxa"/>
          </w:tcPr>
          <w:p w14:paraId="615EDA4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5.00</w:t>
            </w:r>
          </w:p>
        </w:tc>
        <w:tc>
          <w:tcPr>
            <w:tcW w:w="1176" w:type="dxa"/>
          </w:tcPr>
          <w:p w14:paraId="0EE7E4B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3.5142</w:t>
            </w:r>
          </w:p>
        </w:tc>
        <w:tc>
          <w:tcPr>
            <w:tcW w:w="1357" w:type="dxa"/>
          </w:tcPr>
          <w:p w14:paraId="713E89B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0.67210</w:t>
            </w:r>
          </w:p>
        </w:tc>
        <w:tc>
          <w:tcPr>
            <w:tcW w:w="724" w:type="dxa"/>
          </w:tcPr>
          <w:p w14:paraId="0736ED2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w:t>
            </w:r>
          </w:p>
        </w:tc>
        <w:tc>
          <w:tcPr>
            <w:tcW w:w="838" w:type="dxa"/>
          </w:tcPr>
          <w:p w14:paraId="6134D4B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مرتفع</w:t>
            </w:r>
          </w:p>
        </w:tc>
      </w:tr>
      <w:tr w:rsidR="00AD326D" w:rsidRPr="00AD326D" w14:paraId="3740A775" w14:textId="77777777" w:rsidTr="00442B69">
        <w:trPr>
          <w:trHeight w:val="528"/>
        </w:trPr>
        <w:tc>
          <w:tcPr>
            <w:cnfStyle w:val="001000000000" w:firstRow="0" w:lastRow="0" w:firstColumn="1" w:lastColumn="0" w:oddVBand="0" w:evenVBand="0" w:oddHBand="0" w:evenHBand="0" w:firstRowFirstColumn="0" w:firstRowLastColumn="0" w:lastRowFirstColumn="0" w:lastRowLastColumn="0"/>
            <w:tcW w:w="2353" w:type="dxa"/>
          </w:tcPr>
          <w:p w14:paraId="2268313C"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33" w:type="dxa"/>
          </w:tcPr>
          <w:p w14:paraId="12357D0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380</w:t>
            </w:r>
          </w:p>
        </w:tc>
        <w:tc>
          <w:tcPr>
            <w:tcW w:w="995" w:type="dxa"/>
          </w:tcPr>
          <w:p w14:paraId="2909374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1.50</w:t>
            </w:r>
          </w:p>
        </w:tc>
        <w:tc>
          <w:tcPr>
            <w:tcW w:w="995" w:type="dxa"/>
          </w:tcPr>
          <w:p w14:paraId="619B57B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5.00</w:t>
            </w:r>
          </w:p>
        </w:tc>
        <w:tc>
          <w:tcPr>
            <w:tcW w:w="1176" w:type="dxa"/>
          </w:tcPr>
          <w:p w14:paraId="1F800F8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3.5116</w:t>
            </w:r>
          </w:p>
        </w:tc>
        <w:tc>
          <w:tcPr>
            <w:tcW w:w="1357" w:type="dxa"/>
          </w:tcPr>
          <w:p w14:paraId="0EE0429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0.67314</w:t>
            </w:r>
          </w:p>
        </w:tc>
        <w:tc>
          <w:tcPr>
            <w:tcW w:w="724" w:type="dxa"/>
          </w:tcPr>
          <w:p w14:paraId="4C66D26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w:t>
            </w:r>
          </w:p>
        </w:tc>
        <w:tc>
          <w:tcPr>
            <w:tcW w:w="838" w:type="dxa"/>
          </w:tcPr>
          <w:p w14:paraId="1FA27A7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مرتفع</w:t>
            </w:r>
          </w:p>
        </w:tc>
      </w:tr>
      <w:tr w:rsidR="00AD326D" w:rsidRPr="00AD326D" w14:paraId="15E541E0" w14:textId="77777777" w:rsidTr="00442B69">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353" w:type="dxa"/>
          </w:tcPr>
          <w:p w14:paraId="4664FBE2"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33" w:type="dxa"/>
          </w:tcPr>
          <w:p w14:paraId="2B1FF8C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380</w:t>
            </w:r>
          </w:p>
        </w:tc>
        <w:tc>
          <w:tcPr>
            <w:tcW w:w="995" w:type="dxa"/>
          </w:tcPr>
          <w:p w14:paraId="04979E7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1.70</w:t>
            </w:r>
          </w:p>
        </w:tc>
        <w:tc>
          <w:tcPr>
            <w:tcW w:w="995" w:type="dxa"/>
          </w:tcPr>
          <w:p w14:paraId="47A63F1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5.00</w:t>
            </w:r>
          </w:p>
        </w:tc>
        <w:tc>
          <w:tcPr>
            <w:tcW w:w="1176" w:type="dxa"/>
          </w:tcPr>
          <w:p w14:paraId="4FCE969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3.5811</w:t>
            </w:r>
          </w:p>
        </w:tc>
        <w:tc>
          <w:tcPr>
            <w:tcW w:w="1357" w:type="dxa"/>
          </w:tcPr>
          <w:p w14:paraId="43730A4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0.67348</w:t>
            </w:r>
          </w:p>
        </w:tc>
        <w:tc>
          <w:tcPr>
            <w:tcW w:w="724" w:type="dxa"/>
          </w:tcPr>
          <w:p w14:paraId="2F5DF1D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w:t>
            </w:r>
          </w:p>
        </w:tc>
        <w:tc>
          <w:tcPr>
            <w:tcW w:w="838" w:type="dxa"/>
          </w:tcPr>
          <w:p w14:paraId="42140A8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مرتفع</w:t>
            </w:r>
          </w:p>
        </w:tc>
      </w:tr>
      <w:tr w:rsidR="00AD326D" w:rsidRPr="00AD326D" w14:paraId="584676EA" w14:textId="77777777" w:rsidTr="00442B69">
        <w:trPr>
          <w:trHeight w:val="516"/>
        </w:trPr>
        <w:tc>
          <w:tcPr>
            <w:cnfStyle w:val="001000000000" w:firstRow="0" w:lastRow="0" w:firstColumn="1" w:lastColumn="0" w:oddVBand="0" w:evenVBand="0" w:oddHBand="0" w:evenHBand="0" w:firstRowFirstColumn="0" w:firstRowLastColumn="0" w:lastRowFirstColumn="0" w:lastRowLastColumn="0"/>
            <w:tcW w:w="2353" w:type="dxa"/>
          </w:tcPr>
          <w:p w14:paraId="171CFDE0"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33" w:type="dxa"/>
          </w:tcPr>
          <w:p w14:paraId="4E44498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380</w:t>
            </w:r>
          </w:p>
        </w:tc>
        <w:tc>
          <w:tcPr>
            <w:tcW w:w="995" w:type="dxa"/>
          </w:tcPr>
          <w:p w14:paraId="2CC4862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1.70</w:t>
            </w:r>
          </w:p>
        </w:tc>
        <w:tc>
          <w:tcPr>
            <w:tcW w:w="995" w:type="dxa"/>
          </w:tcPr>
          <w:p w14:paraId="0A5B20B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4.90</w:t>
            </w:r>
          </w:p>
        </w:tc>
        <w:tc>
          <w:tcPr>
            <w:tcW w:w="1176" w:type="dxa"/>
          </w:tcPr>
          <w:p w14:paraId="65020BA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3.5311</w:t>
            </w:r>
          </w:p>
        </w:tc>
        <w:tc>
          <w:tcPr>
            <w:tcW w:w="1357" w:type="dxa"/>
          </w:tcPr>
          <w:p w14:paraId="1A86E2D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0.62901</w:t>
            </w:r>
          </w:p>
        </w:tc>
        <w:tc>
          <w:tcPr>
            <w:tcW w:w="724" w:type="dxa"/>
          </w:tcPr>
          <w:p w14:paraId="43B8F04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w:t>
            </w:r>
          </w:p>
        </w:tc>
        <w:tc>
          <w:tcPr>
            <w:tcW w:w="838" w:type="dxa"/>
          </w:tcPr>
          <w:p w14:paraId="28E79B8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مرتفع</w:t>
            </w:r>
          </w:p>
        </w:tc>
      </w:tr>
    </w:tbl>
    <w:p w14:paraId="175B0C6D" w14:textId="77777777" w:rsidR="00442B69" w:rsidRDefault="006F6583" w:rsidP="00442B69">
      <w:pPr>
        <w:bidi/>
        <w:spacing w:line="360" w:lineRule="auto"/>
        <w:jc w:val="both"/>
        <w:rPr>
          <w:rFonts w:ascii="Arabic Typesetting" w:hAnsi="Arabic Typesetting" w:cs="Arabic Typesetting"/>
          <w:b/>
          <w:color w:val="auto"/>
          <w:sz w:val="32"/>
          <w:szCs w:val="32"/>
          <w:rtl/>
        </w:rPr>
      </w:pPr>
      <w:r w:rsidRPr="006F6583">
        <w:rPr>
          <w:rFonts w:ascii="Arabic Typesetting" w:hAnsi="Arabic Typesetting" w:cs="Arabic Typesetting"/>
          <w:b/>
          <w:color w:val="auto"/>
          <w:sz w:val="32"/>
          <w:szCs w:val="32"/>
          <w:rtl/>
        </w:rPr>
        <w:t>توضح نتائج الجدول (4-6) أن الأبعاد الأربعة للدراسة جاءت جميعها ضمن المستوى المرتفع، مما يعكس اتجاهًا إيجابيًا عامًا لدى القيادات النسائية نحو توافر العوامل الداعمة للتمكين وممارستهن لأدوارهن القيادية داخل الجهات الحكومية. وقد جاء بُعد العوامل التنظيمية في المرتبة الأولى بأعلى متوسط حسابي بلغ 3.5811 وانحراف معياري قدره 0.67348، وهو ما يشير إلى أن السياسات والإجراءات والموارد والتدريب والدعم الإداري وآليات الترقية تمثل الجانب الأكثر حضورًا وتأثيرًا في البيئة الحكومية من وجهة نظر المشاركات. وتتفق هذه النتيجة مع كون العوامل التنظيمية أكثر ارتباطًا بالتمكين القيادي في التحليلات الاستدلالية اللاحقة، بما يؤكد أن وجود بيئة تنظيمية واضحة وعادلة يعد أساسًا مهمًا لتحويل التمكين من توجه عام إلى ممارسة فعلية. وجاء التمكين القيادي في المرتبة الثانية بمتوسط 3.5311 وانحراف معياري 0.62901، وهو مستوى مرتفع يدل على أن المشاركات يشعرن بدرجة جيدة من الصلاحية والاستقلالية والمشاركة في القرار والقدرة على إدارة المسؤوليات، كما أن انخفاض انحرافه المعياري مقارنة ببقية الأبعاد يشير إلى قدر أكبر من التقارب في تقييم مستوى التمكين بين أفراد العينة.</w:t>
      </w:r>
    </w:p>
    <w:p w14:paraId="4652FB30" w14:textId="77777777" w:rsidR="00442B69" w:rsidRDefault="006F6583" w:rsidP="00442B69">
      <w:pPr>
        <w:bidi/>
        <w:spacing w:line="360" w:lineRule="auto"/>
        <w:jc w:val="both"/>
        <w:rPr>
          <w:rFonts w:ascii="Arabic Typesetting" w:hAnsi="Arabic Typesetting" w:cs="Arabic Typesetting"/>
          <w:b/>
          <w:color w:val="auto"/>
          <w:sz w:val="32"/>
          <w:szCs w:val="32"/>
          <w:rtl/>
        </w:rPr>
      </w:pPr>
      <w:r w:rsidRPr="006F6583">
        <w:rPr>
          <w:rFonts w:ascii="Arabic Typesetting" w:hAnsi="Arabic Typesetting" w:cs="Arabic Typesetting"/>
          <w:b/>
          <w:color w:val="auto"/>
          <w:sz w:val="32"/>
          <w:szCs w:val="32"/>
          <w:rtl/>
        </w:rPr>
        <w:t xml:space="preserve"> وحل بُعد العوامل الاجتماعية في المرتبة الثالثة بمتوسط 3.5142 وانحراف معياري 0.67210، مما يعكس إسهام الدعم الأسري والاجتماعي والقدوات والمشاركة المجتمعية والتوازن بين الأسرة والعمل في تعزيز المسار القيادي، مع بقاء هذا الدعم أقل قليلًا من مستوى العوامل التنظيمية. أما العوامل الثقافية فجاءت في المرتبة الرابعة بمتوسط 3.5116 وانحراف معياري 0.67314، وهي أدنى قيمة بين الأبعاد، إلا أن </w:t>
      </w:r>
      <w:r w:rsidRPr="006F6583">
        <w:rPr>
          <w:rFonts w:ascii="Arabic Typesetting" w:hAnsi="Arabic Typesetting" w:cs="Arabic Typesetting"/>
          <w:b/>
          <w:color w:val="auto"/>
          <w:sz w:val="32"/>
          <w:szCs w:val="32"/>
          <w:rtl/>
        </w:rPr>
        <w:lastRenderedPageBreak/>
        <w:t xml:space="preserve">الفارق بينها وبين العوامل الاجتماعية والتنظيمية يظل محدودًا للغاية، الأمر الذي يعني أن الفروق بين ترتيب الأبعاد لا تعكس تباينًا حادًا، بل تشير إلى تقارب عام في مستويات الإدراك. ويبلغ الفرق بين أعلى متوسط وأدنى متوسط نحو 0.0695 نقطة فقط، مما يدل على أن المشاركات ينظرن إلى العوامل الاجتماعية والثقافية والتنظيمية والتمكين القيادي باعتبارها مكونات مترابطة نسبيًا في بناء البيئة القيادية. كما تظهر قيم الحد الأدنى والأقصى أن معظم الأبعاد امتدت استجابتها حتى الدرجة القصوى 5.00، في حين بلغ الحد الأدنى 1.50 للعوامل الاجتماعية والثقافية و1.70 للعوامل التنظيمية والتمكين القيادي، وهو ما يكشف عن وجود اختلافات فردية محدودة في الخبرات والتصورات، رغم بقاء الاتجاه العام مرتفعًا. </w:t>
      </w:r>
    </w:p>
    <w:p w14:paraId="12BB8FBD" w14:textId="1AF8654D" w:rsidR="006F6583" w:rsidRPr="006F6583" w:rsidRDefault="006F6583" w:rsidP="00442B69">
      <w:pPr>
        <w:bidi/>
        <w:spacing w:line="360" w:lineRule="auto"/>
        <w:jc w:val="both"/>
        <w:rPr>
          <w:rFonts w:ascii="Arabic Typesetting" w:hAnsi="Arabic Typesetting" w:cs="Arabic Typesetting"/>
          <w:b/>
          <w:color w:val="auto"/>
          <w:sz w:val="32"/>
          <w:szCs w:val="32"/>
          <w:lang w:val="en-GB"/>
        </w:rPr>
      </w:pPr>
      <w:r w:rsidRPr="006F6583">
        <w:rPr>
          <w:rFonts w:ascii="Arabic Typesetting" w:hAnsi="Arabic Typesetting" w:cs="Arabic Typesetting"/>
          <w:b/>
          <w:color w:val="auto"/>
          <w:sz w:val="32"/>
          <w:szCs w:val="32"/>
          <w:rtl/>
        </w:rPr>
        <w:t>وبوجه عام، تشير النتائج إلى أن الجهات الحكومية توفر بيئة مواتية نسبيًا لتمكين القيادات النسائية، وأن الجانب التنظيمي يمثل نقطة القوة الأبرز، بينما تحتاج الجوانب الثقافية والاجتماعية إلى مزيد من التعزيز حتى تتقارب مع مستوى الدعم التنظيمي، وذلك من خلال ترسيخ ثقافة تكافؤ الفرص، وتوسيع المشاركة النسائية في القرارات الاستراتيجية، وتعزيز الاعتراف بالإنجازات، وتفعيل برامج التوعية والتطوير القيادي. ومع ذلك، ينبغي تفسير هذه النتائج بوصفها مؤشرات وصفية على اتجاهات أفراد العينة، ولا تعني بذاتها وجود علاقة سببية، وإنما تمثل أساسًا لفهم العلاقات والتأثيرات التي تم اختبارها لاحقًا باستخدام معاملات الارتباط والانحدار</w:t>
      </w:r>
      <w:r w:rsidRPr="006F6583">
        <w:rPr>
          <w:rFonts w:ascii="Arabic Typesetting" w:hAnsi="Arabic Typesetting" w:cs="Arabic Typesetting"/>
          <w:b/>
          <w:color w:val="auto"/>
          <w:sz w:val="32"/>
          <w:szCs w:val="32"/>
          <w:lang w:val="en-GB"/>
        </w:rPr>
        <w:t>.</w:t>
      </w:r>
    </w:p>
    <w:p w14:paraId="1BF1A9D6" w14:textId="77777777" w:rsidR="006F6583" w:rsidRDefault="006F6583" w:rsidP="00442B69">
      <w:pPr>
        <w:spacing w:line="360" w:lineRule="auto"/>
        <w:jc w:val="center"/>
        <w:rPr>
          <w:rFonts w:ascii="Arabic Typesetting" w:hAnsi="Arabic Typesetting" w:cs="Arabic Typesetting"/>
          <w:color w:val="auto"/>
          <w:sz w:val="32"/>
          <w:szCs w:val="32"/>
          <w:rtl/>
          <w:lang w:val="en-GB"/>
        </w:rPr>
      </w:pPr>
    </w:p>
    <w:p w14:paraId="3E935284" w14:textId="15E5621D" w:rsidR="002F2EAD" w:rsidRPr="00AD326D" w:rsidRDefault="00E60CED" w:rsidP="00442B69">
      <w:pPr>
        <w:spacing w:line="360" w:lineRule="auto"/>
        <w:jc w:val="center"/>
        <w:rPr>
          <w:rFonts w:ascii="Arabic Typesetting" w:hAnsi="Arabic Typesetting" w:cs="Arabic Typesetting"/>
          <w:color w:val="auto"/>
          <w:sz w:val="32"/>
          <w:szCs w:val="32"/>
        </w:rPr>
      </w:pPr>
      <w:r>
        <w:rPr>
          <w:noProof/>
        </w:rPr>
        <mc:AlternateContent>
          <mc:Choice Requires="cx1">
            <w:drawing>
              <wp:inline distT="0" distB="0" distL="0" distR="0" wp14:anchorId="3DDA6350" wp14:editId="7E20D0E5">
                <wp:extent cx="4572000" cy="2743200"/>
                <wp:effectExtent l="0" t="0" r="0" b="0"/>
                <wp:docPr id="3" name="Chart 3">
                  <a:extLst xmlns:a="http://schemas.openxmlformats.org/drawingml/2006/main">
                    <a:ext uri="{FF2B5EF4-FFF2-40B4-BE49-F238E27FC236}">
                      <a16:creationId xmlns:a16="http://schemas.microsoft.com/office/drawing/2014/main" id="{D0ABB213-9CB3-8642-759A-A868CB00FB3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xmlns:oel="http://schemas.microsoft.com/office/2019/extlst">
            <w:drawing>
              <wp:inline distT="0" distB="0" distL="0" distR="0" wp14:anchorId="3DDA6350" wp14:editId="7E20D0E5">
                <wp:extent cx="4572000" cy="2743200"/>
                <wp:effectExtent l="0" t="0" r="0" b="0"/>
                <wp:docPr id="3" name="Chart 3">
                  <a:extLst xmlns:a="http://schemas.openxmlformats.org/drawingml/2006/main">
                    <a:ext uri="{FF2B5EF4-FFF2-40B4-BE49-F238E27FC236}">
                      <a16:creationId xmlns:a16="http://schemas.microsoft.com/office/drawing/2014/main" id="{D0ABB213-9CB3-8642-759A-A868CB00FB3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Chart 3">
                          <a:extLst>
                            <a:ext uri="{FF2B5EF4-FFF2-40B4-BE49-F238E27FC236}">
                              <a16:creationId xmlns:a16="http://schemas.microsoft.com/office/drawing/2014/main" id="{D0ABB213-9CB3-8642-759A-A868CB00FB34}"/>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4572000" cy="2743200"/>
                        </a:xfrm>
                        <a:prstGeom prst="rect">
                          <a:avLst/>
                        </a:prstGeom>
                      </pic:spPr>
                    </pic:pic>
                  </a:graphicData>
                </a:graphic>
              </wp:inline>
            </w:drawing>
          </mc:Fallback>
        </mc:AlternateContent>
      </w:r>
    </w:p>
    <w:p w14:paraId="34D17815" w14:textId="60D0E1D9" w:rsidR="002F2EAD" w:rsidRPr="00E60CED" w:rsidRDefault="00437DE2" w:rsidP="00442B69">
      <w:pPr>
        <w:pStyle w:val="ThesisCaption"/>
        <w:spacing w:line="360" w:lineRule="auto"/>
        <w:jc w:val="center"/>
        <w:rPr>
          <w:rFonts w:ascii="Arabic Typesetting" w:hAnsi="Arabic Typesetting" w:cs="Arabic Typesetting"/>
          <w:b w:val="0"/>
          <w:bCs/>
          <w:color w:val="auto"/>
          <w:sz w:val="32"/>
          <w:szCs w:val="32"/>
        </w:rPr>
      </w:pPr>
      <w:r w:rsidRPr="00E60CED">
        <w:rPr>
          <w:rFonts w:ascii="Arabic Typesetting" w:hAnsi="Arabic Typesetting" w:cs="Arabic Typesetting"/>
          <w:b w:val="0"/>
          <w:bCs/>
          <w:color w:val="auto"/>
          <w:sz w:val="32"/>
          <w:szCs w:val="32"/>
          <w:rtl/>
        </w:rPr>
        <w:t>شكل 4-1: متوسطات أبعاد الدراسة</w:t>
      </w:r>
    </w:p>
    <w:p w14:paraId="62F88735" w14:textId="77777777" w:rsidR="002F2EAD" w:rsidRPr="006F6583" w:rsidRDefault="00437DE2" w:rsidP="00442B69">
      <w:pPr>
        <w:pStyle w:val="ThesisH2"/>
        <w:spacing w:line="360" w:lineRule="auto"/>
        <w:jc w:val="both"/>
        <w:rPr>
          <w:rFonts w:ascii="Arabic Typesetting" w:hAnsi="Arabic Typesetting" w:cs="Arabic Typesetting"/>
          <w:b w:val="0"/>
          <w:bCs/>
          <w:color w:val="auto"/>
          <w:sz w:val="32"/>
          <w:szCs w:val="32"/>
        </w:rPr>
      </w:pPr>
      <w:r w:rsidRPr="006F6583">
        <w:rPr>
          <w:rFonts w:ascii="Arabic Typesetting" w:hAnsi="Arabic Typesetting" w:cs="Arabic Typesetting"/>
          <w:b w:val="0"/>
          <w:bCs/>
          <w:color w:val="auto"/>
          <w:sz w:val="32"/>
          <w:szCs w:val="32"/>
          <w:rtl/>
        </w:rPr>
        <w:t>4.7 الثبات التفصيلي للبنود</w:t>
      </w:r>
    </w:p>
    <w:p w14:paraId="7367E454"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 xml:space="preserve">يعرض الجدول التالي معاملات الاتساق الداخلي المصححة لكل بند وقيمة ألفا إذا حُذف البند. بقيت جميع معاملات ألفا بعد الحذف في نطاق مرتفع، ولم يظهر بند يؤدي حذفُه إلى ارتفاع جوهري في ثبات البعد مقارنة بألفا الكلي؛ لذلك أُبقيت البنود الأربعون في التحليل </w:t>
      </w:r>
      <w:r w:rsidRPr="00AD326D">
        <w:rPr>
          <w:rFonts w:ascii="Arabic Typesetting" w:hAnsi="Arabic Typesetting" w:cs="Arabic Typesetting"/>
          <w:color w:val="auto"/>
          <w:sz w:val="32"/>
          <w:szCs w:val="32"/>
          <w:rtl/>
        </w:rPr>
        <w:lastRenderedPageBreak/>
        <w:t>النهائي.</w:t>
      </w:r>
    </w:p>
    <w:p w14:paraId="73AF4FD1" w14:textId="77777777" w:rsidR="002F2EAD" w:rsidRPr="006F6583"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6F6583">
        <w:rPr>
          <w:rFonts w:ascii="Arabic Typesetting" w:hAnsi="Arabic Typesetting" w:cs="Arabic Typesetting"/>
          <w:b w:val="0"/>
          <w:bCs/>
          <w:color w:val="auto"/>
          <w:sz w:val="32"/>
          <w:szCs w:val="32"/>
          <w:rtl/>
        </w:rPr>
        <w:t>جدول 4-7: معاملات Corrected Item–Total Correlation وAlpha if Item Deleted</w:t>
      </w:r>
    </w:p>
    <w:tbl>
      <w:tblPr>
        <w:tblStyle w:val="PlainTable2"/>
        <w:bidiVisual/>
        <w:tblW w:w="9026" w:type="dxa"/>
        <w:tblLayout w:type="fixed"/>
        <w:tblLook w:val="04A0" w:firstRow="1" w:lastRow="0" w:firstColumn="1" w:lastColumn="0" w:noHBand="0" w:noVBand="1"/>
      </w:tblPr>
      <w:tblGrid>
        <w:gridCol w:w="1800"/>
        <w:gridCol w:w="650"/>
        <w:gridCol w:w="4500"/>
        <w:gridCol w:w="1050"/>
        <w:gridCol w:w="1026"/>
      </w:tblGrid>
      <w:tr w:rsidR="00AD326D" w:rsidRPr="00AD326D" w14:paraId="7CC95421" w14:textId="77777777" w:rsidTr="006F6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2795F4F2"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البعد</w:t>
            </w:r>
          </w:p>
        </w:tc>
        <w:tc>
          <w:tcPr>
            <w:tcW w:w="650" w:type="dxa"/>
          </w:tcPr>
          <w:p w14:paraId="3EE2B0AB" w14:textId="77777777" w:rsidR="002F2EAD" w:rsidRPr="00AD326D" w:rsidRDefault="00437DE2" w:rsidP="00442B69">
            <w:pPr>
              <w:bidi/>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الكود</w:t>
            </w:r>
          </w:p>
        </w:tc>
        <w:tc>
          <w:tcPr>
            <w:tcW w:w="4500" w:type="dxa"/>
          </w:tcPr>
          <w:p w14:paraId="19A07846" w14:textId="77777777" w:rsidR="002F2EAD" w:rsidRPr="00AD326D" w:rsidRDefault="00437DE2" w:rsidP="00442B69">
            <w:pPr>
              <w:bidi/>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العبارة</w:t>
            </w:r>
          </w:p>
        </w:tc>
        <w:tc>
          <w:tcPr>
            <w:tcW w:w="1050" w:type="dxa"/>
          </w:tcPr>
          <w:p w14:paraId="3C32DB57" w14:textId="77777777" w:rsidR="002F2EAD" w:rsidRPr="00AD326D" w:rsidRDefault="00437DE2" w:rsidP="00442B69">
            <w:pPr>
              <w:bidi/>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الارتباط المصحح</w:t>
            </w:r>
          </w:p>
        </w:tc>
        <w:tc>
          <w:tcPr>
            <w:tcW w:w="1026" w:type="dxa"/>
          </w:tcPr>
          <w:p w14:paraId="06155E25" w14:textId="77777777" w:rsidR="002F2EAD" w:rsidRPr="00AD326D" w:rsidRDefault="00437DE2" w:rsidP="00442B69">
            <w:pPr>
              <w:bidi/>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ألفا عند الحذف</w:t>
            </w:r>
          </w:p>
        </w:tc>
      </w:tr>
      <w:tr w:rsidR="00AD326D" w:rsidRPr="00AD326D" w14:paraId="0AB03F35"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52AD7A03"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642EA10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SOC1</w:t>
            </w:r>
          </w:p>
        </w:tc>
        <w:tc>
          <w:tcPr>
            <w:tcW w:w="4500" w:type="dxa"/>
          </w:tcPr>
          <w:p w14:paraId="6BE45E82"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يساندني تشجيع أسرتي في الاستمرار والتقدم في مساري القيادي داخل الجهة الحكومية.</w:t>
            </w:r>
          </w:p>
        </w:tc>
        <w:tc>
          <w:tcPr>
            <w:tcW w:w="1050" w:type="dxa"/>
          </w:tcPr>
          <w:p w14:paraId="330AA0AE"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0.643</w:t>
            </w:r>
          </w:p>
        </w:tc>
        <w:tc>
          <w:tcPr>
            <w:tcW w:w="1026" w:type="dxa"/>
          </w:tcPr>
          <w:p w14:paraId="39C30C00"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0.868</w:t>
            </w:r>
          </w:p>
        </w:tc>
      </w:tr>
      <w:tr w:rsidR="00AD326D" w:rsidRPr="00AD326D" w14:paraId="489BCD8C"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26759A9D"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08B94205"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SOC2</w:t>
            </w:r>
          </w:p>
        </w:tc>
        <w:tc>
          <w:tcPr>
            <w:tcW w:w="4500" w:type="dxa"/>
          </w:tcPr>
          <w:p w14:paraId="46266A25"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أحظى بدعم اجتماعي من الزميلات والزملاء يساعدني على أداء دوري القيادي.</w:t>
            </w:r>
          </w:p>
        </w:tc>
        <w:tc>
          <w:tcPr>
            <w:tcW w:w="1050" w:type="dxa"/>
          </w:tcPr>
          <w:p w14:paraId="4AC2ED59"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0.604</w:t>
            </w:r>
          </w:p>
        </w:tc>
        <w:tc>
          <w:tcPr>
            <w:tcW w:w="1026" w:type="dxa"/>
          </w:tcPr>
          <w:p w14:paraId="33185C5B"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0.871</w:t>
            </w:r>
          </w:p>
        </w:tc>
      </w:tr>
      <w:tr w:rsidR="00AD326D" w:rsidRPr="00AD326D" w14:paraId="29761839"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1C29606F"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7A653D5D"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SOC3</w:t>
            </w:r>
          </w:p>
        </w:tc>
        <w:tc>
          <w:tcPr>
            <w:tcW w:w="4500" w:type="dxa"/>
          </w:tcPr>
          <w:p w14:paraId="18F01E1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ينظر المجتمع المحيط بإيجابية إلى تولي المرأة مناصب قيادية في الجهات الحكومية.</w:t>
            </w:r>
          </w:p>
        </w:tc>
        <w:tc>
          <w:tcPr>
            <w:tcW w:w="1050" w:type="dxa"/>
          </w:tcPr>
          <w:p w14:paraId="4EBEEADD"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0.601</w:t>
            </w:r>
          </w:p>
        </w:tc>
        <w:tc>
          <w:tcPr>
            <w:tcW w:w="1026" w:type="dxa"/>
          </w:tcPr>
          <w:p w14:paraId="0D44F4F5"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0.871</w:t>
            </w:r>
          </w:p>
        </w:tc>
      </w:tr>
      <w:tr w:rsidR="00AD326D" w:rsidRPr="00AD326D" w14:paraId="2E8EF657"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328C058B"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40BD803C"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SOC4</w:t>
            </w:r>
          </w:p>
        </w:tc>
        <w:tc>
          <w:tcPr>
            <w:tcW w:w="4500" w:type="dxa"/>
          </w:tcPr>
          <w:p w14:paraId="40ED565D"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يشجعني وجود قدوات نسائية سعودية ناجحة على تطوير مساري القيادي.</w:t>
            </w:r>
          </w:p>
        </w:tc>
        <w:tc>
          <w:tcPr>
            <w:tcW w:w="1050" w:type="dxa"/>
          </w:tcPr>
          <w:p w14:paraId="6C16FC15"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0.603</w:t>
            </w:r>
          </w:p>
        </w:tc>
        <w:tc>
          <w:tcPr>
            <w:tcW w:w="1026" w:type="dxa"/>
          </w:tcPr>
          <w:p w14:paraId="48D1AAB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0.871</w:t>
            </w:r>
          </w:p>
        </w:tc>
      </w:tr>
      <w:tr w:rsidR="00AD326D" w:rsidRPr="00AD326D" w14:paraId="35B3532F"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3D8D2280"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6A71597F"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SOC5</w:t>
            </w:r>
          </w:p>
        </w:tc>
        <w:tc>
          <w:tcPr>
            <w:tcW w:w="4500" w:type="dxa"/>
          </w:tcPr>
          <w:p w14:paraId="1983448A"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تساعدني المشاركة في الفعاليات المجتمعية والمهنية على تطوير مهاراتي القيادية.</w:t>
            </w:r>
          </w:p>
        </w:tc>
        <w:tc>
          <w:tcPr>
            <w:tcW w:w="1050" w:type="dxa"/>
          </w:tcPr>
          <w:p w14:paraId="5BE92F15"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0.624</w:t>
            </w:r>
          </w:p>
        </w:tc>
        <w:tc>
          <w:tcPr>
            <w:tcW w:w="1026" w:type="dxa"/>
          </w:tcPr>
          <w:p w14:paraId="1BC02760"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0.870</w:t>
            </w:r>
          </w:p>
        </w:tc>
      </w:tr>
      <w:tr w:rsidR="00AD326D" w:rsidRPr="00AD326D" w14:paraId="287A2ECC"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3B8B0C97"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606EC084"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SOC6</w:t>
            </w:r>
          </w:p>
        </w:tc>
        <w:tc>
          <w:tcPr>
            <w:tcW w:w="4500" w:type="dxa"/>
          </w:tcPr>
          <w:p w14:paraId="13DC629F"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تشجع القيم الاجتماعية السائدة في المجتمع السعودي المرأة على تولي أدوار قيادية.</w:t>
            </w:r>
          </w:p>
        </w:tc>
        <w:tc>
          <w:tcPr>
            <w:tcW w:w="1050" w:type="dxa"/>
          </w:tcPr>
          <w:p w14:paraId="08C01900"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0.632</w:t>
            </w:r>
          </w:p>
        </w:tc>
        <w:tc>
          <w:tcPr>
            <w:tcW w:w="1026" w:type="dxa"/>
          </w:tcPr>
          <w:p w14:paraId="4C8BC10F"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0.869</w:t>
            </w:r>
          </w:p>
        </w:tc>
      </w:tr>
      <w:tr w:rsidR="00AD326D" w:rsidRPr="00AD326D" w14:paraId="0781B63C"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7262137C"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379271E9"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SOC7</w:t>
            </w:r>
          </w:p>
        </w:tc>
        <w:tc>
          <w:tcPr>
            <w:tcW w:w="4500" w:type="dxa"/>
          </w:tcPr>
          <w:p w14:paraId="0828C6D9"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يعزز الدعم النفسي من الأسرة والزملاء قدرتي على النجاح في دوري القيادي.</w:t>
            </w:r>
          </w:p>
        </w:tc>
        <w:tc>
          <w:tcPr>
            <w:tcW w:w="1050" w:type="dxa"/>
          </w:tcPr>
          <w:p w14:paraId="1F61261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0.547</w:t>
            </w:r>
          </w:p>
        </w:tc>
        <w:tc>
          <w:tcPr>
            <w:tcW w:w="1026" w:type="dxa"/>
          </w:tcPr>
          <w:p w14:paraId="6CFED6C2"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0.875</w:t>
            </w:r>
          </w:p>
        </w:tc>
      </w:tr>
      <w:tr w:rsidR="00AD326D" w:rsidRPr="00AD326D" w14:paraId="4CA35887"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1638C2B0"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1A9197D5"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SOC8</w:t>
            </w:r>
          </w:p>
        </w:tc>
        <w:tc>
          <w:tcPr>
            <w:tcW w:w="4500" w:type="dxa"/>
          </w:tcPr>
          <w:p w14:paraId="5E7A7B34"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أستطيع التوفيق بين مسؤولياتي الأسرية ومتطلبات دوري القيادي بصورة فعّالة.</w:t>
            </w:r>
          </w:p>
        </w:tc>
        <w:tc>
          <w:tcPr>
            <w:tcW w:w="1050" w:type="dxa"/>
          </w:tcPr>
          <w:p w14:paraId="1BD555E8"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0.615</w:t>
            </w:r>
          </w:p>
        </w:tc>
        <w:tc>
          <w:tcPr>
            <w:tcW w:w="1026" w:type="dxa"/>
          </w:tcPr>
          <w:p w14:paraId="624D5ADA"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0.870</w:t>
            </w:r>
          </w:p>
        </w:tc>
      </w:tr>
      <w:tr w:rsidR="00AD326D" w:rsidRPr="00AD326D" w14:paraId="71633D2A"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31880C22"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4B464D11"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SOC9</w:t>
            </w:r>
          </w:p>
        </w:tc>
        <w:tc>
          <w:tcPr>
            <w:tcW w:w="4500" w:type="dxa"/>
          </w:tcPr>
          <w:p w14:paraId="63076169"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يتقبل المجتمع مشاركة المرأة في اتخاذ القرارات المهمة المرتبطة بالعمل العام.</w:t>
            </w:r>
          </w:p>
        </w:tc>
        <w:tc>
          <w:tcPr>
            <w:tcW w:w="1050" w:type="dxa"/>
          </w:tcPr>
          <w:p w14:paraId="2D30E9FD"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0.659</w:t>
            </w:r>
          </w:p>
        </w:tc>
        <w:tc>
          <w:tcPr>
            <w:tcW w:w="1026" w:type="dxa"/>
          </w:tcPr>
          <w:p w14:paraId="488D5784"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0.867</w:t>
            </w:r>
          </w:p>
        </w:tc>
      </w:tr>
      <w:tr w:rsidR="00AD326D" w:rsidRPr="00AD326D" w14:paraId="27688036"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072E68C6"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650" w:type="dxa"/>
          </w:tcPr>
          <w:p w14:paraId="1A7638CB"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SOC10</w:t>
            </w:r>
          </w:p>
        </w:tc>
        <w:tc>
          <w:tcPr>
            <w:tcW w:w="4500" w:type="dxa"/>
          </w:tcPr>
          <w:p w14:paraId="446D7473"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أستطيع ممارسة دوري القيادي بكفاءة رغم ما قد أواجهه من ضغوط اجتماعية سلبية.</w:t>
            </w:r>
          </w:p>
        </w:tc>
        <w:tc>
          <w:tcPr>
            <w:tcW w:w="1050" w:type="dxa"/>
          </w:tcPr>
          <w:p w14:paraId="36193C2A"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0.579</w:t>
            </w:r>
          </w:p>
        </w:tc>
        <w:tc>
          <w:tcPr>
            <w:tcW w:w="1026" w:type="dxa"/>
          </w:tcPr>
          <w:p w14:paraId="0125EFAD"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0.873</w:t>
            </w:r>
          </w:p>
        </w:tc>
      </w:tr>
      <w:tr w:rsidR="00AD326D" w:rsidRPr="00AD326D" w14:paraId="612D715C"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6F0B7294"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253790BD"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CUL1</w:t>
            </w:r>
          </w:p>
        </w:tc>
        <w:tc>
          <w:tcPr>
            <w:tcW w:w="4500" w:type="dxa"/>
          </w:tcPr>
          <w:p w14:paraId="5FB8735B"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تتقبل الثقافة السائدة في جهتي الحكومية تولي المرأة أدوارًا قيادية.</w:t>
            </w:r>
          </w:p>
        </w:tc>
        <w:tc>
          <w:tcPr>
            <w:tcW w:w="1050" w:type="dxa"/>
          </w:tcPr>
          <w:p w14:paraId="422E5BF3"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0.576</w:t>
            </w:r>
          </w:p>
        </w:tc>
        <w:tc>
          <w:tcPr>
            <w:tcW w:w="1026" w:type="dxa"/>
          </w:tcPr>
          <w:p w14:paraId="078A56B7"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0.869</w:t>
            </w:r>
          </w:p>
        </w:tc>
      </w:tr>
      <w:tr w:rsidR="00AD326D" w:rsidRPr="00AD326D" w14:paraId="17E56CEB"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2762D02F"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14D954EC"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CUL2</w:t>
            </w:r>
          </w:p>
        </w:tc>
        <w:tc>
          <w:tcPr>
            <w:tcW w:w="4500" w:type="dxa"/>
          </w:tcPr>
          <w:p w14:paraId="709B9DE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تسهم القيم والتقاليد المحلية الداعمة في رفع مستوى قبول المجتمع للمرأة في المناصب القيادية.</w:t>
            </w:r>
          </w:p>
        </w:tc>
        <w:tc>
          <w:tcPr>
            <w:tcW w:w="1050" w:type="dxa"/>
          </w:tcPr>
          <w:p w14:paraId="1D057B4A"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0.637</w:t>
            </w:r>
          </w:p>
        </w:tc>
        <w:tc>
          <w:tcPr>
            <w:tcW w:w="1026" w:type="dxa"/>
          </w:tcPr>
          <w:p w14:paraId="76578DBC"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0.865</w:t>
            </w:r>
          </w:p>
        </w:tc>
      </w:tr>
      <w:tr w:rsidR="00AD326D" w:rsidRPr="00AD326D" w14:paraId="4904C6ED"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57904484"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54A1714A"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CUL3</w:t>
            </w:r>
          </w:p>
        </w:tc>
        <w:tc>
          <w:tcPr>
            <w:tcW w:w="4500" w:type="dxa"/>
          </w:tcPr>
          <w:p w14:paraId="50840EF4"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تؤكد التوجهات والسياسات الرسمية في المملكة دعم تمكين المرأة في القيادة الحكومية.</w:t>
            </w:r>
          </w:p>
        </w:tc>
        <w:tc>
          <w:tcPr>
            <w:tcW w:w="1050" w:type="dxa"/>
          </w:tcPr>
          <w:p w14:paraId="753E9622"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0.607</w:t>
            </w:r>
          </w:p>
        </w:tc>
        <w:tc>
          <w:tcPr>
            <w:tcW w:w="1026" w:type="dxa"/>
          </w:tcPr>
          <w:p w14:paraId="7D127AFA"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0.867</w:t>
            </w:r>
          </w:p>
        </w:tc>
      </w:tr>
      <w:tr w:rsidR="00AD326D" w:rsidRPr="00AD326D" w14:paraId="3ADEC86A"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5750408C"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3CC91B84"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CUL4</w:t>
            </w:r>
          </w:p>
        </w:tc>
        <w:tc>
          <w:tcPr>
            <w:tcW w:w="4500" w:type="dxa"/>
          </w:tcPr>
          <w:p w14:paraId="0A317CEF"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تشجع الثقافة المجتمعية العامة تكافؤ الفرص بين النساء والرجال في القيادة.</w:t>
            </w:r>
          </w:p>
        </w:tc>
        <w:tc>
          <w:tcPr>
            <w:tcW w:w="1050" w:type="dxa"/>
          </w:tcPr>
          <w:p w14:paraId="27929878"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0.607</w:t>
            </w:r>
          </w:p>
        </w:tc>
        <w:tc>
          <w:tcPr>
            <w:tcW w:w="1026" w:type="dxa"/>
          </w:tcPr>
          <w:p w14:paraId="3DEFFD8C"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0.867</w:t>
            </w:r>
          </w:p>
        </w:tc>
      </w:tr>
      <w:tr w:rsidR="00AD326D" w:rsidRPr="00AD326D" w14:paraId="584B54D0"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0FBB5B35"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21A6CBC9"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CUL5</w:t>
            </w:r>
          </w:p>
        </w:tc>
        <w:tc>
          <w:tcPr>
            <w:tcW w:w="4500" w:type="dxa"/>
          </w:tcPr>
          <w:p w14:paraId="16E49518"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تشجع البيئة الثقافية في جهتي الحكومية مشاركة القيادات النسائية في صنع القرار.</w:t>
            </w:r>
          </w:p>
        </w:tc>
        <w:tc>
          <w:tcPr>
            <w:tcW w:w="1050" w:type="dxa"/>
          </w:tcPr>
          <w:p w14:paraId="5A38809A"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0.633</w:t>
            </w:r>
          </w:p>
        </w:tc>
        <w:tc>
          <w:tcPr>
            <w:tcW w:w="1026" w:type="dxa"/>
          </w:tcPr>
          <w:p w14:paraId="44AA6757"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0.865</w:t>
            </w:r>
          </w:p>
        </w:tc>
      </w:tr>
      <w:tr w:rsidR="00AD326D" w:rsidRPr="00AD326D" w14:paraId="72081E94"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5D019217"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204E7717"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w:t>
            </w:r>
            <w:r w:rsidRPr="00AD326D">
              <w:rPr>
                <w:rFonts w:ascii="Arabic Typesetting" w:hAnsi="Arabic Typesetting" w:cs="Arabic Typesetting"/>
                <w:color w:val="auto"/>
                <w:sz w:val="32"/>
                <w:szCs w:val="32"/>
                <w:rtl/>
              </w:rPr>
              <w:lastRenderedPageBreak/>
              <w:t>L6</w:t>
            </w:r>
          </w:p>
        </w:tc>
        <w:tc>
          <w:tcPr>
            <w:tcW w:w="4500" w:type="dxa"/>
          </w:tcPr>
          <w:p w14:paraId="7D3B750F"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lastRenderedPageBreak/>
              <w:t xml:space="preserve">أتمكن من ممارسة قيادتي دون أن تحد الصور النمطية عن دور المرأة </w:t>
            </w:r>
            <w:r w:rsidRPr="00AD326D">
              <w:rPr>
                <w:rFonts w:ascii="Arabic Typesetting" w:hAnsi="Arabic Typesetting" w:cs="Arabic Typesetting"/>
                <w:color w:val="auto"/>
                <w:sz w:val="32"/>
                <w:szCs w:val="32"/>
                <w:rtl/>
              </w:rPr>
              <w:lastRenderedPageBreak/>
              <w:t>من أدائي.</w:t>
            </w:r>
          </w:p>
        </w:tc>
        <w:tc>
          <w:tcPr>
            <w:tcW w:w="1050" w:type="dxa"/>
          </w:tcPr>
          <w:p w14:paraId="6D06BA21"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lastRenderedPageBreak/>
              <w:t>0.600</w:t>
            </w:r>
          </w:p>
        </w:tc>
        <w:tc>
          <w:tcPr>
            <w:tcW w:w="1026" w:type="dxa"/>
          </w:tcPr>
          <w:p w14:paraId="361F8398"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0.868</w:t>
            </w:r>
          </w:p>
        </w:tc>
      </w:tr>
      <w:tr w:rsidR="00AD326D" w:rsidRPr="00AD326D" w14:paraId="25AA42EE"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3C8A1518"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185800FA"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CUL7</w:t>
            </w:r>
          </w:p>
        </w:tc>
        <w:tc>
          <w:tcPr>
            <w:tcW w:w="4500" w:type="dxa"/>
          </w:tcPr>
          <w:p w14:paraId="032A46B3"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تسهم البرامج التوعوية في جهتي الحكومية في تعزيز تقبل القيادات النسائية.</w:t>
            </w:r>
          </w:p>
        </w:tc>
        <w:tc>
          <w:tcPr>
            <w:tcW w:w="1050" w:type="dxa"/>
          </w:tcPr>
          <w:p w14:paraId="07E6E645"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0.527</w:t>
            </w:r>
          </w:p>
        </w:tc>
        <w:tc>
          <w:tcPr>
            <w:tcW w:w="1026" w:type="dxa"/>
          </w:tcPr>
          <w:p w14:paraId="401CA31C"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0.873</w:t>
            </w:r>
          </w:p>
        </w:tc>
      </w:tr>
      <w:tr w:rsidR="00AD326D" w:rsidRPr="00AD326D" w14:paraId="1EDD1205"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0FD65FE2"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2E291627"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CUL8</w:t>
            </w:r>
          </w:p>
        </w:tc>
        <w:tc>
          <w:tcPr>
            <w:tcW w:w="4500" w:type="dxa"/>
          </w:tcPr>
          <w:p w14:paraId="7943A0B8"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تدعم ثقافة جهتي الحكومية تطوير مهارات القيادة لدى المرأة.</w:t>
            </w:r>
          </w:p>
        </w:tc>
        <w:tc>
          <w:tcPr>
            <w:tcW w:w="1050" w:type="dxa"/>
          </w:tcPr>
          <w:p w14:paraId="3279A8C8"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0.625</w:t>
            </w:r>
          </w:p>
        </w:tc>
        <w:tc>
          <w:tcPr>
            <w:tcW w:w="1026" w:type="dxa"/>
          </w:tcPr>
          <w:p w14:paraId="004CD6E7"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0.866</w:t>
            </w:r>
          </w:p>
        </w:tc>
      </w:tr>
      <w:tr w:rsidR="00AD326D" w:rsidRPr="00AD326D" w14:paraId="13DC6571"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220902D7"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4EBEBCBC"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CUL9</w:t>
            </w:r>
          </w:p>
        </w:tc>
        <w:tc>
          <w:tcPr>
            <w:tcW w:w="4500" w:type="dxa"/>
          </w:tcPr>
          <w:p w14:paraId="065B4ED8"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يعزز التقدير المجتمعي لنجاحات المرأة القيادية التزامي بالاستمرار والتطور.</w:t>
            </w:r>
          </w:p>
        </w:tc>
        <w:tc>
          <w:tcPr>
            <w:tcW w:w="1050" w:type="dxa"/>
          </w:tcPr>
          <w:p w14:paraId="77EC6013"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0.622</w:t>
            </w:r>
          </w:p>
        </w:tc>
        <w:tc>
          <w:tcPr>
            <w:tcW w:w="1026" w:type="dxa"/>
          </w:tcPr>
          <w:p w14:paraId="422EAE2A"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0.866</w:t>
            </w:r>
          </w:p>
        </w:tc>
      </w:tr>
      <w:tr w:rsidR="00AD326D" w:rsidRPr="00AD326D" w14:paraId="3F88D301"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092C4DE9"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650" w:type="dxa"/>
          </w:tcPr>
          <w:p w14:paraId="03B59D6B"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CUL10</w:t>
            </w:r>
          </w:p>
        </w:tc>
        <w:tc>
          <w:tcPr>
            <w:tcW w:w="4500" w:type="dxa"/>
          </w:tcPr>
          <w:p w14:paraId="6964C711"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تدعم الثقافة المحلية في المجتمع السعودي مشاركة المرأة في القيادة الاستراتيجية.</w:t>
            </w:r>
          </w:p>
        </w:tc>
        <w:tc>
          <w:tcPr>
            <w:tcW w:w="1050" w:type="dxa"/>
          </w:tcPr>
          <w:p w14:paraId="5A35D607"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0.612</w:t>
            </w:r>
          </w:p>
        </w:tc>
        <w:tc>
          <w:tcPr>
            <w:tcW w:w="1026" w:type="dxa"/>
          </w:tcPr>
          <w:p w14:paraId="5E60B83D"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0.867</w:t>
            </w:r>
          </w:p>
        </w:tc>
      </w:tr>
      <w:tr w:rsidR="00AD326D" w:rsidRPr="00AD326D" w14:paraId="041E3846"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7F1394D7"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2D420740"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ORG1</w:t>
            </w:r>
          </w:p>
        </w:tc>
        <w:tc>
          <w:tcPr>
            <w:tcW w:w="4500" w:type="dxa"/>
          </w:tcPr>
          <w:p w14:paraId="591CE190"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يتيح الهيكل التنظيمي في جهتي الحكومية للمرأة الوصول إلى المناصب القيادية.</w:t>
            </w:r>
          </w:p>
        </w:tc>
        <w:tc>
          <w:tcPr>
            <w:tcW w:w="1050" w:type="dxa"/>
          </w:tcPr>
          <w:p w14:paraId="44063DCF"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0.627</w:t>
            </w:r>
          </w:p>
        </w:tc>
        <w:tc>
          <w:tcPr>
            <w:tcW w:w="1026" w:type="dxa"/>
          </w:tcPr>
          <w:p w14:paraId="3E7E08A3"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0.864</w:t>
            </w:r>
          </w:p>
        </w:tc>
      </w:tr>
      <w:tr w:rsidR="00AD326D" w:rsidRPr="00AD326D" w14:paraId="563F539C"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16618DDB"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378BB56B"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ORG2</w:t>
            </w:r>
          </w:p>
        </w:tc>
        <w:tc>
          <w:tcPr>
            <w:tcW w:w="4500" w:type="dxa"/>
          </w:tcPr>
          <w:p w14:paraId="05BB9FD1"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تطبق سياسات الموارد البشرية في جهتي معايير عادلة وتدعم التمكين القيادي للنساء.</w:t>
            </w:r>
          </w:p>
        </w:tc>
        <w:tc>
          <w:tcPr>
            <w:tcW w:w="1050" w:type="dxa"/>
          </w:tcPr>
          <w:p w14:paraId="09EED585"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0.634</w:t>
            </w:r>
          </w:p>
        </w:tc>
        <w:tc>
          <w:tcPr>
            <w:tcW w:w="1026" w:type="dxa"/>
          </w:tcPr>
          <w:p w14:paraId="2A81F27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0.863</w:t>
            </w:r>
          </w:p>
        </w:tc>
      </w:tr>
      <w:tr w:rsidR="00AD326D" w:rsidRPr="00AD326D" w14:paraId="729DCBE5"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56777118"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3F3A955D"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ORG3</w:t>
            </w:r>
          </w:p>
        </w:tc>
        <w:tc>
          <w:tcPr>
            <w:tcW w:w="4500" w:type="dxa"/>
          </w:tcPr>
          <w:p w14:paraId="4580DCFD"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تتاح لي برامج تدريب وتطوير قيادي مرتبطة باحتياجات عملي ومسؤوليتي الحالية.</w:t>
            </w:r>
          </w:p>
        </w:tc>
        <w:tc>
          <w:tcPr>
            <w:tcW w:w="1050" w:type="dxa"/>
          </w:tcPr>
          <w:p w14:paraId="7BAAA555"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0.631</w:t>
            </w:r>
          </w:p>
        </w:tc>
        <w:tc>
          <w:tcPr>
            <w:tcW w:w="1026" w:type="dxa"/>
          </w:tcPr>
          <w:p w14:paraId="5C959C6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0.863</w:t>
            </w:r>
          </w:p>
        </w:tc>
      </w:tr>
      <w:tr w:rsidR="00AD326D" w:rsidRPr="00AD326D" w14:paraId="3CDFC8F3"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2AA3FE0A"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70558432"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ORG4</w:t>
            </w:r>
          </w:p>
        </w:tc>
        <w:tc>
          <w:tcPr>
            <w:tcW w:w="4500" w:type="dxa"/>
          </w:tcPr>
          <w:p w14:paraId="1BBD65B5"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توجد في جهتي آليات واضحة وموضوعية لتقييم الأداء القيادي.</w:t>
            </w:r>
          </w:p>
        </w:tc>
        <w:tc>
          <w:tcPr>
            <w:tcW w:w="1050" w:type="dxa"/>
          </w:tcPr>
          <w:p w14:paraId="4BF387D3"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0.583</w:t>
            </w:r>
          </w:p>
        </w:tc>
        <w:tc>
          <w:tcPr>
            <w:tcW w:w="1026" w:type="dxa"/>
          </w:tcPr>
          <w:p w14:paraId="58AE96E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0.867</w:t>
            </w:r>
          </w:p>
        </w:tc>
      </w:tr>
      <w:tr w:rsidR="00AD326D" w:rsidRPr="00AD326D" w14:paraId="5C02DBC5"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702CF27C"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075F6195"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ORG5</w:t>
            </w:r>
          </w:p>
        </w:tc>
        <w:tc>
          <w:tcPr>
            <w:tcW w:w="4500" w:type="dxa"/>
          </w:tcPr>
          <w:p w14:paraId="712F3F35"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أحصل على دعم الإدارة العليا لأداء مسؤولياتي القيادية واتخاذ قراراتي.</w:t>
            </w:r>
          </w:p>
        </w:tc>
        <w:tc>
          <w:tcPr>
            <w:tcW w:w="1050" w:type="dxa"/>
          </w:tcPr>
          <w:p w14:paraId="3C98C94B"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0.536</w:t>
            </w:r>
          </w:p>
        </w:tc>
        <w:tc>
          <w:tcPr>
            <w:tcW w:w="1026" w:type="dxa"/>
          </w:tcPr>
          <w:p w14:paraId="4C6F1198"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0.870</w:t>
            </w:r>
          </w:p>
        </w:tc>
      </w:tr>
      <w:tr w:rsidR="00AD326D" w:rsidRPr="00AD326D" w14:paraId="70982C45"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74B5EF74"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02B01BA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ORG6</w:t>
            </w:r>
          </w:p>
        </w:tc>
        <w:tc>
          <w:tcPr>
            <w:tcW w:w="4500" w:type="dxa"/>
          </w:tcPr>
          <w:p w14:paraId="39214F00"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أشارك بصورة عادلة ومؤثرة في لجان صنع القرار والتخطيط داخل الجهة.</w:t>
            </w:r>
          </w:p>
        </w:tc>
        <w:tc>
          <w:tcPr>
            <w:tcW w:w="1050" w:type="dxa"/>
          </w:tcPr>
          <w:p w14:paraId="4DE08679"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0.620</w:t>
            </w:r>
          </w:p>
        </w:tc>
        <w:tc>
          <w:tcPr>
            <w:tcW w:w="1026" w:type="dxa"/>
          </w:tcPr>
          <w:p w14:paraId="3993A7C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0.864</w:t>
            </w:r>
          </w:p>
        </w:tc>
      </w:tr>
      <w:tr w:rsidR="00AD326D" w:rsidRPr="00AD326D" w14:paraId="359A54BD"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18E74F00"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7CCE7742"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ORG7</w:t>
            </w:r>
          </w:p>
        </w:tc>
        <w:tc>
          <w:tcPr>
            <w:tcW w:w="4500" w:type="dxa"/>
          </w:tcPr>
          <w:p w14:paraId="17C20B07"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تتوافر الموارد البشرية والمالية والمعلومات اللازمة لإنجاز مهامي القيادية.</w:t>
            </w:r>
          </w:p>
        </w:tc>
        <w:tc>
          <w:tcPr>
            <w:tcW w:w="1050" w:type="dxa"/>
          </w:tcPr>
          <w:p w14:paraId="0A2DBC53"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0.618</w:t>
            </w:r>
          </w:p>
        </w:tc>
        <w:tc>
          <w:tcPr>
            <w:tcW w:w="1026" w:type="dxa"/>
          </w:tcPr>
          <w:p w14:paraId="179E792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0.864</w:t>
            </w:r>
          </w:p>
        </w:tc>
      </w:tr>
      <w:tr w:rsidR="00AD326D" w:rsidRPr="00AD326D" w14:paraId="07F51E0E"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7CB19765"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4409FB7F"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ORG8</w:t>
            </w:r>
          </w:p>
        </w:tc>
        <w:tc>
          <w:tcPr>
            <w:tcW w:w="4500" w:type="dxa"/>
          </w:tcPr>
          <w:p w14:paraId="4E021013"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توفر بيئة العمل حماية فعلية من التمييز والتحيز القائم على النوع الاجتماعي.</w:t>
            </w:r>
          </w:p>
        </w:tc>
        <w:tc>
          <w:tcPr>
            <w:tcW w:w="1050" w:type="dxa"/>
          </w:tcPr>
          <w:p w14:paraId="402F9A0B"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0.597</w:t>
            </w:r>
          </w:p>
        </w:tc>
        <w:tc>
          <w:tcPr>
            <w:tcW w:w="1026" w:type="dxa"/>
          </w:tcPr>
          <w:p w14:paraId="7D357C79"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0.866</w:t>
            </w:r>
          </w:p>
        </w:tc>
      </w:tr>
      <w:tr w:rsidR="00AD326D" w:rsidRPr="00AD326D" w14:paraId="7125790A"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618EA85F"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38DE2193"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ORG9</w:t>
            </w:r>
          </w:p>
        </w:tc>
        <w:tc>
          <w:tcPr>
            <w:tcW w:w="4500" w:type="dxa"/>
          </w:tcPr>
          <w:p w14:paraId="3CBACECF"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تتسم برامج التمكين القيادي في جهتي الحكومية بالفعالية في تطوير أدائي ومساري.</w:t>
            </w:r>
          </w:p>
        </w:tc>
        <w:tc>
          <w:tcPr>
            <w:tcW w:w="1050" w:type="dxa"/>
          </w:tcPr>
          <w:p w14:paraId="659C9CD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0.581</w:t>
            </w:r>
          </w:p>
        </w:tc>
        <w:tc>
          <w:tcPr>
            <w:tcW w:w="1026" w:type="dxa"/>
          </w:tcPr>
          <w:p w14:paraId="44399C14"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0.867</w:t>
            </w:r>
          </w:p>
        </w:tc>
      </w:tr>
      <w:tr w:rsidR="00AD326D" w:rsidRPr="00AD326D" w14:paraId="7E3DF661"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45A1634D"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650" w:type="dxa"/>
          </w:tcPr>
          <w:p w14:paraId="5B6B65C0"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ORG10</w:t>
            </w:r>
          </w:p>
        </w:tc>
        <w:tc>
          <w:tcPr>
            <w:tcW w:w="4500" w:type="dxa"/>
          </w:tcPr>
          <w:p w14:paraId="422B5C5A"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توجد آلية معلنة للمتابعة والتطوير والترقيات الخاصة بالمسار القيادي.</w:t>
            </w:r>
          </w:p>
        </w:tc>
        <w:tc>
          <w:tcPr>
            <w:tcW w:w="1050" w:type="dxa"/>
          </w:tcPr>
          <w:p w14:paraId="1482CE3A"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0.586</w:t>
            </w:r>
          </w:p>
        </w:tc>
        <w:tc>
          <w:tcPr>
            <w:tcW w:w="1026" w:type="dxa"/>
          </w:tcPr>
          <w:p w14:paraId="792E3F43"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0.867</w:t>
            </w:r>
          </w:p>
        </w:tc>
      </w:tr>
      <w:tr w:rsidR="00AD326D" w:rsidRPr="00AD326D" w14:paraId="08B1B732"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2A21EFFC"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50" w:type="dxa"/>
          </w:tcPr>
          <w:p w14:paraId="73005D0D"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EMP1</w:t>
            </w:r>
          </w:p>
        </w:tc>
        <w:tc>
          <w:tcPr>
            <w:tcW w:w="4500" w:type="dxa"/>
          </w:tcPr>
          <w:p w14:paraId="6FFEB900"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أمتلك الصلاحية اللازمة لاتخاذ القرارات المهمة المرتبطة باختصاصي.</w:t>
            </w:r>
          </w:p>
        </w:tc>
        <w:tc>
          <w:tcPr>
            <w:tcW w:w="1050" w:type="dxa"/>
          </w:tcPr>
          <w:p w14:paraId="1A0C29D1"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0.598</w:t>
            </w:r>
          </w:p>
        </w:tc>
        <w:tc>
          <w:tcPr>
            <w:tcW w:w="1026" w:type="dxa"/>
          </w:tcPr>
          <w:p w14:paraId="5FACF14B"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0.844</w:t>
            </w:r>
          </w:p>
        </w:tc>
      </w:tr>
      <w:tr w:rsidR="00AD326D" w:rsidRPr="00AD326D" w14:paraId="3F09CE14"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24CDB0B0"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50" w:type="dxa"/>
          </w:tcPr>
          <w:p w14:paraId="02001A45"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EMP2</w:t>
            </w:r>
          </w:p>
        </w:tc>
        <w:tc>
          <w:tcPr>
            <w:tcW w:w="4500" w:type="dxa"/>
          </w:tcPr>
          <w:p w14:paraId="58FC83BC"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أتمتع بالاستقلالية اللازمة لممارسة مهامي القيادية بفاعلية.</w:t>
            </w:r>
          </w:p>
        </w:tc>
        <w:tc>
          <w:tcPr>
            <w:tcW w:w="1050" w:type="dxa"/>
          </w:tcPr>
          <w:p w14:paraId="6A56A5C1"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0.527</w:t>
            </w:r>
          </w:p>
        </w:tc>
        <w:tc>
          <w:tcPr>
            <w:tcW w:w="1026" w:type="dxa"/>
          </w:tcPr>
          <w:p w14:paraId="1921C185"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0.850</w:t>
            </w:r>
          </w:p>
        </w:tc>
      </w:tr>
      <w:tr w:rsidR="00AD326D" w:rsidRPr="00AD326D" w14:paraId="3A1809C8"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7633A908"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50" w:type="dxa"/>
          </w:tcPr>
          <w:p w14:paraId="36E89AF5"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EMP3</w:t>
            </w:r>
          </w:p>
        </w:tc>
        <w:tc>
          <w:tcPr>
            <w:tcW w:w="4500" w:type="dxa"/>
          </w:tcPr>
          <w:p w14:paraId="148D7702"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أشارك بصورة مؤثرة في وضع استراتيجيات الجهة واتخاذ قراراتها التنظيمية.</w:t>
            </w:r>
          </w:p>
        </w:tc>
        <w:tc>
          <w:tcPr>
            <w:tcW w:w="1050" w:type="dxa"/>
          </w:tcPr>
          <w:p w14:paraId="121B3E94"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0.541</w:t>
            </w:r>
          </w:p>
        </w:tc>
        <w:tc>
          <w:tcPr>
            <w:tcW w:w="1026" w:type="dxa"/>
          </w:tcPr>
          <w:p w14:paraId="3A3C65BE"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0.849</w:t>
            </w:r>
          </w:p>
        </w:tc>
      </w:tr>
      <w:tr w:rsidR="00AD326D" w:rsidRPr="00AD326D" w14:paraId="74874507"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473C1CBD"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50" w:type="dxa"/>
          </w:tcPr>
          <w:p w14:paraId="68276BC1"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EMP4</w:t>
            </w:r>
          </w:p>
        </w:tc>
        <w:tc>
          <w:tcPr>
            <w:tcW w:w="4500" w:type="dxa"/>
          </w:tcPr>
          <w:p w14:paraId="4B5DB6EF"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أشعر بأن الإدارة العليا تثق بقدراتي القيادية وتدعمني في عملي.</w:t>
            </w:r>
          </w:p>
        </w:tc>
        <w:tc>
          <w:tcPr>
            <w:tcW w:w="1050" w:type="dxa"/>
          </w:tcPr>
          <w:p w14:paraId="653FD74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0.594</w:t>
            </w:r>
          </w:p>
        </w:tc>
        <w:tc>
          <w:tcPr>
            <w:tcW w:w="1026" w:type="dxa"/>
          </w:tcPr>
          <w:p w14:paraId="5D327A3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0.844</w:t>
            </w:r>
          </w:p>
        </w:tc>
      </w:tr>
      <w:tr w:rsidR="00AD326D" w:rsidRPr="00AD326D" w14:paraId="5AF54948"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04700E77"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lastRenderedPageBreak/>
              <w:t>التمكين القيادي</w:t>
            </w:r>
          </w:p>
        </w:tc>
        <w:tc>
          <w:tcPr>
            <w:tcW w:w="650" w:type="dxa"/>
          </w:tcPr>
          <w:p w14:paraId="59E79484"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EMP5</w:t>
            </w:r>
          </w:p>
        </w:tc>
        <w:tc>
          <w:tcPr>
            <w:tcW w:w="4500" w:type="dxa"/>
          </w:tcPr>
          <w:p w14:paraId="24396904"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أثق بقدرتي على إدارة الفرق وتحفيز الموظفين لتحقيق أهداف الجهة.</w:t>
            </w:r>
          </w:p>
        </w:tc>
        <w:tc>
          <w:tcPr>
            <w:tcW w:w="1050" w:type="dxa"/>
          </w:tcPr>
          <w:p w14:paraId="497E88DB"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0.601</w:t>
            </w:r>
          </w:p>
        </w:tc>
        <w:tc>
          <w:tcPr>
            <w:tcW w:w="1026" w:type="dxa"/>
          </w:tcPr>
          <w:p w14:paraId="16552190"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0.844</w:t>
            </w:r>
          </w:p>
        </w:tc>
      </w:tr>
      <w:tr w:rsidR="00AD326D" w:rsidRPr="00AD326D" w14:paraId="6379E93D"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0F09434C"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50" w:type="dxa"/>
          </w:tcPr>
          <w:p w14:paraId="716782EA"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EMP6</w:t>
            </w:r>
          </w:p>
        </w:tc>
        <w:tc>
          <w:tcPr>
            <w:tcW w:w="4500" w:type="dxa"/>
          </w:tcPr>
          <w:p w14:paraId="2B162FB7"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أستخدم مهاراتي القيادية في حل المشكلات والأزمات المعقدة.</w:t>
            </w:r>
          </w:p>
        </w:tc>
        <w:tc>
          <w:tcPr>
            <w:tcW w:w="1050" w:type="dxa"/>
          </w:tcPr>
          <w:p w14:paraId="0D3137C1"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0.576</w:t>
            </w:r>
          </w:p>
        </w:tc>
        <w:tc>
          <w:tcPr>
            <w:tcW w:w="1026" w:type="dxa"/>
          </w:tcPr>
          <w:p w14:paraId="3434AA6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0.846</w:t>
            </w:r>
          </w:p>
        </w:tc>
      </w:tr>
      <w:tr w:rsidR="00AD326D" w:rsidRPr="00AD326D" w14:paraId="3660FB91"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56F5AF5C"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50" w:type="dxa"/>
          </w:tcPr>
          <w:p w14:paraId="2A55535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EMP7</w:t>
            </w:r>
          </w:p>
        </w:tc>
        <w:tc>
          <w:tcPr>
            <w:tcW w:w="4500" w:type="dxa"/>
          </w:tcPr>
          <w:p w14:paraId="266AC7D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أمتلك القدرة على تمثيل جهتي الحكومية في الفعاليات واللجان الخارجية.</w:t>
            </w:r>
          </w:p>
        </w:tc>
        <w:tc>
          <w:tcPr>
            <w:tcW w:w="1050" w:type="dxa"/>
          </w:tcPr>
          <w:p w14:paraId="69811C0E"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0.570</w:t>
            </w:r>
          </w:p>
        </w:tc>
        <w:tc>
          <w:tcPr>
            <w:tcW w:w="1026" w:type="dxa"/>
          </w:tcPr>
          <w:p w14:paraId="191E319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0.846</w:t>
            </w:r>
          </w:p>
        </w:tc>
      </w:tr>
      <w:tr w:rsidR="00AD326D" w:rsidRPr="00AD326D" w14:paraId="22B30BB4"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419FCCBB"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50" w:type="dxa"/>
          </w:tcPr>
          <w:p w14:paraId="2A7E00B8"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EMP8</w:t>
            </w:r>
          </w:p>
        </w:tc>
        <w:tc>
          <w:tcPr>
            <w:tcW w:w="4500" w:type="dxa"/>
          </w:tcPr>
          <w:p w14:paraId="3EEE6411"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يتم الاعتراف بإسهاماتي وإنجازاتي القيادية داخل الجهة الحكومية.</w:t>
            </w:r>
          </w:p>
        </w:tc>
        <w:tc>
          <w:tcPr>
            <w:tcW w:w="1050" w:type="dxa"/>
          </w:tcPr>
          <w:p w14:paraId="5A81B61E"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0.539</w:t>
            </w:r>
          </w:p>
        </w:tc>
        <w:tc>
          <w:tcPr>
            <w:tcW w:w="1026" w:type="dxa"/>
          </w:tcPr>
          <w:p w14:paraId="3D3483DA"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0.849</w:t>
            </w:r>
          </w:p>
        </w:tc>
      </w:tr>
      <w:tr w:rsidR="00AD326D" w:rsidRPr="00AD326D" w14:paraId="5FA6473C"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49D4B322"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50" w:type="dxa"/>
          </w:tcPr>
          <w:p w14:paraId="7FE908C6"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EMP9</w:t>
            </w:r>
          </w:p>
        </w:tc>
        <w:tc>
          <w:tcPr>
            <w:tcW w:w="4500" w:type="dxa"/>
          </w:tcPr>
          <w:p w14:paraId="2A028393"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أستطيع إدارة التوازن بين مسؤولياتي القيادية ومهامي اليومية بكفاءة.</w:t>
            </w:r>
          </w:p>
        </w:tc>
        <w:tc>
          <w:tcPr>
            <w:tcW w:w="1050" w:type="dxa"/>
          </w:tcPr>
          <w:p w14:paraId="3D7E6AC1"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0.539</w:t>
            </w:r>
          </w:p>
        </w:tc>
        <w:tc>
          <w:tcPr>
            <w:tcW w:w="1026" w:type="dxa"/>
          </w:tcPr>
          <w:p w14:paraId="35D24B7A" w14:textId="77777777" w:rsidR="002F2EAD" w:rsidRPr="00AD326D" w:rsidRDefault="00437DE2" w:rsidP="00442B69">
            <w:pPr>
              <w:bidi/>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0.849</w:t>
            </w:r>
          </w:p>
        </w:tc>
      </w:tr>
      <w:tr w:rsidR="00AD326D" w:rsidRPr="00AD326D" w14:paraId="7E451FCE" w14:textId="77777777" w:rsidTr="006F6583">
        <w:tc>
          <w:tcPr>
            <w:cnfStyle w:val="001000000000" w:firstRow="0" w:lastRow="0" w:firstColumn="1" w:lastColumn="0" w:oddVBand="0" w:evenVBand="0" w:oddHBand="0" w:evenHBand="0" w:firstRowFirstColumn="0" w:firstRowLastColumn="0" w:lastRowFirstColumn="0" w:lastRowLastColumn="0"/>
            <w:tcW w:w="1800" w:type="dxa"/>
          </w:tcPr>
          <w:p w14:paraId="0907A051" w14:textId="77777777" w:rsidR="002F2EAD" w:rsidRPr="00AD326D" w:rsidRDefault="00437DE2" w:rsidP="00442B69">
            <w:pPr>
              <w:bidi/>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650" w:type="dxa"/>
          </w:tcPr>
          <w:p w14:paraId="049DFCE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EMP10</w:t>
            </w:r>
          </w:p>
        </w:tc>
        <w:tc>
          <w:tcPr>
            <w:tcW w:w="4500" w:type="dxa"/>
          </w:tcPr>
          <w:p w14:paraId="3BFBC33F"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أشعر بالحافز لمواصلة تطوير قدراتي وتولي مسؤوليات قيادية أكبر مستقبلًا.</w:t>
            </w:r>
          </w:p>
        </w:tc>
        <w:tc>
          <w:tcPr>
            <w:tcW w:w="1050" w:type="dxa"/>
          </w:tcPr>
          <w:p w14:paraId="447E0A7F"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0.586</w:t>
            </w:r>
          </w:p>
        </w:tc>
        <w:tc>
          <w:tcPr>
            <w:tcW w:w="1026" w:type="dxa"/>
          </w:tcPr>
          <w:p w14:paraId="32659656" w14:textId="77777777" w:rsidR="002F2EAD" w:rsidRPr="00AD326D" w:rsidRDefault="00437DE2" w:rsidP="00442B69">
            <w:pPr>
              <w:bidi/>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0.845</w:t>
            </w:r>
          </w:p>
        </w:tc>
      </w:tr>
    </w:tbl>
    <w:p w14:paraId="5905CF23" w14:textId="77777777" w:rsidR="006F6583" w:rsidRDefault="006F6583" w:rsidP="00442B69">
      <w:pPr>
        <w:pStyle w:val="ThesisH2"/>
        <w:spacing w:line="360" w:lineRule="auto"/>
        <w:jc w:val="both"/>
        <w:rPr>
          <w:rFonts w:ascii="Arabic Typesetting" w:hAnsi="Arabic Typesetting" w:cs="Arabic Typesetting"/>
          <w:color w:val="auto"/>
          <w:sz w:val="32"/>
          <w:szCs w:val="32"/>
          <w:rtl/>
        </w:rPr>
      </w:pPr>
      <w:r w:rsidRPr="006F6583">
        <w:rPr>
          <w:rFonts w:ascii="Arabic Typesetting" w:hAnsi="Arabic Typesetting" w:cs="Arabic Typesetting"/>
          <w:color w:val="auto"/>
          <w:sz w:val="32"/>
          <w:szCs w:val="32"/>
          <w:rtl/>
        </w:rPr>
        <w:t>يوضح الجدول (4-7) نتائج اختبار الاتساق الداخلي لبنود الاستبانة من خلال معامل الارتباط المصحح بين كل بند ومجموع الدرجة الكلية للبُعد الذي ينتمي إليه، إلى جانب قيمة معامل كرونباخ ألفا في حال حذف البند. وتُظهر النتائج أن جميع معاملات الارتباط المصححة جاءت موجبة وتجاوزت الحد الإرشادي المقبول البالغ 0.30، إذ تراوحت في بُعد العوامل الاجتماعية بين 0.547 و0.659، وفي بُعد العوامل الثقافية بين 0.527 و0.637، وفي بُعد العوامل التنظيمية بين 0.536 و0.634، بينما تراوحت في بُعد التمكين القيادي بين 0.527 و0.601. ويشير ذلك إلى أن كل بند يرتبط بدرجة مناسبة مع البُعد الذي يقيسه، وأن البنود لا تعمل بصورة منفصلة عن البناء العام للمتغير، بل تسهم في قياس المفهوم نفسه بدرجة متسقة. ففي بُعد العوامل الاجتماعية، سجل البند</w:t>
      </w:r>
      <w:r w:rsidRPr="006F6583">
        <w:rPr>
          <w:rFonts w:ascii="Arabic Typesetting" w:hAnsi="Arabic Typesetting" w:cs="Arabic Typesetting"/>
          <w:color w:val="auto"/>
          <w:sz w:val="32"/>
          <w:szCs w:val="32"/>
          <w:lang w:val="en-GB"/>
        </w:rPr>
        <w:t xml:space="preserve"> SOC9 </w:t>
      </w:r>
      <w:r w:rsidRPr="006F6583">
        <w:rPr>
          <w:rFonts w:ascii="Arabic Typesetting" w:hAnsi="Arabic Typesetting" w:cs="Arabic Typesetting"/>
          <w:color w:val="auto"/>
          <w:sz w:val="32"/>
          <w:szCs w:val="32"/>
          <w:rtl/>
        </w:rPr>
        <w:t>أعلى ارتباط مصحح بقيمة 0.659، مما يدل على ارتباط قوي نسبيًا بين تقبل المجتمع لمشاركة المرأة في اتخاذ القرارات المهمة وبين الدرجة الكلية للعوامل الاجتماعية، في حين سجل البند</w:t>
      </w:r>
      <w:r w:rsidRPr="006F6583">
        <w:rPr>
          <w:rFonts w:ascii="Arabic Typesetting" w:hAnsi="Arabic Typesetting" w:cs="Arabic Typesetting"/>
          <w:color w:val="auto"/>
          <w:sz w:val="32"/>
          <w:szCs w:val="32"/>
          <w:lang w:val="en-GB"/>
        </w:rPr>
        <w:t xml:space="preserve"> SOC7 </w:t>
      </w:r>
      <w:r w:rsidRPr="006F6583">
        <w:rPr>
          <w:rFonts w:ascii="Arabic Typesetting" w:hAnsi="Arabic Typesetting" w:cs="Arabic Typesetting"/>
          <w:color w:val="auto"/>
          <w:sz w:val="32"/>
          <w:szCs w:val="32"/>
          <w:rtl/>
        </w:rPr>
        <w:t>أدنى ارتباط بقيمة 0.547، وهي قيمة تظل مقبولة وتؤكد أهمية الدعم النفسي في تكوين البعد الاجتماعي. وفي بُعد العوامل الثقافية، جاء البند</w:t>
      </w:r>
      <w:r w:rsidRPr="006F6583">
        <w:rPr>
          <w:rFonts w:ascii="Arabic Typesetting" w:hAnsi="Arabic Typesetting" w:cs="Arabic Typesetting"/>
          <w:color w:val="auto"/>
          <w:sz w:val="32"/>
          <w:szCs w:val="32"/>
          <w:lang w:val="en-GB"/>
        </w:rPr>
        <w:t xml:space="preserve"> CUL2 </w:t>
      </w:r>
      <w:r w:rsidRPr="006F6583">
        <w:rPr>
          <w:rFonts w:ascii="Arabic Typesetting" w:hAnsi="Arabic Typesetting" w:cs="Arabic Typesetting"/>
          <w:color w:val="auto"/>
          <w:sz w:val="32"/>
          <w:szCs w:val="32"/>
          <w:rtl/>
        </w:rPr>
        <w:t>في المرتبة الأولى بارتباط بلغ 0.637، بينما جاء البند</w:t>
      </w:r>
      <w:r w:rsidRPr="006F6583">
        <w:rPr>
          <w:rFonts w:ascii="Arabic Typesetting" w:hAnsi="Arabic Typesetting" w:cs="Arabic Typesetting"/>
          <w:color w:val="auto"/>
          <w:sz w:val="32"/>
          <w:szCs w:val="32"/>
          <w:lang w:val="en-GB"/>
        </w:rPr>
        <w:t xml:space="preserve"> CUL7 </w:t>
      </w:r>
      <w:r w:rsidRPr="006F6583">
        <w:rPr>
          <w:rFonts w:ascii="Arabic Typesetting" w:hAnsi="Arabic Typesetting" w:cs="Arabic Typesetting"/>
          <w:color w:val="auto"/>
          <w:sz w:val="32"/>
          <w:szCs w:val="32"/>
          <w:rtl/>
        </w:rPr>
        <w:t>في المرتبة الأخيرة بارتباط 0.527، مما قد يشير إلى أن البرامج التوعوية، رغم أهميتها، تمثل جانبًا أكثر تفاوتًا في الخبرات الثقافية للمشاركات، لكنها لا تزال منسجمة مع بقية بنود البعد. أما في بُعد العوامل التنظيمية، فقد سجل البند</w:t>
      </w:r>
      <w:r w:rsidRPr="006F6583">
        <w:rPr>
          <w:rFonts w:ascii="Arabic Typesetting" w:hAnsi="Arabic Typesetting" w:cs="Arabic Typesetting"/>
          <w:color w:val="auto"/>
          <w:sz w:val="32"/>
          <w:szCs w:val="32"/>
          <w:lang w:val="en-GB"/>
        </w:rPr>
        <w:t xml:space="preserve"> ORG2 </w:t>
      </w:r>
      <w:r w:rsidRPr="006F6583">
        <w:rPr>
          <w:rFonts w:ascii="Arabic Typesetting" w:hAnsi="Arabic Typesetting" w:cs="Arabic Typesetting"/>
          <w:color w:val="auto"/>
          <w:sz w:val="32"/>
          <w:szCs w:val="32"/>
          <w:rtl/>
        </w:rPr>
        <w:t>أعلى ارتباط مصحح بقيمة 0.634، بما يعكس أهمية عدالة سياسات الموارد البشرية في تشكيل البيئة التنظيمية الداعمة للتمكين، في حين سجل البند</w:t>
      </w:r>
      <w:r w:rsidRPr="006F6583">
        <w:rPr>
          <w:rFonts w:ascii="Arabic Typesetting" w:hAnsi="Arabic Typesetting" w:cs="Arabic Typesetting"/>
          <w:color w:val="auto"/>
          <w:sz w:val="32"/>
          <w:szCs w:val="32"/>
          <w:lang w:val="en-GB"/>
        </w:rPr>
        <w:t xml:space="preserve"> ORG5 </w:t>
      </w:r>
      <w:r w:rsidRPr="006F6583">
        <w:rPr>
          <w:rFonts w:ascii="Arabic Typesetting" w:hAnsi="Arabic Typesetting" w:cs="Arabic Typesetting"/>
          <w:color w:val="auto"/>
          <w:sz w:val="32"/>
          <w:szCs w:val="32"/>
          <w:rtl/>
        </w:rPr>
        <w:t>أدنى ارتباط بقيمة 0.536، وهو ما يشير إلى أن دعم الإدارة العليا قد يختلف نسبيًا بين المشاركات، مع بقائه مرتبطًا بالبُعد التنظيمي بصورة مقبولة.</w:t>
      </w:r>
    </w:p>
    <w:p w14:paraId="6C98782D" w14:textId="4F21A6B8" w:rsidR="006F6583" w:rsidRPr="006F6583" w:rsidRDefault="006F6583" w:rsidP="00442B69">
      <w:pPr>
        <w:pStyle w:val="ThesisH2"/>
        <w:spacing w:line="360" w:lineRule="auto"/>
        <w:jc w:val="both"/>
        <w:rPr>
          <w:rFonts w:ascii="Arabic Typesetting" w:hAnsi="Arabic Typesetting" w:cs="Arabic Typesetting"/>
          <w:color w:val="auto"/>
          <w:sz w:val="32"/>
          <w:szCs w:val="32"/>
          <w:lang w:val="en-GB"/>
        </w:rPr>
      </w:pPr>
      <w:r w:rsidRPr="006F6583">
        <w:rPr>
          <w:rFonts w:ascii="Arabic Typesetting" w:hAnsi="Arabic Typesetting" w:cs="Arabic Typesetting"/>
          <w:color w:val="auto"/>
          <w:sz w:val="32"/>
          <w:szCs w:val="32"/>
          <w:rtl/>
        </w:rPr>
        <w:t xml:space="preserve"> وفي بُعد التمكين القيادي، تراوحت معاملات الارتباط بين 0.527 للبند</w:t>
      </w:r>
      <w:r w:rsidRPr="006F6583">
        <w:rPr>
          <w:rFonts w:ascii="Arabic Typesetting" w:hAnsi="Arabic Typesetting" w:cs="Arabic Typesetting"/>
          <w:color w:val="auto"/>
          <w:sz w:val="32"/>
          <w:szCs w:val="32"/>
          <w:lang w:val="en-GB"/>
        </w:rPr>
        <w:t xml:space="preserve"> EMP2 </w:t>
      </w:r>
      <w:r w:rsidRPr="006F6583">
        <w:rPr>
          <w:rFonts w:ascii="Arabic Typesetting" w:hAnsi="Arabic Typesetting" w:cs="Arabic Typesetting"/>
          <w:color w:val="auto"/>
          <w:sz w:val="32"/>
          <w:szCs w:val="32"/>
          <w:rtl/>
        </w:rPr>
        <w:t>و0.601 للبند</w:t>
      </w:r>
      <w:r w:rsidRPr="006F6583">
        <w:rPr>
          <w:rFonts w:ascii="Arabic Typesetting" w:hAnsi="Arabic Typesetting" w:cs="Arabic Typesetting"/>
          <w:color w:val="auto"/>
          <w:sz w:val="32"/>
          <w:szCs w:val="32"/>
          <w:lang w:val="en-GB"/>
        </w:rPr>
        <w:t xml:space="preserve"> EMP5</w:t>
      </w:r>
      <w:r w:rsidRPr="006F6583">
        <w:rPr>
          <w:rFonts w:ascii="Arabic Typesetting" w:hAnsi="Arabic Typesetting" w:cs="Arabic Typesetting"/>
          <w:color w:val="auto"/>
          <w:sz w:val="32"/>
          <w:szCs w:val="32"/>
          <w:rtl/>
        </w:rPr>
        <w:t xml:space="preserve">، مما يؤكد أن الاستقلالية وإدارة الفرق يمثلان مكونات متسقة مع مفهوم التمكين القيادي ولا يخرجان عن البناء العام للمتغير. كما توضح قيم «ألفا عند الحذف» أن حذف أي بند لا يؤدي إلى رفع مستوى الثبات الكلي لأي بُعد؛ فقد بقيت القيم بعد الحذف أقل من معاملات ألفا الأصلية، التي بلغت </w:t>
      </w:r>
      <w:r w:rsidRPr="006F6583">
        <w:rPr>
          <w:rFonts w:ascii="Arabic Typesetting" w:hAnsi="Arabic Typesetting" w:cs="Arabic Typesetting"/>
          <w:color w:val="auto"/>
          <w:sz w:val="32"/>
          <w:szCs w:val="32"/>
          <w:rtl/>
        </w:rPr>
        <w:lastRenderedPageBreak/>
        <w:t>0.882 للعوامل الاجتماعية، و0.879 للعوامل الثقافية، و0.877 للعوامل التنظيمية، و0.860 للتمكين القيادي. وتؤكد هذه النتيجة أن جميع البنود تؤدي وظيفة قياسية مهمة، وأن حذف أي منها قد يقلل من شمولية المحتوى دون تحقيق تحسن في الاتساق الداخلي. وبناءً على ذلك، تم الاحتفاظ بالبُنود الأربعين جميعها في التحليل النهائي، الأمر الذي يدعم موثوقية الأداة وصلاحية استخدام درجاتها المركبة في التحليلات الوصفية واختبارات الارتباط والانحدار، مع التأكيد على أن هذه المؤشرات تعبر عن اتساق القياس ولا تُفسر وحدها طبيعة العلاقات السببية بين المتغيرات</w:t>
      </w:r>
      <w:r w:rsidRPr="006F6583">
        <w:rPr>
          <w:rFonts w:ascii="Arabic Typesetting" w:hAnsi="Arabic Typesetting" w:cs="Arabic Typesetting"/>
          <w:color w:val="auto"/>
          <w:sz w:val="32"/>
          <w:szCs w:val="32"/>
          <w:lang w:val="en-GB"/>
        </w:rPr>
        <w:t>.</w:t>
      </w:r>
    </w:p>
    <w:p w14:paraId="485AE14F" w14:textId="77777777" w:rsidR="002F2EAD" w:rsidRDefault="00437DE2" w:rsidP="00442B69">
      <w:pPr>
        <w:pStyle w:val="ThesisH2"/>
        <w:spacing w:line="360" w:lineRule="auto"/>
        <w:jc w:val="both"/>
        <w:rPr>
          <w:rFonts w:ascii="Arabic Typesetting" w:hAnsi="Arabic Typesetting" w:cs="Arabic Typesetting"/>
          <w:b w:val="0"/>
          <w:bCs/>
          <w:color w:val="auto"/>
          <w:sz w:val="32"/>
          <w:szCs w:val="32"/>
          <w:rtl/>
        </w:rPr>
      </w:pPr>
      <w:r w:rsidRPr="006F6583">
        <w:rPr>
          <w:rFonts w:ascii="Arabic Typesetting" w:hAnsi="Arabic Typesetting" w:cs="Arabic Typesetting"/>
          <w:b w:val="0"/>
          <w:bCs/>
          <w:color w:val="auto"/>
          <w:sz w:val="32"/>
          <w:szCs w:val="32"/>
          <w:rtl/>
        </w:rPr>
        <w:t>4.8 معامل ارتباط بيرسون بين الأبعاد</w:t>
      </w:r>
    </w:p>
    <w:p w14:paraId="49EC71E9" w14:textId="34737074" w:rsidR="006F6583" w:rsidRPr="006F6583" w:rsidRDefault="006F6583" w:rsidP="00442B69">
      <w:pPr>
        <w:pStyle w:val="ThesisH2"/>
        <w:spacing w:line="360" w:lineRule="auto"/>
        <w:jc w:val="both"/>
        <w:rPr>
          <w:rFonts w:ascii="Arabic Typesetting" w:hAnsi="Arabic Typesetting" w:cs="Arabic Typesetting"/>
          <w:b w:val="0"/>
          <w:color w:val="auto"/>
          <w:sz w:val="32"/>
          <w:szCs w:val="32"/>
          <w:lang w:val="en-GB"/>
        </w:rPr>
      </w:pPr>
      <w:r w:rsidRPr="006F6583">
        <w:rPr>
          <w:rFonts w:ascii="Arabic Typesetting" w:hAnsi="Arabic Typesetting" w:cs="Arabic Typesetting"/>
          <w:b w:val="0"/>
          <w:color w:val="auto"/>
          <w:sz w:val="32"/>
          <w:szCs w:val="32"/>
          <w:rtl/>
        </w:rPr>
        <w:t>للتعرف على طبيعة العلاقات بين أبعاد الدراسة، تم استخدام معامل ارتباط بيرسون</w:t>
      </w:r>
      <w:r w:rsidRPr="006F6583">
        <w:rPr>
          <w:rFonts w:ascii="Arabic Typesetting" w:hAnsi="Arabic Typesetting" w:cs="Arabic Typesetting"/>
          <w:b w:val="0"/>
          <w:color w:val="auto"/>
          <w:sz w:val="32"/>
          <w:szCs w:val="32"/>
          <w:lang w:val="en-GB"/>
        </w:rPr>
        <w:t xml:space="preserve"> (Pearson Correlation) </w:t>
      </w:r>
      <w:r w:rsidRPr="006F6583">
        <w:rPr>
          <w:rFonts w:ascii="Arabic Typesetting" w:hAnsi="Arabic Typesetting" w:cs="Arabic Typesetting"/>
          <w:b w:val="0"/>
          <w:color w:val="auto"/>
          <w:sz w:val="32"/>
          <w:szCs w:val="32"/>
          <w:rtl/>
        </w:rPr>
        <w:t>لقياس اتجاه العلاقة الخطية وقوتها بين العوامل الاجتماعية والعوامل الثقافية والعوامل التنظيمية من جهة، والتمكين القيادي من جهة أخرى، بالإضافة إلى فحص العلاقات البينية بين الأبعاد المستقلة. ويأخذ معامل الارتباط قيمًا تتراوح بين -1 و+1؛ إذ تشير القيمة الموجبة إلى علاقة طردية، بينما تشير القيمة السالبة إلى علاقة عكسية، وكلما اقتربت القيمة المطلقة من الواحد الصحيح دل ذلك على قوة العلاقة، في حين تشير القيم القريبة من الصفر إلى ضعفها. وقد تم اختبار دلالة معاملات الارتباط عند مستوى دلالة</w:t>
      </w:r>
      <w:r w:rsidRPr="006F6583">
        <w:rPr>
          <w:rFonts w:ascii="Arabic Typesetting" w:hAnsi="Arabic Typesetting" w:cs="Arabic Typesetting"/>
          <w:b w:val="0"/>
          <w:color w:val="auto"/>
          <w:sz w:val="32"/>
          <w:szCs w:val="32"/>
          <w:lang w:val="en-GB"/>
        </w:rPr>
        <w:t xml:space="preserve"> </w:t>
      </w:r>
      <w:r w:rsidRPr="006F6583">
        <w:rPr>
          <w:rFonts w:ascii="Cambria" w:hAnsi="Cambria" w:cs="Cambria"/>
          <w:b w:val="0"/>
          <w:color w:val="auto"/>
          <w:sz w:val="32"/>
          <w:szCs w:val="32"/>
          <w:lang w:val="en-GB"/>
        </w:rPr>
        <w:t>α</w:t>
      </w:r>
      <w:r w:rsidRPr="006F6583">
        <w:rPr>
          <w:rFonts w:ascii="Arabic Typesetting" w:hAnsi="Arabic Typesetting" w:cs="Arabic Typesetting"/>
          <w:b w:val="0"/>
          <w:color w:val="auto"/>
          <w:sz w:val="32"/>
          <w:szCs w:val="32"/>
          <w:lang w:val="en-GB"/>
        </w:rPr>
        <w:t>=0.05</w:t>
      </w:r>
      <w:r w:rsidRPr="006F6583">
        <w:rPr>
          <w:rFonts w:ascii="Arabic Typesetting" w:hAnsi="Arabic Typesetting" w:cs="Arabic Typesetting"/>
          <w:b w:val="0"/>
          <w:color w:val="auto"/>
          <w:sz w:val="32"/>
          <w:szCs w:val="32"/>
          <w:rtl/>
        </w:rPr>
        <w:t>، بحيث تُعد العلاقة دالة إحصائيًا إذا كانت قيمة</w:t>
      </w:r>
      <w:r w:rsidRPr="006F6583">
        <w:rPr>
          <w:rFonts w:ascii="Arabic Typesetting" w:hAnsi="Arabic Typesetting" w:cs="Arabic Typesetting"/>
          <w:b w:val="0"/>
          <w:color w:val="auto"/>
          <w:sz w:val="32"/>
          <w:szCs w:val="32"/>
          <w:lang w:val="en-GB"/>
        </w:rPr>
        <w:t xml:space="preserve"> Sig. </w:t>
      </w:r>
      <w:r w:rsidRPr="006F6583">
        <w:rPr>
          <w:rFonts w:ascii="Arabic Typesetting" w:hAnsi="Arabic Typesetting" w:cs="Arabic Typesetting"/>
          <w:b w:val="0"/>
          <w:color w:val="auto"/>
          <w:sz w:val="32"/>
          <w:szCs w:val="32"/>
          <w:rtl/>
        </w:rPr>
        <w:t>أقل من 0.05. ويساعد هذا التحليل في تحديد ما إذا كانت زيادة مستوى العوامل الاجتماعية أو الثقافية أو التنظيمية ترتبط بزيادة مستوى التمكين القيادي، كما يقدم مؤشرًا أوليًا على مدى ملاءمة إدخال الأبعاد المستقلة معًا في نموذج الانحدار المتعدد، خصوصًا من خلال التأكد من عدم وجود ارتباطات مرتفعة جدًا بينها قد تؤدي إلى مشكلة التعدد الخطي</w:t>
      </w:r>
      <w:r w:rsidRPr="006F6583">
        <w:rPr>
          <w:rFonts w:ascii="Arabic Typesetting" w:hAnsi="Arabic Typesetting" w:cs="Arabic Typesetting"/>
          <w:b w:val="0"/>
          <w:color w:val="auto"/>
          <w:sz w:val="32"/>
          <w:szCs w:val="32"/>
          <w:lang w:val="en-GB"/>
        </w:rPr>
        <w:t>.</w:t>
      </w:r>
    </w:p>
    <w:p w14:paraId="618280F1" w14:textId="77777777" w:rsidR="002F2EAD" w:rsidRPr="006F6583"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6F6583">
        <w:rPr>
          <w:rFonts w:ascii="Arabic Typesetting" w:hAnsi="Arabic Typesetting" w:cs="Arabic Typesetting"/>
          <w:b w:val="0"/>
          <w:bCs/>
          <w:color w:val="auto"/>
          <w:sz w:val="32"/>
          <w:szCs w:val="32"/>
          <w:rtl/>
        </w:rPr>
        <w:t>جدول 4-8: مصفوفة معاملات ارتباط بيرسون بين متوسطات الأبعاد (N=380)</w:t>
      </w:r>
    </w:p>
    <w:tbl>
      <w:tblPr>
        <w:tblStyle w:val="PlainTable2"/>
        <w:bidiVisual/>
        <w:tblW w:w="9026" w:type="dxa"/>
        <w:tblLayout w:type="fixed"/>
        <w:tblLook w:val="04A0" w:firstRow="1" w:lastRow="0" w:firstColumn="1" w:lastColumn="0" w:noHBand="0" w:noVBand="1"/>
      </w:tblPr>
      <w:tblGrid>
        <w:gridCol w:w="2300"/>
        <w:gridCol w:w="1681"/>
        <w:gridCol w:w="1681"/>
        <w:gridCol w:w="1681"/>
        <w:gridCol w:w="1683"/>
      </w:tblGrid>
      <w:tr w:rsidR="00AD326D" w:rsidRPr="00AD326D" w14:paraId="114042BB" w14:textId="77777777" w:rsidTr="006F6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0" w:type="dxa"/>
          </w:tcPr>
          <w:p w14:paraId="6699974F"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البعد</w:t>
            </w:r>
          </w:p>
        </w:tc>
        <w:tc>
          <w:tcPr>
            <w:tcW w:w="1681" w:type="dxa"/>
          </w:tcPr>
          <w:p w14:paraId="2D4E91E9"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العوامل الاجتماعية</w:t>
            </w:r>
          </w:p>
        </w:tc>
        <w:tc>
          <w:tcPr>
            <w:tcW w:w="1681" w:type="dxa"/>
          </w:tcPr>
          <w:p w14:paraId="3A4053D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العوامل الثقافية</w:t>
            </w:r>
          </w:p>
        </w:tc>
        <w:tc>
          <w:tcPr>
            <w:tcW w:w="1681" w:type="dxa"/>
          </w:tcPr>
          <w:p w14:paraId="50DC26EE"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العوامل التنظيمية</w:t>
            </w:r>
          </w:p>
        </w:tc>
        <w:tc>
          <w:tcPr>
            <w:tcW w:w="1683" w:type="dxa"/>
          </w:tcPr>
          <w:p w14:paraId="28CE6688"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التمكين القيادي</w:t>
            </w:r>
          </w:p>
        </w:tc>
      </w:tr>
      <w:tr w:rsidR="00AD326D" w:rsidRPr="00AD326D" w14:paraId="044B11F7"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0" w:type="dxa"/>
          </w:tcPr>
          <w:p w14:paraId="694CB2CF"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1681" w:type="dxa"/>
          </w:tcPr>
          <w:p w14:paraId="3E7495D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1.000</w:t>
            </w:r>
          </w:p>
        </w:tc>
        <w:tc>
          <w:tcPr>
            <w:tcW w:w="1681" w:type="dxa"/>
          </w:tcPr>
          <w:p w14:paraId="19A5A03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0.259*</w:t>
            </w:r>
          </w:p>
        </w:tc>
        <w:tc>
          <w:tcPr>
            <w:tcW w:w="1681" w:type="dxa"/>
          </w:tcPr>
          <w:p w14:paraId="01FF430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0.091*</w:t>
            </w:r>
          </w:p>
        </w:tc>
        <w:tc>
          <w:tcPr>
            <w:tcW w:w="1683" w:type="dxa"/>
          </w:tcPr>
          <w:p w14:paraId="38BB4B7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0.384*</w:t>
            </w:r>
          </w:p>
        </w:tc>
      </w:tr>
      <w:tr w:rsidR="00AD326D" w:rsidRPr="00AD326D" w14:paraId="1E658E24" w14:textId="77777777" w:rsidTr="006F6583">
        <w:tc>
          <w:tcPr>
            <w:cnfStyle w:val="001000000000" w:firstRow="0" w:lastRow="0" w:firstColumn="1" w:lastColumn="0" w:oddVBand="0" w:evenVBand="0" w:oddHBand="0" w:evenHBand="0" w:firstRowFirstColumn="0" w:firstRowLastColumn="0" w:lastRowFirstColumn="0" w:lastRowLastColumn="0"/>
            <w:tcW w:w="2300" w:type="dxa"/>
          </w:tcPr>
          <w:p w14:paraId="4EFCF344"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1681" w:type="dxa"/>
          </w:tcPr>
          <w:p w14:paraId="590D5CE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0.259*</w:t>
            </w:r>
          </w:p>
        </w:tc>
        <w:tc>
          <w:tcPr>
            <w:tcW w:w="1681" w:type="dxa"/>
          </w:tcPr>
          <w:p w14:paraId="70B2FF8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1.000</w:t>
            </w:r>
          </w:p>
        </w:tc>
        <w:tc>
          <w:tcPr>
            <w:tcW w:w="1681" w:type="dxa"/>
          </w:tcPr>
          <w:p w14:paraId="1E01116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0.148*</w:t>
            </w:r>
          </w:p>
        </w:tc>
        <w:tc>
          <w:tcPr>
            <w:tcW w:w="1683" w:type="dxa"/>
          </w:tcPr>
          <w:p w14:paraId="2A050A3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0.390*</w:t>
            </w:r>
          </w:p>
        </w:tc>
      </w:tr>
      <w:tr w:rsidR="00AD326D" w:rsidRPr="00AD326D" w14:paraId="609533B4"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0" w:type="dxa"/>
          </w:tcPr>
          <w:p w14:paraId="390AAA5C"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1681" w:type="dxa"/>
          </w:tcPr>
          <w:p w14:paraId="6936567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0.091*</w:t>
            </w:r>
          </w:p>
        </w:tc>
        <w:tc>
          <w:tcPr>
            <w:tcW w:w="1681" w:type="dxa"/>
          </w:tcPr>
          <w:p w14:paraId="64A1467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0.148*</w:t>
            </w:r>
          </w:p>
        </w:tc>
        <w:tc>
          <w:tcPr>
            <w:tcW w:w="1681" w:type="dxa"/>
          </w:tcPr>
          <w:p w14:paraId="1A1A090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1.000</w:t>
            </w:r>
          </w:p>
        </w:tc>
        <w:tc>
          <w:tcPr>
            <w:tcW w:w="1683" w:type="dxa"/>
          </w:tcPr>
          <w:p w14:paraId="73D8D5F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0.421*</w:t>
            </w:r>
          </w:p>
        </w:tc>
      </w:tr>
      <w:tr w:rsidR="00AD326D" w:rsidRPr="00AD326D" w14:paraId="7F68DDCF" w14:textId="77777777" w:rsidTr="006F6583">
        <w:tc>
          <w:tcPr>
            <w:cnfStyle w:val="001000000000" w:firstRow="0" w:lastRow="0" w:firstColumn="1" w:lastColumn="0" w:oddVBand="0" w:evenVBand="0" w:oddHBand="0" w:evenHBand="0" w:firstRowFirstColumn="0" w:firstRowLastColumn="0" w:lastRowFirstColumn="0" w:lastRowLastColumn="0"/>
            <w:tcW w:w="2300" w:type="dxa"/>
          </w:tcPr>
          <w:p w14:paraId="56ED6B9D"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التمكين القيادي</w:t>
            </w:r>
          </w:p>
        </w:tc>
        <w:tc>
          <w:tcPr>
            <w:tcW w:w="1681" w:type="dxa"/>
          </w:tcPr>
          <w:p w14:paraId="6D463D1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0.384*</w:t>
            </w:r>
          </w:p>
        </w:tc>
        <w:tc>
          <w:tcPr>
            <w:tcW w:w="1681" w:type="dxa"/>
          </w:tcPr>
          <w:p w14:paraId="3AA2EAD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0.390*</w:t>
            </w:r>
          </w:p>
        </w:tc>
        <w:tc>
          <w:tcPr>
            <w:tcW w:w="1681" w:type="dxa"/>
          </w:tcPr>
          <w:p w14:paraId="1717C5D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0.421*</w:t>
            </w:r>
          </w:p>
        </w:tc>
        <w:tc>
          <w:tcPr>
            <w:tcW w:w="1683" w:type="dxa"/>
          </w:tcPr>
          <w:p w14:paraId="060EC35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1.000</w:t>
            </w:r>
          </w:p>
        </w:tc>
      </w:tr>
    </w:tbl>
    <w:p w14:paraId="75123C0B" w14:textId="4EE859F1"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color w:val="auto"/>
          <w:sz w:val="32"/>
          <w:szCs w:val="32"/>
        </w:rPr>
        <w:t>تكشف</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المصفوفة</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عن</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علاقات</w:t>
      </w:r>
      <w:proofErr w:type="spellEnd"/>
      <w:r w:rsidRPr="00AD326D">
        <w:rPr>
          <w:rFonts w:ascii="Arabic Typesetting" w:hAnsi="Arabic Typesetting" w:cs="Arabic Typesetting"/>
          <w:color w:val="auto"/>
          <w:sz w:val="32"/>
          <w:szCs w:val="32"/>
        </w:rPr>
        <w:t xml:space="preserve"> موجبة ودالة بين كل بُعد مستقل والتمكين القيادي، وكانت العلاقة التنظيمية هي الأقوى (r=0.421). وفي المقابل، بقيت العلاقات بين المتغيرات المستقلة منخفضة إلى ضعيفة، وهو ما يدعم ملاءمتها معًا في نموذج الانحدار.</w:t>
      </w:r>
    </w:p>
    <w:p w14:paraId="579656EC"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lastRenderedPageBreak/>
        <w:t>كانت العلاقة بين العوامل الاجتماعية والتمكين القيادي موجبة ومتوسطة (r=0.384, p&lt;0.001)، وبين العوامل الثقافية والتمكين القيادي موجبة ومتوسطة (r=0.390, p&lt;0.001)، وبين العوامل التنظيمية والتمكين القيادي هي الأقوى (r=0.421, p&lt;0.001). كما ارتبطت العوامل الاجتماعية بالعوامل الثقافية (r=0.259, p&lt;0.001)، وارتبطت العوامل الثقافية بالعوامل التنظيمية (r=0.148, p=0.004)، في حين لم تكن العلاقة بين الاجتماعية والتنظيمية دالة (r=0.091, p=0.075). تؤيد هذه النتائج وجود علاقات منفصلة بين كل عامل والتمكين، مع عدم وجود ترابط مرتفع يهدد نموذج الانحدار.</w:t>
      </w:r>
    </w:p>
    <w:p w14:paraId="3D918F59" w14:textId="5D625ABA" w:rsidR="002F2EAD" w:rsidRPr="00AD326D" w:rsidRDefault="006F6583" w:rsidP="00442B69">
      <w:pPr>
        <w:spacing w:line="360" w:lineRule="auto"/>
        <w:jc w:val="both"/>
        <w:rPr>
          <w:rFonts w:ascii="Arabic Typesetting" w:hAnsi="Arabic Typesetting" w:cs="Arabic Typesetting"/>
          <w:color w:val="auto"/>
          <w:sz w:val="32"/>
          <w:szCs w:val="32"/>
        </w:rPr>
      </w:pPr>
      <w:r>
        <w:rPr>
          <w:noProof/>
        </w:rPr>
        <w:drawing>
          <wp:inline distT="0" distB="0" distL="0" distR="0" wp14:anchorId="213F8483" wp14:editId="5585A3DF">
            <wp:extent cx="5731510" cy="1628775"/>
            <wp:effectExtent l="0" t="0" r="2540" b="9525"/>
            <wp:docPr id="4" name="Chart 4">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4352D97" w14:textId="77777777" w:rsidR="002F2EAD" w:rsidRPr="006F6583" w:rsidRDefault="00437DE2" w:rsidP="00442B69">
      <w:pPr>
        <w:pStyle w:val="ThesisCaption"/>
        <w:spacing w:line="360" w:lineRule="auto"/>
        <w:jc w:val="center"/>
        <w:rPr>
          <w:rFonts w:ascii="Arabic Typesetting" w:hAnsi="Arabic Typesetting" w:cs="Arabic Typesetting"/>
          <w:b w:val="0"/>
          <w:bCs/>
          <w:color w:val="auto"/>
          <w:sz w:val="32"/>
          <w:szCs w:val="32"/>
        </w:rPr>
      </w:pPr>
      <w:r w:rsidRPr="006F6583">
        <w:rPr>
          <w:rFonts w:ascii="Arabic Typesetting" w:hAnsi="Arabic Typesetting" w:cs="Arabic Typesetting"/>
          <w:b w:val="0"/>
          <w:bCs/>
          <w:color w:val="auto"/>
          <w:sz w:val="32"/>
          <w:szCs w:val="32"/>
          <w:rtl/>
        </w:rPr>
        <w:t>شكل 4-2: معاملات ارتباط الأبعاد المستقلة بالتمكين القيادي</w:t>
      </w:r>
    </w:p>
    <w:p w14:paraId="5722AEAE" w14:textId="77777777" w:rsidR="002F2EAD" w:rsidRPr="006F6583" w:rsidRDefault="00437DE2" w:rsidP="00442B69">
      <w:pPr>
        <w:pStyle w:val="ThesisH2"/>
        <w:spacing w:line="360" w:lineRule="auto"/>
        <w:jc w:val="both"/>
        <w:rPr>
          <w:rFonts w:ascii="Arabic Typesetting" w:hAnsi="Arabic Typesetting" w:cs="Arabic Typesetting"/>
          <w:b w:val="0"/>
          <w:bCs/>
          <w:color w:val="auto"/>
          <w:sz w:val="32"/>
          <w:szCs w:val="32"/>
        </w:rPr>
      </w:pPr>
      <w:r w:rsidRPr="006F6583">
        <w:rPr>
          <w:rFonts w:ascii="Arabic Typesetting" w:hAnsi="Arabic Typesetting" w:cs="Arabic Typesetting"/>
          <w:b w:val="0"/>
          <w:bCs/>
          <w:color w:val="auto"/>
          <w:sz w:val="32"/>
          <w:szCs w:val="32"/>
          <w:rtl/>
        </w:rPr>
        <w:t>4.9 تحليل الانحدار الخطي المتعدد</w:t>
      </w:r>
    </w:p>
    <w:p w14:paraId="68942539"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استخدم الانحدار الخطي المتعدد بطريقة الإدخال المتزامن Enter لاختبار الأثر المشترك للعوامل الاجتماعية والثقافية والتنظيمية في التمكين القيادي. يبين ملخص النموذج أن معامل الارتباط المتعدد بلغ R=0.601، وأن النموذج يفسر R²=0.361 من التباين في التمكين القيادي، مع R² معدل=0.356 وخطأ معياري للتقدير قدره 0.50466.</w:t>
      </w:r>
    </w:p>
    <w:p w14:paraId="1664D7A6" w14:textId="77777777" w:rsidR="002F2EAD" w:rsidRPr="006F6583"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6F6583">
        <w:rPr>
          <w:rFonts w:ascii="Arabic Typesetting" w:hAnsi="Arabic Typesetting" w:cs="Arabic Typesetting"/>
          <w:b w:val="0"/>
          <w:bCs/>
          <w:color w:val="auto"/>
          <w:sz w:val="32"/>
          <w:szCs w:val="32"/>
          <w:rtl/>
        </w:rPr>
        <w:t>جدول 4-9: ملخص نموذج الانحدار المتعدد</w:t>
      </w:r>
    </w:p>
    <w:tbl>
      <w:tblPr>
        <w:tblStyle w:val="PlainTable2"/>
        <w:tblW w:w="9026" w:type="dxa"/>
        <w:tblLayout w:type="fixed"/>
        <w:tblLook w:val="04A0" w:firstRow="1" w:lastRow="0" w:firstColumn="1" w:lastColumn="0" w:noHBand="0" w:noVBand="1"/>
      </w:tblPr>
      <w:tblGrid>
        <w:gridCol w:w="1300"/>
        <w:gridCol w:w="1300"/>
        <w:gridCol w:w="1500"/>
        <w:gridCol w:w="2500"/>
        <w:gridCol w:w="2426"/>
      </w:tblGrid>
      <w:tr w:rsidR="00AD326D" w:rsidRPr="00AD326D" w14:paraId="4131871D" w14:textId="77777777" w:rsidTr="006F6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0" w:type="dxa"/>
          </w:tcPr>
          <w:p w14:paraId="35B1A9E9"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R</w:t>
            </w:r>
          </w:p>
        </w:tc>
        <w:tc>
          <w:tcPr>
            <w:tcW w:w="1300" w:type="dxa"/>
          </w:tcPr>
          <w:p w14:paraId="7BD028BB"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R²</w:t>
            </w:r>
          </w:p>
        </w:tc>
        <w:tc>
          <w:tcPr>
            <w:tcW w:w="1500" w:type="dxa"/>
          </w:tcPr>
          <w:p w14:paraId="7BB78D02"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R² المعدل</w:t>
            </w:r>
          </w:p>
        </w:tc>
        <w:tc>
          <w:tcPr>
            <w:tcW w:w="2500" w:type="dxa"/>
          </w:tcPr>
          <w:p w14:paraId="4BA98854"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الخطأ المعياري للتقدير</w:t>
            </w:r>
          </w:p>
        </w:tc>
        <w:tc>
          <w:tcPr>
            <w:tcW w:w="2426" w:type="dxa"/>
          </w:tcPr>
          <w:p w14:paraId="41DFC912"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المتغير التابع</w:t>
            </w:r>
          </w:p>
        </w:tc>
      </w:tr>
      <w:tr w:rsidR="00AD326D" w:rsidRPr="00AD326D" w14:paraId="335C7F52"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0" w:type="dxa"/>
          </w:tcPr>
          <w:p w14:paraId="241939A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0.601</w:t>
            </w:r>
          </w:p>
        </w:tc>
        <w:tc>
          <w:tcPr>
            <w:tcW w:w="1300" w:type="dxa"/>
          </w:tcPr>
          <w:p w14:paraId="76C4A40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0.361</w:t>
            </w:r>
          </w:p>
        </w:tc>
        <w:tc>
          <w:tcPr>
            <w:tcW w:w="1500" w:type="dxa"/>
          </w:tcPr>
          <w:p w14:paraId="70D4EEB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0.356</w:t>
            </w:r>
          </w:p>
        </w:tc>
        <w:tc>
          <w:tcPr>
            <w:tcW w:w="2500" w:type="dxa"/>
          </w:tcPr>
          <w:p w14:paraId="33D6C46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0.50466</w:t>
            </w:r>
          </w:p>
        </w:tc>
        <w:tc>
          <w:tcPr>
            <w:tcW w:w="2426" w:type="dxa"/>
          </w:tcPr>
          <w:p w14:paraId="5139D99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التمكين القيادي</w:t>
            </w:r>
          </w:p>
        </w:tc>
      </w:tr>
    </w:tbl>
    <w:p w14:paraId="7E8D38FD" w14:textId="77777777"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b/>
          <w:color w:val="auto"/>
          <w:sz w:val="32"/>
          <w:szCs w:val="32"/>
        </w:rPr>
        <w:t>مناقشة</w:t>
      </w:r>
      <w:proofErr w:type="spellEnd"/>
      <w:r w:rsidRPr="00AD326D">
        <w:rPr>
          <w:rFonts w:ascii="Arabic Typesetting" w:hAnsi="Arabic Typesetting" w:cs="Arabic Typesetting"/>
          <w:b/>
          <w:color w:val="auto"/>
          <w:sz w:val="32"/>
          <w:szCs w:val="32"/>
        </w:rPr>
        <w:t xml:space="preserve"> </w:t>
      </w:r>
      <w:proofErr w:type="spellStart"/>
      <w:r w:rsidRPr="00AD326D">
        <w:rPr>
          <w:rFonts w:ascii="Arabic Typesetting" w:hAnsi="Arabic Typesetting" w:cs="Arabic Typesetting"/>
          <w:b/>
          <w:color w:val="auto"/>
          <w:sz w:val="32"/>
          <w:szCs w:val="32"/>
        </w:rPr>
        <w:t>الجدول</w:t>
      </w:r>
      <w:proofErr w:type="spellEnd"/>
      <w:r w:rsidRPr="00AD326D">
        <w:rPr>
          <w:rFonts w:ascii="Arabic Typesetting" w:hAnsi="Arabic Typesetting" w:cs="Arabic Typesetting"/>
          <w:b/>
          <w:color w:val="auto"/>
          <w:sz w:val="32"/>
          <w:szCs w:val="32"/>
        </w:rPr>
        <w:t xml:space="preserve"> </w:t>
      </w:r>
      <w:proofErr w:type="spellStart"/>
      <w:r w:rsidRPr="00AD326D">
        <w:rPr>
          <w:rFonts w:ascii="Arabic Typesetting" w:hAnsi="Arabic Typesetting" w:cs="Arabic Typesetting"/>
          <w:b/>
          <w:color w:val="auto"/>
          <w:sz w:val="32"/>
          <w:szCs w:val="32"/>
        </w:rPr>
        <w:t>والنتائج</w:t>
      </w:r>
      <w:proofErr w:type="spellEnd"/>
      <w:r w:rsidRPr="00AD326D">
        <w:rPr>
          <w:rFonts w:ascii="Arabic Typesetting" w:hAnsi="Arabic Typesetting" w:cs="Arabic Typesetting"/>
          <w:b/>
          <w:color w:val="auto"/>
          <w:sz w:val="32"/>
          <w:szCs w:val="32"/>
        </w:rPr>
        <w:t xml:space="preserve">: </w:t>
      </w:r>
      <w:proofErr w:type="spellStart"/>
      <w:r w:rsidRPr="00AD326D">
        <w:rPr>
          <w:rFonts w:ascii="Arabic Typesetting" w:hAnsi="Arabic Typesetting" w:cs="Arabic Typesetting"/>
          <w:color w:val="auto"/>
          <w:sz w:val="32"/>
          <w:szCs w:val="32"/>
        </w:rPr>
        <w:t>يشير</w:t>
      </w:r>
      <w:proofErr w:type="spellEnd"/>
      <w:r w:rsidRPr="00AD326D">
        <w:rPr>
          <w:rFonts w:ascii="Arabic Typesetting" w:hAnsi="Arabic Typesetting" w:cs="Arabic Typesetting"/>
          <w:color w:val="auto"/>
          <w:sz w:val="32"/>
          <w:szCs w:val="32"/>
        </w:rPr>
        <w:t xml:space="preserve"> ملخص النموذج إلى علاقة كلية متوسطة القوة بين العوامل الثلاثة والتمكين (R=0.601). ويفسر النموذج 36.1% من التباين في التمكين القيادي، وهي نسبة تفسير مهمة في الدراسات الاجتماعية، بينما تعكس النسبة المتبقية أثر عوامل أخرى خارج النموذج.</w:t>
      </w:r>
    </w:p>
    <w:p w14:paraId="0AD037B3"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اختبار ANOVA للنموذج ككل كان دالًا إحصائيًا: مجموع مربعات الانحدار=54.195، مجموع مربعات البواقي=95.759، مجموع المربعات الكلي=149.954، F(3,376)=70.933، p&lt;0.001. وبذلك فإن المتغيرات الثلاثة مجتمعة تقدم تفسيرًا ذا دلالة إحصائية للتمكين القيادي.</w:t>
      </w:r>
    </w:p>
    <w:p w14:paraId="70F5962E" w14:textId="77777777" w:rsidR="002F2EAD" w:rsidRPr="006F6583"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6F6583">
        <w:rPr>
          <w:rFonts w:ascii="Arabic Typesetting" w:hAnsi="Arabic Typesetting" w:cs="Arabic Typesetting"/>
          <w:b w:val="0"/>
          <w:bCs/>
          <w:color w:val="auto"/>
          <w:sz w:val="32"/>
          <w:szCs w:val="32"/>
          <w:rtl/>
        </w:rPr>
        <w:lastRenderedPageBreak/>
        <w:t>جدول 4-10: تحليل التباين الخاص بنموذج الانحدار</w:t>
      </w:r>
    </w:p>
    <w:tbl>
      <w:tblPr>
        <w:tblStyle w:val="PlainTable2"/>
        <w:tblW w:w="9026" w:type="dxa"/>
        <w:tblLayout w:type="fixed"/>
        <w:tblLook w:val="04A0" w:firstRow="1" w:lastRow="0" w:firstColumn="1" w:lastColumn="0" w:noHBand="0" w:noVBand="1"/>
      </w:tblPr>
      <w:tblGrid>
        <w:gridCol w:w="2300"/>
        <w:gridCol w:w="1600"/>
        <w:gridCol w:w="1200"/>
        <w:gridCol w:w="1600"/>
        <w:gridCol w:w="1100"/>
        <w:gridCol w:w="1226"/>
      </w:tblGrid>
      <w:tr w:rsidR="00AD326D" w:rsidRPr="00AD326D" w14:paraId="483D9094" w14:textId="77777777" w:rsidTr="006F6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0" w:type="dxa"/>
          </w:tcPr>
          <w:p w14:paraId="188F5FD8"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مصدر التباين</w:t>
            </w:r>
          </w:p>
        </w:tc>
        <w:tc>
          <w:tcPr>
            <w:tcW w:w="1600" w:type="dxa"/>
          </w:tcPr>
          <w:p w14:paraId="4F5CA222"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مجموع المربعات</w:t>
            </w:r>
          </w:p>
        </w:tc>
        <w:tc>
          <w:tcPr>
            <w:tcW w:w="1200" w:type="dxa"/>
          </w:tcPr>
          <w:p w14:paraId="2FC4C2D3"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درجات الحرية</w:t>
            </w:r>
          </w:p>
        </w:tc>
        <w:tc>
          <w:tcPr>
            <w:tcW w:w="1600" w:type="dxa"/>
          </w:tcPr>
          <w:p w14:paraId="2A72F5A4"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المربعات</w:t>
            </w:r>
          </w:p>
        </w:tc>
        <w:tc>
          <w:tcPr>
            <w:tcW w:w="1100" w:type="dxa"/>
          </w:tcPr>
          <w:p w14:paraId="17465804"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F</w:t>
            </w:r>
          </w:p>
        </w:tc>
        <w:tc>
          <w:tcPr>
            <w:tcW w:w="1226" w:type="dxa"/>
          </w:tcPr>
          <w:p w14:paraId="00AB5737"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Sig.</w:t>
            </w:r>
          </w:p>
        </w:tc>
      </w:tr>
      <w:tr w:rsidR="00AD326D" w:rsidRPr="00AD326D" w14:paraId="28F4A8B3"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0" w:type="dxa"/>
          </w:tcPr>
          <w:p w14:paraId="7CE04F10"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الانحدار</w:t>
            </w:r>
          </w:p>
        </w:tc>
        <w:tc>
          <w:tcPr>
            <w:tcW w:w="1600" w:type="dxa"/>
          </w:tcPr>
          <w:p w14:paraId="4446013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54.195</w:t>
            </w:r>
          </w:p>
        </w:tc>
        <w:tc>
          <w:tcPr>
            <w:tcW w:w="1200" w:type="dxa"/>
          </w:tcPr>
          <w:p w14:paraId="4CA8695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w:t>
            </w:r>
          </w:p>
        </w:tc>
        <w:tc>
          <w:tcPr>
            <w:tcW w:w="1600" w:type="dxa"/>
          </w:tcPr>
          <w:p w14:paraId="73DD7BA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18.065</w:t>
            </w:r>
          </w:p>
        </w:tc>
        <w:tc>
          <w:tcPr>
            <w:tcW w:w="1100" w:type="dxa"/>
          </w:tcPr>
          <w:p w14:paraId="12DDA21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70.933</w:t>
            </w:r>
          </w:p>
        </w:tc>
        <w:tc>
          <w:tcPr>
            <w:tcW w:w="1226" w:type="dxa"/>
          </w:tcPr>
          <w:p w14:paraId="5BA01FE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p&lt;.001</w:t>
            </w:r>
          </w:p>
        </w:tc>
      </w:tr>
      <w:tr w:rsidR="00AD326D" w:rsidRPr="00AD326D" w14:paraId="082FE30F" w14:textId="77777777" w:rsidTr="006F6583">
        <w:tc>
          <w:tcPr>
            <w:cnfStyle w:val="001000000000" w:firstRow="0" w:lastRow="0" w:firstColumn="1" w:lastColumn="0" w:oddVBand="0" w:evenVBand="0" w:oddHBand="0" w:evenHBand="0" w:firstRowFirstColumn="0" w:firstRowLastColumn="0" w:lastRowFirstColumn="0" w:lastRowLastColumn="0"/>
            <w:tcW w:w="2300" w:type="dxa"/>
          </w:tcPr>
          <w:p w14:paraId="4CF8B55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البواقي</w:t>
            </w:r>
          </w:p>
        </w:tc>
        <w:tc>
          <w:tcPr>
            <w:tcW w:w="1600" w:type="dxa"/>
          </w:tcPr>
          <w:p w14:paraId="7C50B98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95.759</w:t>
            </w:r>
          </w:p>
        </w:tc>
        <w:tc>
          <w:tcPr>
            <w:tcW w:w="1200" w:type="dxa"/>
          </w:tcPr>
          <w:p w14:paraId="3FEAF08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376</w:t>
            </w:r>
          </w:p>
        </w:tc>
        <w:tc>
          <w:tcPr>
            <w:tcW w:w="1600" w:type="dxa"/>
          </w:tcPr>
          <w:p w14:paraId="331A153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0.255</w:t>
            </w:r>
          </w:p>
        </w:tc>
        <w:tc>
          <w:tcPr>
            <w:tcW w:w="1100" w:type="dxa"/>
          </w:tcPr>
          <w:p w14:paraId="0AAD360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c>
          <w:tcPr>
            <w:tcW w:w="1226" w:type="dxa"/>
          </w:tcPr>
          <w:p w14:paraId="31FE69D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r>
      <w:tr w:rsidR="00AD326D" w:rsidRPr="00AD326D" w14:paraId="526AF1A0"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0" w:type="dxa"/>
          </w:tcPr>
          <w:p w14:paraId="30266A8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الكلي</w:t>
            </w:r>
          </w:p>
        </w:tc>
        <w:tc>
          <w:tcPr>
            <w:tcW w:w="1600" w:type="dxa"/>
          </w:tcPr>
          <w:p w14:paraId="4CD179B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149.954</w:t>
            </w:r>
          </w:p>
        </w:tc>
        <w:tc>
          <w:tcPr>
            <w:tcW w:w="1200" w:type="dxa"/>
          </w:tcPr>
          <w:p w14:paraId="1B38001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379</w:t>
            </w:r>
          </w:p>
        </w:tc>
        <w:tc>
          <w:tcPr>
            <w:tcW w:w="1600" w:type="dxa"/>
          </w:tcPr>
          <w:p w14:paraId="4E67F6D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c>
          <w:tcPr>
            <w:tcW w:w="1100" w:type="dxa"/>
          </w:tcPr>
          <w:p w14:paraId="0575DF2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c>
          <w:tcPr>
            <w:tcW w:w="1226" w:type="dxa"/>
          </w:tcPr>
          <w:p w14:paraId="15FE28A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r>
    </w:tbl>
    <w:p w14:paraId="6BC4683B" w14:textId="77777777"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b/>
          <w:color w:val="auto"/>
          <w:sz w:val="32"/>
          <w:szCs w:val="32"/>
        </w:rPr>
        <w:t>مناقشة</w:t>
      </w:r>
      <w:proofErr w:type="spellEnd"/>
      <w:r w:rsidRPr="00AD326D">
        <w:rPr>
          <w:rFonts w:ascii="Arabic Typesetting" w:hAnsi="Arabic Typesetting" w:cs="Arabic Typesetting"/>
          <w:b/>
          <w:color w:val="auto"/>
          <w:sz w:val="32"/>
          <w:szCs w:val="32"/>
        </w:rPr>
        <w:t xml:space="preserve"> </w:t>
      </w:r>
      <w:proofErr w:type="spellStart"/>
      <w:r w:rsidRPr="00AD326D">
        <w:rPr>
          <w:rFonts w:ascii="Arabic Typesetting" w:hAnsi="Arabic Typesetting" w:cs="Arabic Typesetting"/>
          <w:b/>
          <w:color w:val="auto"/>
          <w:sz w:val="32"/>
          <w:szCs w:val="32"/>
        </w:rPr>
        <w:t>الجدول</w:t>
      </w:r>
      <w:proofErr w:type="spellEnd"/>
      <w:r w:rsidRPr="00AD326D">
        <w:rPr>
          <w:rFonts w:ascii="Arabic Typesetting" w:hAnsi="Arabic Typesetting" w:cs="Arabic Typesetting"/>
          <w:b/>
          <w:color w:val="auto"/>
          <w:sz w:val="32"/>
          <w:szCs w:val="32"/>
        </w:rPr>
        <w:t xml:space="preserve"> </w:t>
      </w:r>
      <w:proofErr w:type="spellStart"/>
      <w:r w:rsidRPr="00AD326D">
        <w:rPr>
          <w:rFonts w:ascii="Arabic Typesetting" w:hAnsi="Arabic Typesetting" w:cs="Arabic Typesetting"/>
          <w:b/>
          <w:color w:val="auto"/>
          <w:sz w:val="32"/>
          <w:szCs w:val="32"/>
        </w:rPr>
        <w:t>والنتائج</w:t>
      </w:r>
      <w:proofErr w:type="spellEnd"/>
      <w:r w:rsidRPr="00AD326D">
        <w:rPr>
          <w:rFonts w:ascii="Arabic Typesetting" w:hAnsi="Arabic Typesetting" w:cs="Arabic Typesetting"/>
          <w:b/>
          <w:color w:val="auto"/>
          <w:sz w:val="32"/>
          <w:szCs w:val="32"/>
        </w:rPr>
        <w:t xml:space="preserve">: </w:t>
      </w:r>
      <w:proofErr w:type="spellStart"/>
      <w:r w:rsidRPr="00AD326D">
        <w:rPr>
          <w:rFonts w:ascii="Arabic Typesetting" w:hAnsi="Arabic Typesetting" w:cs="Arabic Typesetting"/>
          <w:color w:val="auto"/>
          <w:sz w:val="32"/>
          <w:szCs w:val="32"/>
        </w:rPr>
        <w:t>يؤكد</w:t>
      </w:r>
      <w:proofErr w:type="spellEnd"/>
      <w:r w:rsidRPr="00AD326D">
        <w:rPr>
          <w:rFonts w:ascii="Arabic Typesetting" w:hAnsi="Arabic Typesetting" w:cs="Arabic Typesetting"/>
          <w:color w:val="auto"/>
          <w:sz w:val="32"/>
          <w:szCs w:val="32"/>
        </w:rPr>
        <w:t xml:space="preserve"> اختبار تحليل التباين أن نموذج الانحدار ككل دال إحصائيًا، إذ بلغت </w:t>
      </w:r>
      <w:proofErr w:type="gramStart"/>
      <w:r w:rsidRPr="00AD326D">
        <w:rPr>
          <w:rFonts w:ascii="Arabic Typesetting" w:hAnsi="Arabic Typesetting" w:cs="Arabic Typesetting"/>
          <w:color w:val="auto"/>
          <w:sz w:val="32"/>
          <w:szCs w:val="32"/>
        </w:rPr>
        <w:t>F(</w:t>
      </w:r>
      <w:proofErr w:type="gramEnd"/>
      <w:r w:rsidRPr="00AD326D">
        <w:rPr>
          <w:rFonts w:ascii="Arabic Typesetting" w:hAnsi="Arabic Typesetting" w:cs="Arabic Typesetting"/>
          <w:color w:val="auto"/>
          <w:sz w:val="32"/>
          <w:szCs w:val="32"/>
        </w:rPr>
        <w:t>3,376)=70.933 عند p&lt;0.001. وبذلك لا يُعزى التفسير المشترك للتمكين إلى الصدفة، بل تقدم العوامل الاجتماعية والثقافية والتنظيمية مساهمة تنبؤية معتبرة مجتمعة.</w:t>
      </w:r>
    </w:p>
    <w:p w14:paraId="68DF88DB" w14:textId="77777777" w:rsidR="002F2EAD" w:rsidRPr="006F6583"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6F6583">
        <w:rPr>
          <w:rFonts w:ascii="Arabic Typesetting" w:hAnsi="Arabic Typesetting" w:cs="Arabic Typesetting"/>
          <w:b w:val="0"/>
          <w:bCs/>
          <w:color w:val="auto"/>
          <w:sz w:val="32"/>
          <w:szCs w:val="32"/>
          <w:rtl/>
        </w:rPr>
        <w:t>جدول 4-11: معاملات الانحدار المتعدد ومؤشرات التعدد الخطي</w:t>
      </w:r>
    </w:p>
    <w:tbl>
      <w:tblPr>
        <w:tblStyle w:val="PlainTable2"/>
        <w:tblW w:w="9026" w:type="dxa"/>
        <w:tblLayout w:type="fixed"/>
        <w:tblLook w:val="04A0" w:firstRow="1" w:lastRow="0" w:firstColumn="1" w:lastColumn="0" w:noHBand="0" w:noVBand="1"/>
      </w:tblPr>
      <w:tblGrid>
        <w:gridCol w:w="1700"/>
        <w:gridCol w:w="850"/>
        <w:gridCol w:w="1000"/>
        <w:gridCol w:w="750"/>
        <w:gridCol w:w="700"/>
        <w:gridCol w:w="750"/>
        <w:gridCol w:w="850"/>
        <w:gridCol w:w="850"/>
        <w:gridCol w:w="800"/>
        <w:gridCol w:w="776"/>
      </w:tblGrid>
      <w:tr w:rsidR="00AD326D" w:rsidRPr="00AD326D" w14:paraId="18189778" w14:textId="77777777" w:rsidTr="006F6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62922946"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المتغير</w:t>
            </w:r>
          </w:p>
        </w:tc>
        <w:tc>
          <w:tcPr>
            <w:tcW w:w="850" w:type="dxa"/>
          </w:tcPr>
          <w:p w14:paraId="1C465BF7"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B</w:t>
            </w:r>
          </w:p>
        </w:tc>
        <w:tc>
          <w:tcPr>
            <w:tcW w:w="1000" w:type="dxa"/>
          </w:tcPr>
          <w:p w14:paraId="5242DE08"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الخطأ المعياري</w:t>
            </w:r>
          </w:p>
        </w:tc>
        <w:tc>
          <w:tcPr>
            <w:tcW w:w="750" w:type="dxa"/>
          </w:tcPr>
          <w:p w14:paraId="6A4CC7CC"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Beta</w:t>
            </w:r>
          </w:p>
        </w:tc>
        <w:tc>
          <w:tcPr>
            <w:tcW w:w="700" w:type="dxa"/>
          </w:tcPr>
          <w:p w14:paraId="1E99D6B8"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t</w:t>
            </w:r>
          </w:p>
        </w:tc>
        <w:tc>
          <w:tcPr>
            <w:tcW w:w="750" w:type="dxa"/>
          </w:tcPr>
          <w:p w14:paraId="0ECF231E"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Sig.</w:t>
            </w:r>
          </w:p>
        </w:tc>
        <w:tc>
          <w:tcPr>
            <w:tcW w:w="850" w:type="dxa"/>
          </w:tcPr>
          <w:p w14:paraId="3B82FA4F"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الحد الأدنى 95%</w:t>
            </w:r>
          </w:p>
        </w:tc>
        <w:tc>
          <w:tcPr>
            <w:tcW w:w="850" w:type="dxa"/>
          </w:tcPr>
          <w:p w14:paraId="2AC97C52"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الحد الأعلى 95%</w:t>
            </w:r>
          </w:p>
        </w:tc>
        <w:tc>
          <w:tcPr>
            <w:tcW w:w="800" w:type="dxa"/>
          </w:tcPr>
          <w:p w14:paraId="0EB3248B"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Tolerance</w:t>
            </w:r>
          </w:p>
        </w:tc>
        <w:tc>
          <w:tcPr>
            <w:tcW w:w="776" w:type="dxa"/>
          </w:tcPr>
          <w:p w14:paraId="098D984E"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VIF</w:t>
            </w:r>
          </w:p>
        </w:tc>
      </w:tr>
      <w:tr w:rsidR="00AD326D" w:rsidRPr="00AD326D" w14:paraId="75163B67"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027793BD"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الثابت</w:t>
            </w:r>
          </w:p>
        </w:tc>
        <w:tc>
          <w:tcPr>
            <w:tcW w:w="850" w:type="dxa"/>
          </w:tcPr>
          <w:p w14:paraId="406B758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0.544</w:t>
            </w:r>
          </w:p>
        </w:tc>
        <w:tc>
          <w:tcPr>
            <w:tcW w:w="1000" w:type="dxa"/>
          </w:tcPr>
          <w:p w14:paraId="75889AE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0.207</w:t>
            </w:r>
          </w:p>
        </w:tc>
        <w:tc>
          <w:tcPr>
            <w:tcW w:w="750" w:type="dxa"/>
          </w:tcPr>
          <w:p w14:paraId="14AB7F1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c>
          <w:tcPr>
            <w:tcW w:w="700" w:type="dxa"/>
          </w:tcPr>
          <w:p w14:paraId="1238444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2.633</w:t>
            </w:r>
          </w:p>
        </w:tc>
        <w:tc>
          <w:tcPr>
            <w:tcW w:w="750" w:type="dxa"/>
          </w:tcPr>
          <w:p w14:paraId="13A0B30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0.009</w:t>
            </w:r>
          </w:p>
        </w:tc>
        <w:tc>
          <w:tcPr>
            <w:tcW w:w="850" w:type="dxa"/>
          </w:tcPr>
          <w:p w14:paraId="1701262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0.138</w:t>
            </w:r>
          </w:p>
        </w:tc>
        <w:tc>
          <w:tcPr>
            <w:tcW w:w="850" w:type="dxa"/>
          </w:tcPr>
          <w:p w14:paraId="2222783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0.950</w:t>
            </w:r>
          </w:p>
        </w:tc>
        <w:tc>
          <w:tcPr>
            <w:tcW w:w="800" w:type="dxa"/>
          </w:tcPr>
          <w:p w14:paraId="1F6BD1F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c>
          <w:tcPr>
            <w:tcW w:w="776" w:type="dxa"/>
          </w:tcPr>
          <w:p w14:paraId="0661E83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r>
      <w:tr w:rsidR="00AD326D" w:rsidRPr="00AD326D" w14:paraId="2321FC17" w14:textId="77777777" w:rsidTr="006F6583">
        <w:tc>
          <w:tcPr>
            <w:cnfStyle w:val="001000000000" w:firstRow="0" w:lastRow="0" w:firstColumn="1" w:lastColumn="0" w:oddVBand="0" w:evenVBand="0" w:oddHBand="0" w:evenHBand="0" w:firstRowFirstColumn="0" w:firstRowLastColumn="0" w:lastRowFirstColumn="0" w:lastRowLastColumn="0"/>
            <w:tcW w:w="1700" w:type="dxa"/>
          </w:tcPr>
          <w:p w14:paraId="70F1CBD0"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الاجتماعية</w:t>
            </w:r>
          </w:p>
        </w:tc>
        <w:tc>
          <w:tcPr>
            <w:tcW w:w="850" w:type="dxa"/>
          </w:tcPr>
          <w:p w14:paraId="0724CBE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0.265</w:t>
            </w:r>
          </w:p>
        </w:tc>
        <w:tc>
          <w:tcPr>
            <w:tcW w:w="1000" w:type="dxa"/>
          </w:tcPr>
          <w:p w14:paraId="29AEE83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0.040</w:t>
            </w:r>
          </w:p>
        </w:tc>
        <w:tc>
          <w:tcPr>
            <w:tcW w:w="750" w:type="dxa"/>
          </w:tcPr>
          <w:p w14:paraId="361009A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0.283</w:t>
            </w:r>
          </w:p>
        </w:tc>
        <w:tc>
          <w:tcPr>
            <w:tcW w:w="700" w:type="dxa"/>
          </w:tcPr>
          <w:p w14:paraId="205047C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6.627</w:t>
            </w:r>
          </w:p>
        </w:tc>
        <w:tc>
          <w:tcPr>
            <w:tcW w:w="750" w:type="dxa"/>
          </w:tcPr>
          <w:p w14:paraId="42DE88E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p&lt;.001</w:t>
            </w:r>
          </w:p>
        </w:tc>
        <w:tc>
          <w:tcPr>
            <w:tcW w:w="850" w:type="dxa"/>
          </w:tcPr>
          <w:p w14:paraId="6E36665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0.186</w:t>
            </w:r>
          </w:p>
        </w:tc>
        <w:tc>
          <w:tcPr>
            <w:tcW w:w="850" w:type="dxa"/>
          </w:tcPr>
          <w:p w14:paraId="380238A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0.344</w:t>
            </w:r>
          </w:p>
        </w:tc>
        <w:tc>
          <w:tcPr>
            <w:tcW w:w="800" w:type="dxa"/>
          </w:tcPr>
          <w:p w14:paraId="48445F7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0.930</w:t>
            </w:r>
          </w:p>
        </w:tc>
        <w:tc>
          <w:tcPr>
            <w:tcW w:w="776" w:type="dxa"/>
          </w:tcPr>
          <w:p w14:paraId="020F61A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1.075</w:t>
            </w:r>
          </w:p>
        </w:tc>
      </w:tr>
      <w:tr w:rsidR="00AD326D" w:rsidRPr="00AD326D" w14:paraId="00BB878A" w14:textId="77777777" w:rsidTr="006F6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69D0CF94"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الثقافية</w:t>
            </w:r>
          </w:p>
        </w:tc>
        <w:tc>
          <w:tcPr>
            <w:tcW w:w="850" w:type="dxa"/>
          </w:tcPr>
          <w:p w14:paraId="0AB84DB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0.247</w:t>
            </w:r>
          </w:p>
        </w:tc>
        <w:tc>
          <w:tcPr>
            <w:tcW w:w="1000" w:type="dxa"/>
          </w:tcPr>
          <w:p w14:paraId="5B8A1D0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0.040</w:t>
            </w:r>
          </w:p>
        </w:tc>
        <w:tc>
          <w:tcPr>
            <w:tcW w:w="750" w:type="dxa"/>
          </w:tcPr>
          <w:p w14:paraId="5C8779B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0.264</w:t>
            </w:r>
          </w:p>
        </w:tc>
        <w:tc>
          <w:tcPr>
            <w:tcW w:w="700" w:type="dxa"/>
          </w:tcPr>
          <w:p w14:paraId="54545C5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6.138</w:t>
            </w:r>
          </w:p>
        </w:tc>
        <w:tc>
          <w:tcPr>
            <w:tcW w:w="750" w:type="dxa"/>
          </w:tcPr>
          <w:p w14:paraId="43670B5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p&lt;.001</w:t>
            </w:r>
          </w:p>
        </w:tc>
        <w:tc>
          <w:tcPr>
            <w:tcW w:w="850" w:type="dxa"/>
          </w:tcPr>
          <w:p w14:paraId="632AAFA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0.168</w:t>
            </w:r>
          </w:p>
        </w:tc>
        <w:tc>
          <w:tcPr>
            <w:tcW w:w="850" w:type="dxa"/>
          </w:tcPr>
          <w:p w14:paraId="77A118C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0.326</w:t>
            </w:r>
          </w:p>
        </w:tc>
        <w:tc>
          <w:tcPr>
            <w:tcW w:w="800" w:type="dxa"/>
          </w:tcPr>
          <w:p w14:paraId="7A40108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0.917</w:t>
            </w:r>
          </w:p>
        </w:tc>
        <w:tc>
          <w:tcPr>
            <w:tcW w:w="776" w:type="dxa"/>
          </w:tcPr>
          <w:p w14:paraId="06C64E6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1.090</w:t>
            </w:r>
          </w:p>
        </w:tc>
      </w:tr>
      <w:tr w:rsidR="00AD326D" w:rsidRPr="00AD326D" w14:paraId="31943B9F" w14:textId="77777777" w:rsidTr="006F6583">
        <w:tc>
          <w:tcPr>
            <w:cnfStyle w:val="001000000000" w:firstRow="0" w:lastRow="0" w:firstColumn="1" w:lastColumn="0" w:oddVBand="0" w:evenVBand="0" w:oddHBand="0" w:evenHBand="0" w:firstRowFirstColumn="0" w:firstRowLastColumn="0" w:lastRowFirstColumn="0" w:lastRowLastColumn="0"/>
            <w:tcW w:w="1700" w:type="dxa"/>
          </w:tcPr>
          <w:p w14:paraId="354B67BD"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العوامل التنظيمية</w:t>
            </w:r>
          </w:p>
        </w:tc>
        <w:tc>
          <w:tcPr>
            <w:tcW w:w="850" w:type="dxa"/>
          </w:tcPr>
          <w:p w14:paraId="28D796C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0.332</w:t>
            </w:r>
          </w:p>
        </w:tc>
        <w:tc>
          <w:tcPr>
            <w:tcW w:w="1000" w:type="dxa"/>
          </w:tcPr>
          <w:p w14:paraId="71BF27F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0.039</w:t>
            </w:r>
          </w:p>
        </w:tc>
        <w:tc>
          <w:tcPr>
            <w:tcW w:w="750" w:type="dxa"/>
          </w:tcPr>
          <w:p w14:paraId="4D6D199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0.356</w:t>
            </w:r>
          </w:p>
        </w:tc>
        <w:tc>
          <w:tcPr>
            <w:tcW w:w="700" w:type="dxa"/>
          </w:tcPr>
          <w:p w14:paraId="6D7C8D6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8.519</w:t>
            </w:r>
          </w:p>
        </w:tc>
        <w:tc>
          <w:tcPr>
            <w:tcW w:w="750" w:type="dxa"/>
          </w:tcPr>
          <w:p w14:paraId="5E497B7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p&lt;.001</w:t>
            </w:r>
          </w:p>
        </w:tc>
        <w:tc>
          <w:tcPr>
            <w:tcW w:w="850" w:type="dxa"/>
          </w:tcPr>
          <w:p w14:paraId="44115B6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0.255</w:t>
            </w:r>
          </w:p>
        </w:tc>
        <w:tc>
          <w:tcPr>
            <w:tcW w:w="850" w:type="dxa"/>
          </w:tcPr>
          <w:p w14:paraId="68ECE8A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0.409</w:t>
            </w:r>
          </w:p>
        </w:tc>
        <w:tc>
          <w:tcPr>
            <w:tcW w:w="800" w:type="dxa"/>
          </w:tcPr>
          <w:p w14:paraId="63A5D47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0.975</w:t>
            </w:r>
          </w:p>
        </w:tc>
        <w:tc>
          <w:tcPr>
            <w:tcW w:w="776" w:type="dxa"/>
          </w:tcPr>
          <w:p w14:paraId="6BD3A60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1.026</w:t>
            </w:r>
          </w:p>
        </w:tc>
      </w:tr>
    </w:tbl>
    <w:p w14:paraId="27E91686" w14:textId="77777777" w:rsidR="006F6583" w:rsidRDefault="006F6583" w:rsidP="00442B69">
      <w:pPr>
        <w:bidi/>
        <w:spacing w:line="360" w:lineRule="auto"/>
        <w:jc w:val="both"/>
        <w:rPr>
          <w:rFonts w:ascii="Arabic Typesetting" w:hAnsi="Arabic Typesetting" w:cs="Arabic Typesetting"/>
          <w:b/>
          <w:color w:val="auto"/>
          <w:sz w:val="32"/>
          <w:szCs w:val="32"/>
          <w:rtl/>
        </w:rPr>
      </w:pPr>
      <w:r w:rsidRPr="006F6583">
        <w:rPr>
          <w:rFonts w:ascii="Arabic Typesetting" w:hAnsi="Arabic Typesetting" w:cs="Arabic Typesetting"/>
          <w:b/>
          <w:color w:val="auto"/>
          <w:sz w:val="32"/>
          <w:szCs w:val="32"/>
          <w:rtl/>
        </w:rPr>
        <w:t>مناقشة الجدول والنتائج: يوضح الجدول (4-11) معاملات الانحدار المتعدد الخاصة بتقدير الأثر المستقل لكل من العوامل الاجتماعية والثقافية والتنظيمية في التمكين القيادي، مع تثبيت أثر بقية المتغيرات داخل النموذج. وتبين النتائج أن جميع معاملات الانحدار غير المعيارية</w:t>
      </w:r>
      <w:r w:rsidRPr="006F6583">
        <w:rPr>
          <w:rFonts w:ascii="Arabic Typesetting" w:hAnsi="Arabic Typesetting" w:cs="Arabic Typesetting"/>
          <w:b/>
          <w:color w:val="auto"/>
          <w:sz w:val="32"/>
          <w:szCs w:val="32"/>
          <w:lang w:val="en-GB"/>
        </w:rPr>
        <w:t xml:space="preserve"> B </w:t>
      </w:r>
      <w:r w:rsidRPr="006F6583">
        <w:rPr>
          <w:rFonts w:ascii="Arabic Typesetting" w:hAnsi="Arabic Typesetting" w:cs="Arabic Typesetting"/>
          <w:b/>
          <w:color w:val="auto"/>
          <w:sz w:val="32"/>
          <w:szCs w:val="32"/>
          <w:rtl/>
        </w:rPr>
        <w:t>جاءت موجبة ودالة إحصائيًا، بما يعني أن ارتفاع مستوى أي عامل من العوامل الثلاثة يرتبط بزيادة مستوى التمكين القيادي مع بقاء العاملين الآخرين ثابتين.</w:t>
      </w:r>
    </w:p>
    <w:p w14:paraId="77BCE678" w14:textId="77777777" w:rsidR="00442B69" w:rsidRDefault="006F6583" w:rsidP="00442B69">
      <w:pPr>
        <w:bidi/>
        <w:spacing w:line="360" w:lineRule="auto"/>
        <w:jc w:val="both"/>
        <w:rPr>
          <w:rFonts w:ascii="Arabic Typesetting" w:hAnsi="Arabic Typesetting" w:cs="Arabic Typesetting"/>
          <w:b/>
          <w:color w:val="auto"/>
          <w:sz w:val="32"/>
          <w:szCs w:val="32"/>
          <w:rtl/>
        </w:rPr>
      </w:pPr>
      <w:r w:rsidRPr="006F6583">
        <w:rPr>
          <w:rFonts w:ascii="Arabic Typesetting" w:hAnsi="Arabic Typesetting" w:cs="Arabic Typesetting"/>
          <w:b/>
          <w:color w:val="auto"/>
          <w:sz w:val="32"/>
          <w:szCs w:val="32"/>
          <w:rtl/>
        </w:rPr>
        <w:t xml:space="preserve"> فقد بلغ معامل العوامل الاجتماعية</w:t>
      </w:r>
      <w:r w:rsidRPr="006F6583">
        <w:rPr>
          <w:rFonts w:ascii="Arabic Typesetting" w:hAnsi="Arabic Typesetting" w:cs="Arabic Typesetting"/>
          <w:b/>
          <w:color w:val="auto"/>
          <w:sz w:val="32"/>
          <w:szCs w:val="32"/>
          <w:lang w:val="en-GB"/>
        </w:rPr>
        <w:t xml:space="preserve"> B=0.265</w:t>
      </w:r>
      <w:r w:rsidRPr="006F6583">
        <w:rPr>
          <w:rFonts w:ascii="Arabic Typesetting" w:hAnsi="Arabic Typesetting" w:cs="Arabic Typesetting"/>
          <w:b/>
          <w:color w:val="auto"/>
          <w:sz w:val="32"/>
          <w:szCs w:val="32"/>
          <w:rtl/>
        </w:rPr>
        <w:t xml:space="preserve">، وهو ما يشير إلى أن زيادة درجة العوامل الاجتماعية بمقدار وحدة واحدة تؤدي إلى </w:t>
      </w:r>
      <w:r w:rsidRPr="006F6583">
        <w:rPr>
          <w:rFonts w:ascii="Arabic Typesetting" w:hAnsi="Arabic Typesetting" w:cs="Arabic Typesetting"/>
          <w:b/>
          <w:color w:val="auto"/>
          <w:sz w:val="32"/>
          <w:szCs w:val="32"/>
          <w:rtl/>
        </w:rPr>
        <w:lastRenderedPageBreak/>
        <w:t>زيادة متوقعة في التمكين القيادي قدرها 0.265 درجة، كما بلغ معاملها المعياري</w:t>
      </w:r>
      <w:r w:rsidRPr="006F6583">
        <w:rPr>
          <w:rFonts w:ascii="Arabic Typesetting" w:hAnsi="Arabic Typesetting" w:cs="Arabic Typesetting"/>
          <w:b/>
          <w:color w:val="auto"/>
          <w:sz w:val="32"/>
          <w:szCs w:val="32"/>
          <w:lang w:val="en-GB"/>
        </w:rPr>
        <w:t xml:space="preserve"> </w:t>
      </w:r>
      <w:r w:rsidRPr="006F6583">
        <w:rPr>
          <w:rFonts w:ascii="Cambria" w:hAnsi="Cambria" w:cs="Cambria"/>
          <w:b/>
          <w:color w:val="auto"/>
          <w:sz w:val="32"/>
          <w:szCs w:val="32"/>
          <w:lang w:val="en-GB"/>
        </w:rPr>
        <w:t>β</w:t>
      </w:r>
      <w:r w:rsidRPr="006F6583">
        <w:rPr>
          <w:rFonts w:ascii="Arabic Typesetting" w:hAnsi="Arabic Typesetting" w:cs="Arabic Typesetting"/>
          <w:b/>
          <w:color w:val="auto"/>
          <w:sz w:val="32"/>
          <w:szCs w:val="32"/>
          <w:lang w:val="en-GB"/>
        </w:rPr>
        <w:t>=0.283</w:t>
      </w:r>
      <w:r w:rsidRPr="006F6583">
        <w:rPr>
          <w:rFonts w:ascii="Arabic Typesetting" w:hAnsi="Arabic Typesetting" w:cs="Arabic Typesetting"/>
          <w:b/>
          <w:color w:val="auto"/>
          <w:sz w:val="32"/>
          <w:szCs w:val="32"/>
          <w:rtl/>
        </w:rPr>
        <w:t>، وقيمة</w:t>
      </w:r>
      <w:r w:rsidRPr="006F6583">
        <w:rPr>
          <w:rFonts w:ascii="Arabic Typesetting" w:hAnsi="Arabic Typesetting" w:cs="Arabic Typesetting"/>
          <w:b/>
          <w:color w:val="auto"/>
          <w:sz w:val="32"/>
          <w:szCs w:val="32"/>
          <w:lang w:val="en-GB"/>
        </w:rPr>
        <w:t xml:space="preserve"> t=6.627 </w:t>
      </w:r>
      <w:r w:rsidRPr="006F6583">
        <w:rPr>
          <w:rFonts w:ascii="Arabic Typesetting" w:hAnsi="Arabic Typesetting" w:cs="Arabic Typesetting"/>
          <w:b/>
          <w:color w:val="auto"/>
          <w:sz w:val="32"/>
          <w:szCs w:val="32"/>
          <w:rtl/>
        </w:rPr>
        <w:t>عند</w:t>
      </w:r>
      <w:r w:rsidRPr="006F6583">
        <w:rPr>
          <w:rFonts w:ascii="Arabic Typesetting" w:hAnsi="Arabic Typesetting" w:cs="Arabic Typesetting"/>
          <w:b/>
          <w:color w:val="auto"/>
          <w:sz w:val="32"/>
          <w:szCs w:val="32"/>
          <w:lang w:val="en-GB"/>
        </w:rPr>
        <w:t xml:space="preserve"> p&lt;0.001</w:t>
      </w:r>
      <w:r w:rsidRPr="006F6583">
        <w:rPr>
          <w:rFonts w:ascii="Arabic Typesetting" w:hAnsi="Arabic Typesetting" w:cs="Arabic Typesetting"/>
          <w:b/>
          <w:color w:val="auto"/>
          <w:sz w:val="32"/>
          <w:szCs w:val="32"/>
          <w:rtl/>
        </w:rPr>
        <w:t>، وجاءت فترة الثقة 95% بين 0.186 و0.344، وهي فترة لا تشمل الصفر، مما يؤكد استقرار الأثر ودلالته الإحصائية. ويعكس ذلك أهمية الدعم الأسري والاجتماعي، والمساندة النفسية، والقدوات النسائية، والمشاركة المجتمعية، والتوازن بين الأسرة والعمل في تعزيز قدرة القيادات النسائية على ممارسة أدوارهن القيادية بفاعلية. أما العوامل الثقافية، فقد بلغ معاملها غير المعياري</w:t>
      </w:r>
      <w:r w:rsidRPr="006F6583">
        <w:rPr>
          <w:rFonts w:ascii="Arabic Typesetting" w:hAnsi="Arabic Typesetting" w:cs="Arabic Typesetting"/>
          <w:b/>
          <w:color w:val="auto"/>
          <w:sz w:val="32"/>
          <w:szCs w:val="32"/>
          <w:lang w:val="en-GB"/>
        </w:rPr>
        <w:t xml:space="preserve"> B=0.247</w:t>
      </w:r>
      <w:r w:rsidRPr="006F6583">
        <w:rPr>
          <w:rFonts w:ascii="Arabic Typesetting" w:hAnsi="Arabic Typesetting" w:cs="Arabic Typesetting"/>
          <w:b/>
          <w:color w:val="auto"/>
          <w:sz w:val="32"/>
          <w:szCs w:val="32"/>
          <w:rtl/>
        </w:rPr>
        <w:t>، ومعاملها المعياري</w:t>
      </w:r>
      <w:r w:rsidRPr="006F6583">
        <w:rPr>
          <w:rFonts w:ascii="Arabic Typesetting" w:hAnsi="Arabic Typesetting" w:cs="Arabic Typesetting"/>
          <w:b/>
          <w:color w:val="auto"/>
          <w:sz w:val="32"/>
          <w:szCs w:val="32"/>
          <w:lang w:val="en-GB"/>
        </w:rPr>
        <w:t xml:space="preserve"> </w:t>
      </w:r>
      <w:r w:rsidRPr="006F6583">
        <w:rPr>
          <w:rFonts w:ascii="Cambria" w:hAnsi="Cambria" w:cs="Cambria"/>
          <w:b/>
          <w:color w:val="auto"/>
          <w:sz w:val="32"/>
          <w:szCs w:val="32"/>
          <w:lang w:val="en-GB"/>
        </w:rPr>
        <w:t>β</w:t>
      </w:r>
      <w:r w:rsidRPr="006F6583">
        <w:rPr>
          <w:rFonts w:ascii="Arabic Typesetting" w:hAnsi="Arabic Typesetting" w:cs="Arabic Typesetting"/>
          <w:b/>
          <w:color w:val="auto"/>
          <w:sz w:val="32"/>
          <w:szCs w:val="32"/>
          <w:lang w:val="en-GB"/>
        </w:rPr>
        <w:t>=0.264</w:t>
      </w:r>
      <w:r w:rsidRPr="006F6583">
        <w:rPr>
          <w:rFonts w:ascii="Arabic Typesetting" w:hAnsi="Arabic Typesetting" w:cs="Arabic Typesetting"/>
          <w:b/>
          <w:color w:val="auto"/>
          <w:sz w:val="32"/>
          <w:szCs w:val="32"/>
          <w:rtl/>
        </w:rPr>
        <w:t>، وقيمة</w:t>
      </w:r>
      <w:r w:rsidRPr="006F6583">
        <w:rPr>
          <w:rFonts w:ascii="Arabic Typesetting" w:hAnsi="Arabic Typesetting" w:cs="Arabic Typesetting"/>
          <w:b/>
          <w:color w:val="auto"/>
          <w:sz w:val="32"/>
          <w:szCs w:val="32"/>
          <w:lang w:val="en-GB"/>
        </w:rPr>
        <w:t xml:space="preserve"> t=6.138 </w:t>
      </w:r>
      <w:r w:rsidRPr="006F6583">
        <w:rPr>
          <w:rFonts w:ascii="Arabic Typesetting" w:hAnsi="Arabic Typesetting" w:cs="Arabic Typesetting"/>
          <w:b/>
          <w:color w:val="auto"/>
          <w:sz w:val="32"/>
          <w:szCs w:val="32"/>
          <w:rtl/>
        </w:rPr>
        <w:t>عند</w:t>
      </w:r>
      <w:r w:rsidRPr="006F6583">
        <w:rPr>
          <w:rFonts w:ascii="Arabic Typesetting" w:hAnsi="Arabic Typesetting" w:cs="Arabic Typesetting"/>
          <w:b/>
          <w:color w:val="auto"/>
          <w:sz w:val="32"/>
          <w:szCs w:val="32"/>
          <w:lang w:val="en-GB"/>
        </w:rPr>
        <w:t xml:space="preserve"> p&lt;0.001</w:t>
      </w:r>
      <w:r w:rsidRPr="006F6583">
        <w:rPr>
          <w:rFonts w:ascii="Arabic Typesetting" w:hAnsi="Arabic Typesetting" w:cs="Arabic Typesetting"/>
          <w:b/>
          <w:color w:val="auto"/>
          <w:sz w:val="32"/>
          <w:szCs w:val="32"/>
          <w:rtl/>
        </w:rPr>
        <w:t>، كما تراوحت فترة الثقة بين 0.168 و0.326، وهو ما يدل على وجود أثر موجب ومستقل للثقافة المؤسسية والمجتمعية في التمكين القيادي. وتؤكد هذه النتيجة أن السياسات الداعمة، والقيم الإيجابية، وتراجع الصور النمطية، وتقبل مشاركة المرأة في القيادة وصنع القرار، تمثل عناصر ثقافية تسهم في رفع مستوى التمكين، وإن كان تأثيرها النسبي أقل قليلًا من تأثير العوامل الاجتماعية والتنظيمية. وجاءت العوامل التنظيمية في المرتبة الأولى من حيث القوة النسبية، إذ بلغ معاملها غير المعياري</w:t>
      </w:r>
      <w:r w:rsidRPr="006F6583">
        <w:rPr>
          <w:rFonts w:ascii="Arabic Typesetting" w:hAnsi="Arabic Typesetting" w:cs="Arabic Typesetting"/>
          <w:b/>
          <w:color w:val="auto"/>
          <w:sz w:val="32"/>
          <w:szCs w:val="32"/>
          <w:lang w:val="en-GB"/>
        </w:rPr>
        <w:t xml:space="preserve"> B=0.332</w:t>
      </w:r>
      <w:r w:rsidRPr="006F6583">
        <w:rPr>
          <w:rFonts w:ascii="Arabic Typesetting" w:hAnsi="Arabic Typesetting" w:cs="Arabic Typesetting"/>
          <w:b/>
          <w:color w:val="auto"/>
          <w:sz w:val="32"/>
          <w:szCs w:val="32"/>
          <w:rtl/>
        </w:rPr>
        <w:t>، ومعاملها المعياري</w:t>
      </w:r>
      <w:r w:rsidRPr="006F6583">
        <w:rPr>
          <w:rFonts w:ascii="Arabic Typesetting" w:hAnsi="Arabic Typesetting" w:cs="Arabic Typesetting"/>
          <w:b/>
          <w:color w:val="auto"/>
          <w:sz w:val="32"/>
          <w:szCs w:val="32"/>
          <w:lang w:val="en-GB"/>
        </w:rPr>
        <w:t xml:space="preserve"> </w:t>
      </w:r>
      <w:r w:rsidRPr="006F6583">
        <w:rPr>
          <w:rFonts w:ascii="Cambria" w:hAnsi="Cambria" w:cs="Cambria"/>
          <w:b/>
          <w:color w:val="auto"/>
          <w:sz w:val="32"/>
          <w:szCs w:val="32"/>
          <w:lang w:val="en-GB"/>
        </w:rPr>
        <w:t>β</w:t>
      </w:r>
      <w:r w:rsidRPr="006F6583">
        <w:rPr>
          <w:rFonts w:ascii="Arabic Typesetting" w:hAnsi="Arabic Typesetting" w:cs="Arabic Typesetting"/>
          <w:b/>
          <w:color w:val="auto"/>
          <w:sz w:val="32"/>
          <w:szCs w:val="32"/>
          <w:lang w:val="en-GB"/>
        </w:rPr>
        <w:t>=0.356</w:t>
      </w:r>
      <w:r w:rsidRPr="006F6583">
        <w:rPr>
          <w:rFonts w:ascii="Arabic Typesetting" w:hAnsi="Arabic Typesetting" w:cs="Arabic Typesetting"/>
          <w:b/>
          <w:color w:val="auto"/>
          <w:sz w:val="32"/>
          <w:szCs w:val="32"/>
          <w:rtl/>
        </w:rPr>
        <w:t>، وهو أعلى معامل</w:t>
      </w:r>
      <w:r w:rsidRPr="006F6583">
        <w:rPr>
          <w:rFonts w:ascii="Arabic Typesetting" w:hAnsi="Arabic Typesetting" w:cs="Arabic Typesetting"/>
          <w:b/>
          <w:color w:val="auto"/>
          <w:sz w:val="32"/>
          <w:szCs w:val="32"/>
          <w:lang w:val="en-GB"/>
        </w:rPr>
        <w:t xml:space="preserve"> Beta </w:t>
      </w:r>
      <w:r w:rsidRPr="006F6583">
        <w:rPr>
          <w:rFonts w:ascii="Arabic Typesetting" w:hAnsi="Arabic Typesetting" w:cs="Arabic Typesetting"/>
          <w:b/>
          <w:color w:val="auto"/>
          <w:sz w:val="32"/>
          <w:szCs w:val="32"/>
          <w:rtl/>
        </w:rPr>
        <w:t>في النموذج، كما بلغت قيمة</w:t>
      </w:r>
      <w:r w:rsidRPr="006F6583">
        <w:rPr>
          <w:rFonts w:ascii="Arabic Typesetting" w:hAnsi="Arabic Typesetting" w:cs="Arabic Typesetting"/>
          <w:b/>
          <w:color w:val="auto"/>
          <w:sz w:val="32"/>
          <w:szCs w:val="32"/>
          <w:lang w:val="en-GB"/>
        </w:rPr>
        <w:t xml:space="preserve"> t=8.519 </w:t>
      </w:r>
      <w:r w:rsidRPr="006F6583">
        <w:rPr>
          <w:rFonts w:ascii="Arabic Typesetting" w:hAnsi="Arabic Typesetting" w:cs="Arabic Typesetting"/>
          <w:b/>
          <w:color w:val="auto"/>
          <w:sz w:val="32"/>
          <w:szCs w:val="32"/>
          <w:rtl/>
        </w:rPr>
        <w:t>عند</w:t>
      </w:r>
      <w:r w:rsidRPr="006F6583">
        <w:rPr>
          <w:rFonts w:ascii="Arabic Typesetting" w:hAnsi="Arabic Typesetting" w:cs="Arabic Typesetting"/>
          <w:b/>
          <w:color w:val="auto"/>
          <w:sz w:val="32"/>
          <w:szCs w:val="32"/>
          <w:lang w:val="en-GB"/>
        </w:rPr>
        <w:t xml:space="preserve"> p&lt;0.001</w:t>
      </w:r>
      <w:r w:rsidRPr="006F6583">
        <w:rPr>
          <w:rFonts w:ascii="Arabic Typesetting" w:hAnsi="Arabic Typesetting" w:cs="Arabic Typesetting"/>
          <w:b/>
          <w:color w:val="auto"/>
          <w:sz w:val="32"/>
          <w:szCs w:val="32"/>
          <w:rtl/>
        </w:rPr>
        <w:t xml:space="preserve">، وامتدت فترة الثقة بين 0.255 و0.409، مما يدل على أن الهيكل التنظيمي والسياسات العادلة والموارد وبرامج التدريب ودعم الإدارة العليا والمشاركة في لجان صنع القرار تمثل أكثر العوامل تأثيرًا في التمكين القيادي عند مقارنة أثرها بالعوامل الأخرى. </w:t>
      </w:r>
    </w:p>
    <w:p w14:paraId="4C601A38" w14:textId="677467BF" w:rsidR="002F2EAD" w:rsidRDefault="006F6583" w:rsidP="00442B69">
      <w:pPr>
        <w:bidi/>
        <w:spacing w:line="360" w:lineRule="auto"/>
        <w:jc w:val="both"/>
        <w:rPr>
          <w:rFonts w:ascii="Arabic Typesetting" w:hAnsi="Arabic Typesetting" w:cs="Arabic Typesetting"/>
          <w:noProof/>
          <w:color w:val="auto"/>
          <w:sz w:val="32"/>
          <w:szCs w:val="32"/>
          <w:rtl/>
        </w:rPr>
      </w:pPr>
      <w:r w:rsidRPr="006F6583">
        <w:rPr>
          <w:rFonts w:ascii="Arabic Typesetting" w:hAnsi="Arabic Typesetting" w:cs="Arabic Typesetting"/>
          <w:b/>
          <w:color w:val="auto"/>
          <w:sz w:val="32"/>
          <w:szCs w:val="32"/>
          <w:rtl/>
        </w:rPr>
        <w:t>ويعني تصدر العامل التنظيمي أن التمكين لا يعتمد على استعداد القيادات أو الدعم الاجتماعي وحده، بل يحتاج إلى أنظمة وإجراءات مؤسسية تتيح الصلاحيات وتحمي من التمييز وتربط التقدم الوظيفي بالأداء والكفاءة. وبناءً على معاملات</w:t>
      </w:r>
      <w:r w:rsidRPr="006F6583">
        <w:rPr>
          <w:rFonts w:ascii="Arabic Typesetting" w:hAnsi="Arabic Typesetting" w:cs="Arabic Typesetting"/>
          <w:b/>
          <w:color w:val="auto"/>
          <w:sz w:val="32"/>
          <w:szCs w:val="32"/>
          <w:lang w:val="en-GB"/>
        </w:rPr>
        <w:t xml:space="preserve"> Beta </w:t>
      </w:r>
      <w:r w:rsidRPr="006F6583">
        <w:rPr>
          <w:rFonts w:ascii="Arabic Typesetting" w:hAnsi="Arabic Typesetting" w:cs="Arabic Typesetting"/>
          <w:b/>
          <w:color w:val="auto"/>
          <w:sz w:val="32"/>
          <w:szCs w:val="32"/>
          <w:rtl/>
        </w:rPr>
        <w:t>المعيارية، جاء ترتيب قوة التأثير على النحو الآتي: العوامل التنظيمية أولًا</w:t>
      </w:r>
      <w:r w:rsidRPr="006F6583">
        <w:rPr>
          <w:rFonts w:ascii="Arabic Typesetting" w:hAnsi="Arabic Typesetting" w:cs="Arabic Typesetting"/>
          <w:b/>
          <w:color w:val="auto"/>
          <w:sz w:val="32"/>
          <w:szCs w:val="32"/>
          <w:lang w:val="en-GB"/>
        </w:rPr>
        <w:t xml:space="preserve"> </w:t>
      </w:r>
      <w:r w:rsidRPr="006F6583">
        <w:rPr>
          <w:rFonts w:ascii="Cambria" w:hAnsi="Cambria" w:cs="Cambria"/>
          <w:b/>
          <w:color w:val="auto"/>
          <w:sz w:val="32"/>
          <w:szCs w:val="32"/>
          <w:lang w:val="en-GB"/>
        </w:rPr>
        <w:t>β</w:t>
      </w:r>
      <w:r w:rsidRPr="006F6583">
        <w:rPr>
          <w:rFonts w:ascii="Arabic Typesetting" w:hAnsi="Arabic Typesetting" w:cs="Arabic Typesetting"/>
          <w:b/>
          <w:color w:val="auto"/>
          <w:sz w:val="32"/>
          <w:szCs w:val="32"/>
          <w:lang w:val="en-GB"/>
        </w:rPr>
        <w:t>=0.356</w:t>
      </w:r>
      <w:r w:rsidRPr="006F6583">
        <w:rPr>
          <w:rFonts w:ascii="Arabic Typesetting" w:hAnsi="Arabic Typesetting" w:cs="Arabic Typesetting"/>
          <w:b/>
          <w:color w:val="auto"/>
          <w:sz w:val="32"/>
          <w:szCs w:val="32"/>
          <w:rtl/>
        </w:rPr>
        <w:t>، ثم العوامل الاجتماعية</w:t>
      </w:r>
      <w:r w:rsidRPr="006F6583">
        <w:rPr>
          <w:rFonts w:ascii="Arabic Typesetting" w:hAnsi="Arabic Typesetting" w:cs="Arabic Typesetting"/>
          <w:b/>
          <w:color w:val="auto"/>
          <w:sz w:val="32"/>
          <w:szCs w:val="32"/>
          <w:lang w:val="en-GB"/>
        </w:rPr>
        <w:t xml:space="preserve"> </w:t>
      </w:r>
      <w:r w:rsidRPr="006F6583">
        <w:rPr>
          <w:rFonts w:ascii="Cambria" w:hAnsi="Cambria" w:cs="Cambria"/>
          <w:b/>
          <w:color w:val="auto"/>
          <w:sz w:val="32"/>
          <w:szCs w:val="32"/>
          <w:lang w:val="en-GB"/>
        </w:rPr>
        <w:t>β</w:t>
      </w:r>
      <w:r w:rsidRPr="006F6583">
        <w:rPr>
          <w:rFonts w:ascii="Arabic Typesetting" w:hAnsi="Arabic Typesetting" w:cs="Arabic Typesetting"/>
          <w:b/>
          <w:color w:val="auto"/>
          <w:sz w:val="32"/>
          <w:szCs w:val="32"/>
          <w:lang w:val="en-GB"/>
        </w:rPr>
        <w:t>=0.283</w:t>
      </w:r>
      <w:r w:rsidRPr="006F6583">
        <w:rPr>
          <w:rFonts w:ascii="Arabic Typesetting" w:hAnsi="Arabic Typesetting" w:cs="Arabic Typesetting"/>
          <w:b/>
          <w:color w:val="auto"/>
          <w:sz w:val="32"/>
          <w:szCs w:val="32"/>
          <w:rtl/>
        </w:rPr>
        <w:t>، ثم العوامل الثقافية</w:t>
      </w:r>
      <w:r w:rsidRPr="006F6583">
        <w:rPr>
          <w:rFonts w:ascii="Arabic Typesetting" w:hAnsi="Arabic Typesetting" w:cs="Arabic Typesetting"/>
          <w:b/>
          <w:color w:val="auto"/>
          <w:sz w:val="32"/>
          <w:szCs w:val="32"/>
          <w:lang w:val="en-GB"/>
        </w:rPr>
        <w:t xml:space="preserve"> </w:t>
      </w:r>
      <w:r w:rsidRPr="006F6583">
        <w:rPr>
          <w:rFonts w:ascii="Cambria" w:hAnsi="Cambria" w:cs="Cambria"/>
          <w:b/>
          <w:color w:val="auto"/>
          <w:sz w:val="32"/>
          <w:szCs w:val="32"/>
          <w:lang w:val="en-GB"/>
        </w:rPr>
        <w:t>β</w:t>
      </w:r>
      <w:r w:rsidRPr="006F6583">
        <w:rPr>
          <w:rFonts w:ascii="Arabic Typesetting" w:hAnsi="Arabic Typesetting" w:cs="Arabic Typesetting"/>
          <w:b/>
          <w:color w:val="auto"/>
          <w:sz w:val="32"/>
          <w:szCs w:val="32"/>
          <w:lang w:val="en-GB"/>
        </w:rPr>
        <w:t>=0.264</w:t>
      </w:r>
      <w:r w:rsidRPr="006F6583">
        <w:rPr>
          <w:rFonts w:ascii="Arabic Typesetting" w:hAnsi="Arabic Typesetting" w:cs="Arabic Typesetting"/>
          <w:b/>
          <w:color w:val="auto"/>
          <w:sz w:val="32"/>
          <w:szCs w:val="32"/>
          <w:rtl/>
        </w:rPr>
        <w:t>، مع ملاحظة أن الفروق بين العاملين الاجتماعي والثقافي محدودة، بما يشير إلى أن كليهما يقدمان مساهمة مستقلة ومهمة في تفسير التمكين. وتتمثل معادلة التنبؤ في: التمكين القيادي = 0.544 + (0.265 × العوامل الاجتماعية) + (0.247 × العوامل الثقافية) + (0.332 × العوامل التنظيمية)، وتوضح هذه المعادلة أن العوامل التنظيمية تحقق أكبر زيادة متوقعة في التمكين عند مقارنة الزيادات المتساوية في الأبعاد المستقلة، مع بقاء مساهمة العوامل الاجتماعية والثقافية موجبة ودالة. أما معامل الثابت</w:t>
      </w:r>
      <w:r w:rsidRPr="006F6583">
        <w:rPr>
          <w:rFonts w:ascii="Arabic Typesetting" w:hAnsi="Arabic Typesetting" w:cs="Arabic Typesetting"/>
          <w:b/>
          <w:color w:val="auto"/>
          <w:sz w:val="32"/>
          <w:szCs w:val="32"/>
          <w:lang w:val="en-GB"/>
        </w:rPr>
        <w:t xml:space="preserve"> B=0.544 </w:t>
      </w:r>
      <w:r w:rsidRPr="006F6583">
        <w:rPr>
          <w:rFonts w:ascii="Arabic Typesetting" w:hAnsi="Arabic Typesetting" w:cs="Arabic Typesetting"/>
          <w:b/>
          <w:color w:val="auto"/>
          <w:sz w:val="32"/>
          <w:szCs w:val="32"/>
          <w:rtl/>
        </w:rPr>
        <w:t>فقد كان دالًا إحصائيًا عند</w:t>
      </w:r>
      <w:r w:rsidRPr="006F6583">
        <w:rPr>
          <w:rFonts w:ascii="Arabic Typesetting" w:hAnsi="Arabic Typesetting" w:cs="Arabic Typesetting"/>
          <w:b/>
          <w:color w:val="auto"/>
          <w:sz w:val="32"/>
          <w:szCs w:val="32"/>
          <w:lang w:val="en-GB"/>
        </w:rPr>
        <w:t xml:space="preserve"> p=0.009</w:t>
      </w:r>
      <w:r w:rsidRPr="006F6583">
        <w:rPr>
          <w:rFonts w:ascii="Arabic Typesetting" w:hAnsi="Arabic Typesetting" w:cs="Arabic Typesetting"/>
          <w:b/>
          <w:color w:val="auto"/>
          <w:sz w:val="32"/>
          <w:szCs w:val="32"/>
          <w:rtl/>
        </w:rPr>
        <w:t>، إلا أن تفسيره يظل محدودًا من الناحية التطبيقية لأن قيمة الصفر لجميع العوامل المستقلة تقع خارج نطاق القياس الفعلي لمقياس ليكرت، ولذلك تتركز الأهمية التفسيرية في معاملات المتغيرات المستقلة. كما تظهر مؤشرات التعدد الخطي أن قيم</w:t>
      </w:r>
      <w:r w:rsidRPr="006F6583">
        <w:rPr>
          <w:rFonts w:ascii="Arabic Typesetting" w:hAnsi="Arabic Typesetting" w:cs="Arabic Typesetting"/>
          <w:b/>
          <w:color w:val="auto"/>
          <w:sz w:val="32"/>
          <w:szCs w:val="32"/>
          <w:lang w:val="en-GB"/>
        </w:rPr>
        <w:t xml:space="preserve"> VIF </w:t>
      </w:r>
      <w:r w:rsidRPr="006F6583">
        <w:rPr>
          <w:rFonts w:ascii="Arabic Typesetting" w:hAnsi="Arabic Typesetting" w:cs="Arabic Typesetting"/>
          <w:b/>
          <w:color w:val="auto"/>
          <w:sz w:val="32"/>
          <w:szCs w:val="32"/>
          <w:rtl/>
        </w:rPr>
        <w:t>تراوحت بين 1.026 و1.090، في حين تراوحت قيم</w:t>
      </w:r>
      <w:r w:rsidRPr="006F6583">
        <w:rPr>
          <w:rFonts w:ascii="Arabic Typesetting" w:hAnsi="Arabic Typesetting" w:cs="Arabic Typesetting"/>
          <w:b/>
          <w:color w:val="auto"/>
          <w:sz w:val="32"/>
          <w:szCs w:val="32"/>
          <w:lang w:val="en-GB"/>
        </w:rPr>
        <w:t xml:space="preserve"> Tolerance </w:t>
      </w:r>
      <w:r w:rsidRPr="006F6583">
        <w:rPr>
          <w:rFonts w:ascii="Arabic Typesetting" w:hAnsi="Arabic Typesetting" w:cs="Arabic Typesetting"/>
          <w:b/>
          <w:color w:val="auto"/>
          <w:sz w:val="32"/>
          <w:szCs w:val="32"/>
          <w:rtl/>
        </w:rPr>
        <w:t>بين 0.917 و0.975، وهي مؤشرات تؤكد عدم وجود ارتباط خطي مرتفع بين المتغيرات المستقلة، وأن كل عامل يقدم معلومات تفسيرية متميزة نسبيًا عن العاملين الآخرين. وبوجه عام، تؤكد نتائج الجدول أن تعزيز التمكين القيادي يتطلب معالجة متكاملة تبدأ بتطوير البيئة التنظيمية وتوحيد فرص التدريب والترقي وتوسيع الصلاحيات والمشاركة في القرار، بالتوازي مع دعم الشبكات الاجتماعية والقدوات القيادية</w:t>
      </w:r>
    </w:p>
    <w:p w14:paraId="6900DC4C" w14:textId="77777777" w:rsidR="006F6583" w:rsidRDefault="006F6583" w:rsidP="00442B69">
      <w:pPr>
        <w:spacing w:line="360" w:lineRule="auto"/>
        <w:jc w:val="both"/>
        <w:rPr>
          <w:rFonts w:ascii="Arabic Typesetting" w:hAnsi="Arabic Typesetting" w:cs="Arabic Typesetting"/>
          <w:noProof/>
          <w:color w:val="auto"/>
          <w:sz w:val="32"/>
          <w:szCs w:val="32"/>
          <w:rtl/>
        </w:rPr>
      </w:pPr>
    </w:p>
    <w:p w14:paraId="7F041612" w14:textId="77777777" w:rsidR="006F6583" w:rsidRDefault="006F6583" w:rsidP="00442B69">
      <w:pPr>
        <w:spacing w:line="360" w:lineRule="auto"/>
        <w:jc w:val="both"/>
        <w:rPr>
          <w:rFonts w:ascii="Arabic Typesetting" w:hAnsi="Arabic Typesetting" w:cs="Arabic Typesetting"/>
          <w:noProof/>
          <w:color w:val="auto"/>
          <w:sz w:val="32"/>
          <w:szCs w:val="32"/>
          <w:rtl/>
        </w:rPr>
      </w:pPr>
    </w:p>
    <w:p w14:paraId="59904B39" w14:textId="79C3309F" w:rsidR="006F6583" w:rsidRDefault="00CB7E4C" w:rsidP="00442B69">
      <w:pPr>
        <w:spacing w:line="360" w:lineRule="auto"/>
        <w:jc w:val="both"/>
        <w:rPr>
          <w:rFonts w:ascii="Arabic Typesetting" w:hAnsi="Arabic Typesetting" w:cs="Arabic Typesetting"/>
          <w:noProof/>
          <w:color w:val="auto"/>
          <w:sz w:val="32"/>
          <w:szCs w:val="32"/>
          <w:rtl/>
        </w:rPr>
      </w:pPr>
      <w:r>
        <w:rPr>
          <w:noProof/>
        </w:rPr>
        <w:drawing>
          <wp:inline distT="0" distB="0" distL="0" distR="0" wp14:anchorId="460F3BA9" wp14:editId="6B8F7688">
            <wp:extent cx="5731510" cy="1628775"/>
            <wp:effectExtent l="0" t="0" r="2540" b="9525"/>
            <wp:docPr id="5" name="Chart 5">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DB986F0" w14:textId="77777777" w:rsidR="006F6583" w:rsidRPr="00AD326D" w:rsidRDefault="006F6583" w:rsidP="00442B69">
      <w:pPr>
        <w:spacing w:line="360" w:lineRule="auto"/>
        <w:jc w:val="both"/>
        <w:rPr>
          <w:rFonts w:ascii="Arabic Typesetting" w:hAnsi="Arabic Typesetting" w:cs="Arabic Typesetting"/>
          <w:color w:val="auto"/>
          <w:sz w:val="32"/>
          <w:szCs w:val="32"/>
        </w:rPr>
      </w:pPr>
    </w:p>
    <w:p w14:paraId="1DDABFD8" w14:textId="77777777" w:rsidR="002F2EAD" w:rsidRPr="00CB7E4C" w:rsidRDefault="00437DE2" w:rsidP="00442B69">
      <w:pPr>
        <w:pStyle w:val="ThesisCaption"/>
        <w:spacing w:line="360" w:lineRule="auto"/>
        <w:jc w:val="center"/>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شكل 4-3: معاملات Beta المعيارية في نموذج الانحدار</w:t>
      </w:r>
    </w:p>
    <w:p w14:paraId="6BFE91B7" w14:textId="77777777" w:rsidR="002F2EAD" w:rsidRPr="00CB7E4C" w:rsidRDefault="00437DE2" w:rsidP="00442B69">
      <w:pPr>
        <w:pStyle w:val="ThesisH2"/>
        <w:spacing w:line="360" w:lineRule="auto"/>
        <w:jc w:val="both"/>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4.10 اختبار One-Way ANOVA للخصائص الديموغرافية</w:t>
      </w:r>
    </w:p>
    <w:p w14:paraId="202907ED"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اختُبر اختلاف متوسط التمكين القيادي بين فئات العمر والمؤهل العلمي والخبرة الحكومية والخبرة القيادية والمستوى القيادي والقطاع الحكومي باستخدام تحليل التباين الأحادي. وبسبب ثبات الجنس في فئة واحدة (كل الحالات أنثى)، لا يمكن حساب F أو اختبار فروق جنسية؛ وتم توثيق ذلك بدلًا من إدخال نتيجة غير قابلة للتقدير.</w:t>
      </w:r>
    </w:p>
    <w:p w14:paraId="6121DF0B" w14:textId="77777777" w:rsidR="002F2EAD" w:rsidRPr="00CB7E4C"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جدول 4-12: نتائج تحليل التباين الأحادي لمتوسط التمكين القيادي</w:t>
      </w:r>
    </w:p>
    <w:tbl>
      <w:tblPr>
        <w:tblStyle w:val="PlainTable2"/>
        <w:bidiVisual/>
        <w:tblW w:w="9026" w:type="dxa"/>
        <w:tblLayout w:type="fixed"/>
        <w:tblLook w:val="04A0" w:firstRow="1" w:lastRow="0" w:firstColumn="1" w:lastColumn="0" w:noHBand="0" w:noVBand="1"/>
      </w:tblPr>
      <w:tblGrid>
        <w:gridCol w:w="2700"/>
        <w:gridCol w:w="1200"/>
        <w:gridCol w:w="1300"/>
        <w:gridCol w:w="900"/>
        <w:gridCol w:w="900"/>
        <w:gridCol w:w="850"/>
        <w:gridCol w:w="1176"/>
      </w:tblGrid>
      <w:tr w:rsidR="00AD326D" w:rsidRPr="00AD326D" w14:paraId="64D888F4" w14:textId="77777777" w:rsidTr="00CB7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tcPr>
          <w:p w14:paraId="6B76A1EE"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المتغير الديموغرافي</w:t>
            </w:r>
          </w:p>
        </w:tc>
        <w:tc>
          <w:tcPr>
            <w:tcW w:w="1200" w:type="dxa"/>
          </w:tcPr>
          <w:p w14:paraId="412F07BE"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df بين المجموعات</w:t>
            </w:r>
          </w:p>
        </w:tc>
        <w:tc>
          <w:tcPr>
            <w:tcW w:w="1300" w:type="dxa"/>
          </w:tcPr>
          <w:p w14:paraId="4448ED99"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df داخل المجموعات</w:t>
            </w:r>
          </w:p>
        </w:tc>
        <w:tc>
          <w:tcPr>
            <w:tcW w:w="900" w:type="dxa"/>
          </w:tcPr>
          <w:p w14:paraId="3CCFDDCD"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F</w:t>
            </w:r>
          </w:p>
        </w:tc>
        <w:tc>
          <w:tcPr>
            <w:tcW w:w="900" w:type="dxa"/>
          </w:tcPr>
          <w:p w14:paraId="0D7CC57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Sig.</w:t>
            </w:r>
          </w:p>
        </w:tc>
        <w:tc>
          <w:tcPr>
            <w:tcW w:w="850" w:type="dxa"/>
          </w:tcPr>
          <w:p w14:paraId="06AF038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Eta²</w:t>
            </w:r>
          </w:p>
        </w:tc>
        <w:tc>
          <w:tcPr>
            <w:tcW w:w="1176" w:type="dxa"/>
          </w:tcPr>
          <w:p w14:paraId="0326069E"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القرار</w:t>
            </w:r>
          </w:p>
        </w:tc>
      </w:tr>
      <w:tr w:rsidR="00AD326D" w:rsidRPr="00AD326D" w14:paraId="73E124B0"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tcPr>
          <w:p w14:paraId="620AE344"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الجنس</w:t>
            </w:r>
          </w:p>
        </w:tc>
        <w:tc>
          <w:tcPr>
            <w:tcW w:w="1200" w:type="dxa"/>
          </w:tcPr>
          <w:p w14:paraId="56BD846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w:t>
            </w:r>
          </w:p>
        </w:tc>
        <w:tc>
          <w:tcPr>
            <w:tcW w:w="1300" w:type="dxa"/>
          </w:tcPr>
          <w:p w14:paraId="3F8CBE4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378</w:t>
            </w:r>
          </w:p>
        </w:tc>
        <w:tc>
          <w:tcPr>
            <w:tcW w:w="900" w:type="dxa"/>
          </w:tcPr>
          <w:p w14:paraId="156B99D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غير قابل للحساب</w:t>
            </w:r>
          </w:p>
        </w:tc>
        <w:tc>
          <w:tcPr>
            <w:tcW w:w="900" w:type="dxa"/>
          </w:tcPr>
          <w:p w14:paraId="5BFA430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c>
          <w:tcPr>
            <w:tcW w:w="850" w:type="dxa"/>
          </w:tcPr>
          <w:p w14:paraId="2AE9F63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w:t>
            </w:r>
          </w:p>
        </w:tc>
        <w:tc>
          <w:tcPr>
            <w:tcW w:w="1176" w:type="dxa"/>
          </w:tcPr>
          <w:p w14:paraId="6C96E52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فئة واحدة فقط</w:t>
            </w:r>
          </w:p>
        </w:tc>
      </w:tr>
      <w:tr w:rsidR="00AD326D" w:rsidRPr="00AD326D" w14:paraId="200EEF7B" w14:textId="77777777" w:rsidTr="00CB7E4C">
        <w:tc>
          <w:tcPr>
            <w:cnfStyle w:val="001000000000" w:firstRow="0" w:lastRow="0" w:firstColumn="1" w:lastColumn="0" w:oddVBand="0" w:evenVBand="0" w:oddHBand="0" w:evenHBand="0" w:firstRowFirstColumn="0" w:firstRowLastColumn="0" w:lastRowFirstColumn="0" w:lastRowLastColumn="0"/>
            <w:tcW w:w="2700" w:type="dxa"/>
          </w:tcPr>
          <w:p w14:paraId="1F495DF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العمر</w:t>
            </w:r>
          </w:p>
        </w:tc>
        <w:tc>
          <w:tcPr>
            <w:tcW w:w="1200" w:type="dxa"/>
          </w:tcPr>
          <w:p w14:paraId="5CA6811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w:t>
            </w:r>
          </w:p>
        </w:tc>
        <w:tc>
          <w:tcPr>
            <w:tcW w:w="1300" w:type="dxa"/>
          </w:tcPr>
          <w:p w14:paraId="7AB3C15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376</w:t>
            </w:r>
          </w:p>
        </w:tc>
        <w:tc>
          <w:tcPr>
            <w:tcW w:w="900" w:type="dxa"/>
          </w:tcPr>
          <w:p w14:paraId="5D0E4E2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1.062</w:t>
            </w:r>
          </w:p>
        </w:tc>
        <w:tc>
          <w:tcPr>
            <w:tcW w:w="900" w:type="dxa"/>
          </w:tcPr>
          <w:p w14:paraId="08D9E72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0.365</w:t>
            </w:r>
          </w:p>
        </w:tc>
        <w:tc>
          <w:tcPr>
            <w:tcW w:w="850" w:type="dxa"/>
          </w:tcPr>
          <w:p w14:paraId="2A85454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0.008</w:t>
            </w:r>
          </w:p>
        </w:tc>
        <w:tc>
          <w:tcPr>
            <w:tcW w:w="1176" w:type="dxa"/>
          </w:tcPr>
          <w:p w14:paraId="55BF1ED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غير دال (p</w:t>
            </w:r>
            <w:r w:rsidRPr="00AD326D">
              <w:rPr>
                <w:rFonts w:ascii="Times New Roman" w:hAnsi="Times New Roman" w:cs="Times New Roman" w:hint="cs"/>
                <w:color w:val="auto"/>
                <w:sz w:val="32"/>
                <w:szCs w:val="32"/>
                <w:rtl/>
              </w:rPr>
              <w:t>≥</w:t>
            </w:r>
            <w:r w:rsidRPr="00AD326D">
              <w:rPr>
                <w:rFonts w:ascii="Arabic Typesetting" w:hAnsi="Arabic Typesetting" w:cs="Arabic Typesetting"/>
                <w:color w:val="auto"/>
                <w:sz w:val="32"/>
                <w:szCs w:val="32"/>
                <w:rtl/>
              </w:rPr>
              <w:t>0.05)</w:t>
            </w:r>
          </w:p>
        </w:tc>
      </w:tr>
      <w:tr w:rsidR="00AD326D" w:rsidRPr="00AD326D" w14:paraId="78C97476"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tcPr>
          <w:p w14:paraId="7805FF32"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المؤهل العلمي</w:t>
            </w:r>
          </w:p>
        </w:tc>
        <w:tc>
          <w:tcPr>
            <w:tcW w:w="1200" w:type="dxa"/>
          </w:tcPr>
          <w:p w14:paraId="191C263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w:t>
            </w:r>
          </w:p>
        </w:tc>
        <w:tc>
          <w:tcPr>
            <w:tcW w:w="1300" w:type="dxa"/>
          </w:tcPr>
          <w:p w14:paraId="67F3BC6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375</w:t>
            </w:r>
          </w:p>
        </w:tc>
        <w:tc>
          <w:tcPr>
            <w:tcW w:w="900" w:type="dxa"/>
          </w:tcPr>
          <w:p w14:paraId="0C90089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0.883</w:t>
            </w:r>
          </w:p>
        </w:tc>
        <w:tc>
          <w:tcPr>
            <w:tcW w:w="900" w:type="dxa"/>
          </w:tcPr>
          <w:p w14:paraId="0CA5AF9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0.474</w:t>
            </w:r>
          </w:p>
        </w:tc>
        <w:tc>
          <w:tcPr>
            <w:tcW w:w="850" w:type="dxa"/>
          </w:tcPr>
          <w:p w14:paraId="4B4F0D6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0.009</w:t>
            </w:r>
          </w:p>
        </w:tc>
        <w:tc>
          <w:tcPr>
            <w:tcW w:w="1176" w:type="dxa"/>
          </w:tcPr>
          <w:p w14:paraId="32C2DDF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غير دال (p</w:t>
            </w:r>
            <w:r w:rsidRPr="00AD326D">
              <w:rPr>
                <w:rFonts w:ascii="Times New Roman" w:hAnsi="Times New Roman" w:cs="Times New Roman" w:hint="cs"/>
                <w:color w:val="auto"/>
                <w:sz w:val="32"/>
                <w:szCs w:val="32"/>
                <w:rtl/>
              </w:rPr>
              <w:t>≥</w:t>
            </w:r>
            <w:r w:rsidRPr="00AD326D">
              <w:rPr>
                <w:rFonts w:ascii="Arabic Typesetting" w:hAnsi="Arabic Typesetting" w:cs="Arabic Typesetting"/>
                <w:color w:val="auto"/>
                <w:sz w:val="32"/>
                <w:szCs w:val="32"/>
                <w:rtl/>
              </w:rPr>
              <w:t>0.05)</w:t>
            </w:r>
          </w:p>
        </w:tc>
      </w:tr>
      <w:tr w:rsidR="00AD326D" w:rsidRPr="00AD326D" w14:paraId="50FD40F6" w14:textId="77777777" w:rsidTr="00CB7E4C">
        <w:tc>
          <w:tcPr>
            <w:cnfStyle w:val="001000000000" w:firstRow="0" w:lastRow="0" w:firstColumn="1" w:lastColumn="0" w:oddVBand="0" w:evenVBand="0" w:oddHBand="0" w:evenHBand="0" w:firstRowFirstColumn="0" w:firstRowLastColumn="0" w:lastRowFirstColumn="0" w:lastRowLastColumn="0"/>
            <w:tcW w:w="2700" w:type="dxa"/>
          </w:tcPr>
          <w:p w14:paraId="6385D41E"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سنوات الخبرة في العمل الحكومي</w:t>
            </w:r>
          </w:p>
        </w:tc>
        <w:tc>
          <w:tcPr>
            <w:tcW w:w="1200" w:type="dxa"/>
          </w:tcPr>
          <w:p w14:paraId="2027697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w:t>
            </w:r>
          </w:p>
        </w:tc>
        <w:tc>
          <w:tcPr>
            <w:tcW w:w="1300" w:type="dxa"/>
          </w:tcPr>
          <w:p w14:paraId="23063A5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376</w:t>
            </w:r>
          </w:p>
        </w:tc>
        <w:tc>
          <w:tcPr>
            <w:tcW w:w="900" w:type="dxa"/>
          </w:tcPr>
          <w:p w14:paraId="40F937A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0.839</w:t>
            </w:r>
          </w:p>
        </w:tc>
        <w:tc>
          <w:tcPr>
            <w:tcW w:w="900" w:type="dxa"/>
          </w:tcPr>
          <w:p w14:paraId="33D9F5C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0.473</w:t>
            </w:r>
          </w:p>
        </w:tc>
        <w:tc>
          <w:tcPr>
            <w:tcW w:w="850" w:type="dxa"/>
          </w:tcPr>
          <w:p w14:paraId="4BB614B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0.007</w:t>
            </w:r>
          </w:p>
        </w:tc>
        <w:tc>
          <w:tcPr>
            <w:tcW w:w="1176" w:type="dxa"/>
          </w:tcPr>
          <w:p w14:paraId="23460A1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غير دال (p</w:t>
            </w:r>
            <w:r w:rsidRPr="00AD326D">
              <w:rPr>
                <w:rFonts w:ascii="Times New Roman" w:hAnsi="Times New Roman" w:cs="Times New Roman" w:hint="cs"/>
                <w:color w:val="auto"/>
                <w:sz w:val="32"/>
                <w:szCs w:val="32"/>
                <w:rtl/>
              </w:rPr>
              <w:t>≥</w:t>
            </w:r>
            <w:r w:rsidRPr="00AD326D">
              <w:rPr>
                <w:rFonts w:ascii="Arabic Typesetting" w:hAnsi="Arabic Typesetting" w:cs="Arabic Typesetting"/>
                <w:color w:val="auto"/>
                <w:sz w:val="32"/>
                <w:szCs w:val="32"/>
                <w:rtl/>
              </w:rPr>
              <w:t>0.05)</w:t>
            </w:r>
          </w:p>
        </w:tc>
      </w:tr>
      <w:tr w:rsidR="00AD326D" w:rsidRPr="00AD326D" w14:paraId="751E6549"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tcPr>
          <w:p w14:paraId="1EB1F0D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lastRenderedPageBreak/>
              <w:t>سنوات الخبرة في منصب قيادي</w:t>
            </w:r>
          </w:p>
        </w:tc>
        <w:tc>
          <w:tcPr>
            <w:tcW w:w="1200" w:type="dxa"/>
          </w:tcPr>
          <w:p w14:paraId="2B7128E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w:t>
            </w:r>
          </w:p>
        </w:tc>
        <w:tc>
          <w:tcPr>
            <w:tcW w:w="1300" w:type="dxa"/>
          </w:tcPr>
          <w:p w14:paraId="2F3B9DC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376</w:t>
            </w:r>
          </w:p>
        </w:tc>
        <w:tc>
          <w:tcPr>
            <w:tcW w:w="900" w:type="dxa"/>
          </w:tcPr>
          <w:p w14:paraId="1D20D66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0.914</w:t>
            </w:r>
          </w:p>
        </w:tc>
        <w:tc>
          <w:tcPr>
            <w:tcW w:w="900" w:type="dxa"/>
          </w:tcPr>
          <w:p w14:paraId="0FCDF19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0.434</w:t>
            </w:r>
          </w:p>
        </w:tc>
        <w:tc>
          <w:tcPr>
            <w:tcW w:w="850" w:type="dxa"/>
          </w:tcPr>
          <w:p w14:paraId="6ABA860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0.007</w:t>
            </w:r>
          </w:p>
        </w:tc>
        <w:tc>
          <w:tcPr>
            <w:tcW w:w="1176" w:type="dxa"/>
          </w:tcPr>
          <w:p w14:paraId="10B46F4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غير دال (p</w:t>
            </w:r>
            <w:r w:rsidRPr="00AD326D">
              <w:rPr>
                <w:rFonts w:ascii="Times New Roman" w:hAnsi="Times New Roman" w:cs="Times New Roman" w:hint="cs"/>
                <w:color w:val="auto"/>
                <w:sz w:val="32"/>
                <w:szCs w:val="32"/>
                <w:rtl/>
              </w:rPr>
              <w:t>≥</w:t>
            </w:r>
            <w:r w:rsidRPr="00AD326D">
              <w:rPr>
                <w:rFonts w:ascii="Arabic Typesetting" w:hAnsi="Arabic Typesetting" w:cs="Arabic Typesetting"/>
                <w:color w:val="auto"/>
                <w:sz w:val="32"/>
                <w:szCs w:val="32"/>
                <w:rtl/>
              </w:rPr>
              <w:t>0.05)</w:t>
            </w:r>
          </w:p>
        </w:tc>
      </w:tr>
      <w:tr w:rsidR="00AD326D" w:rsidRPr="00AD326D" w14:paraId="2A441982" w14:textId="77777777" w:rsidTr="00CB7E4C">
        <w:tc>
          <w:tcPr>
            <w:cnfStyle w:val="001000000000" w:firstRow="0" w:lastRow="0" w:firstColumn="1" w:lastColumn="0" w:oddVBand="0" w:evenVBand="0" w:oddHBand="0" w:evenHBand="0" w:firstRowFirstColumn="0" w:firstRowLastColumn="0" w:lastRowFirstColumn="0" w:lastRowLastColumn="0"/>
            <w:tcW w:w="2700" w:type="dxa"/>
          </w:tcPr>
          <w:p w14:paraId="2A20A7F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المستوى القيادي الحالي</w:t>
            </w:r>
          </w:p>
        </w:tc>
        <w:tc>
          <w:tcPr>
            <w:tcW w:w="1200" w:type="dxa"/>
          </w:tcPr>
          <w:p w14:paraId="41D79D4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w:t>
            </w:r>
          </w:p>
        </w:tc>
        <w:tc>
          <w:tcPr>
            <w:tcW w:w="1300" w:type="dxa"/>
          </w:tcPr>
          <w:p w14:paraId="07BA30C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376</w:t>
            </w:r>
          </w:p>
        </w:tc>
        <w:tc>
          <w:tcPr>
            <w:tcW w:w="900" w:type="dxa"/>
          </w:tcPr>
          <w:p w14:paraId="0CEEC0D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1.004</w:t>
            </w:r>
          </w:p>
        </w:tc>
        <w:tc>
          <w:tcPr>
            <w:tcW w:w="900" w:type="dxa"/>
          </w:tcPr>
          <w:p w14:paraId="3E6839C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0.391</w:t>
            </w:r>
          </w:p>
        </w:tc>
        <w:tc>
          <w:tcPr>
            <w:tcW w:w="850" w:type="dxa"/>
          </w:tcPr>
          <w:p w14:paraId="3F7CE93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0.008</w:t>
            </w:r>
          </w:p>
        </w:tc>
        <w:tc>
          <w:tcPr>
            <w:tcW w:w="1176" w:type="dxa"/>
          </w:tcPr>
          <w:p w14:paraId="360CF5F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غير دال (p</w:t>
            </w:r>
            <w:r w:rsidRPr="00AD326D">
              <w:rPr>
                <w:rFonts w:ascii="Times New Roman" w:hAnsi="Times New Roman" w:cs="Times New Roman" w:hint="cs"/>
                <w:color w:val="auto"/>
                <w:sz w:val="32"/>
                <w:szCs w:val="32"/>
                <w:rtl/>
              </w:rPr>
              <w:t>≥</w:t>
            </w:r>
            <w:r w:rsidRPr="00AD326D">
              <w:rPr>
                <w:rFonts w:ascii="Arabic Typesetting" w:hAnsi="Arabic Typesetting" w:cs="Arabic Typesetting"/>
                <w:color w:val="auto"/>
                <w:sz w:val="32"/>
                <w:szCs w:val="32"/>
                <w:rtl/>
              </w:rPr>
              <w:t>0.05)</w:t>
            </w:r>
          </w:p>
        </w:tc>
      </w:tr>
      <w:tr w:rsidR="00AD326D" w:rsidRPr="00AD326D" w14:paraId="63871DF4"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tcPr>
          <w:p w14:paraId="11936CD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قطاع الجهة الحكومية</w:t>
            </w:r>
          </w:p>
        </w:tc>
        <w:tc>
          <w:tcPr>
            <w:tcW w:w="1200" w:type="dxa"/>
          </w:tcPr>
          <w:p w14:paraId="5FC33B1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5</w:t>
            </w:r>
          </w:p>
        </w:tc>
        <w:tc>
          <w:tcPr>
            <w:tcW w:w="1300" w:type="dxa"/>
          </w:tcPr>
          <w:p w14:paraId="5FBDAF2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374</w:t>
            </w:r>
          </w:p>
        </w:tc>
        <w:tc>
          <w:tcPr>
            <w:tcW w:w="900" w:type="dxa"/>
          </w:tcPr>
          <w:p w14:paraId="0AF62D7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1.204</w:t>
            </w:r>
          </w:p>
        </w:tc>
        <w:tc>
          <w:tcPr>
            <w:tcW w:w="900" w:type="dxa"/>
          </w:tcPr>
          <w:p w14:paraId="2139DE3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0.306</w:t>
            </w:r>
          </w:p>
        </w:tc>
        <w:tc>
          <w:tcPr>
            <w:tcW w:w="850" w:type="dxa"/>
          </w:tcPr>
          <w:p w14:paraId="440F4E4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0.016</w:t>
            </w:r>
          </w:p>
        </w:tc>
        <w:tc>
          <w:tcPr>
            <w:tcW w:w="1176" w:type="dxa"/>
          </w:tcPr>
          <w:p w14:paraId="1A3AF9A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غير دال (p</w:t>
            </w:r>
            <w:r w:rsidRPr="00AD326D">
              <w:rPr>
                <w:rFonts w:ascii="Times New Roman" w:hAnsi="Times New Roman" w:cs="Times New Roman" w:hint="cs"/>
                <w:color w:val="auto"/>
                <w:sz w:val="32"/>
                <w:szCs w:val="32"/>
                <w:rtl/>
              </w:rPr>
              <w:t>≥</w:t>
            </w:r>
            <w:r w:rsidRPr="00AD326D">
              <w:rPr>
                <w:rFonts w:ascii="Arabic Typesetting" w:hAnsi="Arabic Typesetting" w:cs="Arabic Typesetting"/>
                <w:color w:val="auto"/>
                <w:sz w:val="32"/>
                <w:szCs w:val="32"/>
                <w:rtl/>
              </w:rPr>
              <w:t>0.05)</w:t>
            </w:r>
          </w:p>
        </w:tc>
      </w:tr>
    </w:tbl>
    <w:p w14:paraId="519507A2" w14:textId="1D352A28"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color w:val="auto"/>
          <w:sz w:val="32"/>
          <w:szCs w:val="32"/>
        </w:rPr>
        <w:t>لا</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توجد</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فروق</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دالة</w:t>
      </w:r>
      <w:proofErr w:type="spellEnd"/>
      <w:r w:rsidRPr="00AD326D">
        <w:rPr>
          <w:rFonts w:ascii="Arabic Typesetting" w:hAnsi="Arabic Typesetting" w:cs="Arabic Typesetting"/>
          <w:color w:val="auto"/>
          <w:sz w:val="32"/>
          <w:szCs w:val="32"/>
        </w:rPr>
        <w:t xml:space="preserve"> في متوسط التمكين حسب العمر أو المؤهل أو الخبرة أو المستوى أو القطاع، إذ تجاوزت قيم p مستوى 0.05 وكانت أحجام الأثر صغيرة. أما الجنس فتعذر اختباره إحصائيًا بسبب وجود فئة واحدة فقط، وهو قيد تصميمي وليس نتيجة لغياب التمكين.</w:t>
      </w:r>
    </w:p>
    <w:p w14:paraId="5D52C491" w14:textId="77777777" w:rsidR="002F2EAD" w:rsidRDefault="00437DE2" w:rsidP="00442B69">
      <w:pPr>
        <w:pStyle w:val="ThesisH3"/>
        <w:spacing w:line="360" w:lineRule="auto"/>
        <w:jc w:val="both"/>
        <w:rPr>
          <w:rFonts w:ascii="Arabic Typesetting" w:hAnsi="Arabic Typesetting" w:cs="Arabic Typesetting"/>
          <w:b w:val="0"/>
          <w:bCs/>
          <w:color w:val="auto"/>
          <w:sz w:val="32"/>
          <w:szCs w:val="32"/>
          <w:rtl/>
        </w:rPr>
      </w:pPr>
      <w:r w:rsidRPr="00CB7E4C">
        <w:rPr>
          <w:rFonts w:ascii="Arabic Typesetting" w:hAnsi="Arabic Typesetting" w:cs="Arabic Typesetting"/>
          <w:b w:val="0"/>
          <w:bCs/>
          <w:color w:val="auto"/>
          <w:sz w:val="32"/>
          <w:szCs w:val="32"/>
          <w:rtl/>
        </w:rPr>
        <w:t>4.10.1 الفروق حسب العمر</w:t>
      </w:r>
    </w:p>
    <w:p w14:paraId="22B85FC6" w14:textId="69E9FC09" w:rsidR="00CB7E4C" w:rsidRPr="00CB7E4C" w:rsidRDefault="00CB7E4C" w:rsidP="00442B69">
      <w:pPr>
        <w:pStyle w:val="ThesisH3"/>
        <w:spacing w:line="360" w:lineRule="auto"/>
        <w:jc w:val="both"/>
        <w:rPr>
          <w:rFonts w:ascii="Arabic Typesetting" w:hAnsi="Arabic Typesetting" w:cs="Arabic Typesetting"/>
          <w:b w:val="0"/>
          <w:color w:val="auto"/>
          <w:sz w:val="32"/>
          <w:szCs w:val="32"/>
          <w:lang w:val="en-GB"/>
        </w:rPr>
      </w:pPr>
      <w:r w:rsidRPr="00CB7E4C">
        <w:rPr>
          <w:rFonts w:ascii="Arabic Typesetting" w:hAnsi="Arabic Typesetting" w:cs="Arabic Typesetting"/>
          <w:b w:val="0"/>
          <w:color w:val="auto"/>
          <w:sz w:val="32"/>
          <w:szCs w:val="32"/>
          <w:rtl/>
        </w:rPr>
        <w:t>لاختبار مدى اختلاف مستوى التمكين القيادي باختلاف الفئات العمرية، تم استخدام تحليل التباين الأحادي</w:t>
      </w:r>
      <w:r w:rsidRPr="00CB7E4C">
        <w:rPr>
          <w:rFonts w:ascii="Arabic Typesetting" w:hAnsi="Arabic Typesetting" w:cs="Arabic Typesetting"/>
          <w:b w:val="0"/>
          <w:color w:val="auto"/>
          <w:sz w:val="32"/>
          <w:szCs w:val="32"/>
          <w:lang w:val="en-GB"/>
        </w:rPr>
        <w:t xml:space="preserve"> (One-Way ANOVA) </w:t>
      </w:r>
      <w:r w:rsidRPr="00CB7E4C">
        <w:rPr>
          <w:rFonts w:ascii="Arabic Typesetting" w:hAnsi="Arabic Typesetting" w:cs="Arabic Typesetting"/>
          <w:b w:val="0"/>
          <w:color w:val="auto"/>
          <w:sz w:val="32"/>
          <w:szCs w:val="32"/>
          <w:rtl/>
        </w:rPr>
        <w:t>بعد تقسيم أفراد العينة إلى أربع فئات عمرية. ويعرض الجدول التالي عدد المشاركات في كل فئة، ومتوسط التمكين القيادي، والانحراف المعياري، بما يسمح بمقارنة الاتجاه العام لمستوى التمكين بين الفئات العمرية المختلفة. ويساعد هذا التحليل في تحديد ما إذا كانت الفروق الظاهرية بين المتوسطات تعكس اختلافًا حقيقيًا ذا دلالة إحصائية، أم أنها فروق عشوائية يمكن أن تظهر نتيجة التباين الطبيعي بين أفراد العينة</w:t>
      </w:r>
      <w:r w:rsidRPr="00CB7E4C">
        <w:rPr>
          <w:rFonts w:ascii="Arabic Typesetting" w:hAnsi="Arabic Typesetting" w:cs="Arabic Typesetting"/>
          <w:b w:val="0"/>
          <w:color w:val="auto"/>
          <w:sz w:val="32"/>
          <w:szCs w:val="32"/>
          <w:lang w:val="en-GB"/>
        </w:rPr>
        <w:t>.</w:t>
      </w:r>
    </w:p>
    <w:p w14:paraId="4B4BCC09" w14:textId="77777777" w:rsidR="002F2EAD" w:rsidRPr="00CB7E4C"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جدول 4-12-AGE: المتوسطات حسب العمر</w:t>
      </w:r>
    </w:p>
    <w:tbl>
      <w:tblPr>
        <w:tblStyle w:val="PlainTable2"/>
        <w:bidiVisual/>
        <w:tblW w:w="9026" w:type="dxa"/>
        <w:tblLayout w:type="fixed"/>
        <w:tblLook w:val="04A0" w:firstRow="1" w:lastRow="0" w:firstColumn="1" w:lastColumn="0" w:noHBand="0" w:noVBand="1"/>
      </w:tblPr>
      <w:tblGrid>
        <w:gridCol w:w="4200"/>
        <w:gridCol w:w="1200"/>
        <w:gridCol w:w="1900"/>
        <w:gridCol w:w="1726"/>
      </w:tblGrid>
      <w:tr w:rsidR="00AD326D" w:rsidRPr="00AD326D" w14:paraId="5243CFCF" w14:textId="77777777" w:rsidTr="00CB7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35DF5B8C"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الفئة</w:t>
            </w:r>
          </w:p>
        </w:tc>
        <w:tc>
          <w:tcPr>
            <w:tcW w:w="1200" w:type="dxa"/>
          </w:tcPr>
          <w:p w14:paraId="54C7E16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N</w:t>
            </w:r>
          </w:p>
        </w:tc>
        <w:tc>
          <w:tcPr>
            <w:tcW w:w="1900" w:type="dxa"/>
          </w:tcPr>
          <w:p w14:paraId="131DFFB6"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التمكين</w:t>
            </w:r>
          </w:p>
        </w:tc>
        <w:tc>
          <w:tcPr>
            <w:tcW w:w="1726" w:type="dxa"/>
          </w:tcPr>
          <w:p w14:paraId="00E7A8CF"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الانحراف المعياري</w:t>
            </w:r>
          </w:p>
        </w:tc>
      </w:tr>
      <w:tr w:rsidR="00AD326D" w:rsidRPr="00AD326D" w14:paraId="43771B4A"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0E882466"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أقل من 30 سنة</w:t>
            </w:r>
          </w:p>
        </w:tc>
        <w:tc>
          <w:tcPr>
            <w:tcW w:w="1200" w:type="dxa"/>
          </w:tcPr>
          <w:p w14:paraId="17E9271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40</w:t>
            </w:r>
          </w:p>
        </w:tc>
        <w:tc>
          <w:tcPr>
            <w:tcW w:w="1900" w:type="dxa"/>
          </w:tcPr>
          <w:p w14:paraId="668D3C2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3.430</w:t>
            </w:r>
          </w:p>
        </w:tc>
        <w:tc>
          <w:tcPr>
            <w:tcW w:w="1726" w:type="dxa"/>
          </w:tcPr>
          <w:p w14:paraId="534970B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0.693</w:t>
            </w:r>
          </w:p>
        </w:tc>
      </w:tr>
      <w:tr w:rsidR="00AD326D" w:rsidRPr="00AD326D" w14:paraId="7A131B19"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4B5EBFCC"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30–39 سنة</w:t>
            </w:r>
          </w:p>
        </w:tc>
        <w:tc>
          <w:tcPr>
            <w:tcW w:w="1200" w:type="dxa"/>
          </w:tcPr>
          <w:p w14:paraId="0CF0CDC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109</w:t>
            </w:r>
          </w:p>
        </w:tc>
        <w:tc>
          <w:tcPr>
            <w:tcW w:w="1900" w:type="dxa"/>
          </w:tcPr>
          <w:p w14:paraId="0D12140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3.564</w:t>
            </w:r>
          </w:p>
        </w:tc>
        <w:tc>
          <w:tcPr>
            <w:tcW w:w="1726" w:type="dxa"/>
          </w:tcPr>
          <w:p w14:paraId="0996D26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0.671</w:t>
            </w:r>
          </w:p>
        </w:tc>
      </w:tr>
      <w:tr w:rsidR="00AD326D" w:rsidRPr="00AD326D" w14:paraId="1D12E6B0"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4A03922E"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40–49 سنة</w:t>
            </w:r>
          </w:p>
        </w:tc>
        <w:tc>
          <w:tcPr>
            <w:tcW w:w="1200" w:type="dxa"/>
          </w:tcPr>
          <w:p w14:paraId="060BD18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165</w:t>
            </w:r>
          </w:p>
        </w:tc>
        <w:tc>
          <w:tcPr>
            <w:tcW w:w="1900" w:type="dxa"/>
          </w:tcPr>
          <w:p w14:paraId="0E728B6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3.568</w:t>
            </w:r>
          </w:p>
        </w:tc>
        <w:tc>
          <w:tcPr>
            <w:tcW w:w="1726" w:type="dxa"/>
          </w:tcPr>
          <w:p w14:paraId="5B59BF7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0.597</w:t>
            </w:r>
          </w:p>
        </w:tc>
      </w:tr>
      <w:tr w:rsidR="00AD326D" w:rsidRPr="00AD326D" w14:paraId="40C8689F"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7928B916"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50 سنة فأكثر</w:t>
            </w:r>
          </w:p>
        </w:tc>
        <w:tc>
          <w:tcPr>
            <w:tcW w:w="1200" w:type="dxa"/>
          </w:tcPr>
          <w:p w14:paraId="2A51885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66</w:t>
            </w:r>
          </w:p>
        </w:tc>
        <w:tc>
          <w:tcPr>
            <w:tcW w:w="1900" w:type="dxa"/>
          </w:tcPr>
          <w:p w14:paraId="14E740B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3.444</w:t>
            </w:r>
          </w:p>
        </w:tc>
        <w:tc>
          <w:tcPr>
            <w:tcW w:w="1726" w:type="dxa"/>
          </w:tcPr>
          <w:p w14:paraId="06A9F27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0.594</w:t>
            </w:r>
          </w:p>
        </w:tc>
      </w:tr>
    </w:tbl>
    <w:p w14:paraId="4855FA7A" w14:textId="257704F2" w:rsidR="00CB7E4C" w:rsidRDefault="00CB7E4C" w:rsidP="00442B69">
      <w:pPr>
        <w:pStyle w:val="ThesisH3"/>
        <w:spacing w:line="360" w:lineRule="auto"/>
        <w:jc w:val="both"/>
        <w:rPr>
          <w:rFonts w:ascii="Arabic Typesetting" w:hAnsi="Arabic Typesetting" w:cs="Arabic Typesetting"/>
          <w:color w:val="auto"/>
          <w:sz w:val="32"/>
          <w:szCs w:val="32"/>
          <w:rtl/>
        </w:rPr>
      </w:pPr>
      <w:r w:rsidRPr="00CB7E4C">
        <w:rPr>
          <w:rFonts w:ascii="Arabic Typesetting" w:hAnsi="Arabic Typesetting" w:cs="Arabic Typesetting"/>
          <w:color w:val="auto"/>
          <w:sz w:val="32"/>
          <w:szCs w:val="32"/>
          <w:rtl/>
        </w:rPr>
        <w:t>يوضح جدول</w:t>
      </w:r>
      <w:r w:rsidRPr="00CB7E4C">
        <w:rPr>
          <w:rFonts w:ascii="Arabic Typesetting" w:hAnsi="Arabic Typesetting" w:cs="Arabic Typesetting"/>
          <w:color w:val="auto"/>
          <w:sz w:val="32"/>
          <w:szCs w:val="32"/>
          <w:lang w:val="en-GB"/>
        </w:rPr>
        <w:t xml:space="preserve"> (4-12-AGE) </w:t>
      </w:r>
      <w:r w:rsidRPr="00CB7E4C">
        <w:rPr>
          <w:rFonts w:ascii="Arabic Typesetting" w:hAnsi="Arabic Typesetting" w:cs="Arabic Typesetting"/>
          <w:color w:val="auto"/>
          <w:sz w:val="32"/>
          <w:szCs w:val="32"/>
          <w:rtl/>
        </w:rPr>
        <w:t xml:space="preserve">أن متوسطات التمكين القيادي جاءت مرتفعة في جميع الفئات العمرية، إذ تراوحت بين 3.430 و3.568، مما يشير إلى أن المشاركات، بصرف النظر عن أعمارهن، يدركن مستوى جيدًا من الصلاحيات والاستقلالية والقدرة على ممارسة الأدوار </w:t>
      </w:r>
      <w:r w:rsidRPr="00CB7E4C">
        <w:rPr>
          <w:rFonts w:ascii="Arabic Typesetting" w:hAnsi="Arabic Typesetting" w:cs="Arabic Typesetting"/>
          <w:color w:val="auto"/>
          <w:sz w:val="32"/>
          <w:szCs w:val="32"/>
          <w:rtl/>
        </w:rPr>
        <w:lastRenderedPageBreak/>
        <w:t>القيادية داخل الجهات الحكومية. وقد سجلت الفئة العمرية 40–49 سنة أعلى متوسط للتمكين القيادي بواقع 3.568 وانحراف معياري قدره 0.597، تلتها الفئة العمرية 30–39 سنة بمتوسط 3.564 وانحراف معياري 0.671، وهو تقارب شديد بين الفئتين يعكس تشابهًا واضحًا في مستوى التمكين لدى القيادات الواقعة في مرحلتي النضج والتطور المهني. في المقابل، سجلت فئة أقل من 30 سنة أدنى متوسط بلغ 3.430 بانحراف معياري 0.693، بينما بلغ متوسط فئة 50 سنة فأكثر 3.444 بانحراف معياري 0.594. وعلى الرغم من أن الفئة الأصغر سنًا جاءت في المرتبة الأخيرة، فإن الفرق بينها وبين أعلى متوسط لا يتجاوز 0.138 نقطة، وهو فرق محدود من الناحية الوصفية ولا يشير إلى فجوة كبيرة في التمكين بين الفئات. وتؤكد نتيجة تحليل التباين الأحادي هذه الملاحظة، إذ بلغت قيمة</w:t>
      </w:r>
      <w:r w:rsidRPr="00CB7E4C">
        <w:rPr>
          <w:rFonts w:ascii="Arabic Typesetting" w:hAnsi="Arabic Typesetting" w:cs="Arabic Typesetting"/>
          <w:color w:val="auto"/>
          <w:sz w:val="32"/>
          <w:szCs w:val="32"/>
          <w:lang w:val="en-GB"/>
        </w:rPr>
        <w:t xml:space="preserve"> F=1.062 </w:t>
      </w:r>
      <w:r w:rsidRPr="00CB7E4C">
        <w:rPr>
          <w:rFonts w:ascii="Arabic Typesetting" w:hAnsi="Arabic Typesetting" w:cs="Arabic Typesetting"/>
          <w:color w:val="auto"/>
          <w:sz w:val="32"/>
          <w:szCs w:val="32"/>
          <w:rtl/>
        </w:rPr>
        <w:t>عند مستوى دلالة</w:t>
      </w:r>
      <w:r w:rsidRPr="00CB7E4C">
        <w:rPr>
          <w:rFonts w:ascii="Arabic Typesetting" w:hAnsi="Arabic Typesetting" w:cs="Arabic Typesetting"/>
          <w:color w:val="auto"/>
          <w:sz w:val="32"/>
          <w:szCs w:val="32"/>
          <w:lang w:val="en-GB"/>
        </w:rPr>
        <w:t xml:space="preserve"> p=0.365</w:t>
      </w:r>
      <w:r w:rsidRPr="00CB7E4C">
        <w:rPr>
          <w:rFonts w:ascii="Arabic Typesetting" w:hAnsi="Arabic Typesetting" w:cs="Arabic Typesetting"/>
          <w:color w:val="auto"/>
          <w:sz w:val="32"/>
          <w:szCs w:val="32"/>
          <w:rtl/>
        </w:rPr>
        <w:t>، وهي قيمة أكبر من 0.05، مما يعني عدم وجود فروق ذات دلالة إحصائية في متوسط التمكين القيادي تعزى إلى العمر. وبعبارة أخرى، لا توفر البيانات دليلًا إحصائيًا كافيًا للقول إن القيادات الأكبر أو الأصغر سنًا يتمتعن بمستوى تمكين مختلف بصورة جوهرية، بل تشير إلى أن التمكين داخل الجهات الحكومية يبدو موزعًا بدرجة متقاربة بين الفئات العمرية. كما بلغ حجم الأثر</w:t>
      </w:r>
      <w:r w:rsidRPr="00CB7E4C">
        <w:rPr>
          <w:rFonts w:ascii="Arabic Typesetting" w:hAnsi="Arabic Typesetting" w:cs="Arabic Typesetting"/>
          <w:color w:val="auto"/>
          <w:sz w:val="32"/>
          <w:szCs w:val="32"/>
          <w:lang w:val="en-GB"/>
        </w:rPr>
        <w:t xml:space="preserve"> Eta²=0.008</w:t>
      </w:r>
      <w:r w:rsidRPr="00CB7E4C">
        <w:rPr>
          <w:rFonts w:ascii="Arabic Typesetting" w:hAnsi="Arabic Typesetting" w:cs="Arabic Typesetting"/>
          <w:color w:val="auto"/>
          <w:sz w:val="32"/>
          <w:szCs w:val="32"/>
          <w:rtl/>
        </w:rPr>
        <w:t xml:space="preserve">، أي أن العمر يفسر نحو 0.8% فقط من التباين في درجات التمكين القيادي، وهي نسبة صغيرة جدًا تؤكد محدودية الإسهام العملي للعمر في تفسير الاختلافات بين المشاركات. </w:t>
      </w:r>
    </w:p>
    <w:p w14:paraId="400C79AD" w14:textId="3DFA59DB" w:rsidR="00CB7E4C" w:rsidRPr="00CB7E4C" w:rsidRDefault="00CB7E4C" w:rsidP="00442B69">
      <w:pPr>
        <w:pStyle w:val="ThesisH3"/>
        <w:spacing w:line="360" w:lineRule="auto"/>
        <w:jc w:val="both"/>
        <w:rPr>
          <w:rFonts w:ascii="Arabic Typesetting" w:hAnsi="Arabic Typesetting" w:cs="Arabic Typesetting"/>
          <w:color w:val="auto"/>
          <w:sz w:val="32"/>
          <w:szCs w:val="32"/>
          <w:lang w:val="en-GB"/>
        </w:rPr>
      </w:pPr>
      <w:r w:rsidRPr="00CB7E4C">
        <w:rPr>
          <w:rFonts w:ascii="Arabic Typesetting" w:hAnsi="Arabic Typesetting" w:cs="Arabic Typesetting"/>
          <w:color w:val="auto"/>
          <w:sz w:val="32"/>
          <w:szCs w:val="32"/>
          <w:rtl/>
        </w:rPr>
        <w:t>ويلاحظ كذلك أن الانحراف المعياري كان أعلى لدى فئة أقل من 30 سنة، مما يعكس تفاوتًا نسبيًا أكبر في خبرات التمكين بين القيادات الأصغر سنًا، في حين كان التباين أقل لدى فئة 50 سنة فأكثر، بما يشير إلى قدر أكبر من التقارب في استجابات هذه الفئة. وقد يرتبط ذلك باختلاف الخبرات والمسارات المهنية، إلا أن هذه الملاحظة تظل وصفية ولا تكفي لإثبات تفسير سببي. وبوجه عام، تشير النتائج إلى أن سياسات التمكين القيادي لا ينبغي أن تُبنى على العمر باعتباره عاملًا حاسمًا، بل ينبغي أن تركز على توفير فرص عادلة ومتقاربة لجميع القيادات، مع إمكانية تقديم برامج مساندة تراعي احتياجات المراحل المهنية المختلفة، مثل الإرشاد والتوجيه للقيادات حديثة الخبرة، وبرامج التطوير والاستمرارية للقيادات الأكثر خبرة، دون افتراض وجود فروق عمرية جوهرية في مستوى التمكين</w:t>
      </w:r>
      <w:r w:rsidRPr="00CB7E4C">
        <w:rPr>
          <w:rFonts w:ascii="Arabic Typesetting" w:hAnsi="Arabic Typesetting" w:cs="Arabic Typesetting"/>
          <w:color w:val="auto"/>
          <w:sz w:val="32"/>
          <w:szCs w:val="32"/>
          <w:lang w:val="en-GB"/>
        </w:rPr>
        <w:t>.</w:t>
      </w:r>
    </w:p>
    <w:p w14:paraId="3B3B1A9E" w14:textId="77777777" w:rsidR="002F2EAD" w:rsidRPr="00CB7E4C" w:rsidRDefault="00437DE2" w:rsidP="00442B69">
      <w:pPr>
        <w:pStyle w:val="ThesisH3"/>
        <w:spacing w:line="360" w:lineRule="auto"/>
        <w:jc w:val="both"/>
        <w:rPr>
          <w:rFonts w:ascii="Arabic Typesetting" w:hAnsi="Arabic Typesetting" w:cs="Arabic Typesetting"/>
          <w:b w:val="0"/>
          <w:bCs/>
          <w:color w:val="auto"/>
          <w:sz w:val="32"/>
          <w:szCs w:val="32"/>
          <w:rtl/>
        </w:rPr>
      </w:pPr>
      <w:r w:rsidRPr="00CB7E4C">
        <w:rPr>
          <w:rFonts w:ascii="Arabic Typesetting" w:hAnsi="Arabic Typesetting" w:cs="Arabic Typesetting"/>
          <w:b w:val="0"/>
          <w:bCs/>
          <w:color w:val="auto"/>
          <w:sz w:val="32"/>
          <w:szCs w:val="32"/>
          <w:rtl/>
        </w:rPr>
        <w:t>4.10.2 الفروق حسب المؤهل العلمي</w:t>
      </w:r>
    </w:p>
    <w:p w14:paraId="5E025255" w14:textId="4075AD3E" w:rsidR="00CB7E4C" w:rsidRPr="00CB7E4C" w:rsidRDefault="00CB7E4C" w:rsidP="00442B69">
      <w:pPr>
        <w:pStyle w:val="ThesisH3"/>
        <w:spacing w:line="360" w:lineRule="auto"/>
        <w:jc w:val="both"/>
        <w:rPr>
          <w:rFonts w:ascii="Arabic Typesetting" w:hAnsi="Arabic Typesetting" w:cs="Arabic Typesetting"/>
          <w:color w:val="auto"/>
          <w:sz w:val="32"/>
          <w:szCs w:val="32"/>
          <w:lang w:val="en-GB"/>
        </w:rPr>
      </w:pPr>
      <w:r w:rsidRPr="00CB7E4C">
        <w:rPr>
          <w:rFonts w:ascii="Arabic Typesetting" w:hAnsi="Arabic Typesetting" w:cs="Arabic Typesetting"/>
          <w:color w:val="auto"/>
          <w:sz w:val="32"/>
          <w:szCs w:val="32"/>
          <w:rtl/>
        </w:rPr>
        <w:t>لاختبار ما إذا كان مستوى التمكين القيادي يختلف باختلاف المؤهل العلمي للقيادات النسائية، تم استخدام تحليل التباين الأحادي</w:t>
      </w:r>
      <w:r w:rsidRPr="00CB7E4C">
        <w:rPr>
          <w:rFonts w:ascii="Arabic Typesetting" w:hAnsi="Arabic Typesetting" w:cs="Arabic Typesetting"/>
          <w:color w:val="auto"/>
          <w:sz w:val="32"/>
          <w:szCs w:val="32"/>
          <w:lang w:val="en-GB"/>
        </w:rPr>
        <w:t xml:space="preserve"> (One-Way ANOVA) </w:t>
      </w:r>
      <w:r w:rsidRPr="00CB7E4C">
        <w:rPr>
          <w:rFonts w:ascii="Arabic Typesetting" w:hAnsi="Arabic Typesetting" w:cs="Arabic Typesetting"/>
          <w:color w:val="auto"/>
          <w:sz w:val="32"/>
          <w:szCs w:val="32"/>
          <w:rtl/>
        </w:rPr>
        <w:t>لمقارنة متوسطات التمكين بين فئات الدبلوم والبكالوريوس والماجستير والدكتوراه والمؤهلات الأخرى. ويعرض الجدول التالي عدد المشاركات في كل فئة، ومتوسط التمكين القيادي، والانحراف المعياري، بما يساعد على التعرف إلى الاتجاهات الوصفية الأولية للفروق بين المستويات التعليمية، ثم التحقق من دلالتها الإحصائية من خلال قيمة</w:t>
      </w:r>
      <w:r w:rsidRPr="00CB7E4C">
        <w:rPr>
          <w:rFonts w:ascii="Arabic Typesetting" w:hAnsi="Arabic Typesetting" w:cs="Arabic Typesetting"/>
          <w:color w:val="auto"/>
          <w:sz w:val="32"/>
          <w:szCs w:val="32"/>
          <w:lang w:val="en-GB"/>
        </w:rPr>
        <w:t xml:space="preserve"> F </w:t>
      </w:r>
      <w:r w:rsidRPr="00CB7E4C">
        <w:rPr>
          <w:rFonts w:ascii="Arabic Typesetting" w:hAnsi="Arabic Typesetting" w:cs="Arabic Typesetting"/>
          <w:color w:val="auto"/>
          <w:sz w:val="32"/>
          <w:szCs w:val="32"/>
          <w:rtl/>
        </w:rPr>
        <w:t>ومستوى الدلالة. ويُعد هذا التحليل مهمًا لتحديد ما إذا كان التحصيل العلمي يمثل عاملًا مؤثرًا في امتلاك الصلاحيات والاستقلالية والمشاركة في القرار والقدرة على ممارسة الدور القيادي، أم أن هذه الجوانب تتوزع بصورة متقاربة بين القيادات باختلاف مؤهلاتهن العلمية</w:t>
      </w:r>
      <w:r w:rsidRPr="00CB7E4C">
        <w:rPr>
          <w:rFonts w:ascii="Arabic Typesetting" w:hAnsi="Arabic Typesetting" w:cs="Arabic Typesetting"/>
          <w:color w:val="auto"/>
          <w:sz w:val="32"/>
          <w:szCs w:val="32"/>
          <w:lang w:val="en-GB"/>
        </w:rPr>
        <w:t>.</w:t>
      </w:r>
    </w:p>
    <w:p w14:paraId="6578E082" w14:textId="77777777" w:rsidR="002F2EAD" w:rsidRPr="00CB7E4C"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lastRenderedPageBreak/>
        <w:t>جدول 4-12-EDU: المتوسطات حسب المؤهل العلمي</w:t>
      </w:r>
    </w:p>
    <w:tbl>
      <w:tblPr>
        <w:tblStyle w:val="PlainTable2"/>
        <w:tblW w:w="9026" w:type="dxa"/>
        <w:tblLayout w:type="fixed"/>
        <w:tblLook w:val="04A0" w:firstRow="1" w:lastRow="0" w:firstColumn="1" w:lastColumn="0" w:noHBand="0" w:noVBand="1"/>
      </w:tblPr>
      <w:tblGrid>
        <w:gridCol w:w="4200"/>
        <w:gridCol w:w="1200"/>
        <w:gridCol w:w="1900"/>
        <w:gridCol w:w="1726"/>
      </w:tblGrid>
      <w:tr w:rsidR="00AD326D" w:rsidRPr="00AD326D" w14:paraId="36073F5A" w14:textId="77777777" w:rsidTr="00CB7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6949D582"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الفئة</w:t>
            </w:r>
          </w:p>
        </w:tc>
        <w:tc>
          <w:tcPr>
            <w:tcW w:w="1200" w:type="dxa"/>
          </w:tcPr>
          <w:p w14:paraId="5090C6D9"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N</w:t>
            </w:r>
          </w:p>
        </w:tc>
        <w:tc>
          <w:tcPr>
            <w:tcW w:w="1900" w:type="dxa"/>
          </w:tcPr>
          <w:p w14:paraId="5D295EE1"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التمكين</w:t>
            </w:r>
          </w:p>
        </w:tc>
        <w:tc>
          <w:tcPr>
            <w:tcW w:w="1726" w:type="dxa"/>
          </w:tcPr>
          <w:p w14:paraId="1729B4BC"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الانحراف المعياري</w:t>
            </w:r>
          </w:p>
        </w:tc>
      </w:tr>
      <w:tr w:rsidR="00AD326D" w:rsidRPr="00AD326D" w14:paraId="5EDDAFD4"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4F163C3B"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دبلوم</w:t>
            </w:r>
          </w:p>
        </w:tc>
        <w:tc>
          <w:tcPr>
            <w:tcW w:w="1200" w:type="dxa"/>
          </w:tcPr>
          <w:p w14:paraId="231189CA"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w:t>
            </w:r>
          </w:p>
        </w:tc>
        <w:tc>
          <w:tcPr>
            <w:tcW w:w="1900" w:type="dxa"/>
          </w:tcPr>
          <w:p w14:paraId="72DFC28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3.615</w:t>
            </w:r>
          </w:p>
        </w:tc>
        <w:tc>
          <w:tcPr>
            <w:tcW w:w="1726" w:type="dxa"/>
          </w:tcPr>
          <w:p w14:paraId="0D35AA9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0.568</w:t>
            </w:r>
          </w:p>
        </w:tc>
      </w:tr>
      <w:tr w:rsidR="00AD326D" w:rsidRPr="00AD326D" w14:paraId="17F3EF94"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79AF3D7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بكالوريوس</w:t>
            </w:r>
          </w:p>
        </w:tc>
        <w:tc>
          <w:tcPr>
            <w:tcW w:w="1200" w:type="dxa"/>
          </w:tcPr>
          <w:p w14:paraId="52D5FC2F"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172</w:t>
            </w:r>
          </w:p>
        </w:tc>
        <w:tc>
          <w:tcPr>
            <w:tcW w:w="1900" w:type="dxa"/>
          </w:tcPr>
          <w:p w14:paraId="76387DF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3.559</w:t>
            </w:r>
          </w:p>
        </w:tc>
        <w:tc>
          <w:tcPr>
            <w:tcW w:w="1726" w:type="dxa"/>
          </w:tcPr>
          <w:p w14:paraId="7044BC2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0.640</w:t>
            </w:r>
          </w:p>
        </w:tc>
      </w:tr>
      <w:tr w:rsidR="00AD326D" w:rsidRPr="00AD326D" w14:paraId="71B20696"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043AC388"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ماجستير</w:t>
            </w:r>
          </w:p>
        </w:tc>
        <w:tc>
          <w:tcPr>
            <w:tcW w:w="1200" w:type="dxa"/>
          </w:tcPr>
          <w:p w14:paraId="5D6BE5D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119</w:t>
            </w:r>
          </w:p>
        </w:tc>
        <w:tc>
          <w:tcPr>
            <w:tcW w:w="1900" w:type="dxa"/>
          </w:tcPr>
          <w:p w14:paraId="0F5C394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3.445</w:t>
            </w:r>
          </w:p>
        </w:tc>
        <w:tc>
          <w:tcPr>
            <w:tcW w:w="1726" w:type="dxa"/>
          </w:tcPr>
          <w:p w14:paraId="600D1A2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0.620</w:t>
            </w:r>
          </w:p>
        </w:tc>
      </w:tr>
      <w:tr w:rsidR="00AD326D" w:rsidRPr="00AD326D" w14:paraId="6EB6B856"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55B3AB5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دكتوراه</w:t>
            </w:r>
          </w:p>
        </w:tc>
        <w:tc>
          <w:tcPr>
            <w:tcW w:w="1200" w:type="dxa"/>
          </w:tcPr>
          <w:p w14:paraId="68C021F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48</w:t>
            </w:r>
          </w:p>
        </w:tc>
        <w:tc>
          <w:tcPr>
            <w:tcW w:w="1900" w:type="dxa"/>
          </w:tcPr>
          <w:p w14:paraId="2DE3A48C"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3.569</w:t>
            </w:r>
          </w:p>
        </w:tc>
        <w:tc>
          <w:tcPr>
            <w:tcW w:w="1726" w:type="dxa"/>
          </w:tcPr>
          <w:p w14:paraId="112C61F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0.639</w:t>
            </w:r>
          </w:p>
        </w:tc>
      </w:tr>
      <w:tr w:rsidR="00AD326D" w:rsidRPr="00AD326D" w14:paraId="2380DDEC"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72CAAE4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أخرى</w:t>
            </w:r>
          </w:p>
        </w:tc>
        <w:tc>
          <w:tcPr>
            <w:tcW w:w="1200" w:type="dxa"/>
          </w:tcPr>
          <w:p w14:paraId="648BECE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7</w:t>
            </w:r>
          </w:p>
        </w:tc>
        <w:tc>
          <w:tcPr>
            <w:tcW w:w="1900" w:type="dxa"/>
          </w:tcPr>
          <w:p w14:paraId="670CF69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3.643</w:t>
            </w:r>
          </w:p>
        </w:tc>
        <w:tc>
          <w:tcPr>
            <w:tcW w:w="1726" w:type="dxa"/>
          </w:tcPr>
          <w:p w14:paraId="775C1AE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0.730</w:t>
            </w:r>
          </w:p>
        </w:tc>
      </w:tr>
    </w:tbl>
    <w:p w14:paraId="65941B37" w14:textId="7DE4FAF9" w:rsidR="00CB7E4C" w:rsidRDefault="00CB7E4C" w:rsidP="00442B69">
      <w:pPr>
        <w:pStyle w:val="ThesisH3"/>
        <w:spacing w:line="360" w:lineRule="auto"/>
        <w:jc w:val="both"/>
        <w:rPr>
          <w:rFonts w:ascii="Arabic Typesetting" w:hAnsi="Arabic Typesetting" w:cs="Arabic Typesetting"/>
          <w:color w:val="auto"/>
          <w:sz w:val="32"/>
          <w:szCs w:val="32"/>
          <w:rtl/>
        </w:rPr>
      </w:pPr>
      <w:r w:rsidRPr="00CB7E4C">
        <w:rPr>
          <w:rFonts w:ascii="Arabic Typesetting" w:hAnsi="Arabic Typesetting" w:cs="Arabic Typesetting"/>
          <w:color w:val="auto"/>
          <w:sz w:val="32"/>
          <w:szCs w:val="32"/>
          <w:rtl/>
        </w:rPr>
        <w:t>يوضح جدول</w:t>
      </w:r>
      <w:r w:rsidRPr="00CB7E4C">
        <w:rPr>
          <w:rFonts w:ascii="Arabic Typesetting" w:hAnsi="Arabic Typesetting" w:cs="Arabic Typesetting"/>
          <w:color w:val="auto"/>
          <w:sz w:val="32"/>
          <w:szCs w:val="32"/>
          <w:lang w:val="en-GB"/>
        </w:rPr>
        <w:t xml:space="preserve"> (4-12-EDU) </w:t>
      </w:r>
      <w:r w:rsidRPr="00CB7E4C">
        <w:rPr>
          <w:rFonts w:ascii="Arabic Typesetting" w:hAnsi="Arabic Typesetting" w:cs="Arabic Typesetting"/>
          <w:color w:val="auto"/>
          <w:sz w:val="32"/>
          <w:szCs w:val="32"/>
          <w:rtl/>
        </w:rPr>
        <w:t>أن متوسطات التمكين القيادي جاءت مرتفعة في جميع فئات المؤهل العلمي، إذ تراوحت بين 3.445 و3.643، مما يشير إلى أن المشاركات، بغض النظر عن مستواهن التعليمي، يشعرن بدرجة جيدة من التمكين داخل الجهات الحكومية. وقد سجلت فئة المؤهلات الأخرى أعلى متوسط حسابي بلغ 3.643، إلا أن هذا المتوسط يستند إلى عدد محدود جدًا من المشاركات بلغ 7 فقط، ولذلك ينبغي تفسيره بحذر وعدم اعتباره مؤشرًا حاسمًا على تفوق هذه الفئة. وجاءت فئة الدبلوم في المرتبة الثانية بمتوسط 3.615، تلتها فئة الدكتوراه بمتوسط 3.569، ثم فئة البكالوريوس بمتوسط 3.559، في حين سجلت فئة الماجستير أدنى متوسط بلغ 3.445. ويبلغ الفرق بين أعلى وأدنى متوسط 0.198 نقطة فقط، وهو فرق محدود نسبيًا ولا يكشف عن فجوة كبيرة في التمكين بين المستويات التعليمية. وتشير هذه النتائج الوصفية إلى أن التمكين القيادي لا يتدرج بصورة منتظمة مع ارتفاع المؤهل العلمي؛ فالفئة الأعلى تعليمًا، وهي الدكتوراه، لم تسجل أعلى متوسط، كما أن فئة الماجستير جاءت في المرتبة الأخيرة، مما يدل على أن المؤهل العلمي وحده لا يحدد بالضرورة مقدار الصلاحيات أو الدعم أو المشاركة المتاحة للقيادة النسائية. وقد يكون مستوى التمكين أكثر ارتباطًا بالخبرة العملية، وطبيعة المنصب، والقطاع الحكومي، والسياسات التنظيمية، وفرص المشاركة في اتخاذ القرار، وليس بالمؤهل الأكاديمي بصورة مباشرة. وتؤكد نتيجة تحليل التباين الأحادي هذه الملاحظة، إذ بلغت قيمة</w:t>
      </w:r>
      <w:r w:rsidRPr="00CB7E4C">
        <w:rPr>
          <w:rFonts w:ascii="Arabic Typesetting" w:hAnsi="Arabic Typesetting" w:cs="Arabic Typesetting"/>
          <w:color w:val="auto"/>
          <w:sz w:val="32"/>
          <w:szCs w:val="32"/>
          <w:lang w:val="en-GB"/>
        </w:rPr>
        <w:t xml:space="preserve"> F=0.883 </w:t>
      </w:r>
      <w:r w:rsidRPr="00CB7E4C">
        <w:rPr>
          <w:rFonts w:ascii="Arabic Typesetting" w:hAnsi="Arabic Typesetting" w:cs="Arabic Typesetting"/>
          <w:color w:val="auto"/>
          <w:sz w:val="32"/>
          <w:szCs w:val="32"/>
          <w:rtl/>
        </w:rPr>
        <w:t>عند مستوى دلالة</w:t>
      </w:r>
      <w:r w:rsidRPr="00CB7E4C">
        <w:rPr>
          <w:rFonts w:ascii="Arabic Typesetting" w:hAnsi="Arabic Typesetting" w:cs="Arabic Typesetting"/>
          <w:color w:val="auto"/>
          <w:sz w:val="32"/>
          <w:szCs w:val="32"/>
          <w:lang w:val="en-GB"/>
        </w:rPr>
        <w:t xml:space="preserve"> p=0.474</w:t>
      </w:r>
      <w:r w:rsidRPr="00CB7E4C">
        <w:rPr>
          <w:rFonts w:ascii="Arabic Typesetting" w:hAnsi="Arabic Typesetting" w:cs="Arabic Typesetting"/>
          <w:color w:val="auto"/>
          <w:sz w:val="32"/>
          <w:szCs w:val="32"/>
          <w:rtl/>
        </w:rPr>
        <w:t>، وهي قيمة أكبر من 0.05، مما يعني عدم وجود فروق ذات دلالة إحصائية في متوسط التمكين القيادي بين فئات المؤهل العلمي. كما بلغ حجم الأثر</w:t>
      </w:r>
      <w:r w:rsidRPr="00CB7E4C">
        <w:rPr>
          <w:rFonts w:ascii="Arabic Typesetting" w:hAnsi="Arabic Typesetting" w:cs="Arabic Typesetting"/>
          <w:color w:val="auto"/>
          <w:sz w:val="32"/>
          <w:szCs w:val="32"/>
          <w:lang w:val="en-GB"/>
        </w:rPr>
        <w:t xml:space="preserve"> Eta²=0.009</w:t>
      </w:r>
      <w:r w:rsidRPr="00CB7E4C">
        <w:rPr>
          <w:rFonts w:ascii="Arabic Typesetting" w:hAnsi="Arabic Typesetting" w:cs="Arabic Typesetting"/>
          <w:color w:val="auto"/>
          <w:sz w:val="32"/>
          <w:szCs w:val="32"/>
          <w:rtl/>
        </w:rPr>
        <w:t>، أي أن المؤهل العلمي يفسر نحو 0.9% فقط من التباين في درجات التمكين، وهي نسبة صغيرة جدًا تؤكد محدودية إسهامه العملي في تفسير الاختلافات بين المشاركات. ويلاحظ أن الانحراف المعياري كان أعلى لدى فئة المؤهلات الأخرى بقيمة 0.730، وهو أمر قد يرتبط بصغر حجم هذه الفئة وتنوع المؤهلات التي تضمها، بينما كان أقل لدى فئة الدبلوم بقيمة 0.568، بما يشير إلى تقارب أكبر في استجابات المشاركات داخل هذه الفئة.</w:t>
      </w:r>
    </w:p>
    <w:p w14:paraId="5A26231A" w14:textId="182F31BF" w:rsidR="00CB7E4C" w:rsidRPr="00CB7E4C" w:rsidRDefault="00CB7E4C" w:rsidP="00442B69">
      <w:pPr>
        <w:pStyle w:val="ThesisH3"/>
        <w:spacing w:line="360" w:lineRule="auto"/>
        <w:jc w:val="both"/>
        <w:rPr>
          <w:rFonts w:ascii="Arabic Typesetting" w:hAnsi="Arabic Typesetting" w:cs="Arabic Typesetting"/>
          <w:color w:val="auto"/>
          <w:sz w:val="32"/>
          <w:szCs w:val="32"/>
          <w:lang w:val="en-GB"/>
        </w:rPr>
      </w:pPr>
      <w:r w:rsidRPr="00CB7E4C">
        <w:rPr>
          <w:rFonts w:ascii="Arabic Typesetting" w:hAnsi="Arabic Typesetting" w:cs="Arabic Typesetting"/>
          <w:color w:val="auto"/>
          <w:sz w:val="32"/>
          <w:szCs w:val="32"/>
          <w:rtl/>
        </w:rPr>
        <w:t xml:space="preserve"> وبوجه عام، تشير النتائج إلى أن القيادات النسائية تتمتع بمستويات متقاربة من التمكين عبر مختلف المؤهلات العلمية، وأن سياسات </w:t>
      </w:r>
      <w:r w:rsidRPr="00CB7E4C">
        <w:rPr>
          <w:rFonts w:ascii="Arabic Typesetting" w:hAnsi="Arabic Typesetting" w:cs="Arabic Typesetting"/>
          <w:color w:val="auto"/>
          <w:sz w:val="32"/>
          <w:szCs w:val="32"/>
          <w:rtl/>
        </w:rPr>
        <w:lastRenderedPageBreak/>
        <w:t>التمكين ينبغي أن تركز على الكفاءة والأداء والخبرة وإتاحة الفرص العادلة، بدلًا من الاعتماد على المؤهل العلمي باعتباره معيارًا منفردًا للحكم على القدرة القيادية. ومع ذلك، لا تعني عدم الدلالة الإحصائية أن جميع الفئات متطابقة تمامًا، وإنما تعني عدم توفر دليل كافٍ على وجود فروق جوهرية بينها في هذه العينة، مع ضرورة مراعاة صغر حجم بعض الفئات عند إجراء مقارنات تفصيلية</w:t>
      </w:r>
      <w:r w:rsidRPr="00CB7E4C">
        <w:rPr>
          <w:rFonts w:ascii="Arabic Typesetting" w:hAnsi="Arabic Typesetting" w:cs="Arabic Typesetting"/>
          <w:color w:val="auto"/>
          <w:sz w:val="32"/>
          <w:szCs w:val="32"/>
          <w:lang w:val="en-GB"/>
        </w:rPr>
        <w:t>.</w:t>
      </w:r>
    </w:p>
    <w:p w14:paraId="6664463E" w14:textId="77777777" w:rsidR="002F2EAD" w:rsidRDefault="00437DE2" w:rsidP="00442B69">
      <w:pPr>
        <w:pStyle w:val="ThesisH3"/>
        <w:spacing w:line="360" w:lineRule="auto"/>
        <w:jc w:val="both"/>
        <w:rPr>
          <w:rFonts w:ascii="Arabic Typesetting" w:hAnsi="Arabic Typesetting" w:cs="Arabic Typesetting"/>
          <w:b w:val="0"/>
          <w:bCs/>
          <w:color w:val="auto"/>
          <w:sz w:val="32"/>
          <w:szCs w:val="32"/>
          <w:rtl/>
        </w:rPr>
      </w:pPr>
      <w:r w:rsidRPr="00CB7E4C">
        <w:rPr>
          <w:rFonts w:ascii="Arabic Typesetting" w:hAnsi="Arabic Typesetting" w:cs="Arabic Typesetting"/>
          <w:b w:val="0"/>
          <w:bCs/>
          <w:color w:val="auto"/>
          <w:sz w:val="32"/>
          <w:szCs w:val="32"/>
          <w:rtl/>
        </w:rPr>
        <w:t>4.10.3 الفروق حسب سنوات الخبرة في العمل الحكومي</w:t>
      </w:r>
    </w:p>
    <w:p w14:paraId="38B46076" w14:textId="0AEC3F7A" w:rsidR="00442B69" w:rsidRPr="00442B69" w:rsidRDefault="00442B69" w:rsidP="00442B69">
      <w:pPr>
        <w:pStyle w:val="ThesisH3"/>
        <w:spacing w:line="360" w:lineRule="auto"/>
        <w:jc w:val="both"/>
        <w:rPr>
          <w:rFonts w:ascii="Arabic Typesetting" w:hAnsi="Arabic Typesetting" w:cs="Arabic Typesetting"/>
          <w:b w:val="0"/>
          <w:color w:val="auto"/>
          <w:sz w:val="32"/>
          <w:szCs w:val="32"/>
          <w:lang w:val="en-GB"/>
        </w:rPr>
      </w:pPr>
      <w:r w:rsidRPr="00442B69">
        <w:rPr>
          <w:rFonts w:ascii="Arabic Typesetting" w:hAnsi="Arabic Typesetting" w:cs="Arabic Typesetting"/>
          <w:b w:val="0"/>
          <w:color w:val="auto"/>
          <w:sz w:val="32"/>
          <w:szCs w:val="32"/>
          <w:rtl/>
        </w:rPr>
        <w:t>لاختبار ما إذا كانت سنوات الخبرة في العمل الحكومي ترتبط باختلاف مستوى التمكين القيادي، تم تقسيم أفراد العينة إلى أربع فئات خبرة، تبدأ بأقل من خمس سنوات وتنتهي بأكثر من خمس عشرة سنة، ثم تمت مقارنة متوسطات التمكين القيادي بين هذه الفئات باستخدام تحليل التباين الأحادي</w:t>
      </w:r>
      <w:r w:rsidRPr="00442B69">
        <w:rPr>
          <w:rFonts w:ascii="Arabic Typesetting" w:hAnsi="Arabic Typesetting" w:cs="Arabic Typesetting"/>
          <w:b w:val="0"/>
          <w:color w:val="auto"/>
          <w:sz w:val="32"/>
          <w:szCs w:val="32"/>
          <w:lang w:val="en-GB"/>
        </w:rPr>
        <w:t xml:space="preserve"> (One-Way ANOVA). </w:t>
      </w:r>
      <w:r w:rsidRPr="00442B69">
        <w:rPr>
          <w:rFonts w:ascii="Arabic Typesetting" w:hAnsi="Arabic Typesetting" w:cs="Arabic Typesetting"/>
          <w:b w:val="0"/>
          <w:color w:val="auto"/>
          <w:sz w:val="32"/>
          <w:szCs w:val="32"/>
          <w:rtl/>
        </w:rPr>
        <w:t>ويعرض الجدول التالي حجم كل فئة، ومتوسط التمكين، والانحراف المعياري، بهدف بيان الاتجاهات الوصفية لمستوى التمكين عبر المراحل المختلفة من المسار الوظيفي الحكومي. ويساعد هذا التحليل في التحقق مما إذا كان تراكم الخبرة الحكومية يؤدي إلى ارتفاع الصلاحيات والاستقلالية والمشاركة في القرار، أو أن مستوى التمكين يتحدد بعوامل تنظيمية أخرى لا ترتبط بعدد سنوات الخدمة وحده</w:t>
      </w:r>
      <w:r w:rsidRPr="00442B69">
        <w:rPr>
          <w:rFonts w:ascii="Arabic Typesetting" w:hAnsi="Arabic Typesetting" w:cs="Arabic Typesetting"/>
          <w:b w:val="0"/>
          <w:color w:val="auto"/>
          <w:sz w:val="32"/>
          <w:szCs w:val="32"/>
          <w:lang w:val="en-GB"/>
        </w:rPr>
        <w:t>.</w:t>
      </w:r>
    </w:p>
    <w:p w14:paraId="2FE797FC" w14:textId="77777777" w:rsidR="002F2EAD" w:rsidRPr="00CB7E4C"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جدول 4-12-GOVEXP: المتوسطات حسب سنوات الخبرة في العمل الحكومي</w:t>
      </w:r>
    </w:p>
    <w:tbl>
      <w:tblPr>
        <w:tblStyle w:val="PlainTable2"/>
        <w:bidiVisual/>
        <w:tblW w:w="9026" w:type="dxa"/>
        <w:tblLayout w:type="fixed"/>
        <w:tblLook w:val="04A0" w:firstRow="1" w:lastRow="0" w:firstColumn="1" w:lastColumn="0" w:noHBand="0" w:noVBand="1"/>
      </w:tblPr>
      <w:tblGrid>
        <w:gridCol w:w="4200"/>
        <w:gridCol w:w="1200"/>
        <w:gridCol w:w="1900"/>
        <w:gridCol w:w="1726"/>
      </w:tblGrid>
      <w:tr w:rsidR="00AD326D" w:rsidRPr="00AD326D" w14:paraId="14665B17" w14:textId="77777777" w:rsidTr="00CB7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62BE61C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الفئة</w:t>
            </w:r>
          </w:p>
        </w:tc>
        <w:tc>
          <w:tcPr>
            <w:tcW w:w="1200" w:type="dxa"/>
          </w:tcPr>
          <w:p w14:paraId="3CB926B2"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N</w:t>
            </w:r>
          </w:p>
        </w:tc>
        <w:tc>
          <w:tcPr>
            <w:tcW w:w="1900" w:type="dxa"/>
          </w:tcPr>
          <w:p w14:paraId="260E3EA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التمكين</w:t>
            </w:r>
          </w:p>
        </w:tc>
        <w:tc>
          <w:tcPr>
            <w:tcW w:w="1726" w:type="dxa"/>
          </w:tcPr>
          <w:p w14:paraId="0B85504D"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الانحراف المعياري</w:t>
            </w:r>
          </w:p>
        </w:tc>
      </w:tr>
      <w:tr w:rsidR="00AD326D" w:rsidRPr="00AD326D" w14:paraId="30CFAD71"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35C12EEA"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أقل من 5 سنوات</w:t>
            </w:r>
          </w:p>
        </w:tc>
        <w:tc>
          <w:tcPr>
            <w:tcW w:w="1200" w:type="dxa"/>
          </w:tcPr>
          <w:p w14:paraId="4F318B4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38</w:t>
            </w:r>
          </w:p>
        </w:tc>
        <w:tc>
          <w:tcPr>
            <w:tcW w:w="1900" w:type="dxa"/>
          </w:tcPr>
          <w:p w14:paraId="3AB89BC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3.508</w:t>
            </w:r>
          </w:p>
        </w:tc>
        <w:tc>
          <w:tcPr>
            <w:tcW w:w="1726" w:type="dxa"/>
          </w:tcPr>
          <w:p w14:paraId="573BEBB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0.654</w:t>
            </w:r>
          </w:p>
        </w:tc>
      </w:tr>
      <w:tr w:rsidR="00AD326D" w:rsidRPr="00AD326D" w14:paraId="65E67F1F"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2A3DA49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5–10 سنوات</w:t>
            </w:r>
          </w:p>
        </w:tc>
        <w:tc>
          <w:tcPr>
            <w:tcW w:w="1200" w:type="dxa"/>
          </w:tcPr>
          <w:p w14:paraId="19DFF4D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115</w:t>
            </w:r>
          </w:p>
        </w:tc>
        <w:tc>
          <w:tcPr>
            <w:tcW w:w="1900" w:type="dxa"/>
          </w:tcPr>
          <w:p w14:paraId="3FC0E0F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3.582</w:t>
            </w:r>
          </w:p>
        </w:tc>
        <w:tc>
          <w:tcPr>
            <w:tcW w:w="1726" w:type="dxa"/>
          </w:tcPr>
          <w:p w14:paraId="6582CC5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0.634</w:t>
            </w:r>
          </w:p>
        </w:tc>
      </w:tr>
      <w:tr w:rsidR="00AD326D" w:rsidRPr="00AD326D" w14:paraId="150A821F"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56A7ADB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11–15 سنة</w:t>
            </w:r>
          </w:p>
        </w:tc>
        <w:tc>
          <w:tcPr>
            <w:tcW w:w="1200" w:type="dxa"/>
          </w:tcPr>
          <w:p w14:paraId="79C01D1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119</w:t>
            </w:r>
          </w:p>
        </w:tc>
        <w:tc>
          <w:tcPr>
            <w:tcW w:w="1900" w:type="dxa"/>
          </w:tcPr>
          <w:p w14:paraId="5A28225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3.557</w:t>
            </w:r>
          </w:p>
        </w:tc>
        <w:tc>
          <w:tcPr>
            <w:tcW w:w="1726" w:type="dxa"/>
          </w:tcPr>
          <w:p w14:paraId="50BA458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0.643</w:t>
            </w:r>
          </w:p>
        </w:tc>
      </w:tr>
      <w:tr w:rsidR="00AD326D" w:rsidRPr="00AD326D" w14:paraId="10EAB910"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4F2EA193"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أكثر من 15 سنة</w:t>
            </w:r>
          </w:p>
        </w:tc>
        <w:tc>
          <w:tcPr>
            <w:tcW w:w="1200" w:type="dxa"/>
          </w:tcPr>
          <w:p w14:paraId="4AF954B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108</w:t>
            </w:r>
          </w:p>
        </w:tc>
        <w:tc>
          <w:tcPr>
            <w:tcW w:w="1900" w:type="dxa"/>
          </w:tcPr>
          <w:p w14:paraId="5A34329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3.456</w:t>
            </w:r>
          </w:p>
        </w:tc>
        <w:tc>
          <w:tcPr>
            <w:tcW w:w="1726" w:type="dxa"/>
          </w:tcPr>
          <w:p w14:paraId="1F86C97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0.600</w:t>
            </w:r>
          </w:p>
        </w:tc>
      </w:tr>
    </w:tbl>
    <w:p w14:paraId="54C78E96" w14:textId="68110B23" w:rsidR="00442B69" w:rsidRPr="00442B69" w:rsidRDefault="00442B69" w:rsidP="00442B69">
      <w:pPr>
        <w:pStyle w:val="ThesisH3"/>
        <w:spacing w:line="360" w:lineRule="auto"/>
        <w:jc w:val="both"/>
        <w:rPr>
          <w:rFonts w:ascii="Arabic Typesetting" w:hAnsi="Arabic Typesetting" w:cs="Arabic Typesetting"/>
          <w:color w:val="auto"/>
          <w:sz w:val="32"/>
          <w:szCs w:val="32"/>
          <w:lang w:val="en-GB"/>
        </w:rPr>
      </w:pPr>
      <w:r w:rsidRPr="00442B69">
        <w:rPr>
          <w:rFonts w:ascii="Arabic Typesetting" w:hAnsi="Arabic Typesetting" w:cs="Arabic Typesetting"/>
          <w:color w:val="auto"/>
          <w:sz w:val="32"/>
          <w:szCs w:val="32"/>
          <w:rtl/>
        </w:rPr>
        <w:t>يوضح جدول</w:t>
      </w:r>
      <w:r w:rsidRPr="00442B69">
        <w:rPr>
          <w:rFonts w:ascii="Arabic Typesetting" w:hAnsi="Arabic Typesetting" w:cs="Arabic Typesetting"/>
          <w:color w:val="auto"/>
          <w:sz w:val="32"/>
          <w:szCs w:val="32"/>
          <w:lang w:val="en-GB"/>
        </w:rPr>
        <w:t xml:space="preserve"> (4-12-GOVEXP) </w:t>
      </w:r>
      <w:r w:rsidRPr="00442B69">
        <w:rPr>
          <w:rFonts w:ascii="Arabic Typesetting" w:hAnsi="Arabic Typesetting" w:cs="Arabic Typesetting"/>
          <w:color w:val="auto"/>
          <w:sz w:val="32"/>
          <w:szCs w:val="32"/>
          <w:rtl/>
        </w:rPr>
        <w:t xml:space="preserve">أن متوسط التمكين القيادي جاء مرتفعًا في جميع فئات الخبرة الحكومية، إذ تراوحت المتوسطات بين 3.456 و3.582، مما يعكس مستوى إيجابيًا عامًا من التمكين لدى القيادات النسائية سواء كنّ في بداية مسارهن الحكومي أو ممن لديهن سنوات طويلة من الخدمة. وقد سجلت فئة الخبرة من 5–10 سنوات أعلى متوسط حسابي بلغ 3.582 بانحراف معياري قدره 0.634، تلتها فئة الخبرة من 11–15 سنة بمتوسط 3.557 وانحراف معياري 0.643، وهو ما يشير إلى أن القيادات في مرحلة الخبرة المتوسطة والمتقدمة نسبيًا يشعرن بمستوى مرتفع من القدرة على أداء الأدوار القيادية والاستفادة من الخبرة المتراكمة. وجاءت فئة أقل من 5 سنوات بمتوسط 3.508، وهي نتيجة مرتفعة تشير إلى أن حداثة الخبرة لا تمنع بالضرورة الوصول إلى مستوى جيد من التمكين، خصوصًا عندما تتوافر بيئة تنظيمية داعمة أو فرص تدريب وتطوير مناسبة. أما فئة الخبرة التي تزيد على 15 سنة فقد سجلت أدنى متوسط حسابي بلغ </w:t>
      </w:r>
      <w:r w:rsidRPr="00442B69">
        <w:rPr>
          <w:rFonts w:ascii="Arabic Typesetting" w:hAnsi="Arabic Typesetting" w:cs="Arabic Typesetting"/>
          <w:color w:val="auto"/>
          <w:sz w:val="32"/>
          <w:szCs w:val="32"/>
          <w:rtl/>
        </w:rPr>
        <w:lastRenderedPageBreak/>
        <w:t>3.456، ورغم انخفاضه النسبي مقارنة ببقية الفئات، فإنه لا يزال يقع ضمن المستوى المرتفع، ولا يمكن اعتباره دليلًا على ضعف التمكين لدى القيادات الأكثر خبرة. ويبلغ الفرق بين أعلى وأدنى متوسط 0.126 نقطة فقط، مما يدل على محدودية الفروق الوصفية وتقارب مستويات التمكين بين فئات الخبرة. وتؤكد نتيجة تحليل التباين الأحادي هذه الملاحظة، إذ بلغت قيمة</w:t>
      </w:r>
      <w:r w:rsidRPr="00442B69">
        <w:rPr>
          <w:rFonts w:ascii="Arabic Typesetting" w:hAnsi="Arabic Typesetting" w:cs="Arabic Typesetting"/>
          <w:color w:val="auto"/>
          <w:sz w:val="32"/>
          <w:szCs w:val="32"/>
          <w:lang w:val="en-GB"/>
        </w:rPr>
        <w:t xml:space="preserve"> F=0.839 </w:t>
      </w:r>
      <w:r w:rsidRPr="00442B69">
        <w:rPr>
          <w:rFonts w:ascii="Arabic Typesetting" w:hAnsi="Arabic Typesetting" w:cs="Arabic Typesetting"/>
          <w:color w:val="auto"/>
          <w:sz w:val="32"/>
          <w:szCs w:val="32"/>
          <w:rtl/>
        </w:rPr>
        <w:t>عند مستوى دلالة</w:t>
      </w:r>
      <w:r w:rsidRPr="00442B69">
        <w:rPr>
          <w:rFonts w:ascii="Arabic Typesetting" w:hAnsi="Arabic Typesetting" w:cs="Arabic Typesetting"/>
          <w:color w:val="auto"/>
          <w:sz w:val="32"/>
          <w:szCs w:val="32"/>
          <w:lang w:val="en-GB"/>
        </w:rPr>
        <w:t xml:space="preserve"> p=0.473</w:t>
      </w:r>
      <w:r w:rsidRPr="00442B69">
        <w:rPr>
          <w:rFonts w:ascii="Arabic Typesetting" w:hAnsi="Arabic Typesetting" w:cs="Arabic Typesetting"/>
          <w:color w:val="auto"/>
          <w:sz w:val="32"/>
          <w:szCs w:val="32"/>
          <w:rtl/>
        </w:rPr>
        <w:t>، وهي قيمة أكبر من 0.05، مما يعني عدم وجود فروق ذات دلالة إحصائية في متوسط التمكين القيادي تعزى إلى سنوات الخبرة في العمل الحكومي. كما بلغ حجم الأثر</w:t>
      </w:r>
      <w:r w:rsidRPr="00442B69">
        <w:rPr>
          <w:rFonts w:ascii="Arabic Typesetting" w:hAnsi="Arabic Typesetting" w:cs="Arabic Typesetting"/>
          <w:color w:val="auto"/>
          <w:sz w:val="32"/>
          <w:szCs w:val="32"/>
          <w:lang w:val="en-GB"/>
        </w:rPr>
        <w:t xml:space="preserve"> Eta²=0.007</w:t>
      </w:r>
      <w:r w:rsidRPr="00442B69">
        <w:rPr>
          <w:rFonts w:ascii="Arabic Typesetting" w:hAnsi="Arabic Typesetting" w:cs="Arabic Typesetting"/>
          <w:color w:val="auto"/>
          <w:sz w:val="32"/>
          <w:szCs w:val="32"/>
          <w:rtl/>
        </w:rPr>
        <w:t>، أي أن سنوات الخبرة تفسر نحو 0.7% فقط من التباين في درجات التمكين، وهي نسبة صغيرة جدًا تشير إلى أن عدد سنوات الخدمة وحده لا يمثل عاملًا قويًا في تفسير اختلاف مستويات التمكين. وقد تعكس النتيجة الوصفية الخاصة بارتفاع متوسط فئة 5–10 سنوات وجود حماس مهني أو فرص أكبر للتطور والترقي في هذه المرحلة، في حين قد يرتبط انخفاض متوسط فئة أكثر من 15 سنة بتفاوت فرص التجديد أو اختلاف طبيعة المناصب، إلا أن هذه التفسيرات تظل احتمالات وصفية لا تثبتها نتيجة الاختبار الإحصائي. كما يظهر أن الانحراف المعياري كان أعلى لدى فئة أقل من 5 سنوات بقيمة 0.654، بما يعكس تفاوتًا أكبر في تجارب القيادات حديثة الخبرة، بينما كان أقل لدى فئة أكثر من 15 سنة بقيمة 0.600، مما يدل على تقارب نسبي أكبر في استجابات القيادات الأكثر خبرة. وبوجه عام، تشير النتائج إلى أن التمكين القيادي داخل الجهات الحكومية لا يعتمد على مدة الخدمة بصورة مباشرة، بل قد يتأثر بدرجة أكبر بوضوح الصلاحيات، ودعم الإدارة العليا، وعدالة السياسات، وتوافر التدريب، وطبيعة المستوى القيادي والقطاع الذي تعمل فيه القيادة. ولذلك ينبغي أن تستهدف سياسات التمكين جميع مراحل الخبرة، مع توفير برامج توجيه وتطوير للقيادات حديثة الخبرة، وفرص مستمرة للتجديد والمشاركة وصنع القرار للقيادات ذات الخبرة الطويلة</w:t>
      </w:r>
      <w:r w:rsidRPr="00442B69">
        <w:rPr>
          <w:rFonts w:ascii="Arabic Typesetting" w:hAnsi="Arabic Typesetting" w:cs="Arabic Typesetting"/>
          <w:color w:val="auto"/>
          <w:sz w:val="32"/>
          <w:szCs w:val="32"/>
          <w:lang w:val="en-GB"/>
        </w:rPr>
        <w:t>.</w:t>
      </w:r>
    </w:p>
    <w:p w14:paraId="69AA48AF" w14:textId="77777777" w:rsidR="002F2EAD" w:rsidRPr="00CB7E4C" w:rsidRDefault="00437DE2" w:rsidP="00442B69">
      <w:pPr>
        <w:pStyle w:val="ThesisH3"/>
        <w:spacing w:line="360" w:lineRule="auto"/>
        <w:jc w:val="both"/>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4.10.4 الفروق حسب سنوات الخبرة في منصب قيادي</w:t>
      </w:r>
    </w:p>
    <w:p w14:paraId="44B34142" w14:textId="77777777" w:rsidR="002F2EAD" w:rsidRPr="00CB7E4C"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جدول 4-12-LEADEXP: المتوسطات حسب سنوات الخبرة في منصب قيادي</w:t>
      </w:r>
    </w:p>
    <w:tbl>
      <w:tblPr>
        <w:tblStyle w:val="PlainTable2"/>
        <w:bidiVisual/>
        <w:tblW w:w="9026" w:type="dxa"/>
        <w:tblLayout w:type="fixed"/>
        <w:tblLook w:val="04A0" w:firstRow="1" w:lastRow="0" w:firstColumn="1" w:lastColumn="0" w:noHBand="0" w:noVBand="1"/>
      </w:tblPr>
      <w:tblGrid>
        <w:gridCol w:w="4200"/>
        <w:gridCol w:w="1200"/>
        <w:gridCol w:w="1900"/>
        <w:gridCol w:w="1726"/>
      </w:tblGrid>
      <w:tr w:rsidR="00AD326D" w:rsidRPr="00AD326D" w14:paraId="722030D6" w14:textId="77777777" w:rsidTr="00CB7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2BDB5918"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الفئة</w:t>
            </w:r>
          </w:p>
        </w:tc>
        <w:tc>
          <w:tcPr>
            <w:tcW w:w="1200" w:type="dxa"/>
          </w:tcPr>
          <w:p w14:paraId="18F5B893"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N</w:t>
            </w:r>
          </w:p>
        </w:tc>
        <w:tc>
          <w:tcPr>
            <w:tcW w:w="1900" w:type="dxa"/>
          </w:tcPr>
          <w:p w14:paraId="25B6A47D"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التمكين</w:t>
            </w:r>
          </w:p>
        </w:tc>
        <w:tc>
          <w:tcPr>
            <w:tcW w:w="1726" w:type="dxa"/>
          </w:tcPr>
          <w:p w14:paraId="6AD11504"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الانحراف المعياري</w:t>
            </w:r>
          </w:p>
        </w:tc>
      </w:tr>
      <w:tr w:rsidR="00AD326D" w:rsidRPr="00AD326D" w14:paraId="2D6DB5FF"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57FE81A5"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أقل من 3 سنوات</w:t>
            </w:r>
          </w:p>
        </w:tc>
        <w:tc>
          <w:tcPr>
            <w:tcW w:w="1200" w:type="dxa"/>
          </w:tcPr>
          <w:p w14:paraId="59C0732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98</w:t>
            </w:r>
          </w:p>
        </w:tc>
        <w:tc>
          <w:tcPr>
            <w:tcW w:w="1900" w:type="dxa"/>
          </w:tcPr>
          <w:p w14:paraId="470F763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3.602</w:t>
            </w:r>
          </w:p>
        </w:tc>
        <w:tc>
          <w:tcPr>
            <w:tcW w:w="1726" w:type="dxa"/>
          </w:tcPr>
          <w:p w14:paraId="3735FE6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0.568</w:t>
            </w:r>
          </w:p>
        </w:tc>
      </w:tr>
      <w:tr w:rsidR="00AD326D" w:rsidRPr="00AD326D" w14:paraId="385F2BBD"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64EBC5C9"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3–5 سنوات</w:t>
            </w:r>
          </w:p>
        </w:tc>
        <w:tc>
          <w:tcPr>
            <w:tcW w:w="1200" w:type="dxa"/>
          </w:tcPr>
          <w:p w14:paraId="440F9B2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109</w:t>
            </w:r>
          </w:p>
        </w:tc>
        <w:tc>
          <w:tcPr>
            <w:tcW w:w="1900" w:type="dxa"/>
          </w:tcPr>
          <w:p w14:paraId="25C090B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3.458</w:t>
            </w:r>
          </w:p>
        </w:tc>
        <w:tc>
          <w:tcPr>
            <w:tcW w:w="1726" w:type="dxa"/>
          </w:tcPr>
          <w:p w14:paraId="677CC35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0.631</w:t>
            </w:r>
          </w:p>
        </w:tc>
      </w:tr>
      <w:tr w:rsidR="00AD326D" w:rsidRPr="00AD326D" w14:paraId="65717328"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361DB58C"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6–10 سنوات</w:t>
            </w:r>
          </w:p>
        </w:tc>
        <w:tc>
          <w:tcPr>
            <w:tcW w:w="1200" w:type="dxa"/>
          </w:tcPr>
          <w:p w14:paraId="2CCA851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105</w:t>
            </w:r>
          </w:p>
        </w:tc>
        <w:tc>
          <w:tcPr>
            <w:tcW w:w="1900" w:type="dxa"/>
          </w:tcPr>
          <w:p w14:paraId="705FA26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3.539</w:t>
            </w:r>
          </w:p>
        </w:tc>
        <w:tc>
          <w:tcPr>
            <w:tcW w:w="1726" w:type="dxa"/>
          </w:tcPr>
          <w:p w14:paraId="1FE669B1"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0.631</w:t>
            </w:r>
          </w:p>
        </w:tc>
      </w:tr>
      <w:tr w:rsidR="00AD326D" w:rsidRPr="00AD326D" w14:paraId="67D3EDC9"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4C5BA6CA"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أكثر من 10 سنوات</w:t>
            </w:r>
          </w:p>
        </w:tc>
        <w:tc>
          <w:tcPr>
            <w:tcW w:w="1200" w:type="dxa"/>
          </w:tcPr>
          <w:p w14:paraId="731A646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68</w:t>
            </w:r>
          </w:p>
        </w:tc>
        <w:tc>
          <w:tcPr>
            <w:tcW w:w="1900" w:type="dxa"/>
          </w:tcPr>
          <w:p w14:paraId="5689C4A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3.534</w:t>
            </w:r>
          </w:p>
        </w:tc>
        <w:tc>
          <w:tcPr>
            <w:tcW w:w="1726" w:type="dxa"/>
          </w:tcPr>
          <w:p w14:paraId="7E49948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0.704</w:t>
            </w:r>
          </w:p>
        </w:tc>
      </w:tr>
    </w:tbl>
    <w:p w14:paraId="2BA9D78F"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بلغت قيمة F=0.914 ومستوى الدلالة p=0.434، وهي أكبر من 0.05؛ لذلك لا توجد فروق ذات دلالة إحصائية في متوسط التمكين القيادي بين فئات سنوات الخبرة في منصب قيادي. وكان حجم الأثر صغيرًا (Eta²=0.007).</w:t>
      </w:r>
    </w:p>
    <w:p w14:paraId="2DBF445E" w14:textId="77777777" w:rsidR="002F2EAD" w:rsidRPr="00CB7E4C" w:rsidRDefault="00437DE2" w:rsidP="00442B69">
      <w:pPr>
        <w:pStyle w:val="ThesisH3"/>
        <w:spacing w:line="360" w:lineRule="auto"/>
        <w:jc w:val="both"/>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lastRenderedPageBreak/>
        <w:t>4.10.5 الفروق حسب المستوى القيادي الحالي</w:t>
      </w:r>
    </w:p>
    <w:p w14:paraId="1DAEA590" w14:textId="77777777" w:rsidR="002F2EAD" w:rsidRPr="00CB7E4C"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جدول 4-12-LEVEL: المتوسطات حسب المستوى القيادي الحالي</w:t>
      </w:r>
    </w:p>
    <w:tbl>
      <w:tblPr>
        <w:tblStyle w:val="PlainTable2"/>
        <w:bidiVisual/>
        <w:tblW w:w="9026" w:type="dxa"/>
        <w:tblLayout w:type="fixed"/>
        <w:tblLook w:val="04A0" w:firstRow="1" w:lastRow="0" w:firstColumn="1" w:lastColumn="0" w:noHBand="0" w:noVBand="1"/>
      </w:tblPr>
      <w:tblGrid>
        <w:gridCol w:w="4200"/>
        <w:gridCol w:w="1200"/>
        <w:gridCol w:w="1900"/>
        <w:gridCol w:w="1726"/>
      </w:tblGrid>
      <w:tr w:rsidR="00AD326D" w:rsidRPr="00AD326D" w14:paraId="3BD10F43" w14:textId="77777777" w:rsidTr="00CB7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50124FDE"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الفئة</w:t>
            </w:r>
          </w:p>
        </w:tc>
        <w:tc>
          <w:tcPr>
            <w:tcW w:w="1200" w:type="dxa"/>
          </w:tcPr>
          <w:p w14:paraId="698EC738"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N</w:t>
            </w:r>
          </w:p>
        </w:tc>
        <w:tc>
          <w:tcPr>
            <w:tcW w:w="1900" w:type="dxa"/>
          </w:tcPr>
          <w:p w14:paraId="257DABCD"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التمكين</w:t>
            </w:r>
          </w:p>
        </w:tc>
        <w:tc>
          <w:tcPr>
            <w:tcW w:w="1726" w:type="dxa"/>
          </w:tcPr>
          <w:p w14:paraId="6134A5FF"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الانحراف المعياري</w:t>
            </w:r>
          </w:p>
        </w:tc>
      </w:tr>
      <w:tr w:rsidR="00AD326D" w:rsidRPr="00AD326D" w14:paraId="3F5C01BC"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5E435F32"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إشرافي</w:t>
            </w:r>
          </w:p>
        </w:tc>
        <w:tc>
          <w:tcPr>
            <w:tcW w:w="1200" w:type="dxa"/>
          </w:tcPr>
          <w:p w14:paraId="59A7E38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120</w:t>
            </w:r>
          </w:p>
        </w:tc>
        <w:tc>
          <w:tcPr>
            <w:tcW w:w="1900" w:type="dxa"/>
          </w:tcPr>
          <w:p w14:paraId="18D1384B"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3.471</w:t>
            </w:r>
          </w:p>
        </w:tc>
        <w:tc>
          <w:tcPr>
            <w:tcW w:w="1726" w:type="dxa"/>
          </w:tcPr>
          <w:p w14:paraId="2D69653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0.630</w:t>
            </w:r>
          </w:p>
        </w:tc>
      </w:tr>
      <w:tr w:rsidR="00AD326D" w:rsidRPr="00AD326D" w14:paraId="0D1E8CE1"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47BB6994"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إدارة وسطى</w:t>
            </w:r>
          </w:p>
        </w:tc>
        <w:tc>
          <w:tcPr>
            <w:tcW w:w="1200" w:type="dxa"/>
          </w:tcPr>
          <w:p w14:paraId="7BCE3C43"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140</w:t>
            </w:r>
          </w:p>
        </w:tc>
        <w:tc>
          <w:tcPr>
            <w:tcW w:w="1900" w:type="dxa"/>
          </w:tcPr>
          <w:p w14:paraId="31EACCF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3.516</w:t>
            </w:r>
          </w:p>
        </w:tc>
        <w:tc>
          <w:tcPr>
            <w:tcW w:w="1726" w:type="dxa"/>
          </w:tcPr>
          <w:p w14:paraId="17C574C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0.622</w:t>
            </w:r>
          </w:p>
        </w:tc>
      </w:tr>
      <w:tr w:rsidR="00AD326D" w:rsidRPr="00AD326D" w14:paraId="6626F5F4"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680F5440"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قيادة تنفيذية</w:t>
            </w:r>
          </w:p>
        </w:tc>
        <w:tc>
          <w:tcPr>
            <w:tcW w:w="1200" w:type="dxa"/>
          </w:tcPr>
          <w:p w14:paraId="2F200427"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w:t>
            </w:r>
          </w:p>
        </w:tc>
        <w:tc>
          <w:tcPr>
            <w:tcW w:w="1900" w:type="dxa"/>
          </w:tcPr>
          <w:p w14:paraId="7A4C0B0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3.594</w:t>
            </w:r>
          </w:p>
        </w:tc>
        <w:tc>
          <w:tcPr>
            <w:tcW w:w="1726" w:type="dxa"/>
          </w:tcPr>
          <w:p w14:paraId="52501AF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0.710</w:t>
            </w:r>
          </w:p>
        </w:tc>
      </w:tr>
      <w:tr w:rsidR="00AD326D" w:rsidRPr="00AD326D" w14:paraId="25F1ACF5"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7FB68062"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إدارة عليا</w:t>
            </w:r>
          </w:p>
        </w:tc>
        <w:tc>
          <w:tcPr>
            <w:tcW w:w="1200" w:type="dxa"/>
          </w:tcPr>
          <w:p w14:paraId="17681B47"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85</w:t>
            </w:r>
          </w:p>
        </w:tc>
        <w:tc>
          <w:tcPr>
            <w:tcW w:w="1900" w:type="dxa"/>
          </w:tcPr>
          <w:p w14:paraId="0FEB2705"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3.614</w:t>
            </w:r>
          </w:p>
        </w:tc>
        <w:tc>
          <w:tcPr>
            <w:tcW w:w="1726" w:type="dxa"/>
          </w:tcPr>
          <w:p w14:paraId="4B44B572"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0.604</w:t>
            </w:r>
          </w:p>
        </w:tc>
      </w:tr>
    </w:tbl>
    <w:p w14:paraId="438504FA" w14:textId="77777777"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b/>
          <w:color w:val="auto"/>
          <w:sz w:val="32"/>
          <w:szCs w:val="32"/>
        </w:rPr>
        <w:t>مناقشة</w:t>
      </w:r>
      <w:proofErr w:type="spellEnd"/>
      <w:r w:rsidRPr="00AD326D">
        <w:rPr>
          <w:rFonts w:ascii="Arabic Typesetting" w:hAnsi="Arabic Typesetting" w:cs="Arabic Typesetting"/>
          <w:b/>
          <w:color w:val="auto"/>
          <w:sz w:val="32"/>
          <w:szCs w:val="32"/>
        </w:rPr>
        <w:t xml:space="preserve"> </w:t>
      </w:r>
      <w:proofErr w:type="spellStart"/>
      <w:r w:rsidRPr="00AD326D">
        <w:rPr>
          <w:rFonts w:ascii="Arabic Typesetting" w:hAnsi="Arabic Typesetting" w:cs="Arabic Typesetting"/>
          <w:b/>
          <w:color w:val="auto"/>
          <w:sz w:val="32"/>
          <w:szCs w:val="32"/>
        </w:rPr>
        <w:t>الجدول</w:t>
      </w:r>
      <w:proofErr w:type="spellEnd"/>
      <w:r w:rsidRPr="00AD326D">
        <w:rPr>
          <w:rFonts w:ascii="Arabic Typesetting" w:hAnsi="Arabic Typesetting" w:cs="Arabic Typesetting"/>
          <w:b/>
          <w:color w:val="auto"/>
          <w:sz w:val="32"/>
          <w:szCs w:val="32"/>
        </w:rPr>
        <w:t xml:space="preserve"> </w:t>
      </w:r>
      <w:proofErr w:type="spellStart"/>
      <w:r w:rsidRPr="00AD326D">
        <w:rPr>
          <w:rFonts w:ascii="Arabic Typesetting" w:hAnsi="Arabic Typesetting" w:cs="Arabic Typesetting"/>
          <w:b/>
          <w:color w:val="auto"/>
          <w:sz w:val="32"/>
          <w:szCs w:val="32"/>
        </w:rPr>
        <w:t>والنتائج</w:t>
      </w:r>
      <w:proofErr w:type="spellEnd"/>
      <w:r w:rsidRPr="00AD326D">
        <w:rPr>
          <w:rFonts w:ascii="Arabic Typesetting" w:hAnsi="Arabic Typesetting" w:cs="Arabic Typesetting"/>
          <w:b/>
          <w:color w:val="auto"/>
          <w:sz w:val="32"/>
          <w:szCs w:val="32"/>
        </w:rPr>
        <w:t xml:space="preserve">: </w:t>
      </w:r>
      <w:proofErr w:type="spellStart"/>
      <w:r w:rsidRPr="00AD326D">
        <w:rPr>
          <w:rFonts w:ascii="Arabic Typesetting" w:hAnsi="Arabic Typesetting" w:cs="Arabic Typesetting"/>
          <w:color w:val="auto"/>
          <w:sz w:val="32"/>
          <w:szCs w:val="32"/>
        </w:rPr>
        <w:t>ارتفع</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المتوسط</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تدريجيًا</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نسبيًا</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من</w:t>
      </w:r>
      <w:proofErr w:type="spellEnd"/>
      <w:r w:rsidRPr="00AD326D">
        <w:rPr>
          <w:rFonts w:ascii="Arabic Typesetting" w:hAnsi="Arabic Typesetting" w:cs="Arabic Typesetting"/>
          <w:color w:val="auto"/>
          <w:sz w:val="32"/>
          <w:szCs w:val="32"/>
        </w:rPr>
        <w:t xml:space="preserve"> المستوى الإشرافي (3.471) إلى الإدارة العليا (</w:t>
      </w:r>
      <w:proofErr w:type="gramStart"/>
      <w:r w:rsidRPr="00AD326D">
        <w:rPr>
          <w:rFonts w:ascii="Arabic Typesetting" w:hAnsi="Arabic Typesetting" w:cs="Arabic Typesetting"/>
          <w:color w:val="auto"/>
          <w:sz w:val="32"/>
          <w:szCs w:val="32"/>
        </w:rPr>
        <w:t>3.614)،</w:t>
      </w:r>
      <w:proofErr w:type="gramEnd"/>
      <w:r w:rsidRPr="00AD326D">
        <w:rPr>
          <w:rFonts w:ascii="Arabic Typesetting" w:hAnsi="Arabic Typesetting" w:cs="Arabic Typesetting"/>
          <w:color w:val="auto"/>
          <w:sz w:val="32"/>
          <w:szCs w:val="32"/>
        </w:rPr>
        <w:t xml:space="preserve"> لكن الفروق ظلت غير دالة (F=1.004، p=0.391) وحجم أثرها صغيرًا.</w:t>
      </w:r>
    </w:p>
    <w:p w14:paraId="611CB9B8"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بلغت قيمة F=1.004 ومستوى الدلالة p=0.391، وهي أكبر من 0.05؛ لذلك لا توجد فروق ذات دلالة إحصائية في متوسط التمكين القيادي بين فئات المستوى القيادي الحالي. وكان حجم الأثر صغيرًا (Eta²=0.008).</w:t>
      </w:r>
    </w:p>
    <w:p w14:paraId="260DABF3" w14:textId="77777777" w:rsidR="002F2EAD" w:rsidRPr="00CB7E4C" w:rsidRDefault="00437DE2" w:rsidP="00442B69">
      <w:pPr>
        <w:pStyle w:val="ThesisH3"/>
        <w:spacing w:line="360" w:lineRule="auto"/>
        <w:jc w:val="both"/>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4.10.6 الفروق حسب قطاع الجهة الحكومية</w:t>
      </w:r>
    </w:p>
    <w:p w14:paraId="758A5687" w14:textId="77777777" w:rsidR="002F2EAD" w:rsidRPr="00CB7E4C"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جدول 4-12-SECTOR: المتوسطات حسب قطاع الجهة الحكومية</w:t>
      </w:r>
    </w:p>
    <w:tbl>
      <w:tblPr>
        <w:tblStyle w:val="PlainTable2"/>
        <w:bidiVisual/>
        <w:tblW w:w="9026" w:type="dxa"/>
        <w:tblLayout w:type="fixed"/>
        <w:tblLook w:val="04A0" w:firstRow="1" w:lastRow="0" w:firstColumn="1" w:lastColumn="0" w:noHBand="0" w:noVBand="1"/>
      </w:tblPr>
      <w:tblGrid>
        <w:gridCol w:w="4200"/>
        <w:gridCol w:w="1200"/>
        <w:gridCol w:w="1900"/>
        <w:gridCol w:w="1726"/>
      </w:tblGrid>
      <w:tr w:rsidR="00AD326D" w:rsidRPr="00AD326D" w14:paraId="4F2A37A4" w14:textId="77777777" w:rsidTr="00CB7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57265D4C"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الفئة</w:t>
            </w:r>
          </w:p>
        </w:tc>
        <w:tc>
          <w:tcPr>
            <w:tcW w:w="1200" w:type="dxa"/>
          </w:tcPr>
          <w:p w14:paraId="75D607F2"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N</w:t>
            </w:r>
          </w:p>
        </w:tc>
        <w:tc>
          <w:tcPr>
            <w:tcW w:w="1900" w:type="dxa"/>
          </w:tcPr>
          <w:p w14:paraId="2EFBB8DD"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متوسط التمكين</w:t>
            </w:r>
          </w:p>
        </w:tc>
        <w:tc>
          <w:tcPr>
            <w:tcW w:w="1726" w:type="dxa"/>
          </w:tcPr>
          <w:p w14:paraId="09EFCA22"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الانحراف المعياري</w:t>
            </w:r>
          </w:p>
        </w:tc>
      </w:tr>
      <w:tr w:rsidR="00AD326D" w:rsidRPr="00AD326D" w14:paraId="277C4F04"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21A57EBF"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تعليم</w:t>
            </w:r>
          </w:p>
        </w:tc>
        <w:tc>
          <w:tcPr>
            <w:tcW w:w="1200" w:type="dxa"/>
          </w:tcPr>
          <w:p w14:paraId="64FC3C0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105</w:t>
            </w:r>
          </w:p>
        </w:tc>
        <w:tc>
          <w:tcPr>
            <w:tcW w:w="1900" w:type="dxa"/>
          </w:tcPr>
          <w:p w14:paraId="3B96CB4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3.495</w:t>
            </w:r>
          </w:p>
        </w:tc>
        <w:tc>
          <w:tcPr>
            <w:tcW w:w="1726" w:type="dxa"/>
          </w:tcPr>
          <w:p w14:paraId="23023A1E"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0.546</w:t>
            </w:r>
          </w:p>
        </w:tc>
      </w:tr>
      <w:tr w:rsidR="00AD326D" w:rsidRPr="00AD326D" w14:paraId="2F96DE98"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66F0162E"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صحة</w:t>
            </w:r>
          </w:p>
        </w:tc>
        <w:tc>
          <w:tcPr>
            <w:tcW w:w="1200" w:type="dxa"/>
          </w:tcPr>
          <w:p w14:paraId="238FD8BA"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98</w:t>
            </w:r>
          </w:p>
        </w:tc>
        <w:tc>
          <w:tcPr>
            <w:tcW w:w="1900" w:type="dxa"/>
          </w:tcPr>
          <w:p w14:paraId="607A0E44"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3.439</w:t>
            </w:r>
          </w:p>
        </w:tc>
        <w:tc>
          <w:tcPr>
            <w:tcW w:w="1726" w:type="dxa"/>
          </w:tcPr>
          <w:p w14:paraId="4582377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0.709</w:t>
            </w:r>
          </w:p>
        </w:tc>
      </w:tr>
      <w:tr w:rsidR="00AD326D" w:rsidRPr="00AD326D" w14:paraId="7AFDD515"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49E64B8E"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إدارة عامة</w:t>
            </w:r>
          </w:p>
        </w:tc>
        <w:tc>
          <w:tcPr>
            <w:tcW w:w="1200" w:type="dxa"/>
          </w:tcPr>
          <w:p w14:paraId="22ED545D"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71</w:t>
            </w:r>
          </w:p>
        </w:tc>
        <w:tc>
          <w:tcPr>
            <w:tcW w:w="1900" w:type="dxa"/>
          </w:tcPr>
          <w:p w14:paraId="05CA3C18"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3.618</w:t>
            </w:r>
          </w:p>
        </w:tc>
        <w:tc>
          <w:tcPr>
            <w:tcW w:w="1726" w:type="dxa"/>
          </w:tcPr>
          <w:p w14:paraId="3A70230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0.666</w:t>
            </w:r>
          </w:p>
        </w:tc>
      </w:tr>
      <w:tr w:rsidR="00AD326D" w:rsidRPr="00AD326D" w14:paraId="0A07E5F9"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76E47046"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مالية/اقتصاد</w:t>
            </w:r>
          </w:p>
        </w:tc>
        <w:tc>
          <w:tcPr>
            <w:tcW w:w="1200" w:type="dxa"/>
          </w:tcPr>
          <w:p w14:paraId="34B4322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41</w:t>
            </w:r>
          </w:p>
        </w:tc>
        <w:tc>
          <w:tcPr>
            <w:tcW w:w="1900" w:type="dxa"/>
          </w:tcPr>
          <w:p w14:paraId="7FF3E9D6"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3.541</w:t>
            </w:r>
          </w:p>
        </w:tc>
        <w:tc>
          <w:tcPr>
            <w:tcW w:w="1726" w:type="dxa"/>
          </w:tcPr>
          <w:p w14:paraId="4B5EAC61"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0.554</w:t>
            </w:r>
          </w:p>
        </w:tc>
      </w:tr>
      <w:tr w:rsidR="00AD326D" w:rsidRPr="00AD326D" w14:paraId="15197FAD"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0" w:type="dxa"/>
          </w:tcPr>
          <w:p w14:paraId="6C0E480A"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خدمات اجتماعية</w:t>
            </w:r>
          </w:p>
        </w:tc>
        <w:tc>
          <w:tcPr>
            <w:tcW w:w="1200" w:type="dxa"/>
          </w:tcPr>
          <w:p w14:paraId="7AEE8584"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49</w:t>
            </w:r>
          </w:p>
        </w:tc>
        <w:tc>
          <w:tcPr>
            <w:tcW w:w="1900" w:type="dxa"/>
          </w:tcPr>
          <w:p w14:paraId="2B8509B9"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3.663</w:t>
            </w:r>
          </w:p>
        </w:tc>
        <w:tc>
          <w:tcPr>
            <w:tcW w:w="1726" w:type="dxa"/>
          </w:tcPr>
          <w:p w14:paraId="29D2BFEC"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0.604</w:t>
            </w:r>
          </w:p>
        </w:tc>
      </w:tr>
      <w:tr w:rsidR="00AD326D" w:rsidRPr="00AD326D" w14:paraId="0F162FB0" w14:textId="77777777" w:rsidTr="00CB7E4C">
        <w:tc>
          <w:tcPr>
            <w:cnfStyle w:val="001000000000" w:firstRow="0" w:lastRow="0" w:firstColumn="1" w:lastColumn="0" w:oddVBand="0" w:evenVBand="0" w:oddHBand="0" w:evenHBand="0" w:firstRowFirstColumn="0" w:firstRowLastColumn="0" w:lastRowFirstColumn="0" w:lastRowLastColumn="0"/>
            <w:tcW w:w="4200" w:type="dxa"/>
          </w:tcPr>
          <w:p w14:paraId="0E43D98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أخرى</w:t>
            </w:r>
          </w:p>
        </w:tc>
        <w:tc>
          <w:tcPr>
            <w:tcW w:w="1200" w:type="dxa"/>
          </w:tcPr>
          <w:p w14:paraId="5BFBF28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16</w:t>
            </w:r>
          </w:p>
        </w:tc>
        <w:tc>
          <w:tcPr>
            <w:tcW w:w="1900" w:type="dxa"/>
          </w:tcPr>
          <w:p w14:paraId="6B949FAD"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3.513</w:t>
            </w:r>
          </w:p>
        </w:tc>
        <w:tc>
          <w:tcPr>
            <w:tcW w:w="1726" w:type="dxa"/>
          </w:tcPr>
          <w:p w14:paraId="3FBEA03E"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0.678</w:t>
            </w:r>
          </w:p>
        </w:tc>
      </w:tr>
    </w:tbl>
    <w:p w14:paraId="61301926" w14:textId="64BAACD1"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color w:val="auto"/>
          <w:sz w:val="32"/>
          <w:szCs w:val="32"/>
        </w:rPr>
        <w:t>سجل</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قطاع</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الخدمات</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الاجتماعية</w:t>
      </w:r>
      <w:proofErr w:type="spellEnd"/>
      <w:r w:rsidRPr="00AD326D">
        <w:rPr>
          <w:rFonts w:ascii="Arabic Typesetting" w:hAnsi="Arabic Typesetting" w:cs="Arabic Typesetting"/>
          <w:color w:val="auto"/>
          <w:sz w:val="32"/>
          <w:szCs w:val="32"/>
        </w:rPr>
        <w:t xml:space="preserve"> أعلى متوسط (3.663) وقطاع الصحة أدنى متوسط (</w:t>
      </w:r>
      <w:proofErr w:type="gramStart"/>
      <w:r w:rsidRPr="00AD326D">
        <w:rPr>
          <w:rFonts w:ascii="Arabic Typesetting" w:hAnsi="Arabic Typesetting" w:cs="Arabic Typesetting"/>
          <w:color w:val="auto"/>
          <w:sz w:val="32"/>
          <w:szCs w:val="32"/>
        </w:rPr>
        <w:t>3.439)،</w:t>
      </w:r>
      <w:proofErr w:type="gramEnd"/>
      <w:r w:rsidRPr="00AD326D">
        <w:rPr>
          <w:rFonts w:ascii="Arabic Typesetting" w:hAnsi="Arabic Typesetting" w:cs="Arabic Typesetting"/>
          <w:color w:val="auto"/>
          <w:sz w:val="32"/>
          <w:szCs w:val="32"/>
        </w:rPr>
        <w:t xml:space="preserve"> إلا أن الفروق بين القطاعات غير دالة (F=1.204، p=0.306؛ Eta²=0.016).</w:t>
      </w:r>
    </w:p>
    <w:p w14:paraId="0D41B913"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lastRenderedPageBreak/>
        <w:t>بلغت قيمة F=1.204 ومستوى الدلالة p=0.306، وهي أكبر من 0.05؛ لذلك لا توجد فروق ذات دلالة إحصائية في متوسط التمكين القيادي بين فئات قطاع الجهة الحكومية. وكان حجم الأثر صغيرًا (Eta²=0.016).</w:t>
      </w:r>
    </w:p>
    <w:p w14:paraId="2D65C174" w14:textId="77777777" w:rsidR="002F2EAD" w:rsidRPr="00CB7E4C" w:rsidRDefault="00437DE2" w:rsidP="00442B69">
      <w:pPr>
        <w:pStyle w:val="ThesisH2"/>
        <w:spacing w:line="360" w:lineRule="auto"/>
        <w:jc w:val="both"/>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4.11 الإجابة عن أسئلة الدراسة واختبار الفروض</w:t>
      </w:r>
    </w:p>
    <w:p w14:paraId="33BB57C8"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تُعرض الإجابات بصورة مباشرة في الجدول التالي، بحيث يقابل كل سؤال/فرضية النتيجة الإحصائية ذات الصلة والقرار العلمي.</w:t>
      </w:r>
    </w:p>
    <w:p w14:paraId="352368ED" w14:textId="77777777" w:rsidR="002F2EAD" w:rsidRPr="00CB7E4C" w:rsidRDefault="00437DE2" w:rsidP="00442B69">
      <w:pPr>
        <w:pStyle w:val="ThesisCaption"/>
        <w:keepNext/>
        <w:spacing w:line="360" w:lineRule="auto"/>
        <w:jc w:val="center"/>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جدول 4-13: الإجابات المباشرة عن أسئلة الدراسة وقرارات اختبار الفروض</w:t>
      </w:r>
    </w:p>
    <w:tbl>
      <w:tblPr>
        <w:tblStyle w:val="PlainTable2"/>
        <w:bidiVisual/>
        <w:tblW w:w="9026" w:type="dxa"/>
        <w:tblLayout w:type="fixed"/>
        <w:tblLook w:val="04A0" w:firstRow="1" w:lastRow="0" w:firstColumn="1" w:lastColumn="0" w:noHBand="0" w:noVBand="1"/>
      </w:tblPr>
      <w:tblGrid>
        <w:gridCol w:w="1800"/>
        <w:gridCol w:w="2600"/>
        <w:gridCol w:w="2550"/>
        <w:gridCol w:w="2076"/>
      </w:tblGrid>
      <w:tr w:rsidR="00AD326D" w:rsidRPr="00AD326D" w14:paraId="7E85A66F" w14:textId="77777777" w:rsidTr="00CB7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2A7D1AB3"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السؤال/الفرضية</w:t>
            </w:r>
          </w:p>
        </w:tc>
        <w:tc>
          <w:tcPr>
            <w:tcW w:w="2600" w:type="dxa"/>
          </w:tcPr>
          <w:p w14:paraId="1C760D43"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نص السؤال</w:t>
            </w:r>
          </w:p>
        </w:tc>
        <w:tc>
          <w:tcPr>
            <w:tcW w:w="2550" w:type="dxa"/>
          </w:tcPr>
          <w:p w14:paraId="77E77AB5"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الدليل الإحصائي</w:t>
            </w:r>
          </w:p>
        </w:tc>
        <w:tc>
          <w:tcPr>
            <w:tcW w:w="2076" w:type="dxa"/>
          </w:tcPr>
          <w:p w14:paraId="065B7AE0" w14:textId="77777777" w:rsidR="002F2EAD" w:rsidRPr="00AD326D" w:rsidRDefault="00437DE2" w:rsidP="00442B6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الإجابة والقرار</w:t>
            </w:r>
          </w:p>
        </w:tc>
      </w:tr>
      <w:tr w:rsidR="00AD326D" w:rsidRPr="00AD326D" w14:paraId="55ABB1C5"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684EDFF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السؤال 1 / الفرضية 1</w:t>
            </w:r>
          </w:p>
        </w:tc>
        <w:tc>
          <w:tcPr>
            <w:tcW w:w="2600" w:type="dxa"/>
          </w:tcPr>
          <w:p w14:paraId="34F2F972"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هل تؤثر العوامل الاجتماعية إيجابيًا في التمكين القيادي؟</w:t>
            </w:r>
          </w:p>
        </w:tc>
        <w:tc>
          <w:tcPr>
            <w:tcW w:w="2550" w:type="dxa"/>
          </w:tcPr>
          <w:p w14:paraId="685867C6"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 xml:space="preserve">r=0.384، B=0.265، </w:t>
            </w:r>
            <w:r w:rsidRPr="00AD326D">
              <w:rPr>
                <w:rFonts w:ascii="Cambria" w:hAnsi="Cambria" w:cs="Cambria" w:hint="cs"/>
                <w:color w:val="auto"/>
                <w:sz w:val="32"/>
                <w:szCs w:val="32"/>
                <w:rtl/>
              </w:rPr>
              <w:t>β</w:t>
            </w:r>
            <w:r w:rsidRPr="00AD326D">
              <w:rPr>
                <w:rFonts w:ascii="Arabic Typesetting" w:hAnsi="Arabic Typesetting" w:cs="Arabic Typesetting"/>
                <w:color w:val="auto"/>
                <w:sz w:val="32"/>
                <w:szCs w:val="32"/>
                <w:rtl/>
              </w:rPr>
              <w:t>=0.283</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 t=6.627</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 p&lt;0.001</w:t>
            </w:r>
          </w:p>
        </w:tc>
        <w:tc>
          <w:tcPr>
            <w:tcW w:w="2076" w:type="dxa"/>
          </w:tcPr>
          <w:p w14:paraId="2291FD35"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نعم؛ علاقة وأثر موجبان دالان. تُقبل H1.</w:t>
            </w:r>
          </w:p>
        </w:tc>
      </w:tr>
      <w:tr w:rsidR="00AD326D" w:rsidRPr="00AD326D" w14:paraId="01813521" w14:textId="77777777" w:rsidTr="00CB7E4C">
        <w:tc>
          <w:tcPr>
            <w:cnfStyle w:val="001000000000" w:firstRow="0" w:lastRow="0" w:firstColumn="1" w:lastColumn="0" w:oddVBand="0" w:evenVBand="0" w:oddHBand="0" w:evenHBand="0" w:firstRowFirstColumn="0" w:firstRowLastColumn="0" w:lastRowFirstColumn="0" w:lastRowLastColumn="0"/>
            <w:tcW w:w="1800" w:type="dxa"/>
          </w:tcPr>
          <w:p w14:paraId="36CFB267"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السؤال 2 / الفرضية 2</w:t>
            </w:r>
          </w:p>
        </w:tc>
        <w:tc>
          <w:tcPr>
            <w:tcW w:w="2600" w:type="dxa"/>
          </w:tcPr>
          <w:p w14:paraId="58FBD91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هل تؤثر العوامل الثقافية إيجابيًا في التمكين القيادي؟</w:t>
            </w:r>
          </w:p>
        </w:tc>
        <w:tc>
          <w:tcPr>
            <w:tcW w:w="2550" w:type="dxa"/>
          </w:tcPr>
          <w:p w14:paraId="50C4C9C8"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 xml:space="preserve">r=0.390، B=0.247، </w:t>
            </w:r>
            <w:r w:rsidRPr="00AD326D">
              <w:rPr>
                <w:rFonts w:ascii="Cambria" w:hAnsi="Cambria" w:cs="Cambria" w:hint="cs"/>
                <w:color w:val="auto"/>
                <w:sz w:val="32"/>
                <w:szCs w:val="32"/>
                <w:rtl/>
              </w:rPr>
              <w:t>β</w:t>
            </w:r>
            <w:r w:rsidRPr="00AD326D">
              <w:rPr>
                <w:rFonts w:ascii="Arabic Typesetting" w:hAnsi="Arabic Typesetting" w:cs="Arabic Typesetting"/>
                <w:color w:val="auto"/>
                <w:sz w:val="32"/>
                <w:szCs w:val="32"/>
                <w:rtl/>
              </w:rPr>
              <w:t>=0.264</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 t=6.138</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 p&lt;0.001</w:t>
            </w:r>
          </w:p>
        </w:tc>
        <w:tc>
          <w:tcPr>
            <w:tcW w:w="2076" w:type="dxa"/>
          </w:tcPr>
          <w:p w14:paraId="287DE9DB"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نعم؛ علاقة وأثر موجبان دالان. تُقبل H2.</w:t>
            </w:r>
          </w:p>
        </w:tc>
      </w:tr>
      <w:tr w:rsidR="00AD326D" w:rsidRPr="00AD326D" w14:paraId="3B2072C3" w14:textId="77777777" w:rsidTr="00CB7E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54DFD9CD"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السؤال 3 / الفرضية 3</w:t>
            </w:r>
          </w:p>
        </w:tc>
        <w:tc>
          <w:tcPr>
            <w:tcW w:w="2600" w:type="dxa"/>
          </w:tcPr>
          <w:p w14:paraId="2AB36AC3"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هل تؤثر العوامل التنظيمية إيجابيًا في التمكين القيادي؟</w:t>
            </w:r>
          </w:p>
        </w:tc>
        <w:tc>
          <w:tcPr>
            <w:tcW w:w="2550" w:type="dxa"/>
          </w:tcPr>
          <w:p w14:paraId="40137F40"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 xml:space="preserve">r=0.421، B=0.332، </w:t>
            </w:r>
            <w:r w:rsidRPr="00AD326D">
              <w:rPr>
                <w:rFonts w:ascii="Cambria" w:hAnsi="Cambria" w:cs="Cambria" w:hint="cs"/>
                <w:color w:val="auto"/>
                <w:sz w:val="32"/>
                <w:szCs w:val="32"/>
                <w:rtl/>
              </w:rPr>
              <w:t>β</w:t>
            </w:r>
            <w:r w:rsidRPr="00AD326D">
              <w:rPr>
                <w:rFonts w:ascii="Arabic Typesetting" w:hAnsi="Arabic Typesetting" w:cs="Arabic Typesetting"/>
                <w:color w:val="auto"/>
                <w:sz w:val="32"/>
                <w:szCs w:val="32"/>
                <w:rtl/>
              </w:rPr>
              <w:t>=0.356</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 t=8.519</w:t>
            </w:r>
            <w:r w:rsidRPr="00AD326D">
              <w:rPr>
                <w:rFonts w:ascii="Arabic Typesetting" w:hAnsi="Arabic Typesetting" w:cs="Arabic Typesetting" w:hint="cs"/>
                <w:color w:val="auto"/>
                <w:sz w:val="32"/>
                <w:szCs w:val="32"/>
                <w:rtl/>
              </w:rPr>
              <w:t>،</w:t>
            </w:r>
            <w:r w:rsidRPr="00AD326D">
              <w:rPr>
                <w:rFonts w:ascii="Arabic Typesetting" w:hAnsi="Arabic Typesetting" w:cs="Arabic Typesetting"/>
                <w:color w:val="auto"/>
                <w:sz w:val="32"/>
                <w:szCs w:val="32"/>
                <w:rtl/>
              </w:rPr>
              <w:t xml:space="preserve"> p&lt;0.001</w:t>
            </w:r>
          </w:p>
        </w:tc>
        <w:tc>
          <w:tcPr>
            <w:tcW w:w="2076" w:type="dxa"/>
          </w:tcPr>
          <w:p w14:paraId="47058DDF" w14:textId="77777777" w:rsidR="002F2EAD" w:rsidRPr="00AD326D" w:rsidRDefault="00437DE2" w:rsidP="00442B6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نعم؛ وهي الأقوى نسبيًا. تُقبل H3.</w:t>
            </w:r>
          </w:p>
        </w:tc>
      </w:tr>
      <w:tr w:rsidR="00AD326D" w:rsidRPr="00AD326D" w14:paraId="7FE9E1AB" w14:textId="77777777" w:rsidTr="00CB7E4C">
        <w:tc>
          <w:tcPr>
            <w:cnfStyle w:val="001000000000" w:firstRow="0" w:lastRow="0" w:firstColumn="1" w:lastColumn="0" w:oddVBand="0" w:evenVBand="0" w:oddHBand="0" w:evenHBand="0" w:firstRowFirstColumn="0" w:firstRowLastColumn="0" w:lastRowFirstColumn="0" w:lastRowLastColumn="0"/>
            <w:tcW w:w="1800" w:type="dxa"/>
          </w:tcPr>
          <w:p w14:paraId="66DF7901" w14:textId="77777777" w:rsidR="002F2EAD" w:rsidRPr="00AD326D" w:rsidRDefault="00437DE2" w:rsidP="00442B69">
            <w:pPr>
              <w:bidi/>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b w:val="0"/>
                <w:color w:val="auto"/>
                <w:sz w:val="32"/>
                <w:szCs w:val="32"/>
                <w:rtl/>
              </w:rPr>
              <w:t>السؤال الرئيسي</w:t>
            </w:r>
          </w:p>
        </w:tc>
        <w:tc>
          <w:tcPr>
            <w:tcW w:w="2600" w:type="dxa"/>
          </w:tcPr>
          <w:p w14:paraId="2632173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ما متطلبات تمكين القيادات النسائية في الجهات الحكومية؟</w:t>
            </w:r>
          </w:p>
        </w:tc>
        <w:tc>
          <w:tcPr>
            <w:tcW w:w="2550" w:type="dxa"/>
          </w:tcPr>
          <w:p w14:paraId="6AB1A2D9"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المتوسطات مرتفعة، والنموذج الكلي دال: R=0.601، R²=0.361، F=70.933، p&lt;0.001</w:t>
            </w:r>
          </w:p>
        </w:tc>
        <w:tc>
          <w:tcPr>
            <w:tcW w:w="2076" w:type="dxa"/>
          </w:tcPr>
          <w:p w14:paraId="3BC14110" w14:textId="77777777" w:rsidR="002F2EAD" w:rsidRPr="00AD326D" w:rsidRDefault="00437DE2" w:rsidP="00442B6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t>تتمثل الأولوية في بناء بيئة تنظيمية عادلة، تليها المساندة الاجتماعية والثقافية، مع استمرار برامج التدريب والمشاركة في القرار.</w:t>
            </w:r>
          </w:p>
        </w:tc>
      </w:tr>
    </w:tbl>
    <w:p w14:paraId="4A835BAD" w14:textId="42031733" w:rsidR="002F2EAD" w:rsidRPr="00AD326D" w:rsidRDefault="00437DE2" w:rsidP="00442B69">
      <w:pPr>
        <w:pStyle w:val="ThesisDiscussion"/>
        <w:keepLines/>
        <w:spacing w:line="360" w:lineRule="auto"/>
        <w:jc w:val="both"/>
        <w:rPr>
          <w:rFonts w:ascii="Arabic Typesetting" w:hAnsi="Arabic Typesetting" w:cs="Arabic Typesetting"/>
          <w:color w:val="auto"/>
          <w:sz w:val="32"/>
          <w:szCs w:val="32"/>
        </w:rPr>
      </w:pPr>
      <w:proofErr w:type="spellStart"/>
      <w:r w:rsidRPr="00AD326D">
        <w:rPr>
          <w:rFonts w:ascii="Arabic Typesetting" w:hAnsi="Arabic Typesetting" w:cs="Arabic Typesetting"/>
          <w:color w:val="auto"/>
          <w:sz w:val="32"/>
          <w:szCs w:val="32"/>
        </w:rPr>
        <w:t>تجمع</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النتائج</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الوصفية</w:t>
      </w:r>
      <w:proofErr w:type="spellEnd"/>
      <w:r w:rsidRPr="00AD326D">
        <w:rPr>
          <w:rFonts w:ascii="Arabic Typesetting" w:hAnsi="Arabic Typesetting" w:cs="Arabic Typesetting"/>
          <w:color w:val="auto"/>
          <w:sz w:val="32"/>
          <w:szCs w:val="32"/>
        </w:rPr>
        <w:t xml:space="preserve"> </w:t>
      </w:r>
      <w:proofErr w:type="spellStart"/>
      <w:r w:rsidRPr="00AD326D">
        <w:rPr>
          <w:rFonts w:ascii="Arabic Typesetting" w:hAnsi="Arabic Typesetting" w:cs="Arabic Typesetting"/>
          <w:color w:val="auto"/>
          <w:sz w:val="32"/>
          <w:szCs w:val="32"/>
        </w:rPr>
        <w:t>والاستدلالية</w:t>
      </w:r>
      <w:proofErr w:type="spellEnd"/>
      <w:r w:rsidRPr="00AD326D">
        <w:rPr>
          <w:rFonts w:ascii="Arabic Typesetting" w:hAnsi="Arabic Typesetting" w:cs="Arabic Typesetting"/>
          <w:color w:val="auto"/>
          <w:sz w:val="32"/>
          <w:szCs w:val="32"/>
        </w:rPr>
        <w:t xml:space="preserve"> في قرار واحد: الفروض الثلاثة الخاصة بالتأثير الإيجابي للعوامل الاجتماعية والثقافية والتنظيمية مدعومة، مع تصدر العامل التنظيمي. وتقدم قيمة R²=0.361 أساسًا عمليًا لتوجيه السياسات، مع ضرورة استكمال البحث في العوامل الأخرى التي تفسر بقية التباين.</w:t>
      </w:r>
    </w:p>
    <w:p w14:paraId="2C60CDBF" w14:textId="77777777" w:rsidR="002F2EAD" w:rsidRPr="00AD326D" w:rsidRDefault="00437DE2" w:rsidP="00442B69">
      <w:pPr>
        <w:pStyle w:val="ThesisBody"/>
        <w:spacing w:line="360" w:lineRule="auto"/>
        <w:jc w:val="both"/>
        <w:rPr>
          <w:rFonts w:ascii="Arabic Typesetting" w:hAnsi="Arabic Typesetting" w:cs="Arabic Typesetting"/>
          <w:color w:val="auto"/>
          <w:sz w:val="32"/>
          <w:szCs w:val="32"/>
        </w:rPr>
      </w:pPr>
      <w:r w:rsidRPr="00AD326D">
        <w:rPr>
          <w:rFonts w:ascii="Arabic Typesetting" w:hAnsi="Arabic Typesetting" w:cs="Arabic Typesetting"/>
          <w:color w:val="auto"/>
          <w:sz w:val="32"/>
          <w:szCs w:val="32"/>
          <w:rtl/>
        </w:rPr>
        <w:lastRenderedPageBreak/>
        <w:t>الخلاصة: دعمت النتائج الفروض الثلاثة؛ إذ كان لكل من العوامل الاجتماعية والثقافية والتنظيمية أثر موجب ودال في التمكين القيادي. ويشرح النموذج 36.1% من التباين في التمكين، بينما تُعزى النسبة المتبقية (63.9%) إلى عوامل أخرى غير مدرجة في النموذج.</w:t>
      </w:r>
    </w:p>
    <w:p w14:paraId="18C1E052" w14:textId="77777777" w:rsidR="002F2EAD" w:rsidRPr="00CB7E4C" w:rsidRDefault="00437DE2" w:rsidP="00442B69">
      <w:pPr>
        <w:pStyle w:val="ThesisH2"/>
        <w:spacing w:line="360" w:lineRule="auto"/>
        <w:jc w:val="both"/>
        <w:rPr>
          <w:rFonts w:ascii="Arabic Typesetting" w:hAnsi="Arabic Typesetting" w:cs="Arabic Typesetting"/>
          <w:b w:val="0"/>
          <w:bCs/>
          <w:color w:val="auto"/>
          <w:sz w:val="32"/>
          <w:szCs w:val="32"/>
        </w:rPr>
      </w:pPr>
      <w:r w:rsidRPr="00CB7E4C">
        <w:rPr>
          <w:rFonts w:ascii="Arabic Typesetting" w:hAnsi="Arabic Typesetting" w:cs="Arabic Typesetting"/>
          <w:b w:val="0"/>
          <w:bCs/>
          <w:color w:val="auto"/>
          <w:sz w:val="32"/>
          <w:szCs w:val="32"/>
          <w:rtl/>
        </w:rPr>
        <w:t>4.12 خلاصة الفصل</w:t>
      </w:r>
    </w:p>
    <w:p w14:paraId="60C76BA6" w14:textId="77777777" w:rsidR="002F2EAD" w:rsidRDefault="00437DE2" w:rsidP="00442B69">
      <w:pPr>
        <w:pStyle w:val="ThesisBody"/>
        <w:spacing w:line="360" w:lineRule="auto"/>
        <w:jc w:val="both"/>
        <w:rPr>
          <w:rFonts w:ascii="Arabic Typesetting" w:hAnsi="Arabic Typesetting" w:cs="Arabic Typesetting"/>
          <w:color w:val="auto"/>
          <w:sz w:val="32"/>
          <w:szCs w:val="32"/>
          <w:rtl/>
        </w:rPr>
      </w:pPr>
      <w:r w:rsidRPr="00AD326D">
        <w:rPr>
          <w:rFonts w:ascii="Arabic Typesetting" w:hAnsi="Arabic Typesetting" w:cs="Arabic Typesetting"/>
          <w:color w:val="auto"/>
          <w:sz w:val="32"/>
          <w:szCs w:val="32"/>
          <w:rtl/>
        </w:rPr>
        <w:t>أكدت النتائج الوصفية أن مستويات العوامل الاجتماعية والثقافية والتنظيمية والتمكين القيادي جاءت مرتفعة. وأثبتت معاملات الثبات أن الأداة موثوقة، بينما أظهر ارتباط بيرسون علاقات موجبة ودالة بين كل بعد مستقل والتمكين. كما كان نموذج الانحدار المتعدد دالًا وفسر 36.1% من التباين، مع تصدر العوامل التنظيمية من حيث القوة النسبية. ولم تظهر فروق دالة في التمكين تبعًا للعمر أو المؤهل أو الخبرة أو المستوى أو القطاع، في حين تعذر اختبار الجنس لاقتصار العينة على النساء.</w:t>
      </w:r>
    </w:p>
    <w:p w14:paraId="53943603" w14:textId="77777777" w:rsidR="00CB7E4C" w:rsidRDefault="00CB7E4C" w:rsidP="00442B69">
      <w:pPr>
        <w:pStyle w:val="ThesisBody"/>
        <w:spacing w:line="360" w:lineRule="auto"/>
        <w:jc w:val="both"/>
        <w:rPr>
          <w:rFonts w:ascii="Arabic Typesetting" w:hAnsi="Arabic Typesetting" w:cs="Arabic Typesetting"/>
          <w:color w:val="auto"/>
          <w:sz w:val="32"/>
          <w:szCs w:val="32"/>
          <w:rtl/>
        </w:rPr>
      </w:pPr>
    </w:p>
    <w:p w14:paraId="3D755F0A" w14:textId="77777777" w:rsidR="00CB7E4C" w:rsidRDefault="00CB7E4C" w:rsidP="00AD326D">
      <w:pPr>
        <w:pStyle w:val="ThesisBody"/>
        <w:jc w:val="both"/>
        <w:rPr>
          <w:rFonts w:ascii="Arabic Typesetting" w:hAnsi="Arabic Typesetting" w:cs="Arabic Typesetting"/>
          <w:color w:val="auto"/>
          <w:sz w:val="32"/>
          <w:szCs w:val="32"/>
          <w:rtl/>
        </w:rPr>
      </w:pPr>
    </w:p>
    <w:p w14:paraId="585A70B3" w14:textId="77777777" w:rsidR="00CB7E4C" w:rsidRDefault="00CB7E4C" w:rsidP="00AD326D">
      <w:pPr>
        <w:pStyle w:val="ThesisBody"/>
        <w:jc w:val="both"/>
        <w:rPr>
          <w:rFonts w:ascii="Arabic Typesetting" w:hAnsi="Arabic Typesetting" w:cs="Arabic Typesetting"/>
          <w:color w:val="auto"/>
          <w:sz w:val="32"/>
          <w:szCs w:val="32"/>
          <w:rtl/>
        </w:rPr>
      </w:pPr>
    </w:p>
    <w:p w14:paraId="10C8B734" w14:textId="77777777" w:rsidR="00CB7E4C" w:rsidRDefault="00CB7E4C" w:rsidP="00AD326D">
      <w:pPr>
        <w:pStyle w:val="ThesisBody"/>
        <w:jc w:val="both"/>
        <w:rPr>
          <w:rFonts w:ascii="Arabic Typesetting" w:hAnsi="Arabic Typesetting" w:cs="Arabic Typesetting"/>
          <w:color w:val="auto"/>
          <w:sz w:val="32"/>
          <w:szCs w:val="32"/>
          <w:rtl/>
        </w:rPr>
      </w:pPr>
    </w:p>
    <w:p w14:paraId="60836D5F" w14:textId="77777777" w:rsidR="00CB7E4C" w:rsidRDefault="00CB7E4C" w:rsidP="00AD326D">
      <w:pPr>
        <w:pStyle w:val="ThesisBody"/>
        <w:jc w:val="both"/>
        <w:rPr>
          <w:rFonts w:ascii="Arabic Typesetting" w:hAnsi="Arabic Typesetting" w:cs="Arabic Typesetting"/>
          <w:color w:val="auto"/>
          <w:sz w:val="32"/>
          <w:szCs w:val="32"/>
          <w:rtl/>
        </w:rPr>
      </w:pPr>
    </w:p>
    <w:p w14:paraId="1F23303A" w14:textId="77777777" w:rsidR="00CB7E4C" w:rsidRDefault="00CB7E4C" w:rsidP="00AD326D">
      <w:pPr>
        <w:pStyle w:val="ThesisBody"/>
        <w:jc w:val="both"/>
        <w:rPr>
          <w:rFonts w:ascii="Arabic Typesetting" w:hAnsi="Arabic Typesetting" w:cs="Arabic Typesetting"/>
          <w:color w:val="auto"/>
          <w:sz w:val="32"/>
          <w:szCs w:val="32"/>
          <w:rtl/>
        </w:rPr>
      </w:pPr>
    </w:p>
    <w:p w14:paraId="5CC70568" w14:textId="77777777" w:rsidR="00CB7E4C" w:rsidRDefault="00CB7E4C" w:rsidP="00AD326D">
      <w:pPr>
        <w:pStyle w:val="ThesisBody"/>
        <w:jc w:val="both"/>
        <w:rPr>
          <w:rFonts w:ascii="Arabic Typesetting" w:hAnsi="Arabic Typesetting" w:cs="Arabic Typesetting"/>
          <w:color w:val="auto"/>
          <w:sz w:val="32"/>
          <w:szCs w:val="32"/>
          <w:rtl/>
        </w:rPr>
      </w:pPr>
    </w:p>
    <w:p w14:paraId="3336B3C6" w14:textId="77777777" w:rsidR="00CB7E4C" w:rsidRDefault="00CB7E4C" w:rsidP="00AD326D">
      <w:pPr>
        <w:pStyle w:val="ThesisBody"/>
        <w:jc w:val="both"/>
        <w:rPr>
          <w:rFonts w:ascii="Arabic Typesetting" w:hAnsi="Arabic Typesetting" w:cs="Arabic Typesetting"/>
          <w:color w:val="auto"/>
          <w:sz w:val="32"/>
          <w:szCs w:val="32"/>
          <w:rtl/>
        </w:rPr>
      </w:pPr>
    </w:p>
    <w:p w14:paraId="6CF30491" w14:textId="77777777" w:rsidR="00CB7E4C" w:rsidRDefault="00CB7E4C" w:rsidP="00AD326D">
      <w:pPr>
        <w:pStyle w:val="ThesisBody"/>
        <w:jc w:val="both"/>
        <w:rPr>
          <w:rFonts w:ascii="Arabic Typesetting" w:hAnsi="Arabic Typesetting" w:cs="Arabic Typesetting"/>
          <w:color w:val="auto"/>
          <w:sz w:val="32"/>
          <w:szCs w:val="32"/>
          <w:rtl/>
        </w:rPr>
      </w:pPr>
    </w:p>
    <w:p w14:paraId="22AB12E5" w14:textId="77777777" w:rsidR="00442B69" w:rsidRDefault="00442B69" w:rsidP="00AD326D">
      <w:pPr>
        <w:pStyle w:val="ThesisBody"/>
        <w:jc w:val="both"/>
        <w:rPr>
          <w:rFonts w:ascii="Arabic Typesetting" w:hAnsi="Arabic Typesetting" w:cs="Arabic Typesetting"/>
          <w:color w:val="auto"/>
          <w:sz w:val="32"/>
          <w:szCs w:val="32"/>
          <w:rtl/>
        </w:rPr>
      </w:pPr>
    </w:p>
    <w:p w14:paraId="6A0075AF" w14:textId="77777777" w:rsidR="00442B69" w:rsidRDefault="00442B69" w:rsidP="00AD326D">
      <w:pPr>
        <w:pStyle w:val="ThesisBody"/>
        <w:jc w:val="both"/>
        <w:rPr>
          <w:rFonts w:ascii="Arabic Typesetting" w:hAnsi="Arabic Typesetting" w:cs="Arabic Typesetting"/>
          <w:color w:val="auto"/>
          <w:sz w:val="32"/>
          <w:szCs w:val="32"/>
          <w:rtl/>
        </w:rPr>
      </w:pPr>
    </w:p>
    <w:p w14:paraId="6A031260" w14:textId="77777777" w:rsidR="00442B69" w:rsidRDefault="00442B69" w:rsidP="00AD326D">
      <w:pPr>
        <w:pStyle w:val="ThesisBody"/>
        <w:jc w:val="both"/>
        <w:rPr>
          <w:rFonts w:ascii="Arabic Typesetting" w:hAnsi="Arabic Typesetting" w:cs="Arabic Typesetting"/>
          <w:color w:val="auto"/>
          <w:sz w:val="32"/>
          <w:szCs w:val="32"/>
          <w:rtl/>
        </w:rPr>
      </w:pPr>
    </w:p>
    <w:p w14:paraId="26527954" w14:textId="77777777" w:rsidR="00442B69" w:rsidRDefault="00442B69" w:rsidP="00AD326D">
      <w:pPr>
        <w:pStyle w:val="ThesisBody"/>
        <w:jc w:val="both"/>
        <w:rPr>
          <w:rFonts w:ascii="Arabic Typesetting" w:hAnsi="Arabic Typesetting" w:cs="Arabic Typesetting"/>
          <w:color w:val="auto"/>
          <w:sz w:val="32"/>
          <w:szCs w:val="32"/>
          <w:rtl/>
        </w:rPr>
      </w:pPr>
    </w:p>
    <w:p w14:paraId="79CC3436" w14:textId="77777777" w:rsidR="00442B69" w:rsidRDefault="00442B69" w:rsidP="00AD326D">
      <w:pPr>
        <w:pStyle w:val="ThesisBody"/>
        <w:jc w:val="both"/>
        <w:rPr>
          <w:rFonts w:ascii="Arabic Typesetting" w:hAnsi="Arabic Typesetting" w:cs="Arabic Typesetting"/>
          <w:color w:val="auto"/>
          <w:sz w:val="32"/>
          <w:szCs w:val="32"/>
          <w:rtl/>
        </w:rPr>
      </w:pPr>
    </w:p>
    <w:p w14:paraId="431537BE" w14:textId="77777777" w:rsidR="00442B69" w:rsidRPr="00AD326D" w:rsidRDefault="00442B69" w:rsidP="00AD326D">
      <w:pPr>
        <w:pStyle w:val="ThesisBody"/>
        <w:jc w:val="both"/>
        <w:rPr>
          <w:rFonts w:ascii="Arabic Typesetting" w:hAnsi="Arabic Typesetting" w:cs="Arabic Typesetting"/>
          <w:color w:val="auto"/>
          <w:sz w:val="32"/>
          <w:szCs w:val="32"/>
        </w:rPr>
      </w:pPr>
    </w:p>
    <w:p w14:paraId="5D79B28B" w14:textId="77777777" w:rsidR="002F2EAD" w:rsidRPr="00AD326D" w:rsidRDefault="00437DE2" w:rsidP="00AD326D">
      <w:pPr>
        <w:pStyle w:val="ThesisH1"/>
        <w:jc w:val="both"/>
        <w:rPr>
          <w:rFonts w:ascii="Arabic Typesetting" w:hAnsi="Arabic Typesetting" w:cs="Arabic Typesetting"/>
          <w:color w:val="auto"/>
          <w:szCs w:val="32"/>
        </w:rPr>
      </w:pPr>
      <w:r w:rsidRPr="00AD326D">
        <w:rPr>
          <w:rFonts w:ascii="Arabic Typesetting" w:hAnsi="Arabic Typesetting" w:cs="Arabic Typesetting"/>
          <w:color w:val="auto"/>
          <w:szCs w:val="32"/>
          <w:rtl/>
        </w:rPr>
        <w:lastRenderedPageBreak/>
        <w:t>المراجع</w:t>
      </w:r>
    </w:p>
    <w:p w14:paraId="20C36646" w14:textId="77777777" w:rsidR="00BB754D" w:rsidRPr="00FA6B48" w:rsidRDefault="00777236" w:rsidP="00FA6B48">
      <w:pPr>
        <w:pStyle w:val="ListParagraph"/>
        <w:keepNext/>
        <w:widowControl/>
        <w:autoSpaceDE/>
        <w:autoSpaceDN/>
        <w:bidi/>
        <w:adjustRightInd/>
        <w:spacing w:before="240" w:after="120" w:line="278" w:lineRule="auto"/>
        <w:rPr>
          <w:rFonts w:ascii="Traditional Arabic" w:hAnsi="Traditional Arabic" w:cs="Traditional Arabic"/>
          <w:b/>
          <w:bCs/>
          <w:sz w:val="48"/>
          <w:szCs w:val="32"/>
        </w:rPr>
      </w:pPr>
      <w:r w:rsidRPr="00FA6B48">
        <w:rPr>
          <w:rFonts w:ascii="Traditional Arabic" w:hAnsi="Traditional Arabic" w:cs="Traditional Arabic"/>
          <w:b/>
          <w:bCs/>
          <w:sz w:val="48"/>
          <w:szCs w:val="32"/>
          <w:rtl/>
        </w:rPr>
        <w:t>المراجع العربية:</w:t>
      </w:r>
    </w:p>
    <w:p w14:paraId="033754DD"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أبو كليلة، هادية محمد رشاد. (2017). معوقات تمكين المرأة تكنولوجيا: الأسباب ومقترحات الحل. المجلة العربية لدراسات وبحوث العلوم التربوية والإنسانية، 3(9)، 308-323.</w:t>
      </w:r>
    </w:p>
    <w:p w14:paraId="7CBF560F"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أمين، الحمزة أحمد البار. (2023). الاستبيان كأداة للبحث العلمي وأهم تطبيقاته. 12(3)، 303-314.</w:t>
      </w:r>
    </w:p>
    <w:p w14:paraId="53556AFF"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البكر، فوزية. (2022). تمكين المرأة السعودية في ظل رؤية 2030: الفرص والتحديات. 2(4).</w:t>
      </w:r>
    </w:p>
    <w:p w14:paraId="0EF698A0"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بن عثمان، فوزية. (2020). الاستجابات الدستورية لتفعيل التمكين السياسي للمرأة. مجلة الحقوق والحريات، 6(2)، 82-107.</w:t>
      </w:r>
    </w:p>
    <w:p w14:paraId="2549D964"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الجزار، إكرام. (2021). المرأة المقاولة وتحولات النسق الاجتماعي. مسارات في الأبحاث والدراسات القانونية، (16)، 506-523.</w:t>
      </w:r>
    </w:p>
    <w:p w14:paraId="1D258BB3"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الحسني، عبد المنعم علي نجرس، وجابر، هبة عبد المحسن عبد الكريم. (2017). تمكين المرأة من إشغال المراكز القيادية. مجلة كلية التربية للبنات، 28(2).</w:t>
      </w:r>
    </w:p>
    <w:p w14:paraId="446D189C"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الحيطاوي، إسراء عبدالله غازي، ومحفوظ، شرين جلال، وضبش، شيماء عبدالرحمن، وبله، وفاء عبدالستار. (2021). تمكين ربة الأسرة وعلاقته بالرضا عن الحياة الأسرية. مجلة التصميم الدولية، 11(4)، 412-426.</w:t>
      </w:r>
    </w:p>
    <w:p w14:paraId="2855F68F"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الدبيخي، بشرى محمد. (2023). دور المرجعية الثقافية في تمكين المرأة بالمجتمع السعودي: تحليل محتوى. 59.</w:t>
      </w:r>
    </w:p>
    <w:p w14:paraId="04E09648"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رسلان، ميان واصل. (2017). العوامل المؤثرة في تولي المرأة للوظائف القيادية بالمنظمات العامة المصرية. رسالة دكتوراه غير منشورة، كلية الاقتصاد والعلوم السياسية، جامعة القاهرة.</w:t>
      </w:r>
    </w:p>
    <w:p w14:paraId="36F202D3"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الرشيدي، شيخة بنت ثاري النفعي. (2016). المتطلبات الأكاديمية المصاحبة للتمكين النسائي في الوظائف القيادية في جامعة حائل. دراسات عربية في التربية وعلم النفس، (69)، 185-212.</w:t>
      </w:r>
    </w:p>
    <w:p w14:paraId="7D633B1B"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رفاعي، عبير محمد عباس محمد. (2024). تمكين القيادات النسائية في مراكز صنع القرار: الآليات والتحديات - دراسة اجتماعية. المجلة العلمية لكلية الآداب، 13(5)، 1-65.</w:t>
      </w:r>
      <w:r>
        <w:rPr>
          <w:rFonts w:ascii="Times New Roman" w:hAnsi="Times New Roman"/>
        </w:rPr>
        <w:t xml:space="preserve"> DOI: 10.21608/artdau.2024.290610.1272</w:t>
      </w:r>
    </w:p>
    <w:p w14:paraId="62DF6E92"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الرفاعي، مالك سامي سعيد، والفايدي، ندى عليثه ناجي. (2020). قيادة المرأة السعودية وجودة الحياةفي ظل رؤية 2030. 1(4).</w:t>
      </w:r>
    </w:p>
    <w:p w14:paraId="30A1C94E"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الزايد، إبراهيم بن عبدالله. (2025). دليل الباحث إلى المنهجين الكمي والكيفي وأساليبهما في البحوث الاجتماعية. 8(1).</w:t>
      </w:r>
    </w:p>
    <w:p w14:paraId="49B48F40"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الزهراني، نجود رجب. (2017). التمكين الاجتماعي والاقتصادي للمرأة وأثره على المستوى المعيشي: دراسة وصفية على عينة من النساء السعوديات المنتجات لمشاريع صغيرة. رسالة ماجستير، كلية الآداب والعلوم الإنسانية، جامعة الملك عبد العزيز، جدة.</w:t>
      </w:r>
    </w:p>
    <w:p w14:paraId="2EE862E4"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الساعاتي، فاتن زهير أحمد، والعنقري، غادة عبدالرحمن. (2024). العلاقة بين أنماط القيادة النسائية والصحة التنظيمية. مجلة العلوم الاقتصادية والإدارية والقانونية، 8(5 ملحق)، 94-110.</w:t>
      </w:r>
      <w:r>
        <w:rPr>
          <w:rFonts w:ascii="Times New Roman" w:hAnsi="Times New Roman"/>
        </w:rPr>
        <w:t xml:space="preserve"> DOI: 10.26389/AJSRP.T011123</w:t>
      </w:r>
    </w:p>
    <w:p w14:paraId="24269A19"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lastRenderedPageBreak/>
        <w:t>شملاوي، حنان عطا، وسقف الحيط، نهيل إسماعيل. (2019). أثر تمكين المرأة في نسبة مشاركتها في القوى العاملة: دراسة تطبيقية على عينة من الدول العربية. مجلة جامعة الشارقة للعلوم الإنسانية والاجتماعية، 16(1A)، 1-25.</w:t>
      </w:r>
    </w:p>
    <w:p w14:paraId="77F27FAE"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العاجيب، آمنة طشحيل، وجواد، شوقي ناجي. (2020). التمكين وريادة الأعمال للمرأة في الأردن. المجلة العالمية للاقتصاد والأعمال، 9(1)، 166-183.</w:t>
      </w:r>
      <w:r>
        <w:rPr>
          <w:rFonts w:ascii="Times New Roman" w:hAnsi="Times New Roman"/>
        </w:rPr>
        <w:t xml:space="preserve"> DOI: 10.31559/GJEB2020.9.1.13</w:t>
      </w:r>
    </w:p>
    <w:p w14:paraId="2D1924CE"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العمري، وفاء بنت عبدالله فرحان. (2024). متطلبات تمكين القيادات الأكاديمية النسائية كآلية لتحقيق أهداف التنمية المستدامة بالمملكة العربية السعودية. العلوم التربوية، 32(1)، 95-121.</w:t>
      </w:r>
    </w:p>
    <w:p w14:paraId="38A5D092"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العنزي، حمود عايد جمعان. (2025). واقع تطوير أداء القيادات النسائية في الجامعات السعودية في ضوء مدخل التمكين الإداري من وجهة نظر القيادات الأكاديمية. مجلة العلوم التربوية والدراسات الإنسانية، (48)، 48-78.</w:t>
      </w:r>
      <w:r>
        <w:rPr>
          <w:rFonts w:ascii="Times New Roman" w:hAnsi="Times New Roman"/>
        </w:rPr>
        <w:t xml:space="preserve"> DOI: 10.55074/hesj.vi48.1474</w:t>
      </w:r>
    </w:p>
    <w:p w14:paraId="4C3F53CB"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الكبتي، أسماء أحمد. (2024). مقومات التمكين الإداري للمرأة الأكاديمية بالمناصب القيادية في جامعة بنغازي: كلية الآداب نموذجًا. مجلة كلية الآداب، (54).</w:t>
      </w:r>
      <w:r>
        <w:rPr>
          <w:rFonts w:ascii="Times New Roman" w:hAnsi="Times New Roman"/>
        </w:rPr>
        <w:t xml:space="preserve"> DOI: 10.37376/jofoa.vi54.6531</w:t>
      </w:r>
    </w:p>
    <w:p w14:paraId="347E7C05"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كشرود، شهيناز، ومرزوقي، عمر. (2019). التمكين الاقتصادي للمرأة الجزائرية: حق إنساني ورهان تنموي. مجلة الاجتهاد للدراسات القانونية والاقتصادية، 8(1)، 490-513.</w:t>
      </w:r>
    </w:p>
    <w:p w14:paraId="7368AD85"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الكعبي، سهام مطشر. (2020). تمكين المرأة: الفرص والتحديات. مجلة الفنون والأدب وعلوم الإنسانيات والاجتماع، (56)، 53-66.</w:t>
      </w:r>
      <w:r>
        <w:rPr>
          <w:rFonts w:ascii="Times New Roman" w:hAnsi="Times New Roman"/>
        </w:rPr>
        <w:t xml:space="preserve"> DOI: 10.33193/JALHSS.56.2020.159</w:t>
      </w:r>
    </w:p>
    <w:p w14:paraId="11D5C221"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اللحمدي، إيمان عمر. (2018). معوقات تمكين المرأة من حقوقها القانونية في الجمهورية اليمنية: دراسة سوسيولوجية عن المرأة في محافظة حضرموت. مجلة الأندلس للعلوم الإنسانية والاجتماعية، (19)، 93-122.</w:t>
      </w:r>
    </w:p>
    <w:p w14:paraId="50851460"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محمود، رنا هاشم. (2022). الثقافة التنظيمية ودورها في تمكين القيادة النسائية في مؤسسات القطاع الحكومي في اليمن: دراسة حالة المؤسسة العامة للاتصالات. مجلة الأندلس للعلوم الإنسانية والاجتماعية، 9(58)، 189-217.</w:t>
      </w:r>
      <w:r>
        <w:rPr>
          <w:rFonts w:ascii="Times New Roman" w:hAnsi="Times New Roman"/>
        </w:rPr>
        <w:t xml:space="preserve"> DOI: 10.35781/1637-000-058-006</w:t>
      </w:r>
    </w:p>
    <w:p w14:paraId="1C6B7D0C"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مخلوف، أسماء محمد السيد. (2020). التمكين الإداري لدى القيادات النسائية في جامعة جازان: دراسة ميدانية. مجلة التربية، 39(188، ج2)، 237-306.</w:t>
      </w:r>
      <w:r>
        <w:rPr>
          <w:rFonts w:ascii="Times New Roman" w:hAnsi="Times New Roman"/>
        </w:rPr>
        <w:t xml:space="preserve"> DOI: 10.21608/JSREP.2020.128664</w:t>
      </w:r>
    </w:p>
    <w:p w14:paraId="62A8E47D" w14:textId="77777777" w:rsidR="00BB754D" w:rsidRDefault="00777236">
      <w:pPr>
        <w:pStyle w:val="Bibliography"/>
        <w:bidi/>
        <w:spacing w:after="60" w:line="276" w:lineRule="auto"/>
        <w:jc w:val="both"/>
        <w:rPr>
          <w:rFonts w:ascii="Traditional Arabic" w:hAnsi="Traditional Arabic" w:cs="Traditional Arabic"/>
          <w:noProof/>
          <w:sz w:val="28"/>
          <w:szCs w:val="28"/>
        </w:rPr>
      </w:pPr>
      <w:r>
        <w:rPr>
          <w:rFonts w:ascii="Traditional Arabic" w:hAnsi="Traditional Arabic"/>
          <w:sz w:val="28"/>
          <w:rtl/>
        </w:rPr>
        <w:t>النعيم، لولوه عبدالحميد. (2024). دراسة المتغيرات الشخصية والاجتماعية المرتبطة بتمكين المرأة السعودية – دراسة ميدانية على عينة من النساء في مدينة الأحساء بالمملكة العربية السعودية. 1(8)، 117-134.</w:t>
      </w:r>
    </w:p>
    <w:p w14:paraId="045272EB" w14:textId="77777777" w:rsidR="00BB754D" w:rsidRDefault="00777236">
      <w:pPr>
        <w:pStyle w:val="Bibliography"/>
        <w:bidi/>
        <w:spacing w:after="60" w:line="276" w:lineRule="auto"/>
        <w:jc w:val="both"/>
        <w:rPr>
          <w:rFonts w:ascii="Times New Roman" w:hAnsi="Times New Roman"/>
        </w:rPr>
      </w:pPr>
      <w:r>
        <w:rPr>
          <w:rFonts w:ascii="Traditional Arabic" w:hAnsi="Traditional Arabic"/>
          <w:sz w:val="28"/>
          <w:rtl/>
        </w:rPr>
        <w:t>النقيب، هدى حسن علي إبراهيم. (2021). دور حكومة دولة الإمارات العربية المتحدة في تمكين المرأة في ظل ظروف جائحة كورونا: دراسة تطبيقية بإمارة الشارقة. الفكر الشرطي، 30(119).</w:t>
      </w:r>
      <w:r>
        <w:rPr>
          <w:rFonts w:ascii="Times New Roman" w:hAnsi="Times New Roman"/>
        </w:rPr>
        <w:t xml:space="preserve"> DOI: 10.12816/0058991</w:t>
      </w:r>
    </w:p>
    <w:p w14:paraId="6A0F5D3D" w14:textId="77777777" w:rsidR="00FA6B48" w:rsidRDefault="00FA6B48" w:rsidP="00FA6B48">
      <w:pPr>
        <w:bidi/>
      </w:pPr>
    </w:p>
    <w:p w14:paraId="6A78CC04" w14:textId="77777777" w:rsidR="00FA6B48" w:rsidRDefault="00FA6B48" w:rsidP="00FA6B48">
      <w:pPr>
        <w:bidi/>
      </w:pPr>
    </w:p>
    <w:p w14:paraId="3737B402" w14:textId="77777777" w:rsidR="00FA6B48" w:rsidRDefault="00FA6B48" w:rsidP="00FA6B48">
      <w:pPr>
        <w:bidi/>
      </w:pPr>
    </w:p>
    <w:p w14:paraId="6F01828C" w14:textId="77777777" w:rsidR="00FA6B48" w:rsidRDefault="00FA6B48" w:rsidP="00FA6B48">
      <w:pPr>
        <w:bidi/>
      </w:pPr>
    </w:p>
    <w:p w14:paraId="27FA1C30" w14:textId="77777777" w:rsidR="00FA6B48" w:rsidRDefault="00FA6B48" w:rsidP="00FA6B48">
      <w:pPr>
        <w:bidi/>
      </w:pPr>
    </w:p>
    <w:p w14:paraId="4118237F" w14:textId="77777777" w:rsidR="00FA6B48" w:rsidRDefault="00FA6B48" w:rsidP="00FA6B48">
      <w:pPr>
        <w:bidi/>
      </w:pPr>
    </w:p>
    <w:p w14:paraId="5616929B" w14:textId="77777777" w:rsidR="00FA6B48" w:rsidRDefault="00FA6B48" w:rsidP="00FA6B48">
      <w:pPr>
        <w:bidi/>
      </w:pPr>
    </w:p>
    <w:p w14:paraId="3B032B7C" w14:textId="77777777" w:rsidR="00FA6B48" w:rsidRDefault="00FA6B48" w:rsidP="00FA6B48">
      <w:pPr>
        <w:bidi/>
      </w:pPr>
    </w:p>
    <w:p w14:paraId="03A81276" w14:textId="77777777" w:rsidR="00FA6B48" w:rsidRDefault="00FA6B48" w:rsidP="00FA6B48">
      <w:pPr>
        <w:bidi/>
      </w:pPr>
    </w:p>
    <w:p w14:paraId="61D8E73F" w14:textId="77777777" w:rsidR="00FA6B48" w:rsidRDefault="00FA6B48" w:rsidP="00FA6B48">
      <w:pPr>
        <w:bidi/>
      </w:pPr>
    </w:p>
    <w:p w14:paraId="592C466F" w14:textId="77777777" w:rsidR="00FA6B48" w:rsidRDefault="00FA6B48" w:rsidP="00FA6B48">
      <w:pPr>
        <w:bidi/>
      </w:pPr>
    </w:p>
    <w:p w14:paraId="1296F568" w14:textId="77777777" w:rsidR="00FA6B48" w:rsidRDefault="00FA6B48" w:rsidP="00FA6B48">
      <w:pPr>
        <w:bidi/>
      </w:pPr>
    </w:p>
    <w:p w14:paraId="44514B88" w14:textId="77777777" w:rsidR="00FA6B48" w:rsidRPr="00FA6B48" w:rsidRDefault="00FA6B48" w:rsidP="00FA6B48">
      <w:pPr>
        <w:bidi/>
      </w:pPr>
    </w:p>
    <w:p w14:paraId="7DCB7572" w14:textId="77777777" w:rsidR="00BB754D" w:rsidRPr="007C5B13" w:rsidRDefault="00777236" w:rsidP="007C5B13">
      <w:pPr>
        <w:pStyle w:val="ListParagraph"/>
        <w:keepNext/>
        <w:widowControl/>
        <w:autoSpaceDE/>
        <w:autoSpaceDN/>
        <w:bidi/>
        <w:adjustRightInd/>
        <w:spacing w:before="240" w:after="120" w:line="278" w:lineRule="auto"/>
        <w:rPr>
          <w:rFonts w:ascii="Traditional Arabic" w:hAnsi="Traditional Arabic" w:cs="Traditional Arabic"/>
          <w:b/>
          <w:bCs/>
          <w:sz w:val="48"/>
          <w:szCs w:val="48"/>
          <w:rtl/>
          <w:lang w:bidi="ar-EG"/>
        </w:rPr>
      </w:pPr>
      <w:r w:rsidRPr="007C5B13">
        <w:rPr>
          <w:rFonts w:ascii="Traditional Arabic" w:hAnsi="Traditional Arabic" w:cs="Traditional Arabic"/>
          <w:b/>
          <w:bCs/>
          <w:sz w:val="48"/>
          <w:szCs w:val="32"/>
          <w:rtl/>
        </w:rPr>
        <w:lastRenderedPageBreak/>
        <w:t>المراجع الأجنبية:</w:t>
      </w:r>
    </w:p>
    <w:p w14:paraId="01659CD7"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Abdelaal</w:t>
      </w:r>
      <w:proofErr w:type="spellEnd"/>
      <w:r>
        <w:rPr>
          <w:rFonts w:ascii="Times New Roman" w:hAnsi="Times New Roman"/>
        </w:rPr>
        <w:t>, E. I. (2022). Economic Analysis of Women Empowerment in Agriculture Index (WEAI), a Comparative Study between some Egyptian Regions. 13(6).</w:t>
      </w:r>
    </w:p>
    <w:p w14:paraId="323E927D"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 xml:space="preserve">Aga, W. M. (2017). Assessment of Barriers Hindering Women from Upward Mobility to Leadership Positions and Stereotypes Against Them in District Education Offices of </w:t>
      </w:r>
      <w:proofErr w:type="spellStart"/>
      <w:r>
        <w:rPr>
          <w:rFonts w:ascii="Times New Roman" w:hAnsi="Times New Roman"/>
        </w:rPr>
        <w:t>Illu</w:t>
      </w:r>
      <w:proofErr w:type="spellEnd"/>
      <w:r>
        <w:rPr>
          <w:rFonts w:ascii="Times New Roman" w:hAnsi="Times New Roman"/>
        </w:rPr>
        <w:t xml:space="preserve"> Abba Bora Zone, South Western Ethiopia. 2(2). DOI: 10.11648/j.ijecs.20170202.12</w:t>
      </w:r>
    </w:p>
    <w:p w14:paraId="25868999"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Aldossari</w:t>
      </w:r>
      <w:proofErr w:type="spellEnd"/>
      <w:r>
        <w:rPr>
          <w:rFonts w:ascii="Times New Roman" w:hAnsi="Times New Roman"/>
        </w:rPr>
        <w:t>, M. (2023). Inclusion is in the Eye of the Beholder: A Relational Analysis of the Role of Gendered Moral Rationalities in Saudi Arabia. DOI: 10.1177/09500170231180823</w:t>
      </w:r>
    </w:p>
    <w:p w14:paraId="35597CCD"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Alghofaily</w:t>
      </w:r>
      <w:proofErr w:type="spellEnd"/>
      <w:r>
        <w:rPr>
          <w:rFonts w:ascii="Times New Roman" w:hAnsi="Times New Roman"/>
        </w:rPr>
        <w:t>, L. (2019). WOMEN LEADERSHIP IN HIGHER EDUCATION IN SAUDI ARABIA.</w:t>
      </w:r>
    </w:p>
    <w:p w14:paraId="451587DF"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ALHARBI, M. M. (2022). Kingdom Vision 2030 and the Women’s Empowerment in Saudi Arabia: An Empirical Investigation.</w:t>
      </w:r>
    </w:p>
    <w:p w14:paraId="660A4B77"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Almutarie</w:t>
      </w:r>
      <w:proofErr w:type="spellEnd"/>
      <w:r>
        <w:rPr>
          <w:rFonts w:ascii="Times New Roman" w:hAnsi="Times New Roman"/>
        </w:rPr>
        <w:t>, A. O. (2025). Joining the Workforce, Saudi Women and Vision 2030.</w:t>
      </w:r>
    </w:p>
    <w:p w14:paraId="33FE0779"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Alnajim</w:t>
      </w:r>
      <w:proofErr w:type="spellEnd"/>
      <w:r>
        <w:rPr>
          <w:rFonts w:ascii="Times New Roman" w:hAnsi="Times New Roman"/>
        </w:rPr>
        <w:t>, A. (2024). The Role and Impact of Saudi Vision 2030 in Leadership Development. 3(1).</w:t>
      </w:r>
    </w:p>
    <w:p w14:paraId="33716E5F"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 xml:space="preserve">Al Samman, A. M., Khalifa, M., &amp; </w:t>
      </w:r>
      <w:proofErr w:type="spellStart"/>
      <w:r>
        <w:rPr>
          <w:rFonts w:ascii="Times New Roman" w:hAnsi="Times New Roman"/>
        </w:rPr>
        <w:t>Abdelsaheb</w:t>
      </w:r>
      <w:proofErr w:type="spellEnd"/>
      <w:r>
        <w:rPr>
          <w:rFonts w:ascii="Times New Roman" w:hAnsi="Times New Roman"/>
        </w:rPr>
        <w:t>, M. (2021). Societal and cultural barriers impact on woman's contribution in the private service sector. Academy of Strategic Management Journal, 20(3), 1-12.</w:t>
      </w:r>
    </w:p>
    <w:p w14:paraId="21A3FBF2"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Alsuwaidan</w:t>
      </w:r>
      <w:proofErr w:type="spellEnd"/>
      <w:r>
        <w:rPr>
          <w:rFonts w:ascii="Times New Roman" w:hAnsi="Times New Roman"/>
        </w:rPr>
        <w:t>, L. (2024). Saudi Working Women’s Perceptions of Leadership Challenges in The Light of Saudi Vision 2030. 2(1).</w:t>
      </w:r>
    </w:p>
    <w:p w14:paraId="2B0526B1"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Alzaaqi</w:t>
      </w:r>
      <w:proofErr w:type="spellEnd"/>
      <w:r>
        <w:rPr>
          <w:rFonts w:ascii="Times New Roman" w:hAnsi="Times New Roman"/>
        </w:rPr>
        <w:t>, S. M. (2025). Empowering Women in the Saudi Health Sector: Challenges, Opportunities, and Policy Interventions.</w:t>
      </w:r>
    </w:p>
    <w:p w14:paraId="7FAA1B7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Authors. (2020). The Status of Women in Leadership.</w:t>
      </w:r>
    </w:p>
    <w:p w14:paraId="3BED2CF4"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Bakr, M. B. (2022). Women and leadership: Challenges to women empowerment in academic leadership roles in Saudi Arabia. 6(2).</w:t>
      </w:r>
    </w:p>
    <w:p w14:paraId="14E25C71"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Bishop, J. D. (2022). The Female Leadership Gap: Breaking Down the Barriers and Biases of Women in Leadership.</w:t>
      </w:r>
    </w:p>
    <w:p w14:paraId="4B011FAF"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Cáceres</w:t>
      </w:r>
      <w:proofErr w:type="spellEnd"/>
      <w:r>
        <w:rPr>
          <w:rFonts w:ascii="Times New Roman" w:hAnsi="Times New Roman"/>
        </w:rPr>
        <w:t>, E. J. (2025). Economic factors influencing the empowerment of Peruvian women.</w:t>
      </w:r>
    </w:p>
    <w:p w14:paraId="0529651A"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Chanda, T. C. (2024). Women in Leadership: Examining Barriers to Women's Advancement in Leadership Positions.</w:t>
      </w:r>
    </w:p>
    <w:p w14:paraId="201858D6"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Clifton, S. M. (2019). Mathematical model of gender bias and homophily in professional hierarchies.</w:t>
      </w:r>
    </w:p>
    <w:p w14:paraId="6114BAA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Elbushra</w:t>
      </w:r>
      <w:proofErr w:type="spellEnd"/>
      <w:r>
        <w:rPr>
          <w:rFonts w:ascii="Times New Roman" w:hAnsi="Times New Roman"/>
        </w:rPr>
        <w:t>, A. A. (2025). Nexus of Women’s Empowerment and Economic Growth in Saudi Arabia. 17(17).</w:t>
      </w:r>
    </w:p>
    <w:p w14:paraId="734A2369"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Elneel</w:t>
      </w:r>
      <w:proofErr w:type="spellEnd"/>
      <w:r>
        <w:rPr>
          <w:rFonts w:ascii="Times New Roman" w:hAnsi="Times New Roman"/>
        </w:rPr>
        <w:t>, F. A. (2023). Socio-Economic Factors and Women's Empowerment: The Mediation Role of Training/Skill Development.</w:t>
      </w:r>
    </w:p>
    <w:p w14:paraId="7E3D658E"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lastRenderedPageBreak/>
        <w:t>Galsanjigmed</w:t>
      </w:r>
      <w:proofErr w:type="spellEnd"/>
      <w:r>
        <w:rPr>
          <w:rFonts w:ascii="Times New Roman" w:hAnsi="Times New Roman"/>
        </w:rPr>
        <w:t>, E. (2023). Challenges Women Experience in Leadership Careers: An Integrative Review.</w:t>
      </w:r>
    </w:p>
    <w:p w14:paraId="146E06E1"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Ghamdi</w:t>
      </w:r>
      <w:proofErr w:type="spellEnd"/>
      <w:r>
        <w:rPr>
          <w:rFonts w:ascii="Times New Roman" w:hAnsi="Times New Roman"/>
        </w:rPr>
        <w:t>, A. M. (2016). The Empowerment of Academic Women Leaders at Saudi Universities and Its Relationship to Their Administrative Creativity.</w:t>
      </w:r>
    </w:p>
    <w:p w14:paraId="5C0A96D1"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Hassan, O. H. (2022). The Impact of Women’s Empowerment on Their Entrepreneurship Intention in the Saudi Food Industry. 15(12).</w:t>
      </w:r>
    </w:p>
    <w:p w14:paraId="1D48A8C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Hoque, M. S. (2022). Leadership Behaviors of Women Entrepreneurs in SME Sector of Bangladesh.</w:t>
      </w:r>
    </w:p>
    <w:p w14:paraId="0780378F"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Ibrahim, W. A. (2021). Women's Empowerment: A study of the origins of the concept, its international mechanisms, and the national structures concerned with its implementation. 6(12).</w:t>
      </w:r>
    </w:p>
    <w:p w14:paraId="5CE02B2F"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Jendia</w:t>
      </w:r>
      <w:proofErr w:type="spellEnd"/>
      <w:r>
        <w:rPr>
          <w:rFonts w:ascii="Times New Roman" w:hAnsi="Times New Roman"/>
        </w:rPr>
        <w:t>, C. (2019). The Culture Factor in Women’s Empowerment in Leadership.</w:t>
      </w:r>
    </w:p>
    <w:p w14:paraId="1EE599C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Kalaitzi</w:t>
      </w:r>
      <w:proofErr w:type="spellEnd"/>
      <w:r>
        <w:rPr>
          <w:rFonts w:ascii="Times New Roman" w:hAnsi="Times New Roman"/>
        </w:rPr>
        <w:t xml:space="preserve">, S., </w:t>
      </w:r>
      <w:proofErr w:type="spellStart"/>
      <w:r>
        <w:rPr>
          <w:rFonts w:ascii="Times New Roman" w:hAnsi="Times New Roman"/>
        </w:rPr>
        <w:t>Czabanowska</w:t>
      </w:r>
      <w:proofErr w:type="spellEnd"/>
      <w:r>
        <w:rPr>
          <w:rFonts w:ascii="Times New Roman" w:hAnsi="Times New Roman"/>
        </w:rPr>
        <w:t xml:space="preserve">, K., Azzopardi-Muscat, N., </w:t>
      </w:r>
      <w:proofErr w:type="spellStart"/>
      <w:r>
        <w:rPr>
          <w:rFonts w:ascii="Times New Roman" w:hAnsi="Times New Roman"/>
        </w:rPr>
        <w:t>Cuschieri</w:t>
      </w:r>
      <w:proofErr w:type="spellEnd"/>
      <w:r>
        <w:rPr>
          <w:rFonts w:ascii="Times New Roman" w:hAnsi="Times New Roman"/>
        </w:rPr>
        <w:t xml:space="preserve">, L., </w:t>
      </w:r>
      <w:proofErr w:type="spellStart"/>
      <w:r>
        <w:rPr>
          <w:rFonts w:ascii="Times New Roman" w:hAnsi="Times New Roman"/>
        </w:rPr>
        <w:t>Petelos</w:t>
      </w:r>
      <w:proofErr w:type="spellEnd"/>
      <w:r>
        <w:rPr>
          <w:rFonts w:ascii="Times New Roman" w:hAnsi="Times New Roman"/>
        </w:rPr>
        <w:t xml:space="preserve">, E., </w:t>
      </w:r>
      <w:proofErr w:type="spellStart"/>
      <w:r>
        <w:rPr>
          <w:rFonts w:ascii="Times New Roman" w:hAnsi="Times New Roman"/>
        </w:rPr>
        <w:t>Papadakaki</w:t>
      </w:r>
      <w:proofErr w:type="spellEnd"/>
      <w:r>
        <w:rPr>
          <w:rFonts w:ascii="Times New Roman" w:hAnsi="Times New Roman"/>
        </w:rPr>
        <w:t xml:space="preserve">, M., &amp; </w:t>
      </w:r>
      <w:proofErr w:type="spellStart"/>
      <w:r>
        <w:rPr>
          <w:rFonts w:ascii="Times New Roman" w:hAnsi="Times New Roman"/>
        </w:rPr>
        <w:t>Babich</w:t>
      </w:r>
      <w:proofErr w:type="spellEnd"/>
      <w:r>
        <w:rPr>
          <w:rFonts w:ascii="Times New Roman" w:hAnsi="Times New Roman"/>
        </w:rPr>
        <w:t>, S. (2019). Women, healthcare leadership and societal culture: A qualitative study. Journal of Healthcare Leadership, 11, 43-59. DOI: 10.2147/JHL.S194733</w:t>
      </w:r>
    </w:p>
    <w:p w14:paraId="6949D3EA"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Kalsoom</w:t>
      </w:r>
      <w:proofErr w:type="spellEnd"/>
      <w:r>
        <w:rPr>
          <w:rFonts w:ascii="Times New Roman" w:hAnsi="Times New Roman"/>
        </w:rPr>
        <w:t>, U. (2024). Women Empowerment and Combating Gender Inequality: University Leaders’ Role. 5(2).</w:t>
      </w:r>
    </w:p>
    <w:p w14:paraId="5053A9AC"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Kattan</w:t>
      </w:r>
      <w:proofErr w:type="spellEnd"/>
      <w:r>
        <w:rPr>
          <w:rFonts w:ascii="Times New Roman" w:hAnsi="Times New Roman"/>
        </w:rPr>
        <w:t>, M. (2016). Factors of Successful Women Leadership in Saudi Arabia. 12(5).</w:t>
      </w:r>
    </w:p>
    <w:p w14:paraId="34A11A61"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Labbé, J. (2025). Choices or constraints: decoding financial empowerment among women entrepreneurs in France.</w:t>
      </w:r>
    </w:p>
    <w:p w14:paraId="237DCE7C"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Latorre</w:t>
      </w:r>
      <w:proofErr w:type="spellEnd"/>
      <w:r>
        <w:rPr>
          <w:rFonts w:ascii="Times New Roman" w:hAnsi="Times New Roman"/>
        </w:rPr>
        <w:t>, F. (2025). Do transformational leaders reduce the barriers women face in accessing managerial positions? The moderating role of leaders’ gender. DOI: 10.1007/s12144-025-08127-w</w:t>
      </w:r>
    </w:p>
    <w:p w14:paraId="2C673D52"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Lwamba</w:t>
      </w:r>
      <w:proofErr w:type="spellEnd"/>
      <w:r>
        <w:rPr>
          <w:rFonts w:ascii="Times New Roman" w:hAnsi="Times New Roman"/>
        </w:rPr>
        <w:t>, E. (2022). Strengthening women's empowerment and gender equality in fragile contexts towards peaceful and inclusive societies: A systematic review and meta‐analysis.</w:t>
      </w:r>
    </w:p>
    <w:p w14:paraId="0FA83734"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Mahmoud, F. S. (2024). A Strategic Approach to Empowerment and Improving Educational Quality: Women's Leadership in Higher Education Institutions.</w:t>
      </w:r>
    </w:p>
    <w:p w14:paraId="435A7326"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Manal, K. (2024). Factors of Successful Women Leadership in Saudi Arabia.</w:t>
      </w:r>
    </w:p>
    <w:p w14:paraId="0000478F"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Mengstie</w:t>
      </w:r>
      <w:proofErr w:type="spellEnd"/>
      <w:r>
        <w:rPr>
          <w:rFonts w:ascii="Times New Roman" w:hAnsi="Times New Roman"/>
        </w:rPr>
        <w:t>, B. (2022). Impact of microfinance on women’s economic empowerment. DOI: 10.1186/s13731-022-00250-3</w:t>
      </w:r>
    </w:p>
    <w:p w14:paraId="25C5E8C1"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Meza-Mejia, M. d. (2023). Women and Leadership in Higher Education: A Systematic Review. 12(10).</w:t>
      </w:r>
    </w:p>
    <w:p w14:paraId="347F099C"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Mohammed, M. (2020). The Economic Empowerment of Saudi Women in the Light of Saudi Vision 2030.</w:t>
      </w:r>
    </w:p>
    <w:p w14:paraId="08A0709B"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Moshashai</w:t>
      </w:r>
      <w:proofErr w:type="spellEnd"/>
      <w:r>
        <w:rPr>
          <w:rFonts w:ascii="Times New Roman" w:hAnsi="Times New Roman"/>
        </w:rPr>
        <w:t>, D. (2018). Saudi Arabia plans for its economic future: Vision 2030, the National Transformation Plan and Saudi fiscal reform.</w:t>
      </w:r>
    </w:p>
    <w:p w14:paraId="0E0C9000"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lastRenderedPageBreak/>
        <w:t xml:space="preserve">Musallam, A. H. (2021). The Role </w:t>
      </w:r>
      <w:proofErr w:type="gramStart"/>
      <w:r>
        <w:rPr>
          <w:rFonts w:ascii="Times New Roman" w:hAnsi="Times New Roman"/>
        </w:rPr>
        <w:t>Of</w:t>
      </w:r>
      <w:proofErr w:type="gramEnd"/>
      <w:r>
        <w:rPr>
          <w:rFonts w:ascii="Times New Roman" w:hAnsi="Times New Roman"/>
        </w:rPr>
        <w:t xml:space="preserve"> Culture In The Effects Of Entrepreneurial Orientation And Religiosity On Business Performance Among Women Entrepreneurs In The Kingdom Of Saudi Arabia. 27(5).</w:t>
      </w:r>
    </w:p>
    <w:p w14:paraId="12FD117E"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Mutair</w:t>
      </w:r>
      <w:proofErr w:type="spellEnd"/>
      <w:r>
        <w:rPr>
          <w:rFonts w:ascii="Times New Roman" w:hAnsi="Times New Roman"/>
        </w:rPr>
        <w:t>, A. A. (2023). Saudi women’s leadership experiences in the healthcare sector: A qualitative study.</w:t>
      </w:r>
    </w:p>
    <w:p w14:paraId="1194B8D0"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Muthuswamy, V. V. (2025). The impact of cultural and organizational factors on gender diversity in leadership: A governance perspective in Saudi public organizations. 21(2).</w:t>
      </w:r>
    </w:p>
    <w:p w14:paraId="1182B338"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Nguyen-Duc, A. (2017). Female Leadership in Software Projects: A Preliminary Result on Leadership Style and Project Context Factors.</w:t>
      </w:r>
    </w:p>
    <w:p w14:paraId="5E2232E6"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Parveen, M. (2023). Reflection of Saudi Women’s Participation and Leadership: A Study on the Gender Differences in Leadership and Structural Barriers. 15(2).</w:t>
      </w:r>
    </w:p>
    <w:p w14:paraId="61078D4D"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Ruiyao</w:t>
      </w:r>
      <w:proofErr w:type="spellEnd"/>
      <w:r>
        <w:rPr>
          <w:rFonts w:ascii="Times New Roman" w:hAnsi="Times New Roman"/>
        </w:rPr>
        <w:t>, M. (2023). The Impact of Female Leadership Style on Team Creativity in Rising English Education Group in China.</w:t>
      </w:r>
    </w:p>
    <w:p w14:paraId="79C4A473"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r>
        <w:rPr>
          <w:rFonts w:ascii="Times New Roman" w:hAnsi="Times New Roman"/>
        </w:rPr>
        <w:t>Sahni, S. (2025). Gendered differences and strategies for work-life balance: Systematic review based on social ecological framework perspective.</w:t>
      </w:r>
    </w:p>
    <w:p w14:paraId="07E5DC0C" w14:textId="77777777" w:rsidR="00BB754D" w:rsidRDefault="00777236">
      <w:pPr>
        <w:pStyle w:val="Bibliography"/>
        <w:spacing w:after="60" w:line="276" w:lineRule="auto"/>
        <w:ind w:left="720" w:hanging="720"/>
        <w:rPr>
          <w:rFonts w:ascii="Traditional Arabic" w:hAnsi="Traditional Arabic" w:cs="Traditional Arabic"/>
          <w:noProof/>
          <w:sz w:val="28"/>
          <w:szCs w:val="28"/>
        </w:rPr>
      </w:pPr>
      <w:proofErr w:type="spellStart"/>
      <w:r>
        <w:rPr>
          <w:rFonts w:ascii="Times New Roman" w:hAnsi="Times New Roman"/>
        </w:rPr>
        <w:t>Teyeb</w:t>
      </w:r>
      <w:proofErr w:type="spellEnd"/>
      <w:r>
        <w:rPr>
          <w:rFonts w:ascii="Times New Roman" w:hAnsi="Times New Roman"/>
        </w:rPr>
        <w:t>, A. (2022). Digitization and Economic Empowerment of Arab Women: Challenges and Stakes. 2(1).</w:t>
      </w:r>
    </w:p>
    <w:p w14:paraId="18376D09" w14:textId="77777777" w:rsidR="00BB754D" w:rsidRDefault="00777236">
      <w:pPr>
        <w:pStyle w:val="Bibliography"/>
        <w:spacing w:after="60" w:line="276" w:lineRule="auto"/>
        <w:ind w:left="720" w:hanging="720"/>
        <w:rPr>
          <w:rFonts w:ascii="Times New Roman" w:hAnsi="Times New Roman"/>
        </w:rPr>
      </w:pPr>
      <w:r>
        <w:rPr>
          <w:rFonts w:ascii="Times New Roman" w:hAnsi="Times New Roman"/>
        </w:rPr>
        <w:t>Zhang, C. (2024). Shaping and Empowerment of Female Strategic Leadership: An Inclusive Analysis in Leadership Equality. 7(2).</w:t>
      </w:r>
    </w:p>
    <w:p w14:paraId="215EC059" w14:textId="77777777" w:rsidR="007C5B13" w:rsidRDefault="007C5B13" w:rsidP="007C5B13"/>
    <w:p w14:paraId="4B05D426" w14:textId="77777777" w:rsidR="007C5B13" w:rsidRDefault="00155B17" w:rsidP="007C5B13">
      <w:pPr>
        <w:rPr>
          <w:rFonts w:asciiTheme="majorBidi" w:hAnsiTheme="majorBidi" w:cstheme="majorBidi"/>
          <w:sz w:val="24"/>
          <w:szCs w:val="24"/>
        </w:rPr>
      </w:pPr>
      <w:r w:rsidRPr="00155B17">
        <w:rPr>
          <w:rFonts w:asciiTheme="majorBidi" w:hAnsiTheme="majorBidi" w:cstheme="majorBidi"/>
          <w:sz w:val="24"/>
          <w:szCs w:val="24"/>
        </w:rPr>
        <w:t xml:space="preserve">Alghamdi, D., &amp; Donne, V. J. (2026). Saudi women’s stories: Building leadership. Gender in Management: An International Journal, 41(4), 705–723. </w:t>
      </w:r>
      <w:hyperlink r:id="rId15" w:history="1">
        <w:r w:rsidRPr="00BB6FFD">
          <w:rPr>
            <w:rStyle w:val="Hyperlink"/>
            <w:rFonts w:asciiTheme="majorBidi" w:hAnsiTheme="majorBidi" w:cstheme="majorBidi"/>
            <w:sz w:val="24"/>
            <w:szCs w:val="24"/>
          </w:rPr>
          <w:t>https://doi.org/10.1108/GM-10-2024-0571</w:t>
        </w:r>
      </w:hyperlink>
    </w:p>
    <w:p w14:paraId="39A88A06" w14:textId="77777777" w:rsidR="00155B17" w:rsidRDefault="00155B17" w:rsidP="007C5B13">
      <w:pPr>
        <w:rPr>
          <w:rFonts w:asciiTheme="majorBidi" w:hAnsiTheme="majorBidi" w:cstheme="majorBidi"/>
          <w:sz w:val="24"/>
          <w:szCs w:val="24"/>
        </w:rPr>
      </w:pPr>
    </w:p>
    <w:p w14:paraId="11C3E851" w14:textId="77777777" w:rsidR="007C5B13" w:rsidRPr="007C5B13" w:rsidRDefault="00155B17" w:rsidP="00155B17">
      <w:pPr>
        <w:rPr>
          <w:rFonts w:asciiTheme="majorBidi" w:hAnsiTheme="majorBidi" w:cstheme="majorBidi"/>
          <w:sz w:val="24"/>
          <w:szCs w:val="24"/>
        </w:rPr>
      </w:pPr>
      <w:proofErr w:type="spellStart"/>
      <w:r w:rsidRPr="00155B17">
        <w:rPr>
          <w:rFonts w:asciiTheme="majorBidi" w:hAnsiTheme="majorBidi" w:cstheme="majorBidi"/>
          <w:sz w:val="24"/>
          <w:szCs w:val="24"/>
        </w:rPr>
        <w:t>Asfahani</w:t>
      </w:r>
      <w:proofErr w:type="spellEnd"/>
      <w:r w:rsidRPr="00155B17">
        <w:rPr>
          <w:rFonts w:asciiTheme="majorBidi" w:hAnsiTheme="majorBidi" w:cstheme="majorBidi"/>
          <w:sz w:val="24"/>
          <w:szCs w:val="24"/>
        </w:rPr>
        <w:t xml:space="preserve">, A. M., </w:t>
      </w:r>
      <w:proofErr w:type="spellStart"/>
      <w:r w:rsidRPr="00155B17">
        <w:rPr>
          <w:rFonts w:asciiTheme="majorBidi" w:hAnsiTheme="majorBidi" w:cstheme="majorBidi"/>
          <w:sz w:val="24"/>
          <w:szCs w:val="24"/>
        </w:rPr>
        <w:t>Eskandarany</w:t>
      </w:r>
      <w:proofErr w:type="spellEnd"/>
      <w:r w:rsidRPr="00155B17">
        <w:rPr>
          <w:rFonts w:asciiTheme="majorBidi" w:hAnsiTheme="majorBidi" w:cstheme="majorBidi"/>
          <w:sz w:val="24"/>
          <w:szCs w:val="24"/>
        </w:rPr>
        <w:t xml:space="preserve">, A., &amp; Dahlan, D. A. (2025). The impact of Saudi Vision 2030 on female leadership: Mediating effects of professional development and moderating influences of cultural dynamics. Gender in Management: An International Journal, 40(8), 951–972. </w:t>
      </w:r>
      <w:hyperlink r:id="rId16" w:history="1">
        <w:r w:rsidRPr="00BB6FFD">
          <w:rPr>
            <w:rStyle w:val="Hyperlink"/>
            <w:rFonts w:asciiTheme="majorBidi" w:hAnsiTheme="majorBidi" w:cstheme="majorBidi"/>
            <w:sz w:val="24"/>
            <w:szCs w:val="24"/>
          </w:rPr>
          <w:t>https://doi.org/10.1108/GM-03-2024-0129</w:t>
        </w:r>
      </w:hyperlink>
      <w:r>
        <w:rPr>
          <w:rFonts w:asciiTheme="majorBidi" w:hAnsiTheme="majorBidi" w:cstheme="majorBidi"/>
          <w:sz w:val="24"/>
          <w:szCs w:val="24"/>
        </w:rPr>
        <w:t xml:space="preserve"> </w:t>
      </w:r>
    </w:p>
    <w:sectPr w:rsidR="007C5B13" w:rsidRPr="007C5B13" w:rsidSect="00FC2A25">
      <w:headerReference w:type="default" r:id="rId17"/>
      <w:footerReference w:type="default" r:id="rId18"/>
      <w:pgSz w:w="11906" w:h="16838"/>
      <w:pgMar w:top="1440" w:right="1440" w:bottom="1440" w:left="1440" w:header="648" w:footer="64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66AAD" w14:textId="77777777" w:rsidR="004C0017" w:rsidRDefault="004C0017" w:rsidP="00295A13">
      <w:r>
        <w:separator/>
      </w:r>
    </w:p>
  </w:endnote>
  <w:endnote w:type="continuationSeparator" w:id="0">
    <w:p w14:paraId="5F1C3440" w14:textId="77777777" w:rsidR="004C0017" w:rsidRDefault="004C0017" w:rsidP="00295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pitch w:val="variable"/>
    <w:sig w:usb0="00000003" w:usb1="00000000" w:usb2="00000000" w:usb3="00000000" w:csb0="00000001" w:csb1="00000000"/>
  </w:font>
  <w:font w:name="Microsoft Uighur">
    <w:panose1 w:val="02000000000000000000"/>
    <w:charset w:val="00"/>
    <w:family w:val="auto"/>
    <w:pitch w:val="variable"/>
    <w:sig w:usb0="8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5064871"/>
      <w:docPartObj>
        <w:docPartGallery w:val="Page Numbers (Bottom of Page)"/>
        <w:docPartUnique/>
      </w:docPartObj>
    </w:sdtPr>
    <w:sdtEndPr>
      <w:rPr>
        <w:noProof/>
      </w:rPr>
    </w:sdtEndPr>
    <w:sdtContent>
      <w:p w14:paraId="42172201" w14:textId="77777777" w:rsidR="00B70967" w:rsidRDefault="00B709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05E40" w14:textId="633B8B5C" w:rsidR="00B70967" w:rsidRDefault="00B70967">
    <w:pPr>
      <w:pStyle w:val="Footer"/>
      <w:bidi/>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76B3E" w14:textId="77777777" w:rsidR="004C0017" w:rsidRDefault="004C0017" w:rsidP="00295A13">
      <w:r>
        <w:separator/>
      </w:r>
    </w:p>
  </w:footnote>
  <w:footnote w:type="continuationSeparator" w:id="0">
    <w:p w14:paraId="5887A356" w14:textId="77777777" w:rsidR="004C0017" w:rsidRDefault="004C0017" w:rsidP="00295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36620" w14:textId="7E5E3A76" w:rsidR="002F2EAD" w:rsidRDefault="002F2EAD">
    <w:pPr>
      <w:pStyle w:val="Header"/>
      <w:bidi/>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BBC"/>
    <w:multiLevelType w:val="multilevel"/>
    <w:tmpl w:val="97F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92257"/>
    <w:multiLevelType w:val="multilevel"/>
    <w:tmpl w:val="5AA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40809"/>
    <w:multiLevelType w:val="multilevel"/>
    <w:tmpl w:val="CE9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B2878"/>
    <w:multiLevelType w:val="multilevel"/>
    <w:tmpl w:val="7770A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6E0B83"/>
    <w:multiLevelType w:val="multilevel"/>
    <w:tmpl w:val="B94658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E0DC7"/>
    <w:multiLevelType w:val="multilevel"/>
    <w:tmpl w:val="C0F4D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D13AA"/>
    <w:multiLevelType w:val="multilevel"/>
    <w:tmpl w:val="06A64C9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31442CB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D61B9"/>
    <w:multiLevelType w:val="hybridMultilevel"/>
    <w:tmpl w:val="9AE0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72271"/>
    <w:multiLevelType w:val="hybridMultilevel"/>
    <w:tmpl w:val="04DCC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C66567"/>
    <w:multiLevelType w:val="multilevel"/>
    <w:tmpl w:val="BAE4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740EFA"/>
    <w:multiLevelType w:val="multilevel"/>
    <w:tmpl w:val="765E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E63A7"/>
    <w:multiLevelType w:val="hybridMultilevel"/>
    <w:tmpl w:val="A5D4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715EE6"/>
    <w:multiLevelType w:val="multilevel"/>
    <w:tmpl w:val="06648B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D43E90"/>
    <w:multiLevelType w:val="multilevel"/>
    <w:tmpl w:val="A528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FA190F"/>
    <w:multiLevelType w:val="hybridMultilevel"/>
    <w:tmpl w:val="FFFFFFFF"/>
    <w:lvl w:ilvl="0" w:tplc="9AC063D0">
      <w:start w:val="1"/>
      <w:numFmt w:val="bullet"/>
      <w:pStyle w:val="a"/>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AB12A3"/>
    <w:multiLevelType w:val="multilevel"/>
    <w:tmpl w:val="1638C5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8"/>
  </w:num>
  <w:num w:numId="3">
    <w:abstractNumId w:val="18"/>
  </w:num>
  <w:num w:numId="4">
    <w:abstractNumId w:val="1"/>
  </w:num>
  <w:num w:numId="5">
    <w:abstractNumId w:val="0"/>
  </w:num>
  <w:num w:numId="6">
    <w:abstractNumId w:val="15"/>
  </w:num>
  <w:num w:numId="7">
    <w:abstractNumId w:val="14"/>
  </w:num>
  <w:num w:numId="8">
    <w:abstractNumId w:val="5"/>
  </w:num>
  <w:num w:numId="9">
    <w:abstractNumId w:val="3"/>
  </w:num>
  <w:num w:numId="10">
    <w:abstractNumId w:val="4"/>
  </w:num>
  <w:num w:numId="11">
    <w:abstractNumId w:val="20"/>
  </w:num>
  <w:num w:numId="12">
    <w:abstractNumId w:val="6"/>
  </w:num>
  <w:num w:numId="13">
    <w:abstractNumId w:val="16"/>
  </w:num>
  <w:num w:numId="14">
    <w:abstractNumId w:val="9"/>
  </w:num>
  <w:num w:numId="15">
    <w:abstractNumId w:val="7"/>
  </w:num>
  <w:num w:numId="16">
    <w:abstractNumId w:val="17"/>
  </w:num>
  <w:num w:numId="17">
    <w:abstractNumId w:val="13"/>
  </w:num>
  <w:num w:numId="18">
    <w:abstractNumId w:val="11"/>
  </w:num>
  <w:num w:numId="19">
    <w:abstractNumId w:val="12"/>
  </w:num>
  <w:num w:numId="20">
    <w:abstractNumId w:val="2"/>
  </w:num>
  <w:num w:numId="21">
    <w:abstractNumId w:val="1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3B"/>
    <w:rsid w:val="000028C8"/>
    <w:rsid w:val="000112F1"/>
    <w:rsid w:val="000124EC"/>
    <w:rsid w:val="000304FD"/>
    <w:rsid w:val="00040040"/>
    <w:rsid w:val="000569E5"/>
    <w:rsid w:val="00082A33"/>
    <w:rsid w:val="000A4E1C"/>
    <w:rsid w:val="000B2E5F"/>
    <w:rsid w:val="000C7C3F"/>
    <w:rsid w:val="000E4EA4"/>
    <w:rsid w:val="000F1210"/>
    <w:rsid w:val="000F5B59"/>
    <w:rsid w:val="00101277"/>
    <w:rsid w:val="00101CFA"/>
    <w:rsid w:val="00106478"/>
    <w:rsid w:val="001114BD"/>
    <w:rsid w:val="00125EE3"/>
    <w:rsid w:val="00155B17"/>
    <w:rsid w:val="00165F53"/>
    <w:rsid w:val="001719AF"/>
    <w:rsid w:val="00172AD9"/>
    <w:rsid w:val="001806C9"/>
    <w:rsid w:val="0018370C"/>
    <w:rsid w:val="001A3637"/>
    <w:rsid w:val="001B0578"/>
    <w:rsid w:val="001C3709"/>
    <w:rsid w:val="001E1585"/>
    <w:rsid w:val="001E77DD"/>
    <w:rsid w:val="001F5D7D"/>
    <w:rsid w:val="002119D4"/>
    <w:rsid w:val="00223C32"/>
    <w:rsid w:val="00227C82"/>
    <w:rsid w:val="002317BD"/>
    <w:rsid w:val="00250358"/>
    <w:rsid w:val="00274F33"/>
    <w:rsid w:val="0027583A"/>
    <w:rsid w:val="00295A13"/>
    <w:rsid w:val="002A0217"/>
    <w:rsid w:val="002D0890"/>
    <w:rsid w:val="002F2714"/>
    <w:rsid w:val="002F2EAD"/>
    <w:rsid w:val="00312036"/>
    <w:rsid w:val="003135C1"/>
    <w:rsid w:val="0036120F"/>
    <w:rsid w:val="00362E75"/>
    <w:rsid w:val="00380316"/>
    <w:rsid w:val="00383D0D"/>
    <w:rsid w:val="003872C1"/>
    <w:rsid w:val="003A4FE4"/>
    <w:rsid w:val="003A729D"/>
    <w:rsid w:val="003B55AE"/>
    <w:rsid w:val="003C50B0"/>
    <w:rsid w:val="003E50D1"/>
    <w:rsid w:val="003E7512"/>
    <w:rsid w:val="003F0AF1"/>
    <w:rsid w:val="00406A13"/>
    <w:rsid w:val="00411BC6"/>
    <w:rsid w:val="00437642"/>
    <w:rsid w:val="00437DE2"/>
    <w:rsid w:val="00442B69"/>
    <w:rsid w:val="00463743"/>
    <w:rsid w:val="004C0017"/>
    <w:rsid w:val="004D2518"/>
    <w:rsid w:val="004D2EA7"/>
    <w:rsid w:val="004D2ED8"/>
    <w:rsid w:val="004E18AF"/>
    <w:rsid w:val="004F1D02"/>
    <w:rsid w:val="004F7268"/>
    <w:rsid w:val="004F77C3"/>
    <w:rsid w:val="00502B45"/>
    <w:rsid w:val="00504888"/>
    <w:rsid w:val="0050708F"/>
    <w:rsid w:val="00513AE4"/>
    <w:rsid w:val="00515167"/>
    <w:rsid w:val="00526268"/>
    <w:rsid w:val="005424C7"/>
    <w:rsid w:val="0054289D"/>
    <w:rsid w:val="00543C18"/>
    <w:rsid w:val="0055603F"/>
    <w:rsid w:val="00560D63"/>
    <w:rsid w:val="00570A59"/>
    <w:rsid w:val="00586EBE"/>
    <w:rsid w:val="005A4B29"/>
    <w:rsid w:val="005B7291"/>
    <w:rsid w:val="005C1C25"/>
    <w:rsid w:val="005C236A"/>
    <w:rsid w:val="005D06F8"/>
    <w:rsid w:val="005D519D"/>
    <w:rsid w:val="005E20C3"/>
    <w:rsid w:val="006256CF"/>
    <w:rsid w:val="00627571"/>
    <w:rsid w:val="006337D1"/>
    <w:rsid w:val="00651B8B"/>
    <w:rsid w:val="00655B49"/>
    <w:rsid w:val="0069176C"/>
    <w:rsid w:val="00695747"/>
    <w:rsid w:val="00695D75"/>
    <w:rsid w:val="006B1BA7"/>
    <w:rsid w:val="006C033F"/>
    <w:rsid w:val="006D12F1"/>
    <w:rsid w:val="006E7590"/>
    <w:rsid w:val="006F1358"/>
    <w:rsid w:val="006F6583"/>
    <w:rsid w:val="0071746D"/>
    <w:rsid w:val="00720622"/>
    <w:rsid w:val="00720A14"/>
    <w:rsid w:val="00724DA0"/>
    <w:rsid w:val="00764AC3"/>
    <w:rsid w:val="00770E86"/>
    <w:rsid w:val="00777236"/>
    <w:rsid w:val="00783732"/>
    <w:rsid w:val="007B2906"/>
    <w:rsid w:val="007C5B13"/>
    <w:rsid w:val="007F6B37"/>
    <w:rsid w:val="008105D5"/>
    <w:rsid w:val="008140DB"/>
    <w:rsid w:val="00824885"/>
    <w:rsid w:val="00830357"/>
    <w:rsid w:val="00833EDE"/>
    <w:rsid w:val="00850CCB"/>
    <w:rsid w:val="0085499B"/>
    <w:rsid w:val="00864232"/>
    <w:rsid w:val="008655DC"/>
    <w:rsid w:val="00866ADF"/>
    <w:rsid w:val="00872B56"/>
    <w:rsid w:val="008929F6"/>
    <w:rsid w:val="008976C1"/>
    <w:rsid w:val="008B1FFD"/>
    <w:rsid w:val="008B3B58"/>
    <w:rsid w:val="008B54B5"/>
    <w:rsid w:val="008F4B6A"/>
    <w:rsid w:val="008F57DA"/>
    <w:rsid w:val="00910630"/>
    <w:rsid w:val="00921F54"/>
    <w:rsid w:val="009331A2"/>
    <w:rsid w:val="00934CB1"/>
    <w:rsid w:val="00952454"/>
    <w:rsid w:val="0097743A"/>
    <w:rsid w:val="0099682F"/>
    <w:rsid w:val="009A003D"/>
    <w:rsid w:val="009A10FE"/>
    <w:rsid w:val="009B4533"/>
    <w:rsid w:val="009D4304"/>
    <w:rsid w:val="009D6FDA"/>
    <w:rsid w:val="00A205B3"/>
    <w:rsid w:val="00A20C6A"/>
    <w:rsid w:val="00A31279"/>
    <w:rsid w:val="00A37FE2"/>
    <w:rsid w:val="00A45CCD"/>
    <w:rsid w:val="00A94DA1"/>
    <w:rsid w:val="00AA53F7"/>
    <w:rsid w:val="00AA6B88"/>
    <w:rsid w:val="00AB232A"/>
    <w:rsid w:val="00AB2B2E"/>
    <w:rsid w:val="00AC3F47"/>
    <w:rsid w:val="00AD1CE1"/>
    <w:rsid w:val="00AD326D"/>
    <w:rsid w:val="00AD63E8"/>
    <w:rsid w:val="00AE5651"/>
    <w:rsid w:val="00AF19F0"/>
    <w:rsid w:val="00AF5365"/>
    <w:rsid w:val="00B05B32"/>
    <w:rsid w:val="00B21EC8"/>
    <w:rsid w:val="00B27B8B"/>
    <w:rsid w:val="00B325E4"/>
    <w:rsid w:val="00B420BD"/>
    <w:rsid w:val="00B550E6"/>
    <w:rsid w:val="00B70967"/>
    <w:rsid w:val="00B80D8C"/>
    <w:rsid w:val="00B80DE3"/>
    <w:rsid w:val="00B85995"/>
    <w:rsid w:val="00BA42AB"/>
    <w:rsid w:val="00BB754D"/>
    <w:rsid w:val="00BC2ECE"/>
    <w:rsid w:val="00BC4E97"/>
    <w:rsid w:val="00BC6322"/>
    <w:rsid w:val="00BE62D5"/>
    <w:rsid w:val="00BE7F28"/>
    <w:rsid w:val="00BF3C13"/>
    <w:rsid w:val="00C2023D"/>
    <w:rsid w:val="00C210D5"/>
    <w:rsid w:val="00C31B5D"/>
    <w:rsid w:val="00C37580"/>
    <w:rsid w:val="00C37F6D"/>
    <w:rsid w:val="00C62D38"/>
    <w:rsid w:val="00C8329D"/>
    <w:rsid w:val="00C905E6"/>
    <w:rsid w:val="00C9584B"/>
    <w:rsid w:val="00C967EA"/>
    <w:rsid w:val="00CB7E4C"/>
    <w:rsid w:val="00CE00E1"/>
    <w:rsid w:val="00CE0C3E"/>
    <w:rsid w:val="00CE3031"/>
    <w:rsid w:val="00D220D3"/>
    <w:rsid w:val="00D44EA3"/>
    <w:rsid w:val="00D531C1"/>
    <w:rsid w:val="00DC2AB9"/>
    <w:rsid w:val="00DC49BB"/>
    <w:rsid w:val="00DC51D7"/>
    <w:rsid w:val="00DE1327"/>
    <w:rsid w:val="00DE4EA2"/>
    <w:rsid w:val="00DF0AA9"/>
    <w:rsid w:val="00E060FD"/>
    <w:rsid w:val="00E07244"/>
    <w:rsid w:val="00E1182D"/>
    <w:rsid w:val="00E16EC7"/>
    <w:rsid w:val="00E46874"/>
    <w:rsid w:val="00E4793C"/>
    <w:rsid w:val="00E60CED"/>
    <w:rsid w:val="00E71233"/>
    <w:rsid w:val="00E76590"/>
    <w:rsid w:val="00E768A4"/>
    <w:rsid w:val="00E853D0"/>
    <w:rsid w:val="00E87103"/>
    <w:rsid w:val="00E922C7"/>
    <w:rsid w:val="00E968AC"/>
    <w:rsid w:val="00ED593B"/>
    <w:rsid w:val="00F27351"/>
    <w:rsid w:val="00F3241D"/>
    <w:rsid w:val="00F47563"/>
    <w:rsid w:val="00F539FB"/>
    <w:rsid w:val="00F66693"/>
    <w:rsid w:val="00F66A33"/>
    <w:rsid w:val="00F91271"/>
    <w:rsid w:val="00F91F35"/>
    <w:rsid w:val="00F9626D"/>
    <w:rsid w:val="00FA2B4E"/>
    <w:rsid w:val="00FA6B48"/>
    <w:rsid w:val="00FC2A25"/>
    <w:rsid w:val="00FD489D"/>
    <w:rsid w:val="00FD70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9A65E8"/>
  <w14:defaultImageDpi w14:val="0"/>
  <w15:docId w15:val="{A9139FBC-EB48-492E-A2AA-ACEA6A38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Heading1">
    <w:name w:val="heading 1"/>
    <w:basedOn w:val="Normal"/>
    <w:next w:val="Normal"/>
    <w:link w:val="Heading1Char"/>
    <w:uiPriority w:val="9"/>
    <w:qFormat/>
    <w:pPr>
      <w:outlineLvl w:val="0"/>
    </w:pPr>
    <w:rPr>
      <w:b/>
      <w:bCs/>
      <w:sz w:val="32"/>
      <w:szCs w:val="32"/>
    </w:rPr>
  </w:style>
  <w:style w:type="paragraph" w:styleId="Heading2">
    <w:name w:val="heading 2"/>
    <w:basedOn w:val="Normal"/>
    <w:next w:val="Normal"/>
    <w:link w:val="Heading2Char"/>
    <w:uiPriority w:val="99"/>
    <w:qFormat/>
    <w:pPr>
      <w:outlineLvl w:val="1"/>
    </w:pPr>
    <w:rPr>
      <w:b/>
      <w:bCs/>
      <w:i/>
      <w:iCs/>
      <w:sz w:val="28"/>
      <w:szCs w:val="28"/>
    </w:rPr>
  </w:style>
  <w:style w:type="paragraph" w:styleId="Heading3">
    <w:name w:val="heading 3"/>
    <w:basedOn w:val="Normal"/>
    <w:next w:val="Normal"/>
    <w:link w:val="Heading3Char"/>
    <w:uiPriority w:val="99"/>
    <w:qFormat/>
    <w:pPr>
      <w:outlineLvl w:val="2"/>
    </w:pPr>
    <w:rPr>
      <w:b/>
      <w:bCs/>
      <w:sz w:val="26"/>
      <w:szCs w:val="26"/>
    </w:rPr>
  </w:style>
  <w:style w:type="paragraph" w:styleId="Heading4">
    <w:name w:val="heading 4"/>
    <w:basedOn w:val="Normal"/>
    <w:next w:val="Normal"/>
    <w:link w:val="Heading4Char"/>
    <w:uiPriority w:val="9"/>
    <w:semiHidden/>
    <w:unhideWhenUsed/>
    <w:qFormat/>
    <w:rsid w:val="00560D63"/>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60D63"/>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60D63"/>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60D63"/>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60D63"/>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60D63"/>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9"/>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9"/>
    <w:rPr>
      <w:rFonts w:asciiTheme="majorHAnsi" w:eastAsiaTheme="majorEastAsia" w:hAnsiTheme="majorHAnsi" w:cs="Times New Roman"/>
      <w:b/>
      <w:bCs/>
      <w:sz w:val="26"/>
      <w:szCs w:val="26"/>
    </w:rPr>
  </w:style>
  <w:style w:type="paragraph" w:styleId="Caption">
    <w:name w:val="caption"/>
    <w:basedOn w:val="Normal"/>
    <w:next w:val="Normal"/>
    <w:uiPriority w:val="35"/>
    <w:unhideWhenUsed/>
    <w:qFormat/>
    <w:rsid w:val="00ED593B"/>
    <w:rPr>
      <w:rFonts w:ascii="Calibri" w:hAnsi="Calibri" w:cs="Calibri"/>
      <w:b/>
      <w:bCs/>
      <w:sz w:val="22"/>
      <w:szCs w:val="20"/>
    </w:rPr>
  </w:style>
  <w:style w:type="paragraph" w:customStyle="1" w:styleId="a">
    <w:name w:val="عنوان"/>
    <w:basedOn w:val="Normal"/>
    <w:link w:val="Char"/>
    <w:uiPriority w:val="99"/>
    <w:qFormat/>
    <w:rsid w:val="00B420BD"/>
    <w:pPr>
      <w:numPr>
        <w:numId w:val="1"/>
      </w:numPr>
      <w:bidi/>
      <w:spacing w:line="360" w:lineRule="auto"/>
      <w:jc w:val="both"/>
    </w:pPr>
    <w:rPr>
      <w:rFonts w:ascii="Traditional Arabic" w:hAnsi="Traditional Arabic" w:cs="Traditional Arabic"/>
      <w:b/>
      <w:bCs/>
      <w:sz w:val="28"/>
      <w:szCs w:val="28"/>
    </w:rPr>
  </w:style>
  <w:style w:type="character" w:customStyle="1" w:styleId="Char">
    <w:name w:val="عنوان Char"/>
    <w:basedOn w:val="DefaultParagraphFont"/>
    <w:link w:val="a"/>
    <w:uiPriority w:val="99"/>
    <w:rsid w:val="00B420BD"/>
    <w:rPr>
      <w:rFonts w:ascii="Traditional Arabic" w:hAnsi="Traditional Arabic" w:cs="Traditional Arabic"/>
      <w:b/>
      <w:bCs/>
      <w:color w:val="000000"/>
      <w:kern w:val="0"/>
      <w:sz w:val="28"/>
      <w:szCs w:val="28"/>
    </w:rPr>
  </w:style>
  <w:style w:type="paragraph" w:customStyle="1" w:styleId="a0">
    <w:name w:val="فقرة"/>
    <w:basedOn w:val="a"/>
    <w:link w:val="Char0"/>
    <w:uiPriority w:val="99"/>
    <w:qFormat/>
    <w:rsid w:val="00526268"/>
    <w:pPr>
      <w:numPr>
        <w:numId w:val="0"/>
      </w:numPr>
    </w:pPr>
    <w:rPr>
      <w:b w:val="0"/>
      <w:bCs w:val="0"/>
    </w:rPr>
  </w:style>
  <w:style w:type="character" w:customStyle="1" w:styleId="Char0">
    <w:name w:val="فقرة Char"/>
    <w:basedOn w:val="Char"/>
    <w:link w:val="a0"/>
    <w:uiPriority w:val="99"/>
    <w:rsid w:val="00526268"/>
    <w:rPr>
      <w:rFonts w:ascii="Traditional Arabic" w:hAnsi="Traditional Arabic" w:cs="Traditional Arabic"/>
      <w:b w:val="0"/>
      <w:bCs w:val="0"/>
      <w:color w:val="000000"/>
      <w:kern w:val="0"/>
      <w:sz w:val="28"/>
      <w:szCs w:val="28"/>
    </w:rPr>
  </w:style>
  <w:style w:type="paragraph" w:styleId="Header">
    <w:name w:val="header"/>
    <w:basedOn w:val="Normal"/>
    <w:link w:val="HeaderChar"/>
    <w:uiPriority w:val="99"/>
    <w:unhideWhenUsed/>
    <w:rsid w:val="00295A13"/>
    <w:pPr>
      <w:tabs>
        <w:tab w:val="center" w:pos="4680"/>
        <w:tab w:val="right" w:pos="9360"/>
      </w:tabs>
    </w:pPr>
  </w:style>
  <w:style w:type="character" w:customStyle="1" w:styleId="HeaderChar">
    <w:name w:val="Header Char"/>
    <w:basedOn w:val="DefaultParagraphFont"/>
    <w:link w:val="Header"/>
    <w:uiPriority w:val="99"/>
    <w:rsid w:val="00295A13"/>
    <w:rPr>
      <w:rFonts w:ascii="Courier New" w:hAnsi="Courier New" w:cs="Courier New"/>
      <w:color w:val="000000"/>
      <w:kern w:val="0"/>
      <w:sz w:val="18"/>
      <w:szCs w:val="18"/>
    </w:rPr>
  </w:style>
  <w:style w:type="paragraph" w:styleId="Footer">
    <w:name w:val="footer"/>
    <w:basedOn w:val="Normal"/>
    <w:link w:val="FooterChar"/>
    <w:uiPriority w:val="99"/>
    <w:unhideWhenUsed/>
    <w:rsid w:val="00295A13"/>
    <w:pPr>
      <w:tabs>
        <w:tab w:val="center" w:pos="4680"/>
        <w:tab w:val="right" w:pos="9360"/>
      </w:tabs>
    </w:pPr>
  </w:style>
  <w:style w:type="character" w:customStyle="1" w:styleId="FooterChar">
    <w:name w:val="Footer Char"/>
    <w:basedOn w:val="DefaultParagraphFont"/>
    <w:link w:val="Footer"/>
    <w:uiPriority w:val="99"/>
    <w:rsid w:val="00295A13"/>
    <w:rPr>
      <w:rFonts w:ascii="Courier New" w:hAnsi="Courier New" w:cs="Courier New"/>
      <w:color w:val="000000"/>
      <w:kern w:val="0"/>
      <w:sz w:val="18"/>
      <w:szCs w:val="18"/>
    </w:rPr>
  </w:style>
  <w:style w:type="paragraph" w:styleId="NormalWeb">
    <w:name w:val="Normal (Web)"/>
    <w:basedOn w:val="Normal"/>
    <w:uiPriority w:val="99"/>
    <w:unhideWhenUsed/>
    <w:rsid w:val="00627571"/>
    <w:pPr>
      <w:widowControl/>
      <w:autoSpaceDE/>
      <w:autoSpaceDN/>
      <w:adjustRightInd/>
      <w:spacing w:before="100" w:beforeAutospacing="1" w:after="100" w:afterAutospacing="1"/>
    </w:pPr>
    <w:rPr>
      <w:rFonts w:ascii="Times New Roman" w:hAnsi="Times New Roman" w:cs="Times New Roman"/>
      <w:color w:val="auto"/>
      <w:sz w:val="24"/>
      <w:szCs w:val="24"/>
    </w:rPr>
  </w:style>
  <w:style w:type="character" w:customStyle="1" w:styleId="citation-447">
    <w:name w:val="citation-447"/>
    <w:basedOn w:val="DefaultParagraphFont"/>
    <w:rsid w:val="000F1210"/>
    <w:rPr>
      <w:rFonts w:cs="Times New Roman"/>
    </w:rPr>
  </w:style>
  <w:style w:type="character" w:customStyle="1" w:styleId="citation-446">
    <w:name w:val="citation-446"/>
    <w:basedOn w:val="DefaultParagraphFont"/>
    <w:rsid w:val="000F1210"/>
    <w:rPr>
      <w:rFonts w:cs="Times New Roman"/>
    </w:rPr>
  </w:style>
  <w:style w:type="character" w:customStyle="1" w:styleId="citation-445">
    <w:name w:val="citation-445"/>
    <w:basedOn w:val="DefaultParagraphFont"/>
    <w:rsid w:val="000F1210"/>
    <w:rPr>
      <w:rFonts w:cs="Times New Roman"/>
    </w:rPr>
  </w:style>
  <w:style w:type="character" w:customStyle="1" w:styleId="citation-444">
    <w:name w:val="citation-444"/>
    <w:basedOn w:val="DefaultParagraphFont"/>
    <w:rsid w:val="000F1210"/>
    <w:rPr>
      <w:rFonts w:cs="Times New Roman"/>
    </w:rPr>
  </w:style>
  <w:style w:type="character" w:customStyle="1" w:styleId="citation-443">
    <w:name w:val="citation-443"/>
    <w:basedOn w:val="DefaultParagraphFont"/>
    <w:rsid w:val="000F1210"/>
    <w:rPr>
      <w:rFonts w:cs="Times New Roman"/>
    </w:rPr>
  </w:style>
  <w:style w:type="character" w:customStyle="1" w:styleId="citation-442">
    <w:name w:val="citation-442"/>
    <w:basedOn w:val="DefaultParagraphFont"/>
    <w:rsid w:val="000F1210"/>
    <w:rPr>
      <w:rFonts w:cs="Times New Roman"/>
    </w:rPr>
  </w:style>
  <w:style w:type="character" w:customStyle="1" w:styleId="citation-441">
    <w:name w:val="citation-441"/>
    <w:basedOn w:val="DefaultParagraphFont"/>
    <w:rsid w:val="000F1210"/>
    <w:rPr>
      <w:rFonts w:cs="Times New Roman"/>
    </w:rPr>
  </w:style>
  <w:style w:type="character" w:customStyle="1" w:styleId="citation-440">
    <w:name w:val="citation-440"/>
    <w:basedOn w:val="DefaultParagraphFont"/>
    <w:rsid w:val="000F1210"/>
    <w:rPr>
      <w:rFonts w:cs="Times New Roman"/>
    </w:rPr>
  </w:style>
  <w:style w:type="character" w:customStyle="1" w:styleId="citation-619">
    <w:name w:val="citation-619"/>
    <w:basedOn w:val="DefaultParagraphFont"/>
    <w:rsid w:val="00910630"/>
    <w:rPr>
      <w:rFonts w:cs="Times New Roman"/>
    </w:rPr>
  </w:style>
  <w:style w:type="character" w:customStyle="1" w:styleId="citation-618">
    <w:name w:val="citation-618"/>
    <w:basedOn w:val="DefaultParagraphFont"/>
    <w:rsid w:val="00910630"/>
    <w:rPr>
      <w:rFonts w:cs="Times New Roman"/>
    </w:rPr>
  </w:style>
  <w:style w:type="character" w:customStyle="1" w:styleId="citation-617">
    <w:name w:val="citation-617"/>
    <w:basedOn w:val="DefaultParagraphFont"/>
    <w:rsid w:val="00910630"/>
    <w:rPr>
      <w:rFonts w:cs="Times New Roman"/>
    </w:rPr>
  </w:style>
  <w:style w:type="character" w:customStyle="1" w:styleId="citation-616">
    <w:name w:val="citation-616"/>
    <w:basedOn w:val="DefaultParagraphFont"/>
    <w:rsid w:val="00910630"/>
    <w:rPr>
      <w:rFonts w:cs="Times New Roman"/>
    </w:rPr>
  </w:style>
  <w:style w:type="character" w:customStyle="1" w:styleId="citation-615">
    <w:name w:val="citation-615"/>
    <w:basedOn w:val="DefaultParagraphFont"/>
    <w:rsid w:val="00910630"/>
    <w:rPr>
      <w:rFonts w:cs="Times New Roman"/>
    </w:rPr>
  </w:style>
  <w:style w:type="character" w:customStyle="1" w:styleId="citation-614">
    <w:name w:val="citation-614"/>
    <w:basedOn w:val="DefaultParagraphFont"/>
    <w:rsid w:val="00910630"/>
    <w:rPr>
      <w:rFonts w:cs="Times New Roman"/>
    </w:rPr>
  </w:style>
  <w:style w:type="character" w:customStyle="1" w:styleId="citation-613">
    <w:name w:val="citation-613"/>
    <w:basedOn w:val="DefaultParagraphFont"/>
    <w:rsid w:val="00910630"/>
    <w:rPr>
      <w:rFonts w:cs="Times New Roman"/>
    </w:rPr>
  </w:style>
  <w:style w:type="character" w:customStyle="1" w:styleId="citation-612">
    <w:name w:val="citation-612"/>
    <w:basedOn w:val="DefaultParagraphFont"/>
    <w:rsid w:val="00910630"/>
    <w:rPr>
      <w:rFonts w:cs="Times New Roman"/>
    </w:rPr>
  </w:style>
  <w:style w:type="character" w:customStyle="1" w:styleId="citation-611">
    <w:name w:val="citation-611"/>
    <w:basedOn w:val="DefaultParagraphFont"/>
    <w:rsid w:val="00910630"/>
    <w:rPr>
      <w:rFonts w:cs="Times New Roman"/>
    </w:rPr>
  </w:style>
  <w:style w:type="character" w:customStyle="1" w:styleId="citation-610">
    <w:name w:val="citation-610"/>
    <w:basedOn w:val="DefaultParagraphFont"/>
    <w:rsid w:val="00910630"/>
    <w:rPr>
      <w:rFonts w:cs="Times New Roman"/>
    </w:rPr>
  </w:style>
  <w:style w:type="character" w:customStyle="1" w:styleId="citation-609">
    <w:name w:val="citation-609"/>
    <w:basedOn w:val="DefaultParagraphFont"/>
    <w:rsid w:val="00910630"/>
    <w:rPr>
      <w:rFonts w:cs="Times New Roman"/>
    </w:rPr>
  </w:style>
  <w:style w:type="character" w:customStyle="1" w:styleId="citation-608">
    <w:name w:val="citation-608"/>
    <w:basedOn w:val="DefaultParagraphFont"/>
    <w:rsid w:val="00910630"/>
    <w:rPr>
      <w:rFonts w:cs="Times New Roman"/>
    </w:rPr>
  </w:style>
  <w:style w:type="character" w:customStyle="1" w:styleId="citation-607">
    <w:name w:val="citation-607"/>
    <w:basedOn w:val="DefaultParagraphFont"/>
    <w:rsid w:val="00910630"/>
    <w:rPr>
      <w:rFonts w:cs="Times New Roman"/>
    </w:rPr>
  </w:style>
  <w:style w:type="character" w:customStyle="1" w:styleId="citation-606">
    <w:name w:val="citation-606"/>
    <w:basedOn w:val="DefaultParagraphFont"/>
    <w:rsid w:val="00910630"/>
    <w:rPr>
      <w:rFonts w:cs="Times New Roman"/>
    </w:rPr>
  </w:style>
  <w:style w:type="character" w:customStyle="1" w:styleId="citation-605">
    <w:name w:val="citation-605"/>
    <w:basedOn w:val="DefaultParagraphFont"/>
    <w:rsid w:val="00910630"/>
    <w:rPr>
      <w:rFonts w:cs="Times New Roman"/>
    </w:rPr>
  </w:style>
  <w:style w:type="table" w:styleId="TableGrid">
    <w:name w:val="Table Grid"/>
    <w:basedOn w:val="TableNormal"/>
    <w:uiPriority w:val="39"/>
    <w:rsid w:val="00C967EA"/>
    <w:pPr>
      <w:spacing w:after="0" w:line="240" w:lineRule="auto"/>
    </w:pPr>
    <w:rPr>
      <w:rFonts w:eastAsiaTheme="minorHAnsi" w:cstheme="minorBidi"/>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CCB"/>
    <w:pPr>
      <w:ind w:left="720"/>
      <w:contextualSpacing/>
    </w:pPr>
    <w:rPr>
      <w14:ligatures w14:val="standardContextual"/>
    </w:rPr>
  </w:style>
  <w:style w:type="character" w:customStyle="1" w:styleId="ListParagraphChar">
    <w:name w:val="List Paragraph Char"/>
    <w:basedOn w:val="DefaultParagraphFont"/>
    <w:link w:val="ListParagraph"/>
    <w:uiPriority w:val="34"/>
    <w:rsid w:val="00850CCB"/>
    <w:rPr>
      <w:rFonts w:ascii="Courier New" w:hAnsi="Courier New" w:cs="Courier New"/>
      <w:color w:val="000000"/>
      <w:kern w:val="0"/>
      <w:sz w:val="18"/>
      <w:szCs w:val="18"/>
      <w14:ligatures w14:val="standardContextual"/>
    </w:rPr>
  </w:style>
  <w:style w:type="paragraph" w:styleId="Bibliography">
    <w:name w:val="Bibliography"/>
    <w:basedOn w:val="Normal"/>
    <w:next w:val="Normal"/>
    <w:uiPriority w:val="37"/>
    <w:unhideWhenUsed/>
    <w:rsid w:val="00AF19F0"/>
    <w:pPr>
      <w:widowControl/>
      <w:autoSpaceDE/>
      <w:autoSpaceDN/>
      <w:adjustRightInd/>
      <w:spacing w:after="160" w:line="278" w:lineRule="auto"/>
    </w:pPr>
    <w:rPr>
      <w:rFonts w:asciiTheme="minorHAnsi" w:eastAsiaTheme="minorHAnsi" w:hAnsiTheme="minorHAnsi" w:cstheme="minorBidi"/>
      <w:color w:val="auto"/>
      <w:kern w:val="2"/>
      <w:sz w:val="24"/>
      <w:szCs w:val="24"/>
      <w14:ligatures w14:val="standardContextual"/>
    </w:rPr>
  </w:style>
  <w:style w:type="table" w:styleId="GridTable6Colorful">
    <w:name w:val="Grid Table 6 Colorful"/>
    <w:basedOn w:val="TableNormal"/>
    <w:uiPriority w:val="51"/>
    <w:rsid w:val="00AF19F0"/>
    <w:pPr>
      <w:spacing w:after="0" w:line="240" w:lineRule="auto"/>
    </w:pPr>
    <w:rPr>
      <w:rFonts w:eastAsiaTheme="minorHAnsi" w:cstheme="minorBidi"/>
      <w:color w:val="000000" w:themeColor="text1"/>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560D63"/>
    <w:rPr>
      <w:rFonts w:eastAsiaTheme="majorEastAsia" w:cstheme="majorBidi"/>
      <w:i/>
      <w:iCs/>
      <w:color w:val="0F4761" w:themeColor="accent1" w:themeShade="BF"/>
      <w14:ligatures w14:val="standardContextual"/>
    </w:rPr>
  </w:style>
  <w:style w:type="character" w:customStyle="1" w:styleId="Heading5Char">
    <w:name w:val="Heading 5 Char"/>
    <w:basedOn w:val="DefaultParagraphFont"/>
    <w:link w:val="Heading5"/>
    <w:uiPriority w:val="9"/>
    <w:semiHidden/>
    <w:rsid w:val="00560D63"/>
    <w:rPr>
      <w:rFonts w:eastAsiaTheme="majorEastAsia" w:cstheme="majorBidi"/>
      <w:color w:val="0F4761" w:themeColor="accent1" w:themeShade="BF"/>
      <w14:ligatures w14:val="standardContextual"/>
    </w:rPr>
  </w:style>
  <w:style w:type="character" w:customStyle="1" w:styleId="Heading6Char">
    <w:name w:val="Heading 6 Char"/>
    <w:basedOn w:val="DefaultParagraphFont"/>
    <w:link w:val="Heading6"/>
    <w:uiPriority w:val="9"/>
    <w:semiHidden/>
    <w:rsid w:val="00560D63"/>
    <w:rPr>
      <w:rFonts w:eastAsiaTheme="majorEastAsia"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560D63"/>
    <w:rPr>
      <w:rFonts w:eastAsiaTheme="majorEastAsia"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560D63"/>
    <w:rPr>
      <w:rFonts w:eastAsiaTheme="majorEastAsia"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560D63"/>
    <w:rPr>
      <w:rFonts w:eastAsiaTheme="majorEastAsia" w:cstheme="majorBidi"/>
      <w:color w:val="272727" w:themeColor="text1" w:themeTint="D8"/>
      <w14:ligatures w14:val="standardContextual"/>
    </w:rPr>
  </w:style>
  <w:style w:type="paragraph" w:styleId="Subtitle">
    <w:name w:val="Subtitle"/>
    <w:basedOn w:val="Normal"/>
    <w:next w:val="Normal"/>
    <w:link w:val="SubtitleChar"/>
    <w:autoRedefine/>
    <w:uiPriority w:val="11"/>
    <w:qFormat/>
    <w:rsid w:val="00560D63"/>
    <w:pPr>
      <w:widowControl/>
      <w:numPr>
        <w:ilvl w:val="1"/>
      </w:numPr>
      <w:autoSpaceDE/>
      <w:autoSpaceDN/>
      <w:adjustRightInd/>
      <w:spacing w:after="160" w:line="259" w:lineRule="auto"/>
      <w:jc w:val="right"/>
    </w:pPr>
    <w:rPr>
      <w:rFonts w:ascii="Sakkal Majalla" w:eastAsiaTheme="majorEastAsia" w:hAnsi="Sakkal Majalla" w:cstheme="majorBidi"/>
      <w:color w:val="000000" w:themeColor="text1"/>
      <w:spacing w:val="15"/>
      <w:kern w:val="2"/>
      <w:sz w:val="28"/>
      <w:szCs w:val="28"/>
      <w14:ligatures w14:val="standardContextual"/>
    </w:rPr>
  </w:style>
  <w:style w:type="character" w:customStyle="1" w:styleId="SubtitleChar">
    <w:name w:val="Subtitle Char"/>
    <w:basedOn w:val="DefaultParagraphFont"/>
    <w:link w:val="Subtitle"/>
    <w:uiPriority w:val="11"/>
    <w:rsid w:val="00560D63"/>
    <w:rPr>
      <w:rFonts w:ascii="Sakkal Majalla" w:eastAsiaTheme="majorEastAsia" w:hAnsi="Sakkal Majalla" w:cstheme="majorBidi"/>
      <w:color w:val="000000" w:themeColor="text1"/>
      <w:spacing w:val="15"/>
      <w:sz w:val="28"/>
      <w:szCs w:val="28"/>
      <w14:ligatures w14:val="standardContextual"/>
    </w:rPr>
  </w:style>
  <w:style w:type="paragraph" w:styleId="Title">
    <w:name w:val="Title"/>
    <w:basedOn w:val="Normal"/>
    <w:next w:val="Normal"/>
    <w:link w:val="TitleChar"/>
    <w:uiPriority w:val="10"/>
    <w:qFormat/>
    <w:rsid w:val="00560D63"/>
    <w:pPr>
      <w:widowControl/>
      <w:autoSpaceDE/>
      <w:autoSpaceDN/>
      <w:adjustRightInd/>
      <w:spacing w:after="8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560D63"/>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560D63"/>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60D63"/>
    <w:rPr>
      <w:rFonts w:eastAsiaTheme="minorHAnsi" w:cstheme="minorBidi"/>
      <w:i/>
      <w:iCs/>
      <w:color w:val="404040" w:themeColor="text1" w:themeTint="BF"/>
      <w14:ligatures w14:val="standardContextual"/>
    </w:rPr>
  </w:style>
  <w:style w:type="character" w:styleId="IntenseEmphasis">
    <w:name w:val="Intense Emphasis"/>
    <w:basedOn w:val="DefaultParagraphFont"/>
    <w:uiPriority w:val="21"/>
    <w:qFormat/>
    <w:rsid w:val="00560D63"/>
    <w:rPr>
      <w:i/>
      <w:iCs/>
      <w:color w:val="0F4761" w:themeColor="accent1" w:themeShade="BF"/>
    </w:rPr>
  </w:style>
  <w:style w:type="paragraph" w:styleId="IntenseQuote">
    <w:name w:val="Intense Quote"/>
    <w:basedOn w:val="Normal"/>
    <w:next w:val="Normal"/>
    <w:link w:val="IntenseQuoteChar"/>
    <w:uiPriority w:val="30"/>
    <w:qFormat/>
    <w:rsid w:val="00560D63"/>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60D63"/>
    <w:rPr>
      <w:rFonts w:eastAsiaTheme="minorHAnsi" w:cstheme="minorBidi"/>
      <w:i/>
      <w:iCs/>
      <w:color w:val="0F4761" w:themeColor="accent1" w:themeShade="BF"/>
      <w14:ligatures w14:val="standardContextual"/>
    </w:rPr>
  </w:style>
  <w:style w:type="character" w:styleId="IntenseReference">
    <w:name w:val="Intense Reference"/>
    <w:basedOn w:val="DefaultParagraphFont"/>
    <w:uiPriority w:val="32"/>
    <w:qFormat/>
    <w:rsid w:val="00560D63"/>
    <w:rPr>
      <w:b/>
      <w:bCs/>
      <w:smallCaps/>
      <w:color w:val="0F4761" w:themeColor="accent1" w:themeShade="BF"/>
      <w:spacing w:val="5"/>
    </w:rPr>
  </w:style>
  <w:style w:type="paragraph" w:styleId="TOCHeading">
    <w:name w:val="TOC Heading"/>
    <w:basedOn w:val="Heading1"/>
    <w:next w:val="Normal"/>
    <w:uiPriority w:val="39"/>
    <w:unhideWhenUsed/>
    <w:qFormat/>
    <w:rsid w:val="00560D63"/>
    <w:pPr>
      <w:keepNext/>
      <w:keepLines/>
      <w:widowControl/>
      <w:autoSpaceDE/>
      <w:autoSpaceDN/>
      <w:adjustRightInd/>
      <w:spacing w:before="24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560D63"/>
    <w:pPr>
      <w:widowControl/>
      <w:tabs>
        <w:tab w:val="right" w:leader="dot" w:pos="9350"/>
      </w:tabs>
      <w:autoSpaceDE/>
      <w:autoSpaceDN/>
      <w:bidi/>
      <w:adjustRightInd/>
      <w:spacing w:after="100" w:line="278" w:lineRule="auto"/>
    </w:pPr>
    <w:rPr>
      <w:rFonts w:asciiTheme="minorHAnsi" w:eastAsiaTheme="minorHAnsi" w:hAnsiTheme="minorHAnsi" w:cstheme="minorBidi"/>
      <w:color w:val="auto"/>
      <w:kern w:val="2"/>
      <w:sz w:val="24"/>
      <w:szCs w:val="24"/>
      <w14:ligatures w14:val="standardContextual"/>
    </w:rPr>
  </w:style>
  <w:style w:type="character" w:styleId="Hyperlink">
    <w:name w:val="Hyperlink"/>
    <w:basedOn w:val="DefaultParagraphFont"/>
    <w:uiPriority w:val="99"/>
    <w:unhideWhenUsed/>
    <w:rsid w:val="00560D63"/>
    <w:rPr>
      <w:color w:val="467886" w:themeColor="hyperlink"/>
      <w:u w:val="single"/>
    </w:rPr>
  </w:style>
  <w:style w:type="paragraph" w:styleId="TOC2">
    <w:name w:val="toc 2"/>
    <w:basedOn w:val="Normal"/>
    <w:next w:val="Normal"/>
    <w:autoRedefine/>
    <w:uiPriority w:val="39"/>
    <w:unhideWhenUsed/>
    <w:rsid w:val="00560D63"/>
    <w:pPr>
      <w:widowControl/>
      <w:autoSpaceDE/>
      <w:autoSpaceDN/>
      <w:adjustRightInd/>
      <w:spacing w:after="100" w:line="278" w:lineRule="auto"/>
      <w:ind w:left="240"/>
    </w:pPr>
    <w:rPr>
      <w:rFonts w:asciiTheme="minorHAnsi" w:eastAsiaTheme="minorHAnsi"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560D63"/>
    <w:rPr>
      <w:color w:val="605E5C"/>
      <w:shd w:val="clear" w:color="auto" w:fill="E1DFDD"/>
    </w:rPr>
  </w:style>
  <w:style w:type="character" w:styleId="Strong">
    <w:name w:val="Strong"/>
    <w:basedOn w:val="DefaultParagraphFont"/>
    <w:uiPriority w:val="22"/>
    <w:qFormat/>
    <w:rsid w:val="00560D63"/>
    <w:rPr>
      <w:b/>
      <w:bCs/>
    </w:rPr>
  </w:style>
  <w:style w:type="paragraph" w:styleId="FootnoteText">
    <w:name w:val="footnote text"/>
    <w:basedOn w:val="Normal"/>
    <w:link w:val="FootnoteTextChar"/>
    <w:uiPriority w:val="99"/>
    <w:semiHidden/>
    <w:unhideWhenUsed/>
    <w:rsid w:val="00560D63"/>
    <w:pPr>
      <w:widowControl/>
      <w:autoSpaceDE/>
      <w:autoSpaceDN/>
      <w:adjustRightInd/>
    </w:pPr>
    <w:rPr>
      <w:rFonts w:asciiTheme="minorHAnsi" w:eastAsiaTheme="minorHAnsi" w:hAnsiTheme="minorHAnsi" w:cstheme="minorBidi"/>
      <w:color w:val="auto"/>
      <w:kern w:val="2"/>
      <w:sz w:val="20"/>
      <w:szCs w:val="20"/>
      <w14:ligatures w14:val="standardContextual"/>
    </w:rPr>
  </w:style>
  <w:style w:type="character" w:customStyle="1" w:styleId="FootnoteTextChar">
    <w:name w:val="Footnote Text Char"/>
    <w:basedOn w:val="DefaultParagraphFont"/>
    <w:link w:val="FootnoteText"/>
    <w:uiPriority w:val="99"/>
    <w:semiHidden/>
    <w:rsid w:val="00560D63"/>
    <w:rPr>
      <w:rFonts w:eastAsiaTheme="minorHAnsi" w:cstheme="minorBidi"/>
      <w:sz w:val="20"/>
      <w:szCs w:val="20"/>
      <w14:ligatures w14:val="standardContextual"/>
    </w:rPr>
  </w:style>
  <w:style w:type="character" w:styleId="FootnoteReference">
    <w:name w:val="footnote reference"/>
    <w:basedOn w:val="DefaultParagraphFont"/>
    <w:uiPriority w:val="99"/>
    <w:semiHidden/>
    <w:unhideWhenUsed/>
    <w:rsid w:val="00560D63"/>
    <w:rPr>
      <w:vertAlign w:val="superscript"/>
    </w:rPr>
  </w:style>
  <w:style w:type="table" w:styleId="GridTable5Dark-Accent1">
    <w:name w:val="Grid Table 5 Dark Accent 1"/>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3">
    <w:name w:val="toc 3"/>
    <w:basedOn w:val="Normal"/>
    <w:next w:val="Normal"/>
    <w:autoRedefine/>
    <w:uiPriority w:val="39"/>
    <w:unhideWhenUsed/>
    <w:rsid w:val="00E853D0"/>
    <w:pPr>
      <w:spacing w:after="100"/>
      <w:ind w:left="360"/>
    </w:pPr>
  </w:style>
  <w:style w:type="character" w:styleId="CommentReference">
    <w:name w:val="annotation reference"/>
    <w:basedOn w:val="DefaultParagraphFont"/>
    <w:uiPriority w:val="99"/>
    <w:semiHidden/>
    <w:unhideWhenUsed/>
    <w:rsid w:val="00E76590"/>
    <w:rPr>
      <w:sz w:val="16"/>
      <w:szCs w:val="16"/>
    </w:rPr>
  </w:style>
  <w:style w:type="paragraph" w:styleId="CommentText">
    <w:name w:val="annotation text"/>
    <w:basedOn w:val="Normal"/>
    <w:link w:val="CommentTextChar"/>
    <w:uiPriority w:val="99"/>
    <w:semiHidden/>
    <w:unhideWhenUsed/>
    <w:rsid w:val="00E76590"/>
    <w:rPr>
      <w:sz w:val="20"/>
      <w:szCs w:val="20"/>
    </w:rPr>
  </w:style>
  <w:style w:type="character" w:customStyle="1" w:styleId="CommentTextChar">
    <w:name w:val="Comment Text Char"/>
    <w:basedOn w:val="DefaultParagraphFont"/>
    <w:link w:val="CommentText"/>
    <w:uiPriority w:val="99"/>
    <w:semiHidden/>
    <w:rsid w:val="00E76590"/>
    <w:rPr>
      <w:rFonts w:ascii="Courier New" w:hAnsi="Courier New" w:cs="Courier New"/>
      <w:color w:val="000000"/>
      <w:kern w:val="0"/>
      <w:sz w:val="20"/>
      <w:szCs w:val="20"/>
    </w:rPr>
  </w:style>
  <w:style w:type="paragraph" w:styleId="CommentSubject">
    <w:name w:val="annotation subject"/>
    <w:basedOn w:val="CommentText"/>
    <w:next w:val="CommentText"/>
    <w:link w:val="CommentSubjectChar"/>
    <w:uiPriority w:val="99"/>
    <w:semiHidden/>
    <w:unhideWhenUsed/>
    <w:rsid w:val="00E76590"/>
    <w:rPr>
      <w:b/>
      <w:bCs/>
    </w:rPr>
  </w:style>
  <w:style w:type="character" w:customStyle="1" w:styleId="CommentSubjectChar">
    <w:name w:val="Comment Subject Char"/>
    <w:basedOn w:val="CommentTextChar"/>
    <w:link w:val="CommentSubject"/>
    <w:uiPriority w:val="99"/>
    <w:semiHidden/>
    <w:rsid w:val="00E76590"/>
    <w:rPr>
      <w:rFonts w:ascii="Courier New" w:hAnsi="Courier New" w:cs="Courier New"/>
      <w:b/>
      <w:bCs/>
      <w:color w:val="000000"/>
      <w:kern w:val="0"/>
      <w:sz w:val="20"/>
      <w:szCs w:val="20"/>
    </w:rPr>
  </w:style>
  <w:style w:type="paragraph" w:customStyle="1" w:styleId="ThesisBody">
    <w:name w:val="ThesisBody"/>
    <w:basedOn w:val="Normal"/>
    <w:pPr>
      <w:bidi/>
      <w:spacing w:after="140" w:line="300" w:lineRule="auto"/>
    </w:pPr>
    <w:rPr>
      <w:rFonts w:ascii="Arial" w:hAnsi="Arial" w:cs="Arial"/>
      <w:sz w:val="22"/>
    </w:rPr>
  </w:style>
  <w:style w:type="paragraph" w:customStyle="1" w:styleId="ThesisH1">
    <w:name w:val="ThesisH1"/>
    <w:basedOn w:val="Normal"/>
    <w:pPr>
      <w:bidi/>
      <w:spacing w:before="360" w:after="180" w:line="264" w:lineRule="auto"/>
    </w:pPr>
    <w:rPr>
      <w:rFonts w:ascii="Arial" w:hAnsi="Arial" w:cs="Arial"/>
      <w:b/>
      <w:color w:val="17365D"/>
      <w:sz w:val="32"/>
    </w:rPr>
  </w:style>
  <w:style w:type="paragraph" w:customStyle="1" w:styleId="ThesisH2">
    <w:name w:val="ThesisH2"/>
    <w:basedOn w:val="Normal"/>
    <w:pPr>
      <w:bidi/>
      <w:spacing w:before="260" w:after="120" w:line="264" w:lineRule="auto"/>
    </w:pPr>
    <w:rPr>
      <w:rFonts w:ascii="Arial" w:hAnsi="Arial" w:cs="Arial"/>
      <w:b/>
      <w:color w:val="2F75B5"/>
      <w:sz w:val="26"/>
    </w:rPr>
  </w:style>
  <w:style w:type="paragraph" w:customStyle="1" w:styleId="ThesisH3">
    <w:name w:val="ThesisH3"/>
    <w:basedOn w:val="Normal"/>
    <w:pPr>
      <w:bidi/>
      <w:spacing w:before="180" w:after="80" w:line="264" w:lineRule="auto"/>
    </w:pPr>
    <w:rPr>
      <w:rFonts w:ascii="Arial" w:hAnsi="Arial" w:cs="Arial"/>
      <w:b/>
      <w:color w:val="17365D"/>
      <w:sz w:val="23"/>
    </w:rPr>
  </w:style>
  <w:style w:type="paragraph" w:customStyle="1" w:styleId="ThesisCaption">
    <w:name w:val="ThesisCaption"/>
    <w:basedOn w:val="Normal"/>
    <w:pPr>
      <w:bidi/>
      <w:spacing w:before="60" w:after="160" w:line="252" w:lineRule="auto"/>
    </w:pPr>
    <w:rPr>
      <w:rFonts w:ascii="Arial" w:hAnsi="Arial" w:cs="Arial"/>
      <w:b/>
      <w:color w:val="2F75B5"/>
      <w:sz w:val="19"/>
    </w:rPr>
  </w:style>
  <w:style w:type="paragraph" w:customStyle="1" w:styleId="ThesisNote">
    <w:name w:val="ThesisNote"/>
    <w:basedOn w:val="Normal"/>
    <w:pPr>
      <w:bidi/>
      <w:spacing w:before="40" w:after="120" w:line="276" w:lineRule="auto"/>
    </w:pPr>
    <w:rPr>
      <w:rFonts w:ascii="Arial" w:hAnsi="Arial" w:cs="Arial"/>
      <w:color w:val="666666"/>
    </w:rPr>
  </w:style>
  <w:style w:type="paragraph" w:customStyle="1" w:styleId="ThesisDiscussion">
    <w:name w:val="ThesisDiscussion"/>
    <w:basedOn w:val="ThesisBody"/>
    <w:pPr>
      <w:spacing w:before="80" w:after="160" w:line="288" w:lineRule="auto"/>
    </w:pPr>
    <w:rPr>
      <w:color w:val="333333"/>
      <w:sz w:val="21"/>
    </w:rPr>
  </w:style>
  <w:style w:type="table" w:styleId="PlainTable2">
    <w:name w:val="Plain Table 2"/>
    <w:basedOn w:val="TableNormal"/>
    <w:uiPriority w:val="42"/>
    <w:rsid w:val="00AD326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6955">
      <w:bodyDiv w:val="1"/>
      <w:marLeft w:val="0"/>
      <w:marRight w:val="0"/>
      <w:marTop w:val="0"/>
      <w:marBottom w:val="0"/>
      <w:divBdr>
        <w:top w:val="none" w:sz="0" w:space="0" w:color="auto"/>
        <w:left w:val="none" w:sz="0" w:space="0" w:color="auto"/>
        <w:bottom w:val="none" w:sz="0" w:space="0" w:color="auto"/>
        <w:right w:val="none" w:sz="0" w:space="0" w:color="auto"/>
      </w:divBdr>
    </w:div>
    <w:div w:id="175463725">
      <w:bodyDiv w:val="1"/>
      <w:marLeft w:val="0"/>
      <w:marRight w:val="0"/>
      <w:marTop w:val="0"/>
      <w:marBottom w:val="0"/>
      <w:divBdr>
        <w:top w:val="none" w:sz="0" w:space="0" w:color="auto"/>
        <w:left w:val="none" w:sz="0" w:space="0" w:color="auto"/>
        <w:bottom w:val="none" w:sz="0" w:space="0" w:color="auto"/>
        <w:right w:val="none" w:sz="0" w:space="0" w:color="auto"/>
      </w:divBdr>
    </w:div>
    <w:div w:id="201407440">
      <w:bodyDiv w:val="1"/>
      <w:marLeft w:val="0"/>
      <w:marRight w:val="0"/>
      <w:marTop w:val="0"/>
      <w:marBottom w:val="0"/>
      <w:divBdr>
        <w:top w:val="none" w:sz="0" w:space="0" w:color="auto"/>
        <w:left w:val="none" w:sz="0" w:space="0" w:color="auto"/>
        <w:bottom w:val="none" w:sz="0" w:space="0" w:color="auto"/>
        <w:right w:val="none" w:sz="0" w:space="0" w:color="auto"/>
      </w:divBdr>
    </w:div>
    <w:div w:id="201866504">
      <w:bodyDiv w:val="1"/>
      <w:marLeft w:val="0"/>
      <w:marRight w:val="0"/>
      <w:marTop w:val="0"/>
      <w:marBottom w:val="0"/>
      <w:divBdr>
        <w:top w:val="none" w:sz="0" w:space="0" w:color="auto"/>
        <w:left w:val="none" w:sz="0" w:space="0" w:color="auto"/>
        <w:bottom w:val="none" w:sz="0" w:space="0" w:color="auto"/>
        <w:right w:val="none" w:sz="0" w:space="0" w:color="auto"/>
      </w:divBdr>
    </w:div>
    <w:div w:id="274215925">
      <w:bodyDiv w:val="1"/>
      <w:marLeft w:val="0"/>
      <w:marRight w:val="0"/>
      <w:marTop w:val="0"/>
      <w:marBottom w:val="0"/>
      <w:divBdr>
        <w:top w:val="none" w:sz="0" w:space="0" w:color="auto"/>
        <w:left w:val="none" w:sz="0" w:space="0" w:color="auto"/>
        <w:bottom w:val="none" w:sz="0" w:space="0" w:color="auto"/>
        <w:right w:val="none" w:sz="0" w:space="0" w:color="auto"/>
      </w:divBdr>
    </w:div>
    <w:div w:id="285627788">
      <w:bodyDiv w:val="1"/>
      <w:marLeft w:val="0"/>
      <w:marRight w:val="0"/>
      <w:marTop w:val="0"/>
      <w:marBottom w:val="0"/>
      <w:divBdr>
        <w:top w:val="none" w:sz="0" w:space="0" w:color="auto"/>
        <w:left w:val="none" w:sz="0" w:space="0" w:color="auto"/>
        <w:bottom w:val="none" w:sz="0" w:space="0" w:color="auto"/>
        <w:right w:val="none" w:sz="0" w:space="0" w:color="auto"/>
      </w:divBdr>
    </w:div>
    <w:div w:id="316612882">
      <w:bodyDiv w:val="1"/>
      <w:marLeft w:val="0"/>
      <w:marRight w:val="0"/>
      <w:marTop w:val="0"/>
      <w:marBottom w:val="0"/>
      <w:divBdr>
        <w:top w:val="none" w:sz="0" w:space="0" w:color="auto"/>
        <w:left w:val="none" w:sz="0" w:space="0" w:color="auto"/>
        <w:bottom w:val="none" w:sz="0" w:space="0" w:color="auto"/>
        <w:right w:val="none" w:sz="0" w:space="0" w:color="auto"/>
      </w:divBdr>
    </w:div>
    <w:div w:id="320620808">
      <w:bodyDiv w:val="1"/>
      <w:marLeft w:val="0"/>
      <w:marRight w:val="0"/>
      <w:marTop w:val="0"/>
      <w:marBottom w:val="0"/>
      <w:divBdr>
        <w:top w:val="none" w:sz="0" w:space="0" w:color="auto"/>
        <w:left w:val="none" w:sz="0" w:space="0" w:color="auto"/>
        <w:bottom w:val="none" w:sz="0" w:space="0" w:color="auto"/>
        <w:right w:val="none" w:sz="0" w:space="0" w:color="auto"/>
      </w:divBdr>
    </w:div>
    <w:div w:id="338964872">
      <w:bodyDiv w:val="1"/>
      <w:marLeft w:val="0"/>
      <w:marRight w:val="0"/>
      <w:marTop w:val="0"/>
      <w:marBottom w:val="0"/>
      <w:divBdr>
        <w:top w:val="none" w:sz="0" w:space="0" w:color="auto"/>
        <w:left w:val="none" w:sz="0" w:space="0" w:color="auto"/>
        <w:bottom w:val="none" w:sz="0" w:space="0" w:color="auto"/>
        <w:right w:val="none" w:sz="0" w:space="0" w:color="auto"/>
      </w:divBdr>
    </w:div>
    <w:div w:id="367099874">
      <w:bodyDiv w:val="1"/>
      <w:marLeft w:val="0"/>
      <w:marRight w:val="0"/>
      <w:marTop w:val="0"/>
      <w:marBottom w:val="0"/>
      <w:divBdr>
        <w:top w:val="none" w:sz="0" w:space="0" w:color="auto"/>
        <w:left w:val="none" w:sz="0" w:space="0" w:color="auto"/>
        <w:bottom w:val="none" w:sz="0" w:space="0" w:color="auto"/>
        <w:right w:val="none" w:sz="0" w:space="0" w:color="auto"/>
      </w:divBdr>
    </w:div>
    <w:div w:id="392388663">
      <w:bodyDiv w:val="1"/>
      <w:marLeft w:val="0"/>
      <w:marRight w:val="0"/>
      <w:marTop w:val="0"/>
      <w:marBottom w:val="0"/>
      <w:divBdr>
        <w:top w:val="none" w:sz="0" w:space="0" w:color="auto"/>
        <w:left w:val="none" w:sz="0" w:space="0" w:color="auto"/>
        <w:bottom w:val="none" w:sz="0" w:space="0" w:color="auto"/>
        <w:right w:val="none" w:sz="0" w:space="0" w:color="auto"/>
      </w:divBdr>
    </w:div>
    <w:div w:id="404765282">
      <w:bodyDiv w:val="1"/>
      <w:marLeft w:val="0"/>
      <w:marRight w:val="0"/>
      <w:marTop w:val="0"/>
      <w:marBottom w:val="0"/>
      <w:divBdr>
        <w:top w:val="none" w:sz="0" w:space="0" w:color="auto"/>
        <w:left w:val="none" w:sz="0" w:space="0" w:color="auto"/>
        <w:bottom w:val="none" w:sz="0" w:space="0" w:color="auto"/>
        <w:right w:val="none" w:sz="0" w:space="0" w:color="auto"/>
      </w:divBdr>
    </w:div>
    <w:div w:id="478576521">
      <w:bodyDiv w:val="1"/>
      <w:marLeft w:val="0"/>
      <w:marRight w:val="0"/>
      <w:marTop w:val="0"/>
      <w:marBottom w:val="0"/>
      <w:divBdr>
        <w:top w:val="none" w:sz="0" w:space="0" w:color="auto"/>
        <w:left w:val="none" w:sz="0" w:space="0" w:color="auto"/>
        <w:bottom w:val="none" w:sz="0" w:space="0" w:color="auto"/>
        <w:right w:val="none" w:sz="0" w:space="0" w:color="auto"/>
      </w:divBdr>
    </w:div>
    <w:div w:id="480075916">
      <w:bodyDiv w:val="1"/>
      <w:marLeft w:val="0"/>
      <w:marRight w:val="0"/>
      <w:marTop w:val="0"/>
      <w:marBottom w:val="0"/>
      <w:divBdr>
        <w:top w:val="none" w:sz="0" w:space="0" w:color="auto"/>
        <w:left w:val="none" w:sz="0" w:space="0" w:color="auto"/>
        <w:bottom w:val="none" w:sz="0" w:space="0" w:color="auto"/>
        <w:right w:val="none" w:sz="0" w:space="0" w:color="auto"/>
      </w:divBdr>
    </w:div>
    <w:div w:id="503133786">
      <w:bodyDiv w:val="1"/>
      <w:marLeft w:val="0"/>
      <w:marRight w:val="0"/>
      <w:marTop w:val="0"/>
      <w:marBottom w:val="0"/>
      <w:divBdr>
        <w:top w:val="none" w:sz="0" w:space="0" w:color="auto"/>
        <w:left w:val="none" w:sz="0" w:space="0" w:color="auto"/>
        <w:bottom w:val="none" w:sz="0" w:space="0" w:color="auto"/>
        <w:right w:val="none" w:sz="0" w:space="0" w:color="auto"/>
      </w:divBdr>
    </w:div>
    <w:div w:id="522061818">
      <w:bodyDiv w:val="1"/>
      <w:marLeft w:val="0"/>
      <w:marRight w:val="0"/>
      <w:marTop w:val="0"/>
      <w:marBottom w:val="0"/>
      <w:divBdr>
        <w:top w:val="none" w:sz="0" w:space="0" w:color="auto"/>
        <w:left w:val="none" w:sz="0" w:space="0" w:color="auto"/>
        <w:bottom w:val="none" w:sz="0" w:space="0" w:color="auto"/>
        <w:right w:val="none" w:sz="0" w:space="0" w:color="auto"/>
      </w:divBdr>
    </w:div>
    <w:div w:id="536627419">
      <w:bodyDiv w:val="1"/>
      <w:marLeft w:val="0"/>
      <w:marRight w:val="0"/>
      <w:marTop w:val="0"/>
      <w:marBottom w:val="0"/>
      <w:divBdr>
        <w:top w:val="none" w:sz="0" w:space="0" w:color="auto"/>
        <w:left w:val="none" w:sz="0" w:space="0" w:color="auto"/>
        <w:bottom w:val="none" w:sz="0" w:space="0" w:color="auto"/>
        <w:right w:val="none" w:sz="0" w:space="0" w:color="auto"/>
      </w:divBdr>
    </w:div>
    <w:div w:id="554896906">
      <w:bodyDiv w:val="1"/>
      <w:marLeft w:val="0"/>
      <w:marRight w:val="0"/>
      <w:marTop w:val="0"/>
      <w:marBottom w:val="0"/>
      <w:divBdr>
        <w:top w:val="none" w:sz="0" w:space="0" w:color="auto"/>
        <w:left w:val="none" w:sz="0" w:space="0" w:color="auto"/>
        <w:bottom w:val="none" w:sz="0" w:space="0" w:color="auto"/>
        <w:right w:val="none" w:sz="0" w:space="0" w:color="auto"/>
      </w:divBdr>
    </w:div>
    <w:div w:id="557134054">
      <w:bodyDiv w:val="1"/>
      <w:marLeft w:val="0"/>
      <w:marRight w:val="0"/>
      <w:marTop w:val="0"/>
      <w:marBottom w:val="0"/>
      <w:divBdr>
        <w:top w:val="none" w:sz="0" w:space="0" w:color="auto"/>
        <w:left w:val="none" w:sz="0" w:space="0" w:color="auto"/>
        <w:bottom w:val="none" w:sz="0" w:space="0" w:color="auto"/>
        <w:right w:val="none" w:sz="0" w:space="0" w:color="auto"/>
      </w:divBdr>
    </w:div>
    <w:div w:id="569854492">
      <w:bodyDiv w:val="1"/>
      <w:marLeft w:val="0"/>
      <w:marRight w:val="0"/>
      <w:marTop w:val="0"/>
      <w:marBottom w:val="0"/>
      <w:divBdr>
        <w:top w:val="none" w:sz="0" w:space="0" w:color="auto"/>
        <w:left w:val="none" w:sz="0" w:space="0" w:color="auto"/>
        <w:bottom w:val="none" w:sz="0" w:space="0" w:color="auto"/>
        <w:right w:val="none" w:sz="0" w:space="0" w:color="auto"/>
      </w:divBdr>
    </w:div>
    <w:div w:id="574820899">
      <w:bodyDiv w:val="1"/>
      <w:marLeft w:val="0"/>
      <w:marRight w:val="0"/>
      <w:marTop w:val="0"/>
      <w:marBottom w:val="0"/>
      <w:divBdr>
        <w:top w:val="none" w:sz="0" w:space="0" w:color="auto"/>
        <w:left w:val="none" w:sz="0" w:space="0" w:color="auto"/>
        <w:bottom w:val="none" w:sz="0" w:space="0" w:color="auto"/>
        <w:right w:val="none" w:sz="0" w:space="0" w:color="auto"/>
      </w:divBdr>
    </w:div>
    <w:div w:id="599485360">
      <w:bodyDiv w:val="1"/>
      <w:marLeft w:val="0"/>
      <w:marRight w:val="0"/>
      <w:marTop w:val="0"/>
      <w:marBottom w:val="0"/>
      <w:divBdr>
        <w:top w:val="none" w:sz="0" w:space="0" w:color="auto"/>
        <w:left w:val="none" w:sz="0" w:space="0" w:color="auto"/>
        <w:bottom w:val="none" w:sz="0" w:space="0" w:color="auto"/>
        <w:right w:val="none" w:sz="0" w:space="0" w:color="auto"/>
      </w:divBdr>
    </w:div>
    <w:div w:id="626082002">
      <w:bodyDiv w:val="1"/>
      <w:marLeft w:val="0"/>
      <w:marRight w:val="0"/>
      <w:marTop w:val="0"/>
      <w:marBottom w:val="0"/>
      <w:divBdr>
        <w:top w:val="none" w:sz="0" w:space="0" w:color="auto"/>
        <w:left w:val="none" w:sz="0" w:space="0" w:color="auto"/>
        <w:bottom w:val="none" w:sz="0" w:space="0" w:color="auto"/>
        <w:right w:val="none" w:sz="0" w:space="0" w:color="auto"/>
      </w:divBdr>
    </w:div>
    <w:div w:id="658920067">
      <w:bodyDiv w:val="1"/>
      <w:marLeft w:val="0"/>
      <w:marRight w:val="0"/>
      <w:marTop w:val="0"/>
      <w:marBottom w:val="0"/>
      <w:divBdr>
        <w:top w:val="none" w:sz="0" w:space="0" w:color="auto"/>
        <w:left w:val="none" w:sz="0" w:space="0" w:color="auto"/>
        <w:bottom w:val="none" w:sz="0" w:space="0" w:color="auto"/>
        <w:right w:val="none" w:sz="0" w:space="0" w:color="auto"/>
      </w:divBdr>
    </w:div>
    <w:div w:id="675692843">
      <w:bodyDiv w:val="1"/>
      <w:marLeft w:val="0"/>
      <w:marRight w:val="0"/>
      <w:marTop w:val="0"/>
      <w:marBottom w:val="0"/>
      <w:divBdr>
        <w:top w:val="none" w:sz="0" w:space="0" w:color="auto"/>
        <w:left w:val="none" w:sz="0" w:space="0" w:color="auto"/>
        <w:bottom w:val="none" w:sz="0" w:space="0" w:color="auto"/>
        <w:right w:val="none" w:sz="0" w:space="0" w:color="auto"/>
      </w:divBdr>
    </w:div>
    <w:div w:id="706687467">
      <w:bodyDiv w:val="1"/>
      <w:marLeft w:val="0"/>
      <w:marRight w:val="0"/>
      <w:marTop w:val="0"/>
      <w:marBottom w:val="0"/>
      <w:divBdr>
        <w:top w:val="none" w:sz="0" w:space="0" w:color="auto"/>
        <w:left w:val="none" w:sz="0" w:space="0" w:color="auto"/>
        <w:bottom w:val="none" w:sz="0" w:space="0" w:color="auto"/>
        <w:right w:val="none" w:sz="0" w:space="0" w:color="auto"/>
      </w:divBdr>
    </w:div>
    <w:div w:id="735322337">
      <w:bodyDiv w:val="1"/>
      <w:marLeft w:val="0"/>
      <w:marRight w:val="0"/>
      <w:marTop w:val="0"/>
      <w:marBottom w:val="0"/>
      <w:divBdr>
        <w:top w:val="none" w:sz="0" w:space="0" w:color="auto"/>
        <w:left w:val="none" w:sz="0" w:space="0" w:color="auto"/>
        <w:bottom w:val="none" w:sz="0" w:space="0" w:color="auto"/>
        <w:right w:val="none" w:sz="0" w:space="0" w:color="auto"/>
      </w:divBdr>
    </w:div>
    <w:div w:id="791678298">
      <w:bodyDiv w:val="1"/>
      <w:marLeft w:val="0"/>
      <w:marRight w:val="0"/>
      <w:marTop w:val="0"/>
      <w:marBottom w:val="0"/>
      <w:divBdr>
        <w:top w:val="none" w:sz="0" w:space="0" w:color="auto"/>
        <w:left w:val="none" w:sz="0" w:space="0" w:color="auto"/>
        <w:bottom w:val="none" w:sz="0" w:space="0" w:color="auto"/>
        <w:right w:val="none" w:sz="0" w:space="0" w:color="auto"/>
      </w:divBdr>
    </w:div>
    <w:div w:id="793599887">
      <w:bodyDiv w:val="1"/>
      <w:marLeft w:val="0"/>
      <w:marRight w:val="0"/>
      <w:marTop w:val="0"/>
      <w:marBottom w:val="0"/>
      <w:divBdr>
        <w:top w:val="none" w:sz="0" w:space="0" w:color="auto"/>
        <w:left w:val="none" w:sz="0" w:space="0" w:color="auto"/>
        <w:bottom w:val="none" w:sz="0" w:space="0" w:color="auto"/>
        <w:right w:val="none" w:sz="0" w:space="0" w:color="auto"/>
      </w:divBdr>
    </w:div>
    <w:div w:id="811363083">
      <w:bodyDiv w:val="1"/>
      <w:marLeft w:val="0"/>
      <w:marRight w:val="0"/>
      <w:marTop w:val="0"/>
      <w:marBottom w:val="0"/>
      <w:divBdr>
        <w:top w:val="none" w:sz="0" w:space="0" w:color="auto"/>
        <w:left w:val="none" w:sz="0" w:space="0" w:color="auto"/>
        <w:bottom w:val="none" w:sz="0" w:space="0" w:color="auto"/>
        <w:right w:val="none" w:sz="0" w:space="0" w:color="auto"/>
      </w:divBdr>
    </w:div>
    <w:div w:id="872113901">
      <w:bodyDiv w:val="1"/>
      <w:marLeft w:val="0"/>
      <w:marRight w:val="0"/>
      <w:marTop w:val="0"/>
      <w:marBottom w:val="0"/>
      <w:divBdr>
        <w:top w:val="none" w:sz="0" w:space="0" w:color="auto"/>
        <w:left w:val="none" w:sz="0" w:space="0" w:color="auto"/>
        <w:bottom w:val="none" w:sz="0" w:space="0" w:color="auto"/>
        <w:right w:val="none" w:sz="0" w:space="0" w:color="auto"/>
      </w:divBdr>
    </w:div>
    <w:div w:id="872693107">
      <w:bodyDiv w:val="1"/>
      <w:marLeft w:val="0"/>
      <w:marRight w:val="0"/>
      <w:marTop w:val="0"/>
      <w:marBottom w:val="0"/>
      <w:divBdr>
        <w:top w:val="none" w:sz="0" w:space="0" w:color="auto"/>
        <w:left w:val="none" w:sz="0" w:space="0" w:color="auto"/>
        <w:bottom w:val="none" w:sz="0" w:space="0" w:color="auto"/>
        <w:right w:val="none" w:sz="0" w:space="0" w:color="auto"/>
      </w:divBdr>
    </w:div>
    <w:div w:id="901258452">
      <w:bodyDiv w:val="1"/>
      <w:marLeft w:val="0"/>
      <w:marRight w:val="0"/>
      <w:marTop w:val="0"/>
      <w:marBottom w:val="0"/>
      <w:divBdr>
        <w:top w:val="none" w:sz="0" w:space="0" w:color="auto"/>
        <w:left w:val="none" w:sz="0" w:space="0" w:color="auto"/>
        <w:bottom w:val="none" w:sz="0" w:space="0" w:color="auto"/>
        <w:right w:val="none" w:sz="0" w:space="0" w:color="auto"/>
      </w:divBdr>
    </w:div>
    <w:div w:id="919754488">
      <w:bodyDiv w:val="1"/>
      <w:marLeft w:val="0"/>
      <w:marRight w:val="0"/>
      <w:marTop w:val="0"/>
      <w:marBottom w:val="0"/>
      <w:divBdr>
        <w:top w:val="none" w:sz="0" w:space="0" w:color="auto"/>
        <w:left w:val="none" w:sz="0" w:space="0" w:color="auto"/>
        <w:bottom w:val="none" w:sz="0" w:space="0" w:color="auto"/>
        <w:right w:val="none" w:sz="0" w:space="0" w:color="auto"/>
      </w:divBdr>
    </w:div>
    <w:div w:id="950011335">
      <w:bodyDiv w:val="1"/>
      <w:marLeft w:val="0"/>
      <w:marRight w:val="0"/>
      <w:marTop w:val="0"/>
      <w:marBottom w:val="0"/>
      <w:divBdr>
        <w:top w:val="none" w:sz="0" w:space="0" w:color="auto"/>
        <w:left w:val="none" w:sz="0" w:space="0" w:color="auto"/>
        <w:bottom w:val="none" w:sz="0" w:space="0" w:color="auto"/>
        <w:right w:val="none" w:sz="0" w:space="0" w:color="auto"/>
      </w:divBdr>
    </w:div>
    <w:div w:id="1000473314">
      <w:bodyDiv w:val="1"/>
      <w:marLeft w:val="0"/>
      <w:marRight w:val="0"/>
      <w:marTop w:val="0"/>
      <w:marBottom w:val="0"/>
      <w:divBdr>
        <w:top w:val="none" w:sz="0" w:space="0" w:color="auto"/>
        <w:left w:val="none" w:sz="0" w:space="0" w:color="auto"/>
        <w:bottom w:val="none" w:sz="0" w:space="0" w:color="auto"/>
        <w:right w:val="none" w:sz="0" w:space="0" w:color="auto"/>
      </w:divBdr>
    </w:div>
    <w:div w:id="1039092844">
      <w:bodyDiv w:val="1"/>
      <w:marLeft w:val="0"/>
      <w:marRight w:val="0"/>
      <w:marTop w:val="0"/>
      <w:marBottom w:val="0"/>
      <w:divBdr>
        <w:top w:val="none" w:sz="0" w:space="0" w:color="auto"/>
        <w:left w:val="none" w:sz="0" w:space="0" w:color="auto"/>
        <w:bottom w:val="none" w:sz="0" w:space="0" w:color="auto"/>
        <w:right w:val="none" w:sz="0" w:space="0" w:color="auto"/>
      </w:divBdr>
    </w:div>
    <w:div w:id="1070880693">
      <w:bodyDiv w:val="1"/>
      <w:marLeft w:val="0"/>
      <w:marRight w:val="0"/>
      <w:marTop w:val="0"/>
      <w:marBottom w:val="0"/>
      <w:divBdr>
        <w:top w:val="none" w:sz="0" w:space="0" w:color="auto"/>
        <w:left w:val="none" w:sz="0" w:space="0" w:color="auto"/>
        <w:bottom w:val="none" w:sz="0" w:space="0" w:color="auto"/>
        <w:right w:val="none" w:sz="0" w:space="0" w:color="auto"/>
      </w:divBdr>
    </w:div>
    <w:div w:id="1077677858">
      <w:bodyDiv w:val="1"/>
      <w:marLeft w:val="0"/>
      <w:marRight w:val="0"/>
      <w:marTop w:val="0"/>
      <w:marBottom w:val="0"/>
      <w:divBdr>
        <w:top w:val="none" w:sz="0" w:space="0" w:color="auto"/>
        <w:left w:val="none" w:sz="0" w:space="0" w:color="auto"/>
        <w:bottom w:val="none" w:sz="0" w:space="0" w:color="auto"/>
        <w:right w:val="none" w:sz="0" w:space="0" w:color="auto"/>
      </w:divBdr>
    </w:div>
    <w:div w:id="1082677262">
      <w:bodyDiv w:val="1"/>
      <w:marLeft w:val="0"/>
      <w:marRight w:val="0"/>
      <w:marTop w:val="0"/>
      <w:marBottom w:val="0"/>
      <w:divBdr>
        <w:top w:val="none" w:sz="0" w:space="0" w:color="auto"/>
        <w:left w:val="none" w:sz="0" w:space="0" w:color="auto"/>
        <w:bottom w:val="none" w:sz="0" w:space="0" w:color="auto"/>
        <w:right w:val="none" w:sz="0" w:space="0" w:color="auto"/>
      </w:divBdr>
    </w:div>
    <w:div w:id="1153596998">
      <w:bodyDiv w:val="1"/>
      <w:marLeft w:val="0"/>
      <w:marRight w:val="0"/>
      <w:marTop w:val="0"/>
      <w:marBottom w:val="0"/>
      <w:divBdr>
        <w:top w:val="none" w:sz="0" w:space="0" w:color="auto"/>
        <w:left w:val="none" w:sz="0" w:space="0" w:color="auto"/>
        <w:bottom w:val="none" w:sz="0" w:space="0" w:color="auto"/>
        <w:right w:val="none" w:sz="0" w:space="0" w:color="auto"/>
      </w:divBdr>
    </w:div>
    <w:div w:id="1158226374">
      <w:bodyDiv w:val="1"/>
      <w:marLeft w:val="0"/>
      <w:marRight w:val="0"/>
      <w:marTop w:val="0"/>
      <w:marBottom w:val="0"/>
      <w:divBdr>
        <w:top w:val="none" w:sz="0" w:space="0" w:color="auto"/>
        <w:left w:val="none" w:sz="0" w:space="0" w:color="auto"/>
        <w:bottom w:val="none" w:sz="0" w:space="0" w:color="auto"/>
        <w:right w:val="none" w:sz="0" w:space="0" w:color="auto"/>
      </w:divBdr>
    </w:div>
    <w:div w:id="1170363951">
      <w:bodyDiv w:val="1"/>
      <w:marLeft w:val="0"/>
      <w:marRight w:val="0"/>
      <w:marTop w:val="0"/>
      <w:marBottom w:val="0"/>
      <w:divBdr>
        <w:top w:val="none" w:sz="0" w:space="0" w:color="auto"/>
        <w:left w:val="none" w:sz="0" w:space="0" w:color="auto"/>
        <w:bottom w:val="none" w:sz="0" w:space="0" w:color="auto"/>
        <w:right w:val="none" w:sz="0" w:space="0" w:color="auto"/>
      </w:divBdr>
    </w:div>
    <w:div w:id="1196431410">
      <w:bodyDiv w:val="1"/>
      <w:marLeft w:val="0"/>
      <w:marRight w:val="0"/>
      <w:marTop w:val="0"/>
      <w:marBottom w:val="0"/>
      <w:divBdr>
        <w:top w:val="none" w:sz="0" w:space="0" w:color="auto"/>
        <w:left w:val="none" w:sz="0" w:space="0" w:color="auto"/>
        <w:bottom w:val="none" w:sz="0" w:space="0" w:color="auto"/>
        <w:right w:val="none" w:sz="0" w:space="0" w:color="auto"/>
      </w:divBdr>
    </w:div>
    <w:div w:id="1202400518">
      <w:bodyDiv w:val="1"/>
      <w:marLeft w:val="0"/>
      <w:marRight w:val="0"/>
      <w:marTop w:val="0"/>
      <w:marBottom w:val="0"/>
      <w:divBdr>
        <w:top w:val="none" w:sz="0" w:space="0" w:color="auto"/>
        <w:left w:val="none" w:sz="0" w:space="0" w:color="auto"/>
        <w:bottom w:val="none" w:sz="0" w:space="0" w:color="auto"/>
        <w:right w:val="none" w:sz="0" w:space="0" w:color="auto"/>
      </w:divBdr>
    </w:div>
    <w:div w:id="1215461495">
      <w:bodyDiv w:val="1"/>
      <w:marLeft w:val="0"/>
      <w:marRight w:val="0"/>
      <w:marTop w:val="0"/>
      <w:marBottom w:val="0"/>
      <w:divBdr>
        <w:top w:val="none" w:sz="0" w:space="0" w:color="auto"/>
        <w:left w:val="none" w:sz="0" w:space="0" w:color="auto"/>
        <w:bottom w:val="none" w:sz="0" w:space="0" w:color="auto"/>
        <w:right w:val="none" w:sz="0" w:space="0" w:color="auto"/>
      </w:divBdr>
    </w:div>
    <w:div w:id="1230919822">
      <w:bodyDiv w:val="1"/>
      <w:marLeft w:val="0"/>
      <w:marRight w:val="0"/>
      <w:marTop w:val="0"/>
      <w:marBottom w:val="0"/>
      <w:divBdr>
        <w:top w:val="none" w:sz="0" w:space="0" w:color="auto"/>
        <w:left w:val="none" w:sz="0" w:space="0" w:color="auto"/>
        <w:bottom w:val="none" w:sz="0" w:space="0" w:color="auto"/>
        <w:right w:val="none" w:sz="0" w:space="0" w:color="auto"/>
      </w:divBdr>
    </w:div>
    <w:div w:id="1281841371">
      <w:bodyDiv w:val="1"/>
      <w:marLeft w:val="0"/>
      <w:marRight w:val="0"/>
      <w:marTop w:val="0"/>
      <w:marBottom w:val="0"/>
      <w:divBdr>
        <w:top w:val="none" w:sz="0" w:space="0" w:color="auto"/>
        <w:left w:val="none" w:sz="0" w:space="0" w:color="auto"/>
        <w:bottom w:val="none" w:sz="0" w:space="0" w:color="auto"/>
        <w:right w:val="none" w:sz="0" w:space="0" w:color="auto"/>
      </w:divBdr>
    </w:div>
    <w:div w:id="1317415034">
      <w:bodyDiv w:val="1"/>
      <w:marLeft w:val="0"/>
      <w:marRight w:val="0"/>
      <w:marTop w:val="0"/>
      <w:marBottom w:val="0"/>
      <w:divBdr>
        <w:top w:val="none" w:sz="0" w:space="0" w:color="auto"/>
        <w:left w:val="none" w:sz="0" w:space="0" w:color="auto"/>
        <w:bottom w:val="none" w:sz="0" w:space="0" w:color="auto"/>
        <w:right w:val="none" w:sz="0" w:space="0" w:color="auto"/>
      </w:divBdr>
    </w:div>
    <w:div w:id="1336029934">
      <w:bodyDiv w:val="1"/>
      <w:marLeft w:val="0"/>
      <w:marRight w:val="0"/>
      <w:marTop w:val="0"/>
      <w:marBottom w:val="0"/>
      <w:divBdr>
        <w:top w:val="none" w:sz="0" w:space="0" w:color="auto"/>
        <w:left w:val="none" w:sz="0" w:space="0" w:color="auto"/>
        <w:bottom w:val="none" w:sz="0" w:space="0" w:color="auto"/>
        <w:right w:val="none" w:sz="0" w:space="0" w:color="auto"/>
      </w:divBdr>
    </w:div>
    <w:div w:id="1339380313">
      <w:bodyDiv w:val="1"/>
      <w:marLeft w:val="0"/>
      <w:marRight w:val="0"/>
      <w:marTop w:val="0"/>
      <w:marBottom w:val="0"/>
      <w:divBdr>
        <w:top w:val="none" w:sz="0" w:space="0" w:color="auto"/>
        <w:left w:val="none" w:sz="0" w:space="0" w:color="auto"/>
        <w:bottom w:val="none" w:sz="0" w:space="0" w:color="auto"/>
        <w:right w:val="none" w:sz="0" w:space="0" w:color="auto"/>
      </w:divBdr>
    </w:div>
    <w:div w:id="1352339678">
      <w:bodyDiv w:val="1"/>
      <w:marLeft w:val="0"/>
      <w:marRight w:val="0"/>
      <w:marTop w:val="0"/>
      <w:marBottom w:val="0"/>
      <w:divBdr>
        <w:top w:val="none" w:sz="0" w:space="0" w:color="auto"/>
        <w:left w:val="none" w:sz="0" w:space="0" w:color="auto"/>
        <w:bottom w:val="none" w:sz="0" w:space="0" w:color="auto"/>
        <w:right w:val="none" w:sz="0" w:space="0" w:color="auto"/>
      </w:divBdr>
    </w:div>
    <w:div w:id="1364288735">
      <w:bodyDiv w:val="1"/>
      <w:marLeft w:val="0"/>
      <w:marRight w:val="0"/>
      <w:marTop w:val="0"/>
      <w:marBottom w:val="0"/>
      <w:divBdr>
        <w:top w:val="none" w:sz="0" w:space="0" w:color="auto"/>
        <w:left w:val="none" w:sz="0" w:space="0" w:color="auto"/>
        <w:bottom w:val="none" w:sz="0" w:space="0" w:color="auto"/>
        <w:right w:val="none" w:sz="0" w:space="0" w:color="auto"/>
      </w:divBdr>
    </w:div>
    <w:div w:id="1367219073">
      <w:bodyDiv w:val="1"/>
      <w:marLeft w:val="0"/>
      <w:marRight w:val="0"/>
      <w:marTop w:val="0"/>
      <w:marBottom w:val="0"/>
      <w:divBdr>
        <w:top w:val="none" w:sz="0" w:space="0" w:color="auto"/>
        <w:left w:val="none" w:sz="0" w:space="0" w:color="auto"/>
        <w:bottom w:val="none" w:sz="0" w:space="0" w:color="auto"/>
        <w:right w:val="none" w:sz="0" w:space="0" w:color="auto"/>
      </w:divBdr>
    </w:div>
    <w:div w:id="1392801518">
      <w:bodyDiv w:val="1"/>
      <w:marLeft w:val="0"/>
      <w:marRight w:val="0"/>
      <w:marTop w:val="0"/>
      <w:marBottom w:val="0"/>
      <w:divBdr>
        <w:top w:val="none" w:sz="0" w:space="0" w:color="auto"/>
        <w:left w:val="none" w:sz="0" w:space="0" w:color="auto"/>
        <w:bottom w:val="none" w:sz="0" w:space="0" w:color="auto"/>
        <w:right w:val="none" w:sz="0" w:space="0" w:color="auto"/>
      </w:divBdr>
    </w:div>
    <w:div w:id="1436555964">
      <w:bodyDiv w:val="1"/>
      <w:marLeft w:val="0"/>
      <w:marRight w:val="0"/>
      <w:marTop w:val="0"/>
      <w:marBottom w:val="0"/>
      <w:divBdr>
        <w:top w:val="none" w:sz="0" w:space="0" w:color="auto"/>
        <w:left w:val="none" w:sz="0" w:space="0" w:color="auto"/>
        <w:bottom w:val="none" w:sz="0" w:space="0" w:color="auto"/>
        <w:right w:val="none" w:sz="0" w:space="0" w:color="auto"/>
      </w:divBdr>
    </w:div>
    <w:div w:id="1551109962">
      <w:bodyDiv w:val="1"/>
      <w:marLeft w:val="0"/>
      <w:marRight w:val="0"/>
      <w:marTop w:val="0"/>
      <w:marBottom w:val="0"/>
      <w:divBdr>
        <w:top w:val="none" w:sz="0" w:space="0" w:color="auto"/>
        <w:left w:val="none" w:sz="0" w:space="0" w:color="auto"/>
        <w:bottom w:val="none" w:sz="0" w:space="0" w:color="auto"/>
        <w:right w:val="none" w:sz="0" w:space="0" w:color="auto"/>
      </w:divBdr>
    </w:div>
    <w:div w:id="1563366104">
      <w:bodyDiv w:val="1"/>
      <w:marLeft w:val="0"/>
      <w:marRight w:val="0"/>
      <w:marTop w:val="0"/>
      <w:marBottom w:val="0"/>
      <w:divBdr>
        <w:top w:val="none" w:sz="0" w:space="0" w:color="auto"/>
        <w:left w:val="none" w:sz="0" w:space="0" w:color="auto"/>
        <w:bottom w:val="none" w:sz="0" w:space="0" w:color="auto"/>
        <w:right w:val="none" w:sz="0" w:space="0" w:color="auto"/>
      </w:divBdr>
    </w:div>
    <w:div w:id="1575504168">
      <w:bodyDiv w:val="1"/>
      <w:marLeft w:val="0"/>
      <w:marRight w:val="0"/>
      <w:marTop w:val="0"/>
      <w:marBottom w:val="0"/>
      <w:divBdr>
        <w:top w:val="none" w:sz="0" w:space="0" w:color="auto"/>
        <w:left w:val="none" w:sz="0" w:space="0" w:color="auto"/>
        <w:bottom w:val="none" w:sz="0" w:space="0" w:color="auto"/>
        <w:right w:val="none" w:sz="0" w:space="0" w:color="auto"/>
      </w:divBdr>
    </w:div>
    <w:div w:id="1585259952">
      <w:bodyDiv w:val="1"/>
      <w:marLeft w:val="0"/>
      <w:marRight w:val="0"/>
      <w:marTop w:val="0"/>
      <w:marBottom w:val="0"/>
      <w:divBdr>
        <w:top w:val="none" w:sz="0" w:space="0" w:color="auto"/>
        <w:left w:val="none" w:sz="0" w:space="0" w:color="auto"/>
        <w:bottom w:val="none" w:sz="0" w:space="0" w:color="auto"/>
        <w:right w:val="none" w:sz="0" w:space="0" w:color="auto"/>
      </w:divBdr>
    </w:div>
    <w:div w:id="1594700288">
      <w:bodyDiv w:val="1"/>
      <w:marLeft w:val="0"/>
      <w:marRight w:val="0"/>
      <w:marTop w:val="0"/>
      <w:marBottom w:val="0"/>
      <w:divBdr>
        <w:top w:val="none" w:sz="0" w:space="0" w:color="auto"/>
        <w:left w:val="none" w:sz="0" w:space="0" w:color="auto"/>
        <w:bottom w:val="none" w:sz="0" w:space="0" w:color="auto"/>
        <w:right w:val="none" w:sz="0" w:space="0" w:color="auto"/>
      </w:divBdr>
    </w:div>
    <w:div w:id="1632206195">
      <w:bodyDiv w:val="1"/>
      <w:marLeft w:val="0"/>
      <w:marRight w:val="0"/>
      <w:marTop w:val="0"/>
      <w:marBottom w:val="0"/>
      <w:divBdr>
        <w:top w:val="none" w:sz="0" w:space="0" w:color="auto"/>
        <w:left w:val="none" w:sz="0" w:space="0" w:color="auto"/>
        <w:bottom w:val="none" w:sz="0" w:space="0" w:color="auto"/>
        <w:right w:val="none" w:sz="0" w:space="0" w:color="auto"/>
      </w:divBdr>
    </w:div>
    <w:div w:id="1636595665">
      <w:marLeft w:val="0"/>
      <w:marRight w:val="0"/>
      <w:marTop w:val="0"/>
      <w:marBottom w:val="0"/>
      <w:divBdr>
        <w:top w:val="none" w:sz="0" w:space="0" w:color="auto"/>
        <w:left w:val="none" w:sz="0" w:space="0" w:color="auto"/>
        <w:bottom w:val="none" w:sz="0" w:space="0" w:color="auto"/>
        <w:right w:val="none" w:sz="0" w:space="0" w:color="auto"/>
      </w:divBdr>
    </w:div>
    <w:div w:id="1636595666">
      <w:marLeft w:val="0"/>
      <w:marRight w:val="0"/>
      <w:marTop w:val="0"/>
      <w:marBottom w:val="0"/>
      <w:divBdr>
        <w:top w:val="none" w:sz="0" w:space="0" w:color="auto"/>
        <w:left w:val="none" w:sz="0" w:space="0" w:color="auto"/>
        <w:bottom w:val="none" w:sz="0" w:space="0" w:color="auto"/>
        <w:right w:val="none" w:sz="0" w:space="0" w:color="auto"/>
      </w:divBdr>
    </w:div>
    <w:div w:id="1636595667">
      <w:marLeft w:val="0"/>
      <w:marRight w:val="0"/>
      <w:marTop w:val="0"/>
      <w:marBottom w:val="0"/>
      <w:divBdr>
        <w:top w:val="none" w:sz="0" w:space="0" w:color="auto"/>
        <w:left w:val="none" w:sz="0" w:space="0" w:color="auto"/>
        <w:bottom w:val="none" w:sz="0" w:space="0" w:color="auto"/>
        <w:right w:val="none" w:sz="0" w:space="0" w:color="auto"/>
      </w:divBdr>
    </w:div>
    <w:div w:id="1636595668">
      <w:marLeft w:val="0"/>
      <w:marRight w:val="0"/>
      <w:marTop w:val="0"/>
      <w:marBottom w:val="0"/>
      <w:divBdr>
        <w:top w:val="none" w:sz="0" w:space="0" w:color="auto"/>
        <w:left w:val="none" w:sz="0" w:space="0" w:color="auto"/>
        <w:bottom w:val="none" w:sz="0" w:space="0" w:color="auto"/>
        <w:right w:val="none" w:sz="0" w:space="0" w:color="auto"/>
      </w:divBdr>
    </w:div>
    <w:div w:id="1636595669">
      <w:marLeft w:val="0"/>
      <w:marRight w:val="0"/>
      <w:marTop w:val="0"/>
      <w:marBottom w:val="0"/>
      <w:divBdr>
        <w:top w:val="none" w:sz="0" w:space="0" w:color="auto"/>
        <w:left w:val="none" w:sz="0" w:space="0" w:color="auto"/>
        <w:bottom w:val="none" w:sz="0" w:space="0" w:color="auto"/>
        <w:right w:val="none" w:sz="0" w:space="0" w:color="auto"/>
      </w:divBdr>
    </w:div>
    <w:div w:id="1636595670">
      <w:marLeft w:val="0"/>
      <w:marRight w:val="0"/>
      <w:marTop w:val="0"/>
      <w:marBottom w:val="0"/>
      <w:divBdr>
        <w:top w:val="none" w:sz="0" w:space="0" w:color="auto"/>
        <w:left w:val="none" w:sz="0" w:space="0" w:color="auto"/>
        <w:bottom w:val="none" w:sz="0" w:space="0" w:color="auto"/>
        <w:right w:val="none" w:sz="0" w:space="0" w:color="auto"/>
      </w:divBdr>
    </w:div>
    <w:div w:id="1636595671">
      <w:marLeft w:val="0"/>
      <w:marRight w:val="0"/>
      <w:marTop w:val="0"/>
      <w:marBottom w:val="0"/>
      <w:divBdr>
        <w:top w:val="none" w:sz="0" w:space="0" w:color="auto"/>
        <w:left w:val="none" w:sz="0" w:space="0" w:color="auto"/>
        <w:bottom w:val="none" w:sz="0" w:space="0" w:color="auto"/>
        <w:right w:val="none" w:sz="0" w:space="0" w:color="auto"/>
      </w:divBdr>
    </w:div>
    <w:div w:id="1665402424">
      <w:bodyDiv w:val="1"/>
      <w:marLeft w:val="0"/>
      <w:marRight w:val="0"/>
      <w:marTop w:val="0"/>
      <w:marBottom w:val="0"/>
      <w:divBdr>
        <w:top w:val="none" w:sz="0" w:space="0" w:color="auto"/>
        <w:left w:val="none" w:sz="0" w:space="0" w:color="auto"/>
        <w:bottom w:val="none" w:sz="0" w:space="0" w:color="auto"/>
        <w:right w:val="none" w:sz="0" w:space="0" w:color="auto"/>
      </w:divBdr>
    </w:div>
    <w:div w:id="1692754795">
      <w:bodyDiv w:val="1"/>
      <w:marLeft w:val="0"/>
      <w:marRight w:val="0"/>
      <w:marTop w:val="0"/>
      <w:marBottom w:val="0"/>
      <w:divBdr>
        <w:top w:val="none" w:sz="0" w:space="0" w:color="auto"/>
        <w:left w:val="none" w:sz="0" w:space="0" w:color="auto"/>
        <w:bottom w:val="none" w:sz="0" w:space="0" w:color="auto"/>
        <w:right w:val="none" w:sz="0" w:space="0" w:color="auto"/>
      </w:divBdr>
    </w:div>
    <w:div w:id="1712921738">
      <w:bodyDiv w:val="1"/>
      <w:marLeft w:val="0"/>
      <w:marRight w:val="0"/>
      <w:marTop w:val="0"/>
      <w:marBottom w:val="0"/>
      <w:divBdr>
        <w:top w:val="none" w:sz="0" w:space="0" w:color="auto"/>
        <w:left w:val="none" w:sz="0" w:space="0" w:color="auto"/>
        <w:bottom w:val="none" w:sz="0" w:space="0" w:color="auto"/>
        <w:right w:val="none" w:sz="0" w:space="0" w:color="auto"/>
      </w:divBdr>
    </w:div>
    <w:div w:id="1733263045">
      <w:bodyDiv w:val="1"/>
      <w:marLeft w:val="0"/>
      <w:marRight w:val="0"/>
      <w:marTop w:val="0"/>
      <w:marBottom w:val="0"/>
      <w:divBdr>
        <w:top w:val="none" w:sz="0" w:space="0" w:color="auto"/>
        <w:left w:val="none" w:sz="0" w:space="0" w:color="auto"/>
        <w:bottom w:val="none" w:sz="0" w:space="0" w:color="auto"/>
        <w:right w:val="none" w:sz="0" w:space="0" w:color="auto"/>
      </w:divBdr>
    </w:div>
    <w:div w:id="1751272400">
      <w:bodyDiv w:val="1"/>
      <w:marLeft w:val="0"/>
      <w:marRight w:val="0"/>
      <w:marTop w:val="0"/>
      <w:marBottom w:val="0"/>
      <w:divBdr>
        <w:top w:val="none" w:sz="0" w:space="0" w:color="auto"/>
        <w:left w:val="none" w:sz="0" w:space="0" w:color="auto"/>
        <w:bottom w:val="none" w:sz="0" w:space="0" w:color="auto"/>
        <w:right w:val="none" w:sz="0" w:space="0" w:color="auto"/>
      </w:divBdr>
    </w:div>
    <w:div w:id="1765959669">
      <w:bodyDiv w:val="1"/>
      <w:marLeft w:val="0"/>
      <w:marRight w:val="0"/>
      <w:marTop w:val="0"/>
      <w:marBottom w:val="0"/>
      <w:divBdr>
        <w:top w:val="none" w:sz="0" w:space="0" w:color="auto"/>
        <w:left w:val="none" w:sz="0" w:space="0" w:color="auto"/>
        <w:bottom w:val="none" w:sz="0" w:space="0" w:color="auto"/>
        <w:right w:val="none" w:sz="0" w:space="0" w:color="auto"/>
      </w:divBdr>
    </w:div>
    <w:div w:id="1903564729">
      <w:bodyDiv w:val="1"/>
      <w:marLeft w:val="0"/>
      <w:marRight w:val="0"/>
      <w:marTop w:val="0"/>
      <w:marBottom w:val="0"/>
      <w:divBdr>
        <w:top w:val="none" w:sz="0" w:space="0" w:color="auto"/>
        <w:left w:val="none" w:sz="0" w:space="0" w:color="auto"/>
        <w:bottom w:val="none" w:sz="0" w:space="0" w:color="auto"/>
        <w:right w:val="none" w:sz="0" w:space="0" w:color="auto"/>
      </w:divBdr>
    </w:div>
    <w:div w:id="1903633318">
      <w:bodyDiv w:val="1"/>
      <w:marLeft w:val="0"/>
      <w:marRight w:val="0"/>
      <w:marTop w:val="0"/>
      <w:marBottom w:val="0"/>
      <w:divBdr>
        <w:top w:val="none" w:sz="0" w:space="0" w:color="auto"/>
        <w:left w:val="none" w:sz="0" w:space="0" w:color="auto"/>
        <w:bottom w:val="none" w:sz="0" w:space="0" w:color="auto"/>
        <w:right w:val="none" w:sz="0" w:space="0" w:color="auto"/>
      </w:divBdr>
    </w:div>
    <w:div w:id="1918005779">
      <w:bodyDiv w:val="1"/>
      <w:marLeft w:val="0"/>
      <w:marRight w:val="0"/>
      <w:marTop w:val="0"/>
      <w:marBottom w:val="0"/>
      <w:divBdr>
        <w:top w:val="none" w:sz="0" w:space="0" w:color="auto"/>
        <w:left w:val="none" w:sz="0" w:space="0" w:color="auto"/>
        <w:bottom w:val="none" w:sz="0" w:space="0" w:color="auto"/>
        <w:right w:val="none" w:sz="0" w:space="0" w:color="auto"/>
      </w:divBdr>
    </w:div>
    <w:div w:id="1943688177">
      <w:bodyDiv w:val="1"/>
      <w:marLeft w:val="0"/>
      <w:marRight w:val="0"/>
      <w:marTop w:val="0"/>
      <w:marBottom w:val="0"/>
      <w:divBdr>
        <w:top w:val="none" w:sz="0" w:space="0" w:color="auto"/>
        <w:left w:val="none" w:sz="0" w:space="0" w:color="auto"/>
        <w:bottom w:val="none" w:sz="0" w:space="0" w:color="auto"/>
        <w:right w:val="none" w:sz="0" w:space="0" w:color="auto"/>
      </w:divBdr>
    </w:div>
    <w:div w:id="1982420252">
      <w:bodyDiv w:val="1"/>
      <w:marLeft w:val="0"/>
      <w:marRight w:val="0"/>
      <w:marTop w:val="0"/>
      <w:marBottom w:val="0"/>
      <w:divBdr>
        <w:top w:val="none" w:sz="0" w:space="0" w:color="auto"/>
        <w:left w:val="none" w:sz="0" w:space="0" w:color="auto"/>
        <w:bottom w:val="none" w:sz="0" w:space="0" w:color="auto"/>
        <w:right w:val="none" w:sz="0" w:space="0" w:color="auto"/>
      </w:divBdr>
    </w:div>
    <w:div w:id="1998145194">
      <w:bodyDiv w:val="1"/>
      <w:marLeft w:val="0"/>
      <w:marRight w:val="0"/>
      <w:marTop w:val="0"/>
      <w:marBottom w:val="0"/>
      <w:divBdr>
        <w:top w:val="none" w:sz="0" w:space="0" w:color="auto"/>
        <w:left w:val="none" w:sz="0" w:space="0" w:color="auto"/>
        <w:bottom w:val="none" w:sz="0" w:space="0" w:color="auto"/>
        <w:right w:val="none" w:sz="0" w:space="0" w:color="auto"/>
      </w:divBdr>
    </w:div>
    <w:div w:id="2004047426">
      <w:bodyDiv w:val="1"/>
      <w:marLeft w:val="0"/>
      <w:marRight w:val="0"/>
      <w:marTop w:val="0"/>
      <w:marBottom w:val="0"/>
      <w:divBdr>
        <w:top w:val="none" w:sz="0" w:space="0" w:color="auto"/>
        <w:left w:val="none" w:sz="0" w:space="0" w:color="auto"/>
        <w:bottom w:val="none" w:sz="0" w:space="0" w:color="auto"/>
        <w:right w:val="none" w:sz="0" w:space="0" w:color="auto"/>
      </w:divBdr>
    </w:div>
    <w:div w:id="2013795857">
      <w:bodyDiv w:val="1"/>
      <w:marLeft w:val="0"/>
      <w:marRight w:val="0"/>
      <w:marTop w:val="0"/>
      <w:marBottom w:val="0"/>
      <w:divBdr>
        <w:top w:val="none" w:sz="0" w:space="0" w:color="auto"/>
        <w:left w:val="none" w:sz="0" w:space="0" w:color="auto"/>
        <w:bottom w:val="none" w:sz="0" w:space="0" w:color="auto"/>
        <w:right w:val="none" w:sz="0" w:space="0" w:color="auto"/>
      </w:divBdr>
    </w:div>
    <w:div w:id="2044011969">
      <w:bodyDiv w:val="1"/>
      <w:marLeft w:val="0"/>
      <w:marRight w:val="0"/>
      <w:marTop w:val="0"/>
      <w:marBottom w:val="0"/>
      <w:divBdr>
        <w:top w:val="none" w:sz="0" w:space="0" w:color="auto"/>
        <w:left w:val="none" w:sz="0" w:space="0" w:color="auto"/>
        <w:bottom w:val="none" w:sz="0" w:space="0" w:color="auto"/>
        <w:right w:val="none" w:sz="0" w:space="0" w:color="auto"/>
      </w:divBdr>
    </w:div>
    <w:div w:id="2061204500">
      <w:bodyDiv w:val="1"/>
      <w:marLeft w:val="0"/>
      <w:marRight w:val="0"/>
      <w:marTop w:val="0"/>
      <w:marBottom w:val="0"/>
      <w:divBdr>
        <w:top w:val="none" w:sz="0" w:space="0" w:color="auto"/>
        <w:left w:val="none" w:sz="0" w:space="0" w:color="auto"/>
        <w:bottom w:val="none" w:sz="0" w:space="0" w:color="auto"/>
        <w:right w:val="none" w:sz="0" w:space="0" w:color="auto"/>
      </w:divBdr>
    </w:div>
    <w:div w:id="2061783533">
      <w:bodyDiv w:val="1"/>
      <w:marLeft w:val="0"/>
      <w:marRight w:val="0"/>
      <w:marTop w:val="0"/>
      <w:marBottom w:val="0"/>
      <w:divBdr>
        <w:top w:val="none" w:sz="0" w:space="0" w:color="auto"/>
        <w:left w:val="none" w:sz="0" w:space="0" w:color="auto"/>
        <w:bottom w:val="none" w:sz="0" w:space="0" w:color="auto"/>
        <w:right w:val="none" w:sz="0" w:space="0" w:color="auto"/>
      </w:divBdr>
    </w:div>
    <w:div w:id="2066752695">
      <w:bodyDiv w:val="1"/>
      <w:marLeft w:val="0"/>
      <w:marRight w:val="0"/>
      <w:marTop w:val="0"/>
      <w:marBottom w:val="0"/>
      <w:divBdr>
        <w:top w:val="none" w:sz="0" w:space="0" w:color="auto"/>
        <w:left w:val="none" w:sz="0" w:space="0" w:color="auto"/>
        <w:bottom w:val="none" w:sz="0" w:space="0" w:color="auto"/>
        <w:right w:val="none" w:sz="0" w:space="0" w:color="auto"/>
      </w:divBdr>
    </w:div>
    <w:div w:id="2093966918">
      <w:bodyDiv w:val="1"/>
      <w:marLeft w:val="0"/>
      <w:marRight w:val="0"/>
      <w:marTop w:val="0"/>
      <w:marBottom w:val="0"/>
      <w:divBdr>
        <w:top w:val="none" w:sz="0" w:space="0" w:color="auto"/>
        <w:left w:val="none" w:sz="0" w:space="0" w:color="auto"/>
        <w:bottom w:val="none" w:sz="0" w:space="0" w:color="auto"/>
        <w:right w:val="none" w:sz="0" w:space="0" w:color="auto"/>
      </w:divBdr>
    </w:div>
    <w:div w:id="214677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108/GM-03-2024-012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4/relationships/chartEx" Target="charts/chartEx1.xml"/><Relationship Id="rId5" Type="http://schemas.openxmlformats.org/officeDocument/2006/relationships/webSettings" Target="webSettings.xml"/><Relationship Id="rId15" Type="http://schemas.openxmlformats.org/officeDocument/2006/relationships/hyperlink" Target="https://doi.org/10.1108/GM-10-2024-0571"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shraf\Downloads\znz_academic_final.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shraf\Downloads\znz_academic_fi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الارتباط مع التمكين القيادي</c:v>
          </c:tx>
          <c:invertIfNegative val="1"/>
          <c:cat>
            <c:strRef>
              <c:f>'الرسوم البيانية'!$D$4:$D$6</c:f>
              <c:strCache>
                <c:ptCount val="3"/>
                <c:pt idx="0">
                  <c:v>العوامل الاجتماعية</c:v>
                </c:pt>
                <c:pt idx="1">
                  <c:v>العوامل الثقافية</c:v>
                </c:pt>
                <c:pt idx="2">
                  <c:v>العوامل التنظيمية</c:v>
                </c:pt>
              </c:strCache>
            </c:strRef>
          </c:cat>
          <c:val>
            <c:numRef>
              <c:f>'الرسوم البيانية'!$E$4:$E$6</c:f>
              <c:numCache>
                <c:formatCode>0.000</c:formatCode>
                <c:ptCount val="3"/>
                <c:pt idx="0">
                  <c:v>0.38400000000000001</c:v>
                </c:pt>
                <c:pt idx="1">
                  <c:v>0.39</c:v>
                </c:pt>
                <c:pt idx="2">
                  <c:v>0.42099999999999999</c:v>
                </c:pt>
              </c:numCache>
            </c:numRef>
          </c:val>
          <c:extLst>
            <c:ext xmlns:c16="http://schemas.microsoft.com/office/drawing/2014/chart" uri="{C3380CC4-5D6E-409C-BE32-E72D297353CC}">
              <c16:uniqueId val="{00000000-78EE-4703-8909-78C53CCBDACA}"/>
            </c:ext>
          </c:extLst>
        </c:ser>
        <c:dLbls>
          <c:showLegendKey val="0"/>
          <c:showVal val="0"/>
          <c:showCatName val="0"/>
          <c:showSerName val="0"/>
          <c:showPercent val="0"/>
          <c:showBubbleSize val="0"/>
        </c:dLbls>
        <c:gapWidth val="150"/>
        <c:axId val="48650112"/>
        <c:axId val="48672768"/>
      </c:bar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txPr>
          <a:bodyPr rot="-1200000" anchorCtr="1"/>
          <a:lstStyle/>
          <a:p>
            <a:pPr>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0.000" sourceLinked="1"/>
        <c:majorTickMark val="none"/>
        <c:minorTickMark val="none"/>
        <c:tickLblPos val="nextTo"/>
        <c:crossAx val="48650112"/>
        <c:crosses val="autoZero"/>
        <c:crossBetween val="between"/>
      </c:valAx>
    </c:plotArea>
    <c:plotVisOnly val="1"/>
    <c:dispBlanksAs val="zero"/>
    <c:showDLblsOverMax val="1"/>
  </c:chart>
  <c:spPr>
    <a:ln w="9525">
      <a:solidFill>
        <a:srgbClr val="D9D9D9"/>
      </a:solidFill>
      <a:prstDash val="solid"/>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v>Beta المعياري</c:v>
          </c:tx>
          <c:invertIfNegative val="1"/>
          <c:cat>
            <c:strRef>
              <c:f>'الرسوم البيانية'!$G$4:$G$6</c:f>
              <c:strCache>
                <c:ptCount val="3"/>
                <c:pt idx="0">
                  <c:v>العوامل الاجتماعية</c:v>
                </c:pt>
                <c:pt idx="1">
                  <c:v>العوامل الثقافية</c:v>
                </c:pt>
                <c:pt idx="2">
                  <c:v>العوامل التنظيمية</c:v>
                </c:pt>
              </c:strCache>
            </c:strRef>
          </c:cat>
          <c:val>
            <c:numRef>
              <c:f>'الرسوم البيانية'!$H$4:$H$6</c:f>
              <c:numCache>
                <c:formatCode>0.000</c:formatCode>
                <c:ptCount val="3"/>
                <c:pt idx="0">
                  <c:v>0.28299999999999997</c:v>
                </c:pt>
                <c:pt idx="1">
                  <c:v>0.26400000000000001</c:v>
                </c:pt>
                <c:pt idx="2">
                  <c:v>0.35599999999999998</c:v>
                </c:pt>
              </c:numCache>
            </c:numRef>
          </c:val>
          <c:extLst>
            <c:ext xmlns:c16="http://schemas.microsoft.com/office/drawing/2014/chart" uri="{C3380CC4-5D6E-409C-BE32-E72D297353CC}">
              <c16:uniqueId val="{00000000-4250-4B3B-A7F7-6DAE9F86A8CF}"/>
            </c:ext>
          </c:extLst>
        </c:ser>
        <c:dLbls>
          <c:showLegendKey val="0"/>
          <c:showVal val="0"/>
          <c:showCatName val="0"/>
          <c:showSerName val="0"/>
          <c:showPercent val="0"/>
          <c:showBubbleSize val="0"/>
        </c:dLbls>
        <c:gapWidth val="150"/>
        <c:axId val="48650112"/>
        <c:axId val="48672768"/>
      </c:bar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txPr>
          <a:bodyPr rot="-600000" anchorCtr="1"/>
          <a:lstStyle/>
          <a:p>
            <a:pPr>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0.000" sourceLinked="1"/>
        <c:majorTickMark val="none"/>
        <c:minorTickMark val="none"/>
        <c:tickLblPos val="nextTo"/>
        <c:crossAx val="48650112"/>
        <c:crosses val="autoZero"/>
        <c:crossBetween val="between"/>
      </c:valAx>
    </c:plotArea>
    <c:plotVisOnly val="1"/>
    <c:dispBlanksAs val="zero"/>
    <c:showDLblsOverMax val="1"/>
  </c:chart>
  <c:spPr>
    <a:ln w="9525">
      <a:solidFill>
        <a:srgbClr val="D9D9D9"/>
      </a:solidFill>
      <a:prstDash val="solid"/>
    </a:ln>
  </c:spPr>
  <c:externalData r:id="rId2">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Sheet1!$A$2:$F$2</cx:f>
        <cx:lvl ptCount="6">
          <cx:pt idx="0">البعد</cx:pt>
          <cx:pt idx="1">N</cx:pt>
          <cx:pt idx="2">الحد الأدنى</cx:pt>
          <cx:pt idx="3">الحد الأقصى</cx:pt>
          <cx:pt idx="4">المتوسط</cx:pt>
          <cx:pt idx="5">الانحراف المعياري</cx:pt>
        </cx:lvl>
      </cx:strDim>
      <cx:numDim type="val">
        <cx:f>Sheet1!$A$3:$F$3</cx:f>
        <cx:lvl ptCount="6" formatCode="General">
          <cx:pt idx="0">0</cx:pt>
          <cx:pt idx="1">380</cx:pt>
          <cx:pt idx="2">1.5</cx:pt>
          <cx:pt idx="3">5</cx:pt>
          <cx:pt idx="4">3.5142000000000002</cx:pt>
          <cx:pt idx="5">0.67210000000000003</cx:pt>
        </cx:lvl>
      </cx:numDim>
    </cx:data>
    <cx:data id="1">
      <cx:strDim type="cat">
        <cx:f>Sheet1!$A$2:$F$2</cx:f>
        <cx:lvl ptCount="6">
          <cx:pt idx="0">البعد</cx:pt>
          <cx:pt idx="1">N</cx:pt>
          <cx:pt idx="2">الحد الأدنى</cx:pt>
          <cx:pt idx="3">الحد الأقصى</cx:pt>
          <cx:pt idx="4">المتوسط</cx:pt>
          <cx:pt idx="5">الانحراف المعياري</cx:pt>
        </cx:lvl>
      </cx:strDim>
      <cx:numDim type="val">
        <cx:f>Sheet1!$A$4:$F$4</cx:f>
        <cx:lvl ptCount="6" formatCode="General">
          <cx:pt idx="0">0</cx:pt>
          <cx:pt idx="1">380</cx:pt>
          <cx:pt idx="2">1.5</cx:pt>
          <cx:pt idx="3">5</cx:pt>
          <cx:pt idx="4">3.5116000000000001</cx:pt>
          <cx:pt idx="5">0.67313999999999996</cx:pt>
        </cx:lvl>
      </cx:numDim>
    </cx:data>
    <cx:data id="2">
      <cx:strDim type="cat">
        <cx:f>Sheet1!$A$2:$F$2</cx:f>
        <cx:lvl ptCount="6">
          <cx:pt idx="0">البعد</cx:pt>
          <cx:pt idx="1">N</cx:pt>
          <cx:pt idx="2">الحد الأدنى</cx:pt>
          <cx:pt idx="3">الحد الأقصى</cx:pt>
          <cx:pt idx="4">المتوسط</cx:pt>
          <cx:pt idx="5">الانحراف المعياري</cx:pt>
        </cx:lvl>
      </cx:strDim>
      <cx:numDim type="val">
        <cx:f>Sheet1!$A$5:$F$5</cx:f>
        <cx:lvl ptCount="6" formatCode="General">
          <cx:pt idx="0">0</cx:pt>
          <cx:pt idx="1">380</cx:pt>
          <cx:pt idx="2">1.7</cx:pt>
          <cx:pt idx="3">5</cx:pt>
          <cx:pt idx="4">3.5811000000000002</cx:pt>
          <cx:pt idx="5">0.67347999999999997</cx:pt>
        </cx:lvl>
      </cx:numDim>
    </cx:data>
    <cx:data id="3">
      <cx:strDim type="cat">
        <cx:f>Sheet1!$A$2:$F$2</cx:f>
        <cx:lvl ptCount="6">
          <cx:pt idx="0">البعد</cx:pt>
          <cx:pt idx="1">N</cx:pt>
          <cx:pt idx="2">الحد الأدنى</cx:pt>
          <cx:pt idx="3">الحد الأقصى</cx:pt>
          <cx:pt idx="4">المتوسط</cx:pt>
          <cx:pt idx="5">الانحراف المعياري</cx:pt>
        </cx:lvl>
      </cx:strDim>
      <cx:numDim type="val">
        <cx:f>Sheet1!$A$6:$F$6</cx:f>
        <cx:lvl ptCount="6" formatCode="General">
          <cx:pt idx="0">0</cx:pt>
          <cx:pt idx="1">380</cx:pt>
          <cx:pt idx="2">1.7</cx:pt>
          <cx:pt idx="3">4.9000000000000004</cx:pt>
          <cx:pt idx="4">3.5310999999999999</cx:pt>
          <cx:pt idx="5">0.62900999999999996</cx:pt>
        </cx:lvl>
      </cx:numDim>
    </cx:data>
    <cx:data id="4">
      <cx:strDim type="cat">
        <cx:f>Sheet1!$A$2:$F$2</cx:f>
        <cx:lvl ptCount="6">
          <cx:pt idx="0">البعد</cx:pt>
          <cx:pt idx="1">N</cx:pt>
          <cx:pt idx="2">الحد الأدنى</cx:pt>
          <cx:pt idx="3">الحد الأقصى</cx:pt>
          <cx:pt idx="4">المتوسط</cx:pt>
          <cx:pt idx="5">الانحراف المعياري</cx:pt>
        </cx:lvl>
      </cx:strDim>
      <cx:numDim type="val">
        <cx:f>Sheet1!$A$7:$F$7</cx:f>
        <cx:lvl ptCount="6" formatCode="General"/>
      </cx:numDim>
    </cx:data>
  </cx:chartData>
  <cx:chart>
    <cx:plotArea>
      <cx:plotAreaRegion>
        <cx:series layoutId="waterfall" uniqueId="{E521E6C7-8B73-4CB7-AC23-E2A615603B17}" formatIdx="0">
          <cx:dataLabels pos="outEnd">
            <cx:visibility seriesName="0" categoryName="0" value="1"/>
          </cx:dataLabels>
          <cx:dataId val="0"/>
          <cx:layoutPr>
            <cx:subtotals/>
          </cx:layoutPr>
        </cx:series>
        <cx:series layoutId="waterfall" hidden="1" uniqueId="{F0D49679-068C-48C1-A0AA-AC344388F639}" formatIdx="1">
          <cx:dataLabels pos="outEnd">
            <cx:visibility seriesName="0" categoryName="0" value="1"/>
          </cx:dataLabels>
          <cx:dataId val="1"/>
          <cx:layoutPr>
            <cx:subtotals/>
          </cx:layoutPr>
        </cx:series>
        <cx:series layoutId="waterfall" hidden="1" uniqueId="{AB17F17D-24A9-44CB-AC2C-BD3D097BD21C}" formatIdx="2">
          <cx:dataLabels pos="outEnd">
            <cx:visibility seriesName="0" categoryName="0" value="1"/>
          </cx:dataLabels>
          <cx:dataId val="2"/>
          <cx:layoutPr>
            <cx:subtotals/>
          </cx:layoutPr>
        </cx:series>
        <cx:series layoutId="waterfall" hidden="1" uniqueId="{672BD417-C6B6-4682-B26F-C7BE782CBE27}" formatIdx="3">
          <cx:dataLabels pos="outEnd">
            <cx:visibility seriesName="0" categoryName="0" value="1"/>
          </cx:dataLabels>
          <cx:dataId val="3"/>
          <cx:layoutPr>
            <cx:subtotals/>
          </cx:layoutPr>
        </cx:series>
        <cx:series layoutId="waterfall" hidden="1" uniqueId="{AE79BEE0-200F-42D8-8391-4D3AC5ED581B}" formatIdx="4">
          <cx:dataLabels pos="outEnd">
            <cx:visibility seriesName="0" categoryName="0" value="1"/>
          </cx:dataLabels>
          <cx:dataId val="4"/>
          <cx:layoutPr>
            <cx:subtotals/>
          </cx:layoutPr>
        </cx:series>
      </cx:plotAreaRegion>
      <cx:axis id="0">
        <cx:catScaling gapWidth="0.5"/>
        <cx:tickLabels/>
      </cx:axis>
      <cx:axis id="1">
        <cx:valScaling/>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ChatGPT">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a:ea typeface="Calibri Light"/>
      <a:cs typeface="Calibri Light"/>
    </a:majorFont>
    <a:minorFont>
      <a:latin typeface="Calibri"/>
      <a:ea typeface="Calibri"/>
      <a:cs typeface="Calibri"/>
    </a:minorFont>
  </a:fontScheme>
  <a:fmtScheme name="ChatGPT">
    <a:fillStyleLst>
      <a:solidFill>
        <a:schemeClr val="phClr"/>
      </a:solidFill>
      <a:gradFill>
        <a:gsLst>
          <a:gs pos="0">
            <a:schemeClr val="phClr">
              <a:tint val="67000"/>
              <a:lumMod val="110000"/>
              <a:satMod val="105000"/>
            </a:schemeClr>
          </a:gs>
          <a:gs pos="50000">
            <a:schemeClr val="phClr">
              <a:tint val="73000"/>
              <a:lumMod val="105000"/>
              <a:satMod val="103000"/>
            </a:schemeClr>
          </a:gs>
          <a:gs pos="100000">
            <a:schemeClr val="phClr">
              <a:tint val="81000"/>
              <a:lumMod val="105000"/>
              <a:satMod val="109000"/>
            </a:schemeClr>
          </a:gs>
        </a:gsLst>
        <a:lin ang="5400000" scaled="0"/>
      </a:gradFill>
      <a:gradFill>
        <a:gsLst>
          <a:gs pos="0">
            <a:schemeClr val="phClr">
              <a:tint val="94000"/>
              <a:lumMod val="102000"/>
              <a:satMod val="103000"/>
            </a:schemeClr>
          </a:gs>
          <a:gs pos="50000">
            <a:schemeClr val="phClr">
              <a:shade val="100000"/>
              <a:lumMod val="100000"/>
              <a:satMod val="110000"/>
            </a:schemeClr>
          </a:gs>
          <a:gs pos="100000">
            <a:schemeClr val="phClr">
              <a:shade val="78000"/>
              <a:lumMod val="99000"/>
              <a:satMod val="120000"/>
            </a:schemeClr>
          </a:gs>
        </a:gsLst>
        <a:lin ang="5400000" scaled="0"/>
      </a:gradFill>
    </a:fillStyleLst>
    <a:lnStyleLst>
      <a:ln w="12700">
        <a:solidFill>
          <a:schemeClr val="phClr"/>
        </a:solidFill>
        <a:prstDash val="solid"/>
      </a:ln>
      <a:ln w="19050">
        <a:solidFill>
          <a:schemeClr val="phClr"/>
        </a:solidFill>
        <a:prstDash val="solid"/>
      </a:ln>
      <a:ln w="25400">
        <a:solidFill>
          <a:schemeClr val="phClr"/>
        </a:solidFill>
        <a:prstDash val="solid"/>
      </a:ln>
    </a:lnStyleLst>
    <a:effectStyleLst>
      <a:effectStyle>
        <a:effectLst/>
      </a:effectStyle>
      <a:effectStyle>
        <a:effectLst/>
      </a:effectStyle>
      <a:effectStyle>
        <a:effectLst>
          <a:outerShdw blurRad="57150" dist="19050" dir="540000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hade val="98000"/>
              <a:lumMod val="102000"/>
              <a:satMod val="150000"/>
            </a:schemeClr>
          </a:gs>
          <a:gs pos="50000">
            <a:schemeClr val="phClr">
              <a:tint val="98000"/>
              <a:shade val="90000"/>
              <a:lumMod val="103000"/>
              <a:satMod val="130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الز252</b:Tag>
    <b:SourceType>JournalArticle</b:SourceType>
    <b:Guid>{529DF7BD-C572-4730-8CAD-56B84F7F16E7}</b:Guid>
    <b:Author>
      <b:Author>
        <b:NameList>
          <b:Person>
            <b:Last>الزايد</b:Last>
            <b:First>إبراهيم</b:First>
            <b:Middle>بن عبدالله</b:Middle>
          </b:Person>
        </b:NameList>
      </b:Author>
    </b:Author>
    <b:Title>دليل الباحث إلى المنهجين الكمي والكيفي وأساليبهما في البحوث الاجتماعية</b:Title>
    <b:Year>2025</b:Year>
    <b:Volume>8</b:Volume>
    <b:Issue>1</b:Issue>
    <b:URL>https://journals.ekb.eg/article_380939.html</b:URL>
    <b:RefOrder>51</b:RefOrder>
  </b:Source>
  <b:Source>
    <b:Tag>أمي23</b:Tag>
    <b:SourceType>JournalArticle</b:SourceType>
    <b:Guid>{BE459028-7517-45EE-9B16-CBD78DA02A5D}</b:Guid>
    <b:Author>
      <b:Author>
        <b:NameList>
          <b:Person>
            <b:Last>أمين</b:Last>
            <b:First>الحمزة</b:First>
            <b:Middle>أحمد . البار</b:Middle>
          </b:Person>
        </b:NameList>
      </b:Author>
    </b:Author>
    <b:Title>الاستبيان كأداة للبحث العلمي وأهم تطبيقاته</b:Title>
    <b:Year>2023</b:Year>
    <b:Pages>303-314</b:Pages>
    <b:Volume>12</b:Volume>
    <b:Issue>3</b:Issue>
    <b:URL>https://asjp.cerist.dz/en/article/229318</b:URL>
    <b:RefOrder>52</b:RefOrder>
  </b:Source>
  <b:Source>
    <b:Tag>الن241</b:Tag>
    <b:SourceType>JournalArticle</b:SourceType>
    <b:Guid>{808A8482-704F-473F-91FE-57351BB290DA}</b:Guid>
    <b:Author>
      <b:Author>
        <b:NameList>
          <b:Person>
            <b:Last>النعيم</b:Last>
            <b:First>لولوه</b:First>
            <b:Middle>عبدالحميد</b:Middle>
          </b:Person>
        </b:NameList>
      </b:Author>
    </b:Author>
    <b:Title>دراسة المتغيرات الشخصية والاجتماعية المرتبطة بتمكين المرأة السعودية – دراسة ميدانية على عينة من النساء في مدينة الأحساء بالمملكة العربية السعودية</b:Title>
    <b:Year>2024</b:Year>
    <b:Pages>117-134</b:Pages>
    <b:Volume>1</b:Volume>
    <b:Issue>8</b:Issue>
    <b:URL>https://www.researchgate.net/publication/378135271_drast_almtghyrat_alshkhsyt_walajtmayt_almrtbtt_btmkyn_almrat_alswdyt_-_drast_mydanyt_ly_ynt_mn_alnsa_fy_mdynt_alahsa_balmmlkt_alrbyt_alswdytStudying_the_personal_and_social_variables_associated_with_t</b:URL>
    <b:RefOrder>53</b:RefOrder>
  </b:Source>
  <b:Source>
    <b:Tag>محم233</b:Tag>
    <b:SourceType>JournalArticle</b:SourceType>
    <b:Guid>{99538415-0562-4C1D-B6B0-A12ECCE079E0}</b:Guid>
    <b:Author>
      <b:Author>
        <b:NameList>
          <b:Person>
            <b:Last>محمد</b:Last>
            <b:First>الدبيخي،</b:First>
            <b:Middle>بشرى</b:Middle>
          </b:Person>
        </b:NameList>
      </b:Author>
    </b:Author>
    <b:Title>دور المرجعية الثقافية في تمكين المرأة بالمجتمع السعودي: تحليل محتوى</b:Title>
    <b:Year>2023</b:Year>
    <b:Volume>59</b:Volume>
    <b:URL>https://search.mandumah.com/Record/1394493</b:URL>
    <b:RefOrder>54</b:RefOrder>
  </b:Source>
  <b:Source>
    <b:Tag>Ibr21</b:Tag>
    <b:SourceType>JournalArticle</b:SourceType>
    <b:Guid>{2F47E741-F3E3-41A5-B793-C827C51C5AEA}</b:Guid>
    <b:Author>
      <b:Author>
        <b:NameList>
          <b:Person>
            <b:Last>Ibrahim</b:Last>
            <b:First>Wafaa</b:First>
            <b:Middle>Abdel Hamid</b:Middle>
          </b:Person>
        </b:NameList>
      </b:Author>
    </b:Author>
    <b:Title>Women's Empowerment: A study of the origins of the concept, its international mechanisms, and the national structures concerned with its implementation</b:Title>
    <b:Year>2021</b:Year>
    <b:Volume>6</b:Volume>
    <b:Issue>12</b:Issue>
    <b:URL>https://esalexu.journals.ekb.eg/article_181328.html?lang=en</b:URL>
    <b:RefOrder>14</b:RefOrder>
  </b:Source>
  <b:Source>
    <b:Tag>Mut25</b:Tag>
    <b:SourceType>JournalArticle</b:SourceType>
    <b:Guid>{C944E7FE-CC91-423B-856A-4B7BD876354F}</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Volume>21</b:Volume>
    <b:Issue>2</b:Issue>
    <b:URL>https://www.researchgate.net/publication/392212801_The_impact_of_cultural_and_organizational_factors_on_gender_diversity_in_leadership_A_governance_perspective_in_Saudi_public_organizations</b:URL>
    <b:RefOrder>15</b:RefOrder>
  </b:Source>
  <b:Source>
    <b:Tag>Mah24</b:Tag>
    <b:SourceType>JournalArticle</b:SourceType>
    <b:Guid>{2ACC5CC3-953A-4C1D-9946-1B2F240B14B8}</b:Guid>
    <b:Author>
      <b:Author>
        <b:NameList>
          <b:Person>
            <b:Last>Mahmoud</b:Last>
            <b:First>Farid</b:First>
            <b:Middle>Saber</b:Middle>
          </b:Person>
        </b:NameList>
      </b:Author>
    </b:Author>
    <b:Title>A Strategic Approach to Empowerment and Improving Educational Quality: Women's Leadership in Higher Education Institutions</b:Title>
    <b:Year>2024</b:Year>
    <b:URL>https://www.researchgate.net/publication/387221324_A_Strategic_Approach_to_Empowerment_and_Improving_Educational_Quality_Women's_Leadership_in_Higher_Education_Institutions</b:URL>
    <b:RefOrder>16</b:RefOrder>
  </b:Source>
  <b:Source>
    <b:Tag>Eln23</b:Tag>
    <b:SourceType>JournalArticle</b:SourceType>
    <b:Guid>{C232BFC2-FC1B-42E5-AA2E-69A810BD1574}</b:Guid>
    <b:Author>
      <b:Author>
        <b:NameList>
          <b:Person>
            <b:Last>Elneel</b:Last>
            <b:First>Faiez</b:First>
            <b:Middle>Ahmed Hamed</b:Middle>
          </b:Person>
        </b:NameList>
      </b:Author>
    </b:Author>
    <b:Title>Socio-Economic Factors and Women's Empowerment: The Mediation Role of Training/Skill Development</b:Title>
    <b:Year>2023</b:Year>
    <b:URL>https://www.researchgate.net/publication/375996481_Socio-Economic_Factors_and_Women's_Empowerment_The_Mediation_Role_of_TrainingSkill_Development</b:URL>
    <b:RefOrder>17</b:RefOrder>
  </b:Source>
  <b:Source>
    <b:Tag>Sah25</b:Tag>
    <b:SourceType>JournalArticle</b:SourceType>
    <b:Guid>{7B5DAC77-CD4A-4332-9220-5B05819EB1F0}</b:Guid>
    <b:Author>
      <b:Author>
        <b:NameList>
          <b:Person>
            <b:Last>Sahni</b:Last>
            <b:First>Shalini</b:First>
          </b:Person>
        </b:NameList>
      </b:Author>
    </b:Author>
    <b:Title>Gendered differences and strategies for work-life balance: Systematic review based on social ecological framework perspective</b:Title>
    <b:Year>2025</b:Year>
    <b:URL>https://www.sciencedirect.com/science/article/pii/S0001691825003324</b:URL>
    <b:RefOrder>18</b:RefOrder>
  </b:Source>
  <b:Source>
    <b:Tag>رفا24</b:Tag>
    <b:SourceType>JournalArticle</b:SourceType>
    <b:Guid>{5F71DC0F-1944-4A75-963F-57A3613C2243}</b:Guid>
    <b:Author>
      <b:Author>
        <b:NameList>
          <b:Person>
            <b:Last>رفاعي</b:Last>
            <b:First>عبير</b:First>
            <b:Middle>محمد عباس محمد</b:Middle>
          </b:Person>
        </b:NameList>
      </b:Author>
    </b:Author>
    <b:Title>تمكين القيادات النسائية في مراكز صنع القرار: الآليات والتحديات " دراسة اجتماعية"</b:Title>
    <b:Year>2024</b:Year>
    <b:Volume>13</b:Volume>
    <b:Issue>5</b:Issue>
    <b:URL>https://artdau.journals.ekb.eg/article_380317.html</b:URL>
    <b:RefOrder>19</b:RefOrder>
  </b:Source>
  <b:Source>
    <b:Tag>الع242</b:Tag>
    <b:SourceType>JournalArticle</b:SourceType>
    <b:Guid>{63004305-9EE5-4DF6-BFF4-C2006D010B04}</b:Guid>
    <b:Author>
      <b:Author>
        <b:NameList>
          <b:Person>
            <b:Last>العمري</b:Last>
            <b:First>وفاء</b:First>
            <b:Middle>بنت عبد الله فرحان</b:Middle>
          </b:Person>
        </b:NameList>
      </b:Author>
    </b:Author>
    <b:Title>متطلبات تمكين القيادات الأكاديمية النسائية كآلية لتحقيق أهداف التنمية المستدامة بالمملكة العربية السعودية.</b:Title>
    <b:Year>2024</b:Year>
    <b:URL>https://ssj.journals.ekb.eg/article_347987.html</b:URL>
    <b:Volume>32</b:Volume>
    <b:Issue>1</b:Issue>
    <b:RefOrder>20</b:RefOrder>
  </b:Source>
  <b:Source>
    <b:Tag>الع256</b:Tag>
    <b:SourceType>JournalArticle</b:SourceType>
    <b:Guid>{811A27EC-065D-4A00-A9C6-414CF3F94FA3}</b:Guid>
    <b:Author>
      <b:Author>
        <b:NameList>
          <b:Person>
            <b:Last>العنزي</b:Last>
            <b:First>حمود</b:First>
            <b:Middle>عايد جمعان</b:Middle>
          </b:Person>
        </b:NameList>
      </b:Author>
    </b:Author>
    <b:Title>واقع تطوير أداء القيادات النسائية في الجامعات السعودية في ضوء مدخل التمكين الإداري من وجهة نظر القيادات الأكاديمية</b:Title>
    <b:Year>2025</b:Year>
    <b:Volume>48</b:Volume>
    <b:URL>https://hesj.org/ojs/index.php/hesj/article/view/1474</b:URL>
    <b:RefOrder>21</b:RefOrder>
  </b:Source>
  <b:Source>
    <b:Tag>الك23</b:Tag>
    <b:SourceType>JournalArticle</b:SourceType>
    <b:Guid>{557B3B51-B055-47E4-B808-26A0A3995F9D}</b:Guid>
    <b:Author>
      <b:Author>
        <b:NameList>
          <b:Person>
            <b:Last>الكبتي</b:Last>
            <b:First>أسماء</b:First>
            <b:Middle>أحمد</b:Middle>
          </b:Person>
        </b:NameList>
      </b:Author>
    </b:Author>
    <b:Title>مقومات التمكين الإداري للمرأة الأكاديمية بالمناصب القيادية في جامعة بنغازي: كلية الآداب نموذجا</b:Title>
    <b:Year>2023</b:Year>
    <b:Volume>54</b:Volume>
    <b:URL>https://journals.uob.edu.ly/JOFOA/article/view/6531</b:URL>
    <b:RefOrder>22</b:RefOrder>
  </b:Source>
  <b:Source>
    <b:Tag>Mez23</b:Tag>
    <b:SourceType>JournalArticle</b:SourceType>
    <b:Guid>{F6514E1E-DBD8-4273-B3BC-77F8970E910E}</b:Guid>
    <b:Author>
      <b:Author>
        <b:NameList>
          <b:Person>
            <b:Last>Meza-Mejia</b:Last>
            <b:First>Mónica</b:First>
            <b:Middle>del Carmen</b:Middle>
          </b:Person>
        </b:NameList>
      </b:Author>
    </b:Author>
    <b:Title>Women and Leadership in Higher Education: A Systematic Review</b:Title>
    <b:Year>2023</b:Year>
    <b:Volume>12</b:Volume>
    <b:Issue>10</b:Issue>
    <b:URL>https://www.mdpi.com/2076-0760/12/10/555</b:URL>
    <b:RefOrder>23</b:RefOrder>
  </b:Source>
  <b:Source>
    <b:Tag>Kal24</b:Tag>
    <b:SourceType>JournalArticle</b:SourceType>
    <b:Guid>{119A9F98-E9DD-49FF-98F7-214A31A91105}</b:Guid>
    <b:Author>
      <b:Author>
        <b:NameList>
          <b:Person>
            <b:Last>Kalsoom</b:Last>
            <b:First>Ume</b:First>
          </b:Person>
        </b:NameList>
      </b:Author>
    </b:Author>
    <b:Title>Women Empowerment and Combating Gender Inequality: University Leaders’ Role</b:Title>
    <b:Year>2024</b:Year>
    <b:Volume>5</b:Volume>
    <b:Issue>2</b:Issue>
    <b:URL>https://ojs.rjsser.org.pk/index.php/rjsser/article/view/704</b:URL>
    <b:RefOrder>24</b:RefOrder>
  </b:Source>
  <b:Source>
    <b:Tag>Zha242</b:Tag>
    <b:SourceType>JournalArticle</b:SourceType>
    <b:Guid>{D439933B-0C45-4FA2-9F8D-FEF07C6C21C2}</b:Guid>
    <b:Author>
      <b:Author>
        <b:NameList>
          <b:Person>
            <b:Last>Zhang</b:Last>
            <b:First>Cheng</b:First>
          </b:Person>
        </b:NameList>
      </b:Author>
    </b:Author>
    <b:Title>Shaping and Empowerment of Female Strategic Leadership: An Inclusive Analysis in Leadership Equality</b:Title>
    <b:Year>2024</b:Year>
    <b:Volume>7</b:Volume>
    <b:Issue>2</b:Issue>
    <b:URL>https://drpress.org/ojs/index.php/jeer/article/view/17489</b:URL>
    <b:RefOrder>25</b:RefOrder>
  </b:Source>
  <b:Source>
    <b:Tag>Gha16</b:Tag>
    <b:SourceType>JournalArticle</b:SourceType>
    <b:Guid>{6C1B4760-9DBE-42A1-A759-167A9CF043CA}</b:Guid>
    <b:Author>
      <b:Author>
        <b:NameList>
          <b:Person>
            <b:Last>Ghamdi</b:Last>
            <b:First>Azala</b:First>
            <b:Middle>M. Al</b:Middle>
          </b:Person>
        </b:NameList>
      </b:Author>
    </b:Author>
    <b:Title>The Empowerment of Academic Women Leaders at Saudi Universities and Its Relationship to Their Administrative Creativity</b:Title>
    <b:Year>2016</b:Year>
    <b:URL>https://scholarworks.wmich.edu/dissertations/2484/</b:URL>
    <b:RefOrder>26</b:RefOrder>
  </b:Source>
  <b:Source>
    <b:Tag>محم223</b:Tag>
    <b:SourceType>JournalArticle</b:SourceType>
    <b:Guid>{8C8F6EE2-7E35-40E9-B495-6BAAF0349F8B}</b:Guid>
    <b:Author>
      <b:Author>
        <b:NameList>
          <b:Person>
            <b:Last>محمود</b:Last>
            <b:First>رنا</b:First>
            <b:Middle>هاشم</b:Middle>
          </b:Person>
        </b:NameList>
      </b:Author>
    </b:Author>
    <b:Title>الثقافة التنظيمية ودورها في تمكين القيادة النسائية في مؤسسات القطاع الحكومي في اليمن (دراسة حالة المؤسسة العامة للاتصالات)</b:Title>
    <b:Year>2022</b:Year>
    <b:URL>https://andalusuniv.net/journ/index.php/AJHSS/article/view/71</b:URL>
    <b:RefOrder>27</b:RefOrder>
  </b:Source>
  <b:Source>
    <b:Tag>Kat16</b:Tag>
    <b:SourceType>JournalArticle</b:SourceType>
    <b:Guid>{8DB1F8D6-3F16-4C6F-8963-20610B1DD7E9}</b:Guid>
    <b:Author>
      <b:Author>
        <b:NameList>
          <b:Person>
            <b:Last>Kattan</b:Last>
            <b:First>Manal</b:First>
          </b:Person>
        </b:NameList>
      </b:Author>
    </b:Author>
    <b:Title>Factors of Successful Women Leadership in Saudi Arabia</b:Title>
    <b:Year>2016</b:Year>
    <b:Volume>12</b:Volume>
    <b:Issue>5</b:Issue>
    <b:URL>https://ccsenet.org/journal/index.php/ass/article/view/55949</b:URL>
    <b:RefOrder>28</b:RefOrder>
  </b:Source>
  <b:Source>
    <b:Tag>Mus21</b:Tag>
    <b:SourceType>JournalArticle</b:SourceType>
    <b:Guid>{BC3F6BB3-742E-42C4-89DF-229E85B52F96}</b:Guid>
    <b:Author>
      <b:Author>
        <b:NameList>
          <b:Person>
            <b:Last>Musallam</b:Last>
            <b:First>Alhawiti</b:First>
            <b:Middle>Hissah</b:Middle>
          </b:Person>
        </b:NameList>
      </b:Author>
    </b:Author>
    <b:Title>The Role Of Culture In The Effects Of Entrepreneurial Orientation And Religiosity On Business Performance Among Women Entrepreneurs In The Kingdom Of Saudi Arabia</b:Title>
    <b:Year>2021</b:Year>
    <b:Volume>27</b:Volume>
    <b:Issue>5</b:Issue>
    <b:URL>https://www.abacademies.org/articles/the-role-of-culture-in-the-effects-of-entrepreneurial-orientation-and-religiosity-on-business-performance-among-women-entrepreneur-11712.html</b:URL>
    <b:RefOrder>29</b:RefOrder>
  </b:Source>
  <b:Source>
    <b:Tag>Jen19</b:Tag>
    <b:SourceType>JournalArticle</b:SourceType>
    <b:Guid>{4473021C-0538-48D9-A0B2-9D082EDA58FD}</b:Guid>
    <b:Author>
      <b:Author>
        <b:NameList>
          <b:Person>
            <b:Last>Jendia</b:Last>
            <b:First>Catherine</b:First>
          </b:Person>
        </b:NameList>
      </b:Author>
    </b:Author>
    <b:Title>The Culture Factor in Women’s Empowerment in Leadership</b:Title>
    <b:Year>2019</b:Year>
    <b:URL>https://hrmars.com/IJARBSS/article/view/5543/The-Culture-Factor-in-Womens-Empowerment-in-Leadership</b:URL>
    <b:RefOrder>30</b:RefOrder>
  </b:Source>
  <b:Source>
    <b:Tag>Kal192</b:Tag>
    <b:SourceType>JournalArticle</b:SourceType>
    <b:Guid>{B1D09D8B-0AC3-4235-A7D7-FFB4C9118D9C}</b:Guid>
    <b:Author>
      <b:Author>
        <b:NameList>
          <b:Person>
            <b:Last>Kalaitzi</b:Last>
            <b:First>Stavroula</b:First>
          </b:Person>
        </b:NameList>
      </b:Author>
    </b:Author>
    <b:Title>Women, healthcare leadership and societal culture: a qualitative study</b:Title>
    <b:Year>2019</b:Year>
    <b:URL>https://pubmed.ncbi.nlm.nih.gov/31043802/</b:URL>
    <b:RefOrder>31</b:RefOrder>
  </b:Source>
  <b:Source>
    <b:Tag>Cli19</b:Tag>
    <b:SourceType>JournalArticle</b:SourceType>
    <b:Guid>{2E014FF9-3FD1-4B78-9090-33FE033C8870}</b:Guid>
    <b:Author>
      <b:Author>
        <b:NameList>
          <b:Person>
            <b:Last>Clifton</b:Last>
            <b:First>Sara</b:First>
            <b:Middle>M.</b:Middle>
          </b:Person>
        </b:NameList>
      </b:Author>
    </b:Author>
    <b:Title>Mathematical model of gender bias and homophily in professional hierarchies</b:Title>
    <b:Year>2019</b:Year>
    <b:URL>https://arxiv.org/abs/1901.07600</b:URL>
    <b:RefOrder>32</b:RefOrder>
  </b:Source>
  <b:Source>
    <b:Tag>Aga17</b:Tag>
    <b:SourceType>JournalArticle</b:SourceType>
    <b:Guid>{9EA03351-1D03-4DE6-A86F-6E396FE2798E}</b:Guid>
    <b:Author>
      <b:Author>
        <b:NameList>
          <b:Person>
            <b:Last>Aga</b:Last>
            <b:First>Wakgari</b:First>
            <b:Middle>Megersa</b:Middle>
          </b:Person>
        </b:NameList>
      </b:Author>
    </b:Author>
    <b:Title>Assessment of Barriers Hindering Women from Upward Mobility to Leadership Positions and Stereotypes Against Them in District Education Offices of Illu Abba Bora Zone, South Western Ethiopia</b:Title>
    <b:Year>2017</b:Year>
    <b:Volume>2</b:Volume>
    <b:Issue>2</b:Issue>
    <b:URL>https://www.sciencepublishinggroup.com/article/10.11648/j.ijecs.20170202.12</b:URL>
    <b:RefOrder>33</b:RefOrder>
  </b:Source>
  <b:Source>
    <b:Tag>Sam211</b:Tag>
    <b:SourceType>JournalArticle</b:SourceType>
    <b:Guid>{F796FAEB-02DF-4D2F-9111-215BBE6E6DAB}</b:Guid>
    <b:Author>
      <b:Author>
        <b:NameList>
          <b:Person>
            <b:Last>Samman</b:Last>
            <b:First>Adel</b:First>
            <b:Middle>Mahmoud Al</b:Middle>
          </b:Person>
        </b:NameList>
      </b:Author>
    </b:Author>
    <b:Title>Societal and Cultural Barriers Impact on Womans Contribution in the Private Service Sector</b:Title>
    <b:Year>2021</b:Year>
    <b:Volume>20</b:Volume>
    <b:Issue>3</b:Issue>
    <b:URL>https://www.abacademies.org/articles/societal-and-cultural-barriers-impact-on-womans-contribution-in-the-private-service-sector-10723.html</b:URL>
    <b:RefOrder>34</b:RefOrder>
  </b:Source>
  <b:Source>
    <b:Tag>Bak22</b:Tag>
    <b:SourceType>JournalArticle</b:SourceType>
    <b:Guid>{232B1080-9BAF-45B1-B6A5-AC1038D79740}</b:Guid>
    <b:Author>
      <b:Author>
        <b:NameList>
          <b:Person>
            <b:Last>Bakr</b:Last>
            <b:First>Maha</b:First>
            <b:Middle>B. Bin</b:Middle>
          </b:Person>
        </b:NameList>
      </b:Author>
    </b:Author>
    <b:Title>Women and leadership: Challenges to women empowerment in academic leadership roles in Saudi Arabia</b:Title>
    <b:Year>2022</b:Year>
    <b:Volume>6</b:Volume>
    <b:Issue>2</b:Issue>
    <b:URL>https://journalppw.com/index.php/jppw/article/view/11656</b:URL>
    <b:RefOrder>35</b:RefOrder>
  </b:Source>
  <b:Source>
    <b:Tag>الس242</b:Tag>
    <b:SourceType>JournalArticle</b:SourceType>
    <b:Guid>{CA668EC0-C68B-4771-94D1-A8A116306936}</b:Guid>
    <b:Author>
      <b:Author>
        <b:NameList>
          <b:Person>
            <b:Last>الساعاتي</b:Last>
            <b:First>فاتن</b:First>
            <b:Middle>زهير أحمد</b:Middle>
          </b:Person>
        </b:NameList>
      </b:Author>
    </b:Author>
    <b:Title>العلاقة بين أنماط القيادة النسائية والصحة التنظيمية</b:Title>
    <b:Year>2024</b:Year>
    <b:URL>https://journals.ajsrp.com/index.php/jeals/ar/article/view/7548</b:URL>
    <b:RefOrder>36</b:RefOrder>
  </b:Source>
  <b:Source>
    <b:Tag>AlS241</b:Tag>
    <b:SourceType>JournalArticle</b:SourceType>
    <b:Guid>{1943A451-703A-430B-8D26-B45FC92366F9}</b:Guid>
    <b:Author>
      <b:Author>
        <b:NameList>
          <b:Person>
            <b:Last>Al-Saati</b:Last>
            <b:First>Faten</b:First>
            <b:Middle>Zuhair Ahmed</b:Middle>
          </b:Person>
        </b:NameList>
      </b:Author>
    </b:Author>
    <b:Title>The relationship between women leadership Styles and organizational health</b:Title>
    <b:Year>2024</b:Year>
    <b:URL>https://journals.ajsrp.com/index.php/jeals/en/article/view/7548</b:URL>
    <b:RefOrder>37</b:RefOrder>
  </b:Source>
  <b:Source>
    <b:Tag>Aut20</b:Tag>
    <b:SourceType>JournalArticle</b:SourceType>
    <b:Guid>{DE6E8E2F-12D1-41CE-9E32-F8391D1B9F63}</b:Guid>
    <b:Author>
      <b:Author>
        <b:NameList>
          <b:Person>
            <b:Last>Authors</b:Last>
          </b:Person>
        </b:NameList>
      </b:Author>
    </b:Author>
    <b:Title>The Status of Women in Leadership</b:Title>
    <b:Year>2020</b:Year>
    <b:URL>https://journals.scholarpublishing.org/index.php/ABR/article/view/8004</b:URL>
    <b:RefOrder>38</b:RefOrder>
  </b:Source>
  <b:Source>
    <b:Tag>مخل20</b:Tag>
    <b:SourceType>JournalArticle</b:SourceType>
    <b:Guid>{E75C2EBC-2EE7-4A7E-B998-CBFCD276C732}</b:Guid>
    <b:Author>
      <b:Author>
        <b:NameList>
          <b:Person>
            <b:Last>مخلوف</b:Last>
            <b:First>أسماء</b:First>
            <b:Middle>محمد السيد</b:Middle>
          </b:Person>
        </b:NameList>
      </b:Author>
    </b:Author>
    <b:Title>التمکين الإداري لدى القيادات النسائية في جامعة جازان (دراسة ميدانية)</b:Title>
    <b:Year>2020</b:Year>
    <b:URL>https://journals.ekb.eg/article_128664.html</b:URL>
    <b:RefOrder>39</b:RefOrder>
  </b:Source>
  <b:Source>
    <b:Tag>Gal23</b:Tag>
    <b:SourceType>JournalArticle</b:SourceType>
    <b:Guid>{D3B43F52-A4DA-4094-B151-B22A4288E0BF}</b:Guid>
    <b:Author>
      <b:Author>
        <b:NameList>
          <b:Person>
            <b:Last>Galsanjigmed</b:Last>
            <b:First>Enkhzul</b:First>
          </b:Person>
        </b:NameList>
      </b:Author>
    </b:Author>
    <b:Title>Challenges Women Experience in Leadership Careers: An Integrative Review</b:Title>
    <b:Year>2023</b:Year>
    <b:URL>https://www.mdpi.com/2673-8104/3/2/21</b:URL>
    <b:RefOrder>40</b:RefOrder>
  </b:Source>
  <b:Source>
    <b:Tag>Lat25</b:Tag>
    <b:SourceType>JournalArticle</b:SourceType>
    <b:Guid>{6CB7B50A-23F8-4C19-A799-633111FB990F}</b:Guid>
    <b:Author>
      <b:Author>
        <b:NameList>
          <b:Person>
            <b:Last>Latorre</b:Last>
            <b:First>Felisa</b:First>
          </b:Person>
        </b:NameList>
      </b:Author>
    </b:Author>
    <b:Title>Do transformational leaders reduce the barriers women face in accessing managerial positions? The moderating role of leaders’ gender</b:Title>
    <b:Year>2025</b:Year>
    <b:URL>https://link.springer.com/article/10.1007/s12144-025-08127-w</b:URL>
    <b:RefOrder>41</b:RefOrder>
  </b:Source>
  <b:Source>
    <b:Tag>Ngu171</b:Tag>
    <b:SourceType>JournalArticle</b:SourceType>
    <b:Guid>{C3A27F25-A883-4C8D-8967-88E2BDAA97B7}</b:Guid>
    <b:Author>
      <b:Author>
        <b:NameList>
          <b:Person>
            <b:Last>Nguyen-Duc</b:Last>
            <b:First>Anh</b:First>
          </b:Person>
        </b:NameList>
      </b:Author>
    </b:Author>
    <b:Title>Female Leadership in Software Projects: A Preliminary Result on Leadership Style and Project Context Factors</b:Title>
    <b:Year>2017</b:Year>
    <b:URL>https://arxiv.org/abs/1709.07676</b:URL>
    <b:RefOrder>42</b:RefOrder>
  </b:Source>
  <b:Source>
    <b:Tag>Tey22</b:Tag>
    <b:SourceType>JournalArticle</b:SourceType>
    <b:Guid>{BB130756-D577-452D-A46C-BAF3CEA738F2}</b:Guid>
    <b:Author>
      <b:Author>
        <b:NameList>
          <b:Person>
            <b:Last>Teyeb</b:Last>
            <b:First>Aicha</b:First>
          </b:Person>
        </b:NameList>
      </b:Author>
    </b:Author>
    <b:Title>Digitization and Economic Empowerment of Arab Women: Challenges and Stakes</b:Title>
    <b:Year>2022</b:Year>
    <b:Volume>2</b:Volume>
    <b:Issue>1</b:Issue>
    <b:URL>https://journals.ekb.eg/article_222350.html</b:URL>
    <b:RefOrder>43</b:RefOrder>
  </b:Source>
  <b:Source>
    <b:Tag>Elb25</b:Tag>
    <b:SourceType>JournalArticle</b:SourceType>
    <b:Guid>{26DAEDAA-F127-47F2-95E9-7D8119432E82}</b:Guid>
    <b:Author>
      <b:Author>
        <b:NameList>
          <b:Person>
            <b:Last>Elbushra</b:Last>
            <b:First>Azharia</b:First>
            <b:Middle>Abdelbagi</b:Middle>
          </b:Person>
        </b:NameList>
      </b:Author>
    </b:Author>
    <b:Title>Nexus of Women’s Empowerment and Economic Growth in Saudi Arabia</b:Title>
    <b:Year>2025</b:Year>
    <b:Volume>17</b:Volume>
    <b:Issue>17</b:Issue>
    <b:URL>https://www.mdpi.com/2071-1050/17/17/7949</b:URL>
    <b:RefOrder>44</b:RefOrder>
  </b:Source>
  <b:Source>
    <b:Tag>Abd222</b:Tag>
    <b:SourceType>JournalArticle</b:SourceType>
    <b:Guid>{8BEC73DC-0B19-45D8-8669-0A4AA5711CCF}</b:Guid>
    <b:Author>
      <b:Author>
        <b:NameList>
          <b:Person>
            <b:Last>Abdelaal</b:Last>
            <b:First>Elham</b:First>
            <b:Middle>Ibrahim Younis</b:Middle>
          </b:Person>
        </b:NameList>
      </b:Author>
    </b:Author>
    <b:Title>Economic Analysis of Women Empowerment in Agriculture Index (WEAI), a Comparative Study between some Egyptian Regions</b:Title>
    <b:Year>2022</b:Year>
    <b:Volume>13</b:Volume>
    <b:Issue>6</b:Issue>
    <b:URL>https://journals.ekb.eg/article_247846.html</b:URL>
    <b:RefOrder>45</b:RefOrder>
  </b:Source>
  <b:Source>
    <b:Tag>Has222</b:Tag>
    <b:SourceType>JournalArticle</b:SourceType>
    <b:Guid>{41EB8BD0-4AF9-4275-A796-A79D08C04DCE}</b:Guid>
    <b:Author>
      <b:Author>
        <b:NameList>
          <b:Person>
            <b:Last>Hassan</b:Last>
            <b:First>Osama</b:First>
            <b:Middle>H. M.</b:Middle>
          </b:Person>
        </b:NameList>
      </b:Author>
    </b:Author>
    <b:Title>The Impact of Women’s Empowerment on Their Entrepreneurship Intention in the Saudi Food Industry</b:Title>
    <b:Year>2022</b:Year>
    <b:Volume>15</b:Volume>
    <b:Issue>12</b:Issue>
    <b:URL>https://www.mdpi.com/1911-8074/15/12/571</b:URL>
    <b:RefOrder>46</b:RefOrder>
  </b:Source>
  <b:Source>
    <b:Tag>Các25</b:Tag>
    <b:SourceType>JournalArticle</b:SourceType>
    <b:Guid>{094F125A-9786-413F-91BA-FB7E3F71992A}</b:Guid>
    <b:Author>
      <b:Author>
        <b:NameList>
          <b:Person>
            <b:Last>Cáceres</b:Last>
            <b:First>Elena</b:First>
            <b:Middle>Jesús Alvarado</b:Middle>
          </b:Person>
        </b:NameList>
      </b:Author>
    </b:Author>
    <b:Title>Economic factors influencing the empowerment of Peruvian women</b:Title>
    <b:Year>2025</b:Year>
    <b:URL>https://pubmed.ncbi.nlm.nih.gov/40191812/</b:URL>
    <b:RefOrder>47</b:RefOrder>
  </b:Source>
  <b:Source>
    <b:Tag>Men222</b:Tag>
    <b:SourceType>JournalArticle</b:SourceType>
    <b:Guid>{F1C80FF9-F595-4341-ACE1-6E6D629CC15E}</b:Guid>
    <b:Author>
      <b:Author>
        <b:NameList>
          <b:Person>
            <b:Last>Mengstie</b:Last>
            <b:First>Belay</b:First>
          </b:Person>
        </b:NameList>
      </b:Author>
    </b:Author>
    <b:Title>Impact of microfinance on women’s economic empowerment</b:Title>
    <b:Year>2022</b:Year>
    <b:URL>https://innovation-entrepreneurship.springeropen.com/articles/10.1186/s13731-022-00250-3</b:URL>
    <b:RefOrder>48</b:RefOrder>
  </b:Source>
  <b:Source>
    <b:Tag>Lab25</b:Tag>
    <b:SourceType>JournalArticle</b:SourceType>
    <b:Guid>{6E4A3371-E405-4745-AC48-DBB1F040020D}</b:Guid>
    <b:Author>
      <b:Author>
        <b:NameList>
          <b:Person>
            <b:Last>Labbé</b:Last>
            <b:First>Jonathan</b:First>
          </b:Person>
        </b:NameList>
      </b:Author>
    </b:Author>
    <b:Title>Choices or constraints: decoding financial empowerment among women entrepreneurs in France</b:Title>
    <b:Year>2025</b:Year>
    <b:URL>https://arxiv.org/abs/2505.10064</b:URL>
    <b:RefOrder>49</b:RefOrder>
  </b:Source>
  <b:Source>
    <b:Tag>Hoq22</b:Tag>
    <b:SourceType>JournalArticle</b:SourceType>
    <b:Guid>{C626A484-9F05-483B-8876-72AFD4BEC7E6}</b:Guid>
    <b:Author>
      <b:Author>
        <b:NameList>
          <b:Person>
            <b:Last>Hoque</b:Last>
            <b:First>Mohammad</b:First>
            <b:Middle>Shamsul</b:Middle>
          </b:Person>
        </b:NameList>
      </b:Author>
    </b:Author>
    <b:Title>Leadership Behaviors of Women Entrepreneurs in SME Sector of Bangladesh</b:Title>
    <b:Year>2022</b:Year>
    <b:URL>https://www.mdpi.com/2673-7116/2/2/16</b:URL>
    <b:RefOrder>50</b:RefOrder>
  </b:Source>
  <b:Source>
    <b:Tag>Alm25</b:Tag>
    <b:SourceType>JournalArticle</b:SourceType>
    <b:Guid>{1DDFDBE5-3696-4B09-9C26-A1DA38C71752}</b:Guid>
    <b:Author>
      <b:Author>
        <b:NameList>
          <b:Person>
            <b:Last>Almutarie</b:Last>
            <b:First>Aljawhara</b:First>
            <b:Middle>O.</b:Middle>
          </b:Person>
        </b:NameList>
      </b:Author>
    </b:Author>
    <b:Title>Joining the Workforce, Saudi Women and Vision 2030</b:Title>
    <b:Year>2025</b:Year>
    <b:URL>https://www.intechopen.com/online-first/1196624</b:URL>
    <b:RefOrder>1</b:RefOrder>
  </b:Source>
  <b:Source>
    <b:Tag>Mut231</b:Tag>
    <b:SourceType>JournalArticle</b:SourceType>
    <b:Guid>{1008A670-622D-48E2-BED6-E5F6257FEA06}</b:Guid>
    <b:Author>
      <b:Author>
        <b:NameList>
          <b:Person>
            <b:Last>Mutair</b:Last>
            <b:First>Abbas</b:First>
            <b:Middle>Al</b:Middle>
          </b:Person>
        </b:NameList>
      </b:Author>
    </b:Author>
    <b:Title>Saudi women’s leadership experiences in the healthcare sector: A qualitative study</b:Title>
    <b:Year>2023</b:Year>
    <b:URL>https://pmc.ncbi.nlm.nih.gov/articles/PMC10508591/</b:URL>
    <b:RefOrder>2</b:RefOrder>
  </b:Source>
  <b:Source>
    <b:Tag>Bis22</b:Tag>
    <b:SourceType>JournalArticle</b:SourceType>
    <b:Guid>{659B9F02-A4FE-406B-9EBB-CA461CF5B9BB}</b:Guid>
    <b:Author>
      <b:Author>
        <b:NameList>
          <b:Person>
            <b:Last>Bishop</b:Last>
            <b:First>Jennifer</b:First>
            <b:Middle>D. </b:Middle>
          </b:Person>
        </b:NameList>
      </b:Author>
    </b:Author>
    <b:Title>The Female Leadership Gap: Breaking Down the Barriers and Biases of Women in Leadership</b:Title>
    <b:Year>2022</b:Year>
    <b:URL>https://www.proquest.com/openview/878d0c5e25b3d18950ffa35b341a6e3c/1?pq-origsite=gscholar&amp;cbl=18750&amp;diss=y</b:URL>
    <b:RefOrder>3</b:RefOrder>
  </b:Source>
  <b:Source>
    <b:Tag>Cha244</b:Tag>
    <b:SourceType>JournalArticle</b:SourceType>
    <b:Guid>{F4027B93-3610-41E1-8D63-C390633CC7E4}</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4</b:RefOrder>
  </b:Source>
  <b:Source>
    <b:Tag>Moh201</b:Tag>
    <b:SourceType>JournalArticle</b:SourceType>
    <b:Guid>{23ACB373-C5C0-4E04-9BBC-42C0F22102B6}</b:Guid>
    <b:Author>
      <b:Author>
        <b:NameList>
          <b:Person>
            <b:Last>Mohammed</b:Last>
            <b:First>Maleeha</b:First>
          </b:Person>
        </b:NameList>
      </b:Author>
    </b:Author>
    <b:Title>The Economic Empowerment of Saudi Women in the Light of Saudi Vision 2030</b:Title>
    <b:Year>2020</b:Year>
    <b:URL>https://www.researchgate.net/publication/355859583_The_Economic_Empowerment_of_Saudi_Women_in_the_Light_of_Saudi_Vision_2030</b:URL>
    <b:RefOrder>5</b:RefOrder>
  </b:Source>
  <b:Source>
    <b:Tag>ALH22</b:Tag>
    <b:SourceType>JournalArticle</b:SourceType>
    <b:Guid>{CF1762A2-6D1A-4AEF-AB2B-C9C0C49518C5}</b:Guid>
    <b:Author>
      <b:Author>
        <b:NameList>
          <b:Person>
            <b:Last>ALHARBI</b:Last>
            <b:First>MAI</b:First>
            <b:Middle>MOHAMMED H</b:Middle>
          </b:Person>
        </b:NameList>
      </b:Author>
    </b:Author>
    <b:Title>Kingdom Vision 2030 and the Women’s Empowerment in Saudi Arabia: An Empirical Investigation</b:Title>
    <b:Year>2022</b:Year>
    <b:URL>https://www.researchgate.net/publication/361325684_Kingdom_Vision_2030_and_the_Women's_Empowerment_in_Saudi_Arabia_An_Empirical_Investigation</b:URL>
    <b:RefOrder>6</b:RefOrder>
  </b:Source>
  <b:Source>
    <b:Tag>Par23</b:Tag>
    <b:SourceType>JournalArticle</b:SourceType>
    <b:Guid>{E9DDC5D6-41D8-4F84-A92D-C20D4E6F4DFA}</b:Guid>
    <b:Author>
      <b:Author>
        <b:NameList>
          <b:Person>
            <b:Last>Parveen</b:Last>
            <b:First>Musrrat</b:First>
          </b:Person>
        </b:NameList>
      </b:Author>
    </b:Author>
    <b:Title>Reflection of Saudi Women’s Participation and Leadership: A Study on the Gender Differences in Leadership and Structural Barriers</b:Title>
    <b:Year>2023</b:Year>
    <b:Volume>15</b:Volume>
    <b:Issue>2</b:Issue>
    <b:URL>https://www.researchgate.net/publication/372923095_Reflection_of_Saudi_Women's_Participation_and_Leadership_A_Study_on_the_Gender_Differences_in_Leadership_and_Structural_Barriers</b:URL>
    <b:RefOrder>7</b:RefOrder>
  </b:Source>
  <b:Source>
    <b:Tag>Alg19</b:Tag>
    <b:SourceType>JournalArticle</b:SourceType>
    <b:Guid>{B8E4075D-7E58-413D-BA88-452589DBBB78}</b:Guid>
    <b:Author>
      <b:Author>
        <b:NameList>
          <b:Person>
            <b:Last>Alghofaily</b:Last>
            <b:First>Lama</b:First>
          </b:Person>
        </b:NameList>
      </b:Author>
    </b:Author>
    <b:Title>WOMEN LEADERSHIP IN HIGHER EDUCATION IN SAUDI ARABIA</b:Title>
    <b:Year>2019</b:Year>
    <b:URL>https://www.researchgate.net/publication/337435438_WOMEN_LEADERSHIP_IN_HIGHER_EDUCATION_IN_SAUDI_ARABIA</b:URL>
    <b:RefOrder>8</b:RefOrder>
  </b:Source>
  <b:Source>
    <b:Tag>Man241</b:Tag>
    <b:SourceType>JournalArticle</b:SourceType>
    <b:Guid>{DFEFD2FC-8382-4B9C-B9B9-D3D0A7C10051}</b:Guid>
    <b:Author>
      <b:Author>
        <b:NameList>
          <b:Person>
            <b:Last>Manal</b:Last>
            <b:First>Kattan</b:First>
          </b:Person>
        </b:NameList>
      </b:Author>
    </b:Author>
    <b:Title>Factors of Successful Women Leadership in Saudi Arabia</b:Title>
    <b:Year>2024</b:Year>
    <b:URL>https://www.researchgate.net/publication/301539580_Factors_of_Successful_Women_Leadership_in_Saudi_Arabia</b:URL>
    <b:RefOrder>9</b:RefOrder>
  </b:Source>
  <b:Source>
    <b:Tag>Rui23</b:Tag>
    <b:SourceType>JournalArticle</b:SourceType>
    <b:Guid>{26463E5F-7CE2-4011-96FD-C06D1AE88D40}</b:Guid>
    <b:Author>
      <b:Author>
        <b:NameList>
          <b:Person>
            <b:Last>Ruiyao</b:Last>
            <b:First>Ma</b:First>
          </b:Person>
        </b:NameList>
      </b:Author>
    </b:Author>
    <b:Title>The Impact of Female Leadership Style on Team Creativity in Rising English Education Group in China</b:Title>
    <b:Year>2023</b:Year>
    <b:URL>https://www.researchgate.net/publication/373703565_The_Impact_of_Female_Leadership_Style_on_Team_Creativity_in_Rising_English_Education_Group_in_China</b:URL>
    <b:RefOrder>10</b:RefOrder>
  </b:Source>
  <b:Source>
    <b:Tag>Mos182</b:Tag>
    <b:SourceType>JournalArticle</b:SourceType>
    <b:Guid>{C1AE3689-F56C-4BBA-AFC0-CF669FCF2E9D}</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11</b:RefOrder>
  </b:Source>
  <b:Source>
    <b:Tag>Lwa22</b:Tag>
    <b:SourceType>JournalArticle</b:SourceType>
    <b:Guid>{EC0EBA7B-91B3-4608-9187-52E6374B3812}</b:Guid>
    <b:Author>
      <b:Author>
        <b:NameList>
          <b:Person>
            <b:Last>Lwamba</b:Last>
            <b:First>Etienne</b:First>
          </b:Person>
        </b:NameList>
      </b:Author>
    </b:Author>
    <b:Title>Strengthening women's empowerment and gender equality in fragile contexts towards peaceful and inclusive societies: A systematic review and meta‐analysis</b:Title>
    <b:Year>2022</b:Year>
    <b:URL>https://pmc.ncbi.nlm.nih.gov/articles/PMC8904729/</b:URL>
    <b:RefOrder>12</b:RefOrder>
  </b:Source>
  <b:Source>
    <b:Tag>Sam21</b:Tag>
    <b:SourceType>JournalArticle</b:SourceType>
    <b:Guid>{44798014-092B-4978-84D2-6ADF757B47B8}</b:Guid>
    <b:Author>
      <b:Author>
        <b:NameList>
          <b:Person>
            <b:Last>Samman</b:Last>
            <b:First>Adel</b:First>
            <b:Middle>Al</b:Middle>
          </b:Person>
        </b:NameList>
      </b:Author>
    </b:Author>
    <b:Title>SOCIETAL AND CULTURAL BARRIERS IMPACT ON WOMAN'S CONTRIBUTION IN THE PRIVATE SERVICE SECTOR</b:Title>
    <b:Year>2021</b:Year>
    <b:URL>https://www.researchgate.net/publication/351226756_SOCIETAL_AND_CULTURAL_BARRIERS_IMPACT_ON_WOMAN'S_CONTRIBUTION_IN_THE_PRIVATE_SERVICE_SECTOR</b:URL>
    <b:RefOrder>13</b:RefOrder>
  </b:Source>
  <b:Source>
    <b:Tag>Ald231</b:Tag>
    <b:SourceType>JournalArticle</b:SourceType>
    <b:Guid>{69348750-39FB-4E3F-B67B-46514B70429E}</b:Guid>
    <b:Author>
      <b:Author>
        <b:NameList>
          <b:Person>
            <b:Last>Aldossari</b:Last>
            <b:First>Maryam</b:First>
          </b:Person>
        </b:NameList>
      </b:Author>
    </b:Author>
    <b:Title>Inclusion is in the Eye of the Beholder: A Relational Analysis of the Role of Gendered Moral Rationalities in Saudi Arabia</b:Title>
    <b:Year>2023</b:Year>
    <b:URL>https://journals.sagepub.com/doi/10.1177/09500170231180823?icid=int.sj-abstract.citing-articles.1</b:URL>
    <b:RefOrder>55</b:RefOrder>
  </b:Source>
  <b:Source>
    <b:Tag>الب22</b:Tag>
    <b:SourceType>JournalArticle</b:SourceType>
    <b:Guid>{8109A408-97D3-468E-A3A7-F7B67A8A0BD0}</b:Guid>
    <b:Author>
      <b:Author>
        <b:NameList>
          <b:Person>
            <b:Last>البكر</b:Last>
            <b:First>فوزية</b:First>
          </b:Person>
        </b:NameList>
      </b:Author>
    </b:Author>
    <b:Title>تمكين المرأة السعودية في ظل رؤية 2030 : الفرص والتحديات</b:Title>
    <b:Year>2022</b:Year>
    <b:Volume>2</b:Volume>
    <b:Issue>4</b:Issue>
    <b:URL>https://ijcws.journals.ekb.eg/article_270720.html?lang=ar</b:URL>
    <b:RefOrder>56</b:RefOrder>
  </b:Source>
  <b:Source>
    <b:Tag>الف20</b:Tag>
    <b:SourceType>JournalArticle</b:SourceType>
    <b:Guid>{9E6C86CB-7DCA-4BA5-8AF0-11D9935E30C5}</b:Guid>
    <b:Author>
      <b:Author>
        <b:NameList>
          <b:Person>
            <b:Last>الفايدي</b:Last>
            <b:First>مالك</b:First>
            <b:Middle>سامي سعيد الرفاعي، ندى عليثه ناجي</b:Middle>
          </b:Person>
        </b:NameList>
      </b:Author>
    </b:Author>
    <b:Title>قيادة المرأة السعودية وجودة الحياةفي ظل رؤية 2030</b:Title>
    <b:Year>2020</b:Year>
    <b:Volume>1</b:Volume>
    <b:Issue>4</b:Issue>
    <b:URL>https://usrij.com/wp-content/uploads/2020/12/%D9%82%D9%8A%D8%A7%D8%AF%D8%A9-%D8%A7%D9%84%D9%85%D8%B1%D8%A3%D8%A9-%D8%A7%D9%84%D8%B3%D8%B9%D9%88%D8%AF%D9%8A%D8%A9-%D9%88%D8%AC%D9%88%D8%AF%D8%A9-%D8%A7%D9%84%D8%AD%D9%8A%D8%A7%D8%A9.pdf</b:URL>
    <b:RefOrder>57</b:RefOrder>
  </b:Source>
  <b:Source>
    <b:Tag>Als243</b:Tag>
    <b:SourceType>JournalArticle</b:SourceType>
    <b:Guid>{AA3FC416-6BE8-4B34-846A-4ADEA0736AE8}</b:Guid>
    <b:Author>
      <b:Author>
        <b:NameList>
          <b:Person>
            <b:Last>Alsuwaidan</b:Last>
            <b:First>Lama</b:First>
          </b:Person>
        </b:NameList>
      </b:Author>
    </b:Author>
    <b:Title>Saudi Working Women’s Perceptions of Leadership Challenges in The Light of Saudi Vision 2030</b:Title>
    <b:Year>2024</b:Year>
    <b:Volume>2</b:Volume>
    <b:Issue>1</b:Issue>
    <b:URL>https://proudpen.com/proceedings/index.php/gwsconf/article/view/397</b:URL>
    <b:RefOrder>58</b:RefOrder>
  </b:Source>
  <b:Source>
    <b:Tag>Aln243</b:Tag>
    <b:SourceType>JournalArticle</b:SourceType>
    <b:Guid>{EC6DD986-E76A-4C88-A8B9-34D0BC887D16}</b:Guid>
    <b:Author>
      <b:Author>
        <b:NameList>
          <b:Person>
            <b:Last>Alnajim</b:Last>
            <b:First>Afnan</b:First>
          </b:Person>
        </b:NameList>
      </b:Author>
    </b:Author>
    <b:Title>The Role and Impact of Saudi Vision 2030 in Leadership Development</b:Title>
    <b:Year>2024</b:Year>
    <b:Volume>3</b:Volume>
    <b:Issue>1</b:Issue>
    <b:URL>https://www.researchgate.net/publication/379436769_The_Role_and_Impact_of_Saudi_Vision_2030_in_Leadership_Development</b:URL>
    <b:RefOrder>59</b:RefOrder>
  </b:Source>
  <b:Source>
    <b:Tag>Alz25</b:Tag>
    <b:SourceType>JournalArticle</b:SourceType>
    <b:Guid>{CEA2F2A1-B5A8-4D29-9499-B475D31A1757}</b:Guid>
    <b:Author>
      <b:Author>
        <b:NameList>
          <b:Person>
            <b:Last>Alzaaqi</b:Last>
            <b:First>Shouq</b:First>
            <b:Middle>M</b:Middle>
          </b:Person>
        </b:NameList>
      </b:Author>
    </b:Author>
    <b:Title>Empowering Women in the Saudi Health Sector: Challenges, Opportunities, and Policy Interventions</b:Title>
    <b:Year>2025</b:Year>
    <b:URL>https://pmc.ncbi.nlm.nih.gov/articles/PMC11811367/</b:URL>
    <b:RefOrder>60</b:RefOrder>
  </b:Source>
</b:Sources>
</file>

<file path=customXml/itemProps1.xml><?xml version="1.0" encoding="utf-8"?>
<ds:datastoreItem xmlns:ds="http://schemas.openxmlformats.org/officeDocument/2006/customXml" ds:itemID="{800B7A26-7017-4E30-B41B-AE3DD5F18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87</Pages>
  <Words>25490</Words>
  <Characters>145297</Characters>
  <Application>Microsoft Office Word</Application>
  <DocSecurity>0</DocSecurity>
  <Lines>1210</Lines>
  <Paragraphs>340</Paragraphs>
  <ScaleCrop>false</ScaleCrop>
  <HeadingPairs>
    <vt:vector size="2" baseType="variant">
      <vt:variant>
        <vt:lpstr>Title</vt:lpstr>
      </vt:variant>
      <vt:variant>
        <vt:i4>1</vt:i4>
      </vt:variant>
    </vt:vector>
  </HeadingPairs>
  <TitlesOfParts>
    <vt:vector size="1" baseType="lpstr">
      <vt:lpstr>الفصلان الثالث والرابع المعدلان - مناقشة الجداول ونتائج SPSS</vt:lpstr>
    </vt:vector>
  </TitlesOfParts>
  <Company/>
  <LinksUpToDate>false</LinksUpToDate>
  <CharactersWithSpaces>170447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الفصلان الثالث والرابع المعدلان - مناقشة الجداول ونتائج SPSS</dc:title>
  <dc:subject>تحليل SPSS لعينة من القيادات النسائية في الجهات الحكومية</dc:subject>
  <dc:creator>salma sherif</dc:creator>
  <cp:keywords/>
  <dc:description/>
  <cp:lastModifiedBy>salma sherif</cp:lastModifiedBy>
  <cp:revision>52</cp:revision>
  <cp:lastPrinted>2026-08-18T08:36:00Z</cp:lastPrinted>
  <dcterms:created xsi:type="dcterms:W3CDTF">2026-07-27T06:36:00Z</dcterms:created>
  <dcterms:modified xsi:type="dcterms:W3CDTF">2026-09-03T21:06:00Z</dcterms:modified>
</cp:coreProperties>
</file>