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B1EDB" w14:textId="77777777" w:rsidR="00545500" w:rsidRPr="00545500" w:rsidRDefault="00545500" w:rsidP="00545500">
      <w:pPr>
        <w:autoSpaceDE w:val="0"/>
        <w:autoSpaceDN w:val="0"/>
        <w:bidi/>
        <w:adjustRightInd w:val="0"/>
        <w:spacing w:after="120" w:line="360" w:lineRule="auto"/>
        <w:rPr>
          <w:rFonts w:ascii="SimplifiedArabic-Bold" w:hAnsi="Courier New" w:cs="SimplifiedArabic-Bold"/>
          <w:b/>
          <w:bCs/>
          <w:color w:val="000000"/>
          <w:sz w:val="32"/>
          <w:szCs w:val="32"/>
        </w:rPr>
      </w:pPr>
      <w:r w:rsidRPr="00545500">
        <w:rPr>
          <w:rFonts w:ascii="SimplifiedArabic-Bold" w:hAnsi="Courier New" w:cs="SimplifiedArabic-Bold"/>
          <w:b/>
          <w:bCs/>
          <w:noProof/>
          <w:color w:val="000000"/>
          <w:sz w:val="32"/>
          <w:szCs w:val="32"/>
        </w:rPr>
        <w:drawing>
          <wp:anchor distT="0" distB="0" distL="114300" distR="114300" simplePos="0" relativeHeight="251659264" behindDoc="1" locked="0" layoutInCell="1" allowOverlap="1" wp14:anchorId="79003467" wp14:editId="56493725">
            <wp:simplePos x="0" y="0"/>
            <wp:positionH relativeFrom="column">
              <wp:posOffset>-294968</wp:posOffset>
            </wp:positionH>
            <wp:positionV relativeFrom="paragraph">
              <wp:posOffset>-226142</wp:posOffset>
            </wp:positionV>
            <wp:extent cx="2464640" cy="1084418"/>
            <wp:effectExtent l="0" t="0" r="0" b="0"/>
            <wp:wrapNone/>
            <wp:docPr id="238495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259" cy="1089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45500">
        <w:rPr>
          <w:rFonts w:ascii="SimplifiedArabic-Bold" w:hAnsi="Courier New" w:cs="SimplifiedArabic-Bold" w:hint="cs"/>
          <w:b/>
          <w:bCs/>
          <w:color w:val="000000"/>
          <w:sz w:val="32"/>
          <w:szCs w:val="32"/>
          <w:rtl/>
        </w:rPr>
        <w:t>جامعة</w:t>
      </w:r>
      <w:r w:rsidRPr="00545500">
        <w:rPr>
          <w:rFonts w:ascii="SimplifiedArabic-Bold" w:hAnsi="Courier New" w:cs="SimplifiedArabic-Bold"/>
          <w:b/>
          <w:bCs/>
          <w:color w:val="000000"/>
          <w:sz w:val="32"/>
          <w:szCs w:val="32"/>
          <w:rtl/>
        </w:rPr>
        <w:t xml:space="preserve"> </w:t>
      </w:r>
      <w:r w:rsidRPr="00545500">
        <w:rPr>
          <w:rFonts w:ascii="SimplifiedArabic-Bold" w:hAnsi="Courier New" w:cs="SimplifiedArabic-Bold" w:hint="cs"/>
          <w:b/>
          <w:bCs/>
          <w:color w:val="000000"/>
          <w:sz w:val="32"/>
          <w:szCs w:val="32"/>
          <w:rtl/>
        </w:rPr>
        <w:t>ميدأوشن</w:t>
      </w:r>
      <w:r w:rsidRPr="00545500">
        <w:rPr>
          <w:rFonts w:ascii="SimplifiedArabic-Bold" w:hAnsi="Courier New" w:cs="SimplifiedArabic-Bold"/>
          <w:b/>
          <w:bCs/>
          <w:color w:val="000000"/>
          <w:sz w:val="32"/>
          <w:szCs w:val="32"/>
        </w:rPr>
        <w:t xml:space="preserve"> </w:t>
      </w:r>
    </w:p>
    <w:p w14:paraId="4B0B7CA4" w14:textId="77777777" w:rsidR="00545500" w:rsidRPr="00545500" w:rsidRDefault="00545500" w:rsidP="00545500">
      <w:pPr>
        <w:autoSpaceDE w:val="0"/>
        <w:autoSpaceDN w:val="0"/>
        <w:bidi/>
        <w:adjustRightInd w:val="0"/>
        <w:spacing w:after="120" w:line="360" w:lineRule="auto"/>
        <w:rPr>
          <w:rFonts w:ascii="SimplifiedArabic-Bold" w:hAnsi="Courier New" w:cs="SimplifiedArabic-Bold"/>
          <w:b/>
          <w:bCs/>
          <w:color w:val="000000"/>
          <w:sz w:val="32"/>
          <w:szCs w:val="32"/>
          <w:rtl/>
          <w:lang w:bidi="ar-EG"/>
        </w:rPr>
      </w:pPr>
      <w:r w:rsidRPr="00545500">
        <w:rPr>
          <w:rFonts w:ascii="SimplifiedArabic-Bold" w:hAnsi="Courier New" w:cs="SimplifiedArabic-Bold" w:hint="cs"/>
          <w:b/>
          <w:bCs/>
          <w:color w:val="000000"/>
          <w:sz w:val="32"/>
          <w:szCs w:val="32"/>
          <w:rtl/>
        </w:rPr>
        <w:t>كلية</w:t>
      </w:r>
      <w:r w:rsidRPr="00545500">
        <w:rPr>
          <w:rFonts w:ascii="SimplifiedArabic-Bold" w:hAnsi="Courier New" w:cs="SimplifiedArabic-Bold"/>
          <w:b/>
          <w:bCs/>
          <w:color w:val="000000"/>
          <w:sz w:val="32"/>
          <w:szCs w:val="32"/>
          <w:rtl/>
        </w:rPr>
        <w:t xml:space="preserve"> </w:t>
      </w:r>
      <w:r w:rsidRPr="00545500">
        <w:rPr>
          <w:rFonts w:ascii="SimplifiedArabic-Bold" w:hAnsi="Courier New" w:cs="SimplifiedArabic-Bold" w:hint="cs"/>
          <w:b/>
          <w:bCs/>
          <w:color w:val="000000"/>
          <w:sz w:val="32"/>
          <w:szCs w:val="32"/>
          <w:rtl/>
        </w:rPr>
        <w:t>الإدارة</w:t>
      </w:r>
    </w:p>
    <w:p w14:paraId="12B98B8E" w14:textId="77777777" w:rsidR="00545500" w:rsidRPr="00545500" w:rsidRDefault="00545500" w:rsidP="00545500">
      <w:pPr>
        <w:autoSpaceDE w:val="0"/>
        <w:autoSpaceDN w:val="0"/>
        <w:bidi/>
        <w:adjustRightInd w:val="0"/>
        <w:spacing w:after="120" w:line="360" w:lineRule="auto"/>
        <w:rPr>
          <w:rFonts w:ascii="Simplified Arabic" w:hAnsi="Simplified Arabic" w:cs="Simplified Arabic"/>
          <w:color w:val="000000"/>
          <w:sz w:val="28"/>
          <w:szCs w:val="28"/>
          <w:rtl/>
          <w:lang w:val="en-GB" w:bidi="ar-EG"/>
        </w:rPr>
      </w:pPr>
      <w:r w:rsidRPr="00545500">
        <w:rPr>
          <w:rFonts w:ascii="SimplifiedArabic-Bold" w:hAnsi="Courier New" w:cs="SimplifiedArabic-Bold"/>
          <w:b/>
          <w:bCs/>
          <w:color w:val="000000"/>
          <w:sz w:val="32"/>
          <w:szCs w:val="32"/>
          <w:rtl/>
        </w:rPr>
        <w:t>تخصص إدارة الموارد البشرية</w:t>
      </w:r>
    </w:p>
    <w:p w14:paraId="732B703E" w14:textId="77777777" w:rsidR="00545500" w:rsidRPr="00545500" w:rsidRDefault="00545500" w:rsidP="00545500">
      <w:pPr>
        <w:autoSpaceDE w:val="0"/>
        <w:autoSpaceDN w:val="0"/>
        <w:bidi/>
        <w:adjustRightInd w:val="0"/>
        <w:spacing w:after="0" w:line="240" w:lineRule="auto"/>
        <w:rPr>
          <w:rFonts w:ascii="Simplified Arabic" w:hAnsi="Simplified Arabic" w:cs="Simplified Arabic"/>
          <w:color w:val="000000"/>
          <w:sz w:val="28"/>
          <w:szCs w:val="28"/>
          <w:rtl/>
          <w:lang w:val="en-GB"/>
        </w:rPr>
      </w:pPr>
    </w:p>
    <w:p w14:paraId="647DFA6D" w14:textId="77777777" w:rsidR="00545500" w:rsidRPr="00545500" w:rsidRDefault="00545500" w:rsidP="00545500">
      <w:pPr>
        <w:autoSpaceDE w:val="0"/>
        <w:autoSpaceDN w:val="0"/>
        <w:bidi/>
        <w:adjustRightInd w:val="0"/>
        <w:spacing w:after="0" w:line="240" w:lineRule="auto"/>
        <w:rPr>
          <w:rFonts w:ascii="Simplified Arabic" w:hAnsi="Simplified Arabic" w:cs="Simplified Arabic"/>
          <w:color w:val="000000"/>
          <w:sz w:val="28"/>
          <w:szCs w:val="28"/>
          <w:rtl/>
          <w:lang w:val="en-GB"/>
        </w:rPr>
      </w:pPr>
    </w:p>
    <w:p w14:paraId="4FFD03D5" w14:textId="77777777" w:rsidR="00545500" w:rsidRPr="00545500" w:rsidRDefault="00545500" w:rsidP="00545500">
      <w:pPr>
        <w:autoSpaceDE w:val="0"/>
        <w:autoSpaceDN w:val="0"/>
        <w:bidi/>
        <w:adjustRightInd w:val="0"/>
        <w:spacing w:after="0" w:line="240" w:lineRule="auto"/>
        <w:rPr>
          <w:rFonts w:ascii="Simplified Arabic" w:hAnsi="Simplified Arabic" w:cs="Simplified Arabic"/>
          <w:color w:val="000000"/>
          <w:sz w:val="28"/>
          <w:szCs w:val="28"/>
          <w:rtl/>
          <w:lang w:val="en-GB"/>
        </w:rPr>
      </w:pPr>
    </w:p>
    <w:p w14:paraId="3888F339"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rPr>
      </w:pPr>
      <w:r w:rsidRPr="00545500">
        <w:rPr>
          <w:rFonts w:ascii="SimplifiedArabic-Bold" w:hAnsi="Courier New" w:cs="SimplifiedArabic-Bold"/>
          <w:b/>
          <w:bCs/>
          <w:color w:val="000000"/>
          <w:sz w:val="32"/>
          <w:szCs w:val="32"/>
          <w:rtl/>
        </w:rPr>
        <w:t xml:space="preserve">أثر حوكمة الموارد البشرية في الحد من التلاعب بالقرارات </w:t>
      </w:r>
      <w:r w:rsidRPr="00545500">
        <w:rPr>
          <w:rFonts w:ascii="SimplifiedArabic-Bold" w:hAnsi="Courier New" w:cs="SimplifiedArabic-Bold" w:hint="cs"/>
          <w:b/>
          <w:bCs/>
          <w:color w:val="000000"/>
          <w:sz w:val="32"/>
          <w:szCs w:val="32"/>
          <w:rtl/>
        </w:rPr>
        <w:t xml:space="preserve">الإدارية: </w:t>
      </w:r>
      <w:r w:rsidRPr="00545500">
        <w:rPr>
          <w:rFonts w:ascii="SimplifiedArabic-Bold" w:hAnsi="Courier New" w:cs="SimplifiedArabic-Bold"/>
          <w:b/>
          <w:bCs/>
          <w:color w:val="000000"/>
          <w:sz w:val="32"/>
          <w:szCs w:val="32"/>
          <w:rtl/>
        </w:rPr>
        <w:t xml:space="preserve">دراسة تطبيقية على القطاع الخاص  </w:t>
      </w:r>
    </w:p>
    <w:p w14:paraId="78E79A4F"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6817C946"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lang w:bidi="ar-EG"/>
        </w:rPr>
      </w:pPr>
    </w:p>
    <w:p w14:paraId="739176F1"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lang w:bidi="ar-EG"/>
        </w:rPr>
      </w:pPr>
    </w:p>
    <w:p w14:paraId="2E8CE6B3"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6E7B3146" w14:textId="629823C9"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lang w:bidi="ar-EG"/>
        </w:rPr>
      </w:pPr>
      <w:r w:rsidRPr="00545500">
        <w:rPr>
          <w:rFonts w:ascii="SimplifiedArabic-Bold" w:hAnsi="Courier New" w:cs="SimplifiedArabic-Bold" w:hint="cs"/>
          <w:b/>
          <w:bCs/>
          <w:color w:val="000000"/>
          <w:sz w:val="32"/>
          <w:szCs w:val="32"/>
          <w:rtl/>
        </w:rPr>
        <w:t xml:space="preserve">إعداد/ </w:t>
      </w:r>
      <w:r w:rsidRPr="00545500">
        <w:rPr>
          <w:rFonts w:ascii="SimplifiedArabic-Bold" w:hAnsi="Courier New" w:cs="SimplifiedArabic-Bold"/>
          <w:b/>
          <w:bCs/>
          <w:color w:val="000000"/>
          <w:sz w:val="32"/>
          <w:szCs w:val="32"/>
          <w:rtl/>
          <w:lang w:bidi="ar-EG"/>
        </w:rPr>
        <w:t xml:space="preserve">حنان بنت </w:t>
      </w:r>
      <w:r w:rsidR="008768C0" w:rsidRPr="00545500">
        <w:rPr>
          <w:rFonts w:ascii="SimplifiedArabic-Bold" w:hAnsi="Courier New" w:cs="SimplifiedArabic-Bold" w:hint="cs"/>
          <w:b/>
          <w:bCs/>
          <w:color w:val="000000"/>
          <w:sz w:val="32"/>
          <w:szCs w:val="32"/>
          <w:rtl/>
          <w:lang w:bidi="ar-EG"/>
        </w:rPr>
        <w:t>عبد الرحم</w:t>
      </w:r>
      <w:r w:rsidR="008768C0" w:rsidRPr="00545500">
        <w:rPr>
          <w:rFonts w:ascii="SimplifiedArabic-Bold" w:hAnsi="Courier New" w:cs="SimplifiedArabic-Bold" w:hint="eastAsia"/>
          <w:b/>
          <w:bCs/>
          <w:color w:val="000000"/>
          <w:sz w:val="32"/>
          <w:szCs w:val="32"/>
          <w:rtl/>
          <w:lang w:bidi="ar-EG"/>
        </w:rPr>
        <w:t>ن</w:t>
      </w:r>
      <w:r w:rsidRPr="00545500">
        <w:rPr>
          <w:rFonts w:ascii="SimplifiedArabic-Bold" w:hAnsi="Courier New" w:cs="SimplifiedArabic-Bold"/>
          <w:b/>
          <w:bCs/>
          <w:color w:val="000000"/>
          <w:sz w:val="32"/>
          <w:szCs w:val="32"/>
          <w:rtl/>
          <w:lang w:bidi="ar-EG"/>
        </w:rPr>
        <w:t xml:space="preserve"> المطيري</w:t>
      </w:r>
    </w:p>
    <w:p w14:paraId="071E38E1"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rPr>
      </w:pPr>
      <w:r w:rsidRPr="00545500">
        <w:rPr>
          <w:rFonts w:ascii="SimplifiedArabic-Bold" w:hAnsi="Courier New" w:cs="SimplifiedArabic-Bold"/>
          <w:b/>
          <w:bCs/>
          <w:color w:val="000000"/>
          <w:sz w:val="32"/>
          <w:szCs w:val="32"/>
          <w:rtl/>
          <w:lang w:bidi="ar-EG"/>
        </w:rPr>
        <w:t xml:space="preserve">  </w:t>
      </w:r>
    </w:p>
    <w:p w14:paraId="2D78B953"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0B6A77BA"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18"/>
          <w:szCs w:val="18"/>
          <w:rtl/>
        </w:rPr>
      </w:pPr>
    </w:p>
    <w:p w14:paraId="0E7FD47E"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5907A8E8"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15E7C2E5"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772C9345"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rPr>
      </w:pPr>
      <w:r w:rsidRPr="00545500">
        <w:rPr>
          <w:rFonts w:ascii="SimplifiedArabic-Bold" w:hAnsi="Courier New" w:cs="SimplifiedArabic-Bold" w:hint="cs"/>
          <w:b/>
          <w:bCs/>
          <w:color w:val="000000"/>
          <w:sz w:val="36"/>
          <w:szCs w:val="36"/>
          <w:rtl/>
        </w:rPr>
        <w:t>إشراف:</w:t>
      </w:r>
    </w:p>
    <w:p w14:paraId="041AB43B"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0F810025"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62EF5492" w14:textId="77777777" w:rsidR="00545500" w:rsidRPr="00545500" w:rsidRDefault="00545500" w:rsidP="00545500">
      <w:pPr>
        <w:autoSpaceDE w:val="0"/>
        <w:autoSpaceDN w:val="0"/>
        <w:bidi/>
        <w:adjustRightInd w:val="0"/>
        <w:spacing w:after="0" w:line="240" w:lineRule="auto"/>
        <w:rPr>
          <w:rFonts w:ascii="SimplifiedArabic-Bold" w:hAnsi="Courier New" w:cs="SimplifiedArabic-Bold"/>
          <w:b/>
          <w:bCs/>
          <w:color w:val="000000"/>
          <w:sz w:val="34"/>
          <w:szCs w:val="34"/>
          <w:rtl/>
        </w:rPr>
      </w:pPr>
      <w:r w:rsidRPr="00545500">
        <w:rPr>
          <w:rFonts w:ascii="SimplifiedArabic-Bold" w:hAnsi="Courier New" w:cs="SimplifiedArabic-Bold" w:hint="cs"/>
          <w:b/>
          <w:bCs/>
          <w:color w:val="000000"/>
          <w:sz w:val="34"/>
          <w:szCs w:val="34"/>
          <w:rtl/>
        </w:rPr>
        <w:t>الدكتور/ الفيصل عبد الحميد محمد                         الدكتور/ فايز علي جراد</w:t>
      </w:r>
    </w:p>
    <w:p w14:paraId="128C49AC" w14:textId="77777777" w:rsidR="00545500" w:rsidRPr="00545500" w:rsidRDefault="00545500" w:rsidP="00545500">
      <w:pPr>
        <w:autoSpaceDE w:val="0"/>
        <w:autoSpaceDN w:val="0"/>
        <w:bidi/>
        <w:adjustRightInd w:val="0"/>
        <w:spacing w:after="0" w:line="240" w:lineRule="auto"/>
        <w:rPr>
          <w:rFonts w:ascii="SimplifiedArabic-Bold" w:hAnsi="Courier New" w:cs="SimplifiedArabic-Bold"/>
          <w:b/>
          <w:bCs/>
          <w:color w:val="000000"/>
          <w:sz w:val="32"/>
          <w:szCs w:val="32"/>
          <w:rtl/>
        </w:rPr>
      </w:pPr>
      <w:r w:rsidRPr="00545500">
        <w:rPr>
          <w:rFonts w:ascii="SimplifiedArabic-Bold" w:hAnsi="Courier New" w:cs="SimplifiedArabic-Bold" w:hint="cs"/>
          <w:b/>
          <w:bCs/>
          <w:color w:val="000000"/>
          <w:sz w:val="34"/>
          <w:szCs w:val="34"/>
          <w:rtl/>
        </w:rPr>
        <w:t xml:space="preserve">   كلية الإدارة، جامعة ميدأوشن                       </w:t>
      </w:r>
      <w:r w:rsidRPr="00545500">
        <w:rPr>
          <w:rFonts w:ascii="SimplifiedArabic-Bold" w:hAnsi="Courier New" w:cs="SimplifiedArabic-Bold"/>
          <w:b/>
          <w:bCs/>
          <w:color w:val="000000"/>
          <w:sz w:val="34"/>
          <w:szCs w:val="34"/>
          <w:rtl/>
        </w:rPr>
        <w:t xml:space="preserve">  كلية الإدارة، جامعة ميدأوشن</w:t>
      </w:r>
    </w:p>
    <w:p w14:paraId="2AF2FCCA"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46D898CA"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7E6A5B31"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rPr>
      </w:pPr>
      <w:r w:rsidRPr="00545500">
        <w:rPr>
          <w:rFonts w:ascii="SimplifiedArabic-Bold" w:hAnsi="Courier New" w:cs="SimplifiedArabic-Bold" w:hint="cs"/>
          <w:b/>
          <w:bCs/>
          <w:color w:val="000000"/>
          <w:sz w:val="32"/>
          <w:szCs w:val="32"/>
          <w:rtl/>
        </w:rPr>
        <w:t>العام الدراسي</w:t>
      </w:r>
    </w:p>
    <w:p w14:paraId="51395086"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1ED309E9" w14:textId="0902BBB0" w:rsidR="00545500" w:rsidRPr="00545500" w:rsidRDefault="00D11A4D" w:rsidP="00545500">
      <w:pPr>
        <w:autoSpaceDE w:val="0"/>
        <w:autoSpaceDN w:val="0"/>
        <w:bidi/>
        <w:adjustRightInd w:val="0"/>
        <w:spacing w:after="0" w:line="240" w:lineRule="auto"/>
        <w:jc w:val="center"/>
        <w:rPr>
          <w:rFonts w:ascii="SimplifiedArabic-Bold" w:hAnsi="Courier New" w:cs="SimplifiedArabic-Bold"/>
          <w:color w:val="000000"/>
          <w:sz w:val="32"/>
          <w:szCs w:val="32"/>
          <w:rtl/>
        </w:rPr>
      </w:pPr>
      <w:r>
        <w:rPr>
          <w:rFonts w:ascii="SimplifiedArabic-Bold" w:hAnsi="Courier New" w:cs="SimplifiedArabic-Bold" w:hint="cs"/>
          <w:color w:val="000000"/>
          <w:sz w:val="32"/>
          <w:szCs w:val="32"/>
          <w:rtl/>
        </w:rPr>
        <w:t xml:space="preserve">١٤٤٧هـ </w:t>
      </w:r>
      <w:r w:rsidR="00545500" w:rsidRPr="00545500">
        <w:rPr>
          <w:rFonts w:ascii="SimplifiedArabic-Bold" w:hAnsi="Courier New" w:cs="SimplifiedArabic-Bold" w:hint="cs"/>
          <w:color w:val="000000"/>
          <w:sz w:val="32"/>
          <w:szCs w:val="32"/>
          <w:rtl/>
        </w:rPr>
        <w:t>/ 2026م</w:t>
      </w:r>
    </w:p>
    <w:p w14:paraId="212FF255"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222222"/>
          <w:sz w:val="42"/>
          <w:szCs w:val="42"/>
          <w:rtl/>
          <w:lang w:bidi="ar-EG"/>
        </w:rPr>
      </w:pPr>
    </w:p>
    <w:p w14:paraId="477073AE" w14:textId="77777777" w:rsidR="00545500" w:rsidRPr="00545500" w:rsidRDefault="00545500" w:rsidP="00545500">
      <w:pPr>
        <w:autoSpaceDE w:val="0"/>
        <w:autoSpaceDN w:val="0"/>
        <w:bidi/>
        <w:adjustRightInd w:val="0"/>
        <w:spacing w:after="0" w:line="240" w:lineRule="auto"/>
        <w:jc w:val="center"/>
        <w:outlineLvl w:val="0"/>
        <w:rPr>
          <w:rFonts w:ascii="SimplifiedArabic-Bold" w:hAnsi="Courier New" w:cs="SimplifiedArabic-Bold"/>
          <w:b/>
          <w:bCs/>
          <w:color w:val="222222"/>
          <w:sz w:val="42"/>
          <w:szCs w:val="42"/>
          <w:rtl/>
          <w:lang w:bidi="ar-EG"/>
        </w:rPr>
      </w:pPr>
    </w:p>
    <w:p w14:paraId="4012BB05" w14:textId="77777777" w:rsidR="00545500" w:rsidRPr="00545500" w:rsidRDefault="00545500" w:rsidP="00545500">
      <w:pPr>
        <w:autoSpaceDE w:val="0"/>
        <w:autoSpaceDN w:val="0"/>
        <w:bidi/>
        <w:adjustRightInd w:val="0"/>
        <w:spacing w:after="0" w:line="240" w:lineRule="auto"/>
        <w:jc w:val="center"/>
        <w:outlineLvl w:val="0"/>
        <w:rPr>
          <w:rFonts w:ascii="SimplifiedArabic-Bold" w:hAnsi="Courier New" w:cs="SimplifiedArabic-Bold"/>
          <w:b/>
          <w:bCs/>
          <w:color w:val="222222"/>
          <w:sz w:val="42"/>
          <w:szCs w:val="42"/>
          <w:rtl/>
          <w:lang w:bidi="ar-EG"/>
        </w:rPr>
        <w:sectPr w:rsidR="00545500" w:rsidRPr="00545500" w:rsidSect="00545500">
          <w:footerReference w:type="default" r:id="rId8"/>
          <w:footerReference w:type="first" r:id="rId9"/>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fmt="arabicAlpha" w:start="1"/>
          <w:cols w:space="708"/>
          <w:titlePg/>
          <w:docGrid w:linePitch="360"/>
        </w:sectPr>
      </w:pPr>
    </w:p>
    <w:p w14:paraId="6BA644F4" w14:textId="77777777" w:rsidR="00545500" w:rsidRDefault="00545500" w:rsidP="00545500">
      <w:pPr>
        <w:autoSpaceDE w:val="0"/>
        <w:autoSpaceDN w:val="0"/>
        <w:bidi/>
        <w:adjustRightInd w:val="0"/>
        <w:spacing w:after="0" w:line="240" w:lineRule="auto"/>
        <w:jc w:val="center"/>
        <w:rPr>
          <w:rFonts w:ascii="Simplified Arabic" w:hAnsi="Simplified Arabic" w:cs="Simplified Arabic"/>
          <w:b/>
          <w:bCs/>
          <w:color w:val="000000"/>
          <w:sz w:val="36"/>
          <w:szCs w:val="36"/>
          <w:u w:val="thick"/>
          <w:lang w:val="en-GB" w:bidi="ar-EG"/>
        </w:rPr>
      </w:pPr>
    </w:p>
    <w:p w14:paraId="19ACBCD9"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222222"/>
          <w:sz w:val="42"/>
          <w:szCs w:val="42"/>
          <w:rtl/>
        </w:rPr>
      </w:pPr>
    </w:p>
    <w:p w14:paraId="64B0267F"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222222"/>
          <w:sz w:val="42"/>
          <w:szCs w:val="42"/>
          <w:rtl/>
        </w:rPr>
      </w:pPr>
    </w:p>
    <w:p w14:paraId="54C1B8AB"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222222"/>
          <w:sz w:val="42"/>
          <w:szCs w:val="42"/>
          <w:rtl/>
        </w:rPr>
      </w:pPr>
    </w:p>
    <w:p w14:paraId="26D64C7E"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222222"/>
          <w:sz w:val="42"/>
          <w:szCs w:val="42"/>
          <w:rtl/>
        </w:rPr>
      </w:pPr>
    </w:p>
    <w:p w14:paraId="0641457C"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222222"/>
          <w:sz w:val="42"/>
          <w:szCs w:val="42"/>
          <w:rtl/>
        </w:rPr>
      </w:pPr>
    </w:p>
    <w:p w14:paraId="11135302"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222222"/>
          <w:sz w:val="42"/>
          <w:szCs w:val="42"/>
          <w:rtl/>
        </w:rPr>
      </w:pPr>
    </w:p>
    <w:p w14:paraId="2D64269B" w14:textId="77777777" w:rsidR="00545500" w:rsidRPr="00545500" w:rsidRDefault="00545500" w:rsidP="00545500">
      <w:pPr>
        <w:autoSpaceDE w:val="0"/>
        <w:autoSpaceDN w:val="0"/>
        <w:bidi/>
        <w:adjustRightInd w:val="0"/>
        <w:spacing w:after="0" w:line="240" w:lineRule="auto"/>
        <w:jc w:val="center"/>
        <w:outlineLvl w:val="0"/>
        <w:rPr>
          <w:rFonts w:ascii="SimplifiedArabic-Bold" w:hAnsi="Courier New" w:cs="SimplifiedArabic-Bold"/>
          <w:b/>
          <w:bCs/>
          <w:color w:val="222222"/>
          <w:sz w:val="40"/>
          <w:szCs w:val="40"/>
          <w:u w:val="thick"/>
          <w:rtl/>
        </w:rPr>
      </w:pPr>
      <w:bookmarkStart w:id="0" w:name="_Toc225424341"/>
      <w:r w:rsidRPr="00545500">
        <w:rPr>
          <w:rFonts w:ascii="SimplifiedArabic-Bold" w:hAnsi="Courier New" w:cs="SimplifiedArabic-Bold" w:hint="cs"/>
          <w:b/>
          <w:bCs/>
          <w:color w:val="222222"/>
          <w:sz w:val="40"/>
          <w:szCs w:val="40"/>
          <w:u w:val="thick"/>
          <w:rtl/>
        </w:rPr>
        <w:t>الفصل</w:t>
      </w:r>
      <w:r w:rsidRPr="00545500">
        <w:rPr>
          <w:rFonts w:ascii="SimplifiedArabic-Bold" w:hAnsi="Courier New" w:cs="SimplifiedArabic-Bold"/>
          <w:b/>
          <w:bCs/>
          <w:color w:val="222222"/>
          <w:sz w:val="40"/>
          <w:szCs w:val="40"/>
          <w:u w:val="thick"/>
          <w:rtl/>
        </w:rPr>
        <w:t xml:space="preserve"> </w:t>
      </w:r>
      <w:r w:rsidRPr="00545500">
        <w:rPr>
          <w:rFonts w:ascii="SimplifiedArabic-Bold" w:hAnsi="Courier New" w:cs="SimplifiedArabic-Bold" w:hint="cs"/>
          <w:b/>
          <w:bCs/>
          <w:color w:val="222222"/>
          <w:sz w:val="40"/>
          <w:szCs w:val="40"/>
          <w:u w:val="thick"/>
          <w:rtl/>
        </w:rPr>
        <w:t>الأول</w:t>
      </w:r>
      <w:bookmarkEnd w:id="0"/>
    </w:p>
    <w:p w14:paraId="7629C898" w14:textId="77777777" w:rsidR="00545500" w:rsidRPr="00545500" w:rsidRDefault="00545500" w:rsidP="00545500">
      <w:pPr>
        <w:autoSpaceDE w:val="0"/>
        <w:autoSpaceDN w:val="0"/>
        <w:bidi/>
        <w:adjustRightInd w:val="0"/>
        <w:spacing w:after="0" w:line="240" w:lineRule="auto"/>
        <w:jc w:val="center"/>
        <w:outlineLvl w:val="0"/>
        <w:rPr>
          <w:rFonts w:ascii="SimplifiedArabic-Bold" w:hAnsi="Courier New" w:cs="SimplifiedArabic-Bold"/>
          <w:b/>
          <w:bCs/>
          <w:color w:val="222222"/>
          <w:sz w:val="40"/>
          <w:szCs w:val="40"/>
          <w:u w:val="thick"/>
          <w:lang w:bidi="ar-EG"/>
        </w:rPr>
      </w:pPr>
    </w:p>
    <w:p w14:paraId="3C016994" w14:textId="77777777" w:rsidR="00545500" w:rsidRPr="00545500" w:rsidRDefault="00545500" w:rsidP="00545500">
      <w:pPr>
        <w:autoSpaceDE w:val="0"/>
        <w:autoSpaceDN w:val="0"/>
        <w:bidi/>
        <w:adjustRightInd w:val="0"/>
        <w:spacing w:after="0" w:line="240" w:lineRule="auto"/>
        <w:jc w:val="center"/>
        <w:outlineLvl w:val="0"/>
        <w:rPr>
          <w:rFonts w:ascii="Simplified Arabic" w:hAnsi="Simplified Arabic" w:cs="Simplified Arabic"/>
          <w:color w:val="000000"/>
          <w:sz w:val="32"/>
          <w:szCs w:val="32"/>
          <w:u w:val="thick"/>
          <w:rtl/>
          <w:lang w:val="en-GB" w:bidi="ar-EG"/>
        </w:rPr>
      </w:pPr>
      <w:bookmarkStart w:id="1" w:name="_Toc225424342"/>
      <w:r w:rsidRPr="00545500">
        <w:rPr>
          <w:rFonts w:ascii="SimplifiedArabic-Bold" w:hAnsi="Courier New" w:cs="SimplifiedArabic-Bold" w:hint="cs"/>
          <w:b/>
          <w:bCs/>
          <w:color w:val="222222"/>
          <w:sz w:val="40"/>
          <w:szCs w:val="40"/>
          <w:u w:val="thick"/>
          <w:rtl/>
        </w:rPr>
        <w:t>المدخل</w:t>
      </w:r>
      <w:r w:rsidRPr="00545500">
        <w:rPr>
          <w:rFonts w:ascii="SimplifiedArabic-Bold" w:hAnsi="Courier New" w:cs="SimplifiedArabic-Bold"/>
          <w:b/>
          <w:bCs/>
          <w:color w:val="222222"/>
          <w:sz w:val="40"/>
          <w:szCs w:val="40"/>
          <w:u w:val="thick"/>
          <w:rtl/>
        </w:rPr>
        <w:t xml:space="preserve"> </w:t>
      </w:r>
      <w:r w:rsidRPr="00545500">
        <w:rPr>
          <w:rFonts w:ascii="SimplifiedArabic-Bold" w:hAnsi="Courier New" w:cs="SimplifiedArabic-Bold" w:hint="cs"/>
          <w:b/>
          <w:bCs/>
          <w:color w:val="222222"/>
          <w:sz w:val="40"/>
          <w:szCs w:val="40"/>
          <w:u w:val="thick"/>
          <w:rtl/>
        </w:rPr>
        <w:t>العام</w:t>
      </w:r>
      <w:r w:rsidRPr="00545500">
        <w:rPr>
          <w:rFonts w:ascii="SimplifiedArabic-Bold" w:hAnsi="Courier New" w:cs="SimplifiedArabic-Bold"/>
          <w:b/>
          <w:bCs/>
          <w:color w:val="222222"/>
          <w:sz w:val="40"/>
          <w:szCs w:val="40"/>
          <w:u w:val="thick"/>
          <w:rtl/>
        </w:rPr>
        <w:t xml:space="preserve"> </w:t>
      </w:r>
      <w:r w:rsidRPr="00545500">
        <w:rPr>
          <w:rFonts w:ascii="SimplifiedArabic-Bold" w:hAnsi="Courier New" w:cs="SimplifiedArabic-Bold" w:hint="cs"/>
          <w:b/>
          <w:bCs/>
          <w:color w:val="222222"/>
          <w:sz w:val="40"/>
          <w:szCs w:val="40"/>
          <w:u w:val="thick"/>
          <w:rtl/>
        </w:rPr>
        <w:t>للبحث</w:t>
      </w:r>
      <w:bookmarkEnd w:id="1"/>
    </w:p>
    <w:p w14:paraId="1D3C1E12" w14:textId="77777777" w:rsidR="00545500" w:rsidRPr="00545500" w:rsidRDefault="00545500" w:rsidP="00545500">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265A6112" w14:textId="77777777" w:rsidR="00545500" w:rsidRPr="00545500" w:rsidRDefault="00545500" w:rsidP="00545500">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744AC2C8" w14:textId="77777777" w:rsidR="00545500" w:rsidRPr="00545500" w:rsidRDefault="00545500" w:rsidP="00545500">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731F6B4A" w14:textId="77777777" w:rsidR="00545500" w:rsidRPr="00545500" w:rsidRDefault="00545500" w:rsidP="00545500">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1763E0CF" w14:textId="77777777" w:rsidR="00545500" w:rsidRPr="00545500" w:rsidRDefault="00545500" w:rsidP="00545500">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6DB42077" w14:textId="77777777" w:rsidR="00545500" w:rsidRPr="00545500" w:rsidRDefault="00545500" w:rsidP="00545500">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324E6912" w14:textId="77777777" w:rsidR="00545500" w:rsidRPr="00545500" w:rsidRDefault="00545500" w:rsidP="00545500">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0521AA7D" w14:textId="77777777" w:rsidR="00545500" w:rsidRPr="00545500" w:rsidRDefault="00545500" w:rsidP="00545500">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779633CE" w14:textId="77777777" w:rsidR="00545500" w:rsidRPr="00545500" w:rsidRDefault="00545500" w:rsidP="00545500">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584E6118" w14:textId="77777777" w:rsidR="00545500" w:rsidRPr="00545500" w:rsidRDefault="00545500" w:rsidP="00545500">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51EFA7EA" w14:textId="77777777" w:rsidR="00545500" w:rsidRPr="00545500" w:rsidRDefault="00545500" w:rsidP="00545500">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72099FCF" w14:textId="77777777" w:rsidR="00545500" w:rsidRPr="00545500" w:rsidRDefault="00545500" w:rsidP="00545500">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7644C64D" w14:textId="77777777" w:rsidR="00545500" w:rsidRPr="00545500" w:rsidRDefault="00545500" w:rsidP="00545500">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47786CC9" w14:textId="77777777" w:rsidR="00545500" w:rsidRPr="00545500" w:rsidRDefault="00545500" w:rsidP="00545500">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74EB21B1" w14:textId="77777777" w:rsidR="00545500" w:rsidRDefault="00545500" w:rsidP="00545500">
      <w:pPr>
        <w:autoSpaceDE w:val="0"/>
        <w:autoSpaceDN w:val="0"/>
        <w:bidi/>
        <w:adjustRightInd w:val="0"/>
        <w:spacing w:after="0" w:line="240" w:lineRule="auto"/>
        <w:jc w:val="center"/>
        <w:rPr>
          <w:rFonts w:ascii="Simplified Arabic" w:hAnsi="Simplified Arabic" w:cs="Simplified Arabic"/>
          <w:color w:val="000000"/>
          <w:sz w:val="32"/>
          <w:szCs w:val="32"/>
          <w:lang w:val="en-GB" w:bidi="ar-EG"/>
        </w:rPr>
      </w:pPr>
    </w:p>
    <w:p w14:paraId="57D1F9CA" w14:textId="77777777" w:rsidR="00545500" w:rsidRDefault="00545500" w:rsidP="00545500">
      <w:pPr>
        <w:autoSpaceDE w:val="0"/>
        <w:autoSpaceDN w:val="0"/>
        <w:bidi/>
        <w:adjustRightInd w:val="0"/>
        <w:spacing w:after="0" w:line="240" w:lineRule="auto"/>
        <w:outlineLvl w:val="0"/>
        <w:rPr>
          <w:rFonts w:ascii="Simplified Arabic" w:hAnsi="Simplified Arabic" w:cs="Simplified Arabic"/>
          <w:color w:val="000000"/>
          <w:sz w:val="32"/>
          <w:szCs w:val="32"/>
          <w:lang w:val="en-GB" w:bidi="ar-EG"/>
        </w:rPr>
      </w:pPr>
      <w:bookmarkStart w:id="2" w:name="_Toc225424343"/>
    </w:p>
    <w:p w14:paraId="192A43DA" w14:textId="77777777" w:rsidR="00545500" w:rsidRDefault="00545500" w:rsidP="00545500">
      <w:pPr>
        <w:autoSpaceDE w:val="0"/>
        <w:autoSpaceDN w:val="0"/>
        <w:bidi/>
        <w:adjustRightInd w:val="0"/>
        <w:spacing w:after="0" w:line="240" w:lineRule="auto"/>
        <w:outlineLvl w:val="0"/>
        <w:rPr>
          <w:rFonts w:ascii="Simplified Arabic" w:hAnsi="Simplified Arabic" w:cs="Simplified Arabic"/>
          <w:color w:val="000000"/>
          <w:sz w:val="32"/>
          <w:szCs w:val="32"/>
          <w:lang w:val="en-GB" w:bidi="ar-EG"/>
        </w:rPr>
      </w:pPr>
    </w:p>
    <w:p w14:paraId="7B7887B2" w14:textId="7200863A" w:rsidR="00545500" w:rsidRPr="00545500" w:rsidRDefault="00545500" w:rsidP="00545500">
      <w:pPr>
        <w:autoSpaceDE w:val="0"/>
        <w:autoSpaceDN w:val="0"/>
        <w:bidi/>
        <w:adjustRightInd w:val="0"/>
        <w:spacing w:after="0" w:line="240" w:lineRule="auto"/>
        <w:outlineLvl w:val="0"/>
        <w:rPr>
          <w:rFonts w:ascii="Simplified Arabic" w:hAnsi="Simplified Arabic" w:cs="Simplified Arabic"/>
          <w:color w:val="000000"/>
          <w:sz w:val="32"/>
          <w:szCs w:val="32"/>
          <w:u w:val="single"/>
          <w:rtl/>
          <w:lang w:val="en-GB" w:bidi="ar-EG"/>
        </w:rPr>
      </w:pPr>
      <w:r w:rsidRPr="00545500">
        <w:rPr>
          <w:rFonts w:ascii="SimplifiedArabic-Bold" w:hAnsi="Courier New" w:cs="SimplifiedArabic-Bold" w:hint="cs"/>
          <w:b/>
          <w:bCs/>
          <w:color w:val="1F1F1F"/>
          <w:sz w:val="36"/>
          <w:szCs w:val="36"/>
          <w:u w:val="single"/>
          <w:rtl/>
        </w:rPr>
        <w:lastRenderedPageBreak/>
        <w:t>المقدمة</w:t>
      </w:r>
      <w:r w:rsidRPr="00545500">
        <w:rPr>
          <w:rFonts w:ascii="SimplifiedArabic-Bold" w:hAnsi="Courier New" w:cs="SimplifiedArabic-Bold"/>
          <w:b/>
          <w:bCs/>
          <w:color w:val="1F1F1F"/>
          <w:sz w:val="36"/>
          <w:szCs w:val="36"/>
          <w:u w:val="single"/>
        </w:rPr>
        <w:t>:</w:t>
      </w:r>
      <w:bookmarkEnd w:id="2"/>
    </w:p>
    <w:p w14:paraId="59FAB65E"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000000"/>
          <w:sz w:val="28"/>
          <w:szCs w:val="28"/>
          <w:rtl/>
        </w:rPr>
      </w:pPr>
      <w:r w:rsidRPr="00545500">
        <w:rPr>
          <w:rFonts w:ascii="SimplifiedArabic" w:hAnsi="Courier New" w:cs="SimplifiedArabic" w:hint="cs"/>
          <w:color w:val="000000"/>
          <w:sz w:val="28"/>
          <w:szCs w:val="28"/>
          <w:rtl/>
        </w:rPr>
        <w:t xml:space="preserve">        </w:t>
      </w:r>
      <w:r w:rsidRPr="00545500">
        <w:rPr>
          <w:rFonts w:ascii="SimplifiedArabic" w:hAnsi="Courier New" w:cs="SimplifiedArabic"/>
          <w:color w:val="000000"/>
          <w:sz w:val="28"/>
          <w:szCs w:val="28"/>
          <w:rtl/>
        </w:rPr>
        <w:t>تعتبر إدارة الموارد البشرية من الأسس الرئيسية التي تساعد في تحسين كفاءة الإدارة داخل المؤسسات، وخاصة في القطاع الخاص الذي يتميز بالتنافس الشديد وسرعة التغيرات. تستند هذه الإدارة على مجموعة من المبادئ والإجراءات التي تهدف إلى تنظيم كيفية اتخاذ القرارات، وضمان الوضوح، وتحديد المسؤوليات والأدوار بشكل دقيق. ومع التحديات المتزايدة في الإدارة، أصبح من المهم اعتماد أساليب إدارة فعالة للتقليل من الممارسات السيئة التي يمكن أن تؤدي إلى التلاعب في القرارات الإدارية، مما يساعد على استقرار المؤسسة وتحسين أدائها العام</w:t>
      </w:r>
      <w:r w:rsidRPr="00545500">
        <w:rPr>
          <w:rFonts w:ascii="SimplifiedArabic" w:hAnsi="Courier New" w:cs="SimplifiedArabic"/>
          <w:color w:val="000000"/>
          <w:sz w:val="28"/>
          <w:szCs w:val="28"/>
        </w:rPr>
        <w:t>.</w:t>
      </w:r>
    </w:p>
    <w:p w14:paraId="023313FC"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000000"/>
          <w:sz w:val="28"/>
          <w:szCs w:val="28"/>
          <w:rtl/>
          <w:lang w:bidi="ar-EG"/>
        </w:rPr>
      </w:pPr>
      <w:r w:rsidRPr="00545500">
        <w:rPr>
          <w:rFonts w:ascii="SimplifiedArabic" w:hAnsi="Courier New" w:cs="SimplifiedArabic" w:hint="cs"/>
          <w:color w:val="000000"/>
          <w:sz w:val="28"/>
          <w:szCs w:val="28"/>
          <w:rtl/>
        </w:rPr>
        <w:t xml:space="preserve">    </w:t>
      </w:r>
      <w:r w:rsidRPr="00545500">
        <w:rPr>
          <w:rFonts w:ascii="SimplifiedArabic" w:hAnsi="Courier New" w:cs="SimplifiedArabic"/>
          <w:color w:val="000000"/>
          <w:sz w:val="28"/>
          <w:szCs w:val="28"/>
        </w:rPr>
        <w:t xml:space="preserve"> </w:t>
      </w:r>
      <w:r w:rsidRPr="00545500">
        <w:rPr>
          <w:rFonts w:ascii="SimplifiedArabic" w:hAnsi="Courier New" w:cs="SimplifiedArabic"/>
          <w:color w:val="000000"/>
          <w:sz w:val="28"/>
          <w:szCs w:val="28"/>
          <w:rtl/>
        </w:rPr>
        <w:t>تحاول المؤسسات في القطاع الخاص تحقيق توازن بين الكفاءة التشغيلية والنزاهة في الإدارة، وهذا يتطلب وجود نظم إدارة واضحة تضمن العدالة وتكافؤ الفرص بين العاملين. تعتبر إدارة الموارد البشرية أداة مهمة في هذا السياق، حيث تساعد في تنظيم السياسات المتعلقة بالتوظيف وتقييم الأداء والترقيات والمكافآت، مما يقلل من التدخلات الشخصية أو المحاباة التي قد تؤثر على موضوعية القرار الإداري. وهنا تتضح أهمية الإدارة في دعم بيئة عمل قائمة على الاحترافية والالتزام بالمعايير الأخلاقية</w:t>
      </w:r>
      <w:r w:rsidRPr="00545500">
        <w:rPr>
          <w:rFonts w:ascii="SimplifiedArabic" w:hAnsi="Courier New" w:cs="SimplifiedArabic" w:hint="cs"/>
          <w:color w:val="000000"/>
          <w:sz w:val="28"/>
          <w:szCs w:val="28"/>
          <w:rtl/>
        </w:rPr>
        <w:t xml:space="preserve"> (مرسال،2020).</w:t>
      </w:r>
    </w:p>
    <w:p w14:paraId="7C926A3C"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000000"/>
          <w:sz w:val="28"/>
          <w:szCs w:val="28"/>
          <w:rtl/>
        </w:rPr>
      </w:pPr>
      <w:r w:rsidRPr="00545500">
        <w:rPr>
          <w:rFonts w:ascii="SimplifiedArabic" w:hAnsi="Courier New" w:cs="SimplifiedArabic" w:hint="cs"/>
          <w:color w:val="000000"/>
          <w:sz w:val="28"/>
          <w:szCs w:val="28"/>
          <w:rtl/>
        </w:rPr>
        <w:t xml:space="preserve">     </w:t>
      </w:r>
      <w:r w:rsidRPr="00545500">
        <w:rPr>
          <w:rFonts w:ascii="SimplifiedArabic" w:hAnsi="Courier New" w:cs="SimplifiedArabic"/>
          <w:color w:val="000000"/>
          <w:sz w:val="28"/>
          <w:szCs w:val="28"/>
        </w:rPr>
        <w:t xml:space="preserve"> </w:t>
      </w:r>
      <w:r w:rsidRPr="00545500">
        <w:rPr>
          <w:rFonts w:ascii="SimplifiedArabic" w:hAnsi="Courier New" w:cs="SimplifiedArabic"/>
          <w:color w:val="000000"/>
          <w:sz w:val="28"/>
          <w:szCs w:val="28"/>
          <w:rtl/>
        </w:rPr>
        <w:t xml:space="preserve">تتضمن إدارة الموارد البشرية عدة جوانب مثل الشفافية في الإجراءات، والمساءلة، والعدالة التنظيمية، والرقابة الداخلية، حيث تعمل جميعها على تعزيز الثقة داخل المؤسسة. كما أن وضوح السياسات والإجراءات يقلل من احتمال التلاعب أو التحريف في اتخاذ القرارات، ويحد من تضارب المصالح بين الأطراف المختلفة. وتوضح الأبحاث أن المؤسسات التي تطبق مبادئ الإدارة بشكل جيد </w:t>
      </w:r>
      <w:r w:rsidRPr="00545500">
        <w:rPr>
          <w:rFonts w:ascii="SimplifiedArabic" w:hAnsi="Courier New" w:cs="SimplifiedArabic"/>
          <w:color w:val="000000"/>
          <w:sz w:val="28"/>
          <w:szCs w:val="28"/>
          <w:rtl/>
        </w:rPr>
        <w:lastRenderedPageBreak/>
        <w:t>تتمتع بمزيد من الانضباط الإداري وجودة أفضل في القرارات مقارنة بالمؤسسات التي لا تتبع هذه الممارسات</w:t>
      </w:r>
      <w:r w:rsidRPr="00545500">
        <w:rPr>
          <w:rFonts w:ascii="SimplifiedArabic" w:hAnsi="Courier New" w:cs="SimplifiedArabic" w:hint="cs"/>
          <w:color w:val="000000"/>
          <w:sz w:val="28"/>
          <w:szCs w:val="28"/>
          <w:rtl/>
        </w:rPr>
        <w:t xml:space="preserve"> (النعيمي، 2022). </w:t>
      </w:r>
    </w:p>
    <w:p w14:paraId="180268C7"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000000"/>
          <w:sz w:val="28"/>
          <w:szCs w:val="28"/>
          <w:rtl/>
        </w:rPr>
      </w:pPr>
      <w:r w:rsidRPr="00545500">
        <w:rPr>
          <w:rFonts w:ascii="SimplifiedArabic" w:hAnsi="Courier New" w:cs="SimplifiedArabic" w:hint="cs"/>
          <w:color w:val="000000"/>
          <w:sz w:val="28"/>
          <w:szCs w:val="28"/>
          <w:rtl/>
        </w:rPr>
        <w:t xml:space="preserve">    </w:t>
      </w:r>
      <w:r w:rsidRPr="00545500">
        <w:rPr>
          <w:rFonts w:ascii="SimplifiedArabic" w:hAnsi="Courier New" w:cs="SimplifiedArabic"/>
          <w:color w:val="000000"/>
          <w:sz w:val="28"/>
          <w:szCs w:val="28"/>
        </w:rPr>
        <w:t xml:space="preserve"> </w:t>
      </w:r>
      <w:r w:rsidRPr="00545500">
        <w:rPr>
          <w:rFonts w:ascii="SimplifiedArabic" w:hAnsi="Courier New" w:cs="SimplifiedArabic"/>
          <w:color w:val="000000"/>
          <w:sz w:val="28"/>
          <w:szCs w:val="28"/>
          <w:rtl/>
        </w:rPr>
        <w:t>تواجه المؤسسات في القطاع الخاص العديد من التحديات بسبب نقص الرقابة الإدارية أو غياب الإطارات الواضحة التي تنظم كيفية اتخاذ القرار، مما قد يفتح المجال لبعض الممارسات الغير رسمية أو الغير عادلة. في هذا السياق، تظهر أهمية إدارة الموارد البشرية كآلية تنظيمية تساعد في تقليل هذه التحديات من خلال وضع ضوابط واضحة تنظم سلوك الأفراد داخل المؤسسة، وتعزز الالتزام بالسياسات والإجراءات المعتمدة، مما يضمن تحقيق درجة أكبر من النزاهة والشفافية</w:t>
      </w:r>
      <w:r w:rsidRPr="00545500">
        <w:rPr>
          <w:rFonts w:ascii="SimplifiedArabic" w:hAnsi="Courier New" w:cs="SimplifiedArabic" w:hint="cs"/>
          <w:color w:val="000000"/>
          <w:sz w:val="28"/>
          <w:szCs w:val="28"/>
          <w:rtl/>
        </w:rPr>
        <w:t xml:space="preserve"> (الشيخ وآخرون، 2024).</w:t>
      </w:r>
    </w:p>
    <w:p w14:paraId="2F7A50C4"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000000"/>
          <w:sz w:val="28"/>
          <w:szCs w:val="28"/>
          <w:rtl/>
        </w:rPr>
      </w:pPr>
      <w:r w:rsidRPr="00545500">
        <w:rPr>
          <w:rFonts w:ascii="SimplifiedArabic" w:hAnsi="Courier New" w:cs="SimplifiedArabic" w:hint="cs"/>
          <w:color w:val="000000"/>
          <w:sz w:val="28"/>
          <w:szCs w:val="28"/>
          <w:rtl/>
        </w:rPr>
        <w:t xml:space="preserve">    </w:t>
      </w:r>
      <w:r w:rsidRPr="00545500">
        <w:rPr>
          <w:rFonts w:ascii="SimplifiedArabic" w:hAnsi="Courier New" w:cs="SimplifiedArabic"/>
          <w:color w:val="000000"/>
          <w:sz w:val="28"/>
          <w:szCs w:val="28"/>
        </w:rPr>
        <w:t xml:space="preserve"> </w:t>
      </w:r>
      <w:r w:rsidRPr="00545500">
        <w:rPr>
          <w:rFonts w:ascii="SimplifiedArabic" w:hAnsi="Courier New" w:cs="SimplifiedArabic"/>
          <w:color w:val="000000"/>
          <w:sz w:val="28"/>
          <w:szCs w:val="28"/>
          <w:rtl/>
        </w:rPr>
        <w:t>كما تلعب إدارة الموارد البشرية دوراً مهماً في تعزيز ثقافة تنظيمية تعتمد على تحمل المسؤولية والمساءلة، حيث يتم تحديد الأدوار بدقة، وتربط الأداء بالمحاسبة، مما يقلل من العشوائية في اتخاذ القرارات. يساعد ذلك في خلق بيئة عمل مستقرة تشجع على الالتزام بالقوانين، وتقلل من الفرص للتلاعب أو التأثير الغير مشروع على القرارات الإدارية، مما ينعكس إيجاباً على فعالية الأداء في المؤسسة</w:t>
      </w:r>
      <w:r w:rsidRPr="00545500">
        <w:rPr>
          <w:rFonts w:ascii="SimplifiedArabic" w:hAnsi="Courier New" w:cs="SimplifiedArabic" w:hint="cs"/>
          <w:color w:val="000000"/>
          <w:sz w:val="28"/>
          <w:szCs w:val="28"/>
          <w:rtl/>
        </w:rPr>
        <w:t xml:space="preserve"> (سعاد، بونوة، 2022).</w:t>
      </w:r>
    </w:p>
    <w:p w14:paraId="02794B12"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000000"/>
          <w:sz w:val="28"/>
          <w:szCs w:val="28"/>
          <w:rtl/>
        </w:rPr>
      </w:pPr>
      <w:r w:rsidRPr="00545500">
        <w:rPr>
          <w:rFonts w:ascii="SimplifiedArabic" w:hAnsi="Courier New" w:cs="SimplifiedArabic" w:hint="cs"/>
          <w:color w:val="000000"/>
          <w:sz w:val="28"/>
          <w:szCs w:val="28"/>
          <w:rtl/>
        </w:rPr>
        <w:t xml:space="preserve">    </w:t>
      </w:r>
      <w:r w:rsidRPr="00545500">
        <w:rPr>
          <w:rFonts w:ascii="SimplifiedArabic" w:hAnsi="Courier New" w:cs="SimplifiedArabic"/>
          <w:color w:val="000000"/>
          <w:sz w:val="28"/>
          <w:szCs w:val="28"/>
        </w:rPr>
        <w:t xml:space="preserve"> </w:t>
      </w:r>
      <w:r w:rsidRPr="00545500">
        <w:rPr>
          <w:rFonts w:ascii="SimplifiedArabic" w:hAnsi="Courier New" w:cs="SimplifiedArabic"/>
          <w:color w:val="000000"/>
          <w:sz w:val="28"/>
          <w:szCs w:val="28"/>
          <w:rtl/>
        </w:rPr>
        <w:t>وتظهر أهمية دراسة تأثير إدارة الموارد البشرية في تقليل التلاعب بالقرارات الإدارية من خلال الربط بين الجانب النظري والتطبيق العملي في مؤسسات القطاع الخاص. من خلال هذه الدراسة يمكن تحليل واقع تطبيق مبادئ الإدارة، وقياس مدى تأثيرها في تحسين جودة القرارات. كما تسهم في تقديم رؤية واضحة حول كيفية تعزيز الأنظمة الإدارية لدعم الشفافية وتقليل الانحرافات المحتملة</w:t>
      </w:r>
      <w:r w:rsidRPr="00545500">
        <w:rPr>
          <w:rFonts w:ascii="SimplifiedArabic" w:hAnsi="Courier New" w:cs="SimplifiedArabic"/>
          <w:color w:val="000000"/>
          <w:sz w:val="28"/>
          <w:szCs w:val="28"/>
        </w:rPr>
        <w:t>.</w:t>
      </w:r>
    </w:p>
    <w:p w14:paraId="0241992E" w14:textId="77777777" w:rsidR="00545500" w:rsidRPr="00545500" w:rsidRDefault="00545500" w:rsidP="00545500">
      <w:pPr>
        <w:autoSpaceDE w:val="0"/>
        <w:autoSpaceDN w:val="0"/>
        <w:bidi/>
        <w:adjustRightInd w:val="0"/>
        <w:spacing w:after="0" w:line="600" w:lineRule="auto"/>
        <w:jc w:val="lowKashida"/>
        <w:rPr>
          <w:rFonts w:ascii="SimplifiedArabic-Bold" w:hAnsi="Courier New" w:cs="SimplifiedArabic-Bold"/>
          <w:b/>
          <w:bCs/>
          <w:color w:val="1F1F1F"/>
          <w:sz w:val="36"/>
          <w:szCs w:val="36"/>
          <w:u w:val="single"/>
          <w:rtl/>
        </w:rPr>
      </w:pPr>
      <w:r w:rsidRPr="00545500">
        <w:rPr>
          <w:rFonts w:ascii="SimplifiedArabic" w:hAnsi="Courier New" w:cs="SimplifiedArabic" w:hint="cs"/>
          <w:color w:val="000000"/>
          <w:sz w:val="28"/>
          <w:szCs w:val="28"/>
          <w:rtl/>
        </w:rPr>
        <w:lastRenderedPageBreak/>
        <w:t xml:space="preserve">    </w:t>
      </w:r>
      <w:r w:rsidRPr="00545500">
        <w:rPr>
          <w:rFonts w:ascii="SimplifiedArabic" w:hAnsi="Courier New" w:cs="SimplifiedArabic"/>
          <w:color w:val="000000"/>
          <w:sz w:val="28"/>
          <w:szCs w:val="28"/>
          <w:rtl/>
        </w:rPr>
        <w:t xml:space="preserve"> وفي ضوء ما سبق، يتضح أن إدارة الموارد البشرية تمثل عنصراً أساسياً في تطوير الأداء الإداري داخل المؤسسات، حيث لا تقتصر أهميتها على تنظيم العمليات الداخلية فقط، بل تتعداها للحد من الممارسات الغير سليمة التي قد تؤثر على نزاهة القرارات. وبالتالي، فإن فهم هذا الدور وتحليله في سياق القطاع الخاص يعد خطوة ضرورية نحو تحسين بيئة العمل وزيادة كفاءة وفعالية المؤسسات بشكل عام.</w:t>
      </w:r>
    </w:p>
    <w:p w14:paraId="299E3090" w14:textId="77777777" w:rsidR="00545500" w:rsidRPr="00545500" w:rsidRDefault="00545500" w:rsidP="00545500">
      <w:pPr>
        <w:autoSpaceDE w:val="0"/>
        <w:autoSpaceDN w:val="0"/>
        <w:bidi/>
        <w:adjustRightInd w:val="0"/>
        <w:spacing w:after="0" w:line="600" w:lineRule="auto"/>
        <w:jc w:val="lowKashida"/>
        <w:outlineLvl w:val="0"/>
        <w:rPr>
          <w:rFonts w:ascii="Simplified Arabic" w:hAnsi="Simplified Arabic" w:cs="Simplified Arabic"/>
          <w:color w:val="000000"/>
          <w:sz w:val="36"/>
          <w:szCs w:val="36"/>
          <w:u w:val="single"/>
          <w:rtl/>
          <w:lang w:val="en-GB"/>
        </w:rPr>
      </w:pPr>
      <w:bookmarkStart w:id="3" w:name="_Toc225424344"/>
      <w:r w:rsidRPr="00545500">
        <w:rPr>
          <w:rFonts w:ascii="SimplifiedArabic-Bold" w:hAnsi="Courier New" w:cs="SimplifiedArabic-Bold" w:hint="cs"/>
          <w:b/>
          <w:bCs/>
          <w:color w:val="1F1F1F"/>
          <w:sz w:val="36"/>
          <w:szCs w:val="36"/>
          <w:u w:val="single"/>
          <w:rtl/>
        </w:rPr>
        <w:t>مشكلة</w:t>
      </w:r>
      <w:r w:rsidRPr="00545500">
        <w:rPr>
          <w:rFonts w:ascii="SimplifiedArabic-Bold" w:hAnsi="Courier New" w:cs="SimplifiedArabic-Bold"/>
          <w:b/>
          <w:bCs/>
          <w:color w:val="1F1F1F"/>
          <w:sz w:val="36"/>
          <w:szCs w:val="36"/>
          <w:u w:val="single"/>
          <w:rtl/>
        </w:rPr>
        <w:t xml:space="preserve"> </w:t>
      </w:r>
      <w:r w:rsidRPr="00545500">
        <w:rPr>
          <w:rFonts w:ascii="SimplifiedArabic-Bold" w:hAnsi="Courier New" w:cs="SimplifiedArabic-Bold" w:hint="cs"/>
          <w:b/>
          <w:bCs/>
          <w:color w:val="1F1F1F"/>
          <w:sz w:val="36"/>
          <w:szCs w:val="36"/>
          <w:u w:val="single"/>
          <w:rtl/>
        </w:rPr>
        <w:t>البحث</w:t>
      </w:r>
      <w:r w:rsidRPr="00545500">
        <w:rPr>
          <w:rFonts w:ascii="SimplifiedArabic-Bold" w:hAnsi="Courier New" w:cs="SimplifiedArabic-Bold"/>
          <w:b/>
          <w:bCs/>
          <w:color w:val="1F1F1F"/>
          <w:sz w:val="36"/>
          <w:szCs w:val="36"/>
          <w:u w:val="single"/>
        </w:rPr>
        <w:t>:</w:t>
      </w:r>
      <w:bookmarkEnd w:id="3"/>
    </w:p>
    <w:p w14:paraId="34B9CD4A"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000000"/>
          <w:sz w:val="28"/>
          <w:szCs w:val="28"/>
          <w:rtl/>
        </w:rPr>
      </w:pPr>
      <w:r w:rsidRPr="00545500">
        <w:rPr>
          <w:rFonts w:ascii="SimplifiedArabic" w:hAnsi="Courier New" w:cs="SimplifiedArabic" w:hint="cs"/>
          <w:color w:val="000000"/>
          <w:sz w:val="28"/>
          <w:szCs w:val="28"/>
          <w:rtl/>
        </w:rPr>
        <w:t xml:space="preserve">     </w:t>
      </w:r>
      <w:r w:rsidRPr="00545500">
        <w:rPr>
          <w:rFonts w:ascii="SimplifiedArabic" w:hAnsi="Courier New" w:cs="SimplifiedArabic"/>
          <w:color w:val="000000"/>
          <w:sz w:val="28"/>
          <w:szCs w:val="28"/>
          <w:rtl/>
        </w:rPr>
        <w:t>تسعى المؤسسات في القطاع الخاص إلى تحقيق كفاءة عالية في اتخاذ القرارات الإدارية، إلا أن العديد منها يواجه تحديات مرتبطة بوجود ممارسات غير منضبطة أو قابلة للتلاعب في تلك القرارات. وعلى الرغم من تزايد الاهتمام بتطبيق مفاهيم الحوكمة داخل المؤسسات، فإن حوكمة الموارد البشرية لا تزال غير مطبقة بشكل متكامل في بعض المنظمات، مما يؤدي إلى ضعف في الشفافية، وتباين في تطبيق العدالة التنظيمية، وغياب الوضوح في توزيع الصلاحيات والمسؤوليات. وينتج عن ذلك احتمالية التأثير غير الموضوعي على القرارات الإدارية، سواء في التوظيف أو الترقية أو تقييم الأداء، وهو ما ينعكس سلبًا على كفاءة الأداء المؤسسي وثقة العاملين</w:t>
      </w:r>
      <w:r w:rsidRPr="00545500">
        <w:rPr>
          <w:rFonts w:ascii="SimplifiedArabic" w:hAnsi="Courier New" w:cs="SimplifiedArabic"/>
          <w:color w:val="000000"/>
          <w:sz w:val="28"/>
          <w:szCs w:val="28"/>
        </w:rPr>
        <w:t>.</w:t>
      </w:r>
    </w:p>
    <w:p w14:paraId="57055EEE"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000000"/>
          <w:sz w:val="28"/>
          <w:szCs w:val="28"/>
          <w:rtl/>
        </w:rPr>
      </w:pPr>
      <w:r w:rsidRPr="00545500">
        <w:rPr>
          <w:rFonts w:ascii="SimplifiedArabic" w:hAnsi="Courier New" w:cs="SimplifiedArabic" w:hint="cs"/>
          <w:color w:val="000000"/>
          <w:sz w:val="28"/>
          <w:szCs w:val="28"/>
          <w:rtl/>
        </w:rPr>
        <w:t xml:space="preserve">     </w:t>
      </w:r>
      <w:r w:rsidRPr="00545500">
        <w:rPr>
          <w:rFonts w:ascii="SimplifiedArabic" w:hAnsi="Courier New" w:cs="SimplifiedArabic"/>
          <w:color w:val="000000"/>
          <w:sz w:val="28"/>
          <w:szCs w:val="28"/>
          <w:rtl/>
        </w:rPr>
        <w:t xml:space="preserve">وتتجلى هذه المشكلة في وجود فجوة بين المبادئ النظرية لحوكمة الموارد البشرية والتطبيق الفعلي لها داخل بيئة العمل، حيث قد تفتقر بعض المؤسسات إلى أنظمة رقابية فعالة أو سياسات واضحة تحد من تضارب المصالح وتضمن الالتزام بالمعايير المهنية. كما أن ضعف أدوات المساءلة والرقابة الداخلية قد يتيح المجال أمام ممارسات فردية تؤثر على نزاهة القرارات الإدارية، مما يعيق تحقيق </w:t>
      </w:r>
      <w:r w:rsidRPr="00545500">
        <w:rPr>
          <w:rFonts w:ascii="SimplifiedArabic" w:hAnsi="Courier New" w:cs="SimplifiedArabic"/>
          <w:color w:val="000000"/>
          <w:sz w:val="28"/>
          <w:szCs w:val="28"/>
          <w:rtl/>
        </w:rPr>
        <w:lastRenderedPageBreak/>
        <w:t>العدالة ويضعف مناخ العمل التنظيمي. ومن ثم، تبرز الحاجة إلى دراسة مدى تأثير حوكمة الموارد البشرية في الحد من التلاعب بالقرارات الإدارية داخل القطاع الخاص، وتحديد الآليات التي تسهم في تعزيز الشفافية والانضباط الإداري.</w:t>
      </w:r>
    </w:p>
    <w:p w14:paraId="0417C281" w14:textId="77777777" w:rsidR="00545500" w:rsidRPr="00545500" w:rsidRDefault="00545500" w:rsidP="00545500">
      <w:pPr>
        <w:autoSpaceDE w:val="0"/>
        <w:autoSpaceDN w:val="0"/>
        <w:bidi/>
        <w:adjustRightInd w:val="0"/>
        <w:spacing w:after="0" w:line="240" w:lineRule="auto"/>
        <w:outlineLvl w:val="1"/>
        <w:rPr>
          <w:rFonts w:ascii="SimplifiedArabic-Bold" w:hAnsi="Courier New" w:cs="SimplifiedArabic-Bold"/>
          <w:b/>
          <w:bCs/>
          <w:color w:val="1F1F1F"/>
          <w:sz w:val="28"/>
          <w:szCs w:val="28"/>
          <w:rtl/>
        </w:rPr>
      </w:pPr>
      <w:bookmarkStart w:id="4" w:name="_Toc225424345"/>
      <w:r w:rsidRPr="00545500">
        <w:rPr>
          <w:rFonts w:ascii="SimplifiedArabic-Bold" w:hAnsi="Courier New" w:cs="SimplifiedArabic-Bold" w:hint="cs"/>
          <w:b/>
          <w:bCs/>
          <w:color w:val="1F1F1F"/>
          <w:sz w:val="30"/>
          <w:szCs w:val="30"/>
          <w:rtl/>
        </w:rPr>
        <w:t>سؤال</w:t>
      </w:r>
      <w:r w:rsidRPr="00545500">
        <w:rPr>
          <w:rFonts w:ascii="SimplifiedArabic-Bold" w:hAnsi="Courier New" w:cs="SimplifiedArabic-Bold"/>
          <w:b/>
          <w:bCs/>
          <w:color w:val="1F1F1F"/>
          <w:sz w:val="30"/>
          <w:szCs w:val="30"/>
          <w:rtl/>
        </w:rPr>
        <w:t xml:space="preserve"> </w:t>
      </w:r>
      <w:r w:rsidRPr="00545500">
        <w:rPr>
          <w:rFonts w:ascii="SimplifiedArabic-Bold" w:hAnsi="Courier New" w:cs="SimplifiedArabic-Bold" w:hint="cs"/>
          <w:b/>
          <w:bCs/>
          <w:color w:val="1F1F1F"/>
          <w:sz w:val="30"/>
          <w:szCs w:val="30"/>
          <w:rtl/>
        </w:rPr>
        <w:t>البحث</w:t>
      </w:r>
      <w:r w:rsidRPr="00545500">
        <w:rPr>
          <w:rFonts w:ascii="SimplifiedArabic-Bold" w:hAnsi="Courier New" w:cs="SimplifiedArabic-Bold"/>
          <w:b/>
          <w:bCs/>
          <w:color w:val="1F1F1F"/>
          <w:sz w:val="30"/>
          <w:szCs w:val="30"/>
          <w:rtl/>
        </w:rPr>
        <w:t xml:space="preserve"> </w:t>
      </w:r>
      <w:r w:rsidRPr="00545500">
        <w:rPr>
          <w:rFonts w:ascii="SimplifiedArabic-Bold" w:hAnsi="Courier New" w:cs="SimplifiedArabic-Bold" w:hint="cs"/>
          <w:b/>
          <w:bCs/>
          <w:color w:val="1F1F1F"/>
          <w:sz w:val="30"/>
          <w:szCs w:val="30"/>
          <w:rtl/>
        </w:rPr>
        <w:t>الرئيسي</w:t>
      </w:r>
      <w:r w:rsidRPr="00545500">
        <w:rPr>
          <w:rFonts w:ascii="SimplifiedArabic-Bold" w:hAnsi="Courier New" w:cs="SimplifiedArabic-Bold"/>
          <w:b/>
          <w:bCs/>
          <w:color w:val="1F1F1F"/>
          <w:sz w:val="30"/>
          <w:szCs w:val="30"/>
        </w:rPr>
        <w:t>:</w:t>
      </w:r>
      <w:bookmarkEnd w:id="4"/>
    </w:p>
    <w:p w14:paraId="1E8D93E0" w14:textId="77777777" w:rsidR="00545500" w:rsidRPr="00545500" w:rsidRDefault="00545500" w:rsidP="00545500">
      <w:pPr>
        <w:autoSpaceDE w:val="0"/>
        <w:autoSpaceDN w:val="0"/>
        <w:bidi/>
        <w:adjustRightInd w:val="0"/>
        <w:spacing w:after="0" w:line="240" w:lineRule="auto"/>
        <w:rPr>
          <w:rFonts w:ascii="SimplifiedArabic-Bold" w:hAnsi="Courier New" w:cs="SimplifiedArabic-Bold"/>
          <w:b/>
          <w:bCs/>
          <w:color w:val="1F1F1F"/>
          <w:sz w:val="28"/>
          <w:szCs w:val="28"/>
        </w:rPr>
      </w:pPr>
    </w:p>
    <w:p w14:paraId="386EB704"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tl/>
        </w:rPr>
        <w:t>ما أثر حوكمة الموارد البشرية في الحد من التلاعب بالقرارات الإدارية في القطاع الخاص؟</w:t>
      </w:r>
    </w:p>
    <w:p w14:paraId="0A6FE89A" w14:textId="77777777" w:rsidR="00545500" w:rsidRPr="00545500" w:rsidRDefault="00545500" w:rsidP="00545500">
      <w:pPr>
        <w:autoSpaceDE w:val="0"/>
        <w:autoSpaceDN w:val="0"/>
        <w:bidi/>
        <w:adjustRightInd w:val="0"/>
        <w:spacing w:after="0" w:line="600" w:lineRule="auto"/>
        <w:jc w:val="lowKashida"/>
        <w:outlineLvl w:val="1"/>
        <w:rPr>
          <w:rFonts w:ascii="SimplifiedArabic" w:hAnsi="Courier New" w:cs="SimplifiedArabic"/>
          <w:color w:val="1F1F1F"/>
          <w:sz w:val="28"/>
          <w:szCs w:val="28"/>
          <w:rtl/>
        </w:rPr>
      </w:pPr>
      <w:bookmarkStart w:id="5" w:name="_Toc225424346"/>
      <w:r w:rsidRPr="00545500">
        <w:rPr>
          <w:rFonts w:ascii="SimplifiedArabic-Bold" w:hAnsi="Courier New" w:cs="SimplifiedArabic-Bold" w:hint="cs"/>
          <w:b/>
          <w:bCs/>
          <w:color w:val="1F1F1F"/>
          <w:sz w:val="32"/>
          <w:szCs w:val="32"/>
          <w:rtl/>
        </w:rPr>
        <w:t>أسئلة</w:t>
      </w:r>
      <w:r w:rsidRPr="00545500">
        <w:rPr>
          <w:rFonts w:ascii="SimplifiedArabic-Bold" w:hAnsi="Courier New" w:cs="SimplifiedArabic-Bold"/>
          <w:b/>
          <w:bCs/>
          <w:color w:val="1F1F1F"/>
          <w:sz w:val="32"/>
          <w:szCs w:val="32"/>
          <w:rtl/>
        </w:rPr>
        <w:t xml:space="preserve"> </w:t>
      </w:r>
      <w:r w:rsidRPr="00545500">
        <w:rPr>
          <w:rFonts w:ascii="SimplifiedArabic-Bold" w:hAnsi="Courier New" w:cs="SimplifiedArabic-Bold" w:hint="cs"/>
          <w:b/>
          <w:bCs/>
          <w:color w:val="1F1F1F"/>
          <w:sz w:val="32"/>
          <w:szCs w:val="32"/>
          <w:rtl/>
        </w:rPr>
        <w:t>البحث</w:t>
      </w:r>
      <w:r w:rsidRPr="00545500">
        <w:rPr>
          <w:rFonts w:ascii="SimplifiedArabic-Bold" w:hAnsi="Courier New" w:cs="SimplifiedArabic-Bold"/>
          <w:b/>
          <w:bCs/>
          <w:color w:val="1F1F1F"/>
          <w:sz w:val="32"/>
          <w:szCs w:val="32"/>
          <w:rtl/>
        </w:rPr>
        <w:t xml:space="preserve"> </w:t>
      </w:r>
      <w:r w:rsidRPr="00545500">
        <w:rPr>
          <w:rFonts w:ascii="SimplifiedArabic-Bold" w:hAnsi="Courier New" w:cs="SimplifiedArabic-Bold" w:hint="cs"/>
          <w:b/>
          <w:bCs/>
          <w:color w:val="1F1F1F"/>
          <w:sz w:val="32"/>
          <w:szCs w:val="32"/>
          <w:rtl/>
        </w:rPr>
        <w:t>الفرعية</w:t>
      </w:r>
      <w:r w:rsidRPr="00545500">
        <w:rPr>
          <w:rFonts w:ascii="SimplifiedArabic-Bold" w:hAnsi="Courier New" w:cs="SimplifiedArabic-Bold"/>
          <w:b/>
          <w:bCs/>
          <w:color w:val="1F1F1F"/>
          <w:sz w:val="32"/>
          <w:szCs w:val="32"/>
        </w:rPr>
        <w:t>:</w:t>
      </w:r>
      <w:bookmarkEnd w:id="5"/>
    </w:p>
    <w:p w14:paraId="023B0EC0" w14:textId="77777777" w:rsidR="00545500" w:rsidRPr="00545500" w:rsidRDefault="00545500" w:rsidP="00545500">
      <w:pPr>
        <w:numPr>
          <w:ilvl w:val="0"/>
          <w:numId w:val="20"/>
        </w:numPr>
        <w:autoSpaceDE w:val="0"/>
        <w:autoSpaceDN w:val="0"/>
        <w:bidi/>
        <w:adjustRightInd w:val="0"/>
        <w:spacing w:after="0" w:line="600" w:lineRule="auto"/>
        <w:contextualSpacing/>
        <w:rPr>
          <w:rFonts w:ascii="SimplifiedArabic" w:eastAsia="Times New Roman" w:hAnsi="Times New Roman" w:cs="SimplifiedArabic"/>
          <w:sz w:val="28"/>
          <w:szCs w:val="28"/>
          <w:rtl/>
          <w14:ligatures w14:val="none"/>
        </w:rPr>
      </w:pPr>
      <w:r w:rsidRPr="00545500">
        <w:rPr>
          <w:rFonts w:ascii="SimplifiedArabic" w:eastAsia="Times New Roman" w:hAnsi="Times New Roman" w:cs="SimplifiedArabic"/>
          <w:sz w:val="28"/>
          <w:szCs w:val="28"/>
          <w:rtl/>
          <w14:ligatures w14:val="none"/>
        </w:rPr>
        <w:t>ما مستوى تطبيق ممارسات حوكمة الموارد البشرية في مؤسسات القطاع الخاص؟</w:t>
      </w:r>
    </w:p>
    <w:p w14:paraId="2EB19512" w14:textId="77777777" w:rsidR="00545500" w:rsidRPr="00545500" w:rsidRDefault="00545500" w:rsidP="00545500">
      <w:pPr>
        <w:numPr>
          <w:ilvl w:val="0"/>
          <w:numId w:val="20"/>
        </w:numPr>
        <w:autoSpaceDE w:val="0"/>
        <w:autoSpaceDN w:val="0"/>
        <w:bidi/>
        <w:adjustRightInd w:val="0"/>
        <w:spacing w:after="0" w:line="600" w:lineRule="auto"/>
        <w:contextualSpacing/>
        <w:rPr>
          <w:rFonts w:ascii="SimplifiedArabic" w:eastAsia="Times New Roman" w:hAnsi="Times New Roman" w:cs="SimplifiedArabic"/>
          <w:sz w:val="28"/>
          <w:szCs w:val="28"/>
          <w:rtl/>
          <w14:ligatures w14:val="none"/>
        </w:rPr>
      </w:pPr>
      <w:r w:rsidRPr="00545500">
        <w:rPr>
          <w:rFonts w:ascii="SimplifiedArabic" w:eastAsia="Times New Roman" w:hAnsi="Times New Roman" w:cs="SimplifiedArabic"/>
          <w:sz w:val="28"/>
          <w:szCs w:val="28"/>
          <w:rtl/>
          <w14:ligatures w14:val="none"/>
        </w:rPr>
        <w:t>ما أثر الشفافية في إجراءات الموارد البشرية على الحد من التلاعب بالقرارات الإدارية؟</w:t>
      </w:r>
    </w:p>
    <w:p w14:paraId="6DB0ABA8" w14:textId="77777777" w:rsidR="00545500" w:rsidRPr="00545500" w:rsidRDefault="00545500" w:rsidP="00545500">
      <w:pPr>
        <w:numPr>
          <w:ilvl w:val="0"/>
          <w:numId w:val="20"/>
        </w:numPr>
        <w:autoSpaceDE w:val="0"/>
        <w:autoSpaceDN w:val="0"/>
        <w:bidi/>
        <w:adjustRightInd w:val="0"/>
        <w:spacing w:after="0" w:line="600" w:lineRule="auto"/>
        <w:contextualSpacing/>
        <w:rPr>
          <w:rFonts w:ascii="SimplifiedArabic" w:eastAsia="Times New Roman" w:hAnsi="Times New Roman" w:cs="SimplifiedArabic"/>
          <w:sz w:val="28"/>
          <w:szCs w:val="28"/>
          <w:rtl/>
          <w14:ligatures w14:val="none"/>
        </w:rPr>
      </w:pPr>
      <w:r w:rsidRPr="00545500">
        <w:rPr>
          <w:rFonts w:ascii="SimplifiedArabic" w:eastAsia="Times New Roman" w:hAnsi="Times New Roman" w:cs="SimplifiedArabic"/>
          <w:sz w:val="28"/>
          <w:szCs w:val="28"/>
          <w:rtl/>
          <w14:ligatures w14:val="none"/>
        </w:rPr>
        <w:t>ما دور المساءلة والرقابة الداخلية في تعزيز نزاهة القرارات الإدارية؟</w:t>
      </w:r>
    </w:p>
    <w:p w14:paraId="2DB62DE4" w14:textId="77777777" w:rsidR="00545500" w:rsidRPr="00545500" w:rsidRDefault="00545500" w:rsidP="00545500">
      <w:pPr>
        <w:numPr>
          <w:ilvl w:val="0"/>
          <w:numId w:val="20"/>
        </w:numPr>
        <w:autoSpaceDE w:val="0"/>
        <w:autoSpaceDN w:val="0"/>
        <w:bidi/>
        <w:adjustRightInd w:val="0"/>
        <w:spacing w:after="0" w:line="600" w:lineRule="auto"/>
        <w:contextualSpacing/>
        <w:rPr>
          <w:rFonts w:ascii="SimplifiedArabic" w:eastAsia="Times New Roman" w:hAnsi="Times New Roman" w:cs="SimplifiedArabic"/>
          <w:sz w:val="28"/>
          <w:szCs w:val="28"/>
          <w:rtl/>
          <w14:ligatures w14:val="none"/>
        </w:rPr>
      </w:pPr>
      <w:r w:rsidRPr="00545500">
        <w:rPr>
          <w:rFonts w:ascii="SimplifiedArabic" w:eastAsia="Times New Roman" w:hAnsi="Times New Roman" w:cs="SimplifiedArabic"/>
          <w:sz w:val="28"/>
          <w:szCs w:val="28"/>
          <w:rtl/>
          <w14:ligatures w14:val="none"/>
        </w:rPr>
        <w:t>ما أثر العدالة التنظيمية وتكافؤ الفرص على تقليل الانحراف في اتخاذ القرارات؟</w:t>
      </w:r>
    </w:p>
    <w:p w14:paraId="410B3FFF" w14:textId="77777777" w:rsidR="00545500" w:rsidRPr="00545500" w:rsidRDefault="00545500" w:rsidP="00545500">
      <w:pPr>
        <w:numPr>
          <w:ilvl w:val="0"/>
          <w:numId w:val="20"/>
        </w:numPr>
        <w:autoSpaceDE w:val="0"/>
        <w:autoSpaceDN w:val="0"/>
        <w:bidi/>
        <w:adjustRightInd w:val="0"/>
        <w:spacing w:after="0" w:line="600" w:lineRule="auto"/>
        <w:contextualSpacing/>
        <w:rPr>
          <w:rFonts w:ascii="SimplifiedArabic" w:eastAsia="Times New Roman" w:hAnsi="Times New Roman" w:cs="SimplifiedArabic"/>
          <w:sz w:val="28"/>
          <w:szCs w:val="28"/>
          <w14:ligatures w14:val="none"/>
        </w:rPr>
      </w:pPr>
      <w:r w:rsidRPr="00545500">
        <w:rPr>
          <w:rFonts w:ascii="SimplifiedArabic" w:eastAsia="Times New Roman" w:hAnsi="Times New Roman" w:cs="SimplifiedArabic"/>
          <w:sz w:val="28"/>
          <w:szCs w:val="28"/>
          <w:rtl/>
          <w14:ligatures w14:val="none"/>
        </w:rPr>
        <w:t>كيف تسهم وضوح السياسات والإجراءات في الحد من تضارب المصالح داخل المؤسسات؟</w:t>
      </w:r>
    </w:p>
    <w:p w14:paraId="67A2EE01" w14:textId="77777777" w:rsidR="00545500" w:rsidRPr="00545500" w:rsidRDefault="00545500" w:rsidP="00545500">
      <w:pPr>
        <w:numPr>
          <w:ilvl w:val="0"/>
          <w:numId w:val="20"/>
        </w:numPr>
        <w:autoSpaceDE w:val="0"/>
        <w:autoSpaceDN w:val="0"/>
        <w:bidi/>
        <w:adjustRightInd w:val="0"/>
        <w:spacing w:after="0" w:line="600" w:lineRule="auto"/>
        <w:contextualSpacing/>
        <w:rPr>
          <w:rFonts w:ascii="SimplifiedArabic" w:eastAsia="Times New Roman" w:hAnsi="Times New Roman" w:cs="SimplifiedArabic"/>
          <w:sz w:val="28"/>
          <w:szCs w:val="28"/>
          <w:rtl/>
          <w14:ligatures w14:val="none"/>
        </w:rPr>
      </w:pPr>
      <w:r w:rsidRPr="00545500">
        <w:rPr>
          <w:rFonts w:ascii="SimplifiedArabic" w:eastAsia="Times New Roman" w:hAnsi="Times New Roman" w:cs="SimplifiedArabic"/>
          <w:sz w:val="28"/>
          <w:szCs w:val="28"/>
          <w:rtl/>
          <w14:ligatures w14:val="none"/>
        </w:rPr>
        <w:t>هل يختلف أثر حوكمة الموارد البشرية على الحد من التلاعب بالقرارات الإدارية باختلاف المتغيرات الديمغرافية للعاملين (الجنس، العمر، المؤهل العلمي، سنوات الخبرة)؟</w:t>
      </w:r>
    </w:p>
    <w:p w14:paraId="70918A6E" w14:textId="77777777" w:rsidR="00545500" w:rsidRPr="00545500" w:rsidRDefault="00545500" w:rsidP="00545500">
      <w:pPr>
        <w:autoSpaceDE w:val="0"/>
        <w:autoSpaceDN w:val="0"/>
        <w:bidi/>
        <w:adjustRightInd w:val="0"/>
        <w:spacing w:after="0" w:line="240" w:lineRule="auto"/>
        <w:rPr>
          <w:rFonts w:ascii="SimplifiedArabic" w:hAnsi="Courier New" w:cs="SimplifiedArabic"/>
          <w:sz w:val="28"/>
          <w:szCs w:val="28"/>
          <w:rtl/>
        </w:rPr>
      </w:pPr>
    </w:p>
    <w:p w14:paraId="1A7897A6" w14:textId="77777777" w:rsidR="00545500" w:rsidRPr="00545500" w:rsidRDefault="00545500" w:rsidP="00545500">
      <w:pPr>
        <w:autoSpaceDE w:val="0"/>
        <w:autoSpaceDN w:val="0"/>
        <w:bidi/>
        <w:adjustRightInd w:val="0"/>
        <w:spacing w:after="0" w:line="240" w:lineRule="auto"/>
        <w:outlineLvl w:val="0"/>
        <w:rPr>
          <w:rFonts w:ascii="SimplifiedArabic-Bold" w:hAnsi="Courier New" w:cs="SimplifiedArabic-Bold"/>
          <w:b/>
          <w:bCs/>
          <w:color w:val="1F1F1F"/>
          <w:sz w:val="36"/>
          <w:szCs w:val="36"/>
          <w:u w:val="single"/>
          <w:rtl/>
        </w:rPr>
      </w:pPr>
      <w:bookmarkStart w:id="6" w:name="_Toc225424347"/>
      <w:r w:rsidRPr="00545500">
        <w:rPr>
          <w:rFonts w:ascii="SimplifiedArabic-Bold" w:hAnsi="Courier New" w:cs="SimplifiedArabic-Bold" w:hint="cs"/>
          <w:b/>
          <w:bCs/>
          <w:color w:val="1F1F1F"/>
          <w:sz w:val="36"/>
          <w:szCs w:val="36"/>
          <w:u w:val="single"/>
          <w:rtl/>
        </w:rPr>
        <w:t>أهمية</w:t>
      </w:r>
      <w:r w:rsidRPr="00545500">
        <w:rPr>
          <w:rFonts w:ascii="SimplifiedArabic-Bold" w:hAnsi="Courier New" w:cs="SimplifiedArabic-Bold"/>
          <w:b/>
          <w:bCs/>
          <w:color w:val="1F1F1F"/>
          <w:sz w:val="36"/>
          <w:szCs w:val="36"/>
          <w:u w:val="single"/>
          <w:rtl/>
        </w:rPr>
        <w:t xml:space="preserve"> </w:t>
      </w:r>
      <w:r w:rsidRPr="00545500">
        <w:rPr>
          <w:rFonts w:ascii="SimplifiedArabic-Bold" w:hAnsi="Courier New" w:cs="SimplifiedArabic-Bold" w:hint="cs"/>
          <w:b/>
          <w:bCs/>
          <w:color w:val="1F1F1F"/>
          <w:sz w:val="36"/>
          <w:szCs w:val="36"/>
          <w:u w:val="single"/>
          <w:rtl/>
        </w:rPr>
        <w:t>البحث</w:t>
      </w:r>
      <w:r w:rsidRPr="00545500">
        <w:rPr>
          <w:rFonts w:ascii="SimplifiedArabic-Bold" w:hAnsi="Courier New" w:cs="SimplifiedArabic-Bold"/>
          <w:b/>
          <w:bCs/>
          <w:color w:val="1F1F1F"/>
          <w:sz w:val="36"/>
          <w:szCs w:val="36"/>
          <w:u w:val="single"/>
        </w:rPr>
        <w:t>:</w:t>
      </w:r>
      <w:bookmarkEnd w:id="6"/>
    </w:p>
    <w:p w14:paraId="1F5E6E2F" w14:textId="77777777" w:rsidR="00545500" w:rsidRPr="00545500" w:rsidRDefault="00545500" w:rsidP="00545500">
      <w:pPr>
        <w:autoSpaceDE w:val="0"/>
        <w:autoSpaceDN w:val="0"/>
        <w:bidi/>
        <w:adjustRightInd w:val="0"/>
        <w:spacing w:after="0" w:line="240" w:lineRule="auto"/>
        <w:rPr>
          <w:rFonts w:ascii="SimplifiedArabic-Bold" w:hAnsi="Courier New" w:cs="SimplifiedArabic-Bold"/>
          <w:b/>
          <w:bCs/>
          <w:color w:val="1F1F1F"/>
          <w:sz w:val="32"/>
          <w:szCs w:val="32"/>
        </w:rPr>
      </w:pPr>
    </w:p>
    <w:p w14:paraId="04B5C15E" w14:textId="77777777" w:rsidR="00545500" w:rsidRPr="00545500" w:rsidRDefault="00545500" w:rsidP="00545500">
      <w:pPr>
        <w:autoSpaceDE w:val="0"/>
        <w:autoSpaceDN w:val="0"/>
        <w:bidi/>
        <w:adjustRightInd w:val="0"/>
        <w:spacing w:after="0" w:line="600" w:lineRule="auto"/>
        <w:jc w:val="lowKashida"/>
        <w:outlineLvl w:val="1"/>
        <w:rPr>
          <w:rFonts w:ascii="Courier New" w:hAnsi="Courier New" w:cs="SimplifiedArabic"/>
          <w:color w:val="1F1F1F"/>
          <w:sz w:val="28"/>
          <w:szCs w:val="28"/>
          <w:rtl/>
          <w:lang w:val="en-GB"/>
        </w:rPr>
      </w:pPr>
      <w:bookmarkStart w:id="7" w:name="_Toc225424348"/>
      <w:r w:rsidRPr="00545500">
        <w:rPr>
          <w:rFonts w:ascii="SimplifiedArabic-Bold" w:hAnsi="Courier New" w:cs="SimplifiedArabic-Bold" w:hint="cs"/>
          <w:b/>
          <w:bCs/>
          <w:color w:val="1F1F1F"/>
          <w:sz w:val="32"/>
          <w:szCs w:val="32"/>
          <w:rtl/>
        </w:rPr>
        <w:t>أهمية</w:t>
      </w:r>
      <w:r w:rsidRPr="00545500">
        <w:rPr>
          <w:rFonts w:ascii="SimplifiedArabic-Bold" w:hAnsi="Courier New" w:cs="SimplifiedArabic-Bold"/>
          <w:b/>
          <w:bCs/>
          <w:color w:val="1F1F1F"/>
          <w:sz w:val="32"/>
          <w:szCs w:val="32"/>
          <w:rtl/>
        </w:rPr>
        <w:t xml:space="preserve"> </w:t>
      </w:r>
      <w:r w:rsidRPr="00545500">
        <w:rPr>
          <w:rFonts w:ascii="SimplifiedArabic-Bold" w:hAnsi="Courier New" w:cs="SimplifiedArabic-Bold" w:hint="cs"/>
          <w:b/>
          <w:bCs/>
          <w:color w:val="1F1F1F"/>
          <w:sz w:val="32"/>
          <w:szCs w:val="32"/>
          <w:rtl/>
        </w:rPr>
        <w:t>البحث</w:t>
      </w:r>
      <w:r w:rsidRPr="00545500">
        <w:rPr>
          <w:rFonts w:ascii="SimplifiedArabic-Bold" w:hAnsi="Courier New" w:cs="SimplifiedArabic-Bold"/>
          <w:b/>
          <w:bCs/>
          <w:color w:val="1F1F1F"/>
          <w:sz w:val="32"/>
          <w:szCs w:val="32"/>
          <w:rtl/>
        </w:rPr>
        <w:t xml:space="preserve"> </w:t>
      </w:r>
      <w:r w:rsidRPr="00545500">
        <w:rPr>
          <w:rFonts w:ascii="SimplifiedArabic-Bold" w:hAnsi="Courier New" w:cs="SimplifiedArabic-Bold" w:hint="cs"/>
          <w:b/>
          <w:bCs/>
          <w:color w:val="1F1F1F"/>
          <w:sz w:val="32"/>
          <w:szCs w:val="32"/>
          <w:rtl/>
        </w:rPr>
        <w:t>النظرية</w:t>
      </w:r>
      <w:r w:rsidRPr="00545500">
        <w:rPr>
          <w:rFonts w:ascii="SimplifiedArabic-Bold" w:hAnsi="Courier New" w:cs="SimplifiedArabic-Bold"/>
          <w:b/>
          <w:bCs/>
          <w:color w:val="1F1F1F"/>
          <w:sz w:val="32"/>
          <w:szCs w:val="32"/>
        </w:rPr>
        <w:t>:</w:t>
      </w:r>
      <w:bookmarkEnd w:id="7"/>
    </w:p>
    <w:p w14:paraId="4BC7E0C8" w14:textId="77777777" w:rsidR="00545500" w:rsidRPr="00545500" w:rsidRDefault="00545500" w:rsidP="00545500">
      <w:pPr>
        <w:numPr>
          <w:ilvl w:val="0"/>
          <w:numId w:val="1"/>
        </w:numPr>
        <w:autoSpaceDE w:val="0"/>
        <w:autoSpaceDN w:val="0"/>
        <w:bidi/>
        <w:adjustRightInd w:val="0"/>
        <w:spacing w:after="0" w:line="600" w:lineRule="auto"/>
        <w:ind w:left="714" w:hanging="357"/>
        <w:contextualSpacing/>
        <w:jc w:val="lowKashida"/>
        <w:rPr>
          <w:rFonts w:ascii="SimplifiedArabic" w:eastAsia="Times New Roman" w:hAnsi="Times New Roman" w:cs="SimplifiedArabic"/>
          <w:color w:val="1F1F1F"/>
          <w:sz w:val="28"/>
          <w:szCs w:val="28"/>
          <w14:ligatures w14:val="none"/>
        </w:rPr>
      </w:pPr>
      <w:r w:rsidRPr="00545500">
        <w:rPr>
          <w:rFonts w:ascii="SimplifiedArabic" w:eastAsia="Times New Roman" w:hAnsi="Times New Roman" w:cs="SimplifiedArabic"/>
          <w:color w:val="1F1F1F"/>
          <w:sz w:val="28"/>
          <w:szCs w:val="28"/>
          <w:rtl/>
          <w14:ligatures w14:val="none"/>
        </w:rPr>
        <w:t>يساهم البحث في توسيع قاعدة المعرفة النظرية المتعلقة بحوكمة الموارد البشرية ودورها في الحد من التلاعب بالقرارات الإدارية داخل مؤسسات القطاع الخاص.</w:t>
      </w:r>
    </w:p>
    <w:p w14:paraId="4E0723E2" w14:textId="77777777" w:rsidR="00545500" w:rsidRPr="00545500" w:rsidRDefault="00545500" w:rsidP="00545500">
      <w:pPr>
        <w:numPr>
          <w:ilvl w:val="0"/>
          <w:numId w:val="1"/>
        </w:numPr>
        <w:autoSpaceDE w:val="0"/>
        <w:autoSpaceDN w:val="0"/>
        <w:bidi/>
        <w:adjustRightInd w:val="0"/>
        <w:spacing w:after="0" w:line="600" w:lineRule="auto"/>
        <w:ind w:left="714" w:hanging="357"/>
        <w:contextualSpacing/>
        <w:jc w:val="lowKashida"/>
        <w:rPr>
          <w:rFonts w:ascii="SimplifiedArabic" w:eastAsia="Times New Roman" w:hAnsi="Times New Roman" w:cs="SimplifiedArabic"/>
          <w:color w:val="1F1F1F"/>
          <w:sz w:val="28"/>
          <w:szCs w:val="28"/>
          <w14:ligatures w14:val="none"/>
        </w:rPr>
      </w:pPr>
      <w:r w:rsidRPr="00545500">
        <w:rPr>
          <w:rFonts w:ascii="SimplifiedArabic" w:eastAsia="Times New Roman" w:hAnsi="Times New Roman" w:cs="SimplifiedArabic"/>
          <w:color w:val="1F1F1F"/>
          <w:sz w:val="28"/>
          <w:szCs w:val="28"/>
          <w:rtl/>
          <w14:ligatures w14:val="none"/>
        </w:rPr>
        <w:lastRenderedPageBreak/>
        <w:t>يُسهم في إثراء الأدبيات العربية في مجال الحوكمة الإدارية، خاصة في ظل محدودية الدراسات التي تناولت أثر حوكمة الموارد البشرية على نزاهة وشفافية القرارات الإدارية.</w:t>
      </w:r>
    </w:p>
    <w:p w14:paraId="02F87D08" w14:textId="77777777" w:rsidR="00545500" w:rsidRPr="00545500" w:rsidRDefault="00545500" w:rsidP="00545500">
      <w:pPr>
        <w:numPr>
          <w:ilvl w:val="0"/>
          <w:numId w:val="1"/>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rtl/>
          <w14:ligatures w14:val="none"/>
        </w:rPr>
      </w:pPr>
      <w:r w:rsidRPr="00545500">
        <w:rPr>
          <w:rFonts w:ascii="SimplifiedArabic" w:eastAsia="Times New Roman" w:hAnsi="Times New Roman" w:cs="SimplifiedArabic"/>
          <w:color w:val="1F1F1F"/>
          <w:sz w:val="28"/>
          <w:szCs w:val="28"/>
          <w:rtl/>
          <w14:ligatures w14:val="none"/>
        </w:rPr>
        <w:t>يتيح البحث فرصة للمقارنة مع الدراسات السابقة المحلية والدولية، مما يساعد على تحديد الفجوات البحثية وتوجيه الاهتمام الأكاديمي نحو موضوعات أكثر عمقًا في مجال الحوكمة والرقابة الإدارية</w:t>
      </w:r>
      <w:r w:rsidRPr="00545500">
        <w:rPr>
          <w:rFonts w:ascii="SimplifiedArabic" w:eastAsia="Times New Roman" w:hAnsi="Times New Roman" w:cs="SimplifiedArabic"/>
          <w:color w:val="1F1F1F"/>
          <w:sz w:val="28"/>
          <w:szCs w:val="28"/>
          <w14:ligatures w14:val="none"/>
        </w:rPr>
        <w:t>.</w:t>
      </w:r>
    </w:p>
    <w:p w14:paraId="11E14CEA" w14:textId="77777777" w:rsidR="00545500" w:rsidRPr="00545500" w:rsidRDefault="00545500" w:rsidP="00545500">
      <w:pPr>
        <w:autoSpaceDE w:val="0"/>
        <w:autoSpaceDN w:val="0"/>
        <w:bidi/>
        <w:adjustRightInd w:val="0"/>
        <w:spacing w:after="0" w:line="600" w:lineRule="auto"/>
        <w:jc w:val="lowKashida"/>
        <w:outlineLvl w:val="1"/>
        <w:rPr>
          <w:rFonts w:ascii="SimplifiedArabic-Bold" w:hAnsi="Courier New" w:cs="SimplifiedArabic-Bold"/>
          <w:b/>
          <w:bCs/>
          <w:color w:val="1F1F1F"/>
          <w:sz w:val="28"/>
          <w:szCs w:val="28"/>
          <w:rtl/>
        </w:rPr>
      </w:pPr>
      <w:bookmarkStart w:id="8" w:name="_Toc225424349"/>
      <w:r w:rsidRPr="00545500">
        <w:rPr>
          <w:rFonts w:ascii="SimplifiedArabic-Bold" w:hAnsi="Courier New" w:cs="SimplifiedArabic-Bold"/>
          <w:b/>
          <w:bCs/>
          <w:color w:val="1F1F1F"/>
          <w:sz w:val="32"/>
          <w:szCs w:val="32"/>
          <w:rtl/>
        </w:rPr>
        <w:t>أهمية البحث التطبيقية</w:t>
      </w:r>
      <w:r w:rsidRPr="00545500">
        <w:rPr>
          <w:rFonts w:ascii="SimplifiedArabic-Bold" w:hAnsi="Courier New" w:cs="SimplifiedArabic-Bold"/>
          <w:b/>
          <w:bCs/>
          <w:color w:val="1F1F1F"/>
          <w:sz w:val="28"/>
          <w:szCs w:val="28"/>
        </w:rPr>
        <w:t>:</w:t>
      </w:r>
      <w:bookmarkEnd w:id="8"/>
    </w:p>
    <w:p w14:paraId="0B50588C" w14:textId="77777777" w:rsidR="00545500" w:rsidRPr="00545500" w:rsidRDefault="00545500" w:rsidP="00545500">
      <w:pPr>
        <w:numPr>
          <w:ilvl w:val="0"/>
          <w:numId w:val="1"/>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545500">
        <w:rPr>
          <w:rFonts w:ascii="SimplifiedArabic" w:eastAsia="Times New Roman" w:hAnsi="Times New Roman" w:cs="SimplifiedArabic"/>
          <w:color w:val="1F1F1F"/>
          <w:sz w:val="28"/>
          <w:szCs w:val="28"/>
          <w:rtl/>
          <w14:ligatures w14:val="none"/>
        </w:rPr>
        <w:t>تساعد نتائج البحث مؤسسات القطاع الخاص على إدراك أهمية تطبيق ممارسات حوكمة الموارد البشرية كأداة فاعلة للحد من التلاعب بالقرارات الإدارية وتعزيز الشفافية.</w:t>
      </w:r>
    </w:p>
    <w:p w14:paraId="2461AB6F" w14:textId="77777777" w:rsidR="00545500" w:rsidRPr="00545500" w:rsidRDefault="00545500" w:rsidP="00545500">
      <w:pPr>
        <w:numPr>
          <w:ilvl w:val="0"/>
          <w:numId w:val="1"/>
        </w:numPr>
        <w:autoSpaceDE w:val="0"/>
        <w:autoSpaceDN w:val="0"/>
        <w:bidi/>
        <w:adjustRightInd w:val="0"/>
        <w:spacing w:after="0" w:line="600" w:lineRule="auto"/>
        <w:ind w:left="714" w:hanging="357"/>
        <w:contextualSpacing/>
        <w:jc w:val="lowKashida"/>
        <w:rPr>
          <w:rFonts w:ascii="SimplifiedArabic" w:eastAsia="Times New Roman" w:hAnsi="Times New Roman" w:cs="SimplifiedArabic"/>
          <w:color w:val="1F1F1F"/>
          <w:sz w:val="28"/>
          <w:szCs w:val="28"/>
          <w14:ligatures w14:val="none"/>
        </w:rPr>
      </w:pPr>
      <w:r w:rsidRPr="00545500">
        <w:rPr>
          <w:rFonts w:ascii="SimplifiedArabic" w:eastAsia="Times New Roman" w:hAnsi="Times New Roman" w:cs="SimplifiedArabic"/>
          <w:color w:val="1F1F1F"/>
          <w:sz w:val="28"/>
          <w:szCs w:val="28"/>
          <w:rtl/>
          <w14:ligatures w14:val="none"/>
        </w:rPr>
        <w:t>يسهم البحث في دعم صناع القرار ومديري الموارد البشرية في تصميم سياسات وإجراءات تنظيمية واضحة تحد من تضارب المصالح وتعزز العدالة في اتخاذ القرار.</w:t>
      </w:r>
    </w:p>
    <w:p w14:paraId="51FA7A1E" w14:textId="77777777" w:rsidR="00545500" w:rsidRPr="00545500" w:rsidRDefault="00545500" w:rsidP="00545500">
      <w:pPr>
        <w:numPr>
          <w:ilvl w:val="0"/>
          <w:numId w:val="1"/>
        </w:numPr>
        <w:autoSpaceDE w:val="0"/>
        <w:autoSpaceDN w:val="0"/>
        <w:bidi/>
        <w:adjustRightInd w:val="0"/>
        <w:spacing w:after="0" w:line="600" w:lineRule="auto"/>
        <w:ind w:left="714" w:hanging="357"/>
        <w:contextualSpacing/>
        <w:jc w:val="lowKashida"/>
        <w:rPr>
          <w:rFonts w:ascii="SimplifiedArabic" w:eastAsia="Times New Roman" w:hAnsi="Times New Roman" w:cs="SimplifiedArabic"/>
          <w:color w:val="1F1F1F"/>
          <w:sz w:val="28"/>
          <w:szCs w:val="28"/>
          <w14:ligatures w14:val="none"/>
        </w:rPr>
      </w:pPr>
      <w:r w:rsidRPr="00545500">
        <w:rPr>
          <w:rFonts w:ascii="SimplifiedArabic" w:eastAsia="Times New Roman" w:hAnsi="Times New Roman" w:cs="SimplifiedArabic"/>
          <w:color w:val="1F1F1F"/>
          <w:sz w:val="28"/>
          <w:szCs w:val="28"/>
          <w:rtl/>
          <w14:ligatures w14:val="none"/>
        </w:rPr>
        <w:t>يُمكّن القيادات الإدارية من تحسين ممارساتهم الرقابية والإدارية بما ينعكس إيجابًا على جودة القرارات، واستقرار بيئة العمل، وتعزيز الثقة بين العاملين والإدارة.</w:t>
      </w:r>
    </w:p>
    <w:p w14:paraId="112BC4F7" w14:textId="77777777" w:rsidR="00545500" w:rsidRPr="00545500" w:rsidRDefault="00545500" w:rsidP="00545500">
      <w:pPr>
        <w:autoSpaceDE w:val="0"/>
        <w:autoSpaceDN w:val="0"/>
        <w:bidi/>
        <w:adjustRightInd w:val="0"/>
        <w:spacing w:after="0" w:line="600" w:lineRule="auto"/>
        <w:jc w:val="lowKashida"/>
        <w:outlineLvl w:val="0"/>
        <w:rPr>
          <w:rFonts w:ascii="SimplifiedArabic" w:hAnsi="Courier New" w:cs="SimplifiedArabic"/>
          <w:color w:val="1F1F1F"/>
          <w:sz w:val="36"/>
          <w:szCs w:val="36"/>
          <w:u w:val="single"/>
          <w:rtl/>
        </w:rPr>
      </w:pPr>
      <w:bookmarkStart w:id="9" w:name="_Toc225424350"/>
      <w:r w:rsidRPr="00545500">
        <w:rPr>
          <w:rFonts w:ascii="SimplifiedArabic-Bold" w:hAnsi="Courier New" w:cs="SimplifiedArabic-Bold" w:hint="cs"/>
          <w:b/>
          <w:bCs/>
          <w:color w:val="1F1F1F"/>
          <w:sz w:val="36"/>
          <w:szCs w:val="36"/>
          <w:u w:val="single"/>
          <w:rtl/>
        </w:rPr>
        <w:t>أهداف</w:t>
      </w:r>
      <w:r w:rsidRPr="00545500">
        <w:rPr>
          <w:rFonts w:ascii="SimplifiedArabic-Bold" w:hAnsi="Courier New" w:cs="SimplifiedArabic-Bold"/>
          <w:b/>
          <w:bCs/>
          <w:color w:val="1F1F1F"/>
          <w:sz w:val="36"/>
          <w:szCs w:val="36"/>
          <w:u w:val="single"/>
          <w:rtl/>
        </w:rPr>
        <w:t xml:space="preserve"> </w:t>
      </w:r>
      <w:r w:rsidRPr="00545500">
        <w:rPr>
          <w:rFonts w:ascii="SimplifiedArabic-Bold" w:hAnsi="Courier New" w:cs="SimplifiedArabic-Bold" w:hint="cs"/>
          <w:b/>
          <w:bCs/>
          <w:color w:val="1F1F1F"/>
          <w:sz w:val="36"/>
          <w:szCs w:val="36"/>
          <w:u w:val="single"/>
          <w:rtl/>
        </w:rPr>
        <w:t>البحث</w:t>
      </w:r>
      <w:r w:rsidRPr="00545500">
        <w:rPr>
          <w:rFonts w:ascii="SimplifiedArabic" w:hAnsi="Courier New" w:cs="SimplifiedArabic" w:hint="cs"/>
          <w:color w:val="1F1F1F"/>
          <w:sz w:val="36"/>
          <w:szCs w:val="36"/>
          <w:u w:val="single"/>
          <w:rtl/>
        </w:rPr>
        <w:t>:</w:t>
      </w:r>
      <w:bookmarkEnd w:id="9"/>
    </w:p>
    <w:p w14:paraId="572FF911" w14:textId="77777777" w:rsidR="00545500" w:rsidRPr="00545500" w:rsidRDefault="00545500" w:rsidP="00545500">
      <w:pPr>
        <w:numPr>
          <w:ilvl w:val="0"/>
          <w:numId w:val="12"/>
        </w:numPr>
        <w:autoSpaceDE w:val="0"/>
        <w:autoSpaceDN w:val="0"/>
        <w:bidi/>
        <w:adjustRightInd w:val="0"/>
        <w:spacing w:after="0" w:line="600" w:lineRule="auto"/>
        <w:ind w:left="714" w:hanging="357"/>
        <w:contextualSpacing/>
        <w:jc w:val="lowKashida"/>
        <w:rPr>
          <w:rFonts w:ascii="SimplifiedArabic" w:eastAsia="Times New Roman" w:hAnsi="Times New Roman" w:cs="SimplifiedArabic"/>
          <w:color w:val="1F1F1F"/>
          <w:sz w:val="28"/>
          <w:szCs w:val="28"/>
          <w14:ligatures w14:val="none"/>
        </w:rPr>
      </w:pPr>
      <w:r w:rsidRPr="00545500">
        <w:rPr>
          <w:rFonts w:ascii="SimplifiedArabic" w:eastAsia="Times New Roman" w:hAnsi="Times New Roman" w:cs="SimplifiedArabic"/>
          <w:color w:val="1F1F1F"/>
          <w:sz w:val="28"/>
          <w:szCs w:val="28"/>
          <w:rtl/>
          <w14:ligatures w14:val="none"/>
        </w:rPr>
        <w:t>تحديد مستوى تطبيق ممارسات حوكمة الموارد البشرية في مؤسسات القطاع الخاص.</w:t>
      </w:r>
    </w:p>
    <w:p w14:paraId="6672EA00" w14:textId="77777777" w:rsidR="00545500" w:rsidRPr="00545500" w:rsidRDefault="00545500" w:rsidP="00545500">
      <w:pPr>
        <w:numPr>
          <w:ilvl w:val="0"/>
          <w:numId w:val="12"/>
        </w:numPr>
        <w:autoSpaceDE w:val="0"/>
        <w:autoSpaceDN w:val="0"/>
        <w:bidi/>
        <w:adjustRightInd w:val="0"/>
        <w:spacing w:after="0" w:line="600" w:lineRule="auto"/>
        <w:ind w:left="714" w:hanging="357"/>
        <w:contextualSpacing/>
        <w:jc w:val="lowKashida"/>
        <w:rPr>
          <w:rFonts w:ascii="SimplifiedArabic" w:eastAsia="Times New Roman" w:hAnsi="Times New Roman" w:cs="SimplifiedArabic"/>
          <w:color w:val="1F1F1F"/>
          <w:sz w:val="28"/>
          <w:szCs w:val="28"/>
          <w14:ligatures w14:val="none"/>
        </w:rPr>
      </w:pPr>
      <w:r w:rsidRPr="00545500">
        <w:rPr>
          <w:rFonts w:ascii="SimplifiedArabic" w:eastAsia="Times New Roman" w:hAnsi="Times New Roman" w:cs="SimplifiedArabic"/>
          <w:color w:val="1F1F1F"/>
          <w:sz w:val="28"/>
          <w:szCs w:val="28"/>
          <w:rtl/>
          <w14:ligatures w14:val="none"/>
        </w:rPr>
        <w:t>قياس أثر الشفافية في إجراءات الموارد البشرية على الحد من التلاعب بالقرارات الإدارية.</w:t>
      </w:r>
    </w:p>
    <w:p w14:paraId="6187E042" w14:textId="77777777" w:rsidR="00545500" w:rsidRPr="00545500" w:rsidRDefault="00545500" w:rsidP="00545500">
      <w:pPr>
        <w:numPr>
          <w:ilvl w:val="0"/>
          <w:numId w:val="12"/>
        </w:numPr>
        <w:autoSpaceDE w:val="0"/>
        <w:autoSpaceDN w:val="0"/>
        <w:bidi/>
        <w:adjustRightInd w:val="0"/>
        <w:spacing w:after="0" w:line="600" w:lineRule="auto"/>
        <w:ind w:left="714" w:hanging="357"/>
        <w:contextualSpacing/>
        <w:jc w:val="lowKashida"/>
        <w:rPr>
          <w:rFonts w:ascii="SimplifiedArabic" w:eastAsia="Times New Roman" w:hAnsi="Times New Roman" w:cs="SimplifiedArabic"/>
          <w:color w:val="1F1F1F"/>
          <w:sz w:val="28"/>
          <w:szCs w:val="28"/>
          <w14:ligatures w14:val="none"/>
        </w:rPr>
      </w:pPr>
      <w:r w:rsidRPr="00545500">
        <w:rPr>
          <w:rFonts w:ascii="SimplifiedArabic" w:eastAsia="Times New Roman" w:hAnsi="Times New Roman" w:cs="SimplifiedArabic"/>
          <w:color w:val="1F1F1F"/>
          <w:sz w:val="28"/>
          <w:szCs w:val="28"/>
          <w:rtl/>
          <w14:ligatures w14:val="none"/>
        </w:rPr>
        <w:t>استكشاف دور المساءلة والرقابة الداخلية في تعزيز نزاهة القرارات الإدارية.</w:t>
      </w:r>
    </w:p>
    <w:p w14:paraId="34B33126" w14:textId="77777777" w:rsidR="00545500" w:rsidRPr="00545500" w:rsidRDefault="00545500" w:rsidP="00545500">
      <w:pPr>
        <w:numPr>
          <w:ilvl w:val="0"/>
          <w:numId w:val="12"/>
        </w:numPr>
        <w:autoSpaceDE w:val="0"/>
        <w:autoSpaceDN w:val="0"/>
        <w:bidi/>
        <w:adjustRightInd w:val="0"/>
        <w:spacing w:after="0" w:line="600" w:lineRule="auto"/>
        <w:ind w:left="714" w:hanging="357"/>
        <w:contextualSpacing/>
        <w:jc w:val="lowKashida"/>
        <w:rPr>
          <w:rFonts w:ascii="SimplifiedArabic" w:eastAsia="Times New Roman" w:hAnsi="Times New Roman" w:cs="SimplifiedArabic"/>
          <w:color w:val="1F1F1F"/>
          <w:sz w:val="28"/>
          <w:szCs w:val="28"/>
          <w14:ligatures w14:val="none"/>
        </w:rPr>
      </w:pPr>
      <w:r w:rsidRPr="00545500">
        <w:rPr>
          <w:rFonts w:ascii="SimplifiedArabic" w:eastAsia="Times New Roman" w:hAnsi="Times New Roman" w:cs="SimplifiedArabic"/>
          <w:color w:val="1F1F1F"/>
          <w:sz w:val="28"/>
          <w:szCs w:val="28"/>
          <w:rtl/>
          <w14:ligatures w14:val="none"/>
        </w:rPr>
        <w:t>تحليل أثر العدالة التنظيمية وتكافؤ الفرص على تقليل التلاعب في القرارات.</w:t>
      </w:r>
    </w:p>
    <w:p w14:paraId="59714B3B" w14:textId="77777777" w:rsidR="00545500" w:rsidRPr="00545500" w:rsidRDefault="00545500" w:rsidP="00545500">
      <w:pPr>
        <w:numPr>
          <w:ilvl w:val="0"/>
          <w:numId w:val="12"/>
        </w:numPr>
        <w:autoSpaceDE w:val="0"/>
        <w:autoSpaceDN w:val="0"/>
        <w:bidi/>
        <w:adjustRightInd w:val="0"/>
        <w:spacing w:after="0" w:line="600" w:lineRule="auto"/>
        <w:ind w:left="714" w:hanging="357"/>
        <w:contextualSpacing/>
        <w:jc w:val="lowKashida"/>
        <w:rPr>
          <w:rFonts w:ascii="SimplifiedArabic" w:eastAsia="Times New Roman" w:hAnsi="Times New Roman" w:cs="SimplifiedArabic"/>
          <w:color w:val="1F1F1F"/>
          <w:sz w:val="28"/>
          <w:szCs w:val="28"/>
          <w14:ligatures w14:val="none"/>
        </w:rPr>
      </w:pPr>
      <w:r w:rsidRPr="00545500">
        <w:rPr>
          <w:rFonts w:ascii="SimplifiedArabic" w:eastAsia="Times New Roman" w:hAnsi="Times New Roman" w:cs="SimplifiedArabic"/>
          <w:color w:val="1F1F1F"/>
          <w:sz w:val="28"/>
          <w:szCs w:val="28"/>
          <w:rtl/>
          <w14:ligatures w14:val="none"/>
        </w:rPr>
        <w:lastRenderedPageBreak/>
        <w:t>تقييم دور وضوح السياسات والإجراءات في الحد من تضارب المصالح داخل المؤسسة.</w:t>
      </w:r>
    </w:p>
    <w:p w14:paraId="6A5FFAC3" w14:textId="77777777" w:rsidR="00545500" w:rsidRPr="00545500" w:rsidRDefault="00545500" w:rsidP="00545500">
      <w:pPr>
        <w:numPr>
          <w:ilvl w:val="0"/>
          <w:numId w:val="12"/>
        </w:numPr>
        <w:tabs>
          <w:tab w:val="left" w:pos="946"/>
        </w:tabs>
        <w:autoSpaceDE w:val="0"/>
        <w:autoSpaceDN w:val="0"/>
        <w:bidi/>
        <w:adjustRightInd w:val="0"/>
        <w:spacing w:after="0" w:line="600" w:lineRule="auto"/>
        <w:ind w:left="714" w:hanging="357"/>
        <w:contextualSpacing/>
        <w:jc w:val="lowKashida"/>
        <w:rPr>
          <w:rFonts w:ascii="SimplifiedArabic" w:eastAsia="Times New Roman" w:hAnsi="Times New Roman" w:cs="SimplifiedArabic"/>
          <w:color w:val="1F1F1F"/>
          <w:sz w:val="28"/>
          <w:szCs w:val="28"/>
          <w14:ligatures w14:val="none"/>
        </w:rPr>
      </w:pPr>
      <w:r w:rsidRPr="00545500">
        <w:rPr>
          <w:rFonts w:ascii="SimplifiedArabic" w:eastAsia="Times New Roman" w:hAnsi="Times New Roman" w:cs="SimplifiedArabic"/>
          <w:color w:val="1F1F1F"/>
          <w:sz w:val="28"/>
          <w:szCs w:val="28"/>
          <w:rtl/>
          <w14:ligatures w14:val="none"/>
        </w:rPr>
        <w:t>دراسة الفروقات المحتملة في أثر حوكمة الموارد البشرية على الحد من التلاعب بالقرارات الإدارية وفقًا للمتغيرات الديمغرافية للعاملين (الجنس، العمر، المؤهل العلمي، سنوات الخبرة).</w:t>
      </w:r>
    </w:p>
    <w:p w14:paraId="7F23ECFE" w14:textId="77777777" w:rsidR="00545500" w:rsidRPr="00545500" w:rsidRDefault="00545500" w:rsidP="00545500">
      <w:pPr>
        <w:autoSpaceDE w:val="0"/>
        <w:autoSpaceDN w:val="0"/>
        <w:bidi/>
        <w:adjustRightInd w:val="0"/>
        <w:spacing w:after="0" w:line="240" w:lineRule="auto"/>
        <w:ind w:left="720"/>
        <w:contextualSpacing/>
        <w:rPr>
          <w:rFonts w:ascii="SimplifiedArabic" w:eastAsia="Times New Roman" w:hAnsi="Times New Roman" w:cs="SimplifiedArabic"/>
          <w:color w:val="1F1F1F"/>
          <w:sz w:val="28"/>
          <w:szCs w:val="28"/>
          <w:rtl/>
          <w14:ligatures w14:val="none"/>
        </w:rPr>
      </w:pPr>
    </w:p>
    <w:p w14:paraId="2047CA88" w14:textId="77777777" w:rsidR="00545500" w:rsidRPr="00545500" w:rsidRDefault="00545500" w:rsidP="00545500">
      <w:pPr>
        <w:autoSpaceDE w:val="0"/>
        <w:autoSpaceDN w:val="0"/>
        <w:bidi/>
        <w:adjustRightInd w:val="0"/>
        <w:spacing w:after="0" w:line="240" w:lineRule="auto"/>
        <w:outlineLvl w:val="0"/>
        <w:rPr>
          <w:rFonts w:ascii="SimplifiedArabic-Bold" w:hAnsi="Courier New" w:cs="SimplifiedArabic-Bold"/>
          <w:b/>
          <w:bCs/>
          <w:color w:val="1F1F1F"/>
          <w:sz w:val="36"/>
          <w:szCs w:val="36"/>
          <w:u w:val="single"/>
          <w:rtl/>
        </w:rPr>
      </w:pPr>
      <w:bookmarkStart w:id="10" w:name="_Toc225424351"/>
      <w:r w:rsidRPr="00545500">
        <w:rPr>
          <w:rFonts w:ascii="SimplifiedArabic-Bold" w:hAnsi="Courier New" w:cs="SimplifiedArabic-Bold" w:hint="cs"/>
          <w:b/>
          <w:bCs/>
          <w:color w:val="1F1F1F"/>
          <w:sz w:val="36"/>
          <w:szCs w:val="36"/>
          <w:u w:val="single"/>
          <w:rtl/>
        </w:rPr>
        <w:t>فرضيات</w:t>
      </w:r>
      <w:r w:rsidRPr="00545500">
        <w:rPr>
          <w:rFonts w:ascii="SimplifiedArabic-Bold" w:hAnsi="Courier New" w:cs="SimplifiedArabic-Bold"/>
          <w:b/>
          <w:bCs/>
          <w:color w:val="1F1F1F"/>
          <w:sz w:val="36"/>
          <w:szCs w:val="36"/>
          <w:u w:val="single"/>
          <w:rtl/>
        </w:rPr>
        <w:t xml:space="preserve"> </w:t>
      </w:r>
      <w:r w:rsidRPr="00545500">
        <w:rPr>
          <w:rFonts w:ascii="SimplifiedArabic-Bold" w:hAnsi="Courier New" w:cs="SimplifiedArabic-Bold" w:hint="cs"/>
          <w:b/>
          <w:bCs/>
          <w:color w:val="1F1F1F"/>
          <w:sz w:val="36"/>
          <w:szCs w:val="36"/>
          <w:u w:val="single"/>
          <w:rtl/>
        </w:rPr>
        <w:t>البحث</w:t>
      </w:r>
      <w:r w:rsidRPr="00545500">
        <w:rPr>
          <w:rFonts w:ascii="SimplifiedArabic-Bold" w:hAnsi="Courier New" w:cs="SimplifiedArabic-Bold"/>
          <w:b/>
          <w:bCs/>
          <w:color w:val="1F1F1F"/>
          <w:sz w:val="36"/>
          <w:szCs w:val="36"/>
          <w:u w:val="single"/>
        </w:rPr>
        <w:t>:</w:t>
      </w:r>
      <w:bookmarkEnd w:id="10"/>
    </w:p>
    <w:p w14:paraId="7D31796D" w14:textId="77777777" w:rsidR="00545500" w:rsidRPr="00545500" w:rsidRDefault="00545500" w:rsidP="00545500">
      <w:pPr>
        <w:autoSpaceDE w:val="0"/>
        <w:autoSpaceDN w:val="0"/>
        <w:bidi/>
        <w:adjustRightInd w:val="0"/>
        <w:spacing w:after="0" w:line="240" w:lineRule="auto"/>
        <w:rPr>
          <w:rFonts w:ascii="SimplifiedArabic-Bold" w:hAnsi="Courier New" w:cs="SimplifiedArabic-Bold"/>
          <w:b/>
          <w:bCs/>
          <w:color w:val="1F1F1F"/>
          <w:sz w:val="32"/>
          <w:szCs w:val="32"/>
        </w:rPr>
      </w:pPr>
    </w:p>
    <w:p w14:paraId="6E0C4960"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32"/>
          <w:szCs w:val="32"/>
          <w:rtl/>
        </w:rPr>
      </w:pPr>
      <w:r w:rsidRPr="00545500">
        <w:rPr>
          <w:rFonts w:ascii="SimplifiedArabic-Bold" w:hAnsi="Courier New" w:cs="SimplifiedArabic-Bold" w:hint="cs"/>
          <w:b/>
          <w:bCs/>
          <w:color w:val="1F1F1F"/>
          <w:sz w:val="32"/>
          <w:szCs w:val="32"/>
          <w:rtl/>
        </w:rPr>
        <w:t>الفرضية</w:t>
      </w:r>
      <w:r w:rsidRPr="00545500">
        <w:rPr>
          <w:rFonts w:ascii="SimplifiedArabic-Bold" w:hAnsi="Courier New" w:cs="SimplifiedArabic-Bold"/>
          <w:b/>
          <w:bCs/>
          <w:color w:val="1F1F1F"/>
          <w:sz w:val="32"/>
          <w:szCs w:val="32"/>
          <w:rtl/>
        </w:rPr>
        <w:t xml:space="preserve"> </w:t>
      </w:r>
      <w:r w:rsidRPr="00545500">
        <w:rPr>
          <w:rFonts w:ascii="SimplifiedArabic-Bold" w:hAnsi="Courier New" w:cs="SimplifiedArabic-Bold" w:hint="cs"/>
          <w:b/>
          <w:bCs/>
          <w:color w:val="1F1F1F"/>
          <w:sz w:val="32"/>
          <w:szCs w:val="32"/>
          <w:rtl/>
        </w:rPr>
        <w:t>الرئيسية</w:t>
      </w:r>
      <w:r w:rsidRPr="00545500">
        <w:rPr>
          <w:rFonts w:ascii="SimplifiedArabic-Bold" w:hAnsi="Courier New" w:cs="SimplifiedArabic-Bold"/>
          <w:b/>
          <w:bCs/>
          <w:color w:val="1F1F1F"/>
          <w:sz w:val="32"/>
          <w:szCs w:val="32"/>
        </w:rPr>
        <w:t>:</w:t>
      </w:r>
    </w:p>
    <w:p w14:paraId="6867CE99" w14:textId="77777777" w:rsidR="00545500" w:rsidRPr="00545500" w:rsidRDefault="00545500" w:rsidP="00545500">
      <w:pPr>
        <w:autoSpaceDE w:val="0"/>
        <w:autoSpaceDN w:val="0"/>
        <w:bidi/>
        <w:adjustRightInd w:val="0"/>
        <w:spacing w:after="0" w:line="600" w:lineRule="auto"/>
        <w:jc w:val="lowKashida"/>
        <w:rPr>
          <w:rFonts w:ascii="SimplifiedArabic-Bold" w:hAnsi="Courier New" w:cs="SimplifiedArabic-Bold"/>
          <w:b/>
          <w:bCs/>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توجد علاقة ذات دلالة إحصائية بين حوكمة الموارد البشرية والحد من التلاعب بالقرارات الإدارية في مؤسسات القطاع الخاص.</w:t>
      </w:r>
    </w:p>
    <w:p w14:paraId="716DC4FB"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32"/>
          <w:szCs w:val="32"/>
          <w:rtl/>
        </w:rPr>
      </w:pPr>
      <w:r w:rsidRPr="00545500">
        <w:rPr>
          <w:rFonts w:ascii="SimplifiedArabic-Bold" w:hAnsi="Courier New" w:cs="SimplifiedArabic-Bold" w:hint="cs"/>
          <w:b/>
          <w:bCs/>
          <w:color w:val="1F1F1F"/>
          <w:sz w:val="32"/>
          <w:szCs w:val="32"/>
          <w:rtl/>
        </w:rPr>
        <w:t>الفرضيات</w:t>
      </w:r>
      <w:r w:rsidRPr="00545500">
        <w:rPr>
          <w:rFonts w:ascii="SimplifiedArabic-Bold" w:hAnsi="Courier New" w:cs="SimplifiedArabic-Bold"/>
          <w:b/>
          <w:bCs/>
          <w:color w:val="1F1F1F"/>
          <w:sz w:val="32"/>
          <w:szCs w:val="32"/>
          <w:rtl/>
        </w:rPr>
        <w:t xml:space="preserve"> </w:t>
      </w:r>
      <w:r w:rsidRPr="00545500">
        <w:rPr>
          <w:rFonts w:ascii="SimplifiedArabic-Bold" w:hAnsi="Courier New" w:cs="SimplifiedArabic-Bold" w:hint="cs"/>
          <w:b/>
          <w:bCs/>
          <w:color w:val="1F1F1F"/>
          <w:sz w:val="32"/>
          <w:szCs w:val="32"/>
          <w:rtl/>
        </w:rPr>
        <w:t>الفرعية</w:t>
      </w:r>
      <w:r w:rsidRPr="00545500">
        <w:rPr>
          <w:rFonts w:ascii="SimplifiedArabic-Bold" w:hAnsi="Courier New" w:cs="SimplifiedArabic-Bold"/>
          <w:b/>
          <w:bCs/>
          <w:color w:val="1F1F1F"/>
          <w:sz w:val="32"/>
          <w:szCs w:val="32"/>
        </w:rPr>
        <w:t>:</w:t>
      </w:r>
    </w:p>
    <w:p w14:paraId="1B2AC5A0" w14:textId="77777777" w:rsidR="00545500" w:rsidRPr="00545500" w:rsidRDefault="00545500" w:rsidP="00545500">
      <w:pPr>
        <w:numPr>
          <w:ilvl w:val="0"/>
          <w:numId w:val="15"/>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545500">
        <w:rPr>
          <w:rFonts w:ascii="SimplifiedArabic" w:eastAsia="Times New Roman" w:hAnsi="Times New Roman" w:cs="SimplifiedArabic"/>
          <w:color w:val="1F1F1F"/>
          <w:sz w:val="28"/>
          <w:szCs w:val="28"/>
          <w:rtl/>
          <w14:ligatures w14:val="none"/>
        </w:rPr>
        <w:t>توجد علاقة ذات دلالة إحصائية بين الشفافية في ممارسات الموارد البشرية والحد من التلاعب بالقرارات الإدارية.</w:t>
      </w:r>
    </w:p>
    <w:p w14:paraId="52EC4917" w14:textId="77777777" w:rsidR="00545500" w:rsidRPr="00545500" w:rsidRDefault="00545500" w:rsidP="00545500">
      <w:pPr>
        <w:numPr>
          <w:ilvl w:val="0"/>
          <w:numId w:val="15"/>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545500">
        <w:rPr>
          <w:rFonts w:ascii="SimplifiedArabic" w:eastAsia="Times New Roman" w:hAnsi="Times New Roman" w:cs="SimplifiedArabic"/>
          <w:color w:val="1F1F1F"/>
          <w:sz w:val="28"/>
          <w:szCs w:val="28"/>
          <w:rtl/>
          <w14:ligatures w14:val="none"/>
        </w:rPr>
        <w:t>توجد علاقة ذات دلالة إحصائية بين المساءلة والرقابة الداخلية وتعزيز نزاهة القرارات الإدارية.</w:t>
      </w:r>
    </w:p>
    <w:p w14:paraId="4DBCD983" w14:textId="77777777" w:rsidR="00545500" w:rsidRPr="00545500" w:rsidRDefault="00545500" w:rsidP="00545500">
      <w:pPr>
        <w:numPr>
          <w:ilvl w:val="0"/>
          <w:numId w:val="15"/>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545500">
        <w:rPr>
          <w:rFonts w:ascii="SimplifiedArabic" w:eastAsia="Times New Roman" w:hAnsi="Times New Roman" w:cs="SimplifiedArabic"/>
          <w:color w:val="1F1F1F"/>
          <w:sz w:val="28"/>
          <w:szCs w:val="28"/>
          <w:rtl/>
          <w14:ligatures w14:val="none"/>
        </w:rPr>
        <w:t>توجد علاقة ذات دلالة إحصائية بين العدالة التنظيمية وتكافؤ الفرص وتقليل التلاعب في القرارات الإدارية.</w:t>
      </w:r>
    </w:p>
    <w:p w14:paraId="60F14E7B" w14:textId="77777777" w:rsidR="00545500" w:rsidRPr="00545500" w:rsidRDefault="00545500" w:rsidP="00545500">
      <w:pPr>
        <w:numPr>
          <w:ilvl w:val="0"/>
          <w:numId w:val="15"/>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545500">
        <w:rPr>
          <w:rFonts w:ascii="SimplifiedArabic" w:eastAsia="Times New Roman" w:hAnsi="Times New Roman" w:cs="SimplifiedArabic"/>
          <w:color w:val="1F1F1F"/>
          <w:sz w:val="28"/>
          <w:szCs w:val="28"/>
          <w:rtl/>
          <w14:ligatures w14:val="none"/>
        </w:rPr>
        <w:t>توجد علاقة ذات دلالة إحصائية بين وضوح السياسات والإجراءات والحد من تضارب المصالح في اتخاذ القرارات.</w:t>
      </w:r>
    </w:p>
    <w:p w14:paraId="245CA0FF" w14:textId="09961E49" w:rsidR="00545500" w:rsidRPr="00545500" w:rsidRDefault="00545500" w:rsidP="00545500">
      <w:pPr>
        <w:numPr>
          <w:ilvl w:val="0"/>
          <w:numId w:val="15"/>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rtl/>
          <w14:ligatures w14:val="none"/>
        </w:rPr>
      </w:pPr>
      <w:r w:rsidRPr="00545500">
        <w:rPr>
          <w:rFonts w:ascii="SimplifiedArabic" w:eastAsia="Times New Roman" w:hAnsi="Times New Roman" w:cs="SimplifiedArabic"/>
          <w:color w:val="1F1F1F"/>
          <w:sz w:val="28"/>
          <w:szCs w:val="28"/>
          <w:rtl/>
          <w14:ligatures w14:val="none"/>
        </w:rPr>
        <w:lastRenderedPageBreak/>
        <w:t xml:space="preserve">توجد فروق ذات دلالة إحصائية في أثر حوكمة الموارد البشرية على الحد من التلاعب بالقرارات الإدارية تُعزى لاختلاف المتغيرات الديمغرافية </w:t>
      </w:r>
      <w:r w:rsidR="00D11A4D" w:rsidRPr="00545500">
        <w:rPr>
          <w:rFonts w:ascii="SimplifiedArabic" w:eastAsia="Times New Roman" w:hAnsi="Times New Roman" w:cs="SimplifiedArabic" w:hint="cs"/>
          <w:color w:val="1F1F1F"/>
          <w:sz w:val="28"/>
          <w:szCs w:val="28"/>
          <w:rtl/>
          <w14:ligatures w14:val="none"/>
        </w:rPr>
        <w:t xml:space="preserve">للعاملين </w:t>
      </w:r>
      <w:r w:rsidR="00D11A4D" w:rsidRPr="00545500">
        <w:rPr>
          <w:rFonts w:ascii="SimplifiedArabic" w:eastAsia="Times New Roman" w:hAnsi="Times New Roman" w:cs="SimplifiedArabic"/>
          <w:color w:val="1F1F1F"/>
          <w:sz w:val="28"/>
          <w:szCs w:val="28"/>
          <w:rtl/>
          <w14:ligatures w14:val="none"/>
        </w:rPr>
        <w:t>(</w:t>
      </w:r>
      <w:r w:rsidRPr="00545500">
        <w:rPr>
          <w:rFonts w:ascii="SimplifiedArabic" w:eastAsia="Times New Roman" w:hAnsi="Times New Roman" w:cs="SimplifiedArabic"/>
          <w:color w:val="1F1F1F"/>
          <w:sz w:val="28"/>
          <w:szCs w:val="28"/>
          <w:rtl/>
          <w14:ligatures w14:val="none"/>
        </w:rPr>
        <w:t>الجنس، العمر، المؤهل العلمي، سنوات الخبرة).</w:t>
      </w:r>
    </w:p>
    <w:p w14:paraId="10992816" w14:textId="77777777" w:rsidR="00545500" w:rsidRPr="00545500" w:rsidRDefault="00545500" w:rsidP="00545500">
      <w:pPr>
        <w:autoSpaceDE w:val="0"/>
        <w:autoSpaceDN w:val="0"/>
        <w:bidi/>
        <w:adjustRightInd w:val="0"/>
        <w:spacing w:after="0" w:line="240" w:lineRule="auto"/>
        <w:outlineLvl w:val="0"/>
        <w:rPr>
          <w:rFonts w:ascii="SimplifiedArabic-Bold" w:hAnsi="Courier New" w:cs="SimplifiedArabic-Bold"/>
          <w:b/>
          <w:bCs/>
          <w:color w:val="1F1F1F"/>
          <w:sz w:val="36"/>
          <w:szCs w:val="36"/>
          <w:u w:val="single"/>
          <w:rtl/>
        </w:rPr>
      </w:pPr>
      <w:bookmarkStart w:id="11" w:name="_Toc225424352"/>
      <w:r w:rsidRPr="00545500">
        <w:rPr>
          <w:rFonts w:ascii="SimplifiedArabic-Bold" w:hAnsi="Courier New" w:cs="SimplifiedArabic-Bold" w:hint="cs"/>
          <w:b/>
          <w:bCs/>
          <w:color w:val="1F1F1F"/>
          <w:sz w:val="36"/>
          <w:szCs w:val="36"/>
          <w:u w:val="single"/>
          <w:rtl/>
        </w:rPr>
        <w:t>نموذج</w:t>
      </w:r>
      <w:r w:rsidRPr="00545500">
        <w:rPr>
          <w:rFonts w:ascii="SimplifiedArabic-Bold" w:hAnsi="Courier New" w:cs="SimplifiedArabic-Bold"/>
          <w:b/>
          <w:bCs/>
          <w:color w:val="1F1F1F"/>
          <w:sz w:val="36"/>
          <w:szCs w:val="36"/>
          <w:u w:val="single"/>
          <w:rtl/>
        </w:rPr>
        <w:t xml:space="preserve"> </w:t>
      </w:r>
      <w:r w:rsidRPr="00545500">
        <w:rPr>
          <w:rFonts w:ascii="SimplifiedArabic-Bold" w:hAnsi="Courier New" w:cs="SimplifiedArabic-Bold" w:hint="cs"/>
          <w:b/>
          <w:bCs/>
          <w:color w:val="1F1F1F"/>
          <w:sz w:val="36"/>
          <w:szCs w:val="36"/>
          <w:u w:val="single"/>
          <w:rtl/>
        </w:rPr>
        <w:t>البحث</w:t>
      </w:r>
      <w:r w:rsidRPr="00545500">
        <w:rPr>
          <w:rFonts w:ascii="SimplifiedArabic-Bold" w:hAnsi="Courier New" w:cs="SimplifiedArabic-Bold"/>
          <w:b/>
          <w:bCs/>
          <w:color w:val="1F1F1F"/>
          <w:sz w:val="36"/>
          <w:szCs w:val="36"/>
          <w:u w:val="single"/>
        </w:rPr>
        <w:t>:</w:t>
      </w:r>
      <w:bookmarkEnd w:id="11"/>
    </w:p>
    <w:p w14:paraId="5EA3987A" w14:textId="77777777" w:rsidR="00545500" w:rsidRPr="00545500" w:rsidRDefault="00545500" w:rsidP="00545500">
      <w:pPr>
        <w:autoSpaceDE w:val="0"/>
        <w:autoSpaceDN w:val="0"/>
        <w:bidi/>
        <w:adjustRightInd w:val="0"/>
        <w:spacing w:after="0" w:line="240" w:lineRule="auto"/>
        <w:rPr>
          <w:rFonts w:ascii="SimplifiedArabic-Bold" w:hAnsi="Courier New" w:cs="SimplifiedArabic-Bold"/>
          <w:b/>
          <w:bCs/>
          <w:color w:val="1F1F1F"/>
          <w:sz w:val="32"/>
          <w:szCs w:val="32"/>
        </w:rPr>
      </w:pPr>
    </w:p>
    <w:p w14:paraId="451D5AE9" w14:textId="77777777" w:rsidR="00545500" w:rsidRPr="00545500" w:rsidRDefault="00545500" w:rsidP="00545500">
      <w:pPr>
        <w:autoSpaceDE w:val="0"/>
        <w:autoSpaceDN w:val="0"/>
        <w:bidi/>
        <w:adjustRightInd w:val="0"/>
        <w:spacing w:after="0" w:line="600" w:lineRule="auto"/>
        <w:rPr>
          <w:rFonts w:ascii="SimplifiedArabic" w:hAnsi="Courier New" w:cs="SimplifiedArabic"/>
          <w:color w:val="1F1F1F"/>
          <w:sz w:val="28"/>
          <w:szCs w:val="28"/>
          <w:rtl/>
        </w:rPr>
      </w:pPr>
      <w:r w:rsidRPr="00545500">
        <w:rPr>
          <w:rFonts w:ascii="SimplifiedArabic-Bold" w:hAnsi="Courier New" w:cs="SimplifiedArabic-Bold" w:hint="cs"/>
          <w:b/>
          <w:bCs/>
          <w:color w:val="1F1F1F"/>
          <w:sz w:val="32"/>
          <w:szCs w:val="32"/>
          <w:rtl/>
        </w:rPr>
        <w:t>المتغير</w:t>
      </w:r>
      <w:r w:rsidRPr="00545500">
        <w:rPr>
          <w:rFonts w:ascii="SimplifiedArabic-Bold" w:hAnsi="Courier New" w:cs="SimplifiedArabic-Bold"/>
          <w:b/>
          <w:bCs/>
          <w:color w:val="1F1F1F"/>
          <w:sz w:val="32"/>
          <w:szCs w:val="32"/>
          <w:rtl/>
        </w:rPr>
        <w:t xml:space="preserve"> </w:t>
      </w:r>
      <w:r w:rsidRPr="00545500">
        <w:rPr>
          <w:rFonts w:ascii="SimplifiedArabic-Bold" w:hAnsi="Courier New" w:cs="SimplifiedArabic-Bold" w:hint="cs"/>
          <w:b/>
          <w:bCs/>
          <w:color w:val="1F1F1F"/>
          <w:sz w:val="32"/>
          <w:szCs w:val="32"/>
          <w:rtl/>
        </w:rPr>
        <w:t>المستقل</w:t>
      </w:r>
      <w:r w:rsidRPr="00545500">
        <w:rPr>
          <w:rFonts w:ascii="SimplifiedArabic-Bold" w:hAnsi="Courier New" w:cs="SimplifiedArabic-Bold"/>
          <w:b/>
          <w:bCs/>
          <w:color w:val="1F1F1F"/>
          <w:sz w:val="28"/>
          <w:szCs w:val="28"/>
        </w:rPr>
        <w:t>:</w:t>
      </w:r>
      <w:r w:rsidRPr="00545500">
        <w:rPr>
          <w:rFonts w:ascii="Courier New" w:hAnsi="Courier New" w:cs="Courier New"/>
          <w:color w:val="000000"/>
          <w:sz w:val="20"/>
          <w:szCs w:val="20"/>
          <w:rtl/>
        </w:rPr>
        <w:t xml:space="preserve"> </w:t>
      </w:r>
      <w:r w:rsidRPr="00545500">
        <w:rPr>
          <w:rFonts w:ascii="SimplifiedArabic" w:hAnsi="Courier New" w:cs="SimplifiedArabic"/>
          <w:color w:val="1F1F1F"/>
          <w:sz w:val="28"/>
          <w:szCs w:val="28"/>
          <w:rtl/>
        </w:rPr>
        <w:t>حوكمة الموارد البشرية، ويتمثل في الأبعاد التالية</w:t>
      </w:r>
      <w:r w:rsidRPr="00545500">
        <w:rPr>
          <w:rFonts w:ascii="SimplifiedArabic" w:hAnsi="Courier New" w:cs="SimplifiedArabic"/>
          <w:color w:val="1F1F1F"/>
          <w:sz w:val="28"/>
          <w:szCs w:val="28"/>
        </w:rPr>
        <w:t>:</w:t>
      </w:r>
    </w:p>
    <w:p w14:paraId="12356747" w14:textId="77777777" w:rsidR="00545500" w:rsidRPr="00545500" w:rsidRDefault="00545500" w:rsidP="00545500">
      <w:pPr>
        <w:autoSpaceDE w:val="0"/>
        <w:autoSpaceDN w:val="0"/>
        <w:bidi/>
        <w:adjustRightInd w:val="0"/>
        <w:spacing w:after="0" w:line="600" w:lineRule="auto"/>
        <w:rPr>
          <w:rFonts w:ascii="SimplifiedArabic" w:hAnsi="Courier New" w:cs="SimplifiedArabic"/>
          <w:color w:val="1F1F1F"/>
          <w:sz w:val="28"/>
          <w:szCs w:val="28"/>
          <w:rtl/>
        </w:rPr>
      </w:pPr>
      <w:r w:rsidRPr="00545500">
        <w:rPr>
          <w:rFonts w:ascii="SimplifiedArabic" w:hAnsi="Courier New" w:cs="SimplifiedArabic"/>
          <w:color w:val="1F1F1F"/>
          <w:sz w:val="28"/>
          <w:szCs w:val="28"/>
          <w:rtl/>
        </w:rPr>
        <w:t>الشفافية في الإجراءات</w:t>
      </w:r>
      <w:r w:rsidRPr="00545500">
        <w:rPr>
          <w:rFonts w:ascii="SimplifiedArabic" w:hAnsi="Courier New" w:cs="SimplifiedArabic"/>
          <w:color w:val="1F1F1F"/>
          <w:sz w:val="28"/>
          <w:szCs w:val="28"/>
        </w:rPr>
        <w:t>.</w:t>
      </w:r>
    </w:p>
    <w:p w14:paraId="25C7BEF9" w14:textId="77777777" w:rsidR="00545500" w:rsidRPr="00545500" w:rsidRDefault="00545500" w:rsidP="00545500">
      <w:pPr>
        <w:autoSpaceDE w:val="0"/>
        <w:autoSpaceDN w:val="0"/>
        <w:bidi/>
        <w:adjustRightInd w:val="0"/>
        <w:spacing w:after="0" w:line="600" w:lineRule="auto"/>
        <w:rPr>
          <w:rFonts w:ascii="SimplifiedArabic" w:hAnsi="Courier New" w:cs="SimplifiedArabic"/>
          <w:color w:val="1F1F1F"/>
          <w:sz w:val="28"/>
          <w:szCs w:val="28"/>
          <w:rtl/>
        </w:rPr>
      </w:pPr>
      <w:r w:rsidRPr="00545500">
        <w:rPr>
          <w:rFonts w:ascii="SimplifiedArabic" w:hAnsi="Courier New" w:cs="SimplifiedArabic"/>
          <w:color w:val="1F1F1F"/>
          <w:sz w:val="28"/>
          <w:szCs w:val="28"/>
          <w:rtl/>
        </w:rPr>
        <w:t>المساءلة والرقابة الداخلية</w:t>
      </w:r>
      <w:r w:rsidRPr="00545500">
        <w:rPr>
          <w:rFonts w:ascii="SimplifiedArabic" w:hAnsi="Courier New" w:cs="SimplifiedArabic"/>
          <w:color w:val="1F1F1F"/>
          <w:sz w:val="28"/>
          <w:szCs w:val="28"/>
        </w:rPr>
        <w:t>.</w:t>
      </w:r>
    </w:p>
    <w:p w14:paraId="7AF6286D" w14:textId="77777777" w:rsidR="00545500" w:rsidRPr="00545500" w:rsidRDefault="00545500" w:rsidP="00545500">
      <w:pPr>
        <w:autoSpaceDE w:val="0"/>
        <w:autoSpaceDN w:val="0"/>
        <w:bidi/>
        <w:adjustRightInd w:val="0"/>
        <w:spacing w:after="0" w:line="600" w:lineRule="auto"/>
        <w:rPr>
          <w:rFonts w:ascii="SimplifiedArabic" w:hAnsi="Courier New" w:cs="SimplifiedArabic"/>
          <w:color w:val="1F1F1F"/>
          <w:sz w:val="28"/>
          <w:szCs w:val="28"/>
          <w:rtl/>
        </w:rPr>
      </w:pPr>
      <w:r w:rsidRPr="00545500">
        <w:rPr>
          <w:rFonts w:ascii="SimplifiedArabic" w:hAnsi="Courier New" w:cs="SimplifiedArabic"/>
          <w:color w:val="1F1F1F"/>
          <w:sz w:val="28"/>
          <w:szCs w:val="28"/>
          <w:rtl/>
        </w:rPr>
        <w:t>العدالة التنظيمية وتكافؤ الفرص</w:t>
      </w:r>
      <w:r w:rsidRPr="00545500">
        <w:rPr>
          <w:rFonts w:ascii="SimplifiedArabic" w:hAnsi="Courier New" w:cs="SimplifiedArabic"/>
          <w:color w:val="1F1F1F"/>
          <w:sz w:val="28"/>
          <w:szCs w:val="28"/>
        </w:rPr>
        <w:t>.</w:t>
      </w:r>
    </w:p>
    <w:p w14:paraId="5079D2DC" w14:textId="77777777" w:rsidR="00545500" w:rsidRPr="00545500" w:rsidRDefault="00545500" w:rsidP="00545500">
      <w:pPr>
        <w:autoSpaceDE w:val="0"/>
        <w:autoSpaceDN w:val="0"/>
        <w:bidi/>
        <w:adjustRightInd w:val="0"/>
        <w:spacing w:after="0" w:line="600" w:lineRule="auto"/>
        <w:jc w:val="lowKashida"/>
        <w:rPr>
          <w:rFonts w:ascii="SimplifiedArabic-Bold" w:hAnsi="Courier New" w:cs="SimplifiedArabic-Bold"/>
          <w:b/>
          <w:bCs/>
          <w:color w:val="1F1F1F"/>
          <w:sz w:val="32"/>
          <w:szCs w:val="32"/>
          <w:rtl/>
        </w:rPr>
      </w:pPr>
      <w:r w:rsidRPr="00545500">
        <w:rPr>
          <w:rFonts w:ascii="SimplifiedArabic" w:hAnsi="Courier New" w:cs="SimplifiedArabic"/>
          <w:color w:val="1F1F1F"/>
          <w:sz w:val="28"/>
          <w:szCs w:val="28"/>
          <w:rtl/>
        </w:rPr>
        <w:t>وضوح السياسات والإجراءات.</w:t>
      </w:r>
    </w:p>
    <w:p w14:paraId="6C9B2619" w14:textId="77777777" w:rsid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Bold" w:hAnsi="Courier New" w:cs="SimplifiedArabic-Bold"/>
          <w:b/>
          <w:bCs/>
          <w:color w:val="1F1F1F"/>
          <w:sz w:val="32"/>
          <w:szCs w:val="32"/>
          <w:rtl/>
        </w:rPr>
        <w:t>المتغير التابع</w:t>
      </w:r>
      <w:r w:rsidRPr="00545500">
        <w:rPr>
          <w:rFonts w:ascii="SimplifiedArabic" w:hAnsi="Courier New" w:cs="SimplifiedArabic"/>
          <w:color w:val="1F1F1F"/>
          <w:sz w:val="32"/>
          <w:szCs w:val="32"/>
        </w:rPr>
        <w:t>:</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الحد من التلاعب بالقرارات الإدارية</w:t>
      </w:r>
      <w:r w:rsidRPr="00545500">
        <w:rPr>
          <w:rFonts w:ascii="SimplifiedArabic" w:hAnsi="Courier New" w:cs="SimplifiedArabic" w:hint="cs"/>
          <w:color w:val="1F1F1F"/>
          <w:sz w:val="28"/>
          <w:szCs w:val="28"/>
          <w:rtl/>
        </w:rPr>
        <w:t>.</w:t>
      </w:r>
    </w:p>
    <w:p w14:paraId="6BB95C52" w14:textId="3378F574" w:rsidR="003A427C" w:rsidRDefault="003A427C" w:rsidP="003A427C">
      <w:pPr>
        <w:autoSpaceDE w:val="0"/>
        <w:autoSpaceDN w:val="0"/>
        <w:bidi/>
        <w:adjustRightInd w:val="0"/>
        <w:spacing w:after="0" w:line="600" w:lineRule="auto"/>
        <w:jc w:val="lowKashida"/>
        <w:rPr>
          <w:rFonts w:ascii="SimplifiedArabic" w:hAnsi="Courier New" w:cs="SimplifiedArabic"/>
          <w:color w:val="1F1F1F"/>
          <w:sz w:val="28"/>
          <w:szCs w:val="28"/>
          <w:rtl/>
        </w:rPr>
      </w:pPr>
      <w:r>
        <w:rPr>
          <w:rFonts w:ascii="SimplifiedArabic" w:cs="SimplifiedArabic" w:hint="cs"/>
          <w:noProof/>
          <w:color w:val="1F1F1F"/>
          <w:sz w:val="28"/>
          <w:szCs w:val="28"/>
        </w:rPr>
        <w:drawing>
          <wp:inline distT="0" distB="0" distL="0" distR="0" wp14:anchorId="426D3064" wp14:editId="37FD9797">
            <wp:extent cx="5486400" cy="2400300"/>
            <wp:effectExtent l="0" t="0" r="12700" b="38100"/>
            <wp:docPr id="10552940"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68E64E5" w14:textId="77777777" w:rsidR="00545500" w:rsidRPr="00545500" w:rsidRDefault="00545500" w:rsidP="00545500">
      <w:pPr>
        <w:autoSpaceDE w:val="0"/>
        <w:autoSpaceDN w:val="0"/>
        <w:bidi/>
        <w:adjustRightInd w:val="0"/>
        <w:spacing w:after="0" w:line="240" w:lineRule="auto"/>
        <w:jc w:val="center"/>
        <w:rPr>
          <w:rFonts w:ascii="SimplifiedArabic-Bold" w:hAnsi="Courier New" w:cs="SimplifiedArabic-Bold"/>
          <w:b/>
          <w:bCs/>
          <w:color w:val="222222"/>
          <w:sz w:val="24"/>
          <w:szCs w:val="24"/>
          <w:rtl/>
        </w:rPr>
      </w:pPr>
      <w:r w:rsidRPr="00545500">
        <w:rPr>
          <w:rFonts w:ascii="SimplifiedArabic-Bold" w:hAnsi="Courier New" w:cs="SimplifiedArabic-Bold" w:hint="cs"/>
          <w:b/>
          <w:bCs/>
          <w:color w:val="222222"/>
          <w:sz w:val="24"/>
          <w:szCs w:val="24"/>
          <w:rtl/>
        </w:rPr>
        <w:t>شكل</w:t>
      </w:r>
      <w:r w:rsidRPr="00545500">
        <w:rPr>
          <w:rFonts w:ascii="SimplifiedArabic-Bold" w:hAnsi="Courier New" w:cs="SimplifiedArabic-Bold"/>
          <w:b/>
          <w:bCs/>
          <w:color w:val="222222"/>
          <w:sz w:val="24"/>
          <w:szCs w:val="24"/>
          <w:rtl/>
        </w:rPr>
        <w:t xml:space="preserve"> </w:t>
      </w:r>
      <w:r w:rsidRPr="00545500">
        <w:rPr>
          <w:rFonts w:ascii="SimplifiedArabic-Bold" w:hAnsi="Courier New" w:cs="SimplifiedArabic-Bold" w:hint="cs"/>
          <w:b/>
          <w:bCs/>
          <w:color w:val="222222"/>
          <w:sz w:val="24"/>
          <w:szCs w:val="24"/>
          <w:rtl/>
        </w:rPr>
        <w:t>رقم</w:t>
      </w:r>
      <w:r w:rsidRPr="00545500">
        <w:rPr>
          <w:rFonts w:ascii="SimplifiedArabic-Bold" w:hAnsi="Courier New" w:cs="SimplifiedArabic-Bold"/>
          <w:b/>
          <w:bCs/>
          <w:color w:val="222222"/>
          <w:sz w:val="24"/>
          <w:szCs w:val="24"/>
          <w:rtl/>
        </w:rPr>
        <w:t xml:space="preserve"> </w:t>
      </w:r>
      <w:r w:rsidRPr="00545500">
        <w:rPr>
          <w:rFonts w:ascii="SimplifiedArabic-Bold" w:hAnsi="Courier New" w:cs="SimplifiedArabic-Bold" w:hint="cs"/>
          <w:b/>
          <w:bCs/>
          <w:color w:val="222222"/>
          <w:sz w:val="24"/>
          <w:szCs w:val="24"/>
          <w:rtl/>
        </w:rPr>
        <w:t>(1-1)</w:t>
      </w:r>
      <w:r w:rsidRPr="00545500">
        <w:rPr>
          <w:rFonts w:ascii="SimplifiedArabic-Bold" w:hAnsi="Courier New" w:cs="SimplifiedArabic-Bold"/>
          <w:b/>
          <w:bCs/>
          <w:color w:val="222222"/>
          <w:sz w:val="24"/>
          <w:szCs w:val="24"/>
          <w:rtl/>
        </w:rPr>
        <w:t xml:space="preserve"> </w:t>
      </w:r>
      <w:r w:rsidRPr="00545500">
        <w:rPr>
          <w:rFonts w:ascii="SimplifiedArabic-Bold" w:hAnsi="Courier New" w:cs="SimplifiedArabic-Bold" w:hint="cs"/>
          <w:b/>
          <w:bCs/>
          <w:color w:val="222222"/>
          <w:sz w:val="24"/>
          <w:szCs w:val="24"/>
          <w:rtl/>
        </w:rPr>
        <w:t>نموذج البحث</w:t>
      </w:r>
    </w:p>
    <w:p w14:paraId="6FC15A63" w14:textId="77777777" w:rsidR="00545500" w:rsidRPr="00545500" w:rsidRDefault="00545500" w:rsidP="00545500">
      <w:pPr>
        <w:autoSpaceDE w:val="0"/>
        <w:autoSpaceDN w:val="0"/>
        <w:bidi/>
        <w:adjustRightInd w:val="0"/>
        <w:spacing w:after="0" w:line="240" w:lineRule="auto"/>
        <w:rPr>
          <w:rFonts w:ascii="SimplifiedArabic-Bold" w:hAnsi="Courier New" w:cs="SimplifiedArabic-Bold"/>
          <w:b/>
          <w:bCs/>
          <w:color w:val="1F1F1F"/>
          <w:sz w:val="32"/>
          <w:szCs w:val="32"/>
          <w:rtl/>
        </w:rPr>
      </w:pPr>
    </w:p>
    <w:p w14:paraId="67B586D1" w14:textId="77777777" w:rsidR="00545500" w:rsidRPr="00545500" w:rsidRDefault="00545500" w:rsidP="00545500">
      <w:pPr>
        <w:autoSpaceDE w:val="0"/>
        <w:autoSpaceDN w:val="0"/>
        <w:bidi/>
        <w:adjustRightInd w:val="0"/>
        <w:spacing w:after="0" w:line="240" w:lineRule="auto"/>
        <w:rPr>
          <w:rFonts w:ascii="SimplifiedArabic-Bold" w:hAnsi="Courier New" w:cs="SimplifiedArabic-Bold"/>
          <w:b/>
          <w:bCs/>
          <w:color w:val="1F1F1F"/>
          <w:sz w:val="32"/>
          <w:szCs w:val="32"/>
          <w:rtl/>
        </w:rPr>
      </w:pPr>
    </w:p>
    <w:p w14:paraId="3A01EDB2" w14:textId="77777777" w:rsidR="00545500" w:rsidRPr="00545500" w:rsidRDefault="00545500" w:rsidP="00545500">
      <w:pPr>
        <w:autoSpaceDE w:val="0"/>
        <w:autoSpaceDN w:val="0"/>
        <w:bidi/>
        <w:adjustRightInd w:val="0"/>
        <w:spacing w:after="0" w:line="240" w:lineRule="auto"/>
        <w:rPr>
          <w:rFonts w:ascii="SimplifiedArabic-Bold" w:hAnsi="Courier New" w:cs="SimplifiedArabic-Bold"/>
          <w:b/>
          <w:bCs/>
          <w:color w:val="1F1F1F"/>
          <w:sz w:val="32"/>
          <w:szCs w:val="32"/>
          <w:rtl/>
        </w:rPr>
      </w:pPr>
    </w:p>
    <w:p w14:paraId="7708A379" w14:textId="77777777" w:rsidR="00545500" w:rsidRPr="00545500" w:rsidRDefault="00545500" w:rsidP="00545500">
      <w:pPr>
        <w:autoSpaceDE w:val="0"/>
        <w:autoSpaceDN w:val="0"/>
        <w:bidi/>
        <w:adjustRightInd w:val="0"/>
        <w:spacing w:after="0" w:line="240" w:lineRule="auto"/>
        <w:outlineLvl w:val="0"/>
        <w:rPr>
          <w:rFonts w:ascii="SimplifiedArabic-Bold" w:hAnsi="Courier New" w:cs="SimplifiedArabic-Bold"/>
          <w:b/>
          <w:bCs/>
          <w:color w:val="1F1F1F"/>
          <w:sz w:val="36"/>
          <w:szCs w:val="36"/>
          <w:rtl/>
        </w:rPr>
      </w:pPr>
      <w:bookmarkStart w:id="12" w:name="_Toc225424353"/>
      <w:r w:rsidRPr="00545500">
        <w:rPr>
          <w:rFonts w:ascii="SimplifiedArabic-Bold" w:hAnsi="Courier New" w:cs="SimplifiedArabic-Bold" w:hint="cs"/>
          <w:b/>
          <w:bCs/>
          <w:color w:val="1F1F1F"/>
          <w:sz w:val="36"/>
          <w:szCs w:val="36"/>
          <w:rtl/>
        </w:rPr>
        <w:t>حدود</w:t>
      </w:r>
      <w:r w:rsidRPr="00545500">
        <w:rPr>
          <w:rFonts w:ascii="SimplifiedArabic-Bold" w:hAnsi="Courier New" w:cs="SimplifiedArabic-Bold"/>
          <w:b/>
          <w:bCs/>
          <w:color w:val="1F1F1F"/>
          <w:sz w:val="36"/>
          <w:szCs w:val="36"/>
          <w:rtl/>
        </w:rPr>
        <w:t xml:space="preserve"> </w:t>
      </w:r>
      <w:r w:rsidRPr="00545500">
        <w:rPr>
          <w:rFonts w:ascii="SimplifiedArabic-Bold" w:hAnsi="Courier New" w:cs="SimplifiedArabic-Bold" w:hint="cs"/>
          <w:b/>
          <w:bCs/>
          <w:color w:val="1F1F1F"/>
          <w:sz w:val="36"/>
          <w:szCs w:val="36"/>
          <w:rtl/>
        </w:rPr>
        <w:t>البحث</w:t>
      </w:r>
      <w:r w:rsidRPr="00545500">
        <w:rPr>
          <w:rFonts w:ascii="SimplifiedArabic-Bold" w:hAnsi="Courier New" w:cs="SimplifiedArabic-Bold"/>
          <w:b/>
          <w:bCs/>
          <w:color w:val="1F1F1F"/>
          <w:sz w:val="36"/>
          <w:szCs w:val="36"/>
        </w:rPr>
        <w:t>:</w:t>
      </w:r>
      <w:bookmarkEnd w:id="12"/>
    </w:p>
    <w:p w14:paraId="217442AF" w14:textId="77777777" w:rsidR="00545500" w:rsidRPr="00545500" w:rsidRDefault="00545500" w:rsidP="00545500">
      <w:pPr>
        <w:autoSpaceDE w:val="0"/>
        <w:autoSpaceDN w:val="0"/>
        <w:bidi/>
        <w:adjustRightInd w:val="0"/>
        <w:spacing w:after="0" w:line="240" w:lineRule="auto"/>
        <w:rPr>
          <w:rFonts w:ascii="SimplifiedArabic-Bold" w:hAnsi="Courier New" w:cs="SimplifiedArabic-Bold"/>
          <w:b/>
          <w:bCs/>
          <w:color w:val="1F1F1F"/>
          <w:sz w:val="32"/>
          <w:szCs w:val="32"/>
        </w:rPr>
      </w:pPr>
    </w:p>
    <w:p w14:paraId="042EF271"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b/>
          <w:bCs/>
          <w:color w:val="1F1F1F"/>
          <w:sz w:val="28"/>
          <w:szCs w:val="28"/>
          <w:rtl/>
        </w:rPr>
        <w:t>المجال المكاني</w:t>
      </w:r>
      <w:r w:rsidRPr="00545500">
        <w:rPr>
          <w:rFonts w:ascii="SimplifiedArabic" w:hAnsi="Courier New" w:cs="SimplifiedArabic"/>
          <w:color w:val="1F1F1F"/>
          <w:sz w:val="28"/>
          <w:szCs w:val="28"/>
          <w:rtl/>
        </w:rPr>
        <w:t>: ستُطبق هذه الدراسة على مؤسسات القطاع الخاص في المملكة العربية السعودية</w:t>
      </w:r>
      <w:r w:rsidRPr="00545500">
        <w:rPr>
          <w:rFonts w:ascii="SimplifiedArabic" w:hAnsi="Courier New" w:cs="SimplifiedArabic"/>
          <w:color w:val="1F1F1F"/>
          <w:sz w:val="28"/>
          <w:szCs w:val="28"/>
        </w:rPr>
        <w:t>.</w:t>
      </w:r>
    </w:p>
    <w:p w14:paraId="18179BBD" w14:textId="77777777" w:rsidR="00545500" w:rsidRPr="00545500" w:rsidRDefault="00545500" w:rsidP="00545500">
      <w:pPr>
        <w:autoSpaceDE w:val="0"/>
        <w:autoSpaceDN w:val="0"/>
        <w:bidi/>
        <w:adjustRightInd w:val="0"/>
        <w:spacing w:after="0" w:line="600" w:lineRule="auto"/>
        <w:jc w:val="lowKashida"/>
        <w:rPr>
          <w:rFonts w:cs="SimplifiedArabic"/>
          <w:color w:val="1F1F1F"/>
          <w:sz w:val="28"/>
          <w:szCs w:val="28"/>
          <w:rtl/>
          <w:lang w:val="en-GB"/>
        </w:rPr>
      </w:pPr>
      <w:r w:rsidRPr="00545500">
        <w:rPr>
          <w:rFonts w:ascii="SimplifiedArabic" w:hAnsi="Courier New" w:cs="SimplifiedArabic"/>
          <w:b/>
          <w:bCs/>
          <w:color w:val="1F1F1F"/>
          <w:sz w:val="28"/>
          <w:szCs w:val="28"/>
          <w:rtl/>
        </w:rPr>
        <w:t>المجال البشري</w:t>
      </w:r>
      <w:r w:rsidRPr="00545500">
        <w:rPr>
          <w:rFonts w:ascii="SimplifiedArabic" w:hAnsi="Courier New" w:cs="SimplifiedArabic"/>
          <w:color w:val="1F1F1F"/>
          <w:sz w:val="28"/>
          <w:szCs w:val="28"/>
          <w:rtl/>
        </w:rPr>
        <w:t xml:space="preserve">: ستُجرى الدراسة على عينة عشوائية </w:t>
      </w:r>
      <w:r w:rsidRPr="00545500">
        <w:rPr>
          <w:rFonts w:ascii="SimplifiedArabic" w:hAnsi="Courier New" w:cs="SimplifiedArabic" w:hint="cs"/>
          <w:color w:val="1F1F1F"/>
          <w:sz w:val="28"/>
          <w:szCs w:val="28"/>
          <w:rtl/>
        </w:rPr>
        <w:t xml:space="preserve">مكون من (220) </w:t>
      </w:r>
      <w:r w:rsidRPr="00545500">
        <w:rPr>
          <w:rFonts w:ascii="SimplifiedArabic" w:hAnsi="Courier New" w:cs="SimplifiedArabic"/>
          <w:color w:val="1F1F1F"/>
          <w:sz w:val="28"/>
          <w:szCs w:val="28"/>
          <w:rtl/>
        </w:rPr>
        <w:t>من القيادات الإدارية والعاملين في المستويات الإدارية المختلفة داخل</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مؤسسات</w:t>
      </w:r>
      <w:r w:rsidRPr="00545500">
        <w:rPr>
          <w:rFonts w:ascii="SimplifiedArabic" w:hAnsi="Courier New" w:cs="SimplifiedArabic" w:hint="cs"/>
          <w:color w:val="1F1F1F"/>
          <w:sz w:val="28"/>
          <w:szCs w:val="28"/>
          <w:rtl/>
        </w:rPr>
        <w:t xml:space="preserve"> القطاع الخاص</w:t>
      </w:r>
      <w:r w:rsidRPr="00545500">
        <w:rPr>
          <w:rFonts w:ascii="SimplifiedArabic" w:hAnsi="Courier New" w:cs="SimplifiedArabic"/>
          <w:color w:val="1F1F1F"/>
          <w:sz w:val="28"/>
          <w:szCs w:val="28"/>
        </w:rPr>
        <w:t>.</w:t>
      </w:r>
    </w:p>
    <w:p w14:paraId="54362604" w14:textId="77777777" w:rsidR="004240B5" w:rsidRDefault="00545500" w:rsidP="004240B5">
      <w:pPr>
        <w:autoSpaceDE w:val="0"/>
        <w:autoSpaceDN w:val="0"/>
        <w:bidi/>
        <w:adjustRightInd w:val="0"/>
        <w:spacing w:after="0" w:line="600" w:lineRule="auto"/>
        <w:jc w:val="lowKashida"/>
        <w:rPr>
          <w:rFonts w:ascii="SimplifiedArabic" w:hAnsi="Courier New" w:cs="SimplifiedArabic"/>
          <w:b/>
          <w:bCs/>
          <w:color w:val="1F1F1F"/>
          <w:sz w:val="28"/>
          <w:szCs w:val="28"/>
        </w:rPr>
      </w:pPr>
      <w:r w:rsidRPr="00545500">
        <w:rPr>
          <w:rFonts w:ascii="SimplifiedArabic" w:hAnsi="Courier New" w:cs="SimplifiedArabic"/>
          <w:b/>
          <w:bCs/>
          <w:color w:val="1F1F1F"/>
          <w:sz w:val="28"/>
          <w:szCs w:val="28"/>
          <w:rtl/>
        </w:rPr>
        <w:t>المجال الزمني</w:t>
      </w:r>
      <w:r w:rsidRPr="00545500">
        <w:rPr>
          <w:rFonts w:ascii="SimplifiedArabic" w:hAnsi="Courier New" w:cs="SimplifiedArabic"/>
          <w:color w:val="1F1F1F"/>
          <w:sz w:val="28"/>
          <w:szCs w:val="28"/>
          <w:rtl/>
        </w:rPr>
        <w:t xml:space="preserve">: سوف يتم إجراء هذه الدراسة خلال الفترة </w:t>
      </w:r>
      <w:r w:rsidR="004240B5" w:rsidRPr="004240B5">
        <w:rPr>
          <w:rFonts w:ascii="SimplifiedArabic" w:hAnsi="Courier New" w:cs="SimplifiedArabic"/>
          <w:color w:val="1F1F1F"/>
          <w:sz w:val="28"/>
          <w:szCs w:val="28"/>
          <w:rtl/>
        </w:rPr>
        <w:t xml:space="preserve">العام الدراسي 1447هـ - 2026م.   </w:t>
      </w:r>
    </w:p>
    <w:p w14:paraId="10A085AE" w14:textId="40F36352" w:rsidR="00545500" w:rsidRPr="00545500" w:rsidRDefault="00545500" w:rsidP="004240B5">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b/>
          <w:bCs/>
          <w:color w:val="1F1F1F"/>
          <w:sz w:val="28"/>
          <w:szCs w:val="28"/>
          <w:rtl/>
        </w:rPr>
        <w:t>المجال الموضوعي</w:t>
      </w:r>
      <w:r w:rsidRPr="00545500">
        <w:rPr>
          <w:rFonts w:ascii="SimplifiedArabic" w:hAnsi="Courier New" w:cs="SimplifiedArabic"/>
          <w:color w:val="1F1F1F"/>
          <w:sz w:val="28"/>
          <w:szCs w:val="28"/>
          <w:rtl/>
        </w:rPr>
        <w:t>: اقتصرت الدراسة على بحث أثر حوكمة الموارد البشرية في الحد من التلاعب بالقرارات الإدارية في مؤسسات القطاع الخاص، دون التطرق إلى متغيرات تنظيمية أو إدارية أخرى خارج نطاق الحوكمة.</w:t>
      </w:r>
    </w:p>
    <w:p w14:paraId="79350B65"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030321D3"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2A354025"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57EA9087"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5CB767A7"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03105EFE"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2618EA47"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24E05B85"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4E23D0DC"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Pr>
      </w:pPr>
    </w:p>
    <w:p w14:paraId="4F107611" w14:textId="77777777" w:rsidR="00545500" w:rsidRPr="00545500" w:rsidRDefault="00545500" w:rsidP="00545500">
      <w:pPr>
        <w:autoSpaceDE w:val="0"/>
        <w:autoSpaceDN w:val="0"/>
        <w:bidi/>
        <w:adjustRightInd w:val="0"/>
        <w:spacing w:after="0" w:line="600" w:lineRule="auto"/>
        <w:jc w:val="lowKashida"/>
        <w:rPr>
          <w:rFonts w:ascii="SimplifiedArabic-Bold" w:hAnsi="Courier New" w:cs="SimplifiedArabic-Bold"/>
          <w:b/>
          <w:bCs/>
          <w:color w:val="1F1F1F"/>
          <w:sz w:val="32"/>
          <w:szCs w:val="32"/>
          <w:rtl/>
        </w:rPr>
      </w:pPr>
      <w:r w:rsidRPr="00545500">
        <w:rPr>
          <w:rFonts w:ascii="SimplifiedArabic-Bold" w:hAnsi="Courier New" w:cs="SimplifiedArabic-Bold" w:hint="cs"/>
          <w:b/>
          <w:bCs/>
          <w:color w:val="1F1F1F"/>
          <w:sz w:val="36"/>
          <w:szCs w:val="36"/>
          <w:rtl/>
        </w:rPr>
        <w:lastRenderedPageBreak/>
        <w:t>خاتمة</w:t>
      </w:r>
      <w:r w:rsidRPr="00545500">
        <w:rPr>
          <w:rFonts w:ascii="SimplifiedArabic-Bold" w:hAnsi="Courier New" w:cs="SimplifiedArabic-Bold"/>
          <w:b/>
          <w:bCs/>
          <w:color w:val="1F1F1F"/>
          <w:sz w:val="36"/>
          <w:szCs w:val="36"/>
          <w:rtl/>
        </w:rPr>
        <w:t xml:space="preserve"> </w:t>
      </w:r>
      <w:r w:rsidRPr="00545500">
        <w:rPr>
          <w:rFonts w:ascii="SimplifiedArabic-Bold" w:hAnsi="Courier New" w:cs="SimplifiedArabic-Bold" w:hint="cs"/>
          <w:b/>
          <w:bCs/>
          <w:color w:val="1F1F1F"/>
          <w:sz w:val="36"/>
          <w:szCs w:val="36"/>
          <w:rtl/>
        </w:rPr>
        <w:t>الفصل</w:t>
      </w:r>
      <w:r w:rsidRPr="00545500">
        <w:rPr>
          <w:rFonts w:ascii="SimplifiedArabic-Bold" w:hAnsi="Courier New" w:cs="SimplifiedArabic-Bold"/>
          <w:b/>
          <w:bCs/>
          <w:color w:val="1F1F1F"/>
          <w:sz w:val="32"/>
          <w:szCs w:val="32"/>
        </w:rPr>
        <w:t>:</w:t>
      </w:r>
    </w:p>
    <w:p w14:paraId="458E4477" w14:textId="77777777" w:rsidR="00545500" w:rsidRPr="00545500" w:rsidRDefault="00545500" w:rsidP="00545500">
      <w:pPr>
        <w:autoSpaceDE w:val="0"/>
        <w:autoSpaceDN w:val="0"/>
        <w:bidi/>
        <w:adjustRightInd w:val="0"/>
        <w:spacing w:after="0" w:line="240" w:lineRule="auto"/>
        <w:rPr>
          <w:rFonts w:ascii="SimplifiedArabic-Bold" w:hAnsi="Courier New" w:cs="SimplifiedArabic-Bold"/>
          <w:b/>
          <w:bCs/>
          <w:color w:val="1F1F1F"/>
          <w:sz w:val="32"/>
          <w:szCs w:val="32"/>
        </w:rPr>
      </w:pPr>
    </w:p>
    <w:p w14:paraId="7DE55E58"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تم في هذا الفصل عرض مقدمة شاملة لموضوع البحث، حيث تم استعراض فكرة عامة حول أثر حوكمة الموارد البشرية في الحد من التلاعب بالقرارات الإدارية في مؤسسات القطاع الخاص، مع توضيح الدوافع العلمية والعملية لاختيار هذا الموضوع. كما تم تحديد مشكلة البحث وصياغة سؤال البحث الرئيسي والأسئلة الفرعية التي تسعى الدراسة إلى الإجابة عنها</w:t>
      </w:r>
      <w:r w:rsidRPr="00545500">
        <w:rPr>
          <w:rFonts w:ascii="SimplifiedArabic" w:hAnsi="Courier New" w:cs="SimplifiedArabic"/>
          <w:color w:val="1F1F1F"/>
          <w:sz w:val="28"/>
          <w:szCs w:val="28"/>
        </w:rPr>
        <w:t>.</w:t>
      </w:r>
    </w:p>
    <w:p w14:paraId="6361635B"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كما تطرق الفصل إلى بيان أهمية البحث من الناحيتين النظرية والتطبيقية، وتحديد أهدافه، وصياغة فرضياته التي ستقوم الدراسة باختبارها، إضافة إلى توضيح نموذج البحث وحدوده</w:t>
      </w:r>
      <w:r w:rsidRPr="00545500">
        <w:rPr>
          <w:rFonts w:ascii="SimplifiedArabic" w:hAnsi="Courier New" w:cs="SimplifiedArabic"/>
          <w:color w:val="1F1F1F"/>
          <w:sz w:val="28"/>
          <w:szCs w:val="28"/>
        </w:rPr>
        <w:t>.</w:t>
      </w:r>
    </w:p>
    <w:p w14:paraId="2A2D90F9"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وبذلك يُعد هذا الفصل مدخلًا تمهيديًا يمهّد للفصول اللاحقة التي ستتناول الإطار النظري، والدراسة الميدانية، وتحليل النتائج، ومناقشتها وفق المنهجية العلمية المعتمدة.</w:t>
      </w:r>
    </w:p>
    <w:p w14:paraId="311F5E0D"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1B67D80A"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79D7BDC3"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6497E2A4"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31DE90B6"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42625582"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51772954"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637951D5"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40453BCF"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3B144F76"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153944DA"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511310A6"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637285A5" w14:textId="77777777" w:rsidR="00545500" w:rsidRPr="00545500" w:rsidRDefault="00545500" w:rsidP="00545500">
      <w:pPr>
        <w:autoSpaceDE w:val="0"/>
        <w:autoSpaceDN w:val="0"/>
        <w:adjustRightInd w:val="0"/>
        <w:spacing w:after="0" w:line="240" w:lineRule="auto"/>
        <w:jc w:val="center"/>
        <w:outlineLvl w:val="0"/>
        <w:rPr>
          <w:rFonts w:ascii="SimplifiedArabic-Bold" w:hAnsi="Courier New" w:cs="SimplifiedArabic-Bold"/>
          <w:b/>
          <w:bCs/>
          <w:color w:val="222222"/>
          <w:sz w:val="40"/>
          <w:szCs w:val="40"/>
          <w:u w:val="thick"/>
          <w:rtl/>
        </w:rPr>
      </w:pPr>
      <w:bookmarkStart w:id="13" w:name="_Toc225424354"/>
      <w:r w:rsidRPr="00545500">
        <w:rPr>
          <w:rFonts w:ascii="SimplifiedArabic-Bold" w:hAnsi="Courier New" w:cs="SimplifiedArabic-Bold" w:hint="cs"/>
          <w:b/>
          <w:bCs/>
          <w:color w:val="222222"/>
          <w:sz w:val="40"/>
          <w:szCs w:val="40"/>
          <w:u w:val="thick"/>
          <w:rtl/>
        </w:rPr>
        <w:t>الفصل</w:t>
      </w:r>
      <w:r w:rsidRPr="00545500">
        <w:rPr>
          <w:rFonts w:ascii="SimplifiedArabic-Bold" w:hAnsi="Courier New" w:cs="SimplifiedArabic-Bold"/>
          <w:b/>
          <w:bCs/>
          <w:color w:val="222222"/>
          <w:sz w:val="40"/>
          <w:szCs w:val="40"/>
          <w:u w:val="thick"/>
          <w:rtl/>
        </w:rPr>
        <w:t xml:space="preserve"> </w:t>
      </w:r>
      <w:r w:rsidRPr="00545500">
        <w:rPr>
          <w:rFonts w:ascii="SimplifiedArabic-Bold" w:hAnsi="Courier New" w:cs="SimplifiedArabic-Bold" w:hint="cs"/>
          <w:b/>
          <w:bCs/>
          <w:color w:val="222222"/>
          <w:sz w:val="40"/>
          <w:szCs w:val="40"/>
          <w:u w:val="thick"/>
          <w:rtl/>
        </w:rPr>
        <w:t>الثاني</w:t>
      </w:r>
      <w:bookmarkEnd w:id="13"/>
    </w:p>
    <w:p w14:paraId="3B7E06E0" w14:textId="77777777" w:rsidR="00545500" w:rsidRPr="00545500" w:rsidRDefault="00545500" w:rsidP="00545500">
      <w:pPr>
        <w:autoSpaceDE w:val="0"/>
        <w:autoSpaceDN w:val="0"/>
        <w:adjustRightInd w:val="0"/>
        <w:spacing w:after="0" w:line="240" w:lineRule="auto"/>
        <w:jc w:val="center"/>
        <w:outlineLvl w:val="0"/>
        <w:rPr>
          <w:rFonts w:ascii="SimplifiedArabic-Bold" w:hAnsi="Courier New" w:cs="SimplifiedArabic-Bold"/>
          <w:b/>
          <w:bCs/>
          <w:color w:val="222222"/>
          <w:sz w:val="40"/>
          <w:szCs w:val="40"/>
          <w:u w:val="thick"/>
        </w:rPr>
      </w:pPr>
    </w:p>
    <w:p w14:paraId="6CDA837B" w14:textId="77777777" w:rsidR="00545500" w:rsidRPr="00545500" w:rsidRDefault="00545500" w:rsidP="00545500">
      <w:pPr>
        <w:autoSpaceDE w:val="0"/>
        <w:autoSpaceDN w:val="0"/>
        <w:bidi/>
        <w:adjustRightInd w:val="0"/>
        <w:spacing w:after="0" w:line="600" w:lineRule="auto"/>
        <w:jc w:val="center"/>
        <w:outlineLvl w:val="0"/>
        <w:rPr>
          <w:rFonts w:ascii="SimplifiedArabic" w:hAnsi="Courier New" w:cs="SimplifiedArabic"/>
          <w:color w:val="1F1F1F"/>
          <w:sz w:val="28"/>
          <w:szCs w:val="28"/>
          <w:rtl/>
        </w:rPr>
      </w:pPr>
      <w:bookmarkStart w:id="14" w:name="_Toc225424355"/>
      <w:r w:rsidRPr="00545500">
        <w:rPr>
          <w:rFonts w:ascii="SimplifiedArabic-Bold" w:hAnsi="Courier New" w:cs="SimplifiedArabic-Bold" w:hint="cs"/>
          <w:b/>
          <w:bCs/>
          <w:color w:val="222222"/>
          <w:sz w:val="40"/>
          <w:szCs w:val="40"/>
          <w:u w:val="thick"/>
          <w:rtl/>
        </w:rPr>
        <w:t>الإطار</w:t>
      </w:r>
      <w:r w:rsidRPr="00545500">
        <w:rPr>
          <w:rFonts w:ascii="SimplifiedArabic-Bold" w:hAnsi="Courier New" w:cs="SimplifiedArabic-Bold"/>
          <w:b/>
          <w:bCs/>
          <w:color w:val="222222"/>
          <w:sz w:val="40"/>
          <w:szCs w:val="40"/>
          <w:u w:val="thick"/>
          <w:rtl/>
        </w:rPr>
        <w:t xml:space="preserve"> </w:t>
      </w:r>
      <w:r w:rsidRPr="00545500">
        <w:rPr>
          <w:rFonts w:ascii="SimplifiedArabic-Bold" w:hAnsi="Courier New" w:cs="SimplifiedArabic-Bold" w:hint="cs"/>
          <w:b/>
          <w:bCs/>
          <w:color w:val="222222"/>
          <w:sz w:val="40"/>
          <w:szCs w:val="40"/>
          <w:u w:val="thick"/>
          <w:rtl/>
        </w:rPr>
        <w:t>النظري</w:t>
      </w:r>
      <w:r w:rsidRPr="00545500">
        <w:rPr>
          <w:rFonts w:ascii="SimplifiedArabic-Bold" w:hAnsi="Courier New" w:cs="SimplifiedArabic-Bold"/>
          <w:b/>
          <w:bCs/>
          <w:color w:val="222222"/>
          <w:sz w:val="40"/>
          <w:szCs w:val="40"/>
          <w:u w:val="thick"/>
          <w:rtl/>
        </w:rPr>
        <w:t xml:space="preserve"> </w:t>
      </w:r>
      <w:r w:rsidRPr="00545500">
        <w:rPr>
          <w:rFonts w:ascii="SimplifiedArabic-Bold" w:hAnsi="Courier New" w:cs="SimplifiedArabic-Bold" w:hint="cs"/>
          <w:b/>
          <w:bCs/>
          <w:color w:val="222222"/>
          <w:sz w:val="40"/>
          <w:szCs w:val="40"/>
          <w:u w:val="thick"/>
          <w:rtl/>
        </w:rPr>
        <w:t>والدراسات</w:t>
      </w:r>
      <w:r w:rsidRPr="00545500">
        <w:rPr>
          <w:rFonts w:ascii="SimplifiedArabic-Bold" w:hAnsi="Courier New" w:cs="SimplifiedArabic-Bold"/>
          <w:b/>
          <w:bCs/>
          <w:color w:val="222222"/>
          <w:sz w:val="40"/>
          <w:szCs w:val="40"/>
          <w:u w:val="thick"/>
          <w:rtl/>
        </w:rPr>
        <w:t xml:space="preserve"> </w:t>
      </w:r>
      <w:r w:rsidRPr="00545500">
        <w:rPr>
          <w:rFonts w:ascii="SimplifiedArabic-Bold" w:hAnsi="Courier New" w:cs="SimplifiedArabic-Bold" w:hint="cs"/>
          <w:b/>
          <w:bCs/>
          <w:color w:val="222222"/>
          <w:sz w:val="40"/>
          <w:szCs w:val="40"/>
          <w:u w:val="thick"/>
          <w:rtl/>
        </w:rPr>
        <w:t>السابقة</w:t>
      </w:r>
      <w:bookmarkEnd w:id="14"/>
    </w:p>
    <w:p w14:paraId="15F30A29"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27D97FC4"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5E0756DF"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5A9C8C97"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42CA660E"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69BA01D2"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1FE4D438"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28AE36A5"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3E732AAA"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6338839D"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0A1DFF4C"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p>
    <w:p w14:paraId="3BD7B13F" w14:textId="77777777" w:rsidR="00545500" w:rsidRPr="00545500" w:rsidRDefault="00545500" w:rsidP="00545500">
      <w:pPr>
        <w:autoSpaceDE w:val="0"/>
        <w:autoSpaceDN w:val="0"/>
        <w:bidi/>
        <w:adjustRightInd w:val="0"/>
        <w:spacing w:after="0" w:line="240" w:lineRule="auto"/>
        <w:outlineLvl w:val="0"/>
        <w:rPr>
          <w:rFonts w:ascii="SimplifiedArabic-Bold" w:hAnsi="Courier New" w:cs="SimplifiedArabic-Bold"/>
          <w:b/>
          <w:bCs/>
          <w:color w:val="222222"/>
          <w:sz w:val="32"/>
          <w:szCs w:val="32"/>
          <w:rtl/>
        </w:rPr>
      </w:pPr>
      <w:bookmarkStart w:id="15" w:name="_Toc225424356"/>
      <w:r w:rsidRPr="00545500">
        <w:rPr>
          <w:rFonts w:ascii="SimplifiedArabic-Bold" w:hAnsi="Courier New" w:cs="SimplifiedArabic-Bold" w:hint="cs"/>
          <w:b/>
          <w:bCs/>
          <w:color w:val="1F1F1F"/>
          <w:sz w:val="36"/>
          <w:szCs w:val="36"/>
          <w:rtl/>
        </w:rPr>
        <w:lastRenderedPageBreak/>
        <w:t>مقدمة</w:t>
      </w:r>
      <w:r w:rsidRPr="00545500">
        <w:rPr>
          <w:rFonts w:ascii="SimplifiedArabic-Bold" w:hAnsi="Courier New" w:cs="SimplifiedArabic-Bold"/>
          <w:b/>
          <w:bCs/>
          <w:color w:val="222222"/>
          <w:sz w:val="32"/>
          <w:szCs w:val="32"/>
        </w:rPr>
        <w:t>:</w:t>
      </w:r>
      <w:bookmarkEnd w:id="15"/>
    </w:p>
    <w:p w14:paraId="5CB77EEC" w14:textId="77777777" w:rsidR="00545500" w:rsidRPr="00545500" w:rsidRDefault="00545500" w:rsidP="00545500">
      <w:pPr>
        <w:autoSpaceDE w:val="0"/>
        <w:autoSpaceDN w:val="0"/>
        <w:bidi/>
        <w:adjustRightInd w:val="0"/>
        <w:spacing w:after="0" w:line="240" w:lineRule="auto"/>
        <w:rPr>
          <w:rFonts w:ascii="SimplifiedArabic-Bold" w:hAnsi="Courier New" w:cs="SimplifiedArabic-Bold"/>
          <w:b/>
          <w:bCs/>
          <w:color w:val="222222"/>
          <w:sz w:val="32"/>
          <w:szCs w:val="32"/>
        </w:rPr>
      </w:pPr>
    </w:p>
    <w:p w14:paraId="068D170E"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rPr>
      </w:pPr>
      <w:r w:rsidRPr="00545500">
        <w:rPr>
          <w:rFonts w:ascii="SimplifiedArabic" w:hAnsi="Courier New" w:cs="SimplifiedArabic" w:hint="cs"/>
          <w:color w:val="222222"/>
          <w:sz w:val="28"/>
          <w:szCs w:val="28"/>
          <w:rtl/>
        </w:rPr>
        <w:t xml:space="preserve">      </w:t>
      </w:r>
      <w:r w:rsidRPr="00545500">
        <w:rPr>
          <w:rFonts w:ascii="SimplifiedArabic" w:hAnsi="Courier New" w:cs="SimplifiedArabic"/>
          <w:color w:val="222222"/>
          <w:sz w:val="28"/>
          <w:szCs w:val="28"/>
          <w:rtl/>
        </w:rPr>
        <w:t>يتناول هذا البحث دراسة النظرية المتعلقة بإدارة الموارد البشرية ودورها في تقليل التلاعب في القرارات الإدارية داخل شركات القطاع الخاص، من خلال فحص العلاقة بين ممارسات الإدارة ونسبة النزاهة والوضوح في مكان العمل. يركز الفصل على تقديم المفاهيم الأساسية المتعلقة بإدارة الموارد البشرية، مثل مبادئ العدالة والشفافية والمساءلة والرقابة الداخلية، إضافة إلى مناقشة أهميتها في تحسين جودة اتخاذ القرارات الإدارية</w:t>
      </w:r>
      <w:r w:rsidRPr="00545500">
        <w:rPr>
          <w:rFonts w:ascii="SimplifiedArabic" w:hAnsi="Courier New" w:cs="SimplifiedArabic"/>
          <w:color w:val="222222"/>
          <w:sz w:val="28"/>
          <w:szCs w:val="28"/>
        </w:rPr>
        <w:t>.</w:t>
      </w:r>
    </w:p>
    <w:p w14:paraId="6DBA161A"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222222"/>
          <w:sz w:val="28"/>
          <w:szCs w:val="28"/>
          <w:rtl/>
        </w:rPr>
        <w:t xml:space="preserve">    </w:t>
      </w:r>
      <w:r w:rsidRPr="00545500">
        <w:rPr>
          <w:rFonts w:ascii="SimplifiedArabic" w:hAnsi="Courier New" w:cs="SimplifiedArabic"/>
          <w:color w:val="222222"/>
          <w:sz w:val="28"/>
          <w:szCs w:val="28"/>
          <w:rtl/>
        </w:rPr>
        <w:t xml:space="preserve"> كما يتناول الفصل استعراض الأبحاث السابقة ذات الصلة، سواء كانت عربية أو غير عربية، مع تحليل نتائجها ومناقشة أهم الاستنتاجات التي توصلت إليها، بهدف توضيح أوجه الاتفاق والاختلاف بين هذه الأبحاث. بالإضافة إلى ذلك، يتم تسليط الضوء على الفجوات البحثية التي لم يتم تناولها بشكل كافٍ في الأبحاث السابقة، والتي تسعى هذه الدراسة لمعالجتها من خلال التركيز على بيئة القطاع الخاص، وتوضيح مدى فعالية تطبيق ممارسات الإدارة في تقليل السلوكيات غير المنضبطة عند اتخاذ القرارات</w:t>
      </w:r>
      <w:r w:rsidRPr="00545500">
        <w:rPr>
          <w:rFonts w:ascii="SimplifiedArabic" w:hAnsi="Courier New" w:cs="SimplifiedArabic" w:hint="cs"/>
          <w:color w:val="222222"/>
          <w:sz w:val="28"/>
          <w:szCs w:val="28"/>
          <w:rtl/>
        </w:rPr>
        <w:t>.</w:t>
      </w:r>
    </w:p>
    <w:p w14:paraId="16EECF1F" w14:textId="77777777" w:rsidR="00545500" w:rsidRPr="00545500" w:rsidRDefault="00545500" w:rsidP="00545500">
      <w:pPr>
        <w:autoSpaceDE w:val="0"/>
        <w:autoSpaceDN w:val="0"/>
        <w:bidi/>
        <w:adjustRightInd w:val="0"/>
        <w:spacing w:after="0" w:line="600" w:lineRule="auto"/>
        <w:outlineLvl w:val="0"/>
        <w:rPr>
          <w:rFonts w:ascii="SimplifiedArabic-Bold" w:hAnsi="Courier New" w:cs="SimplifiedArabic-Bold"/>
          <w:b/>
          <w:bCs/>
          <w:color w:val="1F1F1F"/>
          <w:sz w:val="36"/>
          <w:szCs w:val="36"/>
          <w:rtl/>
        </w:rPr>
      </w:pPr>
      <w:bookmarkStart w:id="16" w:name="_Toc225424357"/>
      <w:r w:rsidRPr="00545500">
        <w:rPr>
          <w:rFonts w:ascii="SimplifiedArabic-Bold" w:hAnsi="Courier New" w:cs="SimplifiedArabic-Bold"/>
          <w:b/>
          <w:bCs/>
          <w:color w:val="1F1F1F"/>
          <w:sz w:val="36"/>
          <w:szCs w:val="36"/>
          <w:rtl/>
        </w:rPr>
        <w:t>الإطار النظري</w:t>
      </w:r>
      <w:r w:rsidRPr="00545500">
        <w:rPr>
          <w:rFonts w:ascii="SimplifiedArabic-Bold" w:hAnsi="Courier New" w:cs="SimplifiedArabic-Bold" w:hint="cs"/>
          <w:b/>
          <w:bCs/>
          <w:color w:val="1F1F1F"/>
          <w:sz w:val="36"/>
          <w:szCs w:val="36"/>
          <w:rtl/>
        </w:rPr>
        <w:t>:</w:t>
      </w:r>
      <w:bookmarkEnd w:id="16"/>
    </w:p>
    <w:p w14:paraId="628C8C7C"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يتناول هذا الفصل العنصرين الرئيسيين في الدراسة، وهما إدارة الموارد البشرية وتأثير التلاعب في القرارات الإدارية. يتم ذلك من خلال تقديم إطار نظري شامل يوضح كل عنصر وأبعاده المختلفة. حيث يتم شرح مفهوم إدارة الموارد البشرية كونه مجموعة من السياسات والإجراءات التي تهدف لتنظيم ممارسات الموارد البشرية بهدف ضمان تحقيق العدالة والشفافية والمساءلة داخل المؤسسة، مع التركيز على أبرز عناصره مثل وضوح السياسات، استقلالية اتخاذ القرارات، وتفعيل أنظمة الرقابة</w:t>
      </w:r>
      <w:r w:rsidRPr="00545500">
        <w:rPr>
          <w:rFonts w:ascii="SimplifiedArabic" w:hAnsi="Courier New" w:cs="SimplifiedArabic"/>
          <w:color w:val="1F1F1F"/>
          <w:sz w:val="28"/>
          <w:szCs w:val="28"/>
        </w:rPr>
        <w:t>.</w:t>
      </w:r>
    </w:p>
    <w:p w14:paraId="44F6620A"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lastRenderedPageBreak/>
        <w:t xml:space="preserve">     </w:t>
      </w: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كما يستعرض الفصل مفهوم تأثير التلاعب في القرارات الإدارية كنوع من السلوكيات السلبية داخل المنظمات والتي تؤثر سلباً على كفاءة الأداء المؤسسي، مع توضيح أشكاله وأسبابه وآثاره على بيئة العمل. ويقدم أيضاً العلاقة النظرية بين إدارة الموارد البشرية وتقليل حالات التلاعب في اتخاذ القرارات، من خلال تعزيز أنظمة الرقابة الداخلية وتطبيق معايير واضحة لعملية اتخاذ القرار</w:t>
      </w:r>
      <w:r w:rsidRPr="00545500">
        <w:rPr>
          <w:rFonts w:ascii="SimplifiedArabic" w:hAnsi="Courier New" w:cs="SimplifiedArabic"/>
          <w:color w:val="1F1F1F"/>
          <w:sz w:val="28"/>
          <w:szCs w:val="28"/>
        </w:rPr>
        <w:t>.</w:t>
      </w:r>
    </w:p>
    <w:p w14:paraId="3B1BF02D"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1F1F1F"/>
          <w:sz w:val="32"/>
          <w:szCs w:val="32"/>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 xml:space="preserve"> </w:t>
      </w:r>
      <w:r w:rsidRPr="00545500">
        <w:rPr>
          <w:rFonts w:ascii="SimplifiedArabic" w:hAnsi="Courier New" w:cs="SimplifiedArabic" w:hint="cs"/>
          <w:color w:val="1F1F1F"/>
          <w:sz w:val="28"/>
          <w:szCs w:val="28"/>
          <w:rtl/>
        </w:rPr>
        <w:t>و</w:t>
      </w:r>
      <w:r w:rsidRPr="00545500">
        <w:rPr>
          <w:rFonts w:ascii="SimplifiedArabic" w:hAnsi="Courier New" w:cs="SimplifiedArabic"/>
          <w:color w:val="1F1F1F"/>
          <w:sz w:val="28"/>
          <w:szCs w:val="28"/>
          <w:rtl/>
        </w:rPr>
        <w:t xml:space="preserve">يستعرض الفصل أبرز الدراسات السابقة المتعلقة بالموضوع، مع تحليل نتائجها ومقارنتها، بهدف استخلاص المؤشرات العلمية التي تدعم عناصر الدراسة الحالية. كما يوضح الفجوات البحثية التي لم يتم تناولها بشكل كافٍ في تلك الدراسات، والتي تسعى هذه الدراسة إلى معالجتها من خلال تطبيقها في بيئة القطاع الخاص.. </w:t>
      </w:r>
    </w:p>
    <w:p w14:paraId="39D9C052" w14:textId="77777777" w:rsidR="00545500" w:rsidRPr="00545500" w:rsidRDefault="00545500" w:rsidP="00545500">
      <w:pPr>
        <w:autoSpaceDE w:val="0"/>
        <w:autoSpaceDN w:val="0"/>
        <w:bidi/>
        <w:adjustRightInd w:val="0"/>
        <w:spacing w:after="0" w:line="600" w:lineRule="auto"/>
        <w:outlineLvl w:val="0"/>
        <w:rPr>
          <w:rFonts w:ascii="SimplifiedArabic" w:hAnsi="Courier New" w:cs="SimplifiedArabic"/>
          <w:b/>
          <w:bCs/>
          <w:color w:val="1F1F1F"/>
          <w:sz w:val="28"/>
          <w:szCs w:val="28"/>
          <w:rtl/>
        </w:rPr>
      </w:pPr>
      <w:bookmarkStart w:id="17" w:name="_Toc225424358"/>
      <w:r w:rsidRPr="00545500">
        <w:rPr>
          <w:rFonts w:ascii="SimplifiedArabic" w:hAnsi="Courier New" w:cs="SimplifiedArabic" w:hint="cs"/>
          <w:b/>
          <w:bCs/>
          <w:color w:val="1F1F1F"/>
          <w:sz w:val="32"/>
          <w:szCs w:val="32"/>
          <w:rtl/>
        </w:rPr>
        <w:t xml:space="preserve">أولا: </w:t>
      </w:r>
      <w:r w:rsidRPr="00545500">
        <w:rPr>
          <w:rFonts w:ascii="SimplifiedArabic" w:hAnsi="Courier New" w:cs="SimplifiedArabic"/>
          <w:b/>
          <w:bCs/>
          <w:color w:val="1F1F1F"/>
          <w:sz w:val="28"/>
          <w:szCs w:val="28"/>
          <w:rtl/>
        </w:rPr>
        <w:t>حوكمة الموارد البشرية</w:t>
      </w:r>
      <w:r w:rsidRPr="00545500">
        <w:rPr>
          <w:rFonts w:ascii="SimplifiedArabic" w:hAnsi="Courier New" w:cs="SimplifiedArabic" w:hint="cs"/>
          <w:b/>
          <w:bCs/>
          <w:color w:val="1F1F1F"/>
          <w:sz w:val="28"/>
          <w:szCs w:val="28"/>
          <w:rtl/>
        </w:rPr>
        <w:t>:</w:t>
      </w:r>
      <w:bookmarkEnd w:id="17"/>
      <w:r w:rsidRPr="00545500">
        <w:rPr>
          <w:rFonts w:ascii="SimplifiedArabic" w:hAnsi="Courier New" w:cs="SimplifiedArabic" w:hint="cs"/>
          <w:b/>
          <w:bCs/>
          <w:color w:val="1F1F1F"/>
          <w:sz w:val="28"/>
          <w:szCs w:val="28"/>
          <w:rtl/>
        </w:rPr>
        <w:t xml:space="preserve"> </w:t>
      </w:r>
    </w:p>
    <w:p w14:paraId="71B3D8B0" w14:textId="77777777" w:rsidR="00545500" w:rsidRPr="00545500" w:rsidRDefault="00545500" w:rsidP="00545500">
      <w:pPr>
        <w:autoSpaceDE w:val="0"/>
        <w:autoSpaceDN w:val="0"/>
        <w:bidi/>
        <w:adjustRightInd w:val="0"/>
        <w:spacing w:after="0" w:line="600" w:lineRule="auto"/>
        <w:jc w:val="lowKashida"/>
        <w:outlineLvl w:val="0"/>
        <w:rPr>
          <w:rFonts w:ascii="SimplifiedArabic" w:hAnsi="Courier New" w:cs="SimplifiedArabic"/>
          <w:b/>
          <w:bCs/>
          <w:color w:val="1F1F1F"/>
          <w:sz w:val="28"/>
          <w:szCs w:val="28"/>
        </w:rPr>
      </w:pPr>
      <w:bookmarkStart w:id="18" w:name="_Toc225424359"/>
      <w:r w:rsidRPr="00545500">
        <w:rPr>
          <w:rFonts w:ascii="SimplifiedArabic" w:hAnsi="Courier New" w:cs="SimplifiedArabic"/>
          <w:b/>
          <w:bCs/>
          <w:color w:val="1F1F1F"/>
          <w:sz w:val="28"/>
          <w:szCs w:val="28"/>
          <w:rtl/>
        </w:rPr>
        <w:t>الإطار المفاهيمي لحوكمة الموارد البشرية:</w:t>
      </w:r>
      <w:bookmarkEnd w:id="18"/>
    </w:p>
    <w:p w14:paraId="1B8CBC0B"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 xml:space="preserve">تشير حوكمة الموارد البشرية إلى مجموعة من القواعد والسياسات والإجراءات التي تنظم إدارة الموارد البشرية داخل المنظمة بما يضمن تحقيق مبادئ الشفافية والعدالة والمساءلة في جميع الممارسات الإدارية، مثل التوظيف، والتقييم، والترقية، </w:t>
      </w:r>
      <w:r w:rsidRPr="00545500">
        <w:rPr>
          <w:rFonts w:ascii="SimplifiedArabic" w:hAnsi="Courier New" w:cs="SimplifiedArabic" w:hint="cs"/>
          <w:color w:val="1F1F1F"/>
          <w:sz w:val="28"/>
          <w:szCs w:val="28"/>
          <w:rtl/>
        </w:rPr>
        <w:t xml:space="preserve">والتحفيز </w:t>
      </w:r>
      <w:r w:rsidRPr="00545500">
        <w:rPr>
          <w:rFonts w:ascii="SimplifiedArabic" w:hAnsi="Courier New" w:cs="SimplifiedArabic"/>
          <w:color w:val="1F1F1F"/>
          <w:sz w:val="28"/>
          <w:szCs w:val="28"/>
          <w:rtl/>
        </w:rPr>
        <w:t>(بن سعدة</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بخوش</w:t>
      </w:r>
      <w:r w:rsidRPr="00545500">
        <w:rPr>
          <w:rFonts w:ascii="SimplifiedArabic" w:hAnsi="Courier New" w:cs="SimplifiedArabic" w:hint="cs"/>
          <w:color w:val="1F1F1F"/>
          <w:sz w:val="28"/>
          <w:szCs w:val="28"/>
          <w:rtl/>
        </w:rPr>
        <w:t>، 2021).</w:t>
      </w:r>
    </w:p>
    <w:p w14:paraId="0116BF40"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كما تُعرّف بأنها نظام متكامل يهدف إلى ضبط سلوكيات الأفراد داخل المنظمة عند اتخاذ القرارات المتعلقة بالموارد البشرية، من خلال وضع معايير واضحة تقلل من التحيز الشخصي وتعزز موضوعية القرارات</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الرويلي</w:t>
      </w:r>
      <w:r w:rsidRPr="00545500">
        <w:rPr>
          <w:rFonts w:ascii="SimplifiedArabic" w:hAnsi="Courier New" w:cs="SimplifiedArabic" w:hint="cs"/>
          <w:color w:val="1F1F1F"/>
          <w:sz w:val="28"/>
          <w:szCs w:val="28"/>
          <w:rtl/>
        </w:rPr>
        <w:t>، 2025).</w:t>
      </w:r>
    </w:p>
    <w:p w14:paraId="60B3B824" w14:textId="77777777" w:rsidR="00545500" w:rsidRPr="00545500" w:rsidRDefault="00545500" w:rsidP="00545500">
      <w:pPr>
        <w:autoSpaceDE w:val="0"/>
        <w:autoSpaceDN w:val="0"/>
        <w:bidi/>
        <w:adjustRightInd w:val="0"/>
        <w:spacing w:after="0" w:line="600" w:lineRule="auto"/>
        <w:jc w:val="lowKashida"/>
        <w:rPr>
          <w:rFonts w:cs="SimplifiedArabic"/>
          <w:color w:val="1F1F1F"/>
          <w:sz w:val="28"/>
          <w:szCs w:val="28"/>
          <w:rtl/>
          <w:lang w:val="en-GB"/>
        </w:rPr>
      </w:pPr>
      <w:r w:rsidRPr="00545500">
        <w:rPr>
          <w:rFonts w:ascii="SimplifiedArabic" w:hAnsi="Courier New" w:cs="SimplifiedArabic" w:hint="cs"/>
          <w:color w:val="1F1F1F"/>
          <w:sz w:val="28"/>
          <w:szCs w:val="28"/>
          <w:rtl/>
        </w:rPr>
        <w:lastRenderedPageBreak/>
        <w:t xml:space="preserve">    </w:t>
      </w:r>
      <w:r w:rsidRPr="00545500">
        <w:rPr>
          <w:rFonts w:ascii="SimplifiedArabic" w:hAnsi="Courier New" w:cs="SimplifiedArabic"/>
          <w:color w:val="1F1F1F"/>
          <w:sz w:val="28"/>
          <w:szCs w:val="28"/>
          <w:rtl/>
        </w:rPr>
        <w:t>وتُعد حوكمة الموارد البشرية امتدادًا لمفهوم الحوكمة المؤسسية، حيث تركز على تطبيق مبادئ النزاهة والرقابة والالتزام داخل ممارسات إدارة الموارد البشرية، بما يضمن اتساقها مع أهداف المنظمة واستراتيجياتها العامة</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الجبوري</w:t>
      </w:r>
      <w:r w:rsidRPr="00545500">
        <w:rPr>
          <w:rFonts w:cs="SimplifiedArabic" w:hint="cs"/>
          <w:color w:val="1F1F1F"/>
          <w:sz w:val="28"/>
          <w:szCs w:val="28"/>
          <w:rtl/>
          <w:lang w:val="en-GB"/>
        </w:rPr>
        <w:t>، الجرجري، 2024).</w:t>
      </w:r>
    </w:p>
    <w:p w14:paraId="69AC1844"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Pr>
      </w:pPr>
      <w:r w:rsidRPr="00545500">
        <w:rPr>
          <w:rFonts w:ascii="SimplifiedArabic" w:hAnsi="Courier New" w:cs="SimplifiedArabic" w:hint="cs"/>
          <w:color w:val="1F1F1F"/>
          <w:sz w:val="28"/>
          <w:szCs w:val="28"/>
          <w:rtl/>
        </w:rPr>
        <w:t xml:space="preserve">     وتعريفا إجرائيا بأنها:</w:t>
      </w:r>
      <w:r w:rsidRPr="00545500">
        <w:rPr>
          <w:rFonts w:ascii="SimplifiedArabic" w:hAnsi="Courier New" w:cs="SimplifiedArabic"/>
          <w:color w:val="1F1F1F"/>
          <w:sz w:val="28"/>
          <w:szCs w:val="28"/>
          <w:rtl/>
        </w:rPr>
        <w:t xml:space="preserve"> تمثل إطارًا شاملًا يهدف إلى تحسين جودة إدارة الموارد البشرية من خلال ضمان العدالة والشفافية والالتزام، مما يسهم في رفع كفاءة الأداء التنظيمي وتقليل احتمالية التلاعب بالقرارات الإدارية داخل المنظمة.</w:t>
      </w:r>
    </w:p>
    <w:p w14:paraId="0A2BD02F" w14:textId="77777777" w:rsidR="00545500" w:rsidRPr="00545500" w:rsidRDefault="00545500" w:rsidP="00545500">
      <w:pPr>
        <w:autoSpaceDE w:val="0"/>
        <w:autoSpaceDN w:val="0"/>
        <w:bidi/>
        <w:adjustRightInd w:val="0"/>
        <w:spacing w:after="0" w:line="600" w:lineRule="auto"/>
        <w:rPr>
          <w:rFonts w:ascii="SimplifiedArabic" w:hAnsi="Courier New" w:cs="SimplifiedArabic"/>
          <w:b/>
          <w:bCs/>
          <w:color w:val="1F1F1F"/>
          <w:sz w:val="28"/>
          <w:szCs w:val="28"/>
        </w:rPr>
      </w:pPr>
      <w:r w:rsidRPr="00545500">
        <w:rPr>
          <w:rFonts w:ascii="SimplifiedArabic" w:hAnsi="Courier New" w:cs="SimplifiedArabic"/>
          <w:b/>
          <w:bCs/>
          <w:color w:val="1F1F1F"/>
          <w:sz w:val="28"/>
          <w:szCs w:val="28"/>
          <w:rtl/>
        </w:rPr>
        <w:t>أهمية حوكمة الموارد البشرية</w:t>
      </w:r>
      <w:r w:rsidRPr="00545500">
        <w:rPr>
          <w:rFonts w:ascii="SimplifiedArabic" w:hAnsi="Courier New" w:cs="SimplifiedArabic" w:hint="cs"/>
          <w:b/>
          <w:bCs/>
          <w:color w:val="1F1F1F"/>
          <w:sz w:val="28"/>
          <w:szCs w:val="28"/>
          <w:rtl/>
        </w:rPr>
        <w:t>:</w:t>
      </w:r>
    </w:p>
    <w:p w14:paraId="4DDE48A1"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تعتبر إدارة الموارد البشرية من الأفكار الحديثة التي أصبحت لها أهميتها الكبيرة بسبب تعقيد بيئة العمل وزيادة الحاجة لتحقيق الشفافية والعدالة في ممارسات الموارد البشرية. تأتي أهميتها من دورها الأساسي في تنظيم عملية اتخاذ القرار، وتعزيز الرقابة، والتأكد من توافق ممارسات الموارد البشرية مع الأهداف الاستراتيجية للمنظمة. يمكن توضيح أهميتها كما يلي</w:t>
      </w:r>
      <w:r w:rsidRPr="00545500">
        <w:rPr>
          <w:rFonts w:ascii="SimplifiedArabic" w:hAnsi="Courier New" w:cs="SimplifiedArabic"/>
          <w:color w:val="1F1F1F"/>
          <w:sz w:val="28"/>
          <w:szCs w:val="28"/>
        </w:rPr>
        <w:t>:</w:t>
      </w:r>
    </w:p>
    <w:p w14:paraId="6395331C" w14:textId="4CE3518B" w:rsidR="00545500" w:rsidRPr="00545500" w:rsidRDefault="00545500" w:rsidP="00545500">
      <w:pPr>
        <w:numPr>
          <w:ilvl w:val="0"/>
          <w:numId w:val="15"/>
        </w:numPr>
        <w:tabs>
          <w:tab w:val="left" w:pos="521"/>
        </w:tabs>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rtl/>
          <w14:ligatures w14:val="none"/>
        </w:rPr>
      </w:pPr>
      <w:r w:rsidRPr="00545500">
        <w:rPr>
          <w:rFonts w:ascii="SimplifiedArabic" w:eastAsia="Times New Roman" w:hAnsi="Times New Roman" w:cs="SimplifiedArabic"/>
          <w:color w:val="1F1F1F"/>
          <w:sz w:val="28"/>
          <w:szCs w:val="28"/>
          <w14:ligatures w14:val="none"/>
        </w:rPr>
        <w:t xml:space="preserve"> </w:t>
      </w:r>
      <w:r w:rsidRPr="00545500">
        <w:rPr>
          <w:rFonts w:ascii="SimplifiedArabic" w:eastAsia="Times New Roman" w:hAnsi="Times New Roman" w:cs="SimplifiedArabic"/>
          <w:color w:val="1F1F1F"/>
          <w:sz w:val="28"/>
          <w:szCs w:val="28"/>
          <w:rtl/>
          <w14:ligatures w14:val="none"/>
        </w:rPr>
        <w:t xml:space="preserve">تعزيز الشفافية في الممارسات </w:t>
      </w:r>
      <w:r w:rsidRPr="00545500">
        <w:rPr>
          <w:rFonts w:ascii="SimplifiedArabic" w:eastAsia="Times New Roman" w:hAnsi="Times New Roman" w:cs="SimplifiedArabic" w:hint="cs"/>
          <w:color w:val="1F1F1F"/>
          <w:sz w:val="28"/>
          <w:szCs w:val="28"/>
          <w:rtl/>
          <w14:ligatures w14:val="none"/>
        </w:rPr>
        <w:t>الإدارية</w:t>
      </w:r>
      <w:r w:rsidRPr="00545500">
        <w:rPr>
          <w:rFonts w:ascii="SimplifiedArabic" w:eastAsia="Times New Roman" w:hAnsi="Times New Roman" w:cs="SimplifiedArabic"/>
          <w:color w:val="1F1F1F"/>
          <w:sz w:val="28"/>
          <w:szCs w:val="28"/>
          <w14:ligatures w14:val="none"/>
        </w:rPr>
        <w:t>:</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 xml:space="preserve">تساعد إدارة الموارد البشرية في إرساء مبدأ الشفافية من خلال وضوح السياسات والإجراءات التي تتعلق </w:t>
      </w:r>
      <w:r w:rsidR="00D11A4D" w:rsidRPr="00545500">
        <w:rPr>
          <w:rFonts w:ascii="SimplifiedArabic" w:eastAsia="Times New Roman" w:hAnsi="Times New Roman" w:cs="SimplifiedArabic" w:hint="cs"/>
          <w:color w:val="1F1F1F"/>
          <w:sz w:val="28"/>
          <w:szCs w:val="28"/>
          <w:rtl/>
          <w14:ligatures w14:val="none"/>
        </w:rPr>
        <w:t>بالتوظيف</w:t>
      </w:r>
      <w:r w:rsidR="00D11A4D" w:rsidRPr="00545500">
        <w:rPr>
          <w:rFonts w:ascii="SimplifiedArabic" w:eastAsia="Times New Roman" w:hAnsi="Times New Roman" w:cs="SimplifiedArabic" w:hint="eastAsia"/>
          <w:color w:val="1F1F1F"/>
          <w:sz w:val="28"/>
          <w:szCs w:val="28"/>
          <w:rtl/>
          <w14:ligatures w14:val="none"/>
        </w:rPr>
        <w:t>،</w:t>
      </w:r>
      <w:r w:rsidRPr="00545500">
        <w:rPr>
          <w:rFonts w:ascii="SimplifiedArabic" w:eastAsia="Times New Roman" w:hAnsi="Times New Roman" w:cs="SimplifiedArabic"/>
          <w:color w:val="1F1F1F"/>
          <w:sz w:val="28"/>
          <w:szCs w:val="28"/>
          <w:rtl/>
          <w14:ligatures w14:val="none"/>
        </w:rPr>
        <w:t xml:space="preserve"> والترقية وتقييم الأداء والتحفيز. كلما كانت هذه العمليات مفهومة وموضوعة بشكل علني، قلّت فرص الغموض أو التحليلات الشخصية للقرارات، مما يزيد ثقة الموظفين بالإدارة ويحد من الشكوك حول عدالة القرارات</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الرويلي</w:t>
      </w:r>
      <w:r w:rsidRPr="00545500">
        <w:rPr>
          <w:rFonts w:ascii="SimplifiedArabic" w:eastAsia="Times New Roman" w:hAnsi="Times New Roman" w:cs="SimplifiedArabic" w:hint="cs"/>
          <w:color w:val="1F1F1F"/>
          <w:sz w:val="28"/>
          <w:szCs w:val="28"/>
          <w:rtl/>
          <w14:ligatures w14:val="none"/>
        </w:rPr>
        <w:t>، 2025).</w:t>
      </w:r>
    </w:p>
    <w:p w14:paraId="6DD6A537" w14:textId="77777777" w:rsidR="00545500" w:rsidRPr="00545500" w:rsidRDefault="00545500" w:rsidP="00545500">
      <w:pPr>
        <w:numPr>
          <w:ilvl w:val="0"/>
          <w:numId w:val="15"/>
        </w:numPr>
        <w:tabs>
          <w:tab w:val="left" w:pos="521"/>
        </w:tabs>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rtl/>
          <w14:ligatures w14:val="none"/>
        </w:rPr>
      </w:pPr>
      <w:r w:rsidRPr="00545500">
        <w:rPr>
          <w:rFonts w:ascii="SimplifiedArabic" w:eastAsia="Times New Roman" w:hAnsi="Times New Roman" w:cs="SimplifiedArabic"/>
          <w:color w:val="1F1F1F"/>
          <w:sz w:val="28"/>
          <w:szCs w:val="28"/>
          <w14:ligatures w14:val="none"/>
        </w:rPr>
        <w:lastRenderedPageBreak/>
        <w:t xml:space="preserve"> </w:t>
      </w:r>
      <w:r w:rsidRPr="00545500">
        <w:rPr>
          <w:rFonts w:ascii="SimplifiedArabic" w:eastAsia="Times New Roman" w:hAnsi="Times New Roman" w:cs="SimplifiedArabic"/>
          <w:color w:val="1F1F1F"/>
          <w:sz w:val="28"/>
          <w:szCs w:val="28"/>
          <w:rtl/>
          <w14:ligatures w14:val="none"/>
        </w:rPr>
        <w:t xml:space="preserve">تحقيق العدالة </w:t>
      </w:r>
      <w:r w:rsidRPr="00545500">
        <w:rPr>
          <w:rFonts w:ascii="SimplifiedArabic" w:eastAsia="Times New Roman" w:hAnsi="Times New Roman" w:cs="SimplifiedArabic" w:hint="cs"/>
          <w:color w:val="1F1F1F"/>
          <w:sz w:val="28"/>
          <w:szCs w:val="28"/>
          <w:rtl/>
          <w14:ligatures w14:val="none"/>
        </w:rPr>
        <w:t>التنظيمية</w:t>
      </w:r>
      <w:r w:rsidRPr="00545500">
        <w:rPr>
          <w:rFonts w:ascii="SimplifiedArabic" w:eastAsia="Times New Roman" w:hAnsi="Times New Roman" w:cs="SimplifiedArabic"/>
          <w:color w:val="1F1F1F"/>
          <w:sz w:val="28"/>
          <w:szCs w:val="28"/>
          <w14:ligatures w14:val="none"/>
        </w:rPr>
        <w:t>:</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تسعى إدارة الموارد البشرية إلى ضمان تطبيق معايير متساوية وعادلة على جميع الموظفين دون أي تمييز، سواء في التوظيف أو الترقيات أو المكافآت. تساهم العدالة في رفع مستوى الرضا الوظيفي، وتقليل النزاعات الداخلية، وزيادة شعور الإنصاف بين العاملين، مما ينعكس بشكل إيجابي على الأداء العام للمنظمة</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بن سعدة</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بخوش</w:t>
      </w:r>
      <w:r w:rsidRPr="00545500">
        <w:rPr>
          <w:rFonts w:ascii="SimplifiedArabic" w:eastAsia="Times New Roman" w:hAnsi="Times New Roman" w:cs="SimplifiedArabic" w:hint="cs"/>
          <w:color w:val="1F1F1F"/>
          <w:sz w:val="28"/>
          <w:szCs w:val="28"/>
          <w:rtl/>
          <w14:ligatures w14:val="none"/>
        </w:rPr>
        <w:t>، 2021).</w:t>
      </w:r>
    </w:p>
    <w:p w14:paraId="5E8D2C55" w14:textId="77777777" w:rsidR="00545500" w:rsidRPr="00545500" w:rsidRDefault="00545500" w:rsidP="00545500">
      <w:pPr>
        <w:numPr>
          <w:ilvl w:val="0"/>
          <w:numId w:val="15"/>
        </w:numPr>
        <w:tabs>
          <w:tab w:val="left" w:pos="521"/>
        </w:tabs>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rtl/>
          <w14:ligatures w14:val="none"/>
        </w:rPr>
      </w:pPr>
      <w:r w:rsidRPr="00545500">
        <w:rPr>
          <w:rFonts w:ascii="SimplifiedArabic" w:eastAsia="Times New Roman" w:hAnsi="Times New Roman" w:cs="SimplifiedArabic"/>
          <w:color w:val="1F1F1F"/>
          <w:sz w:val="28"/>
          <w:szCs w:val="28"/>
          <w14:ligatures w14:val="none"/>
        </w:rPr>
        <w:t xml:space="preserve"> </w:t>
      </w:r>
      <w:r w:rsidRPr="00545500">
        <w:rPr>
          <w:rFonts w:ascii="SimplifiedArabic" w:eastAsia="Times New Roman" w:hAnsi="Times New Roman" w:cs="SimplifiedArabic"/>
          <w:color w:val="1F1F1F"/>
          <w:sz w:val="28"/>
          <w:szCs w:val="28"/>
          <w:rtl/>
          <w14:ligatures w14:val="none"/>
        </w:rPr>
        <w:t xml:space="preserve">الحد من التلاعب بالقرارات </w:t>
      </w:r>
      <w:r w:rsidRPr="00545500">
        <w:rPr>
          <w:rFonts w:ascii="SimplifiedArabic" w:eastAsia="Times New Roman" w:hAnsi="Times New Roman" w:cs="SimplifiedArabic" w:hint="cs"/>
          <w:color w:val="1F1F1F"/>
          <w:sz w:val="28"/>
          <w:szCs w:val="28"/>
          <w:rtl/>
          <w14:ligatures w14:val="none"/>
        </w:rPr>
        <w:t>الإدارية</w:t>
      </w:r>
      <w:r w:rsidRPr="00545500">
        <w:rPr>
          <w:rFonts w:ascii="SimplifiedArabic" w:eastAsia="Times New Roman" w:hAnsi="Times New Roman" w:cs="SimplifiedArabic"/>
          <w:color w:val="1F1F1F"/>
          <w:sz w:val="28"/>
          <w:szCs w:val="28"/>
          <w14:ligatures w14:val="none"/>
        </w:rPr>
        <w:t>:</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من أبرز مهام إدارة الموارد البشرية هو تقليل فرص التلاعب أو التأثير غير المشروع على القرارات الإدارية عن طريق وضع ضوابط واضحة، وتحديد الصلاحيات والمسؤوليات بدقة، وتفعيل آليات المراجعة والتدقيق. هذا يساعد في الحد من المحاباة واستغلال النفوذ ويضمن أن يتم اتخاذ القرارات بناءً على معايير موضوعية</w:t>
      </w:r>
      <w:r w:rsidRPr="00545500">
        <w:rPr>
          <w:rFonts w:ascii="SimplifiedArabic" w:eastAsia="Times New Roman" w:hAnsi="Times New Roman" w:cs="SimplifiedArabic" w:hint="cs"/>
          <w:color w:val="1F1F1F"/>
          <w:sz w:val="28"/>
          <w:szCs w:val="28"/>
          <w:rtl/>
          <w14:ligatures w14:val="none"/>
        </w:rPr>
        <w:t xml:space="preserve"> (موسي، 2025).</w:t>
      </w:r>
    </w:p>
    <w:p w14:paraId="68EAB4BC" w14:textId="77777777" w:rsidR="00545500" w:rsidRPr="00545500" w:rsidRDefault="00545500" w:rsidP="00545500">
      <w:pPr>
        <w:numPr>
          <w:ilvl w:val="0"/>
          <w:numId w:val="15"/>
        </w:numPr>
        <w:tabs>
          <w:tab w:val="left" w:pos="521"/>
        </w:tabs>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rtl/>
          <w14:ligatures w14:val="none"/>
        </w:rPr>
      </w:pPr>
      <w:r w:rsidRPr="00545500">
        <w:rPr>
          <w:rFonts w:ascii="SimplifiedArabic" w:eastAsia="Times New Roman" w:hAnsi="Times New Roman" w:cs="SimplifiedArabic"/>
          <w:color w:val="1F1F1F"/>
          <w:sz w:val="28"/>
          <w:szCs w:val="28"/>
          <w14:ligatures w14:val="none"/>
        </w:rPr>
        <w:t xml:space="preserve"> </w:t>
      </w:r>
      <w:r w:rsidRPr="00545500">
        <w:rPr>
          <w:rFonts w:ascii="SimplifiedArabic" w:eastAsia="Times New Roman" w:hAnsi="Times New Roman" w:cs="SimplifiedArabic"/>
          <w:color w:val="1F1F1F"/>
          <w:sz w:val="28"/>
          <w:szCs w:val="28"/>
          <w:rtl/>
          <w14:ligatures w14:val="none"/>
        </w:rPr>
        <w:t xml:space="preserve">تعزيز المساءلة والرقابة </w:t>
      </w:r>
      <w:r w:rsidRPr="00545500">
        <w:rPr>
          <w:rFonts w:ascii="SimplifiedArabic" w:eastAsia="Times New Roman" w:hAnsi="Times New Roman" w:cs="SimplifiedArabic" w:hint="cs"/>
          <w:color w:val="1F1F1F"/>
          <w:sz w:val="28"/>
          <w:szCs w:val="28"/>
          <w:rtl/>
          <w14:ligatures w14:val="none"/>
        </w:rPr>
        <w:t>الداخلية</w:t>
      </w:r>
      <w:r w:rsidRPr="00545500">
        <w:rPr>
          <w:rFonts w:ascii="SimplifiedArabic" w:eastAsia="Times New Roman" w:hAnsi="Times New Roman" w:cs="SimplifiedArabic"/>
          <w:color w:val="1F1F1F"/>
          <w:sz w:val="28"/>
          <w:szCs w:val="28"/>
          <w14:ligatures w14:val="none"/>
        </w:rPr>
        <w:t>:</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تقوم إدارة الموارد البشرية بإنشاء أنظمة للرقابة الفعالة التي تتابع تنفيذ السياسات والإجراءات، وتحدد المسؤوليات بوضوح، مما يسهل عملية مساءلة الأفراد عن قراراتهم وأعمالهم. كما تساعد هذه الرقابة في اكتشاف الأخطاء والانحرافات مبكرًا واتخاذ الإجراءات التصحيحية المناسبة</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الجبوري</w:t>
      </w:r>
      <w:r w:rsidRPr="00545500">
        <w:rPr>
          <w:rFonts w:eastAsia="Times New Roman" w:cs="SimplifiedArabic" w:hint="cs"/>
          <w:color w:val="1F1F1F"/>
          <w:sz w:val="28"/>
          <w:szCs w:val="28"/>
          <w:rtl/>
          <w:lang w:val="en-GB"/>
          <w14:ligatures w14:val="none"/>
        </w:rPr>
        <w:t>، الجرجري، 2024).</w:t>
      </w:r>
    </w:p>
    <w:p w14:paraId="0F2473CE" w14:textId="77777777" w:rsidR="00545500" w:rsidRPr="00545500" w:rsidRDefault="00545500" w:rsidP="00545500">
      <w:pPr>
        <w:numPr>
          <w:ilvl w:val="0"/>
          <w:numId w:val="15"/>
        </w:numPr>
        <w:tabs>
          <w:tab w:val="left" w:pos="521"/>
        </w:tabs>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rtl/>
          <w14:ligatures w14:val="none"/>
        </w:rPr>
      </w:pPr>
      <w:r w:rsidRPr="00545500">
        <w:rPr>
          <w:rFonts w:ascii="SimplifiedArabic" w:eastAsia="Times New Roman" w:hAnsi="Times New Roman" w:cs="SimplifiedArabic"/>
          <w:color w:val="1F1F1F"/>
          <w:sz w:val="28"/>
          <w:szCs w:val="28"/>
          <w14:ligatures w14:val="none"/>
        </w:rPr>
        <w:t xml:space="preserve"> </w:t>
      </w:r>
      <w:r w:rsidRPr="00545500">
        <w:rPr>
          <w:rFonts w:ascii="SimplifiedArabic" w:eastAsia="Times New Roman" w:hAnsi="Times New Roman" w:cs="SimplifiedArabic"/>
          <w:color w:val="1F1F1F"/>
          <w:sz w:val="28"/>
          <w:szCs w:val="28"/>
          <w:rtl/>
          <w14:ligatures w14:val="none"/>
        </w:rPr>
        <w:t xml:space="preserve">تحسين جودة اتخاذ </w:t>
      </w:r>
      <w:r w:rsidRPr="00545500">
        <w:rPr>
          <w:rFonts w:ascii="SimplifiedArabic" w:eastAsia="Times New Roman" w:hAnsi="Times New Roman" w:cs="SimplifiedArabic" w:hint="cs"/>
          <w:color w:val="1F1F1F"/>
          <w:sz w:val="28"/>
          <w:szCs w:val="28"/>
          <w:rtl/>
          <w14:ligatures w14:val="none"/>
        </w:rPr>
        <w:t>القرارات</w:t>
      </w:r>
      <w:r w:rsidRPr="00545500">
        <w:rPr>
          <w:rFonts w:ascii="SimplifiedArabic" w:eastAsia="Times New Roman" w:hAnsi="Times New Roman" w:cs="SimplifiedArabic"/>
          <w:color w:val="1F1F1F"/>
          <w:sz w:val="28"/>
          <w:szCs w:val="28"/>
          <w14:ligatures w14:val="none"/>
        </w:rPr>
        <w:t>:</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من خلال استخدام معايير واضحة وبيانات موضوعية، تعمل إدارة الموارد البشرية على اتخاذ قرارات أكثر دقة وموضوعية. القرارات المستندة إلى معلومات دقيقة ونظم تقييم عادلة تكون أكثر فعالية في تحقيق أهداف المنظمة مقارنة بالقرارات العشوائية أو الشخصية</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الرويلي</w:t>
      </w:r>
      <w:r w:rsidRPr="00545500">
        <w:rPr>
          <w:rFonts w:ascii="SimplifiedArabic" w:eastAsia="Times New Roman" w:hAnsi="Times New Roman" w:cs="SimplifiedArabic" w:hint="cs"/>
          <w:color w:val="1F1F1F"/>
          <w:sz w:val="28"/>
          <w:szCs w:val="28"/>
          <w:rtl/>
          <w14:ligatures w14:val="none"/>
        </w:rPr>
        <w:t>، 2025).</w:t>
      </w:r>
    </w:p>
    <w:p w14:paraId="047B61B5" w14:textId="77777777" w:rsidR="00545500" w:rsidRPr="00545500" w:rsidRDefault="00545500" w:rsidP="00545500">
      <w:pPr>
        <w:numPr>
          <w:ilvl w:val="0"/>
          <w:numId w:val="15"/>
        </w:numPr>
        <w:tabs>
          <w:tab w:val="left" w:pos="521"/>
        </w:tabs>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rtl/>
          <w14:ligatures w14:val="none"/>
        </w:rPr>
      </w:pPr>
      <w:r w:rsidRPr="00545500">
        <w:rPr>
          <w:rFonts w:ascii="SimplifiedArabic" w:eastAsia="Times New Roman" w:hAnsi="Times New Roman" w:cs="SimplifiedArabic"/>
          <w:color w:val="1F1F1F"/>
          <w:sz w:val="28"/>
          <w:szCs w:val="28"/>
          <w14:ligatures w14:val="none"/>
        </w:rPr>
        <w:lastRenderedPageBreak/>
        <w:t xml:space="preserve"> </w:t>
      </w:r>
      <w:r w:rsidRPr="00545500">
        <w:rPr>
          <w:rFonts w:ascii="SimplifiedArabic" w:eastAsia="Times New Roman" w:hAnsi="Times New Roman" w:cs="SimplifiedArabic"/>
          <w:color w:val="1F1F1F"/>
          <w:sz w:val="28"/>
          <w:szCs w:val="28"/>
          <w:rtl/>
          <w14:ligatures w14:val="none"/>
        </w:rPr>
        <w:t xml:space="preserve">تعزيز الثقة والولاء </w:t>
      </w:r>
      <w:r w:rsidRPr="00545500">
        <w:rPr>
          <w:rFonts w:ascii="SimplifiedArabic" w:eastAsia="Times New Roman" w:hAnsi="Times New Roman" w:cs="SimplifiedArabic" w:hint="cs"/>
          <w:color w:val="1F1F1F"/>
          <w:sz w:val="28"/>
          <w:szCs w:val="28"/>
          <w:rtl/>
          <w14:ligatures w14:val="none"/>
        </w:rPr>
        <w:t>التنظيمي</w:t>
      </w:r>
      <w:r w:rsidRPr="00545500">
        <w:rPr>
          <w:rFonts w:ascii="SimplifiedArabic" w:eastAsia="Times New Roman" w:hAnsi="Times New Roman" w:cs="SimplifiedArabic"/>
          <w:color w:val="1F1F1F"/>
          <w:sz w:val="28"/>
          <w:szCs w:val="28"/>
          <w14:ligatures w14:val="none"/>
        </w:rPr>
        <w:t>:</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عندما يشعر الموظفون بأن المنظمة تعتمد على مبادئ الشفافية والعدالة في إدارة الموارد البشرية، يزداد مستوى الثقة في الإدارة العليا، مما يؤدي إلى زيادة الالتزام والانتماء الوظيفي، وتقليل معدلات دوران العمل، وزيادة الاستقرار داخل المنظمة</w:t>
      </w:r>
      <w:r w:rsidRPr="00545500">
        <w:rPr>
          <w:rFonts w:ascii="SimplifiedArabic" w:eastAsia="Times New Roman" w:hAnsi="Times New Roman" w:cs="SimplifiedArabic" w:hint="cs"/>
          <w:color w:val="1F1F1F"/>
          <w:sz w:val="28"/>
          <w:szCs w:val="28"/>
          <w:rtl/>
          <w14:ligatures w14:val="none"/>
        </w:rPr>
        <w:t xml:space="preserve"> (موسي، 2025).</w:t>
      </w:r>
    </w:p>
    <w:p w14:paraId="0C601541" w14:textId="77777777" w:rsidR="00545500" w:rsidRPr="00545500" w:rsidRDefault="00545500" w:rsidP="00545500">
      <w:pPr>
        <w:numPr>
          <w:ilvl w:val="0"/>
          <w:numId w:val="15"/>
        </w:numPr>
        <w:tabs>
          <w:tab w:val="left" w:pos="521"/>
        </w:tabs>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rtl/>
          <w14:ligatures w14:val="none"/>
        </w:rPr>
      </w:pPr>
      <w:r w:rsidRPr="00545500">
        <w:rPr>
          <w:rFonts w:ascii="SimplifiedArabic" w:eastAsia="Times New Roman" w:hAnsi="Times New Roman" w:cs="SimplifiedArabic"/>
          <w:color w:val="1F1F1F"/>
          <w:sz w:val="28"/>
          <w:szCs w:val="28"/>
          <w14:ligatures w14:val="none"/>
        </w:rPr>
        <w:t xml:space="preserve"> </w:t>
      </w:r>
      <w:r w:rsidRPr="00545500">
        <w:rPr>
          <w:rFonts w:ascii="SimplifiedArabic" w:eastAsia="Times New Roman" w:hAnsi="Times New Roman" w:cs="SimplifiedArabic"/>
          <w:color w:val="1F1F1F"/>
          <w:sz w:val="28"/>
          <w:szCs w:val="28"/>
          <w:rtl/>
          <w14:ligatures w14:val="none"/>
        </w:rPr>
        <w:t xml:space="preserve">تحسين الأداء التنظيمي </w:t>
      </w:r>
      <w:r w:rsidRPr="00545500">
        <w:rPr>
          <w:rFonts w:ascii="SimplifiedArabic" w:eastAsia="Times New Roman" w:hAnsi="Times New Roman" w:cs="SimplifiedArabic" w:hint="cs"/>
          <w:color w:val="1F1F1F"/>
          <w:sz w:val="28"/>
          <w:szCs w:val="28"/>
          <w:rtl/>
          <w14:ligatures w14:val="none"/>
        </w:rPr>
        <w:t>العام</w:t>
      </w:r>
      <w:r w:rsidRPr="00545500">
        <w:rPr>
          <w:rFonts w:ascii="SimplifiedArabic" w:eastAsia="Times New Roman" w:hAnsi="Times New Roman" w:cs="SimplifiedArabic"/>
          <w:color w:val="1F1F1F"/>
          <w:sz w:val="28"/>
          <w:szCs w:val="28"/>
          <w14:ligatures w14:val="none"/>
        </w:rPr>
        <w:t>:</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تؤثر ممارسات الإدارة الجيدة بشكل مباشر على أداء المنظمة، حيث تؤدي إلى تحسين كفاءة استخدام الموارد البشرية وزيادة الإنتاجية، وضمان توافق الجهود الفردية مع الأهداف الاستراتيجية للمنظمة، مما يساهم في تحقيق نتائج أفضل على المدى الطويل</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بن سعدة</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بخوش</w:t>
      </w:r>
      <w:r w:rsidRPr="00545500">
        <w:rPr>
          <w:rFonts w:ascii="SimplifiedArabic" w:eastAsia="Times New Roman" w:hAnsi="Times New Roman" w:cs="SimplifiedArabic" w:hint="cs"/>
          <w:color w:val="1F1F1F"/>
          <w:sz w:val="28"/>
          <w:szCs w:val="28"/>
          <w:rtl/>
          <w14:ligatures w14:val="none"/>
        </w:rPr>
        <w:t>، 2021).</w:t>
      </w:r>
    </w:p>
    <w:p w14:paraId="5D1C1070" w14:textId="77777777" w:rsidR="00545500" w:rsidRPr="00545500" w:rsidRDefault="00545500" w:rsidP="00545500">
      <w:pPr>
        <w:numPr>
          <w:ilvl w:val="0"/>
          <w:numId w:val="15"/>
        </w:numPr>
        <w:tabs>
          <w:tab w:val="left" w:pos="521"/>
        </w:tabs>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rtl/>
          <w14:ligatures w14:val="none"/>
        </w:rPr>
      </w:pPr>
      <w:r w:rsidRPr="00545500">
        <w:rPr>
          <w:rFonts w:ascii="SimplifiedArabic" w:eastAsia="Times New Roman" w:hAnsi="Times New Roman" w:cs="SimplifiedArabic"/>
          <w:color w:val="1F1F1F"/>
          <w:sz w:val="28"/>
          <w:szCs w:val="28"/>
          <w14:ligatures w14:val="none"/>
        </w:rPr>
        <w:t xml:space="preserve"> </w:t>
      </w:r>
      <w:r w:rsidRPr="00545500">
        <w:rPr>
          <w:rFonts w:ascii="SimplifiedArabic" w:eastAsia="Times New Roman" w:hAnsi="Times New Roman" w:cs="SimplifiedArabic"/>
          <w:color w:val="1F1F1F"/>
          <w:sz w:val="28"/>
          <w:szCs w:val="28"/>
          <w:rtl/>
          <w14:ligatures w14:val="none"/>
        </w:rPr>
        <w:t xml:space="preserve">دعم الاستدامة </w:t>
      </w:r>
      <w:r w:rsidRPr="00545500">
        <w:rPr>
          <w:rFonts w:ascii="SimplifiedArabic" w:eastAsia="Times New Roman" w:hAnsi="Times New Roman" w:cs="SimplifiedArabic" w:hint="cs"/>
          <w:color w:val="1F1F1F"/>
          <w:sz w:val="28"/>
          <w:szCs w:val="28"/>
          <w:rtl/>
          <w14:ligatures w14:val="none"/>
        </w:rPr>
        <w:t>المؤسسية</w:t>
      </w:r>
      <w:r w:rsidRPr="00545500">
        <w:rPr>
          <w:rFonts w:ascii="SimplifiedArabic" w:eastAsia="Times New Roman" w:hAnsi="Times New Roman" w:cs="SimplifiedArabic"/>
          <w:color w:val="1F1F1F"/>
          <w:sz w:val="28"/>
          <w:szCs w:val="28"/>
          <w14:ligatures w14:val="none"/>
        </w:rPr>
        <w:t>:</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تسهم إدارة الموارد البشرية في إنشاء نظام إداري مستدام يعتمد على سياسات واضحة وإجراءات مستقرة تقلل من المخاطر الإدارية والتنظيمية، وتضمن استمرارية الأداء بكفاءة حتى في ظل التغيرات البيئية أو التحديات الخارجية</w:t>
      </w:r>
      <w:r w:rsidRPr="00545500">
        <w:rPr>
          <w:rFonts w:ascii="SimplifiedArabic" w:eastAsia="Times New Roman" w:hAnsi="Times New Roman" w:cs="SimplifiedArabic" w:hint="cs"/>
          <w:color w:val="1F1F1F"/>
          <w:sz w:val="28"/>
          <w:szCs w:val="28"/>
          <w:rtl/>
          <w14:ligatures w14:val="none"/>
        </w:rPr>
        <w:t xml:space="preserve"> (موسي، 2025).</w:t>
      </w:r>
    </w:p>
    <w:p w14:paraId="18AF90E0" w14:textId="77777777" w:rsidR="00545500" w:rsidRPr="00545500" w:rsidRDefault="00545500" w:rsidP="00545500">
      <w:pPr>
        <w:numPr>
          <w:ilvl w:val="0"/>
          <w:numId w:val="15"/>
        </w:numPr>
        <w:tabs>
          <w:tab w:val="left" w:pos="521"/>
        </w:tabs>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rtl/>
          <w14:ligatures w14:val="none"/>
        </w:rPr>
      </w:pPr>
      <w:r w:rsidRPr="00545500">
        <w:rPr>
          <w:rFonts w:ascii="SimplifiedArabic" w:eastAsia="Times New Roman" w:hAnsi="Times New Roman" w:cs="SimplifiedArabic"/>
          <w:color w:val="1F1F1F"/>
          <w:sz w:val="28"/>
          <w:szCs w:val="28"/>
          <w14:ligatures w14:val="none"/>
        </w:rPr>
        <w:t xml:space="preserve"> </w:t>
      </w:r>
      <w:r w:rsidRPr="00545500">
        <w:rPr>
          <w:rFonts w:ascii="SimplifiedArabic" w:eastAsia="Times New Roman" w:hAnsi="Times New Roman" w:cs="SimplifiedArabic"/>
          <w:color w:val="1F1F1F"/>
          <w:sz w:val="28"/>
          <w:szCs w:val="28"/>
          <w:rtl/>
          <w14:ligatures w14:val="none"/>
        </w:rPr>
        <w:t xml:space="preserve">الالتزام بالقوانين </w:t>
      </w:r>
      <w:r w:rsidRPr="00545500">
        <w:rPr>
          <w:rFonts w:ascii="SimplifiedArabic" w:eastAsia="Times New Roman" w:hAnsi="Times New Roman" w:cs="SimplifiedArabic" w:hint="cs"/>
          <w:color w:val="1F1F1F"/>
          <w:sz w:val="28"/>
          <w:szCs w:val="28"/>
          <w:rtl/>
          <w14:ligatures w14:val="none"/>
        </w:rPr>
        <w:t>واللوائح</w:t>
      </w:r>
      <w:r w:rsidRPr="00545500">
        <w:rPr>
          <w:rFonts w:ascii="SimplifiedArabic" w:eastAsia="Times New Roman" w:hAnsi="Times New Roman" w:cs="SimplifiedArabic"/>
          <w:color w:val="1F1F1F"/>
          <w:sz w:val="28"/>
          <w:szCs w:val="28"/>
          <w14:ligatures w14:val="none"/>
        </w:rPr>
        <w:t>:</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تعمل إدارة الموارد البشرية على ضمان التزام المنظمة بالقوانين والتشريعات ذات العلاقة بالعمل، سواء كانت محلية أو دولية، مما يقلل من المخاطر القانونية ويجنب المنظمة الوقوع في مخالفات قد تؤثر على سمعتها أو استقرارها</w:t>
      </w:r>
      <w:r w:rsidRPr="00545500">
        <w:rPr>
          <w:rFonts w:ascii="SimplifiedArabic" w:eastAsia="Times New Roman" w:hAnsi="Times New Roman" w:cs="SimplifiedArabic" w:hint="cs"/>
          <w:color w:val="1F1F1F"/>
          <w:sz w:val="28"/>
          <w:szCs w:val="28"/>
          <w:rtl/>
          <w14:ligatures w14:val="none"/>
        </w:rPr>
        <w:t xml:space="preserve"> (</w:t>
      </w:r>
      <w:r w:rsidRPr="00545500">
        <w:rPr>
          <w:rFonts w:ascii="SimplifiedArabic" w:eastAsia="Times New Roman" w:hAnsi="Times New Roman" w:cs="SimplifiedArabic"/>
          <w:color w:val="1F1F1F"/>
          <w:sz w:val="28"/>
          <w:szCs w:val="28"/>
          <w:rtl/>
          <w14:ligatures w14:val="none"/>
        </w:rPr>
        <w:t>الجبوري</w:t>
      </w:r>
      <w:r w:rsidRPr="00545500">
        <w:rPr>
          <w:rFonts w:eastAsia="Times New Roman" w:cs="SimplifiedArabic" w:hint="cs"/>
          <w:color w:val="1F1F1F"/>
          <w:sz w:val="28"/>
          <w:szCs w:val="28"/>
          <w:rtl/>
          <w:lang w:val="en-GB"/>
          <w14:ligatures w14:val="none"/>
        </w:rPr>
        <w:t>، الجرجري، 2024).</w:t>
      </w:r>
    </w:p>
    <w:p w14:paraId="2255A257"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lastRenderedPageBreak/>
        <w:t xml:space="preserve">     </w:t>
      </w:r>
      <w:r w:rsidRPr="00545500">
        <w:rPr>
          <w:rFonts w:ascii="SimplifiedArabic" w:hAnsi="Courier New" w:cs="SimplifiedArabic"/>
          <w:color w:val="1F1F1F"/>
          <w:sz w:val="28"/>
          <w:szCs w:val="28"/>
          <w:rtl/>
        </w:rPr>
        <w:t xml:space="preserve"> </w:t>
      </w:r>
      <w:r w:rsidRPr="00545500">
        <w:rPr>
          <w:rFonts w:ascii="SimplifiedArabic" w:hAnsi="Courier New" w:cs="SimplifiedArabic" w:hint="cs"/>
          <w:color w:val="1F1F1F"/>
          <w:sz w:val="28"/>
          <w:szCs w:val="28"/>
          <w:rtl/>
        </w:rPr>
        <w:t>ومما سبق</w:t>
      </w:r>
      <w:r w:rsidRPr="00545500">
        <w:rPr>
          <w:rFonts w:ascii="SimplifiedArabic" w:hAnsi="Courier New" w:cs="SimplifiedArabic"/>
          <w:color w:val="1F1F1F"/>
          <w:sz w:val="28"/>
          <w:szCs w:val="28"/>
          <w:rtl/>
        </w:rPr>
        <w:t xml:space="preserve"> تمثل إدارة الموارد البشرية أساسًا مهمًا في تطوير بيئة عمل قائمة على النزاهة والشفافية والكفاءة، حيث تساهم في تنظيم السلوك التنظيمي، وتحسين جودة القرارات، وتعزيز فعالية إدارة الموارد البشرية بما يخدم أهداف المنظمة على المدى القصير والطويل.</w:t>
      </w:r>
      <w:r w:rsidRPr="00545500">
        <w:rPr>
          <w:rFonts w:ascii="SimplifiedArabic" w:hAnsi="Courier New" w:cs="SimplifiedArabic" w:hint="cs"/>
          <w:color w:val="1F1F1F"/>
          <w:sz w:val="28"/>
          <w:szCs w:val="28"/>
          <w:rtl/>
        </w:rPr>
        <w:t xml:space="preserve">  </w:t>
      </w:r>
    </w:p>
    <w:p w14:paraId="4A41A997" w14:textId="77777777" w:rsidR="00545500" w:rsidRPr="00545500" w:rsidRDefault="00545500" w:rsidP="00545500">
      <w:pPr>
        <w:tabs>
          <w:tab w:val="left" w:pos="521"/>
        </w:tabs>
        <w:autoSpaceDE w:val="0"/>
        <w:autoSpaceDN w:val="0"/>
        <w:bidi/>
        <w:adjustRightInd w:val="0"/>
        <w:spacing w:after="0" w:line="600" w:lineRule="auto"/>
        <w:rPr>
          <w:rFonts w:ascii="SimplifiedArabic" w:hAnsi="Courier New" w:cs="SimplifiedArabic"/>
          <w:color w:val="1F1F1F"/>
          <w:sz w:val="28"/>
          <w:szCs w:val="28"/>
          <w:rtl/>
        </w:rPr>
      </w:pPr>
      <w:r w:rsidRPr="00545500">
        <w:rPr>
          <w:rFonts w:ascii="SimplifiedArabic" w:hAnsi="Courier New" w:cs="SimplifiedArabic"/>
          <w:b/>
          <w:bCs/>
          <w:color w:val="1F1F1F"/>
          <w:sz w:val="28"/>
          <w:szCs w:val="28"/>
          <w:rtl/>
        </w:rPr>
        <w:t>أبعاد حوكمة الموارد البشرية</w:t>
      </w:r>
      <w:r w:rsidRPr="00545500">
        <w:rPr>
          <w:rFonts w:ascii="SimplifiedArabic" w:hAnsi="Courier New" w:cs="SimplifiedArabic" w:hint="cs"/>
          <w:b/>
          <w:bCs/>
          <w:color w:val="1F1F1F"/>
          <w:sz w:val="28"/>
          <w:szCs w:val="28"/>
          <w:rtl/>
        </w:rPr>
        <w:t>:</w:t>
      </w:r>
    </w:p>
    <w:p w14:paraId="5413D25B"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تُعد حوكمة الموارد البشرية إطارًا إداريًا متكاملًا يهدف إلى تنظيم وتوجيه ممارسات الموارد البشرية داخل المنظمة وفق مبادئ الشفافية، العدالة، والمساءلة، بما يضمن تحقيق الكفاءة والفعالية في اتخاذ القرارات الإدارية، والحد من الانحرافات والسلوكيات غير الأخلاقية. وتستند حوكمة الموارد البشرية إلى مجموعة من الأبعاد الأساسية التي تعمل بشكل متكامل لتعزيز النزاهة التنظيمية وتحقيق التوازن بين مصالح المنظمة والعاملين فيها، ويمكن توضيح هذه الأبعاد على النحو التالي:</w:t>
      </w:r>
    </w:p>
    <w:p w14:paraId="1779D85C"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tl/>
        </w:rPr>
        <w:t xml:space="preserve">أولًا: الشفافية في </w:t>
      </w:r>
      <w:r w:rsidRPr="00545500">
        <w:rPr>
          <w:rFonts w:ascii="SimplifiedArabic" w:hAnsi="Courier New" w:cs="SimplifiedArabic" w:hint="cs"/>
          <w:color w:val="1F1F1F"/>
          <w:sz w:val="28"/>
          <w:szCs w:val="28"/>
          <w:rtl/>
        </w:rPr>
        <w:t xml:space="preserve">الإجراءات: </w:t>
      </w:r>
      <w:r w:rsidRPr="00545500">
        <w:rPr>
          <w:rFonts w:ascii="SimplifiedArabic" w:hAnsi="Courier New" w:cs="SimplifiedArabic"/>
          <w:color w:val="1F1F1F"/>
          <w:sz w:val="28"/>
          <w:szCs w:val="28"/>
          <w:rtl/>
        </w:rPr>
        <w:t>تعتبر الشفافية من العناصر الأساسية في إدارة الموارد البشرية، حيث تعني وضوح جميع الخطوات المتعلقة بإدارة الموارد البشرية وتوفيرها للموظفين بشكل يسهل عليهم فهمها وتطبيقها. تشمل هذه الخطوات التوظيف، الترقيات، تقييم الأداء، وتحديد الرواتب والمكافآت</w:t>
      </w:r>
      <w:r w:rsidRPr="00545500">
        <w:rPr>
          <w:rFonts w:ascii="SimplifiedArabic" w:hAnsi="Courier New" w:cs="SimplifiedArabic" w:hint="cs"/>
          <w:color w:val="1F1F1F"/>
          <w:sz w:val="28"/>
          <w:szCs w:val="28"/>
          <w:rtl/>
        </w:rPr>
        <w:t xml:space="preserve"> (</w:t>
      </w:r>
      <w:r w:rsidRPr="00545500">
        <w:rPr>
          <w:rFonts w:cs="SimplifiedArabic" w:hint="cs"/>
          <w:color w:val="1F1F1F"/>
          <w:sz w:val="28"/>
          <w:szCs w:val="28"/>
          <w:rtl/>
          <w:lang w:val="en-GB"/>
        </w:rPr>
        <w:t>الجبوري، الجرجري، 2024).</w:t>
      </w:r>
    </w:p>
    <w:p w14:paraId="386DF918"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تساعد الشفافية في تقليل الالتباس الذي قد يحيط بالقرارات الإدارية، مما يمنع سوء الفهم أو الشك في عدالتها. كما تعزز من خلق بيئة عمل تسودها الثقة، حيث يكون لدى الموظفين فهم واضح حول كيفية اتخاذ القرارات والمعايير التي يُبنى عليها ذلك</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الرويلي</w:t>
      </w:r>
      <w:r w:rsidRPr="00545500">
        <w:rPr>
          <w:rFonts w:ascii="SimplifiedArabic" w:hAnsi="Courier New" w:cs="SimplifiedArabic" w:hint="cs"/>
          <w:color w:val="1F1F1F"/>
          <w:sz w:val="28"/>
          <w:szCs w:val="28"/>
          <w:rtl/>
        </w:rPr>
        <w:t>، 2025).</w:t>
      </w:r>
    </w:p>
    <w:p w14:paraId="6DF9E5FB"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Pr>
        <w:lastRenderedPageBreak/>
        <w:t xml:space="preserve"> </w:t>
      </w:r>
      <w:r w:rsidRPr="00545500">
        <w:rPr>
          <w:rFonts w:ascii="SimplifiedArabic" w:hAnsi="Courier New" w:cs="SimplifiedArabic"/>
          <w:color w:val="1F1F1F"/>
          <w:sz w:val="28"/>
          <w:szCs w:val="28"/>
          <w:rtl/>
        </w:rPr>
        <w:t>ومن جهة أخرى، تجعل الشفافية مراجعة القرارات وتقييمها ممكنة، مما يقلل من فرص الانحراف أو التلاعب، ويجعل جميع العمليات الإدارية تحت المراقبة والمُساءلة. كما تعزز أيضًا من مشاركة الموظفين في النظام التنظيمي، حيث يشعرون بأنهم جزء من نظام عادل وشفاف</w:t>
      </w:r>
      <w:r w:rsidRPr="00545500">
        <w:rPr>
          <w:rFonts w:ascii="SimplifiedArabic" w:hAnsi="Courier New" w:cs="SimplifiedArabic" w:hint="cs"/>
          <w:color w:val="1F1F1F"/>
          <w:sz w:val="28"/>
          <w:szCs w:val="28"/>
          <w:rtl/>
        </w:rPr>
        <w:t xml:space="preserve">. </w:t>
      </w:r>
    </w:p>
    <w:p w14:paraId="26F8CD57"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 xml:space="preserve">ثانيًا: المساءلة والرقابة </w:t>
      </w:r>
      <w:r w:rsidRPr="00545500">
        <w:rPr>
          <w:rFonts w:ascii="SimplifiedArabic" w:hAnsi="Courier New" w:cs="SimplifiedArabic" w:hint="cs"/>
          <w:color w:val="1F1F1F"/>
          <w:sz w:val="28"/>
          <w:szCs w:val="28"/>
          <w:rtl/>
        </w:rPr>
        <w:t xml:space="preserve">الداخلية: </w:t>
      </w:r>
      <w:r w:rsidRPr="00545500">
        <w:rPr>
          <w:rFonts w:ascii="SimplifiedArabic" w:hAnsi="Courier New" w:cs="SimplifiedArabic"/>
          <w:color w:val="1F1F1F"/>
          <w:sz w:val="28"/>
          <w:szCs w:val="28"/>
          <w:rtl/>
        </w:rPr>
        <w:t xml:space="preserve">تمثل المساءلة والرقابة الداخلية جزءًا أساسيًا من تطبيق إدارة الموارد البشرية بشكل جيد، حيث تهدف إلى التأكد من التزام جميع الأشخاص داخل المؤسسة بالسياسات والإجراءات المعمول بها. تشمل المساءلة تحديد المسؤوليات والصلاحيات بدقة، بحيث يكون كل شخص مسؤولًا عن </w:t>
      </w:r>
      <w:r w:rsidRPr="00545500">
        <w:rPr>
          <w:rFonts w:ascii="SimplifiedArabic" w:hAnsi="Courier New" w:cs="SimplifiedArabic" w:hint="cs"/>
          <w:color w:val="1F1F1F"/>
          <w:sz w:val="28"/>
          <w:szCs w:val="28"/>
          <w:rtl/>
        </w:rPr>
        <w:t xml:space="preserve">قراراته، </w:t>
      </w:r>
      <w:r w:rsidRPr="00545500">
        <w:rPr>
          <w:rFonts w:ascii="SimplifiedArabic" w:hAnsi="Courier New" w:cs="SimplifiedArabic"/>
          <w:color w:val="1F1F1F"/>
          <w:sz w:val="28"/>
          <w:szCs w:val="28"/>
          <w:rtl/>
        </w:rPr>
        <w:t>أما الرقابة الداخلية، فتتضمن مجموعة من الآليات والإجراءات لمتابعة تنفيذ القرارات الإدارية، والتأكد من مطابقتها للمعايير المحددة. هذه الآليات تشمل التدقيق الداخلي، المراجعة الدورية، وإعداد تقارير رقابية</w:t>
      </w:r>
      <w:r w:rsidRPr="00545500">
        <w:rPr>
          <w:rFonts w:ascii="SimplifiedArabic" w:hAnsi="Courier New" w:cs="SimplifiedArabic" w:hint="cs"/>
          <w:color w:val="1F1F1F"/>
          <w:sz w:val="28"/>
          <w:szCs w:val="28"/>
          <w:rtl/>
        </w:rPr>
        <w:t xml:space="preserve"> (موسي، 2025).</w:t>
      </w:r>
    </w:p>
    <w:p w14:paraId="31EA3F86"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 xml:space="preserve">ثالثًا: العدالة التنظيمية وتكافؤ </w:t>
      </w:r>
      <w:r w:rsidRPr="00545500">
        <w:rPr>
          <w:rFonts w:ascii="SimplifiedArabic" w:hAnsi="Courier New" w:cs="SimplifiedArabic" w:hint="cs"/>
          <w:color w:val="1F1F1F"/>
          <w:sz w:val="28"/>
          <w:szCs w:val="28"/>
          <w:rtl/>
        </w:rPr>
        <w:t xml:space="preserve">الفرص: </w:t>
      </w:r>
      <w:r w:rsidRPr="00545500">
        <w:rPr>
          <w:rFonts w:ascii="SimplifiedArabic" w:hAnsi="Courier New" w:cs="SimplifiedArabic"/>
          <w:color w:val="1F1F1F"/>
          <w:sz w:val="28"/>
          <w:szCs w:val="28"/>
          <w:rtl/>
        </w:rPr>
        <w:t>تشير العدالة التنظيمية إلى شعور الموظفين بأن المؤسسة تعاملهم بشكل عادل في جميع ممارساتها، بينما يعني تكافؤ الفرص إتاحة نفس الفرص للجميع دون تمييز. هذا الجانب يعتبر من أهم جوانب إدارة الموارد البشرية، نظرًا لتأثيره المباشر على رضا الموظفين واستقرارهم في العمل</w:t>
      </w:r>
      <w:r w:rsidRPr="00545500">
        <w:rPr>
          <w:rFonts w:ascii="SimplifiedArabic" w:hAnsi="Courier New" w:cs="SimplifiedArabic" w:hint="cs"/>
          <w:color w:val="1F1F1F"/>
          <w:sz w:val="28"/>
          <w:szCs w:val="28"/>
          <w:rtl/>
        </w:rPr>
        <w:t>، و</w:t>
      </w:r>
      <w:r w:rsidRPr="00545500">
        <w:rPr>
          <w:rFonts w:ascii="SimplifiedArabic" w:hAnsi="Courier New" w:cs="SimplifiedArabic"/>
          <w:color w:val="1F1F1F"/>
          <w:sz w:val="28"/>
          <w:szCs w:val="28"/>
          <w:rtl/>
        </w:rPr>
        <w:t>تظهر العدالة التنظيمية في عدة مجالات، مثل عدالة التوظيف، حيث يتم اختيار الأشخاص بناءً على كفاءتهم، وعدالة الترقيات، حيث تُعطى الفرص بناءً على الأداء، وعدالة التقييم، حيث يتم تقييم الموظفين وفق معايير موضوعية</w:t>
      </w:r>
      <w:r w:rsidRPr="00545500">
        <w:rPr>
          <w:rFonts w:ascii="SimplifiedArabic" w:hAnsi="Courier New" w:cs="SimplifiedArabic" w:hint="cs"/>
          <w:color w:val="1F1F1F"/>
          <w:sz w:val="28"/>
          <w:szCs w:val="28"/>
          <w:rtl/>
        </w:rPr>
        <w:t>، و</w:t>
      </w:r>
      <w:r w:rsidRPr="00545500">
        <w:rPr>
          <w:rFonts w:ascii="SimplifiedArabic" w:hAnsi="Courier New" w:cs="SimplifiedArabic"/>
          <w:color w:val="1F1F1F"/>
          <w:sz w:val="28"/>
          <w:szCs w:val="28"/>
          <w:rtl/>
        </w:rPr>
        <w:t xml:space="preserve">يساهم تحقيق هذا الجانب في تعزيز الثقة بين الموظفين والإدارة، ويقلل من النزاعات داخل المؤسسة، ويزيد من الالتزام والانتماء لدى الموظفين. كما </w:t>
      </w:r>
      <w:r w:rsidRPr="00545500">
        <w:rPr>
          <w:rFonts w:ascii="SimplifiedArabic" w:hAnsi="Courier New" w:cs="SimplifiedArabic"/>
          <w:color w:val="1F1F1F"/>
          <w:sz w:val="28"/>
          <w:szCs w:val="28"/>
          <w:rtl/>
        </w:rPr>
        <w:lastRenderedPageBreak/>
        <w:t>يُساعد في تحسين الأداء العام للمؤسسة، حيث يتم استثمار الموارد البشرية بشكل عادل وفعّال</w:t>
      </w:r>
      <w:r w:rsidRPr="00545500">
        <w:rPr>
          <w:rFonts w:ascii="SimplifiedArabic" w:hAnsi="Courier New" w:cs="SimplifiedArabic" w:hint="cs"/>
          <w:color w:val="1F1F1F"/>
          <w:sz w:val="28"/>
          <w:szCs w:val="28"/>
          <w:rtl/>
        </w:rPr>
        <w:t xml:space="preserve"> (</w:t>
      </w:r>
      <w:r w:rsidRPr="00545500">
        <w:rPr>
          <w:rFonts w:cs="SimplifiedArabic" w:hint="cs"/>
          <w:color w:val="1F1F1F"/>
          <w:sz w:val="28"/>
          <w:szCs w:val="28"/>
          <w:rtl/>
          <w:lang w:val="en-GB"/>
        </w:rPr>
        <w:t>الجبوري، الجرجري، 2024).</w:t>
      </w:r>
    </w:p>
    <w:p w14:paraId="0293C502"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tl/>
        </w:rPr>
        <w:t xml:space="preserve">رابعًا: وضوح السياسات </w:t>
      </w:r>
      <w:r w:rsidRPr="00545500">
        <w:rPr>
          <w:rFonts w:ascii="SimplifiedArabic" w:hAnsi="Courier New" w:cs="SimplifiedArabic" w:hint="cs"/>
          <w:color w:val="1F1F1F"/>
          <w:sz w:val="28"/>
          <w:szCs w:val="28"/>
          <w:rtl/>
        </w:rPr>
        <w:t xml:space="preserve">والإجراءات، </w:t>
      </w:r>
      <w:r w:rsidRPr="00545500">
        <w:rPr>
          <w:rFonts w:ascii="SimplifiedArabic" w:hAnsi="Courier New" w:cs="SimplifiedArabic"/>
          <w:color w:val="1F1F1F"/>
          <w:sz w:val="28"/>
          <w:szCs w:val="28"/>
          <w:rtl/>
        </w:rPr>
        <w:t>يُعتبر وضوح السياسات والإجراءات شرطًا أساسيًا لتطبيق إدارة الموارد البشرية بشكل فعّال، حيث يعني وجود دليل واضح يحدد القواعد والخطوات التي تنظم عمل الموارد البشرية داخل المؤسسة</w:t>
      </w:r>
      <w:r w:rsidRPr="00545500">
        <w:rPr>
          <w:rFonts w:ascii="SimplifiedArabic" w:hAnsi="Courier New" w:cs="SimplifiedArabic" w:hint="cs"/>
          <w:color w:val="1F1F1F"/>
          <w:sz w:val="28"/>
          <w:szCs w:val="28"/>
          <w:rtl/>
        </w:rPr>
        <w:t>، و</w:t>
      </w:r>
      <w:r w:rsidRPr="00545500">
        <w:rPr>
          <w:rFonts w:ascii="SimplifiedArabic" w:hAnsi="Courier New" w:cs="SimplifiedArabic"/>
          <w:color w:val="1F1F1F"/>
          <w:sz w:val="28"/>
          <w:szCs w:val="28"/>
          <w:rtl/>
        </w:rPr>
        <w:t>يشمل ذلك السياسات المتعلقة بالتوظيف، الترقيات، التدريب، تقييم الأداء، والمكافآت، بحيث تكون هذه السياسات محددة بشكل دقيق وسهلة الفهم لكل الموظفين. ويساعد وضوح السياسات في تقليل الاجتهادات الشخصية، ومنع عدم الانسجام في تفسير القواعد، ما يقلل من احتمالية التلاعب بالقرارات</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بن سعدة</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بخوش</w:t>
      </w:r>
      <w:r w:rsidRPr="00545500">
        <w:rPr>
          <w:rFonts w:ascii="SimplifiedArabic" w:hAnsi="Courier New" w:cs="SimplifiedArabic" w:hint="cs"/>
          <w:color w:val="1F1F1F"/>
          <w:sz w:val="28"/>
          <w:szCs w:val="28"/>
          <w:rtl/>
        </w:rPr>
        <w:t>، 2021).</w:t>
      </w:r>
    </w:p>
    <w:p w14:paraId="79F9A295"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cs="SimplifiedArabic"/>
          <w:color w:val="1F1F1F"/>
          <w:sz w:val="28"/>
          <w:szCs w:val="28"/>
          <w:lang w:val="en-GB"/>
        </w:rPr>
        <w:t xml:space="preserve">    </w:t>
      </w: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كما يُسهم هذا الجانب في توحيد الممارسات الإدارية داخل المؤسسة، وضمان تطبيقها بشكل متسق بين جميع الأقسام. يُعتبر أيضًا مرجعًا مهمًا لكل من الموظفين والإدارة عند اتخاذ القرارات، مما يُعزز كفاءة العمل ويُقلل من الأخطاء داخل المؤسسة</w:t>
      </w:r>
      <w:r w:rsidRPr="00545500">
        <w:rPr>
          <w:rFonts w:ascii="SimplifiedArabic" w:hAnsi="Courier New" w:cs="SimplifiedArabic"/>
          <w:color w:val="1F1F1F"/>
          <w:sz w:val="28"/>
          <w:szCs w:val="28"/>
        </w:rPr>
        <w:t>.</w:t>
      </w:r>
    </w:p>
    <w:p w14:paraId="78DF2B8F"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ومما سبق </w:t>
      </w:r>
      <w:r w:rsidRPr="00545500">
        <w:rPr>
          <w:rFonts w:ascii="SimplifiedArabic" w:hAnsi="Courier New" w:cs="SimplifiedArabic"/>
          <w:color w:val="1F1F1F"/>
          <w:sz w:val="28"/>
          <w:szCs w:val="28"/>
          <w:rtl/>
        </w:rPr>
        <w:t>تشكل هذه الجوانب الأربعة نظاما متكاملا لإدارة الموارد البشرية، حيث يعزز كل جانب الآخر في خلق بيئة عمل قائمة على الوضوح، العدالة، والانضباط. ويساهم التطبيق الجيد لهذه الجوانب في تقليل التلاعب في القرارات الإدارية، وزيادة كفاءة الأداء، وتحقيق الاستقرار في المنظمة، مما يساعد المنظمة في الوصول إلى أهدافها الاستراتيجية.</w:t>
      </w:r>
    </w:p>
    <w:p w14:paraId="2497006A"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p>
    <w:p w14:paraId="4FF7B8E6"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Pr>
      </w:pPr>
    </w:p>
    <w:p w14:paraId="6D7D39F3"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b/>
          <w:bCs/>
          <w:color w:val="1F1F1F"/>
          <w:sz w:val="28"/>
          <w:szCs w:val="28"/>
          <w:rtl/>
        </w:rPr>
      </w:pPr>
      <w:r w:rsidRPr="00545500">
        <w:rPr>
          <w:rFonts w:ascii="SimplifiedArabic" w:hAnsi="Courier New" w:cs="SimplifiedArabic"/>
          <w:b/>
          <w:bCs/>
          <w:color w:val="1F1F1F"/>
          <w:sz w:val="28"/>
          <w:szCs w:val="28"/>
          <w:rtl/>
        </w:rPr>
        <w:lastRenderedPageBreak/>
        <w:t>استراتيجيات تنفيذ حوكمة الموارد البشرية</w:t>
      </w:r>
      <w:r w:rsidRPr="00545500">
        <w:rPr>
          <w:rFonts w:ascii="SimplifiedArabic" w:hAnsi="Courier New" w:cs="SimplifiedArabic" w:hint="cs"/>
          <w:b/>
          <w:bCs/>
          <w:color w:val="1F1F1F"/>
          <w:sz w:val="28"/>
          <w:szCs w:val="28"/>
          <w:rtl/>
        </w:rPr>
        <w:t>:</w:t>
      </w:r>
    </w:p>
    <w:p w14:paraId="78251CC7"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تمثل استراتيجيات تنفيذ حوكمة الموارد البشرية الإطار العملي الذي يُترجم المفاهيم والمبادئ النظرية للحوكمة إلى ممارسات واقعية داخل المنظمة. وتهدف هذه الاستراتيجيات إلى ضمان تطبيق مبادئ الشفافية والعدالة والمساءلة والالتزام بشكل فعّال، بما يحد من التلاعب بالقرارات الإدارية ويعزز كفاءة إدارة الموارد البشرية. ويمكن عرض أهم هذه الاستراتيجيات بتوسع على النحو التالي:</w:t>
      </w:r>
    </w:p>
    <w:p w14:paraId="42CE0816"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tl/>
        </w:rPr>
        <w:t xml:space="preserve">تحسين نظم الرقابة </w:t>
      </w:r>
      <w:r w:rsidRPr="00545500">
        <w:rPr>
          <w:rFonts w:ascii="SimplifiedArabic" w:hAnsi="Courier New" w:cs="SimplifiedArabic" w:hint="cs"/>
          <w:color w:val="1F1F1F"/>
          <w:sz w:val="28"/>
          <w:szCs w:val="28"/>
          <w:rtl/>
        </w:rPr>
        <w:t>الداخلية</w:t>
      </w:r>
      <w:r w:rsidRPr="00545500">
        <w:rPr>
          <w:rFonts w:ascii="SimplifiedArabic" w:hAnsi="Courier New" w:cs="SimplifiedArabic"/>
          <w:color w:val="1F1F1F"/>
          <w:sz w:val="28"/>
          <w:szCs w:val="28"/>
        </w:rPr>
        <w:t>:</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 xml:space="preserve">تعتبر نظم الرقابة الداخلية من الأدوات الهامة لضمان تنفيذ إدارة الموارد البشرية بشكل جيد، حيث تساعد في متابعة الأعمال الإدارية مثل التوظيف والتقييم والترقية، والتأكد من الالتزام بالمبادئ والقواعد المعتمدة. تتضمن هذه النظم وجود لجان تدقيق وتقارير دورية ووسائل تدقيق داخلية تساعد في كشف أي أخطاء أو تصرفات غير قانونية. على سبيل المثال، يمكن تأسيس وحدات مستقلة لمراجعة قرارات الموارد البشرية والتأكد من أنها عادلة </w:t>
      </w:r>
      <w:r w:rsidRPr="00545500">
        <w:rPr>
          <w:rFonts w:ascii="SimplifiedArabic" w:hAnsi="Courier New" w:cs="SimplifiedArabic" w:hint="cs"/>
          <w:color w:val="1F1F1F"/>
          <w:sz w:val="28"/>
          <w:szCs w:val="28"/>
          <w:rtl/>
        </w:rPr>
        <w:t xml:space="preserve">وواضحة </w:t>
      </w:r>
      <w:r w:rsidRPr="00545500">
        <w:rPr>
          <w:rFonts w:ascii="SimplifiedArabic" w:hAnsi="Courier New" w:cs="SimplifiedArabic"/>
          <w:color w:val="1F1F1F"/>
          <w:sz w:val="28"/>
          <w:szCs w:val="28"/>
          <w:rtl/>
        </w:rPr>
        <w:t>(الرويلي</w:t>
      </w:r>
      <w:r w:rsidRPr="00545500">
        <w:rPr>
          <w:rFonts w:ascii="SimplifiedArabic" w:hAnsi="Courier New" w:cs="SimplifiedArabic" w:hint="cs"/>
          <w:color w:val="1F1F1F"/>
          <w:sz w:val="28"/>
          <w:szCs w:val="28"/>
          <w:rtl/>
        </w:rPr>
        <w:t>، 2025).</w:t>
      </w:r>
    </w:p>
    <w:p w14:paraId="75190F54"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 xml:space="preserve">تفعيل أنظمة تقييم أداء </w:t>
      </w:r>
      <w:r w:rsidRPr="00545500">
        <w:rPr>
          <w:rFonts w:ascii="SimplifiedArabic" w:hAnsi="Courier New" w:cs="SimplifiedArabic" w:hint="cs"/>
          <w:color w:val="1F1F1F"/>
          <w:sz w:val="28"/>
          <w:szCs w:val="28"/>
          <w:rtl/>
        </w:rPr>
        <w:t>موضوعية</w:t>
      </w:r>
      <w:r w:rsidRPr="00545500">
        <w:rPr>
          <w:rFonts w:ascii="SimplifiedArabic" w:hAnsi="Courier New" w:cs="SimplifiedArabic"/>
          <w:color w:val="1F1F1F"/>
          <w:sz w:val="28"/>
          <w:szCs w:val="28"/>
        </w:rPr>
        <w:t>:</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يُعتبر تقييم الأداء أداة أساسية في إدارة الموارد البشرية، حيث يقوم بقياس أداء الموظفين بناءً على معايير محددة مسبقًا. يساعد هذا النظام في تقليل التحيز الشخصي وضمان أن تكون القرارات المتعلقة بالمكافآت والترقيات مستندة إلى الأداء الحقيقي وليس إلى العلاقات الشخصية. كما يمكن استخدام مؤشرات أداء رئيسية لربط نتائج العمل بالأهداف التنظيمية بشكل مباشر</w:t>
      </w:r>
      <w:r w:rsidRPr="00545500">
        <w:rPr>
          <w:rFonts w:ascii="SimplifiedArabic" w:hAnsi="Courier New" w:cs="SimplifiedArabic" w:hint="cs"/>
          <w:color w:val="1F1F1F"/>
          <w:sz w:val="28"/>
          <w:szCs w:val="28"/>
          <w:rtl/>
        </w:rPr>
        <w:t xml:space="preserve"> (موسي، 2025).</w:t>
      </w:r>
    </w:p>
    <w:p w14:paraId="5D6DF376"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 xml:space="preserve">استخدام نظم معلومات الموارد </w:t>
      </w:r>
      <w:r w:rsidRPr="00545500">
        <w:rPr>
          <w:rFonts w:ascii="SimplifiedArabic" w:hAnsi="Courier New" w:cs="SimplifiedArabic" w:hint="cs"/>
          <w:color w:val="1F1F1F"/>
          <w:sz w:val="28"/>
          <w:szCs w:val="28"/>
          <w:rtl/>
        </w:rPr>
        <w:t>البشرية</w:t>
      </w:r>
      <w:r w:rsidRPr="00545500">
        <w:rPr>
          <w:rFonts w:ascii="SimplifiedArabic" w:hAnsi="Courier New" w:cs="SimplifiedArabic"/>
          <w:color w:val="1F1F1F"/>
          <w:sz w:val="28"/>
          <w:szCs w:val="28"/>
        </w:rPr>
        <w:t>:</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 xml:space="preserve">يساعد استخدام التكنولوجيا في دعم إدارة الموارد البشرية من خلال توفير بيانات دقيقة ومحدثة عن الموظفين، مما يسهل اتخاذ قرارات عادلة وشفافة. تتيح هذه النظم </w:t>
      </w:r>
      <w:r w:rsidRPr="00545500">
        <w:rPr>
          <w:rFonts w:ascii="SimplifiedArabic" w:hAnsi="Courier New" w:cs="SimplifiedArabic"/>
          <w:color w:val="1F1F1F"/>
          <w:sz w:val="28"/>
          <w:szCs w:val="28"/>
          <w:rtl/>
        </w:rPr>
        <w:lastRenderedPageBreak/>
        <w:t>تتبع عمليات التوظيف والتقييم والتدريب إلكترونيًا، وتقليل التدخل البشري الذي قد يؤدي إلى التحيز أو التلاعب. كما تدعم في تحليل البيانات واتخاذ قرارات قائمة على الأدلة</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بن سعدة</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بخوش</w:t>
      </w:r>
      <w:r w:rsidRPr="00545500">
        <w:rPr>
          <w:rFonts w:ascii="SimplifiedArabic" w:hAnsi="Courier New" w:cs="SimplifiedArabic" w:hint="cs"/>
          <w:color w:val="1F1F1F"/>
          <w:sz w:val="28"/>
          <w:szCs w:val="28"/>
          <w:rtl/>
        </w:rPr>
        <w:t>، 2021).</w:t>
      </w:r>
    </w:p>
    <w:p w14:paraId="5E21F013"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 xml:space="preserve">تعزيز ثقافة النزاهة </w:t>
      </w:r>
      <w:r w:rsidRPr="00545500">
        <w:rPr>
          <w:rFonts w:ascii="SimplifiedArabic" w:hAnsi="Courier New" w:cs="SimplifiedArabic" w:hint="cs"/>
          <w:color w:val="1F1F1F"/>
          <w:sz w:val="28"/>
          <w:szCs w:val="28"/>
          <w:rtl/>
        </w:rPr>
        <w:t>المؤسسية</w:t>
      </w:r>
      <w:r w:rsidRPr="00545500">
        <w:rPr>
          <w:rFonts w:ascii="SimplifiedArabic" w:hAnsi="Courier New" w:cs="SimplifiedArabic"/>
          <w:color w:val="1F1F1F"/>
          <w:sz w:val="28"/>
          <w:szCs w:val="28"/>
        </w:rPr>
        <w:t>:</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تُعتبر الثقافة التنظيمية من العوامل المهمة لنجاح إدارة الموارد البشرية، حيث يجب تعزيز قيم النزاهة والشفافية والمسؤولية بين جميع العاملين. يمكن تحقيق ذلك من خلال برامج التوعية والتدريب على الأخلاقيات والالتزام بوضع مدونات سلوك واضحة تحدد الأفعال المقبولة داخل المنظمة. تسهم هذه الثقافة في تقليل التصرفات غير الأخلاقية وتعزز الالتزام بالقوانين والسياسات</w:t>
      </w:r>
      <w:r w:rsidRPr="00545500">
        <w:rPr>
          <w:rFonts w:ascii="SimplifiedArabic" w:hAnsi="Courier New" w:cs="SimplifiedArabic"/>
          <w:color w:val="1F1F1F"/>
          <w:sz w:val="28"/>
          <w:szCs w:val="28"/>
        </w:rPr>
        <w:t>.</w:t>
      </w:r>
    </w:p>
    <w:p w14:paraId="5703EC8E"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 xml:space="preserve">مراجعة وتحديث السياسات بشكل </w:t>
      </w:r>
      <w:r w:rsidRPr="00545500">
        <w:rPr>
          <w:rFonts w:ascii="SimplifiedArabic" w:hAnsi="Courier New" w:cs="SimplifiedArabic" w:hint="cs"/>
          <w:color w:val="1F1F1F"/>
          <w:sz w:val="28"/>
          <w:szCs w:val="28"/>
          <w:rtl/>
        </w:rPr>
        <w:t>دوري</w:t>
      </w:r>
      <w:r w:rsidRPr="00545500">
        <w:rPr>
          <w:rFonts w:ascii="SimplifiedArabic" w:hAnsi="Courier New" w:cs="SimplifiedArabic"/>
          <w:color w:val="1F1F1F"/>
          <w:sz w:val="28"/>
          <w:szCs w:val="28"/>
        </w:rPr>
        <w:t>:</w:t>
      </w:r>
      <w:r w:rsidRPr="00545500">
        <w:rPr>
          <w:rFonts w:ascii="SimplifiedArabic" w:hAnsi="Courier New" w:cs="SimplifiedArabic" w:hint="cs"/>
          <w:color w:val="1F1F1F"/>
          <w:sz w:val="28"/>
          <w:szCs w:val="28"/>
          <w:rtl/>
        </w:rPr>
        <w:t xml:space="preserve"> تتطلب</w:t>
      </w:r>
      <w:r w:rsidRPr="00545500">
        <w:rPr>
          <w:rFonts w:ascii="SimplifiedArabic" w:hAnsi="Courier New" w:cs="SimplifiedArabic"/>
          <w:color w:val="1F1F1F"/>
          <w:sz w:val="28"/>
          <w:szCs w:val="28"/>
          <w:rtl/>
        </w:rPr>
        <w:t xml:space="preserve"> إدارة الموارد البشرية متابعة مستمرة للسياسات والإجراءات وتحديثها لتتوافق مع التغيرات في البيئة الداخلية والخارجية. تساعد هذه المراجعات في ضمان توافق السياسات الحالية مع احتياجات المنظمة والتطورات القانونية والتكنولوجية، مما يعزز فعالية الإدارة ويقلل من فرص التلاعب في </w:t>
      </w:r>
      <w:r w:rsidRPr="00545500">
        <w:rPr>
          <w:rFonts w:ascii="SimplifiedArabic" w:hAnsi="Courier New" w:cs="SimplifiedArabic" w:hint="cs"/>
          <w:color w:val="1F1F1F"/>
          <w:sz w:val="28"/>
          <w:szCs w:val="28"/>
          <w:rtl/>
        </w:rPr>
        <w:t xml:space="preserve">القرارات </w:t>
      </w:r>
      <w:r w:rsidRPr="00545500">
        <w:rPr>
          <w:rFonts w:ascii="SimplifiedArabic" w:hAnsi="Courier New" w:cs="SimplifiedArabic"/>
          <w:color w:val="1F1F1F"/>
          <w:sz w:val="28"/>
          <w:szCs w:val="28"/>
          <w:rtl/>
        </w:rPr>
        <w:t>(الجبوري</w:t>
      </w:r>
      <w:r w:rsidRPr="00545500">
        <w:rPr>
          <w:rFonts w:cs="SimplifiedArabic" w:hint="cs"/>
          <w:color w:val="1F1F1F"/>
          <w:sz w:val="28"/>
          <w:szCs w:val="28"/>
          <w:rtl/>
          <w:lang w:val="en-GB"/>
        </w:rPr>
        <w:t>، الجرجري، 2024).</w:t>
      </w:r>
    </w:p>
    <w:p w14:paraId="4C96F3C1" w14:textId="77777777" w:rsidR="00545500" w:rsidRPr="00545500" w:rsidRDefault="00545500" w:rsidP="00545500">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تتكامل هذه الاستراتيجيات لتشكّل منظومة متكاملة لتنفيذ حوكمة الموارد البشرية داخل المنظمة، حيث يؤدي تطبيقها بشكل منسق إلى تعزيز الشفافية، وتقليل التلاعب بالقرارات الإدارية، وتحسين جودة الأداء التنظيمي. كما أن نجاح هذه الاستراتيجيات يعتمد على التزام الإدارة العليا، وتوفر بنية تنظيمية داعمة، وثقافة مؤسسية تشجع على الالتزام بالمبادئ الأخلاقية والحوكمة الرشيدة.</w:t>
      </w:r>
    </w:p>
    <w:p w14:paraId="561209BB" w14:textId="77777777" w:rsidR="00545500" w:rsidRPr="00545500" w:rsidRDefault="00545500" w:rsidP="00545500">
      <w:pPr>
        <w:autoSpaceDE w:val="0"/>
        <w:autoSpaceDN w:val="0"/>
        <w:bidi/>
        <w:adjustRightInd w:val="0"/>
        <w:spacing w:after="0" w:line="600" w:lineRule="auto"/>
        <w:jc w:val="lowKashida"/>
        <w:outlineLvl w:val="0"/>
        <w:rPr>
          <w:rFonts w:ascii="SimplifiedArabic" w:hAnsi="Courier New" w:cs="SimplifiedArabic"/>
          <w:b/>
          <w:bCs/>
          <w:color w:val="1F1F1F"/>
          <w:sz w:val="30"/>
          <w:szCs w:val="30"/>
          <w:rtl/>
        </w:rPr>
      </w:pPr>
      <w:bookmarkStart w:id="19" w:name="_Toc225424360"/>
      <w:r w:rsidRPr="00545500">
        <w:rPr>
          <w:rFonts w:ascii="Courier New" w:hAnsi="Courier New" w:cs="SimplifiedArabic"/>
          <w:b/>
          <w:bCs/>
          <w:color w:val="1F1F1F"/>
          <w:sz w:val="32"/>
          <w:szCs w:val="32"/>
          <w:rtl/>
          <w:lang w:val="en-GB" w:bidi="ar-EG"/>
        </w:rPr>
        <w:t>ثانياً: التلاعب بالقرارات الإدارية</w:t>
      </w:r>
      <w:r w:rsidRPr="00545500">
        <w:rPr>
          <w:rFonts w:ascii="SimplifiedArabic" w:hAnsi="Courier New" w:cs="SimplifiedArabic" w:hint="cs"/>
          <w:b/>
          <w:bCs/>
          <w:color w:val="1F1F1F"/>
          <w:sz w:val="30"/>
          <w:szCs w:val="30"/>
          <w:rtl/>
        </w:rPr>
        <w:t>:</w:t>
      </w:r>
      <w:bookmarkEnd w:id="19"/>
    </w:p>
    <w:p w14:paraId="0D0C23E0"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lang w:bidi="ar-EG"/>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 xml:space="preserve">يُعد التلاعب بالقرارات الإدارية من الظواهر التنظيمية السلبية التي تؤثر بشكل مباشر على كفاءة وفعالية أداء المنظمات، حيث يعكس مدى انحراف عملية اتخاذ القرار عن الأسس الموضوعية والمعايير </w:t>
      </w:r>
      <w:r w:rsidRPr="00545500">
        <w:rPr>
          <w:rFonts w:ascii="SimplifiedArabic" w:hAnsi="Courier New" w:cs="SimplifiedArabic"/>
          <w:color w:val="1F1F1F"/>
          <w:sz w:val="28"/>
          <w:szCs w:val="28"/>
          <w:rtl/>
        </w:rPr>
        <w:lastRenderedPageBreak/>
        <w:t xml:space="preserve">المهنية، نتيجة تدخل العوامل الشخصية أو المصالح الفردية. كما يُشير إلى وجود خلل في نظم الرقابة والحوكمة داخل المنظمة، الأمر الذي يؤدي إلى اتخاذ قرارات غير رشيدة قد تضر بتحقيق الأهداف الاستراتيجية وتضعف الثقة بين الإدارة والعاملين. </w:t>
      </w:r>
    </w:p>
    <w:p w14:paraId="25C91328"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1F1F1F"/>
          <w:sz w:val="28"/>
          <w:szCs w:val="28"/>
        </w:rPr>
      </w:pPr>
      <w:r w:rsidRPr="00545500">
        <w:rPr>
          <w:rFonts w:ascii="SimplifiedArabic" w:hAnsi="Courier New" w:cs="SimplifiedArabic"/>
          <w:b/>
          <w:bCs/>
          <w:color w:val="1F1F1F"/>
          <w:sz w:val="28"/>
          <w:szCs w:val="28"/>
          <w:rtl/>
        </w:rPr>
        <w:t>الإطار المفاهيمي للتلاعب بالقرارات الإدارية</w:t>
      </w:r>
      <w:r w:rsidRPr="00545500">
        <w:rPr>
          <w:rFonts w:ascii="SimplifiedArabic" w:hAnsi="Courier New" w:cs="SimplifiedArabic" w:hint="cs"/>
          <w:b/>
          <w:bCs/>
          <w:color w:val="1F1F1F"/>
          <w:sz w:val="28"/>
          <w:szCs w:val="28"/>
          <w:rtl/>
        </w:rPr>
        <w:t>:</w:t>
      </w:r>
    </w:p>
    <w:p w14:paraId="2DF0A3A6" w14:textId="77777777" w:rsidR="00545500" w:rsidRPr="00545500" w:rsidRDefault="00545500" w:rsidP="00545500">
      <w:pPr>
        <w:autoSpaceDE w:val="0"/>
        <w:autoSpaceDN w:val="0"/>
        <w:bidi/>
        <w:adjustRightInd w:val="0"/>
        <w:spacing w:after="0" w:line="600" w:lineRule="auto"/>
        <w:ind w:left="360"/>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lang w:bidi="ar-EG"/>
        </w:rPr>
        <w:t xml:space="preserve">      </w:t>
      </w:r>
      <w:r w:rsidRPr="00545500">
        <w:rPr>
          <w:rFonts w:ascii="SimplifiedArabic" w:hAnsi="Courier New" w:cs="SimplifiedArabic"/>
          <w:color w:val="1F1F1F"/>
          <w:sz w:val="28"/>
          <w:szCs w:val="28"/>
          <w:rtl/>
        </w:rPr>
        <w:t xml:space="preserve">يُشير التلاعب بالقرارات الإدارية إلى قيام بعض الأفراد داخل المنظمة بالتأثير على عملية اتخاذ القرار بطرق غير موضوعية أو غير أخلاقية، بهدف تحقيق مصالح شخصية أو فئوية، بعيدًا عن مصلحة المنظمة أو المعايير المهنية </w:t>
      </w:r>
      <w:r w:rsidRPr="00545500">
        <w:rPr>
          <w:rFonts w:ascii="SimplifiedArabic" w:hAnsi="Courier New" w:cs="SimplifiedArabic" w:hint="cs"/>
          <w:color w:val="1F1F1F"/>
          <w:sz w:val="28"/>
          <w:szCs w:val="28"/>
          <w:rtl/>
        </w:rPr>
        <w:t xml:space="preserve">المعتمدة </w:t>
      </w:r>
      <w:r w:rsidRPr="00545500">
        <w:rPr>
          <w:rFonts w:ascii="SimplifiedArabic" w:hAnsi="Courier New" w:cs="SimplifiedArabic"/>
          <w:color w:val="1F1F1F"/>
          <w:sz w:val="28"/>
          <w:szCs w:val="28"/>
          <w:rtl/>
        </w:rPr>
        <w:t>(</w:t>
      </w:r>
      <w:r w:rsidRPr="00545500">
        <w:rPr>
          <w:rFonts w:ascii="SimplifiedArabic" w:hAnsi="Courier New" w:cs="SimplifiedArabic" w:hint="cs"/>
          <w:color w:val="1F1F1F"/>
          <w:sz w:val="28"/>
          <w:szCs w:val="28"/>
          <w:rtl/>
        </w:rPr>
        <w:t>المحمدي، الشناوي، 2024، ص5، 6).</w:t>
      </w:r>
    </w:p>
    <w:p w14:paraId="03C2E10A" w14:textId="77777777" w:rsidR="00545500" w:rsidRPr="00545500" w:rsidRDefault="00545500" w:rsidP="00545500">
      <w:pPr>
        <w:autoSpaceDE w:val="0"/>
        <w:autoSpaceDN w:val="0"/>
        <w:bidi/>
        <w:adjustRightInd w:val="0"/>
        <w:spacing w:after="0" w:line="600" w:lineRule="auto"/>
        <w:ind w:left="360"/>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كما يُعرّف بأنه انحراف في سلوك اتخاذ القرار الإداري، يتمثل في تحريف المعلومات، أو استغلال السلطة، أو استخدام النفوذ الشخصي لتوجيه القرارات بما يخدم أهدافًا غير رسمية، مما يؤدي إلى إضعاف كفاءة المنظمة</w:t>
      </w:r>
      <w:r w:rsidRPr="00545500">
        <w:rPr>
          <w:rFonts w:ascii="SimplifiedArabic" w:hAnsi="Courier New" w:cs="SimplifiedArabic"/>
          <w:color w:val="1F1F1F"/>
          <w:sz w:val="28"/>
          <w:szCs w:val="28"/>
        </w:rPr>
        <w:t xml:space="preserve"> </w:t>
      </w:r>
      <w:r w:rsidRPr="00545500">
        <w:rPr>
          <w:rFonts w:ascii="SimplifiedArabic" w:hAnsi="Courier New" w:cs="SimplifiedArabic" w:hint="cs"/>
          <w:color w:val="1F1F1F"/>
          <w:sz w:val="28"/>
          <w:szCs w:val="28"/>
          <w:rtl/>
        </w:rPr>
        <w:t>(وهيبة، 2018، 4، 5).</w:t>
      </w:r>
    </w:p>
    <w:p w14:paraId="663FE5EB" w14:textId="77777777" w:rsidR="00545500" w:rsidRPr="00545500" w:rsidRDefault="00545500" w:rsidP="00545500">
      <w:pPr>
        <w:autoSpaceDE w:val="0"/>
        <w:autoSpaceDN w:val="0"/>
        <w:bidi/>
        <w:adjustRightInd w:val="0"/>
        <w:spacing w:after="0" w:line="600" w:lineRule="auto"/>
        <w:ind w:left="360"/>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ويُنظر إليه أيضًا على أنه أحد أشكال السلوك التنظيمي غير الأخلاقي، الذي ينشأ نتيجة ضعف نظم الحوكمة والرقابة الداخلية، وغياب الشفافية، وعدم وضوح المعايير المستخدمة في اتخاذ القرارات الإدارية</w:t>
      </w:r>
      <w:r w:rsidRPr="00545500">
        <w:rPr>
          <w:rFonts w:ascii="SimplifiedArabic" w:hAnsi="Courier New" w:cs="SimplifiedArabic"/>
          <w:color w:val="1F1F1F"/>
          <w:sz w:val="28"/>
          <w:szCs w:val="28"/>
        </w:rPr>
        <w:t xml:space="preserve"> </w:t>
      </w:r>
      <w:r w:rsidRPr="00545500">
        <w:rPr>
          <w:rFonts w:ascii="SimplifiedArabic" w:hAnsi="Courier New" w:cs="SimplifiedArabic" w:hint="cs"/>
          <w:color w:val="1F1F1F"/>
          <w:sz w:val="28"/>
          <w:szCs w:val="28"/>
          <w:rtl/>
        </w:rPr>
        <w:t>(شعبان، 2019).</w:t>
      </w:r>
    </w:p>
    <w:p w14:paraId="3C64456F" w14:textId="77777777" w:rsidR="00545500" w:rsidRPr="00545500" w:rsidRDefault="00545500" w:rsidP="00545500">
      <w:pPr>
        <w:autoSpaceDE w:val="0"/>
        <w:autoSpaceDN w:val="0"/>
        <w:bidi/>
        <w:adjustRightInd w:val="0"/>
        <w:spacing w:after="0" w:line="600" w:lineRule="auto"/>
        <w:ind w:left="360"/>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يعرف إجرائيا بأنه:</w:t>
      </w:r>
      <w:r w:rsidRPr="00545500">
        <w:rPr>
          <w:rFonts w:ascii="SimplifiedArabic" w:hAnsi="Courier New" w:cs="SimplifiedArabic"/>
          <w:color w:val="1F1F1F"/>
          <w:sz w:val="28"/>
          <w:szCs w:val="28"/>
          <w:rtl/>
        </w:rPr>
        <w:t xml:space="preserve"> ظاهرة تنظيمية سلبية تؤثر بشكل مباشر على كفاءة الأداء المؤسسي، وتستدعي وجود أنظمة حوكمة فعالة للحد منها وتعزيز النزاهة في بيئة العمل.</w:t>
      </w:r>
    </w:p>
    <w:p w14:paraId="6DC87DBA" w14:textId="77777777" w:rsidR="00545500" w:rsidRPr="00545500" w:rsidRDefault="00545500" w:rsidP="00545500">
      <w:pPr>
        <w:autoSpaceDE w:val="0"/>
        <w:autoSpaceDN w:val="0"/>
        <w:bidi/>
        <w:adjustRightInd w:val="0"/>
        <w:spacing w:after="0" w:line="600" w:lineRule="auto"/>
        <w:ind w:left="360"/>
        <w:jc w:val="lowKashida"/>
        <w:rPr>
          <w:rFonts w:ascii="SimplifiedArabic" w:hAnsi="Courier New" w:cs="SimplifiedArabic"/>
          <w:b/>
          <w:bCs/>
          <w:color w:val="1F1F1F"/>
          <w:sz w:val="28"/>
          <w:szCs w:val="28"/>
          <w:rtl/>
        </w:rPr>
      </w:pPr>
    </w:p>
    <w:p w14:paraId="3F8C3092" w14:textId="77777777" w:rsidR="00545500" w:rsidRPr="00545500" w:rsidRDefault="00545500" w:rsidP="00545500">
      <w:pPr>
        <w:autoSpaceDE w:val="0"/>
        <w:autoSpaceDN w:val="0"/>
        <w:bidi/>
        <w:adjustRightInd w:val="0"/>
        <w:spacing w:after="0" w:line="600" w:lineRule="auto"/>
        <w:ind w:left="360"/>
        <w:jc w:val="lowKashida"/>
        <w:rPr>
          <w:rFonts w:ascii="SimplifiedArabic" w:hAnsi="Courier New" w:cs="SimplifiedArabic"/>
          <w:b/>
          <w:bCs/>
          <w:color w:val="1F1F1F"/>
          <w:sz w:val="28"/>
          <w:szCs w:val="28"/>
          <w:rtl/>
        </w:rPr>
      </w:pPr>
    </w:p>
    <w:p w14:paraId="00302F61" w14:textId="77777777" w:rsidR="00545500" w:rsidRPr="00545500" w:rsidRDefault="00545500" w:rsidP="00545500">
      <w:pPr>
        <w:autoSpaceDE w:val="0"/>
        <w:autoSpaceDN w:val="0"/>
        <w:bidi/>
        <w:adjustRightInd w:val="0"/>
        <w:spacing w:after="0" w:line="600" w:lineRule="auto"/>
        <w:ind w:left="360"/>
        <w:jc w:val="lowKashida"/>
        <w:rPr>
          <w:rFonts w:ascii="SimplifiedArabic" w:hAnsi="Courier New" w:cs="SimplifiedArabic"/>
          <w:b/>
          <w:bCs/>
          <w:color w:val="1F1F1F"/>
          <w:sz w:val="28"/>
          <w:szCs w:val="28"/>
          <w:rtl/>
        </w:rPr>
      </w:pPr>
      <w:r w:rsidRPr="00545500">
        <w:rPr>
          <w:rFonts w:ascii="SimplifiedArabic" w:hAnsi="Courier New" w:cs="SimplifiedArabic"/>
          <w:b/>
          <w:bCs/>
          <w:color w:val="1F1F1F"/>
          <w:sz w:val="28"/>
          <w:szCs w:val="28"/>
          <w:rtl/>
        </w:rPr>
        <w:lastRenderedPageBreak/>
        <w:t>أهمية الحد من التلاعب بالقرارات الإدارية</w:t>
      </w:r>
      <w:r w:rsidRPr="00545500">
        <w:rPr>
          <w:rFonts w:ascii="SimplifiedArabic" w:hAnsi="Courier New" w:cs="SimplifiedArabic" w:hint="cs"/>
          <w:b/>
          <w:bCs/>
          <w:color w:val="1F1F1F"/>
          <w:sz w:val="28"/>
          <w:szCs w:val="28"/>
          <w:rtl/>
        </w:rPr>
        <w:t>:</w:t>
      </w:r>
    </w:p>
    <w:p w14:paraId="539643A6"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تُعد مواجهة التلاعب بالقرارات الإدارية ضرورة استراتيجية لضمان كفاءة وفعالية المنظمات، ويمكن توضيح أهميتها فيما يلي:</w:t>
      </w:r>
    </w:p>
    <w:p w14:paraId="46AE25FA"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tl/>
        </w:rPr>
        <w:t xml:space="preserve">تعزيز العدالة </w:t>
      </w:r>
      <w:r w:rsidRPr="00545500">
        <w:rPr>
          <w:rFonts w:ascii="SimplifiedArabic" w:hAnsi="Courier New" w:cs="SimplifiedArabic" w:hint="cs"/>
          <w:color w:val="1F1F1F"/>
          <w:sz w:val="28"/>
          <w:szCs w:val="28"/>
          <w:rtl/>
        </w:rPr>
        <w:t>التنظيمية</w:t>
      </w:r>
      <w:r w:rsidRPr="00545500">
        <w:rPr>
          <w:rFonts w:ascii="SimplifiedArabic" w:hAnsi="Courier New" w:cs="SimplifiedArabic"/>
          <w:color w:val="1F1F1F"/>
          <w:sz w:val="28"/>
          <w:szCs w:val="28"/>
        </w:rPr>
        <w:t>:</w:t>
      </w:r>
      <w:r w:rsidRPr="00545500">
        <w:rPr>
          <w:rFonts w:ascii="SimplifiedArabic" w:hAnsi="Courier New" w:cs="SimplifiedArabic" w:hint="cs"/>
          <w:color w:val="1F1F1F"/>
          <w:sz w:val="28"/>
          <w:szCs w:val="28"/>
          <w:rtl/>
          <w:lang w:bidi="ar-EG"/>
        </w:rPr>
        <w:t xml:space="preserve"> </w:t>
      </w:r>
      <w:r w:rsidRPr="00545500">
        <w:rPr>
          <w:rFonts w:ascii="SimplifiedArabic" w:hAnsi="Courier New" w:cs="SimplifiedArabic"/>
          <w:color w:val="1F1F1F"/>
          <w:sz w:val="28"/>
          <w:szCs w:val="28"/>
          <w:rtl/>
        </w:rPr>
        <w:t>يُساعد تقليل التلاعب في ضمان اتخاذ القرارات بناءً على معايير موضوعية ومنصفة، بعيدًا عن التحيز أو الانحياز لشخص ما. عندما يشعر الموظفون بأن كل ما يتعلق بالتوظيف والترقية والتقييم والمكافآت يتم بطريقة عادلة، يزداد شعورهم بالعدل، مما يزيد من رضاهم عن وظائفهم ويقلل من شعورهم بالتمييز أو الظلم. بالإضافة إلى ذلك، تُعَدّ العدالة التنظيمية عنصرًا مهمًا في استقرار مكان العمل وتحقيق التوازن بين مصالح الأفراد والمنظمة</w:t>
      </w:r>
      <w:r w:rsidRPr="00545500">
        <w:rPr>
          <w:rFonts w:ascii="SimplifiedArabic" w:hAnsi="Courier New" w:cs="SimplifiedArabic" w:hint="cs"/>
          <w:color w:val="1F1F1F"/>
          <w:sz w:val="28"/>
          <w:szCs w:val="28"/>
          <w:rtl/>
        </w:rPr>
        <w:t xml:space="preserve"> (عيسي، محمد، 2022، 11، 12). </w:t>
      </w:r>
    </w:p>
    <w:p w14:paraId="21F3B48D"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lang w:bidi="ar-EG"/>
        </w:rPr>
      </w:pP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 xml:space="preserve">رفع مستوى الثقة في </w:t>
      </w:r>
      <w:r w:rsidRPr="00545500">
        <w:rPr>
          <w:rFonts w:ascii="SimplifiedArabic" w:hAnsi="Courier New" w:cs="SimplifiedArabic" w:hint="cs"/>
          <w:color w:val="1F1F1F"/>
          <w:sz w:val="28"/>
          <w:szCs w:val="28"/>
          <w:rtl/>
        </w:rPr>
        <w:t>الإدارة</w:t>
      </w:r>
      <w:r w:rsidRPr="00545500">
        <w:rPr>
          <w:rFonts w:ascii="SimplifiedArabic" w:hAnsi="Courier New" w:cs="SimplifiedArabic"/>
          <w:color w:val="1F1F1F"/>
          <w:sz w:val="28"/>
          <w:szCs w:val="28"/>
        </w:rPr>
        <w:t>:</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يساهم تقليل التلاعب في زيادة مصداقية الإدارة العليا لدى الموظفين، حيث تصبح القرارات أكثر شفافية وفهمًا. هذه الثقة مهمة جدًا لبناء علاقات عمل جيدة، لأن الموظفين يشعرون بأن الإدارة تتعامل معهم بشكل عادل وموضوعي، مما يعزز من التعاون والالتزام داخل المؤسسة. وعلى العكس من ذلك، فإن انتشار التلاعب يؤدي إلى تآكل الثقة، ويخلق أجواء يسودها الشك وعدم الاستقرار</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w:t>
      </w:r>
      <w:r w:rsidRPr="00545500">
        <w:rPr>
          <w:rFonts w:ascii="SimplifiedArabic" w:hAnsi="Courier New" w:cs="SimplifiedArabic" w:hint="cs"/>
          <w:color w:val="1F1F1F"/>
          <w:sz w:val="28"/>
          <w:szCs w:val="28"/>
          <w:rtl/>
        </w:rPr>
        <w:t>المحمدي، الشناوي، 2024، ص14، 15).</w:t>
      </w:r>
    </w:p>
    <w:p w14:paraId="1D6238B3"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 xml:space="preserve">تحسين جودة القرارات </w:t>
      </w:r>
      <w:r w:rsidRPr="00545500">
        <w:rPr>
          <w:rFonts w:ascii="SimplifiedArabic" w:hAnsi="Courier New" w:cs="SimplifiedArabic" w:hint="cs"/>
          <w:color w:val="1F1F1F"/>
          <w:sz w:val="28"/>
          <w:szCs w:val="28"/>
          <w:rtl/>
        </w:rPr>
        <w:t>الإدارية</w:t>
      </w:r>
      <w:r w:rsidRPr="00545500">
        <w:rPr>
          <w:rFonts w:ascii="SimplifiedArabic" w:hAnsi="Courier New" w:cs="SimplifiedArabic"/>
          <w:color w:val="1F1F1F"/>
          <w:sz w:val="28"/>
          <w:szCs w:val="28"/>
        </w:rPr>
        <w:t>:</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عندما يقل التلاعب، تصبح القرارات مستندة إلى معلومات دقيقة ومعايير واضحة، مما يحسن من جودتها وفعاليتها. تساهم القرارات الموضوعية في تحقيق الاستخدام الأمثل للموارد، وتساعد في تحقيق الأهداف الاستراتيجية للمؤسسة. كما تقلل من احتمالية حدوث أخطاء إدارية قد تكبد المؤسسة خسائر مادية أو معنوية</w:t>
      </w:r>
      <w:r w:rsidRPr="00545500">
        <w:rPr>
          <w:rFonts w:ascii="SimplifiedArabic" w:hAnsi="Courier New" w:cs="SimplifiedArabic" w:hint="cs"/>
          <w:color w:val="1F1F1F"/>
          <w:sz w:val="28"/>
          <w:szCs w:val="28"/>
          <w:rtl/>
        </w:rPr>
        <w:t xml:space="preserve"> (وهيبة، 2018، 7، 8).</w:t>
      </w:r>
    </w:p>
    <w:p w14:paraId="5C25FCB3"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Pr>
        <w:lastRenderedPageBreak/>
        <w:t xml:space="preserve"> </w:t>
      </w:r>
      <w:r w:rsidRPr="00545500">
        <w:rPr>
          <w:rFonts w:ascii="SimplifiedArabic" w:hAnsi="Courier New" w:cs="SimplifiedArabic"/>
          <w:color w:val="1F1F1F"/>
          <w:sz w:val="28"/>
          <w:szCs w:val="28"/>
          <w:rtl/>
        </w:rPr>
        <w:t>رفع كفاءة الأداء التنظيمي</w:t>
      </w: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المساعدة في تقليل التلاعب تساعد في توجيه الموارد البشرية إلى الأماكن المناسبة بناءً على الكفاءة والجدارة، مما يعزز من الإنتاجية في المؤسسة. اختيار الشخص المناسب للمنصب المناسب يحسن من جودة العمل، ويسرع في إنجاز المهام، ويقلل من الهدر في الوقت والموارد. كما يساعد ذلك في تحقيق التكامل بين أقسام المؤسسة المختلفة</w:t>
      </w:r>
      <w:r w:rsidRPr="00545500">
        <w:rPr>
          <w:rFonts w:ascii="SimplifiedArabic" w:hAnsi="Courier New" w:cs="SimplifiedArabic" w:hint="cs"/>
          <w:color w:val="1F1F1F"/>
          <w:sz w:val="28"/>
          <w:szCs w:val="28"/>
          <w:rtl/>
        </w:rPr>
        <w:t xml:space="preserve"> (العطرة،2021).</w:t>
      </w:r>
    </w:p>
    <w:p w14:paraId="385C386B"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 xml:space="preserve">تقليل النزاعات والصراعات </w:t>
      </w:r>
      <w:r w:rsidRPr="00545500">
        <w:rPr>
          <w:rFonts w:ascii="SimplifiedArabic" w:hAnsi="Courier New" w:cs="SimplifiedArabic" w:hint="cs"/>
          <w:color w:val="1F1F1F"/>
          <w:sz w:val="28"/>
          <w:szCs w:val="28"/>
          <w:rtl/>
        </w:rPr>
        <w:t>التنظيمية</w:t>
      </w:r>
      <w:r w:rsidRPr="00545500">
        <w:rPr>
          <w:rFonts w:ascii="SimplifiedArabic" w:hAnsi="Courier New" w:cs="SimplifiedArabic"/>
          <w:color w:val="1F1F1F"/>
          <w:sz w:val="28"/>
          <w:szCs w:val="28"/>
        </w:rPr>
        <w:t>:</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يُعتبر التلاعب أحد الأسباب الرئيسية لنشوء النزاعات داخل المؤسسات، لأنه يجعل بعض الموظفين يشعرون بالتمييز أو الظلم. بالتالي، تقليل هذه الظاهرة يقلل من فرصة حدوث صراعات بين الأفراد أو بين الموظفين والإدارة، مما يساهم في خلق بيئة عمل أكثر استقرارًا وتعاونًا، ويعزز روح الفريق</w:t>
      </w:r>
      <w:r w:rsidRPr="00545500">
        <w:rPr>
          <w:rFonts w:ascii="SimplifiedArabic" w:hAnsi="Courier New" w:cs="SimplifiedArabic" w:hint="cs"/>
          <w:color w:val="1F1F1F"/>
          <w:sz w:val="28"/>
          <w:szCs w:val="28"/>
          <w:rtl/>
        </w:rPr>
        <w:t xml:space="preserve"> (عيسي، محمد، 2022، 51، 52).</w:t>
      </w:r>
    </w:p>
    <w:p w14:paraId="44ED2F19"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Pr>
        <w:t xml:space="preserve"> </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تقليل التلاعب في القرارات الإدارية ليست مجرد خطوة رقابية، بل يعتبر وسيلة استراتيجية لتحسين بيئة العمل وزيادة جودة الإدارة داخل المنظمة. فهو يعزز العدالة والثقة، ويرفع كفاءة الأداء، ويساعد على تحقيق الأهداف الاستراتيجية، مما يجعله عنصراً أساسياً في نجاح واستمرار المؤسسات في بيئة تنافسية تتغير باستمرار.</w:t>
      </w:r>
    </w:p>
    <w:p w14:paraId="5A349DD5"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1F1F1F"/>
          <w:sz w:val="28"/>
          <w:szCs w:val="28"/>
          <w:rtl/>
        </w:rPr>
      </w:pPr>
      <w:r w:rsidRPr="00545500">
        <w:rPr>
          <w:rFonts w:ascii="SimplifiedArabic" w:hAnsi="Courier New" w:cs="SimplifiedArabic"/>
          <w:b/>
          <w:bCs/>
          <w:color w:val="1F1F1F"/>
          <w:sz w:val="28"/>
          <w:szCs w:val="28"/>
          <w:rtl/>
        </w:rPr>
        <w:t>أبعاد التلاعب بالقرارات الإدارية</w:t>
      </w:r>
      <w:r w:rsidRPr="00545500">
        <w:rPr>
          <w:rFonts w:ascii="SimplifiedArabic" w:hAnsi="Courier New" w:cs="SimplifiedArabic" w:hint="cs"/>
          <w:b/>
          <w:bCs/>
          <w:color w:val="1F1F1F"/>
          <w:sz w:val="28"/>
          <w:szCs w:val="28"/>
          <w:rtl/>
        </w:rPr>
        <w:t>:</w:t>
      </w:r>
    </w:p>
    <w:p w14:paraId="2F97E6B9"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يمكن تحليل التلاعب بالقرارات الإدارية من خلال مجموعة من الأبعاد الرئيسية التي تعكس أشكاله داخل المنظمة:</w:t>
      </w:r>
    </w:p>
    <w:p w14:paraId="717B01B9"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tl/>
        </w:rPr>
        <w:t xml:space="preserve">أ. التحيز </w:t>
      </w:r>
      <w:r w:rsidRPr="00545500">
        <w:rPr>
          <w:rFonts w:ascii="SimplifiedArabic" w:hAnsi="Courier New" w:cs="SimplifiedArabic" w:hint="cs"/>
          <w:color w:val="1F1F1F"/>
          <w:sz w:val="28"/>
          <w:szCs w:val="28"/>
          <w:rtl/>
        </w:rPr>
        <w:t>والمحسوبية</w:t>
      </w:r>
      <w:r w:rsidRPr="00545500">
        <w:rPr>
          <w:rFonts w:ascii="SimplifiedArabic" w:hAnsi="Courier New" w:cs="SimplifiedArabic"/>
          <w:color w:val="1F1F1F"/>
          <w:sz w:val="28"/>
          <w:szCs w:val="28"/>
        </w:rPr>
        <w:t>:</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 xml:space="preserve">يعتبر التحيز واحدًا من أكثر الأمور وضوحًا في التلاعب، حيث يتم تفضيل بعض الأشخاص على الآخرين استنادًا إلى علاقاتهم الشخصية أو انتماءاتهم، بدلاً من الاعتماد على مهاراتهم </w:t>
      </w:r>
      <w:r w:rsidRPr="00545500">
        <w:rPr>
          <w:rFonts w:ascii="SimplifiedArabic" w:hAnsi="Courier New" w:cs="SimplifiedArabic"/>
          <w:color w:val="1F1F1F"/>
          <w:sz w:val="28"/>
          <w:szCs w:val="28"/>
          <w:rtl/>
        </w:rPr>
        <w:lastRenderedPageBreak/>
        <w:t>أو إنجازاتهم. يمكن رؤية ذلك بوضوح في اختيارات التوظيف والترقيات، مما يؤدي إلى تقليل العدالة داخل المؤسسة وتدني مستوى الكفاءة</w:t>
      </w:r>
      <w:r w:rsidRPr="00545500">
        <w:rPr>
          <w:rFonts w:ascii="SimplifiedArabic" w:hAnsi="Courier New" w:cs="SimplifiedArabic" w:hint="cs"/>
          <w:color w:val="1F1F1F"/>
          <w:sz w:val="28"/>
          <w:szCs w:val="28"/>
          <w:rtl/>
        </w:rPr>
        <w:t xml:space="preserve"> (شعبان، 2019).</w:t>
      </w:r>
    </w:p>
    <w:p w14:paraId="16FE1118"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 xml:space="preserve">ب. تحريف </w:t>
      </w:r>
      <w:r w:rsidRPr="00545500">
        <w:rPr>
          <w:rFonts w:ascii="SimplifiedArabic" w:hAnsi="Courier New" w:cs="SimplifiedArabic" w:hint="cs"/>
          <w:color w:val="1F1F1F"/>
          <w:sz w:val="28"/>
          <w:szCs w:val="28"/>
          <w:rtl/>
        </w:rPr>
        <w:t>المعلومات</w:t>
      </w:r>
      <w:r w:rsidRPr="00545500">
        <w:rPr>
          <w:rFonts w:ascii="SimplifiedArabic" w:hAnsi="Courier New" w:cs="SimplifiedArabic"/>
          <w:color w:val="1F1F1F"/>
          <w:sz w:val="28"/>
          <w:szCs w:val="28"/>
        </w:rPr>
        <w:t>:</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هذا البعد يتعلق بتقديم معلومات غير صحيحة أو إخفاء بعض الحقائق أثناء اتخاذ القرارات، بهدف التأثير على النتائج. قد يحدث هذا الأمر في تقارير الأداء أو تقييم المشاريع، مما يؤدي إلى اتخاذ قرارات خاطئة</w:t>
      </w:r>
      <w:r w:rsidRPr="00545500">
        <w:rPr>
          <w:rFonts w:ascii="SimplifiedArabic" w:hAnsi="Courier New" w:cs="SimplifiedArabic" w:hint="cs"/>
          <w:color w:val="1F1F1F"/>
          <w:sz w:val="28"/>
          <w:szCs w:val="28"/>
          <w:rtl/>
        </w:rPr>
        <w:t xml:space="preserve"> (العطرة،2021).</w:t>
      </w:r>
    </w:p>
    <w:p w14:paraId="2BE27500"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 xml:space="preserve">ج. استغلال السلطة </w:t>
      </w:r>
      <w:r w:rsidRPr="00545500">
        <w:rPr>
          <w:rFonts w:ascii="SimplifiedArabic" w:hAnsi="Courier New" w:cs="SimplifiedArabic" w:hint="cs"/>
          <w:color w:val="1F1F1F"/>
          <w:sz w:val="28"/>
          <w:szCs w:val="28"/>
          <w:rtl/>
        </w:rPr>
        <w:t>الوظيفية</w:t>
      </w:r>
      <w:r w:rsidRPr="00545500">
        <w:rPr>
          <w:rFonts w:ascii="SimplifiedArabic" w:hAnsi="Courier New" w:cs="SimplifiedArabic"/>
          <w:color w:val="1F1F1F"/>
          <w:sz w:val="28"/>
          <w:szCs w:val="28"/>
        </w:rPr>
        <w:t>:</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هذا يشير إلى استخدام القوة الإدارية لتحقيق فوائد شخصية، مثل فرض قرارات غير عادلة أو تجاوز الإجراءات المعمول بها. يعتبر هذا التصرف من أخطر أشكال التلاعب، إذ أنه من الصعب اكتشافه بسبب ضعف الرقابة</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w:t>
      </w:r>
      <w:r w:rsidRPr="00545500">
        <w:rPr>
          <w:rFonts w:ascii="SimplifiedArabic" w:hAnsi="Courier New" w:cs="SimplifiedArabic" w:hint="cs"/>
          <w:color w:val="1F1F1F"/>
          <w:sz w:val="28"/>
          <w:szCs w:val="28"/>
          <w:rtl/>
        </w:rPr>
        <w:t>المحمدي، الشناوي، 2024، ص16، 17).</w:t>
      </w:r>
    </w:p>
    <w:p w14:paraId="29AF4C14"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 xml:space="preserve">د. غياب المعايير </w:t>
      </w:r>
      <w:r w:rsidRPr="00545500">
        <w:rPr>
          <w:rFonts w:ascii="SimplifiedArabic" w:hAnsi="Courier New" w:cs="SimplifiedArabic" w:hint="cs"/>
          <w:color w:val="1F1F1F"/>
          <w:sz w:val="28"/>
          <w:szCs w:val="28"/>
          <w:rtl/>
        </w:rPr>
        <w:t>الموضوعية</w:t>
      </w:r>
      <w:r w:rsidRPr="00545500">
        <w:rPr>
          <w:rFonts w:ascii="SimplifiedArabic" w:hAnsi="Courier New" w:cs="SimplifiedArabic"/>
          <w:color w:val="1F1F1F"/>
          <w:sz w:val="28"/>
          <w:szCs w:val="28"/>
        </w:rPr>
        <w:t>:</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يحدث التلاعب عندما لا توجد معايير واضحة وثابتة لاتخاذ القرارات، مما يتيح المجال للتفسيرات الشخصية والاجتهادات الفردية، ويزيد من احتمال الانحراف في اتخاذ القرارات</w:t>
      </w:r>
      <w:r w:rsidRPr="00545500">
        <w:rPr>
          <w:rFonts w:ascii="SimplifiedArabic" w:hAnsi="Courier New" w:cs="SimplifiedArabic" w:hint="cs"/>
          <w:color w:val="1F1F1F"/>
          <w:sz w:val="28"/>
          <w:szCs w:val="28"/>
          <w:rtl/>
        </w:rPr>
        <w:t xml:space="preserve"> (شعبان، 2019).</w:t>
      </w:r>
    </w:p>
    <w:p w14:paraId="45067541"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color w:val="1F1F1F"/>
          <w:sz w:val="28"/>
          <w:szCs w:val="28"/>
        </w:rPr>
        <w:t xml:space="preserve"> </w:t>
      </w:r>
      <w:r w:rsidRPr="00545500">
        <w:rPr>
          <w:rFonts w:ascii="SimplifiedArabic" w:hAnsi="Courier New" w:cs="SimplifiedArabic"/>
          <w:color w:val="1F1F1F"/>
          <w:sz w:val="28"/>
          <w:szCs w:val="28"/>
          <w:rtl/>
        </w:rPr>
        <w:t xml:space="preserve">هـ. ضعف الرقابة </w:t>
      </w:r>
      <w:r w:rsidRPr="00545500">
        <w:rPr>
          <w:rFonts w:ascii="SimplifiedArabic" w:hAnsi="Courier New" w:cs="SimplifiedArabic" w:hint="cs"/>
          <w:color w:val="1F1F1F"/>
          <w:sz w:val="28"/>
          <w:szCs w:val="28"/>
          <w:rtl/>
        </w:rPr>
        <w:t>والمساءلة</w:t>
      </w:r>
      <w:r w:rsidRPr="00545500">
        <w:rPr>
          <w:rFonts w:ascii="SimplifiedArabic" w:hAnsi="Courier New" w:cs="SimplifiedArabic"/>
          <w:color w:val="1F1F1F"/>
          <w:sz w:val="28"/>
          <w:szCs w:val="28"/>
        </w:rPr>
        <w:t>:</w:t>
      </w:r>
      <w:r w:rsidRPr="00545500">
        <w:rPr>
          <w:rFonts w:ascii="SimplifiedArabic" w:hAnsi="Courier New" w:cs="SimplifiedArabic" w:hint="cs"/>
          <w:color w:val="1F1F1F"/>
          <w:sz w:val="28"/>
          <w:szCs w:val="28"/>
          <w:rtl/>
        </w:rPr>
        <w:t xml:space="preserve"> يساعد</w:t>
      </w:r>
      <w:r w:rsidRPr="00545500">
        <w:rPr>
          <w:rFonts w:ascii="SimplifiedArabic" w:hAnsi="Courier New" w:cs="SimplifiedArabic"/>
          <w:color w:val="1F1F1F"/>
          <w:sz w:val="28"/>
          <w:szCs w:val="28"/>
          <w:rtl/>
        </w:rPr>
        <w:t xml:space="preserve"> غياب الرقابة الفعالة ووسائل المساءلة في انتشار التلاعب، حيث لا توجد جهات تشرف على أو تحاسب المتخذين للقرارات، مما يشجع على تكرار هذه السلوكيات</w:t>
      </w:r>
      <w:r w:rsidRPr="00545500">
        <w:rPr>
          <w:rFonts w:ascii="SimplifiedArabic" w:hAnsi="Courier New" w:cs="SimplifiedArabic" w:hint="cs"/>
          <w:color w:val="1F1F1F"/>
          <w:sz w:val="28"/>
          <w:szCs w:val="28"/>
          <w:rtl/>
        </w:rPr>
        <w:t xml:space="preserve"> (العطرة،2021).</w:t>
      </w:r>
    </w:p>
    <w:p w14:paraId="23CD1E39"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1F1F1F"/>
          <w:sz w:val="28"/>
          <w:szCs w:val="28"/>
          <w:rtl/>
        </w:rPr>
      </w:pPr>
      <w:r w:rsidRPr="00545500">
        <w:rPr>
          <w:rFonts w:ascii="SimplifiedArabic" w:hAnsi="Courier New" w:cs="SimplifiedArabic"/>
          <w:b/>
          <w:bCs/>
          <w:color w:val="1F1F1F"/>
          <w:sz w:val="28"/>
          <w:szCs w:val="28"/>
          <w:rtl/>
        </w:rPr>
        <w:t>استراتيجيات الحد من التلاعب بالقرارات الإدارية</w:t>
      </w:r>
      <w:r w:rsidRPr="00545500">
        <w:rPr>
          <w:rFonts w:ascii="SimplifiedArabic" w:hAnsi="Courier New" w:cs="SimplifiedArabic" w:hint="cs"/>
          <w:b/>
          <w:bCs/>
          <w:color w:val="1F1F1F"/>
          <w:sz w:val="28"/>
          <w:szCs w:val="28"/>
          <w:rtl/>
        </w:rPr>
        <w:t>:</w:t>
      </w:r>
    </w:p>
    <w:p w14:paraId="0F0D41DC"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 xml:space="preserve">مواجهة التلاعب في اتخاذ القرارات الإدارية تحتاج إلى استخدام مجموعة من الطرق المتكاملة التي تركز على زيادة الشفافية، ودعم العدالة، وتفعيل أنظمة الرقابة داخل المؤسسة. حوكمة الموارد </w:t>
      </w:r>
      <w:r w:rsidRPr="00545500">
        <w:rPr>
          <w:rFonts w:ascii="SimplifiedArabic" w:hAnsi="Courier New" w:cs="SimplifiedArabic"/>
          <w:color w:val="1F1F1F"/>
          <w:sz w:val="28"/>
          <w:szCs w:val="28"/>
          <w:rtl/>
        </w:rPr>
        <w:lastRenderedPageBreak/>
        <w:t>البشرية تُعتبر من أبرز هذه الطرق، حيث تساعد في وضع إطار واضح ينظم كافة الأنشطة المتعلقة بالموارد البشرية مثل التوظيف والترقية وتقييم الأداء، وفق معايير شفافة وقابلة للقياس. هذا يساعد في تقليص الاجتهادات الشخصية وتقليل تأثير العلاقات أو المصلحة الشخصية على القرارات الإدارية</w:t>
      </w:r>
      <w:r w:rsidRPr="00545500">
        <w:rPr>
          <w:rFonts w:ascii="SimplifiedArabic" w:hAnsi="Courier New" w:cs="SimplifiedArabic" w:hint="cs"/>
          <w:color w:val="1F1F1F"/>
          <w:sz w:val="28"/>
          <w:szCs w:val="28"/>
          <w:rtl/>
        </w:rPr>
        <w:t xml:space="preserve"> (شعبان، 2019).</w:t>
      </w:r>
    </w:p>
    <w:p w14:paraId="0AA43D89"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إن تعزيز أنظمة الرقابة الداخلية يمثل أحد الركائز الأساسية للحد من التلاعب، حيث تمكن هذه الأنظمة من متابعة القرارات الإدارية بشكل دائم، والتحقق من التزامها بالسياسات والإجراءات المعتمدة. كما تسهم عمليات التدقيق والمراجعة الدورية في اكتشاف أي انحرافات أو ممارسات غير قانونية مبكرًا، مما يقلل من انتشارها ويعزز المساءلة داخل المؤسسة</w:t>
      </w:r>
      <w:r w:rsidRPr="00545500">
        <w:rPr>
          <w:rFonts w:ascii="SimplifiedArabic" w:hAnsi="Courier New" w:cs="SimplifiedArabic" w:hint="cs"/>
          <w:color w:val="1F1F1F"/>
          <w:sz w:val="28"/>
          <w:szCs w:val="28"/>
          <w:rtl/>
        </w:rPr>
        <w:t xml:space="preserve"> </w:t>
      </w:r>
      <w:r w:rsidRPr="00545500">
        <w:rPr>
          <w:rFonts w:ascii="SimplifiedArabic" w:hAnsi="Courier New" w:cs="SimplifiedArabic"/>
          <w:color w:val="1F1F1F"/>
          <w:sz w:val="28"/>
          <w:szCs w:val="28"/>
          <w:rtl/>
        </w:rPr>
        <w:t>(</w:t>
      </w:r>
      <w:r w:rsidRPr="00545500">
        <w:rPr>
          <w:rFonts w:ascii="SimplifiedArabic" w:hAnsi="Courier New" w:cs="SimplifiedArabic" w:hint="cs"/>
          <w:color w:val="1F1F1F"/>
          <w:sz w:val="28"/>
          <w:szCs w:val="28"/>
          <w:rtl/>
        </w:rPr>
        <w:t>المحمدي، الشناوي، 2024).</w:t>
      </w:r>
    </w:p>
    <w:p w14:paraId="59D9757A"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و</w:t>
      </w:r>
      <w:r w:rsidRPr="00545500">
        <w:rPr>
          <w:rFonts w:ascii="SimplifiedArabic" w:hAnsi="Courier New" w:cs="SimplifiedArabic"/>
          <w:color w:val="1F1F1F"/>
          <w:sz w:val="28"/>
          <w:szCs w:val="28"/>
          <w:rtl/>
        </w:rPr>
        <w:t>اعتماد معايير واضحة في اتخاذ القرارات يلعب دورًا حيويًا في تقليل التحيز، حيث يعتمد على مؤشرات أداء محددة وبيانات موثوقة لتقييم الموظفين واتخاذ القرارات الخاصة بهم. وهذا يعزز من جودة القرارات الإدارية ويضمن عدالتها، مما يعزز ثقة العاملين في الإدارة</w:t>
      </w:r>
      <w:r w:rsidRPr="00545500">
        <w:rPr>
          <w:rFonts w:ascii="SimplifiedArabic" w:hAnsi="Courier New" w:cs="SimplifiedArabic" w:hint="cs"/>
          <w:color w:val="1F1F1F"/>
          <w:sz w:val="28"/>
          <w:szCs w:val="28"/>
          <w:rtl/>
        </w:rPr>
        <w:t xml:space="preserve"> (العطرة،2021).</w:t>
      </w:r>
    </w:p>
    <w:p w14:paraId="067CB8D1"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1F1F1F"/>
          <w:sz w:val="28"/>
          <w:szCs w:val="28"/>
          <w:rtl/>
        </w:rPr>
      </w:pPr>
      <w:r w:rsidRPr="00545500">
        <w:rPr>
          <w:rFonts w:ascii="SimplifiedArabic" w:hAnsi="Courier New" w:cs="SimplifiedArabic" w:hint="cs"/>
          <w:color w:val="1F1F1F"/>
          <w:sz w:val="28"/>
          <w:szCs w:val="28"/>
          <w:rtl/>
        </w:rPr>
        <w:t xml:space="preserve">     و</w:t>
      </w:r>
      <w:r w:rsidRPr="00545500">
        <w:rPr>
          <w:rFonts w:ascii="SimplifiedArabic" w:hAnsi="Courier New" w:cs="SimplifiedArabic"/>
          <w:color w:val="1F1F1F"/>
          <w:sz w:val="28"/>
          <w:szCs w:val="28"/>
          <w:rtl/>
        </w:rPr>
        <w:t>لا يمكن تجاهل دور بناء ثقافة تنظيمية ترتكز على النزاهة والأخلاقيات المهنية، حيث تلعب هذه الثقافة دورًا في توجيه سلوك الأفراد نحو الالتزام بالقيم المؤسسية، وتقليل التصرفات غير الأخلاقية. ويتم ذلك من خلال برامج التدريب والتثقيف، ووضع مدونات سلوك واضحة تحدد المعايير المقبولة داخل المؤسسة</w:t>
      </w:r>
      <w:r w:rsidRPr="00545500">
        <w:rPr>
          <w:rFonts w:ascii="SimplifiedArabic" w:hAnsi="Courier New" w:cs="SimplifiedArabic" w:hint="cs"/>
          <w:color w:val="1F1F1F"/>
          <w:sz w:val="28"/>
          <w:szCs w:val="28"/>
          <w:rtl/>
        </w:rPr>
        <w:t>، و</w:t>
      </w:r>
      <w:r w:rsidRPr="00545500">
        <w:rPr>
          <w:rFonts w:ascii="SimplifiedArabic" w:hAnsi="Courier New" w:cs="SimplifiedArabic"/>
          <w:color w:val="1F1F1F"/>
          <w:sz w:val="28"/>
          <w:szCs w:val="28"/>
          <w:rtl/>
        </w:rPr>
        <w:t xml:space="preserve">إن تفعيل قنوات الشكاوى والمساءلة يُعتبر وسيلة مهمة للكشف عن حالات التلاعب، حيث يتيح للموظفين الإبلاغ عن أي ممارسات غير عادلة أو مشبوهة في أجواء آمنة. ويساعد ذلك على </w:t>
      </w:r>
      <w:r w:rsidRPr="00545500">
        <w:rPr>
          <w:rFonts w:ascii="SimplifiedArabic" w:hAnsi="Courier New" w:cs="SimplifiedArabic"/>
          <w:color w:val="1F1F1F"/>
          <w:sz w:val="28"/>
          <w:szCs w:val="28"/>
          <w:rtl/>
        </w:rPr>
        <w:lastRenderedPageBreak/>
        <w:t>تعزيز الرقابة الداخلية والتعامل مع الانحرافات بسرعة وفاعلية، مما يسهم في إنشاء بيئة عمل عادلة وشفافية.</w:t>
      </w:r>
    </w:p>
    <w:p w14:paraId="79CAE830" w14:textId="77777777" w:rsidR="00545500" w:rsidRPr="00545500" w:rsidRDefault="00545500" w:rsidP="00545500">
      <w:pPr>
        <w:autoSpaceDE w:val="0"/>
        <w:autoSpaceDN w:val="0"/>
        <w:bidi/>
        <w:adjustRightInd w:val="0"/>
        <w:spacing w:after="0" w:line="240" w:lineRule="auto"/>
        <w:outlineLvl w:val="0"/>
        <w:rPr>
          <w:rFonts w:ascii="SimplifiedArabic-Bold" w:hAnsi="Courier New" w:cs="SimplifiedArabic-Bold"/>
          <w:b/>
          <w:bCs/>
          <w:color w:val="1F1F1F"/>
          <w:sz w:val="36"/>
          <w:szCs w:val="36"/>
          <w:rtl/>
        </w:rPr>
      </w:pPr>
      <w:bookmarkStart w:id="20" w:name="_Toc225424361"/>
      <w:r w:rsidRPr="00545500">
        <w:rPr>
          <w:rFonts w:ascii="SimplifiedArabic-Bold" w:hAnsi="Courier New" w:cs="SimplifiedArabic-Bold" w:hint="cs"/>
          <w:b/>
          <w:bCs/>
          <w:color w:val="1F1F1F"/>
          <w:sz w:val="36"/>
          <w:szCs w:val="36"/>
          <w:rtl/>
        </w:rPr>
        <w:t>الدراسات</w:t>
      </w:r>
      <w:r w:rsidRPr="00545500">
        <w:rPr>
          <w:rFonts w:ascii="SimplifiedArabic-Bold" w:hAnsi="Courier New" w:cs="SimplifiedArabic-Bold"/>
          <w:b/>
          <w:bCs/>
          <w:color w:val="1F1F1F"/>
          <w:sz w:val="36"/>
          <w:szCs w:val="36"/>
          <w:rtl/>
        </w:rPr>
        <w:t xml:space="preserve"> </w:t>
      </w:r>
      <w:r w:rsidRPr="00545500">
        <w:rPr>
          <w:rFonts w:ascii="SimplifiedArabic-Bold" w:hAnsi="Courier New" w:cs="SimplifiedArabic-Bold" w:hint="cs"/>
          <w:b/>
          <w:bCs/>
          <w:color w:val="1F1F1F"/>
          <w:sz w:val="36"/>
          <w:szCs w:val="36"/>
          <w:rtl/>
        </w:rPr>
        <w:t>السابقة</w:t>
      </w:r>
      <w:r w:rsidRPr="00545500">
        <w:rPr>
          <w:rFonts w:ascii="SimplifiedArabic-Bold" w:hAnsi="Courier New" w:cs="SimplifiedArabic-Bold"/>
          <w:b/>
          <w:bCs/>
          <w:color w:val="1F1F1F"/>
          <w:sz w:val="36"/>
          <w:szCs w:val="36"/>
        </w:rPr>
        <w:t>:</w:t>
      </w:r>
      <w:bookmarkEnd w:id="20"/>
    </w:p>
    <w:p w14:paraId="783A7777" w14:textId="77777777" w:rsidR="00545500" w:rsidRPr="00545500" w:rsidRDefault="00545500" w:rsidP="00545500">
      <w:pPr>
        <w:autoSpaceDE w:val="0"/>
        <w:autoSpaceDN w:val="0"/>
        <w:bidi/>
        <w:adjustRightInd w:val="0"/>
        <w:spacing w:after="0" w:line="240" w:lineRule="auto"/>
        <w:rPr>
          <w:rFonts w:ascii="SimplifiedArabic-Bold" w:hAnsi="Courier New" w:cs="SimplifiedArabic-Bold"/>
          <w:b/>
          <w:bCs/>
          <w:color w:val="1F1F1F"/>
          <w:sz w:val="32"/>
          <w:szCs w:val="32"/>
        </w:rPr>
      </w:pPr>
    </w:p>
    <w:p w14:paraId="7605FE26" w14:textId="77777777" w:rsidR="00545500" w:rsidRPr="00545500" w:rsidRDefault="00545500" w:rsidP="00545500">
      <w:pPr>
        <w:autoSpaceDE w:val="0"/>
        <w:autoSpaceDN w:val="0"/>
        <w:bidi/>
        <w:adjustRightInd w:val="0"/>
        <w:spacing w:after="0" w:line="240" w:lineRule="auto"/>
        <w:rPr>
          <w:rFonts w:ascii="SimplifiedArabic" w:hAnsi="Courier New" w:cs="SimplifiedArabic"/>
          <w:color w:val="222222"/>
          <w:sz w:val="28"/>
          <w:szCs w:val="28"/>
          <w:rtl/>
        </w:rPr>
      </w:pPr>
      <w:r w:rsidRPr="00545500">
        <w:rPr>
          <w:rFonts w:ascii="SimplifiedArabic" w:hAnsi="Courier New" w:cs="SimplifiedArabic" w:hint="cs"/>
          <w:color w:val="222222"/>
          <w:sz w:val="28"/>
          <w:szCs w:val="28"/>
          <w:rtl/>
        </w:rPr>
        <w:t xml:space="preserve">    من</w:t>
      </w:r>
      <w:r w:rsidRPr="00545500">
        <w:rPr>
          <w:rFonts w:ascii="SimplifiedArabic" w:hAnsi="Courier New" w:cs="SimplifiedArabic"/>
          <w:color w:val="222222"/>
          <w:sz w:val="28"/>
          <w:szCs w:val="28"/>
          <w:rtl/>
        </w:rPr>
        <w:t xml:space="preserve"> </w:t>
      </w:r>
      <w:r w:rsidRPr="00545500">
        <w:rPr>
          <w:rFonts w:ascii="SimplifiedArabic" w:hAnsi="Courier New" w:cs="SimplifiedArabic" w:hint="cs"/>
          <w:color w:val="222222"/>
          <w:sz w:val="28"/>
          <w:szCs w:val="28"/>
          <w:rtl/>
        </w:rPr>
        <w:t>خلال</w:t>
      </w:r>
      <w:r w:rsidRPr="00545500">
        <w:rPr>
          <w:rFonts w:ascii="SimplifiedArabic" w:hAnsi="Courier New" w:cs="SimplifiedArabic"/>
          <w:color w:val="222222"/>
          <w:sz w:val="28"/>
          <w:szCs w:val="28"/>
          <w:rtl/>
        </w:rPr>
        <w:t xml:space="preserve"> </w:t>
      </w:r>
      <w:r w:rsidRPr="00545500">
        <w:rPr>
          <w:rFonts w:ascii="SimplifiedArabic" w:hAnsi="Courier New" w:cs="SimplifiedArabic" w:hint="cs"/>
          <w:color w:val="222222"/>
          <w:sz w:val="28"/>
          <w:szCs w:val="28"/>
          <w:rtl/>
        </w:rPr>
        <w:t>هذا</w:t>
      </w:r>
      <w:r w:rsidRPr="00545500">
        <w:rPr>
          <w:rFonts w:ascii="SimplifiedArabic" w:hAnsi="Courier New" w:cs="SimplifiedArabic"/>
          <w:color w:val="222222"/>
          <w:sz w:val="28"/>
          <w:szCs w:val="28"/>
          <w:rtl/>
        </w:rPr>
        <w:t xml:space="preserve"> </w:t>
      </w:r>
      <w:r w:rsidRPr="00545500">
        <w:rPr>
          <w:rFonts w:ascii="SimplifiedArabic" w:hAnsi="Courier New" w:cs="SimplifiedArabic" w:hint="cs"/>
          <w:color w:val="222222"/>
          <w:sz w:val="28"/>
          <w:szCs w:val="28"/>
          <w:rtl/>
        </w:rPr>
        <w:t>القسم،</w:t>
      </w:r>
      <w:r w:rsidRPr="00545500">
        <w:rPr>
          <w:rFonts w:ascii="SimplifiedArabic" w:hAnsi="Courier New" w:cs="SimplifiedArabic"/>
          <w:color w:val="222222"/>
          <w:sz w:val="28"/>
          <w:szCs w:val="28"/>
          <w:rtl/>
        </w:rPr>
        <w:t xml:space="preserve"> </w:t>
      </w:r>
      <w:r w:rsidRPr="00545500">
        <w:rPr>
          <w:rFonts w:ascii="SimplifiedArabic" w:hAnsi="Courier New" w:cs="SimplifiedArabic" w:hint="cs"/>
          <w:color w:val="222222"/>
          <w:sz w:val="28"/>
          <w:szCs w:val="28"/>
          <w:rtl/>
        </w:rPr>
        <w:t>سوف</w:t>
      </w:r>
      <w:r w:rsidRPr="00545500">
        <w:rPr>
          <w:rFonts w:ascii="SimplifiedArabic" w:hAnsi="Courier New" w:cs="SimplifiedArabic"/>
          <w:color w:val="222222"/>
          <w:sz w:val="28"/>
          <w:szCs w:val="28"/>
          <w:rtl/>
        </w:rPr>
        <w:t xml:space="preserve"> </w:t>
      </w:r>
      <w:r w:rsidRPr="00545500">
        <w:rPr>
          <w:rFonts w:ascii="SimplifiedArabic" w:hAnsi="Courier New" w:cs="SimplifiedArabic" w:hint="cs"/>
          <w:color w:val="222222"/>
          <w:sz w:val="28"/>
          <w:szCs w:val="28"/>
          <w:rtl/>
        </w:rPr>
        <w:t>نتناول</w:t>
      </w:r>
      <w:r w:rsidRPr="00545500">
        <w:rPr>
          <w:rFonts w:ascii="SimplifiedArabic" w:hAnsi="Courier New" w:cs="SimplifiedArabic"/>
          <w:color w:val="222222"/>
          <w:sz w:val="28"/>
          <w:szCs w:val="28"/>
          <w:rtl/>
        </w:rPr>
        <w:t xml:space="preserve"> </w:t>
      </w:r>
      <w:r w:rsidRPr="00545500">
        <w:rPr>
          <w:rFonts w:ascii="SimplifiedArabic" w:hAnsi="Courier New" w:cs="SimplifiedArabic" w:hint="cs"/>
          <w:color w:val="222222"/>
          <w:sz w:val="28"/>
          <w:szCs w:val="28"/>
          <w:rtl/>
        </w:rPr>
        <w:t>فيه</w:t>
      </w:r>
      <w:r w:rsidRPr="00545500">
        <w:rPr>
          <w:rFonts w:ascii="SimplifiedArabic" w:hAnsi="Courier New" w:cs="SimplifiedArabic"/>
          <w:color w:val="222222"/>
          <w:sz w:val="28"/>
          <w:szCs w:val="28"/>
          <w:rtl/>
        </w:rPr>
        <w:t xml:space="preserve"> </w:t>
      </w:r>
      <w:r w:rsidRPr="00545500">
        <w:rPr>
          <w:rFonts w:ascii="SimplifiedArabic" w:hAnsi="Courier New" w:cs="SimplifiedArabic" w:hint="cs"/>
          <w:color w:val="222222"/>
          <w:sz w:val="28"/>
          <w:szCs w:val="28"/>
          <w:rtl/>
        </w:rPr>
        <w:t>الدراسات</w:t>
      </w:r>
      <w:r w:rsidRPr="00545500">
        <w:rPr>
          <w:rFonts w:ascii="SimplifiedArabic" w:hAnsi="Courier New" w:cs="SimplifiedArabic"/>
          <w:color w:val="222222"/>
          <w:sz w:val="28"/>
          <w:szCs w:val="28"/>
          <w:rtl/>
        </w:rPr>
        <w:t xml:space="preserve"> </w:t>
      </w:r>
      <w:r w:rsidRPr="00545500">
        <w:rPr>
          <w:rFonts w:ascii="SimplifiedArabic" w:hAnsi="Courier New" w:cs="SimplifiedArabic" w:hint="cs"/>
          <w:color w:val="222222"/>
          <w:sz w:val="28"/>
          <w:szCs w:val="28"/>
          <w:rtl/>
        </w:rPr>
        <w:t>السابقة</w:t>
      </w:r>
      <w:r w:rsidRPr="00545500">
        <w:rPr>
          <w:rFonts w:ascii="SimplifiedArabic" w:hAnsi="Courier New" w:cs="SimplifiedArabic"/>
          <w:color w:val="222222"/>
          <w:sz w:val="28"/>
          <w:szCs w:val="28"/>
          <w:rtl/>
        </w:rPr>
        <w:t xml:space="preserve"> </w:t>
      </w:r>
      <w:r w:rsidRPr="00545500">
        <w:rPr>
          <w:rFonts w:ascii="SimplifiedArabic" w:hAnsi="Courier New" w:cs="SimplifiedArabic" w:hint="cs"/>
          <w:color w:val="222222"/>
          <w:sz w:val="28"/>
          <w:szCs w:val="28"/>
          <w:rtl/>
        </w:rPr>
        <w:t>وما</w:t>
      </w:r>
      <w:r w:rsidRPr="00545500">
        <w:rPr>
          <w:rFonts w:ascii="SimplifiedArabic" w:hAnsi="Courier New" w:cs="SimplifiedArabic"/>
          <w:color w:val="222222"/>
          <w:sz w:val="28"/>
          <w:szCs w:val="28"/>
          <w:rtl/>
        </w:rPr>
        <w:t xml:space="preserve"> </w:t>
      </w:r>
      <w:r w:rsidRPr="00545500">
        <w:rPr>
          <w:rFonts w:ascii="SimplifiedArabic" w:hAnsi="Courier New" w:cs="SimplifiedArabic" w:hint="cs"/>
          <w:color w:val="222222"/>
          <w:sz w:val="28"/>
          <w:szCs w:val="28"/>
          <w:rtl/>
        </w:rPr>
        <w:t>يميز</w:t>
      </w:r>
      <w:r w:rsidRPr="00545500">
        <w:rPr>
          <w:rFonts w:ascii="SimplifiedArabic" w:hAnsi="Courier New" w:cs="SimplifiedArabic"/>
          <w:color w:val="222222"/>
          <w:sz w:val="28"/>
          <w:szCs w:val="28"/>
          <w:rtl/>
        </w:rPr>
        <w:t xml:space="preserve"> </w:t>
      </w:r>
      <w:r w:rsidRPr="00545500">
        <w:rPr>
          <w:rFonts w:ascii="SimplifiedArabic" w:hAnsi="Courier New" w:cs="SimplifiedArabic" w:hint="cs"/>
          <w:color w:val="222222"/>
          <w:sz w:val="28"/>
          <w:szCs w:val="28"/>
          <w:rtl/>
        </w:rPr>
        <w:t>هذه</w:t>
      </w:r>
      <w:r w:rsidRPr="00545500">
        <w:rPr>
          <w:rFonts w:ascii="SimplifiedArabic" w:hAnsi="Courier New" w:cs="SimplifiedArabic"/>
          <w:color w:val="222222"/>
          <w:sz w:val="28"/>
          <w:szCs w:val="28"/>
          <w:rtl/>
        </w:rPr>
        <w:t xml:space="preserve"> </w:t>
      </w:r>
      <w:r w:rsidRPr="00545500">
        <w:rPr>
          <w:rFonts w:ascii="SimplifiedArabic" w:hAnsi="Courier New" w:cs="SimplifiedArabic" w:hint="cs"/>
          <w:color w:val="222222"/>
          <w:sz w:val="28"/>
          <w:szCs w:val="28"/>
          <w:rtl/>
        </w:rPr>
        <w:t>الدراسة</w:t>
      </w:r>
      <w:r w:rsidRPr="00545500">
        <w:rPr>
          <w:rFonts w:ascii="SimplifiedArabic" w:hAnsi="Courier New" w:cs="SimplifiedArabic"/>
          <w:color w:val="222222"/>
          <w:sz w:val="28"/>
          <w:szCs w:val="28"/>
          <w:rtl/>
        </w:rPr>
        <w:t xml:space="preserve"> </w:t>
      </w:r>
      <w:r w:rsidRPr="00545500">
        <w:rPr>
          <w:rFonts w:ascii="SimplifiedArabic" w:hAnsi="Courier New" w:cs="SimplifiedArabic" w:hint="cs"/>
          <w:color w:val="222222"/>
          <w:sz w:val="28"/>
          <w:szCs w:val="28"/>
          <w:rtl/>
        </w:rPr>
        <w:t>عن</w:t>
      </w:r>
      <w:r w:rsidRPr="00545500">
        <w:rPr>
          <w:rFonts w:ascii="SimplifiedArabic" w:hAnsi="Courier New" w:cs="SimplifiedArabic"/>
          <w:color w:val="222222"/>
          <w:sz w:val="28"/>
          <w:szCs w:val="28"/>
          <w:rtl/>
        </w:rPr>
        <w:t xml:space="preserve"> </w:t>
      </w:r>
      <w:r w:rsidRPr="00545500">
        <w:rPr>
          <w:rFonts w:ascii="SimplifiedArabic" w:hAnsi="Courier New" w:cs="SimplifiedArabic" w:hint="cs"/>
          <w:color w:val="222222"/>
          <w:sz w:val="28"/>
          <w:szCs w:val="28"/>
          <w:rtl/>
        </w:rPr>
        <w:t>الدراسات</w:t>
      </w:r>
      <w:r w:rsidRPr="00545500">
        <w:rPr>
          <w:rFonts w:ascii="SimplifiedArabic" w:hAnsi="Courier New" w:cs="SimplifiedArabic"/>
          <w:color w:val="222222"/>
          <w:sz w:val="28"/>
          <w:szCs w:val="28"/>
          <w:rtl/>
        </w:rPr>
        <w:t xml:space="preserve"> </w:t>
      </w:r>
      <w:r w:rsidRPr="00545500">
        <w:rPr>
          <w:rFonts w:ascii="SimplifiedArabic" w:hAnsi="Courier New" w:cs="SimplifiedArabic" w:hint="cs"/>
          <w:color w:val="222222"/>
          <w:sz w:val="28"/>
          <w:szCs w:val="28"/>
          <w:rtl/>
        </w:rPr>
        <w:t>السابقة</w:t>
      </w:r>
      <w:r w:rsidRPr="00545500">
        <w:rPr>
          <w:rFonts w:ascii="SimplifiedArabic" w:hAnsi="Courier New" w:cs="SimplifiedArabic"/>
          <w:color w:val="222222"/>
          <w:sz w:val="28"/>
          <w:szCs w:val="28"/>
        </w:rPr>
        <w:t>.</w:t>
      </w:r>
    </w:p>
    <w:p w14:paraId="5EF3E3A0" w14:textId="77777777" w:rsidR="00545500" w:rsidRPr="00545500" w:rsidRDefault="00545500" w:rsidP="00545500">
      <w:pPr>
        <w:autoSpaceDE w:val="0"/>
        <w:autoSpaceDN w:val="0"/>
        <w:bidi/>
        <w:adjustRightInd w:val="0"/>
        <w:spacing w:after="0" w:line="240" w:lineRule="auto"/>
        <w:rPr>
          <w:rFonts w:ascii="SimplifiedArabic" w:hAnsi="Courier New" w:cs="SimplifiedArabic"/>
          <w:color w:val="222222"/>
          <w:sz w:val="28"/>
          <w:szCs w:val="28"/>
          <w:rtl/>
        </w:rPr>
      </w:pPr>
    </w:p>
    <w:p w14:paraId="4D7059A6" w14:textId="77777777" w:rsidR="00545500" w:rsidRPr="00545500" w:rsidRDefault="00545500" w:rsidP="00545500">
      <w:pPr>
        <w:autoSpaceDE w:val="0"/>
        <w:autoSpaceDN w:val="0"/>
        <w:bidi/>
        <w:adjustRightInd w:val="0"/>
        <w:spacing w:after="0" w:line="240" w:lineRule="auto"/>
        <w:rPr>
          <w:rFonts w:ascii="SimplifiedArabic" w:hAnsi="Courier New" w:cs="SimplifiedArabic"/>
          <w:color w:val="222222"/>
          <w:sz w:val="28"/>
          <w:szCs w:val="28"/>
        </w:rPr>
      </w:pPr>
    </w:p>
    <w:p w14:paraId="6A2C1E0D" w14:textId="77777777" w:rsidR="00545500" w:rsidRPr="00545500" w:rsidRDefault="00545500" w:rsidP="00545500">
      <w:pPr>
        <w:autoSpaceDE w:val="0"/>
        <w:autoSpaceDN w:val="0"/>
        <w:bidi/>
        <w:adjustRightInd w:val="0"/>
        <w:spacing w:after="0" w:line="600" w:lineRule="auto"/>
        <w:jc w:val="lowKashida"/>
        <w:outlineLvl w:val="1"/>
        <w:rPr>
          <w:rFonts w:ascii="SimplifiedArabic" w:hAnsi="Courier New" w:cs="SimplifiedArabic"/>
          <w:color w:val="1F1F1F"/>
          <w:sz w:val="32"/>
          <w:szCs w:val="32"/>
          <w:rtl/>
        </w:rPr>
      </w:pPr>
      <w:bookmarkStart w:id="21" w:name="_Toc225424362"/>
      <w:r w:rsidRPr="00545500">
        <w:rPr>
          <w:rFonts w:ascii="SimplifiedArabic-Bold" w:hAnsi="Courier New" w:cs="SimplifiedArabic-Bold" w:hint="cs"/>
          <w:b/>
          <w:bCs/>
          <w:color w:val="1F1F1F"/>
          <w:sz w:val="32"/>
          <w:szCs w:val="32"/>
          <w:rtl/>
        </w:rPr>
        <w:t>الدراسات</w:t>
      </w:r>
      <w:r w:rsidRPr="00545500">
        <w:rPr>
          <w:rFonts w:ascii="SimplifiedArabic-Bold" w:hAnsi="Courier New" w:cs="SimplifiedArabic-Bold"/>
          <w:b/>
          <w:bCs/>
          <w:color w:val="1F1F1F"/>
          <w:sz w:val="32"/>
          <w:szCs w:val="32"/>
          <w:rtl/>
        </w:rPr>
        <w:t xml:space="preserve"> </w:t>
      </w:r>
      <w:r w:rsidRPr="00545500">
        <w:rPr>
          <w:rFonts w:ascii="SimplifiedArabic-Bold" w:hAnsi="Courier New" w:cs="SimplifiedArabic-Bold" w:hint="cs"/>
          <w:b/>
          <w:bCs/>
          <w:color w:val="1F1F1F"/>
          <w:sz w:val="32"/>
          <w:szCs w:val="32"/>
          <w:rtl/>
        </w:rPr>
        <w:t>العربية</w:t>
      </w:r>
      <w:r w:rsidRPr="00545500">
        <w:rPr>
          <w:rFonts w:ascii="SimplifiedArabic-Bold" w:hAnsi="Courier New" w:cs="SimplifiedArabic-Bold"/>
          <w:b/>
          <w:bCs/>
          <w:color w:val="1F1F1F"/>
          <w:sz w:val="32"/>
          <w:szCs w:val="32"/>
        </w:rPr>
        <w:t>:</w:t>
      </w:r>
      <w:bookmarkEnd w:id="21"/>
    </w:p>
    <w:p w14:paraId="3989D661"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222222"/>
          <w:sz w:val="28"/>
          <w:szCs w:val="28"/>
          <w:rtl/>
        </w:rPr>
      </w:pPr>
      <w:r w:rsidRPr="00545500">
        <w:rPr>
          <w:rFonts w:ascii="SimplifiedArabic" w:hAnsi="Courier New" w:cs="SimplifiedArabic" w:hint="cs"/>
          <w:b/>
          <w:bCs/>
          <w:color w:val="222222"/>
          <w:sz w:val="28"/>
          <w:szCs w:val="28"/>
          <w:rtl/>
        </w:rPr>
        <w:t xml:space="preserve">دراسة مرسال.(2020). بعنوان: </w:t>
      </w:r>
      <w:r w:rsidRPr="00545500">
        <w:rPr>
          <w:rFonts w:ascii="SimplifiedArabic" w:hAnsi="Courier New" w:cs="SimplifiedArabic"/>
          <w:b/>
          <w:bCs/>
          <w:color w:val="222222"/>
          <w:sz w:val="28"/>
          <w:szCs w:val="28"/>
          <w:rtl/>
        </w:rPr>
        <w:t>دور حوكمة الموارد البشرية في إدارة مخاطر الموارد البشرية: دراسة حالة شركة كولدير الهندسية المحدودة الخرطوم</w:t>
      </w:r>
      <w:r w:rsidRPr="00545500">
        <w:rPr>
          <w:rFonts w:ascii="SimplifiedArabic" w:hAnsi="Courier New" w:cs="SimplifiedArabic" w:hint="cs"/>
          <w:b/>
          <w:bCs/>
          <w:color w:val="222222"/>
          <w:sz w:val="28"/>
          <w:szCs w:val="28"/>
          <w:rtl/>
        </w:rPr>
        <w:t>.</w:t>
      </w:r>
    </w:p>
    <w:p w14:paraId="77F2122A"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rPr>
      </w:pPr>
      <w:r w:rsidRPr="00545500">
        <w:rPr>
          <w:rFonts w:ascii="SimplifiedArabic" w:hAnsi="Courier New" w:cs="SimplifiedArabic"/>
          <w:color w:val="222222"/>
          <w:sz w:val="28"/>
          <w:szCs w:val="28"/>
          <w:rtl/>
        </w:rPr>
        <w:t xml:space="preserve">تمثلت مشكلة الدراسة في أنه بالنظر للتجارب والنماذج المختلفة لتطبيق الحوكمة في العالم كان الاستنتاج الأعم هو إن فكر الحوكمة لم يساهم في حل كثير من المشكلات التي تواجه العمل المؤسسي نتيجة لأسباب كثيرة منها على سبيل المثال صعوبة تطبيقه واعتماده فقط على فكرة حل المشكلات التي تتعلق بالجوانب المالية والإدارية دون النظر للمشكلات التي تواجه الموارد البشرية والتي تمثل عصب العمل، كما إن مجال تطبيق الحوكمة في بعض المؤسسات يختلف عن تطبيقها في المؤسسات الأخرى، وعليه يمكن صياغة مشكلة البحث في التساؤلات هل هنالك علاقة بين الحوكمة ومخاطر الموارد البشرية، هل هنالك علاقة بين حوكمة الموارد البشرية ومخاطر الموارد البشرية، وهدف البحث إلى التعرف على مفهوم الحوكمة وأهميتها، التعرف على مفهوم مخاطر الموارد البشرية، الكشف عن دور الحوكمة في إدارة مخاطر الموارد البشرية، معرفة واقع ممارسة الحوكمة في المنظمات السودانية، دراسة وتحليل أثر حوكمة الموارد البشرية في إدارة مخاطر الموارد البشرية من خلال معايير الحوكمة، استخدمت </w:t>
      </w:r>
      <w:r w:rsidRPr="00545500">
        <w:rPr>
          <w:rFonts w:ascii="SimplifiedArabic" w:hAnsi="Courier New" w:cs="SimplifiedArabic"/>
          <w:color w:val="222222"/>
          <w:sz w:val="28"/>
          <w:szCs w:val="28"/>
          <w:rtl/>
        </w:rPr>
        <w:lastRenderedPageBreak/>
        <w:t>الدراسة المنهج الوصفي التحليلي، واختبرت الفروض توجد علاقة ذات دلالة إحصائية بين الحوكمة ومخاطر الموارد البشرية في شركة كولدير الهندسية، توجد علاقة ذات دلالة إحصائية بين حوكمة الموارد البشرية ومخاطر الموارد البشرية في شركة كولدير الهندسية، وقد توصلت الدراسة لعدد من النتائج أهمها أن شركة كولدير الهندسية المحدودة تعمل على تطبق الحوكمة فيها ويتضح ذلك من خلال الوسط الحسابي الذي يبلغ (3.50) بانحراف معياري (0.792)، لا توجد علاقة ذات دلالة إحصائية بين حوكمة الموارد البشرية ومخاطر الموارد البشرية في شركة كولدير الهندسية المحدودة، كما اوصت بعدد من التوصيات منها إنشاء إدارة خاصة بالحوكمة، العمل على ترسيخ مفهوم الحد من مخاطر الموارد البشرية بين العاملين، العمل على تقليل مخاطر استغلال المنصب بالشركة.</w:t>
      </w:r>
    </w:p>
    <w:p w14:paraId="1CAFC7AD"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222222"/>
          <w:sz w:val="28"/>
          <w:szCs w:val="28"/>
          <w:rtl/>
        </w:rPr>
      </w:pPr>
      <w:r w:rsidRPr="00545500">
        <w:rPr>
          <w:rFonts w:ascii="SimplifiedArabic" w:hAnsi="Courier New" w:cs="SimplifiedArabic" w:hint="cs"/>
          <w:b/>
          <w:bCs/>
          <w:color w:val="222222"/>
          <w:sz w:val="28"/>
          <w:szCs w:val="28"/>
          <w:rtl/>
        </w:rPr>
        <w:t xml:space="preserve">دراسة البلوشي.(2021). بعنوان: أثر حوكمة الموارد البشرية في الانسحاب النفسي من العمل: الدور المعدل للدعم التنظيمي المدرك </w:t>
      </w:r>
      <w:r w:rsidRPr="00545500">
        <w:rPr>
          <w:rFonts w:ascii="SimplifiedArabic" w:hAnsi="Courier New" w:cs="SimplifiedArabic"/>
          <w:b/>
          <w:bCs/>
          <w:color w:val="222222"/>
          <w:sz w:val="28"/>
          <w:szCs w:val="28"/>
          <w:rtl/>
        </w:rPr>
        <w:t>–</w:t>
      </w:r>
      <w:r w:rsidRPr="00545500">
        <w:rPr>
          <w:rFonts w:ascii="SimplifiedArabic" w:hAnsi="Courier New" w:cs="SimplifiedArabic" w:hint="cs"/>
          <w:b/>
          <w:bCs/>
          <w:color w:val="222222"/>
          <w:sz w:val="28"/>
          <w:szCs w:val="28"/>
          <w:rtl/>
        </w:rPr>
        <w:t xml:space="preserve"> دراسة حالة لشركة مسقط لتوزيع الكهرباء.</w:t>
      </w:r>
    </w:p>
    <w:p w14:paraId="1E8BF96A"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rPr>
      </w:pPr>
      <w:r w:rsidRPr="00545500">
        <w:rPr>
          <w:rFonts w:ascii="SimplifiedArabic" w:hAnsi="Courier New" w:cs="SimplifiedArabic"/>
          <w:color w:val="222222"/>
          <w:sz w:val="28"/>
          <w:szCs w:val="28"/>
          <w:rtl/>
        </w:rPr>
        <w:t>هدفت الدراسة إلى التعرف على أثر حوكمة الموارد البشرية في ضوء المواصفة العالمية</w:t>
      </w:r>
      <w:r w:rsidRPr="00545500">
        <w:rPr>
          <w:rFonts w:ascii="SimplifiedArabic" w:hAnsi="Courier New" w:cs="SimplifiedArabic"/>
          <w:color w:val="222222"/>
          <w:sz w:val="28"/>
          <w:szCs w:val="28"/>
        </w:rPr>
        <w:t xml:space="preserve"> (ISO 30408) </w:t>
      </w:r>
      <w:r w:rsidRPr="00545500">
        <w:rPr>
          <w:rFonts w:ascii="SimplifiedArabic" w:hAnsi="Courier New" w:cs="SimplifiedArabic"/>
          <w:color w:val="222222"/>
          <w:sz w:val="28"/>
          <w:szCs w:val="28"/>
          <w:rtl/>
        </w:rPr>
        <w:t>على الانسحاب النفسي من العمل، مع التركيز على الدور المعدل للدعم التنظيمي المدرك. ولتحقيق أهداف الدراسة، تم الاعتماد على منهج دراسة الحالة</w:t>
      </w:r>
      <w:r w:rsidRPr="00545500">
        <w:rPr>
          <w:rFonts w:ascii="SimplifiedArabic" w:hAnsi="Courier New" w:cs="SimplifiedArabic"/>
          <w:color w:val="222222"/>
          <w:sz w:val="28"/>
          <w:szCs w:val="28"/>
        </w:rPr>
        <w:t>.</w:t>
      </w:r>
      <w:r w:rsidRPr="00545500">
        <w:rPr>
          <w:rFonts w:ascii="SimplifiedArabic" w:hAnsi="Courier New" w:cs="SimplifiedArabic" w:hint="cs"/>
          <w:color w:val="222222"/>
          <w:sz w:val="28"/>
          <w:szCs w:val="28"/>
          <w:rtl/>
        </w:rPr>
        <w:t xml:space="preserve"> </w:t>
      </w:r>
      <w:r w:rsidRPr="00545500">
        <w:rPr>
          <w:rFonts w:ascii="SimplifiedArabic" w:hAnsi="Courier New" w:cs="SimplifiedArabic"/>
          <w:color w:val="222222"/>
          <w:sz w:val="28"/>
          <w:szCs w:val="28"/>
          <w:rtl/>
        </w:rPr>
        <w:t>تكوّن مجتمع الدراسة من جميع العاملين في شركة مسقط لتوزيع الكهرباء، والبالغ عددهم (497) موظفًا. ونظرًا لمحدودية حجم المجتمع وكونه ضمن مؤسسة واحدة، تم استخدام أسلوب المسح الشامل، حيث تم توزيع أداة الدراسة إلكترونيًا على جميع الأفراد. كما تم استخدام مجموعة من الأساليب الإحصائية المناسبة لتحليل البيانات، وذلك بالاعتماد على برنامجي</w:t>
      </w:r>
      <w:r w:rsidRPr="00545500">
        <w:rPr>
          <w:rFonts w:ascii="SimplifiedArabic" w:hAnsi="Courier New" w:cs="SimplifiedArabic"/>
          <w:color w:val="222222"/>
          <w:sz w:val="28"/>
          <w:szCs w:val="28"/>
        </w:rPr>
        <w:t xml:space="preserve"> (SPSS) </w:t>
      </w:r>
      <w:r w:rsidRPr="00545500">
        <w:rPr>
          <w:rFonts w:ascii="SimplifiedArabic" w:hAnsi="Courier New" w:cs="SimplifiedArabic"/>
          <w:color w:val="222222"/>
          <w:sz w:val="28"/>
          <w:szCs w:val="28"/>
          <w:rtl/>
        </w:rPr>
        <w:t>و</w:t>
      </w:r>
      <w:r w:rsidRPr="00545500">
        <w:rPr>
          <w:rFonts w:ascii="SimplifiedArabic" w:hAnsi="Courier New" w:cs="SimplifiedArabic"/>
          <w:color w:val="222222"/>
          <w:sz w:val="28"/>
          <w:szCs w:val="28"/>
        </w:rPr>
        <w:t>(AMOS)</w:t>
      </w:r>
      <w:r w:rsidRPr="00545500">
        <w:rPr>
          <w:rFonts w:ascii="SimplifiedArabic" w:hAnsi="Courier New" w:cs="SimplifiedArabic"/>
          <w:color w:val="222222"/>
          <w:sz w:val="28"/>
          <w:szCs w:val="28"/>
          <w:rtl/>
        </w:rPr>
        <w:t xml:space="preserve">، بالإضافة إلى إجراء مقابلات مهيكلة مع عدد من موظفي </w:t>
      </w:r>
      <w:r w:rsidRPr="00545500">
        <w:rPr>
          <w:rFonts w:ascii="SimplifiedArabic" w:hAnsi="Courier New" w:cs="SimplifiedArabic"/>
          <w:color w:val="222222"/>
          <w:sz w:val="28"/>
          <w:szCs w:val="28"/>
          <w:rtl/>
        </w:rPr>
        <w:lastRenderedPageBreak/>
        <w:t>الشركة لدعم نتائج الدراسة</w:t>
      </w:r>
      <w:r w:rsidRPr="00545500">
        <w:rPr>
          <w:rFonts w:ascii="SimplifiedArabic" w:hAnsi="Courier New" w:cs="SimplifiedArabic"/>
          <w:color w:val="222222"/>
          <w:sz w:val="28"/>
          <w:szCs w:val="28"/>
        </w:rPr>
        <w:t>.</w:t>
      </w:r>
      <w:r w:rsidRPr="00545500">
        <w:rPr>
          <w:rFonts w:ascii="SimplifiedArabic" w:hAnsi="Courier New" w:cs="SimplifiedArabic" w:hint="cs"/>
          <w:color w:val="222222"/>
          <w:sz w:val="28"/>
          <w:szCs w:val="28"/>
          <w:rtl/>
        </w:rPr>
        <w:t xml:space="preserve"> </w:t>
      </w:r>
      <w:r w:rsidRPr="00545500">
        <w:rPr>
          <w:rFonts w:ascii="SimplifiedArabic" w:hAnsi="Courier New" w:cs="SimplifiedArabic"/>
          <w:color w:val="222222"/>
          <w:sz w:val="28"/>
          <w:szCs w:val="28"/>
          <w:rtl/>
        </w:rPr>
        <w:t>وتوصلت الدراسة إلى عدة نتائج، من أبرزها وجود مستوى متوسط لتطبيق حوكمة الموارد البشرية داخل الشركة، في مقابل وجود مستوى مرتفع من الانسحاب النفسي من العمل، ومستوى متوسط من الدعم التنظيمي المدرك. كما أظهرت النتائج وجود أثر سلبي ذو دلالة إحصائية لحوكمة الموارد البشرية على الانسحاب النفسي من العمل، مما يعني أن تعزيز ممارسات الحوكمة يسهم في تقليل هذا النوع من السلوك التنظيمي السلبي. كذلك بينت النتائج وجود أثر دال إحصائيًا للدعم التنظيمي المدرك في تعديل العلاقة بين حوكمة الموارد البشرية والانسحاب النفسي من العمل</w:t>
      </w:r>
      <w:r w:rsidRPr="00545500">
        <w:rPr>
          <w:rFonts w:ascii="SimplifiedArabic" w:hAnsi="Courier New" w:cs="SimplifiedArabic"/>
          <w:color w:val="222222"/>
          <w:sz w:val="28"/>
          <w:szCs w:val="28"/>
        </w:rPr>
        <w:t>.</w:t>
      </w:r>
      <w:r w:rsidRPr="00545500">
        <w:rPr>
          <w:rFonts w:ascii="SimplifiedArabic" w:hAnsi="Courier New" w:cs="SimplifiedArabic" w:hint="cs"/>
          <w:color w:val="222222"/>
          <w:sz w:val="28"/>
          <w:szCs w:val="28"/>
          <w:rtl/>
        </w:rPr>
        <w:t xml:space="preserve"> </w:t>
      </w:r>
      <w:r w:rsidRPr="00545500">
        <w:rPr>
          <w:rFonts w:ascii="SimplifiedArabic" w:hAnsi="Courier New" w:cs="SimplifiedArabic"/>
          <w:color w:val="222222"/>
          <w:sz w:val="28"/>
          <w:szCs w:val="28"/>
          <w:rtl/>
        </w:rPr>
        <w:t>وبناءً على هذه النتائج، أوصت الدراسة بضرورة تهيئة بيئة عمل داعمة داخل شركة مسقط لتوزيع الكهرباء، من خلال تعزيز مشاركة العاملين في تصميم أنظمة العمل وتبني أفكارهم، إلى جانب الاستمرار في تفعيل آليات المساءلة الإدارية وفق أسس واضحة ومعلنة. كما أكدت على أهمية تحفيز العاملين ماديًا ومعنويًا، وتشجيعهم على إنجاز المهام بكفاءة وفي الوقت المحدد، بما يسهم في تعزيز الالتزام الوظيفي والحد من مظاهر الانسحاب النفسي.</w:t>
      </w:r>
    </w:p>
    <w:p w14:paraId="7AEC0882"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222222"/>
          <w:sz w:val="28"/>
          <w:szCs w:val="28"/>
          <w:rtl/>
        </w:rPr>
      </w:pPr>
      <w:r w:rsidRPr="00545500">
        <w:rPr>
          <w:rFonts w:ascii="SimplifiedArabic" w:hAnsi="Courier New" w:cs="SimplifiedArabic" w:hint="cs"/>
          <w:b/>
          <w:bCs/>
          <w:color w:val="222222"/>
          <w:sz w:val="28"/>
          <w:szCs w:val="28"/>
          <w:rtl/>
        </w:rPr>
        <w:t>دراسة عبدالله، عناد. (2021). بعنوان: استراتيجية</w:t>
      </w:r>
      <w:r w:rsidRPr="00545500">
        <w:rPr>
          <w:rFonts w:ascii="SimplifiedArabic" w:hAnsi="Courier New" w:cs="SimplifiedArabic"/>
          <w:b/>
          <w:bCs/>
          <w:color w:val="222222"/>
          <w:sz w:val="28"/>
          <w:szCs w:val="28"/>
          <w:rtl/>
        </w:rPr>
        <w:t xml:space="preserve"> حوكمة الموارد البشرية للحد من الفساد الإداري</w:t>
      </w:r>
      <w:r w:rsidRPr="00545500">
        <w:rPr>
          <w:rFonts w:ascii="SimplifiedArabic" w:hAnsi="Courier New" w:cs="SimplifiedArabic" w:hint="cs"/>
          <w:b/>
          <w:bCs/>
          <w:color w:val="222222"/>
          <w:sz w:val="28"/>
          <w:szCs w:val="28"/>
          <w:rtl/>
        </w:rPr>
        <w:t>.</w:t>
      </w:r>
    </w:p>
    <w:p w14:paraId="4C0F5B7C"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rPr>
      </w:pPr>
      <w:r w:rsidRPr="00545500">
        <w:rPr>
          <w:rFonts w:ascii="SimplifiedArabic" w:hAnsi="Courier New" w:cs="SimplifiedArabic"/>
          <w:color w:val="222222"/>
          <w:sz w:val="28"/>
          <w:szCs w:val="28"/>
          <w:rtl/>
        </w:rPr>
        <w:t xml:space="preserve">تمثل حوكمة الموارد البشرية توجها استراتيجيا معاصرا للكثير من المنظمات التي تعاني من العديد من المشاكل الخاصة بأداء الموارد البشرية وأخلاقياتها في العمل، هدف البحث إلى معرفة هل يؤدي تطبيق مبادئ حوكمة الموارد البشرية في المنظمة المبحوثة إلى الحد من حالات الفساد الإداري؟ وهل تتوافر مبادئ حوكمة الموارد البشرية في المنظمة المبحوثة للحد من حالات الفساد الإداري؟ وقد تمثل مجتمع البحث بــــــ (100) فردا من الموظفين العاملين في دائرة البطاقة الوطنية أبو غريب/بغداد، اختيرت </w:t>
      </w:r>
      <w:r w:rsidRPr="00545500">
        <w:rPr>
          <w:rFonts w:ascii="SimplifiedArabic" w:hAnsi="Courier New" w:cs="SimplifiedArabic"/>
          <w:color w:val="222222"/>
          <w:sz w:val="28"/>
          <w:szCs w:val="28"/>
          <w:rtl/>
        </w:rPr>
        <w:lastRenderedPageBreak/>
        <w:t>عينة عشوائية (قصدية) بواقع (80) فردا ليمثلوا مجتمع البحث تمثيلا صحيحا، كانت (75) استبانة منها صالحة للتحليل، واستخدمت الأساليب الإحصائية المناسبة بالاعتماد على برنامج (</w:t>
      </w:r>
      <w:r w:rsidRPr="00545500">
        <w:rPr>
          <w:rFonts w:ascii="SimplifiedArabic" w:hAnsi="Courier New" w:cs="SimplifiedArabic"/>
          <w:color w:val="222222"/>
          <w:sz w:val="28"/>
          <w:szCs w:val="28"/>
        </w:rPr>
        <w:t>SPSS</w:t>
      </w:r>
      <w:r w:rsidRPr="00545500">
        <w:rPr>
          <w:rFonts w:ascii="SimplifiedArabic" w:hAnsi="Courier New" w:cs="SimplifiedArabic"/>
          <w:color w:val="222222"/>
          <w:sz w:val="28"/>
          <w:szCs w:val="28"/>
          <w:rtl/>
        </w:rPr>
        <w:t>) لتحليل البيانات، توصل البحث إلى حقيقة توافر بعض مبادئ حوكمة الموارد البشرية في المنظمة المبحوثة، فضلا عن أنه هناك تأثير لبعض مبادئ حوكمة الموارد البشرية في المنظمة المبحوثة للحد من الفساد الإداري في حين هناك الكثير منها ليس لها تأثير وهذا ينطبق مع الواقع الميداني، وبالتالي قدم البحث مجموعة من التوصيات كان أهمها الاهتمام بالمبادئ الأخرى لحوكمة الموارد البشرية والتي لا تقل أهمية من المبادئ المؤثرة.</w:t>
      </w:r>
    </w:p>
    <w:p w14:paraId="0435926C"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222222"/>
          <w:sz w:val="28"/>
          <w:szCs w:val="28"/>
          <w:rtl/>
        </w:rPr>
      </w:pPr>
      <w:r w:rsidRPr="00545500">
        <w:rPr>
          <w:rFonts w:ascii="SimplifiedArabic" w:hAnsi="Courier New" w:cs="SimplifiedArabic" w:hint="cs"/>
          <w:b/>
          <w:bCs/>
          <w:color w:val="222222"/>
          <w:sz w:val="28"/>
          <w:szCs w:val="28"/>
          <w:rtl/>
        </w:rPr>
        <w:t xml:space="preserve">دراسة </w:t>
      </w:r>
      <w:r w:rsidRPr="00545500">
        <w:rPr>
          <w:rFonts w:ascii="SimplifiedArabic" w:hAnsi="Courier New" w:cs="SimplifiedArabic"/>
          <w:b/>
          <w:bCs/>
          <w:color w:val="222222"/>
          <w:sz w:val="28"/>
          <w:szCs w:val="28"/>
          <w:rtl/>
        </w:rPr>
        <w:t>العجيل،</w:t>
      </w:r>
      <w:r w:rsidRPr="00545500">
        <w:rPr>
          <w:rFonts w:ascii="SimplifiedArabic" w:hAnsi="Courier New" w:cs="SimplifiedArabic" w:hint="cs"/>
          <w:b/>
          <w:bCs/>
          <w:color w:val="222222"/>
          <w:sz w:val="28"/>
          <w:szCs w:val="28"/>
          <w:rtl/>
        </w:rPr>
        <w:t xml:space="preserve"> داود، عمر.(2022). بعنوان </w:t>
      </w:r>
      <w:r w:rsidRPr="00545500">
        <w:rPr>
          <w:rFonts w:ascii="SimplifiedArabic" w:hAnsi="Courier New" w:cs="SimplifiedArabic"/>
          <w:b/>
          <w:bCs/>
          <w:color w:val="222222"/>
          <w:sz w:val="28"/>
          <w:szCs w:val="28"/>
          <w:rtl/>
        </w:rPr>
        <w:t>أثر تطبيق حوكمة الشركات على تحسين جودة المعلومات المحاسبية وترشيد القرارات في ظل الرقمنة: دراسة تطبيقية على سوق الأوراق المالية الكويتية</w:t>
      </w:r>
      <w:r w:rsidRPr="00545500">
        <w:rPr>
          <w:rFonts w:ascii="SimplifiedArabic" w:hAnsi="Courier New" w:cs="SimplifiedArabic" w:hint="cs"/>
          <w:b/>
          <w:bCs/>
          <w:color w:val="222222"/>
          <w:sz w:val="28"/>
          <w:szCs w:val="28"/>
          <w:rtl/>
        </w:rPr>
        <w:t>.</w:t>
      </w:r>
    </w:p>
    <w:p w14:paraId="163EDBB4"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rPr>
      </w:pPr>
      <w:r w:rsidRPr="00545500">
        <w:rPr>
          <w:rFonts w:ascii="SimplifiedArabic" w:hAnsi="Courier New" w:cs="SimplifiedArabic"/>
          <w:color w:val="222222"/>
          <w:sz w:val="28"/>
          <w:szCs w:val="28"/>
          <w:rtl/>
        </w:rPr>
        <w:t xml:space="preserve">التعرف طبيعة العلاقة بين حوكمة الشركات وترشيد القرارات في بورصة الأوراق المالية الكويتية. وتوصل البحث إلى النتائج التالية تأثير حوكمة الشركات والآليات التي تعمل بها من خلال مجلس الإدارة ولجان المراجعة والمراجعة الداخلية على قرارات المستثمرين، حتمية وجود دورا فعالا لمجلس الإدارة في الممارسات السليمة لتطبيق الحوكمة ووضع السياسات لممارساتها، وجود لجان المراجعة له تأثير رقابي هام لتفعيل مبادئ الحوكمة، تؤدي المراجعة الداخلية بشكل سليم إلى تقليل التلاعب في المعلومات المالية، توفير المعلومات اللازمة لاتخاذ قرارات الاستثمار في سوق الأوراق المالية يتوقف على مصداقيتها وسهولة استخدامها، إلى جانب مدى تأثيرها على قرارات الاستثمار. وأوصى البحث نشر </w:t>
      </w:r>
      <w:r w:rsidRPr="00545500">
        <w:rPr>
          <w:rFonts w:ascii="SimplifiedArabic" w:hAnsi="Courier New" w:cs="SimplifiedArabic"/>
          <w:color w:val="222222"/>
          <w:sz w:val="28"/>
          <w:szCs w:val="28"/>
          <w:rtl/>
        </w:rPr>
        <w:lastRenderedPageBreak/>
        <w:t>الوعي بين العاملين بأهمية تطبيق آليات حوكمة الشركات ومساعدتهم في حسن استغلالها لترشيد قرارات الاستثمار، التعرف على دور الآليات الداخلية للحوكمة من خلال مجلس الإدارة والمراجعة الداخلية ولجان المراجعة، تطبيق آليات حوكمة الشركات حيث تقوم بدور في المساعدة علي جودة المعلومات المحاسبية وبالتالي ترشيد قرارات المستثمرين، العمل على تدريب وزيادة كفاءة المحللين الماليين والمراجعين فيما يقدمونه من مشورة وكتابة تقارير تحليلية عن الأرباح المتوقعة لترشيد قرارات المستثمرين.</w:t>
      </w:r>
    </w:p>
    <w:p w14:paraId="047F5126"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222222"/>
          <w:sz w:val="28"/>
          <w:szCs w:val="28"/>
          <w:rtl/>
        </w:rPr>
      </w:pPr>
      <w:r w:rsidRPr="00545500">
        <w:rPr>
          <w:rFonts w:ascii="SimplifiedArabic" w:hAnsi="Courier New" w:cs="SimplifiedArabic" w:hint="cs"/>
          <w:b/>
          <w:bCs/>
          <w:color w:val="222222"/>
          <w:sz w:val="28"/>
          <w:szCs w:val="28"/>
          <w:rtl/>
        </w:rPr>
        <w:t xml:space="preserve">دراسة أرباب.(2023). بعنوان: </w:t>
      </w:r>
      <w:r w:rsidRPr="00545500">
        <w:rPr>
          <w:rFonts w:ascii="SimplifiedArabic" w:hAnsi="Courier New" w:cs="SimplifiedArabic"/>
          <w:b/>
          <w:bCs/>
          <w:color w:val="222222"/>
          <w:sz w:val="28"/>
          <w:szCs w:val="28"/>
          <w:rtl/>
        </w:rPr>
        <w:t>دور حوكمة الموارد البشرية بجامعة نجران في تحقيق الكفاءة البشرية للوصول لرؤية المملكة 2030 من وجهة نظر أعضاء هيئة التدريس والمحاضرين والمعيدين</w:t>
      </w:r>
      <w:r w:rsidRPr="00545500">
        <w:rPr>
          <w:rFonts w:ascii="SimplifiedArabic" w:hAnsi="Courier New" w:cs="SimplifiedArabic" w:hint="cs"/>
          <w:b/>
          <w:bCs/>
          <w:color w:val="222222"/>
          <w:sz w:val="28"/>
          <w:szCs w:val="28"/>
          <w:rtl/>
        </w:rPr>
        <w:t>.</w:t>
      </w:r>
    </w:p>
    <w:p w14:paraId="2358E098"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rPr>
      </w:pPr>
      <w:r w:rsidRPr="00545500">
        <w:rPr>
          <w:rFonts w:ascii="SimplifiedArabic" w:hAnsi="Courier New" w:cs="SimplifiedArabic"/>
          <w:color w:val="222222"/>
          <w:sz w:val="28"/>
          <w:szCs w:val="28"/>
          <w:rtl/>
        </w:rPr>
        <w:t xml:space="preserve">هدفت الدراسة إلى معرفة دور حوكمة الموارد البشرية في تحقيق الكفاءة البشرية في جامعة نجران، والعلاقة بينهما من وجهة نظر عينة عشوائية بسيطة من أعضاء هيئة التدريس والمحاضرين والمعيدين في الجامعة؛ واتبعت الباحثة المنهج الوصفي التحليلي، والاستبانة كأداة لجمع البيانات؛ تم توزيعها على عينة بلغت (115) بنسبة 11.2% من إجمالي مجتمع الدراسة، وتوصلت الدراسة إلى أن حوكمة الموارد البشرية بالجامعة مطبقة بمتوسط كلي بلغ (3.56 من 5) أي بدرجة (كبيرة)، كما أثبتت الدراسة وجود علاقة طردية دالة إحصائيا بين حوكمة الموارد البشرية بأبعادها وبين الكفاءة البشرية في الجامعة بلغت (0.850) وتعكس علاقة طردية (كبيرة)؛ بناء على النتائج أوصت الباحثة باستحداث وحدة تختص بحوكمة الموارد البشرية، وإشراك أعضاء هيئة التدريس في القرارات التي يتم اتخاذها بدءا بمجالس </w:t>
      </w:r>
      <w:r w:rsidRPr="00545500">
        <w:rPr>
          <w:rFonts w:ascii="SimplifiedArabic" w:hAnsi="Courier New" w:cs="SimplifiedArabic"/>
          <w:color w:val="222222"/>
          <w:sz w:val="28"/>
          <w:szCs w:val="28"/>
          <w:rtl/>
        </w:rPr>
        <w:lastRenderedPageBreak/>
        <w:t>الأقسام صعودا حتى أعلى مستويات اتخاذ القرار في الجامعة، إحاطة عضو هيئة التدريس بتغذية راجعة عن التقييم السنوي وتفعيل -بشكل أكثر -الوحدات المختصة بالتدريب والتأهيل بما يفيد في رفع الكفاءة البشرية كذلك مقترحات بدراسات لاحقة.</w:t>
      </w:r>
    </w:p>
    <w:p w14:paraId="23ACED21"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222222"/>
          <w:sz w:val="28"/>
          <w:szCs w:val="28"/>
          <w:rtl/>
        </w:rPr>
      </w:pPr>
      <w:r w:rsidRPr="00545500">
        <w:rPr>
          <w:rFonts w:ascii="SimplifiedArabic" w:hAnsi="Courier New" w:cs="SimplifiedArabic" w:hint="cs"/>
          <w:b/>
          <w:bCs/>
          <w:color w:val="222222"/>
          <w:sz w:val="28"/>
          <w:szCs w:val="28"/>
          <w:rtl/>
        </w:rPr>
        <w:t xml:space="preserve">دراسة عبد الرحمن.(2023). بعنوان: </w:t>
      </w:r>
      <w:r w:rsidRPr="00545500">
        <w:rPr>
          <w:rFonts w:ascii="SimplifiedArabic" w:hAnsi="Courier New" w:cs="SimplifiedArabic"/>
          <w:b/>
          <w:bCs/>
          <w:color w:val="222222"/>
          <w:sz w:val="28"/>
          <w:szCs w:val="28"/>
          <w:rtl/>
        </w:rPr>
        <w:t>العلاقة بين حوكمة الموارد البشرية والفساد الإداري بالتطبيق على وزارة التنمية المحلية المصرية</w:t>
      </w:r>
      <w:r w:rsidRPr="00545500">
        <w:rPr>
          <w:rFonts w:ascii="SimplifiedArabic" w:hAnsi="Courier New" w:cs="SimplifiedArabic" w:hint="cs"/>
          <w:b/>
          <w:bCs/>
          <w:color w:val="222222"/>
          <w:sz w:val="28"/>
          <w:szCs w:val="28"/>
          <w:rtl/>
        </w:rPr>
        <w:t>.</w:t>
      </w:r>
    </w:p>
    <w:p w14:paraId="3C11D086"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rPr>
      </w:pPr>
      <w:r w:rsidRPr="00545500">
        <w:rPr>
          <w:rFonts w:ascii="SimplifiedArabic" w:hAnsi="Courier New" w:cs="SimplifiedArabic"/>
          <w:color w:val="222222"/>
          <w:sz w:val="28"/>
          <w:szCs w:val="28"/>
          <w:rtl/>
        </w:rPr>
        <w:t xml:space="preserve">يهدف البحث إلي التعرف علي وعى العاملين بالقطاعات والإدارات التابعة لديوان عام وزارة التنمية المحلية بمحافظة القاهرة لأهمية حوكمة الموارد البشرية، مع تحديد مستوى ممارسة قطاعات وإدارات ديوان عام وزارة التنمية المحلية لمعايير حوكمة الموارد البشرية، بالإضافة إلي تحليل تأثير معايير حوكمة الموارد البشرية في الحد من الفساد الإداري للعاملين بوزارة التنمية المحلية، من خلال عينة عشوائية للعاملين علي </w:t>
      </w:r>
      <w:r w:rsidRPr="00545500">
        <w:rPr>
          <w:rFonts w:ascii="SimplifiedArabic" w:hAnsi="Courier New" w:cs="SimplifiedArabic" w:hint="cs"/>
          <w:color w:val="222222"/>
          <w:sz w:val="28"/>
          <w:szCs w:val="28"/>
          <w:rtl/>
        </w:rPr>
        <w:t>اختلاف</w:t>
      </w:r>
      <w:r w:rsidRPr="00545500">
        <w:rPr>
          <w:rFonts w:ascii="SimplifiedArabic" w:hAnsi="Courier New" w:cs="SimplifiedArabic"/>
          <w:color w:val="222222"/>
          <w:sz w:val="28"/>
          <w:szCs w:val="28"/>
          <w:rtl/>
        </w:rPr>
        <w:t xml:space="preserve"> وظائفهم ودرجاتهم الإدارية والتي قدرت بـ (362) مفردة موزعين علي </w:t>
      </w:r>
      <w:r w:rsidRPr="00545500">
        <w:rPr>
          <w:rFonts w:ascii="SimplifiedArabic" w:hAnsi="Courier New" w:cs="SimplifiedArabic" w:hint="cs"/>
          <w:color w:val="222222"/>
          <w:sz w:val="28"/>
          <w:szCs w:val="28"/>
          <w:rtl/>
        </w:rPr>
        <w:t>ثلاث</w:t>
      </w:r>
      <w:r w:rsidRPr="00545500">
        <w:rPr>
          <w:rFonts w:ascii="SimplifiedArabic" w:hAnsi="Courier New" w:cs="SimplifiedArabic"/>
          <w:color w:val="222222"/>
          <w:sz w:val="28"/>
          <w:szCs w:val="28"/>
          <w:rtl/>
        </w:rPr>
        <w:t xml:space="preserve"> قطاعات وأربعة إدارات</w:t>
      </w:r>
      <w:r w:rsidRPr="00545500">
        <w:rPr>
          <w:rFonts w:ascii="SimplifiedArabic" w:hAnsi="Courier New" w:cs="SimplifiedArabic"/>
          <w:color w:val="222222"/>
          <w:sz w:val="28"/>
          <w:szCs w:val="28"/>
        </w:rPr>
        <w:t>.</w:t>
      </w:r>
      <w:r w:rsidRPr="00545500">
        <w:rPr>
          <w:rFonts w:ascii="SimplifiedArabic" w:hAnsi="Courier New" w:cs="SimplifiedArabic" w:hint="cs"/>
          <w:color w:val="222222"/>
          <w:sz w:val="28"/>
          <w:szCs w:val="28"/>
          <w:rtl/>
        </w:rPr>
        <w:t xml:space="preserve"> </w:t>
      </w:r>
      <w:r w:rsidRPr="00545500">
        <w:rPr>
          <w:rFonts w:ascii="SimplifiedArabic" w:hAnsi="Courier New" w:cs="SimplifiedArabic"/>
          <w:color w:val="222222"/>
          <w:sz w:val="28"/>
          <w:szCs w:val="28"/>
          <w:rtl/>
        </w:rPr>
        <w:t xml:space="preserve">توصل البحث إلي مجموعة من النتائج أهمها: وجود علاقة معنوية بين حوكمة الموارد البشرية والحد من الفساد الإداري للعاملين بقطاعات وإدارات ديوان عام وزارة التنمية المحلية بمحافظة القاهرة، وكذلك عدم وجود فروق معنوية في اتجاهات مفردات عينة البحث نحو دور حوكمة الموارد البشرية في الحد من الفساد الإداري يرجع إلى العوامل </w:t>
      </w:r>
      <w:r w:rsidRPr="00545500">
        <w:rPr>
          <w:rFonts w:ascii="SimplifiedArabic" w:hAnsi="Courier New" w:cs="SimplifiedArabic" w:hint="cs"/>
          <w:color w:val="222222"/>
          <w:sz w:val="28"/>
          <w:szCs w:val="28"/>
          <w:rtl/>
        </w:rPr>
        <w:t>الديموغرافية</w:t>
      </w:r>
      <w:r w:rsidRPr="00545500">
        <w:rPr>
          <w:rFonts w:ascii="SimplifiedArabic" w:hAnsi="Courier New" w:cs="SimplifiedArabic"/>
          <w:color w:val="222222"/>
          <w:sz w:val="28"/>
          <w:szCs w:val="28"/>
          <w:rtl/>
        </w:rPr>
        <w:t xml:space="preserve"> (النوع، المؤهل العلمي، عدد سنوات الخبرة، المستوى </w:t>
      </w:r>
      <w:r w:rsidRPr="00545500">
        <w:rPr>
          <w:rFonts w:ascii="SimplifiedArabic" w:hAnsi="Courier New" w:cs="SimplifiedArabic" w:hint="cs"/>
          <w:color w:val="222222"/>
          <w:sz w:val="28"/>
          <w:szCs w:val="28"/>
          <w:rtl/>
        </w:rPr>
        <w:t>الإداري</w:t>
      </w:r>
      <w:r w:rsidRPr="00545500">
        <w:rPr>
          <w:rFonts w:ascii="SimplifiedArabic" w:hAnsi="Courier New" w:cs="SimplifiedArabic"/>
          <w:color w:val="222222"/>
          <w:sz w:val="28"/>
          <w:szCs w:val="28"/>
          <w:rtl/>
        </w:rPr>
        <w:t>)</w:t>
      </w:r>
      <w:r w:rsidRPr="00545500">
        <w:rPr>
          <w:rFonts w:ascii="SimplifiedArabic" w:hAnsi="Courier New" w:cs="SimplifiedArabic"/>
          <w:color w:val="222222"/>
          <w:sz w:val="28"/>
          <w:szCs w:val="28"/>
        </w:rPr>
        <w:t>.</w:t>
      </w:r>
      <w:r w:rsidRPr="00545500">
        <w:rPr>
          <w:rFonts w:ascii="SimplifiedArabic" w:hAnsi="Courier New" w:cs="SimplifiedArabic" w:hint="cs"/>
          <w:color w:val="222222"/>
          <w:sz w:val="28"/>
          <w:szCs w:val="28"/>
          <w:rtl/>
        </w:rPr>
        <w:t xml:space="preserve"> </w:t>
      </w:r>
      <w:r w:rsidRPr="00545500">
        <w:rPr>
          <w:rFonts w:ascii="SimplifiedArabic" w:hAnsi="Courier New" w:cs="SimplifiedArabic"/>
          <w:color w:val="222222"/>
          <w:sz w:val="28"/>
          <w:szCs w:val="28"/>
          <w:rtl/>
        </w:rPr>
        <w:t xml:space="preserve">وفي ضوء تلك النتائج تم </w:t>
      </w:r>
      <w:r w:rsidRPr="00545500">
        <w:rPr>
          <w:rFonts w:ascii="SimplifiedArabic" w:hAnsi="Courier New" w:cs="SimplifiedArabic" w:hint="cs"/>
          <w:color w:val="222222"/>
          <w:sz w:val="28"/>
          <w:szCs w:val="28"/>
          <w:rtl/>
        </w:rPr>
        <w:t>اقتراح</w:t>
      </w:r>
      <w:r w:rsidRPr="00545500">
        <w:rPr>
          <w:rFonts w:ascii="SimplifiedArabic" w:hAnsi="Courier New" w:cs="SimplifiedArabic"/>
          <w:color w:val="222222"/>
          <w:sz w:val="28"/>
          <w:szCs w:val="28"/>
          <w:rtl/>
        </w:rPr>
        <w:t xml:space="preserve"> مجموعة من التوصيات التي يمكن أن تسهم في تعظيم </w:t>
      </w:r>
      <w:r w:rsidRPr="00545500">
        <w:rPr>
          <w:rFonts w:ascii="SimplifiedArabic" w:hAnsi="Courier New" w:cs="SimplifiedArabic" w:hint="cs"/>
          <w:color w:val="222222"/>
          <w:sz w:val="28"/>
          <w:szCs w:val="28"/>
          <w:rtl/>
        </w:rPr>
        <w:t>الاستفادة</w:t>
      </w:r>
      <w:r w:rsidRPr="00545500">
        <w:rPr>
          <w:rFonts w:ascii="SimplifiedArabic" w:hAnsi="Courier New" w:cs="SimplifiedArabic"/>
          <w:color w:val="222222"/>
          <w:sz w:val="28"/>
          <w:szCs w:val="28"/>
          <w:rtl/>
        </w:rPr>
        <w:t xml:space="preserve"> من تبني معايير ومبادئ حوكمة الموارد البشرية نحو الحد من الفساد الإداري للعاملين بقطاعات وإدارات ديوان عام وزارة التنمية المحلية محل البحث</w:t>
      </w:r>
      <w:r w:rsidRPr="00545500">
        <w:rPr>
          <w:rFonts w:ascii="SimplifiedArabic" w:hAnsi="Courier New" w:cs="SimplifiedArabic"/>
          <w:color w:val="222222"/>
          <w:sz w:val="28"/>
          <w:szCs w:val="28"/>
        </w:rPr>
        <w:t>.</w:t>
      </w:r>
    </w:p>
    <w:p w14:paraId="12796DBD"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222222"/>
          <w:sz w:val="28"/>
          <w:szCs w:val="28"/>
          <w:rtl/>
        </w:rPr>
      </w:pPr>
      <w:r w:rsidRPr="00545500">
        <w:rPr>
          <w:rFonts w:ascii="SimplifiedArabic" w:hAnsi="Courier New" w:cs="SimplifiedArabic" w:hint="cs"/>
          <w:b/>
          <w:bCs/>
          <w:color w:val="222222"/>
          <w:sz w:val="28"/>
          <w:szCs w:val="28"/>
          <w:rtl/>
        </w:rPr>
        <w:lastRenderedPageBreak/>
        <w:t xml:space="preserve">دراسة </w:t>
      </w:r>
      <w:r w:rsidRPr="00545500">
        <w:rPr>
          <w:rFonts w:ascii="SimplifiedArabic" w:hAnsi="Courier New" w:cs="SimplifiedArabic"/>
          <w:b/>
          <w:bCs/>
          <w:color w:val="222222"/>
          <w:sz w:val="28"/>
          <w:szCs w:val="28"/>
          <w:rtl/>
        </w:rPr>
        <w:t>البدير،</w:t>
      </w:r>
      <w:r w:rsidRPr="00545500">
        <w:rPr>
          <w:rFonts w:ascii="SimplifiedArabic" w:hAnsi="Courier New" w:cs="SimplifiedArabic" w:hint="cs"/>
          <w:b/>
          <w:bCs/>
          <w:color w:val="222222"/>
          <w:sz w:val="28"/>
          <w:szCs w:val="28"/>
          <w:rtl/>
        </w:rPr>
        <w:t xml:space="preserve"> الفقيه، كمون.(2024). بعنوان: </w:t>
      </w:r>
      <w:r w:rsidRPr="00545500">
        <w:rPr>
          <w:rFonts w:ascii="SimplifiedArabic" w:hAnsi="Courier New" w:cs="SimplifiedArabic"/>
          <w:b/>
          <w:bCs/>
          <w:color w:val="222222"/>
          <w:sz w:val="28"/>
          <w:szCs w:val="28"/>
          <w:rtl/>
        </w:rPr>
        <w:t>أثر الحوكمة ودورها في التميز المؤسسي: دراسة حالة: حلواني إخوان</w:t>
      </w:r>
      <w:r w:rsidRPr="00545500">
        <w:rPr>
          <w:rFonts w:ascii="SimplifiedArabic" w:hAnsi="Courier New" w:cs="SimplifiedArabic" w:hint="cs"/>
          <w:b/>
          <w:bCs/>
          <w:color w:val="222222"/>
          <w:sz w:val="28"/>
          <w:szCs w:val="28"/>
          <w:rtl/>
        </w:rPr>
        <w:t>.</w:t>
      </w:r>
    </w:p>
    <w:p w14:paraId="5773A2F5"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rPr>
      </w:pPr>
      <w:r w:rsidRPr="00545500">
        <w:rPr>
          <w:rFonts w:ascii="SimplifiedArabic" w:hAnsi="Courier New" w:cs="SimplifiedArabic" w:hint="cs"/>
          <w:color w:val="222222"/>
          <w:sz w:val="28"/>
          <w:szCs w:val="28"/>
          <w:rtl/>
        </w:rPr>
        <w:t xml:space="preserve">     </w:t>
      </w:r>
      <w:r w:rsidRPr="00545500">
        <w:rPr>
          <w:rFonts w:ascii="SimplifiedArabic" w:hAnsi="Courier New" w:cs="SimplifiedArabic"/>
          <w:color w:val="222222"/>
          <w:sz w:val="28"/>
          <w:szCs w:val="28"/>
          <w:rtl/>
        </w:rPr>
        <w:t>هدفت هذه الدراسة إلى التعرف على مفهوم الحوكمة ومبادئها وأهميتها، إضافة إلى استكشاف مدى الاستفادة منها في تحسين الأداء المؤسسي، مع تسليط الضوء على الاتجاهات الحديثة في تطبيق أنظمة الحوكمة ودورها في تحقيق التميز المؤسسي. كما سعت الدراسة إلى تحديد وقياس أثر تطبيق الحوكمة في تعزيز كفاءة الأداء داخل المنظمات</w:t>
      </w:r>
      <w:r w:rsidRPr="00545500">
        <w:rPr>
          <w:rFonts w:ascii="SimplifiedArabic" w:hAnsi="Courier New" w:cs="SimplifiedArabic"/>
          <w:color w:val="222222"/>
          <w:sz w:val="28"/>
          <w:szCs w:val="28"/>
        </w:rPr>
        <w:t>.</w:t>
      </w:r>
      <w:r w:rsidRPr="00545500">
        <w:rPr>
          <w:rFonts w:ascii="SimplifiedArabic" w:hAnsi="Courier New" w:cs="SimplifiedArabic" w:hint="cs"/>
          <w:color w:val="222222"/>
          <w:sz w:val="28"/>
          <w:szCs w:val="28"/>
          <w:rtl/>
        </w:rPr>
        <w:t xml:space="preserve"> </w:t>
      </w:r>
      <w:r w:rsidRPr="00545500">
        <w:rPr>
          <w:rFonts w:ascii="SimplifiedArabic" w:hAnsi="Courier New" w:cs="SimplifiedArabic"/>
          <w:color w:val="222222"/>
          <w:sz w:val="28"/>
          <w:szCs w:val="28"/>
          <w:rtl/>
        </w:rPr>
        <w:t>اعتمدت الدراسة على المنهج الوصفي التحليلي، حيث تم تصميم استبيان إلكتروني وتوزيعه على عينة مكونة من (30) موظفًا من العاملين في شركة حلواني إخوان في المملكة العربية السعودية. وتم تحليل البيانات باستخدام برنامج</w:t>
      </w:r>
      <w:r w:rsidRPr="00545500">
        <w:rPr>
          <w:rFonts w:ascii="SimplifiedArabic" w:hAnsi="Courier New" w:cs="SimplifiedArabic"/>
          <w:color w:val="222222"/>
          <w:sz w:val="28"/>
          <w:szCs w:val="28"/>
        </w:rPr>
        <w:t xml:space="preserve"> (SPSS) </w:t>
      </w:r>
      <w:r w:rsidRPr="00545500">
        <w:rPr>
          <w:rFonts w:ascii="SimplifiedArabic" w:hAnsi="Courier New" w:cs="SimplifiedArabic"/>
          <w:color w:val="222222"/>
          <w:sz w:val="28"/>
          <w:szCs w:val="28"/>
          <w:rtl/>
        </w:rPr>
        <w:t>للوصول إلى نتائج دقيقة تدعم أهداف الدراسة</w:t>
      </w:r>
      <w:r w:rsidRPr="00545500">
        <w:rPr>
          <w:rFonts w:ascii="SimplifiedArabic" w:hAnsi="Courier New" w:cs="SimplifiedArabic"/>
          <w:color w:val="222222"/>
          <w:sz w:val="28"/>
          <w:szCs w:val="28"/>
        </w:rPr>
        <w:t>.</w:t>
      </w:r>
    </w:p>
    <w:p w14:paraId="0A3F6CCB"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545500">
        <w:rPr>
          <w:rFonts w:ascii="SimplifiedArabic" w:hAnsi="Courier New" w:cs="SimplifiedArabic"/>
          <w:color w:val="222222"/>
          <w:sz w:val="28"/>
          <w:szCs w:val="28"/>
          <w:rtl/>
        </w:rPr>
        <w:t>وأظهرت النتائج أن تطبيق آليات الحوكمة يسهم بشكل فعّال في تحقيق التميز المؤسسي، من خلال تعزيز مشاركة العاملين في وضع الخطط المستقبلية، وتوفير برامج تدريبية مستمرة تسهم في تطوير مهاراتهم. كما بينت النتائج أن وجود أنظمة واضحة للترقيات والمكافآت يشجع الموظفين على تحسين أدائهم ويعزز من مستوى تحفيزهم</w:t>
      </w:r>
      <w:r w:rsidRPr="00545500">
        <w:rPr>
          <w:rFonts w:ascii="SimplifiedArabic" w:hAnsi="Courier New" w:cs="SimplifiedArabic"/>
          <w:color w:val="222222"/>
          <w:sz w:val="28"/>
          <w:szCs w:val="28"/>
        </w:rPr>
        <w:t>.</w:t>
      </w:r>
      <w:r w:rsidRPr="00545500">
        <w:rPr>
          <w:rFonts w:ascii="SimplifiedArabic" w:hAnsi="Courier New" w:cs="SimplifiedArabic" w:hint="cs"/>
          <w:color w:val="222222"/>
          <w:sz w:val="28"/>
          <w:szCs w:val="28"/>
          <w:rtl/>
        </w:rPr>
        <w:t xml:space="preserve"> </w:t>
      </w:r>
      <w:r w:rsidRPr="00545500">
        <w:rPr>
          <w:rFonts w:ascii="SimplifiedArabic" w:hAnsi="Courier New" w:cs="SimplifiedArabic"/>
          <w:color w:val="222222"/>
          <w:sz w:val="28"/>
          <w:szCs w:val="28"/>
          <w:rtl/>
        </w:rPr>
        <w:t>كما كشفت الدراسة أن الحوكمة تلعب دورًا مهمًا في مراقبة القرارات الإدارية المتعلقة بالموارد البشرية وضمان تنفيذها بشكل صحيح، إضافة إلى دورها في جذب الكفاءات البشرية المتميزة والاحتفاظ بها. وتسهم بيئة العمل القائمة على مبادئ الحوكمة في تعزيز الثقة لدى الموظفين، من خلال توفير بيئة عادلة ومستقرة تدعم الشفافية والمصداقية</w:t>
      </w:r>
      <w:r w:rsidRPr="00545500">
        <w:rPr>
          <w:rFonts w:ascii="SimplifiedArabic" w:hAnsi="Courier New" w:cs="SimplifiedArabic"/>
          <w:color w:val="222222"/>
          <w:sz w:val="28"/>
          <w:szCs w:val="28"/>
        </w:rPr>
        <w:t>.</w:t>
      </w:r>
      <w:r w:rsidRPr="00545500">
        <w:rPr>
          <w:rFonts w:ascii="SimplifiedArabic" w:hAnsi="Courier New" w:cs="SimplifiedArabic" w:hint="cs"/>
          <w:color w:val="222222"/>
          <w:sz w:val="28"/>
          <w:szCs w:val="28"/>
          <w:rtl/>
        </w:rPr>
        <w:t xml:space="preserve"> </w:t>
      </w:r>
      <w:r w:rsidRPr="00545500">
        <w:rPr>
          <w:rFonts w:ascii="SimplifiedArabic" w:hAnsi="Courier New" w:cs="SimplifiedArabic"/>
          <w:color w:val="222222"/>
          <w:sz w:val="28"/>
          <w:szCs w:val="28"/>
          <w:rtl/>
        </w:rPr>
        <w:t xml:space="preserve">وأشارت النتائج كذلك إلى أن الحوكمة الجيدة تعزز ثقة العملاء والمجتمع بالمؤسسة، وتدعم بناء علاقات قوية ومستدامة مع </w:t>
      </w:r>
      <w:r w:rsidRPr="00545500">
        <w:rPr>
          <w:rFonts w:ascii="SimplifiedArabic" w:hAnsi="Courier New" w:cs="SimplifiedArabic"/>
          <w:color w:val="222222"/>
          <w:sz w:val="28"/>
          <w:szCs w:val="28"/>
          <w:rtl/>
        </w:rPr>
        <w:lastRenderedPageBreak/>
        <w:t>الشركاء والموردين، مما يسهم في تحقيق ميزة تنافسية مستدامة. كما تساهم الحوكمة في تحسين الأداء المالي من خلال تعزيز إدارة المخاطر واتخاذ قرارات استراتيجية رشيدة</w:t>
      </w:r>
      <w:r w:rsidRPr="00545500">
        <w:rPr>
          <w:rFonts w:ascii="SimplifiedArabic" w:hAnsi="Courier New" w:cs="SimplifiedArabic"/>
          <w:color w:val="222222"/>
          <w:sz w:val="28"/>
          <w:szCs w:val="28"/>
        </w:rPr>
        <w:t>.</w:t>
      </w:r>
      <w:r w:rsidRPr="00545500">
        <w:rPr>
          <w:rFonts w:ascii="SimplifiedArabic" w:hAnsi="Courier New" w:cs="SimplifiedArabic" w:hint="cs"/>
          <w:color w:val="222222"/>
          <w:sz w:val="28"/>
          <w:szCs w:val="28"/>
          <w:rtl/>
        </w:rPr>
        <w:t xml:space="preserve"> </w:t>
      </w:r>
      <w:r w:rsidRPr="00545500">
        <w:rPr>
          <w:rFonts w:ascii="SimplifiedArabic" w:hAnsi="Courier New" w:cs="SimplifiedArabic"/>
          <w:color w:val="222222"/>
          <w:sz w:val="28"/>
          <w:szCs w:val="28"/>
          <w:rtl/>
        </w:rPr>
        <w:t>وفيما يتعلق بالمسؤولية الاجتماعية، أكدت الدراسة أن الحوكمة تعزز الالتزام بالممارسات الأخلاقية والاستدامة البيئية والاجتماعية، مما ينعكس إيجابًا على سمعة المؤسسة. كما تدعم الحوكمة وجود نظام مساءلة فعّال يعزز من مسؤولية القيادات الإدارية، ويسهم في اتخاذ قرارات أكثر كفاءة وموضوعية</w:t>
      </w:r>
      <w:r w:rsidRPr="00545500">
        <w:rPr>
          <w:rFonts w:ascii="SimplifiedArabic" w:hAnsi="Courier New" w:cs="SimplifiedArabic"/>
          <w:color w:val="222222"/>
          <w:sz w:val="28"/>
          <w:szCs w:val="28"/>
        </w:rPr>
        <w:t>.</w:t>
      </w:r>
      <w:r w:rsidRPr="00545500">
        <w:rPr>
          <w:rFonts w:ascii="SimplifiedArabic" w:hAnsi="Courier New" w:cs="SimplifiedArabic" w:hint="cs"/>
          <w:color w:val="222222"/>
          <w:sz w:val="28"/>
          <w:szCs w:val="28"/>
          <w:rtl/>
        </w:rPr>
        <w:t xml:space="preserve"> </w:t>
      </w:r>
      <w:r w:rsidRPr="00545500">
        <w:rPr>
          <w:rFonts w:ascii="SimplifiedArabic" w:hAnsi="Courier New" w:cs="SimplifiedArabic"/>
          <w:color w:val="222222"/>
          <w:sz w:val="28"/>
          <w:szCs w:val="28"/>
          <w:rtl/>
        </w:rPr>
        <w:t>وبشكل عام، توصلت الدراسة إلى أن تطبيق مبادئ الحوكمة يسهم في بناء بيئة تنظيمية قائمة على الشفافية والمساءلة، ويعزز من كفاءة الأداء المؤسسي، ويزيد من ثقة أصحاب المصلحة، مما يدعم استدامة المؤسسة ويعزز مكانتها التنافسية في السوق.</w:t>
      </w:r>
    </w:p>
    <w:p w14:paraId="3E3D6EC7"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222222"/>
          <w:sz w:val="28"/>
          <w:szCs w:val="28"/>
          <w:rtl/>
          <w:lang w:bidi="ar-EG"/>
        </w:rPr>
      </w:pPr>
      <w:r w:rsidRPr="00545500">
        <w:rPr>
          <w:rFonts w:ascii="SimplifiedArabic" w:hAnsi="Courier New" w:cs="SimplifiedArabic" w:hint="cs"/>
          <w:b/>
          <w:bCs/>
          <w:color w:val="222222"/>
          <w:sz w:val="28"/>
          <w:szCs w:val="28"/>
          <w:rtl/>
          <w:lang w:bidi="ar-EG"/>
        </w:rPr>
        <w:t xml:space="preserve">دراسة الفراجي، عبد، شريف.(2025). بعنوان: </w:t>
      </w:r>
      <w:r w:rsidRPr="00545500">
        <w:rPr>
          <w:rFonts w:ascii="SimplifiedArabic" w:hAnsi="Courier New" w:cs="SimplifiedArabic"/>
          <w:b/>
          <w:bCs/>
          <w:color w:val="222222"/>
          <w:sz w:val="28"/>
          <w:szCs w:val="28"/>
          <w:rtl/>
          <w:lang w:bidi="ar-EG"/>
        </w:rPr>
        <w:t>دور حوكمة الموارد البشرية في تعزيز الريادة: دراسة حالة في كلية الإدارة والاقتصاد</w:t>
      </w:r>
      <w:r w:rsidRPr="00545500">
        <w:rPr>
          <w:rFonts w:ascii="SimplifiedArabic" w:hAnsi="Courier New" w:cs="SimplifiedArabic" w:hint="cs"/>
          <w:b/>
          <w:bCs/>
          <w:color w:val="222222"/>
          <w:sz w:val="28"/>
          <w:szCs w:val="28"/>
          <w:rtl/>
          <w:lang w:bidi="ar-EG"/>
        </w:rPr>
        <w:t>.</w:t>
      </w:r>
    </w:p>
    <w:p w14:paraId="55CFA9A0"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545500">
        <w:rPr>
          <w:rFonts w:ascii="SimplifiedArabic" w:hAnsi="Courier New" w:cs="SimplifiedArabic"/>
          <w:color w:val="222222"/>
          <w:sz w:val="28"/>
          <w:szCs w:val="28"/>
          <w:rtl/>
          <w:lang w:bidi="ar-EG"/>
        </w:rPr>
        <w:t xml:space="preserve">هدف البحث الحالي إلى التعرف على دور حوكمة الموارد البشرية كمتغير مستقل في تحقيق الريادة، كمتغير معتمد عبر التطرق لواقع تطبيقهم في المنظمة المبحوثة، ومن ثم تسليط الضوء على علاقة الارتباط والأثر بين المتغيرين، وأبعادهما، إذ تبنى البحث أربعة أبعاد لحوكمة الموارد البشرية، الرؤية والتوجه الاستراتيجي المساءلة والكفاءة وصوت الموظف)، ودورها في تحقيق الريادة على مستوى المنظمة المبحوثة، ولتحقيق ذلك تم التعبير عن مشكلة البحث بسؤال فكري يتضمن، هل هناك تصور واضح من قبل القائمين على المنظمة المبحوثة عن دور حوكمة الموارد البشرية في تحقيق الريادة، وتم الاستعانة بمجموعة من الاختبارات، والتحليلات باستخدام البرنامج </w:t>
      </w:r>
      <w:r w:rsidRPr="00545500">
        <w:rPr>
          <w:rFonts w:ascii="SimplifiedArabic" w:hAnsi="Courier New" w:cs="SimplifiedArabic"/>
          <w:color w:val="222222"/>
          <w:sz w:val="28"/>
          <w:szCs w:val="28"/>
          <w:lang w:bidi="ar-EG"/>
        </w:rPr>
        <w:t>SPSS</w:t>
      </w:r>
      <w:r w:rsidRPr="00545500">
        <w:rPr>
          <w:rFonts w:ascii="SimplifiedArabic" w:hAnsi="Courier New" w:cs="SimplifiedArabic"/>
          <w:color w:val="222222"/>
          <w:sz w:val="28"/>
          <w:szCs w:val="28"/>
          <w:rtl/>
          <w:lang w:bidi="ar-EG"/>
        </w:rPr>
        <w:t xml:space="preserve"> الإحصائي اختيرت منها </w:t>
      </w:r>
      <w:r w:rsidRPr="00545500">
        <w:rPr>
          <w:rFonts w:ascii="SimplifiedArabic" w:hAnsi="Courier New" w:cs="SimplifiedArabic"/>
          <w:color w:val="222222"/>
          <w:sz w:val="28"/>
          <w:szCs w:val="28"/>
          <w:rtl/>
          <w:lang w:bidi="ar-EG"/>
        </w:rPr>
        <w:lastRenderedPageBreak/>
        <w:t>عينة عشوائية قصدية (بواقع) (60) فردا ليمثلوا مجتمع البحث تمثيلا صحيحا، وتوصل البحث إلى مجموعة من النتائج أبرزها إمكانية اعتماد المنظمة المبحوثة حوكمة الموارد البشرية بوصفها مدخل لتحقيق الريادة، ومرد ذلك يعود إلى مستوى التأثيرات المباشرة للمتغير المستقل وابعاده في المتغير المعتمد، ومن ثم قدم البحث مجموعة من المقترحات كان أهمها حث القيادات الإدارية وأصحاب القرار في المنظمة المبحوثة بضرورة الاهتمام بأبعاد لحوكمة الموارد البشرية، ومنها صوت العاملين، الرؤية الاستراتيجية التي من خلالها تحقيق الريادة في المنظمة المبحوثة.</w:t>
      </w:r>
    </w:p>
    <w:p w14:paraId="1AAB3718"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rPr>
      </w:pPr>
      <w:r w:rsidRPr="00545500">
        <w:rPr>
          <w:rFonts w:ascii="SimplifiedArabic" w:hAnsi="Courier New" w:cs="SimplifiedArabic" w:hint="cs"/>
          <w:b/>
          <w:bCs/>
          <w:color w:val="222222"/>
          <w:sz w:val="28"/>
          <w:szCs w:val="28"/>
          <w:rtl/>
        </w:rPr>
        <w:t xml:space="preserve">دراسة المحيميد.(2025). بعنوان: </w:t>
      </w:r>
      <w:r w:rsidRPr="00545500">
        <w:rPr>
          <w:rFonts w:ascii="SimplifiedArabic" w:hAnsi="Courier New" w:cs="SimplifiedArabic"/>
          <w:b/>
          <w:bCs/>
          <w:color w:val="222222"/>
          <w:sz w:val="28"/>
          <w:szCs w:val="28"/>
          <w:rtl/>
        </w:rPr>
        <w:t>مبادئ حوكمة الشركات: دراسة نظرية لأثرها على الشفافية والكفاءة الإدارية</w:t>
      </w:r>
      <w:r w:rsidRPr="00545500">
        <w:rPr>
          <w:rFonts w:ascii="SimplifiedArabic" w:hAnsi="Courier New" w:cs="SimplifiedArabic" w:hint="cs"/>
          <w:color w:val="222222"/>
          <w:sz w:val="28"/>
          <w:szCs w:val="28"/>
          <w:rtl/>
        </w:rPr>
        <w:t>.</w:t>
      </w:r>
    </w:p>
    <w:p w14:paraId="356D50A3"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rPr>
      </w:pPr>
      <w:r w:rsidRPr="00545500">
        <w:rPr>
          <w:rFonts w:ascii="SimplifiedArabic" w:hAnsi="Courier New" w:cs="SimplifiedArabic" w:hint="cs"/>
          <w:color w:val="222222"/>
          <w:sz w:val="28"/>
          <w:szCs w:val="28"/>
          <w:rtl/>
        </w:rPr>
        <w:t>تناولت هذه</w:t>
      </w:r>
      <w:r w:rsidRPr="00545500">
        <w:rPr>
          <w:rFonts w:ascii="SimplifiedArabic" w:hAnsi="Courier New" w:cs="SimplifiedArabic"/>
          <w:color w:val="222222"/>
          <w:sz w:val="28"/>
          <w:szCs w:val="28"/>
          <w:rtl/>
        </w:rPr>
        <w:t xml:space="preserve"> الدراسة النظرية مبادئ حوكمة الشركات وتأثيرها العميق على الشفافية والكفاءة الإدارية، مسلطة الضوء على أهمية هذه المبادئ كإطار تنظيمي لتحسين الأداء المؤسسي. تتناول الدراسة دور الشفافية في تعزيز الثقة بين الأطراف المعنية وتقليل المخاطر المرتبطة بالفساد الإداري، حيث تظهر الأبحاث كيف يمكن لمبادئ الحوكمة أن تعزز الإفصاح عن المعلومات وتزيد من قدرة المؤسسات على تلبية توقعات المساهمين. بالإضافة إلى ذلك، تستكشف الدراسة العلاقة بين تطبيق الحوكمة والكفاءة الإدارية، حيث تسهم الحوكمة في تحسين عمليات اتخاذ القرار، تقليل التكاليف التشغيلية، وزيادة الفاعلية التنظيمية. كما تتناول الدراسة أحدث الاتجاهات النظرية في المجال، مثل تأثير التكنولوجيا على تعزيز الشفافية ودعم تنفيذ مبادئ الحوكمة من خلال الأدوات الرقمية التي تعزز من الدقة والمصداقية. تركز الدراسة على تحليل الأدبيات الحديثة لفهم كيفية تأثير تطبيق الحوكمة على تحسين العمليات المؤسسية </w:t>
      </w:r>
      <w:r w:rsidRPr="00545500">
        <w:rPr>
          <w:rFonts w:ascii="SimplifiedArabic" w:hAnsi="Courier New" w:cs="SimplifiedArabic"/>
          <w:color w:val="222222"/>
          <w:sz w:val="28"/>
          <w:szCs w:val="28"/>
          <w:rtl/>
        </w:rPr>
        <w:lastRenderedPageBreak/>
        <w:t>وتحقيق التنمية المستدامة. النتائج التي توصلت إليها تبرز أهمية تكامل المبادئ النظرية مع الممارسات العملية لتقديم توصيات تساهم في تطوير الأطر المؤسسية وضمان استمرارية المؤسسات في بيئات تنافسية معقدة.</w:t>
      </w:r>
    </w:p>
    <w:p w14:paraId="3DBB4A8B" w14:textId="77777777" w:rsidR="00545500" w:rsidRPr="00545500" w:rsidRDefault="00545500" w:rsidP="00545500">
      <w:pPr>
        <w:autoSpaceDE w:val="0"/>
        <w:autoSpaceDN w:val="0"/>
        <w:bidi/>
        <w:adjustRightInd w:val="0"/>
        <w:spacing w:after="0" w:line="600" w:lineRule="auto"/>
        <w:jc w:val="lowKashida"/>
        <w:outlineLvl w:val="1"/>
        <w:rPr>
          <w:rFonts w:ascii="SimplifiedArabic" w:hAnsi="Courier New" w:cs="SimplifiedArabic"/>
          <w:b/>
          <w:bCs/>
          <w:color w:val="222222"/>
          <w:sz w:val="32"/>
          <w:szCs w:val="32"/>
          <w:rtl/>
        </w:rPr>
      </w:pPr>
      <w:bookmarkStart w:id="22" w:name="_Toc225424363"/>
      <w:r w:rsidRPr="00545500">
        <w:rPr>
          <w:rFonts w:ascii="SimplifiedArabic" w:hAnsi="Courier New" w:cs="SimplifiedArabic" w:hint="cs"/>
          <w:b/>
          <w:bCs/>
          <w:color w:val="222222"/>
          <w:sz w:val="32"/>
          <w:szCs w:val="32"/>
          <w:rtl/>
        </w:rPr>
        <w:t>الدراسات الأجنبية:</w:t>
      </w:r>
      <w:bookmarkEnd w:id="22"/>
    </w:p>
    <w:p w14:paraId="55277B5B"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222222"/>
          <w:sz w:val="28"/>
          <w:szCs w:val="28"/>
          <w:rtl/>
        </w:rPr>
      </w:pPr>
      <w:r w:rsidRPr="00545500">
        <w:rPr>
          <w:rFonts w:ascii="SimplifiedArabic" w:hAnsi="Courier New" w:cs="SimplifiedArabic"/>
          <w:b/>
          <w:bCs/>
          <w:color w:val="222222"/>
          <w:sz w:val="28"/>
          <w:szCs w:val="28"/>
          <w:rtl/>
        </w:rPr>
        <w:t>دراسة</w:t>
      </w:r>
      <w:r w:rsidRPr="00545500">
        <w:rPr>
          <w:rFonts w:ascii="SimplifiedArabic" w:hAnsi="Courier New" w:cs="SimplifiedArabic" w:hint="cs"/>
          <w:b/>
          <w:bCs/>
          <w:color w:val="222222"/>
          <w:sz w:val="28"/>
          <w:szCs w:val="28"/>
          <w:rtl/>
        </w:rPr>
        <w:t xml:space="preserve"> </w:t>
      </w:r>
      <w:r w:rsidRPr="00545500">
        <w:rPr>
          <w:rFonts w:ascii="SimplifiedArabic" w:hAnsi="Courier New" w:cs="SimplifiedArabic"/>
          <w:b/>
          <w:bCs/>
          <w:color w:val="222222"/>
          <w:sz w:val="28"/>
          <w:szCs w:val="28"/>
          <w:rtl/>
        </w:rPr>
        <w:t xml:space="preserve">(2018 </w:t>
      </w:r>
      <w:r w:rsidRPr="00545500">
        <w:rPr>
          <w:rFonts w:ascii="SimplifiedArabic" w:hAnsi="Courier New" w:cs="SimplifiedArabic" w:hint="cs"/>
          <w:b/>
          <w:bCs/>
          <w:color w:val="222222"/>
          <w:sz w:val="28"/>
          <w:szCs w:val="28"/>
          <w:rtl/>
        </w:rPr>
        <w:t>)</w:t>
      </w:r>
      <w:r w:rsidRPr="00545500">
        <w:rPr>
          <w:rFonts w:ascii="SimplifiedArabic" w:hAnsi="Courier New" w:cs="SimplifiedArabic"/>
          <w:b/>
          <w:bCs/>
          <w:color w:val="222222"/>
          <w:sz w:val="28"/>
          <w:szCs w:val="28"/>
          <w:rtl/>
        </w:rPr>
        <w:t xml:space="preserve"> </w:t>
      </w:r>
      <w:r w:rsidRPr="00545500">
        <w:rPr>
          <w:rFonts w:ascii="SimplifiedArabic" w:hAnsi="Courier New" w:cs="SimplifiedArabic"/>
          <w:b/>
          <w:bCs/>
          <w:color w:val="222222"/>
          <w:sz w:val="28"/>
          <w:szCs w:val="28"/>
        </w:rPr>
        <w:t>Sabreya Khanom Zuma</w:t>
      </w:r>
      <w:r w:rsidRPr="00545500">
        <w:rPr>
          <w:rFonts w:ascii="SimplifiedArabic" w:hAnsi="Courier New" w:cs="SimplifiedArabic" w:hint="cs"/>
          <w:b/>
          <w:bCs/>
          <w:color w:val="222222"/>
          <w:sz w:val="28"/>
          <w:szCs w:val="28"/>
          <w:rtl/>
        </w:rPr>
        <w:t xml:space="preserve">. بعنوان: </w:t>
      </w:r>
    </w:p>
    <w:p w14:paraId="66B42920" w14:textId="77777777" w:rsidR="00545500" w:rsidRPr="00545500" w:rsidRDefault="00545500" w:rsidP="00545500">
      <w:pPr>
        <w:autoSpaceDE w:val="0"/>
        <w:autoSpaceDN w:val="0"/>
        <w:adjustRightInd w:val="0"/>
        <w:spacing w:after="0" w:line="600" w:lineRule="auto"/>
        <w:rPr>
          <w:rFonts w:ascii="SimplifiedArabic" w:hAnsi="Courier New" w:cs="SimplifiedArabic"/>
          <w:b/>
          <w:bCs/>
          <w:color w:val="222222"/>
          <w:sz w:val="28"/>
          <w:szCs w:val="28"/>
        </w:rPr>
      </w:pPr>
      <w:r w:rsidRPr="00545500">
        <w:rPr>
          <w:rFonts w:ascii="SimplifiedArabic" w:hAnsi="Courier New" w:cs="SimplifiedArabic" w:hint="cs"/>
          <w:b/>
          <w:bCs/>
          <w:color w:val="222222"/>
          <w:sz w:val="28"/>
          <w:szCs w:val="28"/>
          <w:rtl/>
        </w:rPr>
        <w:t xml:space="preserve"> </w:t>
      </w:r>
      <w:r w:rsidRPr="00545500">
        <w:rPr>
          <w:rFonts w:ascii="SimplifiedArabic" w:hAnsi="Courier New" w:cs="SimplifiedArabic"/>
          <w:b/>
          <w:bCs/>
          <w:color w:val="222222"/>
          <w:sz w:val="28"/>
          <w:szCs w:val="28"/>
        </w:rPr>
        <w:t>HR Governance for Sustainable Human Resource Development:</w:t>
      </w:r>
    </w:p>
    <w:p w14:paraId="289A8D03" w14:textId="77777777" w:rsidR="00545500" w:rsidRPr="00545500" w:rsidRDefault="00545500" w:rsidP="00545500">
      <w:pPr>
        <w:autoSpaceDE w:val="0"/>
        <w:autoSpaceDN w:val="0"/>
        <w:adjustRightInd w:val="0"/>
        <w:spacing w:after="0" w:line="600" w:lineRule="auto"/>
        <w:jc w:val="lowKashida"/>
        <w:rPr>
          <w:rFonts w:ascii="SimplifiedArabic" w:hAnsi="Courier New" w:cs="SimplifiedArabic"/>
          <w:b/>
          <w:bCs/>
          <w:color w:val="222222"/>
          <w:sz w:val="28"/>
          <w:szCs w:val="28"/>
        </w:rPr>
      </w:pPr>
      <w:r w:rsidRPr="00545500">
        <w:rPr>
          <w:rFonts w:ascii="SimplifiedArabic" w:hAnsi="Courier New" w:cs="SimplifiedArabic"/>
          <w:b/>
          <w:bCs/>
          <w:color w:val="222222"/>
          <w:sz w:val="28"/>
          <w:szCs w:val="28"/>
        </w:rPr>
        <w:t>Evidence from Private Sector of Bangladesh.</w:t>
      </w:r>
    </w:p>
    <w:p w14:paraId="4C208481"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545500">
        <w:rPr>
          <w:rFonts w:ascii="SimplifiedArabic" w:hAnsi="Courier New" w:cs="SimplifiedArabic" w:hint="cs"/>
          <w:color w:val="222222"/>
          <w:sz w:val="28"/>
          <w:szCs w:val="28"/>
          <w:rtl/>
          <w:lang w:bidi="ar-EG"/>
        </w:rPr>
        <w:t xml:space="preserve">    </w:t>
      </w:r>
      <w:r w:rsidRPr="00545500">
        <w:rPr>
          <w:rFonts w:ascii="SimplifiedArabic" w:hAnsi="Courier New" w:cs="SimplifiedArabic"/>
          <w:color w:val="222222"/>
          <w:sz w:val="28"/>
          <w:szCs w:val="28"/>
          <w:rtl/>
          <w:lang w:bidi="ar-EG"/>
        </w:rPr>
        <w:t>هدفت هذه الدراسة إلى التعرف على أثر حوكمة الموارد البشرية في تنمية الموارد البشرية المستدامة في القطاع الخاص في بنغلاديش، مع التركيز على تحليل مدى استجابة منظمات القطاع الخاص لتطبيق ممارسات الحوكمة، ودورها في تعزيز استدامة الموارد البشرية. كما سعت الدراسة إلى تحديد العوامل المختلفة التي تؤثر في تحقيق التنمية المستدامة للموارد البشرية داخل هذه المؤسسات</w:t>
      </w:r>
      <w:r w:rsidRPr="00545500">
        <w:rPr>
          <w:rFonts w:ascii="SimplifiedArabic" w:hAnsi="Courier New" w:cs="SimplifiedArabic"/>
          <w:color w:val="222222"/>
          <w:sz w:val="28"/>
          <w:szCs w:val="28"/>
          <w:lang w:bidi="ar-EG"/>
        </w:rPr>
        <w:t>.</w:t>
      </w:r>
      <w:r w:rsidRPr="00545500">
        <w:rPr>
          <w:rFonts w:ascii="SimplifiedArabic" w:hAnsi="Courier New" w:cs="SimplifiedArabic" w:hint="cs"/>
          <w:color w:val="222222"/>
          <w:sz w:val="28"/>
          <w:szCs w:val="28"/>
          <w:rtl/>
          <w:lang w:bidi="ar-EG"/>
        </w:rPr>
        <w:t xml:space="preserve"> و</w:t>
      </w:r>
      <w:r w:rsidRPr="00545500">
        <w:rPr>
          <w:rFonts w:ascii="SimplifiedArabic" w:hAnsi="Courier New" w:cs="SimplifiedArabic"/>
          <w:color w:val="222222"/>
          <w:sz w:val="28"/>
          <w:szCs w:val="28"/>
          <w:rtl/>
          <w:lang w:bidi="ar-EG"/>
        </w:rPr>
        <w:t>اعتمدت الدراسة على منهج ميداني، حيث تم اختيار عينة شملت خمس صناعات تصنيعية وثلاثة قطاعات خدمية، وتم توزيع استبيان منظم على (200) موظف من العاملين في هذه القطاعات. وتم استخدام عدد من الأدوات الإحصائية لتحليل البيانات، من أبرزها برنامج</w:t>
      </w:r>
      <w:r w:rsidRPr="00545500">
        <w:rPr>
          <w:rFonts w:ascii="SimplifiedArabic" w:hAnsi="Courier New" w:cs="SimplifiedArabic"/>
          <w:color w:val="222222"/>
          <w:sz w:val="28"/>
          <w:szCs w:val="28"/>
          <w:lang w:bidi="ar-EG"/>
        </w:rPr>
        <w:t xml:space="preserve"> (SPSS) </w:t>
      </w:r>
      <w:r w:rsidRPr="00545500">
        <w:rPr>
          <w:rFonts w:ascii="SimplifiedArabic" w:hAnsi="Courier New" w:cs="SimplifiedArabic"/>
          <w:color w:val="222222"/>
          <w:sz w:val="28"/>
          <w:szCs w:val="28"/>
          <w:rtl/>
          <w:lang w:bidi="ar-EG"/>
        </w:rPr>
        <w:t>و</w:t>
      </w:r>
      <w:r w:rsidRPr="00545500">
        <w:rPr>
          <w:rFonts w:ascii="SimplifiedArabic" w:hAnsi="Courier New" w:cs="SimplifiedArabic"/>
          <w:color w:val="222222"/>
          <w:sz w:val="28"/>
          <w:szCs w:val="28"/>
          <w:lang w:bidi="ar-EG"/>
        </w:rPr>
        <w:t>(Excel)</w:t>
      </w:r>
      <w:r w:rsidRPr="00545500">
        <w:rPr>
          <w:rFonts w:ascii="SimplifiedArabic" w:hAnsi="Courier New" w:cs="SimplifiedArabic"/>
          <w:color w:val="222222"/>
          <w:sz w:val="28"/>
          <w:szCs w:val="28"/>
          <w:rtl/>
          <w:lang w:bidi="ar-EG"/>
        </w:rPr>
        <w:t>، بالإضافة إلى اختبار تحليل التباين</w:t>
      </w:r>
      <w:r w:rsidRPr="00545500">
        <w:rPr>
          <w:rFonts w:ascii="SimplifiedArabic" w:hAnsi="Courier New" w:cs="SimplifiedArabic"/>
          <w:color w:val="222222"/>
          <w:sz w:val="28"/>
          <w:szCs w:val="28"/>
          <w:lang w:bidi="ar-EG"/>
        </w:rPr>
        <w:t xml:space="preserve"> (ANOVA) </w:t>
      </w:r>
      <w:r w:rsidRPr="00545500">
        <w:rPr>
          <w:rFonts w:ascii="SimplifiedArabic" w:hAnsi="Courier New" w:cs="SimplifiedArabic"/>
          <w:color w:val="222222"/>
          <w:sz w:val="28"/>
          <w:szCs w:val="28"/>
          <w:rtl/>
          <w:lang w:bidi="ar-EG"/>
        </w:rPr>
        <w:t>لاختبار فرضيات الدراسة</w:t>
      </w:r>
      <w:r w:rsidRPr="00545500">
        <w:rPr>
          <w:rFonts w:ascii="SimplifiedArabic" w:hAnsi="Courier New" w:cs="SimplifiedArabic"/>
          <w:color w:val="222222"/>
          <w:sz w:val="28"/>
          <w:szCs w:val="28"/>
          <w:lang w:bidi="ar-EG"/>
        </w:rPr>
        <w:t>.</w:t>
      </w:r>
      <w:r w:rsidRPr="00545500">
        <w:rPr>
          <w:rFonts w:ascii="SimplifiedArabic" w:hAnsi="Courier New" w:cs="SimplifiedArabic" w:hint="cs"/>
          <w:color w:val="222222"/>
          <w:sz w:val="28"/>
          <w:szCs w:val="28"/>
          <w:rtl/>
          <w:lang w:bidi="ar-EG"/>
        </w:rPr>
        <w:t xml:space="preserve"> </w:t>
      </w:r>
    </w:p>
    <w:p w14:paraId="16882F98"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545500">
        <w:rPr>
          <w:rFonts w:ascii="SimplifiedArabic" w:hAnsi="Courier New" w:cs="SimplifiedArabic"/>
          <w:color w:val="222222"/>
          <w:sz w:val="28"/>
          <w:szCs w:val="28"/>
          <w:rtl/>
          <w:lang w:bidi="ar-EG"/>
        </w:rPr>
        <w:t xml:space="preserve">وأظهرت النتائج أن بعض أبعاد حوكمة الموارد البشرية لها تأثير كبير وملحوظ على تحقيق التنمية المستدامة للموارد البشرية، في حين أن أبعادًا أخرى كان تأثيرها أقل أهمية. كما بينت النتائج أن تعزيز </w:t>
      </w:r>
      <w:r w:rsidRPr="00545500">
        <w:rPr>
          <w:rFonts w:ascii="SimplifiedArabic" w:hAnsi="Courier New" w:cs="SimplifiedArabic"/>
          <w:color w:val="222222"/>
          <w:sz w:val="28"/>
          <w:szCs w:val="28"/>
          <w:rtl/>
          <w:lang w:bidi="ar-EG"/>
        </w:rPr>
        <w:lastRenderedPageBreak/>
        <w:t>المساءلة لدى مختصي الموارد البشرية يسهم في دعم استدامة الموارد البشرية، ويعزز من كفاءة الأداء المؤسسي. وأوصت الدراسة بضرورة تبني ممارسات حوكمة فعّالة، والعمل على تطوير السياسات والإجراءات بما يضمن تحقيق تنمية مستدامة للموارد البشرية داخل مؤسسات القطاع الخاص.</w:t>
      </w:r>
    </w:p>
    <w:p w14:paraId="01968ED3"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222222"/>
          <w:sz w:val="28"/>
          <w:szCs w:val="28"/>
          <w:rtl/>
          <w:lang w:bidi="ar-EG"/>
        </w:rPr>
      </w:pPr>
      <w:r w:rsidRPr="00545500">
        <w:rPr>
          <w:rFonts w:ascii="SimplifiedArabic" w:hAnsi="Courier New" w:cs="SimplifiedArabic"/>
          <w:b/>
          <w:bCs/>
          <w:color w:val="222222"/>
          <w:sz w:val="28"/>
          <w:szCs w:val="28"/>
          <w:rtl/>
          <w:lang w:bidi="ar-EG"/>
        </w:rPr>
        <w:t>دراسة (2019) لـ</w:t>
      </w:r>
      <w:r w:rsidRPr="00545500">
        <w:rPr>
          <w:rFonts w:ascii="SimplifiedArabic" w:hAnsi="Courier New" w:cs="SimplifiedArabic"/>
          <w:b/>
          <w:bCs/>
          <w:color w:val="222222"/>
          <w:sz w:val="28"/>
          <w:szCs w:val="28"/>
          <w:lang w:bidi="ar-EG"/>
        </w:rPr>
        <w:t xml:space="preserve"> Kaehler B. &amp; Grundei J. </w:t>
      </w:r>
      <w:r w:rsidRPr="00545500">
        <w:rPr>
          <w:rFonts w:ascii="SimplifiedArabic" w:hAnsi="Courier New" w:cs="SimplifiedArabic"/>
          <w:b/>
          <w:bCs/>
          <w:color w:val="222222"/>
          <w:sz w:val="28"/>
          <w:szCs w:val="28"/>
          <w:rtl/>
          <w:lang w:bidi="ar-EG"/>
        </w:rPr>
        <w:t>بعنوان</w:t>
      </w:r>
      <w:r w:rsidRPr="00545500">
        <w:rPr>
          <w:rFonts w:ascii="SimplifiedArabic" w:hAnsi="Courier New" w:cs="SimplifiedArabic"/>
          <w:b/>
          <w:bCs/>
          <w:color w:val="222222"/>
          <w:sz w:val="28"/>
          <w:szCs w:val="28"/>
          <w:lang w:bidi="ar-EG"/>
        </w:rPr>
        <w:t>:</w:t>
      </w:r>
    </w:p>
    <w:p w14:paraId="07F1D566"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lang w:bidi="ar-EG"/>
        </w:rPr>
      </w:pPr>
      <w:r w:rsidRPr="00545500">
        <w:rPr>
          <w:rFonts w:ascii="SimplifiedArabic" w:hAnsi="Courier New" w:cs="SimplifiedArabic"/>
          <w:b/>
          <w:bCs/>
          <w:color w:val="222222"/>
          <w:sz w:val="28"/>
          <w:szCs w:val="28"/>
          <w:lang w:bidi="ar-EG"/>
        </w:rPr>
        <w:t>HR Governance as a Part of the Corporate Governance Concept</w:t>
      </w:r>
    </w:p>
    <w:p w14:paraId="63946BFE"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545500">
        <w:rPr>
          <w:rFonts w:ascii="SimplifiedArabic" w:hAnsi="Courier New" w:cs="SimplifiedArabic"/>
          <w:color w:val="222222"/>
          <w:sz w:val="28"/>
          <w:szCs w:val="28"/>
          <w:rtl/>
          <w:lang w:bidi="ar-EG"/>
        </w:rPr>
        <w:t>هدفت هذه الدراسة إلى تطوير تعريف متكامل ودقيق لحوكمة الموارد البشرية من خلال دمجها ضمن إطار حوكمة الشركات والإدارة العامة وإدارة الموارد البشرية، بما يعكس دورها الاستراتيجي في تعزيز كفاءة التنظيم المؤسسي</w:t>
      </w:r>
      <w:r w:rsidRPr="00545500">
        <w:rPr>
          <w:rFonts w:ascii="SimplifiedArabic" w:hAnsi="Courier New" w:cs="SimplifiedArabic"/>
          <w:color w:val="222222"/>
          <w:sz w:val="28"/>
          <w:szCs w:val="28"/>
          <w:lang w:bidi="ar-EG"/>
        </w:rPr>
        <w:t>.</w:t>
      </w:r>
      <w:r w:rsidRPr="00545500">
        <w:rPr>
          <w:rFonts w:ascii="SimplifiedArabic" w:hAnsi="Courier New" w:cs="SimplifiedArabic" w:hint="cs"/>
          <w:color w:val="222222"/>
          <w:sz w:val="28"/>
          <w:szCs w:val="28"/>
          <w:rtl/>
          <w:lang w:bidi="ar-EG"/>
        </w:rPr>
        <w:t xml:space="preserve"> و</w:t>
      </w:r>
      <w:r w:rsidRPr="00545500">
        <w:rPr>
          <w:rFonts w:ascii="SimplifiedArabic" w:hAnsi="Courier New" w:cs="SimplifiedArabic"/>
          <w:color w:val="222222"/>
          <w:sz w:val="28"/>
          <w:szCs w:val="28"/>
          <w:rtl/>
          <w:lang w:bidi="ar-EG"/>
        </w:rPr>
        <w:t>اعتمدت الدراسة على عينة قصدية من مديري الموارد البشرية في عدد من المؤسسات، وتم جمع البيانات باستخدام استمارة استبيان، ومن ثم تحليلها للوصول إلى النتائج</w:t>
      </w:r>
      <w:r w:rsidRPr="00545500">
        <w:rPr>
          <w:rFonts w:ascii="SimplifiedArabic" w:hAnsi="Courier New" w:cs="SimplifiedArabic"/>
          <w:color w:val="222222"/>
          <w:sz w:val="28"/>
          <w:szCs w:val="28"/>
          <w:lang w:bidi="ar-EG"/>
        </w:rPr>
        <w:t>.</w:t>
      </w:r>
    </w:p>
    <w:p w14:paraId="4FFFCE9E"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545500">
        <w:rPr>
          <w:rFonts w:ascii="SimplifiedArabic" w:hAnsi="Courier New" w:cs="SimplifiedArabic"/>
          <w:color w:val="222222"/>
          <w:sz w:val="28"/>
          <w:szCs w:val="28"/>
          <w:rtl/>
          <w:lang w:bidi="ar-EG"/>
        </w:rPr>
        <w:t>وأظهرت نتائج الدراسة أن أفضل تعريف لحوكمة الموارد البشرية يتمثل في كونها إطارًا ينظم السلوك الداخلي والخارجي لإدارة الموارد البشرية، ويعزز قدرتها على ممارسة الرقابة الفعالة داخل الشركة ووحداتها التنظيمية. كما أكدت الدراسة أهمية دمج مبادئ الحوكمة في ممارسات الموارد البشرية بما يضمن تحقيق التوازن بين الرقابة والكفاءة</w:t>
      </w:r>
      <w:r w:rsidRPr="00545500">
        <w:rPr>
          <w:rFonts w:ascii="SimplifiedArabic" w:hAnsi="Courier New" w:cs="SimplifiedArabic"/>
          <w:color w:val="222222"/>
          <w:sz w:val="28"/>
          <w:szCs w:val="28"/>
          <w:lang w:bidi="ar-EG"/>
        </w:rPr>
        <w:t>.</w:t>
      </w:r>
      <w:r w:rsidRPr="00545500">
        <w:rPr>
          <w:rFonts w:ascii="SimplifiedArabic" w:hAnsi="Courier New" w:cs="SimplifiedArabic" w:hint="cs"/>
          <w:color w:val="222222"/>
          <w:sz w:val="28"/>
          <w:szCs w:val="28"/>
          <w:rtl/>
          <w:lang w:bidi="ar-EG"/>
        </w:rPr>
        <w:t xml:space="preserve"> </w:t>
      </w:r>
      <w:r w:rsidRPr="00545500">
        <w:rPr>
          <w:rFonts w:ascii="SimplifiedArabic" w:hAnsi="Courier New" w:cs="SimplifiedArabic"/>
          <w:color w:val="222222"/>
          <w:sz w:val="28"/>
          <w:szCs w:val="28"/>
          <w:rtl/>
          <w:lang w:bidi="ar-EG"/>
        </w:rPr>
        <w:t xml:space="preserve">وفي ضوء ذلك، أوصت الدراسة الباحثين بضرورة تطوير نماذج ونظريات علمية متقدمة في مجال حوكمة الموارد البشرية واختبارها تجريبيًا. كما أوصت من الناحية التطبيقية بضرورة قيام المديرين ومتخصصي الموارد البشرية بإعادة هيكلة سياسات وإجراءات الموارد البشرية بما يتوافق مع مبادئ الحوكمة، خاصة وفقًا لمعيار </w:t>
      </w:r>
      <w:r w:rsidRPr="00545500">
        <w:rPr>
          <w:rFonts w:ascii="SimplifiedArabic" w:hAnsi="Courier New" w:cs="SimplifiedArabic"/>
          <w:color w:val="222222"/>
          <w:sz w:val="28"/>
          <w:szCs w:val="28"/>
          <w:lang w:bidi="ar-EG"/>
        </w:rPr>
        <w:t>ISO 30408</w:t>
      </w:r>
      <w:r w:rsidRPr="00545500">
        <w:rPr>
          <w:rFonts w:ascii="SimplifiedArabic" w:hAnsi="Courier New" w:cs="SimplifiedArabic"/>
          <w:color w:val="222222"/>
          <w:sz w:val="28"/>
          <w:szCs w:val="28"/>
          <w:rtl/>
          <w:lang w:bidi="ar-EG"/>
        </w:rPr>
        <w:t>، بما يسهم في تعزيز فعالية الأداء التنظيمي.</w:t>
      </w:r>
    </w:p>
    <w:p w14:paraId="23A675BE"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222222"/>
          <w:sz w:val="28"/>
          <w:szCs w:val="28"/>
          <w:rtl/>
        </w:rPr>
      </w:pPr>
      <w:r w:rsidRPr="00545500">
        <w:rPr>
          <w:rFonts w:ascii="SimplifiedArabic" w:hAnsi="Courier New" w:cs="SimplifiedArabic"/>
          <w:b/>
          <w:bCs/>
          <w:color w:val="222222"/>
          <w:sz w:val="28"/>
          <w:szCs w:val="28"/>
          <w:rtl/>
        </w:rPr>
        <w:lastRenderedPageBreak/>
        <w:t>دراسة (2020) لـ</w:t>
      </w:r>
      <w:r w:rsidRPr="00545500">
        <w:rPr>
          <w:rFonts w:ascii="SimplifiedArabic" w:hAnsi="Courier New" w:cs="SimplifiedArabic"/>
          <w:b/>
          <w:bCs/>
          <w:color w:val="222222"/>
          <w:sz w:val="28"/>
          <w:szCs w:val="28"/>
        </w:rPr>
        <w:t xml:space="preserve"> AJ De Bruyn </w:t>
      </w:r>
      <w:r w:rsidRPr="00545500">
        <w:rPr>
          <w:rFonts w:ascii="SimplifiedArabic" w:hAnsi="Courier New" w:cs="SimplifiedArabic"/>
          <w:b/>
          <w:bCs/>
          <w:color w:val="222222"/>
          <w:sz w:val="28"/>
          <w:szCs w:val="28"/>
          <w:rtl/>
        </w:rPr>
        <w:t>بعنوان</w:t>
      </w:r>
      <w:r w:rsidRPr="00545500">
        <w:rPr>
          <w:rFonts w:ascii="SimplifiedArabic" w:hAnsi="Courier New" w:cs="SimplifiedArabic"/>
          <w:b/>
          <w:bCs/>
          <w:color w:val="222222"/>
          <w:sz w:val="28"/>
          <w:szCs w:val="28"/>
        </w:rPr>
        <w:t>:</w:t>
      </w:r>
    </w:p>
    <w:p w14:paraId="43FFB48B"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222222"/>
          <w:sz w:val="28"/>
          <w:szCs w:val="28"/>
        </w:rPr>
      </w:pPr>
      <w:r w:rsidRPr="00545500">
        <w:rPr>
          <w:rFonts w:ascii="SimplifiedArabic" w:hAnsi="Courier New" w:cs="SimplifiedArabic"/>
          <w:b/>
          <w:bCs/>
          <w:color w:val="222222"/>
          <w:sz w:val="28"/>
          <w:szCs w:val="28"/>
        </w:rPr>
        <w:t>Harnessing HR Governance in Effective Virtual Teams</w:t>
      </w:r>
    </w:p>
    <w:p w14:paraId="43BE0D04"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rPr>
      </w:pPr>
      <w:r w:rsidRPr="00545500">
        <w:rPr>
          <w:rFonts w:ascii="SimplifiedArabic" w:hAnsi="Courier New" w:cs="SimplifiedArabic"/>
          <w:color w:val="222222"/>
          <w:sz w:val="28"/>
          <w:szCs w:val="28"/>
          <w:rtl/>
        </w:rPr>
        <w:t>هدفت هذه الدراسة إلى استكشاف آليات حوكمة الموارد البشرية من خلال دراسة حالة نوعية في صناعة البرمجيات في جنوب إفريقيا، مع التركيز على كيفية تطبيق ممارسات الحوكمة في إدارة الفرق الافتراضية. كما سعت إلى تحديد الأدوار التي تؤديها هذه الآليات في تحسين أداء الفرق العاملة عن بُعد</w:t>
      </w:r>
      <w:r w:rsidRPr="00545500">
        <w:rPr>
          <w:rFonts w:ascii="SimplifiedArabic" w:hAnsi="Courier New" w:cs="SimplifiedArabic"/>
          <w:color w:val="222222"/>
          <w:sz w:val="28"/>
          <w:szCs w:val="28"/>
        </w:rPr>
        <w:t>.</w:t>
      </w:r>
    </w:p>
    <w:p w14:paraId="6D062818"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rPr>
      </w:pPr>
      <w:r w:rsidRPr="00545500">
        <w:rPr>
          <w:rFonts w:ascii="SimplifiedArabic" w:hAnsi="Courier New" w:cs="SimplifiedArabic"/>
          <w:color w:val="222222"/>
          <w:sz w:val="28"/>
          <w:szCs w:val="28"/>
          <w:rtl/>
        </w:rPr>
        <w:t>اعتمدت الدراسة على عينة قصدية، وتم جمع البيانات باستخدام استبيان إلكتروني، ثم تم تحليل البيانات للتوصل إلى النتائج. وأظهرت النتائج أن الدور الهرمي التقليدي لكل من قائد الفريق ومدير الفريق يمكن أن يتم تقليله أو استبداله جزئيًا باستخدام التقنيات والبرمجيات الحديثة، مما يعكس التحول نحو أنماط إدارة أكثر مرونة</w:t>
      </w:r>
      <w:r w:rsidRPr="00545500">
        <w:rPr>
          <w:rFonts w:ascii="SimplifiedArabic" w:hAnsi="Courier New" w:cs="SimplifiedArabic"/>
          <w:color w:val="222222"/>
          <w:sz w:val="28"/>
          <w:szCs w:val="28"/>
        </w:rPr>
        <w:t>.</w:t>
      </w:r>
      <w:r w:rsidRPr="00545500">
        <w:rPr>
          <w:rFonts w:ascii="SimplifiedArabic" w:hAnsi="Courier New" w:cs="SimplifiedArabic" w:hint="cs"/>
          <w:color w:val="222222"/>
          <w:sz w:val="28"/>
          <w:szCs w:val="28"/>
          <w:rtl/>
        </w:rPr>
        <w:t xml:space="preserve"> و</w:t>
      </w:r>
      <w:r w:rsidRPr="00545500">
        <w:rPr>
          <w:rFonts w:ascii="SimplifiedArabic" w:hAnsi="Courier New" w:cs="SimplifiedArabic"/>
          <w:color w:val="222222"/>
          <w:sz w:val="28"/>
          <w:szCs w:val="28"/>
          <w:rtl/>
        </w:rPr>
        <w:t>كما بينت النتائج أن إدارة العمليات غير المرنة قد تزيد من المخاطر المرتبطة بالتكنولوجيا، في حين أن الالتزام بالتشريعات والأنظمة يسهم في تعزيز خلق المعرفة داخل بيئة العمل. وأوصت الدراسة بضرورة تطوير قاعدة معرفية متكاملة حول الأداء الفعّال للفرق الافتراضية، إلى جانب تعزيز آليات حوكمة الموارد البشرية بما يتناسب مع طبيعة العمل الرقمي والافتراضي.</w:t>
      </w:r>
    </w:p>
    <w:p w14:paraId="203D122A"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222222"/>
          <w:sz w:val="28"/>
          <w:szCs w:val="28"/>
          <w:rtl/>
        </w:rPr>
      </w:pPr>
      <w:r w:rsidRPr="00545500">
        <w:rPr>
          <w:rFonts w:ascii="SimplifiedArabic" w:hAnsi="Courier New" w:cs="SimplifiedArabic"/>
          <w:b/>
          <w:bCs/>
          <w:color w:val="222222"/>
          <w:sz w:val="28"/>
          <w:szCs w:val="28"/>
          <w:rtl/>
        </w:rPr>
        <w:t>دراسة (2021) لـ</w:t>
      </w:r>
      <w:r w:rsidRPr="00545500">
        <w:rPr>
          <w:rFonts w:ascii="SimplifiedArabic" w:hAnsi="Courier New" w:cs="SimplifiedArabic"/>
          <w:b/>
          <w:bCs/>
          <w:color w:val="222222"/>
          <w:sz w:val="28"/>
          <w:szCs w:val="28"/>
        </w:rPr>
        <w:t xml:space="preserve"> Rujiman &amp; Sinaga </w:t>
      </w:r>
      <w:r w:rsidRPr="00545500">
        <w:rPr>
          <w:rFonts w:ascii="SimplifiedArabic" w:hAnsi="Courier New" w:cs="SimplifiedArabic"/>
          <w:b/>
          <w:bCs/>
          <w:color w:val="222222"/>
          <w:sz w:val="28"/>
          <w:szCs w:val="28"/>
          <w:rtl/>
        </w:rPr>
        <w:t>بعنوان</w:t>
      </w:r>
      <w:r w:rsidRPr="00545500">
        <w:rPr>
          <w:rFonts w:ascii="SimplifiedArabic" w:hAnsi="Courier New" w:cs="SimplifiedArabic"/>
          <w:b/>
          <w:bCs/>
          <w:color w:val="222222"/>
          <w:sz w:val="28"/>
          <w:szCs w:val="28"/>
        </w:rPr>
        <w:t>:</w:t>
      </w:r>
    </w:p>
    <w:p w14:paraId="61EE8908" w14:textId="77777777" w:rsidR="00545500" w:rsidRPr="00545500" w:rsidRDefault="00545500" w:rsidP="00545500">
      <w:pPr>
        <w:autoSpaceDE w:val="0"/>
        <w:autoSpaceDN w:val="0"/>
        <w:adjustRightInd w:val="0"/>
        <w:spacing w:after="0" w:line="600" w:lineRule="auto"/>
        <w:jc w:val="lowKashida"/>
        <w:rPr>
          <w:rFonts w:ascii="SimplifiedArabic" w:hAnsi="Courier New" w:cs="SimplifiedArabic"/>
          <w:b/>
          <w:bCs/>
          <w:color w:val="222222"/>
          <w:sz w:val="28"/>
          <w:szCs w:val="28"/>
        </w:rPr>
      </w:pPr>
      <w:r w:rsidRPr="00545500">
        <w:rPr>
          <w:rFonts w:ascii="SimplifiedArabic" w:hAnsi="Courier New" w:cs="SimplifiedArabic"/>
          <w:b/>
          <w:bCs/>
          <w:color w:val="222222"/>
          <w:sz w:val="28"/>
          <w:szCs w:val="28"/>
        </w:rPr>
        <w:t>The Influence of Internal Control System, Individual Morality, and HR Competency on Fraud Prevention with Good Governance as an Intervening Variable: Study on OPD Deli Serdang Regency, North Sumatra</w:t>
      </w:r>
    </w:p>
    <w:p w14:paraId="170BE574"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rPr>
      </w:pPr>
      <w:r w:rsidRPr="00545500">
        <w:rPr>
          <w:rFonts w:ascii="SimplifiedArabic" w:hAnsi="Courier New" w:cs="SimplifiedArabic"/>
          <w:color w:val="222222"/>
          <w:sz w:val="28"/>
          <w:szCs w:val="28"/>
          <w:rtl/>
        </w:rPr>
        <w:lastRenderedPageBreak/>
        <w:t>هدفت هذه الدراسة إلى تحديد أثر نظام الرقابة الداخلية، والأخلاق الفردية، وكفاءة الموارد البشرية في الحد من الاحتيال في الجهات الحكومية المحلية</w:t>
      </w:r>
      <w:r w:rsidRPr="00545500">
        <w:rPr>
          <w:rFonts w:ascii="SimplifiedArabic" w:hAnsi="Courier New" w:cs="SimplifiedArabic"/>
          <w:color w:val="222222"/>
          <w:sz w:val="28"/>
          <w:szCs w:val="28"/>
        </w:rPr>
        <w:t xml:space="preserve"> (OPD) </w:t>
      </w:r>
      <w:r w:rsidRPr="00545500">
        <w:rPr>
          <w:rFonts w:ascii="SimplifiedArabic" w:hAnsi="Courier New" w:cs="SimplifiedArabic"/>
          <w:color w:val="222222"/>
          <w:sz w:val="28"/>
          <w:szCs w:val="28"/>
          <w:rtl/>
        </w:rPr>
        <w:t>في منطقة</w:t>
      </w:r>
      <w:r w:rsidRPr="00545500">
        <w:rPr>
          <w:rFonts w:ascii="SimplifiedArabic" w:hAnsi="Courier New" w:cs="SimplifiedArabic"/>
          <w:color w:val="222222"/>
          <w:sz w:val="28"/>
          <w:szCs w:val="28"/>
        </w:rPr>
        <w:t xml:space="preserve"> Deli Serdang </w:t>
      </w:r>
      <w:r w:rsidRPr="00545500">
        <w:rPr>
          <w:rFonts w:ascii="SimplifiedArabic" w:hAnsi="Courier New" w:cs="SimplifiedArabic"/>
          <w:color w:val="222222"/>
          <w:sz w:val="28"/>
          <w:szCs w:val="28"/>
          <w:rtl/>
        </w:rPr>
        <w:t>بإندونيسيا. كما سعت إلى اختبار ما إذا كانت الحوكمة الرشيدة تقوم بدور متغير وسيط في العلاقة بين نظام الرقابة الداخلية ومنع الاحتيال، وكذلك بين كفاءة الموارد البشرية ومنع الاحتيال</w:t>
      </w:r>
      <w:r w:rsidRPr="00545500">
        <w:rPr>
          <w:rFonts w:ascii="SimplifiedArabic" w:hAnsi="Courier New" w:cs="SimplifiedArabic"/>
          <w:color w:val="222222"/>
          <w:sz w:val="28"/>
          <w:szCs w:val="28"/>
        </w:rPr>
        <w:t>.</w:t>
      </w:r>
      <w:r w:rsidRPr="00545500">
        <w:rPr>
          <w:rFonts w:ascii="SimplifiedArabic" w:hAnsi="Courier New" w:cs="SimplifiedArabic" w:hint="cs"/>
          <w:color w:val="222222"/>
          <w:sz w:val="28"/>
          <w:szCs w:val="28"/>
          <w:rtl/>
        </w:rPr>
        <w:t xml:space="preserve"> </w:t>
      </w:r>
      <w:r w:rsidRPr="00545500">
        <w:rPr>
          <w:rFonts w:ascii="SimplifiedArabic" w:hAnsi="Courier New" w:cs="SimplifiedArabic"/>
          <w:color w:val="222222"/>
          <w:sz w:val="28"/>
          <w:szCs w:val="28"/>
          <w:rtl/>
        </w:rPr>
        <w:t>اعتمدت الدراسة على المنهج الكمي، وتم جمع البيانات من عينة مكونة من (15) مفردة. وأظهرت النتائج أن نظام الرقابة الداخلية له تأثير إيجابي ومعنوي على منع الاحتيال، كما تبين أن الأخلاق الفردية تؤثر بشكل إيجابي ومعنوي على الحد من الاحتيال. في المقابل، لم يكن لكفاءة الموارد البشرية تأثير معنوي واضح على منع الاحتيال</w:t>
      </w:r>
      <w:r w:rsidRPr="00545500">
        <w:rPr>
          <w:rFonts w:ascii="SimplifiedArabic" w:hAnsi="Courier New" w:cs="SimplifiedArabic" w:hint="cs"/>
          <w:color w:val="222222"/>
          <w:sz w:val="28"/>
          <w:szCs w:val="28"/>
          <w:rtl/>
        </w:rPr>
        <w:t>،</w:t>
      </w:r>
      <w:r w:rsidRPr="00545500">
        <w:rPr>
          <w:rFonts w:cs="SimplifiedArabic"/>
          <w:color w:val="222222"/>
          <w:sz w:val="28"/>
          <w:szCs w:val="28"/>
          <w:lang w:val="en-GB"/>
        </w:rPr>
        <w:t xml:space="preserve"> </w:t>
      </w:r>
      <w:r w:rsidRPr="00545500">
        <w:rPr>
          <w:rFonts w:ascii="SimplifiedArabic" w:hAnsi="Courier New" w:cs="SimplifiedArabic"/>
          <w:color w:val="222222"/>
          <w:sz w:val="28"/>
          <w:szCs w:val="28"/>
          <w:rtl/>
        </w:rPr>
        <w:t>كما أظهرت النتائج أن الحوكمة الرشيدة قادرة على التوسط في العلاقة بين نظام الرقابة الداخلية ومنع الاحتيال، في حين لم تثبت قدرتها على التوسط في العلاقة بين كفاءة الموارد البشرية ومنع الاحتيال.</w:t>
      </w:r>
    </w:p>
    <w:p w14:paraId="3E6E5C0C"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b/>
          <w:bCs/>
          <w:color w:val="222222"/>
          <w:sz w:val="28"/>
          <w:szCs w:val="28"/>
          <w:rtl/>
          <w:lang w:bidi="ar-EG"/>
        </w:rPr>
      </w:pPr>
      <w:r w:rsidRPr="00545500">
        <w:rPr>
          <w:rFonts w:ascii="SimplifiedArabic" w:hAnsi="Courier New" w:cs="SimplifiedArabic" w:hint="cs"/>
          <w:b/>
          <w:bCs/>
          <w:color w:val="222222"/>
          <w:sz w:val="28"/>
          <w:szCs w:val="28"/>
          <w:rtl/>
          <w:lang w:bidi="ar-EG"/>
        </w:rPr>
        <w:t xml:space="preserve">دراسة (2021). </w:t>
      </w:r>
      <w:r w:rsidRPr="00545500">
        <w:rPr>
          <w:rFonts w:ascii="SimplifiedArabic" w:hAnsi="Courier New" w:cs="SimplifiedArabic"/>
          <w:b/>
          <w:bCs/>
          <w:color w:val="222222"/>
          <w:sz w:val="28"/>
          <w:szCs w:val="28"/>
          <w:lang w:bidi="ar-EG"/>
        </w:rPr>
        <w:t>Indarti et al</w:t>
      </w:r>
      <w:r w:rsidRPr="00545500">
        <w:rPr>
          <w:rFonts w:ascii="SimplifiedArabic" w:hAnsi="Courier New" w:cs="SimplifiedArabic" w:hint="cs"/>
          <w:b/>
          <w:bCs/>
          <w:color w:val="222222"/>
          <w:sz w:val="28"/>
          <w:szCs w:val="28"/>
          <w:rtl/>
          <w:lang w:bidi="ar-EG"/>
        </w:rPr>
        <w:t xml:space="preserve">. بعنوان: </w:t>
      </w:r>
    </w:p>
    <w:p w14:paraId="2ACE0816" w14:textId="77777777" w:rsidR="00545500" w:rsidRPr="00545500" w:rsidRDefault="00545500" w:rsidP="00545500">
      <w:pPr>
        <w:autoSpaceDE w:val="0"/>
        <w:autoSpaceDN w:val="0"/>
        <w:adjustRightInd w:val="0"/>
        <w:spacing w:after="0" w:line="600" w:lineRule="auto"/>
        <w:jc w:val="lowKashida"/>
        <w:rPr>
          <w:rFonts w:cs="SimplifiedArabic"/>
          <w:b/>
          <w:bCs/>
          <w:color w:val="222222"/>
          <w:sz w:val="28"/>
          <w:szCs w:val="28"/>
          <w:lang w:val="en-GB" w:bidi="ar-EG"/>
        </w:rPr>
      </w:pPr>
      <w:r w:rsidRPr="00545500">
        <w:rPr>
          <w:rFonts w:cs="SimplifiedArabic"/>
          <w:b/>
          <w:bCs/>
          <w:color w:val="222222"/>
          <w:sz w:val="28"/>
          <w:szCs w:val="28"/>
          <w:lang w:val="en-GB" w:bidi="ar-EG"/>
        </w:rPr>
        <w:t>Corporate governance structures and probability of financial distress: Evidence from Indonesia manufacturing companies.</w:t>
      </w:r>
    </w:p>
    <w:p w14:paraId="3D18F1A9" w14:textId="77777777" w:rsidR="00545500" w:rsidRPr="00545500" w:rsidRDefault="00545500" w:rsidP="00545500">
      <w:pPr>
        <w:autoSpaceDE w:val="0"/>
        <w:autoSpaceDN w:val="0"/>
        <w:bidi/>
        <w:adjustRightInd w:val="0"/>
        <w:spacing w:after="0" w:line="600" w:lineRule="auto"/>
        <w:jc w:val="lowKashida"/>
        <w:rPr>
          <w:rFonts w:cs="SimplifiedArabic"/>
          <w:color w:val="222222"/>
          <w:sz w:val="28"/>
          <w:szCs w:val="28"/>
          <w:rtl/>
          <w:lang w:val="en-GB" w:bidi="ar-EG"/>
        </w:rPr>
      </w:pPr>
      <w:r w:rsidRPr="00545500">
        <w:rPr>
          <w:rFonts w:cs="SimplifiedArabic"/>
          <w:color w:val="222222"/>
          <w:sz w:val="28"/>
          <w:szCs w:val="28"/>
          <w:rtl/>
          <w:lang w:val="en-GB" w:bidi="ar-EG"/>
        </w:rPr>
        <w:t xml:space="preserve">تهدف هذه الدراسة إلى فحص أثر أربعة متغيرات، وهي: أعضاء مجلس الإدارة المستقلون، ولجان التدقيق، والملكية المؤسسية، والملكية الإدارية، باعتبارها مؤشرات على آليات حوكمة الشركات، على احتمالية التعثر المالي. وقد تم تطبيق الدراسة على الشركات الصناعية المدرجة في سوق الأوراق المالية الإندونيسي خلال الفترة (2016–2018). وتم اختيار العينة باستخدام أسلوب العينة القصدية، حيث بلغ عدد البيانات المستخدمة (224) مشاهدة. كما تم اختبار فرضيات الدراسة باستخدام أسلوب الانحدار </w:t>
      </w:r>
      <w:r w:rsidRPr="00545500">
        <w:rPr>
          <w:rFonts w:cs="SimplifiedArabic"/>
          <w:color w:val="222222"/>
          <w:sz w:val="28"/>
          <w:szCs w:val="28"/>
          <w:rtl/>
          <w:lang w:val="en-GB" w:bidi="ar-EG"/>
        </w:rPr>
        <w:lastRenderedPageBreak/>
        <w:t>اللوجستي</w:t>
      </w:r>
      <w:r w:rsidRPr="00545500">
        <w:rPr>
          <w:rFonts w:cs="SimplifiedArabic"/>
          <w:color w:val="222222"/>
          <w:sz w:val="28"/>
          <w:szCs w:val="28"/>
          <w:lang w:val="en-GB" w:bidi="ar-EG"/>
        </w:rPr>
        <w:t>.</w:t>
      </w:r>
      <w:r w:rsidRPr="00545500">
        <w:rPr>
          <w:rFonts w:cs="SimplifiedArabic" w:hint="cs"/>
          <w:color w:val="222222"/>
          <w:sz w:val="28"/>
          <w:szCs w:val="28"/>
          <w:rtl/>
          <w:lang w:val="en-GB" w:bidi="ar-EG"/>
        </w:rPr>
        <w:t xml:space="preserve"> </w:t>
      </w:r>
      <w:r w:rsidRPr="00545500">
        <w:rPr>
          <w:rFonts w:cs="SimplifiedArabic"/>
          <w:color w:val="222222"/>
          <w:sz w:val="28"/>
          <w:szCs w:val="28"/>
          <w:rtl/>
          <w:lang w:val="en-GB" w:bidi="ar-EG"/>
        </w:rPr>
        <w:t>وأظهرت النتائج أن أعضاء مجلس الإدارة المستقلين لديهم تأثير سلبي على التعثر المالي، في حين لم يظهر لكل من لجنة التدقيق، والملكية المؤسسية، والملكية الإدارية أي تأثير معنوي. ويشير ذلك إلى أن وجود أعضاء مستقلين في مجلس الإدارة يمثل آلية رقابية فعّالة تساهم في الحد من احتمالية تعرض الشركات للتعثر المالي</w:t>
      </w:r>
      <w:r w:rsidRPr="00545500">
        <w:rPr>
          <w:rFonts w:cs="SimplifiedArabic"/>
          <w:color w:val="222222"/>
          <w:sz w:val="28"/>
          <w:szCs w:val="28"/>
          <w:lang w:val="en-GB" w:bidi="ar-EG"/>
        </w:rPr>
        <w:t>.</w:t>
      </w:r>
      <w:r w:rsidRPr="00545500">
        <w:rPr>
          <w:rFonts w:cs="SimplifiedArabic" w:hint="cs"/>
          <w:color w:val="222222"/>
          <w:sz w:val="28"/>
          <w:szCs w:val="28"/>
          <w:rtl/>
          <w:lang w:val="en-GB" w:bidi="ar-EG"/>
        </w:rPr>
        <w:t xml:space="preserve"> </w:t>
      </w:r>
      <w:r w:rsidRPr="00545500">
        <w:rPr>
          <w:rFonts w:cs="SimplifiedArabic"/>
          <w:color w:val="222222"/>
          <w:sz w:val="28"/>
          <w:szCs w:val="28"/>
          <w:rtl/>
          <w:lang w:val="en-GB" w:bidi="ar-EG"/>
        </w:rPr>
        <w:t>كما أوضحت النتائج أن متغيري التحكم المستخدمين في الدراسة، وهما الرافعة المالية والربحية، قد أظهرا نتائج متوافقة مع التوقعات، حيث تبين أن ارتفاع مستوى الرافعة المالية يزيد من احتمالية التعثر المالي، في حين أن ارتفاع مستوى الربحية يقلل من هذه الاحتمالية.</w:t>
      </w:r>
    </w:p>
    <w:p w14:paraId="00FBA6AE" w14:textId="77777777" w:rsidR="00545500" w:rsidRPr="00545500" w:rsidRDefault="00545500" w:rsidP="00545500">
      <w:pPr>
        <w:autoSpaceDE w:val="0"/>
        <w:autoSpaceDN w:val="0"/>
        <w:bidi/>
        <w:adjustRightInd w:val="0"/>
        <w:spacing w:after="0" w:line="600" w:lineRule="auto"/>
        <w:jc w:val="lowKashida"/>
        <w:outlineLvl w:val="1"/>
        <w:rPr>
          <w:rFonts w:ascii="SimplifiedArabic" w:hAnsi="Courier New" w:cs="SimplifiedArabic"/>
          <w:b/>
          <w:bCs/>
          <w:color w:val="222222"/>
          <w:sz w:val="32"/>
          <w:szCs w:val="32"/>
          <w:rtl/>
          <w:lang w:bidi="ar-EG"/>
        </w:rPr>
      </w:pPr>
      <w:bookmarkStart w:id="23" w:name="_Toc225424364"/>
      <w:r w:rsidRPr="00545500">
        <w:rPr>
          <w:rFonts w:ascii="SimplifiedArabic" w:hAnsi="Courier New" w:cs="SimplifiedArabic"/>
          <w:b/>
          <w:bCs/>
          <w:color w:val="222222"/>
          <w:sz w:val="32"/>
          <w:szCs w:val="32"/>
          <w:rtl/>
          <w:lang w:bidi="ar-EG"/>
        </w:rPr>
        <w:t>أوجه الاستفادة من الدراسات السابقة</w:t>
      </w:r>
      <w:r w:rsidRPr="00545500">
        <w:rPr>
          <w:rFonts w:ascii="SimplifiedArabic" w:hAnsi="Courier New" w:cs="SimplifiedArabic"/>
          <w:b/>
          <w:bCs/>
          <w:color w:val="222222"/>
          <w:sz w:val="32"/>
          <w:szCs w:val="32"/>
          <w:lang w:bidi="ar-EG"/>
        </w:rPr>
        <w:t>:</w:t>
      </w:r>
      <w:bookmarkEnd w:id="23"/>
    </w:p>
    <w:p w14:paraId="51362339"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545500">
        <w:rPr>
          <w:rFonts w:ascii="SimplifiedArabic" w:hAnsi="Courier New" w:cs="SimplifiedArabic" w:hint="cs"/>
          <w:color w:val="222222"/>
          <w:sz w:val="28"/>
          <w:szCs w:val="28"/>
          <w:rtl/>
          <w:lang w:bidi="ar-EG"/>
        </w:rPr>
        <w:t xml:space="preserve">     </w:t>
      </w:r>
      <w:r w:rsidRPr="00545500">
        <w:rPr>
          <w:rFonts w:ascii="SimplifiedArabic" w:hAnsi="Courier New" w:cs="SimplifiedArabic"/>
          <w:color w:val="222222"/>
          <w:sz w:val="28"/>
          <w:szCs w:val="28"/>
          <w:rtl/>
          <w:lang w:bidi="ar-EG"/>
        </w:rPr>
        <w:t>تم الاستفادة من الدراسات السابقة في بناء الإطار العلمي والمنهجي للدراسة الحالية بصورة متكاملة، حيث أسهمت في توضيح المفاهيم الأساسية المرتبطة بحوكمة الموارد البشرية وآلياتها المختلفة، وكذلك علاقتها بعدد من المتغيرات التنظيمية مثل الأداء، الفساد الإداري، التعثر المالي، والانسحاب النفسي. وقد ساعدت هذه الدراسات في تدعيم الجانب النظري من خلال عرض نماذج متعددة لتطبيق الحوكمة، مثل دراسة</w:t>
      </w:r>
      <w:r w:rsidRPr="00545500">
        <w:rPr>
          <w:rFonts w:ascii="SimplifiedArabic" w:hAnsi="Courier New" w:cs="SimplifiedArabic"/>
          <w:color w:val="222222"/>
          <w:sz w:val="28"/>
          <w:szCs w:val="28"/>
          <w:lang w:bidi="ar-EG"/>
        </w:rPr>
        <w:t xml:space="preserve"> De Bruyn (2020) </w:t>
      </w:r>
      <w:r w:rsidRPr="00545500">
        <w:rPr>
          <w:rFonts w:ascii="SimplifiedArabic" w:hAnsi="Courier New" w:cs="SimplifiedArabic"/>
          <w:color w:val="222222"/>
          <w:sz w:val="28"/>
          <w:szCs w:val="28"/>
          <w:rtl/>
          <w:lang w:bidi="ar-EG"/>
        </w:rPr>
        <w:t>التي تناولت آليات الحوكمة في الفرق الافتراضية، ودراسة</w:t>
      </w:r>
      <w:r w:rsidRPr="00545500">
        <w:rPr>
          <w:rFonts w:ascii="SimplifiedArabic" w:hAnsi="Courier New" w:cs="SimplifiedArabic"/>
          <w:color w:val="222222"/>
          <w:sz w:val="28"/>
          <w:szCs w:val="28"/>
          <w:lang w:bidi="ar-EG"/>
        </w:rPr>
        <w:t xml:space="preserve"> Sinaga &amp; Rujiman (2021) </w:t>
      </w:r>
      <w:r w:rsidRPr="00545500">
        <w:rPr>
          <w:rFonts w:ascii="SimplifiedArabic" w:hAnsi="Courier New" w:cs="SimplifiedArabic"/>
          <w:color w:val="222222"/>
          <w:sz w:val="28"/>
          <w:szCs w:val="28"/>
          <w:rtl/>
          <w:lang w:bidi="ar-EG"/>
        </w:rPr>
        <w:t>التي ركزت على دور الرقابة الداخلية والأخلاقيات في الحد من الاحتيال</w:t>
      </w:r>
      <w:r w:rsidRPr="00545500">
        <w:rPr>
          <w:rFonts w:ascii="SimplifiedArabic" w:hAnsi="Courier New" w:cs="SimplifiedArabic"/>
          <w:color w:val="222222"/>
          <w:sz w:val="28"/>
          <w:szCs w:val="28"/>
          <w:lang w:bidi="ar-EG"/>
        </w:rPr>
        <w:t>.</w:t>
      </w:r>
    </w:p>
    <w:p w14:paraId="24F21C86"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545500">
        <w:rPr>
          <w:rFonts w:ascii="SimplifiedArabic" w:hAnsi="Courier New" w:cs="SimplifiedArabic" w:hint="cs"/>
          <w:color w:val="222222"/>
          <w:sz w:val="28"/>
          <w:szCs w:val="28"/>
          <w:rtl/>
          <w:lang w:bidi="ar-EG"/>
        </w:rPr>
        <w:t xml:space="preserve">     </w:t>
      </w:r>
      <w:r w:rsidRPr="00545500">
        <w:rPr>
          <w:rFonts w:ascii="SimplifiedArabic" w:hAnsi="Courier New" w:cs="SimplifiedArabic"/>
          <w:color w:val="222222"/>
          <w:sz w:val="28"/>
          <w:szCs w:val="28"/>
          <w:rtl/>
          <w:lang w:bidi="ar-EG"/>
        </w:rPr>
        <w:t xml:space="preserve">كما أسهمت الدراسات السابقة في تحديد أبعاد حوكمة الموارد البشرية، مثل الشفافية، المساءلة، العدالة التنظيمية، ووضوح السياسات، وهو ما انعكس على تصميم أداة الدراسة الحالية. كذلك تم </w:t>
      </w:r>
      <w:r w:rsidRPr="00545500">
        <w:rPr>
          <w:rFonts w:ascii="SimplifiedArabic" w:hAnsi="Courier New" w:cs="SimplifiedArabic"/>
          <w:color w:val="222222"/>
          <w:sz w:val="28"/>
          <w:szCs w:val="28"/>
          <w:rtl/>
          <w:lang w:bidi="ar-EG"/>
        </w:rPr>
        <w:lastRenderedPageBreak/>
        <w:t>الاستفادة منها في بناء فرضيات الدراسة، خاصة تلك التي تناولت العلاقة بين الحوكمة والفساد الإداري مثل دراسة عبدالله وعناد (2021)، ودراسة عبد الرحمن</w:t>
      </w:r>
      <w:r w:rsidRPr="00545500">
        <w:rPr>
          <w:rFonts w:ascii="SimplifiedArabic" w:hAnsi="Courier New" w:cs="SimplifiedArabic"/>
          <w:color w:val="222222"/>
          <w:sz w:val="28"/>
          <w:szCs w:val="28"/>
          <w:lang w:bidi="ar-EG"/>
        </w:rPr>
        <w:t xml:space="preserve"> (2023).</w:t>
      </w:r>
    </w:p>
    <w:p w14:paraId="773D0550"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lang w:bidi="ar-EG"/>
        </w:rPr>
      </w:pPr>
      <w:r w:rsidRPr="00545500">
        <w:rPr>
          <w:rFonts w:ascii="SimplifiedArabic" w:hAnsi="Courier New" w:cs="SimplifiedArabic" w:hint="cs"/>
          <w:color w:val="222222"/>
          <w:sz w:val="28"/>
          <w:szCs w:val="28"/>
          <w:rtl/>
          <w:lang w:bidi="ar-EG"/>
        </w:rPr>
        <w:t xml:space="preserve">     </w:t>
      </w:r>
      <w:r w:rsidRPr="00545500">
        <w:rPr>
          <w:rFonts w:ascii="SimplifiedArabic" w:hAnsi="Courier New" w:cs="SimplifiedArabic"/>
          <w:color w:val="222222"/>
          <w:sz w:val="28"/>
          <w:szCs w:val="28"/>
          <w:rtl/>
          <w:lang w:bidi="ar-EG"/>
        </w:rPr>
        <w:t>وعلى الصعيد المنهجي، ساعدت الدراسات السابقة في اختيار المنهج المناسب (المنهج الوصفي التحليلي)، وتحديد أدوات جمع البيانات (الاستبانة)، والأساليب الإحصائية المستخدمة في التحليل مثل اختبار (</w:t>
      </w:r>
      <w:r w:rsidRPr="00545500">
        <w:rPr>
          <w:rFonts w:ascii="SimplifiedArabic" w:hAnsi="Courier New" w:cs="SimplifiedArabic"/>
          <w:color w:val="222222"/>
          <w:sz w:val="28"/>
          <w:szCs w:val="28"/>
          <w:lang w:bidi="ar-EG"/>
        </w:rPr>
        <w:t>ANOVA</w:t>
      </w:r>
      <w:r w:rsidRPr="00545500">
        <w:rPr>
          <w:rFonts w:ascii="SimplifiedArabic" w:hAnsi="Courier New" w:cs="SimplifiedArabic"/>
          <w:color w:val="222222"/>
          <w:sz w:val="28"/>
          <w:szCs w:val="28"/>
          <w:rtl/>
          <w:lang w:bidi="ar-EG"/>
        </w:rPr>
        <w:t>) والانحدار، كما في عدد من الدراسات الأجنبية والعربية. بالإضافة إلى ذلك، أسهمت هذه الدراسات في مقارنة نتائج الدراسة الحالية بنتائج سابقة، مما عزز من تفسير النتائج ومناقشتها بصورة علمية دقيقة.</w:t>
      </w:r>
    </w:p>
    <w:p w14:paraId="7B01B696" w14:textId="77777777" w:rsidR="00545500" w:rsidRPr="00545500" w:rsidRDefault="00545500" w:rsidP="00545500">
      <w:pPr>
        <w:autoSpaceDE w:val="0"/>
        <w:autoSpaceDN w:val="0"/>
        <w:bidi/>
        <w:adjustRightInd w:val="0"/>
        <w:spacing w:after="0" w:line="600" w:lineRule="auto"/>
        <w:jc w:val="lowKashida"/>
        <w:outlineLvl w:val="1"/>
        <w:rPr>
          <w:rFonts w:ascii="SimplifiedArabic" w:hAnsi="Courier New" w:cs="SimplifiedArabic"/>
          <w:b/>
          <w:bCs/>
          <w:color w:val="222222"/>
          <w:sz w:val="32"/>
          <w:szCs w:val="32"/>
          <w:rtl/>
          <w:lang w:bidi="ar-EG"/>
        </w:rPr>
      </w:pPr>
      <w:bookmarkStart w:id="24" w:name="_Toc225424365"/>
      <w:r w:rsidRPr="00545500">
        <w:rPr>
          <w:rFonts w:ascii="SimplifiedArabic" w:hAnsi="Courier New" w:cs="SimplifiedArabic"/>
          <w:b/>
          <w:bCs/>
          <w:color w:val="222222"/>
          <w:sz w:val="32"/>
          <w:szCs w:val="32"/>
          <w:rtl/>
          <w:lang w:bidi="ar-EG"/>
        </w:rPr>
        <w:t>ما يميز هذه الدراسة عن الدراسات السابقة</w:t>
      </w:r>
      <w:r w:rsidRPr="00545500">
        <w:rPr>
          <w:rFonts w:ascii="SimplifiedArabic" w:hAnsi="Courier New" w:cs="SimplifiedArabic"/>
          <w:b/>
          <w:bCs/>
          <w:color w:val="222222"/>
          <w:sz w:val="32"/>
          <w:szCs w:val="32"/>
          <w:lang w:bidi="ar-EG"/>
        </w:rPr>
        <w:t>:</w:t>
      </w:r>
      <w:bookmarkEnd w:id="24"/>
    </w:p>
    <w:p w14:paraId="0BC68152"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545500">
        <w:rPr>
          <w:rFonts w:ascii="SimplifiedArabic" w:hAnsi="Courier New" w:cs="SimplifiedArabic" w:hint="cs"/>
          <w:color w:val="222222"/>
          <w:sz w:val="28"/>
          <w:szCs w:val="28"/>
          <w:rtl/>
          <w:lang w:bidi="ar-EG"/>
        </w:rPr>
        <w:t xml:space="preserve">     </w:t>
      </w:r>
      <w:r w:rsidRPr="00545500">
        <w:rPr>
          <w:rFonts w:ascii="SimplifiedArabic" w:hAnsi="Courier New" w:cs="SimplifiedArabic"/>
          <w:color w:val="222222"/>
          <w:sz w:val="28"/>
          <w:szCs w:val="28"/>
          <w:rtl/>
          <w:lang w:bidi="ar-EG"/>
        </w:rPr>
        <w:t>تتميز الدراسة الحالية بعدة جوانب تجعلها إضافة علمية متميزة في مجال حوكمة الموارد البشرية، حيث ركزت بشكل مباشر على أثر حوكمة الموارد البشرية في الحد من التلاعب بالقرارات الإدارية، وهو موضوع لم يتم تناوله بشكل مباشر ومتكامل في معظم الدراسات السابقة، التي ركزت غالبًا على الفساد الإداري أو الأداء التنظيمي بشكل عام</w:t>
      </w:r>
      <w:r w:rsidRPr="00545500">
        <w:rPr>
          <w:rFonts w:ascii="SimplifiedArabic" w:hAnsi="Courier New" w:cs="SimplifiedArabic"/>
          <w:color w:val="222222"/>
          <w:sz w:val="28"/>
          <w:szCs w:val="28"/>
          <w:lang w:bidi="ar-EG"/>
        </w:rPr>
        <w:t>.</w:t>
      </w:r>
    </w:p>
    <w:p w14:paraId="595BDEC2"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545500">
        <w:rPr>
          <w:rFonts w:ascii="SimplifiedArabic" w:hAnsi="Courier New" w:cs="SimplifiedArabic" w:hint="cs"/>
          <w:color w:val="222222"/>
          <w:sz w:val="28"/>
          <w:szCs w:val="28"/>
          <w:rtl/>
          <w:lang w:bidi="ar-EG"/>
        </w:rPr>
        <w:t xml:space="preserve">    </w:t>
      </w:r>
      <w:r w:rsidRPr="00545500">
        <w:rPr>
          <w:rFonts w:ascii="SimplifiedArabic" w:hAnsi="Courier New" w:cs="SimplifiedArabic"/>
          <w:color w:val="222222"/>
          <w:sz w:val="28"/>
          <w:szCs w:val="28"/>
          <w:rtl/>
          <w:lang w:bidi="ar-EG"/>
        </w:rPr>
        <w:t>كما تتميز الدراسة بتناولها مجموعة محددة من أبعاد حوكمة الموارد البشرية (الشفافية، المساءلة والرقابة الداخلية، العدالة التنظيمية وتكافؤ الفرص، وضوح السياسات والإجراءات) وربطها بشكل مباشر بالتلاعب في القرارات الإدارية، وهو ما يمنح الدراسة طابعًا تطبيقيًا أكثر دقة</w:t>
      </w:r>
      <w:r w:rsidRPr="00545500">
        <w:rPr>
          <w:rFonts w:ascii="SimplifiedArabic" w:hAnsi="Courier New" w:cs="SimplifiedArabic"/>
          <w:color w:val="222222"/>
          <w:sz w:val="28"/>
          <w:szCs w:val="28"/>
          <w:lang w:bidi="ar-EG"/>
        </w:rPr>
        <w:t>.</w:t>
      </w:r>
    </w:p>
    <w:p w14:paraId="347DAC9E"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545500">
        <w:rPr>
          <w:rFonts w:ascii="SimplifiedArabic" w:hAnsi="Courier New" w:cs="SimplifiedArabic" w:hint="cs"/>
          <w:color w:val="222222"/>
          <w:sz w:val="28"/>
          <w:szCs w:val="28"/>
          <w:rtl/>
          <w:lang w:bidi="ar-EG"/>
        </w:rPr>
        <w:t xml:space="preserve">     </w:t>
      </w:r>
      <w:r w:rsidRPr="00545500">
        <w:rPr>
          <w:rFonts w:ascii="SimplifiedArabic" w:hAnsi="Courier New" w:cs="SimplifiedArabic"/>
          <w:color w:val="222222"/>
          <w:sz w:val="28"/>
          <w:szCs w:val="28"/>
          <w:rtl/>
          <w:lang w:bidi="ar-EG"/>
        </w:rPr>
        <w:t xml:space="preserve">إضافة إلى ذلك، تتميز الدراسة الحالية بتطبيقها على مؤسسات القطاع الخاص، مما يعزز من أهميتها العملية، خاصة في ظل التحديات التي تواجه هذا القطاع في مجال الحوكمة واتخاذ القرارات. </w:t>
      </w:r>
      <w:r w:rsidRPr="00545500">
        <w:rPr>
          <w:rFonts w:ascii="SimplifiedArabic" w:hAnsi="Courier New" w:cs="SimplifiedArabic"/>
          <w:color w:val="222222"/>
          <w:sz w:val="28"/>
          <w:szCs w:val="28"/>
          <w:rtl/>
          <w:lang w:bidi="ar-EG"/>
        </w:rPr>
        <w:lastRenderedPageBreak/>
        <w:t>كما اعتمدت الدراسة على تحليل إحصائي متقدم لاختبار الفرضيات والعلاقات بين المتغيرات، مما يضفي عليها درجة عالية من الموثوقية والدقة</w:t>
      </w:r>
      <w:r w:rsidRPr="00545500">
        <w:rPr>
          <w:rFonts w:ascii="SimplifiedArabic" w:hAnsi="Courier New" w:cs="SimplifiedArabic"/>
          <w:color w:val="222222"/>
          <w:sz w:val="28"/>
          <w:szCs w:val="28"/>
          <w:lang w:bidi="ar-EG"/>
        </w:rPr>
        <w:t>.</w:t>
      </w:r>
    </w:p>
    <w:p w14:paraId="5453F1B4"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lang w:bidi="ar-EG"/>
        </w:rPr>
      </w:pPr>
      <w:r w:rsidRPr="00545500">
        <w:rPr>
          <w:rFonts w:ascii="SimplifiedArabic" w:hAnsi="Courier New" w:cs="SimplifiedArabic" w:hint="cs"/>
          <w:color w:val="222222"/>
          <w:sz w:val="28"/>
          <w:szCs w:val="28"/>
          <w:rtl/>
          <w:lang w:bidi="ar-EG"/>
        </w:rPr>
        <w:t xml:space="preserve">      </w:t>
      </w:r>
      <w:r w:rsidRPr="00545500">
        <w:rPr>
          <w:rFonts w:ascii="SimplifiedArabic" w:hAnsi="Courier New" w:cs="SimplifiedArabic"/>
          <w:color w:val="222222"/>
          <w:sz w:val="28"/>
          <w:szCs w:val="28"/>
          <w:rtl/>
          <w:lang w:bidi="ar-EG"/>
        </w:rPr>
        <w:t>تسهم هذه الدراسة في سد فجوة بحثية من خلال الربط بين حوكمة الموارد البشرية والتلاعب في القرارات الإدارية، وتقديم توصيات عملية يمكن أن تستفيد منها المؤسسات في تعزيز النزاهة والشفافية وتحسين جودة القرارات الإدارية.</w:t>
      </w:r>
    </w:p>
    <w:p w14:paraId="336C6B18" w14:textId="77777777" w:rsidR="00545500" w:rsidRPr="00545500" w:rsidRDefault="00545500" w:rsidP="00545500">
      <w:pPr>
        <w:autoSpaceDE w:val="0"/>
        <w:autoSpaceDN w:val="0"/>
        <w:bidi/>
        <w:adjustRightInd w:val="0"/>
        <w:spacing w:after="0" w:line="600" w:lineRule="auto"/>
        <w:jc w:val="lowKashida"/>
        <w:outlineLvl w:val="0"/>
        <w:rPr>
          <w:rFonts w:ascii="SimplifiedArabic" w:hAnsi="Courier New" w:cs="SimplifiedArabic"/>
          <w:b/>
          <w:bCs/>
          <w:color w:val="222222"/>
          <w:sz w:val="30"/>
          <w:szCs w:val="30"/>
          <w:rtl/>
          <w:lang w:bidi="ar-EG"/>
        </w:rPr>
      </w:pPr>
      <w:bookmarkStart w:id="25" w:name="_Toc225424366"/>
      <w:r w:rsidRPr="00545500">
        <w:rPr>
          <w:rFonts w:ascii="SimplifiedArabic" w:hAnsi="Courier New" w:cs="SimplifiedArabic"/>
          <w:b/>
          <w:bCs/>
          <w:color w:val="222222"/>
          <w:sz w:val="36"/>
          <w:szCs w:val="36"/>
          <w:rtl/>
          <w:lang w:bidi="ar-EG"/>
        </w:rPr>
        <w:t>خلاصة الفصل</w:t>
      </w:r>
      <w:r w:rsidRPr="00545500">
        <w:rPr>
          <w:rFonts w:ascii="SimplifiedArabic" w:hAnsi="Courier New" w:cs="SimplifiedArabic"/>
          <w:b/>
          <w:bCs/>
          <w:color w:val="222222"/>
          <w:sz w:val="32"/>
          <w:szCs w:val="32"/>
          <w:lang w:bidi="ar-EG"/>
        </w:rPr>
        <w:t>:</w:t>
      </w:r>
      <w:bookmarkEnd w:id="25"/>
    </w:p>
    <w:p w14:paraId="6155565A"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545500">
        <w:rPr>
          <w:rFonts w:ascii="SimplifiedArabic" w:hAnsi="Courier New" w:cs="SimplifiedArabic" w:hint="cs"/>
          <w:color w:val="222222"/>
          <w:sz w:val="28"/>
          <w:szCs w:val="28"/>
          <w:rtl/>
          <w:lang w:bidi="ar-EG"/>
        </w:rPr>
        <w:t xml:space="preserve">    </w:t>
      </w:r>
      <w:r w:rsidRPr="00545500">
        <w:rPr>
          <w:rFonts w:ascii="SimplifiedArabic" w:hAnsi="Courier New" w:cs="SimplifiedArabic"/>
          <w:color w:val="222222"/>
          <w:sz w:val="28"/>
          <w:szCs w:val="28"/>
          <w:rtl/>
          <w:lang w:bidi="ar-EG"/>
        </w:rPr>
        <w:t>تناول هذا الفصل الإطار النظري للدراسة من خلال عرض شامل لمفهوم حوكمة الموارد البشرية، حيث تم التطرق إلى الأسس الفكرية التي تقوم عليها الحوكمة، ودورها في تنظيم الممارسات الإدارية وضبط سلوكيات الأفراد داخل المنظمة بما يحقق الكفاءة والعدالة والشفافية. كما تم استعراض أهمية حوكمة الموارد البشرية في تعزيز النزاهة الإدارية، وتحسين جودة القرارات، والحد من مظاهر التلاعب والانحرافات التنظيمية</w:t>
      </w:r>
      <w:r w:rsidRPr="00545500">
        <w:rPr>
          <w:rFonts w:ascii="SimplifiedArabic" w:hAnsi="Courier New" w:cs="SimplifiedArabic"/>
          <w:color w:val="222222"/>
          <w:sz w:val="28"/>
          <w:szCs w:val="28"/>
          <w:lang w:bidi="ar-EG"/>
        </w:rPr>
        <w:t>.</w:t>
      </w:r>
    </w:p>
    <w:p w14:paraId="21DEA459"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545500">
        <w:rPr>
          <w:rFonts w:ascii="SimplifiedArabic" w:hAnsi="Courier New" w:cs="SimplifiedArabic" w:hint="cs"/>
          <w:color w:val="222222"/>
          <w:sz w:val="28"/>
          <w:szCs w:val="28"/>
          <w:rtl/>
          <w:lang w:bidi="ar-EG"/>
        </w:rPr>
        <w:t xml:space="preserve">    </w:t>
      </w:r>
      <w:r w:rsidRPr="00545500">
        <w:rPr>
          <w:rFonts w:ascii="SimplifiedArabic" w:hAnsi="Courier New" w:cs="SimplifiedArabic"/>
          <w:color w:val="222222"/>
          <w:sz w:val="28"/>
          <w:szCs w:val="28"/>
          <w:rtl/>
          <w:lang w:bidi="ar-EG"/>
        </w:rPr>
        <w:t>كما ركز الفصل على أبعاد حوكمة الموارد البشرية، والمتمثلة في الشفافية في الإجراءات، والمساءلة والرقابة الداخلية، والعدالة التنظيمية وتكافؤ الفرص، ووضوح السياسات والإجراءات، مع توضيح دور كل بعد في دعم بيئة تنظيمية قائمة على الثقة والوضوح والانضباط الإداري. وقد تم بيان كيف تسهم هذه الأبعاد في تحسين مستوى الأداء الإداري وتعزيز فاعلية اتخاذ القرارات داخل المؤسسات</w:t>
      </w:r>
      <w:r w:rsidRPr="00545500">
        <w:rPr>
          <w:rFonts w:ascii="SimplifiedArabic" w:hAnsi="Courier New" w:cs="SimplifiedArabic"/>
          <w:color w:val="222222"/>
          <w:sz w:val="28"/>
          <w:szCs w:val="28"/>
          <w:lang w:bidi="ar-EG"/>
        </w:rPr>
        <w:t>.</w:t>
      </w:r>
    </w:p>
    <w:p w14:paraId="7553A227"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545500">
        <w:rPr>
          <w:rFonts w:ascii="SimplifiedArabic" w:hAnsi="Courier New" w:cs="SimplifiedArabic" w:hint="cs"/>
          <w:color w:val="222222"/>
          <w:sz w:val="28"/>
          <w:szCs w:val="28"/>
          <w:rtl/>
          <w:lang w:bidi="ar-EG"/>
        </w:rPr>
        <w:t xml:space="preserve">    </w:t>
      </w:r>
      <w:r w:rsidRPr="00545500">
        <w:rPr>
          <w:rFonts w:ascii="SimplifiedArabic" w:hAnsi="Courier New" w:cs="SimplifiedArabic"/>
          <w:color w:val="222222"/>
          <w:sz w:val="28"/>
          <w:szCs w:val="28"/>
          <w:rtl/>
          <w:lang w:bidi="ar-EG"/>
        </w:rPr>
        <w:t xml:space="preserve">كذلك تناول الفصل مفهوم التلاعب بالقرارات الإدارية باعتباره أحد التحديات التي تواجه المنظمات، حيث تم توضيح طبيعته وأسبابه وأبعاده المختلفة، بالإضافة إلى إبراز تأثيره السلبي على كفاءة الأداء </w:t>
      </w:r>
      <w:r w:rsidRPr="00545500">
        <w:rPr>
          <w:rFonts w:ascii="SimplifiedArabic" w:hAnsi="Courier New" w:cs="SimplifiedArabic"/>
          <w:color w:val="222222"/>
          <w:sz w:val="28"/>
          <w:szCs w:val="28"/>
          <w:rtl/>
          <w:lang w:bidi="ar-EG"/>
        </w:rPr>
        <w:lastRenderedPageBreak/>
        <w:t>التنظيمي ومستوى العدالة داخل بيئة العمل. كما تم تحليل العلاقة بين حوكمة الموارد البشرية والتلاعب بالقرارات الإدارية، مع التركيز على دور الحوكمة في الحد من هذه الظاهرة وتعزيز النزاهة والموضوعية في اتخاذ القرارات</w:t>
      </w:r>
      <w:r w:rsidRPr="00545500">
        <w:rPr>
          <w:rFonts w:ascii="SimplifiedArabic" w:hAnsi="Courier New" w:cs="SimplifiedArabic"/>
          <w:color w:val="222222"/>
          <w:sz w:val="28"/>
          <w:szCs w:val="28"/>
          <w:lang w:bidi="ar-EG"/>
        </w:rPr>
        <w:t>.</w:t>
      </w:r>
    </w:p>
    <w:p w14:paraId="2480985F"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545500">
        <w:rPr>
          <w:rFonts w:ascii="SimplifiedArabic" w:hAnsi="Courier New" w:cs="SimplifiedArabic" w:hint="cs"/>
          <w:color w:val="222222"/>
          <w:sz w:val="28"/>
          <w:szCs w:val="28"/>
          <w:rtl/>
          <w:lang w:bidi="ar-EG"/>
        </w:rPr>
        <w:t xml:space="preserve">    </w:t>
      </w:r>
      <w:r w:rsidRPr="00545500">
        <w:rPr>
          <w:rFonts w:ascii="SimplifiedArabic" w:hAnsi="Courier New" w:cs="SimplifiedArabic"/>
          <w:color w:val="222222"/>
          <w:sz w:val="28"/>
          <w:szCs w:val="28"/>
          <w:rtl/>
          <w:lang w:bidi="ar-EG"/>
        </w:rPr>
        <w:t>إضافة إلى ذلك، استعرض الفصل مجموعة من الدراسات السابقة العربية والأجنبية ذات الصلة بموضوع الدراسة، مع تحليل نتائجها وبيان أوجه الاستفادة منها، وكذلك توضيح الفجوة البحثية التي تسعى الدراسة الحالية إلى معالجتها، وما يميزها عن الدراسات السابقة</w:t>
      </w:r>
      <w:r w:rsidRPr="00545500">
        <w:rPr>
          <w:rFonts w:ascii="SimplifiedArabic" w:hAnsi="Courier New" w:cs="SimplifiedArabic"/>
          <w:color w:val="222222"/>
          <w:sz w:val="28"/>
          <w:szCs w:val="28"/>
          <w:lang w:bidi="ar-EG"/>
        </w:rPr>
        <w:t>.</w:t>
      </w:r>
    </w:p>
    <w:p w14:paraId="7462450F" w14:textId="77777777" w:rsidR="00545500" w:rsidRPr="00545500" w:rsidRDefault="00545500" w:rsidP="00545500">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545500">
        <w:rPr>
          <w:rFonts w:ascii="SimplifiedArabic" w:hAnsi="Courier New" w:cs="SimplifiedArabic" w:hint="cs"/>
          <w:color w:val="222222"/>
          <w:sz w:val="28"/>
          <w:szCs w:val="28"/>
          <w:rtl/>
          <w:lang w:bidi="ar-EG"/>
        </w:rPr>
        <w:t xml:space="preserve">    </w:t>
      </w:r>
      <w:r w:rsidRPr="00545500">
        <w:rPr>
          <w:rFonts w:ascii="SimplifiedArabic" w:hAnsi="Courier New" w:cs="SimplifiedArabic"/>
          <w:color w:val="222222"/>
          <w:sz w:val="28"/>
          <w:szCs w:val="28"/>
          <w:rtl/>
          <w:lang w:bidi="ar-EG"/>
        </w:rPr>
        <w:t>وبناءً على ما تم عرضه، يُعد هذا الفصل تمهيدًا علميًا ومنهجيًا للانتقال إلى الفصل التالي، والذي يتناول منهجية الدراسة من حيث تصميم البحث، وأداة جمع البيانات، والأساليب الإحصائية المستخدمة، وذلك بهدف اختبار فرضيات الدراسة والوصول إلى نتائج دقيقة تدعم أهدافها.</w:t>
      </w:r>
    </w:p>
    <w:p w14:paraId="66399E2C" w14:textId="77777777" w:rsidR="0053287A" w:rsidRPr="00545500" w:rsidRDefault="0053287A" w:rsidP="00545500">
      <w:pPr>
        <w:rPr>
          <w:rtl/>
          <w:lang w:val="en-GB" w:bidi="ar-EG"/>
        </w:rPr>
      </w:pPr>
    </w:p>
    <w:sectPr w:rsidR="0053287A" w:rsidRPr="00545500" w:rsidSect="002651B1">
      <w:headerReference w:type="default" r:id="rId15"/>
      <w:head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6E605" w14:textId="77777777" w:rsidR="005F246B" w:rsidRDefault="005F246B">
      <w:pPr>
        <w:spacing w:after="0" w:line="240" w:lineRule="auto"/>
      </w:pPr>
      <w:r>
        <w:separator/>
      </w:r>
    </w:p>
  </w:endnote>
  <w:endnote w:type="continuationSeparator" w:id="0">
    <w:p w14:paraId="1596B58C" w14:textId="77777777" w:rsidR="005F246B" w:rsidRDefault="005F2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plifiedArabic">
    <w:altName w:val="Arial"/>
    <w:panose1 w:val="020B0604020202020204"/>
    <w:charset w:val="B2"/>
    <w:family w:val="auto"/>
    <w:notTrueType/>
    <w:pitch w:val="default"/>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SimplifiedArabic-Bold">
    <w:altName w:val="Arial"/>
    <w:panose1 w:val="020B0604020202020204"/>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3356549"/>
      <w:docPartObj>
        <w:docPartGallery w:val="Page Numbers (Bottom of Page)"/>
        <w:docPartUnique/>
      </w:docPartObj>
    </w:sdtPr>
    <w:sdtEndPr>
      <w:rPr>
        <w:noProof/>
      </w:rPr>
    </w:sdtEndPr>
    <w:sdtContent>
      <w:p w14:paraId="4C6B3839" w14:textId="77777777" w:rsidR="00545500" w:rsidRDefault="00545500">
        <w:pPr>
          <w:pStyle w:val="ac"/>
          <w:jc w:val="center"/>
        </w:pPr>
        <w:r>
          <w:rPr>
            <w:noProof/>
          </w:rPr>
          <mc:AlternateContent>
            <mc:Choice Requires="wps">
              <w:drawing>
                <wp:anchor distT="0" distB="0" distL="114300" distR="114300" simplePos="0" relativeHeight="251659264" behindDoc="1" locked="0" layoutInCell="1" allowOverlap="1" wp14:anchorId="26D46F50" wp14:editId="3EBF15AC">
                  <wp:simplePos x="0" y="0"/>
                  <wp:positionH relativeFrom="column">
                    <wp:posOffset>2567940</wp:posOffset>
                  </wp:positionH>
                  <wp:positionV relativeFrom="paragraph">
                    <wp:posOffset>-38735</wp:posOffset>
                  </wp:positionV>
                  <wp:extent cx="575310" cy="297815"/>
                  <wp:effectExtent l="0" t="0" r="15240" b="26035"/>
                  <wp:wrapNone/>
                  <wp:docPr id="1502067229" name="Rectangle: Rounded Corners 7"/>
                  <wp:cNvGraphicFramePr/>
                  <a:graphic xmlns:a="http://schemas.openxmlformats.org/drawingml/2006/main">
                    <a:graphicData uri="http://schemas.microsoft.com/office/word/2010/wordprocessingShape">
                      <wps:wsp>
                        <wps:cNvSpPr/>
                        <wps:spPr>
                          <a:xfrm>
                            <a:off x="0" y="0"/>
                            <a:ext cx="575310" cy="29781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1ACDFDC" id="Rectangle: Rounded Corners 7" o:spid="_x0000_s1026" style="position:absolute;left:0;text-align:left;margin-left:202.2pt;margin-top:-3.05pt;width:45.3pt;height:23.45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" fillcolor="window" strokecolor="windowText" strokeweight="1pt">
                  <v:stroke joinstyle="miter"/>
                </v:roundrect>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4858BAD3" w14:textId="77777777" w:rsidR="00545500" w:rsidRDefault="00545500">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1878642"/>
      <w:docPartObj>
        <w:docPartGallery w:val="Page Numbers (Bottom of Page)"/>
        <w:docPartUnique/>
      </w:docPartObj>
    </w:sdtPr>
    <w:sdtContent>
      <w:p w14:paraId="43AF3782" w14:textId="77777777" w:rsidR="00545500" w:rsidRDefault="00545500">
        <w:pPr>
          <w:pStyle w:val="ac"/>
          <w:jc w:val="center"/>
        </w:pPr>
        <w:r w:rsidRPr="0036121A">
          <w:rPr>
            <w:color w:val="FFFFFF" w:themeColor="background1"/>
          </w:rPr>
          <w:fldChar w:fldCharType="begin"/>
        </w:r>
        <w:r w:rsidRPr="0036121A">
          <w:rPr>
            <w:color w:val="FFFFFF" w:themeColor="background1"/>
          </w:rPr>
          <w:instrText xml:space="preserve"> PAGE   \* MERGEFORMAT </w:instrText>
        </w:r>
        <w:r w:rsidRPr="0036121A">
          <w:rPr>
            <w:color w:val="FFFFFF" w:themeColor="background1"/>
          </w:rPr>
          <w:fldChar w:fldCharType="separate"/>
        </w:r>
        <w:r w:rsidRPr="0036121A">
          <w:rPr>
            <w:noProof/>
            <w:color w:val="FFFFFF" w:themeColor="background1"/>
          </w:rPr>
          <w:t>2</w:t>
        </w:r>
        <w:r w:rsidRPr="0036121A">
          <w:rPr>
            <w:noProof/>
            <w:color w:val="FFFFFF" w:themeColor="background1"/>
          </w:rPr>
          <w:fldChar w:fldCharType="end"/>
        </w:r>
      </w:p>
    </w:sdtContent>
  </w:sdt>
  <w:p w14:paraId="33F14FC4" w14:textId="77777777" w:rsidR="00545500" w:rsidRDefault="0054550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7E946" w14:textId="77777777" w:rsidR="005F246B" w:rsidRDefault="005F246B">
      <w:pPr>
        <w:spacing w:after="0" w:line="240" w:lineRule="auto"/>
      </w:pPr>
      <w:r>
        <w:separator/>
      </w:r>
    </w:p>
  </w:footnote>
  <w:footnote w:type="continuationSeparator" w:id="0">
    <w:p w14:paraId="258E9182" w14:textId="77777777" w:rsidR="005F246B" w:rsidRDefault="005F24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E4FA9" w14:textId="77777777" w:rsidR="00545500" w:rsidRDefault="00545500">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A261A" w14:textId="77777777" w:rsidR="00545500" w:rsidRPr="00103AE3" w:rsidRDefault="00545500">
    <w:pPr>
      <w:pStyle w:val="ab"/>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C7FB5"/>
    <w:multiLevelType w:val="hybridMultilevel"/>
    <w:tmpl w:val="36500460"/>
    <w:lvl w:ilvl="0" w:tplc="7ABABDEC">
      <w:start w:val="4"/>
      <w:numFmt w:val="bullet"/>
      <w:lvlText w:val="-"/>
      <w:lvlJc w:val="left"/>
      <w:pPr>
        <w:ind w:left="720" w:hanging="360"/>
      </w:pPr>
      <w:rPr>
        <w:rFonts w:ascii="Times New Roman" w:eastAsia="Calibri" w:hAnsi="Times New Roman" w:cs="Times New Roman"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B160BD"/>
    <w:multiLevelType w:val="hybridMultilevel"/>
    <w:tmpl w:val="FBC2D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06770"/>
    <w:multiLevelType w:val="hybridMultilevel"/>
    <w:tmpl w:val="D744C40C"/>
    <w:lvl w:ilvl="0" w:tplc="3AF2B0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6E4713"/>
    <w:multiLevelType w:val="hybridMultilevel"/>
    <w:tmpl w:val="D3ACEF5E"/>
    <w:lvl w:ilvl="0" w:tplc="7ABABDEC">
      <w:start w:val="4"/>
      <w:numFmt w:val="bullet"/>
      <w:lvlText w:val="-"/>
      <w:lvlJc w:val="left"/>
      <w:pPr>
        <w:ind w:left="720" w:hanging="360"/>
      </w:pPr>
      <w:rPr>
        <w:rFonts w:ascii="Times New Roman" w:eastAsia="Calibri" w:hAnsi="Times New Roman" w:cs="Times New Roman"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91170F"/>
    <w:multiLevelType w:val="hybridMultilevel"/>
    <w:tmpl w:val="AF9A5006"/>
    <w:lvl w:ilvl="0" w:tplc="7ABABDEC">
      <w:start w:val="4"/>
      <w:numFmt w:val="bullet"/>
      <w:lvlText w:val="-"/>
      <w:lvlJc w:val="left"/>
      <w:pPr>
        <w:ind w:left="720" w:hanging="360"/>
      </w:pPr>
      <w:rPr>
        <w:rFonts w:ascii="Times New Roman" w:eastAsia="Calibri" w:hAnsi="Times New Roman" w:cs="Times New Roman"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A26C1C"/>
    <w:multiLevelType w:val="hybridMultilevel"/>
    <w:tmpl w:val="639E03DE"/>
    <w:lvl w:ilvl="0" w:tplc="345C278A">
      <w:start w:val="13"/>
      <w:numFmt w:val="bullet"/>
      <w:lvlText w:val="-"/>
      <w:lvlJc w:val="left"/>
      <w:pPr>
        <w:ind w:left="720" w:hanging="360"/>
      </w:pPr>
      <w:rPr>
        <w:rFonts w:ascii="SimplifiedArabic" w:eastAsiaTheme="minorHAnsi" w:hAnsiTheme="minorHAnsi"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DD17A4"/>
    <w:multiLevelType w:val="hybridMultilevel"/>
    <w:tmpl w:val="073615D6"/>
    <w:lvl w:ilvl="0" w:tplc="38349B70">
      <w:start w:val="1"/>
      <w:numFmt w:val="decimal"/>
      <w:lvlText w:val="%1."/>
      <w:lvlJc w:val="left"/>
      <w:pPr>
        <w:ind w:left="720" w:hanging="360"/>
      </w:pPr>
      <w:rPr>
        <w:b w:val="0"/>
        <w:bCs w:val="0"/>
        <w:i w:val="0"/>
        <w:i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310C7C"/>
    <w:multiLevelType w:val="hybridMultilevel"/>
    <w:tmpl w:val="4E1C1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BE4D3F"/>
    <w:multiLevelType w:val="hybridMultilevel"/>
    <w:tmpl w:val="075C97AE"/>
    <w:lvl w:ilvl="0" w:tplc="7ABABDEC">
      <w:start w:val="4"/>
      <w:numFmt w:val="bullet"/>
      <w:lvlText w:val="-"/>
      <w:lvlJc w:val="left"/>
      <w:pPr>
        <w:ind w:left="720" w:hanging="360"/>
      </w:pPr>
      <w:rPr>
        <w:rFonts w:ascii="Times New Roman" w:eastAsia="Calibri" w:hAnsi="Times New Roman" w:cs="Times New Roman" w:hint="default"/>
        <w:b w:val="0"/>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63F3C8B"/>
    <w:multiLevelType w:val="hybridMultilevel"/>
    <w:tmpl w:val="A8B250E6"/>
    <w:lvl w:ilvl="0" w:tplc="7ABABDEC">
      <w:start w:val="4"/>
      <w:numFmt w:val="bullet"/>
      <w:lvlText w:val="-"/>
      <w:lvlJc w:val="left"/>
      <w:pPr>
        <w:ind w:left="720" w:hanging="360"/>
      </w:pPr>
      <w:rPr>
        <w:rFonts w:ascii="Times New Roman" w:eastAsia="Calibri" w:hAnsi="Times New Roman" w:cs="Times New Roman"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155D87"/>
    <w:multiLevelType w:val="hybridMultilevel"/>
    <w:tmpl w:val="347E1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666B7D"/>
    <w:multiLevelType w:val="hybridMultilevel"/>
    <w:tmpl w:val="DD1E5210"/>
    <w:lvl w:ilvl="0" w:tplc="7ABABDEC">
      <w:start w:val="4"/>
      <w:numFmt w:val="bullet"/>
      <w:lvlText w:val="-"/>
      <w:lvlJc w:val="left"/>
      <w:pPr>
        <w:ind w:left="720" w:hanging="360"/>
      </w:pPr>
      <w:rPr>
        <w:rFonts w:ascii="Times New Roman" w:eastAsia="Calibri" w:hAnsi="Times New Roman" w:cs="Times New Roman"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440ACF"/>
    <w:multiLevelType w:val="hybridMultilevel"/>
    <w:tmpl w:val="C52CC120"/>
    <w:lvl w:ilvl="0" w:tplc="7ABABDEC">
      <w:start w:val="4"/>
      <w:numFmt w:val="bullet"/>
      <w:lvlText w:val="-"/>
      <w:lvlJc w:val="left"/>
      <w:pPr>
        <w:ind w:left="720" w:hanging="360"/>
      </w:pPr>
      <w:rPr>
        <w:rFonts w:ascii="Times New Roman" w:eastAsia="Calibri" w:hAnsi="Times New Roman" w:cs="Times New Roman"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557057"/>
    <w:multiLevelType w:val="hybridMultilevel"/>
    <w:tmpl w:val="2D86F666"/>
    <w:lvl w:ilvl="0" w:tplc="E3C8266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BD567D"/>
    <w:multiLevelType w:val="hybridMultilevel"/>
    <w:tmpl w:val="23B8D220"/>
    <w:lvl w:ilvl="0" w:tplc="947CF7BA">
      <w:start w:val="1"/>
      <w:numFmt w:val="decimal"/>
      <w:lvlText w:val="%1-"/>
      <w:lvlJc w:val="left"/>
      <w:pPr>
        <w:ind w:left="580" w:hanging="360"/>
      </w:pPr>
      <w:rPr>
        <w:rFonts w:hint="default"/>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15" w15:restartNumberingAfterBreak="0">
    <w:nsid w:val="4A097FDD"/>
    <w:multiLevelType w:val="hybridMultilevel"/>
    <w:tmpl w:val="1A1617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1E0638"/>
    <w:multiLevelType w:val="hybridMultilevel"/>
    <w:tmpl w:val="6476787A"/>
    <w:lvl w:ilvl="0" w:tplc="7ABABDEC">
      <w:start w:val="4"/>
      <w:numFmt w:val="bullet"/>
      <w:lvlText w:val="-"/>
      <w:lvlJc w:val="left"/>
      <w:pPr>
        <w:ind w:left="1080" w:hanging="360"/>
      </w:pPr>
      <w:rPr>
        <w:rFonts w:ascii="Times New Roman" w:eastAsia="Calibri" w:hAnsi="Times New Roman" w:cs="Times New Roman" w:hint="default"/>
        <w:b w:val="0"/>
        <w:sz w:val="3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79C3875"/>
    <w:multiLevelType w:val="hybridMultilevel"/>
    <w:tmpl w:val="C7849E36"/>
    <w:lvl w:ilvl="0" w:tplc="BB1A60BC">
      <w:start w:val="4411"/>
      <w:numFmt w:val="bullet"/>
      <w:lvlText w:val="-"/>
      <w:lvlJc w:val="left"/>
      <w:pPr>
        <w:ind w:left="720" w:hanging="360"/>
      </w:pPr>
      <w:rPr>
        <w:rFonts w:ascii="Traditional Arabic" w:eastAsiaTheme="minorHAnsi" w:hAnsi="Traditional Arabic" w:cs="Traditional Arabic" w:hint="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14A1489"/>
    <w:multiLevelType w:val="hybridMultilevel"/>
    <w:tmpl w:val="09709078"/>
    <w:lvl w:ilvl="0" w:tplc="0C9288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DA34FE"/>
    <w:multiLevelType w:val="hybridMultilevel"/>
    <w:tmpl w:val="1A0CA4C8"/>
    <w:lvl w:ilvl="0" w:tplc="8BB40D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0B60AB"/>
    <w:multiLevelType w:val="hybridMultilevel"/>
    <w:tmpl w:val="5C4891CC"/>
    <w:lvl w:ilvl="0" w:tplc="345C278A">
      <w:start w:val="13"/>
      <w:numFmt w:val="bullet"/>
      <w:lvlText w:val="-"/>
      <w:lvlJc w:val="left"/>
      <w:pPr>
        <w:ind w:left="720" w:hanging="360"/>
      </w:pPr>
      <w:rPr>
        <w:rFonts w:ascii="SimplifiedArabic" w:eastAsiaTheme="minorHAnsi" w:hAnsiTheme="minorHAnsi"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893B98"/>
    <w:multiLevelType w:val="hybridMultilevel"/>
    <w:tmpl w:val="D8F6E5A4"/>
    <w:lvl w:ilvl="0" w:tplc="7ABABDEC">
      <w:start w:val="4"/>
      <w:numFmt w:val="bullet"/>
      <w:lvlText w:val="-"/>
      <w:lvlJc w:val="left"/>
      <w:pPr>
        <w:ind w:left="720" w:hanging="360"/>
      </w:pPr>
      <w:rPr>
        <w:rFonts w:ascii="Times New Roman" w:eastAsia="Calibri" w:hAnsi="Times New Roman" w:cs="Times New Roman"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AB5D41"/>
    <w:multiLevelType w:val="hybridMultilevel"/>
    <w:tmpl w:val="C736030E"/>
    <w:lvl w:ilvl="0" w:tplc="345C278A">
      <w:start w:val="13"/>
      <w:numFmt w:val="bullet"/>
      <w:lvlText w:val="-"/>
      <w:lvlJc w:val="left"/>
      <w:pPr>
        <w:ind w:left="720" w:hanging="360"/>
      </w:pPr>
      <w:rPr>
        <w:rFonts w:ascii="SimplifiedArabic" w:eastAsiaTheme="minorHAnsi" w:hAnsiTheme="minorHAnsi"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5A273D"/>
    <w:multiLevelType w:val="hybridMultilevel"/>
    <w:tmpl w:val="0002962A"/>
    <w:lvl w:ilvl="0" w:tplc="7ABABDEC">
      <w:start w:val="4"/>
      <w:numFmt w:val="bullet"/>
      <w:lvlText w:val="-"/>
      <w:lvlJc w:val="left"/>
      <w:pPr>
        <w:ind w:left="720" w:hanging="360"/>
      </w:pPr>
      <w:rPr>
        <w:rFonts w:ascii="Times New Roman" w:eastAsia="Calibri" w:hAnsi="Times New Roman" w:cs="Times New Roman"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E24177"/>
    <w:multiLevelType w:val="hybridMultilevel"/>
    <w:tmpl w:val="739A6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7237052">
    <w:abstractNumId w:val="20"/>
  </w:num>
  <w:num w:numId="2" w16cid:durableId="2044674763">
    <w:abstractNumId w:val="5"/>
  </w:num>
  <w:num w:numId="3" w16cid:durableId="1208446079">
    <w:abstractNumId w:val="1"/>
  </w:num>
  <w:num w:numId="4" w16cid:durableId="1743484137">
    <w:abstractNumId w:val="22"/>
  </w:num>
  <w:num w:numId="5" w16cid:durableId="1926105972">
    <w:abstractNumId w:val="10"/>
  </w:num>
  <w:num w:numId="6" w16cid:durableId="1389916548">
    <w:abstractNumId w:val="2"/>
  </w:num>
  <w:num w:numId="7" w16cid:durableId="1975990064">
    <w:abstractNumId w:val="23"/>
  </w:num>
  <w:num w:numId="8" w16cid:durableId="1262370557">
    <w:abstractNumId w:val="9"/>
  </w:num>
  <w:num w:numId="9" w16cid:durableId="1831558395">
    <w:abstractNumId w:val="19"/>
  </w:num>
  <w:num w:numId="10" w16cid:durableId="1748723794">
    <w:abstractNumId w:val="13"/>
  </w:num>
  <w:num w:numId="11" w16cid:durableId="1541627754">
    <w:abstractNumId w:val="7"/>
  </w:num>
  <w:num w:numId="12" w16cid:durableId="836841695">
    <w:abstractNumId w:val="6"/>
  </w:num>
  <w:num w:numId="13" w16cid:durableId="1221987157">
    <w:abstractNumId w:val="24"/>
  </w:num>
  <w:num w:numId="14" w16cid:durableId="392393704">
    <w:abstractNumId w:val="17"/>
  </w:num>
  <w:num w:numId="15" w16cid:durableId="835536613">
    <w:abstractNumId w:val="8"/>
  </w:num>
  <w:num w:numId="16" w16cid:durableId="50033756">
    <w:abstractNumId w:val="16"/>
  </w:num>
  <w:num w:numId="17" w16cid:durableId="1377196134">
    <w:abstractNumId w:val="0"/>
  </w:num>
  <w:num w:numId="18" w16cid:durableId="1482036146">
    <w:abstractNumId w:val="11"/>
  </w:num>
  <w:num w:numId="19" w16cid:durableId="1776248158">
    <w:abstractNumId w:val="18"/>
  </w:num>
  <w:num w:numId="20" w16cid:durableId="481652955">
    <w:abstractNumId w:val="15"/>
  </w:num>
  <w:num w:numId="21" w16cid:durableId="1693413762">
    <w:abstractNumId w:val="14"/>
  </w:num>
  <w:num w:numId="22" w16cid:durableId="1773282836">
    <w:abstractNumId w:val="4"/>
  </w:num>
  <w:num w:numId="23" w16cid:durableId="689142931">
    <w:abstractNumId w:val="21"/>
  </w:num>
  <w:num w:numId="24" w16cid:durableId="1075738755">
    <w:abstractNumId w:val="3"/>
  </w:num>
  <w:num w:numId="25" w16cid:durableId="7224667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53B"/>
    <w:rsid w:val="00055B94"/>
    <w:rsid w:val="002651B1"/>
    <w:rsid w:val="003A427C"/>
    <w:rsid w:val="004240B5"/>
    <w:rsid w:val="004E3FAD"/>
    <w:rsid w:val="0053287A"/>
    <w:rsid w:val="005431B2"/>
    <w:rsid w:val="00545500"/>
    <w:rsid w:val="005508E0"/>
    <w:rsid w:val="005F246B"/>
    <w:rsid w:val="005F4753"/>
    <w:rsid w:val="00613103"/>
    <w:rsid w:val="0073271A"/>
    <w:rsid w:val="0075053B"/>
    <w:rsid w:val="007507BA"/>
    <w:rsid w:val="007B7E33"/>
    <w:rsid w:val="008768C0"/>
    <w:rsid w:val="00B72474"/>
    <w:rsid w:val="00BC362F"/>
    <w:rsid w:val="00CF1780"/>
    <w:rsid w:val="00D11A4D"/>
    <w:rsid w:val="00DA4715"/>
    <w:rsid w:val="00FC7C0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6E710"/>
  <w15:chartTrackingRefBased/>
  <w15:docId w15:val="{B6B29C1C-60E4-4BB8-8CA7-D96CAE598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9"/>
    <w:qFormat/>
    <w:rsid w:val="007505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9"/>
    <w:unhideWhenUsed/>
    <w:qFormat/>
    <w:rsid w:val="007505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9"/>
    <w:unhideWhenUsed/>
    <w:qFormat/>
    <w:rsid w:val="0075053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75053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75053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5053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5053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5053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5053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9"/>
    <w:rsid w:val="0075053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9"/>
    <w:rsid w:val="0075053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9"/>
    <w:rsid w:val="0075053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75053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75053B"/>
    <w:rPr>
      <w:rFonts w:eastAsiaTheme="majorEastAsia" w:cstheme="majorBidi"/>
      <w:color w:val="2F5496" w:themeColor="accent1" w:themeShade="BF"/>
    </w:rPr>
  </w:style>
  <w:style w:type="character" w:customStyle="1" w:styleId="6Char">
    <w:name w:val="عنوان 6 Char"/>
    <w:basedOn w:val="a0"/>
    <w:link w:val="6"/>
    <w:uiPriority w:val="9"/>
    <w:semiHidden/>
    <w:rsid w:val="0075053B"/>
    <w:rPr>
      <w:rFonts w:eastAsiaTheme="majorEastAsia" w:cstheme="majorBidi"/>
      <w:i/>
      <w:iCs/>
      <w:color w:val="595959" w:themeColor="text1" w:themeTint="A6"/>
    </w:rPr>
  </w:style>
  <w:style w:type="character" w:customStyle="1" w:styleId="7Char">
    <w:name w:val="عنوان 7 Char"/>
    <w:basedOn w:val="a0"/>
    <w:link w:val="7"/>
    <w:uiPriority w:val="9"/>
    <w:semiHidden/>
    <w:rsid w:val="0075053B"/>
    <w:rPr>
      <w:rFonts w:eastAsiaTheme="majorEastAsia" w:cstheme="majorBidi"/>
      <w:color w:val="595959" w:themeColor="text1" w:themeTint="A6"/>
    </w:rPr>
  </w:style>
  <w:style w:type="character" w:customStyle="1" w:styleId="8Char">
    <w:name w:val="عنوان 8 Char"/>
    <w:basedOn w:val="a0"/>
    <w:link w:val="8"/>
    <w:uiPriority w:val="9"/>
    <w:semiHidden/>
    <w:rsid w:val="0075053B"/>
    <w:rPr>
      <w:rFonts w:eastAsiaTheme="majorEastAsia" w:cstheme="majorBidi"/>
      <w:i/>
      <w:iCs/>
      <w:color w:val="272727" w:themeColor="text1" w:themeTint="D8"/>
    </w:rPr>
  </w:style>
  <w:style w:type="character" w:customStyle="1" w:styleId="9Char">
    <w:name w:val="عنوان 9 Char"/>
    <w:basedOn w:val="a0"/>
    <w:link w:val="9"/>
    <w:uiPriority w:val="9"/>
    <w:semiHidden/>
    <w:rsid w:val="0075053B"/>
    <w:rPr>
      <w:rFonts w:eastAsiaTheme="majorEastAsia" w:cstheme="majorBidi"/>
      <w:color w:val="272727" w:themeColor="text1" w:themeTint="D8"/>
    </w:rPr>
  </w:style>
  <w:style w:type="paragraph" w:styleId="a3">
    <w:name w:val="Title"/>
    <w:basedOn w:val="a"/>
    <w:next w:val="a"/>
    <w:link w:val="Char"/>
    <w:uiPriority w:val="10"/>
    <w:qFormat/>
    <w:rsid w:val="00750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5053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5053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5053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5053B"/>
    <w:pPr>
      <w:spacing w:before="160"/>
      <w:jc w:val="center"/>
    </w:pPr>
    <w:rPr>
      <w:i/>
      <w:iCs/>
      <w:color w:val="404040" w:themeColor="text1" w:themeTint="BF"/>
    </w:rPr>
  </w:style>
  <w:style w:type="character" w:customStyle="1" w:styleId="Char1">
    <w:name w:val="اقتباس Char"/>
    <w:basedOn w:val="a0"/>
    <w:link w:val="a5"/>
    <w:uiPriority w:val="29"/>
    <w:rsid w:val="0075053B"/>
    <w:rPr>
      <w:i/>
      <w:iCs/>
      <w:color w:val="404040" w:themeColor="text1" w:themeTint="BF"/>
    </w:rPr>
  </w:style>
  <w:style w:type="paragraph" w:styleId="a6">
    <w:name w:val="List Paragraph"/>
    <w:basedOn w:val="a"/>
    <w:uiPriority w:val="34"/>
    <w:qFormat/>
    <w:rsid w:val="0075053B"/>
    <w:pPr>
      <w:ind w:left="720"/>
      <w:contextualSpacing/>
    </w:pPr>
  </w:style>
  <w:style w:type="character" w:styleId="a7">
    <w:name w:val="Intense Emphasis"/>
    <w:basedOn w:val="a0"/>
    <w:uiPriority w:val="21"/>
    <w:qFormat/>
    <w:rsid w:val="0075053B"/>
    <w:rPr>
      <w:i/>
      <w:iCs/>
      <w:color w:val="2F5496" w:themeColor="accent1" w:themeShade="BF"/>
    </w:rPr>
  </w:style>
  <w:style w:type="paragraph" w:styleId="a8">
    <w:name w:val="Intense Quote"/>
    <w:basedOn w:val="a"/>
    <w:next w:val="a"/>
    <w:link w:val="Char2"/>
    <w:uiPriority w:val="30"/>
    <w:qFormat/>
    <w:rsid w:val="007505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75053B"/>
    <w:rPr>
      <w:i/>
      <w:iCs/>
      <w:color w:val="2F5496" w:themeColor="accent1" w:themeShade="BF"/>
    </w:rPr>
  </w:style>
  <w:style w:type="character" w:styleId="a9">
    <w:name w:val="Intense Reference"/>
    <w:basedOn w:val="a0"/>
    <w:uiPriority w:val="32"/>
    <w:qFormat/>
    <w:rsid w:val="0075053B"/>
    <w:rPr>
      <w:b/>
      <w:bCs/>
      <w:smallCaps/>
      <w:color w:val="2F5496" w:themeColor="accent1" w:themeShade="BF"/>
      <w:spacing w:val="5"/>
    </w:rPr>
  </w:style>
  <w:style w:type="numbering" w:customStyle="1" w:styleId="NoList1">
    <w:name w:val="No List1"/>
    <w:next w:val="a2"/>
    <w:uiPriority w:val="99"/>
    <w:semiHidden/>
    <w:unhideWhenUsed/>
    <w:rsid w:val="00545500"/>
  </w:style>
  <w:style w:type="character" w:styleId="Hyperlink">
    <w:name w:val="Hyperlink"/>
    <w:basedOn w:val="a0"/>
    <w:uiPriority w:val="99"/>
    <w:unhideWhenUsed/>
    <w:rsid w:val="00545500"/>
    <w:rPr>
      <w:color w:val="0563C1" w:themeColor="hyperlink"/>
      <w:u w:val="single"/>
    </w:rPr>
  </w:style>
  <w:style w:type="character" w:styleId="aa">
    <w:name w:val="Unresolved Mention"/>
    <w:basedOn w:val="a0"/>
    <w:uiPriority w:val="99"/>
    <w:semiHidden/>
    <w:unhideWhenUsed/>
    <w:rsid w:val="00545500"/>
    <w:rPr>
      <w:color w:val="605E5C"/>
      <w:shd w:val="clear" w:color="auto" w:fill="E1DFDD"/>
    </w:rPr>
  </w:style>
  <w:style w:type="paragraph" w:styleId="ab">
    <w:name w:val="header"/>
    <w:basedOn w:val="a"/>
    <w:link w:val="Char3"/>
    <w:uiPriority w:val="99"/>
    <w:unhideWhenUsed/>
    <w:rsid w:val="00545500"/>
    <w:pPr>
      <w:tabs>
        <w:tab w:val="center" w:pos="4513"/>
        <w:tab w:val="right" w:pos="9026"/>
      </w:tabs>
      <w:spacing w:after="0" w:line="240" w:lineRule="auto"/>
    </w:pPr>
    <w:rPr>
      <w:rFonts w:ascii="Times New Roman" w:eastAsia="Times New Roman" w:hAnsi="Times New Roman" w:cs="Times New Roman"/>
      <w:sz w:val="24"/>
      <w:szCs w:val="24"/>
      <w14:ligatures w14:val="none"/>
    </w:rPr>
  </w:style>
  <w:style w:type="character" w:customStyle="1" w:styleId="Char3">
    <w:name w:val="رأس الصفحة Char"/>
    <w:basedOn w:val="a0"/>
    <w:link w:val="ab"/>
    <w:uiPriority w:val="99"/>
    <w:rsid w:val="00545500"/>
    <w:rPr>
      <w:rFonts w:ascii="Times New Roman" w:eastAsia="Times New Roman" w:hAnsi="Times New Roman" w:cs="Times New Roman"/>
      <w:sz w:val="24"/>
      <w:szCs w:val="24"/>
      <w14:ligatures w14:val="none"/>
    </w:rPr>
  </w:style>
  <w:style w:type="paragraph" w:styleId="ac">
    <w:name w:val="footer"/>
    <w:basedOn w:val="a"/>
    <w:link w:val="Char4"/>
    <w:uiPriority w:val="99"/>
    <w:unhideWhenUsed/>
    <w:rsid w:val="00545500"/>
    <w:pPr>
      <w:tabs>
        <w:tab w:val="center" w:pos="4513"/>
        <w:tab w:val="right" w:pos="9026"/>
      </w:tabs>
      <w:spacing w:after="0" w:line="240" w:lineRule="auto"/>
    </w:pPr>
    <w:rPr>
      <w:rFonts w:ascii="Times New Roman" w:eastAsia="Times New Roman" w:hAnsi="Times New Roman" w:cs="Times New Roman"/>
      <w:sz w:val="24"/>
      <w:szCs w:val="24"/>
      <w14:ligatures w14:val="none"/>
    </w:rPr>
  </w:style>
  <w:style w:type="character" w:customStyle="1" w:styleId="Char4">
    <w:name w:val="تذييل الصفحة Char"/>
    <w:basedOn w:val="a0"/>
    <w:link w:val="ac"/>
    <w:uiPriority w:val="99"/>
    <w:rsid w:val="00545500"/>
    <w:rPr>
      <w:rFonts w:ascii="Times New Roman" w:eastAsia="Times New Roman" w:hAnsi="Times New Roman" w:cs="Times New Roman"/>
      <w:sz w:val="24"/>
      <w:szCs w:val="24"/>
      <w14:ligatures w14:val="none"/>
    </w:rPr>
  </w:style>
  <w:style w:type="table" w:styleId="ad">
    <w:name w:val="Table Grid"/>
    <w:basedOn w:val="a1"/>
    <w:uiPriority w:val="39"/>
    <w:rsid w:val="00545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1"/>
    <w:basedOn w:val="a1"/>
    <w:uiPriority w:val="39"/>
    <w:rsid w:val="00545500"/>
    <w:pPr>
      <w:spacing w:after="0" w:line="240" w:lineRule="auto"/>
      <w:contextualSpacing/>
      <w:jc w:val="center"/>
    </w:pPr>
    <w:rPr>
      <w:rFonts w:ascii="Aptos" w:eastAsia="Aptos" w:hAnsi="Aptos" w:cs="Traditional Arabic"/>
      <w:szCs w:val="28"/>
      <w14:ligatures w14:val="none"/>
    </w:rPr>
    <w:tblPr>
      <w:tblStyleRowBandSize w:val="1"/>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
    <w:trPr>
      <w:jc w:val="center"/>
    </w:trPr>
    <w:tcPr>
      <w:vAlign w:val="center"/>
    </w:tcPr>
    <w:tblStylePr w:type="firstRow">
      <w:tblPr/>
      <w:tcPr>
        <w:shd w:val="clear" w:color="auto" w:fill="D9D9D9"/>
      </w:tcPr>
    </w:tblStylePr>
    <w:tblStylePr w:type="lastRow">
      <w:tblPr/>
      <w:tcPr>
        <w:shd w:val="clear" w:color="auto" w:fill="D9D9D9"/>
      </w:tcPr>
    </w:tblStylePr>
    <w:tblStylePr w:type="band2Horz">
      <w:tblPr/>
      <w:tcPr>
        <w:shd w:val="clear" w:color="auto" w:fill="F2F2F2"/>
      </w:tcPr>
    </w:tblStylePr>
  </w:style>
  <w:style w:type="table" w:customStyle="1" w:styleId="TableGrid1">
    <w:name w:val="Table Grid1"/>
    <w:basedOn w:val="a1"/>
    <w:next w:val="ad"/>
    <w:uiPriority w:val="39"/>
    <w:rsid w:val="00545500"/>
    <w:pPr>
      <w:spacing w:after="0" w:line="240" w:lineRule="auto"/>
    </w:pPr>
    <w:rPr>
      <w:rFonts w:ascii="Times New Roman" w:eastAsia="Times New Roman" w:hAnsi="Times New Roman" w:cs="Times New Roman"/>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d"/>
    <w:uiPriority w:val="39"/>
    <w:rsid w:val="00545500"/>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2"/>
    <w:uiPriority w:val="99"/>
    <w:semiHidden/>
    <w:unhideWhenUsed/>
    <w:rsid w:val="00545500"/>
  </w:style>
  <w:style w:type="paragraph" w:styleId="ae">
    <w:name w:val="TOC Heading"/>
    <w:basedOn w:val="1"/>
    <w:next w:val="a"/>
    <w:uiPriority w:val="39"/>
    <w:unhideWhenUsed/>
    <w:qFormat/>
    <w:rsid w:val="00545500"/>
    <w:pPr>
      <w:spacing w:before="240" w:after="0" w:line="240" w:lineRule="auto"/>
      <w:outlineLvl w:val="9"/>
    </w:pPr>
    <w:rPr>
      <w:sz w:val="32"/>
      <w:szCs w:val="32"/>
      <w14:ligatures w14:val="none"/>
    </w:rPr>
  </w:style>
  <w:style w:type="paragraph" w:styleId="10">
    <w:name w:val="toc 1"/>
    <w:basedOn w:val="a"/>
    <w:next w:val="a"/>
    <w:autoRedefine/>
    <w:uiPriority w:val="39"/>
    <w:unhideWhenUsed/>
    <w:rsid w:val="00545500"/>
    <w:pPr>
      <w:tabs>
        <w:tab w:val="right" w:leader="dot" w:pos="9016"/>
      </w:tabs>
      <w:bidi/>
      <w:spacing w:after="0" w:line="240" w:lineRule="auto"/>
    </w:pPr>
    <w:rPr>
      <w:rFonts w:ascii="Times New Roman" w:eastAsia="Times New Roman" w:hAnsi="Times New Roman" w:cs="Times New Roman"/>
      <w:sz w:val="24"/>
      <w:szCs w:val="24"/>
      <w14:ligatures w14:val="none"/>
    </w:rPr>
  </w:style>
  <w:style w:type="paragraph" w:styleId="20">
    <w:name w:val="toc 2"/>
    <w:basedOn w:val="a"/>
    <w:next w:val="a"/>
    <w:autoRedefine/>
    <w:uiPriority w:val="39"/>
    <w:unhideWhenUsed/>
    <w:rsid w:val="00545500"/>
    <w:pPr>
      <w:spacing w:after="100" w:line="240" w:lineRule="auto"/>
      <w:ind w:left="220"/>
    </w:pPr>
    <w:rPr>
      <w:rFonts w:ascii="Times New Roman" w:eastAsia="Times New Roman" w:hAnsi="Times New Roman" w:cs="Times New Roman"/>
      <w:sz w:val="24"/>
      <w:szCs w:val="24"/>
      <w14:ligatures w14:val="none"/>
    </w:rPr>
  </w:style>
  <w:style w:type="table" w:customStyle="1" w:styleId="TableGrid3">
    <w:name w:val="Table Grid3"/>
    <w:basedOn w:val="a1"/>
    <w:next w:val="ad"/>
    <w:uiPriority w:val="39"/>
    <w:rsid w:val="00545500"/>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semiHidden/>
    <w:unhideWhenUsed/>
    <w:rsid w:val="00545500"/>
    <w:pPr>
      <w:spacing w:before="100" w:beforeAutospacing="1" w:after="100" w:afterAutospacing="1" w:line="240" w:lineRule="auto"/>
    </w:pPr>
    <w:rPr>
      <w:rFonts w:ascii="Times New Roman" w:eastAsia="Times New Roman" w:hAnsi="Times New Roman" w:cs="Times New Roman"/>
      <w:sz w:val="24"/>
      <w:szCs w:val="24"/>
      <w14:ligatures w14:val="none"/>
    </w:rPr>
  </w:style>
  <w:style w:type="character" w:styleId="af0">
    <w:name w:val="Strong"/>
    <w:basedOn w:val="a0"/>
    <w:uiPriority w:val="22"/>
    <w:qFormat/>
    <w:rsid w:val="00545500"/>
    <w:rPr>
      <w:b/>
      <w:bCs/>
    </w:rPr>
  </w:style>
  <w:style w:type="numbering" w:customStyle="1" w:styleId="NoList2">
    <w:name w:val="No List2"/>
    <w:next w:val="a2"/>
    <w:uiPriority w:val="99"/>
    <w:semiHidden/>
    <w:unhideWhenUsed/>
    <w:rsid w:val="00545500"/>
  </w:style>
  <w:style w:type="numbering" w:customStyle="1" w:styleId="NoList111">
    <w:name w:val="No List111"/>
    <w:next w:val="a2"/>
    <w:uiPriority w:val="99"/>
    <w:semiHidden/>
    <w:unhideWhenUsed/>
    <w:rsid w:val="00545500"/>
  </w:style>
  <w:style w:type="table" w:customStyle="1" w:styleId="TableGrid4">
    <w:name w:val="Table Grid4"/>
    <w:basedOn w:val="a1"/>
    <w:next w:val="ad"/>
    <w:uiPriority w:val="39"/>
    <w:rsid w:val="00545500"/>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diagramData" Target="diagrams/data1.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120FA8-8A85-4780-98C5-AAF7A4875208}" type="doc">
      <dgm:prSet loTypeId="urn:microsoft.com/office/officeart/2005/8/layout/hierarchy2" loCatId="hierarchy" qsTypeId="urn:microsoft.com/office/officeart/2005/8/quickstyle/simple1" qsCatId="simple" csTypeId="urn:microsoft.com/office/officeart/2005/8/colors/accent2_2" csCatId="accent2" phldr="1"/>
      <dgm:spPr/>
      <dgm:t>
        <a:bodyPr/>
        <a:lstStyle/>
        <a:p>
          <a:pPr rtl="1"/>
          <a:endParaRPr lang="ar-SA"/>
        </a:p>
      </dgm:t>
    </dgm:pt>
    <dgm:pt modelId="{BD76D88F-FCFA-4366-8B15-18377A2C7724}">
      <dgm:prSet phldrT="[Text]" custT="1"/>
      <dgm:spPr>
        <a:xfrm>
          <a:off x="2204596" y="815342"/>
          <a:ext cx="1077206" cy="769615"/>
        </a:xfrm>
        <a:prstGeom prst="roundRect">
          <a:avLst>
            <a:gd name="adj" fmla="val 10000"/>
          </a:avLst>
        </a:prstGeom>
        <a:solidFill>
          <a:schemeClr val="accent1">
            <a:lumMod val="60000"/>
            <a:lumOff val="40000"/>
          </a:schemeClr>
        </a:solidFill>
        <a:ln w="12700" cap="flat" cmpd="sng" algn="ctr">
          <a:solidFill>
            <a:sysClr val="windowText" lastClr="000000"/>
          </a:solidFill>
          <a:prstDash val="solid"/>
          <a:miter lim="800000"/>
        </a:ln>
        <a:effectLst/>
      </dgm:spPr>
      <dgm:t>
        <a:bodyPr/>
        <a:lstStyle/>
        <a:p>
          <a:pPr rtl="1">
            <a:buNone/>
          </a:pPr>
          <a:r>
            <a:rPr lang="ar-EG" sz="1200"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rPr>
            <a:t>المتغير المستقل: </a:t>
          </a:r>
          <a:r>
            <a:rPr lang="ar-SA" sz="1200"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rPr>
            <a:t>حوكمة الموارد البشرية،</a:t>
          </a:r>
        </a:p>
      </dgm:t>
    </dgm:pt>
    <dgm:pt modelId="{98D1E11D-9127-4353-93E2-A268B4BC8DD4}" type="parTrans" cxnId="{4ABEC98D-4281-4DC9-BE2F-221737500799}">
      <dgm:prSet/>
      <dgm:spPr>
        <a:xfrm>
          <a:off x="1773713" y="1179954"/>
          <a:ext cx="430882" cy="40390"/>
        </a:xfrm>
        <a:custGeom>
          <a:avLst/>
          <a:gdLst/>
          <a:ahLst/>
          <a:cxnLst/>
          <a:rect l="0" t="0" r="0" b="0"/>
          <a:pathLst>
            <a:path>
              <a:moveTo>
                <a:pt x="0" y="20195"/>
              </a:moveTo>
              <a:lnTo>
                <a:pt x="430882" y="20195"/>
              </a:lnTo>
            </a:path>
          </a:pathLst>
        </a:custGeom>
        <a:noFill/>
        <a:ln w="12700" cap="flat" cmpd="sng" algn="ctr">
          <a:solidFill>
            <a:srgbClr val="ED7D31">
              <a:shade val="60000"/>
              <a:hueOff val="0"/>
              <a:satOff val="0"/>
              <a:lumOff val="0"/>
              <a:alphaOff val="0"/>
            </a:srgbClr>
          </a:solidFill>
          <a:prstDash val="solid"/>
          <a:miter lim="800000"/>
        </a:ln>
        <a:effectLst/>
      </dgm:spPr>
      <dgm:t>
        <a:bodyPr/>
        <a:lstStyle/>
        <a:p>
          <a:pPr rtl="1">
            <a:buNone/>
          </a:pPr>
          <a:endParaRPr lang="ar-SA" b="1" cap="none" spc="0">
            <a:ln w="12700" cmpd="sng">
              <a:solidFill>
                <a:srgbClr val="FFC000"/>
              </a:solidFill>
              <a:prstDash val="solid"/>
            </a:ln>
            <a:gradFill>
              <a:gsLst>
                <a:gs pos="0">
                  <a:srgbClr val="FFC000"/>
                </a:gs>
                <a:gs pos="4000">
                  <a:srgbClr val="FFC000">
                    <a:lumMod val="60000"/>
                    <a:lumOff val="40000"/>
                  </a:srgbClr>
                </a:gs>
                <a:gs pos="87000">
                  <a:srgbClr val="FFC000">
                    <a:lumMod val="20000"/>
                    <a:lumOff val="80000"/>
                  </a:srgbClr>
                </a:gs>
              </a:gsLst>
              <a:lin ang="5400000"/>
            </a:gradFill>
            <a:effectLst/>
            <a:latin typeface="Calibri" panose="020F0502020204030204"/>
            <a:ea typeface="+mn-ea"/>
            <a:cs typeface="Arial" panose="020B0604020202020204" pitchFamily="34" charset="0"/>
          </a:endParaRPr>
        </a:p>
      </dgm:t>
    </dgm:pt>
    <dgm:pt modelId="{68DC2716-037B-4901-A6B1-D70D3FC8653E}" type="sibTrans" cxnId="{4ABEC98D-4281-4DC9-BE2F-221737500799}">
      <dgm:prSet/>
      <dgm:spPr/>
      <dgm:t>
        <a:bodyPr/>
        <a:lstStyle/>
        <a:p>
          <a:pPr rtl="1"/>
          <a:endParaRPr lang="ar-SA" b="1" cap="none" spc="0">
            <a:ln w="12700" cmpd="sng">
              <a:solidFill>
                <a:schemeClr val="accent4"/>
              </a:solidFill>
              <a:prstDash val="solid"/>
            </a:ln>
            <a:gradFill>
              <a:gsLst>
                <a:gs pos="0">
                  <a:schemeClr val="accent4"/>
                </a:gs>
                <a:gs pos="4000">
                  <a:schemeClr val="accent4">
                    <a:lumMod val="60000"/>
                    <a:lumOff val="40000"/>
                  </a:schemeClr>
                </a:gs>
                <a:gs pos="87000">
                  <a:schemeClr val="accent4">
                    <a:lumMod val="20000"/>
                    <a:lumOff val="80000"/>
                  </a:schemeClr>
                </a:gs>
              </a:gsLst>
              <a:lin ang="5400000"/>
            </a:gradFill>
            <a:effectLst/>
          </a:endParaRPr>
        </a:p>
      </dgm:t>
    </dgm:pt>
    <dgm:pt modelId="{BD111DA7-3522-4C88-89BD-6C1B37776D11}">
      <dgm:prSet custT="1"/>
      <dgm:spPr>
        <a:xfrm>
          <a:off x="696507" y="792481"/>
          <a:ext cx="1077206" cy="815337"/>
        </a:xfrm>
        <a:prstGeom prst="roundRect">
          <a:avLst>
            <a:gd name="adj" fmla="val 10000"/>
          </a:avLst>
        </a:prstGeom>
        <a:solidFill>
          <a:schemeClr val="accent1">
            <a:lumMod val="60000"/>
            <a:lumOff val="40000"/>
          </a:scheme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EG" sz="1400" b="0" cap="none" spc="0">
              <a:ln w="0"/>
              <a:solidFill>
                <a:sysClr val="windowText" lastClr="000000"/>
              </a:solidFill>
              <a:effectLst>
                <a:outerShdw blurRad="38100" dist="19050" dir="2700000" algn="tl" rotWithShape="0">
                  <a:sysClr val="windowText" lastClr="000000">
                    <a:alpha val="40000"/>
                  </a:sysClr>
                </a:outerShdw>
              </a:effectLst>
              <a:latin typeface="Simplified Arabic" panose="02020603050405020304" pitchFamily="18" charset="-78"/>
              <a:ea typeface="+mn-ea"/>
              <a:cs typeface="Simplified Arabic" panose="02020603050405020304" pitchFamily="18" charset="-78"/>
            </a:rPr>
            <a:t>المتغير التابع: الحد من التلاعب بالقرارات الإدارية</a:t>
          </a:r>
          <a:endParaRPr lang="ar-SA" sz="1400" b="0" cap="none" spc="0">
            <a:ln w="0"/>
            <a:solidFill>
              <a:sysClr val="windowText" lastClr="000000"/>
            </a:solidFill>
            <a:effectLst>
              <a:outerShdw blurRad="38100" dist="19050" dir="2700000" algn="tl" rotWithShape="0">
                <a:sysClr val="windowText" lastClr="000000">
                  <a:alpha val="40000"/>
                </a:sysClr>
              </a:outerShdw>
            </a:effectLst>
            <a:latin typeface="Simplified Arabic" panose="02020603050405020304" pitchFamily="18" charset="-78"/>
            <a:ea typeface="+mn-ea"/>
            <a:cs typeface="Simplified Arabic" panose="02020603050405020304" pitchFamily="18" charset="-78"/>
          </a:endParaRPr>
        </a:p>
      </dgm:t>
    </dgm:pt>
    <dgm:pt modelId="{6159E60B-364E-4359-A379-C730DB074E1D}" type="parTrans" cxnId="{73323ECF-942E-4C1D-AC01-2BE40215AA6B}">
      <dgm:prSet/>
      <dgm:spPr/>
      <dgm:t>
        <a:bodyPr/>
        <a:lstStyle/>
        <a:p>
          <a:pPr rtl="1"/>
          <a:endParaRPr lang="ar-SA" b="1" cap="none" spc="0">
            <a:ln w="12700" cmpd="sng">
              <a:solidFill>
                <a:schemeClr val="accent4"/>
              </a:solidFill>
              <a:prstDash val="solid"/>
            </a:ln>
            <a:gradFill>
              <a:gsLst>
                <a:gs pos="0">
                  <a:schemeClr val="accent4"/>
                </a:gs>
                <a:gs pos="4000">
                  <a:schemeClr val="accent4">
                    <a:lumMod val="60000"/>
                    <a:lumOff val="40000"/>
                  </a:schemeClr>
                </a:gs>
                <a:gs pos="87000">
                  <a:schemeClr val="accent4">
                    <a:lumMod val="20000"/>
                    <a:lumOff val="80000"/>
                  </a:schemeClr>
                </a:gs>
              </a:gsLst>
              <a:lin ang="5400000"/>
            </a:gradFill>
            <a:effectLst/>
          </a:endParaRPr>
        </a:p>
      </dgm:t>
    </dgm:pt>
    <dgm:pt modelId="{10BDF5B3-EA3F-4ADA-9FCA-07B61B304680}" type="sibTrans" cxnId="{73323ECF-942E-4C1D-AC01-2BE40215AA6B}">
      <dgm:prSet/>
      <dgm:spPr/>
      <dgm:t>
        <a:bodyPr/>
        <a:lstStyle/>
        <a:p>
          <a:pPr rtl="1"/>
          <a:endParaRPr lang="ar-SA" b="1" cap="none" spc="0">
            <a:ln w="12700" cmpd="sng">
              <a:solidFill>
                <a:schemeClr val="accent4"/>
              </a:solidFill>
              <a:prstDash val="solid"/>
            </a:ln>
            <a:gradFill>
              <a:gsLst>
                <a:gs pos="0">
                  <a:schemeClr val="accent4"/>
                </a:gs>
                <a:gs pos="4000">
                  <a:schemeClr val="accent4">
                    <a:lumMod val="60000"/>
                    <a:lumOff val="40000"/>
                  </a:schemeClr>
                </a:gs>
                <a:gs pos="87000">
                  <a:schemeClr val="accent4">
                    <a:lumMod val="20000"/>
                    <a:lumOff val="80000"/>
                  </a:schemeClr>
                </a:gs>
              </a:gsLst>
              <a:lin ang="5400000"/>
            </a:gradFill>
            <a:effectLst/>
          </a:endParaRPr>
        </a:p>
      </dgm:t>
    </dgm:pt>
    <dgm:pt modelId="{0F0BCBFE-AF6F-47EC-90D3-CC5F98FCC998}">
      <dgm:prSet/>
      <dgm:spPr>
        <a:xfrm>
          <a:off x="3712686" y="1757"/>
          <a:ext cx="1077206" cy="538603"/>
        </a:xfrm>
        <a:prstGeom prst="roundRect">
          <a:avLst>
            <a:gd name="adj" fmla="val 10000"/>
          </a:avLst>
        </a:prstGeom>
        <a:solidFill>
          <a:schemeClr val="accent1">
            <a:lumMod val="60000"/>
            <a:lumOff val="40000"/>
          </a:scheme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EG"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rPr>
            <a:t>وضوح السياسات والاجراءات</a:t>
          </a:r>
          <a:endParaRPr lang="ar-SA"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endParaRPr>
        </a:p>
      </dgm:t>
    </dgm:pt>
    <dgm:pt modelId="{91B7C49B-4F68-4C73-9AFF-499DA33D82F2}" type="sibTrans" cxnId="{589C3B9E-428C-486D-A164-A2B85B5F9708}">
      <dgm:prSet/>
      <dgm:spPr/>
      <dgm:t>
        <a:bodyPr/>
        <a:lstStyle/>
        <a:p>
          <a:pPr rtl="1"/>
          <a:endParaRPr lang="ar-SA" b="1" cap="none" spc="0">
            <a:ln w="12700" cmpd="sng">
              <a:solidFill>
                <a:schemeClr val="accent4"/>
              </a:solidFill>
              <a:prstDash val="solid"/>
            </a:ln>
            <a:gradFill>
              <a:gsLst>
                <a:gs pos="0">
                  <a:schemeClr val="accent4"/>
                </a:gs>
                <a:gs pos="4000">
                  <a:schemeClr val="accent4">
                    <a:lumMod val="60000"/>
                    <a:lumOff val="40000"/>
                  </a:schemeClr>
                </a:gs>
                <a:gs pos="87000">
                  <a:schemeClr val="accent4">
                    <a:lumMod val="20000"/>
                    <a:lumOff val="80000"/>
                  </a:schemeClr>
                </a:gs>
              </a:gsLst>
              <a:lin ang="5400000"/>
            </a:gradFill>
            <a:effectLst/>
          </a:endParaRPr>
        </a:p>
      </dgm:t>
    </dgm:pt>
    <dgm:pt modelId="{04702E14-12F7-4419-8169-2ACC82EBD5A2}" type="parTrans" cxnId="{589C3B9E-428C-486D-A164-A2B85B5F9708}">
      <dgm:prSet/>
      <dgm:spPr>
        <a:xfrm rot="17692822">
          <a:off x="2985173" y="715409"/>
          <a:ext cx="1024143" cy="40390"/>
        </a:xfrm>
        <a:custGeom>
          <a:avLst/>
          <a:gdLst/>
          <a:ahLst/>
          <a:cxnLst/>
          <a:rect l="0" t="0" r="0" b="0"/>
          <a:pathLst>
            <a:path>
              <a:moveTo>
                <a:pt x="0" y="20195"/>
              </a:moveTo>
              <a:lnTo>
                <a:pt x="1024143" y="20195"/>
              </a:lnTo>
            </a:path>
          </a:pathLst>
        </a:custGeom>
        <a:noFill/>
        <a:ln w="12700" cap="flat" cmpd="sng" algn="ctr">
          <a:solidFill>
            <a:srgbClr val="ED7D31">
              <a:shade val="80000"/>
              <a:hueOff val="0"/>
              <a:satOff val="0"/>
              <a:lumOff val="0"/>
              <a:alphaOff val="0"/>
            </a:srgbClr>
          </a:solidFill>
          <a:prstDash val="solid"/>
          <a:miter lim="800000"/>
        </a:ln>
        <a:effectLst/>
      </dgm:spPr>
      <dgm:t>
        <a:bodyPr/>
        <a:lstStyle/>
        <a:p>
          <a:pPr rtl="1">
            <a:buNone/>
          </a:pPr>
          <a:endParaRPr lang="ar-SA" b="1" cap="none" spc="0">
            <a:ln w="12700" cmpd="sng">
              <a:solidFill>
                <a:srgbClr val="FFC000"/>
              </a:solidFill>
              <a:prstDash val="solid"/>
            </a:ln>
            <a:gradFill>
              <a:gsLst>
                <a:gs pos="0">
                  <a:srgbClr val="FFC000"/>
                </a:gs>
                <a:gs pos="4000">
                  <a:srgbClr val="FFC000">
                    <a:lumMod val="60000"/>
                    <a:lumOff val="40000"/>
                  </a:srgbClr>
                </a:gs>
                <a:gs pos="87000">
                  <a:srgbClr val="FFC000">
                    <a:lumMod val="20000"/>
                    <a:lumOff val="80000"/>
                  </a:srgbClr>
                </a:gs>
              </a:gsLst>
              <a:lin ang="5400000"/>
            </a:gradFill>
            <a:effectLst/>
            <a:latin typeface="Calibri" panose="020F0502020204030204"/>
            <a:ea typeface="+mn-ea"/>
            <a:cs typeface="Arial" panose="020B0604020202020204" pitchFamily="34" charset="0"/>
          </a:endParaRPr>
        </a:p>
      </dgm:t>
    </dgm:pt>
    <dgm:pt modelId="{EDBE1F11-AD05-4036-80F3-501524690109}">
      <dgm:prSet phldrT="[Text]"/>
      <dgm:spPr>
        <a:xfrm>
          <a:off x="3712686" y="621151"/>
          <a:ext cx="1077206" cy="538603"/>
        </a:xfrm>
        <a:prstGeom prst="roundRect">
          <a:avLst>
            <a:gd name="adj" fmla="val 10000"/>
          </a:avLst>
        </a:prstGeom>
        <a:solidFill>
          <a:schemeClr val="accent1">
            <a:lumMod val="60000"/>
            <a:lumOff val="40000"/>
          </a:scheme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EG"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rPr>
            <a:t>العدالة التنظيمية وتكافؤ الفرص </a:t>
          </a:r>
          <a:endParaRPr lang="ar-SA"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endParaRPr>
        </a:p>
      </dgm:t>
    </dgm:pt>
    <dgm:pt modelId="{F533DC07-869B-44DC-954E-CC91F640ED9F}" type="sibTrans" cxnId="{7871FD0E-594E-471C-A556-0A26DDD9708C}">
      <dgm:prSet/>
      <dgm:spPr/>
      <dgm:t>
        <a:bodyPr/>
        <a:lstStyle/>
        <a:p>
          <a:pPr rtl="1"/>
          <a:endParaRPr lang="ar-SA" b="1" cap="none" spc="0">
            <a:ln w="12700" cmpd="sng">
              <a:solidFill>
                <a:schemeClr val="accent4"/>
              </a:solidFill>
              <a:prstDash val="solid"/>
            </a:ln>
            <a:gradFill>
              <a:gsLst>
                <a:gs pos="0">
                  <a:schemeClr val="accent4"/>
                </a:gs>
                <a:gs pos="4000">
                  <a:schemeClr val="accent4">
                    <a:lumMod val="60000"/>
                    <a:lumOff val="40000"/>
                  </a:schemeClr>
                </a:gs>
                <a:gs pos="87000">
                  <a:schemeClr val="accent4">
                    <a:lumMod val="20000"/>
                    <a:lumOff val="80000"/>
                  </a:schemeClr>
                </a:gs>
              </a:gsLst>
              <a:lin ang="5400000"/>
            </a:gradFill>
            <a:effectLst/>
          </a:endParaRPr>
        </a:p>
      </dgm:t>
    </dgm:pt>
    <dgm:pt modelId="{5FF70024-B8E6-4C9F-9221-1EE8C90ED36D}" type="parTrans" cxnId="{7871FD0E-594E-471C-A556-0A26DDD9708C}">
      <dgm:prSet/>
      <dgm:spPr>
        <a:xfrm rot="19457599">
          <a:off x="3231927" y="1025106"/>
          <a:ext cx="530633" cy="40390"/>
        </a:xfrm>
        <a:custGeom>
          <a:avLst/>
          <a:gdLst/>
          <a:ahLst/>
          <a:cxnLst/>
          <a:rect l="0" t="0" r="0" b="0"/>
          <a:pathLst>
            <a:path>
              <a:moveTo>
                <a:pt x="0" y="20195"/>
              </a:moveTo>
              <a:lnTo>
                <a:pt x="530633" y="20195"/>
              </a:lnTo>
            </a:path>
          </a:pathLst>
        </a:custGeom>
        <a:noFill/>
        <a:ln w="12700" cap="flat" cmpd="sng" algn="ctr">
          <a:solidFill>
            <a:srgbClr val="ED7D31">
              <a:shade val="80000"/>
              <a:hueOff val="0"/>
              <a:satOff val="0"/>
              <a:lumOff val="0"/>
              <a:alphaOff val="0"/>
            </a:srgbClr>
          </a:solidFill>
          <a:prstDash val="solid"/>
          <a:miter lim="800000"/>
        </a:ln>
        <a:effectLst/>
      </dgm:spPr>
      <dgm:t>
        <a:bodyPr/>
        <a:lstStyle/>
        <a:p>
          <a:pPr rtl="1">
            <a:buNone/>
          </a:pPr>
          <a:endParaRPr lang="ar-SA" b="1" cap="none" spc="0">
            <a:ln w="12700" cmpd="sng">
              <a:solidFill>
                <a:srgbClr val="FFC000"/>
              </a:solidFill>
              <a:prstDash val="solid"/>
            </a:ln>
            <a:gradFill>
              <a:gsLst>
                <a:gs pos="0">
                  <a:srgbClr val="FFC000"/>
                </a:gs>
                <a:gs pos="4000">
                  <a:srgbClr val="FFC000">
                    <a:lumMod val="60000"/>
                    <a:lumOff val="40000"/>
                  </a:srgbClr>
                </a:gs>
                <a:gs pos="87000">
                  <a:srgbClr val="FFC000">
                    <a:lumMod val="20000"/>
                    <a:lumOff val="80000"/>
                  </a:srgbClr>
                </a:gs>
              </a:gsLst>
              <a:lin ang="5400000"/>
            </a:gradFill>
            <a:effectLst/>
            <a:latin typeface="Calibri" panose="020F0502020204030204"/>
            <a:ea typeface="+mn-ea"/>
            <a:cs typeface="Arial" panose="020B0604020202020204" pitchFamily="34" charset="0"/>
          </a:endParaRPr>
        </a:p>
      </dgm:t>
    </dgm:pt>
    <dgm:pt modelId="{B4CA57D8-7E6F-4F3F-8AA7-4F62D9E1161B}">
      <dgm:prSet phldrT="[Text]"/>
      <dgm:spPr>
        <a:xfrm>
          <a:off x="3712686" y="1240545"/>
          <a:ext cx="1077206" cy="538603"/>
        </a:xfrm>
        <a:prstGeom prst="roundRect">
          <a:avLst>
            <a:gd name="adj" fmla="val 10000"/>
          </a:avLst>
        </a:prstGeom>
        <a:solidFill>
          <a:schemeClr val="accent1">
            <a:lumMod val="60000"/>
            <a:lumOff val="40000"/>
          </a:scheme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EG"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rPr>
            <a:t>المساءلة والرقابة الداخلية</a:t>
          </a:r>
          <a:endParaRPr lang="ar-SA"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endParaRPr>
        </a:p>
      </dgm:t>
    </dgm:pt>
    <dgm:pt modelId="{06A205C4-133A-4EDC-BA49-9FC94ECC2C4C}" type="sibTrans" cxnId="{FBD63A44-E291-4A84-8383-E0882FE5EACA}">
      <dgm:prSet/>
      <dgm:spPr/>
      <dgm:t>
        <a:bodyPr/>
        <a:lstStyle/>
        <a:p>
          <a:pPr rtl="1"/>
          <a:endParaRPr lang="ar-SA" b="1" cap="none" spc="0">
            <a:ln w="12700" cmpd="sng">
              <a:solidFill>
                <a:schemeClr val="accent4"/>
              </a:solidFill>
              <a:prstDash val="solid"/>
            </a:ln>
            <a:gradFill>
              <a:gsLst>
                <a:gs pos="0">
                  <a:schemeClr val="accent4"/>
                </a:gs>
                <a:gs pos="4000">
                  <a:schemeClr val="accent4">
                    <a:lumMod val="60000"/>
                    <a:lumOff val="40000"/>
                  </a:schemeClr>
                </a:gs>
                <a:gs pos="87000">
                  <a:schemeClr val="accent4">
                    <a:lumMod val="20000"/>
                    <a:lumOff val="80000"/>
                  </a:schemeClr>
                </a:gs>
              </a:gsLst>
              <a:lin ang="5400000"/>
            </a:gradFill>
            <a:effectLst/>
          </a:endParaRPr>
        </a:p>
      </dgm:t>
    </dgm:pt>
    <dgm:pt modelId="{4FDE0B49-ED6D-4688-B3DD-1D849341C3B5}" type="parTrans" cxnId="{FBD63A44-E291-4A84-8383-E0882FE5EACA}">
      <dgm:prSet/>
      <dgm:spPr>
        <a:xfrm rot="2142401">
          <a:off x="3231927" y="1334803"/>
          <a:ext cx="530633" cy="40390"/>
        </a:xfrm>
        <a:custGeom>
          <a:avLst/>
          <a:gdLst/>
          <a:ahLst/>
          <a:cxnLst/>
          <a:rect l="0" t="0" r="0" b="0"/>
          <a:pathLst>
            <a:path>
              <a:moveTo>
                <a:pt x="0" y="20195"/>
              </a:moveTo>
              <a:lnTo>
                <a:pt x="530633" y="20195"/>
              </a:lnTo>
            </a:path>
          </a:pathLst>
        </a:custGeom>
        <a:noFill/>
        <a:ln w="12700" cap="flat" cmpd="sng" algn="ctr">
          <a:solidFill>
            <a:srgbClr val="ED7D31">
              <a:shade val="80000"/>
              <a:hueOff val="0"/>
              <a:satOff val="0"/>
              <a:lumOff val="0"/>
              <a:alphaOff val="0"/>
            </a:srgbClr>
          </a:solidFill>
          <a:prstDash val="solid"/>
          <a:miter lim="800000"/>
        </a:ln>
        <a:effectLst/>
      </dgm:spPr>
      <dgm:t>
        <a:bodyPr/>
        <a:lstStyle/>
        <a:p>
          <a:pPr rtl="1">
            <a:buNone/>
          </a:pPr>
          <a:endParaRPr lang="ar-SA" b="1" cap="none" spc="0">
            <a:ln w="12700" cmpd="sng">
              <a:solidFill>
                <a:srgbClr val="FFC000"/>
              </a:solidFill>
              <a:prstDash val="solid"/>
            </a:ln>
            <a:gradFill>
              <a:gsLst>
                <a:gs pos="0">
                  <a:srgbClr val="FFC000"/>
                </a:gs>
                <a:gs pos="4000">
                  <a:srgbClr val="FFC000">
                    <a:lumMod val="60000"/>
                    <a:lumOff val="40000"/>
                  </a:srgbClr>
                </a:gs>
                <a:gs pos="87000">
                  <a:srgbClr val="FFC000">
                    <a:lumMod val="20000"/>
                    <a:lumOff val="80000"/>
                  </a:srgbClr>
                </a:gs>
              </a:gsLst>
              <a:lin ang="5400000"/>
            </a:gradFill>
            <a:effectLst/>
            <a:latin typeface="Calibri" panose="020F0502020204030204"/>
            <a:ea typeface="+mn-ea"/>
            <a:cs typeface="Arial" panose="020B0604020202020204" pitchFamily="34" charset="0"/>
          </a:endParaRPr>
        </a:p>
      </dgm:t>
    </dgm:pt>
    <dgm:pt modelId="{17163286-E933-4E2A-98A2-79EB544CA097}">
      <dgm:prSet phldrT="[Text]"/>
      <dgm:spPr>
        <a:xfrm>
          <a:off x="3712686" y="1859939"/>
          <a:ext cx="1077206" cy="538603"/>
        </a:xfrm>
        <a:prstGeom prst="roundRect">
          <a:avLst>
            <a:gd name="adj" fmla="val 10000"/>
          </a:avLst>
        </a:prstGeom>
        <a:solidFill>
          <a:schemeClr val="accent1">
            <a:lumMod val="60000"/>
            <a:lumOff val="40000"/>
          </a:scheme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EG"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rPr>
            <a:t>الشفافية في الاجراءات </a:t>
          </a:r>
          <a:endParaRPr lang="ar-SA"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endParaRPr>
        </a:p>
      </dgm:t>
    </dgm:pt>
    <dgm:pt modelId="{252DAAB4-6213-49A6-8DEF-EC1CD516F0CB}" type="sibTrans" cxnId="{2813B773-99CC-4636-8B0E-394DCB191D5C}">
      <dgm:prSet/>
      <dgm:spPr/>
      <dgm:t>
        <a:bodyPr/>
        <a:lstStyle/>
        <a:p>
          <a:pPr rtl="1"/>
          <a:endParaRPr lang="ar-SA" b="1" cap="none" spc="0">
            <a:ln w="12700" cmpd="sng">
              <a:solidFill>
                <a:schemeClr val="accent4"/>
              </a:solidFill>
              <a:prstDash val="solid"/>
            </a:ln>
            <a:gradFill>
              <a:gsLst>
                <a:gs pos="0">
                  <a:schemeClr val="accent4"/>
                </a:gs>
                <a:gs pos="4000">
                  <a:schemeClr val="accent4">
                    <a:lumMod val="60000"/>
                    <a:lumOff val="40000"/>
                  </a:schemeClr>
                </a:gs>
                <a:gs pos="87000">
                  <a:schemeClr val="accent4">
                    <a:lumMod val="20000"/>
                    <a:lumOff val="80000"/>
                  </a:schemeClr>
                </a:gs>
              </a:gsLst>
              <a:lin ang="5400000"/>
            </a:gradFill>
            <a:effectLst/>
          </a:endParaRPr>
        </a:p>
      </dgm:t>
    </dgm:pt>
    <dgm:pt modelId="{35263797-7B46-447A-9A3A-5EA37029F411}" type="parTrans" cxnId="{2813B773-99CC-4636-8B0E-394DCB191D5C}">
      <dgm:prSet/>
      <dgm:spPr>
        <a:xfrm rot="3907178">
          <a:off x="2985173" y="1644500"/>
          <a:ext cx="1024143" cy="40390"/>
        </a:xfrm>
        <a:custGeom>
          <a:avLst/>
          <a:gdLst/>
          <a:ahLst/>
          <a:cxnLst/>
          <a:rect l="0" t="0" r="0" b="0"/>
          <a:pathLst>
            <a:path>
              <a:moveTo>
                <a:pt x="0" y="20195"/>
              </a:moveTo>
              <a:lnTo>
                <a:pt x="1024143" y="20195"/>
              </a:lnTo>
            </a:path>
          </a:pathLst>
        </a:custGeom>
        <a:noFill/>
        <a:ln w="12700" cap="flat" cmpd="sng" algn="ctr">
          <a:solidFill>
            <a:srgbClr val="ED7D31">
              <a:shade val="80000"/>
              <a:hueOff val="0"/>
              <a:satOff val="0"/>
              <a:lumOff val="0"/>
              <a:alphaOff val="0"/>
            </a:srgbClr>
          </a:solidFill>
          <a:prstDash val="solid"/>
          <a:miter lim="800000"/>
        </a:ln>
        <a:effectLst/>
      </dgm:spPr>
      <dgm:t>
        <a:bodyPr/>
        <a:lstStyle/>
        <a:p>
          <a:pPr rtl="1">
            <a:buNone/>
          </a:pPr>
          <a:endParaRPr lang="ar-SA" b="1" cap="none" spc="0">
            <a:ln w="12700" cmpd="sng">
              <a:solidFill>
                <a:srgbClr val="FFC000"/>
              </a:solidFill>
              <a:prstDash val="solid"/>
            </a:ln>
            <a:gradFill>
              <a:gsLst>
                <a:gs pos="0">
                  <a:srgbClr val="FFC000"/>
                </a:gs>
                <a:gs pos="4000">
                  <a:srgbClr val="FFC000">
                    <a:lumMod val="60000"/>
                    <a:lumOff val="40000"/>
                  </a:srgbClr>
                </a:gs>
                <a:gs pos="87000">
                  <a:srgbClr val="FFC000">
                    <a:lumMod val="20000"/>
                    <a:lumOff val="80000"/>
                  </a:srgbClr>
                </a:gs>
              </a:gsLst>
              <a:lin ang="5400000"/>
            </a:gradFill>
            <a:effectLst/>
            <a:latin typeface="Calibri" panose="020F0502020204030204"/>
            <a:ea typeface="+mn-ea"/>
            <a:cs typeface="Arial" panose="020B0604020202020204" pitchFamily="34" charset="0"/>
          </a:endParaRPr>
        </a:p>
      </dgm:t>
    </dgm:pt>
    <dgm:pt modelId="{6029D9ED-7F07-438D-8E68-B02525ECC7A1}" type="pres">
      <dgm:prSet presAssocID="{5C120FA8-8A85-4780-98C5-AAF7A4875208}" presName="diagram" presStyleCnt="0">
        <dgm:presLayoutVars>
          <dgm:chPref val="1"/>
          <dgm:dir/>
          <dgm:animOne val="branch"/>
          <dgm:animLvl val="lvl"/>
          <dgm:resizeHandles val="exact"/>
        </dgm:presLayoutVars>
      </dgm:prSet>
      <dgm:spPr/>
    </dgm:pt>
    <dgm:pt modelId="{23BB9396-F776-4F4E-92C6-DD0723F2B942}" type="pres">
      <dgm:prSet presAssocID="{BD111DA7-3522-4C88-89BD-6C1B37776D11}" presName="root1" presStyleCnt="0"/>
      <dgm:spPr/>
    </dgm:pt>
    <dgm:pt modelId="{2B893D4A-6827-420C-8634-B90ED7EF2746}" type="pres">
      <dgm:prSet presAssocID="{BD111DA7-3522-4C88-89BD-6C1B37776D11}" presName="LevelOneTextNode" presStyleLbl="node0" presStyleIdx="0" presStyleCnt="1" custScaleY="151380">
        <dgm:presLayoutVars>
          <dgm:chPref val="3"/>
        </dgm:presLayoutVars>
      </dgm:prSet>
      <dgm:spPr/>
    </dgm:pt>
    <dgm:pt modelId="{58371E4B-2020-4243-ABE3-1A637E58A4C4}" type="pres">
      <dgm:prSet presAssocID="{BD111DA7-3522-4C88-89BD-6C1B37776D11}" presName="level2hierChild" presStyleCnt="0"/>
      <dgm:spPr/>
    </dgm:pt>
    <dgm:pt modelId="{7C2C1524-654F-478F-BDA0-848C38880CEB}" type="pres">
      <dgm:prSet presAssocID="{98D1E11D-9127-4353-93E2-A268B4BC8DD4}" presName="conn2-1" presStyleLbl="parChTrans1D2" presStyleIdx="0" presStyleCnt="1"/>
      <dgm:spPr/>
    </dgm:pt>
    <dgm:pt modelId="{73A8577F-0EF7-4500-A466-75DDCF405208}" type="pres">
      <dgm:prSet presAssocID="{98D1E11D-9127-4353-93E2-A268B4BC8DD4}" presName="connTx" presStyleLbl="parChTrans1D2" presStyleIdx="0" presStyleCnt="1"/>
      <dgm:spPr/>
    </dgm:pt>
    <dgm:pt modelId="{78E1D818-AC54-4A84-98FD-10CB3A8419FD}" type="pres">
      <dgm:prSet presAssocID="{BD76D88F-FCFA-4366-8B15-18377A2C7724}" presName="root2" presStyleCnt="0"/>
      <dgm:spPr/>
    </dgm:pt>
    <dgm:pt modelId="{8C85CDDC-27B1-430B-8F46-0C0021017D3A}" type="pres">
      <dgm:prSet presAssocID="{BD76D88F-FCFA-4366-8B15-18377A2C7724}" presName="LevelTwoTextNode" presStyleLbl="node2" presStyleIdx="0" presStyleCnt="1" custScaleY="142891">
        <dgm:presLayoutVars>
          <dgm:chPref val="3"/>
        </dgm:presLayoutVars>
      </dgm:prSet>
      <dgm:spPr/>
    </dgm:pt>
    <dgm:pt modelId="{B90CA9F6-A32E-4B77-BEA1-8CE4DCDBA3A1}" type="pres">
      <dgm:prSet presAssocID="{BD76D88F-FCFA-4366-8B15-18377A2C7724}" presName="level3hierChild" presStyleCnt="0"/>
      <dgm:spPr/>
    </dgm:pt>
    <dgm:pt modelId="{F6F63260-66CA-4666-ABFE-238EABBCFFAA}" type="pres">
      <dgm:prSet presAssocID="{04702E14-12F7-4419-8169-2ACC82EBD5A2}" presName="conn2-1" presStyleLbl="parChTrans1D3" presStyleIdx="0" presStyleCnt="4"/>
      <dgm:spPr/>
    </dgm:pt>
    <dgm:pt modelId="{EA649FA4-0F80-4477-8401-1E1A7F16B4AF}" type="pres">
      <dgm:prSet presAssocID="{04702E14-12F7-4419-8169-2ACC82EBD5A2}" presName="connTx" presStyleLbl="parChTrans1D3" presStyleIdx="0" presStyleCnt="4"/>
      <dgm:spPr/>
    </dgm:pt>
    <dgm:pt modelId="{F3079DA6-E70B-4EB4-933C-CC980809507E}" type="pres">
      <dgm:prSet presAssocID="{0F0BCBFE-AF6F-47EC-90D3-CC5F98FCC998}" presName="root2" presStyleCnt="0"/>
      <dgm:spPr/>
    </dgm:pt>
    <dgm:pt modelId="{85EB737B-5190-45A7-AC01-A3A280E2C80A}" type="pres">
      <dgm:prSet presAssocID="{0F0BCBFE-AF6F-47EC-90D3-CC5F98FCC998}" presName="LevelTwoTextNode" presStyleLbl="node3" presStyleIdx="0" presStyleCnt="4">
        <dgm:presLayoutVars>
          <dgm:chPref val="3"/>
        </dgm:presLayoutVars>
      </dgm:prSet>
      <dgm:spPr/>
    </dgm:pt>
    <dgm:pt modelId="{F8CAA505-95BF-4B44-87F4-3A73375C6DC3}" type="pres">
      <dgm:prSet presAssocID="{0F0BCBFE-AF6F-47EC-90D3-CC5F98FCC998}" presName="level3hierChild" presStyleCnt="0"/>
      <dgm:spPr/>
    </dgm:pt>
    <dgm:pt modelId="{C1E409A0-032D-40D3-937B-4C49842E8F4E}" type="pres">
      <dgm:prSet presAssocID="{5FF70024-B8E6-4C9F-9221-1EE8C90ED36D}" presName="conn2-1" presStyleLbl="parChTrans1D3" presStyleIdx="1" presStyleCnt="4"/>
      <dgm:spPr/>
    </dgm:pt>
    <dgm:pt modelId="{0F83D8E6-7021-43AF-97DB-6E63D0863253}" type="pres">
      <dgm:prSet presAssocID="{5FF70024-B8E6-4C9F-9221-1EE8C90ED36D}" presName="connTx" presStyleLbl="parChTrans1D3" presStyleIdx="1" presStyleCnt="4"/>
      <dgm:spPr/>
    </dgm:pt>
    <dgm:pt modelId="{6A6698BE-2E97-4FE9-BA24-4969A45097E0}" type="pres">
      <dgm:prSet presAssocID="{EDBE1F11-AD05-4036-80F3-501524690109}" presName="root2" presStyleCnt="0"/>
      <dgm:spPr/>
    </dgm:pt>
    <dgm:pt modelId="{A44A895D-F77C-4D72-BBB5-7B2E7F3EC1F9}" type="pres">
      <dgm:prSet presAssocID="{EDBE1F11-AD05-4036-80F3-501524690109}" presName="LevelTwoTextNode" presStyleLbl="node3" presStyleIdx="1" presStyleCnt="4">
        <dgm:presLayoutVars>
          <dgm:chPref val="3"/>
        </dgm:presLayoutVars>
      </dgm:prSet>
      <dgm:spPr/>
    </dgm:pt>
    <dgm:pt modelId="{AAEAD748-4F8A-4594-96B3-2F7440FE2CE3}" type="pres">
      <dgm:prSet presAssocID="{EDBE1F11-AD05-4036-80F3-501524690109}" presName="level3hierChild" presStyleCnt="0"/>
      <dgm:spPr/>
    </dgm:pt>
    <dgm:pt modelId="{9B08B242-9485-408D-AF95-1D030CD9DD6F}" type="pres">
      <dgm:prSet presAssocID="{4FDE0B49-ED6D-4688-B3DD-1D849341C3B5}" presName="conn2-1" presStyleLbl="parChTrans1D3" presStyleIdx="2" presStyleCnt="4"/>
      <dgm:spPr/>
    </dgm:pt>
    <dgm:pt modelId="{3F24CFEF-7E7F-4B0B-8EBD-512CB15D46B4}" type="pres">
      <dgm:prSet presAssocID="{4FDE0B49-ED6D-4688-B3DD-1D849341C3B5}" presName="connTx" presStyleLbl="parChTrans1D3" presStyleIdx="2" presStyleCnt="4"/>
      <dgm:spPr/>
    </dgm:pt>
    <dgm:pt modelId="{9DFC3130-A1C9-4D33-99FC-09710BFDF2BB}" type="pres">
      <dgm:prSet presAssocID="{B4CA57D8-7E6F-4F3F-8AA7-4F62D9E1161B}" presName="root2" presStyleCnt="0"/>
      <dgm:spPr/>
    </dgm:pt>
    <dgm:pt modelId="{73FB4DFF-1719-4C4F-9236-277B893316B0}" type="pres">
      <dgm:prSet presAssocID="{B4CA57D8-7E6F-4F3F-8AA7-4F62D9E1161B}" presName="LevelTwoTextNode" presStyleLbl="node3" presStyleIdx="2" presStyleCnt="4">
        <dgm:presLayoutVars>
          <dgm:chPref val="3"/>
        </dgm:presLayoutVars>
      </dgm:prSet>
      <dgm:spPr/>
    </dgm:pt>
    <dgm:pt modelId="{19B59F43-58CC-4C6E-86DC-DC43458919F2}" type="pres">
      <dgm:prSet presAssocID="{B4CA57D8-7E6F-4F3F-8AA7-4F62D9E1161B}" presName="level3hierChild" presStyleCnt="0"/>
      <dgm:spPr/>
    </dgm:pt>
    <dgm:pt modelId="{24CBEC5B-295C-4337-B794-328C790B9647}" type="pres">
      <dgm:prSet presAssocID="{35263797-7B46-447A-9A3A-5EA37029F411}" presName="conn2-1" presStyleLbl="parChTrans1D3" presStyleIdx="3" presStyleCnt="4"/>
      <dgm:spPr/>
    </dgm:pt>
    <dgm:pt modelId="{60BA4C97-BEB1-453F-A711-17161557B576}" type="pres">
      <dgm:prSet presAssocID="{35263797-7B46-447A-9A3A-5EA37029F411}" presName="connTx" presStyleLbl="parChTrans1D3" presStyleIdx="3" presStyleCnt="4"/>
      <dgm:spPr/>
    </dgm:pt>
    <dgm:pt modelId="{07E6F81D-1995-43FB-A1A0-2194F8E8C0B6}" type="pres">
      <dgm:prSet presAssocID="{17163286-E933-4E2A-98A2-79EB544CA097}" presName="root2" presStyleCnt="0"/>
      <dgm:spPr/>
    </dgm:pt>
    <dgm:pt modelId="{F10C8B1D-9FFA-46C6-9564-34F559D9DE48}" type="pres">
      <dgm:prSet presAssocID="{17163286-E933-4E2A-98A2-79EB544CA097}" presName="LevelTwoTextNode" presStyleLbl="node3" presStyleIdx="3" presStyleCnt="4">
        <dgm:presLayoutVars>
          <dgm:chPref val="3"/>
        </dgm:presLayoutVars>
      </dgm:prSet>
      <dgm:spPr/>
    </dgm:pt>
    <dgm:pt modelId="{CFF66FFF-E68E-4C76-B2B7-076AA8289599}" type="pres">
      <dgm:prSet presAssocID="{17163286-E933-4E2A-98A2-79EB544CA097}" presName="level3hierChild" presStyleCnt="0"/>
      <dgm:spPr/>
    </dgm:pt>
  </dgm:ptLst>
  <dgm:cxnLst>
    <dgm:cxn modelId="{9A118500-A6CF-4B56-B5D7-32CE05D1BEC7}" type="presOf" srcId="{BD76D88F-FCFA-4366-8B15-18377A2C7724}" destId="{8C85CDDC-27B1-430B-8F46-0C0021017D3A}" srcOrd="0" destOrd="0" presId="urn:microsoft.com/office/officeart/2005/8/layout/hierarchy2"/>
    <dgm:cxn modelId="{7871FD0E-594E-471C-A556-0A26DDD9708C}" srcId="{BD76D88F-FCFA-4366-8B15-18377A2C7724}" destId="{EDBE1F11-AD05-4036-80F3-501524690109}" srcOrd="1" destOrd="0" parTransId="{5FF70024-B8E6-4C9F-9221-1EE8C90ED36D}" sibTransId="{F533DC07-869B-44DC-954E-CC91F640ED9F}"/>
    <dgm:cxn modelId="{956C1520-1BD8-4008-BA21-ACB39A12194E}" type="presOf" srcId="{04702E14-12F7-4419-8169-2ACC82EBD5A2}" destId="{F6F63260-66CA-4666-ABFE-238EABBCFFAA}" srcOrd="0" destOrd="0" presId="urn:microsoft.com/office/officeart/2005/8/layout/hierarchy2"/>
    <dgm:cxn modelId="{CAEA9129-4C87-410F-B5CB-28B7FD888986}" type="presOf" srcId="{35263797-7B46-447A-9A3A-5EA37029F411}" destId="{24CBEC5B-295C-4337-B794-328C790B9647}" srcOrd="0" destOrd="0" presId="urn:microsoft.com/office/officeart/2005/8/layout/hierarchy2"/>
    <dgm:cxn modelId="{FBD63A44-E291-4A84-8383-E0882FE5EACA}" srcId="{BD76D88F-FCFA-4366-8B15-18377A2C7724}" destId="{B4CA57D8-7E6F-4F3F-8AA7-4F62D9E1161B}" srcOrd="2" destOrd="0" parTransId="{4FDE0B49-ED6D-4688-B3DD-1D849341C3B5}" sibTransId="{06A205C4-133A-4EDC-BA49-9FC94ECC2C4C}"/>
    <dgm:cxn modelId="{7CE35645-F0BE-47A0-B5C3-12004C2EAC20}" type="presOf" srcId="{98D1E11D-9127-4353-93E2-A268B4BC8DD4}" destId="{73A8577F-0EF7-4500-A466-75DDCF405208}" srcOrd="1" destOrd="0" presId="urn:microsoft.com/office/officeart/2005/8/layout/hierarchy2"/>
    <dgm:cxn modelId="{2813B773-99CC-4636-8B0E-394DCB191D5C}" srcId="{BD76D88F-FCFA-4366-8B15-18377A2C7724}" destId="{17163286-E933-4E2A-98A2-79EB544CA097}" srcOrd="3" destOrd="0" parTransId="{35263797-7B46-447A-9A3A-5EA37029F411}" sibTransId="{252DAAB4-6213-49A6-8DEF-EC1CD516F0CB}"/>
    <dgm:cxn modelId="{E7AEFE7F-8BB2-4261-B0E1-5577BCAA06A9}" type="presOf" srcId="{5FF70024-B8E6-4C9F-9221-1EE8C90ED36D}" destId="{0F83D8E6-7021-43AF-97DB-6E63D0863253}" srcOrd="1" destOrd="0" presId="urn:microsoft.com/office/officeart/2005/8/layout/hierarchy2"/>
    <dgm:cxn modelId="{49396B8B-8D68-4FD0-AF5D-E651CD5054C4}" type="presOf" srcId="{4FDE0B49-ED6D-4688-B3DD-1D849341C3B5}" destId="{3F24CFEF-7E7F-4B0B-8EBD-512CB15D46B4}" srcOrd="1" destOrd="0" presId="urn:microsoft.com/office/officeart/2005/8/layout/hierarchy2"/>
    <dgm:cxn modelId="{4ABEC98D-4281-4DC9-BE2F-221737500799}" srcId="{BD111DA7-3522-4C88-89BD-6C1B37776D11}" destId="{BD76D88F-FCFA-4366-8B15-18377A2C7724}" srcOrd="0" destOrd="0" parTransId="{98D1E11D-9127-4353-93E2-A268B4BC8DD4}" sibTransId="{68DC2716-037B-4901-A6B1-D70D3FC8653E}"/>
    <dgm:cxn modelId="{5CFE4698-EC64-429E-91C1-44ECEA7343E2}" type="presOf" srcId="{EDBE1F11-AD05-4036-80F3-501524690109}" destId="{A44A895D-F77C-4D72-BBB5-7B2E7F3EC1F9}" srcOrd="0" destOrd="0" presId="urn:microsoft.com/office/officeart/2005/8/layout/hierarchy2"/>
    <dgm:cxn modelId="{589C3B9E-428C-486D-A164-A2B85B5F9708}" srcId="{BD76D88F-FCFA-4366-8B15-18377A2C7724}" destId="{0F0BCBFE-AF6F-47EC-90D3-CC5F98FCC998}" srcOrd="0" destOrd="0" parTransId="{04702E14-12F7-4419-8169-2ACC82EBD5A2}" sibTransId="{91B7C49B-4F68-4C73-9AFF-499DA33D82F2}"/>
    <dgm:cxn modelId="{4287D19F-4498-400D-8CC0-7856F865C37A}" type="presOf" srcId="{17163286-E933-4E2A-98A2-79EB544CA097}" destId="{F10C8B1D-9FFA-46C6-9564-34F559D9DE48}" srcOrd="0" destOrd="0" presId="urn:microsoft.com/office/officeart/2005/8/layout/hierarchy2"/>
    <dgm:cxn modelId="{62A4E7A2-F23C-48F4-9BFC-997407411D4E}" type="presOf" srcId="{4FDE0B49-ED6D-4688-B3DD-1D849341C3B5}" destId="{9B08B242-9485-408D-AF95-1D030CD9DD6F}" srcOrd="0" destOrd="0" presId="urn:microsoft.com/office/officeart/2005/8/layout/hierarchy2"/>
    <dgm:cxn modelId="{EBF3D0A4-F43F-4763-BCF3-EE9E5777836C}" type="presOf" srcId="{98D1E11D-9127-4353-93E2-A268B4BC8DD4}" destId="{7C2C1524-654F-478F-BDA0-848C38880CEB}" srcOrd="0" destOrd="0" presId="urn:microsoft.com/office/officeart/2005/8/layout/hierarchy2"/>
    <dgm:cxn modelId="{AB6FECA7-1D59-43CB-8642-49D2DD7D4ACF}" type="presOf" srcId="{0F0BCBFE-AF6F-47EC-90D3-CC5F98FCC998}" destId="{85EB737B-5190-45A7-AC01-A3A280E2C80A}" srcOrd="0" destOrd="0" presId="urn:microsoft.com/office/officeart/2005/8/layout/hierarchy2"/>
    <dgm:cxn modelId="{264A2ECF-6FDD-4A57-A552-14DAC56588C1}" type="presOf" srcId="{BD111DA7-3522-4C88-89BD-6C1B37776D11}" destId="{2B893D4A-6827-420C-8634-B90ED7EF2746}" srcOrd="0" destOrd="0" presId="urn:microsoft.com/office/officeart/2005/8/layout/hierarchy2"/>
    <dgm:cxn modelId="{73323ECF-942E-4C1D-AC01-2BE40215AA6B}" srcId="{5C120FA8-8A85-4780-98C5-AAF7A4875208}" destId="{BD111DA7-3522-4C88-89BD-6C1B37776D11}" srcOrd="0" destOrd="0" parTransId="{6159E60B-364E-4359-A379-C730DB074E1D}" sibTransId="{10BDF5B3-EA3F-4ADA-9FCA-07B61B304680}"/>
    <dgm:cxn modelId="{3A1A43D0-CE50-475F-A474-7A0083D0FCD9}" type="presOf" srcId="{35263797-7B46-447A-9A3A-5EA37029F411}" destId="{60BA4C97-BEB1-453F-A711-17161557B576}" srcOrd="1" destOrd="0" presId="urn:microsoft.com/office/officeart/2005/8/layout/hierarchy2"/>
    <dgm:cxn modelId="{6B7D41D4-379F-4F65-892E-23C2F866B5B1}" type="presOf" srcId="{5C120FA8-8A85-4780-98C5-AAF7A4875208}" destId="{6029D9ED-7F07-438D-8E68-B02525ECC7A1}" srcOrd="0" destOrd="0" presId="urn:microsoft.com/office/officeart/2005/8/layout/hierarchy2"/>
    <dgm:cxn modelId="{488341E0-9E47-4430-AD92-4E9FB78E0A9A}" type="presOf" srcId="{04702E14-12F7-4419-8169-2ACC82EBD5A2}" destId="{EA649FA4-0F80-4477-8401-1E1A7F16B4AF}" srcOrd="1" destOrd="0" presId="urn:microsoft.com/office/officeart/2005/8/layout/hierarchy2"/>
    <dgm:cxn modelId="{9B9B80EC-74DC-45A6-9A71-96544DFAEEA8}" type="presOf" srcId="{5FF70024-B8E6-4C9F-9221-1EE8C90ED36D}" destId="{C1E409A0-032D-40D3-937B-4C49842E8F4E}" srcOrd="0" destOrd="0" presId="urn:microsoft.com/office/officeart/2005/8/layout/hierarchy2"/>
    <dgm:cxn modelId="{B9635FEF-71B1-4991-BF2D-717810991758}" type="presOf" srcId="{B4CA57D8-7E6F-4F3F-8AA7-4F62D9E1161B}" destId="{73FB4DFF-1719-4C4F-9236-277B893316B0}" srcOrd="0" destOrd="0" presId="urn:microsoft.com/office/officeart/2005/8/layout/hierarchy2"/>
    <dgm:cxn modelId="{51CC207C-EA56-4832-9665-20CEFAFB779B}" type="presParOf" srcId="{6029D9ED-7F07-438D-8E68-B02525ECC7A1}" destId="{23BB9396-F776-4F4E-92C6-DD0723F2B942}" srcOrd="0" destOrd="0" presId="urn:microsoft.com/office/officeart/2005/8/layout/hierarchy2"/>
    <dgm:cxn modelId="{5905A085-832B-4C7E-BDBD-7CE6659C30D1}" type="presParOf" srcId="{23BB9396-F776-4F4E-92C6-DD0723F2B942}" destId="{2B893D4A-6827-420C-8634-B90ED7EF2746}" srcOrd="0" destOrd="0" presId="urn:microsoft.com/office/officeart/2005/8/layout/hierarchy2"/>
    <dgm:cxn modelId="{36A77FD4-74B6-47E6-B796-4AF710DFC098}" type="presParOf" srcId="{23BB9396-F776-4F4E-92C6-DD0723F2B942}" destId="{58371E4B-2020-4243-ABE3-1A637E58A4C4}" srcOrd="1" destOrd="0" presId="urn:microsoft.com/office/officeart/2005/8/layout/hierarchy2"/>
    <dgm:cxn modelId="{261C5565-4E38-44EB-ACC6-B2DC747ED807}" type="presParOf" srcId="{58371E4B-2020-4243-ABE3-1A637E58A4C4}" destId="{7C2C1524-654F-478F-BDA0-848C38880CEB}" srcOrd="0" destOrd="0" presId="urn:microsoft.com/office/officeart/2005/8/layout/hierarchy2"/>
    <dgm:cxn modelId="{C23C1538-9689-409A-A150-7EC5D7DA2F3C}" type="presParOf" srcId="{7C2C1524-654F-478F-BDA0-848C38880CEB}" destId="{73A8577F-0EF7-4500-A466-75DDCF405208}" srcOrd="0" destOrd="0" presId="urn:microsoft.com/office/officeart/2005/8/layout/hierarchy2"/>
    <dgm:cxn modelId="{6DF4C09F-7E62-4818-88C8-218BC7BBE5F7}" type="presParOf" srcId="{58371E4B-2020-4243-ABE3-1A637E58A4C4}" destId="{78E1D818-AC54-4A84-98FD-10CB3A8419FD}" srcOrd="1" destOrd="0" presId="urn:microsoft.com/office/officeart/2005/8/layout/hierarchy2"/>
    <dgm:cxn modelId="{5644DEE3-95C8-4AF0-AD05-1177F9BFCC52}" type="presParOf" srcId="{78E1D818-AC54-4A84-98FD-10CB3A8419FD}" destId="{8C85CDDC-27B1-430B-8F46-0C0021017D3A}" srcOrd="0" destOrd="0" presId="urn:microsoft.com/office/officeart/2005/8/layout/hierarchy2"/>
    <dgm:cxn modelId="{C602F584-AF67-414D-A494-63D9154A073E}" type="presParOf" srcId="{78E1D818-AC54-4A84-98FD-10CB3A8419FD}" destId="{B90CA9F6-A32E-4B77-BEA1-8CE4DCDBA3A1}" srcOrd="1" destOrd="0" presId="urn:microsoft.com/office/officeart/2005/8/layout/hierarchy2"/>
    <dgm:cxn modelId="{D8E2C461-92E9-4538-829A-C2DDF002D9B2}" type="presParOf" srcId="{B90CA9F6-A32E-4B77-BEA1-8CE4DCDBA3A1}" destId="{F6F63260-66CA-4666-ABFE-238EABBCFFAA}" srcOrd="0" destOrd="0" presId="urn:microsoft.com/office/officeart/2005/8/layout/hierarchy2"/>
    <dgm:cxn modelId="{67552925-A9DE-4EA8-A409-CF7E8EA888B1}" type="presParOf" srcId="{F6F63260-66CA-4666-ABFE-238EABBCFFAA}" destId="{EA649FA4-0F80-4477-8401-1E1A7F16B4AF}" srcOrd="0" destOrd="0" presId="urn:microsoft.com/office/officeart/2005/8/layout/hierarchy2"/>
    <dgm:cxn modelId="{4B309F03-1B14-4962-916D-A7ECB72EDA4D}" type="presParOf" srcId="{B90CA9F6-A32E-4B77-BEA1-8CE4DCDBA3A1}" destId="{F3079DA6-E70B-4EB4-933C-CC980809507E}" srcOrd="1" destOrd="0" presId="urn:microsoft.com/office/officeart/2005/8/layout/hierarchy2"/>
    <dgm:cxn modelId="{B2D3F011-E103-4CF6-B83D-462719C8F0E9}" type="presParOf" srcId="{F3079DA6-E70B-4EB4-933C-CC980809507E}" destId="{85EB737B-5190-45A7-AC01-A3A280E2C80A}" srcOrd="0" destOrd="0" presId="urn:microsoft.com/office/officeart/2005/8/layout/hierarchy2"/>
    <dgm:cxn modelId="{F5F97AB6-B3A2-4FDE-A1F5-819FA876E3A6}" type="presParOf" srcId="{F3079DA6-E70B-4EB4-933C-CC980809507E}" destId="{F8CAA505-95BF-4B44-87F4-3A73375C6DC3}" srcOrd="1" destOrd="0" presId="urn:microsoft.com/office/officeart/2005/8/layout/hierarchy2"/>
    <dgm:cxn modelId="{2DE8018B-D419-4775-A222-792D8668288A}" type="presParOf" srcId="{B90CA9F6-A32E-4B77-BEA1-8CE4DCDBA3A1}" destId="{C1E409A0-032D-40D3-937B-4C49842E8F4E}" srcOrd="2" destOrd="0" presId="urn:microsoft.com/office/officeart/2005/8/layout/hierarchy2"/>
    <dgm:cxn modelId="{2852B5FC-B42C-4F14-8A2C-E5B5602417A3}" type="presParOf" srcId="{C1E409A0-032D-40D3-937B-4C49842E8F4E}" destId="{0F83D8E6-7021-43AF-97DB-6E63D0863253}" srcOrd="0" destOrd="0" presId="urn:microsoft.com/office/officeart/2005/8/layout/hierarchy2"/>
    <dgm:cxn modelId="{07BC5477-614C-4CA7-A25A-DC14EDDA1FD3}" type="presParOf" srcId="{B90CA9F6-A32E-4B77-BEA1-8CE4DCDBA3A1}" destId="{6A6698BE-2E97-4FE9-BA24-4969A45097E0}" srcOrd="3" destOrd="0" presId="urn:microsoft.com/office/officeart/2005/8/layout/hierarchy2"/>
    <dgm:cxn modelId="{57D27E18-09E7-4BB0-87C0-62D2119ADEBF}" type="presParOf" srcId="{6A6698BE-2E97-4FE9-BA24-4969A45097E0}" destId="{A44A895D-F77C-4D72-BBB5-7B2E7F3EC1F9}" srcOrd="0" destOrd="0" presId="urn:microsoft.com/office/officeart/2005/8/layout/hierarchy2"/>
    <dgm:cxn modelId="{784E68B8-C497-406C-9B80-47D68503562F}" type="presParOf" srcId="{6A6698BE-2E97-4FE9-BA24-4969A45097E0}" destId="{AAEAD748-4F8A-4594-96B3-2F7440FE2CE3}" srcOrd="1" destOrd="0" presId="urn:microsoft.com/office/officeart/2005/8/layout/hierarchy2"/>
    <dgm:cxn modelId="{1004F9AE-41D2-4469-BD81-C1CD0D119462}" type="presParOf" srcId="{B90CA9F6-A32E-4B77-BEA1-8CE4DCDBA3A1}" destId="{9B08B242-9485-408D-AF95-1D030CD9DD6F}" srcOrd="4" destOrd="0" presId="urn:microsoft.com/office/officeart/2005/8/layout/hierarchy2"/>
    <dgm:cxn modelId="{B1D23360-558E-4C02-A3D5-23735799A161}" type="presParOf" srcId="{9B08B242-9485-408D-AF95-1D030CD9DD6F}" destId="{3F24CFEF-7E7F-4B0B-8EBD-512CB15D46B4}" srcOrd="0" destOrd="0" presId="urn:microsoft.com/office/officeart/2005/8/layout/hierarchy2"/>
    <dgm:cxn modelId="{8FEECC8E-169C-4881-9D8B-4C37BBE7FA39}" type="presParOf" srcId="{B90CA9F6-A32E-4B77-BEA1-8CE4DCDBA3A1}" destId="{9DFC3130-A1C9-4D33-99FC-09710BFDF2BB}" srcOrd="5" destOrd="0" presId="urn:microsoft.com/office/officeart/2005/8/layout/hierarchy2"/>
    <dgm:cxn modelId="{8AB73F0A-B951-4036-B08D-514775A5AED0}" type="presParOf" srcId="{9DFC3130-A1C9-4D33-99FC-09710BFDF2BB}" destId="{73FB4DFF-1719-4C4F-9236-277B893316B0}" srcOrd="0" destOrd="0" presId="urn:microsoft.com/office/officeart/2005/8/layout/hierarchy2"/>
    <dgm:cxn modelId="{A23C39FF-4D09-42E7-A912-811B69FAEE55}" type="presParOf" srcId="{9DFC3130-A1C9-4D33-99FC-09710BFDF2BB}" destId="{19B59F43-58CC-4C6E-86DC-DC43458919F2}" srcOrd="1" destOrd="0" presId="urn:microsoft.com/office/officeart/2005/8/layout/hierarchy2"/>
    <dgm:cxn modelId="{B94ABBB8-2EE9-4C10-A021-3FD0402C6D37}" type="presParOf" srcId="{B90CA9F6-A32E-4B77-BEA1-8CE4DCDBA3A1}" destId="{24CBEC5B-295C-4337-B794-328C790B9647}" srcOrd="6" destOrd="0" presId="urn:microsoft.com/office/officeart/2005/8/layout/hierarchy2"/>
    <dgm:cxn modelId="{C1AEF4B7-459B-48B8-844A-DEABB77D6025}" type="presParOf" srcId="{24CBEC5B-295C-4337-B794-328C790B9647}" destId="{60BA4C97-BEB1-453F-A711-17161557B576}" srcOrd="0" destOrd="0" presId="urn:microsoft.com/office/officeart/2005/8/layout/hierarchy2"/>
    <dgm:cxn modelId="{5D3CA782-43EF-415C-8599-5869E81F30D3}" type="presParOf" srcId="{B90CA9F6-A32E-4B77-BEA1-8CE4DCDBA3A1}" destId="{07E6F81D-1995-43FB-A1A0-2194F8E8C0B6}" srcOrd="7" destOrd="0" presId="urn:microsoft.com/office/officeart/2005/8/layout/hierarchy2"/>
    <dgm:cxn modelId="{80DFE0A0-A7DE-426A-BB19-2C991AA9A43D}" type="presParOf" srcId="{07E6F81D-1995-43FB-A1A0-2194F8E8C0B6}" destId="{F10C8B1D-9FFA-46C6-9564-34F559D9DE48}" srcOrd="0" destOrd="0" presId="urn:microsoft.com/office/officeart/2005/8/layout/hierarchy2"/>
    <dgm:cxn modelId="{F5C2975F-01E8-4A6A-B071-4A64EF0AA217}" type="presParOf" srcId="{07E6F81D-1995-43FB-A1A0-2194F8E8C0B6}" destId="{CFF66FFF-E68E-4C76-B2B7-076AA8289599}" srcOrd="1" destOrd="0" presId="urn:microsoft.com/office/officeart/2005/8/layout/hierarchy2"/>
  </dgm:cxnLst>
  <dgm:bg/>
  <dgm:whole>
    <a:ln>
      <a:solidFill>
        <a:schemeClr val="accent1">
          <a:lumMod val="20000"/>
          <a:lumOff val="80000"/>
        </a:schemeClr>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893D4A-6827-420C-8634-B90ED7EF2746}">
      <dsp:nvSpPr>
        <dsp:cNvPr id="0" name=""/>
        <dsp:cNvSpPr/>
      </dsp:nvSpPr>
      <dsp:spPr>
        <a:xfrm>
          <a:off x="696507" y="792481"/>
          <a:ext cx="1077206" cy="815337"/>
        </a:xfrm>
        <a:prstGeom prst="roundRect">
          <a:avLst>
            <a:gd name="adj" fmla="val 10000"/>
          </a:avLst>
        </a:prstGeom>
        <a:solidFill>
          <a:schemeClr val="accent1">
            <a:lumMod val="60000"/>
            <a:lumOff val="4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b="0" kern="1200" cap="none" spc="0">
              <a:ln w="0"/>
              <a:solidFill>
                <a:sysClr val="windowText" lastClr="000000"/>
              </a:solidFill>
              <a:effectLst>
                <a:outerShdw blurRad="38100" dist="19050" dir="2700000" algn="tl" rotWithShape="0">
                  <a:sysClr val="windowText" lastClr="000000">
                    <a:alpha val="40000"/>
                  </a:sysClr>
                </a:outerShdw>
              </a:effectLst>
              <a:latin typeface="Simplified Arabic" panose="02020603050405020304" pitchFamily="18" charset="-78"/>
              <a:ea typeface="+mn-ea"/>
              <a:cs typeface="Simplified Arabic" panose="02020603050405020304" pitchFamily="18" charset="-78"/>
            </a:rPr>
            <a:t>المتغير التابع: الحد من التلاعب بالقرارات الإدارية</a:t>
          </a:r>
          <a:endParaRPr lang="ar-SA" sz="1400" b="0" kern="1200" cap="none" spc="0">
            <a:ln w="0"/>
            <a:solidFill>
              <a:sysClr val="windowText" lastClr="000000"/>
            </a:solidFill>
            <a:effectLst>
              <a:outerShdw blurRad="38100" dist="19050" dir="2700000" algn="tl" rotWithShape="0">
                <a:sysClr val="windowText" lastClr="000000">
                  <a:alpha val="40000"/>
                </a:sysClr>
              </a:outerShdw>
            </a:effectLst>
            <a:latin typeface="Simplified Arabic" panose="02020603050405020304" pitchFamily="18" charset="-78"/>
            <a:ea typeface="+mn-ea"/>
            <a:cs typeface="Simplified Arabic" panose="02020603050405020304" pitchFamily="18" charset="-78"/>
          </a:endParaRPr>
        </a:p>
      </dsp:txBody>
      <dsp:txXfrm>
        <a:off x="720387" y="816361"/>
        <a:ext cx="1029446" cy="767577"/>
      </dsp:txXfrm>
    </dsp:sp>
    <dsp:sp modelId="{7C2C1524-654F-478F-BDA0-848C38880CEB}">
      <dsp:nvSpPr>
        <dsp:cNvPr id="0" name=""/>
        <dsp:cNvSpPr/>
      </dsp:nvSpPr>
      <dsp:spPr>
        <a:xfrm>
          <a:off x="1773713" y="1179954"/>
          <a:ext cx="430882" cy="40390"/>
        </a:xfrm>
        <a:custGeom>
          <a:avLst/>
          <a:gdLst/>
          <a:ahLst/>
          <a:cxnLst/>
          <a:rect l="0" t="0" r="0" b="0"/>
          <a:pathLst>
            <a:path>
              <a:moveTo>
                <a:pt x="0" y="20195"/>
              </a:moveTo>
              <a:lnTo>
                <a:pt x="430882" y="20195"/>
              </a:lnTo>
            </a:path>
          </a:pathLst>
        </a:custGeom>
        <a:noFill/>
        <a:ln w="12700" cap="flat" cmpd="sng" algn="ctr">
          <a:solidFill>
            <a:srgbClr val="ED7D31">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b="1" kern="1200" cap="none" spc="0">
            <a:ln w="12700" cmpd="sng">
              <a:solidFill>
                <a:srgbClr val="FFC000"/>
              </a:solidFill>
              <a:prstDash val="solid"/>
            </a:ln>
            <a:gradFill>
              <a:gsLst>
                <a:gs pos="0">
                  <a:srgbClr val="FFC000"/>
                </a:gs>
                <a:gs pos="4000">
                  <a:srgbClr val="FFC000">
                    <a:lumMod val="60000"/>
                    <a:lumOff val="40000"/>
                  </a:srgbClr>
                </a:gs>
                <a:gs pos="87000">
                  <a:srgbClr val="FFC000">
                    <a:lumMod val="20000"/>
                    <a:lumOff val="80000"/>
                  </a:srgbClr>
                </a:gs>
              </a:gsLst>
              <a:lin ang="5400000"/>
            </a:gradFill>
            <a:effectLst/>
            <a:latin typeface="Calibri" panose="020F0502020204030204"/>
            <a:ea typeface="+mn-ea"/>
            <a:cs typeface="Arial" panose="020B0604020202020204" pitchFamily="34" charset="0"/>
          </a:endParaRPr>
        </a:p>
      </dsp:txBody>
      <dsp:txXfrm>
        <a:off x="1978383" y="1189377"/>
        <a:ext cx="0" cy="0"/>
      </dsp:txXfrm>
    </dsp:sp>
    <dsp:sp modelId="{8C85CDDC-27B1-430B-8F46-0C0021017D3A}">
      <dsp:nvSpPr>
        <dsp:cNvPr id="0" name=""/>
        <dsp:cNvSpPr/>
      </dsp:nvSpPr>
      <dsp:spPr>
        <a:xfrm>
          <a:off x="2204596" y="815342"/>
          <a:ext cx="1077206" cy="769615"/>
        </a:xfrm>
        <a:prstGeom prst="roundRect">
          <a:avLst>
            <a:gd name="adj" fmla="val 10000"/>
          </a:avLst>
        </a:prstGeom>
        <a:solidFill>
          <a:schemeClr val="accent1">
            <a:lumMod val="60000"/>
            <a:lumOff val="40000"/>
          </a:schemeClr>
        </a:solid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EG" sz="12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rPr>
            <a:t>المتغير المستقل: </a:t>
          </a:r>
          <a:r>
            <a:rPr lang="ar-SA" sz="12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rPr>
            <a:t>حوكمة الموارد البشرية،</a:t>
          </a:r>
        </a:p>
      </dsp:txBody>
      <dsp:txXfrm>
        <a:off x="2227137" y="837883"/>
        <a:ext cx="1032124" cy="724533"/>
      </dsp:txXfrm>
    </dsp:sp>
    <dsp:sp modelId="{F6F63260-66CA-4666-ABFE-238EABBCFFAA}">
      <dsp:nvSpPr>
        <dsp:cNvPr id="0" name=""/>
        <dsp:cNvSpPr/>
      </dsp:nvSpPr>
      <dsp:spPr>
        <a:xfrm rot="17692822">
          <a:off x="2985173" y="715409"/>
          <a:ext cx="1024143" cy="40390"/>
        </a:xfrm>
        <a:custGeom>
          <a:avLst/>
          <a:gdLst/>
          <a:ahLst/>
          <a:cxnLst/>
          <a:rect l="0" t="0" r="0" b="0"/>
          <a:pathLst>
            <a:path>
              <a:moveTo>
                <a:pt x="0" y="20195"/>
              </a:moveTo>
              <a:lnTo>
                <a:pt x="1024143" y="20195"/>
              </a:lnTo>
            </a:path>
          </a:pathLst>
        </a:custGeom>
        <a:noFill/>
        <a:ln w="12700" cap="flat" cmpd="sng" algn="ctr">
          <a:solidFill>
            <a:srgbClr val="ED7D31">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b="1" kern="1200" cap="none" spc="0">
            <a:ln w="12700" cmpd="sng">
              <a:solidFill>
                <a:srgbClr val="FFC000"/>
              </a:solidFill>
              <a:prstDash val="solid"/>
            </a:ln>
            <a:gradFill>
              <a:gsLst>
                <a:gs pos="0">
                  <a:srgbClr val="FFC000"/>
                </a:gs>
                <a:gs pos="4000">
                  <a:srgbClr val="FFC000">
                    <a:lumMod val="60000"/>
                    <a:lumOff val="40000"/>
                  </a:srgbClr>
                </a:gs>
                <a:gs pos="87000">
                  <a:srgbClr val="FFC000">
                    <a:lumMod val="20000"/>
                    <a:lumOff val="80000"/>
                  </a:srgbClr>
                </a:gs>
              </a:gsLst>
              <a:lin ang="5400000"/>
            </a:gradFill>
            <a:effectLst/>
            <a:latin typeface="Calibri" panose="020F0502020204030204"/>
            <a:ea typeface="+mn-ea"/>
            <a:cs typeface="Arial" panose="020B0604020202020204" pitchFamily="34" charset="0"/>
          </a:endParaRPr>
        </a:p>
      </dsp:txBody>
      <dsp:txXfrm>
        <a:off x="3463245" y="748059"/>
        <a:ext cx="0" cy="0"/>
      </dsp:txXfrm>
    </dsp:sp>
    <dsp:sp modelId="{85EB737B-5190-45A7-AC01-A3A280E2C80A}">
      <dsp:nvSpPr>
        <dsp:cNvPr id="0" name=""/>
        <dsp:cNvSpPr/>
      </dsp:nvSpPr>
      <dsp:spPr>
        <a:xfrm>
          <a:off x="3712686" y="1757"/>
          <a:ext cx="1077206" cy="538603"/>
        </a:xfrm>
        <a:prstGeom prst="roundRect">
          <a:avLst>
            <a:gd name="adj" fmla="val 10000"/>
          </a:avLst>
        </a:prstGeom>
        <a:solidFill>
          <a:schemeClr val="accent1">
            <a:lumMod val="60000"/>
            <a:lumOff val="4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rPr>
            <a:t>وضوح السياسات والاجراءات</a:t>
          </a:r>
          <a:endParaRPr lang="ar-SA" sz="14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endParaRPr>
        </a:p>
      </dsp:txBody>
      <dsp:txXfrm>
        <a:off x="3728461" y="17532"/>
        <a:ext cx="1045656" cy="507053"/>
      </dsp:txXfrm>
    </dsp:sp>
    <dsp:sp modelId="{C1E409A0-032D-40D3-937B-4C49842E8F4E}">
      <dsp:nvSpPr>
        <dsp:cNvPr id="0" name=""/>
        <dsp:cNvSpPr/>
      </dsp:nvSpPr>
      <dsp:spPr>
        <a:xfrm rot="19457599">
          <a:off x="3231927" y="1025106"/>
          <a:ext cx="530633" cy="40390"/>
        </a:xfrm>
        <a:custGeom>
          <a:avLst/>
          <a:gdLst/>
          <a:ahLst/>
          <a:cxnLst/>
          <a:rect l="0" t="0" r="0" b="0"/>
          <a:pathLst>
            <a:path>
              <a:moveTo>
                <a:pt x="0" y="20195"/>
              </a:moveTo>
              <a:lnTo>
                <a:pt x="530633" y="20195"/>
              </a:lnTo>
            </a:path>
          </a:pathLst>
        </a:custGeom>
        <a:noFill/>
        <a:ln w="12700" cap="flat" cmpd="sng" algn="ctr">
          <a:solidFill>
            <a:srgbClr val="ED7D31">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b="1" kern="1200" cap="none" spc="0">
            <a:ln w="12700" cmpd="sng">
              <a:solidFill>
                <a:srgbClr val="FFC000"/>
              </a:solidFill>
              <a:prstDash val="solid"/>
            </a:ln>
            <a:gradFill>
              <a:gsLst>
                <a:gs pos="0">
                  <a:srgbClr val="FFC000"/>
                </a:gs>
                <a:gs pos="4000">
                  <a:srgbClr val="FFC000">
                    <a:lumMod val="60000"/>
                    <a:lumOff val="40000"/>
                  </a:srgbClr>
                </a:gs>
                <a:gs pos="87000">
                  <a:srgbClr val="FFC000">
                    <a:lumMod val="20000"/>
                    <a:lumOff val="80000"/>
                  </a:srgbClr>
                </a:gs>
              </a:gsLst>
              <a:lin ang="5400000"/>
            </a:gradFill>
            <a:effectLst/>
            <a:latin typeface="Calibri" panose="020F0502020204030204"/>
            <a:ea typeface="+mn-ea"/>
            <a:cs typeface="Arial" panose="020B0604020202020204" pitchFamily="34" charset="0"/>
          </a:endParaRPr>
        </a:p>
      </dsp:txBody>
      <dsp:txXfrm>
        <a:off x="3478729" y="1042271"/>
        <a:ext cx="0" cy="0"/>
      </dsp:txXfrm>
    </dsp:sp>
    <dsp:sp modelId="{A44A895D-F77C-4D72-BBB5-7B2E7F3EC1F9}">
      <dsp:nvSpPr>
        <dsp:cNvPr id="0" name=""/>
        <dsp:cNvSpPr/>
      </dsp:nvSpPr>
      <dsp:spPr>
        <a:xfrm>
          <a:off x="3712686" y="621151"/>
          <a:ext cx="1077206" cy="538603"/>
        </a:xfrm>
        <a:prstGeom prst="roundRect">
          <a:avLst>
            <a:gd name="adj" fmla="val 10000"/>
          </a:avLst>
        </a:prstGeom>
        <a:solidFill>
          <a:schemeClr val="accent1">
            <a:lumMod val="60000"/>
            <a:lumOff val="4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rPr>
            <a:t>العدالة التنظيمية وتكافؤ الفرص </a:t>
          </a:r>
          <a:endParaRPr lang="ar-SA" sz="14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endParaRPr>
        </a:p>
      </dsp:txBody>
      <dsp:txXfrm>
        <a:off x="3728461" y="636926"/>
        <a:ext cx="1045656" cy="507053"/>
      </dsp:txXfrm>
    </dsp:sp>
    <dsp:sp modelId="{9B08B242-9485-408D-AF95-1D030CD9DD6F}">
      <dsp:nvSpPr>
        <dsp:cNvPr id="0" name=""/>
        <dsp:cNvSpPr/>
      </dsp:nvSpPr>
      <dsp:spPr>
        <a:xfrm rot="2142401">
          <a:off x="3231927" y="1334803"/>
          <a:ext cx="530633" cy="40390"/>
        </a:xfrm>
        <a:custGeom>
          <a:avLst/>
          <a:gdLst/>
          <a:ahLst/>
          <a:cxnLst/>
          <a:rect l="0" t="0" r="0" b="0"/>
          <a:pathLst>
            <a:path>
              <a:moveTo>
                <a:pt x="0" y="20195"/>
              </a:moveTo>
              <a:lnTo>
                <a:pt x="530633" y="20195"/>
              </a:lnTo>
            </a:path>
          </a:pathLst>
        </a:custGeom>
        <a:noFill/>
        <a:ln w="12700" cap="flat" cmpd="sng" algn="ctr">
          <a:solidFill>
            <a:srgbClr val="ED7D31">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b="1" kern="1200" cap="none" spc="0">
            <a:ln w="12700" cmpd="sng">
              <a:solidFill>
                <a:srgbClr val="FFC000"/>
              </a:solidFill>
              <a:prstDash val="solid"/>
            </a:ln>
            <a:gradFill>
              <a:gsLst>
                <a:gs pos="0">
                  <a:srgbClr val="FFC000"/>
                </a:gs>
                <a:gs pos="4000">
                  <a:srgbClr val="FFC000">
                    <a:lumMod val="60000"/>
                    <a:lumOff val="40000"/>
                  </a:srgbClr>
                </a:gs>
                <a:gs pos="87000">
                  <a:srgbClr val="FFC000">
                    <a:lumMod val="20000"/>
                    <a:lumOff val="80000"/>
                  </a:srgbClr>
                </a:gs>
              </a:gsLst>
              <a:lin ang="5400000"/>
            </a:gradFill>
            <a:effectLst/>
            <a:latin typeface="Calibri" panose="020F0502020204030204"/>
            <a:ea typeface="+mn-ea"/>
            <a:cs typeface="Arial" panose="020B0604020202020204" pitchFamily="34" charset="0"/>
          </a:endParaRPr>
        </a:p>
      </dsp:txBody>
      <dsp:txXfrm>
        <a:off x="3494214" y="1336483"/>
        <a:ext cx="0" cy="0"/>
      </dsp:txXfrm>
    </dsp:sp>
    <dsp:sp modelId="{73FB4DFF-1719-4C4F-9236-277B893316B0}">
      <dsp:nvSpPr>
        <dsp:cNvPr id="0" name=""/>
        <dsp:cNvSpPr/>
      </dsp:nvSpPr>
      <dsp:spPr>
        <a:xfrm>
          <a:off x="3712686" y="1240545"/>
          <a:ext cx="1077206" cy="538603"/>
        </a:xfrm>
        <a:prstGeom prst="roundRect">
          <a:avLst>
            <a:gd name="adj" fmla="val 10000"/>
          </a:avLst>
        </a:prstGeom>
        <a:solidFill>
          <a:schemeClr val="accent1">
            <a:lumMod val="60000"/>
            <a:lumOff val="4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rPr>
            <a:t>المساءلة والرقابة الداخلية</a:t>
          </a:r>
          <a:endParaRPr lang="ar-SA" sz="14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endParaRPr>
        </a:p>
      </dsp:txBody>
      <dsp:txXfrm>
        <a:off x="3728461" y="1256320"/>
        <a:ext cx="1045656" cy="507053"/>
      </dsp:txXfrm>
    </dsp:sp>
    <dsp:sp modelId="{24CBEC5B-295C-4337-B794-328C790B9647}">
      <dsp:nvSpPr>
        <dsp:cNvPr id="0" name=""/>
        <dsp:cNvSpPr/>
      </dsp:nvSpPr>
      <dsp:spPr>
        <a:xfrm rot="3907178">
          <a:off x="2985173" y="1644500"/>
          <a:ext cx="1024143" cy="40390"/>
        </a:xfrm>
        <a:custGeom>
          <a:avLst/>
          <a:gdLst/>
          <a:ahLst/>
          <a:cxnLst/>
          <a:rect l="0" t="0" r="0" b="0"/>
          <a:pathLst>
            <a:path>
              <a:moveTo>
                <a:pt x="0" y="20195"/>
              </a:moveTo>
              <a:lnTo>
                <a:pt x="1024143" y="20195"/>
              </a:lnTo>
            </a:path>
          </a:pathLst>
        </a:custGeom>
        <a:noFill/>
        <a:ln w="12700" cap="flat" cmpd="sng" algn="ctr">
          <a:solidFill>
            <a:srgbClr val="ED7D31">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b="1" kern="1200" cap="none" spc="0">
            <a:ln w="12700" cmpd="sng">
              <a:solidFill>
                <a:srgbClr val="FFC000"/>
              </a:solidFill>
              <a:prstDash val="solid"/>
            </a:ln>
            <a:gradFill>
              <a:gsLst>
                <a:gs pos="0">
                  <a:srgbClr val="FFC000"/>
                </a:gs>
                <a:gs pos="4000">
                  <a:srgbClr val="FFC000">
                    <a:lumMod val="60000"/>
                    <a:lumOff val="40000"/>
                  </a:srgbClr>
                </a:gs>
                <a:gs pos="87000">
                  <a:srgbClr val="FFC000">
                    <a:lumMod val="20000"/>
                    <a:lumOff val="80000"/>
                  </a:srgbClr>
                </a:gs>
              </a:gsLst>
              <a:lin ang="5400000"/>
            </a:gradFill>
            <a:effectLst/>
            <a:latin typeface="Calibri" panose="020F0502020204030204"/>
            <a:ea typeface="+mn-ea"/>
            <a:cs typeface="Arial" panose="020B0604020202020204" pitchFamily="34" charset="0"/>
          </a:endParaRPr>
        </a:p>
      </dsp:txBody>
      <dsp:txXfrm>
        <a:off x="3509700" y="1630695"/>
        <a:ext cx="0" cy="0"/>
      </dsp:txXfrm>
    </dsp:sp>
    <dsp:sp modelId="{F10C8B1D-9FFA-46C6-9564-34F559D9DE48}">
      <dsp:nvSpPr>
        <dsp:cNvPr id="0" name=""/>
        <dsp:cNvSpPr/>
      </dsp:nvSpPr>
      <dsp:spPr>
        <a:xfrm>
          <a:off x="3712686" y="1859939"/>
          <a:ext cx="1077206" cy="538603"/>
        </a:xfrm>
        <a:prstGeom prst="roundRect">
          <a:avLst>
            <a:gd name="adj" fmla="val 10000"/>
          </a:avLst>
        </a:prstGeom>
        <a:solidFill>
          <a:schemeClr val="accent1">
            <a:lumMod val="60000"/>
            <a:lumOff val="4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rPr>
            <a:t>الشفافية في الاجراءات </a:t>
          </a:r>
          <a:endParaRPr lang="ar-SA" sz="14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Arial" panose="020B0604020202020204" pitchFamily="34" charset="0"/>
          </a:endParaRPr>
        </a:p>
      </dsp:txBody>
      <dsp:txXfrm>
        <a:off x="3728461" y="1875714"/>
        <a:ext cx="1045656" cy="50705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44</Pages>
  <Words>7991</Words>
  <Characters>43552</Characters>
  <Application>Microsoft Office Word</Application>
  <DocSecurity>0</DocSecurity>
  <Lines>777</Lines>
  <Paragraphs>241</Paragraphs>
  <ScaleCrop>false</ScaleCrop>
  <Company/>
  <LinksUpToDate>false</LinksUpToDate>
  <CharactersWithSpaces>51302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Workstation Shop</dc:creator>
  <cp:keywords/>
  <dc:description/>
  <cp:lastModifiedBy>Office</cp:lastModifiedBy>
  <cp:revision>6</cp:revision>
  <dcterms:created xsi:type="dcterms:W3CDTF">2026-03-26T12:07:00Z</dcterms:created>
  <dcterms:modified xsi:type="dcterms:W3CDTF">2026-03-27T08:01:00Z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25703b7b-a27b-4261-8789-b28b53c5a235</vt:lpwstr>
  </property>
</Properties>
</file>