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0C74D" w14:textId="77777777" w:rsidR="000963BF" w:rsidRDefault="000963BF">
      <w:pPr>
        <w:spacing w:line="360" w:lineRule="auto"/>
      </w:pPr>
    </w:p>
    <w:p w14:paraId="405AAE36" w14:textId="77777777" w:rsidR="000963BF" w:rsidRDefault="000963BF">
      <w:pPr>
        <w:spacing w:line="360" w:lineRule="auto"/>
      </w:pPr>
    </w:p>
    <w:p w14:paraId="71DA3444" w14:textId="77777777" w:rsidR="000963BF" w:rsidRDefault="000963BF">
      <w:pPr>
        <w:spacing w:line="360" w:lineRule="auto"/>
      </w:pPr>
    </w:p>
    <w:p w14:paraId="5B140F0F" w14:textId="77777777" w:rsidR="000963BF" w:rsidRDefault="00000000">
      <w:pPr>
        <w:spacing w:after="120"/>
        <w:jc w:val="center"/>
      </w:pPr>
      <w:r>
        <w:rPr>
          <w:b/>
          <w:bCs/>
          <w:sz w:val="28"/>
          <w:szCs w:val="28"/>
        </w:rPr>
        <w:t>MIDOCEAN UNIVERSITY</w:t>
      </w:r>
    </w:p>
    <w:p w14:paraId="2B92A41E" w14:textId="77777777" w:rsidR="000963BF" w:rsidRDefault="00000000">
      <w:pPr>
        <w:spacing w:after="120"/>
        <w:jc w:val="center"/>
      </w:pPr>
      <w:r>
        <w:t>College of Information Technology</w:t>
      </w:r>
    </w:p>
    <w:p w14:paraId="33AEDB6E" w14:textId="77777777" w:rsidR="000963BF" w:rsidRDefault="00000000">
      <w:pPr>
        <w:spacing w:after="480"/>
        <w:jc w:val="center"/>
      </w:pPr>
      <w:r>
        <w:t>Doctor of Philosophy in Cybersecurity</w:t>
      </w:r>
    </w:p>
    <w:p w14:paraId="5624DE35" w14:textId="77777777" w:rsidR="000963BF" w:rsidRDefault="00000000">
      <w:pPr>
        <w:spacing w:after="240"/>
        <w:jc w:val="center"/>
      </w:pPr>
      <w:r>
        <w:rPr>
          <w:b/>
          <w:bCs/>
          <w:smallCaps/>
          <w:sz w:val="28"/>
          <w:szCs w:val="28"/>
        </w:rPr>
        <w:t>CHAPTER ONE</w:t>
      </w:r>
    </w:p>
    <w:p w14:paraId="5F6D6986" w14:textId="77777777" w:rsidR="000963BF" w:rsidRDefault="00000000">
      <w:pPr>
        <w:spacing w:after="480"/>
        <w:jc w:val="center"/>
      </w:pPr>
      <w:r>
        <w:rPr>
          <w:b/>
          <w:bCs/>
          <w:sz w:val="28"/>
          <w:szCs w:val="28"/>
        </w:rPr>
        <w:t>Cybersecurity Governance in Modern Operational Technology Environments: A Framework for Managing Emerging Technology Integration Risks at the IT/OT Boundary</w:t>
      </w:r>
    </w:p>
    <w:p w14:paraId="03762475" w14:textId="77777777" w:rsidR="000963BF" w:rsidRDefault="00000000">
      <w:pPr>
        <w:spacing w:after="120"/>
        <w:jc w:val="center"/>
      </w:pPr>
      <w:r>
        <w:rPr>
          <w:rtl/>
        </w:rPr>
        <w:t>حوكمة الأمن السيبراني في بيئات التقنية التشغيلية الحديثة: إطار عمل لإدارة مخاطر ربط التقنيات الحديثة بين حدود تقنية المعلومات والتقنية التشغيلية</w:t>
      </w:r>
      <w:r>
        <w:t xml:space="preserve"> (IT/OT Boundary)</w:t>
      </w:r>
    </w:p>
    <w:p w14:paraId="666149C2" w14:textId="77777777" w:rsidR="000963BF" w:rsidRDefault="000963BF">
      <w:pPr>
        <w:spacing w:line="360" w:lineRule="auto"/>
      </w:pPr>
    </w:p>
    <w:p w14:paraId="3D578C97" w14:textId="77777777" w:rsidR="000963BF" w:rsidRDefault="000963BF">
      <w:pPr>
        <w:spacing w:line="360" w:lineRule="auto"/>
      </w:pPr>
    </w:p>
    <w:p w14:paraId="62B95305" w14:textId="77777777" w:rsidR="000963BF" w:rsidRDefault="00000000">
      <w:pPr>
        <w:spacing w:after="80"/>
        <w:jc w:val="center"/>
      </w:pPr>
      <w:r>
        <w:t>Prepared by</w:t>
      </w:r>
    </w:p>
    <w:p w14:paraId="7AB2E2AB" w14:textId="77777777" w:rsidR="000963BF" w:rsidRDefault="00000000">
      <w:pPr>
        <w:spacing w:after="80"/>
        <w:jc w:val="center"/>
      </w:pPr>
      <w:r>
        <w:rPr>
          <w:b/>
          <w:bCs/>
        </w:rPr>
        <w:t>Abdulaziz Alarfaj</w:t>
      </w:r>
    </w:p>
    <w:p w14:paraId="3BAEC3FD" w14:textId="77777777" w:rsidR="000963BF" w:rsidRDefault="00000000">
      <w:pPr>
        <w:spacing w:after="80"/>
        <w:jc w:val="center"/>
      </w:pPr>
      <w:r>
        <w:t>Academic ID: 251002116</w:t>
      </w:r>
    </w:p>
    <w:p w14:paraId="3AA1A324" w14:textId="77777777" w:rsidR="000963BF" w:rsidRDefault="00000000">
      <w:pPr>
        <w:spacing w:after="80"/>
        <w:jc w:val="center"/>
      </w:pPr>
      <w:r>
        <w:t>College of Information Technology</w:t>
      </w:r>
    </w:p>
    <w:p w14:paraId="65FC7AEF" w14:textId="77777777" w:rsidR="000963BF" w:rsidRDefault="00000000">
      <w:pPr>
        <w:spacing w:after="80"/>
        <w:jc w:val="center"/>
      </w:pPr>
      <w:r>
        <w:t>Academic Year 2026</w:t>
      </w:r>
    </w:p>
    <w:p w14:paraId="22052161" w14:textId="77777777" w:rsidR="000963BF" w:rsidRDefault="00000000">
      <w:r>
        <w:br w:type="page"/>
      </w:r>
    </w:p>
    <w:p w14:paraId="39DE5810" w14:textId="77777777" w:rsidR="000963BF" w:rsidRDefault="00000000">
      <w:pPr>
        <w:spacing w:after="240" w:line="360" w:lineRule="auto"/>
        <w:jc w:val="center"/>
      </w:pPr>
      <w:r>
        <w:rPr>
          <w:b/>
          <w:bCs/>
          <w:smallCaps/>
          <w:sz w:val="28"/>
          <w:szCs w:val="28"/>
        </w:rPr>
        <w:lastRenderedPageBreak/>
        <w:t>CHAPTER ONE: INTRODUCTION</w:t>
      </w:r>
    </w:p>
    <w:p w14:paraId="21E51EC7" w14:textId="77777777" w:rsidR="000963BF" w:rsidRDefault="00000000">
      <w:pPr>
        <w:pStyle w:val="Heading1"/>
      </w:pPr>
      <w:r>
        <w:t>1.1 Introduction</w:t>
      </w:r>
    </w:p>
    <w:p w14:paraId="6DDA7E46" w14:textId="77777777" w:rsidR="000963BF" w:rsidRDefault="00000000">
      <w:pPr>
        <w:spacing w:after="160" w:line="360" w:lineRule="auto"/>
        <w:ind w:firstLine="720"/>
        <w:jc w:val="both"/>
      </w:pPr>
      <w:r>
        <w:t>Something has changed in how industrial organisations think about cybersecurity, and the change is not subtle. For much of the past half-century, Operational Technology (OT) — the hardware and software layer that monitors and controls physical industrial processes — was treated as a world apart from conventional computing. Separate networks, separate teams, separate assumptions. That separation, once a practical reality, is now dissolving. Modern OT environments are increasingly built with cloud platforms, AI-driven analytics, and 5G communication woven into their operational fabric from day one, making them simultaneously industrial installations and digitally connected enterprise systems (Stouffer et al., 2023). The governance challenge that emerges from this convergence is the subject of this thesis.</w:t>
      </w:r>
    </w:p>
    <w:p w14:paraId="722B364B" w14:textId="77777777" w:rsidR="000963BF" w:rsidRDefault="00000000">
      <w:pPr>
        <w:spacing w:after="160" w:line="360" w:lineRule="auto"/>
        <w:ind w:firstLine="720"/>
        <w:jc w:val="both"/>
      </w:pPr>
      <w:r>
        <w:t>The historical justification for treating OT as a low-risk domain rested on physical and logical isolation. Refineries, power stations, and water treatment plants operated on proprietary protocols, communicated rarely with external systems, and relied on the assumption that nobody could attack what nobody could reach. For a long time, that logic held. Cybersecurity was treated as a secondary concern — something to consider after safety and availability, if at all (Lee et al., 2016). Two incidents in particular broke that logic irreparably. The Stuxnet attack in 2010 demonstrated that OT systems could be precisely targeted and physically damaged through software-based intrusion (Langner, 2011). The attacks on Ukraine's power grid in 2015 and 2016 showed that the same principle applied to national infrastructure at scale (Lee et al., 2016). After those events, OT security was no longer optional.</w:t>
      </w:r>
    </w:p>
    <w:p w14:paraId="7ECEC69D" w14:textId="77777777" w:rsidR="000963BF" w:rsidRDefault="00000000">
      <w:pPr>
        <w:spacing w:after="160" w:line="360" w:lineRule="auto"/>
        <w:ind w:firstLine="720"/>
        <w:jc w:val="both"/>
      </w:pPr>
      <w:r>
        <w:t xml:space="preserve">What followed, however, was a governance response built largely on the architecture of the past. The standards developed in the wake of these incidents — IEC 62443, NIST SP 800-82, NERC CIP — addressed the security challenges of the environments that existed when they were written: systems with stable topologies, defined perimeters, and limited external connectivity (Knowles et al., 2015). They were not written for environments in which AI analytics platforms sit at the edge of OT networks, where 5G sensors communicate across cloud infrastructure, or where digital twins require continuous, bidirectional data flows </w:t>
      </w:r>
      <w:r>
        <w:lastRenderedPageBreak/>
        <w:t>between operational and enterprise layers. The standards have not kept pace with the technology.</w:t>
      </w:r>
    </w:p>
    <w:p w14:paraId="5DA6807A" w14:textId="77777777" w:rsidR="000963BF" w:rsidRDefault="00000000">
      <w:pPr>
        <w:spacing w:after="160" w:line="360" w:lineRule="auto"/>
        <w:ind w:firstLine="720"/>
        <w:jc w:val="both"/>
      </w:pPr>
      <w:r>
        <w:t>I am writing this thesis from a position that makes this problem concrete rather than abstract. As the Chief Information Security Officer of NEOM Green Hydrogen Company, I am responsible for the cybersecurity of one of the most advanced greenfield OT installations in the world — an environment being built from scratch in Saudi Arabia, integrating hydrogen production, renewable energy systems, and a digital architecture that has no legacy equivalent to draw from. The governance challenge I encounter daily is not well-described in the academic literature, and it is not adequately addressed by existing frameworks. That gap is what this research is designed to investigate. The environments I define as modern OT — those designed from inception with cloud connectivity, AI-driven analytics, and 5G communication as core operational components — represent a category of security challenge that deserves dedicated academic attention. At the boundary where their IT and OT layers meet, governance is absent, accountability is unclear, and risk is poorly understood (Dragos, 2024).</w:t>
      </w:r>
    </w:p>
    <w:p w14:paraId="579BA382" w14:textId="77777777" w:rsidR="000963BF" w:rsidRDefault="00000000">
      <w:pPr>
        <w:spacing w:after="160" w:line="360" w:lineRule="auto"/>
        <w:ind w:firstLine="720"/>
        <w:jc w:val="both"/>
      </w:pPr>
      <w:r>
        <w:t>Saudi Arabia's Vision 2030 programme makes this an especially timely research question. The Kingdom is in the middle of one of the most ambitious industrial modernisation efforts anywhere in the world, building new capacity in hydrogen production, renewable energy, smart cities, and advanced manufacturing — all of which depend on modern OT infrastructure. The National Cybersecurity Authority has acknowledged the importance of this domain, listing Operational Technology Systems Security among its four strategic research priorities (NCA, 2021). Despite this, the academic literature specific to the Saudi and GCC context remains thin. Studies examining how national regulatory frameworks such as the NCA's own controls interact with actual organisational governance in modern OT environments are almost entirely absent (Alsahafi et al., 2022; Rawindaran et al., 2023). This research contributes to filling that gap.</w:t>
      </w:r>
    </w:p>
    <w:p w14:paraId="08DC8E3E" w14:textId="77777777" w:rsidR="000963BF" w:rsidRDefault="00000000">
      <w:pPr>
        <w:spacing w:after="160" w:line="360" w:lineRule="auto"/>
        <w:ind w:firstLine="720"/>
        <w:jc w:val="both"/>
      </w:pPr>
      <w:r>
        <w:t xml:space="preserve">The thesis develops and validates a governance framework grounded in empirical evidence from OT security practitioners, expert interviews, and a real-world case study. Its contributions are intended to be useful in three directions: for organisations operating modern OT environments who need practical governance guidance; for national policymakers who </w:t>
      </w:r>
      <w:r>
        <w:lastRenderedPageBreak/>
        <w:t>need evidence-based recommendations; and for the academic community working on OT security, critical infrastructure protection, and cybersecurity governance.</w:t>
      </w:r>
    </w:p>
    <w:p w14:paraId="1049961A" w14:textId="77777777" w:rsidR="000963BF" w:rsidRDefault="00000000">
      <w:pPr>
        <w:spacing w:after="160" w:line="360" w:lineRule="auto"/>
        <w:ind w:firstLine="720"/>
        <w:jc w:val="both"/>
      </w:pPr>
      <w:r>
        <w:t>The chapter proceeds as follows. Section 1.2 sets out the problem statement in detail. Section 1.3 presents the research question and objectives. Section 1.4 states the three null hypotheses. Section 1.5 provides operational definitions of the key terms used throughout the thesis. Section 1.6 defines the scope of the research across four dimensions. Section 1.7 summarises the chapter.</w:t>
      </w:r>
    </w:p>
    <w:p w14:paraId="7210120C" w14:textId="77777777" w:rsidR="000963BF" w:rsidRDefault="00000000">
      <w:r>
        <w:br w:type="page"/>
      </w:r>
    </w:p>
    <w:p w14:paraId="6D9155CF" w14:textId="77777777" w:rsidR="000963BF" w:rsidRDefault="00000000">
      <w:pPr>
        <w:pStyle w:val="Heading1"/>
      </w:pPr>
      <w:r>
        <w:lastRenderedPageBreak/>
        <w:t>1.2 Problem Statement</w:t>
      </w:r>
    </w:p>
    <w:p w14:paraId="7B95E559" w14:textId="77777777" w:rsidR="000963BF" w:rsidRDefault="00000000">
      <w:pPr>
        <w:spacing w:after="160" w:line="360" w:lineRule="auto"/>
        <w:ind w:firstLine="720"/>
        <w:jc w:val="both"/>
      </w:pPr>
      <w:r>
        <w:t>The problem at the heart of this thesis is specific and consequential. The governance frameworks organisations and regulators currently rely on to secure OT environments were built for a different generation of technology. IEC 62443, NIST SP 800-82, and NERC CIP — the dominant standards in this space — were developed in response to the threat landscape of legacy OT installations: systems with proprietary protocols, minimal external connectivity, and stable, bounded network topologies (International Society of Automation, 2018; Stouffer et al., 2023; NERC, 2020). They were not designed for environments in which AI analytics platforms, 5G-connected sensors, and cloud-based SCADA systems are integrated into the OT layer as core operational requirements. Applying them to modern OT environments creates governance gaps that are not incidental — they are structural.</w:t>
      </w:r>
    </w:p>
    <w:p w14:paraId="408C90FA" w14:textId="77777777" w:rsidR="000963BF" w:rsidRDefault="00000000">
      <w:pPr>
        <w:spacing w:after="160" w:line="360" w:lineRule="auto"/>
        <w:ind w:firstLine="720"/>
        <w:jc w:val="both"/>
      </w:pPr>
      <w:r>
        <w:t>Three dimensions of this problem are worth examining separately, because each has distinct implications for how governance should be redesigned.</w:t>
      </w:r>
    </w:p>
    <w:p w14:paraId="6BA29438" w14:textId="77777777" w:rsidR="000963BF" w:rsidRDefault="00000000">
      <w:pPr>
        <w:spacing w:after="160" w:line="360" w:lineRule="auto"/>
        <w:ind w:firstLine="720"/>
        <w:jc w:val="both"/>
      </w:pPr>
      <w:r>
        <w:t>The first concerns the frameworks themselves. The Purdue Model, which has underpinned OT network security architecture for three decades and remains the conceptual basis for IEC 62443's zone-and-conduit approach, assumes a relatively static and clearly bounded set of network layers (Williams, 1994). Modern OT environments do not work that way. Data moves continuously between operational and enterprise layers. AI-driven analytics platforms process real-time sensor data at the edge and in the cloud simultaneously. 5G networks enable sensor communication that crosses traditional zone boundaries without traversing the conduits those zones were designed to protect. The Purdue architecture is not wrong — it was simply not designed for this (Cheminod et al., 2013). Saudi Arabia's NCA has taken a step toward addressing this by publishing OTCC-1:2022, a dedicated OT cybersecurity controls standard (National Cybersecurity Authority, 2022). But empirical research on whether those controls adequately address modern OT governance requirements does not yet exist.</w:t>
      </w:r>
    </w:p>
    <w:p w14:paraId="571D1A89" w14:textId="77777777" w:rsidR="000963BF" w:rsidRDefault="00000000">
      <w:pPr>
        <w:spacing w:after="160" w:line="360" w:lineRule="auto"/>
        <w:ind w:firstLine="720"/>
        <w:jc w:val="both"/>
      </w:pPr>
      <w:r>
        <w:t xml:space="preserve">The second dimension concerns the IT/OT boundary specifically. This boundary — the interface zone where IT and OT networks meet, typically mediated by DMZs, unidirectional gateways, or data diodes — has become the primary attack surface in modern industrial environments. The problem is not simply that it exists; it is that it is increasingly active. Modern OT operations depend on real-time data flowing in both directions: process data moving </w:t>
      </w:r>
      <w:r>
        <w:lastRenderedPageBreak/>
        <w:t>upward to enterprise analytics, and configuration updates, model parameters, or control inputs moving downward into the OT layer. Even where architectural separation is nominally maintained, this bidirectional flow creates channels through which a compromise in the IT layer can propagate into OT systems (Dragos, 2024). Governance questions about this boundary — who owns it, what policies apply, how incidents are escalated — are answered inconsistently across organisations and almost entirely unaddressed in the academic literature (Knowles et al., 2015; ENISA, 2022).</w:t>
      </w:r>
    </w:p>
    <w:p w14:paraId="128FCCB8" w14:textId="77777777" w:rsidR="000963BF" w:rsidRDefault="00000000">
      <w:pPr>
        <w:spacing w:after="160" w:line="360" w:lineRule="auto"/>
        <w:ind w:firstLine="720"/>
        <w:jc w:val="both"/>
      </w:pPr>
      <w:r>
        <w:t>The third dimension is organisational. The CISO role, as it was originally conceived, was an IT function. Its remit covered enterprise networks, data systems, and digital infrastructure. OT security was handled separately, if it was handled at all, by engineering and operations teams. As IT and OT converge, CISOs are increasingly expected to govern both domains — but without any widely accepted framework for how that dual mandate should be structured, what skills and resources it requires, or how its effectiveness should be measured. The result is a governance vacuum: responsibilities are unclear, policies are incomplete, and risk management across the IT/OT boundary is inconsistent (ENISA, 2022). In my experience managing this challenge at NEOM, the absence of a fit-for-purpose governance model is not merely an academic observation — it is a daily operational reality.</w:t>
      </w:r>
    </w:p>
    <w:p w14:paraId="31AD653E" w14:textId="77777777" w:rsidR="000963BF" w:rsidRDefault="00000000">
      <w:pPr>
        <w:spacing w:after="160" w:line="360" w:lineRule="auto"/>
        <w:ind w:firstLine="720"/>
        <w:jc w:val="both"/>
      </w:pPr>
      <w:r>
        <w:t>Taken together, these three dimensions point to a gap that is both significant and largely unaddressed. No validated, empirically grounded governance framework exists for modern OT environments. This research is designed to produce one.</w:t>
      </w:r>
    </w:p>
    <w:p w14:paraId="6411D06A" w14:textId="77777777" w:rsidR="000963BF" w:rsidRDefault="00000000">
      <w:r>
        <w:br w:type="page"/>
      </w:r>
    </w:p>
    <w:p w14:paraId="1A756AFF" w14:textId="77777777" w:rsidR="000963BF" w:rsidRDefault="00000000">
      <w:pPr>
        <w:pStyle w:val="Heading1"/>
      </w:pPr>
      <w:r>
        <w:lastRenderedPageBreak/>
        <w:t>1.3 Research Question and Objectives</w:t>
      </w:r>
    </w:p>
    <w:p w14:paraId="25966F1D" w14:textId="77777777" w:rsidR="000963BF" w:rsidRDefault="00000000">
      <w:pPr>
        <w:pStyle w:val="Heading2"/>
      </w:pPr>
      <w:r>
        <w:t>1.3.1 Primary Research Question</w:t>
      </w:r>
    </w:p>
    <w:p w14:paraId="17316109" w14:textId="77777777" w:rsidR="000963BF" w:rsidRDefault="00000000">
      <w:pPr>
        <w:spacing w:after="160" w:line="360" w:lineRule="auto"/>
        <w:ind w:firstLine="720"/>
        <w:jc w:val="both"/>
      </w:pPr>
      <w:r>
        <w:t>The primary research question guiding this thesis is:</w:t>
      </w:r>
    </w:p>
    <w:p w14:paraId="5C646445" w14:textId="77777777" w:rsidR="000963BF" w:rsidRDefault="00000000">
      <w:pPr>
        <w:pBdr>
          <w:left w:val="single" w:sz="12" w:space="8" w:color="2E4A9E"/>
        </w:pBdr>
        <w:spacing w:before="160" w:after="160" w:line="360" w:lineRule="auto"/>
        <w:ind w:left="900" w:right="720"/>
        <w:jc w:val="both"/>
      </w:pPr>
      <w:r>
        <w:t>How should cybersecurity governance be structured in modern Operational Technology environments, and what framework is needed to manage the risks introduced by emerging technologies at the IT/OT boundary, with implications for both organisational practice and national policy?</w:t>
      </w:r>
    </w:p>
    <w:p w14:paraId="12678848" w14:textId="77777777" w:rsidR="000963BF" w:rsidRDefault="00000000">
      <w:pPr>
        <w:spacing w:after="160" w:line="360" w:lineRule="auto"/>
        <w:ind w:firstLine="720"/>
        <w:jc w:val="both"/>
      </w:pPr>
      <w:r>
        <w:t>The question is deliberately broad in scope because the problem it addresses operates at multiple levels simultaneously — architectural, organisational, and policy. A narrower question would produce a narrower answer. What is needed is a framework with enough generality to be applicable across sectors and jurisdictions, but enough specificity to be operationally useful.</w:t>
      </w:r>
    </w:p>
    <w:p w14:paraId="28E3E423" w14:textId="77777777" w:rsidR="000963BF" w:rsidRDefault="00000000">
      <w:pPr>
        <w:pStyle w:val="Heading2"/>
      </w:pPr>
      <w:r>
        <w:t>1.3.2 Research Sub-Questions</w:t>
      </w:r>
    </w:p>
    <w:p w14:paraId="49B3CC1C" w14:textId="77777777" w:rsidR="000963BF" w:rsidRDefault="00000000">
      <w:pPr>
        <w:spacing w:after="160" w:line="360" w:lineRule="auto"/>
        <w:ind w:firstLine="720"/>
        <w:jc w:val="both"/>
      </w:pPr>
      <w:r>
        <w:t>Four sub-questions decompose the primary question into researchable components, each targeting a specific aspect of the governance problem:</w:t>
      </w:r>
    </w:p>
    <w:p w14:paraId="11AA2D42" w14:textId="77777777" w:rsidR="000963BF" w:rsidRDefault="00000000">
      <w:pPr>
        <w:numPr>
          <w:ilvl w:val="0"/>
          <w:numId w:val="1"/>
        </w:numPr>
        <w:pBdr>
          <w:top w:val="nil"/>
          <w:left w:val="nil"/>
          <w:bottom w:val="nil"/>
          <w:right w:val="nil"/>
          <w:between w:val="nil"/>
        </w:pBdr>
        <w:spacing w:before="60" w:after="60" w:line="360" w:lineRule="auto"/>
      </w:pPr>
      <w:r>
        <w:rPr>
          <w:color w:val="000000"/>
        </w:rPr>
        <w:t>What distinguishes the cybersecurity risk profile of modern OT environments from legacy OT environments, and what governance gaps does this create?</w:t>
      </w:r>
    </w:p>
    <w:p w14:paraId="489703B5" w14:textId="77777777" w:rsidR="000963BF" w:rsidRDefault="00000000">
      <w:pPr>
        <w:numPr>
          <w:ilvl w:val="0"/>
          <w:numId w:val="1"/>
        </w:numPr>
        <w:pBdr>
          <w:top w:val="nil"/>
          <w:left w:val="nil"/>
          <w:bottom w:val="nil"/>
          <w:right w:val="nil"/>
          <w:between w:val="nil"/>
        </w:pBdr>
        <w:spacing w:before="60" w:after="60" w:line="360" w:lineRule="auto"/>
      </w:pPr>
      <w:r>
        <w:rPr>
          <w:color w:val="000000"/>
        </w:rPr>
        <w:t>How does the integration of emerging technologies at the IT/OT boundary — specifically AI analytics, 5G connectivity, and cloud-based systems — introduce or amplify cybersecurity risks to OT environments, even when architectural separation is maintained?</w:t>
      </w:r>
    </w:p>
    <w:p w14:paraId="64762293" w14:textId="77777777" w:rsidR="000963BF" w:rsidRDefault="00000000">
      <w:pPr>
        <w:numPr>
          <w:ilvl w:val="0"/>
          <w:numId w:val="1"/>
        </w:numPr>
        <w:pBdr>
          <w:top w:val="nil"/>
          <w:left w:val="nil"/>
          <w:bottom w:val="nil"/>
          <w:right w:val="nil"/>
          <w:between w:val="nil"/>
        </w:pBdr>
        <w:spacing w:before="60" w:after="60" w:line="360" w:lineRule="auto"/>
      </w:pPr>
      <w:r>
        <w:rPr>
          <w:color w:val="000000"/>
        </w:rPr>
        <w:t>What governance structures and policies are currently applied to OT cybersecurity, and where do they fall short in modern environments?</w:t>
      </w:r>
    </w:p>
    <w:p w14:paraId="231949DB" w14:textId="77777777" w:rsidR="000963BF" w:rsidRDefault="00000000">
      <w:pPr>
        <w:numPr>
          <w:ilvl w:val="0"/>
          <w:numId w:val="1"/>
        </w:numPr>
        <w:pBdr>
          <w:top w:val="nil"/>
          <w:left w:val="nil"/>
          <w:bottom w:val="nil"/>
          <w:right w:val="nil"/>
          <w:between w:val="nil"/>
        </w:pBdr>
        <w:spacing w:before="60" w:after="60" w:line="360" w:lineRule="auto"/>
      </w:pPr>
      <w:r>
        <w:rPr>
          <w:color w:val="000000"/>
        </w:rPr>
        <w:t>What framework can be proposed and validated to guide both organisational practice and national policy in securing modern OT environments?</w:t>
      </w:r>
    </w:p>
    <w:p w14:paraId="1C3311FB" w14:textId="77777777" w:rsidR="000963BF" w:rsidRDefault="000963BF">
      <w:pPr>
        <w:spacing w:line="360" w:lineRule="auto"/>
      </w:pPr>
    </w:p>
    <w:p w14:paraId="6E457F3B" w14:textId="77777777" w:rsidR="000963BF" w:rsidRDefault="00000000">
      <w:pPr>
        <w:pStyle w:val="Heading2"/>
      </w:pPr>
      <w:r>
        <w:t>1.3.3 Research Objectives</w:t>
      </w:r>
    </w:p>
    <w:p w14:paraId="7B2EEB59" w14:textId="77777777" w:rsidR="000963BF" w:rsidRDefault="00000000">
      <w:pPr>
        <w:spacing w:after="160" w:line="360" w:lineRule="auto"/>
        <w:ind w:firstLine="720"/>
        <w:jc w:val="both"/>
      </w:pPr>
      <w:r>
        <w:lastRenderedPageBreak/>
        <w:t>The research is structured around five objectives that together move from understanding the problem to producing and validating a solution:</w:t>
      </w:r>
    </w:p>
    <w:p w14:paraId="5207AB58" w14:textId="77777777" w:rsidR="000963BF" w:rsidRDefault="00000000">
      <w:pPr>
        <w:numPr>
          <w:ilvl w:val="0"/>
          <w:numId w:val="1"/>
        </w:numPr>
        <w:pBdr>
          <w:top w:val="nil"/>
          <w:left w:val="nil"/>
          <w:bottom w:val="nil"/>
          <w:right w:val="nil"/>
          <w:between w:val="nil"/>
        </w:pBdr>
        <w:spacing w:before="60" w:after="60" w:line="360" w:lineRule="auto"/>
      </w:pPr>
      <w:r>
        <w:rPr>
          <w:color w:val="000000"/>
        </w:rPr>
        <w:t>To conduct a systematic literature review of OT cybersecurity governance, emerging technology integration risks, and IT/OT boundary security, following PRISMA guidelines (Page et al., 2021).</w:t>
      </w:r>
    </w:p>
    <w:p w14:paraId="0B452C1C" w14:textId="77777777" w:rsidR="000963BF" w:rsidRDefault="00000000">
      <w:pPr>
        <w:numPr>
          <w:ilvl w:val="0"/>
          <w:numId w:val="1"/>
        </w:numPr>
        <w:pBdr>
          <w:top w:val="nil"/>
          <w:left w:val="nil"/>
          <w:bottom w:val="nil"/>
          <w:right w:val="nil"/>
          <w:between w:val="nil"/>
        </w:pBdr>
        <w:spacing w:before="60" w:after="60" w:line="360" w:lineRule="auto"/>
      </w:pPr>
      <w:r>
        <w:rPr>
          <w:color w:val="000000"/>
        </w:rPr>
        <w:t>To identify and characterise the cybersecurity risk profile of modern OT environments through a quantitative survey of OT security professionals, expert interviews, and an embedded case study.</w:t>
      </w:r>
    </w:p>
    <w:p w14:paraId="77B9D92D" w14:textId="77777777" w:rsidR="000963BF" w:rsidRDefault="00000000">
      <w:pPr>
        <w:numPr>
          <w:ilvl w:val="0"/>
          <w:numId w:val="1"/>
        </w:numPr>
        <w:pBdr>
          <w:top w:val="nil"/>
          <w:left w:val="nil"/>
          <w:bottom w:val="nil"/>
          <w:right w:val="nil"/>
          <w:between w:val="nil"/>
        </w:pBdr>
        <w:spacing w:before="60" w:after="60" w:line="360" w:lineRule="auto"/>
      </w:pPr>
      <w:r>
        <w:rPr>
          <w:color w:val="000000"/>
        </w:rPr>
        <w:t>To critically analyse the adequacy of current governance frameworks — including IEC 62443 (International Society of Automation, 2018), NIST SP 800-82 (Stouffer et al., 2023), and NCA guidelines (NCA, 2021) — against the governance needs of modern OT environments.</w:t>
      </w:r>
    </w:p>
    <w:p w14:paraId="2FCD9D97" w14:textId="77777777" w:rsidR="000963BF" w:rsidRDefault="00000000">
      <w:pPr>
        <w:numPr>
          <w:ilvl w:val="0"/>
          <w:numId w:val="1"/>
        </w:numPr>
        <w:pBdr>
          <w:top w:val="nil"/>
          <w:left w:val="nil"/>
          <w:bottom w:val="nil"/>
          <w:right w:val="nil"/>
          <w:between w:val="nil"/>
        </w:pBdr>
        <w:spacing w:before="60" w:after="60" w:line="360" w:lineRule="auto"/>
      </w:pPr>
      <w:r>
        <w:rPr>
          <w:color w:val="000000"/>
        </w:rPr>
        <w:t>To develop an original cybersecurity governance framework that addresses the identified gaps and provides actionable recommendations for both organisational practice and national policy.</w:t>
      </w:r>
    </w:p>
    <w:p w14:paraId="7E2388A3" w14:textId="77777777" w:rsidR="000963BF" w:rsidRDefault="00000000">
      <w:pPr>
        <w:numPr>
          <w:ilvl w:val="0"/>
          <w:numId w:val="1"/>
        </w:numPr>
        <w:pBdr>
          <w:top w:val="nil"/>
          <w:left w:val="nil"/>
          <w:bottom w:val="nil"/>
          <w:right w:val="nil"/>
          <w:between w:val="nil"/>
        </w:pBdr>
        <w:spacing w:before="60" w:after="60" w:line="360" w:lineRule="auto"/>
      </w:pPr>
      <w:r>
        <w:rPr>
          <w:color w:val="000000"/>
        </w:rPr>
        <w:t>To validate the proposed framework through a Delphi expert panel and empirical assessment, ensuring its applicability and robustness in real-world OT contexts.</w:t>
      </w:r>
    </w:p>
    <w:p w14:paraId="343DCCCD" w14:textId="77777777" w:rsidR="000963BF" w:rsidRDefault="00000000">
      <w:r>
        <w:br w:type="page"/>
      </w:r>
    </w:p>
    <w:p w14:paraId="41E6AA6A" w14:textId="77777777" w:rsidR="000963BF" w:rsidRDefault="00000000">
      <w:pPr>
        <w:pStyle w:val="Heading1"/>
      </w:pPr>
      <w:r>
        <w:lastRenderedPageBreak/>
        <w:t>1.4 Research Hypotheses</w:t>
      </w:r>
    </w:p>
    <w:p w14:paraId="49248B76" w14:textId="77777777" w:rsidR="000963BF" w:rsidRDefault="00000000">
      <w:pPr>
        <w:spacing w:after="160" w:line="360" w:lineRule="auto"/>
        <w:ind w:firstLine="720"/>
        <w:jc w:val="both"/>
      </w:pPr>
      <w:r>
        <w:t>The quantitative component of this research is organised around three null hypotheses, each targeting a specific relationship in the theoretical model. They are stated in null form — asserting that no significant relationship exists — because this formulation allows for rigorous statistical testing and formal rejection (Field, 2018). The theoretical model proposes that OT environment type and emerging technology integration affect governance outcomes, and that this effect operates through the mediation of operational complexity. The hypotheses test each stage of that argument.</w:t>
      </w:r>
    </w:p>
    <w:p w14:paraId="1A06F760" w14:textId="77777777" w:rsidR="000963BF" w:rsidRDefault="00000000">
      <w:pPr>
        <w:pStyle w:val="Heading2"/>
      </w:pPr>
      <w:r>
        <w:t>1.4.1 Null Hypothesis 1</w:t>
      </w:r>
    </w:p>
    <w:p w14:paraId="184CD89F" w14:textId="77777777" w:rsidR="000963BF" w:rsidRDefault="00000000">
      <w:pPr>
        <w:spacing w:after="160" w:line="360" w:lineRule="auto"/>
        <w:ind w:firstLine="720"/>
        <w:jc w:val="both"/>
      </w:pPr>
      <w:r>
        <w:rPr>
          <w:b/>
          <w:bCs/>
        </w:rPr>
        <w:t xml:space="preserve">H0(1): </w:t>
      </w:r>
      <w:r>
        <w:t>There is no statistically significant difference in cybersecurity governance effectiveness between modern Operational Technology environments and legacy Operational Technology environments.</w:t>
      </w:r>
    </w:p>
    <w:p w14:paraId="571F0ED2" w14:textId="77777777" w:rsidR="000963BF" w:rsidRDefault="00000000">
      <w:pPr>
        <w:spacing w:after="160" w:line="360" w:lineRule="auto"/>
        <w:ind w:firstLine="720"/>
        <w:jc w:val="both"/>
      </w:pPr>
      <w:r>
        <w:t>This is the foundational hypothesis of the study. If OT environment type — modern versus legacy — does not predict meaningful differences in governance effectiveness, then the entire argument for a differentiated governance framework loses its empirical basis. The expectation, supported by existing literature, is that it does: modern environments introduce architectural complexity, expanded attack surfaces at the IT/OT boundary, and novel threat vectors that legacy-oriented governance structures were simply not built to manage (Stouffer et al., 2023; Dragos, 2024). Rejecting H0(1) would confirm that the distinction between modern and legacy OT is not just conceptual — it has measurable governance consequences.</w:t>
      </w:r>
    </w:p>
    <w:p w14:paraId="5D887DEE" w14:textId="77777777" w:rsidR="000963BF" w:rsidRDefault="00000000">
      <w:pPr>
        <w:pStyle w:val="Heading2"/>
      </w:pPr>
      <w:r>
        <w:t>1.4.2 Null Hypothesis 2</w:t>
      </w:r>
    </w:p>
    <w:p w14:paraId="58540606" w14:textId="77777777" w:rsidR="000963BF" w:rsidRDefault="00000000">
      <w:pPr>
        <w:spacing w:after="160" w:line="360" w:lineRule="auto"/>
        <w:ind w:firstLine="720"/>
        <w:jc w:val="both"/>
      </w:pPr>
      <w:r>
        <w:rPr>
          <w:b/>
          <w:bCs/>
        </w:rPr>
        <w:t xml:space="preserve">H0(2): </w:t>
      </w:r>
      <w:r>
        <w:t>The integration of emerging technologies at the IT/OT boundary is not significantly associated with increased operational complexity in OT environments.</w:t>
      </w:r>
    </w:p>
    <w:p w14:paraId="2A7809F8" w14:textId="77777777" w:rsidR="000963BF" w:rsidRDefault="00000000">
      <w:pPr>
        <w:spacing w:after="160" w:line="360" w:lineRule="auto"/>
        <w:ind w:firstLine="720"/>
        <w:jc w:val="both"/>
      </w:pPr>
      <w:r>
        <w:t xml:space="preserve">This hypothesis tests the first link in the mediation chain. The argument behind the research model is that emerging technologies do not undermine governance effectiveness directly — they do so indirectly, by first increasing operational complexity. Complexity, in this context, means the degree of system interdependency, integration burden, and cross-team coordination demands that organisations face as they bring AI, 5G, and cloud technologies into </w:t>
      </w:r>
      <w:r>
        <w:lastRenderedPageBreak/>
        <w:t>their OT environments. If H0(2) cannot be rejected, the mediation argument collapses at its first step. The expectation, grounded in Baron and Kenny (1986) and supported by empirical work on industrial IoT integration (Boyes et al., 2018; Claroty, 2024), is that the relationship between boundary-level technology integration and operational complexity is both real and statistically detectable.</w:t>
      </w:r>
    </w:p>
    <w:p w14:paraId="5A233740" w14:textId="77777777" w:rsidR="000963BF" w:rsidRDefault="00000000">
      <w:pPr>
        <w:pStyle w:val="Heading2"/>
      </w:pPr>
      <w:r>
        <w:t>1.4.3 Null Hypothesis 3</w:t>
      </w:r>
    </w:p>
    <w:p w14:paraId="140B6905" w14:textId="77777777" w:rsidR="000963BF" w:rsidRDefault="00000000">
      <w:pPr>
        <w:spacing w:after="160" w:line="360" w:lineRule="auto"/>
        <w:ind w:firstLine="720"/>
        <w:jc w:val="both"/>
      </w:pPr>
      <w:r>
        <w:rPr>
          <w:b/>
          <w:bCs/>
        </w:rPr>
        <w:t xml:space="preserve">H0(3): </w:t>
      </w:r>
      <w:r>
        <w:t>Operational complexity does not mediate the relationship between emerging technology integration at the IT/OT boundary and cybersecurity governance effectiveness in OT environments.</w:t>
      </w:r>
    </w:p>
    <w:p w14:paraId="14C8A555" w14:textId="77777777" w:rsidR="000963BF" w:rsidRDefault="00000000">
      <w:pPr>
        <w:spacing w:after="160" w:line="360" w:lineRule="auto"/>
        <w:ind w:firstLine="720"/>
        <w:jc w:val="both"/>
      </w:pPr>
      <w:r>
        <w:t>H0(3) tests the complete mediation pathway and is the most theoretically significant of the three hypotheses. If it is rejected, the research will have established not just that emerging technology integration and governance effectiveness are related, but that the mechanism connecting them runs through operational complexity. That distinction matters practically: it means governance interventions should focus on managing complexity — through clearer roles, better cross-team protocols, and more adaptable policy structures — rather than on restricting technology adoption, which is neither realistic nor desirable in most modern OT contexts. Mediation testing will follow Baron and Kenny's (1986) causal steps approach, with indirect effects confirmed through bootstrapped analysis (Field, 2018).</w:t>
      </w:r>
    </w:p>
    <w:p w14:paraId="707B706A" w14:textId="77777777" w:rsidR="000963BF" w:rsidRDefault="00000000">
      <w:r>
        <w:br w:type="page"/>
      </w:r>
    </w:p>
    <w:p w14:paraId="4A9477BC" w14:textId="77777777" w:rsidR="000963BF" w:rsidRDefault="00000000">
      <w:pPr>
        <w:pStyle w:val="Heading1"/>
      </w:pPr>
      <w:r>
        <w:lastRenderedPageBreak/>
        <w:t>1.5 Definitions of Key Terms</w:t>
      </w:r>
    </w:p>
    <w:p w14:paraId="3CC2506C" w14:textId="77777777" w:rsidR="000963BF" w:rsidRDefault="00000000">
      <w:pPr>
        <w:spacing w:after="160" w:line="360" w:lineRule="auto"/>
        <w:ind w:firstLine="720"/>
        <w:jc w:val="both"/>
      </w:pPr>
      <w:r>
        <w:t>Several of the terms used in this thesis carry different meanings in different contexts — particularly terms like 'modern OT environment', 'governance effectiveness', and 'operational complexity', which are used loosely in practitioner literature and more precisely in academic research. The definitions below establish how each term is used in this specific study, including how it will be measured where it functions as a research variable.</w:t>
      </w:r>
    </w:p>
    <w:p w14:paraId="05941302" w14:textId="77777777" w:rsidR="000963BF" w:rsidRDefault="000963BF">
      <w:pPr>
        <w:spacing w:line="360" w:lineRule="auto"/>
      </w:pPr>
    </w:p>
    <w:tbl>
      <w:tblPr>
        <w:tblStyle w:val="a"/>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200"/>
      </w:tblGrid>
      <w:tr w:rsidR="000963BF" w14:paraId="292C308D" w14:textId="77777777">
        <w:tc>
          <w:tcPr>
            <w:tcW w:w="2800" w:type="dxa"/>
            <w:tcBorders>
              <w:top w:val="single" w:sz="4" w:space="0" w:color="CCCCCC"/>
              <w:left w:val="single" w:sz="4" w:space="0" w:color="CCCCCC"/>
              <w:bottom w:val="single" w:sz="4" w:space="0" w:color="CCCCCC"/>
              <w:right w:val="single" w:sz="4" w:space="0" w:color="CCCCCC"/>
            </w:tcBorders>
            <w:shd w:val="clear" w:color="auto" w:fill="1C2B3A"/>
            <w:tcMar>
              <w:top w:w="80" w:type="dxa"/>
              <w:left w:w="120" w:type="dxa"/>
              <w:bottom w:w="80" w:type="dxa"/>
              <w:right w:w="120" w:type="dxa"/>
            </w:tcMar>
          </w:tcPr>
          <w:p w14:paraId="1CA9EA0D" w14:textId="77777777" w:rsidR="000963BF" w:rsidRDefault="00000000">
            <w:r>
              <w:rPr>
                <w:b/>
                <w:bCs/>
                <w:color w:val="FFFFFF"/>
              </w:rPr>
              <w:t>Term</w:t>
            </w:r>
          </w:p>
        </w:tc>
        <w:tc>
          <w:tcPr>
            <w:tcW w:w="6200" w:type="dxa"/>
            <w:tcBorders>
              <w:top w:val="single" w:sz="4" w:space="0" w:color="CCCCCC"/>
              <w:left w:val="single" w:sz="4" w:space="0" w:color="CCCCCC"/>
              <w:bottom w:val="single" w:sz="4" w:space="0" w:color="CCCCCC"/>
              <w:right w:val="single" w:sz="4" w:space="0" w:color="CCCCCC"/>
            </w:tcBorders>
            <w:shd w:val="clear" w:color="auto" w:fill="1C2B3A"/>
            <w:tcMar>
              <w:top w:w="80" w:type="dxa"/>
              <w:left w:w="120" w:type="dxa"/>
              <w:bottom w:w="80" w:type="dxa"/>
              <w:right w:w="120" w:type="dxa"/>
            </w:tcMar>
          </w:tcPr>
          <w:p w14:paraId="3D84C2A6" w14:textId="77777777" w:rsidR="000963BF" w:rsidRDefault="00000000">
            <w:r>
              <w:rPr>
                <w:b/>
                <w:bCs/>
                <w:color w:val="FFFFFF"/>
              </w:rPr>
              <w:t>Operational Definition</w:t>
            </w:r>
          </w:p>
        </w:tc>
      </w:tr>
      <w:tr w:rsidR="000963BF" w14:paraId="44F71E97"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F4F4753" w14:textId="77777777" w:rsidR="000963BF" w:rsidRDefault="00000000">
            <w:pPr>
              <w:spacing w:line="360" w:lineRule="auto"/>
            </w:pPr>
            <w:r>
              <w:rPr>
                <w:sz w:val="22"/>
                <w:szCs w:val="22"/>
              </w:rPr>
              <w:t>Operational Technology (OT)</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F6FF42C" w14:textId="77777777" w:rsidR="000963BF" w:rsidRDefault="00000000">
            <w:pPr>
              <w:spacing w:line="360" w:lineRule="auto"/>
            </w:pPr>
            <w:r>
              <w:rPr>
                <w:sz w:val="22"/>
                <w:szCs w:val="22"/>
              </w:rPr>
              <w:t>Hardware and software that monitors, controls, and manages physical industrial processes, including industrial control systems (ICS), SCADA systems, distributed control systems (DCS), and programmable logic controllers (PLC) (Stouffer et al., 2023).</w:t>
            </w:r>
          </w:p>
        </w:tc>
      </w:tr>
      <w:tr w:rsidR="000963BF" w14:paraId="1AD72873"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575D6231" w14:textId="77777777" w:rsidR="000963BF" w:rsidRDefault="00000000">
            <w:pPr>
              <w:spacing w:line="360" w:lineRule="auto"/>
            </w:pPr>
            <w:r>
              <w:rPr>
                <w:sz w:val="22"/>
                <w:szCs w:val="22"/>
              </w:rPr>
              <w:t>Information Technology (IT)</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348CDBC0" w14:textId="77777777" w:rsidR="000963BF" w:rsidRDefault="00000000">
            <w:pPr>
              <w:spacing w:line="360" w:lineRule="auto"/>
            </w:pPr>
            <w:r>
              <w:rPr>
                <w:sz w:val="22"/>
                <w:szCs w:val="22"/>
              </w:rPr>
              <w:t>Computing infrastructure, enterprise networks, and software systems used to process, store, and communicate organisational data, including enterprise resource planning (ERP) systems, business intelligence platforms, and corporate network infrastructure.</w:t>
            </w:r>
          </w:p>
        </w:tc>
      </w:tr>
      <w:tr w:rsidR="000963BF" w14:paraId="64CA6BEC"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377322" w14:textId="77777777" w:rsidR="000963BF" w:rsidRDefault="00000000">
            <w:pPr>
              <w:spacing w:line="360" w:lineRule="auto"/>
            </w:pPr>
            <w:r>
              <w:rPr>
                <w:sz w:val="22"/>
                <w:szCs w:val="22"/>
              </w:rPr>
              <w:t>Modern OT Environment</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948B166" w14:textId="77777777" w:rsidR="000963BF" w:rsidRDefault="00000000">
            <w:pPr>
              <w:spacing w:line="360" w:lineRule="auto"/>
            </w:pPr>
            <w:r>
              <w:rPr>
                <w:sz w:val="22"/>
                <w:szCs w:val="22"/>
              </w:rPr>
              <w:t>An OT installation designed from inception with digital integration as a foundational architectural principle, incorporating cloud connectivity, AI-based process monitoring, and/or 5G communication as core operational components, as opposed to legacy OT systems originally designed for air-gapped or minimally networked operation (Dragos, 2024).</w:t>
            </w:r>
          </w:p>
        </w:tc>
      </w:tr>
      <w:tr w:rsidR="000963BF" w14:paraId="3C7EB854"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449B1CB8" w14:textId="77777777" w:rsidR="000963BF" w:rsidRDefault="00000000">
            <w:pPr>
              <w:spacing w:line="360" w:lineRule="auto"/>
            </w:pPr>
            <w:r>
              <w:rPr>
                <w:sz w:val="22"/>
                <w:szCs w:val="22"/>
              </w:rPr>
              <w:t>Legacy OT Environment</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0DA98C79" w14:textId="77777777" w:rsidR="000963BF" w:rsidRDefault="00000000">
            <w:pPr>
              <w:spacing w:line="360" w:lineRule="auto"/>
            </w:pPr>
            <w:r>
              <w:rPr>
                <w:sz w:val="22"/>
                <w:szCs w:val="22"/>
              </w:rPr>
              <w:t>An OT installation originally designed and deployed before the widespread adoption of IT/OT convergence practices, characterised by proprietary protocols, limited network connectivity, and security through physical and logical isolation.</w:t>
            </w:r>
          </w:p>
        </w:tc>
      </w:tr>
      <w:tr w:rsidR="000963BF" w14:paraId="212F3D6D"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4723519" w14:textId="77777777" w:rsidR="000963BF" w:rsidRDefault="00000000">
            <w:pPr>
              <w:spacing w:line="360" w:lineRule="auto"/>
            </w:pPr>
            <w:r>
              <w:rPr>
                <w:sz w:val="22"/>
                <w:szCs w:val="22"/>
              </w:rPr>
              <w:t>IT/OT Boundary</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C6BDDF8" w14:textId="77777777" w:rsidR="000963BF" w:rsidRDefault="00000000">
            <w:pPr>
              <w:spacing w:line="360" w:lineRule="auto"/>
            </w:pPr>
            <w:r>
              <w:rPr>
                <w:sz w:val="22"/>
                <w:szCs w:val="22"/>
              </w:rPr>
              <w:t xml:space="preserve">The interface zone between IT and OT network layers, typically implemented through a demilitarised zone (DMZ), unidirectional </w:t>
            </w:r>
            <w:r>
              <w:rPr>
                <w:sz w:val="22"/>
                <w:szCs w:val="22"/>
              </w:rPr>
              <w:lastRenderedPageBreak/>
              <w:t>data gateways, or hardware data diodes, through which data flows between enterprise and operational systems (Lee et al., 2016).</w:t>
            </w:r>
          </w:p>
        </w:tc>
      </w:tr>
      <w:tr w:rsidR="000963BF" w14:paraId="627C9A4B"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2C543945" w14:textId="77777777" w:rsidR="000963BF" w:rsidRDefault="00000000">
            <w:pPr>
              <w:spacing w:line="360" w:lineRule="auto"/>
            </w:pPr>
            <w:r>
              <w:rPr>
                <w:sz w:val="22"/>
                <w:szCs w:val="22"/>
              </w:rPr>
              <w:lastRenderedPageBreak/>
              <w:t>Emerging Technology Adoption Level</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3625C829" w14:textId="77777777" w:rsidR="000963BF" w:rsidRDefault="00000000">
            <w:pPr>
              <w:spacing w:line="360" w:lineRule="auto"/>
            </w:pPr>
            <w:r>
              <w:rPr>
                <w:sz w:val="22"/>
                <w:szCs w:val="22"/>
              </w:rPr>
              <w:t>The independent variable measuring the degree to which AI analytics platforms, 5G connectivity, and cloud-based systems have been integrated at or adjacent to the IT/OT boundary, measured on a low/medium/high scale (Boyes et al., 2018).</w:t>
            </w:r>
          </w:p>
        </w:tc>
      </w:tr>
      <w:tr w:rsidR="000963BF" w14:paraId="3E575B9D"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138216F" w14:textId="77777777" w:rsidR="000963BF" w:rsidRDefault="00000000">
            <w:pPr>
              <w:spacing w:line="360" w:lineRule="auto"/>
            </w:pPr>
            <w:r>
              <w:rPr>
                <w:sz w:val="22"/>
                <w:szCs w:val="22"/>
              </w:rPr>
              <w:t>Operational Complexity</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16798A2" w14:textId="77777777" w:rsidR="000963BF" w:rsidRDefault="00000000">
            <w:pPr>
              <w:spacing w:line="360" w:lineRule="auto"/>
            </w:pPr>
            <w:r>
              <w:rPr>
                <w:sz w:val="22"/>
                <w:szCs w:val="22"/>
              </w:rPr>
              <w:t>The mediating variable representing the degree of system interdependency, integration burden, and cross-team coordination requirements introduced by the convergence of IT and OT systems and the adoption of emerging technologies at the IT/OT boundary (Baron &amp; Kenny, 1986).</w:t>
            </w:r>
          </w:p>
        </w:tc>
      </w:tr>
      <w:tr w:rsidR="000963BF" w14:paraId="31AF76F7"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38626AEE" w14:textId="77777777" w:rsidR="000963BF" w:rsidRDefault="00000000">
            <w:pPr>
              <w:spacing w:line="360" w:lineRule="auto"/>
            </w:pPr>
            <w:r>
              <w:rPr>
                <w:sz w:val="22"/>
                <w:szCs w:val="22"/>
              </w:rPr>
              <w:t>Cybersecurity Governance Effectiveness</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32ACFE95" w14:textId="77777777" w:rsidR="000963BF" w:rsidRDefault="00000000">
            <w:pPr>
              <w:spacing w:line="360" w:lineRule="auto"/>
            </w:pPr>
            <w:r>
              <w:rPr>
                <w:sz w:val="22"/>
                <w:szCs w:val="22"/>
              </w:rPr>
              <w:t>The primary dependent variable, operationally defined as a composite score measuring: (1) incident response speed, as the mean time to detect and respond to OT security events; (2) compliance rate with applicable OT security standards; and (3) risk maturity level based on an adapted Capability Maturity Model Integration (CMMI) scale (Paulk et al., 1993).</w:t>
            </w:r>
          </w:p>
        </w:tc>
      </w:tr>
      <w:tr w:rsidR="000963BF" w14:paraId="1A88C78F"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373BD98" w14:textId="77777777" w:rsidR="000963BF" w:rsidRDefault="00000000">
            <w:pPr>
              <w:spacing w:line="360" w:lineRule="auto"/>
            </w:pPr>
            <w:r>
              <w:rPr>
                <w:sz w:val="22"/>
                <w:szCs w:val="22"/>
              </w:rPr>
              <w:t>Framework Adequacy Score</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A3D3E37" w14:textId="77777777" w:rsidR="000963BF" w:rsidRDefault="00000000">
            <w:pPr>
              <w:spacing w:line="360" w:lineRule="auto"/>
            </w:pPr>
            <w:r>
              <w:rPr>
                <w:sz w:val="22"/>
                <w:szCs w:val="22"/>
              </w:rPr>
              <w:t>The secondary dependent variable measuring the degree to which existing OT security standards, including IEC 62443 (International Society of Automation, 2018) and NIST SP 800-82 (Stouffer et al., 2023), are perceived by practitioners to adequately address the governance needs of their modern OT environment.</w:t>
            </w:r>
          </w:p>
        </w:tc>
      </w:tr>
      <w:tr w:rsidR="000963BF" w14:paraId="2F44E1A5"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0C5C6AEE" w14:textId="77777777" w:rsidR="000963BF" w:rsidRDefault="00000000">
            <w:pPr>
              <w:spacing w:line="360" w:lineRule="auto"/>
            </w:pPr>
            <w:r>
              <w:rPr>
                <w:sz w:val="22"/>
                <w:szCs w:val="22"/>
              </w:rPr>
              <w:t>Cybersecurity Governance Framework</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507EE5DB" w14:textId="77777777" w:rsidR="000963BF" w:rsidRDefault="00000000">
            <w:pPr>
              <w:spacing w:line="360" w:lineRule="auto"/>
            </w:pPr>
            <w:r>
              <w:rPr>
                <w:sz w:val="22"/>
                <w:szCs w:val="22"/>
              </w:rPr>
              <w:t>A structured set of policies, roles, responsibilities, processes, and controls that guide an organisation's approach to identifying, assessing, and managing cybersecurity risk in OT environments (ENISA, 2022).</w:t>
            </w:r>
          </w:p>
        </w:tc>
      </w:tr>
      <w:tr w:rsidR="000963BF" w14:paraId="65A527C9" w14:textId="77777777">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0913DAE" w14:textId="77777777" w:rsidR="000963BF" w:rsidRDefault="00000000">
            <w:pPr>
              <w:spacing w:line="360" w:lineRule="auto"/>
            </w:pPr>
            <w:r>
              <w:rPr>
                <w:sz w:val="22"/>
                <w:szCs w:val="22"/>
              </w:rPr>
              <w:t>CISO Mandate Scope</w:t>
            </w:r>
          </w:p>
        </w:tc>
        <w:tc>
          <w:tcPr>
            <w:tcW w:w="6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EF7DB4E" w14:textId="77777777" w:rsidR="000963BF" w:rsidRDefault="00000000">
            <w:pPr>
              <w:spacing w:line="360" w:lineRule="auto"/>
            </w:pPr>
            <w:r>
              <w:rPr>
                <w:sz w:val="22"/>
                <w:szCs w:val="22"/>
              </w:rPr>
              <w:t>A contextual variable describing whether the Chief Information Security Officer holds formal responsibility for OT security, IT security only, or a hybrid mandate covering both domains.</w:t>
            </w:r>
          </w:p>
        </w:tc>
      </w:tr>
      <w:tr w:rsidR="000963BF" w14:paraId="155F424B" w14:textId="77777777">
        <w:tc>
          <w:tcPr>
            <w:tcW w:w="28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0BF43745" w14:textId="77777777" w:rsidR="000963BF" w:rsidRDefault="00000000">
            <w:pPr>
              <w:spacing w:line="360" w:lineRule="auto"/>
            </w:pPr>
            <w:r>
              <w:rPr>
                <w:sz w:val="22"/>
                <w:szCs w:val="22"/>
              </w:rPr>
              <w:lastRenderedPageBreak/>
              <w:t>National Regulatory Context</w:t>
            </w:r>
          </w:p>
        </w:tc>
        <w:tc>
          <w:tcPr>
            <w:tcW w:w="6200" w:type="dxa"/>
            <w:tcBorders>
              <w:top w:val="single" w:sz="4" w:space="0" w:color="CCCCCC"/>
              <w:left w:val="single" w:sz="4" w:space="0" w:color="CCCCCC"/>
              <w:bottom w:val="single" w:sz="4" w:space="0" w:color="CCCCCC"/>
              <w:right w:val="single" w:sz="4" w:space="0" w:color="CCCCCC"/>
            </w:tcBorders>
            <w:shd w:val="clear" w:color="auto" w:fill="F5F5F5"/>
            <w:tcMar>
              <w:top w:w="80" w:type="dxa"/>
              <w:left w:w="120" w:type="dxa"/>
              <w:bottom w:w="80" w:type="dxa"/>
              <w:right w:w="120" w:type="dxa"/>
            </w:tcMar>
          </w:tcPr>
          <w:p w14:paraId="32F8FF19" w14:textId="77777777" w:rsidR="000963BF" w:rsidRDefault="00000000">
            <w:pPr>
              <w:spacing w:line="360" w:lineRule="auto"/>
            </w:pPr>
            <w:r>
              <w:rPr>
                <w:sz w:val="22"/>
                <w:szCs w:val="22"/>
              </w:rPr>
              <w:t>A contextual variable describing the presence and maturity of national OT cybersecurity regulations, such as the NCA Essential Cybersecurity Controls (NCA, 2021) and OTCC-1:2022 (National Cybersecurity Authority, 2022), in the respondent's operating jurisdiction.</w:t>
            </w:r>
          </w:p>
        </w:tc>
      </w:tr>
    </w:tbl>
    <w:p w14:paraId="027EF36B" w14:textId="77777777" w:rsidR="000963BF" w:rsidRDefault="000963BF">
      <w:pPr>
        <w:spacing w:line="360" w:lineRule="auto"/>
      </w:pPr>
    </w:p>
    <w:p w14:paraId="5B4CFDE0" w14:textId="77777777" w:rsidR="000963BF" w:rsidRDefault="00000000">
      <w:r>
        <w:br w:type="page"/>
      </w:r>
    </w:p>
    <w:p w14:paraId="33B46873" w14:textId="77777777" w:rsidR="000963BF" w:rsidRDefault="00000000">
      <w:pPr>
        <w:pStyle w:val="Heading1"/>
      </w:pPr>
      <w:r>
        <w:lastRenderedPageBreak/>
        <w:t>1.6 Research Scope</w:t>
      </w:r>
    </w:p>
    <w:p w14:paraId="2B17C7BD" w14:textId="77777777" w:rsidR="000963BF" w:rsidRDefault="00000000">
      <w:pPr>
        <w:pStyle w:val="Heading2"/>
      </w:pPr>
      <w:r>
        <w:t>1.6.1 Thematic Scope</w:t>
      </w:r>
    </w:p>
    <w:p w14:paraId="4A566DD5" w14:textId="77777777" w:rsidR="000963BF" w:rsidRDefault="00000000">
      <w:pPr>
        <w:spacing w:after="160" w:line="360" w:lineRule="auto"/>
        <w:ind w:firstLine="720"/>
        <w:jc w:val="both"/>
      </w:pPr>
      <w:r>
        <w:t>This research is a governance study, not a technical security study. Its focus is on the policies, structures, roles, and frameworks through which organisations manage OT cybersecurity risk — and specifically on the adequacy of those governance mechanisms when emerging technologies are integrated at the IT/OT boundary. Questions of technical control implementation, cryptographic design, or forensic incident analysis fall outside this scope. They are not less important; they simply belong to a different research tradition.</w:t>
      </w:r>
    </w:p>
    <w:p w14:paraId="70C06BDA" w14:textId="77777777" w:rsidR="000963BF" w:rsidRDefault="00000000">
      <w:pPr>
        <w:spacing w:after="160" w:line="360" w:lineRule="auto"/>
        <w:ind w:firstLine="720"/>
        <w:jc w:val="both"/>
      </w:pPr>
      <w:r>
        <w:t>Within the governance domain, the research focuses specifically on the IT/OT boundary as the zone where governance gaps are most pronounced. General OT security challenges are addressed as context, but the specific problems investigated are those that arise when IT-layer technologies — AI analytics, 5G-connected sensors, cloud-based systems — are deployed in ways that interact with or penetrate the OT environment. This is where the most consequential governance questions currently lack answers.</w:t>
      </w:r>
    </w:p>
    <w:p w14:paraId="20F6847B" w14:textId="77777777" w:rsidR="000963BF" w:rsidRDefault="00000000">
      <w:pPr>
        <w:pStyle w:val="Heading2"/>
      </w:pPr>
      <w:r>
        <w:t>1.6.2 Geographic Scope</w:t>
      </w:r>
    </w:p>
    <w:p w14:paraId="2C4526F2" w14:textId="77777777" w:rsidR="000963BF" w:rsidRDefault="00000000">
      <w:pPr>
        <w:spacing w:after="160" w:line="360" w:lineRule="auto"/>
        <w:ind w:firstLine="720"/>
        <w:jc w:val="both"/>
      </w:pPr>
      <w:r>
        <w:t>Saudi Arabia is the primary geographic setting for this research, for reasons that go beyond the researcher's professional location. The Kingdom presents an unusually concentrated version of the governance problem under investigation: it hosts some of the world's largest and most operationally mature legacy OT installations alongside an accelerating build-out of modern, digitally integrated OT environments in sectors that did not exist a decade ago (Vision 2030, 2016). Few places in the world offer this combination, which makes it a particularly informative research context for a study examining how governance frameworks perform across the modern/legacy divide.</w:t>
      </w:r>
    </w:p>
    <w:p w14:paraId="73F3D798" w14:textId="77777777" w:rsidR="000963BF" w:rsidRDefault="00000000">
      <w:pPr>
        <w:spacing w:after="160" w:line="360" w:lineRule="auto"/>
        <w:ind w:firstLine="720"/>
        <w:jc w:val="both"/>
      </w:pPr>
      <w:r>
        <w:t xml:space="preserve">The quantitative survey is not limited to Saudi Arabia. It extends to OT security professionals across the GCC and internationally, so that findings can be examined for patterns that hold beyond the national context (Creswell &amp; Creswell, 2018). Expert interviews similarly include participants from outside the Kingdom, allowing governance approaches in different </w:t>
      </w:r>
      <w:r>
        <w:lastRenderedPageBreak/>
        <w:t>regulatory environments to be compared. The goal is research that is grounded in Saudi Arabia's specific context while producing findings of wider relevance.</w:t>
      </w:r>
    </w:p>
    <w:p w14:paraId="6CA2DF92" w14:textId="77777777" w:rsidR="000963BF" w:rsidRDefault="00000000">
      <w:pPr>
        <w:pStyle w:val="Heading2"/>
      </w:pPr>
      <w:r>
        <w:t>1.6.3 Temporal Scope</w:t>
      </w:r>
    </w:p>
    <w:p w14:paraId="3F67DFE5" w14:textId="77777777" w:rsidR="000963BF" w:rsidRDefault="00000000">
      <w:pPr>
        <w:spacing w:after="160" w:line="360" w:lineRule="auto"/>
        <w:ind w:firstLine="720"/>
        <w:jc w:val="both"/>
      </w:pPr>
      <w:r>
        <w:t>The temporal boundary of this research is 2025 onward, with primary data collection taking place between 2025 and 2026. This boundary is not arbitrary. The integration of AI, 5G, and cloud technologies into OT environments has accelerated markedly since 2020, and the governance challenges that acceleration creates are qualitatively different from those documented in pre-2020 literature (Dragos, 2024; Claroty, 2024). Using older research as a foundation for understanding current governance problems risks building on assumptions that no longer apply.</w:t>
      </w:r>
    </w:p>
    <w:p w14:paraId="0F0537C6" w14:textId="77777777" w:rsidR="000963BF" w:rsidRDefault="00000000">
      <w:pPr>
        <w:spacing w:after="160" w:line="360" w:lineRule="auto"/>
        <w:ind w:firstLine="720"/>
        <w:jc w:val="both"/>
      </w:pPr>
      <w:r>
        <w:t>The OT security landscape is moving quickly, and any framework produced by this research will need to be treated as a point-in-time contribution rather than a permanent solution. For this reason, the proposed framework is designed with principles of adaptability built in — it is intended to provide durable structural guidance while remaining open to revision as the technology and regulatory context evolves.</w:t>
      </w:r>
    </w:p>
    <w:p w14:paraId="563969C4" w14:textId="77777777" w:rsidR="000963BF" w:rsidRDefault="00000000">
      <w:pPr>
        <w:pStyle w:val="Heading2"/>
      </w:pPr>
      <w:r>
        <w:t>1.6.4 Population and Target Groups</w:t>
      </w:r>
    </w:p>
    <w:p w14:paraId="739B5EF0" w14:textId="77777777" w:rsidR="000963BF" w:rsidRDefault="00000000">
      <w:pPr>
        <w:spacing w:after="160" w:line="360" w:lineRule="auto"/>
        <w:ind w:firstLine="720"/>
        <w:jc w:val="both"/>
      </w:pPr>
      <w:r>
        <w:t>Three participant groups are involved in data collection. The largest is OT security professionals — CISOs, OT Security Managers, ICS and SCADA engineers, and IT/OT governance leads — drawn from energy, utilities, manufacturing, water, and hydrogen sectors. The quantitative survey targets 50 to 100 respondents from this group. Expert interview participants are selected from the same pool but must meet more stringent criteria: a minimum of ten years of OT security experience, or internationally recognised certifications such as GICSP, CISSP, or IEC 62443 Cybersecurity Expert. These criteria are necessary because the quality of qualitative insight in semi-structured interviews depends heavily on the depth of the participant's experience.</w:t>
      </w:r>
    </w:p>
    <w:p w14:paraId="2A961C1E" w14:textId="77777777" w:rsidR="000963BF" w:rsidRDefault="00000000">
      <w:pPr>
        <w:spacing w:after="160" w:line="360" w:lineRule="auto"/>
        <w:ind w:firstLine="720"/>
        <w:jc w:val="both"/>
      </w:pPr>
      <w:r>
        <w:t xml:space="preserve">The second participant group consists of national cybersecurity authority representatives and policymakers, particularly from the Saudi Arabian and GCC context. Their perspective is essential for the policy dimension of the research. A Delphi validation panel of </w:t>
      </w:r>
      <w:r>
        <w:lastRenderedPageBreak/>
        <w:t>eight to twelve subject matter experts, drawn from both groups, will convene in two rounds to assess and refine the proposed governance framework before final submission.</w:t>
      </w:r>
    </w:p>
    <w:p w14:paraId="5BC17959" w14:textId="77777777" w:rsidR="000963BF" w:rsidRDefault="00000000">
      <w:pPr>
        <w:spacing w:after="160" w:line="360" w:lineRule="auto"/>
        <w:ind w:firstLine="720"/>
        <w:jc w:val="both"/>
      </w:pPr>
      <w:r>
        <w:t>The research is intended to be useful to three audiences beyond academia. Practitioners running or designing modern OT environments are the most immediate beneficiaries — the framework produced by this research is designed to be applied. National cybersecurity authorities, particularly the NCA, represent the policy audience: the research findings will include recommendations that can directly inform regulatory development. The academic community working in OT security and cybersecurity governance represents the third audience, for whom this research contributes an empirically grounded theoretical framework in a domain that currently lacks one.</w:t>
      </w:r>
    </w:p>
    <w:p w14:paraId="28592BFE" w14:textId="77777777" w:rsidR="000963BF" w:rsidRDefault="00000000">
      <w:r>
        <w:br w:type="page"/>
      </w:r>
    </w:p>
    <w:p w14:paraId="7FF96EE2" w14:textId="77777777" w:rsidR="000963BF" w:rsidRDefault="00000000">
      <w:pPr>
        <w:pStyle w:val="Heading1"/>
      </w:pPr>
      <w:r>
        <w:lastRenderedPageBreak/>
        <w:t>1.7 Chapter Summary</w:t>
      </w:r>
    </w:p>
    <w:p w14:paraId="1F1FDC79" w14:textId="77777777" w:rsidR="000963BF" w:rsidRDefault="00000000">
      <w:pPr>
        <w:spacing w:after="160" w:line="360" w:lineRule="auto"/>
        <w:ind w:firstLine="720"/>
        <w:jc w:val="both"/>
      </w:pPr>
      <w:r>
        <w:t>This chapter has established the foundation from which the rest of the thesis proceeds. The introduction situated the research in the context of a technology shift that has fundamentally changed the nature of OT security: the move from isolated, proprietary systems to digitally integrated environments in which AI, 5G, and cloud technologies are operational necessities rather than additions. Against that backdrop, the problem statement identified three specific governance failures — frameworks built for a different generation of OT, a boundary zone that is increasingly active and almost entirely ungoverned, and an organisational CISO role that lacks the structural support to govern both IT and OT effectively.</w:t>
      </w:r>
    </w:p>
    <w:p w14:paraId="2459D7EA" w14:textId="77777777" w:rsidR="000963BF" w:rsidRDefault="00000000">
      <w:pPr>
        <w:spacing w:after="160" w:line="360" w:lineRule="auto"/>
        <w:ind w:firstLine="720"/>
        <w:jc w:val="both"/>
      </w:pPr>
      <w:r>
        <w:t>The primary research question asks how governance should be structured in modern OT environments to manage emerging technology risks at the IT/OT boundary. Four sub-questions break that question into researchable components, and five objectives describe what the research will do in sequence: review the literature, collect empirical data, analyse framework adequacy, develop a governance framework, and validate it. Three null hypotheses operationalise the core theoretical argument: that OT environment type predicts governance effectiveness, that boundary-level technology integration drives operational complexity, and that this complexity mediates the governance impact of technology adoption.</w:t>
      </w:r>
    </w:p>
    <w:p w14:paraId="25BCEA33" w14:textId="77777777" w:rsidR="000963BF" w:rsidRDefault="00000000">
      <w:pPr>
        <w:spacing w:after="160" w:line="360" w:lineRule="auto"/>
        <w:ind w:firstLine="720"/>
        <w:jc w:val="both"/>
      </w:pPr>
      <w:r>
        <w:t>Twelve key terms were defined operationally to ensure consistency throughout the research, and the scope was bounded across four dimensions. The research is a governance study set primarily in Saudi Arabia, focused on the IT/OT boundary, conducted between 2025 and 2026, and engaging OT security professionals and national policymakers as its primary participants.</w:t>
      </w:r>
    </w:p>
    <w:p w14:paraId="5B717739" w14:textId="77777777" w:rsidR="000963BF" w:rsidRDefault="00000000">
      <w:pPr>
        <w:spacing w:after="160" w:line="360" w:lineRule="auto"/>
        <w:ind w:firstLine="720"/>
        <w:jc w:val="both"/>
      </w:pPr>
      <w:r>
        <w:t>Chapter Two builds on this foundation by examining what the existing literature tells us — and, more importantly, what it does not — about OT cybersecurity governance in modern environments. The systematic review will cover four thematic areas: OT cybersecurity fundamentals, IT/OT convergence and boundary security, emerging technologies in OT, and cybersecurity governance and policy.</w:t>
      </w:r>
    </w:p>
    <w:p w14:paraId="2AF7B79A" w14:textId="77777777" w:rsidR="000963BF" w:rsidRDefault="000963BF">
      <w:pPr>
        <w:spacing w:line="360" w:lineRule="auto"/>
      </w:pPr>
    </w:p>
    <w:p w14:paraId="7C4B4604" w14:textId="77777777" w:rsidR="000963BF" w:rsidRDefault="000963BF">
      <w:pPr>
        <w:spacing w:line="360" w:lineRule="auto"/>
      </w:pPr>
    </w:p>
    <w:p w14:paraId="6EC9F4B2" w14:textId="77777777" w:rsidR="000963BF" w:rsidRDefault="00000000">
      <w:r>
        <w:lastRenderedPageBreak/>
        <w:br w:type="page"/>
      </w:r>
    </w:p>
    <w:p w14:paraId="54BD4A92" w14:textId="77777777" w:rsidR="000963BF" w:rsidRDefault="00000000">
      <w:pPr>
        <w:pStyle w:val="Heading1"/>
      </w:pPr>
      <w:r>
        <w:lastRenderedPageBreak/>
        <w:t>References</w:t>
      </w:r>
    </w:p>
    <w:p w14:paraId="7CE2B141" w14:textId="77777777" w:rsidR="000963BF" w:rsidRDefault="00000000">
      <w:pPr>
        <w:spacing w:after="160" w:line="360" w:lineRule="auto"/>
        <w:jc w:val="both"/>
      </w:pPr>
      <w:r>
        <w:t>All references are formatted in accordance with APA 7th Edition.</w:t>
      </w:r>
    </w:p>
    <w:p w14:paraId="1FB7123C" w14:textId="77777777" w:rsidR="000963BF" w:rsidRDefault="000963BF">
      <w:pPr>
        <w:spacing w:line="360" w:lineRule="auto"/>
      </w:pPr>
    </w:p>
    <w:p w14:paraId="4D4358F2" w14:textId="77777777" w:rsidR="000963BF" w:rsidRDefault="00000000">
      <w:pPr>
        <w:spacing w:after="120" w:line="360" w:lineRule="auto"/>
        <w:ind w:left="720" w:hanging="720"/>
        <w:jc w:val="both"/>
      </w:pPr>
      <w:r>
        <w:t>Alsahafi, T., Halboob, W., &amp; Almuhtadi, J. (2022). Compliance with Saudi NCA-ECC based on ISO/IEC 27001. Tehnicki Vjesnik, 29(6), 2090-2097. https://doi.org/10.17559/TV-20220307162849</w:t>
      </w:r>
    </w:p>
    <w:p w14:paraId="2BB80AE4" w14:textId="77777777" w:rsidR="000963BF" w:rsidRDefault="00000000">
      <w:pPr>
        <w:spacing w:after="120" w:line="360" w:lineRule="auto"/>
        <w:ind w:left="720" w:hanging="720"/>
        <w:jc w:val="both"/>
      </w:pPr>
      <w:r>
        <w:t>Baron, R. M., &amp; Kenny, D. A. (1986). The moderator-mediator variable distinction in social psychological research: Conceptual, strategic, and statistical considerations. Journal of Personality and Social Psychology, 51(6), 1173-1182. https://doi.org/10.1037/0022-3514.51.6.1173</w:t>
      </w:r>
    </w:p>
    <w:p w14:paraId="4E869189" w14:textId="77777777" w:rsidR="000963BF" w:rsidRDefault="00000000">
      <w:pPr>
        <w:spacing w:after="120" w:line="360" w:lineRule="auto"/>
        <w:ind w:left="720" w:hanging="720"/>
        <w:jc w:val="both"/>
      </w:pPr>
      <w:r>
        <w:t>Boyes, H., Hallaq, B., Cunningham, J., &amp; Watson, T. (2018). The industrial internet of things (IIoT): An analysis framework. Computers in Industry, 101, 1-12. https://doi.org/10.1016/j.compind.2018.04.015</w:t>
      </w:r>
    </w:p>
    <w:p w14:paraId="1B8A2444" w14:textId="77777777" w:rsidR="000963BF" w:rsidRDefault="00000000">
      <w:pPr>
        <w:spacing w:after="120" w:line="360" w:lineRule="auto"/>
        <w:ind w:left="720" w:hanging="720"/>
        <w:jc w:val="both"/>
      </w:pPr>
      <w:r>
        <w:t>Braun, V., &amp; Clarke, V. (2006). Using thematic analysis in psychology. Qualitative Research in Psychology, 3(2), 77-101. https://doi.org/10.1191/1478088706qp063oa</w:t>
      </w:r>
    </w:p>
    <w:p w14:paraId="1D9E02F9" w14:textId="77777777" w:rsidR="000963BF" w:rsidRDefault="00000000">
      <w:pPr>
        <w:spacing w:after="120" w:line="360" w:lineRule="auto"/>
        <w:ind w:left="720" w:hanging="720"/>
        <w:jc w:val="both"/>
      </w:pPr>
      <w:r>
        <w:t>Cheminod, M., Durante, L., &amp; Valenzano, A. (2013). Review of security issues in industrial networks. IEEE Transactions on Industrial Informatics, 9(1), 277-293. https://doi.org/10.1109/TII.2012.2198666</w:t>
      </w:r>
    </w:p>
    <w:p w14:paraId="51E4BBC2" w14:textId="77777777" w:rsidR="000963BF" w:rsidRDefault="00000000">
      <w:pPr>
        <w:spacing w:after="120" w:line="360" w:lineRule="auto"/>
        <w:ind w:left="720" w:hanging="720"/>
        <w:jc w:val="both"/>
      </w:pPr>
      <w:r>
        <w:t>Claroty. (2024). The global state of industrial cybersecurity 2024. Claroty Research. Retrieved April 2026, from https://claroty.com/resources/reports</w:t>
      </w:r>
    </w:p>
    <w:p w14:paraId="4F03EF3F" w14:textId="77777777" w:rsidR="000963BF" w:rsidRDefault="00000000">
      <w:pPr>
        <w:spacing w:after="120" w:line="360" w:lineRule="auto"/>
        <w:ind w:left="720" w:hanging="720"/>
        <w:jc w:val="both"/>
      </w:pPr>
      <w:r>
        <w:t>Creswell, J. W., &amp; Creswell, J. D. (2018). Research design: Qualitative, quantitative, and mixed methods approaches (5th ed.). SAGE Publications.</w:t>
      </w:r>
    </w:p>
    <w:p w14:paraId="64FE21B2" w14:textId="77777777" w:rsidR="000963BF" w:rsidRDefault="00000000">
      <w:pPr>
        <w:spacing w:after="120" w:line="360" w:lineRule="auto"/>
        <w:ind w:left="720" w:hanging="720"/>
        <w:jc w:val="both"/>
      </w:pPr>
      <w:r>
        <w:t>Dragos, Inc. (2024). ICS/OT cybersecurity year in review 2024. Dragos, Inc. Retrieved April 2026, from https://www.dragos.com/year-in-review/</w:t>
      </w:r>
    </w:p>
    <w:p w14:paraId="045F9364" w14:textId="77777777" w:rsidR="000963BF" w:rsidRDefault="00000000">
      <w:pPr>
        <w:spacing w:after="120" w:line="360" w:lineRule="auto"/>
        <w:ind w:left="720" w:hanging="720"/>
        <w:jc w:val="both"/>
      </w:pPr>
      <w:r>
        <w:t>ENISA. (2022). Good practices for security of industrial control systems. European Union Agency for Cybersecurity. https://doi.org/10.2824/18400</w:t>
      </w:r>
    </w:p>
    <w:p w14:paraId="61A6221E" w14:textId="77777777" w:rsidR="000963BF" w:rsidRDefault="00000000">
      <w:pPr>
        <w:spacing w:after="120" w:line="360" w:lineRule="auto"/>
        <w:ind w:left="720" w:hanging="720"/>
        <w:jc w:val="both"/>
      </w:pPr>
      <w:r>
        <w:t>Field, A. (2018). Discovering statistics using IBM SPSS statistics (5th ed.). SAGE Publications.</w:t>
      </w:r>
    </w:p>
    <w:p w14:paraId="3D77BAFB" w14:textId="77777777" w:rsidR="000963BF" w:rsidRDefault="00000000">
      <w:pPr>
        <w:spacing w:after="120" w:line="360" w:lineRule="auto"/>
        <w:ind w:left="720" w:hanging="720"/>
        <w:jc w:val="both"/>
      </w:pPr>
      <w:r>
        <w:lastRenderedPageBreak/>
        <w:t>Hasson, F., Keeney, S., &amp; McKenna, H. (2000). Research guidelines for the Delphi survey technique. Journal of Advanced Nursing, 32(4), 1008-1015. https://doi.org/10.1046/j.1365-2648.2000.t01-1-01567.x</w:t>
      </w:r>
    </w:p>
    <w:p w14:paraId="354D001B" w14:textId="77777777" w:rsidR="000963BF" w:rsidRDefault="00000000">
      <w:pPr>
        <w:spacing w:after="120" w:line="360" w:lineRule="auto"/>
        <w:ind w:left="720" w:hanging="720"/>
        <w:jc w:val="both"/>
      </w:pPr>
      <w:r>
        <w:t>International Society of Automation. (2018). ISA/IEC 62443 series: Security for industrial automation and control systems. ISA. https://www.isa.org/standards-and-publications/isa-standards/isa-iec-62443-series-of-standards</w:t>
      </w:r>
    </w:p>
    <w:p w14:paraId="6609EC3D" w14:textId="77777777" w:rsidR="000963BF" w:rsidRDefault="00000000">
      <w:pPr>
        <w:spacing w:after="120" w:line="360" w:lineRule="auto"/>
        <w:ind w:left="720" w:hanging="720"/>
        <w:jc w:val="both"/>
      </w:pPr>
      <w:r>
        <w:t>Knowles, W., Prince, D., Hutchison, D., Disso, J. F. P., &amp; Jones, K. (2015). A survey of cyber security management in industrial control systems. International Journal of Critical Infrastructure Protection, 9, 52-80. https://doi.org/10.1016/j.ijcip.2015.02.002</w:t>
      </w:r>
    </w:p>
    <w:p w14:paraId="25B8D799" w14:textId="77777777" w:rsidR="000963BF" w:rsidRDefault="00000000">
      <w:pPr>
        <w:spacing w:after="120" w:line="360" w:lineRule="auto"/>
        <w:ind w:left="720" w:hanging="720"/>
        <w:jc w:val="both"/>
      </w:pPr>
      <w:r>
        <w:t>Langner, R. (2011). Stuxnet: Dissecting a cyberweapon. IEEE Security and Privacy, 9(3), 49-51. https://doi.org/10.1109/MSP.2011.67</w:t>
      </w:r>
    </w:p>
    <w:p w14:paraId="3F33D097" w14:textId="77777777" w:rsidR="000963BF" w:rsidRDefault="00000000">
      <w:pPr>
        <w:spacing w:after="120" w:line="360" w:lineRule="auto"/>
        <w:ind w:left="720" w:hanging="720"/>
        <w:jc w:val="both"/>
      </w:pPr>
      <w:r>
        <w:t>Lee, R. M., Assante, M. J., &amp; Conway, T. (2016). Analysis of the cyber attack on the Ukrainian power grid. SANS ICS and E-ISAC. https://www.nerc.com/pa/CI/ESISAC/Documents/E-ISAC_SANS_Ukraine_DUC_18Mar2016.pdf</w:t>
      </w:r>
    </w:p>
    <w:p w14:paraId="41D5F9B0" w14:textId="77777777" w:rsidR="000963BF" w:rsidRDefault="00000000">
      <w:pPr>
        <w:spacing w:after="120" w:line="360" w:lineRule="auto"/>
        <w:ind w:left="720" w:hanging="720"/>
        <w:jc w:val="both"/>
      </w:pPr>
      <w:r>
        <w:t>National Cybersecurity Authority. (2021). National cybersecurity strategy. Kingdom of Saudi Arabia. https://nca.gov.sa</w:t>
      </w:r>
    </w:p>
    <w:p w14:paraId="48D89DB1" w14:textId="77777777" w:rsidR="000963BF" w:rsidRDefault="00000000">
      <w:pPr>
        <w:spacing w:after="120" w:line="360" w:lineRule="auto"/>
        <w:ind w:left="720" w:hanging="720"/>
        <w:jc w:val="both"/>
      </w:pPr>
      <w:r>
        <w:t>National Cybersecurity Authority. (2022). Operational Technology Cybersecurity Controls (OTCC-1:2022). Kingdom of Saudi Arabia. https://nca.gov.sa/en/pages/otcc</w:t>
      </w:r>
    </w:p>
    <w:p w14:paraId="39267774" w14:textId="77777777" w:rsidR="000963BF" w:rsidRDefault="00000000">
      <w:pPr>
        <w:spacing w:after="120" w:line="360" w:lineRule="auto"/>
        <w:ind w:left="720" w:hanging="720"/>
        <w:jc w:val="both"/>
      </w:pPr>
      <w:r>
        <w:t>NERC. (2020). NERC CIP standards: Critical infrastructure protection. North American Electric Reliability Corporation. https://www.nerc.com/pa/Stand/Pages/CIPStandards.aspx</w:t>
      </w:r>
    </w:p>
    <w:p w14:paraId="13C1630D" w14:textId="77777777" w:rsidR="000963BF" w:rsidRDefault="00000000">
      <w:pPr>
        <w:spacing w:after="120" w:line="360" w:lineRule="auto"/>
        <w:ind w:left="720" w:hanging="720"/>
        <w:jc w:val="both"/>
      </w:pPr>
      <w:r>
        <w:t>Page, M. J., McKenzie, J. E., Bossuyt, P. M., Boutron, I., Hoffmann, T. C., Mulrow, C. D., &amp; Moher, D. (2021). The PRISMA 2020 statement: An updated guideline for reporting systematic reviews. BMJ, 372, n71. https://doi.org/10.1136/bmj.n71</w:t>
      </w:r>
    </w:p>
    <w:p w14:paraId="7D01AF41" w14:textId="77777777" w:rsidR="000963BF" w:rsidRDefault="00000000">
      <w:pPr>
        <w:spacing w:after="120" w:line="360" w:lineRule="auto"/>
        <w:ind w:left="720" w:hanging="720"/>
        <w:jc w:val="both"/>
      </w:pPr>
      <w:r>
        <w:t>Paulk, M. C., Curtis, B., Chrissis, M. B., &amp; Weber, C. V. (1993). Capability maturity model for software, version 1.1 (CMU/SEI-93-TR-024). Software Engineering Institute, Carnegie Mellon University.</w:t>
      </w:r>
    </w:p>
    <w:p w14:paraId="44AD4008" w14:textId="77777777" w:rsidR="000963BF" w:rsidRDefault="00000000">
      <w:pPr>
        <w:spacing w:after="120" w:line="360" w:lineRule="auto"/>
        <w:ind w:left="720" w:hanging="720"/>
        <w:jc w:val="both"/>
      </w:pPr>
      <w:r>
        <w:lastRenderedPageBreak/>
        <w:t>Rawindaran, N., Nawaf, L., Alarifi, S., Alghazzawi, D., Carroll, F., Katib, I., &amp; Hewage, C. (2023). Enhancing cyber security governance and policy for SMEs in industry 5.0: A comparative study between Saudi Arabia and the United Kingdom. Digital, 3(3), 200-231. https://doi.org/10.3390/digital3030014</w:t>
      </w:r>
    </w:p>
    <w:p w14:paraId="457E50A4" w14:textId="77777777" w:rsidR="000963BF" w:rsidRDefault="00000000">
      <w:pPr>
        <w:spacing w:after="120" w:line="360" w:lineRule="auto"/>
        <w:ind w:left="720" w:hanging="720"/>
        <w:jc w:val="both"/>
      </w:pPr>
      <w:r>
        <w:t>Stouffer, K., Lightman, S., Pillitteri, V., Abrams, M., &amp; Hahn, A. (2023). Guide to operational technology (OT) security (NIST Special Publication 800-82, Rev. 3). National Institute of Standards and Technology. https://doi.org/10.6028/NIST.SP.800-82r3</w:t>
      </w:r>
    </w:p>
    <w:p w14:paraId="19E88656" w14:textId="77777777" w:rsidR="000963BF" w:rsidRDefault="00000000">
      <w:pPr>
        <w:spacing w:after="120" w:line="360" w:lineRule="auto"/>
        <w:ind w:left="720" w:hanging="720"/>
        <w:jc w:val="both"/>
      </w:pPr>
      <w:r>
        <w:t>Vision 2030. (2016). Vision 2030 Kingdom of Saudi Arabia. Kingdom of Saudi Arabia. https://www.vision2030.gov.sa</w:t>
      </w:r>
    </w:p>
    <w:p w14:paraId="08765428" w14:textId="77777777" w:rsidR="000963BF" w:rsidRDefault="00000000">
      <w:pPr>
        <w:spacing w:after="120" w:line="360" w:lineRule="auto"/>
        <w:ind w:left="720" w:hanging="720"/>
        <w:jc w:val="both"/>
      </w:pPr>
      <w:r>
        <w:t>Williams, T. J. (1994). The Purdue enterprise reference architecture. Computers in Industry, 24(2-3), 141-158. https://doi.org/10.1016/0166-3615(94)90017-5</w:t>
      </w:r>
    </w:p>
    <w:p w14:paraId="3E873DE0" w14:textId="77777777" w:rsidR="000963BF" w:rsidRDefault="00000000">
      <w:pPr>
        <w:spacing w:after="120" w:line="360" w:lineRule="auto"/>
        <w:ind w:left="720" w:hanging="720"/>
        <w:jc w:val="both"/>
      </w:pPr>
      <w:r>
        <w:t>Yin, R. K. (2018). Case study research and applications: Design and methods (6th ed.). SAGE Publications.</w:t>
      </w:r>
    </w:p>
    <w:sectPr w:rsidR="000963BF">
      <w:headerReference w:type="default" r:id="rId8"/>
      <w:footerReference w:type="default" r:id="rId9"/>
      <w:pgSz w:w="12240" w:h="15840"/>
      <w:pgMar w:top="1440" w:right="144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6DD18" w14:textId="77777777" w:rsidR="0075725B" w:rsidRDefault="0075725B">
      <w:r>
        <w:separator/>
      </w:r>
    </w:p>
  </w:endnote>
  <w:endnote w:type="continuationSeparator" w:id="0">
    <w:p w14:paraId="5B423D1B" w14:textId="77777777" w:rsidR="0075725B" w:rsidRDefault="0075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8993F1ED-6721-4BAB-838E-0007590F2B94}"/>
  </w:font>
  <w:font w:name="Calibri">
    <w:panose1 w:val="020F0502020204030204"/>
    <w:charset w:val="00"/>
    <w:family w:val="swiss"/>
    <w:pitch w:val="variable"/>
    <w:sig w:usb0="E4002EFF" w:usb1="C200247B" w:usb2="00000009" w:usb3="00000000" w:csb0="000001FF" w:csb1="00000000"/>
    <w:embedRegular r:id="rId2" w:fontKey="{296CA6ED-ABCF-44B9-9780-5874FA8064D7}"/>
  </w:font>
  <w:font w:name="Cambria">
    <w:panose1 w:val="02040503050406030204"/>
    <w:charset w:val="00"/>
    <w:family w:val="roman"/>
    <w:pitch w:val="variable"/>
    <w:sig w:usb0="E00006FF" w:usb1="420024FF" w:usb2="02000000" w:usb3="00000000" w:csb0="0000019F" w:csb1="00000000"/>
    <w:embedRegular r:id="rId3" w:fontKey="{F86DC177-2BD8-4CD4-A33A-5316EAC7FD2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78B59" w14:textId="77777777" w:rsidR="000963BF" w:rsidRDefault="00000000">
    <w:pPr>
      <w:pBdr>
        <w:top w:val="single" w:sz="4" w:space="4" w:color="CCCCCC"/>
      </w:pBdr>
      <w:jc w:val="center"/>
    </w:pPr>
    <w:r>
      <w:rPr>
        <w:color w:val="888888"/>
        <w:sz w:val="18"/>
        <w:szCs w:val="18"/>
      </w:rPr>
      <w:t>Abdulaziz Alarfaj  |  251002116  |  Midocean University  |  PhD Thesis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F2F68" w14:textId="77777777" w:rsidR="0075725B" w:rsidRDefault="0075725B">
      <w:r>
        <w:separator/>
      </w:r>
    </w:p>
  </w:footnote>
  <w:footnote w:type="continuationSeparator" w:id="0">
    <w:p w14:paraId="69144D53" w14:textId="77777777" w:rsidR="0075725B" w:rsidRDefault="00757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479B4" w14:textId="77777777" w:rsidR="000963BF" w:rsidRDefault="00000000">
    <w:pPr>
      <w:pBdr>
        <w:bottom w:val="single" w:sz="4" w:space="4" w:color="CCCCCC"/>
      </w:pBdr>
      <w:jc w:val="right"/>
    </w:pPr>
    <w:r>
      <w:rPr>
        <w:color w:val="888888"/>
        <w:sz w:val="18"/>
        <w:szCs w:val="18"/>
      </w:rPr>
      <w:t>Cybersecurity Governance in Modern OT Environments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53A82"/>
    <w:multiLevelType w:val="multilevel"/>
    <w:tmpl w:val="4B4E58B0"/>
    <w:lvl w:ilvl="0">
      <w:start w:val="1"/>
      <w:numFmt w:val="decimal"/>
      <w:lvlText w:val="%1."/>
      <w:lvlJc w:val="left"/>
      <w:pPr>
        <w:ind w:left="90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4265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BF"/>
    <w:rsid w:val="000963BF"/>
    <w:rsid w:val="00347514"/>
    <w:rsid w:val="0075725B"/>
    <w:rsid w:val="00BA4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A079"/>
  <w15:docId w15:val="{0CFB2B17-A53D-4F80-8FC1-18F1FDAB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00" w:after="160" w:line="360" w:lineRule="auto"/>
      <w:outlineLvl w:val="0"/>
    </w:pPr>
    <w:rPr>
      <w:b/>
      <w:bCs/>
      <w:color w:val="1C2B3A"/>
      <w:sz w:val="26"/>
      <w:szCs w:val="26"/>
    </w:rPr>
  </w:style>
  <w:style w:type="paragraph" w:styleId="Heading2">
    <w:name w:val="heading 2"/>
    <w:basedOn w:val="Normal"/>
    <w:next w:val="Normal"/>
    <w:uiPriority w:val="9"/>
    <w:unhideWhenUsed/>
    <w:qFormat/>
    <w:pPr>
      <w:pBdr>
        <w:top w:val="nil"/>
        <w:left w:val="nil"/>
        <w:bottom w:val="nil"/>
        <w:right w:val="nil"/>
        <w:between w:val="nil"/>
      </w:pBdr>
      <w:spacing w:before="280" w:after="120" w:line="360" w:lineRule="auto"/>
      <w:outlineLvl w:val="1"/>
    </w:pPr>
    <w:rPr>
      <w:b/>
      <w:bCs/>
      <w:color w:val="1C2B3A"/>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T/IdFp5ftqhWePopdngVZOA/RA==">CgMxLjA4AHIhMUh1ZEI2SHI0dGdqZVM0RTZJVlNLWGE2M21QcE5Uc1g2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4855</Words>
  <Characters>27680</Characters>
  <Application>Microsoft Office Word</Application>
  <DocSecurity>0</DocSecurity>
  <Lines>230</Lines>
  <Paragraphs>64</Paragraphs>
  <ScaleCrop>false</ScaleCrop>
  <Company/>
  <LinksUpToDate>false</LinksUpToDate>
  <CharactersWithSpaces>32471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Abdulaziz Alarfaj</dc:creator>
  <cp:lastModifiedBy>Thikra Hamzi</cp:lastModifiedBy>
  <cp:revision>2</cp:revision>
  <dcterms:created xsi:type="dcterms:W3CDTF">2026-07-06T20:30:00Z</dcterms:created>
  <dcterms:modified xsi:type="dcterms:W3CDTF">2026-07-06T20:30:00Z</dcterms:modified>
</cp:coreProperties>
</file>