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AD811" w14:textId="77777777" w:rsidR="00CF7B61" w:rsidRPr="007C2480" w:rsidRDefault="00CF7B61" w:rsidP="00EB0259">
      <w:pPr>
        <w:bidi/>
        <w:spacing w:line="360" w:lineRule="auto"/>
        <w:jc w:val="center"/>
        <w:divId w:val="2000575654"/>
        <w:rPr>
          <w:rFonts w:ascii="Traditional Arabic" w:eastAsia="Times New Roman" w:hAnsi="Traditional Arabic" w:cs="Traditional Arabic"/>
          <w:rtl/>
        </w:rPr>
      </w:pPr>
      <w:r w:rsidRPr="007C2480">
        <w:rPr>
          <w:rFonts w:ascii="Traditional Arabic" w:eastAsia="Times New Roman" w:hAnsi="Traditional Arabic" w:cs="Traditional Arabic"/>
          <w:noProof/>
          <w:rtl/>
          <w:lang w:val="ar" w:bidi="ar"/>
        </w:rPr>
        <w:drawing>
          <wp:anchor distT="0" distB="0" distL="114300" distR="114300" simplePos="0" relativeHeight="251658240" behindDoc="1" locked="0" layoutInCell="1" allowOverlap="1" wp14:anchorId="4B5C27CD" wp14:editId="296FB7EB">
            <wp:simplePos x="0" y="0"/>
            <wp:positionH relativeFrom="margin">
              <wp:posOffset>1709365</wp:posOffset>
            </wp:positionH>
            <wp:positionV relativeFrom="paragraph">
              <wp:posOffset>0</wp:posOffset>
            </wp:positionV>
            <wp:extent cx="2407285" cy="2407285"/>
            <wp:effectExtent l="0" t="0" r="0" b="0"/>
            <wp:wrapTight wrapText="bothSides">
              <wp:wrapPolygon edited="0">
                <wp:start x="0" y="0"/>
                <wp:lineTo x="0" y="21366"/>
                <wp:lineTo x="21366" y="21366"/>
                <wp:lineTo x="213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idoce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7285" cy="2407285"/>
                    </a:xfrm>
                    <a:prstGeom prst="rect">
                      <a:avLst/>
                    </a:prstGeom>
                  </pic:spPr>
                </pic:pic>
              </a:graphicData>
            </a:graphic>
            <wp14:sizeRelH relativeFrom="margin">
              <wp14:pctWidth>0</wp14:pctWidth>
            </wp14:sizeRelH>
            <wp14:sizeRelV relativeFrom="margin">
              <wp14:pctHeight>0</wp14:pctHeight>
            </wp14:sizeRelV>
          </wp:anchor>
        </w:drawing>
      </w:r>
    </w:p>
    <w:p w14:paraId="06BFF638" w14:textId="77777777" w:rsidR="00CF7B61" w:rsidRPr="007C2480" w:rsidRDefault="00CF7B61" w:rsidP="00EB0259">
      <w:pPr>
        <w:bidi/>
        <w:spacing w:line="360" w:lineRule="auto"/>
        <w:jc w:val="center"/>
        <w:divId w:val="2000575654"/>
        <w:rPr>
          <w:rFonts w:ascii="Traditional Arabic" w:eastAsia="Times New Roman" w:hAnsi="Traditional Arabic" w:cs="Traditional Arabic"/>
          <w:rtl/>
        </w:rPr>
      </w:pPr>
    </w:p>
    <w:p w14:paraId="0D55875B" w14:textId="77777777" w:rsidR="00CF7B61" w:rsidRPr="007C2480" w:rsidRDefault="00CF7B61" w:rsidP="00EB0259">
      <w:pPr>
        <w:bidi/>
        <w:spacing w:line="360" w:lineRule="auto"/>
        <w:jc w:val="center"/>
        <w:divId w:val="2000575654"/>
        <w:rPr>
          <w:rFonts w:ascii="Traditional Arabic" w:eastAsia="Times New Roman" w:hAnsi="Traditional Arabic" w:cs="Traditional Arabic"/>
          <w:rtl/>
        </w:rPr>
      </w:pPr>
    </w:p>
    <w:p w14:paraId="25366CB3" w14:textId="77777777" w:rsidR="00CF7B61" w:rsidRPr="007C2480" w:rsidRDefault="00CF7B61" w:rsidP="00EB0259">
      <w:pPr>
        <w:bidi/>
        <w:spacing w:line="360" w:lineRule="auto"/>
        <w:jc w:val="center"/>
        <w:divId w:val="2000575654"/>
        <w:rPr>
          <w:rFonts w:ascii="Traditional Arabic" w:eastAsia="Times New Roman" w:hAnsi="Traditional Arabic" w:cs="Traditional Arabic"/>
          <w:rtl/>
        </w:rPr>
      </w:pPr>
    </w:p>
    <w:p w14:paraId="33F4E32C" w14:textId="77777777" w:rsidR="00CF7B61" w:rsidRPr="007C2480" w:rsidRDefault="00CF7B61" w:rsidP="00EB0259">
      <w:pPr>
        <w:bidi/>
        <w:spacing w:line="360" w:lineRule="auto"/>
        <w:jc w:val="center"/>
        <w:divId w:val="2000575654"/>
        <w:rPr>
          <w:rFonts w:ascii="Traditional Arabic" w:eastAsia="Times New Roman" w:hAnsi="Traditional Arabic" w:cs="Traditional Arabic"/>
          <w:rtl/>
        </w:rPr>
      </w:pPr>
    </w:p>
    <w:p w14:paraId="54BBE826" w14:textId="77777777" w:rsidR="00CF7B61" w:rsidRPr="007C2480" w:rsidRDefault="00CF7B61" w:rsidP="00EB0259">
      <w:pPr>
        <w:bidi/>
        <w:spacing w:line="360" w:lineRule="auto"/>
        <w:jc w:val="center"/>
        <w:divId w:val="2000575654"/>
        <w:rPr>
          <w:rFonts w:ascii="Traditional Arabic" w:eastAsia="Times New Roman" w:hAnsi="Traditional Arabic" w:cs="Traditional Arabic"/>
          <w:rtl/>
        </w:rPr>
      </w:pPr>
    </w:p>
    <w:p w14:paraId="47C5D97D" w14:textId="77777777" w:rsidR="00CF7B61" w:rsidRPr="00DB3C7B" w:rsidRDefault="00CF7B61" w:rsidP="00EB0259">
      <w:pPr>
        <w:bidi/>
        <w:spacing w:line="360" w:lineRule="auto"/>
        <w:jc w:val="center"/>
        <w:divId w:val="2000575654"/>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 xml:space="preserve">جامعة </w:t>
      </w:r>
      <w:proofErr w:type="spellStart"/>
      <w:r w:rsidRPr="00DB3C7B">
        <w:rPr>
          <w:rFonts w:ascii="Traditional Arabic" w:eastAsia="Times New Roman" w:hAnsi="Traditional Arabic" w:cs="Traditional Arabic"/>
          <w:b/>
          <w:bCs/>
          <w:rtl/>
          <w:lang w:bidi="ar"/>
        </w:rPr>
        <w:t>ميدأوشن</w:t>
      </w:r>
      <w:proofErr w:type="spellEnd"/>
    </w:p>
    <w:p w14:paraId="0C356888" w14:textId="77777777" w:rsidR="00CF7B61" w:rsidRPr="00DB3C7B" w:rsidRDefault="00CF7B61" w:rsidP="00EB0259">
      <w:pPr>
        <w:bidi/>
        <w:spacing w:line="360" w:lineRule="auto"/>
        <w:jc w:val="center"/>
        <w:divId w:val="2000575654"/>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كلية الادارة</w:t>
      </w:r>
    </w:p>
    <w:p w14:paraId="77F7CDE5" w14:textId="77777777" w:rsidR="00CF7B61" w:rsidRPr="00DB3C7B" w:rsidRDefault="00CF7B61" w:rsidP="00EB0259">
      <w:pPr>
        <w:bidi/>
        <w:spacing w:line="360" w:lineRule="auto"/>
        <w:jc w:val="center"/>
        <w:divId w:val="2000575654"/>
        <w:rPr>
          <w:rFonts w:ascii="Traditional Arabic" w:eastAsia="Times New Roman" w:hAnsi="Traditional Arabic" w:cs="Traditional Arabic"/>
          <w:b/>
          <w:bCs/>
          <w:rtl/>
          <w:lang w:bidi="ar"/>
        </w:rPr>
      </w:pPr>
    </w:p>
    <w:p w14:paraId="151F1A57" w14:textId="3B4C3B60" w:rsidR="00CF7B61" w:rsidRPr="00DB3C7B" w:rsidRDefault="00323439" w:rsidP="00DB3C7B">
      <w:pPr>
        <w:bidi/>
        <w:spacing w:line="360" w:lineRule="auto"/>
        <w:jc w:val="center"/>
        <w:divId w:val="2000575654"/>
        <w:rPr>
          <w:rFonts w:ascii="Traditional Arabic" w:eastAsia="Times New Roman" w:hAnsi="Traditional Arabic" w:cs="Traditional Arabic" w:hint="cs"/>
          <w:b/>
          <w:bCs/>
          <w:rtl/>
          <w:lang w:bidi="ar"/>
        </w:rPr>
      </w:pPr>
      <w:r w:rsidRPr="00DB3C7B">
        <w:rPr>
          <w:rFonts w:ascii="Traditional Arabic" w:eastAsia="Times New Roman" w:hAnsi="Traditional Arabic" w:cs="Traditional Arabic"/>
          <w:b/>
          <w:bCs/>
          <w:rtl/>
          <w:lang w:bidi="ar"/>
        </w:rPr>
        <w:t>أثر التحوّل الرقمي المؤسسي على رضا الموظفين في مؤسسات المملكة العربية السعودية: وزارة الموارد البشرية والتنمية الاجتماعية أنموذجًا</w:t>
      </w:r>
    </w:p>
    <w:p w14:paraId="65423346" w14:textId="77777777" w:rsidR="00CF7B61" w:rsidRPr="00DB3C7B" w:rsidRDefault="00CF7B61" w:rsidP="00EB0259">
      <w:pPr>
        <w:bidi/>
        <w:spacing w:line="360" w:lineRule="auto"/>
        <w:jc w:val="center"/>
        <w:divId w:val="2000575654"/>
        <w:rPr>
          <w:rFonts w:ascii="Traditional Arabic" w:eastAsia="Times New Roman" w:hAnsi="Traditional Arabic" w:cs="Traditional Arabic"/>
          <w:b/>
          <w:bCs/>
          <w:rtl/>
          <w:lang w:bidi="ar"/>
        </w:rPr>
      </w:pPr>
    </w:p>
    <w:p w14:paraId="37B6030F" w14:textId="77777777" w:rsidR="00CF7B61" w:rsidRPr="00DB3C7B" w:rsidRDefault="00CF7B61" w:rsidP="00EB0259">
      <w:pPr>
        <w:bidi/>
        <w:spacing w:line="360" w:lineRule="auto"/>
        <w:jc w:val="center"/>
        <w:divId w:val="2000575654"/>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إعداد</w:t>
      </w:r>
    </w:p>
    <w:p w14:paraId="5CA02F3D" w14:textId="77777777" w:rsidR="00CF7B61" w:rsidRPr="00DB3C7B" w:rsidRDefault="00CF7B61" w:rsidP="00EB0259">
      <w:pPr>
        <w:bidi/>
        <w:spacing w:line="360" w:lineRule="auto"/>
        <w:jc w:val="center"/>
        <w:divId w:val="2000575654"/>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 xml:space="preserve">باحث </w:t>
      </w:r>
      <w:proofErr w:type="gramStart"/>
      <w:r w:rsidRPr="00DB3C7B">
        <w:rPr>
          <w:rFonts w:ascii="Traditional Arabic" w:eastAsia="Times New Roman" w:hAnsi="Traditional Arabic" w:cs="Traditional Arabic"/>
          <w:b/>
          <w:bCs/>
          <w:rtl/>
          <w:lang w:bidi="ar"/>
        </w:rPr>
        <w:t>الدكتوراه :</w:t>
      </w:r>
      <w:proofErr w:type="gramEnd"/>
      <w:r w:rsidRPr="00DB3C7B">
        <w:rPr>
          <w:rFonts w:ascii="Traditional Arabic" w:eastAsia="Times New Roman" w:hAnsi="Traditional Arabic" w:cs="Traditional Arabic"/>
          <w:b/>
          <w:bCs/>
          <w:rtl/>
          <w:lang w:bidi="ar"/>
        </w:rPr>
        <w:t xml:space="preserve"> سعود عبدالعزيز عبدالله آل حمد</w:t>
      </w:r>
    </w:p>
    <w:p w14:paraId="67D358D2" w14:textId="5A2A9F7B" w:rsidR="003625A1" w:rsidRPr="00DB3C7B" w:rsidRDefault="00CF7B61" w:rsidP="00DB3C7B">
      <w:pPr>
        <w:bidi/>
        <w:spacing w:line="360" w:lineRule="auto"/>
        <w:jc w:val="center"/>
        <w:divId w:val="2000575654"/>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المملكة العربية السعودية</w:t>
      </w:r>
    </w:p>
    <w:p w14:paraId="30350887" w14:textId="77777777" w:rsidR="00DB3C7B" w:rsidRPr="00DB3C7B" w:rsidRDefault="00DB3C7B" w:rsidP="00DB3C7B">
      <w:pPr>
        <w:bidi/>
        <w:spacing w:line="360" w:lineRule="auto"/>
        <w:jc w:val="center"/>
        <w:divId w:val="2000575654"/>
        <w:rPr>
          <w:rFonts w:ascii="Traditional Arabic" w:eastAsia="Times New Roman" w:hAnsi="Traditional Arabic" w:cs="Traditional Arabic"/>
          <w:b/>
          <w:bCs/>
          <w:rtl/>
          <w:lang w:bidi="ar"/>
        </w:rPr>
      </w:pPr>
    </w:p>
    <w:p w14:paraId="32035D50" w14:textId="77777777" w:rsidR="00E72D37" w:rsidRPr="00DB3C7B" w:rsidRDefault="00CF7B61" w:rsidP="00EB0259">
      <w:pPr>
        <w:bidi/>
        <w:spacing w:line="360" w:lineRule="auto"/>
        <w:jc w:val="center"/>
        <w:divId w:val="2000575654"/>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رسالة مقدمة لجامعة </w:t>
      </w:r>
      <w:proofErr w:type="spellStart"/>
      <w:r w:rsidRPr="00DB3C7B">
        <w:rPr>
          <w:rFonts w:ascii="Traditional Arabic" w:eastAsia="Times New Roman" w:hAnsi="Traditional Arabic" w:cs="Traditional Arabic"/>
          <w:b/>
          <w:bCs/>
          <w:rtl/>
        </w:rPr>
        <w:t>ميد</w:t>
      </w:r>
      <w:r w:rsidR="00E72D37" w:rsidRPr="00DB3C7B">
        <w:rPr>
          <w:rFonts w:ascii="Traditional Arabic" w:eastAsia="Times New Roman" w:hAnsi="Traditional Arabic" w:cs="Traditional Arabic"/>
          <w:b/>
          <w:bCs/>
          <w:rtl/>
        </w:rPr>
        <w:t>أوشن</w:t>
      </w:r>
      <w:proofErr w:type="spellEnd"/>
      <w:r w:rsidR="00E72D37" w:rsidRPr="00DB3C7B">
        <w:rPr>
          <w:rFonts w:ascii="Traditional Arabic" w:eastAsia="Times New Roman" w:hAnsi="Traditional Arabic" w:cs="Traditional Arabic"/>
          <w:b/>
          <w:bCs/>
          <w:rtl/>
        </w:rPr>
        <w:t xml:space="preserve"> </w:t>
      </w:r>
      <w:proofErr w:type="spellStart"/>
      <w:r w:rsidR="00E72D37" w:rsidRPr="00DB3C7B">
        <w:rPr>
          <w:rFonts w:ascii="Traditional Arabic" w:eastAsia="Times New Roman" w:hAnsi="Traditional Arabic" w:cs="Traditional Arabic"/>
          <w:b/>
          <w:bCs/>
          <w:rtl/>
        </w:rPr>
        <w:t>لإستكمال</w:t>
      </w:r>
      <w:proofErr w:type="spellEnd"/>
      <w:r w:rsidR="00E72D37" w:rsidRPr="00DB3C7B">
        <w:rPr>
          <w:rFonts w:ascii="Traditional Arabic" w:eastAsia="Times New Roman" w:hAnsi="Traditional Arabic" w:cs="Traditional Arabic"/>
          <w:b/>
          <w:bCs/>
          <w:rtl/>
        </w:rPr>
        <w:t xml:space="preserve"> متطلبات نيل درجة الدكتوراه </w:t>
      </w:r>
    </w:p>
    <w:p w14:paraId="461F848D" w14:textId="77777777" w:rsidR="00E72D37" w:rsidRPr="00DB3C7B" w:rsidRDefault="00E72D37" w:rsidP="00EB0259">
      <w:pPr>
        <w:bidi/>
        <w:spacing w:line="360" w:lineRule="auto"/>
        <w:jc w:val="center"/>
        <w:divId w:val="2000575654"/>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في </w:t>
      </w:r>
    </w:p>
    <w:p w14:paraId="3E88B99B" w14:textId="7D94EA85" w:rsidR="003625A1" w:rsidRPr="00DB3C7B" w:rsidRDefault="00E72D37" w:rsidP="00DB3C7B">
      <w:pPr>
        <w:bidi/>
        <w:spacing w:line="360" w:lineRule="auto"/>
        <w:jc w:val="center"/>
        <w:divId w:val="2000575654"/>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الإدارة</w:t>
      </w:r>
    </w:p>
    <w:p w14:paraId="1E453D03" w14:textId="77777777" w:rsidR="003625A1" w:rsidRPr="00DB3C7B" w:rsidRDefault="003625A1" w:rsidP="00EB0259">
      <w:pPr>
        <w:bidi/>
        <w:spacing w:line="360" w:lineRule="auto"/>
        <w:jc w:val="center"/>
        <w:divId w:val="2000575654"/>
        <w:rPr>
          <w:rFonts w:ascii="Traditional Arabic" w:eastAsia="Times New Roman" w:hAnsi="Traditional Arabic" w:cs="Traditional Arabic"/>
          <w:b/>
          <w:bCs/>
          <w:rtl/>
        </w:rPr>
      </w:pPr>
    </w:p>
    <w:p w14:paraId="61425D6D" w14:textId="77777777" w:rsidR="003625A1" w:rsidRPr="00DB3C7B" w:rsidRDefault="003625A1" w:rsidP="00EB0259">
      <w:pPr>
        <w:bidi/>
        <w:spacing w:line="360" w:lineRule="auto"/>
        <w:jc w:val="center"/>
        <w:divId w:val="2000575654"/>
        <w:rPr>
          <w:rFonts w:ascii="Traditional Arabic" w:eastAsia="Times New Roman" w:hAnsi="Traditional Arabic" w:cs="Traditional Arabic"/>
          <w:b/>
          <w:bCs/>
          <w:rtl/>
        </w:rPr>
      </w:pPr>
    </w:p>
    <w:p w14:paraId="4A07076C" w14:textId="77777777" w:rsidR="003625A1" w:rsidRPr="00DB3C7B" w:rsidRDefault="003625A1" w:rsidP="00EB0259">
      <w:pPr>
        <w:bidi/>
        <w:spacing w:line="360" w:lineRule="auto"/>
        <w:jc w:val="center"/>
        <w:divId w:val="2000575654"/>
        <w:rPr>
          <w:rFonts w:ascii="Traditional Arabic" w:eastAsia="Times New Roman" w:hAnsi="Traditional Arabic" w:cs="Traditional Arabic"/>
          <w:b/>
          <w:bCs/>
          <w:rtl/>
        </w:rPr>
      </w:pPr>
    </w:p>
    <w:p w14:paraId="0AB4987F" w14:textId="77777777" w:rsidR="00E72D37" w:rsidRPr="00DB3C7B" w:rsidRDefault="00E72D37" w:rsidP="00EB0259">
      <w:pPr>
        <w:bidi/>
        <w:spacing w:line="360" w:lineRule="auto"/>
        <w:jc w:val="center"/>
        <w:divId w:val="2000575654"/>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سنة التخرج </w:t>
      </w:r>
    </w:p>
    <w:p w14:paraId="43A6C936" w14:textId="54F5FB75" w:rsidR="00B64312" w:rsidRPr="00DB3C7B" w:rsidRDefault="00E72D37" w:rsidP="00DB3C7B">
      <w:pPr>
        <w:bidi/>
        <w:spacing w:after="240" w:line="360" w:lineRule="auto"/>
        <w:jc w:val="center"/>
        <w:divId w:val="2000575654"/>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202</w:t>
      </w:r>
      <w:r w:rsidR="00572992" w:rsidRPr="00DB3C7B">
        <w:rPr>
          <w:rFonts w:ascii="Traditional Arabic" w:eastAsia="Times New Roman" w:hAnsi="Traditional Arabic" w:cs="Traditional Arabic"/>
          <w:b/>
          <w:bCs/>
          <w:rtl/>
        </w:rPr>
        <w:t>7</w:t>
      </w:r>
      <w:bookmarkStart w:id="0" w:name="_Hlk214369247"/>
    </w:p>
    <w:p w14:paraId="444DADE3" w14:textId="77777777" w:rsidR="00B64312" w:rsidRPr="00DB3C7B" w:rsidRDefault="00B64312" w:rsidP="00EB0259">
      <w:pPr>
        <w:bidi/>
        <w:spacing w:after="160" w:line="360" w:lineRule="auto"/>
        <w:jc w:val="center"/>
        <w:divId w:val="1647278641"/>
        <w:rPr>
          <w:rFonts w:ascii="Traditional Arabic" w:hAnsi="Traditional Arabic" w:cs="Traditional Arabic"/>
          <w:b/>
          <w:bCs/>
          <w:sz w:val="32"/>
          <w:szCs w:val="32"/>
          <w:lang w:bidi="ar"/>
        </w:rPr>
      </w:pPr>
      <w:r w:rsidRPr="00DB3C7B">
        <w:rPr>
          <w:rFonts w:ascii="Traditional Arabic" w:hAnsi="Traditional Arabic" w:cs="Traditional Arabic"/>
          <w:b/>
          <w:bCs/>
          <w:sz w:val="32"/>
          <w:szCs w:val="32"/>
          <w:rtl/>
        </w:rPr>
        <w:lastRenderedPageBreak/>
        <w:t>الفصل الثاني: الإطار النظري للدراسة</w:t>
      </w:r>
    </w:p>
    <w:p w14:paraId="7314A611" w14:textId="77777777" w:rsidR="00B64312" w:rsidRPr="00DB3C7B" w:rsidRDefault="00B64312" w:rsidP="00EB0259">
      <w:pPr>
        <w:bidi/>
        <w:spacing w:after="160" w:line="360" w:lineRule="auto"/>
        <w:divId w:val="1647278641"/>
        <w:rPr>
          <w:rFonts w:ascii="Traditional Arabic" w:hAnsi="Traditional Arabic" w:cs="Traditional Arabic"/>
          <w:b/>
          <w:bCs/>
          <w:sz w:val="28"/>
          <w:szCs w:val="28"/>
          <w:lang w:bidi="ar"/>
        </w:rPr>
      </w:pPr>
      <w:r w:rsidRPr="00DB3C7B">
        <w:rPr>
          <w:rFonts w:ascii="Traditional Arabic" w:hAnsi="Traditional Arabic" w:cs="Traditional Arabic"/>
          <w:b/>
          <w:bCs/>
          <w:sz w:val="28"/>
          <w:szCs w:val="28"/>
          <w:rtl/>
        </w:rPr>
        <w:t>ملخص تنفيذي</w:t>
      </w:r>
    </w:p>
    <w:p w14:paraId="7A33DAC0" w14:textId="77777777" w:rsidR="00B64312" w:rsidRPr="00DB3C7B" w:rsidRDefault="00B64312" w:rsidP="00EB0259">
      <w:pPr>
        <w:bidi/>
        <w:spacing w:after="160" w:line="360" w:lineRule="auto"/>
        <w:divId w:val="1647278641"/>
        <w:rPr>
          <w:rFonts w:asciiTheme="majorBidi" w:hAnsiTheme="majorBidi" w:cstheme="majorBidi"/>
          <w:lang w:bidi="ar"/>
        </w:rPr>
      </w:pPr>
      <w:r w:rsidRPr="007C2480">
        <w:rPr>
          <w:rFonts w:ascii="Traditional Arabic" w:hAnsi="Traditional Arabic" w:cs="Traditional Arabic"/>
          <w:rtl/>
        </w:rPr>
        <w:t>يبني هذا الفصل الأساس النظري الذي يُفسِّر من خلاله البحث كيف يمكن لـ التحول الرقمي المؤسسي في العمليات الداخلية</w:t>
      </w:r>
      <w:r w:rsidRPr="007C2480">
        <w:rPr>
          <w:rFonts w:ascii="Traditional Arabic" w:hAnsi="Traditional Arabic" w:cs="Traditional Arabic"/>
          <w:lang w:bidi="ar"/>
        </w:rPr>
        <w:t xml:space="preserve"> </w:t>
      </w:r>
      <w:r w:rsidRPr="00DB3C7B">
        <w:rPr>
          <w:rFonts w:asciiTheme="majorBidi" w:hAnsiTheme="majorBidi" w:cstheme="majorBidi"/>
          <w:lang w:bidi="ar"/>
        </w:rPr>
        <w:t xml:space="preserve">(Institutional Digital Transformation) </w:t>
      </w:r>
      <w:r w:rsidRPr="007C2480">
        <w:rPr>
          <w:rFonts w:ascii="Traditional Arabic" w:hAnsi="Traditional Arabic" w:cs="Traditional Arabic"/>
          <w:rtl/>
        </w:rPr>
        <w:t>أن ينعكس على الرضا الوظيفي للموظفين في سياق جهة حكومية. وينطلق الفصل من رؤية حديثة للتحول الرقمي بوصفه عملية تغيير مؤسسي شاملة تتجاوز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الجزئية إلى إعادة تصميم العمليات والبُنى التنظيمية والثقافة وعلاقات أصحاب المصلحة، مع الاعتراف بإمكاناته الإيجابية والضاغطة في آنٍ واحد</w:t>
      </w:r>
      <w:r w:rsidRPr="007C2480">
        <w:rPr>
          <w:rFonts w:ascii="Traditional Arabic" w:hAnsi="Traditional Arabic" w:cs="Traditional Arabic"/>
          <w:lang w:bidi="ar"/>
        </w:rPr>
        <w:t xml:space="preserve"> (</w:t>
      </w:r>
      <w:r w:rsidRPr="00DB3C7B">
        <w:rPr>
          <w:rFonts w:asciiTheme="majorBidi" w:hAnsiTheme="majorBidi" w:cstheme="majorBidi"/>
          <w:lang w:bidi="ar"/>
        </w:rPr>
        <w:t>Vial</w:t>
      </w:r>
      <w:r w:rsidRPr="007C2480">
        <w:rPr>
          <w:rFonts w:ascii="Traditional Arabic" w:hAnsi="Traditional Arabic" w:cs="Traditional Arabic"/>
          <w:lang w:bidi="ar"/>
        </w:rPr>
        <w:t xml:space="preserve">, </w:t>
      </w:r>
      <w:r w:rsidRPr="00DB3C7B">
        <w:rPr>
          <w:rFonts w:asciiTheme="majorBidi" w:hAnsiTheme="majorBidi" w:cstheme="majorBidi"/>
          <w:lang w:bidi="ar"/>
        </w:rPr>
        <w:t>2019</w:t>
      </w:r>
      <w:r w:rsidRPr="00DB3C7B">
        <w:rPr>
          <w:rFonts w:asciiTheme="majorBidi" w:hAnsiTheme="majorBidi" w:cstheme="majorBidi"/>
          <w:rtl/>
          <w:lang w:bidi="ar"/>
        </w:rPr>
        <w:t>؛</w:t>
      </w:r>
      <w:r w:rsidRPr="00DB3C7B">
        <w:rPr>
          <w:rFonts w:asciiTheme="majorBidi" w:hAnsiTheme="majorBidi" w:cstheme="majorBidi"/>
          <w:lang w:bidi="ar"/>
        </w:rPr>
        <w:t xml:space="preserve"> </w:t>
      </w:r>
      <w:proofErr w:type="spellStart"/>
      <w:r w:rsidRPr="00DB3C7B">
        <w:rPr>
          <w:rFonts w:asciiTheme="majorBidi" w:hAnsiTheme="majorBidi" w:cstheme="majorBidi"/>
          <w:lang w:bidi="ar"/>
        </w:rPr>
        <w:t>Mergel</w:t>
      </w:r>
      <w:proofErr w:type="spellEnd"/>
      <w:r w:rsidRPr="00DB3C7B">
        <w:rPr>
          <w:rFonts w:asciiTheme="majorBidi" w:hAnsiTheme="majorBidi" w:cstheme="majorBidi"/>
          <w:lang w:bidi="ar"/>
        </w:rPr>
        <w:t xml:space="preserve"> et al., 2019).</w:t>
      </w:r>
    </w:p>
    <w:p w14:paraId="325BEC44"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ويُترجم البحث هذا المفهوم إلى بناء مستقل متعدد الأبعاد</w:t>
      </w:r>
      <w:r w:rsidRPr="007C2480">
        <w:rPr>
          <w:rFonts w:ascii="Traditional Arabic" w:hAnsi="Traditional Arabic" w:cs="Traditional Arabic"/>
          <w:lang w:bidi="ar"/>
        </w:rPr>
        <w:t xml:space="preserve"> (</w:t>
      </w:r>
      <w:r w:rsidRPr="00DB3C7B">
        <w:rPr>
          <w:rFonts w:asciiTheme="majorBidi" w:hAnsiTheme="majorBidi" w:cstheme="majorBidi"/>
          <w:lang w:bidi="ar"/>
        </w:rPr>
        <w:t>DTD</w:t>
      </w:r>
      <w:r w:rsidRPr="007C2480">
        <w:rPr>
          <w:rFonts w:ascii="Traditional Arabic" w:hAnsi="Traditional Arabic" w:cs="Traditional Arabic"/>
          <w:lang w:bidi="ar"/>
        </w:rPr>
        <w:t xml:space="preserve">) </w:t>
      </w:r>
      <w:r w:rsidRPr="007C2480">
        <w:rPr>
          <w:rFonts w:ascii="Traditional Arabic" w:hAnsi="Traditional Arabic" w:cs="Traditional Arabic"/>
          <w:rtl/>
        </w:rPr>
        <w:t>يتضمن أربعة أبعاد تشغيلية/بشرية متوازنة</w:t>
      </w:r>
      <w:r w:rsidRPr="007C2480">
        <w:rPr>
          <w:rFonts w:ascii="Traditional Arabic" w:hAnsi="Traditional Arabic" w:cs="Traditional Arabic"/>
          <w:lang w:bidi="ar"/>
        </w:rPr>
        <w:t xml:space="preserve">: </w:t>
      </w:r>
      <w:r w:rsidRPr="007C2480">
        <w:rPr>
          <w:rFonts w:ascii="Traditional Arabic" w:hAnsi="Traditional Arabic" w:cs="Traditional Arabic"/>
          <w:rtl/>
        </w:rPr>
        <w:t>توفر/انتشار الأنظمة الرقمية، كفاءة الأنظمة والعمليات الرقمية، جودة الدعم والتدريب، تكامل العمليات وتبسيط الإجراءات</w:t>
      </w:r>
      <w:r w:rsidRPr="007C2480">
        <w:rPr>
          <w:rFonts w:ascii="Traditional Arabic" w:hAnsi="Traditional Arabic" w:cs="Traditional Arabic"/>
          <w:lang w:bidi="ar"/>
        </w:rPr>
        <w:t xml:space="preserve">. </w:t>
      </w:r>
      <w:r w:rsidRPr="007C2480">
        <w:rPr>
          <w:rFonts w:ascii="Traditional Arabic" w:hAnsi="Traditional Arabic" w:cs="Traditional Arabic"/>
          <w:rtl/>
        </w:rPr>
        <w:t>ويُفسِّر الفصل آليات التأثير عبر مسارين وسيطين</w:t>
      </w:r>
      <w:r w:rsidRPr="007C2480">
        <w:rPr>
          <w:rFonts w:ascii="Traditional Arabic" w:hAnsi="Traditional Arabic" w:cs="Traditional Arabic"/>
          <w:lang w:bidi="ar"/>
        </w:rPr>
        <w:t xml:space="preserve">: </w:t>
      </w:r>
      <w:r w:rsidRPr="007C2480">
        <w:rPr>
          <w:rFonts w:ascii="Traditional Arabic" w:hAnsi="Traditional Arabic" w:cs="Traditional Arabic"/>
          <w:rtl/>
        </w:rPr>
        <w:t>قبول التقنية وفق نموذج</w:t>
      </w:r>
      <w:r w:rsidRPr="007C2480">
        <w:rPr>
          <w:rFonts w:ascii="Traditional Arabic" w:hAnsi="Traditional Arabic" w:cs="Traditional Arabic"/>
          <w:lang w:bidi="ar"/>
        </w:rPr>
        <w:t xml:space="preserve"> </w:t>
      </w:r>
      <w:r w:rsidRPr="00DB3C7B">
        <w:rPr>
          <w:rFonts w:asciiTheme="majorBidi" w:hAnsiTheme="majorBidi" w:cstheme="majorBidi"/>
          <w:lang w:bidi="ar"/>
        </w:rPr>
        <w:t>TAM</w:t>
      </w:r>
      <w:r w:rsidRPr="007C2480">
        <w:rPr>
          <w:rFonts w:ascii="Traditional Arabic" w:hAnsi="Traditional Arabic" w:cs="Traditional Arabic"/>
          <w:lang w:bidi="ar"/>
        </w:rPr>
        <w:t xml:space="preserve"> (</w:t>
      </w:r>
      <w:r w:rsidRPr="00DB3C7B">
        <w:rPr>
          <w:rFonts w:asciiTheme="majorBidi" w:hAnsiTheme="majorBidi" w:cstheme="majorBidi"/>
          <w:lang w:bidi="ar"/>
        </w:rPr>
        <w:t>Davis</w:t>
      </w:r>
      <w:r w:rsidRPr="007C2480">
        <w:rPr>
          <w:rFonts w:ascii="Traditional Arabic" w:hAnsi="Traditional Arabic" w:cs="Traditional Arabic"/>
          <w:lang w:bidi="ar"/>
        </w:rPr>
        <w:t xml:space="preserve">, 1989) </w:t>
      </w:r>
      <w:r w:rsidRPr="007C2480">
        <w:rPr>
          <w:rFonts w:ascii="Traditional Arabic" w:hAnsi="Traditional Arabic" w:cs="Traditional Arabic"/>
          <w:rtl/>
        </w:rPr>
        <w:t xml:space="preserve">من جهة، والإجهاد التقني </w:t>
      </w:r>
      <w:r w:rsidRPr="00DB3C7B">
        <w:rPr>
          <w:rFonts w:asciiTheme="majorBidi" w:hAnsiTheme="majorBidi" w:cstheme="majorBidi"/>
          <w:lang w:bidi="ar"/>
        </w:rPr>
        <w:t>Technostress</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بوصفه “الجانب المظلم” للتقنية من جهة أخرى، مع إدراج إطار </w:t>
      </w:r>
      <w:r w:rsidRPr="00DB3C7B">
        <w:rPr>
          <w:rFonts w:asciiTheme="majorBidi" w:hAnsiTheme="majorBidi" w:cstheme="majorBidi"/>
          <w:lang w:bidi="ar"/>
        </w:rPr>
        <w:t>TOE</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كعدسة تنظيمية-بيئية، والمنظور </w:t>
      </w:r>
      <w:proofErr w:type="spellStart"/>
      <w:r w:rsidRPr="007C2480">
        <w:rPr>
          <w:rFonts w:ascii="Traditional Arabic" w:hAnsi="Traditional Arabic" w:cs="Traditional Arabic"/>
          <w:rtl/>
        </w:rPr>
        <w:t>السوسيوتقني</w:t>
      </w:r>
      <w:proofErr w:type="spellEnd"/>
      <w:r w:rsidRPr="007C2480">
        <w:rPr>
          <w:rFonts w:ascii="Traditional Arabic" w:hAnsi="Traditional Arabic" w:cs="Traditional Arabic"/>
          <w:rtl/>
        </w:rPr>
        <w:t xml:space="preserve"> كنظرة تكاملية تفسر التفاعل بين النظام التقني والنظام الاجتماعي. كما يناقش الفصل دور الخصائص الديموغرافية (العمر، الجنس، الخبرة…إلخ) كعوامل قد تُعدِّل قوة واتجاه العلاقة بين التحول الرقمي والرضا الوظيفي، استنادًا إلى منطق الفروق الفردية في نماذج قبول التقنية</w:t>
      </w:r>
      <w:r w:rsidRPr="007C2480">
        <w:rPr>
          <w:rFonts w:ascii="Traditional Arabic" w:hAnsi="Traditional Arabic" w:cs="Traditional Arabic"/>
          <w:lang w:bidi="ar"/>
        </w:rPr>
        <w:t>.</w:t>
      </w:r>
    </w:p>
    <w:p w14:paraId="2AA8D45F" w14:textId="77777777" w:rsidR="00DB3C7B" w:rsidRDefault="00DB3C7B" w:rsidP="00EB0259">
      <w:pPr>
        <w:bidi/>
        <w:spacing w:after="160" w:line="360" w:lineRule="auto"/>
        <w:divId w:val="1647278641"/>
        <w:rPr>
          <w:rFonts w:ascii="Traditional Arabic" w:hAnsi="Traditional Arabic" w:cs="Traditional Arabic"/>
          <w:b/>
          <w:bCs/>
          <w:sz w:val="28"/>
          <w:szCs w:val="28"/>
          <w:rtl/>
        </w:rPr>
      </w:pPr>
    </w:p>
    <w:p w14:paraId="0B83B191" w14:textId="582BFD7F" w:rsidR="00B64312" w:rsidRPr="00DB3C7B" w:rsidRDefault="00CC426D" w:rsidP="00DB3C7B">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t>2.0</w:t>
      </w:r>
      <w:r w:rsidRPr="00DB3C7B">
        <w:rPr>
          <w:rFonts w:ascii="Traditional Arabic" w:hAnsi="Traditional Arabic" w:cs="Traditional Arabic"/>
          <w:b/>
          <w:bCs/>
          <w:sz w:val="28"/>
          <w:szCs w:val="28"/>
          <w:rtl/>
        </w:rPr>
        <w:t xml:space="preserve"> </w:t>
      </w:r>
      <w:r w:rsidR="00B64312" w:rsidRPr="00DB3C7B">
        <w:rPr>
          <w:rFonts w:ascii="Traditional Arabic" w:hAnsi="Traditional Arabic" w:cs="Traditional Arabic"/>
          <w:b/>
          <w:bCs/>
          <w:sz w:val="28"/>
          <w:szCs w:val="28"/>
          <w:rtl/>
        </w:rPr>
        <w:t>مقدمة الفصل الثاني</w:t>
      </w:r>
    </w:p>
    <w:p w14:paraId="65913D9F"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يُعد الفصل الثاني (الإطار النظري) حجر الأساس الذي ترتكز عليه الرسالة؛ إذ يوضح “المعنى العلمي” لمتغيرات الدراسة، ويعرض النظريات والمفاهيم المفسرة للعلاقات المتوقعة بينها، ويُبرر اختيار الأطر النظرية بما يتوافق مع نموذج البحث المعتمد. وفي هذه الدراسة، تتمحور الإشكالية حول تفسير أثر التحول الرقمي المؤسسي في العمليات الداخلية على الرضا الوظيفي في جهة حكومية، مع افتراض أن هذا الأثر لا يتحقق كعلاقة مباشرة بسيطة فقط، بل يتشكل عبر آليات تفسيرية (وساطة) ترتبط بتجربة الموظف الرقمية</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قبول التقنية </w:t>
      </w:r>
      <w:r w:rsidRPr="007C2480">
        <w:rPr>
          <w:rFonts w:ascii="Traditional Arabic" w:hAnsi="Traditional Arabic" w:cs="Traditional Arabic"/>
          <w:lang w:bidi="ar"/>
        </w:rPr>
        <w:t>(</w:t>
      </w:r>
      <w:r w:rsidRPr="00DB3C7B">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والإجهاد التقني </w:t>
      </w:r>
      <w:r w:rsidRPr="007C2480">
        <w:rPr>
          <w:rFonts w:ascii="Traditional Arabic" w:hAnsi="Traditional Arabic" w:cs="Traditional Arabic"/>
          <w:lang w:bidi="ar"/>
        </w:rPr>
        <w:t>(</w:t>
      </w:r>
      <w:r w:rsidRPr="00DB3C7B">
        <w:rPr>
          <w:rFonts w:asciiTheme="majorBidi" w:hAnsiTheme="majorBidi" w:cstheme="majorBidi"/>
          <w:lang w:bidi="ar"/>
        </w:rPr>
        <w:t>Technostress</w:t>
      </w:r>
      <w:r w:rsidRPr="007C2480">
        <w:rPr>
          <w:rFonts w:ascii="Traditional Arabic" w:hAnsi="Traditional Arabic" w:cs="Traditional Arabic"/>
          <w:lang w:bidi="ar"/>
        </w:rPr>
        <w:t>).</w:t>
      </w:r>
    </w:p>
    <w:p w14:paraId="6ABFC3DB" w14:textId="0ABD0317" w:rsidR="00B64312" w:rsidRPr="007C2480" w:rsidRDefault="00B64312" w:rsidP="00DB3C7B">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تنطلق أهمية هذا الفصل من أن التحول الرقمي المعاصر يتسم بطابع مزدوج: فمن جهة، يمكن أن يرفع الإنتاجية ويزيد “إثارة العمل” ويبسِّط التفاعلات والإجراءات؛ وهي مسارات يُحتمل أن تعزز الرضا الوظيفي</w:t>
      </w:r>
      <w:r w:rsidRPr="007C2480">
        <w:rPr>
          <w:rFonts w:ascii="Traditional Arabic" w:hAnsi="Traditional Arabic" w:cs="Traditional Arabic"/>
          <w:lang w:bidi="ar"/>
        </w:rPr>
        <w:t xml:space="preserve"> (</w:t>
      </w:r>
      <w:proofErr w:type="spellStart"/>
      <w:r w:rsidRPr="00DB3C7B">
        <w:rPr>
          <w:rFonts w:asciiTheme="majorBidi" w:hAnsiTheme="majorBidi" w:cstheme="majorBidi"/>
          <w:lang w:bidi="ar"/>
        </w:rPr>
        <w:t>Bolli</w:t>
      </w:r>
      <w:proofErr w:type="spellEnd"/>
      <w:r w:rsidRPr="00DB3C7B">
        <w:rPr>
          <w:rFonts w:asciiTheme="majorBidi" w:hAnsiTheme="majorBidi" w:cstheme="majorBidi"/>
          <w:lang w:bidi="ar"/>
        </w:rPr>
        <w:t xml:space="preserve"> &amp; </w:t>
      </w:r>
      <w:proofErr w:type="spellStart"/>
      <w:r w:rsidRPr="00DB3C7B">
        <w:rPr>
          <w:rFonts w:asciiTheme="majorBidi" w:hAnsiTheme="majorBidi" w:cstheme="majorBidi"/>
          <w:lang w:bidi="ar"/>
        </w:rPr>
        <w:t>Pusterla</w:t>
      </w:r>
      <w:proofErr w:type="spellEnd"/>
      <w:r w:rsidRPr="00DB3C7B">
        <w:rPr>
          <w:rFonts w:asciiTheme="majorBidi" w:hAnsiTheme="majorBidi" w:cstheme="majorBidi"/>
          <w:lang w:bidi="ar"/>
        </w:rPr>
        <w:t>, 2022</w:t>
      </w:r>
      <w:r w:rsidRPr="007C2480">
        <w:rPr>
          <w:rFonts w:ascii="Traditional Arabic" w:hAnsi="Traditional Arabic" w:cs="Traditional Arabic"/>
          <w:lang w:bidi="ar"/>
        </w:rPr>
        <w:t xml:space="preserve">). </w:t>
      </w:r>
      <w:r w:rsidRPr="007C2480">
        <w:rPr>
          <w:rFonts w:ascii="Traditional Arabic" w:hAnsi="Traditional Arabic" w:cs="Traditional Arabic"/>
          <w:rtl/>
        </w:rPr>
        <w:lastRenderedPageBreak/>
        <w:t>ومن جهة أخرى، قد يؤدي إلى ضغط الوقت، واستنزاف الانتباه، وتداخل العمل مع الحياة الخاصة، ما ينعكس سلبًا على الرضا، خصوصًا حين تتسم الأنظمة بالتعقيد أو ضعف الدعم</w:t>
      </w:r>
      <w:r w:rsidRPr="007C2480">
        <w:rPr>
          <w:rFonts w:ascii="Traditional Arabic" w:hAnsi="Traditional Arabic" w:cs="Traditional Arabic"/>
          <w:lang w:bidi="ar"/>
        </w:rPr>
        <w:t xml:space="preserve"> (</w:t>
      </w:r>
      <w:r w:rsidRPr="00DB3C7B">
        <w:rPr>
          <w:rFonts w:asciiTheme="majorBidi" w:hAnsiTheme="majorBidi" w:cstheme="majorBidi"/>
          <w:lang w:bidi="ar"/>
        </w:rPr>
        <w:t>Kumar</w:t>
      </w:r>
      <w:r w:rsidRPr="007C2480">
        <w:rPr>
          <w:rFonts w:ascii="Traditional Arabic" w:hAnsi="Traditional Arabic" w:cs="Traditional Arabic"/>
          <w:lang w:bidi="ar"/>
        </w:rPr>
        <w:t xml:space="preserve">, 2024). </w:t>
      </w:r>
      <w:r w:rsidRPr="007C2480">
        <w:rPr>
          <w:rFonts w:ascii="Traditional Arabic" w:hAnsi="Traditional Arabic" w:cs="Traditional Arabic"/>
          <w:rtl/>
        </w:rPr>
        <w:t>وعليه، يهدف هذا الفصل إلى بناء تفسير متوازن ومسنَد للأثر الإيجابي/السلبي المحتمل، ثم مواءمته مع النموذج المفاهيمي للدراسة ومساراته</w:t>
      </w:r>
      <w:r w:rsidRPr="007C2480">
        <w:rPr>
          <w:rFonts w:ascii="Traditional Arabic" w:hAnsi="Traditional Arabic" w:cs="Traditional Arabic"/>
          <w:lang w:bidi="ar"/>
        </w:rPr>
        <w:t>.</w:t>
      </w:r>
    </w:p>
    <w:p w14:paraId="00C31C94" w14:textId="77777777" w:rsidR="00DB3C7B" w:rsidRDefault="00DB3C7B" w:rsidP="00EB0259">
      <w:pPr>
        <w:bidi/>
        <w:spacing w:after="160" w:line="360" w:lineRule="auto"/>
        <w:divId w:val="1647278641"/>
        <w:rPr>
          <w:rFonts w:ascii="Traditional Arabic" w:hAnsi="Traditional Arabic" w:cs="Traditional Arabic"/>
          <w:b/>
          <w:bCs/>
          <w:sz w:val="28"/>
          <w:szCs w:val="28"/>
          <w:rtl/>
        </w:rPr>
      </w:pPr>
    </w:p>
    <w:p w14:paraId="59C9A9E2" w14:textId="0654DD86" w:rsidR="00B64312" w:rsidRPr="00DB3C7B" w:rsidRDefault="00B64312" w:rsidP="00DB3C7B">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t>2.1 الإطار النظري للدراسة</w:t>
      </w:r>
    </w:p>
    <w:p w14:paraId="655F3956" w14:textId="4BD5180C" w:rsidR="00B64312" w:rsidRPr="00DB3C7B" w:rsidRDefault="00B64312" w:rsidP="00EB0259">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2.1.1 التحول الرقمي المؤسسي</w:t>
      </w:r>
    </w:p>
    <w:p w14:paraId="362A296F"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يمثل التحول الرقمي المؤسسي أحد المفاهيم المركزية في أدبيات نظم المعلومات والإدارة الاستراتيجية خلال العقد الأخير، ويُنظر إليه بوصفه عملية تحويل تستهدف تحسين المنظمة أو “الكيان” عبر إحداث تغييرات جوهرية في خصائصه من خلال توليفات من تقنيات المعلومات والحوسبة والاتصالات وتقنيات الاتصال/الترابط</w:t>
      </w:r>
      <w:r w:rsidRPr="007C2480">
        <w:rPr>
          <w:rFonts w:ascii="Traditional Arabic" w:hAnsi="Traditional Arabic" w:cs="Traditional Arabic"/>
          <w:lang w:bidi="ar"/>
        </w:rPr>
        <w:t xml:space="preserve"> (</w:t>
      </w:r>
      <w:r w:rsidRPr="00DB3C7B">
        <w:rPr>
          <w:rFonts w:asciiTheme="majorBidi" w:hAnsiTheme="majorBidi" w:cstheme="majorBidi"/>
          <w:lang w:bidi="ar"/>
        </w:rPr>
        <w:t>Vial</w:t>
      </w:r>
      <w:r w:rsidRPr="007C2480">
        <w:rPr>
          <w:rFonts w:ascii="Traditional Arabic" w:hAnsi="Traditional Arabic" w:cs="Traditional Arabic"/>
          <w:lang w:bidi="ar"/>
        </w:rPr>
        <w:t xml:space="preserve">, 2019). </w:t>
      </w:r>
      <w:r w:rsidRPr="007C2480">
        <w:rPr>
          <w:rFonts w:ascii="Traditional Arabic" w:hAnsi="Traditional Arabic" w:cs="Traditional Arabic"/>
          <w:rtl/>
        </w:rPr>
        <w:t>وتُظهر مراجعات الأدبيات أن التحول الرقمي لا يقتصر على إدخال تقنية جديدة، بل يتضمن استجابة تنظيمية واستراتيجية لتغيرات البيئة الرقمية بما يطال العمليات والهياكل والثقافة ونماذج القيمة، مع إمكانية تحقق نتائج إيجابية وأخرى سلبية تبعًا لجودة التصميم والتنفيذ</w:t>
      </w:r>
      <w:r w:rsidRPr="007C2480">
        <w:rPr>
          <w:rFonts w:ascii="Traditional Arabic" w:hAnsi="Traditional Arabic" w:cs="Traditional Arabic"/>
          <w:lang w:bidi="ar"/>
        </w:rPr>
        <w:t xml:space="preserve"> (</w:t>
      </w:r>
      <w:r w:rsidRPr="00DB3C7B">
        <w:rPr>
          <w:rFonts w:asciiTheme="majorBidi" w:hAnsiTheme="majorBidi" w:cstheme="majorBidi"/>
          <w:lang w:bidi="ar"/>
        </w:rPr>
        <w:t>Vial</w:t>
      </w:r>
      <w:r w:rsidRPr="007C2480">
        <w:rPr>
          <w:rFonts w:ascii="Traditional Arabic" w:hAnsi="Traditional Arabic" w:cs="Traditional Arabic"/>
          <w:lang w:bidi="ar"/>
        </w:rPr>
        <w:t>, 2019).</w:t>
      </w:r>
    </w:p>
    <w:p w14:paraId="0A845122"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وفي القطاع العام، تتخذ الظاهرة بعدًا مؤسسيًا أكثر تعقيدًا بفعل متطلبات الحوكمة العامة والتشريعات وتعدد أصحاب المصلحة. وتقدم الأدبيات تعريفات تُبرز أن التحول الرقمي الحكومي عملية شاملة تتجاوز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عبر تضمين المنظمة ككل، وتغيير الثقافة البيروقراطية والعلاقات الداخلية والخارجية، وتحقيق أهداف مثل الشفافية وقابلية التشغيل البيني</w:t>
      </w:r>
      <w:r w:rsidRPr="007C2480">
        <w:rPr>
          <w:rFonts w:ascii="Traditional Arabic" w:hAnsi="Traditional Arabic" w:cs="Traditional Arabic"/>
          <w:lang w:bidi="ar"/>
        </w:rPr>
        <w:t xml:space="preserve"> (</w:t>
      </w:r>
      <w:r w:rsidRPr="00DB3C7B">
        <w:rPr>
          <w:rFonts w:asciiTheme="majorBidi" w:hAnsiTheme="majorBidi" w:cstheme="majorBidi"/>
          <w:lang w:bidi="ar"/>
        </w:rPr>
        <w:t>interoperability</w:t>
      </w:r>
      <w:r w:rsidRPr="007C2480">
        <w:rPr>
          <w:rFonts w:ascii="Traditional Arabic" w:hAnsi="Traditional Arabic" w:cs="Traditional Arabic"/>
          <w:lang w:bidi="ar"/>
        </w:rPr>
        <w:t xml:space="preserve">) </w:t>
      </w:r>
      <w:r w:rsidRPr="007C2480">
        <w:rPr>
          <w:rFonts w:ascii="Traditional Arabic" w:hAnsi="Traditional Arabic" w:cs="Traditional Arabic"/>
          <w:rtl/>
        </w:rPr>
        <w:t>وتحسين الخدمات</w:t>
      </w:r>
      <w:r w:rsidRPr="007C2480">
        <w:rPr>
          <w:rFonts w:ascii="Traditional Arabic" w:hAnsi="Traditional Arabic" w:cs="Traditional Arabic"/>
          <w:lang w:bidi="ar"/>
        </w:rPr>
        <w:t xml:space="preserve"> (</w:t>
      </w:r>
      <w:proofErr w:type="spellStart"/>
      <w:r w:rsidRPr="00DB3C7B">
        <w:rPr>
          <w:rFonts w:asciiTheme="majorBidi" w:hAnsiTheme="majorBidi" w:cstheme="majorBidi"/>
          <w:lang w:bidi="ar"/>
        </w:rPr>
        <w:t>Mergel</w:t>
      </w:r>
      <w:proofErr w:type="spellEnd"/>
      <w:r w:rsidRPr="007C2480">
        <w:rPr>
          <w:rFonts w:ascii="Traditional Arabic" w:hAnsi="Traditional Arabic" w:cs="Traditional Arabic"/>
          <w:lang w:bidi="ar"/>
        </w:rPr>
        <w:t xml:space="preserve"> et al., 2019).</w:t>
      </w:r>
    </w:p>
    <w:p w14:paraId="1129359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وتُفيد المراجعات الحديثة بأن ميدان التحول الرقمي ما يزال متعدد المقاربات: فبعض الدراسات تركز على “التقنية” كقوة تغيير، وأخرى تركز على “الفاعل” (الإدارة/الموظف/المستخدم) كصانع للنتائج. ويُعد إبراز الثقافة وبيئة العمل ووتيرة التحول ومنظور الإدارة الوسطى من الجوانب التي أشير إلى أنها أقل نضجًا بحثيًا رغم أهميتها في تفسير النتائج على مستوى الموظف</w:t>
      </w:r>
      <w:r w:rsidRPr="007C2480">
        <w:rPr>
          <w:rFonts w:ascii="Traditional Arabic" w:hAnsi="Traditional Arabic" w:cs="Traditional Arabic"/>
          <w:lang w:bidi="ar"/>
        </w:rPr>
        <w:t xml:space="preserve"> </w:t>
      </w:r>
      <w:r w:rsidRPr="00DB3C7B">
        <w:rPr>
          <w:rFonts w:asciiTheme="majorBidi" w:hAnsiTheme="majorBidi" w:cstheme="majorBidi"/>
          <w:lang w:bidi="ar"/>
        </w:rPr>
        <w:t xml:space="preserve">(Nadkarni &amp; </w:t>
      </w:r>
      <w:proofErr w:type="spellStart"/>
      <w:r w:rsidRPr="00DB3C7B">
        <w:rPr>
          <w:rFonts w:asciiTheme="majorBidi" w:hAnsiTheme="majorBidi" w:cstheme="majorBidi"/>
          <w:lang w:bidi="ar"/>
        </w:rPr>
        <w:t>P</w:t>
      </w:r>
      <w:r w:rsidRPr="007C2480">
        <w:rPr>
          <w:rFonts w:ascii="Traditional Arabic" w:hAnsi="Traditional Arabic" w:cs="Traditional Arabic"/>
          <w:lang w:bidi="ar"/>
        </w:rPr>
        <w:t>rügl</w:t>
      </w:r>
      <w:proofErr w:type="spellEnd"/>
      <w:r w:rsidRPr="007C2480">
        <w:rPr>
          <w:rFonts w:ascii="Traditional Arabic" w:hAnsi="Traditional Arabic" w:cs="Traditional Arabic"/>
          <w:lang w:bidi="ar"/>
        </w:rPr>
        <w:t xml:space="preserve">, 2021). </w:t>
      </w:r>
      <w:r w:rsidRPr="007C2480">
        <w:rPr>
          <w:rFonts w:ascii="Traditional Arabic" w:hAnsi="Traditional Arabic" w:cs="Traditional Arabic"/>
          <w:rtl/>
        </w:rPr>
        <w:t>كما تُظهر مراجعات منهجية أن التحول الرقمي يدفع المنظمات نحو تصاميم تنظيمية أكثر “مرونة وقابلية للتكيف المستمر” وأنه يتفاعل مع منظومات الأعمال الرقمية</w:t>
      </w:r>
      <w:r w:rsidRPr="007C2480">
        <w:rPr>
          <w:rFonts w:ascii="Traditional Arabic" w:hAnsi="Traditional Arabic" w:cs="Traditional Arabic"/>
          <w:lang w:bidi="ar"/>
        </w:rPr>
        <w:t xml:space="preserve"> (</w:t>
      </w:r>
      <w:r w:rsidRPr="00DB3C7B">
        <w:rPr>
          <w:rFonts w:asciiTheme="majorBidi" w:hAnsiTheme="majorBidi" w:cstheme="majorBidi"/>
          <w:lang w:bidi="ar"/>
        </w:rPr>
        <w:t>digital ecosystems</w:t>
      </w:r>
      <w:r w:rsidRPr="007C2480">
        <w:rPr>
          <w:rFonts w:ascii="Traditional Arabic" w:hAnsi="Traditional Arabic" w:cs="Traditional Arabic"/>
          <w:lang w:bidi="ar"/>
        </w:rPr>
        <w:t>)</w:t>
      </w:r>
      <w:r w:rsidRPr="007C2480">
        <w:rPr>
          <w:rFonts w:ascii="Traditional Arabic" w:hAnsi="Traditional Arabic" w:cs="Traditional Arabic"/>
          <w:rtl/>
        </w:rPr>
        <w:t>، ما يفتح المجال لفهم التحول كتحول “منهجي/شمولي” لا كتغيير تقني معزول</w:t>
      </w:r>
      <w:r w:rsidRPr="007C2480">
        <w:rPr>
          <w:rFonts w:ascii="Traditional Arabic" w:hAnsi="Traditional Arabic" w:cs="Traditional Arabic"/>
          <w:lang w:bidi="ar"/>
        </w:rPr>
        <w:t xml:space="preserve"> (</w:t>
      </w:r>
      <w:proofErr w:type="spellStart"/>
      <w:r w:rsidRPr="00DB3C7B">
        <w:rPr>
          <w:rFonts w:asciiTheme="majorBidi" w:hAnsiTheme="majorBidi" w:cstheme="majorBidi"/>
          <w:lang w:bidi="ar"/>
        </w:rPr>
        <w:t>Hanelt</w:t>
      </w:r>
      <w:proofErr w:type="spellEnd"/>
      <w:r w:rsidRPr="00DB3C7B">
        <w:rPr>
          <w:rFonts w:asciiTheme="majorBidi" w:hAnsiTheme="majorBidi" w:cstheme="majorBidi"/>
          <w:lang w:bidi="ar"/>
        </w:rPr>
        <w:t xml:space="preserve"> et al.,</w:t>
      </w:r>
      <w:r w:rsidRPr="007C2480">
        <w:rPr>
          <w:rFonts w:ascii="Traditional Arabic" w:hAnsi="Traditional Arabic" w:cs="Traditional Arabic"/>
          <w:lang w:bidi="ar"/>
        </w:rPr>
        <w:t xml:space="preserve"> 2021).</w:t>
      </w:r>
    </w:p>
    <w:p w14:paraId="6902B9F2" w14:textId="77777777" w:rsidR="00DB3C7B" w:rsidRDefault="00DB3C7B" w:rsidP="00EB0259">
      <w:pPr>
        <w:bidi/>
        <w:spacing w:after="160" w:line="360" w:lineRule="auto"/>
        <w:divId w:val="1647278641"/>
        <w:rPr>
          <w:rFonts w:ascii="Traditional Arabic" w:hAnsi="Traditional Arabic" w:cs="Traditional Arabic"/>
          <w:b/>
          <w:bCs/>
          <w:rtl/>
        </w:rPr>
      </w:pPr>
    </w:p>
    <w:p w14:paraId="427EE607" w14:textId="1C905B13" w:rsidR="00B64312" w:rsidRPr="00DB3C7B" w:rsidRDefault="00CC426D" w:rsidP="00DB3C7B">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2.1.2</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أبعاد التحول الرقمي المؤسسي في الدراسة</w:t>
      </w:r>
    </w:p>
    <w:p w14:paraId="005A92A8"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lastRenderedPageBreak/>
        <w:t>انطلاقًا من طبيعة التحول الرقمي بوصفه تحولًا في العمليات والمنظومة التشغيلية وتجربة المستخدم الداخلي، يعتمد البحث التحول الرقمي المؤسسي</w:t>
      </w:r>
      <w:r w:rsidRPr="007C2480">
        <w:rPr>
          <w:rFonts w:ascii="Traditional Arabic" w:hAnsi="Traditional Arabic" w:cs="Traditional Arabic"/>
          <w:lang w:bidi="ar"/>
        </w:rPr>
        <w:t xml:space="preserve"> (</w:t>
      </w:r>
      <w:r w:rsidRPr="00DB3C7B">
        <w:rPr>
          <w:rFonts w:asciiTheme="majorBidi" w:hAnsiTheme="majorBidi" w:cstheme="majorBidi"/>
          <w:lang w:bidi="ar"/>
        </w:rPr>
        <w:t>DTD</w:t>
      </w:r>
      <w:r w:rsidRPr="007C2480">
        <w:rPr>
          <w:rFonts w:ascii="Traditional Arabic" w:hAnsi="Traditional Arabic" w:cs="Traditional Arabic"/>
          <w:lang w:bidi="ar"/>
        </w:rPr>
        <w:t xml:space="preserve">) </w:t>
      </w:r>
      <w:r w:rsidRPr="007C2480">
        <w:rPr>
          <w:rFonts w:ascii="Traditional Arabic" w:hAnsi="Traditional Arabic" w:cs="Traditional Arabic"/>
          <w:rtl/>
        </w:rPr>
        <w:t>كبناء متعدد الأبعاد يلتقط جوانب “التقنية” و“التنظيم” بصورة متوازنة. ويتسق ذلك مع أدبيات التحول الرقمي التي ترى أن النتائج لا تتأتى من التقنية وحدها؛ بل من كيفية إعادة تصميم العمليات، وتنسيق التحول عبر الوظائف المختلفة، وتحسين قابلية التكامل والتشغيل البيني</w:t>
      </w:r>
      <w:r w:rsidRPr="00DB3C7B">
        <w:rPr>
          <w:rFonts w:asciiTheme="majorBidi" w:hAnsiTheme="majorBidi" w:cstheme="majorBidi"/>
          <w:lang w:bidi="ar"/>
        </w:rPr>
        <w:t xml:space="preserve"> (Vial, 2019</w:t>
      </w:r>
      <w:r w:rsidRPr="00DB3C7B">
        <w:rPr>
          <w:rFonts w:asciiTheme="majorBidi" w:hAnsiTheme="majorBidi" w:cstheme="majorBidi"/>
          <w:rtl/>
          <w:lang w:bidi="ar"/>
        </w:rPr>
        <w:t>؛</w:t>
      </w:r>
      <w:r w:rsidRPr="00DB3C7B">
        <w:rPr>
          <w:rFonts w:asciiTheme="majorBidi" w:hAnsiTheme="majorBidi" w:cstheme="majorBidi"/>
          <w:lang w:bidi="ar"/>
        </w:rPr>
        <w:t xml:space="preserve"> </w:t>
      </w:r>
      <w:proofErr w:type="spellStart"/>
      <w:r w:rsidRPr="00DB3C7B">
        <w:rPr>
          <w:rFonts w:asciiTheme="majorBidi" w:hAnsiTheme="majorBidi" w:cstheme="majorBidi"/>
          <w:lang w:bidi="ar"/>
        </w:rPr>
        <w:t>Mergel</w:t>
      </w:r>
      <w:proofErr w:type="spellEnd"/>
      <w:r w:rsidRPr="00DB3C7B">
        <w:rPr>
          <w:rFonts w:asciiTheme="majorBidi" w:hAnsiTheme="majorBidi" w:cstheme="majorBidi"/>
          <w:lang w:bidi="ar"/>
        </w:rPr>
        <w:t xml:space="preserve"> et al., 2019).</w:t>
      </w:r>
    </w:p>
    <w:p w14:paraId="2DB8D813"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وفي هذا الإطار، يمكن تبرير الأبعاد الأربعة على النحو الآتي (مع الحفاظ على توازن المعالجة بين الأبعاد)</w:t>
      </w:r>
      <w:r w:rsidRPr="007C2480">
        <w:rPr>
          <w:rFonts w:ascii="Traditional Arabic" w:hAnsi="Traditional Arabic" w:cs="Traditional Arabic"/>
          <w:lang w:bidi="ar"/>
        </w:rPr>
        <w:t>:</w:t>
      </w:r>
    </w:p>
    <w:p w14:paraId="27462EB7"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أولًا، توفر/انتشار الأنظمة الرقمية</w:t>
      </w:r>
      <w:r w:rsidRPr="007C2480">
        <w:rPr>
          <w:rFonts w:ascii="Traditional Arabic" w:hAnsi="Traditional Arabic" w:cs="Traditional Arabic"/>
          <w:lang w:bidi="ar"/>
        </w:rPr>
        <w:t xml:space="preserve"> (</w:t>
      </w:r>
      <w:r w:rsidRPr="00DB3C7B">
        <w:rPr>
          <w:rFonts w:asciiTheme="majorBidi" w:hAnsiTheme="majorBidi" w:cstheme="majorBidi"/>
          <w:lang w:bidi="ar"/>
        </w:rPr>
        <w:t>DTD1</w:t>
      </w:r>
      <w:r w:rsidRPr="007C2480">
        <w:rPr>
          <w:rFonts w:ascii="Traditional Arabic" w:hAnsi="Traditional Arabic" w:cs="Traditional Arabic"/>
          <w:lang w:bidi="ar"/>
        </w:rPr>
        <w:t xml:space="preserve">) </w:t>
      </w:r>
      <w:r w:rsidRPr="007C2480">
        <w:rPr>
          <w:rFonts w:ascii="Traditional Arabic" w:hAnsi="Traditional Arabic" w:cs="Traditional Arabic"/>
          <w:rtl/>
        </w:rPr>
        <w:t>يمثل “شرط الإتاحة والتبني الفعلي” للتحول الرقمي داخل العمل اليومي؛ إذ لا معنى لتحول رقمي لا ينعكس على نطاق استخدام الأنظمة في إنجاز معاملات الموظف. وتدعم الأدبيات هذا المنطق من خلال التأكيد على أن التحول الرقمي عملية منظمة لإحداث تغيير ملموس في العمليات عبر توظيف التقنيات الرقمية ضمن العمل اليومي، لا الاكتفاء بمبادرات منفصلة</w:t>
      </w:r>
      <w:r w:rsidRPr="007C2480">
        <w:rPr>
          <w:rFonts w:ascii="Traditional Arabic" w:hAnsi="Traditional Arabic" w:cs="Traditional Arabic"/>
          <w:lang w:bidi="ar"/>
        </w:rPr>
        <w:t xml:space="preserve"> (</w:t>
      </w:r>
      <w:r w:rsidRPr="00DB3C7B">
        <w:rPr>
          <w:rFonts w:asciiTheme="majorBidi" w:hAnsiTheme="majorBidi" w:cstheme="majorBidi"/>
          <w:lang w:bidi="ar"/>
        </w:rPr>
        <w:t>Vial</w:t>
      </w:r>
      <w:r w:rsidRPr="007C2480">
        <w:rPr>
          <w:rFonts w:ascii="Traditional Arabic" w:hAnsi="Traditional Arabic" w:cs="Traditional Arabic"/>
          <w:lang w:bidi="ar"/>
        </w:rPr>
        <w:t xml:space="preserve">, </w:t>
      </w:r>
      <w:r w:rsidRPr="00DB3C7B">
        <w:rPr>
          <w:rFonts w:asciiTheme="majorBidi" w:hAnsiTheme="majorBidi" w:cstheme="majorBidi"/>
          <w:lang w:bidi="ar"/>
        </w:rPr>
        <w:t>2019).</w:t>
      </w:r>
    </w:p>
    <w:p w14:paraId="4A7AF43A"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ثانيًا، كفاءة الأنظمة والعمليات الرقمية</w:t>
      </w:r>
      <w:r w:rsidRPr="007C2480">
        <w:rPr>
          <w:rFonts w:ascii="Traditional Arabic" w:hAnsi="Traditional Arabic" w:cs="Traditional Arabic"/>
          <w:lang w:bidi="ar"/>
        </w:rPr>
        <w:t xml:space="preserve"> (</w:t>
      </w:r>
      <w:r w:rsidRPr="00DB3C7B">
        <w:rPr>
          <w:rFonts w:asciiTheme="majorBidi" w:hAnsiTheme="majorBidi" w:cstheme="majorBidi"/>
          <w:lang w:bidi="ar"/>
        </w:rPr>
        <w:t>DTD2</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تلتقط جانب “الأداء التشغيلي” للنظام الرقمي (مثل الاستقرار، سرعة الاستجابة، تقليل الأخطاء)، وهو ما يرتبط نظريًا بمكاسب التحول مثل رفع الإنتاجية وتبسيط العمل. وتدعم الأدلة الحديثة أن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الجزئية يمكن أن ترتبط إيجابًا بالرضا الوظيفي عبر قنوات أهمها زيادة الإنتاجية وجعل العمل أكثر “إثارة/ثراءً”، مع الاعتراف بإمكان قنوات سلبية مثل ضغط الوقت وتدهور توازن العمل والحياة</w:t>
      </w:r>
      <w:r w:rsidRPr="007C2480">
        <w:rPr>
          <w:rFonts w:ascii="Traditional Arabic" w:hAnsi="Traditional Arabic" w:cs="Traditional Arabic"/>
          <w:lang w:bidi="ar"/>
        </w:rPr>
        <w:t xml:space="preserve"> (</w:t>
      </w:r>
      <w:proofErr w:type="spellStart"/>
      <w:r w:rsidRPr="007C2480">
        <w:rPr>
          <w:rFonts w:ascii="Traditional Arabic" w:hAnsi="Traditional Arabic" w:cs="Traditional Arabic"/>
          <w:lang w:bidi="ar"/>
        </w:rPr>
        <w:t>Bolli</w:t>
      </w:r>
      <w:proofErr w:type="spellEnd"/>
      <w:r w:rsidRPr="007C2480">
        <w:rPr>
          <w:rFonts w:ascii="Traditional Arabic" w:hAnsi="Traditional Arabic" w:cs="Traditional Arabic"/>
          <w:lang w:bidi="ar"/>
        </w:rPr>
        <w:t xml:space="preserve"> &amp; </w:t>
      </w:r>
      <w:proofErr w:type="spellStart"/>
      <w:r w:rsidRPr="007C2480">
        <w:rPr>
          <w:rFonts w:ascii="Traditional Arabic" w:hAnsi="Traditional Arabic" w:cs="Traditional Arabic"/>
          <w:lang w:bidi="ar"/>
        </w:rPr>
        <w:t>Pusterla</w:t>
      </w:r>
      <w:proofErr w:type="spellEnd"/>
      <w:r w:rsidRPr="007C2480">
        <w:rPr>
          <w:rFonts w:ascii="Traditional Arabic" w:hAnsi="Traditional Arabic" w:cs="Traditional Arabic"/>
          <w:lang w:bidi="ar"/>
        </w:rPr>
        <w:t>, 2022).</w:t>
      </w:r>
    </w:p>
    <w:p w14:paraId="69F8356D"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ثالثًا، جودة الدعم والتدريب</w:t>
      </w:r>
      <w:r w:rsidRPr="007C2480">
        <w:rPr>
          <w:rFonts w:ascii="Traditional Arabic" w:hAnsi="Traditional Arabic" w:cs="Traditional Arabic"/>
          <w:lang w:bidi="ar"/>
        </w:rPr>
        <w:t xml:space="preserve"> (DTD3) </w:t>
      </w:r>
      <w:r w:rsidRPr="007C2480">
        <w:rPr>
          <w:rFonts w:ascii="Traditional Arabic" w:hAnsi="Traditional Arabic" w:cs="Traditional Arabic"/>
          <w:rtl/>
        </w:rPr>
        <w:t>تُجسد “القدرة التنظيمية” على تمكين الموظف من استخدام الأنظمة بكفاءة، وهي قريبة من منطق “الظروف الميسرة” في نماذج القبول، ومن منطق جودة الخدمة والرضا في نموذج نجاح نظم المعلومات الذي يربط بين جودة النظام/الخدمة ورضا المستخدم</w:t>
      </w:r>
      <w:r w:rsidRPr="007C2480">
        <w:rPr>
          <w:rFonts w:ascii="Traditional Arabic" w:hAnsi="Traditional Arabic" w:cs="Traditional Arabic"/>
          <w:lang w:bidi="ar"/>
        </w:rPr>
        <w:t xml:space="preserve"> (</w:t>
      </w:r>
      <w:proofErr w:type="spellStart"/>
      <w:r w:rsidRPr="007C2480">
        <w:rPr>
          <w:rFonts w:ascii="Traditional Arabic" w:hAnsi="Traditional Arabic" w:cs="Traditional Arabic"/>
          <w:lang w:bidi="ar"/>
        </w:rPr>
        <w:t>DeLone</w:t>
      </w:r>
      <w:proofErr w:type="spellEnd"/>
      <w:r w:rsidRPr="007C2480">
        <w:rPr>
          <w:rFonts w:ascii="Traditional Arabic" w:hAnsi="Traditional Arabic" w:cs="Traditional Arabic"/>
          <w:lang w:bidi="ar"/>
        </w:rPr>
        <w:t xml:space="preserve"> &amp; McLean, 2003). </w:t>
      </w:r>
      <w:r w:rsidRPr="007C2480">
        <w:rPr>
          <w:rFonts w:ascii="Traditional Arabic" w:hAnsi="Traditional Arabic" w:cs="Traditional Arabic"/>
          <w:rtl/>
        </w:rPr>
        <w:t>كما تشير أدبيات الإجهاد التقني إلى أن نقص التدريب والدعم يزيد احتمالية توليد ضغوط رقمية، في حين أن الدعم المؤسسي يمثل آلية رئيسة للتخفيف</w:t>
      </w:r>
      <w:r w:rsidRPr="007C2480">
        <w:rPr>
          <w:rFonts w:ascii="Traditional Arabic" w:hAnsi="Traditional Arabic" w:cs="Traditional Arabic"/>
          <w:lang w:bidi="ar"/>
        </w:rPr>
        <w:t xml:space="preserve"> (Kumar, 2024).</w:t>
      </w:r>
    </w:p>
    <w:p w14:paraId="72268710"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رابعًا، تكامل العمليات وتبسيط الإجراءات</w:t>
      </w:r>
      <w:r w:rsidRPr="007C2480">
        <w:rPr>
          <w:rFonts w:ascii="Traditional Arabic" w:hAnsi="Traditional Arabic" w:cs="Traditional Arabic"/>
          <w:lang w:bidi="ar"/>
        </w:rPr>
        <w:t xml:space="preserve"> (DTD4) </w:t>
      </w:r>
      <w:r w:rsidRPr="007C2480">
        <w:rPr>
          <w:rFonts w:ascii="Traditional Arabic" w:hAnsi="Traditional Arabic" w:cs="Traditional Arabic"/>
          <w:rtl/>
        </w:rPr>
        <w:t>يعكس جوهر التحول الرقمي بوصفه “إعادة تصميم للعمليات” وتحقيق التشغيل البيني وتقليل الازدواجية؛ وهو بعد بارز في التحول الرقمي الحكومي تحديدًا، حيث تُعد قابلية التشغيل البيني وتحسين العمليات والعلاقات التنظيمية من نتائج التحول المتوقعة</w:t>
      </w:r>
      <w:r w:rsidRPr="007C2480">
        <w:rPr>
          <w:rFonts w:ascii="Traditional Arabic" w:hAnsi="Traditional Arabic" w:cs="Traditional Arabic"/>
          <w:lang w:bidi="ar"/>
        </w:rPr>
        <w:t xml:space="preserve"> (</w:t>
      </w:r>
      <w:proofErr w:type="spellStart"/>
      <w:r w:rsidRPr="007C2480">
        <w:rPr>
          <w:rFonts w:ascii="Traditional Arabic" w:hAnsi="Traditional Arabic" w:cs="Traditional Arabic"/>
          <w:lang w:bidi="ar"/>
        </w:rPr>
        <w:t>Mergel</w:t>
      </w:r>
      <w:proofErr w:type="spellEnd"/>
      <w:r w:rsidRPr="007C2480">
        <w:rPr>
          <w:rFonts w:ascii="Traditional Arabic" w:hAnsi="Traditional Arabic" w:cs="Traditional Arabic"/>
          <w:lang w:bidi="ar"/>
        </w:rPr>
        <w:t xml:space="preserve"> et al., 2019). </w:t>
      </w:r>
      <w:r w:rsidRPr="007C2480">
        <w:rPr>
          <w:rFonts w:ascii="Traditional Arabic" w:hAnsi="Traditional Arabic" w:cs="Traditional Arabic"/>
          <w:rtl/>
        </w:rPr>
        <w:t>وعلى المستوى الداخلي، يُتوقع أن يقلل التكامل من عبء التنقل بين أنظمة متفرقة ويقلل الأخطاء وخطوات العمل غير الضرورية، ما ينعكس على الانسيابية وتقليل الضغط</w:t>
      </w:r>
      <w:r w:rsidRPr="007C2480">
        <w:rPr>
          <w:rFonts w:ascii="Traditional Arabic" w:hAnsi="Traditional Arabic" w:cs="Traditional Arabic"/>
          <w:lang w:bidi="ar"/>
        </w:rPr>
        <w:t>.</w:t>
      </w:r>
    </w:p>
    <w:p w14:paraId="281C8E64" w14:textId="77777777" w:rsidR="00CC426D" w:rsidRPr="007C2480" w:rsidRDefault="00CC426D" w:rsidP="00EB0259">
      <w:pPr>
        <w:spacing w:line="360" w:lineRule="auto"/>
        <w:rPr>
          <w:rFonts w:ascii="Traditional Arabic" w:hAnsi="Traditional Arabic" w:cs="Traditional Arabic"/>
          <w:rtl/>
        </w:rPr>
      </w:pPr>
      <w:r w:rsidRPr="007C2480">
        <w:rPr>
          <w:rFonts w:ascii="Traditional Arabic" w:hAnsi="Traditional Arabic" w:cs="Traditional Arabic"/>
          <w:rtl/>
        </w:rPr>
        <w:br w:type="page"/>
      </w:r>
    </w:p>
    <w:tbl>
      <w:tblPr>
        <w:tblStyle w:val="GridTable5Dark-Accent3"/>
        <w:tblpPr w:leftFromText="180" w:rightFromText="180" w:vertAnchor="page" w:horzAnchor="margin" w:tblpY="2155"/>
        <w:bidiVisual/>
        <w:tblW w:w="9566" w:type="dxa"/>
        <w:tblLayout w:type="fixed"/>
        <w:tblLook w:val="04A0" w:firstRow="1" w:lastRow="0" w:firstColumn="1" w:lastColumn="0" w:noHBand="0" w:noVBand="1"/>
      </w:tblPr>
      <w:tblGrid>
        <w:gridCol w:w="1594"/>
        <w:gridCol w:w="1594"/>
        <w:gridCol w:w="1595"/>
        <w:gridCol w:w="1594"/>
        <w:gridCol w:w="1594"/>
        <w:gridCol w:w="1595"/>
      </w:tblGrid>
      <w:tr w:rsidR="00CC426D" w:rsidRPr="007C2480" w14:paraId="4BE4AF3E" w14:textId="77777777" w:rsidTr="00CC426D">
        <w:trPr>
          <w:cnfStyle w:val="100000000000" w:firstRow="1" w:lastRow="0" w:firstColumn="0" w:lastColumn="0" w:oddVBand="0" w:evenVBand="0" w:oddHBand="0"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475FA59D" w14:textId="77777777" w:rsidR="00CC426D" w:rsidRPr="007C2480" w:rsidRDefault="00CC426D" w:rsidP="00EB0259">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lastRenderedPageBreak/>
              <w:t>بُعد التحول الرقمي المؤسسي</w:t>
            </w:r>
            <w:r w:rsidRPr="007C2480">
              <w:rPr>
                <w:rFonts w:ascii="Traditional Arabic" w:eastAsia="Times New Roman" w:hAnsi="Traditional Arabic" w:cs="Traditional Arabic"/>
                <w:b w:val="0"/>
                <w:bCs w:val="0"/>
              </w:rPr>
              <w:t xml:space="preserve"> (DTD)</w:t>
            </w:r>
          </w:p>
        </w:tc>
        <w:tc>
          <w:tcPr>
            <w:tcW w:w="1594" w:type="dxa"/>
            <w:vAlign w:val="center"/>
            <w:hideMark/>
          </w:tcPr>
          <w:p w14:paraId="3B616535" w14:textId="77777777" w:rsidR="00CC426D" w:rsidRPr="007C2480" w:rsidRDefault="00CC426D" w:rsidP="00EB02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مضمون البعد (تعريف إجرائي موجز)</w:t>
            </w:r>
          </w:p>
        </w:tc>
        <w:tc>
          <w:tcPr>
            <w:tcW w:w="1595" w:type="dxa"/>
            <w:vAlign w:val="center"/>
            <w:hideMark/>
          </w:tcPr>
          <w:p w14:paraId="22746EAF" w14:textId="77777777" w:rsidR="00CC426D" w:rsidRPr="007C2480" w:rsidRDefault="00CC426D" w:rsidP="00EB02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الأثر المتوقع على</w:t>
            </w:r>
            <w:r w:rsidRPr="007C2480">
              <w:rPr>
                <w:rFonts w:ascii="Traditional Arabic" w:eastAsia="Times New Roman" w:hAnsi="Traditional Arabic" w:cs="Traditional Arabic"/>
                <w:b w:val="0"/>
                <w:bCs w:val="0"/>
              </w:rPr>
              <w:t xml:space="preserve"> TAM (PU/PEOU)</w:t>
            </w:r>
          </w:p>
        </w:tc>
        <w:tc>
          <w:tcPr>
            <w:tcW w:w="1594" w:type="dxa"/>
            <w:vAlign w:val="center"/>
            <w:hideMark/>
          </w:tcPr>
          <w:p w14:paraId="67C6ED8A" w14:textId="77777777" w:rsidR="00CC426D" w:rsidRPr="007C2480" w:rsidRDefault="00CC426D" w:rsidP="00EB02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الأثر المتوقع على</w:t>
            </w:r>
            <w:r w:rsidRPr="007C2480">
              <w:rPr>
                <w:rFonts w:ascii="Traditional Arabic" w:eastAsia="Times New Roman" w:hAnsi="Traditional Arabic" w:cs="Traditional Arabic"/>
                <w:b w:val="0"/>
                <w:bCs w:val="0"/>
              </w:rPr>
              <w:t xml:space="preserve"> Technostress</w:t>
            </w:r>
          </w:p>
        </w:tc>
        <w:tc>
          <w:tcPr>
            <w:tcW w:w="1594" w:type="dxa"/>
            <w:vAlign w:val="center"/>
            <w:hideMark/>
          </w:tcPr>
          <w:p w14:paraId="5593A94A" w14:textId="77777777" w:rsidR="00CC426D" w:rsidRPr="007C2480" w:rsidRDefault="00CC426D" w:rsidP="00EB02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الأثر المتوقع على</w:t>
            </w:r>
            <w:r w:rsidRPr="007C2480">
              <w:rPr>
                <w:rFonts w:ascii="Traditional Arabic" w:eastAsia="Times New Roman" w:hAnsi="Traditional Arabic" w:cs="Traditional Arabic"/>
                <w:b w:val="0"/>
                <w:bCs w:val="0"/>
              </w:rPr>
              <w:t xml:space="preserve"> JS</w:t>
            </w:r>
          </w:p>
        </w:tc>
        <w:tc>
          <w:tcPr>
            <w:tcW w:w="1595" w:type="dxa"/>
            <w:vAlign w:val="center"/>
            <w:hideMark/>
          </w:tcPr>
          <w:p w14:paraId="1CD253C7" w14:textId="77777777" w:rsidR="00CC426D" w:rsidRPr="007C2480" w:rsidRDefault="00CC426D" w:rsidP="00EB0259">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tl/>
              </w:rPr>
              <w:t>أمثلة توثيق داخل المتن</w:t>
            </w:r>
          </w:p>
        </w:tc>
      </w:tr>
      <w:tr w:rsidR="00CC426D" w:rsidRPr="007C2480" w14:paraId="41886F07" w14:textId="77777777" w:rsidTr="00CC426D">
        <w:trPr>
          <w:cnfStyle w:val="000000100000" w:firstRow="0" w:lastRow="0" w:firstColumn="0" w:lastColumn="0" w:oddVBand="0" w:evenVBand="0" w:oddHBand="1"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1F23AEF9" w14:textId="77777777" w:rsidR="00CC426D" w:rsidRPr="007C2480" w:rsidRDefault="00CC426D" w:rsidP="00EB0259">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DTD1 </w:t>
            </w:r>
            <w:r w:rsidRPr="007C2480">
              <w:rPr>
                <w:rFonts w:ascii="Traditional Arabic" w:eastAsia="Times New Roman" w:hAnsi="Traditional Arabic" w:cs="Traditional Arabic"/>
                <w:b w:val="0"/>
                <w:bCs w:val="0"/>
                <w:rtl/>
              </w:rPr>
              <w:t>توفر/انتشار الأنظمة</w:t>
            </w:r>
          </w:p>
        </w:tc>
        <w:tc>
          <w:tcPr>
            <w:tcW w:w="1594" w:type="dxa"/>
            <w:vAlign w:val="center"/>
            <w:hideMark/>
          </w:tcPr>
          <w:p w14:paraId="36FC4AF1"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مدى شمول الأنظمة الرقمية لمعاملات الموظف واستخدامها اليومي</w:t>
            </w:r>
          </w:p>
        </w:tc>
        <w:tc>
          <w:tcPr>
            <w:tcW w:w="1595" w:type="dxa"/>
            <w:vAlign w:val="center"/>
            <w:hideMark/>
          </w:tcPr>
          <w:p w14:paraId="07D3DA25"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عبر تقليل الاعتماد على بدائل مرهقة/يدوية</w:t>
            </w:r>
          </w:p>
        </w:tc>
        <w:tc>
          <w:tcPr>
            <w:tcW w:w="1594" w:type="dxa"/>
            <w:vAlign w:val="center"/>
            <w:hideMark/>
          </w:tcPr>
          <w:p w14:paraId="656461B4"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قد</w:t>
            </w:r>
            <w:r w:rsidRPr="007C2480">
              <w:rPr>
                <w:rFonts w:ascii="Traditional Arabic" w:eastAsia="Times New Roman" w:hAnsi="Traditional Arabic" w:cs="Traditional Arabic"/>
              </w:rPr>
              <w:t xml:space="preserve"> </w:t>
            </w:r>
            <w:r w:rsidRPr="007C2480">
              <w:rPr>
                <w:rFonts w:eastAsia="Times New Roman"/>
              </w:rPr>
              <w:t>↓</w:t>
            </w:r>
            <w:r w:rsidRPr="007C2480">
              <w:rPr>
                <w:rFonts w:ascii="Traditional Arabic" w:eastAsia="Times New Roman" w:hAnsi="Traditional Arabic" w:cs="Traditional Arabic"/>
              </w:rPr>
              <w:t xml:space="preserve"> overload </w:t>
            </w:r>
            <w:r w:rsidRPr="007C2480">
              <w:rPr>
                <w:rFonts w:ascii="Traditional Arabic" w:eastAsia="Times New Roman" w:hAnsi="Traditional Arabic" w:cs="Traditional Arabic"/>
                <w:rtl/>
              </w:rPr>
              <w:t xml:space="preserve">عبر تنظيم العمل، أو </w:t>
            </w:r>
            <w:r w:rsidRPr="007C2480">
              <w:rPr>
                <w:rFonts w:eastAsia="Times New Roman" w:hint="cs"/>
                <w:rtl/>
              </w:rPr>
              <w:t>↑</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إذا</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صاحبته</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كثافة</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أدوات</w:t>
            </w:r>
          </w:p>
        </w:tc>
        <w:tc>
          <w:tcPr>
            <w:tcW w:w="1594" w:type="dxa"/>
            <w:vAlign w:val="center"/>
            <w:hideMark/>
          </w:tcPr>
          <w:p w14:paraId="5705334C"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 xml:space="preserve">غالبًا </w:t>
            </w:r>
            <w:r w:rsidRPr="007C2480">
              <w:rPr>
                <w:rFonts w:eastAsia="Times New Roman" w:hint="cs"/>
                <w:rtl/>
              </w:rPr>
              <w:t>↑</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عبر</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إحساس</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الإنجاز</w:t>
            </w:r>
            <w:r w:rsidRPr="007C2480">
              <w:rPr>
                <w:rFonts w:ascii="Traditional Arabic" w:eastAsia="Times New Roman" w:hAnsi="Traditional Arabic" w:cs="Traditional Arabic"/>
                <w:rtl/>
              </w:rPr>
              <w:t>/</w:t>
            </w:r>
            <w:r w:rsidRPr="007C2480">
              <w:rPr>
                <w:rFonts w:ascii="Traditional Arabic" w:eastAsia="Times New Roman" w:hAnsi="Traditional Arabic" w:cs="Traditional Arabic" w:hint="cs"/>
                <w:rtl/>
              </w:rPr>
              <w:t>السرعة</w:t>
            </w:r>
          </w:p>
        </w:tc>
        <w:tc>
          <w:tcPr>
            <w:tcW w:w="1595" w:type="dxa"/>
            <w:vAlign w:val="center"/>
            <w:hideMark/>
          </w:tcPr>
          <w:p w14:paraId="7D8DBC94"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(Vial, 2019)</w:t>
            </w:r>
          </w:p>
        </w:tc>
      </w:tr>
      <w:tr w:rsidR="00CC426D" w:rsidRPr="007C2480" w14:paraId="297C923A" w14:textId="77777777" w:rsidTr="00CC426D">
        <w:trPr>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2A1843B9" w14:textId="77777777" w:rsidR="00CC426D" w:rsidRPr="007C2480" w:rsidRDefault="00CC426D" w:rsidP="00EB0259">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DTD2 </w:t>
            </w:r>
            <w:r w:rsidRPr="007C2480">
              <w:rPr>
                <w:rFonts w:ascii="Traditional Arabic" w:eastAsia="Times New Roman" w:hAnsi="Traditional Arabic" w:cs="Traditional Arabic"/>
                <w:b w:val="0"/>
                <w:bCs w:val="0"/>
                <w:rtl/>
              </w:rPr>
              <w:t>كفاءة الأنظمة والعمليات</w:t>
            </w:r>
          </w:p>
        </w:tc>
        <w:tc>
          <w:tcPr>
            <w:tcW w:w="1594" w:type="dxa"/>
            <w:vAlign w:val="center"/>
            <w:hideMark/>
          </w:tcPr>
          <w:p w14:paraId="7FEAE46C"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الاستقرار، سرعة الاستجابة، تقليل الأخطاء، وضوح التدفق</w:t>
            </w:r>
          </w:p>
        </w:tc>
        <w:tc>
          <w:tcPr>
            <w:tcW w:w="1595" w:type="dxa"/>
            <w:vAlign w:val="center"/>
            <w:hideMark/>
          </w:tcPr>
          <w:p w14:paraId="714A09BA"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(تحسن الأداء) 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سلاسة الاستخدام</w:t>
            </w:r>
            <w:r w:rsidRPr="007C2480">
              <w:rPr>
                <w:rFonts w:ascii="Traditional Arabic" w:eastAsia="Times New Roman" w:hAnsi="Traditional Arabic" w:cs="Traditional Arabic"/>
              </w:rPr>
              <w:t>)</w:t>
            </w:r>
          </w:p>
        </w:tc>
        <w:tc>
          <w:tcPr>
            <w:tcW w:w="1594" w:type="dxa"/>
            <w:vAlign w:val="center"/>
            <w:hideMark/>
          </w:tcPr>
          <w:p w14:paraId="40642692"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complexity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uncertainty </w:t>
            </w:r>
            <w:r w:rsidRPr="007C2480">
              <w:rPr>
                <w:rFonts w:ascii="Traditional Arabic" w:eastAsia="Times New Roman" w:hAnsi="Traditional Arabic" w:cs="Traditional Arabic"/>
                <w:rtl/>
              </w:rPr>
              <w:t>إذا تحسن الاستقرار</w:t>
            </w:r>
          </w:p>
        </w:tc>
        <w:tc>
          <w:tcPr>
            <w:tcW w:w="1594" w:type="dxa"/>
            <w:vAlign w:val="center"/>
            <w:hideMark/>
          </w:tcPr>
          <w:p w14:paraId="5D288E92"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الإنتاجية وثراء العمل، مع الحذر من ضغط الوقت</w:t>
            </w:r>
          </w:p>
        </w:tc>
        <w:tc>
          <w:tcPr>
            <w:tcW w:w="1595" w:type="dxa"/>
            <w:vAlign w:val="center"/>
            <w:hideMark/>
          </w:tcPr>
          <w:p w14:paraId="77F26794"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Bolli</w:t>
            </w:r>
            <w:proofErr w:type="spellEnd"/>
            <w:r w:rsidRPr="007C2480">
              <w:rPr>
                <w:rFonts w:ascii="Traditional Arabic" w:eastAsia="Times New Roman" w:hAnsi="Traditional Arabic" w:cs="Traditional Arabic"/>
              </w:rPr>
              <w:t xml:space="preserve"> &amp; </w:t>
            </w:r>
            <w:proofErr w:type="spellStart"/>
            <w:r w:rsidRPr="007C2480">
              <w:rPr>
                <w:rFonts w:ascii="Traditional Arabic" w:eastAsia="Times New Roman" w:hAnsi="Traditional Arabic" w:cs="Traditional Arabic"/>
              </w:rPr>
              <w:t>Pusterla</w:t>
            </w:r>
            <w:proofErr w:type="spellEnd"/>
            <w:r w:rsidRPr="007C2480">
              <w:rPr>
                <w:rFonts w:ascii="Traditional Arabic" w:eastAsia="Times New Roman" w:hAnsi="Traditional Arabic" w:cs="Traditional Arabic"/>
              </w:rPr>
              <w:t>, 2022)</w:t>
            </w:r>
          </w:p>
        </w:tc>
      </w:tr>
      <w:tr w:rsidR="00CC426D" w:rsidRPr="007C2480" w14:paraId="5C7C0A9B" w14:textId="77777777" w:rsidTr="00CC426D">
        <w:trPr>
          <w:cnfStyle w:val="000000100000" w:firstRow="0" w:lastRow="0" w:firstColumn="0" w:lastColumn="0" w:oddVBand="0" w:evenVBand="0" w:oddHBand="1"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2B027F7B" w14:textId="77777777" w:rsidR="00CC426D" w:rsidRPr="007C2480" w:rsidRDefault="00CC426D" w:rsidP="00EB0259">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DTD3 </w:t>
            </w:r>
            <w:r w:rsidRPr="007C2480">
              <w:rPr>
                <w:rFonts w:ascii="Traditional Arabic" w:eastAsia="Times New Roman" w:hAnsi="Traditional Arabic" w:cs="Traditional Arabic"/>
                <w:b w:val="0"/>
                <w:bCs w:val="0"/>
                <w:rtl/>
              </w:rPr>
              <w:t>جودة الدعم والتدريب</w:t>
            </w:r>
          </w:p>
        </w:tc>
        <w:tc>
          <w:tcPr>
            <w:tcW w:w="1594" w:type="dxa"/>
            <w:vAlign w:val="center"/>
            <w:hideMark/>
          </w:tcPr>
          <w:p w14:paraId="19E1654E"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التدريب، قنوات المساعدة، الاستجابة للأعطال</w:t>
            </w:r>
          </w:p>
        </w:tc>
        <w:tc>
          <w:tcPr>
            <w:tcW w:w="1595" w:type="dxa"/>
            <w:vAlign w:val="center"/>
            <w:hideMark/>
          </w:tcPr>
          <w:p w14:paraId="76F83015"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(تعلم أسهل) و</w:t>
            </w: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عبر الاستخدام الفعال</w:t>
            </w:r>
          </w:p>
        </w:tc>
        <w:tc>
          <w:tcPr>
            <w:tcW w:w="1594" w:type="dxa"/>
            <w:vAlign w:val="center"/>
            <w:hideMark/>
          </w:tcPr>
          <w:p w14:paraId="2A599229"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overload/complexity </w:t>
            </w:r>
            <w:r w:rsidRPr="007C2480">
              <w:rPr>
                <w:rFonts w:ascii="Traditional Arabic" w:eastAsia="Times New Roman" w:hAnsi="Traditional Arabic" w:cs="Traditional Arabic"/>
                <w:rtl/>
              </w:rPr>
              <w:t>عبر التمكين والدعم</w:t>
            </w:r>
          </w:p>
        </w:tc>
        <w:tc>
          <w:tcPr>
            <w:tcW w:w="1594" w:type="dxa"/>
            <w:vAlign w:val="center"/>
            <w:hideMark/>
          </w:tcPr>
          <w:p w14:paraId="4949048A"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الثقة والتمكن وتقليل الإحباط</w:t>
            </w:r>
          </w:p>
        </w:tc>
        <w:tc>
          <w:tcPr>
            <w:tcW w:w="1595" w:type="dxa"/>
            <w:vAlign w:val="center"/>
            <w:hideMark/>
          </w:tcPr>
          <w:p w14:paraId="113FED37" w14:textId="77777777" w:rsidR="00CC426D" w:rsidRPr="007C2480" w:rsidRDefault="00CC426D" w:rsidP="00EB0259">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DeLone</w:t>
            </w:r>
            <w:proofErr w:type="spellEnd"/>
            <w:r w:rsidRPr="007C2480">
              <w:rPr>
                <w:rFonts w:ascii="Traditional Arabic" w:eastAsia="Times New Roman" w:hAnsi="Traditional Arabic" w:cs="Traditional Arabic"/>
              </w:rPr>
              <w:t xml:space="preserve"> &amp; McLean, 2003</w:t>
            </w:r>
            <w:r w:rsidRPr="007C2480">
              <w:rPr>
                <w:rFonts w:ascii="Traditional Arabic" w:eastAsia="Times New Roman" w:hAnsi="Traditional Arabic" w:cs="Traditional Arabic"/>
                <w:rtl/>
              </w:rPr>
              <w:t>؛</w:t>
            </w:r>
            <w:r w:rsidRPr="007C2480">
              <w:rPr>
                <w:rFonts w:ascii="Traditional Arabic" w:eastAsia="Times New Roman" w:hAnsi="Traditional Arabic" w:cs="Traditional Arabic"/>
              </w:rPr>
              <w:t xml:space="preserve"> Kumar, 2024)</w:t>
            </w:r>
          </w:p>
        </w:tc>
      </w:tr>
      <w:tr w:rsidR="00CC426D" w:rsidRPr="007C2480" w14:paraId="4B8F1E54" w14:textId="77777777" w:rsidTr="00CC426D">
        <w:trPr>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1DAFBBEB" w14:textId="77777777" w:rsidR="00CC426D" w:rsidRPr="007C2480" w:rsidRDefault="00CC426D" w:rsidP="00EB0259">
            <w:pPr>
              <w:spacing w:line="360" w:lineRule="auto"/>
              <w:jc w:val="center"/>
              <w:rPr>
                <w:rFonts w:ascii="Traditional Arabic" w:eastAsia="Times New Roman" w:hAnsi="Traditional Arabic" w:cs="Traditional Arabic"/>
                <w:b w:val="0"/>
                <w:bCs w:val="0"/>
              </w:rPr>
            </w:pPr>
            <w:r w:rsidRPr="007C2480">
              <w:rPr>
                <w:rFonts w:ascii="Traditional Arabic" w:eastAsia="Times New Roman" w:hAnsi="Traditional Arabic" w:cs="Traditional Arabic"/>
                <w:b w:val="0"/>
                <w:bCs w:val="0"/>
              </w:rPr>
              <w:t xml:space="preserve">DTD4 </w:t>
            </w:r>
            <w:r w:rsidRPr="007C2480">
              <w:rPr>
                <w:rFonts w:ascii="Traditional Arabic" w:eastAsia="Times New Roman" w:hAnsi="Traditional Arabic" w:cs="Traditional Arabic"/>
                <w:b w:val="0"/>
                <w:bCs w:val="0"/>
                <w:rtl/>
              </w:rPr>
              <w:t>التكامل والتبسيط</w:t>
            </w:r>
          </w:p>
        </w:tc>
        <w:tc>
          <w:tcPr>
            <w:tcW w:w="1594" w:type="dxa"/>
            <w:vAlign w:val="center"/>
            <w:hideMark/>
          </w:tcPr>
          <w:p w14:paraId="79C8F784"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التشغيل البيني وتقليل الازدواجية والخطوات</w:t>
            </w:r>
          </w:p>
        </w:tc>
        <w:tc>
          <w:tcPr>
            <w:tcW w:w="1595" w:type="dxa"/>
            <w:vAlign w:val="center"/>
            <w:hideMark/>
          </w:tcPr>
          <w:p w14:paraId="2DCC784B"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عبر تبسيط رحلة الإجراء</w:t>
            </w:r>
          </w:p>
        </w:tc>
        <w:tc>
          <w:tcPr>
            <w:tcW w:w="1594" w:type="dxa"/>
            <w:vAlign w:val="center"/>
            <w:hideMark/>
          </w:tcPr>
          <w:p w14:paraId="182F9A1C"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overload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interruption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uncertainty</w:t>
            </w:r>
          </w:p>
        </w:tc>
        <w:tc>
          <w:tcPr>
            <w:tcW w:w="1594" w:type="dxa"/>
            <w:vAlign w:val="center"/>
            <w:hideMark/>
          </w:tcPr>
          <w:p w14:paraId="7537D4DF"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الانسيابية وتقليل الاحتكاك البيروقراطي</w:t>
            </w:r>
          </w:p>
        </w:tc>
        <w:tc>
          <w:tcPr>
            <w:tcW w:w="1595" w:type="dxa"/>
            <w:vAlign w:val="center"/>
            <w:hideMark/>
          </w:tcPr>
          <w:p w14:paraId="79EE71C2" w14:textId="77777777" w:rsidR="00CC426D" w:rsidRPr="007C2480" w:rsidRDefault="00CC426D" w:rsidP="00EB0259">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Mergel</w:t>
            </w:r>
            <w:proofErr w:type="spellEnd"/>
            <w:r w:rsidRPr="007C2480">
              <w:rPr>
                <w:rFonts w:ascii="Traditional Arabic" w:eastAsia="Times New Roman" w:hAnsi="Traditional Arabic" w:cs="Traditional Arabic"/>
              </w:rPr>
              <w:t xml:space="preserve"> et al., 2019)</w:t>
            </w:r>
          </w:p>
        </w:tc>
      </w:tr>
    </w:tbl>
    <w:p w14:paraId="4B18634D" w14:textId="2C99ECC2"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جدول تلخيصي لعلاقة أبعاد</w:t>
      </w:r>
      <w:r w:rsidRPr="007C2480">
        <w:rPr>
          <w:rFonts w:ascii="Traditional Arabic" w:hAnsi="Traditional Arabic" w:cs="Traditional Arabic"/>
          <w:lang w:bidi="ar"/>
        </w:rPr>
        <w:t xml:space="preserve"> DTD </w:t>
      </w:r>
      <w:r w:rsidRPr="007C2480">
        <w:rPr>
          <w:rFonts w:ascii="Traditional Arabic" w:hAnsi="Traditional Arabic" w:cs="Traditional Arabic"/>
          <w:rtl/>
        </w:rPr>
        <w:t>بالآثار المتوقعة</w:t>
      </w:r>
    </w:p>
    <w:p w14:paraId="09F92511" w14:textId="77777777" w:rsidR="00B64312" w:rsidRPr="007C2480" w:rsidRDefault="00B64312" w:rsidP="00EB0259">
      <w:pPr>
        <w:bidi/>
        <w:spacing w:after="160" w:line="360" w:lineRule="auto"/>
        <w:divId w:val="1647278641"/>
        <w:rPr>
          <w:rFonts w:ascii="Traditional Arabic" w:hAnsi="Traditional Arabic" w:cs="Traditional Arabic"/>
          <w:rtl/>
        </w:rPr>
      </w:pPr>
    </w:p>
    <w:p w14:paraId="79FA95D6" w14:textId="2127ABDE"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تستند منطلقات الجدول إلى أدبيات التحول الرقمي (خصوصًا تركيزه على إعادة تصميم العمليات)، وإلى أدلة أثر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عبر قنوات الإنتاجية وتوازن الحياة، وإلى نماذج جودة النظام/الخدمة وارتباطها بالرضا، وإلى مراجعات الإجهاد التقني التي تؤكد دور التدخلات التنظيمية (الدعم/التدريب) في التخفيف</w:t>
      </w:r>
      <w:r w:rsidRPr="007C2480">
        <w:rPr>
          <w:rFonts w:ascii="Traditional Arabic" w:hAnsi="Traditional Arabic" w:cs="Traditional Arabic"/>
          <w:lang w:bidi="ar"/>
        </w:rPr>
        <w:t>.</w:t>
      </w:r>
    </w:p>
    <w:p w14:paraId="482EEC6D" w14:textId="77777777" w:rsidR="00DB3C7B" w:rsidRDefault="00DB3C7B" w:rsidP="00EB0259">
      <w:pPr>
        <w:bidi/>
        <w:spacing w:after="160" w:line="360" w:lineRule="auto"/>
        <w:divId w:val="1647278641"/>
        <w:rPr>
          <w:rFonts w:ascii="Traditional Arabic" w:hAnsi="Traditional Arabic" w:cs="Traditional Arabic"/>
          <w:b/>
          <w:bCs/>
          <w:rtl/>
        </w:rPr>
      </w:pPr>
    </w:p>
    <w:p w14:paraId="1D79ECC8" w14:textId="28A47526" w:rsidR="00B64312" w:rsidRPr="00DB3C7B" w:rsidRDefault="00CC426D" w:rsidP="00DB3C7B">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lastRenderedPageBreak/>
        <w:t>2.1.3</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الرضا الوظيفي في بيئة العمل الرقمية</w:t>
      </w:r>
    </w:p>
    <w:p w14:paraId="0DDC71D3"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يُعرّف الرضا الوظيفي في الأدبيات بوصفه اتجاهًا/تقييمًا يتشكل من بعدين أساسيين</w:t>
      </w:r>
      <w:r w:rsidRPr="007C2480">
        <w:rPr>
          <w:rFonts w:ascii="Traditional Arabic" w:hAnsi="Traditional Arabic" w:cs="Traditional Arabic"/>
          <w:lang w:bidi="ar"/>
        </w:rPr>
        <w:t xml:space="preserve">: </w:t>
      </w:r>
      <w:r w:rsidRPr="007C2480">
        <w:rPr>
          <w:rFonts w:ascii="Traditional Arabic" w:hAnsi="Traditional Arabic" w:cs="Traditional Arabic"/>
          <w:rtl/>
        </w:rPr>
        <w:t>وجداني (مشاعر الموظف تجاه عمله) ومعرفي/تقويمي (حكمه التقييمي على جوانب الوظيفة). وتذكر الأدبيات الحديثة أن أحد التعريفات الأكثر استخدامًا هو تعريف</w:t>
      </w:r>
      <w:r w:rsidRPr="007C2480">
        <w:rPr>
          <w:rFonts w:ascii="Traditional Arabic" w:hAnsi="Traditional Arabic" w:cs="Traditional Arabic"/>
          <w:lang w:bidi="ar"/>
        </w:rPr>
        <w:t xml:space="preserve"> </w:t>
      </w:r>
      <w:r w:rsidRPr="00DB3C7B">
        <w:rPr>
          <w:rFonts w:asciiTheme="majorBidi" w:hAnsiTheme="majorBidi" w:cstheme="majorBidi"/>
          <w:lang w:bidi="ar"/>
        </w:rPr>
        <w:t>Locke</w:t>
      </w:r>
      <w:r w:rsidRPr="007C2480">
        <w:rPr>
          <w:rFonts w:ascii="Traditional Arabic" w:hAnsi="Traditional Arabic" w:cs="Traditional Arabic"/>
          <w:lang w:bidi="ar"/>
        </w:rPr>
        <w:t xml:space="preserve"> </w:t>
      </w:r>
      <w:r w:rsidRPr="007C2480">
        <w:rPr>
          <w:rFonts w:ascii="Traditional Arabic" w:hAnsi="Traditional Arabic" w:cs="Traditional Arabic"/>
          <w:rtl/>
        </w:rPr>
        <w:t>الذي يرى الرضا الوظيفي حالة وجدانية إيجابية ناتجة عن تقييم الخبرات الوظيفية، مع وجود تعريفات تكميلية تركز على الحكم التقويمي الإيجابي/السلبي للوظيفة</w:t>
      </w:r>
      <w:r w:rsidRPr="007C2480">
        <w:rPr>
          <w:rFonts w:ascii="Traditional Arabic" w:hAnsi="Traditional Arabic" w:cs="Traditional Arabic"/>
          <w:lang w:bidi="ar"/>
        </w:rPr>
        <w:t xml:space="preserve"> (</w:t>
      </w:r>
      <w:r w:rsidRPr="00DB3C7B">
        <w:rPr>
          <w:rFonts w:asciiTheme="majorBidi" w:hAnsiTheme="majorBidi" w:cstheme="majorBidi"/>
          <w:lang w:bidi="ar"/>
        </w:rPr>
        <w:t>Locke</w:t>
      </w:r>
      <w:r w:rsidRPr="007C2480">
        <w:rPr>
          <w:rFonts w:ascii="Traditional Arabic" w:hAnsi="Traditional Arabic" w:cs="Traditional Arabic"/>
          <w:lang w:bidi="ar"/>
        </w:rPr>
        <w:t xml:space="preserve">, </w:t>
      </w:r>
      <w:r w:rsidRPr="00DB3C7B">
        <w:rPr>
          <w:rFonts w:asciiTheme="majorBidi" w:hAnsiTheme="majorBidi" w:cstheme="majorBidi"/>
          <w:lang w:bidi="ar"/>
        </w:rPr>
        <w:t>1976</w:t>
      </w:r>
      <w:r w:rsidRPr="007C2480">
        <w:rPr>
          <w:rFonts w:ascii="Traditional Arabic" w:hAnsi="Traditional Arabic" w:cs="Traditional Arabic"/>
          <w:rtl/>
        </w:rPr>
        <w:t>؛</w:t>
      </w:r>
      <w:r w:rsidRPr="007C2480">
        <w:rPr>
          <w:rFonts w:ascii="Traditional Arabic" w:hAnsi="Traditional Arabic" w:cs="Traditional Arabic"/>
          <w:lang w:bidi="ar"/>
        </w:rPr>
        <w:t xml:space="preserve"> </w:t>
      </w:r>
      <w:r w:rsidRPr="00DB3C7B">
        <w:rPr>
          <w:rFonts w:asciiTheme="majorBidi" w:hAnsiTheme="majorBidi" w:cstheme="majorBidi"/>
          <w:lang w:bidi="ar"/>
        </w:rPr>
        <w:t>Weiss,</w:t>
      </w:r>
      <w:r w:rsidRPr="007C2480">
        <w:rPr>
          <w:rFonts w:ascii="Traditional Arabic" w:hAnsi="Traditional Arabic" w:cs="Traditional Arabic"/>
          <w:lang w:bidi="ar"/>
        </w:rPr>
        <w:t xml:space="preserve"> </w:t>
      </w:r>
      <w:r w:rsidRPr="00DB3C7B">
        <w:rPr>
          <w:rFonts w:asciiTheme="majorBidi" w:hAnsiTheme="majorBidi" w:cstheme="majorBidi"/>
          <w:lang w:bidi="ar"/>
        </w:rPr>
        <w:t>2002</w:t>
      </w:r>
      <w:r w:rsidRPr="007C2480">
        <w:rPr>
          <w:rFonts w:ascii="Traditional Arabic" w:hAnsi="Traditional Arabic" w:cs="Traditional Arabic"/>
          <w:lang w:bidi="ar"/>
        </w:rPr>
        <w:t xml:space="preserve">) </w:t>
      </w:r>
      <w:r w:rsidRPr="007C2480">
        <w:rPr>
          <w:rFonts w:ascii="Traditional Arabic" w:hAnsi="Traditional Arabic" w:cs="Traditional Arabic"/>
          <w:rtl/>
        </w:rPr>
        <w:t>كما يُستعاد ذلك في تلخيصات حديثة حول الرضا الوظيفي</w:t>
      </w:r>
      <w:r w:rsidRPr="007C2480">
        <w:rPr>
          <w:rFonts w:ascii="Traditional Arabic" w:hAnsi="Traditional Arabic" w:cs="Traditional Arabic"/>
          <w:lang w:bidi="ar"/>
        </w:rPr>
        <w:t xml:space="preserve"> (</w:t>
      </w:r>
      <w:proofErr w:type="spellStart"/>
      <w:r w:rsidRPr="00DB3C7B">
        <w:rPr>
          <w:rFonts w:asciiTheme="majorBidi" w:hAnsiTheme="majorBidi" w:cstheme="majorBidi"/>
          <w:lang w:bidi="ar"/>
        </w:rPr>
        <w:t>Kooij</w:t>
      </w:r>
      <w:proofErr w:type="spellEnd"/>
      <w:r w:rsidRPr="007C2480">
        <w:rPr>
          <w:rFonts w:ascii="Traditional Arabic" w:hAnsi="Traditional Arabic" w:cs="Traditional Arabic"/>
          <w:lang w:bidi="ar"/>
        </w:rPr>
        <w:t xml:space="preserve"> et al., 2023).</w:t>
      </w:r>
    </w:p>
    <w:p w14:paraId="5D076858" w14:textId="7D205DE5"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وفي سياق التحول الرقمي، يصبح الرضا الوظيفي أكثر ارتباطًا بتفاصيل “التصميم الرقمي للعمل”؛ إذ توضح الأدلة أن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يمكن أن ترفع الرضا عبر زيادة الإنتاجية، ورفع استقلالية العمل، وتبسيط التفاعلات، وجعل العمل أكثر جاذبية، لكنها قد تخفضه عبر ضغط الوقت، وتدهور توازن العمل والحياة، والانتقال غير المنظم بين وقت العمل والوقت الشخصي</w:t>
      </w:r>
      <w:r w:rsidRPr="007C2480">
        <w:rPr>
          <w:rFonts w:ascii="Traditional Arabic" w:hAnsi="Traditional Arabic" w:cs="Traditional Arabic"/>
          <w:lang w:bidi="ar"/>
        </w:rPr>
        <w:t xml:space="preserve"> (</w:t>
      </w:r>
      <w:proofErr w:type="spellStart"/>
      <w:r w:rsidRPr="00DB3C7B">
        <w:rPr>
          <w:rFonts w:asciiTheme="majorBidi" w:hAnsiTheme="majorBidi" w:cstheme="majorBidi"/>
          <w:lang w:bidi="ar"/>
        </w:rPr>
        <w:t>Bolli</w:t>
      </w:r>
      <w:proofErr w:type="spellEnd"/>
      <w:r w:rsidRPr="007C2480">
        <w:rPr>
          <w:rFonts w:ascii="Traditional Arabic" w:hAnsi="Traditional Arabic" w:cs="Traditional Arabic"/>
          <w:lang w:bidi="ar"/>
        </w:rPr>
        <w:t xml:space="preserve"> &amp; </w:t>
      </w:r>
      <w:proofErr w:type="spellStart"/>
      <w:r w:rsidRPr="00DB3C7B">
        <w:rPr>
          <w:rFonts w:asciiTheme="majorBidi" w:hAnsiTheme="majorBidi" w:cstheme="majorBidi"/>
          <w:lang w:bidi="ar"/>
        </w:rPr>
        <w:t>Pusterla</w:t>
      </w:r>
      <w:proofErr w:type="spellEnd"/>
      <w:r w:rsidRPr="007C2480">
        <w:rPr>
          <w:rFonts w:ascii="Traditional Arabic" w:hAnsi="Traditional Arabic" w:cs="Traditional Arabic"/>
          <w:lang w:bidi="ar"/>
        </w:rPr>
        <w:t xml:space="preserve">, 2022). </w:t>
      </w:r>
      <w:r w:rsidRPr="007C2480">
        <w:rPr>
          <w:rFonts w:ascii="Traditional Arabic" w:hAnsi="Traditional Arabic" w:cs="Traditional Arabic"/>
          <w:rtl/>
        </w:rPr>
        <w:t>ومن ثمّ، فإن قياس الرضا الوظيفي في بيئة رقمية ينبغي أن يلتقط تلك الأبعاد القريبة من تجربة الموظف الرقمية (مثل: سهولة إنجاز المهام عبر الأنظمة، أثرها على الإنتاجية، التوازن بين العمل والحياة، الدعم المؤسسي المصاحب للتحول</w:t>
      </w:r>
      <w:r w:rsidR="00CC426D" w:rsidRPr="007C2480">
        <w:rPr>
          <w:rFonts w:ascii="Traditional Arabic" w:hAnsi="Traditional Arabic" w:cs="Traditional Arabic"/>
          <w:lang w:bidi="ar"/>
        </w:rPr>
        <w:t>.</w:t>
      </w:r>
    </w:p>
    <w:p w14:paraId="2CF06E71" w14:textId="77777777" w:rsidR="00DB3C7B" w:rsidRDefault="00DB3C7B" w:rsidP="00EB0259">
      <w:pPr>
        <w:bidi/>
        <w:spacing w:after="160" w:line="360" w:lineRule="auto"/>
        <w:divId w:val="1647278641"/>
        <w:rPr>
          <w:rFonts w:ascii="Traditional Arabic" w:hAnsi="Traditional Arabic" w:cs="Traditional Arabic"/>
          <w:b/>
          <w:bCs/>
          <w:rtl/>
        </w:rPr>
      </w:pPr>
    </w:p>
    <w:p w14:paraId="6C4D7B55" w14:textId="1EC9ABA3" w:rsidR="00B64312" w:rsidRPr="00DB3C7B" w:rsidRDefault="00CC426D" w:rsidP="00DB3C7B">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2.1.4</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نموذج قبول التقنية</w:t>
      </w:r>
      <w:r w:rsidR="00B64312" w:rsidRPr="00DB3C7B">
        <w:rPr>
          <w:rFonts w:ascii="Traditional Arabic" w:hAnsi="Traditional Arabic" w:cs="Traditional Arabic"/>
          <w:b/>
          <w:bCs/>
        </w:rPr>
        <w:t xml:space="preserve"> TAM</w:t>
      </w:r>
      <w:r w:rsidR="00DB3C7B">
        <w:rPr>
          <w:rFonts w:ascii="Traditional Arabic" w:hAnsi="Traditional Arabic" w:cs="Traditional Arabic"/>
          <w:b/>
          <w:bCs/>
        </w:rPr>
        <w:t xml:space="preserve"> </w:t>
      </w:r>
    </w:p>
    <w:p w14:paraId="4686C87D"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يوفِّر نموذج قبول التقنية</w:t>
      </w:r>
      <w:r w:rsidRPr="007C2480">
        <w:rPr>
          <w:rFonts w:ascii="Traditional Arabic" w:hAnsi="Traditional Arabic" w:cs="Traditional Arabic"/>
          <w:lang w:bidi="ar"/>
        </w:rPr>
        <w:t xml:space="preserve"> (</w:t>
      </w:r>
      <w:r w:rsidRPr="00DB3C7B">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raditional Arabic" w:hAnsi="Traditional Arabic" w:cs="Traditional Arabic"/>
          <w:rtl/>
        </w:rPr>
        <w:t>أحد أكثر الأطر استخدامًا لتفسير تبني الأفراد للتقنيات داخل العمل. ويقوم النموذج أصلًا على متغيرين إدراكيين حاسمين</w:t>
      </w:r>
      <w:r w:rsidRPr="007C2480">
        <w:rPr>
          <w:rFonts w:ascii="Traditional Arabic" w:hAnsi="Traditional Arabic" w:cs="Traditional Arabic"/>
          <w:lang w:bidi="ar"/>
        </w:rPr>
        <w:t xml:space="preserve">: </w:t>
      </w:r>
      <w:r w:rsidRPr="007C2480">
        <w:rPr>
          <w:rFonts w:ascii="Traditional Arabic" w:hAnsi="Traditional Arabic" w:cs="Traditional Arabic"/>
          <w:rtl/>
        </w:rPr>
        <w:t>المنفعة المتصوَّرة</w:t>
      </w:r>
      <w:r w:rsidRPr="007C2480">
        <w:rPr>
          <w:rFonts w:ascii="Traditional Arabic" w:hAnsi="Traditional Arabic" w:cs="Traditional Arabic"/>
          <w:lang w:bidi="ar"/>
        </w:rPr>
        <w:t xml:space="preserve"> (</w:t>
      </w:r>
      <w:r w:rsidRPr="00DB3C7B">
        <w:rPr>
          <w:rFonts w:asciiTheme="majorBidi" w:hAnsiTheme="majorBidi" w:cstheme="majorBidi"/>
          <w:lang w:bidi="ar"/>
        </w:rPr>
        <w:t>PU</w:t>
      </w:r>
      <w:r w:rsidRPr="007C2480">
        <w:rPr>
          <w:rFonts w:ascii="Traditional Arabic" w:hAnsi="Traditional Arabic" w:cs="Traditional Arabic"/>
          <w:lang w:bidi="ar"/>
        </w:rPr>
        <w:t xml:space="preserve">) </w:t>
      </w:r>
      <w:r w:rsidRPr="007C2480">
        <w:rPr>
          <w:rFonts w:ascii="Traditional Arabic" w:hAnsi="Traditional Arabic" w:cs="Traditional Arabic"/>
          <w:rtl/>
        </w:rPr>
        <w:t>وسهولة الاستخدام المتصوَّرة</w:t>
      </w:r>
      <w:r w:rsidRPr="007C2480">
        <w:rPr>
          <w:rFonts w:ascii="Traditional Arabic" w:hAnsi="Traditional Arabic" w:cs="Traditional Arabic"/>
          <w:lang w:bidi="ar"/>
        </w:rPr>
        <w:t xml:space="preserve"> (</w:t>
      </w:r>
      <w:r w:rsidRPr="00DB3C7B">
        <w:rPr>
          <w:rFonts w:asciiTheme="majorBidi" w:hAnsiTheme="majorBidi" w:cstheme="majorBidi"/>
          <w:lang w:bidi="ar"/>
        </w:rPr>
        <w:t>PEOU</w:t>
      </w:r>
      <w:r w:rsidRPr="007C2480">
        <w:rPr>
          <w:rFonts w:ascii="Traditional Arabic" w:hAnsi="Traditional Arabic" w:cs="Traditional Arabic"/>
          <w:lang w:bidi="ar"/>
        </w:rPr>
        <w:t>)</w:t>
      </w:r>
      <w:r w:rsidRPr="007C2480">
        <w:rPr>
          <w:rFonts w:ascii="Traditional Arabic" w:hAnsi="Traditional Arabic" w:cs="Traditional Arabic"/>
          <w:rtl/>
        </w:rPr>
        <w:t>، وقد طُوِّرت مقاييسهما بوصفهما محددين أساسيين لقبول المستخدم للتقنية، مع إشارة مبكرة إلى أن سهولة الاستخدام يمكن أن تؤثر في المنفعة المتصوَّرة</w:t>
      </w:r>
      <w:r w:rsidRPr="007C2480">
        <w:rPr>
          <w:rFonts w:ascii="Traditional Arabic" w:hAnsi="Traditional Arabic" w:cs="Traditional Arabic"/>
          <w:lang w:bidi="ar"/>
        </w:rPr>
        <w:t xml:space="preserve"> (</w:t>
      </w:r>
      <w:r w:rsidRPr="00DB3C7B">
        <w:rPr>
          <w:rFonts w:asciiTheme="majorBidi" w:hAnsiTheme="majorBidi" w:cstheme="majorBidi"/>
          <w:lang w:bidi="ar"/>
        </w:rPr>
        <w:t>Davis</w:t>
      </w:r>
      <w:r w:rsidRPr="007C2480">
        <w:rPr>
          <w:rFonts w:ascii="Traditional Arabic" w:hAnsi="Traditional Arabic" w:cs="Traditional Arabic"/>
          <w:lang w:bidi="ar"/>
        </w:rPr>
        <w:t xml:space="preserve">, 1989). </w:t>
      </w:r>
      <w:r w:rsidRPr="007C2480">
        <w:rPr>
          <w:rFonts w:ascii="Traditional Arabic" w:hAnsi="Traditional Arabic" w:cs="Traditional Arabic"/>
          <w:rtl/>
        </w:rPr>
        <w:t>ويتميز</w:t>
      </w:r>
      <w:r w:rsidRPr="007C2480">
        <w:rPr>
          <w:rFonts w:ascii="Traditional Arabic" w:hAnsi="Traditional Arabic" w:cs="Traditional Arabic"/>
          <w:lang w:bidi="ar"/>
        </w:rPr>
        <w:t xml:space="preserve"> </w:t>
      </w:r>
      <w:r w:rsidRPr="00DB3C7B">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raditional Arabic" w:hAnsi="Traditional Arabic" w:cs="Traditional Arabic"/>
          <w:rtl/>
        </w:rPr>
        <w:t>بملاءمته لدراسة “المستخدم الداخلي” في البيئات المؤسسية لأنه يُركز على إدراكات الموظف حول القيمة العملية للتقنية وسهولة التعامل معها، وهما عنصران متوقعان في سياق التحول الرقمي المؤسسي</w:t>
      </w:r>
      <w:r w:rsidRPr="007C2480">
        <w:rPr>
          <w:rFonts w:ascii="Traditional Arabic" w:hAnsi="Traditional Arabic" w:cs="Traditional Arabic"/>
          <w:lang w:bidi="ar"/>
        </w:rPr>
        <w:t>.</w:t>
      </w:r>
    </w:p>
    <w:p w14:paraId="3BC62F2A"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وتبرير إدراج</w:t>
      </w:r>
      <w:r w:rsidRPr="007C2480">
        <w:rPr>
          <w:rFonts w:ascii="Traditional Arabic" w:hAnsi="Traditional Arabic" w:cs="Traditional Arabic"/>
          <w:lang w:bidi="ar"/>
        </w:rPr>
        <w:t xml:space="preserve"> </w:t>
      </w:r>
      <w:r w:rsidRPr="00DB3C7B">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raditional Arabic" w:hAnsi="Traditional Arabic" w:cs="Traditional Arabic"/>
          <w:rtl/>
        </w:rPr>
        <w:t>في هذه الدراسة يرتكز على فكرتين</w:t>
      </w:r>
      <w:r w:rsidRPr="007C2480">
        <w:rPr>
          <w:rFonts w:ascii="Traditional Arabic" w:hAnsi="Traditional Arabic" w:cs="Traditional Arabic"/>
          <w:lang w:bidi="ar"/>
        </w:rPr>
        <w:t>:</w:t>
      </w:r>
      <w:r w:rsidRPr="007C2480">
        <w:rPr>
          <w:rFonts w:ascii="Traditional Arabic" w:hAnsi="Traditional Arabic" w:cs="Traditional Arabic"/>
          <w:lang w:bidi="ar"/>
        </w:rPr>
        <w:br/>
      </w:r>
      <w:r w:rsidRPr="007C2480">
        <w:rPr>
          <w:rFonts w:ascii="Traditional Arabic" w:hAnsi="Traditional Arabic" w:cs="Traditional Arabic"/>
          <w:rtl/>
        </w:rPr>
        <w:t>الأولى أن أبعاد التحول الرقمي (مثل كفاءة الأنظمة وجودة الدعم والتكامل) لا تُترجم تلقائيًا إلى رضا وظيفي ما لم تُحدث لدى الموظف قناعة بأن التقنية مفيدة بالفعل في تحسين أدائه</w:t>
      </w:r>
      <w:r w:rsidRPr="007C2480">
        <w:rPr>
          <w:rFonts w:ascii="Traditional Arabic" w:hAnsi="Traditional Arabic" w:cs="Traditional Arabic"/>
          <w:lang w:bidi="ar"/>
        </w:rPr>
        <w:t xml:space="preserve"> (</w:t>
      </w:r>
      <w:r w:rsidRPr="00DB3C7B">
        <w:rPr>
          <w:rFonts w:asciiTheme="majorBidi" w:hAnsiTheme="majorBidi" w:cstheme="majorBidi"/>
          <w:lang w:bidi="ar"/>
        </w:rPr>
        <w:t>PU</w:t>
      </w:r>
      <w:r w:rsidRPr="007C2480">
        <w:rPr>
          <w:rFonts w:ascii="Traditional Arabic" w:hAnsi="Traditional Arabic" w:cs="Traditional Arabic"/>
          <w:lang w:bidi="ar"/>
        </w:rPr>
        <w:t xml:space="preserve">) </w:t>
      </w:r>
      <w:r w:rsidRPr="007C2480">
        <w:rPr>
          <w:rFonts w:ascii="Traditional Arabic" w:hAnsi="Traditional Arabic" w:cs="Traditional Arabic"/>
          <w:rtl/>
        </w:rPr>
        <w:t>وأنها غير مرهقة معرفيًا أو معقدة الاستخدام</w:t>
      </w:r>
      <w:r w:rsidRPr="007C2480">
        <w:rPr>
          <w:rFonts w:ascii="Traditional Arabic" w:hAnsi="Traditional Arabic" w:cs="Traditional Arabic"/>
          <w:lang w:bidi="ar"/>
        </w:rPr>
        <w:t xml:space="preserve"> (</w:t>
      </w:r>
      <w:r w:rsidRPr="00DB3C7B">
        <w:rPr>
          <w:rFonts w:asciiTheme="majorBidi" w:hAnsiTheme="majorBidi" w:cstheme="majorBidi"/>
          <w:lang w:bidi="ar"/>
        </w:rPr>
        <w:t>PEOU</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والثانية أن الرضا الوظيفي في بيئة رقمية—حتى وإن كان مفهومًا أوسع من “رضا المستخدم عن </w:t>
      </w:r>
      <w:proofErr w:type="gramStart"/>
      <w:r w:rsidRPr="007C2480">
        <w:rPr>
          <w:rFonts w:ascii="Traditional Arabic" w:hAnsi="Traditional Arabic" w:cs="Traditional Arabic"/>
          <w:rtl/>
        </w:rPr>
        <w:t>النظام”—</w:t>
      </w:r>
      <w:proofErr w:type="gramEnd"/>
      <w:r w:rsidRPr="007C2480">
        <w:rPr>
          <w:rFonts w:ascii="Traditional Arabic" w:hAnsi="Traditional Arabic" w:cs="Traditional Arabic"/>
          <w:rtl/>
        </w:rPr>
        <w:t>يمكن أن يتأثر بمدى سلاسة تفاعل الموظف مع الأنظمة الرقمية التي أصبحت جزءًا من بنيته اليومية. هذا الربط مدعوم أيضًا بمنطق نماذج نجاح نظم المعلومات التي تضع “رضا المستخدم” كمخرج يتأثر بجودة النظام والخدمة</w:t>
      </w:r>
      <w:r w:rsidRPr="007C2480">
        <w:rPr>
          <w:rFonts w:ascii="Traditional Arabic" w:hAnsi="Traditional Arabic" w:cs="Traditional Arabic"/>
          <w:lang w:bidi="ar"/>
        </w:rPr>
        <w:t xml:space="preserve"> (</w:t>
      </w:r>
      <w:proofErr w:type="spellStart"/>
      <w:r w:rsidRPr="00DB3C7B">
        <w:rPr>
          <w:rFonts w:asciiTheme="majorBidi" w:hAnsiTheme="majorBidi" w:cstheme="majorBidi"/>
          <w:lang w:bidi="ar"/>
        </w:rPr>
        <w:t>DeLone</w:t>
      </w:r>
      <w:proofErr w:type="spellEnd"/>
      <w:r w:rsidRPr="007C2480">
        <w:rPr>
          <w:rFonts w:ascii="Traditional Arabic" w:hAnsi="Traditional Arabic" w:cs="Traditional Arabic"/>
          <w:lang w:bidi="ar"/>
        </w:rPr>
        <w:t xml:space="preserve"> </w:t>
      </w:r>
      <w:r w:rsidRPr="00DB3C7B">
        <w:rPr>
          <w:rFonts w:asciiTheme="majorBidi" w:hAnsiTheme="majorBidi" w:cstheme="majorBidi"/>
          <w:lang w:bidi="ar"/>
        </w:rPr>
        <w:t>&amp;</w:t>
      </w:r>
      <w:r w:rsidRPr="007C2480">
        <w:rPr>
          <w:rFonts w:ascii="Traditional Arabic" w:hAnsi="Traditional Arabic" w:cs="Traditional Arabic"/>
          <w:lang w:bidi="ar"/>
        </w:rPr>
        <w:t xml:space="preserve"> </w:t>
      </w:r>
      <w:r w:rsidRPr="00DB3C7B">
        <w:rPr>
          <w:rFonts w:asciiTheme="majorBidi" w:hAnsiTheme="majorBidi" w:cstheme="majorBidi"/>
          <w:lang w:bidi="ar"/>
        </w:rPr>
        <w:t>McLean</w:t>
      </w:r>
      <w:r w:rsidRPr="007C2480">
        <w:rPr>
          <w:rFonts w:ascii="Traditional Arabic" w:hAnsi="Traditional Arabic" w:cs="Traditional Arabic"/>
          <w:lang w:bidi="ar"/>
        </w:rPr>
        <w:t xml:space="preserve">, </w:t>
      </w:r>
      <w:r w:rsidRPr="00DB3C7B">
        <w:rPr>
          <w:rFonts w:asciiTheme="majorBidi" w:hAnsiTheme="majorBidi" w:cstheme="majorBidi"/>
          <w:lang w:bidi="ar"/>
        </w:rPr>
        <w:t>2003</w:t>
      </w:r>
      <w:r w:rsidRPr="007C2480">
        <w:rPr>
          <w:rFonts w:ascii="Traditional Arabic" w:hAnsi="Traditional Arabic" w:cs="Traditional Arabic"/>
          <w:lang w:bidi="ar"/>
        </w:rPr>
        <w:t>)</w:t>
      </w:r>
      <w:r w:rsidRPr="007C2480">
        <w:rPr>
          <w:rFonts w:ascii="Traditional Arabic" w:hAnsi="Traditional Arabic" w:cs="Traditional Arabic"/>
          <w:rtl/>
        </w:rPr>
        <w:t xml:space="preserve">، وبالدراسات التي </w:t>
      </w:r>
      <w:r w:rsidRPr="007C2480">
        <w:rPr>
          <w:rFonts w:ascii="Traditional Arabic" w:hAnsi="Traditional Arabic" w:cs="Traditional Arabic"/>
          <w:rtl/>
        </w:rPr>
        <w:lastRenderedPageBreak/>
        <w:t>تُظهر أن إدراكات الفرد حول الأنظمة الرقمية (سهولة/فائدة) تتصل بالنتائج الوظيفية الأوسع عندما تصبح التقنية وسيطًا لإنجاز العمل</w:t>
      </w:r>
      <w:r w:rsidRPr="007C2480">
        <w:rPr>
          <w:rFonts w:ascii="Traditional Arabic" w:hAnsi="Traditional Arabic" w:cs="Traditional Arabic"/>
          <w:lang w:bidi="ar"/>
        </w:rPr>
        <w:t>.</w:t>
      </w:r>
    </w:p>
    <w:p w14:paraId="3D0C2A3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ولتدعيم منظور الفروق الفردية، يمكن الاستئناس بنموذج</w:t>
      </w:r>
      <w:r w:rsidRPr="007C2480">
        <w:rPr>
          <w:rFonts w:ascii="Traditional Arabic" w:hAnsi="Traditional Arabic" w:cs="Traditional Arabic"/>
          <w:lang w:bidi="ar"/>
        </w:rPr>
        <w:t xml:space="preserve"> </w:t>
      </w:r>
      <w:r w:rsidRPr="00DB3C7B">
        <w:rPr>
          <w:rFonts w:asciiTheme="majorBidi" w:hAnsiTheme="majorBidi" w:cstheme="majorBidi"/>
          <w:lang w:bidi="ar"/>
        </w:rPr>
        <w:t>UTAUT</w:t>
      </w:r>
      <w:r w:rsidRPr="007C2480">
        <w:rPr>
          <w:rFonts w:ascii="Traditional Arabic" w:hAnsi="Traditional Arabic" w:cs="Traditional Arabic"/>
          <w:lang w:bidi="ar"/>
        </w:rPr>
        <w:t xml:space="preserve"> </w:t>
      </w:r>
      <w:r w:rsidRPr="007C2480">
        <w:rPr>
          <w:rFonts w:ascii="Traditional Arabic" w:hAnsi="Traditional Arabic" w:cs="Traditional Arabic"/>
          <w:rtl/>
        </w:rPr>
        <w:t>الذي يبين أن علاقات القبول والاستخدام تتأثر بمُعدلات مثل العمر والجنس والخبرة وطوعية الاستخدام، وهو ما يدعم إدراج المتغيرات الديموغرافية كمعدلات محتملة في هذا البحث</w:t>
      </w:r>
      <w:r w:rsidRPr="007C2480">
        <w:rPr>
          <w:rFonts w:ascii="Traditional Arabic" w:hAnsi="Traditional Arabic" w:cs="Traditional Arabic"/>
          <w:lang w:bidi="ar"/>
        </w:rPr>
        <w:t xml:space="preserve"> (</w:t>
      </w:r>
      <w:r w:rsidRPr="00DB3C7B">
        <w:rPr>
          <w:rFonts w:asciiTheme="majorBidi" w:hAnsiTheme="majorBidi" w:cstheme="majorBidi"/>
          <w:lang w:bidi="ar"/>
        </w:rPr>
        <w:t>Venkatesh</w:t>
      </w:r>
      <w:r w:rsidRPr="007C2480">
        <w:rPr>
          <w:rFonts w:ascii="Traditional Arabic" w:hAnsi="Traditional Arabic" w:cs="Traditional Arabic"/>
          <w:lang w:bidi="ar"/>
        </w:rPr>
        <w:t xml:space="preserve"> </w:t>
      </w:r>
      <w:r w:rsidRPr="00DB3C7B">
        <w:rPr>
          <w:rFonts w:asciiTheme="majorBidi" w:hAnsiTheme="majorBidi" w:cstheme="majorBidi"/>
          <w:lang w:bidi="ar"/>
        </w:rPr>
        <w:t>et</w:t>
      </w:r>
      <w:r w:rsidRPr="007C2480">
        <w:rPr>
          <w:rFonts w:ascii="Traditional Arabic" w:hAnsi="Traditional Arabic" w:cs="Traditional Arabic"/>
          <w:lang w:bidi="ar"/>
        </w:rPr>
        <w:t xml:space="preserve"> </w:t>
      </w:r>
      <w:r w:rsidRPr="00DB3C7B">
        <w:rPr>
          <w:rFonts w:asciiTheme="majorBidi" w:hAnsiTheme="majorBidi" w:cstheme="majorBidi"/>
          <w:lang w:bidi="ar"/>
        </w:rPr>
        <w:t>al</w:t>
      </w:r>
      <w:r w:rsidRPr="007C2480">
        <w:rPr>
          <w:rFonts w:ascii="Traditional Arabic" w:hAnsi="Traditional Arabic" w:cs="Traditional Arabic"/>
          <w:lang w:bidi="ar"/>
        </w:rPr>
        <w:t>., 2003).</w:t>
      </w:r>
    </w:p>
    <w:p w14:paraId="1F9573FE" w14:textId="77777777" w:rsidR="00DB3C7B" w:rsidRDefault="00DB3C7B" w:rsidP="00EB0259">
      <w:pPr>
        <w:bidi/>
        <w:spacing w:after="160" w:line="360" w:lineRule="auto"/>
        <w:divId w:val="1647278641"/>
        <w:rPr>
          <w:rFonts w:ascii="Traditional Arabic" w:hAnsi="Traditional Arabic" w:cs="Traditional Arabic"/>
          <w:b/>
          <w:bCs/>
          <w:rtl/>
        </w:rPr>
      </w:pPr>
    </w:p>
    <w:p w14:paraId="16BD20AF" w14:textId="39CA43BD" w:rsidR="00B64312" w:rsidRPr="007C2480" w:rsidRDefault="00CC426D" w:rsidP="00DB3C7B">
      <w:pPr>
        <w:bidi/>
        <w:spacing w:after="160" w:line="360" w:lineRule="auto"/>
        <w:divId w:val="1647278641"/>
        <w:rPr>
          <w:rFonts w:ascii="Traditional Arabic" w:hAnsi="Traditional Arabic" w:cs="Traditional Arabic"/>
          <w:lang w:bidi="ar"/>
        </w:rPr>
      </w:pPr>
      <w:r w:rsidRPr="00DB3C7B">
        <w:rPr>
          <w:rFonts w:ascii="Traditional Arabic" w:hAnsi="Traditional Arabic" w:cs="Traditional Arabic"/>
          <w:b/>
          <w:bCs/>
          <w:rtl/>
        </w:rPr>
        <w:t>2.1.5</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الإجهاد التقني</w:t>
      </w:r>
      <w:r w:rsidR="00B64312" w:rsidRPr="007C2480">
        <w:rPr>
          <w:rFonts w:ascii="Traditional Arabic" w:hAnsi="Traditional Arabic" w:cs="Traditional Arabic"/>
          <w:lang w:bidi="ar"/>
        </w:rPr>
        <w:t xml:space="preserve"> </w:t>
      </w:r>
      <w:r w:rsidR="00B64312" w:rsidRPr="00DB3C7B">
        <w:rPr>
          <w:rFonts w:ascii="Traditional Arabic" w:hAnsi="Traditional Arabic" w:cs="Traditional Arabic"/>
          <w:b/>
          <w:bCs/>
        </w:rPr>
        <w:t>Technostress</w:t>
      </w:r>
    </w:p>
    <w:p w14:paraId="19B2E694"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يمثل الإجهاد التقني</w:t>
      </w:r>
      <w:r w:rsidRPr="007C2480">
        <w:rPr>
          <w:rFonts w:ascii="Traditional Arabic" w:hAnsi="Traditional Arabic" w:cs="Traditional Arabic"/>
          <w:lang w:bidi="ar"/>
        </w:rPr>
        <w:t xml:space="preserve"> (</w:t>
      </w:r>
      <w:r w:rsidRPr="00DB3C7B">
        <w:rPr>
          <w:rFonts w:asciiTheme="majorBidi" w:hAnsiTheme="majorBidi" w:cstheme="majorBidi"/>
          <w:lang w:bidi="ar"/>
        </w:rPr>
        <w:t>Technostress</w:t>
      </w:r>
      <w:r w:rsidRPr="007C2480">
        <w:rPr>
          <w:rFonts w:ascii="Traditional Arabic" w:hAnsi="Traditional Arabic" w:cs="Traditional Arabic"/>
          <w:lang w:bidi="ar"/>
        </w:rPr>
        <w:t xml:space="preserve">) </w:t>
      </w:r>
      <w:r w:rsidRPr="007C2480">
        <w:rPr>
          <w:rFonts w:ascii="Traditional Arabic" w:hAnsi="Traditional Arabic" w:cs="Traditional Arabic"/>
          <w:rtl/>
        </w:rPr>
        <w:t>إطارًا نظريًا مهمًا لتفسير “التكلفة البشرية” للتحول الرقمي، ويُعرّف بوصفه ضغوطًا/توترًا ينشأ عندما تتجاوز متطلبات استخدام التقنية قدرة الفرد على التكيّف أو عندما تتسم بيئة التقنية بالاقتحام والتغير السريع والتعقيد. وتشير مراجعات حديثة إلى أن أدبيات الإجهاد التقني تطورت بوصفه ظاهرة تنظيمية لها آثار نفسية وعاطفية وسلوكية وتمتد إلى توازن العمل والحياة، مع التأكيد على أهمية تدخلات مؤسسية للحد من أثره</w:t>
      </w:r>
      <w:r w:rsidRPr="007C2480">
        <w:rPr>
          <w:rFonts w:ascii="Traditional Arabic" w:hAnsi="Traditional Arabic" w:cs="Traditional Arabic"/>
          <w:lang w:bidi="ar"/>
        </w:rPr>
        <w:t xml:space="preserve"> (Kumar, 2024).</w:t>
      </w:r>
    </w:p>
    <w:p w14:paraId="7F4486EA"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وعلى مستوى النمذجة التفسيرية، توضح دراسات تأسيسية أن خصائص التقنية (القابلية للاستخدام، التعقيد، الموثوقية)، وخصائص الاقتحام (مثل ضغط “الحضور الدائم” عبر التقنية)، وخصائص الديناميكية (سرعة التغير) ترتبط بمثيرات ضغط مثل زيادة العبء وغموض الدور وتداخل العمل/الحياة وعدم الأمان الوظيفي، مع الاستناد إلى عدسة “ملاءمة الفرد–البيئة” كخلفية تفسيرية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Ayyagari</w:t>
      </w:r>
      <w:proofErr w:type="spellEnd"/>
      <w:r w:rsidRPr="00DB3C7B">
        <w:rPr>
          <w:rFonts w:asciiTheme="majorBidi" w:hAnsiTheme="majorBidi" w:cstheme="majorBidi"/>
          <w:lang w:bidi="ar"/>
        </w:rPr>
        <w:t xml:space="preserve"> et al., 2011</w:t>
      </w:r>
      <w:r w:rsidRPr="007C2480">
        <w:rPr>
          <w:rFonts w:ascii="Traditional Arabic" w:hAnsi="Traditional Arabic" w:cs="Traditional Arabic"/>
          <w:lang w:bidi="ar"/>
        </w:rPr>
        <w:t xml:space="preserve">). </w:t>
      </w:r>
      <w:r w:rsidRPr="007C2480">
        <w:rPr>
          <w:rFonts w:ascii="Traditional Arabic" w:hAnsi="Traditional Arabic" w:cs="Traditional Arabic"/>
          <w:rtl/>
        </w:rPr>
        <w:t>وهذه النتائج تعزز إدراج الإجهاد التقني كوسيط في الدراسة، لأن التحول الرقمي قد يرفع أو يخفض مثيرات الضغط تبعًا لجودة الأنظمة والدعم والتكامل</w:t>
      </w:r>
      <w:r w:rsidRPr="007C2480">
        <w:rPr>
          <w:rFonts w:ascii="Traditional Arabic" w:hAnsi="Traditional Arabic" w:cs="Traditional Arabic"/>
          <w:lang w:bidi="ar"/>
        </w:rPr>
        <w:t>.</w:t>
      </w:r>
    </w:p>
    <w:p w14:paraId="1CDD6028" w14:textId="0E58D3EC" w:rsidR="00B64312" w:rsidRPr="007C2480" w:rsidRDefault="00B64312" w:rsidP="00EB0259">
      <w:pPr>
        <w:bidi/>
        <w:spacing w:after="160" w:line="360" w:lineRule="auto"/>
        <w:divId w:val="1647278641"/>
        <w:rPr>
          <w:rFonts w:ascii="Traditional Arabic" w:hAnsi="Traditional Arabic" w:cs="Traditional Arabic"/>
          <w:rtl/>
          <w:lang w:bidi="ar"/>
        </w:rPr>
      </w:pPr>
      <w:r w:rsidRPr="007C2480">
        <w:rPr>
          <w:rFonts w:ascii="Traditional Arabic" w:hAnsi="Traditional Arabic" w:cs="Traditional Arabic"/>
          <w:rtl/>
        </w:rPr>
        <w:t>وتدعم الأدلة التطبيقية الحديثة وجود ارتباط سلبي بين الإجهاد التقني والرضا الوظيفي عبر دراسات ميدانية في بيئات رقمية عالية الاعتماد (مثل القطاع الصحي)، حيث ظهر أن الإجهاد التقني يتنبأ سلبًا بالرضا الوظيفي وبمؤشرات رفاه أخرى، وأن العمر وبعض الخصائص المهنية ترتبط بمستويات الإجهاد التقني والمهارة الرقمية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Kerres</w:t>
      </w:r>
      <w:proofErr w:type="spellEnd"/>
      <w:r w:rsidRPr="007C2480">
        <w:rPr>
          <w:rFonts w:ascii="Traditional Arabic" w:hAnsi="Traditional Arabic" w:cs="Traditional Arabic"/>
          <w:lang w:bidi="ar"/>
        </w:rPr>
        <w:t xml:space="preserve"> </w:t>
      </w:r>
      <w:r w:rsidRPr="007C2480">
        <w:rPr>
          <w:rFonts w:asciiTheme="majorBidi" w:hAnsiTheme="majorBidi" w:cstheme="majorBidi"/>
          <w:lang w:bidi="ar"/>
        </w:rPr>
        <w:t>et</w:t>
      </w:r>
      <w:r w:rsidRPr="007C2480">
        <w:rPr>
          <w:rFonts w:ascii="Traditional Arabic" w:hAnsi="Traditional Arabic" w:cs="Traditional Arabic"/>
          <w:lang w:bidi="ar"/>
        </w:rPr>
        <w:t xml:space="preserve"> </w:t>
      </w:r>
      <w:r w:rsidRPr="007C2480">
        <w:rPr>
          <w:rFonts w:asciiTheme="majorBidi" w:hAnsiTheme="majorBidi" w:cstheme="majorBidi"/>
          <w:lang w:bidi="ar"/>
        </w:rPr>
        <w:t>al</w:t>
      </w:r>
      <w:r w:rsidRPr="007C2480">
        <w:rPr>
          <w:rFonts w:ascii="Traditional Arabic" w:hAnsi="Traditional Arabic" w:cs="Traditional Arabic"/>
          <w:lang w:bidi="ar"/>
        </w:rPr>
        <w:t>., 2021).</w:t>
      </w:r>
    </w:p>
    <w:p w14:paraId="75DEAD01" w14:textId="77777777" w:rsidR="00DB3C7B" w:rsidRDefault="00DB3C7B" w:rsidP="00EB0259">
      <w:pPr>
        <w:bidi/>
        <w:spacing w:after="160" w:line="360" w:lineRule="auto"/>
        <w:divId w:val="1647278641"/>
        <w:rPr>
          <w:rFonts w:ascii="Traditional Arabic" w:hAnsi="Traditional Arabic" w:cs="Traditional Arabic"/>
          <w:b/>
          <w:bCs/>
          <w:rtl/>
        </w:rPr>
      </w:pPr>
    </w:p>
    <w:p w14:paraId="73BE97A0" w14:textId="438F91F1" w:rsidR="00B64312" w:rsidRPr="00DB3C7B" w:rsidRDefault="00CC426D" w:rsidP="00DB3C7B">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2.1.6</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منطق العلاقات السببية ومسارات الوساطة</w:t>
      </w:r>
    </w:p>
    <w:p w14:paraId="33D2288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لفهم العلاقة بين التحول الرقمي المؤسسي والرضا الوظيفي في هذا البحث، يُقترح منطق تفسيري يقوم على مسارين وسيطين متوازيين (على الأقل)</w:t>
      </w:r>
      <w:r w:rsidRPr="007C2480">
        <w:rPr>
          <w:rFonts w:ascii="Traditional Arabic" w:hAnsi="Traditional Arabic" w:cs="Traditional Arabic"/>
          <w:lang w:bidi="ar"/>
        </w:rPr>
        <w:t>:</w:t>
      </w:r>
    </w:p>
    <w:p w14:paraId="206A215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lastRenderedPageBreak/>
        <w:t>المسار الأول هو مسار “القبول/المنفعة”: إذ يُتوقع أن يؤدي تحسن التحول الرقمي (خاصة كفاءة الأنظمة والتكامل وجودة الدعم) إلى رفع المنفعة المتصورة وسهولة الاستخدام المتصورة، ما يزيد شعور الموظف بالتمكن والفعالية عند إنجاز مهامه، ويخلق خبرة عمل رقمية إيجابية تنعكس على الرضا الوظيفي. ويستند هذا المسار إلى</w:t>
      </w:r>
      <w:r w:rsidRPr="007C2480">
        <w:rPr>
          <w:rFonts w:ascii="Traditional Arabic" w:hAnsi="Traditional Arabic" w:cs="Traditional Arabic"/>
          <w:lang w:bidi="ar"/>
        </w:rPr>
        <w:t xml:space="preserve"> </w:t>
      </w:r>
      <w:r w:rsidRPr="007C2480">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raditional Arabic" w:hAnsi="Traditional Arabic" w:cs="Traditional Arabic"/>
          <w:rtl/>
        </w:rPr>
        <w:t>بوصفه تفسيرًا لإدراكات الموظف حول الفائدة وسهولة الاستخدام بوصفهما محددين رئيسين لقبول التقنية وتفضيل استخدامها</w:t>
      </w:r>
      <w:r w:rsidRPr="007C2480">
        <w:rPr>
          <w:rFonts w:ascii="Traditional Arabic" w:hAnsi="Traditional Arabic" w:cs="Traditional Arabic"/>
          <w:lang w:bidi="ar"/>
        </w:rPr>
        <w:t xml:space="preserve"> (</w:t>
      </w:r>
      <w:r w:rsidRPr="007C2480">
        <w:rPr>
          <w:rFonts w:asciiTheme="majorBidi" w:hAnsiTheme="majorBidi" w:cstheme="majorBidi"/>
          <w:lang w:bidi="ar"/>
        </w:rPr>
        <w:t>Davis</w:t>
      </w:r>
      <w:r w:rsidRPr="007C2480">
        <w:rPr>
          <w:rFonts w:ascii="Traditional Arabic" w:hAnsi="Traditional Arabic" w:cs="Traditional Arabic"/>
          <w:lang w:bidi="ar"/>
        </w:rPr>
        <w:t xml:space="preserve">, </w:t>
      </w:r>
      <w:r w:rsidRPr="007C2480">
        <w:rPr>
          <w:rFonts w:asciiTheme="majorBidi" w:hAnsiTheme="majorBidi" w:cstheme="majorBidi"/>
          <w:lang w:bidi="ar"/>
        </w:rPr>
        <w:t>1989</w:t>
      </w:r>
      <w:r w:rsidRPr="007C2480">
        <w:rPr>
          <w:rFonts w:ascii="Traditional Arabic" w:hAnsi="Traditional Arabic" w:cs="Traditional Arabic"/>
          <w:lang w:bidi="ar"/>
        </w:rPr>
        <w:t>).</w:t>
      </w:r>
    </w:p>
    <w:p w14:paraId="228E7721"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المسار الثاني هو مسار “الضغط/الإنهاك”: إذ يُتوقع أن يقلل التحول الرقمي عالي الجودة (مثل استقرار الأنظمة، وضوح الإجراءات، التدريب والدعم، وتقليل التشظي بين الأنظمة) من مثيرات الإجهاد التقني كالعبء الزائد والتعقيد وعدم اليقين، بما يحد من الاستنزاف المعرفي والانفعالي ويعزز الرضا الوظيفي. ويستند هذا المسار إلى نماذج الإجهاد التقني التي تربط خصائص التقنية ومثيراتها بنتائج تنظيمية وسلوكية، وإلى أدلة ميدانية تُظهر أن الإجهاد التقني يرتبط سلبًا بالرضا الوظيفي</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Ayyagari</w:t>
      </w:r>
      <w:proofErr w:type="spellEnd"/>
      <w:r w:rsidRPr="007C2480">
        <w:rPr>
          <w:rFonts w:ascii="Traditional Arabic" w:hAnsi="Traditional Arabic" w:cs="Traditional Arabic"/>
          <w:lang w:bidi="ar"/>
        </w:rPr>
        <w:t xml:space="preserve"> </w:t>
      </w:r>
      <w:r w:rsidRPr="007C2480">
        <w:rPr>
          <w:rFonts w:asciiTheme="majorBidi" w:hAnsiTheme="majorBidi" w:cstheme="majorBidi"/>
          <w:lang w:bidi="ar"/>
        </w:rPr>
        <w:t>et al.,</w:t>
      </w:r>
      <w:r w:rsidRPr="007C2480">
        <w:rPr>
          <w:rFonts w:ascii="Traditional Arabic" w:hAnsi="Traditional Arabic" w:cs="Traditional Arabic"/>
          <w:lang w:bidi="ar"/>
        </w:rPr>
        <w:t xml:space="preserve"> 2011</w:t>
      </w:r>
      <w:r w:rsidRPr="007C2480">
        <w:rPr>
          <w:rFonts w:ascii="Traditional Arabic" w:hAnsi="Traditional Arabic" w:cs="Traditional Arabic"/>
          <w:rtl/>
        </w:rPr>
        <w:t>؛</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Kerres</w:t>
      </w:r>
      <w:proofErr w:type="spellEnd"/>
      <w:r w:rsidRPr="007C2480">
        <w:rPr>
          <w:rFonts w:ascii="Traditional Arabic" w:hAnsi="Traditional Arabic" w:cs="Traditional Arabic"/>
          <w:lang w:bidi="ar"/>
        </w:rPr>
        <w:t xml:space="preserve"> </w:t>
      </w:r>
      <w:r w:rsidRPr="007C2480">
        <w:rPr>
          <w:rFonts w:asciiTheme="majorBidi" w:hAnsiTheme="majorBidi" w:cstheme="majorBidi"/>
          <w:lang w:bidi="ar"/>
        </w:rPr>
        <w:t>et</w:t>
      </w:r>
      <w:r w:rsidRPr="007C2480">
        <w:rPr>
          <w:rFonts w:ascii="Traditional Arabic" w:hAnsi="Traditional Arabic" w:cs="Traditional Arabic"/>
          <w:lang w:bidi="ar"/>
        </w:rPr>
        <w:t xml:space="preserve"> </w:t>
      </w:r>
      <w:r w:rsidRPr="007C2480">
        <w:rPr>
          <w:rFonts w:asciiTheme="majorBidi" w:hAnsiTheme="majorBidi" w:cstheme="majorBidi"/>
          <w:lang w:bidi="ar"/>
        </w:rPr>
        <w:t>al</w:t>
      </w:r>
      <w:r w:rsidRPr="007C2480">
        <w:rPr>
          <w:rFonts w:ascii="Traditional Arabic" w:hAnsi="Traditional Arabic" w:cs="Traditional Arabic"/>
          <w:lang w:bidi="ar"/>
        </w:rPr>
        <w:t>., 2021).</w:t>
      </w:r>
    </w:p>
    <w:p w14:paraId="281DC282" w14:textId="6B7841CC" w:rsidR="00B64312" w:rsidRPr="007C2480" w:rsidRDefault="00B64312" w:rsidP="00EB0259">
      <w:pPr>
        <w:bidi/>
        <w:spacing w:after="160" w:line="360" w:lineRule="auto"/>
        <w:divId w:val="1647278641"/>
        <w:rPr>
          <w:rFonts w:ascii="Traditional Arabic" w:hAnsi="Traditional Arabic" w:cs="Traditional Arabic"/>
          <w:rtl/>
        </w:rPr>
      </w:pPr>
      <w:r w:rsidRPr="007C2480">
        <w:rPr>
          <w:rFonts w:ascii="Traditional Arabic" w:hAnsi="Traditional Arabic" w:cs="Traditional Arabic"/>
          <w:rtl/>
        </w:rPr>
        <w:t>ويلاحظ نظريًا أن المسارين يمكن أن يفسرا “الازدواجية” في نتائج التحول الرقمي: فقد تحقق التقنية مكاسب تشغيلية</w:t>
      </w:r>
      <w:r w:rsidRPr="007C2480">
        <w:rPr>
          <w:rFonts w:ascii="Traditional Arabic" w:hAnsi="Traditional Arabic" w:cs="Traditional Arabic"/>
          <w:lang w:bidi="ar"/>
        </w:rPr>
        <w:t xml:space="preserve"> (</w:t>
      </w:r>
      <w:r w:rsidRPr="007C2480">
        <w:rPr>
          <w:rFonts w:ascii="Traditional Arabic" w:hAnsi="Traditional Arabic" w:cs="Traditional Arabic"/>
          <w:rtl/>
        </w:rPr>
        <w:t>ترتبط غالبًا بـ</w:t>
      </w:r>
      <w:r w:rsidRPr="007C2480">
        <w:rPr>
          <w:rFonts w:ascii="Traditional Arabic" w:hAnsi="Traditional Arabic" w:cs="Traditional Arabic"/>
          <w:lang w:bidi="ar"/>
        </w:rPr>
        <w:t xml:space="preserve"> PU) </w:t>
      </w:r>
      <w:r w:rsidRPr="007C2480">
        <w:rPr>
          <w:rFonts w:ascii="Traditional Arabic" w:hAnsi="Traditional Arabic" w:cs="Traditional Arabic"/>
          <w:rtl/>
        </w:rPr>
        <w:t xml:space="preserve">لكن إذا صاحبها ضغط وقت أو تداخل عمل/حياة أو تعقيد مرتفع فقد ترتفع تكلفة الإجهاد التقني، بما يضعف الأثر النهائي على الرضا. وتدعم هذه الازدواجية أدلة حديثة حول قنوات تأثير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التي تقر بوجود قنوات إيجابية (الإنتاجية/الإثراء) وقنوات سلبية (ضغط الوقت/توازن الحياة)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Bolli</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Pusterla</w:t>
      </w:r>
      <w:proofErr w:type="spellEnd"/>
      <w:r w:rsidRPr="007C2480">
        <w:rPr>
          <w:rFonts w:ascii="Traditional Arabic" w:hAnsi="Traditional Arabic" w:cs="Traditional Arabic"/>
          <w:lang w:bidi="ar"/>
        </w:rPr>
        <w:t>, 2022).</w:t>
      </w:r>
    </w:p>
    <w:p w14:paraId="7F810E31" w14:textId="37A4FD10" w:rsidR="002544C2" w:rsidRPr="007C2480" w:rsidRDefault="002544C2" w:rsidP="00EB0259">
      <w:pPr>
        <w:bidi/>
        <w:spacing w:after="160" w:line="360" w:lineRule="auto"/>
        <w:divId w:val="1647278641"/>
        <w:rPr>
          <w:rFonts w:ascii="Traditional Arabic" w:hAnsi="Traditional Arabic" w:cs="Traditional Arabic"/>
          <w:rtl/>
        </w:rPr>
      </w:pPr>
      <w:r w:rsidRPr="007C2480">
        <w:rPr>
          <w:rFonts w:ascii="Traditional Arabic" w:hAnsi="Traditional Arabic" w:cs="Traditional Arabic"/>
          <w:noProof/>
          <w:rtl/>
          <w:lang w:val="ar-SA"/>
        </w:rPr>
        <w:lastRenderedPageBreak/>
        <w:drawing>
          <wp:inline distT="0" distB="0" distL="0" distR="0" wp14:anchorId="4F8D3204" wp14:editId="2ADC98FB">
            <wp:extent cx="5731510" cy="55829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maid-diagr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582920"/>
                    </a:xfrm>
                    <a:prstGeom prst="rect">
                      <a:avLst/>
                    </a:prstGeom>
                  </pic:spPr>
                </pic:pic>
              </a:graphicData>
            </a:graphic>
          </wp:inline>
        </w:drawing>
      </w:r>
    </w:p>
    <w:p w14:paraId="44B40002" w14:textId="77777777" w:rsidR="002544C2" w:rsidRPr="007C2480" w:rsidRDefault="002544C2" w:rsidP="00EB0259">
      <w:pPr>
        <w:bidi/>
        <w:spacing w:after="160" w:line="360" w:lineRule="auto"/>
        <w:divId w:val="1647278641"/>
        <w:rPr>
          <w:rFonts w:ascii="Traditional Arabic" w:hAnsi="Traditional Arabic" w:cs="Traditional Arabic"/>
          <w:rtl/>
        </w:rPr>
      </w:pPr>
    </w:p>
    <w:p w14:paraId="18BBB598" w14:textId="03C6391E" w:rsidR="00B64312" w:rsidRPr="00DB3C7B" w:rsidRDefault="00CC426D" w:rsidP="00EB0259">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2.1.7</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إطار</w:t>
      </w:r>
      <w:r w:rsidR="00B64312" w:rsidRPr="00DB3C7B">
        <w:rPr>
          <w:rFonts w:ascii="Traditional Arabic" w:hAnsi="Traditional Arabic" w:cs="Traditional Arabic"/>
          <w:b/>
          <w:bCs/>
        </w:rPr>
        <w:t xml:space="preserve"> TOE </w:t>
      </w:r>
      <w:r w:rsidR="00B64312" w:rsidRPr="00DB3C7B">
        <w:rPr>
          <w:rFonts w:ascii="Traditional Arabic" w:hAnsi="Traditional Arabic" w:cs="Traditional Arabic"/>
          <w:b/>
          <w:bCs/>
          <w:rtl/>
        </w:rPr>
        <w:t xml:space="preserve">والمنظور </w:t>
      </w:r>
      <w:proofErr w:type="spellStart"/>
      <w:r w:rsidR="00B64312" w:rsidRPr="00DB3C7B">
        <w:rPr>
          <w:rFonts w:ascii="Traditional Arabic" w:hAnsi="Traditional Arabic" w:cs="Traditional Arabic"/>
          <w:b/>
          <w:bCs/>
          <w:rtl/>
        </w:rPr>
        <w:t>السوسيوتقني</w:t>
      </w:r>
      <w:proofErr w:type="spellEnd"/>
    </w:p>
    <w:p w14:paraId="46540B65"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لتحقيق تكامل نظري بين “مستوى المنظمة” و“مستوى الفرد”، يستفيد هذا البحث من إطار التقنية–المنظمة–البيئة</w:t>
      </w:r>
      <w:r w:rsidRPr="007C2480">
        <w:rPr>
          <w:rFonts w:ascii="Traditional Arabic" w:hAnsi="Traditional Arabic" w:cs="Traditional Arabic"/>
          <w:lang w:bidi="ar"/>
        </w:rPr>
        <w:t xml:space="preserve"> (</w:t>
      </w:r>
      <w:r w:rsidRPr="007C2480">
        <w:rPr>
          <w:rFonts w:asciiTheme="majorBidi" w:hAnsiTheme="majorBidi" w:cstheme="majorBidi"/>
          <w:lang w:bidi="ar"/>
        </w:rPr>
        <w:t>TOE</w:t>
      </w:r>
      <w:r w:rsidRPr="007C2480">
        <w:rPr>
          <w:rFonts w:ascii="Traditional Arabic" w:hAnsi="Traditional Arabic" w:cs="Traditional Arabic"/>
          <w:lang w:bidi="ar"/>
        </w:rPr>
        <w:t xml:space="preserve">) </w:t>
      </w:r>
      <w:r w:rsidRPr="007C2480">
        <w:rPr>
          <w:rFonts w:ascii="Traditional Arabic" w:hAnsi="Traditional Arabic" w:cs="Traditional Arabic"/>
          <w:rtl/>
        </w:rPr>
        <w:t>بوصفه عدسة تفسيرية توضّح لماذا تتباين جهات العمل في نجاح التحول الرقمي وفي نتائجه على المستخدمين الداخليين. إذ يفترض</w:t>
      </w:r>
      <w:r w:rsidRPr="007C2480">
        <w:rPr>
          <w:rFonts w:ascii="Traditional Arabic" w:hAnsi="Traditional Arabic" w:cs="Traditional Arabic"/>
          <w:lang w:bidi="ar"/>
        </w:rPr>
        <w:t xml:space="preserve"> </w:t>
      </w:r>
      <w:r w:rsidRPr="007C2480">
        <w:rPr>
          <w:rFonts w:asciiTheme="majorBidi" w:hAnsiTheme="majorBidi" w:cstheme="majorBidi"/>
          <w:lang w:bidi="ar"/>
        </w:rPr>
        <w:t>TOE</w:t>
      </w:r>
      <w:r w:rsidRPr="007C2480">
        <w:rPr>
          <w:rFonts w:ascii="Traditional Arabic" w:hAnsi="Traditional Arabic" w:cs="Traditional Arabic"/>
          <w:lang w:bidi="ar"/>
        </w:rPr>
        <w:t xml:space="preserve"> </w:t>
      </w:r>
      <w:r w:rsidRPr="007C2480">
        <w:rPr>
          <w:rFonts w:ascii="Traditional Arabic" w:hAnsi="Traditional Arabic" w:cs="Traditional Arabic"/>
          <w:rtl/>
        </w:rPr>
        <w:t>أن تبني الابتكارات وتنفيذها يتأثر بثلاثة سياقات</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السياق التقني (البنية، النضج، الموثوقية)، والسياق التنظيمي (الموارد، الهيكل، الدعم، التدريب)، والسياق البيئي </w:t>
      </w:r>
      <w:r w:rsidRPr="007C2480">
        <w:rPr>
          <w:rFonts w:ascii="Traditional Arabic" w:hAnsi="Traditional Arabic" w:cs="Traditional Arabic"/>
          <w:lang w:bidi="ar"/>
        </w:rPr>
        <w:t>(</w:t>
      </w:r>
      <w:r w:rsidRPr="007C2480">
        <w:rPr>
          <w:rFonts w:ascii="Traditional Arabic" w:hAnsi="Traditional Arabic" w:cs="Traditional Arabic"/>
          <w:rtl/>
        </w:rPr>
        <w:t>اللوائح، المنافسة/المقارنة، ضغط أصحاب المصلحة</w:t>
      </w:r>
      <w:r w:rsidRPr="007C2480">
        <w:rPr>
          <w:rFonts w:ascii="Traditional Arabic" w:hAnsi="Traditional Arabic" w:cs="Traditional Arabic"/>
          <w:lang w:bidi="ar"/>
        </w:rPr>
        <w:t xml:space="preserve">) (Baker, 2012). </w:t>
      </w:r>
      <w:r w:rsidRPr="007C2480">
        <w:rPr>
          <w:rFonts w:ascii="Traditional Arabic" w:hAnsi="Traditional Arabic" w:cs="Traditional Arabic"/>
          <w:rtl/>
        </w:rPr>
        <w:t>ويساعد</w:t>
      </w:r>
      <w:r w:rsidRPr="007C2480">
        <w:rPr>
          <w:rFonts w:ascii="Traditional Arabic" w:hAnsi="Traditional Arabic" w:cs="Traditional Arabic"/>
          <w:lang w:bidi="ar"/>
        </w:rPr>
        <w:t xml:space="preserve"> </w:t>
      </w:r>
      <w:r w:rsidRPr="007C2480">
        <w:rPr>
          <w:rFonts w:asciiTheme="majorBidi" w:hAnsiTheme="majorBidi" w:cstheme="majorBidi"/>
          <w:lang w:bidi="ar"/>
        </w:rPr>
        <w:t>TOE</w:t>
      </w:r>
      <w:r w:rsidRPr="007C2480">
        <w:rPr>
          <w:rFonts w:ascii="Traditional Arabic" w:hAnsi="Traditional Arabic" w:cs="Traditional Arabic"/>
          <w:lang w:bidi="ar"/>
        </w:rPr>
        <w:t xml:space="preserve"> </w:t>
      </w:r>
      <w:r w:rsidRPr="007C2480">
        <w:rPr>
          <w:rFonts w:ascii="Traditional Arabic" w:hAnsi="Traditional Arabic" w:cs="Traditional Arabic"/>
          <w:rtl/>
        </w:rPr>
        <w:t>في إسناد أبعاد</w:t>
      </w:r>
      <w:r w:rsidRPr="007C2480">
        <w:rPr>
          <w:rFonts w:ascii="Traditional Arabic" w:hAnsi="Traditional Arabic" w:cs="Traditional Arabic"/>
          <w:lang w:bidi="ar"/>
        </w:rPr>
        <w:t xml:space="preserve"> </w:t>
      </w:r>
      <w:r w:rsidRPr="007C2480">
        <w:rPr>
          <w:rFonts w:asciiTheme="majorBidi" w:hAnsiTheme="majorBidi" w:cstheme="majorBidi"/>
          <w:lang w:bidi="ar"/>
        </w:rPr>
        <w:t>DTD</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الأربعة: فتوفر الأنظمة وكفاءتها يقعان في “السياق التقني”، بينما جودة التدريب والدعم </w:t>
      </w:r>
      <w:r w:rsidRPr="007C2480">
        <w:rPr>
          <w:rFonts w:ascii="Traditional Arabic" w:hAnsi="Traditional Arabic" w:cs="Traditional Arabic"/>
          <w:rtl/>
        </w:rPr>
        <w:lastRenderedPageBreak/>
        <w:t>والتكامل يقعان في “السياق التنظيمي”، ويمكن إدراج عناصر البيئة في تفسير ظروف التحول وحوكمته دون إدخالها كمتغيرات رئيسة إذا لم تتضمنها الأداة</w:t>
      </w:r>
      <w:r w:rsidRPr="007C2480">
        <w:rPr>
          <w:rFonts w:ascii="Traditional Arabic" w:hAnsi="Traditional Arabic" w:cs="Traditional Arabic"/>
          <w:lang w:bidi="ar"/>
        </w:rPr>
        <w:t>.</w:t>
      </w:r>
    </w:p>
    <w:p w14:paraId="21460A12"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أما المنظور </w:t>
      </w:r>
      <w:proofErr w:type="spellStart"/>
      <w:r w:rsidRPr="007C2480">
        <w:rPr>
          <w:rFonts w:ascii="Traditional Arabic" w:hAnsi="Traditional Arabic" w:cs="Traditional Arabic"/>
          <w:rtl/>
        </w:rPr>
        <w:t>السوسيوتقني</w:t>
      </w:r>
      <w:proofErr w:type="spellEnd"/>
      <w:r w:rsidRPr="007C2480">
        <w:rPr>
          <w:rFonts w:ascii="Traditional Arabic" w:hAnsi="Traditional Arabic" w:cs="Traditional Arabic"/>
          <w:rtl/>
        </w:rPr>
        <w:t xml:space="preserve"> فيُعد ملائمًا بوجه خاص حين يكون موضوع الدراسة هو “تجربة الموظف الرقمية”، لأنه يؤكد أن نتائج التقنية لا تُفهم بمعزل عن النظام الاجتماعي (الموظفون، المعايير، الثقافة، تصميم العمل) وأنهما يتفاعلان ويتشكلان بصورة متبادلة؛ وهو منظور تعدّه أدبيات نظم المعلومات أحد المحاور التأسيسية في الحقل</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Sarker</w:t>
      </w:r>
      <w:proofErr w:type="spellEnd"/>
      <w:r w:rsidRPr="007C2480">
        <w:rPr>
          <w:rFonts w:asciiTheme="majorBidi" w:hAnsiTheme="majorBidi" w:cstheme="majorBidi"/>
          <w:lang w:bidi="ar"/>
        </w:rPr>
        <w:t xml:space="preserve"> et al., 2019</w:t>
      </w:r>
      <w:r w:rsidRPr="007C2480">
        <w:rPr>
          <w:rFonts w:ascii="Traditional Arabic" w:hAnsi="Traditional Arabic" w:cs="Traditional Arabic"/>
          <w:lang w:bidi="ar"/>
        </w:rPr>
        <w:t xml:space="preserve">). </w:t>
      </w:r>
      <w:r w:rsidRPr="007C2480">
        <w:rPr>
          <w:rFonts w:ascii="Traditional Arabic" w:hAnsi="Traditional Arabic" w:cs="Traditional Arabic"/>
          <w:rtl/>
        </w:rPr>
        <w:t>ويكتسب هذا المنظور قيمة تفسيرية في الدراسة الحالية لأنه يفسر لماذا قد يؤدي نفس النظام الرقمي إلى رفع الرضا لدى فئة (بسبب التمكين والسرعة) وخفضه لدى فئة أخرى (بسبب القلق أو التعقيد أو الاقتحام)</w:t>
      </w:r>
      <w:r w:rsidRPr="007C2480">
        <w:rPr>
          <w:rFonts w:ascii="Traditional Arabic" w:hAnsi="Traditional Arabic" w:cs="Traditional Arabic"/>
          <w:lang w:bidi="ar"/>
        </w:rPr>
        <w:t>.</w:t>
      </w:r>
    </w:p>
    <w:p w14:paraId="2BC7AD24" w14:textId="77777777" w:rsidR="00C37F6C" w:rsidRDefault="00C37F6C" w:rsidP="00EB0259">
      <w:pPr>
        <w:bidi/>
        <w:spacing w:after="160" w:line="360" w:lineRule="auto"/>
        <w:divId w:val="1647278641"/>
        <w:rPr>
          <w:rFonts w:ascii="Traditional Arabic" w:hAnsi="Traditional Arabic" w:cs="Traditional Arabic"/>
          <w:b/>
          <w:bCs/>
          <w:rtl/>
        </w:rPr>
      </w:pPr>
    </w:p>
    <w:p w14:paraId="16FD08FE" w14:textId="0F9394FF" w:rsidR="00B64312" w:rsidRPr="00DB3C7B" w:rsidRDefault="00CC426D" w:rsidP="00C37F6C">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2.1.8</w:t>
      </w:r>
      <w:r w:rsidRPr="00DB3C7B">
        <w:rPr>
          <w:rFonts w:ascii="Traditional Arabic" w:hAnsi="Traditional Arabic" w:cs="Traditional Arabic"/>
          <w:b/>
          <w:bCs/>
          <w:rtl/>
        </w:rPr>
        <w:t xml:space="preserve"> </w:t>
      </w:r>
      <w:r w:rsidR="00B64312" w:rsidRPr="00DB3C7B">
        <w:rPr>
          <w:rFonts w:ascii="Traditional Arabic" w:hAnsi="Traditional Arabic" w:cs="Traditional Arabic"/>
          <w:b/>
          <w:bCs/>
          <w:rtl/>
        </w:rPr>
        <w:t>المتغيرات الديموغرافية وخلاصة الربط بالنموذج المفاهيمي</w:t>
      </w:r>
    </w:p>
    <w:p w14:paraId="59FA2C98"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تشير نماذج القبول والتبني إلى أن خصائص الأفراد ليست “معلومات وصفية” فقط، بل قد تتحول إلى معدِّلات تفسر اختلاف قوة واتجاه العلاقة بين التحول الرقمي والنتائج الوظيفية. فعلى سبيل المثال، يقرر</w:t>
      </w:r>
      <w:r w:rsidRPr="007C2480">
        <w:rPr>
          <w:rFonts w:ascii="Traditional Arabic" w:hAnsi="Traditional Arabic" w:cs="Traditional Arabic"/>
          <w:lang w:bidi="ar"/>
        </w:rPr>
        <w:t xml:space="preserve"> </w:t>
      </w:r>
      <w:r w:rsidRPr="007C2480">
        <w:rPr>
          <w:rFonts w:asciiTheme="majorBidi" w:hAnsiTheme="majorBidi" w:cstheme="majorBidi"/>
          <w:lang w:bidi="ar"/>
        </w:rPr>
        <w:t>UTAUT</w:t>
      </w:r>
      <w:r w:rsidRPr="007C2480">
        <w:rPr>
          <w:rFonts w:ascii="Traditional Arabic" w:hAnsi="Traditional Arabic" w:cs="Traditional Arabic"/>
          <w:lang w:bidi="ar"/>
        </w:rPr>
        <w:t xml:space="preserve"> </w:t>
      </w:r>
      <w:r w:rsidRPr="007C2480">
        <w:rPr>
          <w:rFonts w:ascii="Traditional Arabic" w:hAnsi="Traditional Arabic" w:cs="Traditional Arabic"/>
          <w:rtl/>
        </w:rPr>
        <w:t>وجود أدوار تعديل للعمر والجنس والخبرة وطوعية الاستخدام على العلاقات المركزية لنوايا الاستخدام والاستخدام الفعلي</w:t>
      </w:r>
      <w:r w:rsidRPr="007C2480">
        <w:rPr>
          <w:rFonts w:ascii="Traditional Arabic" w:hAnsi="Traditional Arabic" w:cs="Traditional Arabic"/>
          <w:lang w:bidi="ar"/>
        </w:rPr>
        <w:t xml:space="preserve"> (</w:t>
      </w:r>
      <w:r w:rsidRPr="007C2480">
        <w:rPr>
          <w:rFonts w:asciiTheme="majorBidi" w:hAnsiTheme="majorBidi" w:cstheme="majorBidi"/>
          <w:lang w:bidi="ar"/>
        </w:rPr>
        <w:t>Venkatesh</w:t>
      </w:r>
      <w:r w:rsidRPr="007C2480">
        <w:rPr>
          <w:rFonts w:ascii="Traditional Arabic" w:hAnsi="Traditional Arabic" w:cs="Traditional Arabic"/>
          <w:lang w:bidi="ar"/>
        </w:rPr>
        <w:t xml:space="preserve"> </w:t>
      </w:r>
      <w:r w:rsidRPr="007C2480">
        <w:rPr>
          <w:rFonts w:asciiTheme="majorBidi" w:hAnsiTheme="majorBidi" w:cstheme="majorBidi"/>
          <w:lang w:bidi="ar"/>
        </w:rPr>
        <w:t>et</w:t>
      </w:r>
      <w:r w:rsidRPr="007C2480">
        <w:rPr>
          <w:rFonts w:ascii="Traditional Arabic" w:hAnsi="Traditional Arabic" w:cs="Traditional Arabic"/>
          <w:lang w:bidi="ar"/>
        </w:rPr>
        <w:t xml:space="preserve"> </w:t>
      </w:r>
      <w:r w:rsidRPr="007C2480">
        <w:rPr>
          <w:rFonts w:asciiTheme="majorBidi" w:hAnsiTheme="majorBidi" w:cstheme="majorBidi"/>
          <w:lang w:bidi="ar"/>
        </w:rPr>
        <w:t>al</w:t>
      </w:r>
      <w:r w:rsidRPr="007C2480">
        <w:rPr>
          <w:rFonts w:ascii="Traditional Arabic" w:hAnsi="Traditional Arabic" w:cs="Traditional Arabic"/>
          <w:lang w:bidi="ar"/>
        </w:rPr>
        <w:t xml:space="preserve">., 2003). </w:t>
      </w:r>
      <w:r w:rsidRPr="007C2480">
        <w:rPr>
          <w:rFonts w:ascii="Traditional Arabic" w:hAnsi="Traditional Arabic" w:cs="Traditional Arabic"/>
          <w:rtl/>
        </w:rPr>
        <w:t>وبالقياس على ذلك، يمكن افتراض أن أثر التحول الرقمي المؤسسي على الرضا الوظيفي قد يتغير بحسب: (1) القدرة الرقمية والخبرة التراكمية، (2) طبيعة الدور الوظيفي ومدى التعرض اليومي للأنظمة، (3) مرحلة المسار المهني، و(4) قيود التوازن بين العمل والحياة</w:t>
      </w:r>
      <w:r w:rsidRPr="007C2480">
        <w:rPr>
          <w:rFonts w:ascii="Traditional Arabic" w:hAnsi="Traditional Arabic" w:cs="Traditional Arabic"/>
          <w:lang w:bidi="ar"/>
        </w:rPr>
        <w:t>.</w:t>
      </w:r>
    </w:p>
    <w:p w14:paraId="6D8D9650"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وتعزز الأدلة الحديثة هذا المنطق عبر نتائج تُظهر تباينات ديموغرافية في قنوات تأثير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إذ تشير إحدى الدراسات إلى اختلافات وفق النوع الاجتماعي والعمر في حجم استفادة الموظف من قنوات مثل الإنتاجية أو تأثره بقنوات مثل توازن العمل والحياة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Bolli</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Pusterla</w:t>
      </w:r>
      <w:proofErr w:type="spellEnd"/>
      <w:r w:rsidRPr="007C2480">
        <w:rPr>
          <w:rFonts w:ascii="Traditional Arabic" w:hAnsi="Traditional Arabic" w:cs="Traditional Arabic"/>
          <w:lang w:bidi="ar"/>
        </w:rPr>
        <w:t xml:space="preserve">, 2022). </w:t>
      </w:r>
      <w:r w:rsidRPr="007C2480">
        <w:rPr>
          <w:rFonts w:ascii="Traditional Arabic" w:hAnsi="Traditional Arabic" w:cs="Traditional Arabic"/>
          <w:rtl/>
        </w:rPr>
        <w:t>كما أن دراسات الإجهاد التقني في بيئات رقمية عالية الاعتماد أوضحت ارتباط العمر وبعض الخصائص المهنية بمستويات الإجهاد التقني والمهارة الرقمية، بما يدعم فحص التأثيرات التعديلية ضمن النموذج</w:t>
      </w:r>
      <w:r w:rsidRPr="007C2480">
        <w:rPr>
          <w:rFonts w:ascii="Traditional Arabic" w:hAnsi="Traditional Arabic" w:cs="Traditional Arabic"/>
          <w:lang w:bidi="ar"/>
        </w:rPr>
        <w:t xml:space="preserve"> </w:t>
      </w:r>
      <w:r w:rsidRPr="007C2480">
        <w:rPr>
          <w:rFonts w:asciiTheme="majorBidi" w:hAnsiTheme="majorBidi" w:cstheme="majorBidi"/>
          <w:lang w:bidi="ar"/>
        </w:rPr>
        <w:t>(</w:t>
      </w:r>
      <w:proofErr w:type="spellStart"/>
      <w:r w:rsidRPr="007C2480">
        <w:rPr>
          <w:rFonts w:asciiTheme="majorBidi" w:hAnsiTheme="majorBidi" w:cstheme="majorBidi"/>
          <w:lang w:bidi="ar"/>
        </w:rPr>
        <w:t>Kerres</w:t>
      </w:r>
      <w:proofErr w:type="spellEnd"/>
      <w:r w:rsidRPr="007C2480">
        <w:rPr>
          <w:rFonts w:asciiTheme="majorBidi" w:hAnsiTheme="majorBidi" w:cstheme="majorBidi"/>
          <w:lang w:bidi="ar"/>
        </w:rPr>
        <w:t xml:space="preserve"> et al., 2021).</w:t>
      </w:r>
    </w:p>
    <w:p w14:paraId="6BCC65C2"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وخلاصة الربط بالنموذج المفاهيمي في هذه الدراسة يمكن صياغتها على النحو التالي</w:t>
      </w:r>
      <w:r w:rsidRPr="007C2480">
        <w:rPr>
          <w:rFonts w:ascii="Traditional Arabic" w:hAnsi="Traditional Arabic" w:cs="Traditional Arabic"/>
          <w:lang w:bidi="ar"/>
        </w:rPr>
        <w:t>:</w:t>
      </w:r>
      <w:r w:rsidRPr="007C2480">
        <w:rPr>
          <w:rFonts w:ascii="Traditional Arabic" w:hAnsi="Traditional Arabic" w:cs="Traditional Arabic"/>
          <w:lang w:bidi="ar"/>
        </w:rPr>
        <w:br/>
      </w:r>
      <w:r w:rsidRPr="007C2480">
        <w:rPr>
          <w:rFonts w:ascii="Traditional Arabic" w:hAnsi="Traditional Arabic" w:cs="Traditional Arabic"/>
          <w:rtl/>
        </w:rPr>
        <w:t>إن التحول الرقمي المؤسسي</w:t>
      </w:r>
      <w:r w:rsidRPr="007C2480">
        <w:rPr>
          <w:rFonts w:ascii="Traditional Arabic" w:hAnsi="Traditional Arabic" w:cs="Traditional Arabic"/>
          <w:lang w:bidi="ar"/>
        </w:rPr>
        <w:t xml:space="preserve"> (</w:t>
      </w:r>
      <w:r w:rsidRPr="007C2480">
        <w:rPr>
          <w:rFonts w:asciiTheme="majorBidi" w:hAnsiTheme="majorBidi" w:cstheme="majorBidi"/>
          <w:lang w:bidi="ar"/>
        </w:rPr>
        <w:t>DTD</w:t>
      </w:r>
      <w:r w:rsidRPr="007C2480">
        <w:rPr>
          <w:rFonts w:ascii="Traditional Arabic" w:hAnsi="Traditional Arabic" w:cs="Traditional Arabic"/>
          <w:lang w:bidi="ar"/>
        </w:rPr>
        <w:t>)—</w:t>
      </w:r>
      <w:r w:rsidRPr="007C2480">
        <w:rPr>
          <w:rFonts w:ascii="Traditional Arabic" w:hAnsi="Traditional Arabic" w:cs="Traditional Arabic"/>
          <w:rtl/>
        </w:rPr>
        <w:t>بوصفه تحولًا في إتاحة الأنظمة وكفاءتها، وفي الدعم والتدريب، وفي تكامل الإجراءات—يُتوقع أن يؤثر على الرضا الوظيفي</w:t>
      </w:r>
      <w:r w:rsidRPr="007C2480">
        <w:rPr>
          <w:rFonts w:ascii="Traditional Arabic" w:hAnsi="Traditional Arabic" w:cs="Traditional Arabic"/>
          <w:lang w:bidi="ar"/>
        </w:rPr>
        <w:t xml:space="preserve"> (</w:t>
      </w:r>
      <w:r w:rsidRPr="007C2480">
        <w:rPr>
          <w:rFonts w:asciiTheme="majorBidi" w:hAnsiTheme="majorBidi" w:cstheme="majorBidi"/>
          <w:lang w:bidi="ar"/>
        </w:rPr>
        <w:t>JS</w:t>
      </w:r>
      <w:r w:rsidRPr="007C2480">
        <w:rPr>
          <w:rFonts w:ascii="Traditional Arabic" w:hAnsi="Traditional Arabic" w:cs="Traditional Arabic"/>
          <w:lang w:bidi="ar"/>
        </w:rPr>
        <w:t xml:space="preserve">) </w:t>
      </w:r>
      <w:r w:rsidRPr="007C2480">
        <w:rPr>
          <w:rFonts w:ascii="Traditional Arabic" w:hAnsi="Traditional Arabic" w:cs="Traditional Arabic"/>
          <w:rtl/>
        </w:rPr>
        <w:t>عبر مسارين متكاملين. المسار الأول “تعزيزي” يعتمد على رفع قبول التقنية</w:t>
      </w:r>
      <w:r w:rsidRPr="007C2480">
        <w:rPr>
          <w:rFonts w:ascii="Traditional Arabic" w:hAnsi="Traditional Arabic" w:cs="Traditional Arabic"/>
          <w:lang w:bidi="ar"/>
        </w:rPr>
        <w:t xml:space="preserve"> (</w:t>
      </w:r>
      <w:r w:rsidRPr="007C2480">
        <w:rPr>
          <w:rFonts w:asciiTheme="majorBidi" w:hAnsiTheme="majorBidi" w:cstheme="majorBidi"/>
          <w:lang w:bidi="ar"/>
        </w:rPr>
        <w:t>PU/PEOU</w:t>
      </w:r>
      <w:r w:rsidRPr="007C2480">
        <w:rPr>
          <w:rFonts w:ascii="Traditional Arabic" w:hAnsi="Traditional Arabic" w:cs="Traditional Arabic"/>
          <w:lang w:bidi="ar"/>
        </w:rPr>
        <w:t xml:space="preserve">) </w:t>
      </w:r>
      <w:r w:rsidRPr="007C2480">
        <w:rPr>
          <w:rFonts w:ascii="Traditional Arabic" w:hAnsi="Traditional Arabic" w:cs="Traditional Arabic"/>
          <w:rtl/>
        </w:rPr>
        <w:t>وفق</w:t>
      </w:r>
      <w:r w:rsidRPr="007C2480">
        <w:rPr>
          <w:rFonts w:ascii="Traditional Arabic" w:hAnsi="Traditional Arabic" w:cs="Traditional Arabic"/>
          <w:lang w:bidi="ar"/>
        </w:rPr>
        <w:t xml:space="preserve"> </w:t>
      </w:r>
      <w:r w:rsidRPr="007C2480">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heme="majorBidi" w:hAnsiTheme="majorBidi" w:cstheme="majorBidi"/>
          <w:lang w:bidi="ar"/>
        </w:rPr>
        <w:t>Davis</w:t>
      </w:r>
      <w:r w:rsidRPr="007C2480">
        <w:rPr>
          <w:rFonts w:ascii="Traditional Arabic" w:hAnsi="Traditional Arabic" w:cs="Traditional Arabic"/>
          <w:lang w:bidi="ar"/>
        </w:rPr>
        <w:t xml:space="preserve">, 1989). </w:t>
      </w:r>
      <w:r w:rsidRPr="007C2480">
        <w:rPr>
          <w:rFonts w:ascii="Traditional Arabic" w:hAnsi="Traditional Arabic" w:cs="Traditional Arabic"/>
          <w:rtl/>
        </w:rPr>
        <w:t xml:space="preserve">والمسار الثاني “وقائي” يعتمد على خفض مثيرات الإجهاد التقني </w:t>
      </w:r>
      <w:r w:rsidRPr="007C2480">
        <w:rPr>
          <w:rFonts w:ascii="Traditional Arabic" w:hAnsi="Traditional Arabic" w:cs="Traditional Arabic"/>
          <w:rtl/>
        </w:rPr>
        <w:lastRenderedPageBreak/>
        <w:t>وفق أدبيات</w:t>
      </w:r>
      <w:r w:rsidRPr="007C2480">
        <w:rPr>
          <w:rFonts w:ascii="Traditional Arabic" w:hAnsi="Traditional Arabic" w:cs="Traditional Arabic"/>
          <w:lang w:bidi="ar"/>
        </w:rPr>
        <w:t xml:space="preserve"> Technostress (</w:t>
      </w:r>
      <w:proofErr w:type="spellStart"/>
      <w:r w:rsidRPr="007C2480">
        <w:rPr>
          <w:rFonts w:ascii="Traditional Arabic" w:hAnsi="Traditional Arabic" w:cs="Traditional Arabic"/>
          <w:lang w:bidi="ar"/>
        </w:rPr>
        <w:t>Ayyagari</w:t>
      </w:r>
      <w:proofErr w:type="spellEnd"/>
      <w:r w:rsidRPr="007C2480">
        <w:rPr>
          <w:rFonts w:ascii="Traditional Arabic" w:hAnsi="Traditional Arabic" w:cs="Traditional Arabic"/>
          <w:lang w:bidi="ar"/>
        </w:rPr>
        <w:t xml:space="preserve"> et al., 2011</w:t>
      </w:r>
      <w:r w:rsidRPr="007C2480">
        <w:rPr>
          <w:rFonts w:asciiTheme="majorBidi" w:hAnsiTheme="majorBidi" w:cstheme="majorBidi"/>
          <w:rtl/>
          <w:lang w:bidi="ar"/>
        </w:rPr>
        <w:t>؛</w:t>
      </w:r>
      <w:r w:rsidRPr="007C2480">
        <w:rPr>
          <w:rFonts w:asciiTheme="majorBidi" w:hAnsiTheme="majorBidi" w:cstheme="majorBidi"/>
          <w:lang w:bidi="ar"/>
        </w:rPr>
        <w:t xml:space="preserve"> Kumar, 2024</w:t>
      </w:r>
      <w:r w:rsidRPr="007C2480">
        <w:rPr>
          <w:rFonts w:ascii="Traditional Arabic" w:hAnsi="Traditional Arabic" w:cs="Traditional Arabic"/>
          <w:lang w:bidi="ar"/>
        </w:rPr>
        <w:t xml:space="preserve">). </w:t>
      </w:r>
      <w:r w:rsidRPr="007C2480">
        <w:rPr>
          <w:rFonts w:ascii="Traditional Arabic" w:hAnsi="Traditional Arabic" w:cs="Traditional Arabic"/>
          <w:rtl/>
        </w:rPr>
        <w:t>وتُفحَص كذلك الفروق الديموغرافية بوصفها عوامل قد تُعدّل العلاقة الأساسية بين</w:t>
      </w:r>
      <w:r w:rsidRPr="007C2480">
        <w:rPr>
          <w:rFonts w:ascii="Traditional Arabic" w:hAnsi="Traditional Arabic" w:cs="Traditional Arabic"/>
          <w:lang w:bidi="ar"/>
        </w:rPr>
        <w:t xml:space="preserve"> DTD </w:t>
      </w:r>
      <w:r w:rsidRPr="007C2480">
        <w:rPr>
          <w:rFonts w:ascii="Traditional Arabic" w:hAnsi="Traditional Arabic" w:cs="Traditional Arabic"/>
          <w:rtl/>
        </w:rPr>
        <w:t>و</w:t>
      </w:r>
      <w:r w:rsidRPr="007C2480">
        <w:rPr>
          <w:rFonts w:ascii="Traditional Arabic" w:hAnsi="Traditional Arabic" w:cs="Traditional Arabic"/>
          <w:lang w:bidi="ar"/>
        </w:rPr>
        <w:t xml:space="preserve">JS </w:t>
      </w:r>
      <w:r w:rsidRPr="007C2480">
        <w:rPr>
          <w:rFonts w:ascii="Traditional Arabic" w:hAnsi="Traditional Arabic" w:cs="Traditional Arabic"/>
          <w:rtl/>
        </w:rPr>
        <w:t>بما يعكس تباين استجابات الموظفين للتحول الرقمي داخل الجهة</w:t>
      </w:r>
      <w:r w:rsidRPr="007C2480">
        <w:rPr>
          <w:rFonts w:ascii="Traditional Arabic" w:hAnsi="Traditional Arabic" w:cs="Traditional Arabic"/>
          <w:lang w:bidi="ar"/>
        </w:rPr>
        <w:t>.</w:t>
      </w:r>
    </w:p>
    <w:p w14:paraId="00374A12" w14:textId="77777777" w:rsidR="00C37F6C" w:rsidRDefault="00C37F6C" w:rsidP="00EB0259">
      <w:pPr>
        <w:bidi/>
        <w:spacing w:after="160" w:line="360" w:lineRule="auto"/>
        <w:divId w:val="1647278641"/>
        <w:rPr>
          <w:rFonts w:ascii="Traditional Arabic" w:hAnsi="Traditional Arabic" w:cs="Traditional Arabic"/>
          <w:b/>
          <w:bCs/>
          <w:sz w:val="28"/>
          <w:szCs w:val="28"/>
          <w:rtl/>
        </w:rPr>
      </w:pPr>
    </w:p>
    <w:p w14:paraId="51B7099D" w14:textId="264A01E4" w:rsidR="00B64312" w:rsidRPr="00DB3C7B" w:rsidRDefault="002544C2" w:rsidP="00C37F6C">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t>2.2</w:t>
      </w:r>
      <w:r w:rsidRPr="00DB3C7B">
        <w:rPr>
          <w:rFonts w:ascii="Traditional Arabic" w:hAnsi="Traditional Arabic" w:cs="Traditional Arabic"/>
          <w:b/>
          <w:bCs/>
          <w:sz w:val="28"/>
          <w:szCs w:val="28"/>
          <w:rtl/>
        </w:rPr>
        <w:t xml:space="preserve"> </w:t>
      </w:r>
      <w:r w:rsidR="00B64312" w:rsidRPr="00DB3C7B">
        <w:rPr>
          <w:rFonts w:ascii="Traditional Arabic" w:hAnsi="Traditional Arabic" w:cs="Traditional Arabic"/>
          <w:b/>
          <w:bCs/>
          <w:sz w:val="28"/>
          <w:szCs w:val="28"/>
          <w:rtl/>
        </w:rPr>
        <w:t>الدراسات السابقة</w:t>
      </w:r>
    </w:p>
    <w:p w14:paraId="5715F6BE" w14:textId="77777777" w:rsidR="00B64312" w:rsidRPr="00DB3C7B" w:rsidRDefault="00B64312" w:rsidP="00EB0259">
      <w:pPr>
        <w:bidi/>
        <w:spacing w:after="160" w:line="360" w:lineRule="auto"/>
        <w:divId w:val="1647278641"/>
        <w:rPr>
          <w:rFonts w:ascii="Traditional Arabic" w:hAnsi="Traditional Arabic" w:cs="Traditional Arabic"/>
          <w:b/>
          <w:bCs/>
          <w:lang w:bidi="ar"/>
        </w:rPr>
      </w:pPr>
      <w:r w:rsidRPr="00DB3C7B">
        <w:rPr>
          <w:rFonts w:ascii="Traditional Arabic" w:hAnsi="Traditional Arabic" w:cs="Traditional Arabic"/>
          <w:b/>
          <w:bCs/>
          <w:rtl/>
        </w:rPr>
        <w:t>دراسات التحول الرقمي المؤسسي</w:t>
      </w:r>
    </w:p>
    <w:p w14:paraId="00A7B9EF"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Shibeika</w:t>
      </w:r>
      <w:proofErr w:type="spellEnd"/>
      <w:r w:rsidRPr="007C2480">
        <w:rPr>
          <w:rFonts w:asciiTheme="majorBidi" w:hAnsiTheme="majorBidi" w:cstheme="majorBidi"/>
          <w:lang w:bidi="ar"/>
        </w:rPr>
        <w:t xml:space="preserve"> et al., 2025) </w:t>
      </w:r>
      <w:r w:rsidRPr="007C2480">
        <w:rPr>
          <w:rFonts w:asciiTheme="majorBidi" w:hAnsiTheme="majorBidi" w:cstheme="majorBidi"/>
          <w:rtl/>
          <w:lang w:bidi="ar"/>
        </w:rPr>
        <w:t>بعنوان</w:t>
      </w:r>
      <w:r w:rsidRPr="007C2480">
        <w:rPr>
          <w:rFonts w:asciiTheme="majorBidi" w:hAnsiTheme="majorBidi" w:cstheme="majorBidi"/>
          <w:lang w:bidi="ar"/>
        </w:rPr>
        <w:t>: “THE IMPACT OF DIGITAL TRANSFORMATION IN HUMAN RESOURCE MANAGEMENT ON EMPLOYEE SATISFACTION IN SAUDI PRIVATE SECTOR”.</w:t>
      </w:r>
    </w:p>
    <w:p w14:paraId="3D94B04F"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هذه الدراسة إلى: (1) فحص أثر التحول الرقمي في إدارة الموارد البشرية على رضا الموظفين؛ و(2) تقييم فاعلية أدوات الموارد البشرية الرقمية في تعزيز جوانب مرتبطة ببيئة العمل مثل الاندماج الوظيفي وتوازن الحياة والعمل بما ينعكس على الرضا. تمثل مجتمع الدراسة بموظفي شركات من القطاع الخاص (لم يُذكر حجم المجتمع)، وبلغت العينة </w:t>
      </w:r>
      <w:r w:rsidRPr="007C2480">
        <w:rPr>
          <w:rFonts w:ascii="Traditional Arabic" w:hAnsi="Traditional Arabic" w:cs="Traditional Arabic"/>
          <w:lang w:bidi="ar"/>
        </w:rPr>
        <w:t xml:space="preserve">400 </w:t>
      </w:r>
      <w:r w:rsidRPr="007C2480">
        <w:rPr>
          <w:rFonts w:ascii="Traditional Arabic" w:hAnsi="Traditional Arabic" w:cs="Traditional Arabic"/>
          <w:rtl/>
        </w:rPr>
        <w:t xml:space="preserve">موظف من </w:t>
      </w:r>
      <w:r w:rsidRPr="007C2480">
        <w:rPr>
          <w:rFonts w:ascii="Traditional Arabic" w:hAnsi="Traditional Arabic" w:cs="Traditional Arabic"/>
          <w:lang w:bidi="ar"/>
        </w:rPr>
        <w:t xml:space="preserve">10 </w:t>
      </w:r>
      <w:r w:rsidRPr="007C2480">
        <w:rPr>
          <w:rFonts w:ascii="Traditional Arabic" w:hAnsi="Traditional Arabic" w:cs="Traditional Arabic"/>
          <w:rtl/>
        </w:rPr>
        <w:t>شركات</w:t>
      </w:r>
      <w:r w:rsidRPr="007C2480">
        <w:rPr>
          <w:rFonts w:ascii="Traditional Arabic" w:hAnsi="Traditional Arabic" w:cs="Traditional Arabic"/>
          <w:lang w:bidi="ar"/>
        </w:rPr>
        <w:t xml:space="preserve">. </w:t>
      </w:r>
      <w:r w:rsidRPr="007C2480">
        <w:rPr>
          <w:rFonts w:ascii="Traditional Arabic" w:hAnsi="Traditional Arabic" w:cs="Traditional Arabic"/>
          <w:rtl/>
        </w:rPr>
        <w:t>استخدمت الدراسة المنهج الكمي عبر استبانة إلكترونية، مع اختبارات الثبات</w:t>
      </w:r>
      <w:r w:rsidRPr="007C2480">
        <w:rPr>
          <w:rFonts w:ascii="Traditional Arabic" w:hAnsi="Traditional Arabic" w:cs="Traditional Arabic"/>
          <w:lang w:bidi="ar"/>
        </w:rPr>
        <w:t xml:space="preserve"> (Cronbach’s Alpha) </w:t>
      </w:r>
      <w:r w:rsidRPr="007C2480">
        <w:rPr>
          <w:rFonts w:ascii="Traditional Arabic" w:hAnsi="Traditional Arabic" w:cs="Traditional Arabic"/>
          <w:rtl/>
        </w:rPr>
        <w:t>والتحقق البنائي</w:t>
      </w:r>
      <w:r w:rsidRPr="007C2480">
        <w:rPr>
          <w:rFonts w:ascii="Traditional Arabic" w:hAnsi="Traditional Arabic" w:cs="Traditional Arabic"/>
          <w:lang w:bidi="ar"/>
        </w:rPr>
        <w:t xml:space="preserve"> (</w:t>
      </w:r>
      <w:r w:rsidRPr="007C2480">
        <w:rPr>
          <w:rFonts w:asciiTheme="majorBidi" w:hAnsiTheme="majorBidi" w:cstheme="majorBidi"/>
          <w:lang w:bidi="ar"/>
        </w:rPr>
        <w:t>EFA</w:t>
      </w:r>
      <w:r w:rsidRPr="007C2480">
        <w:rPr>
          <w:rFonts w:ascii="Traditional Arabic" w:hAnsi="Traditional Arabic" w:cs="Traditional Arabic"/>
          <w:lang w:bidi="ar"/>
        </w:rPr>
        <w:t xml:space="preserve">) </w:t>
      </w:r>
      <w:r w:rsidRPr="007C2480">
        <w:rPr>
          <w:rFonts w:ascii="Traditional Arabic" w:hAnsi="Traditional Arabic" w:cs="Traditional Arabic"/>
          <w:rtl/>
        </w:rPr>
        <w:t>ثم الارتباط والانحدار لاختبار الفرضيات. توصلت النتائج إلى: (1) وجود أثر إيجابي دال للتحول الرقمي في ممارسات الموارد البشرية على رضا الموظفين؛ و(2) أن تبني الأدوات الرقمية يدعم بيئة عمل أكثر مساندة ويُسهم في تبسيط عمليات الموارد البشرية، مع بروز تحديات مقاومة التغيير والحاجة إلى برامج تدريب شاملة كمتطلبات نجاح</w:t>
      </w:r>
      <w:r w:rsidRPr="007C2480">
        <w:rPr>
          <w:rFonts w:ascii="Traditional Arabic" w:hAnsi="Traditional Arabic" w:cs="Traditional Arabic"/>
          <w:lang w:bidi="ar"/>
        </w:rPr>
        <w:t>.</w:t>
      </w:r>
    </w:p>
    <w:p w14:paraId="0C3CA02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Tzavella</w:t>
      </w:r>
      <w:proofErr w:type="spellEnd"/>
      <w:r w:rsidRPr="007C2480">
        <w:rPr>
          <w:rFonts w:asciiTheme="majorBidi" w:hAnsiTheme="majorBidi" w:cstheme="majorBidi"/>
          <w:lang w:bidi="ar"/>
        </w:rPr>
        <w:t xml:space="preserve"> et al., 2025) </w:t>
      </w:r>
      <w:r w:rsidRPr="007C2480">
        <w:rPr>
          <w:rFonts w:asciiTheme="majorBidi" w:hAnsiTheme="majorBidi" w:cstheme="majorBidi"/>
          <w:rtl/>
          <w:lang w:bidi="ar"/>
        </w:rPr>
        <w:t>بعنوان</w:t>
      </w:r>
      <w:r w:rsidRPr="007C2480">
        <w:rPr>
          <w:rFonts w:asciiTheme="majorBidi" w:hAnsiTheme="majorBidi" w:cstheme="majorBidi"/>
          <w:lang w:bidi="ar"/>
        </w:rPr>
        <w:t>: “Measuring Job Satisfaction of Government Employees and the Impact of Digital Transformation in the Public Sector”.</w:t>
      </w:r>
    </w:p>
    <w:p w14:paraId="0CD94BE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الدراسة إلى: (1) استكشاف العلاقة بين التحول الرقمي في القطاع العام والرضا الوظيفي للعاملين بالإدارة العامة؛ و(2) تقييم رضا الموظفين عن جهود التحديث الرقمي (وخاصة التدريب والمهارات الرقمية وفاعلية الأنظمة الرقمية في تحسين الإنتاجية)، إضافة إلى (3) اختبار الترابط بين مجموعة معايير/مجالات للتحول الرقمي (مثل الموارد البشرية، التدريب والتطوير، الإجراءات الإدارية، المهارات الرقمية)؛ و(4) فحص تصورات الموظفين حول جاهزية البنية والموارد والدعم التنظيمي لنجاح التحول. شمل مجتمع الدراسة </w:t>
      </w:r>
      <w:r w:rsidRPr="007C2480">
        <w:rPr>
          <w:rFonts w:asciiTheme="majorBidi" w:hAnsiTheme="majorBidi" w:cstheme="majorBidi"/>
          <w:lang w:bidi="ar"/>
        </w:rPr>
        <w:t>750</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موظفًا (موظفون دائمون ومؤقتون…)، وبلغت العينة </w:t>
      </w:r>
      <w:r w:rsidRPr="007C2480">
        <w:rPr>
          <w:rFonts w:ascii="Traditional Arabic" w:hAnsi="Traditional Arabic" w:cs="Traditional Arabic"/>
          <w:lang w:bidi="ar"/>
        </w:rPr>
        <w:t xml:space="preserve">206 </w:t>
      </w:r>
      <w:r w:rsidRPr="007C2480">
        <w:rPr>
          <w:rFonts w:ascii="Traditional Arabic" w:hAnsi="Traditional Arabic" w:cs="Traditional Arabic"/>
          <w:rtl/>
        </w:rPr>
        <w:t>استبانة جُمعت عبر استبانة إلكترونية</w:t>
      </w:r>
      <w:r w:rsidRPr="007C2480">
        <w:rPr>
          <w:rFonts w:ascii="Traditional Arabic" w:hAnsi="Traditional Arabic" w:cs="Traditional Arabic"/>
          <w:lang w:bidi="ar"/>
        </w:rPr>
        <w:t xml:space="preserve"> (</w:t>
      </w:r>
      <w:r w:rsidRPr="007C2480">
        <w:rPr>
          <w:rFonts w:asciiTheme="majorBidi" w:hAnsiTheme="majorBidi" w:cstheme="majorBidi"/>
          <w:lang w:bidi="ar"/>
        </w:rPr>
        <w:t>Google</w:t>
      </w:r>
      <w:r w:rsidRPr="007C2480">
        <w:rPr>
          <w:rFonts w:ascii="Traditional Arabic" w:hAnsi="Traditional Arabic" w:cs="Traditional Arabic"/>
          <w:lang w:bidi="ar"/>
        </w:rPr>
        <w:t xml:space="preserve"> </w:t>
      </w:r>
      <w:r w:rsidRPr="007C2480">
        <w:rPr>
          <w:rFonts w:asciiTheme="majorBidi" w:hAnsiTheme="majorBidi" w:cstheme="majorBidi"/>
          <w:lang w:bidi="ar"/>
        </w:rPr>
        <w:t>Forms</w:t>
      </w:r>
      <w:r w:rsidRPr="007C2480">
        <w:rPr>
          <w:rFonts w:ascii="Traditional Arabic" w:hAnsi="Traditional Arabic" w:cs="Traditional Arabic"/>
          <w:lang w:bidi="ar"/>
        </w:rPr>
        <w:t xml:space="preserve">) </w:t>
      </w:r>
      <w:r w:rsidRPr="007C2480">
        <w:rPr>
          <w:rFonts w:ascii="Traditional Arabic" w:hAnsi="Traditional Arabic" w:cs="Traditional Arabic"/>
          <w:rtl/>
        </w:rPr>
        <w:t>مع عينة عشوائية بسيطة. استخدمت الدراسة تحليلات وصفية، واختبار الثبات</w:t>
      </w:r>
      <w:r w:rsidRPr="007C2480">
        <w:rPr>
          <w:rFonts w:ascii="Traditional Arabic" w:hAnsi="Traditional Arabic" w:cs="Traditional Arabic"/>
          <w:lang w:bidi="ar"/>
        </w:rPr>
        <w:t xml:space="preserve"> (Cronbach’s </w:t>
      </w:r>
      <w:r w:rsidRPr="007C2480">
        <w:rPr>
          <w:rFonts w:asciiTheme="majorBidi" w:hAnsiTheme="majorBidi" w:cstheme="majorBidi"/>
          <w:lang w:bidi="ar"/>
        </w:rPr>
        <w:t>Alpha</w:t>
      </w:r>
      <w:r w:rsidRPr="007C2480">
        <w:rPr>
          <w:rFonts w:ascii="Traditional Arabic" w:hAnsi="Traditional Arabic" w:cs="Traditional Arabic"/>
          <w:lang w:bidi="ar"/>
        </w:rPr>
        <w:t>)</w:t>
      </w:r>
      <w:r w:rsidRPr="007C2480">
        <w:rPr>
          <w:rFonts w:ascii="Traditional Arabic" w:hAnsi="Traditional Arabic" w:cs="Traditional Arabic"/>
          <w:rtl/>
        </w:rPr>
        <w:t xml:space="preserve">، وتحليل الارتباط. أظهرت النتائج: (1) اتجاهًا محايدًا إلى إيجابي قليلًا نحو استخدام تقنيات المعلومات والاتصالات </w:t>
      </w:r>
      <w:r w:rsidRPr="007C2480">
        <w:rPr>
          <w:rFonts w:ascii="Traditional Arabic" w:hAnsi="Traditional Arabic" w:cs="Traditional Arabic"/>
          <w:rtl/>
        </w:rPr>
        <w:lastRenderedPageBreak/>
        <w:t xml:space="preserve">ومستوى التحديث الرقمي؛ و(2) وجود ارتباطات دالة إحصائيًا بين مجالات التحول الرقمي الأربعة، مع أعلى ارتباط بين “الشراكات والموارد” و“الموارد البشرية”؛ و(3) </w:t>
      </w:r>
      <w:proofErr w:type="spellStart"/>
      <w:r w:rsidRPr="007C2480">
        <w:rPr>
          <w:rFonts w:ascii="Traditional Arabic" w:hAnsi="Traditional Arabic" w:cs="Traditional Arabic"/>
          <w:rtl/>
        </w:rPr>
        <w:t>رضاًا</w:t>
      </w:r>
      <w:proofErr w:type="spellEnd"/>
      <w:r w:rsidRPr="007C2480">
        <w:rPr>
          <w:rFonts w:ascii="Traditional Arabic" w:hAnsi="Traditional Arabic" w:cs="Traditional Arabic"/>
          <w:rtl/>
        </w:rPr>
        <w:t xml:space="preserve"> متوسطًا عن التدريب، مع انخفاض بعض بنود التدريب دون منتصف المقياس؛ و(4) اتفاقًا قويًا على مساهمة تقنيات المعلومات والاتصالات في رفع الكفاءة والإنتاجية، مع تحديد عوائق مثل نقص الوقت/الدافعية لحضور التدريب</w:t>
      </w:r>
      <w:r w:rsidRPr="007C2480">
        <w:rPr>
          <w:rFonts w:ascii="Traditional Arabic" w:hAnsi="Traditional Arabic" w:cs="Traditional Arabic"/>
          <w:lang w:bidi="ar"/>
        </w:rPr>
        <w:t>.</w:t>
      </w:r>
    </w:p>
    <w:p w14:paraId="074235FD" w14:textId="77777777" w:rsidR="00B64312" w:rsidRPr="007C2480" w:rsidRDefault="00B64312" w:rsidP="00EB0259">
      <w:pPr>
        <w:bidi/>
        <w:spacing w:after="160" w:line="360" w:lineRule="auto"/>
        <w:divId w:val="1647278641"/>
        <w:rPr>
          <w:rFonts w:asciiTheme="majorBidi" w:hAnsiTheme="majorBidi" w:cstheme="majorBidi"/>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Khuc</w:t>
      </w:r>
      <w:proofErr w:type="spellEnd"/>
      <w:r w:rsidRPr="007C2480">
        <w:rPr>
          <w:rFonts w:asciiTheme="majorBidi" w:hAnsiTheme="majorBidi" w:cstheme="majorBidi"/>
          <w:lang w:bidi="ar"/>
        </w:rPr>
        <w:t xml:space="preserve"> &amp; Nguyen, 2025) </w:t>
      </w:r>
      <w:r w:rsidRPr="007C2480">
        <w:rPr>
          <w:rFonts w:asciiTheme="majorBidi" w:hAnsiTheme="majorBidi" w:cstheme="majorBidi"/>
          <w:rtl/>
          <w:lang w:bidi="ar"/>
        </w:rPr>
        <w:t>بعنوان</w:t>
      </w:r>
      <w:r w:rsidRPr="007C2480">
        <w:rPr>
          <w:rFonts w:asciiTheme="majorBidi" w:hAnsiTheme="majorBidi" w:cstheme="majorBidi"/>
          <w:lang w:bidi="ar"/>
        </w:rPr>
        <w:t>: “The impact of digital transformation on job performance: The mediating role of job satisfaction and work pressure”.</w:t>
      </w:r>
    </w:p>
    <w:p w14:paraId="121DE68E"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هدفت الدراسة إلى: (1) تقييم أثر التحول الرقمي على الأداء الوظيفي؛ و(2) اختبار قناتين غير مباشرتين عبر الرضا الوظيفي وضغط العمل</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تمثل مجتمع الدراسة في محاضرين يعملون في كليات/جامعات بمدينة هو تشي منه، وبلغت العينة </w:t>
      </w:r>
      <w:r w:rsidRPr="007C2480">
        <w:rPr>
          <w:rFonts w:ascii="Traditional Arabic" w:hAnsi="Traditional Arabic" w:cs="Traditional Arabic"/>
          <w:lang w:bidi="ar"/>
        </w:rPr>
        <w:t xml:space="preserve">242 </w:t>
      </w:r>
      <w:r w:rsidRPr="007C2480">
        <w:rPr>
          <w:rFonts w:ascii="Traditional Arabic" w:hAnsi="Traditional Arabic" w:cs="Traditional Arabic"/>
          <w:rtl/>
        </w:rPr>
        <w:t>محاضرًا</w:t>
      </w:r>
      <w:r w:rsidRPr="007C2480">
        <w:rPr>
          <w:rFonts w:ascii="Traditional Arabic" w:hAnsi="Traditional Arabic" w:cs="Traditional Arabic"/>
          <w:lang w:bidi="ar"/>
        </w:rPr>
        <w:t xml:space="preserve">. </w:t>
      </w:r>
      <w:r w:rsidRPr="007C2480">
        <w:rPr>
          <w:rFonts w:ascii="Traditional Arabic" w:hAnsi="Traditional Arabic" w:cs="Traditional Arabic"/>
          <w:rtl/>
        </w:rPr>
        <w:t>استخدمت الدراسة المنهج الكمي باستبانة، وتحليلًا باستخدام</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SmartPLS</w:t>
      </w:r>
      <w:proofErr w:type="spellEnd"/>
      <w:r w:rsidRPr="007C2480">
        <w:rPr>
          <w:rFonts w:ascii="Traditional Arabic" w:hAnsi="Traditional Arabic" w:cs="Traditional Arabic"/>
          <w:lang w:bidi="ar"/>
        </w:rPr>
        <w:t xml:space="preserve">. </w:t>
      </w:r>
      <w:r w:rsidRPr="007C2480">
        <w:rPr>
          <w:rFonts w:ascii="Traditional Arabic" w:hAnsi="Traditional Arabic" w:cs="Traditional Arabic"/>
          <w:rtl/>
        </w:rPr>
        <w:t>خلصت النتائج إلى: (1) وجود أثر مباشر للتحول الرقمي على الأداء الوظيفي؛ و(2) وجود أثر غير مباشر عبر قناتين: التحول الرقمي يرفع الرضا الوظيفي بما يحسن الأداء، ويخفض ضغط العمل بما يحسن الأداء</w:t>
      </w:r>
      <w:r w:rsidRPr="007C2480">
        <w:rPr>
          <w:rFonts w:ascii="Traditional Arabic" w:hAnsi="Traditional Arabic" w:cs="Traditional Arabic"/>
          <w:lang w:bidi="ar"/>
        </w:rPr>
        <w:t>.</w:t>
      </w:r>
    </w:p>
    <w:p w14:paraId="20229F8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Kadi</w:t>
      </w:r>
      <w:proofErr w:type="spellEnd"/>
      <w:r w:rsidRPr="007C2480">
        <w:rPr>
          <w:rFonts w:asciiTheme="majorBidi" w:hAnsiTheme="majorBidi" w:cstheme="majorBidi"/>
          <w:lang w:bidi="ar"/>
        </w:rPr>
        <w:t xml:space="preserve">, 2024) </w:t>
      </w:r>
      <w:r w:rsidRPr="007C2480">
        <w:rPr>
          <w:rFonts w:asciiTheme="majorBidi" w:hAnsiTheme="majorBidi" w:cstheme="majorBidi"/>
          <w:rtl/>
          <w:lang w:bidi="ar"/>
        </w:rPr>
        <w:t>بعنوان</w:t>
      </w:r>
      <w:r w:rsidRPr="007C2480">
        <w:rPr>
          <w:rFonts w:asciiTheme="majorBidi" w:hAnsiTheme="majorBidi" w:cstheme="majorBidi"/>
          <w:lang w:bidi="ar"/>
        </w:rPr>
        <w:t>: “Digital transformation and employee involvement: Employees’ perspective in Saudi Arabia’s public sector”.</w:t>
      </w:r>
    </w:p>
    <w:p w14:paraId="6B4F55AF"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الدراسة إلى: (1) استكشاف ممارسات مبادرات التحول الرقمي مع التركيز على إشراك الموظفين بوصفه عاملًا بشريًا حاسمًا في نجاح التحول؛ و(2) الإجابة عن سؤال بحثي حول كيفية تمكين ممارسات التحول الرقمي لمستوى إشراك الموظفين في القطاع العام. اعتمدت الدراسة منهجًا نوعيًا، وأُجريت </w:t>
      </w:r>
      <w:r w:rsidRPr="007C2480">
        <w:rPr>
          <w:rFonts w:ascii="Traditional Arabic" w:hAnsi="Traditional Arabic" w:cs="Traditional Arabic"/>
          <w:lang w:bidi="ar"/>
        </w:rPr>
        <w:t xml:space="preserve">20 </w:t>
      </w:r>
      <w:r w:rsidRPr="007C2480">
        <w:rPr>
          <w:rFonts w:ascii="Traditional Arabic" w:hAnsi="Traditional Arabic" w:cs="Traditional Arabic"/>
          <w:rtl/>
        </w:rPr>
        <w:t>مقابلة مع موظفين من قطاعات عامة مختلفة. وتوصلت النتائج إلى: (1) أن تطبيق التحول الرقمي يكون أقل جودة عندما لا يصل إشراك الموظفين إلى المستوى المطلوب؛ و(2) أن المشاركة اقتصرت في حالات على استبيانات بمراحل محددة مع استشارة المديرين فقط، وارتبط ذلك بتحديات مثل مقاومة التغيير وفجوة المهارات؛ وأكدت الدراسة أهمية إشراك الموظفين عبر مراحل التحول كافة لتقليل كلفة فشل مبادرات التحول</w:t>
      </w:r>
      <w:r w:rsidRPr="007C2480">
        <w:rPr>
          <w:rFonts w:ascii="Traditional Arabic" w:hAnsi="Traditional Arabic" w:cs="Traditional Arabic"/>
          <w:lang w:bidi="ar"/>
        </w:rPr>
        <w:t>.</w:t>
      </w:r>
    </w:p>
    <w:p w14:paraId="5D9711A2" w14:textId="77777777" w:rsidR="00B64312" w:rsidRPr="00DB3C7B" w:rsidRDefault="00B64312" w:rsidP="00EB0259">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تعليق تحليلي (محور التحول الرقمي المؤسسي)</w:t>
      </w:r>
      <w:r w:rsidRPr="00DB3C7B">
        <w:rPr>
          <w:rFonts w:ascii="Traditional Arabic" w:hAnsi="Traditional Arabic" w:cs="Traditional Arabic"/>
          <w:b/>
          <w:bCs/>
        </w:rPr>
        <w:t>:</w:t>
      </w:r>
    </w:p>
    <w:p w14:paraId="078C65D2"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تُظهر الدراسات الحديثة أن أثر التحول الرقمي على رضا الموظفين/الرضا الوظيفي ليس ميكانيكيًا، بل يتشكل وفق “كيفية” التطبيق و“نضج” بيئة التحول. فالدراسات التي ركزت على التحول الرقمي كحزمة ممارسات تنظيمية/إجرائية (مثل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في الموارد البشرية) قدمت دليلًا على آثار إيجابية على رضا الموظفين مع إبراز التدريب وإدارة التغيير كشرط داعم للفاعلية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Shibeika</w:t>
      </w:r>
      <w:proofErr w:type="spellEnd"/>
      <w:r w:rsidRPr="007C2480">
        <w:rPr>
          <w:rFonts w:ascii="Traditional Arabic" w:hAnsi="Traditional Arabic" w:cs="Traditional Arabic"/>
          <w:lang w:bidi="ar"/>
        </w:rPr>
        <w:t xml:space="preserve"> </w:t>
      </w:r>
      <w:r w:rsidRPr="007C2480">
        <w:rPr>
          <w:rFonts w:asciiTheme="majorBidi" w:hAnsiTheme="majorBidi" w:cstheme="majorBidi"/>
          <w:lang w:bidi="ar"/>
        </w:rPr>
        <w:t>et</w:t>
      </w:r>
      <w:r w:rsidRPr="007C2480">
        <w:rPr>
          <w:rFonts w:ascii="Traditional Arabic" w:hAnsi="Traditional Arabic" w:cs="Traditional Arabic"/>
          <w:lang w:bidi="ar"/>
        </w:rPr>
        <w:t xml:space="preserve"> </w:t>
      </w:r>
      <w:r w:rsidRPr="007C2480">
        <w:rPr>
          <w:rFonts w:asciiTheme="majorBidi" w:hAnsiTheme="majorBidi" w:cstheme="majorBidi"/>
          <w:lang w:bidi="ar"/>
        </w:rPr>
        <w:t>al</w:t>
      </w:r>
      <w:r w:rsidRPr="007C2480">
        <w:rPr>
          <w:rFonts w:ascii="Traditional Arabic" w:hAnsi="Traditional Arabic" w:cs="Traditional Arabic"/>
          <w:lang w:bidi="ar"/>
        </w:rPr>
        <w:t xml:space="preserve">., </w:t>
      </w:r>
      <w:r w:rsidRPr="007C2480">
        <w:rPr>
          <w:rFonts w:asciiTheme="majorBidi" w:hAnsiTheme="majorBidi" w:cstheme="majorBidi"/>
          <w:lang w:bidi="ar"/>
        </w:rPr>
        <w:t>2025</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كما تشير نتائج القطاع العام إلى أن الرضا عن التحول يتأثر بجودة التدريب وتطوير المهارات وبالترابط بين عناصر </w:t>
      </w:r>
      <w:r w:rsidRPr="007C2480">
        <w:rPr>
          <w:rFonts w:ascii="Traditional Arabic" w:hAnsi="Traditional Arabic" w:cs="Traditional Arabic"/>
          <w:rtl/>
        </w:rPr>
        <w:lastRenderedPageBreak/>
        <w:t>منظومة التحول (موارد بشرية/موارد/إجراءات/مهارات)، بما يدعم رؤية التحول الرقمي المؤسسي كبناء متعدد الأبعاد أقرب للمنظومة وليس لمجرد “تقنية</w:t>
      </w:r>
      <w:r w:rsidRPr="007C2480">
        <w:rPr>
          <w:rFonts w:ascii="Traditional Arabic" w:hAnsi="Traditional Arabic" w:cs="Traditional Arabic"/>
          <w:lang w:bidi="ar"/>
        </w:rPr>
        <w:t xml:space="preserve">” </w:t>
      </w:r>
      <w:r w:rsidRPr="007C2480">
        <w:rPr>
          <w:rFonts w:asciiTheme="majorBidi" w:hAnsiTheme="majorBidi" w:cstheme="majorBidi"/>
          <w:lang w:bidi="ar"/>
        </w:rPr>
        <w:t>(</w:t>
      </w:r>
      <w:proofErr w:type="spellStart"/>
      <w:r w:rsidRPr="007C2480">
        <w:rPr>
          <w:rFonts w:asciiTheme="majorBidi" w:hAnsiTheme="majorBidi" w:cstheme="majorBidi"/>
          <w:lang w:bidi="ar"/>
        </w:rPr>
        <w:t>Tzavella</w:t>
      </w:r>
      <w:proofErr w:type="spellEnd"/>
      <w:r w:rsidRPr="007C2480">
        <w:rPr>
          <w:rFonts w:asciiTheme="majorBidi" w:hAnsiTheme="majorBidi" w:cstheme="majorBidi"/>
          <w:lang w:bidi="ar"/>
        </w:rPr>
        <w:t xml:space="preserve"> et al., 2025).</w:t>
      </w:r>
      <w:r w:rsidRPr="007C2480">
        <w:rPr>
          <w:rFonts w:ascii="Traditional Arabic" w:hAnsi="Traditional Arabic" w:cs="Traditional Arabic"/>
          <w:lang w:bidi="ar"/>
        </w:rPr>
        <w:t xml:space="preserve"> </w:t>
      </w:r>
      <w:r w:rsidRPr="007C2480">
        <w:rPr>
          <w:rFonts w:ascii="Traditional Arabic" w:hAnsi="Traditional Arabic" w:cs="Traditional Arabic"/>
          <w:rtl/>
        </w:rPr>
        <w:t>وفي المقابل، تُظهر الأدلة أن التحول الرقمي قد يعمل أيضًا عبر مسارات تفسيرية (كالرضا وضغط العمل) للتأثير على مخرجات أخرى، ما يعزز منطق إدخال متغيرات وسيطة واختبار التأثيرات غير المباشرة بدل الاقتصار على الأثر المباشر</w:t>
      </w:r>
      <w:r w:rsidRPr="007C2480">
        <w:rPr>
          <w:rFonts w:asciiTheme="majorBidi" w:hAnsiTheme="majorBidi" w:cstheme="majorBidi"/>
          <w:lang w:bidi="ar"/>
        </w:rPr>
        <w:t xml:space="preserve"> (</w:t>
      </w:r>
      <w:proofErr w:type="spellStart"/>
      <w:r w:rsidRPr="007C2480">
        <w:rPr>
          <w:rFonts w:asciiTheme="majorBidi" w:hAnsiTheme="majorBidi" w:cstheme="majorBidi"/>
          <w:lang w:bidi="ar"/>
        </w:rPr>
        <w:t>Khuc</w:t>
      </w:r>
      <w:proofErr w:type="spellEnd"/>
      <w:r w:rsidRPr="007C2480">
        <w:rPr>
          <w:rFonts w:asciiTheme="majorBidi" w:hAnsiTheme="majorBidi" w:cstheme="majorBidi"/>
          <w:lang w:bidi="ar"/>
        </w:rPr>
        <w:t xml:space="preserve"> &amp; Nguyen, 2025)</w:t>
      </w:r>
      <w:r w:rsidRPr="007C2480">
        <w:rPr>
          <w:rFonts w:ascii="Traditional Arabic" w:hAnsi="Traditional Arabic" w:cs="Traditional Arabic"/>
          <w:lang w:bidi="ar"/>
        </w:rPr>
        <w:t>.</w:t>
      </w:r>
    </w:p>
    <w:p w14:paraId="695C2F93" w14:textId="77777777" w:rsidR="00C37F6C" w:rsidRDefault="00C37F6C" w:rsidP="00EB0259">
      <w:pPr>
        <w:bidi/>
        <w:spacing w:after="160" w:line="360" w:lineRule="auto"/>
        <w:divId w:val="1647278641"/>
        <w:rPr>
          <w:rFonts w:ascii="Traditional Arabic" w:hAnsi="Traditional Arabic" w:cs="Traditional Arabic"/>
          <w:b/>
          <w:bCs/>
          <w:rtl/>
        </w:rPr>
      </w:pPr>
    </w:p>
    <w:p w14:paraId="302AE755" w14:textId="64213787" w:rsidR="00B64312" w:rsidRPr="00DB3C7B" w:rsidRDefault="00B64312" w:rsidP="00C37F6C">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دراسات المتغيرات الوسيطة</w:t>
      </w:r>
    </w:p>
    <w:p w14:paraId="78F96AA3" w14:textId="77777777" w:rsidR="00B64312" w:rsidRPr="00DB3C7B" w:rsidRDefault="00B64312" w:rsidP="00EB0259">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دراسات قبول التقنية</w:t>
      </w:r>
    </w:p>
    <w:p w14:paraId="137CE95A"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Badawy</w:t>
      </w:r>
      <w:proofErr w:type="spellEnd"/>
      <w:r w:rsidRPr="007C2480">
        <w:rPr>
          <w:rFonts w:asciiTheme="majorBidi" w:hAnsiTheme="majorBidi" w:cstheme="majorBidi"/>
          <w:lang w:bidi="ar"/>
        </w:rPr>
        <w:t xml:space="preserve">, 2025) </w:t>
      </w:r>
      <w:r w:rsidRPr="007C2480">
        <w:rPr>
          <w:rFonts w:asciiTheme="majorBidi" w:hAnsiTheme="majorBidi" w:cstheme="majorBidi"/>
          <w:rtl/>
          <w:lang w:bidi="ar"/>
        </w:rPr>
        <w:t>بعنوان</w:t>
      </w:r>
      <w:r w:rsidRPr="007C2480">
        <w:rPr>
          <w:rFonts w:asciiTheme="majorBidi" w:hAnsiTheme="majorBidi" w:cstheme="majorBidi"/>
          <w:lang w:bidi="ar"/>
        </w:rPr>
        <w:t>: “The Effect of Perceived Ease of Use and Usefulness of HRIS on Employee Satisfaction and Engagement in Real Estate and Construction Sector in Egypt”.</w:t>
      </w:r>
    </w:p>
    <w:p w14:paraId="3A10D82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هدفت الدراسة إلى: (1) اختبار أثر المنفعة المتصورة</w:t>
      </w:r>
      <w:r w:rsidRPr="007C2480">
        <w:rPr>
          <w:rFonts w:ascii="Traditional Arabic" w:hAnsi="Traditional Arabic" w:cs="Traditional Arabic"/>
          <w:lang w:bidi="ar"/>
        </w:rPr>
        <w:t xml:space="preserve"> (PU) </w:t>
      </w:r>
      <w:r w:rsidRPr="007C2480">
        <w:rPr>
          <w:rFonts w:ascii="Traditional Arabic" w:hAnsi="Traditional Arabic" w:cs="Traditional Arabic"/>
          <w:rtl/>
        </w:rPr>
        <w:t>وسهولة الاستخدام المتصورة</w:t>
      </w:r>
      <w:r w:rsidRPr="007C2480">
        <w:rPr>
          <w:rFonts w:ascii="Traditional Arabic" w:hAnsi="Traditional Arabic" w:cs="Traditional Arabic"/>
          <w:lang w:bidi="ar"/>
        </w:rPr>
        <w:t xml:space="preserve"> (PEOU) </w:t>
      </w:r>
      <w:r w:rsidRPr="007C2480">
        <w:rPr>
          <w:rFonts w:ascii="Traditional Arabic" w:hAnsi="Traditional Arabic" w:cs="Traditional Arabic"/>
          <w:rtl/>
        </w:rPr>
        <w:t>لنظم معلومات الموارد البشرية</w:t>
      </w:r>
      <w:r w:rsidRPr="007C2480">
        <w:rPr>
          <w:rFonts w:ascii="Traditional Arabic" w:hAnsi="Traditional Arabic" w:cs="Traditional Arabic"/>
          <w:lang w:bidi="ar"/>
        </w:rPr>
        <w:t xml:space="preserve"> (HRIS) </w:t>
      </w:r>
      <w:r w:rsidRPr="007C2480">
        <w:rPr>
          <w:rFonts w:ascii="Traditional Arabic" w:hAnsi="Traditional Arabic" w:cs="Traditional Arabic"/>
          <w:rtl/>
        </w:rPr>
        <w:t xml:space="preserve">على رضا الموظفين؛ و(2) اختبار أثر هذين البعدين على اندماج الموظفين/مشاركتهم. استهدفت الدراسة موظفين في قطاع العقارات والإنشاءات في مصر، وبلغت عينة الدراسة </w:t>
      </w:r>
      <w:r w:rsidRPr="007C2480">
        <w:rPr>
          <w:rFonts w:ascii="Traditional Arabic" w:hAnsi="Traditional Arabic" w:cs="Traditional Arabic"/>
          <w:lang w:bidi="ar"/>
        </w:rPr>
        <w:t xml:space="preserve">384 </w:t>
      </w:r>
      <w:r w:rsidRPr="007C2480">
        <w:rPr>
          <w:rFonts w:ascii="Traditional Arabic" w:hAnsi="Traditional Arabic" w:cs="Traditional Arabic"/>
          <w:rtl/>
        </w:rPr>
        <w:t>موظفًا (طريقة اختيار العينة: لم تُذكر تفصيليًا في الملخص سوى الإشارة إلى معايير اختيار). استخدمت الدراسة منهجًا كميًا (وصفيًا ارتباطيًا) مع تحليلات ارتباط وانحدار لاختبار العلاقات. توصلت النتائج إلى: (1) أثر إيجابي دال لكل من</w:t>
      </w:r>
      <w:r w:rsidRPr="007C2480">
        <w:rPr>
          <w:rFonts w:ascii="Traditional Arabic" w:hAnsi="Traditional Arabic" w:cs="Traditional Arabic"/>
          <w:lang w:bidi="ar"/>
        </w:rPr>
        <w:t xml:space="preserve"> PU </w:t>
      </w:r>
      <w:r w:rsidRPr="007C2480">
        <w:rPr>
          <w:rFonts w:ascii="Traditional Arabic" w:hAnsi="Traditional Arabic" w:cs="Traditional Arabic"/>
          <w:rtl/>
        </w:rPr>
        <w:t>و</w:t>
      </w:r>
      <w:r w:rsidRPr="007C2480">
        <w:rPr>
          <w:rFonts w:ascii="Traditional Arabic" w:hAnsi="Traditional Arabic" w:cs="Traditional Arabic"/>
          <w:lang w:bidi="ar"/>
        </w:rPr>
        <w:t xml:space="preserve">PEOU </w:t>
      </w:r>
      <w:r w:rsidRPr="007C2480">
        <w:rPr>
          <w:rFonts w:ascii="Traditional Arabic" w:hAnsi="Traditional Arabic" w:cs="Traditional Arabic"/>
          <w:rtl/>
        </w:rPr>
        <w:t>على رضا الموظفين؛ و(2) أثر إيجابي دال لهما على اندماج الموظفين، بما يعني أن كفاءة النظام وسهولة استخدامه ترتبطان بتحسين خبرة الموظف ورضاه</w:t>
      </w:r>
      <w:r w:rsidRPr="007C2480">
        <w:rPr>
          <w:rFonts w:ascii="Traditional Arabic" w:hAnsi="Traditional Arabic" w:cs="Traditional Arabic"/>
          <w:lang w:bidi="ar"/>
        </w:rPr>
        <w:t>.</w:t>
      </w:r>
    </w:p>
    <w:p w14:paraId="3341C57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Mutambik</w:t>
      </w:r>
      <w:proofErr w:type="spellEnd"/>
      <w:r w:rsidRPr="007C2480">
        <w:rPr>
          <w:rFonts w:asciiTheme="majorBidi" w:hAnsiTheme="majorBidi" w:cstheme="majorBidi"/>
          <w:lang w:bidi="ar"/>
        </w:rPr>
        <w:t xml:space="preserve"> &amp; </w:t>
      </w:r>
      <w:proofErr w:type="spellStart"/>
      <w:r w:rsidRPr="007C2480">
        <w:rPr>
          <w:rFonts w:asciiTheme="majorBidi" w:hAnsiTheme="majorBidi" w:cstheme="majorBidi"/>
          <w:lang w:bidi="ar"/>
        </w:rPr>
        <w:t>Almuqrin</w:t>
      </w:r>
      <w:proofErr w:type="spellEnd"/>
      <w:r w:rsidRPr="007C2480">
        <w:rPr>
          <w:rFonts w:asciiTheme="majorBidi" w:hAnsiTheme="majorBidi" w:cstheme="majorBidi"/>
          <w:lang w:bidi="ar"/>
        </w:rPr>
        <w:t xml:space="preserve">, 2024) </w:t>
      </w:r>
      <w:r w:rsidRPr="007C2480">
        <w:rPr>
          <w:rFonts w:asciiTheme="majorBidi" w:hAnsiTheme="majorBidi" w:cstheme="majorBidi"/>
          <w:rtl/>
          <w:lang w:bidi="ar"/>
        </w:rPr>
        <w:t>بعنوان</w:t>
      </w:r>
      <w:r w:rsidRPr="007C2480">
        <w:rPr>
          <w:rFonts w:asciiTheme="majorBidi" w:hAnsiTheme="majorBidi" w:cstheme="majorBidi"/>
          <w:lang w:bidi="ar"/>
        </w:rPr>
        <w:t>: “Employee Acceptance of Digital Transformation: A Study in a Smart City Context”.</w:t>
      </w:r>
    </w:p>
    <w:p w14:paraId="7D41F40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الدراسة إلى: (1) تحديد العوامل الأكثر تأثيرًا في قبول الموظفين للتحول الرقمي في سياق المدن الذكية؛ و(2) بناء/اختبار نموذج يضم عوامل داخلية وخارجية تؤثر في نية قبول التحول الرقمي. جُمعت البيانات عبر استبانة إلكترونية من </w:t>
      </w:r>
      <w:r w:rsidRPr="007C2480">
        <w:rPr>
          <w:rFonts w:ascii="Traditional Arabic" w:hAnsi="Traditional Arabic" w:cs="Traditional Arabic"/>
          <w:lang w:bidi="ar"/>
        </w:rPr>
        <w:t xml:space="preserve">1180 </w:t>
      </w:r>
      <w:r w:rsidRPr="007C2480">
        <w:rPr>
          <w:rFonts w:ascii="Traditional Arabic" w:hAnsi="Traditional Arabic" w:cs="Traditional Arabic"/>
          <w:rtl/>
        </w:rPr>
        <w:t xml:space="preserve">موظفًا في </w:t>
      </w:r>
      <w:r w:rsidRPr="007C2480">
        <w:rPr>
          <w:rFonts w:ascii="Traditional Arabic" w:hAnsi="Traditional Arabic" w:cs="Traditional Arabic"/>
          <w:lang w:bidi="ar"/>
        </w:rPr>
        <w:t xml:space="preserve">10 </w:t>
      </w:r>
      <w:r w:rsidRPr="007C2480">
        <w:rPr>
          <w:rFonts w:ascii="Traditional Arabic" w:hAnsi="Traditional Arabic" w:cs="Traditional Arabic"/>
          <w:rtl/>
        </w:rPr>
        <w:t>مدن ذكية داخل المملكة العربية السعودية. استُخدم تحليل</w:t>
      </w:r>
      <w:r w:rsidRPr="007C2480">
        <w:rPr>
          <w:rFonts w:ascii="Traditional Arabic" w:hAnsi="Traditional Arabic" w:cs="Traditional Arabic"/>
          <w:lang w:bidi="ar"/>
        </w:rPr>
        <w:t xml:space="preserve"> </w:t>
      </w:r>
      <w:r w:rsidRPr="007C2480">
        <w:rPr>
          <w:rFonts w:asciiTheme="majorBidi" w:hAnsiTheme="majorBidi" w:cstheme="majorBidi"/>
          <w:lang w:bidi="ar"/>
        </w:rPr>
        <w:t>PLS</w:t>
      </w:r>
      <w:r w:rsidRPr="007C2480">
        <w:rPr>
          <w:rFonts w:ascii="Traditional Arabic" w:hAnsi="Traditional Arabic" w:cs="Traditional Arabic"/>
          <w:lang w:bidi="ar"/>
        </w:rPr>
        <w:t>-</w:t>
      </w:r>
      <w:r w:rsidRPr="007C2480">
        <w:rPr>
          <w:rFonts w:asciiTheme="majorBidi" w:hAnsiTheme="majorBidi" w:cstheme="majorBidi"/>
          <w:lang w:bidi="ar"/>
        </w:rPr>
        <w:t>SEM</w:t>
      </w:r>
      <w:r w:rsidRPr="007C2480">
        <w:rPr>
          <w:rFonts w:ascii="Traditional Arabic" w:hAnsi="Traditional Arabic" w:cs="Traditional Arabic"/>
          <w:rtl/>
        </w:rPr>
        <w:t>، مع فحوصات ملاءمة/صحة القياس</w:t>
      </w:r>
      <w:r w:rsidRPr="007C2480">
        <w:rPr>
          <w:rFonts w:ascii="Traditional Arabic" w:hAnsi="Traditional Arabic" w:cs="Traditional Arabic"/>
          <w:lang w:bidi="ar"/>
        </w:rPr>
        <w:t xml:space="preserve"> (</w:t>
      </w:r>
      <w:r w:rsidRPr="007C2480">
        <w:rPr>
          <w:rFonts w:ascii="Traditional Arabic" w:hAnsi="Traditional Arabic" w:cs="Traditional Arabic"/>
          <w:rtl/>
        </w:rPr>
        <w:t>مثل</w:t>
      </w:r>
      <w:r w:rsidRPr="007C2480">
        <w:rPr>
          <w:rFonts w:ascii="Traditional Arabic" w:hAnsi="Traditional Arabic" w:cs="Traditional Arabic"/>
          <w:lang w:bidi="ar"/>
        </w:rPr>
        <w:t xml:space="preserve"> </w:t>
      </w:r>
      <w:r w:rsidRPr="007C2480">
        <w:rPr>
          <w:rFonts w:asciiTheme="majorBidi" w:hAnsiTheme="majorBidi" w:cstheme="majorBidi"/>
          <w:lang w:bidi="ar"/>
        </w:rPr>
        <w:t>KMO</w:t>
      </w:r>
      <w:r w:rsidRPr="007C2480">
        <w:rPr>
          <w:rFonts w:ascii="Traditional Arabic" w:hAnsi="Traditional Arabic" w:cs="Traditional Arabic"/>
          <w:lang w:bidi="ar"/>
        </w:rPr>
        <w:t xml:space="preserve"> </w:t>
      </w:r>
      <w:r w:rsidRPr="007C2480">
        <w:rPr>
          <w:rFonts w:asciiTheme="majorBidi" w:hAnsiTheme="majorBidi" w:cstheme="majorBidi"/>
          <w:rtl/>
          <w:lang w:bidi="ar"/>
        </w:rPr>
        <w:t>و</w:t>
      </w:r>
      <w:r w:rsidRPr="007C2480">
        <w:rPr>
          <w:rFonts w:asciiTheme="majorBidi" w:hAnsiTheme="majorBidi" w:cstheme="majorBidi"/>
          <w:lang w:bidi="ar"/>
        </w:rPr>
        <w:t>Bartlett</w:t>
      </w:r>
      <w:r w:rsidRPr="007C2480">
        <w:rPr>
          <w:rFonts w:ascii="Traditional Arabic" w:hAnsi="Traditional Arabic" w:cs="Traditional Arabic"/>
          <w:lang w:bidi="ar"/>
        </w:rPr>
        <w:t xml:space="preserve">) </w:t>
      </w:r>
      <w:r w:rsidRPr="007C2480">
        <w:rPr>
          <w:rFonts w:ascii="Traditional Arabic" w:hAnsi="Traditional Arabic" w:cs="Traditional Arabic"/>
          <w:rtl/>
        </w:rPr>
        <w:t>والتأكد من تحيز/تباين الطريقة المشتركة. أبرزت النتائج: (1) أن دعم الإدارة والمنافع المباشرة وغير المباشرة المتصورة ترتبط إيجابيًا بنية قبول التحول الرقمي؛ و(2) أن الجمود</w:t>
      </w:r>
      <w:r w:rsidRPr="007C2480">
        <w:rPr>
          <w:rFonts w:ascii="Traditional Arabic" w:hAnsi="Traditional Arabic" w:cs="Traditional Arabic"/>
          <w:lang w:bidi="ar"/>
        </w:rPr>
        <w:t xml:space="preserve"> (inertia) </w:t>
      </w:r>
      <w:r w:rsidRPr="007C2480">
        <w:rPr>
          <w:rFonts w:ascii="Traditional Arabic" w:hAnsi="Traditional Arabic" w:cs="Traditional Arabic"/>
          <w:rtl/>
        </w:rPr>
        <w:t>وتعقيد العمليات</w:t>
      </w:r>
      <w:r w:rsidRPr="007C2480">
        <w:rPr>
          <w:rFonts w:ascii="Traditional Arabic" w:hAnsi="Traditional Arabic" w:cs="Traditional Arabic"/>
          <w:lang w:bidi="ar"/>
        </w:rPr>
        <w:t xml:space="preserve"> (process complexity) </w:t>
      </w:r>
      <w:r w:rsidRPr="007C2480">
        <w:rPr>
          <w:rFonts w:ascii="Traditional Arabic" w:hAnsi="Traditional Arabic" w:cs="Traditional Arabic"/>
          <w:rtl/>
        </w:rPr>
        <w:t>يرتبطان سلبيًا بنية القبول، مع تفسير النموذج نسبة كبيرة من التباين في نية القبول (ذُكر 71.3%)</w:t>
      </w:r>
      <w:r w:rsidRPr="007C2480">
        <w:rPr>
          <w:rFonts w:ascii="Traditional Arabic" w:hAnsi="Traditional Arabic" w:cs="Traditional Arabic"/>
          <w:lang w:bidi="ar"/>
        </w:rPr>
        <w:t>.</w:t>
      </w:r>
    </w:p>
    <w:p w14:paraId="663C4D91"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lastRenderedPageBreak/>
        <w:t>دراسة</w:t>
      </w:r>
      <w:r w:rsidRPr="007C2480">
        <w:rPr>
          <w:rFonts w:ascii="Traditional Arabic" w:hAnsi="Traditional Arabic" w:cs="Traditional Arabic"/>
          <w:lang w:bidi="ar"/>
        </w:rPr>
        <w:t xml:space="preserve"> </w:t>
      </w:r>
      <w:r w:rsidRPr="007C2480">
        <w:rPr>
          <w:rFonts w:asciiTheme="majorBidi" w:hAnsiTheme="majorBidi" w:cstheme="majorBidi"/>
          <w:lang w:bidi="ar"/>
        </w:rPr>
        <w:t xml:space="preserve">(Jo &amp; Park, 2023) </w:t>
      </w:r>
      <w:r w:rsidRPr="007C2480">
        <w:rPr>
          <w:rFonts w:asciiTheme="majorBidi" w:hAnsiTheme="majorBidi" w:cstheme="majorBidi"/>
          <w:rtl/>
          <w:lang w:bidi="ar"/>
        </w:rPr>
        <w:t>بعنوان</w:t>
      </w:r>
      <w:r w:rsidRPr="007C2480">
        <w:rPr>
          <w:rFonts w:asciiTheme="majorBidi" w:hAnsiTheme="majorBidi" w:cstheme="majorBidi"/>
          <w:lang w:bidi="ar"/>
        </w:rPr>
        <w:t>: “Mechanisms for successful management of enterprise resource planning from user information processing and system quality perspective”.</w:t>
      </w:r>
    </w:p>
    <w:p w14:paraId="3278B261"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هدفت الدراسة إلى: (1) تقديم فهم تكاملي لمحددات رضا مستخدمي نظم</w:t>
      </w:r>
      <w:r w:rsidRPr="007C2480">
        <w:rPr>
          <w:rFonts w:ascii="Traditional Arabic" w:hAnsi="Traditional Arabic" w:cs="Traditional Arabic"/>
          <w:lang w:bidi="ar"/>
        </w:rPr>
        <w:t xml:space="preserve"> ERP </w:t>
      </w:r>
      <w:r w:rsidRPr="007C2480">
        <w:rPr>
          <w:rFonts w:ascii="Traditional Arabic" w:hAnsi="Traditional Arabic" w:cs="Traditional Arabic"/>
          <w:rtl/>
        </w:rPr>
        <w:t>عبر الجمع بين عوامل من نموذج نجاح نظم المعلومات وعوامل من نموذج</w:t>
      </w:r>
      <w:r w:rsidRPr="007C2480">
        <w:rPr>
          <w:rFonts w:ascii="Traditional Arabic" w:hAnsi="Traditional Arabic" w:cs="Traditional Arabic"/>
          <w:lang w:bidi="ar"/>
        </w:rPr>
        <w:t xml:space="preserve"> TAM </w:t>
      </w:r>
      <w:r w:rsidRPr="007C2480">
        <w:rPr>
          <w:rFonts w:ascii="Traditional Arabic" w:hAnsi="Traditional Arabic" w:cs="Traditional Arabic"/>
          <w:rtl/>
        </w:rPr>
        <w:t>وعامل المشاركة البشرية؛ و(2) اختبار الدور التعديلي لمشاركة المستخدم في العلاقة بين بعض المتغيرات</w:t>
      </w:r>
      <w:r w:rsidRPr="007C2480">
        <w:rPr>
          <w:rFonts w:ascii="Traditional Arabic" w:hAnsi="Traditional Arabic" w:cs="Traditional Arabic"/>
          <w:lang w:bidi="ar"/>
        </w:rPr>
        <w:t xml:space="preserve"> (</w:t>
      </w:r>
      <w:r w:rsidRPr="007C2480">
        <w:rPr>
          <w:rFonts w:ascii="Traditional Arabic" w:hAnsi="Traditional Arabic" w:cs="Traditional Arabic"/>
          <w:rtl/>
        </w:rPr>
        <w:t>مثل</w:t>
      </w:r>
      <w:r w:rsidRPr="007C2480">
        <w:rPr>
          <w:rFonts w:ascii="Traditional Arabic" w:hAnsi="Traditional Arabic" w:cs="Traditional Arabic"/>
          <w:lang w:bidi="ar"/>
        </w:rPr>
        <w:t xml:space="preserve"> </w:t>
      </w:r>
      <w:r w:rsidRPr="007C2480">
        <w:rPr>
          <w:rFonts w:asciiTheme="majorBidi" w:hAnsiTheme="majorBidi" w:cstheme="majorBidi"/>
          <w:lang w:bidi="ar"/>
        </w:rPr>
        <w:t>PU</w:t>
      </w:r>
      <w:r w:rsidRPr="007C2480">
        <w:rPr>
          <w:rFonts w:ascii="Traditional Arabic" w:hAnsi="Traditional Arabic" w:cs="Traditional Arabic"/>
          <w:lang w:bidi="ar"/>
        </w:rPr>
        <w:t xml:space="preserve"> </w:t>
      </w:r>
      <w:r w:rsidRPr="007C2480">
        <w:rPr>
          <w:rFonts w:asciiTheme="majorBidi" w:hAnsiTheme="majorBidi" w:cstheme="majorBidi"/>
          <w:rtl/>
          <w:lang w:bidi="ar"/>
        </w:rPr>
        <w:t>و</w:t>
      </w:r>
      <w:r w:rsidRPr="007C2480">
        <w:rPr>
          <w:rFonts w:asciiTheme="majorBidi" w:hAnsiTheme="majorBidi" w:cstheme="majorBidi"/>
          <w:lang w:bidi="ar"/>
        </w:rPr>
        <w:t>PEOU</w:t>
      </w:r>
      <w:r w:rsidRPr="007C2480">
        <w:rPr>
          <w:rFonts w:ascii="Traditional Arabic" w:hAnsi="Traditional Arabic" w:cs="Traditional Arabic"/>
          <w:lang w:bidi="ar"/>
        </w:rPr>
        <w:t xml:space="preserve"> </w:t>
      </w:r>
      <w:r w:rsidRPr="007C2480">
        <w:rPr>
          <w:rFonts w:ascii="Traditional Arabic" w:hAnsi="Traditional Arabic" w:cs="Traditional Arabic"/>
          <w:rtl/>
        </w:rPr>
        <w:t>وجودة الخدمة</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ورضا المستخدم؛ و(3) التركيز على رضا المستخدم بعد تطبيق النظام </w:t>
      </w:r>
      <w:r w:rsidRPr="007C2480">
        <w:rPr>
          <w:rFonts w:ascii="Traditional Arabic" w:hAnsi="Traditional Arabic" w:cs="Traditional Arabic"/>
          <w:lang w:bidi="ar"/>
        </w:rPr>
        <w:t>(</w:t>
      </w:r>
      <w:r w:rsidRPr="007C2480">
        <w:rPr>
          <w:rFonts w:asciiTheme="majorBidi" w:hAnsiTheme="majorBidi" w:cstheme="majorBidi"/>
          <w:lang w:bidi="ar"/>
        </w:rPr>
        <w:t>post</w:t>
      </w:r>
      <w:r w:rsidRPr="007C2480">
        <w:rPr>
          <w:rFonts w:ascii="Traditional Arabic" w:hAnsi="Traditional Arabic" w:cs="Traditional Arabic"/>
          <w:lang w:bidi="ar"/>
        </w:rPr>
        <w:t>-</w:t>
      </w:r>
      <w:r w:rsidRPr="007C2480">
        <w:rPr>
          <w:rFonts w:asciiTheme="majorBidi" w:hAnsiTheme="majorBidi" w:cstheme="majorBidi"/>
          <w:lang w:bidi="ar"/>
        </w:rPr>
        <w:t>implementation</w:t>
      </w:r>
      <w:r w:rsidRPr="007C2480">
        <w:rPr>
          <w:rFonts w:ascii="Traditional Arabic" w:hAnsi="Traditional Arabic" w:cs="Traditional Arabic"/>
          <w:lang w:bidi="ar"/>
        </w:rPr>
        <w:t xml:space="preserve">). </w:t>
      </w:r>
      <w:r w:rsidRPr="007C2480">
        <w:rPr>
          <w:rFonts w:ascii="Traditional Arabic" w:hAnsi="Traditional Arabic" w:cs="Traditional Arabic"/>
          <w:rtl/>
        </w:rPr>
        <w:t>تمثل مجتمع الدراسة في مستخدمي</w:t>
      </w:r>
      <w:r w:rsidRPr="007C2480">
        <w:rPr>
          <w:rFonts w:ascii="Traditional Arabic" w:hAnsi="Traditional Arabic" w:cs="Traditional Arabic"/>
          <w:lang w:bidi="ar"/>
        </w:rPr>
        <w:t xml:space="preserve"> ERP </w:t>
      </w:r>
      <w:r w:rsidRPr="007C2480">
        <w:rPr>
          <w:rFonts w:ascii="Traditional Arabic" w:hAnsi="Traditional Arabic" w:cs="Traditional Arabic"/>
          <w:rtl/>
        </w:rPr>
        <w:t xml:space="preserve">داخل شركة كبيرة لصناعة السفن والهندسة البحرية، وبلغت العينة </w:t>
      </w:r>
      <w:r w:rsidRPr="007C2480">
        <w:rPr>
          <w:rFonts w:ascii="Traditional Arabic" w:hAnsi="Traditional Arabic" w:cs="Traditional Arabic"/>
          <w:lang w:bidi="ar"/>
        </w:rPr>
        <w:t xml:space="preserve">234 </w:t>
      </w:r>
      <w:r w:rsidRPr="007C2480">
        <w:rPr>
          <w:rFonts w:ascii="Traditional Arabic" w:hAnsi="Traditional Arabic" w:cs="Traditional Arabic"/>
          <w:rtl/>
        </w:rPr>
        <w:t>مستخدمًا جُمعت بياناتهم عبر استبانة إلكترونية، وبعينة قصدية. استخدمت الدراسة</w:t>
      </w:r>
      <w:r w:rsidRPr="007C2480">
        <w:rPr>
          <w:rFonts w:ascii="Traditional Arabic" w:hAnsi="Traditional Arabic" w:cs="Traditional Arabic"/>
          <w:lang w:bidi="ar"/>
        </w:rPr>
        <w:t xml:space="preserve"> PLS-</w:t>
      </w:r>
      <w:r w:rsidRPr="007C2480">
        <w:rPr>
          <w:rFonts w:asciiTheme="majorBidi" w:hAnsiTheme="majorBidi" w:cstheme="majorBidi"/>
          <w:lang w:bidi="ar"/>
        </w:rPr>
        <w:t>SEM</w:t>
      </w:r>
      <w:r w:rsidRPr="007C2480">
        <w:rPr>
          <w:rFonts w:ascii="Traditional Arabic" w:hAnsi="Traditional Arabic" w:cs="Traditional Arabic"/>
          <w:lang w:bidi="ar"/>
        </w:rPr>
        <w:t xml:space="preserve">. </w:t>
      </w:r>
      <w:r w:rsidRPr="007C2480">
        <w:rPr>
          <w:rFonts w:ascii="Traditional Arabic" w:hAnsi="Traditional Arabic" w:cs="Traditional Arabic"/>
          <w:rtl/>
        </w:rPr>
        <w:t>توصلت النتائج إلى: (1) أثر إيجابي لكل من سهولة الاستخدام المتصورة وجودة النظام وجودة الخدمة ومشاركة المستخدم على رضا المستخدم؛ و(2) عدم دلالة أثر المنفعة المتصورة على الرضا في هذا السياق؛ و(3) أن مشاركة المستخدم خففت/عدلت (سلبًا) أثر المنفعة المتصورة على الرضا</w:t>
      </w:r>
      <w:r w:rsidRPr="007C2480">
        <w:rPr>
          <w:rFonts w:ascii="Traditional Arabic" w:hAnsi="Traditional Arabic" w:cs="Traditional Arabic"/>
          <w:lang w:bidi="ar"/>
        </w:rPr>
        <w:t>.</w:t>
      </w:r>
    </w:p>
    <w:p w14:paraId="5B6012FF" w14:textId="28900BCB" w:rsidR="00B64312" w:rsidRPr="007C2480" w:rsidRDefault="00B64312" w:rsidP="00EB0259">
      <w:pPr>
        <w:bidi/>
        <w:spacing w:after="160" w:line="360" w:lineRule="auto"/>
        <w:divId w:val="1647278641"/>
        <w:rPr>
          <w:rFonts w:ascii="Traditional Arabic" w:hAnsi="Traditional Arabic" w:cs="Traditional Arabic"/>
          <w:lang w:bidi="ar"/>
        </w:rPr>
      </w:pPr>
      <w:r w:rsidRPr="00DB3C7B">
        <w:rPr>
          <w:rFonts w:ascii="Traditional Arabic" w:hAnsi="Traditional Arabic" w:cs="Traditional Arabic"/>
          <w:b/>
          <w:bCs/>
          <w:rtl/>
        </w:rPr>
        <w:t>تعليق تحليلي</w:t>
      </w:r>
      <w:r w:rsidR="00C37F6C">
        <w:rPr>
          <w:rFonts w:ascii="Traditional Arabic" w:hAnsi="Traditional Arabic" w:cs="Traditional Arabic" w:hint="cs"/>
          <w:b/>
          <w:bCs/>
          <w:rtl/>
        </w:rPr>
        <w:t xml:space="preserve"> </w:t>
      </w:r>
      <w:r w:rsidRPr="00DB3C7B">
        <w:rPr>
          <w:rFonts w:ascii="Traditional Arabic" w:hAnsi="Traditional Arabic" w:cs="Traditional Arabic"/>
          <w:b/>
          <w:bCs/>
          <w:rtl/>
        </w:rPr>
        <w:t>محور قبول التقنية</w:t>
      </w:r>
      <w:r w:rsidRPr="007C2480">
        <w:rPr>
          <w:rFonts w:ascii="Traditional Arabic" w:hAnsi="Traditional Arabic" w:cs="Traditional Arabic"/>
          <w:lang w:bidi="ar"/>
        </w:rPr>
        <w:t xml:space="preserve"> </w:t>
      </w:r>
      <w:r w:rsidRPr="00DB3C7B">
        <w:rPr>
          <w:rFonts w:ascii="Traditional Arabic" w:hAnsi="Traditional Arabic" w:cs="Traditional Arabic"/>
          <w:b/>
          <w:bCs/>
        </w:rPr>
        <w:t>TAM</w:t>
      </w:r>
      <w:r w:rsidRPr="007C2480">
        <w:rPr>
          <w:rFonts w:ascii="Traditional Arabic" w:hAnsi="Traditional Arabic" w:cs="Traditional Arabic"/>
          <w:lang w:bidi="ar"/>
        </w:rPr>
        <w:t>:</w:t>
      </w:r>
    </w:p>
    <w:p w14:paraId="0FC59FB9"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تشير الأدلة الحديثة إلى أن قبول التقنية—سواء قيس عبر</w:t>
      </w:r>
      <w:r w:rsidRPr="007C2480">
        <w:rPr>
          <w:rFonts w:ascii="Traditional Arabic" w:hAnsi="Traditional Arabic" w:cs="Traditional Arabic"/>
          <w:lang w:bidi="ar"/>
        </w:rPr>
        <w:t xml:space="preserve"> </w:t>
      </w:r>
      <w:r w:rsidRPr="007C2480">
        <w:rPr>
          <w:rFonts w:asciiTheme="majorBidi" w:hAnsiTheme="majorBidi" w:cstheme="majorBidi"/>
          <w:lang w:bidi="ar"/>
        </w:rPr>
        <w:t>PU/PEOU</w:t>
      </w:r>
      <w:r w:rsidRPr="007C2480">
        <w:rPr>
          <w:rFonts w:ascii="Traditional Arabic" w:hAnsi="Traditional Arabic" w:cs="Traditional Arabic"/>
          <w:lang w:bidi="ar"/>
        </w:rPr>
        <w:t xml:space="preserve"> </w:t>
      </w:r>
      <w:r w:rsidRPr="007C2480">
        <w:rPr>
          <w:rFonts w:ascii="Traditional Arabic" w:hAnsi="Traditional Arabic" w:cs="Traditional Arabic"/>
          <w:rtl/>
        </w:rPr>
        <w:t>أو عبر نية القبول—يتأثر بقوة بعوامل تنظيمية (دعم الإدارة، جودة الخدمة، المشاركة، التدريب) وليس بخصائص النظام وحدها</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Mutambik</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Almuqrin</w:t>
      </w:r>
      <w:proofErr w:type="spellEnd"/>
      <w:r w:rsidRPr="007C2480">
        <w:rPr>
          <w:rFonts w:ascii="Traditional Arabic" w:hAnsi="Traditional Arabic" w:cs="Traditional Arabic"/>
          <w:lang w:bidi="ar"/>
        </w:rPr>
        <w:t>, 2024</w:t>
      </w:r>
      <w:r w:rsidRPr="007C2480">
        <w:rPr>
          <w:rFonts w:ascii="Traditional Arabic" w:hAnsi="Traditional Arabic" w:cs="Traditional Arabic"/>
          <w:rtl/>
        </w:rPr>
        <w:t>؛</w:t>
      </w:r>
      <w:r w:rsidRPr="007C2480">
        <w:rPr>
          <w:rFonts w:ascii="Traditional Arabic" w:hAnsi="Traditional Arabic" w:cs="Traditional Arabic"/>
          <w:lang w:bidi="ar"/>
        </w:rPr>
        <w:t xml:space="preserve"> Jo &amp; </w:t>
      </w:r>
      <w:r w:rsidRPr="007C2480">
        <w:rPr>
          <w:rFonts w:asciiTheme="majorBidi" w:hAnsiTheme="majorBidi" w:cstheme="majorBidi"/>
          <w:lang w:bidi="ar"/>
        </w:rPr>
        <w:t>Park,</w:t>
      </w:r>
      <w:r w:rsidRPr="007C2480">
        <w:rPr>
          <w:rFonts w:ascii="Traditional Arabic" w:hAnsi="Traditional Arabic" w:cs="Traditional Arabic"/>
          <w:lang w:bidi="ar"/>
        </w:rPr>
        <w:t xml:space="preserve"> 2023). </w:t>
      </w:r>
      <w:r w:rsidRPr="007C2480">
        <w:rPr>
          <w:rFonts w:ascii="Traditional Arabic" w:hAnsi="Traditional Arabic" w:cs="Traditional Arabic"/>
          <w:rtl/>
        </w:rPr>
        <w:t>كما أن ارتباط</w:t>
      </w:r>
      <w:r w:rsidRPr="007C2480">
        <w:rPr>
          <w:rFonts w:ascii="Traditional Arabic" w:hAnsi="Traditional Arabic" w:cs="Traditional Arabic"/>
          <w:lang w:bidi="ar"/>
        </w:rPr>
        <w:t xml:space="preserve"> </w:t>
      </w:r>
      <w:r w:rsidRPr="007C2480">
        <w:rPr>
          <w:rFonts w:asciiTheme="majorBidi" w:hAnsiTheme="majorBidi" w:cstheme="majorBidi"/>
          <w:lang w:bidi="ar"/>
        </w:rPr>
        <w:t>PU/PEOU</w:t>
      </w:r>
      <w:r w:rsidRPr="007C2480">
        <w:rPr>
          <w:rFonts w:ascii="Traditional Arabic" w:hAnsi="Traditional Arabic" w:cs="Traditional Arabic"/>
          <w:lang w:bidi="ar"/>
        </w:rPr>
        <w:t xml:space="preserve"> </w:t>
      </w:r>
      <w:r w:rsidRPr="007C2480">
        <w:rPr>
          <w:rFonts w:ascii="Traditional Arabic" w:hAnsi="Traditional Arabic" w:cs="Traditional Arabic"/>
          <w:rtl/>
        </w:rPr>
        <w:t>بمخرجات الموظف (مثل الرضا أو الاندماج) يظهر بصورة أوضح في نظم “خدمية/وظيفية” تمس تجربة الموظف اليومية (مثل</w:t>
      </w:r>
      <w:r w:rsidRPr="007C2480">
        <w:rPr>
          <w:rFonts w:ascii="Traditional Arabic" w:hAnsi="Traditional Arabic" w:cs="Traditional Arabic"/>
          <w:lang w:bidi="ar"/>
        </w:rPr>
        <w:t xml:space="preserve"> </w:t>
      </w:r>
      <w:r w:rsidRPr="007C2480">
        <w:rPr>
          <w:rFonts w:asciiTheme="majorBidi" w:hAnsiTheme="majorBidi" w:cstheme="majorBidi"/>
          <w:lang w:bidi="ar"/>
        </w:rPr>
        <w:t>HRIS</w:t>
      </w:r>
      <w:r w:rsidRPr="007C2480">
        <w:rPr>
          <w:rFonts w:ascii="Traditional Arabic" w:hAnsi="Traditional Arabic" w:cs="Traditional Arabic"/>
          <w:lang w:bidi="ar"/>
        </w:rPr>
        <w:t>) (</w:t>
      </w:r>
      <w:proofErr w:type="spellStart"/>
      <w:r w:rsidRPr="007C2480">
        <w:rPr>
          <w:rFonts w:asciiTheme="majorBidi" w:hAnsiTheme="majorBidi" w:cstheme="majorBidi"/>
          <w:lang w:bidi="ar"/>
        </w:rPr>
        <w:t>Badawy</w:t>
      </w:r>
      <w:proofErr w:type="spellEnd"/>
      <w:r w:rsidRPr="007C2480">
        <w:rPr>
          <w:rFonts w:ascii="Traditional Arabic" w:hAnsi="Traditional Arabic" w:cs="Traditional Arabic"/>
          <w:lang w:bidi="ar"/>
        </w:rPr>
        <w:t xml:space="preserve">, 2025). </w:t>
      </w:r>
      <w:r w:rsidRPr="007C2480">
        <w:rPr>
          <w:rFonts w:ascii="Traditional Arabic" w:hAnsi="Traditional Arabic" w:cs="Traditional Arabic"/>
          <w:rtl/>
        </w:rPr>
        <w:t xml:space="preserve">وتبرز هنا </w:t>
      </w:r>
      <w:bookmarkStart w:id="1" w:name="_GoBack"/>
      <w:r w:rsidRPr="007C2480">
        <w:rPr>
          <w:rFonts w:ascii="Traditional Arabic" w:hAnsi="Traditional Arabic" w:cs="Traditional Arabic"/>
          <w:rtl/>
        </w:rPr>
        <w:t>ملاحظة</w:t>
      </w:r>
      <w:bookmarkEnd w:id="1"/>
      <w:r w:rsidRPr="007C2480">
        <w:rPr>
          <w:rFonts w:ascii="Traditional Arabic" w:hAnsi="Traditional Arabic" w:cs="Traditional Arabic"/>
          <w:rtl/>
        </w:rPr>
        <w:t xml:space="preserve"> منهجية مهمة: جزء من أدبيات</w:t>
      </w:r>
      <w:r w:rsidRPr="007C2480">
        <w:rPr>
          <w:rFonts w:ascii="Traditional Arabic" w:hAnsi="Traditional Arabic" w:cs="Traditional Arabic"/>
          <w:lang w:bidi="ar"/>
        </w:rPr>
        <w:t xml:space="preserve"> TAM </w:t>
      </w:r>
      <w:r w:rsidRPr="007C2480">
        <w:rPr>
          <w:rFonts w:ascii="Traditional Arabic" w:hAnsi="Traditional Arabic" w:cs="Traditional Arabic"/>
          <w:rtl/>
        </w:rPr>
        <w:t>يركز على “رضا المستخدم عن النظام” وليس “الرضا الوظيفي” بوصفه اتجاهًا نحو العمل ككل، ما يفتح مجالًا بحثيًا للربط بين قبول التقنية (كتقييم للتقنية) والرضا الوظيفي (كتقييم للعمل) ضمن نموذج واحد وبسياق مؤسسات حكومية عالية الاعتماد على المنصات الرقمية</w:t>
      </w:r>
      <w:r w:rsidRPr="007C2480">
        <w:rPr>
          <w:rFonts w:ascii="Traditional Arabic" w:hAnsi="Traditional Arabic" w:cs="Traditional Arabic"/>
          <w:lang w:bidi="ar"/>
        </w:rPr>
        <w:t>.</w:t>
      </w:r>
    </w:p>
    <w:p w14:paraId="2C73C298" w14:textId="77777777" w:rsidR="00C37F6C" w:rsidRDefault="00C37F6C" w:rsidP="00EB0259">
      <w:pPr>
        <w:bidi/>
        <w:spacing w:after="160" w:line="360" w:lineRule="auto"/>
        <w:divId w:val="1647278641"/>
        <w:rPr>
          <w:rFonts w:ascii="Traditional Arabic" w:hAnsi="Traditional Arabic" w:cs="Traditional Arabic"/>
          <w:b/>
          <w:bCs/>
          <w:rtl/>
        </w:rPr>
      </w:pPr>
    </w:p>
    <w:p w14:paraId="2B8D42F1" w14:textId="43AF0586" w:rsidR="00B64312" w:rsidRPr="007C2480" w:rsidRDefault="00B64312" w:rsidP="00C37F6C">
      <w:pPr>
        <w:bidi/>
        <w:spacing w:after="160" w:line="360" w:lineRule="auto"/>
        <w:divId w:val="1647278641"/>
        <w:rPr>
          <w:rFonts w:ascii="Traditional Arabic" w:hAnsi="Traditional Arabic" w:cs="Traditional Arabic"/>
          <w:lang w:bidi="ar"/>
        </w:rPr>
      </w:pPr>
      <w:r w:rsidRPr="00DB3C7B">
        <w:rPr>
          <w:rFonts w:ascii="Traditional Arabic" w:hAnsi="Traditional Arabic" w:cs="Traditional Arabic"/>
          <w:b/>
          <w:bCs/>
          <w:rtl/>
        </w:rPr>
        <w:t>دراسات</w:t>
      </w:r>
      <w:r w:rsidRPr="007C2480">
        <w:rPr>
          <w:rFonts w:ascii="Traditional Arabic" w:hAnsi="Traditional Arabic" w:cs="Traditional Arabic"/>
          <w:rtl/>
        </w:rPr>
        <w:t xml:space="preserve"> </w:t>
      </w:r>
      <w:r w:rsidRPr="00DB3C7B">
        <w:rPr>
          <w:rFonts w:ascii="Traditional Arabic" w:hAnsi="Traditional Arabic" w:cs="Traditional Arabic"/>
          <w:b/>
          <w:bCs/>
          <w:rtl/>
        </w:rPr>
        <w:t>الإجهاد</w:t>
      </w:r>
      <w:r w:rsidRPr="007C2480">
        <w:rPr>
          <w:rFonts w:ascii="Traditional Arabic" w:hAnsi="Traditional Arabic" w:cs="Traditional Arabic"/>
          <w:rtl/>
        </w:rPr>
        <w:t xml:space="preserve"> </w:t>
      </w:r>
      <w:r w:rsidRPr="00DB3C7B">
        <w:rPr>
          <w:rFonts w:ascii="Traditional Arabic" w:hAnsi="Traditional Arabic" w:cs="Traditional Arabic"/>
          <w:b/>
          <w:bCs/>
          <w:rtl/>
        </w:rPr>
        <w:t>التقني</w:t>
      </w:r>
    </w:p>
    <w:p w14:paraId="654DDD02"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r w:rsidRPr="007C2480">
        <w:rPr>
          <w:rFonts w:asciiTheme="majorBidi" w:hAnsiTheme="majorBidi" w:cstheme="majorBidi"/>
          <w:lang w:bidi="ar"/>
        </w:rPr>
        <w:t xml:space="preserve">Tu et al., 2025) </w:t>
      </w:r>
      <w:r w:rsidRPr="007C2480">
        <w:rPr>
          <w:rFonts w:asciiTheme="majorBidi" w:hAnsiTheme="majorBidi" w:cstheme="majorBidi"/>
          <w:rtl/>
          <w:lang w:bidi="ar"/>
        </w:rPr>
        <w:t>بعنوان</w:t>
      </w:r>
      <w:r w:rsidRPr="007C2480">
        <w:rPr>
          <w:rFonts w:asciiTheme="majorBidi" w:hAnsiTheme="majorBidi" w:cstheme="majorBidi"/>
          <w:lang w:bidi="ar"/>
        </w:rPr>
        <w:t>: “Technostress, Burnout, and Job Satisfaction: An Empirical Study of STEM Teachers’ Well-Being and Performance”.</w:t>
      </w:r>
    </w:p>
    <w:p w14:paraId="77247E2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lastRenderedPageBreak/>
        <w:t>هدفت الدراسة إلى: (1) فحص مُسببات/صانعات الإجهاد التقني</w:t>
      </w:r>
      <w:r w:rsidRPr="007C2480">
        <w:rPr>
          <w:rFonts w:ascii="Traditional Arabic" w:hAnsi="Traditional Arabic" w:cs="Traditional Arabic"/>
          <w:lang w:bidi="ar"/>
        </w:rPr>
        <w:t xml:space="preserve"> (</w:t>
      </w:r>
      <w:r w:rsidRPr="007C2480">
        <w:rPr>
          <w:rFonts w:asciiTheme="majorBidi" w:hAnsiTheme="majorBidi" w:cstheme="majorBidi"/>
          <w:lang w:bidi="ar"/>
        </w:rPr>
        <w:t>technostress</w:t>
      </w:r>
      <w:r w:rsidRPr="007C2480">
        <w:rPr>
          <w:rFonts w:ascii="Traditional Arabic" w:hAnsi="Traditional Arabic" w:cs="Traditional Arabic"/>
          <w:lang w:bidi="ar"/>
        </w:rPr>
        <w:t xml:space="preserve"> </w:t>
      </w:r>
      <w:r w:rsidRPr="007C2480">
        <w:rPr>
          <w:rFonts w:asciiTheme="majorBidi" w:hAnsiTheme="majorBidi" w:cstheme="majorBidi"/>
          <w:lang w:bidi="ar"/>
        </w:rPr>
        <w:t>creators</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وآثاره </w:t>
      </w:r>
      <w:proofErr w:type="spellStart"/>
      <w:proofErr w:type="gramStart"/>
      <w:r w:rsidRPr="007C2480">
        <w:rPr>
          <w:rFonts w:ascii="Traditional Arabic" w:hAnsi="Traditional Arabic" w:cs="Traditional Arabic"/>
          <w:rtl/>
        </w:rPr>
        <w:t>و”مثبطاته</w:t>
      </w:r>
      <w:proofErr w:type="spellEnd"/>
      <w:proofErr w:type="gramEnd"/>
      <w:r w:rsidRPr="007C2480">
        <w:rPr>
          <w:rFonts w:ascii="Traditional Arabic" w:hAnsi="Traditional Arabic" w:cs="Traditional Arabic"/>
          <w:rtl/>
        </w:rPr>
        <w:t>/مخففاته</w:t>
      </w:r>
      <w:r w:rsidRPr="007C2480">
        <w:rPr>
          <w:rFonts w:ascii="Traditional Arabic" w:hAnsi="Traditional Arabic" w:cs="Traditional Arabic"/>
          <w:lang w:bidi="ar"/>
        </w:rPr>
        <w:t>” (</w:t>
      </w:r>
      <w:r w:rsidRPr="007C2480">
        <w:rPr>
          <w:rFonts w:asciiTheme="majorBidi" w:hAnsiTheme="majorBidi" w:cstheme="majorBidi"/>
          <w:lang w:bidi="ar"/>
        </w:rPr>
        <w:t>inhibitors</w:t>
      </w:r>
      <w:r w:rsidRPr="007C2480">
        <w:rPr>
          <w:rFonts w:ascii="Traditional Arabic" w:hAnsi="Traditional Arabic" w:cs="Traditional Arabic"/>
          <w:lang w:bidi="ar"/>
        </w:rPr>
        <w:t>)</w:t>
      </w:r>
      <w:r w:rsidRPr="007C2480">
        <w:rPr>
          <w:rFonts w:ascii="Traditional Arabic" w:hAnsi="Traditional Arabic" w:cs="Traditional Arabic"/>
          <w:rtl/>
        </w:rPr>
        <w:t>؛ و(2) اختبار دور الاحتراق الوظيفي كآلية تفسيرية بين الإجهاد التقني والرضا الوظيفي ومخرجات تنظيمية أخرى. تمثل مجتمع الدراسة في معلمي</w:t>
      </w:r>
      <w:r w:rsidRPr="007C2480">
        <w:rPr>
          <w:rFonts w:ascii="Traditional Arabic" w:hAnsi="Traditional Arabic" w:cs="Traditional Arabic"/>
          <w:lang w:bidi="ar"/>
        </w:rPr>
        <w:t xml:space="preserve"> STEM </w:t>
      </w:r>
      <w:r w:rsidRPr="007C2480">
        <w:rPr>
          <w:rFonts w:ascii="Traditional Arabic" w:hAnsi="Traditional Arabic" w:cs="Traditional Arabic"/>
          <w:rtl/>
        </w:rPr>
        <w:t xml:space="preserve">في مقاطعة </w:t>
      </w:r>
      <w:proofErr w:type="spellStart"/>
      <w:r w:rsidRPr="007C2480">
        <w:rPr>
          <w:rFonts w:ascii="Traditional Arabic" w:hAnsi="Traditional Arabic" w:cs="Traditional Arabic"/>
          <w:rtl/>
        </w:rPr>
        <w:t>تشجيانغ</w:t>
      </w:r>
      <w:proofErr w:type="spellEnd"/>
      <w:r w:rsidRPr="007C2480">
        <w:rPr>
          <w:rFonts w:ascii="Traditional Arabic" w:hAnsi="Traditional Arabic" w:cs="Traditional Arabic"/>
          <w:rtl/>
        </w:rPr>
        <w:t xml:space="preserve">، وبلغت العينة الفعلية </w:t>
      </w:r>
      <w:r w:rsidRPr="007C2480">
        <w:rPr>
          <w:rFonts w:ascii="Traditional Arabic" w:hAnsi="Traditional Arabic" w:cs="Traditional Arabic"/>
          <w:lang w:bidi="ar"/>
        </w:rPr>
        <w:t xml:space="preserve">378 </w:t>
      </w:r>
      <w:r w:rsidRPr="007C2480">
        <w:rPr>
          <w:rFonts w:ascii="Traditional Arabic" w:hAnsi="Traditional Arabic" w:cs="Traditional Arabic"/>
          <w:rtl/>
        </w:rPr>
        <w:t>(بعد استبعاد استجابات غير صالحة)، وجُمعت البيانات باستبانة إلكترونية. استخدمت الدراسة تصميمًا مقطعيًا</w:t>
      </w:r>
      <w:r w:rsidRPr="007C2480">
        <w:rPr>
          <w:rFonts w:ascii="Traditional Arabic" w:hAnsi="Traditional Arabic" w:cs="Traditional Arabic"/>
          <w:lang w:bidi="ar"/>
        </w:rPr>
        <w:t xml:space="preserve"> (cross-sectional) </w:t>
      </w:r>
      <w:r w:rsidRPr="007C2480">
        <w:rPr>
          <w:rFonts w:ascii="Traditional Arabic" w:hAnsi="Traditional Arabic" w:cs="Traditional Arabic"/>
          <w:rtl/>
        </w:rPr>
        <w:t>وتحليل</w:t>
      </w:r>
      <w:r w:rsidRPr="007C2480">
        <w:rPr>
          <w:rFonts w:ascii="Traditional Arabic" w:hAnsi="Traditional Arabic" w:cs="Traditional Arabic"/>
          <w:lang w:bidi="ar"/>
        </w:rPr>
        <w:t xml:space="preserve"> SEM. </w:t>
      </w:r>
      <w:r w:rsidRPr="007C2480">
        <w:rPr>
          <w:rFonts w:ascii="Traditional Arabic" w:hAnsi="Traditional Arabic" w:cs="Traditional Arabic"/>
          <w:rtl/>
        </w:rPr>
        <w:t>أظهرت النتائج: (1) أن صانعات الإجهاد التقني ترفع الاحتراق الوظيفي وتؤثر سلبًا في بعض المخرجات التنظيمية؛ و(2) أن الاحتراق يتوسط أثر الإجهاد التقني على الرضا الوظيفي؛ إضافة إلى (3) أن مثبطات الإجهاد التقني تعمل كموارد تنظيمية تخفف الاحتراق وتحد من الآثار السلبية</w:t>
      </w:r>
      <w:r w:rsidRPr="007C2480">
        <w:rPr>
          <w:rFonts w:ascii="Traditional Arabic" w:hAnsi="Traditional Arabic" w:cs="Traditional Arabic"/>
          <w:lang w:bidi="ar"/>
        </w:rPr>
        <w:t>.</w:t>
      </w:r>
    </w:p>
    <w:p w14:paraId="4E096621"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Alshammary</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Hilmi</w:t>
      </w:r>
      <w:proofErr w:type="spellEnd"/>
      <w:r w:rsidRPr="007C2480">
        <w:rPr>
          <w:rFonts w:ascii="Traditional Arabic" w:hAnsi="Traditional Arabic" w:cs="Traditional Arabic"/>
          <w:lang w:bidi="ar"/>
        </w:rPr>
        <w:t xml:space="preserve">, 2024) </w:t>
      </w:r>
      <w:r w:rsidRPr="007C2480">
        <w:rPr>
          <w:rFonts w:ascii="Traditional Arabic" w:hAnsi="Traditional Arabic" w:cs="Traditional Arabic"/>
          <w:rtl/>
        </w:rPr>
        <w:t>بعنوان</w:t>
      </w:r>
      <w:r w:rsidRPr="007C2480">
        <w:rPr>
          <w:rFonts w:asciiTheme="majorBidi" w:hAnsiTheme="majorBidi" w:cstheme="majorBidi"/>
          <w:lang w:bidi="ar"/>
        </w:rPr>
        <w:t>: “Tackling techno-stress: Supervisor support and job clarity as catalysts for employee satisfaction”.</w:t>
      </w:r>
    </w:p>
    <w:p w14:paraId="599FDB79"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هدفت الدراسة إلى: (1) اختبار أثر بعض ضغوط/تحديات التقنية</w:t>
      </w:r>
      <w:r w:rsidRPr="007C2480">
        <w:rPr>
          <w:rFonts w:asciiTheme="majorBidi" w:hAnsiTheme="majorBidi" w:cstheme="majorBidi"/>
          <w:lang w:bidi="ar"/>
        </w:rPr>
        <w:t xml:space="preserve"> (techno-overload, techno-complexity, techno-insecurity) </w:t>
      </w:r>
      <w:r w:rsidRPr="007C2480">
        <w:rPr>
          <w:rFonts w:ascii="Traditional Arabic" w:hAnsi="Traditional Arabic" w:cs="Traditional Arabic"/>
          <w:rtl/>
        </w:rPr>
        <w:t xml:space="preserve">على الرضا الوظيفي؛ و(2) اختبار دور الدعم الإشرافي ووضوح الدور كمتغيرين وسيطين/مخففين للعلاقة. تمثل مجتمع الدراسة في موظفي القطاع المصرفي في المملكة العربية السعودية، وبلغت العينة </w:t>
      </w:r>
      <w:r w:rsidRPr="007C2480">
        <w:rPr>
          <w:rFonts w:ascii="Traditional Arabic" w:hAnsi="Traditional Arabic" w:cs="Traditional Arabic"/>
          <w:lang w:bidi="ar"/>
        </w:rPr>
        <w:t xml:space="preserve">135 </w:t>
      </w:r>
      <w:r w:rsidRPr="007C2480">
        <w:rPr>
          <w:rFonts w:ascii="Traditional Arabic" w:hAnsi="Traditional Arabic" w:cs="Traditional Arabic"/>
          <w:rtl/>
        </w:rPr>
        <w:t>موظفًا جُمعت عبر استبانة إلكترونية، مع تحليل بيانات باستخدام</w:t>
      </w:r>
      <w:r w:rsidRPr="007C2480">
        <w:rPr>
          <w:rFonts w:ascii="Traditional Arabic" w:hAnsi="Traditional Arabic" w:cs="Traditional Arabic"/>
          <w:lang w:bidi="ar"/>
        </w:rPr>
        <w:t xml:space="preserve"> SPSS. </w:t>
      </w:r>
      <w:r w:rsidRPr="007C2480">
        <w:rPr>
          <w:rFonts w:ascii="Traditional Arabic" w:hAnsi="Traditional Arabic" w:cs="Traditional Arabic"/>
          <w:rtl/>
        </w:rPr>
        <w:t>خلصت النتائج إلى: (1) أثر سلبي دال للأبعاد الثلاثة المذكورة من ضغوط التقنية على الرضا الوظيفي؛ و(2) أن الدعم الإشرافي ووضوح الدور توسطًا/خففا هذه العلاقات بما يقلل أثر الضغوط التقنية على الرضا</w:t>
      </w:r>
      <w:r w:rsidRPr="007C2480">
        <w:rPr>
          <w:rFonts w:ascii="Traditional Arabic" w:hAnsi="Traditional Arabic" w:cs="Traditional Arabic"/>
          <w:lang w:bidi="ar"/>
        </w:rPr>
        <w:t>.</w:t>
      </w:r>
    </w:p>
    <w:p w14:paraId="64B3A8D7"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r w:rsidRPr="007C2480">
        <w:rPr>
          <w:rFonts w:asciiTheme="majorBidi" w:hAnsiTheme="majorBidi" w:cstheme="majorBidi"/>
          <w:lang w:bidi="ar"/>
        </w:rPr>
        <w:t xml:space="preserve">Singh et al., 2022) </w:t>
      </w:r>
      <w:r w:rsidRPr="007C2480">
        <w:rPr>
          <w:rFonts w:asciiTheme="majorBidi" w:hAnsiTheme="majorBidi" w:cstheme="majorBidi"/>
          <w:rtl/>
          <w:lang w:bidi="ar"/>
        </w:rPr>
        <w:t>بعنوان</w:t>
      </w:r>
      <w:r w:rsidRPr="007C2480">
        <w:rPr>
          <w:rFonts w:asciiTheme="majorBidi" w:hAnsiTheme="majorBidi" w:cstheme="majorBidi"/>
          <w:lang w:bidi="ar"/>
        </w:rPr>
        <w:t>: “Enforced remote working: The impact of digital platform-induced stress and remote working experience on technology exhaustion and subjective wellbeing”.</w:t>
      </w:r>
    </w:p>
    <w:p w14:paraId="5B6131E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هدفت الدراسة إلى: (1) معالجة فجوة بحثية تتعلق بدراسة أثر استخدام المنصات الرقمية للعمل والاستخدام الشخصي معًا على الإجهاد التقني خلال العمل عن بُعد القسري؛ و(2) اختبار أدوار الخبرة السابقة في العمل عن بُعد والمرونة</w:t>
      </w:r>
      <w:r w:rsidRPr="007C2480">
        <w:rPr>
          <w:rFonts w:ascii="Traditional Arabic" w:hAnsi="Traditional Arabic" w:cs="Traditional Arabic"/>
          <w:lang w:bidi="ar"/>
        </w:rPr>
        <w:t xml:space="preserve"> (resilience) </w:t>
      </w:r>
      <w:r w:rsidRPr="007C2480">
        <w:rPr>
          <w:rFonts w:ascii="Traditional Arabic" w:hAnsi="Traditional Arabic" w:cs="Traditional Arabic"/>
          <w:rtl/>
        </w:rPr>
        <w:t xml:space="preserve">في تفسير اختلافات الأثر. شملت الدراسة موظفين (المجتمع: لم يُذكر)، وبلغت العينة </w:t>
      </w:r>
      <w:r w:rsidRPr="007C2480">
        <w:rPr>
          <w:rFonts w:ascii="Traditional Arabic" w:hAnsi="Traditional Arabic" w:cs="Traditional Arabic"/>
          <w:lang w:bidi="ar"/>
        </w:rPr>
        <w:t xml:space="preserve">306 </w:t>
      </w:r>
      <w:r w:rsidRPr="007C2480">
        <w:rPr>
          <w:rFonts w:ascii="Traditional Arabic" w:hAnsi="Traditional Arabic" w:cs="Traditional Arabic"/>
          <w:rtl/>
        </w:rPr>
        <w:t>موظفين</w:t>
      </w:r>
      <w:r w:rsidRPr="007C2480">
        <w:rPr>
          <w:rFonts w:ascii="Traditional Arabic" w:hAnsi="Traditional Arabic" w:cs="Traditional Arabic"/>
          <w:lang w:bidi="ar"/>
        </w:rPr>
        <w:t xml:space="preserve">. </w:t>
      </w:r>
      <w:r w:rsidRPr="007C2480">
        <w:rPr>
          <w:rFonts w:ascii="Traditional Arabic" w:hAnsi="Traditional Arabic" w:cs="Traditional Arabic"/>
          <w:rtl/>
        </w:rPr>
        <w:t>توصلت النتائج إلى: (1) أن منصات العمل والمنصات الشخصية تُسهم في توليد الإجهاد التقني خلال فترة العمل عن بُعد القسري، بما يزيد “إنهاك التقنية” ويخفض الرفاه الذاتي؛ و(2) أن امتلاك خبرة سابقة بالعمل عن بُعد يساعد على التفاوض مع الإجهاد التقني، مع وجود فروق مرتبطة بالمرونة</w:t>
      </w:r>
      <w:r w:rsidRPr="007C2480">
        <w:rPr>
          <w:rFonts w:ascii="Traditional Arabic" w:hAnsi="Traditional Arabic" w:cs="Traditional Arabic"/>
          <w:lang w:bidi="ar"/>
        </w:rPr>
        <w:t>.</w:t>
      </w:r>
    </w:p>
    <w:p w14:paraId="3AC50134" w14:textId="77777777" w:rsidR="00B64312" w:rsidRPr="007C2480" w:rsidRDefault="00B64312" w:rsidP="00EB0259">
      <w:pPr>
        <w:bidi/>
        <w:spacing w:after="160" w:line="360" w:lineRule="auto"/>
        <w:divId w:val="1647278641"/>
        <w:rPr>
          <w:rFonts w:asciiTheme="majorBidi" w:hAnsiTheme="majorBidi" w:cstheme="majorBidi"/>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Aktan</w:t>
      </w:r>
      <w:proofErr w:type="spellEnd"/>
      <w:r w:rsidRPr="007C2480">
        <w:rPr>
          <w:rFonts w:asciiTheme="majorBidi" w:hAnsiTheme="majorBidi" w:cstheme="majorBidi"/>
          <w:lang w:bidi="ar"/>
        </w:rPr>
        <w:t xml:space="preserve"> &amp; </w:t>
      </w:r>
      <w:proofErr w:type="spellStart"/>
      <w:r w:rsidRPr="007C2480">
        <w:rPr>
          <w:rFonts w:asciiTheme="majorBidi" w:hAnsiTheme="majorBidi" w:cstheme="majorBidi"/>
          <w:lang w:bidi="ar"/>
        </w:rPr>
        <w:t>Toraman</w:t>
      </w:r>
      <w:proofErr w:type="spellEnd"/>
      <w:r w:rsidRPr="007C2480">
        <w:rPr>
          <w:rFonts w:asciiTheme="majorBidi" w:hAnsiTheme="majorBidi" w:cstheme="majorBidi"/>
          <w:lang w:bidi="ar"/>
        </w:rPr>
        <w:t xml:space="preserve">, 2022) </w:t>
      </w:r>
      <w:r w:rsidRPr="007C2480">
        <w:rPr>
          <w:rFonts w:asciiTheme="majorBidi" w:hAnsiTheme="majorBidi" w:cstheme="majorBidi"/>
          <w:rtl/>
          <w:lang w:bidi="ar"/>
        </w:rPr>
        <w:t>بعنوان</w:t>
      </w:r>
      <w:r w:rsidRPr="007C2480">
        <w:rPr>
          <w:rFonts w:asciiTheme="majorBidi" w:hAnsiTheme="majorBidi" w:cstheme="majorBidi"/>
          <w:lang w:bidi="ar"/>
        </w:rPr>
        <w:t>: “The relationship between Technostress levels and job satisfaction of Teachers within the COVID-19 period”.</w:t>
      </w:r>
    </w:p>
    <w:p w14:paraId="32CBF2E5"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lastRenderedPageBreak/>
        <w:t>هدفت الدراسة إلى: (1) تحديد مستوى الإجهاد التقني لدى المعلمين أثناء التعليم عن بُعد في فترة جائحة</w:t>
      </w:r>
      <w:r w:rsidRPr="007C2480">
        <w:rPr>
          <w:rFonts w:ascii="Traditional Arabic" w:hAnsi="Traditional Arabic" w:cs="Traditional Arabic"/>
          <w:lang w:bidi="ar"/>
        </w:rPr>
        <w:t xml:space="preserve"> </w:t>
      </w:r>
      <w:r w:rsidRPr="007C2480">
        <w:rPr>
          <w:rFonts w:asciiTheme="majorBidi" w:hAnsiTheme="majorBidi" w:cstheme="majorBidi"/>
          <w:lang w:bidi="ar"/>
        </w:rPr>
        <w:t>COVID</w:t>
      </w:r>
      <w:r w:rsidRPr="007C2480">
        <w:rPr>
          <w:rFonts w:ascii="Traditional Arabic" w:hAnsi="Traditional Arabic" w:cs="Traditional Arabic"/>
          <w:lang w:bidi="ar"/>
        </w:rPr>
        <w:t>-</w:t>
      </w:r>
      <w:r w:rsidRPr="007C2480">
        <w:rPr>
          <w:rFonts w:asciiTheme="majorBidi" w:hAnsiTheme="majorBidi" w:cstheme="majorBidi"/>
          <w:lang w:bidi="ar"/>
        </w:rPr>
        <w:t>19</w:t>
      </w:r>
      <w:r w:rsidRPr="007C2480">
        <w:rPr>
          <w:rFonts w:ascii="Traditional Arabic" w:hAnsi="Traditional Arabic" w:cs="Traditional Arabic"/>
          <w:rtl/>
        </w:rPr>
        <w:t xml:space="preserve">؛ و(2) فحص العلاقة بين الإجهاد التقني والرضا الوظيفي، إضافة إلى فحص فروق مرتبطة بالنوع ونوع المؤسسة. تمثل مجتمع الدراسة في معلمين بمستويات تعليمية مختلفة، وبلغت العينة </w:t>
      </w:r>
      <w:r w:rsidRPr="007C2480">
        <w:rPr>
          <w:rFonts w:ascii="Traditional Arabic" w:hAnsi="Traditional Arabic" w:cs="Traditional Arabic"/>
          <w:lang w:bidi="ar"/>
        </w:rPr>
        <w:t xml:space="preserve">525 </w:t>
      </w:r>
      <w:r w:rsidRPr="007C2480">
        <w:rPr>
          <w:rFonts w:ascii="Traditional Arabic" w:hAnsi="Traditional Arabic" w:cs="Traditional Arabic"/>
          <w:rtl/>
        </w:rPr>
        <w:t>معلمًا وفق عينة قصدية. استخدمت الدراسة مقاييس الإجهاد التقني والرضا الوظيفي وأسئلة مفتوحة، مع تحليلات</w:t>
      </w:r>
      <w:r w:rsidRPr="007C2480">
        <w:rPr>
          <w:rFonts w:ascii="Traditional Arabic" w:hAnsi="Traditional Arabic" w:cs="Traditional Arabic"/>
          <w:lang w:bidi="ar"/>
        </w:rPr>
        <w:t xml:space="preserve"> </w:t>
      </w:r>
      <w:r w:rsidRPr="007C2480">
        <w:rPr>
          <w:rFonts w:asciiTheme="majorBidi" w:hAnsiTheme="majorBidi" w:cstheme="majorBidi"/>
          <w:lang w:bidi="ar"/>
        </w:rPr>
        <w:t>BHMR</w:t>
      </w:r>
      <w:r w:rsidRPr="007C2480">
        <w:rPr>
          <w:rFonts w:ascii="Traditional Arabic" w:hAnsi="Traditional Arabic" w:cs="Traditional Arabic"/>
          <w:lang w:bidi="ar"/>
        </w:rPr>
        <w:t xml:space="preserve"> </w:t>
      </w:r>
      <w:r w:rsidRPr="007C2480">
        <w:rPr>
          <w:rFonts w:asciiTheme="majorBidi" w:hAnsiTheme="majorBidi" w:cstheme="majorBidi"/>
          <w:rtl/>
          <w:lang w:bidi="ar"/>
        </w:rPr>
        <w:t>و</w:t>
      </w:r>
      <w:r w:rsidRPr="007C2480">
        <w:rPr>
          <w:rFonts w:asciiTheme="majorBidi" w:hAnsiTheme="majorBidi" w:cstheme="majorBidi"/>
          <w:lang w:bidi="ar"/>
        </w:rPr>
        <w:t>MANOVA</w:t>
      </w:r>
      <w:r w:rsidRPr="007C2480">
        <w:rPr>
          <w:rFonts w:ascii="Traditional Arabic" w:hAnsi="Traditional Arabic" w:cs="Traditional Arabic"/>
          <w:lang w:bidi="ar"/>
        </w:rPr>
        <w:t xml:space="preserve"> </w:t>
      </w:r>
      <w:r w:rsidRPr="007C2480">
        <w:rPr>
          <w:rFonts w:ascii="Traditional Arabic" w:hAnsi="Traditional Arabic" w:cs="Traditional Arabic"/>
          <w:rtl/>
        </w:rPr>
        <w:t>وتحليل محتوى استقرائي. أظهرت النتائج: (1) تعرض المعلمين لاستخدام مكثف للتقنية أثر سلبًا على جوانب من حياتهم وأدائهم ورفع عبء العمل وزاد متطلبات التكيف؛ و(2) أن الرضا الوظيفي كان مرتفعًا عمومًا مع فروق لصالح الإناث؛ و(3) أن رضا معلمي المدارس الخاصة أقل من رضا معلمي المدارس الحكومية، وأن الجنس ونوع المؤسسة يرتبطان بفروق دالة في مستويات الإجهاد التقني</w:t>
      </w:r>
      <w:r w:rsidRPr="007C2480">
        <w:rPr>
          <w:rFonts w:ascii="Traditional Arabic" w:hAnsi="Traditional Arabic" w:cs="Traditional Arabic"/>
          <w:lang w:bidi="ar"/>
        </w:rPr>
        <w:t>.</w:t>
      </w:r>
    </w:p>
    <w:p w14:paraId="55320E36"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(Al-</w:t>
      </w:r>
      <w:r w:rsidRPr="007C2480">
        <w:rPr>
          <w:rFonts w:asciiTheme="majorBidi" w:hAnsiTheme="majorBidi" w:cstheme="majorBidi"/>
          <w:lang w:bidi="ar"/>
        </w:rPr>
        <w:t>Ansari</w:t>
      </w:r>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Alshare</w:t>
      </w:r>
      <w:proofErr w:type="spellEnd"/>
      <w:r w:rsidRPr="007C2480">
        <w:rPr>
          <w:rFonts w:ascii="Traditional Arabic" w:hAnsi="Traditional Arabic" w:cs="Traditional Arabic"/>
          <w:lang w:bidi="ar"/>
        </w:rPr>
        <w:t xml:space="preserve">, 2019) </w:t>
      </w:r>
      <w:r w:rsidRPr="007C2480">
        <w:rPr>
          <w:rFonts w:ascii="Traditional Arabic" w:hAnsi="Traditional Arabic" w:cs="Traditional Arabic"/>
          <w:rtl/>
        </w:rPr>
        <w:t>بعنوان</w:t>
      </w:r>
      <w:r w:rsidRPr="007C2480">
        <w:rPr>
          <w:rFonts w:asciiTheme="majorBidi" w:hAnsiTheme="majorBidi" w:cstheme="majorBidi"/>
          <w:lang w:bidi="ar"/>
        </w:rPr>
        <w:t>: “The impact of technostress components on the employees satisfaction and perceived performance: The case of Qatar”.</w:t>
      </w:r>
    </w:p>
    <w:p w14:paraId="7C581158"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الدراسة إلى: (1) اختبار أثر “صانعات” الإجهاد التقني </w:t>
      </w:r>
      <w:proofErr w:type="spellStart"/>
      <w:proofErr w:type="gramStart"/>
      <w:r w:rsidRPr="007C2480">
        <w:rPr>
          <w:rFonts w:ascii="Traditional Arabic" w:hAnsi="Traditional Arabic" w:cs="Traditional Arabic"/>
          <w:rtl/>
        </w:rPr>
        <w:t>و”مثبطاته</w:t>
      </w:r>
      <w:proofErr w:type="spellEnd"/>
      <w:proofErr w:type="gramEnd"/>
      <w:r w:rsidRPr="007C2480">
        <w:rPr>
          <w:rFonts w:ascii="Traditional Arabic" w:hAnsi="Traditional Arabic" w:cs="Traditional Arabic"/>
          <w:rtl/>
        </w:rPr>
        <w:t>” على الرضا الوظيفي والالتزام التنظيمي والأداء المدرك؛ و(2) بناء/اختبار نموذج مستند إلى نموذج الضغوط والتكيف</w:t>
      </w:r>
      <w:r w:rsidRPr="007C2480">
        <w:rPr>
          <w:rFonts w:asciiTheme="majorBidi" w:hAnsiTheme="majorBidi" w:cstheme="majorBidi"/>
          <w:lang w:bidi="ar"/>
        </w:rPr>
        <w:t xml:space="preserve"> (Transaction-Based Model of Stress and</w:t>
      </w:r>
      <w:r w:rsidRPr="007C2480">
        <w:rPr>
          <w:rFonts w:ascii="Traditional Arabic" w:hAnsi="Traditional Arabic" w:cs="Traditional Arabic"/>
          <w:lang w:bidi="ar"/>
        </w:rPr>
        <w:t xml:space="preserve"> </w:t>
      </w:r>
      <w:r w:rsidRPr="007C2480">
        <w:rPr>
          <w:rFonts w:asciiTheme="majorBidi" w:hAnsiTheme="majorBidi" w:cstheme="majorBidi"/>
          <w:lang w:bidi="ar"/>
        </w:rPr>
        <w:t>Coping</w:t>
      </w:r>
      <w:r w:rsidRPr="007C2480">
        <w:rPr>
          <w:rFonts w:ascii="Traditional Arabic" w:hAnsi="Traditional Arabic" w:cs="Traditional Arabic"/>
          <w:lang w:bidi="ar"/>
        </w:rPr>
        <w:t xml:space="preserve">). </w:t>
      </w:r>
      <w:r w:rsidRPr="007C2480">
        <w:rPr>
          <w:rFonts w:ascii="Traditional Arabic" w:hAnsi="Traditional Arabic" w:cs="Traditional Arabic"/>
          <w:rtl/>
        </w:rPr>
        <w:t>استخدمت الدراسة استبانة إلكترونية واختبار نموذج</w:t>
      </w:r>
      <w:r w:rsidRPr="007C2480">
        <w:rPr>
          <w:rFonts w:ascii="Traditional Arabic" w:hAnsi="Traditional Arabic" w:cs="Traditional Arabic"/>
          <w:lang w:bidi="ar"/>
        </w:rPr>
        <w:t xml:space="preserve"> </w:t>
      </w:r>
      <w:r w:rsidRPr="007C2480">
        <w:rPr>
          <w:rFonts w:asciiTheme="majorBidi" w:hAnsiTheme="majorBidi" w:cstheme="majorBidi"/>
          <w:lang w:bidi="ar"/>
        </w:rPr>
        <w:t>SEM</w:t>
      </w:r>
      <w:r w:rsidRPr="007C2480">
        <w:rPr>
          <w:rFonts w:ascii="Traditional Arabic" w:hAnsi="Traditional Arabic" w:cs="Traditional Arabic"/>
          <w:lang w:bidi="ar"/>
        </w:rPr>
        <w:t xml:space="preserve"> </w:t>
      </w:r>
      <w:r w:rsidRPr="007C2480">
        <w:rPr>
          <w:rFonts w:ascii="Traditional Arabic" w:hAnsi="Traditional Arabic" w:cs="Traditional Arabic"/>
          <w:rtl/>
        </w:rPr>
        <w:t>على عينة ملائمة من مجتمع قطر (حجم العينة</w:t>
      </w:r>
      <w:r w:rsidRPr="007C2480">
        <w:rPr>
          <w:rFonts w:ascii="Traditional Arabic" w:hAnsi="Traditional Arabic" w:cs="Traditional Arabic"/>
          <w:lang w:bidi="ar"/>
        </w:rPr>
        <w:t xml:space="preserve">: </w:t>
      </w:r>
      <w:r w:rsidRPr="007C2480">
        <w:rPr>
          <w:rFonts w:ascii="Traditional Arabic" w:hAnsi="Traditional Arabic" w:cs="Traditional Arabic"/>
          <w:rtl/>
        </w:rPr>
        <w:t>لم يُذكر في الملخص المتاح). بينت النتائج: (1) أثرًا سلبيًا دالًا لصانعات الإجهاد التقني على الرضا الوظيفي؛ و(2) أثرًا إيجابيًا دالًا لمثبطات الإجهاد التقني على الرضا الوظيفي؛ و(3) أثرًا إيجابيًا للرضا الوظيفي على الالتزام التنظيمي، وأثرًا إيجابيًا للالتزام على الأداء المدرك</w:t>
      </w:r>
      <w:r w:rsidRPr="007C2480">
        <w:rPr>
          <w:rFonts w:ascii="Traditional Arabic" w:hAnsi="Traditional Arabic" w:cs="Traditional Arabic"/>
          <w:lang w:bidi="ar"/>
        </w:rPr>
        <w:t>.</w:t>
      </w:r>
    </w:p>
    <w:p w14:paraId="579D12D1" w14:textId="77777777" w:rsidR="00C37F6C" w:rsidRDefault="00C37F6C" w:rsidP="00EB0259">
      <w:pPr>
        <w:bidi/>
        <w:spacing w:after="160" w:line="360" w:lineRule="auto"/>
        <w:divId w:val="1647278641"/>
        <w:rPr>
          <w:rFonts w:ascii="Traditional Arabic" w:hAnsi="Traditional Arabic" w:cs="Traditional Arabic"/>
          <w:b/>
          <w:bCs/>
          <w:rtl/>
        </w:rPr>
      </w:pPr>
    </w:p>
    <w:p w14:paraId="599E541A" w14:textId="6FFCFDAF" w:rsidR="00B64312" w:rsidRPr="00DB3C7B" w:rsidRDefault="00B64312" w:rsidP="00C37F6C">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تعليق تحليلي (محور الإجهاد التقني)</w:t>
      </w:r>
      <w:r w:rsidRPr="00DB3C7B">
        <w:rPr>
          <w:rFonts w:ascii="Traditional Arabic" w:hAnsi="Traditional Arabic" w:cs="Traditional Arabic"/>
          <w:b/>
          <w:bCs/>
        </w:rPr>
        <w:t>:</w:t>
      </w:r>
    </w:p>
    <w:p w14:paraId="2A0D6275"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تتسق الأدلة عبر سياقات متعددة في أن الإجهاد التقني يرتبط بمخرجات نفسية/وظيفية سلبية، وأنه يعمل غالبًا عبر آليات وسيطة مثل الاحتراق أو إنهاك التقنية</w:t>
      </w:r>
      <w:r w:rsidRPr="007C2480">
        <w:rPr>
          <w:rFonts w:ascii="Traditional Arabic" w:hAnsi="Traditional Arabic" w:cs="Traditional Arabic"/>
          <w:lang w:bidi="ar"/>
        </w:rPr>
        <w:t xml:space="preserve"> (Tu et al., 2025</w:t>
      </w:r>
      <w:r w:rsidRPr="007C2480">
        <w:rPr>
          <w:rFonts w:ascii="Traditional Arabic" w:hAnsi="Traditional Arabic" w:cs="Traditional Arabic"/>
          <w:rtl/>
        </w:rPr>
        <w:t>؛</w:t>
      </w:r>
      <w:r w:rsidRPr="007C2480">
        <w:rPr>
          <w:rFonts w:ascii="Traditional Arabic" w:hAnsi="Traditional Arabic" w:cs="Traditional Arabic"/>
          <w:lang w:bidi="ar"/>
        </w:rPr>
        <w:t xml:space="preserve"> Singh et al., 2022). </w:t>
      </w:r>
      <w:r w:rsidRPr="007C2480">
        <w:rPr>
          <w:rFonts w:ascii="Traditional Arabic" w:hAnsi="Traditional Arabic" w:cs="Traditional Arabic"/>
          <w:rtl/>
        </w:rPr>
        <w:t>كما توضّح نتائج بيئات عربية/إقليمية أن صانعات الإجهاد التقني قد تُضعف الرضا الوظيفي، وأن موارداً تنظيمية مثل الدعم الإشرافي ووضوح الدور يمكن أن تخفف هذا الأثر</w:t>
      </w:r>
      <w:r w:rsidRPr="007C2480">
        <w:rPr>
          <w:rFonts w:ascii="Traditional Arabic" w:hAnsi="Traditional Arabic" w:cs="Traditional Arabic"/>
          <w:lang w:bidi="ar"/>
        </w:rPr>
        <w:t xml:space="preserve"> (</w:t>
      </w:r>
      <w:proofErr w:type="spellStart"/>
      <w:r w:rsidRPr="007C2480">
        <w:rPr>
          <w:rFonts w:ascii="Traditional Arabic" w:hAnsi="Traditional Arabic" w:cs="Traditional Arabic"/>
          <w:lang w:bidi="ar"/>
        </w:rPr>
        <w:t>Alshammary</w:t>
      </w:r>
      <w:proofErr w:type="spellEnd"/>
      <w:r w:rsidRPr="007C2480">
        <w:rPr>
          <w:rFonts w:ascii="Traditional Arabic" w:hAnsi="Traditional Arabic" w:cs="Traditional Arabic"/>
          <w:lang w:bidi="ar"/>
        </w:rPr>
        <w:t xml:space="preserve"> &amp; </w:t>
      </w:r>
      <w:proofErr w:type="spellStart"/>
      <w:r w:rsidRPr="007C2480">
        <w:rPr>
          <w:rFonts w:ascii="Traditional Arabic" w:hAnsi="Traditional Arabic" w:cs="Traditional Arabic"/>
          <w:lang w:bidi="ar"/>
        </w:rPr>
        <w:t>Hilmi</w:t>
      </w:r>
      <w:proofErr w:type="spellEnd"/>
      <w:r w:rsidRPr="007C2480">
        <w:rPr>
          <w:rFonts w:ascii="Traditional Arabic" w:hAnsi="Traditional Arabic" w:cs="Traditional Arabic"/>
          <w:lang w:bidi="ar"/>
        </w:rPr>
        <w:t>, 2024</w:t>
      </w:r>
      <w:r w:rsidRPr="007C2480">
        <w:rPr>
          <w:rFonts w:ascii="Traditional Arabic" w:hAnsi="Traditional Arabic" w:cs="Traditional Arabic"/>
          <w:rtl/>
        </w:rPr>
        <w:t>؛</w:t>
      </w:r>
      <w:r w:rsidRPr="007C2480">
        <w:rPr>
          <w:rFonts w:ascii="Traditional Arabic" w:hAnsi="Traditional Arabic" w:cs="Traditional Arabic"/>
          <w:lang w:bidi="ar"/>
        </w:rPr>
        <w:t xml:space="preserve"> Al-Ansari &amp; </w:t>
      </w:r>
      <w:proofErr w:type="spellStart"/>
      <w:r w:rsidRPr="007C2480">
        <w:rPr>
          <w:rFonts w:ascii="Traditional Arabic" w:hAnsi="Traditional Arabic" w:cs="Traditional Arabic"/>
          <w:lang w:bidi="ar"/>
        </w:rPr>
        <w:t>Alshare</w:t>
      </w:r>
      <w:proofErr w:type="spellEnd"/>
      <w:r w:rsidRPr="007C2480">
        <w:rPr>
          <w:rFonts w:ascii="Traditional Arabic" w:hAnsi="Traditional Arabic" w:cs="Traditional Arabic"/>
          <w:lang w:bidi="ar"/>
        </w:rPr>
        <w:t xml:space="preserve">, 2019). </w:t>
      </w:r>
      <w:r w:rsidRPr="007C2480">
        <w:rPr>
          <w:rFonts w:ascii="Traditional Arabic" w:hAnsi="Traditional Arabic" w:cs="Traditional Arabic"/>
          <w:rtl/>
        </w:rPr>
        <w:t>وتبرز في هذه الأدبيات حدودٌ منهجية متكررة: هيمنة التصاميم المقطعية، وتنوع أدوات القياس، واختلاف المهن/السياقات (تعليم/مصارف/عمل عن بُعد)، ما يدعم الحاجة لاختبار نموذج الإجهاد التقني داخل سياق حكومي محدد وبقياس يراعي خصائص التحول الرقمي المؤسسي (وأبعاده الأربعة) بوصفه “سابِقًا” محتملاً يولِّد/يخفف الإجهاد</w:t>
      </w:r>
      <w:r w:rsidRPr="007C2480">
        <w:rPr>
          <w:rFonts w:ascii="Traditional Arabic" w:hAnsi="Traditional Arabic" w:cs="Traditional Arabic"/>
          <w:lang w:bidi="ar"/>
        </w:rPr>
        <w:t>.</w:t>
      </w:r>
    </w:p>
    <w:p w14:paraId="5E86E364" w14:textId="77777777" w:rsidR="00B64312" w:rsidRPr="00C37F6C" w:rsidRDefault="00B64312" w:rsidP="00EB0259">
      <w:pPr>
        <w:bidi/>
        <w:spacing w:after="160" w:line="360" w:lineRule="auto"/>
        <w:divId w:val="1647278641"/>
        <w:rPr>
          <w:rFonts w:ascii="Traditional Arabic" w:hAnsi="Traditional Arabic" w:cs="Traditional Arabic"/>
          <w:b/>
          <w:bCs/>
          <w:sz w:val="28"/>
          <w:szCs w:val="28"/>
          <w:lang w:bidi="ar"/>
        </w:rPr>
      </w:pPr>
      <w:r w:rsidRPr="00C37F6C">
        <w:rPr>
          <w:rFonts w:ascii="Traditional Arabic" w:hAnsi="Traditional Arabic" w:cs="Traditional Arabic"/>
          <w:b/>
          <w:bCs/>
          <w:sz w:val="28"/>
          <w:szCs w:val="28"/>
          <w:rtl/>
        </w:rPr>
        <w:lastRenderedPageBreak/>
        <w:t>دراسات الرضا الوظيفي</w:t>
      </w:r>
    </w:p>
    <w:p w14:paraId="77CE58B4"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Lechevalier</w:t>
      </w:r>
      <w:proofErr w:type="spellEnd"/>
      <w:r w:rsidRPr="007C2480">
        <w:rPr>
          <w:rFonts w:asciiTheme="majorBidi" w:hAnsiTheme="majorBidi" w:cstheme="majorBidi"/>
          <w:lang w:bidi="ar"/>
        </w:rPr>
        <w:t xml:space="preserve"> &amp; </w:t>
      </w:r>
      <w:proofErr w:type="spellStart"/>
      <w:r w:rsidRPr="007C2480">
        <w:rPr>
          <w:rFonts w:asciiTheme="majorBidi" w:hAnsiTheme="majorBidi" w:cstheme="majorBidi"/>
          <w:lang w:bidi="ar"/>
        </w:rPr>
        <w:t>Mofakhami</w:t>
      </w:r>
      <w:proofErr w:type="spellEnd"/>
      <w:r w:rsidRPr="007C2480">
        <w:rPr>
          <w:rFonts w:asciiTheme="majorBidi" w:hAnsiTheme="majorBidi" w:cstheme="majorBidi"/>
          <w:lang w:bidi="ar"/>
        </w:rPr>
        <w:t xml:space="preserve">, 2025) </w:t>
      </w:r>
      <w:r w:rsidRPr="007C2480">
        <w:rPr>
          <w:rFonts w:asciiTheme="majorBidi" w:hAnsiTheme="majorBidi" w:cstheme="majorBidi"/>
          <w:rtl/>
          <w:lang w:bidi="ar"/>
        </w:rPr>
        <w:t>بعنوان</w:t>
      </w:r>
      <w:r w:rsidRPr="007C2480">
        <w:rPr>
          <w:rFonts w:asciiTheme="majorBidi" w:hAnsiTheme="majorBidi" w:cstheme="majorBidi"/>
          <w:lang w:bidi="ar"/>
        </w:rPr>
        <w:t>: “Assessing job satisfaction in the era of digital transformation: a comparative study of the first wave of tasks digitalization in Japan and France”.</w:t>
      </w:r>
    </w:p>
    <w:p w14:paraId="422DE860"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الدراسة إلى: (1) تحليل الأثر المتنوع للموجة الأولى من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/الاستخدام الرقمي على الرضا الوظيفي؛ و(2) اختبار نموذج وساطة مبسط يضم خصائص تنظيم العمل كمتغيرات وسيطة؛ و(3) المقارنة بين اليابان وفرنسا. اعتمدت الدراسة على بيانات </w:t>
      </w:r>
      <w:r w:rsidRPr="007C2480">
        <w:rPr>
          <w:rFonts w:asciiTheme="majorBidi" w:hAnsiTheme="majorBidi" w:cstheme="majorBidi"/>
          <w:lang w:bidi="ar"/>
        </w:rPr>
        <w:t>PIAAC</w:t>
      </w:r>
      <w:r w:rsidRPr="007C2480">
        <w:rPr>
          <w:rFonts w:ascii="Traditional Arabic" w:hAnsi="Traditional Arabic" w:cs="Traditional Arabic"/>
          <w:lang w:bidi="ar"/>
        </w:rPr>
        <w:t xml:space="preserve"> 2013</w:t>
      </w:r>
      <w:r w:rsidRPr="007C2480">
        <w:rPr>
          <w:rFonts w:ascii="Traditional Arabic" w:hAnsi="Traditional Arabic" w:cs="Traditional Arabic"/>
          <w:rtl/>
        </w:rPr>
        <w:t xml:space="preserve">، وبلغت العينة النهائية </w:t>
      </w:r>
      <w:r w:rsidRPr="007C2480">
        <w:rPr>
          <w:rFonts w:ascii="Traditional Arabic" w:hAnsi="Traditional Arabic" w:cs="Traditional Arabic"/>
          <w:lang w:bidi="ar"/>
        </w:rPr>
        <w:t xml:space="preserve">6,386 </w:t>
      </w:r>
      <w:r w:rsidRPr="007C2480">
        <w:rPr>
          <w:rFonts w:ascii="Traditional Arabic" w:hAnsi="Traditional Arabic" w:cs="Traditional Arabic"/>
          <w:rtl/>
        </w:rPr>
        <w:t xml:space="preserve">موظفًا (3,281 فرنسيًا و3,105 يابانيًا). استخدمت الدراسة تحليلات انحدار/وساطة مع ضبط خصائص الموظفين واختبار </w:t>
      </w:r>
      <w:proofErr w:type="spellStart"/>
      <w:r w:rsidRPr="007C2480">
        <w:rPr>
          <w:rFonts w:ascii="Traditional Arabic" w:hAnsi="Traditional Arabic" w:cs="Traditional Arabic"/>
          <w:rtl/>
        </w:rPr>
        <w:t>تغايرات</w:t>
      </w:r>
      <w:proofErr w:type="spellEnd"/>
      <w:r w:rsidRPr="007C2480">
        <w:rPr>
          <w:rFonts w:ascii="Traditional Arabic" w:hAnsi="Traditional Arabic" w:cs="Traditional Arabic"/>
          <w:lang w:bidi="ar"/>
        </w:rPr>
        <w:t xml:space="preserve"> (</w:t>
      </w:r>
      <w:r w:rsidRPr="007C2480">
        <w:rPr>
          <w:rFonts w:asciiTheme="majorBidi" w:hAnsiTheme="majorBidi" w:cstheme="majorBidi"/>
          <w:lang w:bidi="ar"/>
        </w:rPr>
        <w:t>heterogeneity</w:t>
      </w:r>
      <w:r w:rsidRPr="007C2480">
        <w:rPr>
          <w:rFonts w:ascii="Traditional Arabic" w:hAnsi="Traditional Arabic" w:cs="Traditional Arabic"/>
          <w:lang w:bidi="ar"/>
        </w:rPr>
        <w:t xml:space="preserve">). </w:t>
      </w:r>
      <w:r w:rsidRPr="007C2480">
        <w:rPr>
          <w:rFonts w:ascii="Traditional Arabic" w:hAnsi="Traditional Arabic" w:cs="Traditional Arabic"/>
          <w:rtl/>
        </w:rPr>
        <w:t>خلصت النتائج إلى: (1) عدم وجود أثر مباشر دال للاستخدام الرقمي على الرضا الوظيفي؛ و(2) وجود آثار غير مباشرة إيجابية عبر ممارسات التنظيم (خصوصًا الاستقلالية/المرونة والتعلم)، و(3) أن فجوة “الانقسام الرقمي” من زاوية الرضا ترتبط—في البلدين—بالإحساس بغياب المهارات الرقمية لدى بعض العاملين</w:t>
      </w:r>
      <w:r w:rsidRPr="007C2480">
        <w:rPr>
          <w:rFonts w:ascii="Traditional Arabic" w:hAnsi="Traditional Arabic" w:cs="Traditional Arabic"/>
          <w:lang w:bidi="ar"/>
        </w:rPr>
        <w:t>.</w:t>
      </w:r>
    </w:p>
    <w:p w14:paraId="763895CB"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r w:rsidRPr="007C2480">
        <w:rPr>
          <w:rFonts w:asciiTheme="majorBidi" w:hAnsiTheme="majorBidi" w:cstheme="majorBidi"/>
          <w:lang w:bidi="ar"/>
        </w:rPr>
        <w:t>Kim</w:t>
      </w:r>
      <w:r w:rsidRPr="007C2480">
        <w:rPr>
          <w:rFonts w:ascii="Traditional Arabic" w:hAnsi="Traditional Arabic" w:cs="Traditional Arabic"/>
          <w:lang w:bidi="ar"/>
        </w:rPr>
        <w:t xml:space="preserve"> &amp; </w:t>
      </w:r>
      <w:r w:rsidRPr="007C2480">
        <w:rPr>
          <w:rFonts w:asciiTheme="majorBidi" w:hAnsiTheme="majorBidi" w:cstheme="majorBidi"/>
          <w:lang w:bidi="ar"/>
        </w:rPr>
        <w:t>Sohn</w:t>
      </w:r>
      <w:r w:rsidRPr="007C2480">
        <w:rPr>
          <w:rFonts w:ascii="Traditional Arabic" w:hAnsi="Traditional Arabic" w:cs="Traditional Arabic"/>
          <w:lang w:bidi="ar"/>
        </w:rPr>
        <w:t>, 2024</w:t>
      </w:r>
      <w:r w:rsidRPr="007C2480">
        <w:rPr>
          <w:rFonts w:asciiTheme="majorBidi" w:hAnsiTheme="majorBidi" w:cstheme="majorBidi"/>
          <w:lang w:bidi="ar"/>
        </w:rPr>
        <w:t xml:space="preserve">) </w:t>
      </w:r>
      <w:r w:rsidRPr="007C2480">
        <w:rPr>
          <w:rFonts w:asciiTheme="majorBidi" w:hAnsiTheme="majorBidi" w:cstheme="majorBidi"/>
          <w:rtl/>
          <w:lang w:bidi="ar"/>
        </w:rPr>
        <w:t>بعنوان</w:t>
      </w:r>
      <w:r w:rsidRPr="007C2480">
        <w:rPr>
          <w:rFonts w:asciiTheme="majorBidi" w:hAnsiTheme="majorBidi" w:cstheme="majorBidi"/>
          <w:lang w:bidi="ar"/>
        </w:rPr>
        <w:t>: “The Impact of Quiet Quitting on Turnover</w:t>
      </w:r>
      <w:r w:rsidRPr="007C2480">
        <w:rPr>
          <w:rFonts w:ascii="Traditional Arabic" w:hAnsi="Traditional Arabic" w:cs="Traditional Arabic"/>
          <w:lang w:bidi="ar"/>
        </w:rPr>
        <w:t xml:space="preserve"> </w:t>
      </w:r>
      <w:r w:rsidRPr="007C2480">
        <w:rPr>
          <w:rFonts w:asciiTheme="majorBidi" w:hAnsiTheme="majorBidi" w:cstheme="majorBidi"/>
          <w:lang w:bidi="ar"/>
        </w:rPr>
        <w:t>Intentions in the Era of Digital Transformation: The Mediating Roles of Job Satisfaction and Affective Commitment, and the Moderating Role of Psychological Safety”.</w:t>
      </w:r>
    </w:p>
    <w:p w14:paraId="73D794AA" w14:textId="68A16876"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هدفت الدراسة إلى: (1) اختبار العلاقة الزمنية بين “الانسحاب الصامت</w:t>
      </w:r>
      <w:r w:rsidRPr="007C2480">
        <w:rPr>
          <w:rFonts w:ascii="Traditional Arabic" w:hAnsi="Traditional Arabic" w:cs="Traditional Arabic"/>
          <w:lang w:bidi="ar"/>
        </w:rPr>
        <w:t>” (</w:t>
      </w:r>
      <w:r w:rsidRPr="007C2480">
        <w:rPr>
          <w:rFonts w:asciiTheme="majorBidi" w:hAnsiTheme="majorBidi" w:cstheme="majorBidi"/>
          <w:lang w:bidi="ar"/>
        </w:rPr>
        <w:t>quiet</w:t>
      </w:r>
      <w:r w:rsidRPr="007C2480">
        <w:rPr>
          <w:rFonts w:ascii="Traditional Arabic" w:hAnsi="Traditional Arabic" w:cs="Traditional Arabic"/>
          <w:lang w:bidi="ar"/>
        </w:rPr>
        <w:t xml:space="preserve"> </w:t>
      </w:r>
      <w:r w:rsidRPr="007C2480">
        <w:rPr>
          <w:rFonts w:asciiTheme="majorBidi" w:hAnsiTheme="majorBidi" w:cstheme="majorBidi"/>
          <w:lang w:bidi="ar"/>
        </w:rPr>
        <w:t>quitting</w:t>
      </w:r>
      <w:r w:rsidRPr="007C2480">
        <w:rPr>
          <w:rFonts w:ascii="Traditional Arabic" w:hAnsi="Traditional Arabic" w:cs="Traditional Arabic"/>
          <w:lang w:bidi="ar"/>
        </w:rPr>
        <w:t xml:space="preserve">) </w:t>
      </w:r>
      <w:r w:rsidRPr="007C2480">
        <w:rPr>
          <w:rFonts w:ascii="Traditional Arabic" w:hAnsi="Traditional Arabic" w:cs="Traditional Arabic"/>
          <w:rtl/>
        </w:rPr>
        <w:t>ونية ترك العمل؛ و(2) فحص الدور الوسيط لكل من الرضا الوظيفي والالتزام العاطفي؛ و(3) اختبار دور الأمان النفسي كمُعدِّل لهذه العلاقات. استخدمت الدراسة تصميمًا زمنيًا متأخرًا</w:t>
      </w:r>
      <w:r w:rsidRPr="007C2480">
        <w:rPr>
          <w:rFonts w:ascii="Traditional Arabic" w:hAnsi="Traditional Arabic" w:cs="Traditional Arabic"/>
          <w:lang w:bidi="ar"/>
        </w:rPr>
        <w:t xml:space="preserve"> (</w:t>
      </w:r>
      <w:r w:rsidRPr="007C2480">
        <w:rPr>
          <w:rFonts w:asciiTheme="majorBidi" w:hAnsiTheme="majorBidi" w:cstheme="majorBidi"/>
          <w:lang w:bidi="ar"/>
        </w:rPr>
        <w:t>time</w:t>
      </w:r>
      <w:r w:rsidRPr="007C2480">
        <w:rPr>
          <w:rFonts w:ascii="Traditional Arabic" w:hAnsi="Traditional Arabic" w:cs="Traditional Arabic"/>
          <w:lang w:bidi="ar"/>
        </w:rPr>
        <w:t>-</w:t>
      </w:r>
      <w:r w:rsidRPr="007C2480">
        <w:rPr>
          <w:rFonts w:asciiTheme="majorBidi" w:hAnsiTheme="majorBidi" w:cstheme="majorBidi"/>
          <w:lang w:bidi="ar"/>
        </w:rPr>
        <w:t>lagged</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لمدة 6 أشهر، وبلغت </w:t>
      </w:r>
      <w:proofErr w:type="gramStart"/>
      <w:r w:rsidRPr="007C2480">
        <w:rPr>
          <w:rFonts w:ascii="Traditional Arabic" w:hAnsi="Traditional Arabic" w:cs="Traditional Arabic"/>
          <w:rtl/>
        </w:rPr>
        <w:t xml:space="preserve">العينة </w:t>
      </w:r>
      <w:r w:rsidR="002544C2" w:rsidRPr="007C2480">
        <w:rPr>
          <w:rFonts w:ascii="Traditional Arabic" w:hAnsi="Traditional Arabic" w:cs="Traditional Arabic"/>
          <w:lang w:bidi="ar"/>
        </w:rPr>
        <w:t xml:space="preserve"> </w:t>
      </w:r>
      <w:r w:rsidRPr="007C2480">
        <w:rPr>
          <w:rFonts w:ascii="Traditional Arabic" w:hAnsi="Traditional Arabic" w:cs="Traditional Arabic"/>
          <w:lang w:bidi="ar"/>
        </w:rPr>
        <w:t>258</w:t>
      </w:r>
      <w:proofErr w:type="gramEnd"/>
      <w:r w:rsidRPr="007C2480">
        <w:rPr>
          <w:rFonts w:ascii="Traditional Arabic" w:hAnsi="Traditional Arabic" w:cs="Traditional Arabic"/>
          <w:lang w:bidi="ar"/>
        </w:rPr>
        <w:t xml:space="preserve"> </w:t>
      </w:r>
      <w:r w:rsidRPr="007C2480">
        <w:rPr>
          <w:rFonts w:ascii="Traditional Arabic" w:hAnsi="Traditional Arabic" w:cs="Traditional Arabic"/>
          <w:rtl/>
        </w:rPr>
        <w:t>(تفاصيل المجتمع: لم تُذكر في المقتطفات المتاحة). أشارت النتائج إلى: (1) ارتباط</w:t>
      </w:r>
      <w:r w:rsidRPr="007C2480">
        <w:rPr>
          <w:rFonts w:ascii="Traditional Arabic" w:hAnsi="Traditional Arabic" w:cs="Traditional Arabic"/>
          <w:lang w:bidi="ar"/>
        </w:rPr>
        <w:t xml:space="preserve"> </w:t>
      </w:r>
      <w:r w:rsidRPr="007C2480">
        <w:rPr>
          <w:rFonts w:asciiTheme="majorBidi" w:hAnsiTheme="majorBidi" w:cstheme="majorBidi"/>
          <w:lang w:bidi="ar"/>
        </w:rPr>
        <w:t>quiet</w:t>
      </w:r>
      <w:r w:rsidRPr="007C2480">
        <w:rPr>
          <w:rFonts w:ascii="Traditional Arabic" w:hAnsi="Traditional Arabic" w:cs="Traditional Arabic"/>
          <w:lang w:bidi="ar"/>
        </w:rPr>
        <w:t xml:space="preserve"> </w:t>
      </w:r>
      <w:r w:rsidRPr="007C2480">
        <w:rPr>
          <w:rFonts w:asciiTheme="majorBidi" w:hAnsiTheme="majorBidi" w:cstheme="majorBidi"/>
          <w:lang w:bidi="ar"/>
        </w:rPr>
        <w:t>quitting</w:t>
      </w:r>
      <w:r w:rsidRPr="007C2480">
        <w:rPr>
          <w:rFonts w:ascii="Traditional Arabic" w:hAnsi="Traditional Arabic" w:cs="Traditional Arabic"/>
          <w:lang w:bidi="ar"/>
        </w:rPr>
        <w:t xml:space="preserve"> </w:t>
      </w:r>
      <w:r w:rsidRPr="007C2480">
        <w:rPr>
          <w:rFonts w:ascii="Traditional Arabic" w:hAnsi="Traditional Arabic" w:cs="Traditional Arabic"/>
          <w:rtl/>
        </w:rPr>
        <w:t>بانخفاض الرضا الوظيفي والالتزام العاطفي عبر الزمن؛ و(2) أن الأمان النفسي يخفف/يعدّل العلاقة السلبية بين</w:t>
      </w:r>
      <w:r w:rsidRPr="007C2480">
        <w:rPr>
          <w:rFonts w:ascii="Traditional Arabic" w:hAnsi="Traditional Arabic" w:cs="Traditional Arabic"/>
          <w:lang w:bidi="ar"/>
        </w:rPr>
        <w:t xml:space="preserve"> </w:t>
      </w:r>
      <w:r w:rsidRPr="007C2480">
        <w:rPr>
          <w:rFonts w:asciiTheme="majorBidi" w:hAnsiTheme="majorBidi" w:cstheme="majorBidi"/>
          <w:lang w:bidi="ar"/>
        </w:rPr>
        <w:t>quiet</w:t>
      </w:r>
      <w:r w:rsidRPr="007C2480">
        <w:rPr>
          <w:rFonts w:ascii="Traditional Arabic" w:hAnsi="Traditional Arabic" w:cs="Traditional Arabic"/>
          <w:lang w:bidi="ar"/>
        </w:rPr>
        <w:t xml:space="preserve"> </w:t>
      </w:r>
      <w:r w:rsidRPr="007C2480">
        <w:rPr>
          <w:rFonts w:asciiTheme="majorBidi" w:hAnsiTheme="majorBidi" w:cstheme="majorBidi"/>
          <w:lang w:bidi="ar"/>
        </w:rPr>
        <w:t>quitting</w:t>
      </w:r>
      <w:r w:rsidRPr="007C2480">
        <w:rPr>
          <w:rFonts w:ascii="Traditional Arabic" w:hAnsi="Traditional Arabic" w:cs="Traditional Arabic"/>
          <w:lang w:bidi="ar"/>
        </w:rPr>
        <w:t xml:space="preserve"> </w:t>
      </w:r>
      <w:r w:rsidRPr="007C2480">
        <w:rPr>
          <w:rFonts w:ascii="Traditional Arabic" w:hAnsi="Traditional Arabic" w:cs="Traditional Arabic"/>
          <w:rtl/>
        </w:rPr>
        <w:t>والرضا الوظيفي، كما يضعف الأثر غير المباشر على نية ترك العمل عندما يكون الأمان النفسي مرتفعًا</w:t>
      </w:r>
      <w:r w:rsidRPr="007C2480">
        <w:rPr>
          <w:rFonts w:ascii="Traditional Arabic" w:hAnsi="Traditional Arabic" w:cs="Traditional Arabic"/>
          <w:lang w:bidi="ar"/>
        </w:rPr>
        <w:t>.</w:t>
      </w:r>
    </w:p>
    <w:p w14:paraId="306F2AC8" w14:textId="77777777" w:rsidR="00B64312" w:rsidRPr="007C2480" w:rsidRDefault="00B64312" w:rsidP="00EB0259">
      <w:pPr>
        <w:bidi/>
        <w:spacing w:after="160" w:line="360" w:lineRule="auto"/>
        <w:divId w:val="1647278641"/>
        <w:rPr>
          <w:rFonts w:asciiTheme="majorBidi" w:hAnsiTheme="majorBidi" w:cstheme="majorBidi"/>
          <w:lang w:bidi="ar"/>
        </w:rPr>
      </w:pPr>
      <w:r w:rsidRPr="007C2480">
        <w:rPr>
          <w:rFonts w:ascii="Traditional Arabic" w:hAnsi="Traditional Arabic" w:cs="Traditional Arabic"/>
          <w:rtl/>
        </w:rPr>
        <w:t>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Bolli</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Pusterla</w:t>
      </w:r>
      <w:proofErr w:type="spellEnd"/>
      <w:r w:rsidRPr="007C2480">
        <w:rPr>
          <w:rFonts w:ascii="Traditional Arabic" w:hAnsi="Traditional Arabic" w:cs="Traditional Arabic"/>
          <w:lang w:bidi="ar"/>
        </w:rPr>
        <w:t>, 2022</w:t>
      </w:r>
      <w:r w:rsidRPr="007C2480">
        <w:rPr>
          <w:rFonts w:asciiTheme="majorBidi" w:hAnsiTheme="majorBidi" w:cstheme="majorBidi"/>
          <w:lang w:bidi="ar"/>
        </w:rPr>
        <w:t xml:space="preserve">) </w:t>
      </w:r>
      <w:r w:rsidRPr="007C2480">
        <w:rPr>
          <w:rFonts w:asciiTheme="majorBidi" w:hAnsiTheme="majorBidi" w:cstheme="majorBidi"/>
          <w:rtl/>
          <w:lang w:bidi="ar"/>
        </w:rPr>
        <w:t>بعنوان</w:t>
      </w:r>
      <w:r w:rsidRPr="007C2480">
        <w:rPr>
          <w:rFonts w:asciiTheme="majorBidi" w:hAnsiTheme="majorBidi" w:cstheme="majorBidi"/>
          <w:lang w:bidi="ar"/>
        </w:rPr>
        <w:t>: “Decomposing the effects of digitalization on workers’ job satisfaction”.</w:t>
      </w:r>
    </w:p>
    <w:p w14:paraId="33C8F939"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هدفت الدراسة إلى: (1) تفكيك أثر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الوظيفي عبر قنوات متعددة بدل الاكتفاء بقناة واحدة؛ و(2) قياس الأهمية النسبية لعشر قنوات (مثل الإنتاجية، إثارة العمل، الاستقلالية، ضغط الوقت، توازن الحياة والعمل…)، مع (3) اختبار </w:t>
      </w:r>
      <w:proofErr w:type="spellStart"/>
      <w:r w:rsidRPr="007C2480">
        <w:rPr>
          <w:rFonts w:ascii="Traditional Arabic" w:hAnsi="Traditional Arabic" w:cs="Traditional Arabic"/>
          <w:rtl/>
        </w:rPr>
        <w:lastRenderedPageBreak/>
        <w:t>تغايرات</w:t>
      </w:r>
      <w:proofErr w:type="spellEnd"/>
      <w:r w:rsidRPr="007C2480">
        <w:rPr>
          <w:rFonts w:ascii="Traditional Arabic" w:hAnsi="Traditional Arabic" w:cs="Traditional Arabic"/>
          <w:rtl/>
        </w:rPr>
        <w:t xml:space="preserve"> الأثر حسب خصائص العاملين. تمثل مجتمع الدراسة في طلاب/خريجي كليات التعليم المهني العالي في سويسرا</w:t>
      </w:r>
      <w:r w:rsidRPr="007C2480">
        <w:rPr>
          <w:rFonts w:ascii="Traditional Arabic" w:hAnsi="Traditional Arabic" w:cs="Traditional Arabic"/>
          <w:lang w:bidi="ar"/>
        </w:rPr>
        <w:t xml:space="preserve"> (</w:t>
      </w:r>
      <w:r w:rsidRPr="007C2480">
        <w:rPr>
          <w:rFonts w:asciiTheme="majorBidi" w:hAnsiTheme="majorBidi" w:cstheme="majorBidi"/>
          <w:lang w:bidi="ar"/>
        </w:rPr>
        <w:t>PET</w:t>
      </w:r>
      <w:r w:rsidRPr="007C2480">
        <w:rPr>
          <w:rFonts w:ascii="Traditional Arabic" w:hAnsi="Traditional Arabic" w:cs="Traditional Arabic"/>
          <w:lang w:bidi="ar"/>
        </w:rPr>
        <w:t>)</w:t>
      </w:r>
      <w:r w:rsidRPr="007C2480">
        <w:rPr>
          <w:rFonts w:ascii="Traditional Arabic" w:hAnsi="Traditional Arabic" w:cs="Traditional Arabic"/>
          <w:rtl/>
        </w:rPr>
        <w:t xml:space="preserve">، وبلغت العينة </w:t>
      </w:r>
      <w:r w:rsidRPr="007C2480">
        <w:rPr>
          <w:rFonts w:asciiTheme="majorBidi" w:hAnsiTheme="majorBidi" w:cstheme="majorBidi"/>
          <w:lang w:bidi="ar"/>
        </w:rPr>
        <w:t>3</w:t>
      </w:r>
      <w:r w:rsidRPr="007C2480">
        <w:rPr>
          <w:rFonts w:ascii="Traditional Arabic" w:hAnsi="Traditional Arabic" w:cs="Traditional Arabic"/>
          <w:lang w:bidi="ar"/>
        </w:rPr>
        <w:t>,</w:t>
      </w:r>
      <w:r w:rsidRPr="007C2480">
        <w:rPr>
          <w:rFonts w:asciiTheme="majorBidi" w:hAnsiTheme="majorBidi" w:cstheme="majorBidi"/>
          <w:lang w:bidi="ar"/>
        </w:rPr>
        <w:t>089</w:t>
      </w:r>
      <w:r w:rsidRPr="007C2480">
        <w:rPr>
          <w:rFonts w:ascii="Traditional Arabic" w:hAnsi="Traditional Arabic" w:cs="Traditional Arabic"/>
          <w:lang w:bidi="ar"/>
        </w:rPr>
        <w:t xml:space="preserve"> </w:t>
      </w:r>
      <w:r w:rsidRPr="007C2480">
        <w:rPr>
          <w:rFonts w:ascii="Traditional Arabic" w:hAnsi="Traditional Arabic" w:cs="Traditional Arabic"/>
          <w:rtl/>
        </w:rPr>
        <w:t>من مسح إلكتروني</w:t>
      </w:r>
      <w:r w:rsidRPr="007C2480">
        <w:rPr>
          <w:rFonts w:ascii="Traditional Arabic" w:hAnsi="Traditional Arabic" w:cs="Traditional Arabic"/>
          <w:lang w:bidi="ar"/>
        </w:rPr>
        <w:t xml:space="preserve"> (</w:t>
      </w:r>
      <w:r w:rsidRPr="007C2480">
        <w:rPr>
          <w:rFonts w:asciiTheme="majorBidi" w:hAnsiTheme="majorBidi" w:cstheme="majorBidi"/>
          <w:lang w:bidi="ar"/>
        </w:rPr>
        <w:t>ODEC</w:t>
      </w:r>
      <w:r w:rsidRPr="007C2480">
        <w:rPr>
          <w:rFonts w:ascii="Traditional Arabic" w:hAnsi="Traditional Arabic" w:cs="Traditional Arabic"/>
          <w:lang w:bidi="ar"/>
        </w:rPr>
        <w:t xml:space="preserve"> </w:t>
      </w:r>
      <w:r w:rsidRPr="007C2480">
        <w:rPr>
          <w:rFonts w:asciiTheme="majorBidi" w:hAnsiTheme="majorBidi" w:cstheme="majorBidi"/>
          <w:lang w:bidi="ar"/>
        </w:rPr>
        <w:t>Salary</w:t>
      </w:r>
      <w:r w:rsidRPr="007C2480">
        <w:rPr>
          <w:rFonts w:ascii="Traditional Arabic" w:hAnsi="Traditional Arabic" w:cs="Traditional Arabic"/>
          <w:lang w:bidi="ar"/>
        </w:rPr>
        <w:t xml:space="preserve"> </w:t>
      </w:r>
      <w:r w:rsidRPr="007C2480">
        <w:rPr>
          <w:rFonts w:asciiTheme="majorBidi" w:hAnsiTheme="majorBidi" w:cstheme="majorBidi"/>
          <w:lang w:bidi="ar"/>
        </w:rPr>
        <w:t>Survey</w:t>
      </w:r>
      <w:r w:rsidRPr="007C2480">
        <w:rPr>
          <w:rFonts w:ascii="Traditional Arabic" w:hAnsi="Traditional Arabic" w:cs="Traditional Arabic"/>
          <w:lang w:bidi="ar"/>
        </w:rPr>
        <w:t xml:space="preserve"> </w:t>
      </w:r>
      <w:r w:rsidRPr="007C2480">
        <w:rPr>
          <w:rFonts w:asciiTheme="majorBidi" w:hAnsiTheme="majorBidi" w:cstheme="majorBidi"/>
          <w:lang w:bidi="ar"/>
        </w:rPr>
        <w:t>2019</w:t>
      </w:r>
      <w:r w:rsidRPr="007C2480">
        <w:rPr>
          <w:rFonts w:ascii="Traditional Arabic" w:hAnsi="Traditional Arabic" w:cs="Traditional Arabic"/>
          <w:lang w:bidi="ar"/>
        </w:rPr>
        <w:t xml:space="preserve">). </w:t>
      </w:r>
      <w:r w:rsidRPr="007C2480">
        <w:rPr>
          <w:rFonts w:ascii="Traditional Arabic" w:hAnsi="Traditional Arabic" w:cs="Traditional Arabic"/>
          <w:rtl/>
        </w:rPr>
        <w:t>استخدمت الدراسة تقديرات</w:t>
      </w:r>
      <w:r w:rsidRPr="007C2480">
        <w:rPr>
          <w:rFonts w:ascii="Traditional Arabic" w:hAnsi="Traditional Arabic" w:cs="Traditional Arabic"/>
          <w:lang w:bidi="ar"/>
        </w:rPr>
        <w:t xml:space="preserve"> </w:t>
      </w:r>
      <w:r w:rsidRPr="007C2480">
        <w:rPr>
          <w:rFonts w:asciiTheme="majorBidi" w:hAnsiTheme="majorBidi" w:cstheme="majorBidi"/>
          <w:lang w:bidi="ar"/>
        </w:rPr>
        <w:t>OLS</w:t>
      </w:r>
      <w:r w:rsidRPr="007C2480">
        <w:rPr>
          <w:rFonts w:ascii="Traditional Arabic" w:hAnsi="Traditional Arabic" w:cs="Traditional Arabic"/>
          <w:lang w:bidi="ar"/>
        </w:rPr>
        <w:t xml:space="preserve"> </w:t>
      </w:r>
      <w:r w:rsidRPr="007C2480">
        <w:rPr>
          <w:rFonts w:ascii="Traditional Arabic" w:hAnsi="Traditional Arabic" w:cs="Traditional Arabic"/>
          <w:rtl/>
        </w:rPr>
        <w:t>وتفكيك القدرة التفسيرية</w:t>
      </w:r>
      <w:r w:rsidRPr="007C2480">
        <w:rPr>
          <w:rFonts w:ascii="Traditional Arabic" w:hAnsi="Traditional Arabic" w:cs="Traditional Arabic"/>
          <w:lang w:bidi="ar"/>
        </w:rPr>
        <w:t xml:space="preserve"> (</w:t>
      </w:r>
      <w:r w:rsidRPr="007C2480">
        <w:rPr>
          <w:rFonts w:asciiTheme="majorBidi" w:hAnsiTheme="majorBidi" w:cstheme="majorBidi"/>
          <w:lang w:bidi="ar"/>
        </w:rPr>
        <w:t>Shapley</w:t>
      </w:r>
      <w:r w:rsidRPr="007C2480">
        <w:rPr>
          <w:rFonts w:ascii="Traditional Arabic" w:hAnsi="Traditional Arabic" w:cs="Traditional Arabic"/>
          <w:lang w:bidi="ar"/>
        </w:rPr>
        <w:t xml:space="preserve"> </w:t>
      </w:r>
      <w:r w:rsidRPr="007C2480">
        <w:rPr>
          <w:rFonts w:asciiTheme="majorBidi" w:hAnsiTheme="majorBidi" w:cstheme="majorBidi"/>
          <w:lang w:bidi="ar"/>
        </w:rPr>
        <w:t>values</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توصلت النتائج إلى: (1) أثر إيجابي متوسط </w:t>
      </w:r>
      <w:proofErr w:type="spellStart"/>
      <w:r w:rsidRPr="007C2480">
        <w:rPr>
          <w:rFonts w:ascii="Traditional Arabic" w:hAnsi="Traditional Arabic" w:cs="Traditional Arabic"/>
          <w:rtl/>
        </w:rPr>
        <w:t>للرقمنة</w:t>
      </w:r>
      <w:proofErr w:type="spellEnd"/>
      <w:r w:rsidRPr="007C2480">
        <w:rPr>
          <w:rFonts w:ascii="Traditional Arabic" w:hAnsi="Traditional Arabic" w:cs="Traditional Arabic"/>
          <w:rtl/>
        </w:rPr>
        <w:t xml:space="preserve"> على الرضا الوظيفي (بمتوسط 3.47 على مقياس خماسي لتأثير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مع تفسير هذا الأثر أساسًا عبر زيادة الإنتاجية وجعل العمل أكثر “إثارة/اهتمامًا”؛ و(2) أن أهم القنوات السلبية كانت زيادة ضغط الوقت وتدهور توازن الحياة والعمل مقارنة بخوف فقدان الوظيفة؛ و(3) وجود </w:t>
      </w:r>
      <w:proofErr w:type="spellStart"/>
      <w:r w:rsidRPr="007C2480">
        <w:rPr>
          <w:rFonts w:ascii="Traditional Arabic" w:hAnsi="Traditional Arabic" w:cs="Traditional Arabic"/>
          <w:rtl/>
        </w:rPr>
        <w:t>تغايرات</w:t>
      </w:r>
      <w:proofErr w:type="spellEnd"/>
      <w:r w:rsidRPr="007C2480">
        <w:rPr>
          <w:rFonts w:ascii="Traditional Arabic" w:hAnsi="Traditional Arabic" w:cs="Traditional Arabic"/>
          <w:rtl/>
        </w:rPr>
        <w:t xml:space="preserve"> بحسب الجنس والعمر والمستوى الإداري</w:t>
      </w:r>
      <w:r w:rsidRPr="007C2480">
        <w:rPr>
          <w:rFonts w:ascii="Traditional Arabic" w:hAnsi="Traditional Arabic" w:cs="Traditional Arabic"/>
          <w:lang w:bidi="ar"/>
        </w:rPr>
        <w:t>.</w:t>
      </w:r>
    </w:p>
    <w:p w14:paraId="37CA6B27" w14:textId="77777777" w:rsidR="00C37F6C" w:rsidRDefault="00C37F6C" w:rsidP="00EB0259">
      <w:pPr>
        <w:bidi/>
        <w:spacing w:after="160" w:line="360" w:lineRule="auto"/>
        <w:divId w:val="1647278641"/>
        <w:rPr>
          <w:rFonts w:ascii="Traditional Arabic" w:hAnsi="Traditional Arabic" w:cs="Traditional Arabic"/>
          <w:b/>
          <w:bCs/>
          <w:rtl/>
        </w:rPr>
      </w:pPr>
    </w:p>
    <w:p w14:paraId="400DCCE2" w14:textId="3FE7B9A9" w:rsidR="00B64312" w:rsidRPr="00DB3C7B" w:rsidRDefault="00B64312" w:rsidP="00C37F6C">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تعليق تحليلي (محور الرضا الوظيفي)</w:t>
      </w:r>
      <w:r w:rsidRPr="00DB3C7B">
        <w:rPr>
          <w:rFonts w:ascii="Traditional Arabic" w:hAnsi="Traditional Arabic" w:cs="Traditional Arabic"/>
          <w:b/>
          <w:bCs/>
        </w:rPr>
        <w:t>:</w:t>
      </w:r>
    </w:p>
    <w:p w14:paraId="6C79D763"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يظهر من الأدبيات أن الرضا الوظيفي في سياق التحول الرقمي يتحدد جزئيًا عبر “خصائص العمل” التي تتغير بفعل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(مثل الاستقلالية، المرونة، التعلم/التدريب، ضغط الوقت) أكثر من كونه انعكاسًا مباشرًا لوجود التقنية بحد ذاته</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Lechevalier</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Mofakhami</w:t>
      </w:r>
      <w:proofErr w:type="spellEnd"/>
      <w:r w:rsidRPr="007C2480">
        <w:rPr>
          <w:rFonts w:ascii="Traditional Arabic" w:hAnsi="Traditional Arabic" w:cs="Traditional Arabic"/>
          <w:lang w:bidi="ar"/>
        </w:rPr>
        <w:t xml:space="preserve">, </w:t>
      </w:r>
      <w:r w:rsidRPr="007C2480">
        <w:rPr>
          <w:rFonts w:asciiTheme="majorBidi" w:hAnsiTheme="majorBidi" w:cstheme="majorBidi"/>
          <w:lang w:bidi="ar"/>
        </w:rPr>
        <w:t>2025</w:t>
      </w:r>
      <w:r w:rsidRPr="007C2480">
        <w:rPr>
          <w:rFonts w:ascii="Traditional Arabic" w:hAnsi="Traditional Arabic" w:cs="Traditional Arabic"/>
          <w:rtl/>
        </w:rPr>
        <w:t>؛</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Bolli</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Pusterla</w:t>
      </w:r>
      <w:proofErr w:type="spellEnd"/>
      <w:r w:rsidRPr="007C2480">
        <w:rPr>
          <w:rFonts w:ascii="Traditional Arabic" w:hAnsi="Traditional Arabic" w:cs="Traditional Arabic"/>
          <w:lang w:bidi="ar"/>
        </w:rPr>
        <w:t xml:space="preserve">, 2022). </w:t>
      </w:r>
      <w:r w:rsidRPr="007C2480">
        <w:rPr>
          <w:rFonts w:ascii="Traditional Arabic" w:hAnsi="Traditional Arabic" w:cs="Traditional Arabic"/>
          <w:rtl/>
        </w:rPr>
        <w:t>كما يبرز أن الرضا الوظيفي يتفاعل مع متغيرات نفسية/تنظيمية في “بيئات عمل رقمية” (مثل الأمان النفسي) بما قد يخفف آثار انسحاب/عدم اندماج الموظف</w:t>
      </w:r>
      <w:r w:rsidRPr="007C2480">
        <w:rPr>
          <w:rFonts w:ascii="Traditional Arabic" w:hAnsi="Traditional Arabic" w:cs="Traditional Arabic"/>
          <w:lang w:bidi="ar"/>
        </w:rPr>
        <w:t xml:space="preserve"> (</w:t>
      </w:r>
      <w:r w:rsidRPr="007C2480">
        <w:rPr>
          <w:rFonts w:asciiTheme="majorBidi" w:hAnsiTheme="majorBidi" w:cstheme="majorBidi"/>
          <w:lang w:bidi="ar"/>
        </w:rPr>
        <w:t>Kim</w:t>
      </w:r>
      <w:r w:rsidRPr="007C2480">
        <w:rPr>
          <w:rFonts w:ascii="Traditional Arabic" w:hAnsi="Traditional Arabic" w:cs="Traditional Arabic"/>
          <w:lang w:bidi="ar"/>
        </w:rPr>
        <w:t xml:space="preserve"> &amp; </w:t>
      </w:r>
      <w:r w:rsidRPr="007C2480">
        <w:rPr>
          <w:rFonts w:asciiTheme="majorBidi" w:hAnsiTheme="majorBidi" w:cstheme="majorBidi"/>
          <w:lang w:bidi="ar"/>
        </w:rPr>
        <w:t>Sohn</w:t>
      </w:r>
      <w:r w:rsidRPr="007C2480">
        <w:rPr>
          <w:rFonts w:ascii="Traditional Arabic" w:hAnsi="Traditional Arabic" w:cs="Traditional Arabic"/>
          <w:lang w:bidi="ar"/>
        </w:rPr>
        <w:t xml:space="preserve">, </w:t>
      </w:r>
      <w:r w:rsidRPr="007C2480">
        <w:rPr>
          <w:rFonts w:asciiTheme="majorBidi" w:hAnsiTheme="majorBidi" w:cstheme="majorBidi"/>
          <w:lang w:bidi="ar"/>
        </w:rPr>
        <w:t>2024</w:t>
      </w:r>
      <w:r w:rsidRPr="007C2480">
        <w:rPr>
          <w:rFonts w:ascii="Traditional Arabic" w:hAnsi="Traditional Arabic" w:cs="Traditional Arabic"/>
          <w:lang w:bidi="ar"/>
        </w:rPr>
        <w:t xml:space="preserve">). </w:t>
      </w:r>
      <w:r w:rsidRPr="007C2480">
        <w:rPr>
          <w:rFonts w:ascii="Traditional Arabic" w:hAnsi="Traditional Arabic" w:cs="Traditional Arabic"/>
          <w:rtl/>
        </w:rPr>
        <w:t xml:space="preserve">وهذه النتائج تسند توجه الدراسة الحالية نحو نمذجة الرضا الوظيفي بوصفه مخرجًا نهائيًا يتأثر بعوامل تحويلية (أبعاد التحول الرقمي المؤسسي) وبآليات تفسيرية (قبول التقنية/الإجهاد التقني) </w:t>
      </w:r>
      <w:proofErr w:type="spellStart"/>
      <w:r w:rsidRPr="007C2480">
        <w:rPr>
          <w:rFonts w:ascii="Traditional Arabic" w:hAnsi="Traditional Arabic" w:cs="Traditional Arabic"/>
          <w:rtl/>
        </w:rPr>
        <w:t>وبتغايرات</w:t>
      </w:r>
      <w:proofErr w:type="spellEnd"/>
      <w:r w:rsidRPr="007C2480">
        <w:rPr>
          <w:rFonts w:ascii="Traditional Arabic" w:hAnsi="Traditional Arabic" w:cs="Traditional Arabic"/>
          <w:rtl/>
        </w:rPr>
        <w:t xml:space="preserve"> فردية</w:t>
      </w:r>
      <w:r w:rsidRPr="007C2480">
        <w:rPr>
          <w:rFonts w:ascii="Traditional Arabic" w:hAnsi="Traditional Arabic" w:cs="Traditional Arabic"/>
          <w:lang w:bidi="ar"/>
        </w:rPr>
        <w:t>.</w:t>
      </w:r>
    </w:p>
    <w:p w14:paraId="47C132F9" w14:textId="77777777" w:rsidR="00C37F6C" w:rsidRDefault="00C37F6C" w:rsidP="00EB0259">
      <w:pPr>
        <w:bidi/>
        <w:spacing w:after="160" w:line="360" w:lineRule="auto"/>
        <w:divId w:val="1647278641"/>
        <w:rPr>
          <w:rFonts w:ascii="Traditional Arabic" w:hAnsi="Traditional Arabic" w:cs="Traditional Arabic"/>
          <w:b/>
          <w:bCs/>
          <w:rtl/>
        </w:rPr>
      </w:pPr>
    </w:p>
    <w:p w14:paraId="1948D047" w14:textId="6B7D7A14" w:rsidR="00B64312" w:rsidRPr="00DB3C7B" w:rsidRDefault="00B64312" w:rsidP="00C37F6C">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دراسات الربط بين المتغيرات في نموذج الدراسة</w:t>
      </w:r>
    </w:p>
    <w:p w14:paraId="196AE912"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على مستوى الربط بين المتغيرات، يمكن تمييز أربع إشارات رئيسية في الأدبيات ذات الصلة بنموذج الدراسة الحالية</w:t>
      </w:r>
      <w:r w:rsidRPr="007C2480">
        <w:rPr>
          <w:rFonts w:ascii="Traditional Arabic" w:hAnsi="Traditional Arabic" w:cs="Traditional Arabic"/>
          <w:lang w:bidi="ar"/>
        </w:rPr>
        <w:t>:</w:t>
      </w:r>
    </w:p>
    <w:p w14:paraId="357C10A3"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أولًا، توجد أدلة داعمة لفكرة أن التحول الرقمي قد يحسن مخرجات العمل عبر رفع الرضا الوظيفي أو خفض الضغوط، أي عبر مسارات غير مباشرة</w:t>
      </w:r>
      <w:r w:rsidRPr="007C2480">
        <w:rPr>
          <w:rFonts w:ascii="Traditional Arabic" w:hAnsi="Traditional Arabic" w:cs="Traditional Arabic"/>
          <w:lang w:bidi="ar"/>
        </w:rPr>
        <w:t xml:space="preserve">. </w:t>
      </w:r>
      <w:r w:rsidRPr="007C2480">
        <w:rPr>
          <w:rFonts w:ascii="Traditional Arabic" w:hAnsi="Traditional Arabic" w:cs="Traditional Arabic"/>
          <w:rtl/>
        </w:rPr>
        <w:t>فدراسة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Khuc</w:t>
      </w:r>
      <w:proofErr w:type="spellEnd"/>
      <w:r w:rsidRPr="007C2480">
        <w:rPr>
          <w:rFonts w:ascii="Traditional Arabic" w:hAnsi="Traditional Arabic" w:cs="Traditional Arabic"/>
          <w:lang w:bidi="ar"/>
        </w:rPr>
        <w:t xml:space="preserve"> &amp; </w:t>
      </w:r>
      <w:r w:rsidRPr="007C2480">
        <w:rPr>
          <w:rFonts w:asciiTheme="majorBidi" w:hAnsiTheme="majorBidi" w:cstheme="majorBidi"/>
          <w:lang w:bidi="ar"/>
        </w:rPr>
        <w:t>Nguyen</w:t>
      </w:r>
      <w:r w:rsidRPr="007C2480">
        <w:rPr>
          <w:rFonts w:ascii="Traditional Arabic" w:hAnsi="Traditional Arabic" w:cs="Traditional Arabic"/>
          <w:lang w:bidi="ar"/>
        </w:rPr>
        <w:t xml:space="preserve">, 2025) </w:t>
      </w:r>
      <w:r w:rsidRPr="007C2480">
        <w:rPr>
          <w:rFonts w:ascii="Traditional Arabic" w:hAnsi="Traditional Arabic" w:cs="Traditional Arabic"/>
          <w:rtl/>
        </w:rPr>
        <w:t>تُظهر قناة غير مباشرة واضحة: الاستثمار في التحول الرقمي يرتبط بزيادة الرضا الوظيفي وخفض ضغط العمل بما يرفع الأداء</w:t>
      </w:r>
      <w:r w:rsidRPr="007C2480">
        <w:rPr>
          <w:rFonts w:ascii="Traditional Arabic" w:hAnsi="Traditional Arabic" w:cs="Traditional Arabic"/>
          <w:lang w:bidi="ar"/>
        </w:rPr>
        <w:t>.</w:t>
      </w:r>
    </w:p>
    <w:p w14:paraId="7397006C"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ثانيًا، تقدم أدبيات الإجهاد التقني دليلًا قويًا على أن “صانعات” الإجهاد التقني تضعف الرضا الوظيفي، وأن موارد تنظيمية/دعمًا إداريًا يمكن أن تعمل كعوامل تخفيف/وساطة أو تعديل. وهذا يتسق مع المسار المتوقع في الدراسة الحالية (التحول الرقمي المؤسسي </w:t>
      </w:r>
      <w:r w:rsidRPr="007C2480">
        <w:rPr>
          <w:rFonts w:hint="cs"/>
          <w:rtl/>
        </w:rPr>
        <w:t>→</w:t>
      </w:r>
      <w:r w:rsidRPr="007C2480">
        <w:rPr>
          <w:rFonts w:ascii="Traditional Arabic" w:hAnsi="Traditional Arabic" w:cs="Traditional Arabic"/>
          <w:rtl/>
        </w:rPr>
        <w:t xml:space="preserve"> الإجهاد التقني </w:t>
      </w:r>
      <w:r w:rsidRPr="007C2480">
        <w:rPr>
          <w:rFonts w:hint="cs"/>
          <w:rtl/>
        </w:rPr>
        <w:t>→</w:t>
      </w:r>
      <w:r w:rsidRPr="007C2480">
        <w:rPr>
          <w:rFonts w:ascii="Traditional Arabic" w:hAnsi="Traditional Arabic" w:cs="Traditional Arabic"/>
          <w:rtl/>
        </w:rPr>
        <w:t xml:space="preserve"> الرضا الوظيفي)، إذ توضح دراسة</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Alshammary</w:t>
      </w:r>
      <w:proofErr w:type="spellEnd"/>
      <w:r w:rsidRPr="007C2480">
        <w:rPr>
          <w:rFonts w:ascii="Traditional Arabic" w:hAnsi="Traditional Arabic" w:cs="Traditional Arabic"/>
          <w:lang w:bidi="ar"/>
        </w:rPr>
        <w:t xml:space="preserve"> &amp; </w:t>
      </w:r>
      <w:proofErr w:type="spellStart"/>
      <w:r w:rsidRPr="007C2480">
        <w:rPr>
          <w:rFonts w:asciiTheme="majorBidi" w:hAnsiTheme="majorBidi" w:cstheme="majorBidi"/>
          <w:lang w:bidi="ar"/>
        </w:rPr>
        <w:t>Hilmi</w:t>
      </w:r>
      <w:proofErr w:type="spellEnd"/>
      <w:r w:rsidRPr="007C2480">
        <w:rPr>
          <w:rFonts w:ascii="Traditional Arabic" w:hAnsi="Traditional Arabic" w:cs="Traditional Arabic"/>
          <w:lang w:bidi="ar"/>
        </w:rPr>
        <w:t xml:space="preserve">, 2024) </w:t>
      </w:r>
      <w:r w:rsidRPr="007C2480">
        <w:rPr>
          <w:rFonts w:ascii="Traditional Arabic" w:hAnsi="Traditional Arabic" w:cs="Traditional Arabic"/>
          <w:rtl/>
        </w:rPr>
        <w:t xml:space="preserve">أن ضغوط التقنية تقلل </w:t>
      </w:r>
      <w:r w:rsidRPr="007C2480">
        <w:rPr>
          <w:rFonts w:ascii="Traditional Arabic" w:hAnsi="Traditional Arabic" w:cs="Traditional Arabic"/>
          <w:rtl/>
        </w:rPr>
        <w:lastRenderedPageBreak/>
        <w:t xml:space="preserve">الرضا الوظيفي وأن الدعم الإشرافي ووضوح الدور يتوسطان/يخففان هذا الأثر، كما توضح </w:t>
      </w:r>
      <w:r w:rsidRPr="007C2480">
        <w:rPr>
          <w:rFonts w:asciiTheme="majorBidi" w:hAnsiTheme="majorBidi" w:cstheme="majorBidi"/>
          <w:rtl/>
          <w:lang w:bidi="ar"/>
        </w:rPr>
        <w:t>دراسة</w:t>
      </w:r>
      <w:r w:rsidRPr="007C2480">
        <w:rPr>
          <w:rFonts w:asciiTheme="majorBidi" w:hAnsiTheme="majorBidi" w:cstheme="majorBidi"/>
          <w:lang w:bidi="ar"/>
        </w:rPr>
        <w:t xml:space="preserve"> (Al-Ansari &amp; </w:t>
      </w:r>
      <w:proofErr w:type="spellStart"/>
      <w:r w:rsidRPr="007C2480">
        <w:rPr>
          <w:rFonts w:asciiTheme="majorBidi" w:hAnsiTheme="majorBidi" w:cstheme="majorBidi"/>
          <w:lang w:bidi="ar"/>
        </w:rPr>
        <w:t>Alshare</w:t>
      </w:r>
      <w:proofErr w:type="spellEnd"/>
      <w:r w:rsidRPr="007C2480">
        <w:rPr>
          <w:rFonts w:asciiTheme="majorBidi" w:hAnsiTheme="majorBidi" w:cstheme="majorBidi"/>
          <w:lang w:bidi="ar"/>
        </w:rPr>
        <w:t xml:space="preserve">, 2019) </w:t>
      </w:r>
      <w:r w:rsidRPr="007C2480">
        <w:rPr>
          <w:rFonts w:ascii="Traditional Arabic" w:hAnsi="Traditional Arabic" w:cs="Traditional Arabic"/>
          <w:rtl/>
        </w:rPr>
        <w:t>أن صانعات الإجهاد التقني تقلل الرضا وأن مثبطاته ترفعه</w:t>
      </w:r>
      <w:r w:rsidRPr="007C2480">
        <w:rPr>
          <w:rFonts w:ascii="Traditional Arabic" w:hAnsi="Traditional Arabic" w:cs="Traditional Arabic"/>
          <w:lang w:bidi="ar"/>
        </w:rPr>
        <w:t>.</w:t>
      </w:r>
    </w:p>
    <w:p w14:paraId="02F82CD1"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ثالثًا، فيما يخص قبول التقنية، تُظهر الأدلة أن خصائص النظام (مثل سهولة الاستخدام، وجودة النظام والخدمة، ودعم الإدارة) ترتبط بقبول التقنية و/أو الرضا عن النظم، وأن هذا قد يمتد إلى رضا الموظف عن العمل حين تكون الأنظمة جزءًا من خبرته الوظيفية اليومية. وتقدم دراسات</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Badawy</w:t>
      </w:r>
      <w:proofErr w:type="spellEnd"/>
      <w:r w:rsidRPr="007C2480">
        <w:rPr>
          <w:rFonts w:asciiTheme="majorBidi" w:hAnsiTheme="majorBidi" w:cstheme="majorBidi"/>
          <w:lang w:bidi="ar"/>
        </w:rPr>
        <w:t xml:space="preserve">, 2025) </w:t>
      </w:r>
      <w:r w:rsidRPr="007C2480">
        <w:rPr>
          <w:rFonts w:asciiTheme="majorBidi" w:hAnsiTheme="majorBidi" w:cstheme="majorBidi"/>
          <w:rtl/>
          <w:lang w:bidi="ar"/>
        </w:rPr>
        <w:t>و</w:t>
      </w:r>
      <w:r w:rsidRPr="007C2480">
        <w:rPr>
          <w:rFonts w:asciiTheme="majorBidi" w:hAnsiTheme="majorBidi" w:cstheme="majorBidi"/>
          <w:lang w:bidi="ar"/>
        </w:rPr>
        <w:t xml:space="preserve">(Jo &amp; Park, 2023) </w:t>
      </w:r>
      <w:r w:rsidRPr="007C2480">
        <w:rPr>
          <w:rFonts w:ascii="Traditional Arabic" w:hAnsi="Traditional Arabic" w:cs="Traditional Arabic"/>
          <w:rtl/>
        </w:rPr>
        <w:t xml:space="preserve">شواهد على </w:t>
      </w:r>
      <w:r w:rsidRPr="007C2480">
        <w:rPr>
          <w:rFonts w:asciiTheme="majorBidi" w:hAnsiTheme="majorBidi" w:cstheme="majorBidi"/>
          <w:rtl/>
          <w:lang w:bidi="ar"/>
        </w:rPr>
        <w:t>ارتباط</w:t>
      </w:r>
      <w:r w:rsidRPr="007C2480">
        <w:rPr>
          <w:rFonts w:asciiTheme="majorBidi" w:hAnsiTheme="majorBidi" w:cstheme="majorBidi"/>
          <w:lang w:bidi="ar"/>
        </w:rPr>
        <w:t xml:space="preserve"> PU/PEOU</w:t>
      </w:r>
      <w:r w:rsidRPr="007C2480">
        <w:rPr>
          <w:rFonts w:ascii="Traditional Arabic" w:hAnsi="Traditional Arabic" w:cs="Traditional Arabic"/>
          <w:lang w:bidi="ar"/>
        </w:rPr>
        <w:t xml:space="preserve"> </w:t>
      </w:r>
      <w:r w:rsidRPr="007C2480">
        <w:rPr>
          <w:rFonts w:ascii="Traditional Arabic" w:hAnsi="Traditional Arabic" w:cs="Traditional Arabic"/>
          <w:rtl/>
        </w:rPr>
        <w:t>وجودة النظام/الخدمة بنتائج “رضا” ذات صلة، بينما توضح دراسة</w:t>
      </w:r>
      <w:r w:rsidRPr="007C2480">
        <w:rPr>
          <w:rFonts w:ascii="Traditional Arabic" w:hAnsi="Traditional Arabic" w:cs="Traditional Arabic"/>
          <w:lang w:bidi="ar"/>
        </w:rPr>
        <w:t xml:space="preserve"> </w:t>
      </w:r>
      <w:r w:rsidRPr="007C2480">
        <w:rPr>
          <w:rFonts w:asciiTheme="majorBidi" w:hAnsiTheme="majorBidi" w:cstheme="majorBidi"/>
          <w:lang w:bidi="ar"/>
        </w:rPr>
        <w:t>(</w:t>
      </w:r>
      <w:proofErr w:type="spellStart"/>
      <w:r w:rsidRPr="007C2480">
        <w:rPr>
          <w:rFonts w:asciiTheme="majorBidi" w:hAnsiTheme="majorBidi" w:cstheme="majorBidi"/>
          <w:lang w:bidi="ar"/>
        </w:rPr>
        <w:t>Mutambik</w:t>
      </w:r>
      <w:proofErr w:type="spellEnd"/>
      <w:r w:rsidRPr="007C2480">
        <w:rPr>
          <w:rFonts w:asciiTheme="majorBidi" w:hAnsiTheme="majorBidi" w:cstheme="majorBidi"/>
          <w:lang w:bidi="ar"/>
        </w:rPr>
        <w:t xml:space="preserve"> &amp; </w:t>
      </w:r>
      <w:proofErr w:type="spellStart"/>
      <w:r w:rsidRPr="007C2480">
        <w:rPr>
          <w:rFonts w:asciiTheme="majorBidi" w:hAnsiTheme="majorBidi" w:cstheme="majorBidi"/>
          <w:lang w:bidi="ar"/>
        </w:rPr>
        <w:t>Almuqrin</w:t>
      </w:r>
      <w:proofErr w:type="spellEnd"/>
      <w:r w:rsidRPr="007C2480">
        <w:rPr>
          <w:rFonts w:asciiTheme="majorBidi" w:hAnsiTheme="majorBidi" w:cstheme="majorBidi"/>
          <w:lang w:bidi="ar"/>
        </w:rPr>
        <w:t>, 2024)</w:t>
      </w:r>
      <w:r w:rsidRPr="007C2480">
        <w:rPr>
          <w:rFonts w:ascii="Traditional Arabic" w:hAnsi="Traditional Arabic" w:cs="Traditional Arabic"/>
          <w:lang w:bidi="ar"/>
        </w:rPr>
        <w:t xml:space="preserve"> </w:t>
      </w:r>
      <w:r w:rsidRPr="007C2480">
        <w:rPr>
          <w:rFonts w:ascii="Traditional Arabic" w:hAnsi="Traditional Arabic" w:cs="Traditional Arabic"/>
          <w:rtl/>
        </w:rPr>
        <w:t>أن دعم الإدارة والمنافع المتصورة يعززان نية قبول التحول الرقمي. غير أن معظم هذه الأعمال تقيس الرضا بوصفه “رضا مستخدم/رضا عن النظام” أو “نية قبول” أكثر من قياسها “الرضا الوظيفي” كمخرج نهائي داخل نموذج واحد متكامل</w:t>
      </w:r>
      <w:r w:rsidRPr="007C2480">
        <w:rPr>
          <w:rFonts w:ascii="Traditional Arabic" w:hAnsi="Traditional Arabic" w:cs="Traditional Arabic"/>
          <w:lang w:bidi="ar"/>
        </w:rPr>
        <w:t>.</w:t>
      </w:r>
    </w:p>
    <w:p w14:paraId="05DC11E4"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رابعًا، تبرز الأدلة المقارنة أن الأثر المباشر </w:t>
      </w:r>
      <w:proofErr w:type="spellStart"/>
      <w:r w:rsidRPr="007C2480">
        <w:rPr>
          <w:rFonts w:ascii="Traditional Arabic" w:hAnsi="Traditional Arabic" w:cs="Traditional Arabic"/>
          <w:rtl/>
        </w:rPr>
        <w:t>للرقمنة</w:t>
      </w:r>
      <w:proofErr w:type="spellEnd"/>
      <w:r w:rsidRPr="007C2480">
        <w:rPr>
          <w:rFonts w:ascii="Traditional Arabic" w:hAnsi="Traditional Arabic" w:cs="Traditional Arabic"/>
          <w:rtl/>
        </w:rPr>
        <w:t xml:space="preserve"> على الرضا الوظيفي قد يكون غير دال، بينما تظهر الآثار عبر وسطاء تنظيم العمل والمهارات الرقمية؛ وهو ما يدعم ضرورة تضمين وسيط/وسطاء في النموذج بدل الاقتصار على المسار المباشر فقط</w:t>
      </w:r>
      <w:r w:rsidRPr="007C2480">
        <w:rPr>
          <w:rFonts w:ascii="Traditional Arabic" w:hAnsi="Traditional Arabic" w:cs="Traditional Arabic"/>
          <w:lang w:bidi="ar"/>
        </w:rPr>
        <w:t xml:space="preserve"> (</w:t>
      </w:r>
      <w:proofErr w:type="spellStart"/>
      <w:r w:rsidRPr="007C2480">
        <w:rPr>
          <w:rFonts w:asciiTheme="majorBidi" w:hAnsiTheme="majorBidi" w:cstheme="majorBidi"/>
          <w:lang w:bidi="ar"/>
        </w:rPr>
        <w:t>Lechevalier</w:t>
      </w:r>
      <w:proofErr w:type="spellEnd"/>
      <w:r w:rsidRPr="007C2480">
        <w:rPr>
          <w:rFonts w:asciiTheme="majorBidi" w:hAnsiTheme="majorBidi" w:cstheme="majorBidi"/>
          <w:lang w:bidi="ar"/>
        </w:rPr>
        <w:t xml:space="preserve"> &amp; </w:t>
      </w:r>
      <w:proofErr w:type="spellStart"/>
      <w:r w:rsidRPr="007C2480">
        <w:rPr>
          <w:rFonts w:asciiTheme="majorBidi" w:hAnsiTheme="majorBidi" w:cstheme="majorBidi"/>
          <w:lang w:bidi="ar"/>
        </w:rPr>
        <w:t>Mofakhami</w:t>
      </w:r>
      <w:proofErr w:type="spellEnd"/>
      <w:r w:rsidRPr="007C2480">
        <w:rPr>
          <w:rFonts w:asciiTheme="majorBidi" w:hAnsiTheme="majorBidi" w:cstheme="majorBidi"/>
          <w:lang w:bidi="ar"/>
        </w:rPr>
        <w:t>, 2025).</w:t>
      </w:r>
    </w:p>
    <w:p w14:paraId="3458C298" w14:textId="77777777" w:rsidR="00C37F6C" w:rsidRDefault="00C37F6C" w:rsidP="00EB0259">
      <w:pPr>
        <w:bidi/>
        <w:spacing w:after="160" w:line="360" w:lineRule="auto"/>
        <w:divId w:val="1647278641"/>
        <w:rPr>
          <w:rFonts w:ascii="Traditional Arabic" w:hAnsi="Traditional Arabic" w:cs="Traditional Arabic"/>
          <w:b/>
          <w:bCs/>
          <w:rtl/>
        </w:rPr>
      </w:pPr>
    </w:p>
    <w:p w14:paraId="66A701A3" w14:textId="59CD4EE6" w:rsidR="00B64312" w:rsidRPr="00DB3C7B" w:rsidRDefault="00B64312" w:rsidP="00C37F6C">
      <w:pPr>
        <w:bidi/>
        <w:spacing w:after="160" w:line="360" w:lineRule="auto"/>
        <w:divId w:val="1647278641"/>
        <w:rPr>
          <w:rFonts w:ascii="Traditional Arabic" w:hAnsi="Traditional Arabic" w:cs="Traditional Arabic"/>
          <w:b/>
          <w:bCs/>
        </w:rPr>
      </w:pPr>
      <w:r w:rsidRPr="00DB3C7B">
        <w:rPr>
          <w:rFonts w:ascii="Traditional Arabic" w:hAnsi="Traditional Arabic" w:cs="Traditional Arabic"/>
          <w:b/>
          <w:bCs/>
          <w:rtl/>
        </w:rPr>
        <w:t>الفجوة البحثية</w:t>
      </w:r>
    </w:p>
    <w:p w14:paraId="2FF6C8B0" w14:textId="77777777" w:rsidR="00B64312" w:rsidRPr="007C2480" w:rsidRDefault="00B64312" w:rsidP="00EB0259">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في ضوء ما سبق، يمكن صياغة الفجوة البحثية التي تعالجها الدراسة الحالية على النحو الآتي</w:t>
      </w:r>
      <w:r w:rsidRPr="007C2480">
        <w:rPr>
          <w:rFonts w:ascii="Traditional Arabic" w:hAnsi="Traditional Arabic" w:cs="Traditional Arabic"/>
          <w:lang w:bidi="ar"/>
        </w:rPr>
        <w:t>:</w:t>
      </w:r>
      <w:r w:rsidRPr="007C2480">
        <w:rPr>
          <w:rFonts w:ascii="Traditional Arabic" w:hAnsi="Traditional Arabic" w:cs="Traditional Arabic"/>
          <w:lang w:bidi="ar"/>
        </w:rPr>
        <w:br/>
      </w:r>
      <w:r w:rsidRPr="007C2480">
        <w:rPr>
          <w:rFonts w:ascii="Traditional Arabic" w:hAnsi="Traditional Arabic" w:cs="Traditional Arabic"/>
          <w:rtl/>
        </w:rPr>
        <w:t>على الرغم من توافر أدلة حديثة على أن التحول الرقمي يرتبط بتحسين اتجاهات الموظفين ورضاهم في سياقات متعددة، فإن جزءًا معتبرًا من الأدبيات يعالج التحول الرقمي بوصفه مفهومًا عامًا دون تفصيل أبعاده التشغيلية داخل القطاع الحكومي، أو يختبر مخرجات غير الرضا الوظيفي (مثل الأداء/الالتزام/الرفاه). كما أن أدبيات قبول التقنية غالبًا ما تقف عند مستوى “نية القبول” أو “رضا المستخدم عن النظام”، ولا تربط بصورة كافية بين قبول التقنية والرضا الوظيفي النهائي داخل نموذج واحد في سياق المؤسسات الحكومية عالية الاعتماد على المنصات الرقمية. وفي المقابل، تُظهر أدبيات الإجهاد التقني أثرًا سلبيًا متكررًا على الرضا الوظيفي، لكنها كثيرًا ما تدرس الإجهاد بمعزل عن قياس منظم لأبعاد التحول الرقمي المؤسسي التي قد ترفع الإجهاد أو تخفضه وفق جودة التنفيذ (مثل كفاءة الأنظمة، الدعم الفني والتدريب، تكامل العمليات)</w:t>
      </w:r>
      <w:r w:rsidRPr="007C2480">
        <w:rPr>
          <w:rFonts w:ascii="Traditional Arabic" w:hAnsi="Traditional Arabic" w:cs="Traditional Arabic"/>
          <w:lang w:bidi="ar"/>
        </w:rPr>
        <w:t>.</w:t>
      </w:r>
    </w:p>
    <w:p w14:paraId="297DC382" w14:textId="0024222E" w:rsidR="00C37F6C" w:rsidRDefault="00B64312" w:rsidP="00C37F6C">
      <w:pPr>
        <w:bidi/>
        <w:spacing w:after="600" w:line="360" w:lineRule="auto"/>
        <w:ind w:left="120" w:right="1200"/>
        <w:divId w:val="1647278641"/>
        <w:rPr>
          <w:rFonts w:ascii="Traditional Arabic" w:hAnsi="Traditional Arabic" w:cs="Traditional Arabic"/>
          <w:lang w:bidi="ar"/>
        </w:rPr>
      </w:pPr>
      <w:r w:rsidRPr="007C2480">
        <w:rPr>
          <w:rFonts w:ascii="Traditional Arabic" w:hAnsi="Traditional Arabic" w:cs="Traditional Arabic"/>
          <w:rtl/>
        </w:rPr>
        <w:t>وعليه تتمثل الفجوة الأكثر اتصالًا بموضوع الرسالة الحالية في غياب اختبارٍ متكامل</w:t>
      </w:r>
      <w:r w:rsidRPr="007C2480">
        <w:rPr>
          <w:rFonts w:ascii="Traditional Arabic" w:hAnsi="Traditional Arabic" w:cs="Traditional Arabic"/>
          <w:lang w:bidi="ar"/>
        </w:rPr>
        <w:t>—</w:t>
      </w:r>
      <w:r w:rsidRPr="007C2480">
        <w:rPr>
          <w:rFonts w:ascii="Traditional Arabic" w:hAnsi="Traditional Arabic" w:cs="Traditional Arabic"/>
          <w:rtl/>
        </w:rPr>
        <w:t xml:space="preserve">ضمن سياق حكومي سعودي محدد—يجمع بين: (1) قياس التحول الرقمي المؤسسي كبناء متعدد الأبعاد (توفر/كفاءة/دعم وتدريب/تكامل وتبسيط)، و(2) اختبار مسارين تفسيريين متوازيين يربطان التحول الرقمي بالرضا الوظيفي </w:t>
      </w:r>
      <w:r w:rsidRPr="007C2480">
        <w:rPr>
          <w:rFonts w:ascii="Traditional Arabic" w:hAnsi="Traditional Arabic" w:cs="Traditional Arabic"/>
          <w:rtl/>
        </w:rPr>
        <w:lastRenderedPageBreak/>
        <w:t>عبر قبول التقنية</w:t>
      </w:r>
      <w:r w:rsidRPr="007C2480">
        <w:rPr>
          <w:rFonts w:ascii="Traditional Arabic" w:hAnsi="Traditional Arabic" w:cs="Traditional Arabic"/>
          <w:lang w:bidi="ar"/>
        </w:rPr>
        <w:t xml:space="preserve"> (</w:t>
      </w:r>
      <w:r w:rsidRPr="007C2480">
        <w:rPr>
          <w:rFonts w:asciiTheme="majorBidi" w:hAnsiTheme="majorBidi" w:cstheme="majorBidi"/>
          <w:lang w:bidi="ar"/>
        </w:rPr>
        <w:t>TAM</w:t>
      </w:r>
      <w:r w:rsidRPr="007C2480">
        <w:rPr>
          <w:rFonts w:ascii="Traditional Arabic" w:hAnsi="Traditional Arabic" w:cs="Traditional Arabic"/>
          <w:lang w:bidi="ar"/>
        </w:rPr>
        <w:t xml:space="preserve">) </w:t>
      </w:r>
      <w:r w:rsidRPr="007C2480">
        <w:rPr>
          <w:rFonts w:ascii="Traditional Arabic" w:hAnsi="Traditional Arabic" w:cs="Traditional Arabic"/>
          <w:rtl/>
        </w:rPr>
        <w:t>وعبر الإجهاد التقني</w:t>
      </w:r>
      <w:r w:rsidRPr="007C2480">
        <w:rPr>
          <w:rFonts w:ascii="Traditional Arabic" w:hAnsi="Traditional Arabic" w:cs="Traditional Arabic"/>
          <w:lang w:bidi="ar"/>
        </w:rPr>
        <w:t xml:space="preserve"> (</w:t>
      </w:r>
      <w:r w:rsidRPr="007C2480">
        <w:rPr>
          <w:rFonts w:asciiTheme="majorBidi" w:hAnsiTheme="majorBidi" w:cstheme="majorBidi"/>
          <w:lang w:bidi="ar"/>
        </w:rPr>
        <w:t>Technostress</w:t>
      </w:r>
      <w:r w:rsidRPr="007C2480">
        <w:rPr>
          <w:rFonts w:ascii="Traditional Arabic" w:hAnsi="Traditional Arabic" w:cs="Traditional Arabic"/>
          <w:lang w:bidi="ar"/>
        </w:rPr>
        <w:t>)</w:t>
      </w:r>
      <w:r w:rsidRPr="007C2480">
        <w:rPr>
          <w:rFonts w:ascii="Traditional Arabic" w:hAnsi="Traditional Arabic" w:cs="Traditional Arabic"/>
          <w:rtl/>
        </w:rPr>
        <w:t>، مع (3) مراعاة اختلافات محتملة وفق خصائص ديموغرافية (مثل العمر والجنس والمستوى الوظيفي وسنوات الخبرة). إن تطبيق هذا النموذج على وزارة الموارد البشرية والتنمية الاجتماعية (كسياق تطبيقي) يسمح بسد فجوة تتعلق بخصوصية القطاع الحكومي السعودي وبآليات انتقال أثر التحول الرقمي من مستوى “التقنية/الأنظمة” إلى مستوى “اتجاهات الموظف نحو وظيفته” بما يدعم قرارات التطوير وإدارة التغيير والتدريب</w:t>
      </w:r>
      <w:r w:rsidRPr="007C2480">
        <w:rPr>
          <w:rFonts w:ascii="Traditional Arabic" w:hAnsi="Traditional Arabic" w:cs="Traditional Arabic"/>
          <w:lang w:bidi="ar"/>
        </w:rPr>
        <w:t>.</w:t>
      </w:r>
      <w:bookmarkEnd w:id="0"/>
    </w:p>
    <w:p w14:paraId="1E38B27D" w14:textId="400269B0" w:rsidR="007C2480" w:rsidRDefault="00C37F6C" w:rsidP="00C37F6C">
      <w:pPr>
        <w:rPr>
          <w:rFonts w:ascii="Traditional Arabic" w:hAnsi="Traditional Arabic" w:cs="Traditional Arabic"/>
          <w:lang w:bidi="ar"/>
        </w:rPr>
      </w:pPr>
      <w:r>
        <w:rPr>
          <w:rFonts w:ascii="Traditional Arabic" w:hAnsi="Traditional Arabic" w:cs="Traditional Arabic"/>
          <w:lang w:bidi="ar"/>
        </w:rPr>
        <w:br w:type="page"/>
      </w:r>
    </w:p>
    <w:p w14:paraId="5A160B32" w14:textId="681EEB78" w:rsidR="007C2480" w:rsidRPr="00DB3C7B" w:rsidRDefault="007C2480" w:rsidP="00DB3C7B">
      <w:pPr>
        <w:bidi/>
        <w:spacing w:after="160" w:line="360" w:lineRule="auto"/>
        <w:ind w:left="600" w:right="600"/>
        <w:jc w:val="center"/>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lastRenderedPageBreak/>
        <w:t>قائمة المراجع</w:t>
      </w:r>
    </w:p>
    <w:p w14:paraId="1AB8689D" w14:textId="4E7C5089" w:rsidR="007C2480" w:rsidRDefault="007C2480" w:rsidP="007C2480">
      <w:pPr>
        <w:pStyle w:val="NormalWeb"/>
        <w:numPr>
          <w:ilvl w:val="0"/>
          <w:numId w:val="45"/>
        </w:numPr>
        <w:spacing w:line="360" w:lineRule="auto"/>
        <w:jc w:val="left"/>
        <w:divId w:val="1647278641"/>
      </w:pPr>
      <w:proofErr w:type="spellStart"/>
      <w:r>
        <w:t>Aktan</w:t>
      </w:r>
      <w:proofErr w:type="spellEnd"/>
      <w:r>
        <w:t xml:space="preserve">, M., &amp; </w:t>
      </w:r>
      <w:proofErr w:type="spellStart"/>
      <w:r>
        <w:t>Toraman</w:t>
      </w:r>
      <w:proofErr w:type="spellEnd"/>
      <w:r>
        <w:t xml:space="preserve">, Ç. (2022). The relationship between technostress levels and job satisfaction of teachers within the COVID-19 period. </w:t>
      </w:r>
    </w:p>
    <w:p w14:paraId="2F9214A5" w14:textId="122A7283" w:rsidR="007C2480" w:rsidRDefault="007C2480" w:rsidP="007C2480">
      <w:pPr>
        <w:pStyle w:val="NormalWeb"/>
        <w:numPr>
          <w:ilvl w:val="0"/>
          <w:numId w:val="45"/>
        </w:numPr>
        <w:spacing w:line="360" w:lineRule="auto"/>
        <w:jc w:val="left"/>
        <w:divId w:val="1647278641"/>
      </w:pPr>
      <w:r>
        <w:t xml:space="preserve">Al-Ansari, M., &amp; </w:t>
      </w:r>
      <w:proofErr w:type="spellStart"/>
      <w:r>
        <w:t>Alshare</w:t>
      </w:r>
      <w:proofErr w:type="spellEnd"/>
      <w:r>
        <w:t xml:space="preserve">, K. (2019). The impact of technostress components on the </w:t>
      </w:r>
      <w:proofErr w:type="gramStart"/>
      <w:r>
        <w:t>employees</w:t>
      </w:r>
      <w:proofErr w:type="gramEnd"/>
      <w:r>
        <w:t xml:space="preserve"> satisfaction and perceived performance: The case of Qatar. </w:t>
      </w:r>
    </w:p>
    <w:p w14:paraId="122ECDF8" w14:textId="0177BDCC" w:rsidR="007C2480" w:rsidRDefault="007C2480" w:rsidP="007C2480">
      <w:pPr>
        <w:pStyle w:val="NormalWeb"/>
        <w:numPr>
          <w:ilvl w:val="0"/>
          <w:numId w:val="45"/>
        </w:numPr>
        <w:spacing w:line="360" w:lineRule="auto"/>
        <w:jc w:val="left"/>
        <w:divId w:val="1647278641"/>
      </w:pPr>
      <w:proofErr w:type="spellStart"/>
      <w:r>
        <w:t>Alshammary</w:t>
      </w:r>
      <w:proofErr w:type="spellEnd"/>
      <w:r>
        <w:t xml:space="preserve">, N., &amp; </w:t>
      </w:r>
      <w:proofErr w:type="spellStart"/>
      <w:r>
        <w:t>Hilmi</w:t>
      </w:r>
      <w:proofErr w:type="spellEnd"/>
      <w:r>
        <w:t xml:space="preserve">, M. F. (2024). Tackling techno-stress: Supervisor support and job clarity as catalysts for employee satisfaction. </w:t>
      </w:r>
    </w:p>
    <w:p w14:paraId="28A05646" w14:textId="77777777" w:rsidR="007C2480" w:rsidRDefault="007C2480" w:rsidP="007C2480">
      <w:pPr>
        <w:pStyle w:val="NormalWeb"/>
        <w:numPr>
          <w:ilvl w:val="0"/>
          <w:numId w:val="45"/>
        </w:numPr>
        <w:spacing w:line="360" w:lineRule="auto"/>
        <w:jc w:val="left"/>
        <w:divId w:val="1647278641"/>
      </w:pPr>
      <w:proofErr w:type="spellStart"/>
      <w:r>
        <w:t>Ayyagari</w:t>
      </w:r>
      <w:proofErr w:type="spellEnd"/>
      <w:r>
        <w:t xml:space="preserve">, R., Grover, V., &amp; Purvis, R. (2011). Technostress: Technological antecedents and implications. </w:t>
      </w:r>
      <w:r>
        <w:rPr>
          <w:rStyle w:val="Emphasis"/>
        </w:rPr>
        <w:t>MIS Quarterly, 35</w:t>
      </w:r>
      <w:r>
        <w:t>(4), 831–858.</w:t>
      </w:r>
    </w:p>
    <w:p w14:paraId="2A1A713B" w14:textId="74EB1614" w:rsidR="007C2480" w:rsidRDefault="007C2480" w:rsidP="007C2480">
      <w:pPr>
        <w:pStyle w:val="NormalWeb"/>
        <w:numPr>
          <w:ilvl w:val="0"/>
          <w:numId w:val="45"/>
        </w:numPr>
        <w:spacing w:line="360" w:lineRule="auto"/>
        <w:jc w:val="left"/>
        <w:divId w:val="1647278641"/>
      </w:pPr>
      <w:proofErr w:type="spellStart"/>
      <w:r>
        <w:t>Badawy</w:t>
      </w:r>
      <w:proofErr w:type="spellEnd"/>
      <w:r>
        <w:t xml:space="preserve">, (2025). The effect of perceived ease of use and usefulness of HRIS on employee satisfaction and engagement in real estate and construction sector in Egypt. </w:t>
      </w:r>
    </w:p>
    <w:p w14:paraId="5376A7F1" w14:textId="77777777" w:rsidR="007C2480" w:rsidRDefault="007C2480" w:rsidP="007C2480">
      <w:pPr>
        <w:pStyle w:val="NormalWeb"/>
        <w:numPr>
          <w:ilvl w:val="0"/>
          <w:numId w:val="45"/>
        </w:numPr>
        <w:spacing w:line="360" w:lineRule="auto"/>
        <w:jc w:val="left"/>
        <w:divId w:val="1647278641"/>
      </w:pPr>
      <w:r>
        <w:t xml:space="preserve">Baker, J. (2012). The technology–organization–environment framework. In Y. K. Dwivedi, M. R. Wade, &amp; S. L. </w:t>
      </w:r>
      <w:proofErr w:type="spellStart"/>
      <w:r>
        <w:t>Schneberger</w:t>
      </w:r>
      <w:proofErr w:type="spellEnd"/>
      <w:r>
        <w:t xml:space="preserve"> (Eds.), </w:t>
      </w:r>
      <w:r>
        <w:rPr>
          <w:rStyle w:val="Emphasis"/>
        </w:rPr>
        <w:t>Information systems theory: Explaining and predicting our digital society</w:t>
      </w:r>
      <w:r>
        <w:t xml:space="preserve"> (Vol. 1, pp. 231–245). Springer. </w:t>
      </w:r>
      <w:hyperlink r:id="rId9" w:history="1">
        <w:r>
          <w:rPr>
            <w:rStyle w:val="Hyperlink"/>
          </w:rPr>
          <w:t>https://doi.org/10.1007/978-1-4419-6108-2_12</w:t>
        </w:r>
      </w:hyperlink>
    </w:p>
    <w:p w14:paraId="0A15BBA5" w14:textId="77777777" w:rsidR="007C2480" w:rsidRDefault="007C2480" w:rsidP="007C2480">
      <w:pPr>
        <w:pStyle w:val="NormalWeb"/>
        <w:numPr>
          <w:ilvl w:val="0"/>
          <w:numId w:val="45"/>
        </w:numPr>
        <w:spacing w:line="360" w:lineRule="auto"/>
        <w:jc w:val="left"/>
        <w:divId w:val="1647278641"/>
      </w:pPr>
      <w:proofErr w:type="spellStart"/>
      <w:r>
        <w:t>Bolli</w:t>
      </w:r>
      <w:proofErr w:type="spellEnd"/>
      <w:r>
        <w:t xml:space="preserve">, T., &amp; </w:t>
      </w:r>
      <w:proofErr w:type="spellStart"/>
      <w:r>
        <w:t>Pusterla</w:t>
      </w:r>
      <w:proofErr w:type="spellEnd"/>
      <w:r>
        <w:t xml:space="preserve">, F. (2022). Decomposing the effects of digitalization on workers’ job satisfaction. </w:t>
      </w:r>
      <w:r>
        <w:rPr>
          <w:rStyle w:val="Emphasis"/>
        </w:rPr>
        <w:t>International Review of Economics, 69</w:t>
      </w:r>
      <w:r>
        <w:t xml:space="preserve">(2), 263–300. </w:t>
      </w:r>
      <w:hyperlink r:id="rId10" w:history="1">
        <w:r>
          <w:rPr>
            <w:rStyle w:val="Hyperlink"/>
          </w:rPr>
          <w:t>https://doi.org/10.1007/s12232-022-00392-6</w:t>
        </w:r>
      </w:hyperlink>
    </w:p>
    <w:p w14:paraId="7ECC5C6A" w14:textId="77777777" w:rsidR="007C2480" w:rsidRDefault="007C2480" w:rsidP="007C2480">
      <w:pPr>
        <w:pStyle w:val="NormalWeb"/>
        <w:numPr>
          <w:ilvl w:val="0"/>
          <w:numId w:val="45"/>
        </w:numPr>
        <w:spacing w:line="360" w:lineRule="auto"/>
        <w:jc w:val="left"/>
        <w:divId w:val="1647278641"/>
      </w:pPr>
      <w:r>
        <w:t xml:space="preserve">Davis, F. D. (1989). Perceived usefulness, perceived ease of use, and user acceptance of information technology. </w:t>
      </w:r>
      <w:r>
        <w:rPr>
          <w:rStyle w:val="Emphasis"/>
        </w:rPr>
        <w:t>MIS Quarterly, 13</w:t>
      </w:r>
      <w:r>
        <w:t>(3), 319–340.</w:t>
      </w:r>
    </w:p>
    <w:p w14:paraId="0102468C" w14:textId="77777777" w:rsidR="007C2480" w:rsidRDefault="007C2480" w:rsidP="007C2480">
      <w:pPr>
        <w:pStyle w:val="NormalWeb"/>
        <w:numPr>
          <w:ilvl w:val="0"/>
          <w:numId w:val="45"/>
        </w:numPr>
        <w:spacing w:line="360" w:lineRule="auto"/>
        <w:jc w:val="left"/>
        <w:divId w:val="1647278641"/>
      </w:pPr>
      <w:proofErr w:type="spellStart"/>
      <w:r>
        <w:t>DeLone</w:t>
      </w:r>
      <w:proofErr w:type="spellEnd"/>
      <w:r>
        <w:t xml:space="preserve">, W. H., &amp; McLean, E. R. (2003). The </w:t>
      </w:r>
      <w:proofErr w:type="spellStart"/>
      <w:r>
        <w:t>DeLone</w:t>
      </w:r>
      <w:proofErr w:type="spellEnd"/>
      <w:r>
        <w:t xml:space="preserve"> and McLean model of information systems success: A ten-year update. </w:t>
      </w:r>
      <w:r>
        <w:rPr>
          <w:rStyle w:val="Emphasis"/>
        </w:rPr>
        <w:t>Journal of Management Information Systems, 19</w:t>
      </w:r>
      <w:r>
        <w:t xml:space="preserve">(4), 9–30. </w:t>
      </w:r>
      <w:hyperlink r:id="rId11" w:history="1">
        <w:r>
          <w:rPr>
            <w:rStyle w:val="Hyperlink"/>
          </w:rPr>
          <w:t>https://doi.org/10.1080/07421222.2003.11045748</w:t>
        </w:r>
      </w:hyperlink>
    </w:p>
    <w:p w14:paraId="4F591C09" w14:textId="77777777" w:rsidR="007C2480" w:rsidRDefault="007C2480" w:rsidP="007C2480">
      <w:pPr>
        <w:pStyle w:val="NormalWeb"/>
        <w:numPr>
          <w:ilvl w:val="0"/>
          <w:numId w:val="45"/>
        </w:numPr>
        <w:spacing w:line="360" w:lineRule="auto"/>
        <w:jc w:val="left"/>
        <w:divId w:val="1647278641"/>
      </w:pPr>
      <w:proofErr w:type="spellStart"/>
      <w:r>
        <w:t>Golz</w:t>
      </w:r>
      <w:proofErr w:type="spellEnd"/>
      <w:r>
        <w:t xml:space="preserve">, C., Peter, K. A., </w:t>
      </w:r>
      <w:proofErr w:type="spellStart"/>
      <w:r>
        <w:t>Zwakhalen</w:t>
      </w:r>
      <w:proofErr w:type="spellEnd"/>
      <w:r>
        <w:t xml:space="preserve">, S. M. G., Hahn, S., &amp; Hodel, M. (2021). Technostress and digital competence among health professionals </w:t>
      </w:r>
      <w:r>
        <w:lastRenderedPageBreak/>
        <w:t xml:space="preserve">in Swiss psychiatric hospitals: Cross-sectional study. </w:t>
      </w:r>
      <w:r>
        <w:rPr>
          <w:rStyle w:val="Emphasis"/>
        </w:rPr>
        <w:t>JMIR Mental Health, 8</w:t>
      </w:r>
      <w:r>
        <w:t xml:space="preserve">(2), e26467. </w:t>
      </w:r>
      <w:hyperlink r:id="rId12" w:history="1">
        <w:r>
          <w:rPr>
            <w:rStyle w:val="Hyperlink"/>
          </w:rPr>
          <w:t>https://doi.org/10.2196/26467</w:t>
        </w:r>
      </w:hyperlink>
    </w:p>
    <w:p w14:paraId="2895616F" w14:textId="14A0A185" w:rsidR="007C2480" w:rsidRDefault="007C2480" w:rsidP="007C2480">
      <w:pPr>
        <w:pStyle w:val="NormalWeb"/>
        <w:numPr>
          <w:ilvl w:val="0"/>
          <w:numId w:val="45"/>
        </w:numPr>
        <w:spacing w:line="360" w:lineRule="auto"/>
        <w:jc w:val="left"/>
        <w:divId w:val="1647278641"/>
      </w:pPr>
      <w:proofErr w:type="spellStart"/>
      <w:r>
        <w:t>Hanelt</w:t>
      </w:r>
      <w:proofErr w:type="spellEnd"/>
      <w:r>
        <w:t xml:space="preserve">, A., (2021). A systematic review of the literature on digital transformation: Insights and implications for strategy and organizational change. </w:t>
      </w:r>
    </w:p>
    <w:p w14:paraId="05C7AE4D" w14:textId="71612BAD" w:rsidR="007C2480" w:rsidRDefault="007C2480" w:rsidP="007C2480">
      <w:pPr>
        <w:pStyle w:val="NormalWeb"/>
        <w:numPr>
          <w:ilvl w:val="0"/>
          <w:numId w:val="45"/>
        </w:numPr>
        <w:spacing w:line="360" w:lineRule="auto"/>
        <w:jc w:val="left"/>
        <w:divId w:val="1647278641"/>
      </w:pPr>
      <w:r>
        <w:t xml:space="preserve">Jo, H., &amp; Park, H. (2023). Mechanisms for successful management of enterprise resource planning from user information processing and system quality perspective. </w:t>
      </w:r>
      <w:r>
        <w:rPr>
          <w:rStyle w:val="Emphasis"/>
        </w:rPr>
        <w:t>Scientific Reports, 13</w:t>
      </w:r>
    </w:p>
    <w:p w14:paraId="587684AE" w14:textId="1695BE9B" w:rsidR="007C2480" w:rsidRDefault="007C2480" w:rsidP="007C2480">
      <w:pPr>
        <w:pStyle w:val="NormalWeb"/>
        <w:numPr>
          <w:ilvl w:val="0"/>
          <w:numId w:val="45"/>
        </w:numPr>
        <w:spacing w:line="360" w:lineRule="auto"/>
        <w:jc w:val="left"/>
        <w:divId w:val="1647278641"/>
      </w:pPr>
      <w:proofErr w:type="spellStart"/>
      <w:r>
        <w:t>Kadi</w:t>
      </w:r>
      <w:proofErr w:type="spellEnd"/>
      <w:r>
        <w:t xml:space="preserve">, (2024). Digital transformation and employee involvement: Employees’ perspective in Saudi Arabia’s public sector. </w:t>
      </w:r>
    </w:p>
    <w:p w14:paraId="55CCF6B4" w14:textId="5B7FA6AD" w:rsidR="007C2480" w:rsidRDefault="007C2480" w:rsidP="007C2480">
      <w:pPr>
        <w:pStyle w:val="NormalWeb"/>
        <w:numPr>
          <w:ilvl w:val="0"/>
          <w:numId w:val="45"/>
        </w:numPr>
        <w:spacing w:line="360" w:lineRule="auto"/>
        <w:jc w:val="left"/>
        <w:divId w:val="1647278641"/>
      </w:pPr>
      <w:proofErr w:type="spellStart"/>
      <w:r>
        <w:t>Khuc</w:t>
      </w:r>
      <w:proofErr w:type="spellEnd"/>
      <w:r>
        <w:t xml:space="preserve">, &amp; Nguyen, (2025). The impact of digital transformation on job performance: The mediating role of job satisfaction and work pressure. </w:t>
      </w:r>
    </w:p>
    <w:p w14:paraId="33213C05" w14:textId="780F1FAD" w:rsidR="007C2480" w:rsidRDefault="007C2480" w:rsidP="007C2480">
      <w:pPr>
        <w:pStyle w:val="NormalWeb"/>
        <w:numPr>
          <w:ilvl w:val="0"/>
          <w:numId w:val="45"/>
        </w:numPr>
        <w:spacing w:line="360" w:lineRule="auto"/>
        <w:jc w:val="left"/>
        <w:divId w:val="1647278641"/>
      </w:pPr>
      <w:r>
        <w:t>Kim, &amp; Sohn, (2024). The impact of quiet quitting on turnover intentions in the era of digital transformation: The mediating roles of job satisfaction and affective commitment, and the moderating role of psychological safety.</w:t>
      </w:r>
    </w:p>
    <w:p w14:paraId="1D08637C" w14:textId="684D15B1" w:rsidR="007C2480" w:rsidRDefault="007C2480" w:rsidP="007C2480">
      <w:pPr>
        <w:pStyle w:val="NormalWeb"/>
        <w:numPr>
          <w:ilvl w:val="0"/>
          <w:numId w:val="45"/>
        </w:numPr>
        <w:spacing w:line="360" w:lineRule="auto"/>
        <w:jc w:val="left"/>
        <w:divId w:val="1647278641"/>
      </w:pPr>
      <w:proofErr w:type="spellStart"/>
      <w:r>
        <w:t>Kooij</w:t>
      </w:r>
      <w:proofErr w:type="spellEnd"/>
      <w:r>
        <w:t xml:space="preserve">, D. T. A. M., </w:t>
      </w:r>
      <w:r>
        <w:rPr>
          <w:rStyle w:val="Emphasis"/>
        </w:rPr>
        <w:t>et al.</w:t>
      </w:r>
      <w:r>
        <w:t xml:space="preserve"> (2023). </w:t>
      </w:r>
    </w:p>
    <w:p w14:paraId="65DD5374" w14:textId="613FD14B" w:rsidR="007C2480" w:rsidRDefault="007C2480" w:rsidP="007C2480">
      <w:pPr>
        <w:pStyle w:val="NormalWeb"/>
        <w:numPr>
          <w:ilvl w:val="0"/>
          <w:numId w:val="45"/>
        </w:numPr>
        <w:spacing w:line="360" w:lineRule="auto"/>
        <w:jc w:val="left"/>
        <w:divId w:val="1647278641"/>
      </w:pPr>
      <w:r>
        <w:t xml:space="preserve">Kumar, (2024). Technostress: A comprehensive literature review on dimensions, impacts, and management strategies. </w:t>
      </w:r>
    </w:p>
    <w:p w14:paraId="76D766F3" w14:textId="216A25E6" w:rsidR="007C2480" w:rsidRDefault="007C2480" w:rsidP="007C2480">
      <w:pPr>
        <w:pStyle w:val="NormalWeb"/>
        <w:numPr>
          <w:ilvl w:val="0"/>
          <w:numId w:val="45"/>
        </w:numPr>
        <w:spacing w:line="360" w:lineRule="auto"/>
        <w:jc w:val="left"/>
        <w:divId w:val="1647278641"/>
      </w:pPr>
      <w:proofErr w:type="spellStart"/>
      <w:r>
        <w:t>Lechevalier</w:t>
      </w:r>
      <w:proofErr w:type="spellEnd"/>
      <w:r>
        <w:t xml:space="preserve">, S., &amp; </w:t>
      </w:r>
      <w:proofErr w:type="spellStart"/>
      <w:r>
        <w:t>Mofakhami</w:t>
      </w:r>
      <w:proofErr w:type="spellEnd"/>
      <w:r>
        <w:t xml:space="preserve">, M. (2025). Assessing job satisfaction in the era of digital transformation: A comparative study of the first wave of tasks digitalization in Japan and France. </w:t>
      </w:r>
    </w:p>
    <w:p w14:paraId="40956200" w14:textId="77777777" w:rsidR="007C2480" w:rsidRDefault="007C2480" w:rsidP="007C2480">
      <w:pPr>
        <w:pStyle w:val="NormalWeb"/>
        <w:numPr>
          <w:ilvl w:val="0"/>
          <w:numId w:val="45"/>
        </w:numPr>
        <w:spacing w:line="360" w:lineRule="auto"/>
        <w:jc w:val="left"/>
        <w:divId w:val="1647278641"/>
      </w:pPr>
      <w:r>
        <w:t xml:space="preserve">Locke, E. A. (1976). The nature and causes of job satisfaction. In M. D. </w:t>
      </w:r>
      <w:proofErr w:type="spellStart"/>
      <w:r>
        <w:t>Dunnette</w:t>
      </w:r>
      <w:proofErr w:type="spellEnd"/>
      <w:r>
        <w:t xml:space="preserve"> (Ed.), </w:t>
      </w:r>
      <w:r>
        <w:rPr>
          <w:rStyle w:val="Emphasis"/>
        </w:rPr>
        <w:t>Handbook of industrial and organizational psychology</w:t>
      </w:r>
      <w:r>
        <w:t xml:space="preserve"> (pp. 1297–1349). Rand McNally.</w:t>
      </w:r>
    </w:p>
    <w:p w14:paraId="3DDD7F3B" w14:textId="77777777" w:rsidR="007C2480" w:rsidRDefault="007C2480" w:rsidP="007C2480">
      <w:pPr>
        <w:pStyle w:val="NormalWeb"/>
        <w:numPr>
          <w:ilvl w:val="0"/>
          <w:numId w:val="45"/>
        </w:numPr>
        <w:spacing w:line="360" w:lineRule="auto"/>
        <w:jc w:val="left"/>
        <w:divId w:val="1647278641"/>
      </w:pPr>
      <w:proofErr w:type="spellStart"/>
      <w:r>
        <w:t>Mergel</w:t>
      </w:r>
      <w:proofErr w:type="spellEnd"/>
      <w:r>
        <w:t xml:space="preserve">, I., </w:t>
      </w:r>
      <w:proofErr w:type="spellStart"/>
      <w:r>
        <w:t>Edelmann</w:t>
      </w:r>
      <w:proofErr w:type="spellEnd"/>
      <w:r>
        <w:t xml:space="preserve">, N., &amp; </w:t>
      </w:r>
      <w:proofErr w:type="spellStart"/>
      <w:r>
        <w:t>Haug</w:t>
      </w:r>
      <w:proofErr w:type="spellEnd"/>
      <w:r>
        <w:t xml:space="preserve">, N. (2019). Defining digital transformation: Results from expert interviews. </w:t>
      </w:r>
      <w:r>
        <w:rPr>
          <w:rStyle w:val="Emphasis"/>
        </w:rPr>
        <w:t>Government Information Quarterly, 36</w:t>
      </w:r>
      <w:r>
        <w:t xml:space="preserve">(4), 101385. </w:t>
      </w:r>
      <w:hyperlink r:id="rId13" w:history="1">
        <w:r>
          <w:rPr>
            <w:rStyle w:val="Hyperlink"/>
          </w:rPr>
          <w:t>https://doi.org/10.1016/j.giq.2019.06.002</w:t>
        </w:r>
      </w:hyperlink>
    </w:p>
    <w:p w14:paraId="7566BD1E" w14:textId="77777777" w:rsidR="007C2480" w:rsidRDefault="007C2480" w:rsidP="007C2480">
      <w:pPr>
        <w:pStyle w:val="NormalWeb"/>
        <w:numPr>
          <w:ilvl w:val="0"/>
          <w:numId w:val="45"/>
        </w:numPr>
        <w:spacing w:line="360" w:lineRule="auto"/>
        <w:jc w:val="left"/>
        <w:divId w:val="1647278641"/>
      </w:pPr>
      <w:proofErr w:type="spellStart"/>
      <w:r>
        <w:t>Mutambik</w:t>
      </w:r>
      <w:proofErr w:type="spellEnd"/>
      <w:r>
        <w:t xml:space="preserve">, I., &amp; </w:t>
      </w:r>
      <w:proofErr w:type="spellStart"/>
      <w:r>
        <w:t>Almuqrin</w:t>
      </w:r>
      <w:proofErr w:type="spellEnd"/>
      <w:r>
        <w:t xml:space="preserve">, A. (2024). Employee acceptance of digital transformation: A study in a smart city context. </w:t>
      </w:r>
      <w:r>
        <w:rPr>
          <w:rStyle w:val="Emphasis"/>
        </w:rPr>
        <w:t>Sustainability, 16</w:t>
      </w:r>
      <w:r>
        <w:t xml:space="preserve">(4), 1398. </w:t>
      </w:r>
      <w:hyperlink r:id="rId14" w:history="1">
        <w:r>
          <w:rPr>
            <w:rStyle w:val="Hyperlink"/>
          </w:rPr>
          <w:t>https://doi.org/10.3390/su16041398</w:t>
        </w:r>
      </w:hyperlink>
    </w:p>
    <w:p w14:paraId="01721B11" w14:textId="0B1E387F" w:rsidR="007C2480" w:rsidRDefault="007C2480" w:rsidP="007C2480">
      <w:pPr>
        <w:pStyle w:val="NormalWeb"/>
        <w:numPr>
          <w:ilvl w:val="0"/>
          <w:numId w:val="45"/>
        </w:numPr>
        <w:spacing w:line="360" w:lineRule="auto"/>
        <w:jc w:val="left"/>
        <w:divId w:val="1647278641"/>
      </w:pPr>
      <w:r>
        <w:lastRenderedPageBreak/>
        <w:t xml:space="preserve">Nadkarni, S., &amp; </w:t>
      </w:r>
      <w:proofErr w:type="spellStart"/>
      <w:r>
        <w:t>Prügl</w:t>
      </w:r>
      <w:proofErr w:type="spellEnd"/>
      <w:r>
        <w:t xml:space="preserve">, R. (2021). Digital transformation: A review, synthesis and opportunities for future research. </w:t>
      </w:r>
    </w:p>
    <w:p w14:paraId="118515B3" w14:textId="11F1FA5B" w:rsidR="007C2480" w:rsidRDefault="007C2480" w:rsidP="007C2480">
      <w:pPr>
        <w:pStyle w:val="NormalWeb"/>
        <w:numPr>
          <w:ilvl w:val="0"/>
          <w:numId w:val="45"/>
        </w:numPr>
        <w:spacing w:line="360" w:lineRule="auto"/>
        <w:jc w:val="left"/>
        <w:divId w:val="1647278641"/>
      </w:pPr>
      <w:proofErr w:type="spellStart"/>
      <w:r>
        <w:t>Sarker</w:t>
      </w:r>
      <w:proofErr w:type="spellEnd"/>
      <w:r>
        <w:t xml:space="preserve">, S., (2019). The sociotechnical axis of cohesion for the IS discipline: Its historical legacy and its continued relevance. </w:t>
      </w:r>
    </w:p>
    <w:p w14:paraId="399E222F" w14:textId="4B2A1F40" w:rsidR="007C2480" w:rsidRDefault="007C2480" w:rsidP="007C2480">
      <w:pPr>
        <w:pStyle w:val="NormalWeb"/>
        <w:numPr>
          <w:ilvl w:val="0"/>
          <w:numId w:val="45"/>
        </w:numPr>
        <w:spacing w:line="360" w:lineRule="auto"/>
        <w:jc w:val="left"/>
        <w:divId w:val="1647278641"/>
      </w:pPr>
      <w:proofErr w:type="spellStart"/>
      <w:r>
        <w:t>Shibeika</w:t>
      </w:r>
      <w:proofErr w:type="spellEnd"/>
      <w:r>
        <w:t xml:space="preserve">, 2025). The impact of digital transformation in human resource management on employee satisfaction in Saudi private sector. </w:t>
      </w:r>
    </w:p>
    <w:p w14:paraId="02924639" w14:textId="5D3D40F6" w:rsidR="007C2480" w:rsidRDefault="007C2480" w:rsidP="007C2480">
      <w:pPr>
        <w:pStyle w:val="NormalWeb"/>
        <w:numPr>
          <w:ilvl w:val="0"/>
          <w:numId w:val="45"/>
        </w:numPr>
        <w:spacing w:line="360" w:lineRule="auto"/>
        <w:jc w:val="left"/>
        <w:divId w:val="1647278641"/>
      </w:pPr>
      <w:r>
        <w:t>Singh, (2022). Enforced remote working: The impact of digital platform-induced stress and remote working experience on technology exhaustion and subjective wellbeing.</w:t>
      </w:r>
    </w:p>
    <w:p w14:paraId="409CAC1C" w14:textId="77777777" w:rsidR="007C2480" w:rsidRDefault="007C2480" w:rsidP="007C2480">
      <w:pPr>
        <w:pStyle w:val="NormalWeb"/>
        <w:numPr>
          <w:ilvl w:val="0"/>
          <w:numId w:val="45"/>
        </w:numPr>
        <w:spacing w:line="360" w:lineRule="auto"/>
        <w:jc w:val="left"/>
        <w:divId w:val="1647278641"/>
      </w:pPr>
      <w:proofErr w:type="spellStart"/>
      <w:r>
        <w:t>Tarafdar</w:t>
      </w:r>
      <w:proofErr w:type="spellEnd"/>
      <w:r>
        <w:t xml:space="preserve">, M., Tu, Q., Ragu-Nathan, B. S., &amp; Ragu-Nathan, T. S. (2007). The impact of technostress on role stress and productivity. </w:t>
      </w:r>
      <w:r>
        <w:rPr>
          <w:rStyle w:val="Emphasis"/>
        </w:rPr>
        <w:t>Journal of Management Information Systems, 24</w:t>
      </w:r>
      <w:r>
        <w:t xml:space="preserve">(1), 301–328. </w:t>
      </w:r>
      <w:hyperlink r:id="rId15" w:history="1">
        <w:r>
          <w:rPr>
            <w:rStyle w:val="Hyperlink"/>
          </w:rPr>
          <w:t>https://doi.org/10.2753/MIS0742-1222240109</w:t>
        </w:r>
      </w:hyperlink>
    </w:p>
    <w:p w14:paraId="558378E0" w14:textId="77777777" w:rsidR="007C2480" w:rsidRDefault="007C2480" w:rsidP="007C2480">
      <w:pPr>
        <w:pStyle w:val="NormalWeb"/>
        <w:numPr>
          <w:ilvl w:val="0"/>
          <w:numId w:val="45"/>
        </w:numPr>
        <w:spacing w:line="360" w:lineRule="auto"/>
        <w:jc w:val="left"/>
        <w:divId w:val="1647278641"/>
      </w:pPr>
      <w:r>
        <w:t xml:space="preserve">Tu, L., Rao, Z., Jiang, H., &amp; Dai, L. (2025). Technostress, burnout, and job satisfaction: An empirical study of STEM teachers’ well-being and performance. </w:t>
      </w:r>
      <w:r>
        <w:rPr>
          <w:rStyle w:val="Emphasis"/>
        </w:rPr>
        <w:t>Behavioral Sciences, 15</w:t>
      </w:r>
      <w:r>
        <w:t xml:space="preserve">(7), 992. </w:t>
      </w:r>
      <w:hyperlink r:id="rId16" w:history="1">
        <w:r>
          <w:rPr>
            <w:rStyle w:val="Hyperlink"/>
          </w:rPr>
          <w:t>https://doi.org/10.3390/bs15070992</w:t>
        </w:r>
      </w:hyperlink>
    </w:p>
    <w:p w14:paraId="2FC11DE4" w14:textId="77777777" w:rsidR="007C2480" w:rsidRDefault="007C2480" w:rsidP="007C2480">
      <w:pPr>
        <w:pStyle w:val="NormalWeb"/>
        <w:numPr>
          <w:ilvl w:val="0"/>
          <w:numId w:val="45"/>
        </w:numPr>
        <w:spacing w:line="360" w:lineRule="auto"/>
        <w:jc w:val="left"/>
        <w:divId w:val="1647278641"/>
      </w:pPr>
      <w:proofErr w:type="spellStart"/>
      <w:r>
        <w:t>Tzavella</w:t>
      </w:r>
      <w:proofErr w:type="spellEnd"/>
      <w:r>
        <w:t xml:space="preserve">, V., </w:t>
      </w:r>
      <w:proofErr w:type="spellStart"/>
      <w:r>
        <w:t>Konstantinopoulou</w:t>
      </w:r>
      <w:proofErr w:type="spellEnd"/>
      <w:r>
        <w:t xml:space="preserve">, A., &amp; </w:t>
      </w:r>
      <w:proofErr w:type="spellStart"/>
      <w:r>
        <w:t>Lazakidou</w:t>
      </w:r>
      <w:proofErr w:type="spellEnd"/>
      <w:r>
        <w:t xml:space="preserve">, A. (2025). Measuring job satisfaction of government employees and the impact of digital transformation in the public sector. </w:t>
      </w:r>
      <w:r>
        <w:rPr>
          <w:rStyle w:val="Emphasis"/>
        </w:rPr>
        <w:t xml:space="preserve">Acta Universitatis </w:t>
      </w:r>
      <w:proofErr w:type="spellStart"/>
      <w:r>
        <w:rPr>
          <w:rStyle w:val="Emphasis"/>
        </w:rPr>
        <w:t>Bohemiae</w:t>
      </w:r>
      <w:proofErr w:type="spellEnd"/>
      <w:r>
        <w:rPr>
          <w:rStyle w:val="Emphasis"/>
        </w:rPr>
        <w:t xml:space="preserve"> </w:t>
      </w:r>
      <w:proofErr w:type="spellStart"/>
      <w:r>
        <w:rPr>
          <w:rStyle w:val="Emphasis"/>
        </w:rPr>
        <w:t>Meridionalis</w:t>
      </w:r>
      <w:proofErr w:type="spellEnd"/>
      <w:r>
        <w:rPr>
          <w:rStyle w:val="Emphasis"/>
        </w:rPr>
        <w:t>, 28</w:t>
      </w:r>
      <w:r>
        <w:t>(1), 1–13.</w:t>
      </w:r>
    </w:p>
    <w:p w14:paraId="1EA4789D" w14:textId="77777777" w:rsidR="007C2480" w:rsidRDefault="007C2480" w:rsidP="007C2480">
      <w:pPr>
        <w:pStyle w:val="NormalWeb"/>
        <w:numPr>
          <w:ilvl w:val="0"/>
          <w:numId w:val="45"/>
        </w:numPr>
        <w:spacing w:line="360" w:lineRule="auto"/>
        <w:jc w:val="left"/>
        <w:divId w:val="1647278641"/>
      </w:pPr>
      <w:r>
        <w:t xml:space="preserve">Venkatesh, V., Morris, M. G., Davis, G. B., &amp; Davis, F. D. (2003). User acceptance of information technology: Toward a unified view. </w:t>
      </w:r>
      <w:r>
        <w:rPr>
          <w:rStyle w:val="Emphasis"/>
        </w:rPr>
        <w:t>MIS Quarterly, 27</w:t>
      </w:r>
      <w:r>
        <w:t>(3), 425–478.</w:t>
      </w:r>
    </w:p>
    <w:p w14:paraId="26B3EF23" w14:textId="77777777" w:rsidR="007C2480" w:rsidRDefault="007C2480" w:rsidP="007C2480">
      <w:pPr>
        <w:pStyle w:val="NormalWeb"/>
        <w:numPr>
          <w:ilvl w:val="0"/>
          <w:numId w:val="45"/>
        </w:numPr>
        <w:spacing w:line="360" w:lineRule="auto"/>
        <w:jc w:val="left"/>
        <w:divId w:val="1647278641"/>
      </w:pPr>
      <w:r>
        <w:t xml:space="preserve">Vial, G. (2019). Understanding digital transformation: A review and a research agenda. </w:t>
      </w:r>
      <w:r>
        <w:rPr>
          <w:rStyle w:val="Emphasis"/>
        </w:rPr>
        <w:t>The Journal of Strategic Information Systems, 28</w:t>
      </w:r>
      <w:r>
        <w:t xml:space="preserve">(2), 118–144. </w:t>
      </w:r>
      <w:hyperlink r:id="rId17" w:history="1">
        <w:r>
          <w:rPr>
            <w:rStyle w:val="Hyperlink"/>
          </w:rPr>
          <w:t>https://doi.org/10.1016/j.jsis.2019.01.003</w:t>
        </w:r>
      </w:hyperlink>
    </w:p>
    <w:p w14:paraId="30791546" w14:textId="6D74C450" w:rsidR="00B64312" w:rsidRPr="00DB3C7B" w:rsidRDefault="007C2480" w:rsidP="00DB3C7B">
      <w:pPr>
        <w:pStyle w:val="NormalWeb"/>
        <w:numPr>
          <w:ilvl w:val="0"/>
          <w:numId w:val="45"/>
        </w:numPr>
        <w:spacing w:after="600" w:line="360" w:lineRule="auto"/>
        <w:ind w:right="600"/>
        <w:jc w:val="left"/>
        <w:divId w:val="1647278641"/>
        <w:rPr>
          <w:rFonts w:hint="cs"/>
        </w:rPr>
      </w:pPr>
      <w:r>
        <w:t xml:space="preserve">Weiss, H. M. (2002). Deconstructing job satisfaction: Separating evaluations, beliefs and affective experiences. </w:t>
      </w:r>
      <w:r>
        <w:rPr>
          <w:rStyle w:val="Emphasis"/>
        </w:rPr>
        <w:t>Human Resource Management Review, 12</w:t>
      </w:r>
      <w:r>
        <w:t>(2), 173–194.</w:t>
      </w:r>
    </w:p>
    <w:sectPr w:rsidR="00B64312" w:rsidRPr="00DB3C7B" w:rsidSect="003625A1">
      <w:footerReference w:type="default" r:id="rId1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F323D" w14:textId="77777777" w:rsidR="006850AB" w:rsidRDefault="006850AB" w:rsidP="003625A1">
      <w:r>
        <w:separator/>
      </w:r>
    </w:p>
  </w:endnote>
  <w:endnote w:type="continuationSeparator" w:id="0">
    <w:p w14:paraId="1B243CA6" w14:textId="77777777" w:rsidR="006850AB" w:rsidRDefault="006850AB" w:rsidP="00362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BC55E" w14:textId="77777777" w:rsidR="00B64312" w:rsidRDefault="00B6431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A0F63C3" w14:textId="77777777" w:rsidR="00B64312" w:rsidRDefault="00B64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44419" w14:textId="77777777" w:rsidR="006850AB" w:rsidRDefault="006850AB" w:rsidP="003625A1">
      <w:r>
        <w:separator/>
      </w:r>
    </w:p>
  </w:footnote>
  <w:footnote w:type="continuationSeparator" w:id="0">
    <w:p w14:paraId="0AC0D5ED" w14:textId="77777777" w:rsidR="006850AB" w:rsidRDefault="006850AB" w:rsidP="00362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8B"/>
    <w:multiLevelType w:val="multilevel"/>
    <w:tmpl w:val="6E9E2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253A8"/>
    <w:multiLevelType w:val="multilevel"/>
    <w:tmpl w:val="3612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E7085"/>
    <w:multiLevelType w:val="multilevel"/>
    <w:tmpl w:val="FAF8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87F5B"/>
    <w:multiLevelType w:val="multilevel"/>
    <w:tmpl w:val="38FEB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57BDD"/>
    <w:multiLevelType w:val="multilevel"/>
    <w:tmpl w:val="1B4C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A240C"/>
    <w:multiLevelType w:val="multilevel"/>
    <w:tmpl w:val="0DF8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80F63"/>
    <w:multiLevelType w:val="multilevel"/>
    <w:tmpl w:val="18027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A94A2A"/>
    <w:multiLevelType w:val="multilevel"/>
    <w:tmpl w:val="D94E40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6D52E8"/>
    <w:multiLevelType w:val="multilevel"/>
    <w:tmpl w:val="B3E6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D100A"/>
    <w:multiLevelType w:val="multilevel"/>
    <w:tmpl w:val="22B2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119BE"/>
    <w:multiLevelType w:val="multilevel"/>
    <w:tmpl w:val="8C72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9F5E09"/>
    <w:multiLevelType w:val="multilevel"/>
    <w:tmpl w:val="916A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9379DB"/>
    <w:multiLevelType w:val="multilevel"/>
    <w:tmpl w:val="1C5C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9E024A"/>
    <w:multiLevelType w:val="multilevel"/>
    <w:tmpl w:val="E8C42A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020AB7"/>
    <w:multiLevelType w:val="multilevel"/>
    <w:tmpl w:val="A0BCF9A8"/>
    <w:lvl w:ilvl="0">
      <w:start w:val="1"/>
      <w:numFmt w:val="bullet"/>
      <w:lvlText w:val=""/>
      <w:lvlJc w:val="left"/>
      <w:pPr>
        <w:tabs>
          <w:tab w:val="num" w:pos="480"/>
        </w:tabs>
        <w:ind w:left="480" w:hanging="360"/>
      </w:pPr>
      <w:rPr>
        <w:rFonts w:ascii="Symbol" w:hAnsi="Symbol" w:hint="default"/>
        <w:sz w:val="20"/>
      </w:rPr>
    </w:lvl>
    <w:lvl w:ilvl="1" w:tentative="1">
      <w:start w:val="1"/>
      <w:numFmt w:val="bullet"/>
      <w:lvlText w:val="o"/>
      <w:lvlJc w:val="left"/>
      <w:pPr>
        <w:tabs>
          <w:tab w:val="num" w:pos="1200"/>
        </w:tabs>
        <w:ind w:left="1200" w:hanging="360"/>
      </w:pPr>
      <w:rPr>
        <w:rFonts w:ascii="Courier New" w:hAnsi="Courier New" w:hint="default"/>
        <w:sz w:val="20"/>
      </w:rPr>
    </w:lvl>
    <w:lvl w:ilvl="2" w:tentative="1">
      <w:start w:val="1"/>
      <w:numFmt w:val="bullet"/>
      <w:lvlText w:val=""/>
      <w:lvlJc w:val="left"/>
      <w:pPr>
        <w:tabs>
          <w:tab w:val="num" w:pos="1920"/>
        </w:tabs>
        <w:ind w:left="1920" w:hanging="360"/>
      </w:pPr>
      <w:rPr>
        <w:rFonts w:ascii="Wingdings" w:hAnsi="Wingdings" w:hint="default"/>
        <w:sz w:val="20"/>
      </w:rPr>
    </w:lvl>
    <w:lvl w:ilvl="3" w:tentative="1">
      <w:start w:val="1"/>
      <w:numFmt w:val="bullet"/>
      <w:lvlText w:val=""/>
      <w:lvlJc w:val="left"/>
      <w:pPr>
        <w:tabs>
          <w:tab w:val="num" w:pos="2640"/>
        </w:tabs>
        <w:ind w:left="2640" w:hanging="360"/>
      </w:pPr>
      <w:rPr>
        <w:rFonts w:ascii="Wingdings" w:hAnsi="Wingdings" w:hint="default"/>
        <w:sz w:val="20"/>
      </w:rPr>
    </w:lvl>
    <w:lvl w:ilvl="4" w:tentative="1">
      <w:start w:val="1"/>
      <w:numFmt w:val="bullet"/>
      <w:lvlText w:val=""/>
      <w:lvlJc w:val="left"/>
      <w:pPr>
        <w:tabs>
          <w:tab w:val="num" w:pos="3360"/>
        </w:tabs>
        <w:ind w:left="3360" w:hanging="360"/>
      </w:pPr>
      <w:rPr>
        <w:rFonts w:ascii="Wingdings" w:hAnsi="Wingdings" w:hint="default"/>
        <w:sz w:val="20"/>
      </w:rPr>
    </w:lvl>
    <w:lvl w:ilvl="5" w:tentative="1">
      <w:start w:val="1"/>
      <w:numFmt w:val="bullet"/>
      <w:lvlText w:val=""/>
      <w:lvlJc w:val="left"/>
      <w:pPr>
        <w:tabs>
          <w:tab w:val="num" w:pos="4080"/>
        </w:tabs>
        <w:ind w:left="4080" w:hanging="360"/>
      </w:pPr>
      <w:rPr>
        <w:rFonts w:ascii="Wingdings" w:hAnsi="Wingdings" w:hint="default"/>
        <w:sz w:val="20"/>
      </w:rPr>
    </w:lvl>
    <w:lvl w:ilvl="6" w:tentative="1">
      <w:start w:val="1"/>
      <w:numFmt w:val="bullet"/>
      <w:lvlText w:val=""/>
      <w:lvlJc w:val="left"/>
      <w:pPr>
        <w:tabs>
          <w:tab w:val="num" w:pos="4800"/>
        </w:tabs>
        <w:ind w:left="4800" w:hanging="360"/>
      </w:pPr>
      <w:rPr>
        <w:rFonts w:ascii="Wingdings" w:hAnsi="Wingdings" w:hint="default"/>
        <w:sz w:val="20"/>
      </w:rPr>
    </w:lvl>
    <w:lvl w:ilvl="7" w:tentative="1">
      <w:start w:val="1"/>
      <w:numFmt w:val="bullet"/>
      <w:lvlText w:val=""/>
      <w:lvlJc w:val="left"/>
      <w:pPr>
        <w:tabs>
          <w:tab w:val="num" w:pos="5520"/>
        </w:tabs>
        <w:ind w:left="5520" w:hanging="360"/>
      </w:pPr>
      <w:rPr>
        <w:rFonts w:ascii="Wingdings" w:hAnsi="Wingdings" w:hint="default"/>
        <w:sz w:val="20"/>
      </w:rPr>
    </w:lvl>
    <w:lvl w:ilvl="8" w:tentative="1">
      <w:start w:val="1"/>
      <w:numFmt w:val="bullet"/>
      <w:lvlText w:val=""/>
      <w:lvlJc w:val="left"/>
      <w:pPr>
        <w:tabs>
          <w:tab w:val="num" w:pos="6240"/>
        </w:tabs>
        <w:ind w:left="6240" w:hanging="360"/>
      </w:pPr>
      <w:rPr>
        <w:rFonts w:ascii="Wingdings" w:hAnsi="Wingdings" w:hint="default"/>
        <w:sz w:val="20"/>
      </w:rPr>
    </w:lvl>
  </w:abstractNum>
  <w:abstractNum w:abstractNumId="15" w15:restartNumberingAfterBreak="0">
    <w:nsid w:val="2F76088D"/>
    <w:multiLevelType w:val="multilevel"/>
    <w:tmpl w:val="9682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01BF8"/>
    <w:multiLevelType w:val="multilevel"/>
    <w:tmpl w:val="3C0053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C879DC"/>
    <w:multiLevelType w:val="multilevel"/>
    <w:tmpl w:val="8B28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57636"/>
    <w:multiLevelType w:val="multilevel"/>
    <w:tmpl w:val="772E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E0EB1"/>
    <w:multiLevelType w:val="multilevel"/>
    <w:tmpl w:val="8CE2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96BA3"/>
    <w:multiLevelType w:val="hybridMultilevel"/>
    <w:tmpl w:val="2608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423D84"/>
    <w:multiLevelType w:val="multilevel"/>
    <w:tmpl w:val="6D54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0061CB"/>
    <w:multiLevelType w:val="multilevel"/>
    <w:tmpl w:val="D212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1E2E61"/>
    <w:multiLevelType w:val="multilevel"/>
    <w:tmpl w:val="D6D2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B170A"/>
    <w:multiLevelType w:val="hybridMultilevel"/>
    <w:tmpl w:val="6AD6F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A01F0A"/>
    <w:multiLevelType w:val="multilevel"/>
    <w:tmpl w:val="CF4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471C42"/>
    <w:multiLevelType w:val="multilevel"/>
    <w:tmpl w:val="6C42A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946807"/>
    <w:multiLevelType w:val="multilevel"/>
    <w:tmpl w:val="2354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F40D40"/>
    <w:multiLevelType w:val="multilevel"/>
    <w:tmpl w:val="29A27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1B5F76"/>
    <w:multiLevelType w:val="multilevel"/>
    <w:tmpl w:val="0C9C13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772A16"/>
    <w:multiLevelType w:val="multilevel"/>
    <w:tmpl w:val="6D46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750677"/>
    <w:multiLevelType w:val="multilevel"/>
    <w:tmpl w:val="40E0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F17F38"/>
    <w:multiLevelType w:val="multilevel"/>
    <w:tmpl w:val="93384774"/>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6809FD"/>
    <w:multiLevelType w:val="multilevel"/>
    <w:tmpl w:val="E5B4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A91459"/>
    <w:multiLevelType w:val="multilevel"/>
    <w:tmpl w:val="A5D8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85D7A"/>
    <w:multiLevelType w:val="multilevel"/>
    <w:tmpl w:val="AE26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307B75"/>
    <w:multiLevelType w:val="multilevel"/>
    <w:tmpl w:val="F3A4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D57FFE"/>
    <w:multiLevelType w:val="multilevel"/>
    <w:tmpl w:val="06D2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EC569E"/>
    <w:multiLevelType w:val="hybridMultilevel"/>
    <w:tmpl w:val="83E2D76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9" w15:restartNumberingAfterBreak="0">
    <w:nsid w:val="764F0786"/>
    <w:multiLevelType w:val="multilevel"/>
    <w:tmpl w:val="7BB2D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C44283"/>
    <w:multiLevelType w:val="multilevel"/>
    <w:tmpl w:val="C45C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6D094E"/>
    <w:multiLevelType w:val="multilevel"/>
    <w:tmpl w:val="6A1A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9A6067"/>
    <w:multiLevelType w:val="hybridMultilevel"/>
    <w:tmpl w:val="4616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F102A0"/>
    <w:multiLevelType w:val="multilevel"/>
    <w:tmpl w:val="FBA20A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9"/>
  </w:num>
  <w:num w:numId="3">
    <w:abstractNumId w:val="22"/>
  </w:num>
  <w:num w:numId="4">
    <w:abstractNumId w:val="36"/>
  </w:num>
  <w:num w:numId="5">
    <w:abstractNumId w:val="31"/>
  </w:num>
  <w:num w:numId="6">
    <w:abstractNumId w:val="25"/>
  </w:num>
  <w:num w:numId="7">
    <w:abstractNumId w:val="12"/>
  </w:num>
  <w:num w:numId="8">
    <w:abstractNumId w:val="40"/>
  </w:num>
  <w:num w:numId="9">
    <w:abstractNumId w:val="19"/>
  </w:num>
  <w:num w:numId="10">
    <w:abstractNumId w:val="0"/>
  </w:num>
  <w:num w:numId="11">
    <w:abstractNumId w:val="30"/>
  </w:num>
  <w:num w:numId="12">
    <w:abstractNumId w:val="15"/>
  </w:num>
  <w:num w:numId="13">
    <w:abstractNumId w:val="38"/>
  </w:num>
  <w:num w:numId="14">
    <w:abstractNumId w:val="4"/>
  </w:num>
  <w:num w:numId="15">
    <w:abstractNumId w:val="5"/>
  </w:num>
  <w:num w:numId="16">
    <w:abstractNumId w:val="35"/>
  </w:num>
  <w:num w:numId="17">
    <w:abstractNumId w:val="43"/>
  </w:num>
  <w:num w:numId="18">
    <w:abstractNumId w:val="10"/>
  </w:num>
  <w:num w:numId="19">
    <w:abstractNumId w:val="13"/>
  </w:num>
  <w:num w:numId="20">
    <w:abstractNumId w:val="29"/>
  </w:num>
  <w:num w:numId="21">
    <w:abstractNumId w:val="16"/>
  </w:num>
  <w:num w:numId="22">
    <w:abstractNumId w:val="39"/>
  </w:num>
  <w:num w:numId="23">
    <w:abstractNumId w:val="27"/>
  </w:num>
  <w:num w:numId="24">
    <w:abstractNumId w:val="3"/>
  </w:num>
  <w:num w:numId="25">
    <w:abstractNumId w:val="8"/>
  </w:num>
  <w:num w:numId="26">
    <w:abstractNumId w:val="21"/>
  </w:num>
  <w:num w:numId="27">
    <w:abstractNumId w:val="7"/>
  </w:num>
  <w:num w:numId="28">
    <w:abstractNumId w:val="7"/>
    <w:lvlOverride w:ilvl="1">
      <w:lvl w:ilvl="1">
        <w:numFmt w:val="bullet"/>
        <w:lvlText w:val="o"/>
        <w:lvlJc w:val="left"/>
        <w:pPr>
          <w:tabs>
            <w:tab w:val="num" w:pos="1440"/>
          </w:tabs>
          <w:ind w:left="1440" w:hanging="360"/>
        </w:pPr>
        <w:rPr>
          <w:rFonts w:ascii="Courier New" w:hAnsi="Courier New" w:hint="default"/>
          <w:sz w:val="20"/>
        </w:rPr>
      </w:lvl>
    </w:lvlOverride>
  </w:num>
  <w:num w:numId="29">
    <w:abstractNumId w:val="26"/>
  </w:num>
  <w:num w:numId="30">
    <w:abstractNumId w:val="34"/>
  </w:num>
  <w:num w:numId="31">
    <w:abstractNumId w:val="6"/>
  </w:num>
  <w:num w:numId="32">
    <w:abstractNumId w:val="32"/>
  </w:num>
  <w:num w:numId="33">
    <w:abstractNumId w:val="20"/>
  </w:num>
  <w:num w:numId="34">
    <w:abstractNumId w:val="33"/>
  </w:num>
  <w:num w:numId="35">
    <w:abstractNumId w:val="28"/>
  </w:num>
  <w:num w:numId="36">
    <w:abstractNumId w:val="41"/>
  </w:num>
  <w:num w:numId="37">
    <w:abstractNumId w:val="1"/>
  </w:num>
  <w:num w:numId="38">
    <w:abstractNumId w:val="2"/>
  </w:num>
  <w:num w:numId="39">
    <w:abstractNumId w:val="11"/>
  </w:num>
  <w:num w:numId="40">
    <w:abstractNumId w:val="18"/>
  </w:num>
  <w:num w:numId="41">
    <w:abstractNumId w:val="37"/>
  </w:num>
  <w:num w:numId="42">
    <w:abstractNumId w:val="17"/>
  </w:num>
  <w:num w:numId="43">
    <w:abstractNumId w:val="14"/>
  </w:num>
  <w:num w:numId="44">
    <w:abstractNumId w:val="24"/>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B61"/>
    <w:rsid w:val="00020D34"/>
    <w:rsid w:val="00026091"/>
    <w:rsid w:val="000C339F"/>
    <w:rsid w:val="00202D33"/>
    <w:rsid w:val="002544C2"/>
    <w:rsid w:val="00284884"/>
    <w:rsid w:val="002D2D73"/>
    <w:rsid w:val="00323439"/>
    <w:rsid w:val="003625A1"/>
    <w:rsid w:val="003F3897"/>
    <w:rsid w:val="00481E53"/>
    <w:rsid w:val="00537022"/>
    <w:rsid w:val="00572992"/>
    <w:rsid w:val="00574EA9"/>
    <w:rsid w:val="005F5918"/>
    <w:rsid w:val="005F6506"/>
    <w:rsid w:val="006850AB"/>
    <w:rsid w:val="00727C9B"/>
    <w:rsid w:val="007414CB"/>
    <w:rsid w:val="007619B3"/>
    <w:rsid w:val="007B6401"/>
    <w:rsid w:val="007B785B"/>
    <w:rsid w:val="007C2480"/>
    <w:rsid w:val="007F0F6F"/>
    <w:rsid w:val="00870201"/>
    <w:rsid w:val="00896DDD"/>
    <w:rsid w:val="00931223"/>
    <w:rsid w:val="0093597D"/>
    <w:rsid w:val="009D14BA"/>
    <w:rsid w:val="00A54C3F"/>
    <w:rsid w:val="00AB2FD6"/>
    <w:rsid w:val="00AC2BD1"/>
    <w:rsid w:val="00B64312"/>
    <w:rsid w:val="00BC4A07"/>
    <w:rsid w:val="00C37F6C"/>
    <w:rsid w:val="00CC426D"/>
    <w:rsid w:val="00CF7B61"/>
    <w:rsid w:val="00D8585C"/>
    <w:rsid w:val="00DA778E"/>
    <w:rsid w:val="00DB3C7B"/>
    <w:rsid w:val="00E72D37"/>
    <w:rsid w:val="00EB02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F0081"/>
  <w15:chartTrackingRefBased/>
  <w15:docId w15:val="{A32ACF51-CFBF-461B-B563-C20EC9E5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288" w:after="96"/>
      <w:jc w:val="right"/>
      <w:outlineLvl w:val="0"/>
    </w:pPr>
    <w:rPr>
      <w:b/>
      <w:bCs/>
      <w:kern w:val="36"/>
      <w:sz w:val="48"/>
      <w:szCs w:val="48"/>
    </w:rPr>
  </w:style>
  <w:style w:type="paragraph" w:styleId="Heading2">
    <w:name w:val="heading 2"/>
    <w:basedOn w:val="Normal"/>
    <w:link w:val="Heading2Char"/>
    <w:uiPriority w:val="9"/>
    <w:qFormat/>
    <w:pPr>
      <w:spacing w:before="288" w:after="96"/>
      <w:jc w:val="right"/>
      <w:outlineLvl w:val="1"/>
    </w:pPr>
    <w:rPr>
      <w:b/>
      <w:bCs/>
      <w:sz w:val="36"/>
      <w:szCs w:val="36"/>
    </w:rPr>
  </w:style>
  <w:style w:type="paragraph" w:styleId="Heading3">
    <w:name w:val="heading 3"/>
    <w:basedOn w:val="Normal"/>
    <w:link w:val="Heading3Char"/>
    <w:uiPriority w:val="9"/>
    <w:qFormat/>
    <w:pPr>
      <w:spacing w:before="288" w:after="96"/>
      <w:jc w:val="right"/>
      <w:outlineLvl w:val="2"/>
    </w:pPr>
    <w:rPr>
      <w:b/>
      <w:bCs/>
      <w:sz w:val="27"/>
      <w:szCs w:val="27"/>
    </w:rPr>
  </w:style>
  <w:style w:type="paragraph" w:styleId="Heading4">
    <w:name w:val="heading 4"/>
    <w:basedOn w:val="Normal"/>
    <w:next w:val="Normal"/>
    <w:link w:val="Heading4Char"/>
    <w:uiPriority w:val="9"/>
    <w:semiHidden/>
    <w:unhideWhenUsed/>
    <w:qFormat/>
    <w:rsid w:val="00870201"/>
    <w:pPr>
      <w:keepNext/>
      <w:keepLines/>
      <w:bidi/>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pPr>
      <w:spacing w:before="96" w:after="96"/>
      <w:jc w:val="right"/>
    </w:pPr>
  </w:style>
  <w:style w:type="paragraph" w:styleId="NormalWeb">
    <w:name w:val="Normal (Web)"/>
    <w:basedOn w:val="Normal"/>
    <w:uiPriority w:val="99"/>
    <w:unhideWhenUsed/>
    <w:pPr>
      <w:spacing w:before="96" w:after="96"/>
      <w:jc w:val="right"/>
    </w:pPr>
  </w:style>
  <w:style w:type="paragraph" w:customStyle="1" w:styleId="Title1">
    <w:name w:val="Title1"/>
    <w:basedOn w:val="Normal"/>
    <w:pPr>
      <w:spacing w:before="100" w:beforeAutospacing="1" w:after="240"/>
      <w:jc w:val="center"/>
    </w:pPr>
    <w:rPr>
      <w:b/>
      <w:bCs/>
      <w:sz w:val="44"/>
      <w:szCs w:val="44"/>
    </w:rPr>
  </w:style>
  <w:style w:type="paragraph" w:customStyle="1" w:styleId="ref-title">
    <w:name w:val="ref-title"/>
    <w:basedOn w:val="Normal"/>
    <w:pPr>
      <w:spacing w:before="288" w:after="100" w:afterAutospacing="1"/>
    </w:pPr>
    <w:rPr>
      <w:b/>
      <w:bCs/>
      <w:sz w:val="32"/>
      <w:szCs w:val="32"/>
    </w:rPr>
  </w:style>
  <w:style w:type="paragraph" w:customStyle="1" w:styleId="pagebreak">
    <w:name w:val="pagebreak"/>
    <w:basedOn w:val="Normal"/>
    <w:pPr>
      <w:pageBreakBefore/>
      <w:spacing w:before="100" w:beforeAutospacing="1" w:after="100" w:afterAutospacing="1"/>
    </w:pPr>
  </w:style>
  <w:style w:type="character" w:styleId="Strong">
    <w:name w:val="Strong"/>
    <w:basedOn w:val="DefaultParagraphFont"/>
    <w:uiPriority w:val="22"/>
    <w:qFormat/>
    <w:rPr>
      <w:b/>
      <w:bCs/>
    </w:rPr>
  </w:style>
  <w:style w:type="character" w:customStyle="1" w:styleId="Heading4Char">
    <w:name w:val="Heading 4 Char"/>
    <w:basedOn w:val="DefaultParagraphFont"/>
    <w:link w:val="Heading4"/>
    <w:uiPriority w:val="9"/>
    <w:semiHidden/>
    <w:rsid w:val="00870201"/>
    <w:rPr>
      <w:rFonts w:asciiTheme="majorHAnsi" w:eastAsiaTheme="majorEastAsia" w:hAnsiTheme="majorHAnsi" w:cstheme="majorBidi"/>
      <w:i/>
      <w:iCs/>
      <w:color w:val="2F5496" w:themeColor="accent1" w:themeShade="BF"/>
      <w:sz w:val="22"/>
      <w:szCs w:val="22"/>
    </w:rPr>
  </w:style>
  <w:style w:type="character" w:styleId="Emphasis">
    <w:name w:val="Emphasis"/>
    <w:basedOn w:val="DefaultParagraphFont"/>
    <w:uiPriority w:val="20"/>
    <w:qFormat/>
    <w:rsid w:val="00870201"/>
    <w:rPr>
      <w:i/>
      <w:iCs/>
    </w:rPr>
  </w:style>
  <w:style w:type="table" w:styleId="GridTable3">
    <w:name w:val="Grid Table 3"/>
    <w:basedOn w:val="TableNormal"/>
    <w:uiPriority w:val="48"/>
    <w:rsid w:val="007619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Accent3">
    <w:name w:val="Grid Table 5 Dark Accent 3"/>
    <w:basedOn w:val="TableNormal"/>
    <w:uiPriority w:val="50"/>
    <w:rsid w:val="007619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DefaultParagraphFont"/>
    <w:uiPriority w:val="99"/>
    <w:unhideWhenUsed/>
    <w:rsid w:val="007619B3"/>
    <w:rPr>
      <w:color w:val="0000FF"/>
      <w:u w:val="single"/>
    </w:rPr>
  </w:style>
  <w:style w:type="character" w:customStyle="1" w:styleId="ms-1">
    <w:name w:val="ms-1"/>
    <w:basedOn w:val="DefaultParagraphFont"/>
    <w:rsid w:val="007619B3"/>
  </w:style>
  <w:style w:type="character" w:customStyle="1" w:styleId="max-w-15ch">
    <w:name w:val="max-w-[15ch]"/>
    <w:basedOn w:val="DefaultParagraphFont"/>
    <w:rsid w:val="007619B3"/>
  </w:style>
  <w:style w:type="paragraph" w:styleId="Header">
    <w:name w:val="header"/>
    <w:basedOn w:val="Normal"/>
    <w:link w:val="HeaderChar"/>
    <w:uiPriority w:val="99"/>
    <w:unhideWhenUsed/>
    <w:rsid w:val="003625A1"/>
    <w:pPr>
      <w:tabs>
        <w:tab w:val="center" w:pos="4513"/>
        <w:tab w:val="right" w:pos="9026"/>
      </w:tabs>
    </w:pPr>
  </w:style>
  <w:style w:type="character" w:customStyle="1" w:styleId="HeaderChar">
    <w:name w:val="Header Char"/>
    <w:basedOn w:val="DefaultParagraphFont"/>
    <w:link w:val="Header"/>
    <w:uiPriority w:val="99"/>
    <w:rsid w:val="003625A1"/>
    <w:rPr>
      <w:rFonts w:eastAsiaTheme="minorEastAsia"/>
      <w:sz w:val="24"/>
      <w:szCs w:val="24"/>
    </w:rPr>
  </w:style>
  <w:style w:type="paragraph" w:styleId="Footer">
    <w:name w:val="footer"/>
    <w:basedOn w:val="Normal"/>
    <w:link w:val="FooterChar"/>
    <w:uiPriority w:val="99"/>
    <w:unhideWhenUsed/>
    <w:rsid w:val="003625A1"/>
    <w:pPr>
      <w:tabs>
        <w:tab w:val="center" w:pos="4513"/>
        <w:tab w:val="right" w:pos="9026"/>
      </w:tabs>
    </w:pPr>
  </w:style>
  <w:style w:type="character" w:customStyle="1" w:styleId="FooterChar">
    <w:name w:val="Footer Char"/>
    <w:basedOn w:val="DefaultParagraphFont"/>
    <w:link w:val="Footer"/>
    <w:uiPriority w:val="99"/>
    <w:rsid w:val="003625A1"/>
    <w:rPr>
      <w:rFonts w:eastAsiaTheme="minorEastAsia"/>
      <w:sz w:val="24"/>
      <w:szCs w:val="24"/>
    </w:rPr>
  </w:style>
  <w:style w:type="character" w:styleId="UnresolvedMention">
    <w:name w:val="Unresolved Mention"/>
    <w:basedOn w:val="DefaultParagraphFont"/>
    <w:uiPriority w:val="99"/>
    <w:semiHidden/>
    <w:unhideWhenUsed/>
    <w:rsid w:val="00B64312"/>
    <w:rPr>
      <w:color w:val="605E5C"/>
      <w:shd w:val="clear" w:color="auto" w:fill="E1DFDD"/>
    </w:rPr>
  </w:style>
  <w:style w:type="table" w:styleId="GridTable1Light">
    <w:name w:val="Grid Table 1 Light"/>
    <w:basedOn w:val="TableNormal"/>
    <w:uiPriority w:val="46"/>
    <w:rsid w:val="00B6431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278641">
      <w:bodyDiv w:val="1"/>
      <w:marLeft w:val="600"/>
      <w:marRight w:val="600"/>
      <w:marTop w:val="600"/>
      <w:marBottom w:val="600"/>
      <w:divBdr>
        <w:top w:val="none" w:sz="0" w:space="0" w:color="auto"/>
        <w:left w:val="none" w:sz="0" w:space="0" w:color="auto"/>
        <w:bottom w:val="none" w:sz="0" w:space="0" w:color="auto"/>
        <w:right w:val="none" w:sz="0" w:space="0" w:color="auto"/>
      </w:divBdr>
      <w:divsChild>
        <w:div w:id="2117863066">
          <w:marLeft w:val="0"/>
          <w:marRight w:val="0"/>
          <w:marTop w:val="0"/>
          <w:marBottom w:val="0"/>
          <w:divBdr>
            <w:top w:val="none" w:sz="0" w:space="0" w:color="auto"/>
            <w:left w:val="none" w:sz="0" w:space="0" w:color="auto"/>
            <w:bottom w:val="none" w:sz="0" w:space="0" w:color="auto"/>
            <w:right w:val="none" w:sz="0" w:space="0" w:color="auto"/>
          </w:divBdr>
          <w:divsChild>
            <w:div w:id="1710034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giq.2019.06.00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doi.org/10.2196/26467" TargetMode="External"/><Relationship Id="rId17" Type="http://schemas.openxmlformats.org/officeDocument/2006/relationships/hyperlink" Target="https://doi.org/10.1016/j.jsis.2019.01.003" TargetMode="External"/><Relationship Id="rId2" Type="http://schemas.openxmlformats.org/officeDocument/2006/relationships/styles" Target="styles.xml"/><Relationship Id="rId16" Type="http://schemas.openxmlformats.org/officeDocument/2006/relationships/hyperlink" Target="https://doi.org/10.3390/bs1507099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7421222.2003.11045748" TargetMode="External"/><Relationship Id="rId5" Type="http://schemas.openxmlformats.org/officeDocument/2006/relationships/footnotes" Target="footnotes.xml"/><Relationship Id="rId15" Type="http://schemas.openxmlformats.org/officeDocument/2006/relationships/hyperlink" Target="https://doi.org/10.2753/MIS0742-1222240109" TargetMode="External"/><Relationship Id="rId10" Type="http://schemas.openxmlformats.org/officeDocument/2006/relationships/hyperlink" Target="https://doi.org/10.1007/s12232-022-00392-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978-1-4419-6108-2_12" TargetMode="External"/><Relationship Id="rId14" Type="http://schemas.openxmlformats.org/officeDocument/2006/relationships/hyperlink" Target="https://doi.org/10.3390/su16041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23</Pages>
  <Words>6250</Words>
  <Characters>35628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أثر التحوّل الرقمي المؤسسي على رضا الموظفين</vt:lpstr>
    </vt:vector>
  </TitlesOfParts>
  <Company>HRSD</Company>
  <LinksUpToDate>false</LinksUpToDate>
  <CharactersWithSpaces>41795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التحوّل الرقمي المؤسسي على رضا الموظفين</dc:title>
  <dc:subject/>
  <dc:creator>Saud A. Alhamad</dc:creator>
  <cp:keywords/>
  <dc:description/>
  <cp:lastModifiedBy>Saud A. Alhamad</cp:lastModifiedBy>
  <cp:revision>3</cp:revision>
  <cp:lastPrinted>2026-03-05T12:30:00Z</cp:lastPrinted>
  <dcterms:created xsi:type="dcterms:W3CDTF">2026-03-05T11:49:00Z</dcterms:created>
  <dcterms:modified xsi:type="dcterms:W3CDTF">2026-03-05T12:30:00Z</dcterms:modified>
</cp:coreProperties>
</file>