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C781" w14:textId="77777777" w:rsidR="0003283E" w:rsidRDefault="0003283E" w:rsidP="0003283E">
      <w:pPr>
        <w:spacing w:line="480" w:lineRule="auto"/>
        <w:jc w:val="center"/>
        <w:rPr>
          <w:rFonts w:ascii="Times New Roman" w:hAnsi="Times New Roman" w:cs="Times New Roman"/>
          <w:b/>
          <w:bCs/>
          <w:sz w:val="24"/>
          <w:szCs w:val="24"/>
          <w:lang w:val="en-US"/>
        </w:rPr>
      </w:pPr>
    </w:p>
    <w:p w14:paraId="0A44DC00" w14:textId="77777777" w:rsidR="0003283E" w:rsidRDefault="0003283E" w:rsidP="0003283E">
      <w:pPr>
        <w:spacing w:line="480" w:lineRule="auto"/>
        <w:jc w:val="center"/>
        <w:rPr>
          <w:rFonts w:ascii="Times New Roman" w:hAnsi="Times New Roman" w:cs="Times New Roman"/>
          <w:b/>
          <w:bCs/>
          <w:sz w:val="24"/>
          <w:szCs w:val="24"/>
          <w:lang w:val="en-US"/>
        </w:rPr>
      </w:pPr>
    </w:p>
    <w:p w14:paraId="2D541825" w14:textId="77777777" w:rsidR="0003283E" w:rsidRDefault="0003283E" w:rsidP="0003283E">
      <w:pPr>
        <w:spacing w:line="480" w:lineRule="auto"/>
        <w:jc w:val="center"/>
        <w:rPr>
          <w:rFonts w:ascii="Times New Roman" w:hAnsi="Times New Roman" w:cs="Times New Roman"/>
          <w:b/>
          <w:bCs/>
          <w:sz w:val="24"/>
          <w:szCs w:val="24"/>
          <w:lang w:val="en-US"/>
        </w:rPr>
      </w:pPr>
    </w:p>
    <w:p w14:paraId="3FA2EEEA" w14:textId="77777777" w:rsidR="0003283E" w:rsidRDefault="0003283E" w:rsidP="0003283E">
      <w:pPr>
        <w:spacing w:line="480" w:lineRule="auto"/>
        <w:jc w:val="center"/>
        <w:rPr>
          <w:rFonts w:ascii="Times New Roman" w:hAnsi="Times New Roman" w:cs="Times New Roman"/>
          <w:b/>
          <w:bCs/>
          <w:sz w:val="24"/>
          <w:szCs w:val="24"/>
          <w:lang w:val="en-US"/>
        </w:rPr>
      </w:pPr>
    </w:p>
    <w:p w14:paraId="6D109E30" w14:textId="77777777" w:rsidR="0003283E" w:rsidRDefault="0003283E" w:rsidP="0003283E">
      <w:pPr>
        <w:spacing w:line="480" w:lineRule="auto"/>
        <w:jc w:val="center"/>
        <w:rPr>
          <w:rFonts w:ascii="Times New Roman" w:hAnsi="Times New Roman" w:cs="Times New Roman"/>
          <w:b/>
          <w:bCs/>
          <w:sz w:val="24"/>
          <w:szCs w:val="24"/>
          <w:lang w:val="en-US"/>
        </w:rPr>
      </w:pPr>
    </w:p>
    <w:p w14:paraId="38428E09" w14:textId="77777777" w:rsidR="0003283E" w:rsidRDefault="0003283E" w:rsidP="0003283E">
      <w:pPr>
        <w:spacing w:line="480" w:lineRule="auto"/>
        <w:jc w:val="center"/>
        <w:rPr>
          <w:rFonts w:ascii="Times New Roman" w:hAnsi="Times New Roman" w:cs="Times New Roman"/>
          <w:b/>
          <w:bCs/>
          <w:sz w:val="24"/>
          <w:szCs w:val="24"/>
          <w:lang w:val="en-US"/>
        </w:rPr>
      </w:pPr>
    </w:p>
    <w:p w14:paraId="0F57DEA2" w14:textId="77777777" w:rsidR="003D083C" w:rsidRDefault="003D083C" w:rsidP="003D083C">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Course </w:t>
      </w:r>
      <w:r w:rsidRPr="00096A59">
        <w:rPr>
          <w:rFonts w:ascii="Times New Roman" w:hAnsi="Times New Roman" w:cs="Times New Roman"/>
          <w:b/>
          <w:bCs/>
          <w:sz w:val="24"/>
          <w:szCs w:val="24"/>
          <w:lang w:val="en-US"/>
        </w:rPr>
        <w:t>Title</w:t>
      </w:r>
      <w:r>
        <w:rPr>
          <w:rFonts w:ascii="Times New Roman" w:hAnsi="Times New Roman" w:cs="Times New Roman"/>
          <w:b/>
          <w:bCs/>
          <w:sz w:val="24"/>
          <w:szCs w:val="24"/>
          <w:lang w:val="en-US"/>
        </w:rPr>
        <w:t xml:space="preserve">: Research Methodology in Computer Science </w:t>
      </w:r>
    </w:p>
    <w:p w14:paraId="39049743" w14:textId="77777777" w:rsidR="003D083C" w:rsidRDefault="003D083C" w:rsidP="003D083C">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Course code: AI800</w:t>
      </w:r>
    </w:p>
    <w:p w14:paraId="002BB7D7" w14:textId="040C7115" w:rsidR="003D083C" w:rsidRDefault="003D083C" w:rsidP="003D083C">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Weighting: </w:t>
      </w:r>
      <w:r>
        <w:rPr>
          <w:rFonts w:ascii="Times New Roman" w:hAnsi="Times New Roman" w:cs="Times New Roman"/>
          <w:b/>
          <w:bCs/>
          <w:sz w:val="24"/>
          <w:szCs w:val="24"/>
          <w:lang w:val="en-US"/>
        </w:rPr>
        <w:t>50</w:t>
      </w:r>
      <w:r>
        <w:rPr>
          <w:rFonts w:ascii="Times New Roman" w:hAnsi="Times New Roman" w:cs="Times New Roman"/>
          <w:b/>
          <w:bCs/>
          <w:sz w:val="24"/>
          <w:szCs w:val="24"/>
          <w:lang w:val="en-US"/>
        </w:rPr>
        <w:t>%</w:t>
      </w:r>
    </w:p>
    <w:p w14:paraId="2838660F" w14:textId="77777777" w:rsidR="003D083C" w:rsidRDefault="003D083C" w:rsidP="003D083C">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Lecturer: Dr. Mohammed Anbar</w:t>
      </w:r>
    </w:p>
    <w:p w14:paraId="7C174203" w14:textId="77777777" w:rsidR="003D083C" w:rsidRDefault="003D083C" w:rsidP="003D083C">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Hand in method: online submission via E-learning</w:t>
      </w:r>
    </w:p>
    <w:p w14:paraId="6B67709D" w14:textId="7A582EEB" w:rsidR="003D083C" w:rsidRDefault="003D083C" w:rsidP="003D083C">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name: Faisal Muteb Almutairi</w:t>
      </w:r>
    </w:p>
    <w:p w14:paraId="49245CDB" w14:textId="77777777" w:rsidR="0003283E" w:rsidRDefault="0003283E" w:rsidP="0003283E">
      <w:pPr>
        <w:spacing w:line="480" w:lineRule="auto"/>
        <w:jc w:val="both"/>
        <w:rPr>
          <w:rFonts w:ascii="Times New Roman" w:hAnsi="Times New Roman" w:cs="Times New Roman"/>
          <w:b/>
          <w:bCs/>
          <w:sz w:val="24"/>
          <w:szCs w:val="24"/>
          <w:lang w:val="en-US"/>
        </w:rPr>
      </w:pPr>
    </w:p>
    <w:p w14:paraId="2976CDC8" w14:textId="77777777" w:rsidR="0003283E" w:rsidRDefault="0003283E" w:rsidP="0003283E">
      <w:pPr>
        <w:spacing w:line="480" w:lineRule="auto"/>
        <w:jc w:val="both"/>
        <w:rPr>
          <w:rFonts w:ascii="Times New Roman" w:hAnsi="Times New Roman" w:cs="Times New Roman"/>
          <w:b/>
          <w:bCs/>
          <w:sz w:val="24"/>
          <w:szCs w:val="24"/>
          <w:lang w:val="en-US"/>
        </w:rPr>
      </w:pPr>
    </w:p>
    <w:p w14:paraId="0B4C1AE2" w14:textId="77777777" w:rsidR="0003283E" w:rsidRDefault="0003283E" w:rsidP="0003283E">
      <w:pPr>
        <w:spacing w:line="480" w:lineRule="auto"/>
        <w:jc w:val="both"/>
        <w:rPr>
          <w:rFonts w:ascii="Times New Roman" w:hAnsi="Times New Roman" w:cs="Times New Roman"/>
          <w:b/>
          <w:bCs/>
          <w:sz w:val="24"/>
          <w:szCs w:val="24"/>
          <w:lang w:val="en-US"/>
        </w:rPr>
      </w:pPr>
    </w:p>
    <w:p w14:paraId="56D6E9D6" w14:textId="77777777" w:rsidR="0003283E" w:rsidRDefault="0003283E" w:rsidP="0003283E">
      <w:pPr>
        <w:spacing w:line="480" w:lineRule="auto"/>
        <w:jc w:val="both"/>
        <w:rPr>
          <w:rFonts w:ascii="Times New Roman" w:hAnsi="Times New Roman" w:cs="Times New Roman"/>
          <w:b/>
          <w:bCs/>
          <w:sz w:val="24"/>
          <w:szCs w:val="24"/>
          <w:lang w:val="en-US"/>
        </w:rPr>
      </w:pPr>
    </w:p>
    <w:p w14:paraId="55AE0614" w14:textId="77777777" w:rsidR="0003283E" w:rsidRPr="00430A70" w:rsidRDefault="0003283E" w:rsidP="00430A70">
      <w:pPr>
        <w:spacing w:line="276" w:lineRule="auto"/>
        <w:jc w:val="both"/>
        <w:rPr>
          <w:rFonts w:ascii="Times New Roman" w:hAnsi="Times New Roman" w:cs="Times New Roman"/>
          <w:b/>
          <w:bCs/>
          <w:sz w:val="24"/>
          <w:szCs w:val="24"/>
          <w:lang w:val="en-US"/>
        </w:rPr>
      </w:pPr>
    </w:p>
    <w:p w14:paraId="13BED24A" w14:textId="77777777" w:rsidR="0003283E" w:rsidRPr="00430A70" w:rsidRDefault="0003283E" w:rsidP="00430A70">
      <w:pPr>
        <w:spacing w:line="276" w:lineRule="auto"/>
        <w:jc w:val="both"/>
        <w:rPr>
          <w:rFonts w:ascii="Times New Roman" w:hAnsi="Times New Roman" w:cs="Times New Roman"/>
          <w:b/>
          <w:bCs/>
          <w:sz w:val="24"/>
          <w:szCs w:val="24"/>
          <w:lang w:val="en-US"/>
        </w:rPr>
      </w:pPr>
    </w:p>
    <w:p w14:paraId="0D9FFC2E" w14:textId="77777777" w:rsidR="0003283E" w:rsidRDefault="0003283E" w:rsidP="00430A70">
      <w:pPr>
        <w:spacing w:line="276" w:lineRule="auto"/>
        <w:jc w:val="both"/>
        <w:rPr>
          <w:rFonts w:ascii="Times New Roman" w:hAnsi="Times New Roman" w:cs="Times New Roman"/>
          <w:b/>
          <w:bCs/>
          <w:sz w:val="24"/>
          <w:szCs w:val="24"/>
          <w:lang w:val="en-US"/>
        </w:rPr>
      </w:pPr>
    </w:p>
    <w:p w14:paraId="75EFAED7" w14:textId="77777777" w:rsidR="003D083C" w:rsidRDefault="003D083C" w:rsidP="00430A70">
      <w:pPr>
        <w:spacing w:line="276" w:lineRule="auto"/>
        <w:jc w:val="both"/>
        <w:rPr>
          <w:rFonts w:ascii="Times New Roman" w:hAnsi="Times New Roman" w:cs="Times New Roman"/>
          <w:b/>
          <w:bCs/>
          <w:sz w:val="24"/>
          <w:szCs w:val="24"/>
          <w:lang w:val="en-US"/>
        </w:rPr>
      </w:pPr>
    </w:p>
    <w:p w14:paraId="0E39ACEF" w14:textId="77777777" w:rsidR="003D083C" w:rsidRPr="00430A70" w:rsidRDefault="003D083C" w:rsidP="00430A70">
      <w:pPr>
        <w:spacing w:line="276" w:lineRule="auto"/>
        <w:jc w:val="both"/>
        <w:rPr>
          <w:rFonts w:ascii="Times New Roman" w:hAnsi="Times New Roman" w:cs="Times New Roman"/>
          <w:b/>
          <w:bCs/>
          <w:sz w:val="24"/>
          <w:szCs w:val="24"/>
          <w:lang w:val="en-US"/>
        </w:rPr>
      </w:pPr>
    </w:p>
    <w:sdt>
      <w:sdtPr>
        <w:rPr>
          <w:rFonts w:ascii="Times New Roman" w:eastAsiaTheme="minorHAnsi" w:hAnsi="Times New Roman" w:cs="Times New Roman"/>
          <w:color w:val="auto"/>
          <w:sz w:val="24"/>
          <w:szCs w:val="24"/>
          <w:lang w:val=""/>
        </w:rPr>
        <w:id w:val="-1055306892"/>
        <w:docPartObj>
          <w:docPartGallery w:val="Table of Contents"/>
          <w:docPartUnique/>
        </w:docPartObj>
      </w:sdtPr>
      <w:sdtEndPr>
        <w:rPr>
          <w:b/>
          <w:bCs/>
          <w:noProof/>
        </w:rPr>
      </w:sdtEndPr>
      <w:sdtContent>
        <w:p w14:paraId="4B8773AC" w14:textId="25027D93" w:rsidR="00430A70" w:rsidRPr="00430A70" w:rsidRDefault="00430A70" w:rsidP="00430A70">
          <w:pPr>
            <w:pStyle w:val="TOCHeading"/>
            <w:spacing w:line="276" w:lineRule="auto"/>
            <w:rPr>
              <w:rFonts w:ascii="Times New Roman" w:hAnsi="Times New Roman" w:cs="Times New Roman"/>
              <w:sz w:val="24"/>
              <w:szCs w:val="24"/>
            </w:rPr>
          </w:pPr>
          <w:r w:rsidRPr="00430A70">
            <w:rPr>
              <w:rFonts w:ascii="Times New Roman" w:hAnsi="Times New Roman" w:cs="Times New Roman"/>
              <w:sz w:val="24"/>
              <w:szCs w:val="24"/>
            </w:rPr>
            <w:t>Table of Contents</w:t>
          </w:r>
        </w:p>
        <w:p w14:paraId="120053BE" w14:textId="711FA798" w:rsidR="00415D89" w:rsidRDefault="00430A70">
          <w:pPr>
            <w:pStyle w:val="TOC1"/>
            <w:rPr>
              <w:rFonts w:asciiTheme="minorHAnsi" w:eastAsiaTheme="minorEastAsia" w:hAnsiTheme="minorHAnsi" w:cstheme="minorBidi"/>
              <w:kern w:val="2"/>
              <w:lang w:val="en-US"/>
              <w14:ligatures w14:val="standardContextual"/>
            </w:rPr>
          </w:pPr>
          <w:r w:rsidRPr="00430A70">
            <w:fldChar w:fldCharType="begin"/>
          </w:r>
          <w:r w:rsidRPr="00430A70">
            <w:instrText xml:space="preserve"> TOC \o "1-3" \h \z \u </w:instrText>
          </w:r>
          <w:r w:rsidRPr="00430A70">
            <w:fldChar w:fldCharType="separate"/>
          </w:r>
          <w:hyperlink w:anchor="_Toc205209204" w:history="1">
            <w:r w:rsidR="00415D89" w:rsidRPr="00BD415B">
              <w:rPr>
                <w:rStyle w:val="Hyperlink"/>
                <w:lang w:val="en-US"/>
              </w:rPr>
              <w:t>Introduction</w:t>
            </w:r>
            <w:r w:rsidR="00415D89">
              <w:rPr>
                <w:webHidden/>
              </w:rPr>
              <w:tab/>
            </w:r>
            <w:r w:rsidR="00415D89">
              <w:rPr>
                <w:webHidden/>
              </w:rPr>
              <w:fldChar w:fldCharType="begin"/>
            </w:r>
            <w:r w:rsidR="00415D89">
              <w:rPr>
                <w:webHidden/>
              </w:rPr>
              <w:instrText xml:space="preserve"> PAGEREF _Toc205209204 \h </w:instrText>
            </w:r>
            <w:r w:rsidR="00415D89">
              <w:rPr>
                <w:webHidden/>
              </w:rPr>
            </w:r>
            <w:r w:rsidR="00415D89">
              <w:rPr>
                <w:webHidden/>
              </w:rPr>
              <w:fldChar w:fldCharType="separate"/>
            </w:r>
            <w:r w:rsidR="00415D89">
              <w:rPr>
                <w:webHidden/>
              </w:rPr>
              <w:t>3</w:t>
            </w:r>
            <w:r w:rsidR="00415D89">
              <w:rPr>
                <w:webHidden/>
              </w:rPr>
              <w:fldChar w:fldCharType="end"/>
            </w:r>
          </w:hyperlink>
        </w:p>
        <w:p w14:paraId="31995E24" w14:textId="10C29FDD" w:rsidR="00415D89" w:rsidRDefault="00415D89">
          <w:pPr>
            <w:pStyle w:val="TOC1"/>
            <w:rPr>
              <w:rFonts w:asciiTheme="minorHAnsi" w:eastAsiaTheme="minorEastAsia" w:hAnsiTheme="minorHAnsi" w:cstheme="minorBidi"/>
              <w:kern w:val="2"/>
              <w:lang w:val="en-US"/>
              <w14:ligatures w14:val="standardContextual"/>
            </w:rPr>
          </w:pPr>
          <w:hyperlink w:anchor="_Toc205209205" w:history="1">
            <w:r w:rsidRPr="00BD415B">
              <w:rPr>
                <w:rStyle w:val="Hyperlink"/>
              </w:rPr>
              <w:t>Problem statement</w:t>
            </w:r>
            <w:r>
              <w:rPr>
                <w:webHidden/>
              </w:rPr>
              <w:tab/>
            </w:r>
            <w:r>
              <w:rPr>
                <w:webHidden/>
              </w:rPr>
              <w:fldChar w:fldCharType="begin"/>
            </w:r>
            <w:r>
              <w:rPr>
                <w:webHidden/>
              </w:rPr>
              <w:instrText xml:space="preserve"> PAGEREF _Toc205209205 \h </w:instrText>
            </w:r>
            <w:r>
              <w:rPr>
                <w:webHidden/>
              </w:rPr>
            </w:r>
            <w:r>
              <w:rPr>
                <w:webHidden/>
              </w:rPr>
              <w:fldChar w:fldCharType="separate"/>
            </w:r>
            <w:r>
              <w:rPr>
                <w:webHidden/>
              </w:rPr>
              <w:t>3</w:t>
            </w:r>
            <w:r>
              <w:rPr>
                <w:webHidden/>
              </w:rPr>
              <w:fldChar w:fldCharType="end"/>
            </w:r>
          </w:hyperlink>
        </w:p>
        <w:p w14:paraId="63BD54CE" w14:textId="40A2330A" w:rsidR="00415D89" w:rsidRDefault="00415D89">
          <w:pPr>
            <w:pStyle w:val="TOC1"/>
            <w:rPr>
              <w:rFonts w:asciiTheme="minorHAnsi" w:eastAsiaTheme="minorEastAsia" w:hAnsiTheme="minorHAnsi" w:cstheme="minorBidi"/>
              <w:kern w:val="2"/>
              <w:lang w:val="en-US"/>
              <w14:ligatures w14:val="standardContextual"/>
            </w:rPr>
          </w:pPr>
          <w:hyperlink w:anchor="_Toc205209206" w:history="1">
            <w:r w:rsidRPr="00BD415B">
              <w:rPr>
                <w:rStyle w:val="Hyperlink"/>
              </w:rPr>
              <w:t>Primary Research Aim</w:t>
            </w:r>
            <w:r>
              <w:rPr>
                <w:webHidden/>
              </w:rPr>
              <w:tab/>
            </w:r>
            <w:r>
              <w:rPr>
                <w:webHidden/>
              </w:rPr>
              <w:fldChar w:fldCharType="begin"/>
            </w:r>
            <w:r>
              <w:rPr>
                <w:webHidden/>
              </w:rPr>
              <w:instrText xml:space="preserve"> PAGEREF _Toc205209206 \h </w:instrText>
            </w:r>
            <w:r>
              <w:rPr>
                <w:webHidden/>
              </w:rPr>
            </w:r>
            <w:r>
              <w:rPr>
                <w:webHidden/>
              </w:rPr>
              <w:fldChar w:fldCharType="separate"/>
            </w:r>
            <w:r>
              <w:rPr>
                <w:webHidden/>
              </w:rPr>
              <w:t>4</w:t>
            </w:r>
            <w:r>
              <w:rPr>
                <w:webHidden/>
              </w:rPr>
              <w:fldChar w:fldCharType="end"/>
            </w:r>
          </w:hyperlink>
        </w:p>
        <w:p w14:paraId="716B58D8" w14:textId="1B198451" w:rsidR="00415D89" w:rsidRDefault="00415D89">
          <w:pPr>
            <w:pStyle w:val="TOC1"/>
            <w:rPr>
              <w:rFonts w:asciiTheme="minorHAnsi" w:eastAsiaTheme="minorEastAsia" w:hAnsiTheme="minorHAnsi" w:cstheme="minorBidi"/>
              <w:kern w:val="2"/>
              <w:lang w:val="en-US"/>
              <w14:ligatures w14:val="standardContextual"/>
            </w:rPr>
          </w:pPr>
          <w:hyperlink w:anchor="_Toc205209207" w:history="1">
            <w:r w:rsidRPr="00BD415B">
              <w:rPr>
                <w:rStyle w:val="Hyperlink"/>
              </w:rPr>
              <w:t>Research Objective:</w:t>
            </w:r>
            <w:r>
              <w:rPr>
                <w:webHidden/>
              </w:rPr>
              <w:tab/>
            </w:r>
            <w:r>
              <w:rPr>
                <w:webHidden/>
              </w:rPr>
              <w:fldChar w:fldCharType="begin"/>
            </w:r>
            <w:r>
              <w:rPr>
                <w:webHidden/>
              </w:rPr>
              <w:instrText xml:space="preserve"> PAGEREF _Toc205209207 \h </w:instrText>
            </w:r>
            <w:r>
              <w:rPr>
                <w:webHidden/>
              </w:rPr>
            </w:r>
            <w:r>
              <w:rPr>
                <w:webHidden/>
              </w:rPr>
              <w:fldChar w:fldCharType="separate"/>
            </w:r>
            <w:r>
              <w:rPr>
                <w:webHidden/>
              </w:rPr>
              <w:t>5</w:t>
            </w:r>
            <w:r>
              <w:rPr>
                <w:webHidden/>
              </w:rPr>
              <w:fldChar w:fldCharType="end"/>
            </w:r>
          </w:hyperlink>
        </w:p>
        <w:p w14:paraId="3E3C59E5" w14:textId="3B92BBCF" w:rsidR="00415D89" w:rsidRDefault="00415D89">
          <w:pPr>
            <w:pStyle w:val="TOC1"/>
            <w:rPr>
              <w:rFonts w:asciiTheme="minorHAnsi" w:eastAsiaTheme="minorEastAsia" w:hAnsiTheme="minorHAnsi" w:cstheme="minorBidi"/>
              <w:kern w:val="2"/>
              <w:lang w:val="en-US"/>
              <w14:ligatures w14:val="standardContextual"/>
            </w:rPr>
          </w:pPr>
          <w:hyperlink w:anchor="_Toc205209208" w:history="1">
            <w:r w:rsidRPr="00BD415B">
              <w:rPr>
                <w:rStyle w:val="Hyperlink"/>
              </w:rPr>
              <w:t>Literature review</w:t>
            </w:r>
            <w:r>
              <w:rPr>
                <w:webHidden/>
              </w:rPr>
              <w:tab/>
            </w:r>
            <w:r>
              <w:rPr>
                <w:webHidden/>
              </w:rPr>
              <w:fldChar w:fldCharType="begin"/>
            </w:r>
            <w:r>
              <w:rPr>
                <w:webHidden/>
              </w:rPr>
              <w:instrText xml:space="preserve"> PAGEREF _Toc205209208 \h </w:instrText>
            </w:r>
            <w:r>
              <w:rPr>
                <w:webHidden/>
              </w:rPr>
            </w:r>
            <w:r>
              <w:rPr>
                <w:webHidden/>
              </w:rPr>
              <w:fldChar w:fldCharType="separate"/>
            </w:r>
            <w:r>
              <w:rPr>
                <w:webHidden/>
              </w:rPr>
              <w:t>5</w:t>
            </w:r>
            <w:r>
              <w:rPr>
                <w:webHidden/>
              </w:rPr>
              <w:fldChar w:fldCharType="end"/>
            </w:r>
          </w:hyperlink>
        </w:p>
        <w:p w14:paraId="2C5170BF" w14:textId="1956EA19" w:rsidR="00415D89" w:rsidRDefault="00415D89">
          <w:pPr>
            <w:pStyle w:val="TOC1"/>
            <w:rPr>
              <w:rFonts w:asciiTheme="minorHAnsi" w:eastAsiaTheme="minorEastAsia" w:hAnsiTheme="minorHAnsi" w:cstheme="minorBidi"/>
              <w:kern w:val="2"/>
              <w:lang w:val="en-US"/>
              <w14:ligatures w14:val="standardContextual"/>
            </w:rPr>
          </w:pPr>
          <w:hyperlink w:anchor="_Toc205209209" w:history="1">
            <w:r w:rsidRPr="00BD415B">
              <w:rPr>
                <w:rStyle w:val="Hyperlink"/>
                <w:lang w:val="en-US"/>
              </w:rPr>
              <w:t>Methodology</w:t>
            </w:r>
            <w:r>
              <w:rPr>
                <w:webHidden/>
              </w:rPr>
              <w:tab/>
            </w:r>
            <w:r>
              <w:rPr>
                <w:webHidden/>
              </w:rPr>
              <w:fldChar w:fldCharType="begin"/>
            </w:r>
            <w:r>
              <w:rPr>
                <w:webHidden/>
              </w:rPr>
              <w:instrText xml:space="preserve"> PAGEREF _Toc205209209 \h </w:instrText>
            </w:r>
            <w:r>
              <w:rPr>
                <w:webHidden/>
              </w:rPr>
            </w:r>
            <w:r>
              <w:rPr>
                <w:webHidden/>
              </w:rPr>
              <w:fldChar w:fldCharType="separate"/>
            </w:r>
            <w:r>
              <w:rPr>
                <w:webHidden/>
              </w:rPr>
              <w:t>8</w:t>
            </w:r>
            <w:r>
              <w:rPr>
                <w:webHidden/>
              </w:rPr>
              <w:fldChar w:fldCharType="end"/>
            </w:r>
          </w:hyperlink>
        </w:p>
        <w:p w14:paraId="4B5F1EF6" w14:textId="065DCB41" w:rsidR="00415D89" w:rsidRDefault="00415D89">
          <w:pPr>
            <w:pStyle w:val="TOC1"/>
            <w:rPr>
              <w:rFonts w:asciiTheme="minorHAnsi" w:eastAsiaTheme="minorEastAsia" w:hAnsiTheme="minorHAnsi" w:cstheme="minorBidi"/>
              <w:kern w:val="2"/>
              <w:lang w:val="en-US"/>
              <w14:ligatures w14:val="standardContextual"/>
            </w:rPr>
          </w:pPr>
          <w:hyperlink w:anchor="_Toc205209210" w:history="1">
            <w:r w:rsidRPr="00BD415B">
              <w:rPr>
                <w:rStyle w:val="Hyperlink"/>
                <w:lang w:val="en-US" w:bidi="ar-KW"/>
              </w:rPr>
              <w:t>Gantt chart</w:t>
            </w:r>
            <w:r>
              <w:rPr>
                <w:webHidden/>
              </w:rPr>
              <w:tab/>
            </w:r>
            <w:r>
              <w:rPr>
                <w:webHidden/>
              </w:rPr>
              <w:fldChar w:fldCharType="begin"/>
            </w:r>
            <w:r>
              <w:rPr>
                <w:webHidden/>
              </w:rPr>
              <w:instrText xml:space="preserve"> PAGEREF _Toc205209210 \h </w:instrText>
            </w:r>
            <w:r>
              <w:rPr>
                <w:webHidden/>
              </w:rPr>
            </w:r>
            <w:r>
              <w:rPr>
                <w:webHidden/>
              </w:rPr>
              <w:fldChar w:fldCharType="separate"/>
            </w:r>
            <w:r>
              <w:rPr>
                <w:webHidden/>
              </w:rPr>
              <w:t>10</w:t>
            </w:r>
            <w:r>
              <w:rPr>
                <w:webHidden/>
              </w:rPr>
              <w:fldChar w:fldCharType="end"/>
            </w:r>
          </w:hyperlink>
        </w:p>
        <w:p w14:paraId="1B339976" w14:textId="7C60BE6D" w:rsidR="00415D89" w:rsidRDefault="00415D89">
          <w:pPr>
            <w:pStyle w:val="TOC1"/>
            <w:rPr>
              <w:rFonts w:asciiTheme="minorHAnsi" w:eastAsiaTheme="minorEastAsia" w:hAnsiTheme="minorHAnsi" w:cstheme="minorBidi"/>
              <w:kern w:val="2"/>
              <w:lang w:val="en-US"/>
              <w14:ligatures w14:val="standardContextual"/>
            </w:rPr>
          </w:pPr>
          <w:hyperlink w:anchor="_Toc205209211" w:history="1">
            <w:r w:rsidRPr="00BD415B">
              <w:rPr>
                <w:rStyle w:val="Hyperlink"/>
                <w:lang w:val="en-US"/>
              </w:rPr>
              <w:t>References</w:t>
            </w:r>
            <w:r>
              <w:rPr>
                <w:webHidden/>
              </w:rPr>
              <w:tab/>
            </w:r>
            <w:r>
              <w:rPr>
                <w:webHidden/>
              </w:rPr>
              <w:fldChar w:fldCharType="begin"/>
            </w:r>
            <w:r>
              <w:rPr>
                <w:webHidden/>
              </w:rPr>
              <w:instrText xml:space="preserve"> PAGEREF _Toc205209211 \h </w:instrText>
            </w:r>
            <w:r>
              <w:rPr>
                <w:webHidden/>
              </w:rPr>
            </w:r>
            <w:r>
              <w:rPr>
                <w:webHidden/>
              </w:rPr>
              <w:fldChar w:fldCharType="separate"/>
            </w:r>
            <w:r>
              <w:rPr>
                <w:webHidden/>
              </w:rPr>
              <w:t>11</w:t>
            </w:r>
            <w:r>
              <w:rPr>
                <w:webHidden/>
              </w:rPr>
              <w:fldChar w:fldCharType="end"/>
            </w:r>
          </w:hyperlink>
        </w:p>
        <w:p w14:paraId="266D75B6" w14:textId="25931265" w:rsidR="00430A70" w:rsidRPr="00430A70" w:rsidRDefault="00430A70" w:rsidP="00430A70">
          <w:pPr>
            <w:spacing w:line="276" w:lineRule="auto"/>
            <w:rPr>
              <w:rFonts w:ascii="Times New Roman" w:hAnsi="Times New Roman" w:cs="Times New Roman"/>
              <w:sz w:val="24"/>
              <w:szCs w:val="24"/>
            </w:rPr>
          </w:pPr>
          <w:r w:rsidRPr="00430A70">
            <w:rPr>
              <w:rFonts w:ascii="Times New Roman" w:hAnsi="Times New Roman" w:cs="Times New Roman"/>
              <w:b/>
              <w:bCs/>
              <w:noProof/>
              <w:sz w:val="24"/>
              <w:szCs w:val="24"/>
            </w:rPr>
            <w:fldChar w:fldCharType="end"/>
          </w:r>
        </w:p>
      </w:sdtContent>
    </w:sdt>
    <w:p w14:paraId="2B4C64F7" w14:textId="77777777" w:rsidR="00430A70" w:rsidRPr="00430A70" w:rsidRDefault="00430A70" w:rsidP="00430A70">
      <w:pPr>
        <w:spacing w:line="276" w:lineRule="auto"/>
        <w:jc w:val="both"/>
        <w:rPr>
          <w:rFonts w:ascii="Times New Roman" w:hAnsi="Times New Roman" w:cs="Times New Roman"/>
          <w:b/>
          <w:bCs/>
          <w:sz w:val="24"/>
          <w:szCs w:val="24"/>
          <w:lang w:val="en-US"/>
        </w:rPr>
      </w:pPr>
    </w:p>
    <w:p w14:paraId="5FEB8D1A" w14:textId="77777777" w:rsidR="00430A70" w:rsidRPr="00430A70" w:rsidRDefault="00430A70" w:rsidP="00430A70">
      <w:pPr>
        <w:spacing w:line="276" w:lineRule="auto"/>
        <w:jc w:val="both"/>
        <w:rPr>
          <w:rFonts w:ascii="Times New Roman" w:hAnsi="Times New Roman" w:cs="Times New Roman"/>
          <w:b/>
          <w:bCs/>
          <w:sz w:val="24"/>
          <w:szCs w:val="24"/>
          <w:lang w:val="en-US"/>
        </w:rPr>
      </w:pPr>
    </w:p>
    <w:p w14:paraId="5A8E4C48" w14:textId="77777777" w:rsidR="00430A70" w:rsidRPr="00430A70" w:rsidRDefault="00430A70" w:rsidP="00430A70">
      <w:pPr>
        <w:spacing w:line="276" w:lineRule="auto"/>
        <w:jc w:val="both"/>
        <w:rPr>
          <w:rFonts w:ascii="Times New Roman" w:hAnsi="Times New Roman" w:cs="Times New Roman"/>
          <w:b/>
          <w:bCs/>
          <w:sz w:val="24"/>
          <w:szCs w:val="24"/>
          <w:lang w:val="en-US"/>
        </w:rPr>
      </w:pPr>
    </w:p>
    <w:p w14:paraId="4FF95502" w14:textId="77777777" w:rsidR="00430A70" w:rsidRPr="00430A70" w:rsidRDefault="00430A70" w:rsidP="00430A70">
      <w:pPr>
        <w:spacing w:line="276" w:lineRule="auto"/>
        <w:jc w:val="both"/>
        <w:rPr>
          <w:rFonts w:ascii="Times New Roman" w:hAnsi="Times New Roman" w:cs="Times New Roman"/>
          <w:b/>
          <w:bCs/>
          <w:sz w:val="24"/>
          <w:szCs w:val="24"/>
          <w:lang w:val="en-US"/>
        </w:rPr>
      </w:pPr>
    </w:p>
    <w:p w14:paraId="2C543460" w14:textId="77777777" w:rsidR="00430A70" w:rsidRPr="00430A70" w:rsidRDefault="00430A70" w:rsidP="00430A70">
      <w:pPr>
        <w:spacing w:line="276" w:lineRule="auto"/>
        <w:jc w:val="both"/>
        <w:rPr>
          <w:rFonts w:ascii="Times New Roman" w:hAnsi="Times New Roman" w:cs="Times New Roman"/>
          <w:b/>
          <w:bCs/>
          <w:sz w:val="24"/>
          <w:szCs w:val="24"/>
          <w:lang w:val="en-US"/>
        </w:rPr>
      </w:pPr>
    </w:p>
    <w:p w14:paraId="40AFDE19" w14:textId="77777777" w:rsidR="00430A70" w:rsidRDefault="00430A70" w:rsidP="0003283E">
      <w:pPr>
        <w:spacing w:line="480" w:lineRule="auto"/>
        <w:jc w:val="both"/>
        <w:rPr>
          <w:rFonts w:ascii="Times New Roman" w:hAnsi="Times New Roman" w:cs="Times New Roman"/>
          <w:b/>
          <w:bCs/>
          <w:sz w:val="24"/>
          <w:szCs w:val="24"/>
          <w:lang w:val="en-US"/>
        </w:rPr>
      </w:pPr>
    </w:p>
    <w:p w14:paraId="27027518" w14:textId="77777777" w:rsidR="00430A70" w:rsidRDefault="00430A70" w:rsidP="0003283E">
      <w:pPr>
        <w:spacing w:line="480" w:lineRule="auto"/>
        <w:jc w:val="both"/>
        <w:rPr>
          <w:rFonts w:ascii="Times New Roman" w:hAnsi="Times New Roman" w:cs="Times New Roman"/>
          <w:b/>
          <w:bCs/>
          <w:sz w:val="24"/>
          <w:szCs w:val="24"/>
          <w:lang w:val="en-US"/>
        </w:rPr>
      </w:pPr>
    </w:p>
    <w:p w14:paraId="195A1489" w14:textId="77777777" w:rsidR="00430A70" w:rsidRDefault="00430A70" w:rsidP="0003283E">
      <w:pPr>
        <w:spacing w:line="480" w:lineRule="auto"/>
        <w:jc w:val="both"/>
        <w:rPr>
          <w:rFonts w:ascii="Times New Roman" w:hAnsi="Times New Roman" w:cs="Times New Roman"/>
          <w:b/>
          <w:bCs/>
          <w:sz w:val="24"/>
          <w:szCs w:val="24"/>
          <w:lang w:val="en-US"/>
        </w:rPr>
      </w:pPr>
    </w:p>
    <w:p w14:paraId="3A1D7D69" w14:textId="77777777" w:rsidR="00430A70" w:rsidRDefault="00430A70" w:rsidP="0003283E">
      <w:pPr>
        <w:spacing w:line="480" w:lineRule="auto"/>
        <w:jc w:val="both"/>
        <w:rPr>
          <w:rFonts w:ascii="Times New Roman" w:hAnsi="Times New Roman" w:cs="Times New Roman"/>
          <w:b/>
          <w:bCs/>
          <w:sz w:val="24"/>
          <w:szCs w:val="24"/>
          <w:lang w:val="en-US"/>
        </w:rPr>
      </w:pPr>
    </w:p>
    <w:p w14:paraId="73FA8F6A" w14:textId="77777777" w:rsidR="00430A70" w:rsidRDefault="00430A70" w:rsidP="0003283E">
      <w:pPr>
        <w:spacing w:line="480" w:lineRule="auto"/>
        <w:jc w:val="both"/>
        <w:rPr>
          <w:rFonts w:ascii="Times New Roman" w:hAnsi="Times New Roman" w:cs="Times New Roman"/>
          <w:b/>
          <w:bCs/>
          <w:sz w:val="24"/>
          <w:szCs w:val="24"/>
          <w:lang w:val="en-US"/>
        </w:rPr>
      </w:pPr>
    </w:p>
    <w:p w14:paraId="77495DD9" w14:textId="77777777" w:rsidR="00430A70" w:rsidRDefault="00430A70" w:rsidP="0003283E">
      <w:pPr>
        <w:spacing w:line="480" w:lineRule="auto"/>
        <w:jc w:val="both"/>
        <w:rPr>
          <w:rFonts w:ascii="Times New Roman" w:hAnsi="Times New Roman" w:cs="Times New Roman"/>
          <w:b/>
          <w:bCs/>
          <w:sz w:val="24"/>
          <w:szCs w:val="24"/>
          <w:lang w:val="en-US"/>
        </w:rPr>
      </w:pPr>
    </w:p>
    <w:p w14:paraId="1F611E8F" w14:textId="77777777" w:rsidR="003D083C" w:rsidRDefault="003D083C" w:rsidP="0003283E">
      <w:pPr>
        <w:spacing w:line="480" w:lineRule="auto"/>
        <w:jc w:val="both"/>
        <w:rPr>
          <w:rFonts w:ascii="Times New Roman" w:hAnsi="Times New Roman" w:cs="Times New Roman"/>
          <w:b/>
          <w:bCs/>
          <w:sz w:val="24"/>
          <w:szCs w:val="24"/>
          <w:lang w:val="en-US"/>
        </w:rPr>
      </w:pPr>
    </w:p>
    <w:p w14:paraId="70A2C243" w14:textId="77777777" w:rsidR="00415D89" w:rsidRDefault="00415D89" w:rsidP="0003283E">
      <w:pPr>
        <w:spacing w:line="480" w:lineRule="auto"/>
        <w:jc w:val="both"/>
        <w:rPr>
          <w:rFonts w:ascii="Times New Roman" w:hAnsi="Times New Roman" w:cs="Times New Roman"/>
          <w:b/>
          <w:bCs/>
          <w:sz w:val="24"/>
          <w:szCs w:val="24"/>
          <w:lang w:val="en-US"/>
        </w:rPr>
      </w:pPr>
    </w:p>
    <w:p w14:paraId="353CF774" w14:textId="77777777" w:rsidR="00415D89" w:rsidRDefault="00415D89" w:rsidP="0003283E">
      <w:pPr>
        <w:spacing w:line="480" w:lineRule="auto"/>
        <w:jc w:val="both"/>
        <w:rPr>
          <w:rFonts w:ascii="Times New Roman" w:hAnsi="Times New Roman" w:cs="Times New Roman"/>
          <w:b/>
          <w:bCs/>
          <w:sz w:val="24"/>
          <w:szCs w:val="24"/>
          <w:lang w:val="en-US"/>
        </w:rPr>
      </w:pPr>
    </w:p>
    <w:p w14:paraId="089EFE94" w14:textId="77777777" w:rsidR="00415D89" w:rsidRDefault="00415D89" w:rsidP="0003283E">
      <w:pPr>
        <w:spacing w:line="480" w:lineRule="auto"/>
        <w:jc w:val="both"/>
        <w:rPr>
          <w:rFonts w:ascii="Times New Roman" w:hAnsi="Times New Roman" w:cs="Times New Roman"/>
          <w:b/>
          <w:bCs/>
          <w:sz w:val="24"/>
          <w:szCs w:val="24"/>
          <w:lang w:val="en-US"/>
        </w:rPr>
      </w:pPr>
    </w:p>
    <w:p w14:paraId="4AD41A98" w14:textId="77777777" w:rsidR="00415D89" w:rsidRDefault="00415D89" w:rsidP="0003283E">
      <w:pPr>
        <w:spacing w:line="480" w:lineRule="auto"/>
        <w:jc w:val="both"/>
        <w:rPr>
          <w:rFonts w:ascii="Times New Roman" w:hAnsi="Times New Roman" w:cs="Times New Roman"/>
          <w:b/>
          <w:bCs/>
          <w:sz w:val="24"/>
          <w:szCs w:val="24"/>
          <w:lang w:val="en-US"/>
        </w:rPr>
      </w:pPr>
    </w:p>
    <w:p w14:paraId="3C36395B" w14:textId="4D145080" w:rsidR="0003283E" w:rsidRDefault="00A560D5" w:rsidP="003D083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lang w:val="en-US"/>
        </w:rPr>
        <w:lastRenderedPageBreak/>
        <w:t>Topic:</w:t>
      </w:r>
      <w:r w:rsidRPr="0003283E">
        <w:rPr>
          <w:rFonts w:ascii="Times New Roman" w:hAnsi="Times New Roman" w:cs="Times New Roman"/>
          <w:sz w:val="24"/>
          <w:szCs w:val="24"/>
        </w:rPr>
        <w:t xml:space="preserve"> </w:t>
      </w:r>
      <w:r w:rsidRPr="0003283E">
        <w:rPr>
          <w:rFonts w:ascii="Times New Roman" w:hAnsi="Times New Roman" w:cs="Times New Roman"/>
          <w:b/>
          <w:bCs/>
          <w:sz w:val="24"/>
          <w:szCs w:val="24"/>
        </w:rPr>
        <w:t xml:space="preserve">How Health Information Systems </w:t>
      </w:r>
      <w:bookmarkStart w:id="0" w:name="OLE_LINK1"/>
      <w:r w:rsidRPr="0003283E">
        <w:rPr>
          <w:rFonts w:ascii="Times New Roman" w:hAnsi="Times New Roman" w:cs="Times New Roman"/>
          <w:b/>
          <w:bCs/>
          <w:sz w:val="24"/>
          <w:szCs w:val="24"/>
        </w:rPr>
        <w:t xml:space="preserve">Promote Equitable Access to Appointments </w:t>
      </w:r>
      <w:bookmarkEnd w:id="0"/>
      <w:r w:rsidRPr="0003283E">
        <w:rPr>
          <w:rFonts w:ascii="Times New Roman" w:hAnsi="Times New Roman" w:cs="Times New Roman"/>
          <w:b/>
          <w:bCs/>
          <w:sz w:val="24"/>
          <w:szCs w:val="24"/>
        </w:rPr>
        <w:t>for Both New and Existing Patients.</w:t>
      </w:r>
    </w:p>
    <w:p w14:paraId="45689BA3" w14:textId="77777777" w:rsidR="00CB3CE7" w:rsidRPr="00CB3CE7" w:rsidRDefault="00CB3CE7" w:rsidP="00CB3CE7">
      <w:pPr>
        <w:pStyle w:val="Heading1"/>
        <w:rPr>
          <w:rFonts w:ascii="Times New Roman" w:hAnsi="Times New Roman" w:cs="Times New Roman"/>
          <w:lang w:val="en-US"/>
        </w:rPr>
      </w:pPr>
      <w:bookmarkStart w:id="1" w:name="_Toc205209204"/>
      <w:r w:rsidRPr="00CB3CE7">
        <w:rPr>
          <w:rFonts w:ascii="Times New Roman" w:hAnsi="Times New Roman" w:cs="Times New Roman"/>
          <w:lang w:val="en-US"/>
        </w:rPr>
        <w:t>Introduction</w:t>
      </w:r>
      <w:bookmarkEnd w:id="1"/>
      <w:r w:rsidRPr="00CB3CE7">
        <w:rPr>
          <w:rFonts w:ascii="Times New Roman" w:hAnsi="Times New Roman" w:cs="Times New Roman"/>
          <w:lang w:val="en-US"/>
        </w:rPr>
        <w:t xml:space="preserve"> </w:t>
      </w:r>
    </w:p>
    <w:p w14:paraId="45CB28A8" w14:textId="1A65B294" w:rsidR="00CB3CE7" w:rsidRPr="00CB3CE7" w:rsidRDefault="00CB3CE7" w:rsidP="0003283E">
      <w:pPr>
        <w:spacing w:line="480" w:lineRule="auto"/>
        <w:jc w:val="both"/>
        <w:rPr>
          <w:rFonts w:ascii="Times New Roman" w:hAnsi="Times New Roman" w:cs="Times New Roman"/>
          <w:sz w:val="24"/>
          <w:szCs w:val="24"/>
        </w:rPr>
      </w:pPr>
      <w:r>
        <w:rPr>
          <w:rFonts w:ascii="Times New Roman" w:hAnsi="Times New Roman" w:cs="Times New Roman"/>
          <w:sz w:val="24"/>
          <w:szCs w:val="24"/>
        </w:rPr>
        <w:t>Revolutionary changes in the health sector have come with some advanced digital tools under HIS to promote improved management of patient data, appointment scheduling, communication, and follow-up care</w:t>
      </w:r>
      <w:r>
        <w:t xml:space="preserve"> </w:t>
      </w:r>
      <w:r>
        <w:rPr>
          <w:rFonts w:ascii="Times New Roman" w:hAnsi="Times New Roman" w:cs="Times New Roman"/>
          <w:sz w:val="24"/>
          <w:szCs w:val="24"/>
        </w:rPr>
        <w:t>(Socha-Dietrich, 2021). Such systems include Electronic Health Records (EHRs), AI-aided appointment scheduling systems, telehealth platforms, and other interoperable systems that permit data exchange among providers. The implication of such systems remains the achievement of healthcare accessibility, quality, and efficiency</w:t>
      </w:r>
      <w:r>
        <w:t xml:space="preserve"> </w:t>
      </w:r>
      <w:r>
        <w:rPr>
          <w:rFonts w:ascii="Times New Roman" w:hAnsi="Times New Roman" w:cs="Times New Roman"/>
          <w:sz w:val="24"/>
          <w:szCs w:val="24"/>
        </w:rPr>
        <w:t>(Berwick et al., 2025). Intractable now is the challenge of guaranteeing equal opportunities for appointment slots for all new or existing patients. Benefits aside, HIS has not been devoid of its challenges, particularly for the preceding group and the digitally disadvantaged. This paper focuses on how he could help diminish access inequity, based on an analysis of six selected scholarly studies that discuss HIS and appointment access from differing perspectives.</w:t>
      </w:r>
    </w:p>
    <w:p w14:paraId="089AB956" w14:textId="432D8EC6" w:rsidR="00F32A12" w:rsidRPr="00CB3CE7" w:rsidRDefault="00A560D5" w:rsidP="00CB3CE7">
      <w:pPr>
        <w:pStyle w:val="Heading1"/>
        <w:rPr>
          <w:rFonts w:ascii="Times New Roman" w:hAnsi="Times New Roman" w:cs="Times New Roman"/>
        </w:rPr>
      </w:pPr>
      <w:bookmarkStart w:id="2" w:name="_Toc205209205"/>
      <w:r w:rsidRPr="00CB3CE7">
        <w:rPr>
          <w:rFonts w:ascii="Times New Roman" w:hAnsi="Times New Roman" w:cs="Times New Roman"/>
        </w:rPr>
        <w:t>Problem statement</w:t>
      </w:r>
      <w:bookmarkEnd w:id="2"/>
      <w:r w:rsidRPr="00CB3CE7">
        <w:rPr>
          <w:rFonts w:ascii="Times New Roman" w:hAnsi="Times New Roman" w:cs="Times New Roman"/>
        </w:rPr>
        <w:t xml:space="preserve"> </w:t>
      </w:r>
    </w:p>
    <w:p w14:paraId="301C0AAA" w14:textId="368017B3" w:rsidR="008F2888" w:rsidRPr="008F2888" w:rsidRDefault="00A560D5" w:rsidP="008F2888">
      <w:pPr>
        <w:spacing w:line="480" w:lineRule="auto"/>
        <w:jc w:val="both"/>
        <w:rPr>
          <w:rFonts w:ascii="Times New Roman" w:hAnsi="Times New Roman" w:cs="Times New Roman"/>
          <w:sz w:val="24"/>
          <w:szCs w:val="24"/>
        </w:rPr>
      </w:pPr>
      <w:r w:rsidRPr="008F2888">
        <w:rPr>
          <w:rFonts w:ascii="Times New Roman" w:hAnsi="Times New Roman" w:cs="Times New Roman"/>
          <w:sz w:val="24"/>
          <w:szCs w:val="24"/>
        </w:rPr>
        <w:t>According to recent views, the Health Information System (HIS) plays a crucial role in areas such as patient appointment scheduling and management, as well as various other aspects of healthcare services, i</w:t>
      </w:r>
      <w:r w:rsidR="007C42D9">
        <w:rPr>
          <w:rFonts w:ascii="Times New Roman" w:hAnsi="Times New Roman" w:cs="Times New Roman"/>
          <w:sz w:val="24"/>
          <w:szCs w:val="24"/>
        </w:rPr>
        <w:t xml:space="preserve">n facilitating the transition of </w:t>
      </w:r>
      <w:r w:rsidRPr="008F2888">
        <w:rPr>
          <w:rFonts w:ascii="Times New Roman" w:hAnsi="Times New Roman" w:cs="Times New Roman"/>
          <w:sz w:val="24"/>
          <w:szCs w:val="24"/>
        </w:rPr>
        <w:t>healthcare towards effectiveness (Socha-Dietrich, 2021; Berwick et al., 2025). Improved operational efficiency, reduced waiting times, and an overall better patient experience — particularly for established patients — are said to have been achieved using tools such as Electronic Health Records (EHRs), AI-based scheduling platforms, and telehealth portals (Goldzweig et al., 2013).</w:t>
      </w:r>
    </w:p>
    <w:p w14:paraId="7A3556C9" w14:textId="5F88D474" w:rsidR="0003283E" w:rsidRDefault="00A560D5" w:rsidP="008F2888">
      <w:pPr>
        <w:spacing w:line="480" w:lineRule="auto"/>
        <w:jc w:val="both"/>
        <w:rPr>
          <w:rFonts w:ascii="Times New Roman" w:hAnsi="Times New Roman" w:cs="Times New Roman"/>
          <w:sz w:val="24"/>
          <w:szCs w:val="24"/>
        </w:rPr>
      </w:pPr>
      <w:r w:rsidRPr="008F2888">
        <w:rPr>
          <w:rFonts w:ascii="Times New Roman" w:hAnsi="Times New Roman" w:cs="Times New Roman"/>
          <w:sz w:val="24"/>
          <w:szCs w:val="24"/>
        </w:rPr>
        <w:t xml:space="preserve">The mentioned advancements only handle a small part, and there is still an extensive issue left to be addressed, giving equitable access to booking appointments for new and old patients, especially from digitally marginalized communities. According to Nguyen &amp; Bellucci (2020) </w:t>
      </w:r>
      <w:r w:rsidRPr="008F2888">
        <w:rPr>
          <w:rFonts w:ascii="Times New Roman" w:hAnsi="Times New Roman" w:cs="Times New Roman"/>
          <w:sz w:val="24"/>
          <w:szCs w:val="24"/>
        </w:rPr>
        <w:lastRenderedPageBreak/>
        <w:t xml:space="preserve">and Kruse et al. (2021), while HIS tools smooth access for the tech-savvy urban </w:t>
      </w:r>
      <w:r w:rsidR="007C42D9">
        <w:rPr>
          <w:rFonts w:ascii="Times New Roman" w:hAnsi="Times New Roman" w:cs="Times New Roman"/>
          <w:sz w:val="24"/>
          <w:szCs w:val="24"/>
        </w:rPr>
        <w:t xml:space="preserve">residents, </w:t>
      </w:r>
      <w:r w:rsidRPr="008F2888">
        <w:rPr>
          <w:rFonts w:ascii="Times New Roman" w:hAnsi="Times New Roman" w:cs="Times New Roman"/>
          <w:sz w:val="24"/>
          <w:szCs w:val="24"/>
        </w:rPr>
        <w:t>they inadvertently marginalize other vulnerable groups, including elderly persons, low-income residents, rural populations, and those with limited digital literacy. They raise a red flag in terms of digital health equity, where technological breakthrough has a tendency to aggravate the disparity in access (Reed et al., 2018; Patel &amp;</w:t>
      </w:r>
      <w:r w:rsidR="0099772E">
        <w:rPr>
          <w:rFonts w:ascii="Times New Roman" w:hAnsi="Times New Roman" w:cs="Times New Roman"/>
          <w:sz w:val="24"/>
          <w:szCs w:val="24"/>
        </w:rPr>
        <w:t xml:space="preserve"> Thomas, 2029).</w:t>
      </w:r>
    </w:p>
    <w:p w14:paraId="2A451BB9" w14:textId="6DD3C4F6" w:rsidR="0099772E" w:rsidRPr="0099772E" w:rsidRDefault="00A560D5" w:rsidP="0099772E">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 xml:space="preserve">Different studies have proposed various digital tools and AI-based scheduling solutions. However, only a few have explicitly adopted a patient-centered methodology on the equitable design and implementation of HIS. Furthermore, it is even questionable whether any integrative research has been conducted so far to reveal whether such current HIS tools reduce or magnify inequities in access to a given appointment slot, especially at the first point of contact when people come into a healthcare system. </w:t>
      </w:r>
    </w:p>
    <w:p w14:paraId="46E5A536" w14:textId="22B6DBFF" w:rsidR="008F2888" w:rsidRDefault="00A560D5" w:rsidP="0099772E">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Therefore, this study is needed to assess the intersection between HIS innovation and equitable access, identify the main barriers that prevent underserved populations from accessing HIS, and recommend inclusive solutions to ameliorate equity in all patients, new and returning alike, to be able to make appointments.</w:t>
      </w:r>
    </w:p>
    <w:p w14:paraId="19002EC1" w14:textId="5B5A8C89" w:rsidR="0099772E" w:rsidRPr="00CB3CE7" w:rsidRDefault="00A560D5" w:rsidP="00CB3CE7">
      <w:pPr>
        <w:pStyle w:val="Heading1"/>
        <w:rPr>
          <w:rFonts w:ascii="Times New Roman" w:hAnsi="Times New Roman" w:cs="Times New Roman"/>
        </w:rPr>
      </w:pPr>
      <w:bookmarkStart w:id="3" w:name="_Toc205209206"/>
      <w:r w:rsidRPr="00CB3CE7">
        <w:rPr>
          <w:rFonts w:ascii="Times New Roman" w:hAnsi="Times New Roman" w:cs="Times New Roman"/>
        </w:rPr>
        <w:t>Primary Research Aim</w:t>
      </w:r>
      <w:bookmarkEnd w:id="3"/>
    </w:p>
    <w:p w14:paraId="35787787" w14:textId="538A31AB" w:rsidR="0099772E" w:rsidRPr="0099772E" w:rsidRDefault="00A560D5" w:rsidP="0099772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examine </w:t>
      </w:r>
      <w:r w:rsidRPr="0099772E">
        <w:rPr>
          <w:rFonts w:ascii="Times New Roman" w:hAnsi="Times New Roman" w:cs="Times New Roman"/>
          <w:sz w:val="24"/>
          <w:szCs w:val="24"/>
        </w:rPr>
        <w:t xml:space="preserve">how planning and researching HIS, how does HIS impact equitable access to appointments for new patients as opposed to appointments for existing patients, and what can be done to help HIS adjust for inclusiveness among various patients? </w:t>
      </w:r>
    </w:p>
    <w:p w14:paraId="604BB3A7" w14:textId="77777777" w:rsidR="003D083C" w:rsidRDefault="003D083C" w:rsidP="00CB3CE7">
      <w:pPr>
        <w:pStyle w:val="Heading1"/>
        <w:rPr>
          <w:rFonts w:ascii="Times New Roman" w:hAnsi="Times New Roman" w:cs="Times New Roman"/>
        </w:rPr>
      </w:pPr>
    </w:p>
    <w:p w14:paraId="7F367165" w14:textId="77777777" w:rsidR="00415D89" w:rsidRDefault="00415D89" w:rsidP="00415D89"/>
    <w:p w14:paraId="002F9D84" w14:textId="77777777" w:rsidR="00415D89" w:rsidRDefault="00415D89" w:rsidP="00415D89"/>
    <w:p w14:paraId="441DC40A" w14:textId="77777777" w:rsidR="00415D89" w:rsidRPr="00415D89" w:rsidRDefault="00415D89" w:rsidP="00415D89"/>
    <w:p w14:paraId="0FCA0EBF" w14:textId="58B62F91" w:rsidR="0099772E" w:rsidRPr="00CB3CE7" w:rsidRDefault="00A560D5" w:rsidP="00CB3CE7">
      <w:pPr>
        <w:pStyle w:val="Heading1"/>
        <w:rPr>
          <w:rFonts w:ascii="Times New Roman" w:hAnsi="Times New Roman" w:cs="Times New Roman"/>
        </w:rPr>
      </w:pPr>
      <w:bookmarkStart w:id="4" w:name="_Toc205209207"/>
      <w:r w:rsidRPr="00CB3CE7">
        <w:rPr>
          <w:rFonts w:ascii="Times New Roman" w:hAnsi="Times New Roman" w:cs="Times New Roman"/>
        </w:rPr>
        <w:lastRenderedPageBreak/>
        <w:t>Research Objective:</w:t>
      </w:r>
      <w:bookmarkEnd w:id="4"/>
    </w:p>
    <w:p w14:paraId="2248D613" w14:textId="3513661B" w:rsidR="0099772E" w:rsidRPr="0099772E" w:rsidRDefault="00A560D5"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analyze the role of Health Information Systems (e.g., EHRs, AI scheduling, telehealth) in creating efficiency in appointment scheduling for patients.</w:t>
      </w:r>
    </w:p>
    <w:p w14:paraId="1E91050B" w14:textId="57101D10" w:rsidR="0099772E" w:rsidRPr="0099772E" w:rsidRDefault="00A560D5"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examine barriers in accessing appointments through HIS platforms for digitally disadvantaged or underserved populations.</w:t>
      </w:r>
    </w:p>
    <w:p w14:paraId="5F71CF17" w14:textId="420537DB" w:rsidR="0099772E" w:rsidRPr="0099772E" w:rsidRDefault="00A560D5"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examine the equity implications of present HIS tools as they apply to various demographic gradients (e.g., age, income, digital literacy, geography).</w:t>
      </w:r>
    </w:p>
    <w:p w14:paraId="4253F463" w14:textId="3C0E9F2F" w:rsidR="0099772E" w:rsidRPr="0099772E" w:rsidRDefault="00A560D5"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identify interventions or adaptations to HIS that have been shown to improve equity in access to appointments.</w:t>
      </w:r>
    </w:p>
    <w:p w14:paraId="7203E821" w14:textId="48A44189" w:rsidR="0099772E" w:rsidRDefault="00A560D5"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design a patient-centered framework or design recommendations for the equitable placement of HIS in appointment management systems.</w:t>
      </w:r>
    </w:p>
    <w:p w14:paraId="1AA26984" w14:textId="44B7670A" w:rsidR="00FA1F7E" w:rsidRPr="00CB3CE7" w:rsidRDefault="00A560D5" w:rsidP="00CB3CE7">
      <w:pPr>
        <w:pStyle w:val="Heading1"/>
        <w:rPr>
          <w:rFonts w:ascii="Times New Roman" w:hAnsi="Times New Roman" w:cs="Times New Roman"/>
        </w:rPr>
      </w:pPr>
      <w:bookmarkStart w:id="5" w:name="_Toc205209208"/>
      <w:r w:rsidRPr="00CB3CE7">
        <w:rPr>
          <w:rFonts w:ascii="Times New Roman" w:hAnsi="Times New Roman" w:cs="Times New Roman"/>
        </w:rPr>
        <w:t>Literature review</w:t>
      </w:r>
      <w:bookmarkEnd w:id="5"/>
      <w:r w:rsidRPr="00CB3CE7">
        <w:rPr>
          <w:rFonts w:ascii="Times New Roman" w:hAnsi="Times New Roman" w:cs="Times New Roman"/>
        </w:rPr>
        <w:t xml:space="preserve"> </w:t>
      </w:r>
    </w:p>
    <w:p w14:paraId="6AD88F2B" w14:textId="37F5CE82" w:rsidR="00FA1F7E" w:rsidRPr="00FA1F7E" w:rsidRDefault="00A560D5" w:rsidP="003D083C">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This systematic review offers one of the earliest comprehensive assessments of health information technologies' (HIT) impact on scheduling systems and appointment access. The researchers investigated multiple forms of HIT, including online portals, automated self-scheduling platforms, and reminder systems. The differences pointed out the reduced patient waiting time and improvement of appointment continuity for existing patients receiving routine appointments with that healthcare provider across these systems.</w:t>
      </w:r>
      <w:r w:rsidR="003D083C">
        <w:rPr>
          <w:rFonts w:ascii="Times New Roman" w:hAnsi="Times New Roman" w:cs="Times New Roman"/>
          <w:sz w:val="24"/>
          <w:szCs w:val="24"/>
        </w:rPr>
        <w:t xml:space="preserve"> </w:t>
      </w:r>
      <w:r w:rsidRPr="0099772E">
        <w:rPr>
          <w:rFonts w:ascii="Times New Roman" w:hAnsi="Times New Roman" w:cs="Times New Roman"/>
          <w:sz w:val="24"/>
          <w:szCs w:val="24"/>
        </w:rPr>
        <w:t>However, perhaps the biggest limitation of this review is a focus on data from the United States that may not apply to other health system contexts, especially low- to middle-income countries. More seriously, Goldzweig et al. failed to address issues of equity or to assess the impact of HIT on populations that lack digital literacy or consistent access to the internet. While efficiency gains were evident, the lack of an equity lens made this study less pertinent to the larger issue of access for new and digitally disadvantaged patients.</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 xml:space="preserve">Nguyen and Bellucci gave a nuanced analysis of how EHR-integrated appointment systems are functioning within Australian primary care </w:t>
      </w:r>
      <w:r w:rsidRPr="00FA1F7E">
        <w:rPr>
          <w:rFonts w:ascii="Times New Roman" w:hAnsi="Times New Roman" w:cs="Times New Roman"/>
          <w:sz w:val="24"/>
          <w:szCs w:val="24"/>
        </w:rPr>
        <w:lastRenderedPageBreak/>
        <w:t>clinics. By using a mixed-methods approach (of case studies and surveys), they have revealed that EHR-linked scheduling tools improved throughput while minimizing scheduling errors and enhancing the reliability of appointment data. Such advantages notwithstanding, the study throws up the very pertinent issue of how low digital literacy or technological access</w:t>
      </w:r>
      <w:r w:rsidR="00A642C9">
        <w:rPr>
          <w:rFonts w:ascii="Times New Roman" w:hAnsi="Times New Roman" w:cs="Times New Roman"/>
          <w:sz w:val="24"/>
          <w:szCs w:val="24"/>
        </w:rPr>
        <w:t xml:space="preserve">, </w:t>
      </w:r>
      <w:r w:rsidRPr="00FA1F7E">
        <w:rPr>
          <w:rFonts w:ascii="Times New Roman" w:hAnsi="Times New Roman" w:cs="Times New Roman"/>
          <w:sz w:val="24"/>
          <w:szCs w:val="24"/>
        </w:rPr>
        <w:t>particularly for the elderly and those from the socio-economically disadvantaged segments of society</w:t>
      </w:r>
      <w:r w:rsidR="00A642C9">
        <w:rPr>
          <w:rFonts w:ascii="Times New Roman" w:hAnsi="Times New Roman" w:cs="Times New Roman"/>
          <w:sz w:val="24"/>
          <w:szCs w:val="24"/>
        </w:rPr>
        <w:t xml:space="preserve">, has </w:t>
      </w:r>
      <w:r w:rsidRPr="00FA1F7E">
        <w:rPr>
          <w:rFonts w:ascii="Times New Roman" w:hAnsi="Times New Roman" w:cs="Times New Roman"/>
          <w:sz w:val="24"/>
          <w:szCs w:val="24"/>
        </w:rPr>
        <w:t>become a significant impediment to using these digital systems.</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Regarding the external validity of the work, a limitation in geographic scope (a few clinics in Australia) seems to be present, but its strength lies in showing the practical terms of the "digital divide" and that technical efficiency does not necessarily guarantee equal access. The researchers recommend that the forthcoming HIS implementations take into account the users' capability, access</w:t>
      </w:r>
      <w:r w:rsidRPr="00FA1F7E">
        <w:t xml:space="preserve">. </w:t>
      </w:r>
      <w:r w:rsidRPr="00FA1F7E">
        <w:rPr>
          <w:rFonts w:ascii="Times New Roman" w:hAnsi="Times New Roman" w:cs="Times New Roman"/>
          <w:sz w:val="24"/>
          <w:szCs w:val="24"/>
        </w:rPr>
        <w:t xml:space="preserve">This cross-sectional study examined the </w:t>
      </w:r>
      <w:r w:rsidR="007C42D9">
        <w:rPr>
          <w:rFonts w:ascii="Times New Roman" w:hAnsi="Times New Roman" w:cs="Times New Roman"/>
          <w:sz w:val="24"/>
          <w:szCs w:val="24"/>
        </w:rPr>
        <w:t xml:space="preserve">flow </w:t>
      </w:r>
      <w:r w:rsidRPr="00FA1F7E">
        <w:rPr>
          <w:rFonts w:ascii="Times New Roman" w:hAnsi="Times New Roman" w:cs="Times New Roman"/>
          <w:sz w:val="24"/>
          <w:szCs w:val="24"/>
        </w:rPr>
        <w:t xml:space="preserve">in telehealth usage during the COVID-19 pandemic. The findings are </w:t>
      </w:r>
      <w:r w:rsidR="007C42D9">
        <w:rPr>
          <w:rFonts w:ascii="Times New Roman" w:hAnsi="Times New Roman" w:cs="Times New Roman"/>
          <w:sz w:val="24"/>
          <w:szCs w:val="24"/>
        </w:rPr>
        <w:t xml:space="preserve">a basic </w:t>
      </w:r>
      <w:r w:rsidRPr="00FA1F7E">
        <w:rPr>
          <w:rFonts w:ascii="Times New Roman" w:hAnsi="Times New Roman" w:cs="Times New Roman"/>
          <w:sz w:val="24"/>
          <w:szCs w:val="24"/>
        </w:rPr>
        <w:t>dual-sided outcome whereby telehealth improved appointment access to patients, especially in urban settings, with a high degree of digital readiness on their part; conversely, it has also introduced new forms of inequity. Older adults, rural populations, and individuals without access to devices or stable internet connections were frequently excluded from benefiting fully from telehealth services.</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Kruse et al. used statistically valid correlations between demographic variables and appointment access outcomes based on national datasets. However, the main focus of the article is telehealth as opposed to HIS in general, which diminishes its external validity when applied to other digital health platforms. Nevertheless, it remains pertinent to multiple equity debates, indicating that unless inclusively designed, digital health interventions might only deepen existing health inequities. Ability, and other means of booking.</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 xml:space="preserve">Reed and co-authors examined reports on systematic differences between self-scheduling practices in patient portals. In summary, their research supports the idea that younger, college-educated, and well-informed patients will use self-scheduling features for self-scheduling purposes. Opposed to this are older patients and people with less education or </w:t>
      </w:r>
      <w:r w:rsidRPr="00FA1F7E">
        <w:rPr>
          <w:rFonts w:ascii="Times New Roman" w:hAnsi="Times New Roman" w:cs="Times New Roman"/>
          <w:sz w:val="24"/>
          <w:szCs w:val="24"/>
        </w:rPr>
        <w:lastRenderedPageBreak/>
        <w:t>income, who seem unaware or just unwilling to engage in such actions.</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 xml:space="preserve">The study's strength is in its examination of user behavior and preference, not just system performance. Discussion of intervention or design strategies to reduce these barriers is sorely lacking. Findings therefore </w:t>
      </w:r>
      <w:r w:rsidR="007C42D9">
        <w:rPr>
          <w:rFonts w:ascii="Times New Roman" w:hAnsi="Times New Roman" w:cs="Times New Roman"/>
          <w:sz w:val="24"/>
          <w:szCs w:val="24"/>
        </w:rPr>
        <w:t>support</w:t>
      </w:r>
      <w:r w:rsidRPr="00FA1F7E">
        <w:rPr>
          <w:rFonts w:ascii="Times New Roman" w:hAnsi="Times New Roman" w:cs="Times New Roman"/>
          <w:sz w:val="24"/>
          <w:szCs w:val="24"/>
        </w:rPr>
        <w:t xml:space="preserve"> the argument that HIS tools appear to serve those who are already privileged by access and digital know-how, raising critical questions about inclusion.</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This pilot study runs experimental trials to determine the applicability of AI-based scheduling algorithms in outpatient clinics. The AI set up the appointment allocation based on predicted no-show probabilities and patient traffic data. It was able to achieve a 20% improvement in the utilization of the clinic, as well as reduce wait times for all.</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While these findings are significant from an administrative efficiency standpoint, this study did not address the questions of equity. There was no demographic assessment to determine whether or not the results were helpful to marginally present populations concerning improvements made by AIs in scheduling. This is a huge gap since AI algorithms are oftentimes trained using past data, which may already introduce and perpetuate certain types of biases against some patient groups.</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This research article from Patel and Thomas detailed a qualitative study investigating how HIS are used in community health centers targeting low-income populations. It found that HIS, which includes multilingual patient portals, staff-assisted booking options, and culturally appropriate communication, significantly enhances appointment access for new patients and those with low digital literacy.</w:t>
      </w:r>
      <w:r w:rsidR="003D083C">
        <w:rPr>
          <w:rFonts w:ascii="Times New Roman" w:hAnsi="Times New Roman" w:cs="Times New Roman"/>
          <w:sz w:val="24"/>
          <w:szCs w:val="24"/>
        </w:rPr>
        <w:t xml:space="preserve"> </w:t>
      </w:r>
      <w:r w:rsidRPr="00FA1F7E">
        <w:rPr>
          <w:rFonts w:ascii="Times New Roman" w:hAnsi="Times New Roman" w:cs="Times New Roman"/>
          <w:sz w:val="24"/>
          <w:szCs w:val="24"/>
        </w:rPr>
        <w:t>What makes this study stand out is its direct attempt to address issues raised by equity in HIS implementation. Their individualized perspective was revealed during the construction of gaps in access to healthcare for vulnerable populations. However, as the authors note, these individualized solutions are often resource-demanding and difficult to replicate on larger systems without dedicated funding and infrastructure.</w:t>
      </w:r>
    </w:p>
    <w:p w14:paraId="142AC1D2" w14:textId="68D925A0" w:rsidR="002D0A68" w:rsidRPr="00E2718F" w:rsidRDefault="002D0A68" w:rsidP="002D0A68">
      <w:pPr>
        <w:pStyle w:val="Heading1"/>
        <w:rPr>
          <w:rFonts w:ascii="Times New Roman" w:hAnsi="Times New Roman" w:cs="Times New Roman"/>
          <w:lang w:val="en-US"/>
        </w:rPr>
      </w:pPr>
      <w:bookmarkStart w:id="6" w:name="_Toc205209209"/>
      <w:r>
        <w:rPr>
          <w:rFonts w:ascii="Times New Roman" w:hAnsi="Times New Roman" w:cs="Times New Roman"/>
          <w:lang w:val="en-US"/>
        </w:rPr>
        <w:lastRenderedPageBreak/>
        <w:t>Methodology</w:t>
      </w:r>
      <w:bookmarkEnd w:id="6"/>
    </w:p>
    <w:p w14:paraId="3148AD8E" w14:textId="7D4555C1" w:rsidR="00415D89" w:rsidRDefault="00842BDA" w:rsidP="00415D89">
      <w:pPr>
        <w:spacing w:line="480" w:lineRule="auto"/>
        <w:jc w:val="both"/>
        <w:rPr>
          <w:rFonts w:ascii="Times New Roman" w:hAnsi="Times New Roman" w:cs="Times New Roman"/>
          <w:sz w:val="24"/>
          <w:szCs w:val="24"/>
        </w:rPr>
      </w:pPr>
      <w:r w:rsidRPr="00842BDA">
        <w:rPr>
          <w:rFonts w:ascii="Times New Roman" w:hAnsi="Times New Roman" w:cs="Times New Roman"/>
          <w:sz w:val="24"/>
          <w:szCs w:val="24"/>
        </w:rPr>
        <w:t xml:space="preserve">The purpose of this research is to build and validate a comprehensive framework for strengthening confidence in </w:t>
      </w:r>
      <w:r>
        <w:rPr>
          <w:rFonts w:ascii="Times New Roman" w:hAnsi="Times New Roman" w:cs="Times New Roman"/>
          <w:sz w:val="24"/>
          <w:szCs w:val="24"/>
        </w:rPr>
        <w:t>health information system</w:t>
      </w:r>
      <w:r w:rsidRPr="00842BDA">
        <w:rPr>
          <w:rFonts w:ascii="Times New Roman" w:hAnsi="Times New Roman" w:cs="Times New Roman"/>
          <w:sz w:val="24"/>
          <w:szCs w:val="24"/>
        </w:rPr>
        <w:t>, as well as to conduct a comprehensive analysis of the existing difficulties and solutions related to trust and transparency in Promote Equitable Access to Appointments</w:t>
      </w:r>
      <w:r w:rsidRPr="0003283E">
        <w:rPr>
          <w:rFonts w:ascii="Times New Roman" w:hAnsi="Times New Roman" w:cs="Times New Roman"/>
          <w:b/>
          <w:bCs/>
          <w:sz w:val="24"/>
          <w:szCs w:val="24"/>
        </w:rPr>
        <w:t xml:space="preserve"> </w:t>
      </w:r>
      <w:r w:rsidRPr="00842BDA">
        <w:rPr>
          <w:rFonts w:ascii="Times New Roman" w:hAnsi="Times New Roman" w:cs="Times New Roman"/>
          <w:sz w:val="24"/>
          <w:szCs w:val="24"/>
        </w:rPr>
        <w:t>. This research employs</w:t>
      </w:r>
      <w:r>
        <w:rPr>
          <w:rFonts w:ascii="Times New Roman" w:hAnsi="Times New Roman" w:cs="Times New Roman"/>
          <w:sz w:val="24"/>
          <w:szCs w:val="24"/>
        </w:rPr>
        <w:t xml:space="preserve"> </w:t>
      </w:r>
      <w:r w:rsidRPr="00842BDA">
        <w:rPr>
          <w:rFonts w:ascii="Times New Roman" w:hAnsi="Times New Roman" w:cs="Times New Roman"/>
          <w:sz w:val="24"/>
          <w:szCs w:val="24"/>
        </w:rPr>
        <w:t xml:space="preserve">a mixed-methods approach. This </w:t>
      </w:r>
      <w:r w:rsidRPr="00842BDA">
        <w:rPr>
          <w:rFonts w:ascii="Times New Roman" w:hAnsi="Times New Roman" w:cs="Times New Roman"/>
          <w:sz w:val="24"/>
          <w:szCs w:val="24"/>
        </w:rPr>
        <w:br/>
        <w:t>Our methodology combines qualitative and quantitative insights to provide a comprehensive grasp of the study problem.</w:t>
      </w:r>
    </w:p>
    <w:p w14:paraId="1EC4175D" w14:textId="67F7C9E7" w:rsidR="00842BDA" w:rsidRDefault="00842BDA" w:rsidP="00842BDA">
      <w:pPr>
        <w:spacing w:line="480" w:lineRule="auto"/>
        <w:jc w:val="both"/>
        <w:rPr>
          <w:rFonts w:ascii="Times New Roman" w:hAnsi="Times New Roman" w:cs="Times New Roman"/>
          <w:sz w:val="24"/>
          <w:szCs w:val="24"/>
          <w:lang w:val="en-US"/>
        </w:rPr>
      </w:pPr>
      <w:r w:rsidRPr="00842BDA">
        <w:rPr>
          <w:rFonts w:ascii="Times New Roman" w:eastAsiaTheme="majorEastAsia" w:hAnsi="Times New Roman" w:cs="Times New Roman"/>
          <w:color w:val="2F5496" w:themeColor="accent1" w:themeShade="BF"/>
          <w:sz w:val="32"/>
          <w:szCs w:val="32"/>
          <w:lang w:val="en-US"/>
        </w:rPr>
        <w:t>Literature</w:t>
      </w:r>
      <w:r w:rsidR="00415D89" w:rsidRPr="00415D89">
        <w:rPr>
          <w:rFonts w:ascii="Times New Roman" w:eastAsiaTheme="majorEastAsia" w:hAnsi="Times New Roman" w:cs="Times New Roman"/>
          <w:color w:val="2F5496" w:themeColor="accent1" w:themeShade="BF"/>
          <w:sz w:val="32"/>
          <w:szCs w:val="32"/>
          <w:lang w:val="en-US"/>
        </w:rPr>
        <w:t>-</w:t>
      </w:r>
      <w:r w:rsidRPr="00842BDA">
        <w:rPr>
          <w:rFonts w:ascii="Times New Roman" w:eastAsiaTheme="majorEastAsia" w:hAnsi="Times New Roman" w:cs="Times New Roman"/>
          <w:color w:val="2F5496" w:themeColor="accent1" w:themeShade="BF"/>
          <w:sz w:val="32"/>
          <w:szCs w:val="32"/>
          <w:lang w:val="en-US"/>
        </w:rPr>
        <w:t>Review</w:t>
      </w:r>
      <w:r w:rsidR="00415D89" w:rsidRPr="00415D89">
        <w:rPr>
          <w:rFonts w:ascii="Times New Roman" w:eastAsiaTheme="majorEastAsia" w:hAnsi="Times New Roman" w:cs="Times New Roman"/>
          <w:color w:val="2F5496" w:themeColor="accent1" w:themeShade="BF"/>
          <w:sz w:val="32"/>
          <w:szCs w:val="32"/>
          <w:lang w:val="en-US"/>
        </w:rPr>
        <w:t>:</w:t>
      </w:r>
      <w:r w:rsidRPr="00842BDA">
        <w:rPr>
          <w:rFonts w:ascii="Times New Roman" w:hAnsi="Times New Roman" w:cs="Times New Roman"/>
          <w:sz w:val="24"/>
          <w:szCs w:val="24"/>
        </w:rPr>
        <w:br/>
        <w:t xml:space="preserve">The phase comprises a thorough literature analysis to find and synthesize research on trust and transparency in health information systems. This assessment examines scholarly articles, conference papers, industry reports, and applicable legal and ethical norms. The suggested framework intends to overcome gaps in knowledge and practice surrounding trust in health informationsystems. </w:t>
      </w:r>
      <w:r w:rsidRPr="00842BDA">
        <w:rPr>
          <w:rFonts w:ascii="Times New Roman" w:hAnsi="Times New Roman" w:cs="Times New Roman"/>
          <w:sz w:val="24"/>
          <w:szCs w:val="24"/>
        </w:rPr>
        <w:br/>
        <w:t xml:space="preserve">Data sources include hospital databases and professional publications. </w:t>
      </w:r>
      <w:r w:rsidRPr="00842BDA">
        <w:rPr>
          <w:rFonts w:ascii="Times New Roman" w:hAnsi="Times New Roman" w:cs="Times New Roman"/>
          <w:sz w:val="24"/>
          <w:szCs w:val="24"/>
        </w:rPr>
        <w:br/>
        <w:t>Selection Criteria: reports from the past 10 years, with a focus on appointment information and access. Thematic analysis helps uncover access, difficulties, and solutions.</w:t>
      </w:r>
      <w:r w:rsidRPr="00842BDA">
        <w:rPr>
          <w:rFonts w:ascii="Times New Roman" w:hAnsi="Times New Roman" w:cs="Times New Roman"/>
          <w:sz w:val="24"/>
          <w:szCs w:val="24"/>
          <w:lang w:val="en-US"/>
        </w:rPr>
        <w:t xml:space="preserve"> </w:t>
      </w:r>
    </w:p>
    <w:p w14:paraId="25EDB99D" w14:textId="14A0906A" w:rsidR="00631B31" w:rsidRPr="00631B31" w:rsidRDefault="00765F60" w:rsidP="00765F60">
      <w:pPr>
        <w:spacing w:line="480" w:lineRule="auto"/>
        <w:jc w:val="both"/>
        <w:rPr>
          <w:rFonts w:ascii="Times New Roman" w:hAnsi="Times New Roman" w:cs="Times New Roman"/>
          <w:sz w:val="24"/>
          <w:szCs w:val="24"/>
          <w:lang w:val="en-US"/>
        </w:rPr>
      </w:pPr>
      <w:proofErr w:type="gramStart"/>
      <w:r w:rsidRPr="00415D89">
        <w:rPr>
          <w:rFonts w:ascii="Times New Roman" w:eastAsiaTheme="majorEastAsia" w:hAnsi="Times New Roman" w:cs="Times New Roman"/>
          <w:color w:val="2F5496" w:themeColor="accent1" w:themeShade="BF"/>
          <w:sz w:val="32"/>
          <w:szCs w:val="32"/>
          <w:lang w:val="en-US"/>
        </w:rPr>
        <w:t>Ethical</w:t>
      </w:r>
      <w:r w:rsidR="00415D89" w:rsidRPr="00415D89">
        <w:rPr>
          <w:rFonts w:ascii="Times New Roman" w:eastAsiaTheme="majorEastAsia" w:hAnsi="Times New Roman" w:cs="Times New Roman"/>
          <w:color w:val="2F5496" w:themeColor="accent1" w:themeShade="BF"/>
          <w:sz w:val="32"/>
          <w:szCs w:val="32"/>
          <w:lang w:val="en-US"/>
        </w:rPr>
        <w:t>-</w:t>
      </w:r>
      <w:r w:rsidRPr="00415D89">
        <w:rPr>
          <w:rFonts w:ascii="Times New Roman" w:eastAsiaTheme="majorEastAsia" w:hAnsi="Times New Roman" w:cs="Times New Roman"/>
          <w:color w:val="2F5496" w:themeColor="accent1" w:themeShade="BF"/>
          <w:sz w:val="32"/>
          <w:szCs w:val="32"/>
          <w:lang w:val="en-US"/>
        </w:rPr>
        <w:t>considerations</w:t>
      </w:r>
      <w:proofErr w:type="gramEnd"/>
      <w:r w:rsidRPr="00415D89">
        <w:rPr>
          <w:rFonts w:ascii="Times New Roman" w:eastAsiaTheme="majorEastAsia" w:hAnsi="Times New Roman" w:cs="Times New Roman"/>
          <w:color w:val="2F5496" w:themeColor="accent1" w:themeShade="BF"/>
          <w:sz w:val="32"/>
          <w:szCs w:val="32"/>
          <w:lang w:val="en-US"/>
        </w:rPr>
        <w:t>:</w:t>
      </w:r>
      <w:r w:rsidR="00631B31" w:rsidRPr="00631B31">
        <w:rPr>
          <w:rFonts w:ascii="Times New Roman" w:hAnsi="Times New Roman" w:cs="Times New Roman"/>
          <w:sz w:val="24"/>
          <w:szCs w:val="24"/>
          <w:lang w:val="en-US"/>
        </w:rPr>
        <w:br/>
        <w:t xml:space="preserve">Throughout the study, ethical considerations are crucial. This includes gaining informed consent from the HIM administration, maintaining confidentiality and anonymity, and minimizing any harm. </w:t>
      </w:r>
    </w:p>
    <w:p w14:paraId="6D9D34EC" w14:textId="21F86EB3" w:rsidR="00765F60" w:rsidRPr="00765F60" w:rsidRDefault="00765F60" w:rsidP="00765F60">
      <w:pPr>
        <w:spacing w:line="480" w:lineRule="auto"/>
        <w:jc w:val="both"/>
        <w:rPr>
          <w:rFonts w:ascii="Times New Roman" w:hAnsi="Times New Roman" w:cs="Times New Roman"/>
          <w:sz w:val="24"/>
          <w:szCs w:val="24"/>
          <w:lang w:val="en-US"/>
        </w:rPr>
      </w:pPr>
      <w:r w:rsidRPr="00765F60">
        <w:rPr>
          <w:rFonts w:ascii="Times New Roman" w:eastAsiaTheme="majorEastAsia" w:hAnsi="Times New Roman" w:cs="Times New Roman"/>
          <w:color w:val="2F5496" w:themeColor="accent1" w:themeShade="BF"/>
          <w:sz w:val="32"/>
          <w:szCs w:val="32"/>
          <w:lang w:val="en-US"/>
        </w:rPr>
        <w:t>Limitations</w:t>
      </w:r>
      <w:r w:rsidRPr="00415D89">
        <w:rPr>
          <w:rFonts w:ascii="Times New Roman" w:eastAsiaTheme="majorEastAsia" w:hAnsi="Times New Roman" w:cs="Times New Roman"/>
          <w:color w:val="2F5496" w:themeColor="accent1" w:themeShade="BF"/>
          <w:sz w:val="32"/>
          <w:szCs w:val="32"/>
          <w:lang w:val="en-US"/>
        </w:rPr>
        <w:t>:</w:t>
      </w:r>
      <w:r w:rsidRPr="00765F60">
        <w:rPr>
          <w:rFonts w:ascii="Times New Roman" w:hAnsi="Times New Roman" w:cs="Times New Roman"/>
          <w:sz w:val="24"/>
          <w:szCs w:val="24"/>
          <w:lang w:val="en-US"/>
        </w:rPr>
        <w:t xml:space="preserve"> </w:t>
      </w:r>
      <w:r w:rsidRPr="00765F60">
        <w:rPr>
          <w:rFonts w:ascii="Times New Roman" w:hAnsi="Times New Roman" w:cs="Times New Roman"/>
          <w:sz w:val="24"/>
          <w:szCs w:val="24"/>
          <w:lang w:val="en-US"/>
        </w:rPr>
        <w:br/>
        <w:t>This study methodology acknowledges potential limitations, such as data scope, quality, and bias. We will address these constraints by thorough sampling and data triangulation.</w:t>
      </w:r>
    </w:p>
    <w:p w14:paraId="467AFEAA" w14:textId="78FD4606" w:rsidR="00765F60" w:rsidRPr="00765F60" w:rsidRDefault="00765F60" w:rsidP="00765F60">
      <w:pPr>
        <w:spacing w:line="480" w:lineRule="auto"/>
        <w:jc w:val="both"/>
        <w:rPr>
          <w:rFonts w:ascii="Times New Roman" w:hAnsi="Times New Roman" w:cs="Times New Roman"/>
          <w:sz w:val="24"/>
          <w:szCs w:val="24"/>
          <w:lang w:val="en-US"/>
        </w:rPr>
      </w:pPr>
      <w:r w:rsidRPr="00765F60">
        <w:rPr>
          <w:rFonts w:ascii="Times New Roman" w:eastAsiaTheme="majorEastAsia" w:hAnsi="Times New Roman" w:cs="Times New Roman"/>
          <w:color w:val="2F5496" w:themeColor="accent1" w:themeShade="BF"/>
          <w:sz w:val="32"/>
          <w:szCs w:val="32"/>
          <w:lang w:val="en-US"/>
        </w:rPr>
        <w:lastRenderedPageBreak/>
        <w:t>Expected</w:t>
      </w:r>
      <w:r w:rsidR="00415D89" w:rsidRPr="00415D89">
        <w:rPr>
          <w:rFonts w:ascii="Times New Roman" w:eastAsiaTheme="majorEastAsia" w:hAnsi="Times New Roman" w:cs="Times New Roman"/>
          <w:color w:val="2F5496" w:themeColor="accent1" w:themeShade="BF"/>
          <w:sz w:val="32"/>
          <w:szCs w:val="32"/>
          <w:lang w:val="en-US"/>
        </w:rPr>
        <w:t>-</w:t>
      </w:r>
      <w:r w:rsidRPr="00765F60">
        <w:rPr>
          <w:rFonts w:ascii="Times New Roman" w:eastAsiaTheme="majorEastAsia" w:hAnsi="Times New Roman" w:cs="Times New Roman"/>
          <w:color w:val="2F5496" w:themeColor="accent1" w:themeShade="BF"/>
          <w:sz w:val="32"/>
          <w:szCs w:val="32"/>
          <w:lang w:val="en-US"/>
        </w:rPr>
        <w:t>outcomes</w:t>
      </w:r>
      <w:r w:rsidR="00415D89" w:rsidRPr="00415D89">
        <w:rPr>
          <w:rFonts w:ascii="Times New Roman" w:eastAsiaTheme="majorEastAsia" w:hAnsi="Times New Roman" w:cs="Times New Roman"/>
          <w:color w:val="2F5496" w:themeColor="accent1" w:themeShade="BF"/>
          <w:sz w:val="32"/>
          <w:szCs w:val="32"/>
          <w:lang w:val="en-US"/>
        </w:rPr>
        <w:t>:</w:t>
      </w:r>
      <w:r w:rsidRPr="00765F60">
        <w:rPr>
          <w:rFonts w:ascii="Times New Roman" w:hAnsi="Times New Roman" w:cs="Times New Roman"/>
          <w:sz w:val="24"/>
          <w:szCs w:val="24"/>
          <w:lang w:val="en-US"/>
        </w:rPr>
        <w:br/>
        <w:t xml:space="preserve">A thorough analysis of trust difficulties in Health Information Systems (HIS) and AI-supported access to medical appointments in diverse healthcare settings. This investigation is likely to illustrate the varied nature of HIS trust, including concerns such as appointment scheduling openness, responsibility for errors or missed appointments, patient data ethics, and societal implications for equal access to medical treatments. </w:t>
      </w:r>
      <w:r w:rsidRPr="00765F60">
        <w:rPr>
          <w:rFonts w:ascii="Times New Roman" w:hAnsi="Times New Roman" w:cs="Times New Roman"/>
          <w:sz w:val="24"/>
          <w:szCs w:val="24"/>
          <w:lang w:val="en-US"/>
        </w:rPr>
        <w:br/>
        <w:t xml:space="preserve">Evaluation of Existing Solutions: An examination of current approaches and frameworks to improve trustworthiness in HIS and automated appointment systems. This review is expected to identify gaps in existing approaches, notably in terms of scalability, applicability across diverse healthcare domains, and efficacy in addressing user, patient, and stakeholder issues. </w:t>
      </w:r>
      <w:r w:rsidRPr="00765F60">
        <w:rPr>
          <w:rFonts w:ascii="Times New Roman" w:hAnsi="Times New Roman" w:cs="Times New Roman"/>
          <w:sz w:val="24"/>
          <w:szCs w:val="24"/>
          <w:lang w:val="en-US"/>
        </w:rPr>
        <w:br/>
        <w:t xml:space="preserve">Developed a new framework to improve trust in health information systems and access to appointments. This framework is expected to incorporate findings from the literature review as well as qualitative and quantitative research phases, resulting in actionable instructions for HIS developers, healthcare policymakers, and users to apply trustworthy HIS practices. It attempts to close identified gaps and provide a balanced approach that </w:t>
      </w:r>
      <w:r w:rsidR="00415D89" w:rsidRPr="00765F60">
        <w:rPr>
          <w:rFonts w:ascii="Times New Roman" w:hAnsi="Times New Roman" w:cs="Times New Roman"/>
          <w:sz w:val="24"/>
          <w:szCs w:val="24"/>
          <w:lang w:val="en-US"/>
        </w:rPr>
        <w:t>considers</w:t>
      </w:r>
      <w:r w:rsidRPr="00765F60">
        <w:rPr>
          <w:rFonts w:ascii="Times New Roman" w:hAnsi="Times New Roman" w:cs="Times New Roman"/>
          <w:sz w:val="24"/>
          <w:szCs w:val="24"/>
          <w:lang w:val="en-US"/>
        </w:rPr>
        <w:t xml:space="preserve"> both technological and ethical concerns about patient access and data. </w:t>
      </w:r>
      <w:r w:rsidRPr="00765F60">
        <w:rPr>
          <w:rFonts w:ascii="Times New Roman" w:hAnsi="Times New Roman" w:cs="Times New Roman"/>
          <w:sz w:val="24"/>
          <w:szCs w:val="24"/>
          <w:lang w:val="en-US"/>
        </w:rPr>
        <w:br/>
        <w:t xml:space="preserve">Provide actionable recommendations for stakeholders involved in HIS development and deployment, including those coordinating patient appointments. These proposals will address the specific requirements and concerns of developers, users, healthcare administrators, policymakers, and </w:t>
      </w:r>
      <w:r w:rsidR="00415D89" w:rsidRPr="00765F60">
        <w:rPr>
          <w:rFonts w:ascii="Times New Roman" w:hAnsi="Times New Roman" w:cs="Times New Roman"/>
          <w:sz w:val="24"/>
          <w:szCs w:val="24"/>
          <w:lang w:val="en-US"/>
        </w:rPr>
        <w:t>ethics</w:t>
      </w:r>
      <w:r w:rsidRPr="00765F60">
        <w:rPr>
          <w:rFonts w:ascii="Times New Roman" w:hAnsi="Times New Roman" w:cs="Times New Roman"/>
          <w:sz w:val="24"/>
          <w:szCs w:val="24"/>
          <w:lang w:val="en-US"/>
        </w:rPr>
        <w:t xml:space="preserve"> </w:t>
      </w:r>
      <w:proofErr w:type="gramStart"/>
      <w:r w:rsidRPr="00765F60">
        <w:rPr>
          <w:rFonts w:ascii="Times New Roman" w:hAnsi="Times New Roman" w:cs="Times New Roman"/>
          <w:sz w:val="24"/>
          <w:szCs w:val="24"/>
          <w:lang w:val="en-US"/>
        </w:rPr>
        <w:t>in order to</w:t>
      </w:r>
      <w:proofErr w:type="gramEnd"/>
      <w:r w:rsidRPr="00765F60">
        <w:rPr>
          <w:rFonts w:ascii="Times New Roman" w:hAnsi="Times New Roman" w:cs="Times New Roman"/>
          <w:sz w:val="24"/>
          <w:szCs w:val="24"/>
          <w:lang w:val="en-US"/>
        </w:rPr>
        <w:t xml:space="preserve"> encourage collaborative efforts to create more transparent and ethical appointment systems within HIS. </w:t>
      </w:r>
      <w:r w:rsidRPr="00765F60">
        <w:rPr>
          <w:rFonts w:ascii="Times New Roman" w:hAnsi="Times New Roman" w:cs="Times New Roman"/>
          <w:sz w:val="24"/>
          <w:szCs w:val="24"/>
          <w:lang w:val="en-US"/>
        </w:rPr>
        <w:br/>
        <w:t xml:space="preserve">Contribution to Academic and Industry Discourse: Improved understanding of trust and ethics in healthcare information systems and digital appointment systems. This study intends to promote additional conversation, research, and innovation in the field by presenting a well-researched and critically examined body of work that bridges the gap between theoretical ethics </w:t>
      </w:r>
      <w:r w:rsidRPr="00765F60">
        <w:rPr>
          <w:rFonts w:ascii="Times New Roman" w:hAnsi="Times New Roman" w:cs="Times New Roman"/>
          <w:sz w:val="24"/>
          <w:szCs w:val="24"/>
          <w:lang w:val="en-US"/>
        </w:rPr>
        <w:lastRenderedPageBreak/>
        <w:t xml:space="preserve">and the practical deployment of HIS technologies. </w:t>
      </w:r>
      <w:r w:rsidRPr="00765F60">
        <w:rPr>
          <w:rFonts w:ascii="Times New Roman" w:hAnsi="Times New Roman" w:cs="Times New Roman"/>
          <w:sz w:val="24"/>
          <w:szCs w:val="24"/>
          <w:lang w:val="en-US"/>
        </w:rPr>
        <w:br/>
        <w:t xml:space="preserve">Establishing a strong foundation for future research on trust in health information systems and patient access to appointments. This study is intended to provide new research questions and areas for additional investigation, supporting continuous research into how appointment and information management systems might be improved and sustained as healthcare technology </w:t>
      </w:r>
      <w:r w:rsidR="00415D89" w:rsidRPr="00765F60">
        <w:rPr>
          <w:rFonts w:ascii="Times New Roman" w:hAnsi="Times New Roman" w:cs="Times New Roman"/>
          <w:sz w:val="24"/>
          <w:szCs w:val="24"/>
          <w:lang w:val="en-US"/>
        </w:rPr>
        <w:t>advances</w:t>
      </w:r>
      <w:r w:rsidRPr="00765F60">
        <w:rPr>
          <w:rFonts w:ascii="Times New Roman" w:hAnsi="Times New Roman" w:cs="Times New Roman"/>
          <w:sz w:val="24"/>
          <w:szCs w:val="24"/>
          <w:lang w:val="en-US"/>
        </w:rPr>
        <w:t xml:space="preserve">. </w:t>
      </w:r>
      <w:r w:rsidRPr="00765F60">
        <w:rPr>
          <w:rFonts w:ascii="Times New Roman" w:hAnsi="Times New Roman" w:cs="Times New Roman"/>
          <w:sz w:val="24"/>
          <w:szCs w:val="24"/>
          <w:lang w:val="en-US"/>
        </w:rPr>
        <w:br/>
        <w:t xml:space="preserve">This project aims to raise public understanding and engagement on the difficult problem of confidence in health information systems (HIS), specifically with access to appointments. Increased public awareness of the need </w:t>
      </w:r>
      <w:proofErr w:type="gramStart"/>
      <w:r w:rsidRPr="00765F60">
        <w:rPr>
          <w:rFonts w:ascii="Times New Roman" w:hAnsi="Times New Roman" w:cs="Times New Roman"/>
          <w:sz w:val="24"/>
          <w:szCs w:val="24"/>
          <w:lang w:val="en-US"/>
        </w:rPr>
        <w:t>of</w:t>
      </w:r>
      <w:proofErr w:type="gramEnd"/>
      <w:r w:rsidRPr="00765F60">
        <w:rPr>
          <w:rFonts w:ascii="Times New Roman" w:hAnsi="Times New Roman" w:cs="Times New Roman"/>
          <w:sz w:val="24"/>
          <w:szCs w:val="24"/>
          <w:lang w:val="en-US"/>
        </w:rPr>
        <w:t xml:space="preserve"> trust and openness in healthcare information and appointment systems can drive up demand for ethical HIS practices, influencing industry standards and regulatory legislation.</w:t>
      </w:r>
    </w:p>
    <w:p w14:paraId="722A752C" w14:textId="7C3DE312" w:rsidR="00765F60" w:rsidRDefault="00765F60" w:rsidP="00765F60">
      <w:pPr>
        <w:pStyle w:val="Heading1"/>
        <w:rPr>
          <w:rFonts w:ascii="Times New Roman" w:hAnsi="Times New Roman" w:cs="Times New Roman"/>
          <w:lang w:val="en-US" w:bidi="ar-KW"/>
        </w:rPr>
      </w:pPr>
      <w:bookmarkStart w:id="7" w:name="_Toc205209210"/>
      <w:r>
        <w:rPr>
          <w:rFonts w:ascii="Times New Roman" w:hAnsi="Times New Roman" w:cs="Times New Roman"/>
          <w:lang w:val="en-US" w:bidi="ar-KW"/>
        </w:rPr>
        <w:t>Gantt chart</w:t>
      </w:r>
      <w:bookmarkEnd w:id="7"/>
    </w:p>
    <w:p w14:paraId="6FC31A56" w14:textId="6D3D1D60" w:rsidR="00415D89" w:rsidRDefault="00415D89" w:rsidP="00415D89">
      <w:pPr>
        <w:rPr>
          <w:lang w:val="en-US" w:bidi="ar-KW"/>
        </w:rPr>
      </w:pPr>
      <w:r>
        <w:rPr>
          <w:noProof/>
        </w:rPr>
        <w:drawing>
          <wp:anchor distT="0" distB="0" distL="114300" distR="114300" simplePos="0" relativeHeight="251658240" behindDoc="0" locked="0" layoutInCell="1" allowOverlap="1" wp14:anchorId="7D4DEFD4" wp14:editId="2FE5EA96">
            <wp:simplePos x="0" y="0"/>
            <wp:positionH relativeFrom="column">
              <wp:posOffset>-414020</wp:posOffset>
            </wp:positionH>
            <wp:positionV relativeFrom="paragraph">
              <wp:posOffset>182098</wp:posOffset>
            </wp:positionV>
            <wp:extent cx="6611717" cy="3368675"/>
            <wp:effectExtent l="0" t="0" r="17780" b="3175"/>
            <wp:wrapNone/>
            <wp:docPr id="58321682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anchor>
        </w:drawing>
      </w:r>
    </w:p>
    <w:p w14:paraId="791D84D0" w14:textId="77777777" w:rsidR="00415D89" w:rsidRDefault="00415D89" w:rsidP="00415D89">
      <w:pPr>
        <w:rPr>
          <w:lang w:val="en-US" w:bidi="ar-KW"/>
        </w:rPr>
      </w:pPr>
    </w:p>
    <w:p w14:paraId="67BF8DF2" w14:textId="77777777" w:rsidR="00415D89" w:rsidRDefault="00415D89" w:rsidP="00415D89">
      <w:pPr>
        <w:rPr>
          <w:lang w:val="en-US" w:bidi="ar-KW"/>
        </w:rPr>
      </w:pPr>
    </w:p>
    <w:p w14:paraId="5B8E679C" w14:textId="77777777" w:rsidR="00415D89" w:rsidRDefault="00415D89" w:rsidP="00415D89">
      <w:pPr>
        <w:rPr>
          <w:lang w:val="en-US" w:bidi="ar-KW"/>
        </w:rPr>
      </w:pPr>
    </w:p>
    <w:p w14:paraId="37129501" w14:textId="77777777" w:rsidR="00415D89" w:rsidRDefault="00415D89" w:rsidP="00415D89">
      <w:pPr>
        <w:rPr>
          <w:lang w:val="en-US" w:bidi="ar-KW"/>
        </w:rPr>
      </w:pPr>
    </w:p>
    <w:p w14:paraId="7971D28C" w14:textId="77777777" w:rsidR="00415D89" w:rsidRDefault="00415D89" w:rsidP="00415D89">
      <w:pPr>
        <w:rPr>
          <w:lang w:val="en-US" w:bidi="ar-KW"/>
        </w:rPr>
      </w:pPr>
    </w:p>
    <w:p w14:paraId="0FB883AB" w14:textId="77777777" w:rsidR="00415D89" w:rsidRDefault="00415D89" w:rsidP="00415D89">
      <w:pPr>
        <w:rPr>
          <w:lang w:val="en-US" w:bidi="ar-KW"/>
        </w:rPr>
      </w:pPr>
    </w:p>
    <w:p w14:paraId="74D56E50" w14:textId="77777777" w:rsidR="00415D89" w:rsidRDefault="00415D89" w:rsidP="00415D89">
      <w:pPr>
        <w:rPr>
          <w:lang w:val="en-US" w:bidi="ar-KW"/>
        </w:rPr>
      </w:pPr>
    </w:p>
    <w:p w14:paraId="0793B41D" w14:textId="77777777" w:rsidR="00415D89" w:rsidRDefault="00415D89" w:rsidP="00415D89">
      <w:pPr>
        <w:rPr>
          <w:lang w:val="en-US" w:bidi="ar-KW"/>
        </w:rPr>
      </w:pPr>
    </w:p>
    <w:p w14:paraId="42561B19" w14:textId="77777777" w:rsidR="00415D89" w:rsidRDefault="00415D89" w:rsidP="00415D89">
      <w:pPr>
        <w:rPr>
          <w:lang w:val="en-US" w:bidi="ar-KW"/>
        </w:rPr>
      </w:pPr>
    </w:p>
    <w:p w14:paraId="34C469B9" w14:textId="77777777" w:rsidR="00415D89" w:rsidRDefault="00415D89" w:rsidP="00415D89">
      <w:pPr>
        <w:rPr>
          <w:lang w:val="en-US" w:bidi="ar-KW"/>
        </w:rPr>
      </w:pPr>
    </w:p>
    <w:p w14:paraId="7452D0A1" w14:textId="77777777" w:rsidR="00415D89" w:rsidRDefault="00415D89" w:rsidP="0003283E">
      <w:pPr>
        <w:spacing w:line="480" w:lineRule="auto"/>
        <w:jc w:val="both"/>
        <w:rPr>
          <w:rFonts w:ascii="Times New Roman" w:hAnsi="Times New Roman" w:cs="Times New Roman"/>
          <w:sz w:val="24"/>
          <w:szCs w:val="24"/>
        </w:rPr>
      </w:pPr>
    </w:p>
    <w:p w14:paraId="5A7C7B21" w14:textId="225C232B" w:rsidR="002E556A" w:rsidRPr="00E2718F" w:rsidRDefault="00A560D5" w:rsidP="00E2718F">
      <w:pPr>
        <w:pStyle w:val="Heading1"/>
        <w:rPr>
          <w:rFonts w:ascii="Times New Roman" w:hAnsi="Times New Roman" w:cs="Times New Roman"/>
          <w:lang w:val="en-US"/>
        </w:rPr>
      </w:pPr>
      <w:bookmarkStart w:id="8" w:name="_Toc205209211"/>
      <w:r w:rsidRPr="00E2718F">
        <w:rPr>
          <w:rFonts w:ascii="Times New Roman" w:hAnsi="Times New Roman" w:cs="Times New Roman"/>
          <w:lang w:val="en-US"/>
        </w:rPr>
        <w:lastRenderedPageBreak/>
        <w:t>References</w:t>
      </w:r>
      <w:bookmarkEnd w:id="8"/>
    </w:p>
    <w:p w14:paraId="748C9772" w14:textId="77777777" w:rsidR="002E556A" w:rsidRPr="002E556A" w:rsidRDefault="00A560D5"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Arcury, T. A., Preisser, J. S., Gesler, W. M., &amp; Powers, J. M. (2018). Access to transportation and health care utilization in a rural region. Journal of Rural Health 34(3): 253-260. https://doi.org/10.1111/jrh.12257</w:t>
      </w:r>
    </w:p>
    <w:p w14:paraId="12C951C8" w14:textId="77777777" w:rsidR="002E556A" w:rsidRDefault="00A560D5" w:rsidP="001D225F">
      <w:pPr>
        <w:pStyle w:val="NormalWeb"/>
        <w:spacing w:before="0" w:beforeAutospacing="0" w:after="0" w:afterAutospacing="0" w:line="480" w:lineRule="auto"/>
        <w:ind w:left="720" w:hanging="720"/>
        <w:rPr>
          <w:lang w:val="en-US"/>
        </w:rPr>
      </w:pPr>
      <w:r>
        <w:t>Berwick, D. M., Batchelor, E., Chokshi, D. A., Gabow, P., Gilfillan, R., Isasi, F., Milstein, A.,</w:t>
      </w:r>
    </w:p>
    <w:p w14:paraId="5CBD96A1" w14:textId="2C13E873" w:rsidR="002E556A" w:rsidRDefault="00A560D5" w:rsidP="001D225F">
      <w:pPr>
        <w:pStyle w:val="NormalWeb"/>
        <w:spacing w:before="0" w:beforeAutospacing="0" w:after="0" w:afterAutospacing="0" w:line="480" w:lineRule="auto"/>
        <w:ind w:left="720" w:hanging="720"/>
      </w:pPr>
      <w:r>
        <w:t>&amp; Nichols, L. M. (2025). From Laggard to Leader: Why Health Care in the United</w:t>
      </w:r>
    </w:p>
    <w:p w14:paraId="509AF749" w14:textId="0921476B" w:rsidR="002E556A" w:rsidRDefault="00A560D5" w:rsidP="001D225F">
      <w:pPr>
        <w:pStyle w:val="NormalWeb"/>
        <w:spacing w:before="0" w:beforeAutospacing="0" w:after="0" w:afterAutospacing="0" w:line="480" w:lineRule="auto"/>
        <w:ind w:left="720" w:hanging="720"/>
      </w:pPr>
      <w:r>
        <w:t xml:space="preserve">States are failing, and how to fix it. </w:t>
      </w:r>
      <w:r>
        <w:rPr>
          <w:i/>
          <w:iCs/>
        </w:rPr>
        <w:t>Health Affairs</w:t>
      </w:r>
      <w:r>
        <w:t xml:space="preserve">. </w:t>
      </w:r>
      <w:r>
        <w:rPr>
          <w:rStyle w:val="url"/>
        </w:rPr>
        <w:t>https://doi.org/10.1377/hlthaff.2024.01007</w:t>
      </w:r>
    </w:p>
    <w:p w14:paraId="0D5FFFA7" w14:textId="77777777" w:rsidR="002E556A" w:rsidRDefault="00A560D5" w:rsidP="001D225F">
      <w:pPr>
        <w:pStyle w:val="NormalWeb"/>
        <w:spacing w:before="0" w:beforeAutospacing="0" w:after="0" w:afterAutospacing="0" w:line="480" w:lineRule="auto"/>
        <w:ind w:left="720" w:hanging="720"/>
      </w:pPr>
      <w:r>
        <w:t>Goldzweig, C. L., Orshansky, G., Paige, N. M., Towfigh, A. A., Haggstrom, D. A., Miake</w:t>
      </w:r>
    </w:p>
    <w:p w14:paraId="31D4F446" w14:textId="77777777" w:rsidR="002E556A" w:rsidRDefault="00A560D5" w:rsidP="001D225F">
      <w:pPr>
        <w:pStyle w:val="NormalWeb"/>
        <w:spacing w:before="0" w:beforeAutospacing="0" w:after="0" w:afterAutospacing="0" w:line="480" w:lineRule="auto"/>
        <w:ind w:left="720" w:hanging="720"/>
      </w:pPr>
      <w:r>
        <w:t>Lye, I., Beroes, J. M., &amp; Shekelle, P. G. (2013). Electronic Patient Portals: evidence on health</w:t>
      </w:r>
    </w:p>
    <w:p w14:paraId="32A8A7B6" w14:textId="77777777" w:rsidR="002E556A" w:rsidRDefault="00A560D5" w:rsidP="001D225F">
      <w:pPr>
        <w:pStyle w:val="NormalWeb"/>
        <w:spacing w:before="0" w:beforeAutospacing="0" w:after="0" w:afterAutospacing="0" w:line="480" w:lineRule="auto"/>
        <w:ind w:left="720" w:hanging="720"/>
      </w:pPr>
      <w:r>
        <w:t xml:space="preserve">Outcomes, satisfaction, efficiency, and attitudes. </w:t>
      </w:r>
      <w:r>
        <w:rPr>
          <w:i/>
          <w:iCs/>
        </w:rPr>
        <w:t>Annals of Internal Medicine</w:t>
      </w:r>
      <w:r>
        <w:t xml:space="preserve">, </w:t>
      </w:r>
      <w:r>
        <w:rPr>
          <w:i/>
          <w:iCs/>
        </w:rPr>
        <w:t>159</w:t>
      </w:r>
      <w:r>
        <w:t>(10), 677.</w:t>
      </w:r>
    </w:p>
    <w:p w14:paraId="640D838F" w14:textId="4A4420BC" w:rsidR="002E556A" w:rsidRDefault="00A560D5" w:rsidP="001D225F">
      <w:pPr>
        <w:pStyle w:val="NormalWeb"/>
        <w:spacing w:before="0" w:beforeAutospacing="0" w:after="0" w:afterAutospacing="0" w:line="480" w:lineRule="auto"/>
        <w:ind w:left="720" w:hanging="720"/>
      </w:pPr>
      <w:r>
        <w:rPr>
          <w:rStyle w:val="url"/>
        </w:rPr>
        <w:t>https://doi.org/10.7326/0003-4819-159-10-201311190-00006</w:t>
      </w:r>
    </w:p>
    <w:p w14:paraId="54F140BB" w14:textId="77777777" w:rsidR="002E556A" w:rsidRPr="002E556A" w:rsidRDefault="00A560D5"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Kruse et al. 2021 made a systematic review evaluating barriers to telemedicine adoption on a worldwide scale. Journal of Telemedicine and Telecare 27(1): 4-12. https://doi.org/10.1177/1357633X20916567</w:t>
      </w:r>
    </w:p>
    <w:p w14:paraId="464D319B" w14:textId="77777777" w:rsidR="002E556A" w:rsidRPr="002E556A" w:rsidRDefault="00A560D5"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Lockett, M. M. et al. 2022 Interoperability in health care: The key to better outcomes. Health Affairs 41(6): 819-826. https://doi.org/10.1377/hlthaff.2022.00256</w:t>
      </w:r>
    </w:p>
    <w:p w14:paraId="1A74E1D3" w14:textId="77777777" w:rsidR="002E556A" w:rsidRPr="0003283E" w:rsidRDefault="00A560D5"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Mehta, S. and Tan, J. (2023). Artificial intelligence in health care scheduling pilot study conducted in urban public hospitals. International Journal of Medical Informatics 170(1): 104954. https://doi.org/10.1016/j.ijmedinf.2023.104954</w:t>
      </w:r>
    </w:p>
    <w:p w14:paraId="6D5F668A" w14:textId="77777777" w:rsidR="002E556A" w:rsidRDefault="00A560D5" w:rsidP="00763846">
      <w:pPr>
        <w:pStyle w:val="NormalWeb"/>
        <w:spacing w:before="0" w:beforeAutospacing="0" w:after="0" w:afterAutospacing="0" w:line="480" w:lineRule="auto"/>
        <w:ind w:left="720" w:hanging="720"/>
      </w:pPr>
      <w:r>
        <w:t>Shim, M., &amp; Jo, H. S. (2020). What quality factors matter in enhancing the perceived benefits</w:t>
      </w:r>
    </w:p>
    <w:p w14:paraId="722A74FB" w14:textId="77777777" w:rsidR="002E556A" w:rsidRDefault="00A560D5" w:rsidP="00763846">
      <w:pPr>
        <w:pStyle w:val="NormalWeb"/>
        <w:spacing w:before="0" w:beforeAutospacing="0" w:after="0" w:afterAutospacing="0" w:line="480" w:lineRule="auto"/>
        <w:ind w:left="720" w:hanging="720"/>
      </w:pPr>
      <w:r>
        <w:t>Of online health information sites? Application of the updated DeLone and McLean</w:t>
      </w:r>
    </w:p>
    <w:p w14:paraId="0A3711B2" w14:textId="77777777" w:rsidR="002E556A" w:rsidRDefault="00A560D5" w:rsidP="00763846">
      <w:pPr>
        <w:pStyle w:val="NormalWeb"/>
        <w:spacing w:before="0" w:beforeAutospacing="0" w:after="0" w:afterAutospacing="0" w:line="480" w:lineRule="auto"/>
        <w:ind w:left="720" w:hanging="720"/>
      </w:pPr>
      <w:r>
        <w:t xml:space="preserve">Information Systems Success Model. </w:t>
      </w:r>
      <w:r>
        <w:rPr>
          <w:i/>
          <w:iCs/>
        </w:rPr>
        <w:t>International Journal of Medical Informatics</w:t>
      </w:r>
      <w:r>
        <w:t xml:space="preserve">, </w:t>
      </w:r>
      <w:r>
        <w:rPr>
          <w:i/>
          <w:iCs/>
        </w:rPr>
        <w:t>137</w:t>
      </w:r>
      <w:r>
        <w:t>,</w:t>
      </w:r>
    </w:p>
    <w:p w14:paraId="11081F51" w14:textId="03590C3C" w:rsidR="002E556A" w:rsidRDefault="00A560D5" w:rsidP="00763846">
      <w:pPr>
        <w:pStyle w:val="NormalWeb"/>
        <w:spacing w:before="0" w:beforeAutospacing="0" w:after="0" w:afterAutospacing="0" w:line="480" w:lineRule="auto"/>
        <w:ind w:left="720" w:hanging="720"/>
      </w:pPr>
      <w:r>
        <w:lastRenderedPageBreak/>
        <w:t xml:space="preserve">104093. </w:t>
      </w:r>
      <w:r>
        <w:rPr>
          <w:rStyle w:val="url"/>
        </w:rPr>
        <w:t>https://doi.org/10.1016/j.ijmedinf.2020.104093</w:t>
      </w:r>
    </w:p>
    <w:p w14:paraId="7FA61AB9" w14:textId="77777777" w:rsidR="002E556A" w:rsidRDefault="00A560D5" w:rsidP="001D225F">
      <w:pPr>
        <w:pStyle w:val="NormalWeb"/>
        <w:spacing w:before="0" w:beforeAutospacing="0" w:after="0" w:afterAutospacing="0" w:line="480" w:lineRule="auto"/>
        <w:ind w:left="720" w:hanging="720"/>
      </w:pPr>
      <w:r>
        <w:t xml:space="preserve">Socha-Dietrich, K. (2021). Empowering the health workforce to make the most of the digital revolution. </w:t>
      </w:r>
      <w:r>
        <w:rPr>
          <w:i/>
          <w:iCs/>
        </w:rPr>
        <w:t>OECD Health Working Papers</w:t>
      </w:r>
      <w:r>
        <w:t xml:space="preserve">. </w:t>
      </w:r>
      <w:r>
        <w:rPr>
          <w:rStyle w:val="url"/>
        </w:rPr>
        <w:t>https://doi.org/10.1787/37ff0eaa-en</w:t>
      </w:r>
    </w:p>
    <w:sectPr w:rsidR="002E556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2710B" w14:textId="77777777" w:rsidR="00B87A17" w:rsidRDefault="00B87A17">
      <w:pPr>
        <w:spacing w:after="0" w:line="240" w:lineRule="auto"/>
      </w:pPr>
      <w:r>
        <w:separator/>
      </w:r>
    </w:p>
  </w:endnote>
  <w:endnote w:type="continuationSeparator" w:id="0">
    <w:p w14:paraId="628AD658" w14:textId="77777777" w:rsidR="00B87A17" w:rsidRDefault="00B8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825E5" w14:textId="77777777" w:rsidR="00B87A17" w:rsidRDefault="00B87A17">
      <w:pPr>
        <w:spacing w:after="0" w:line="240" w:lineRule="auto"/>
      </w:pPr>
      <w:r>
        <w:separator/>
      </w:r>
    </w:p>
  </w:footnote>
  <w:footnote w:type="continuationSeparator" w:id="0">
    <w:p w14:paraId="6ECA67ED" w14:textId="77777777" w:rsidR="00B87A17" w:rsidRDefault="00B87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601B8" w14:textId="4E06CC3C" w:rsidR="0003283E" w:rsidRDefault="00A560D5">
    <w:pPr>
      <w:pStyle w:val="Header"/>
    </w:pPr>
    <w:r>
      <w:tab/>
    </w:r>
    <w:r>
      <w:tab/>
    </w:r>
    <w:sdt>
      <w:sdtPr>
        <w:id w:val="-1967821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3AB675D" w14:textId="77777777" w:rsidR="0003283E" w:rsidRDefault="000328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A3448"/>
    <w:multiLevelType w:val="hybridMultilevel"/>
    <w:tmpl w:val="DA2A0DA8"/>
    <w:lvl w:ilvl="0" w:tplc="A52E7DE6">
      <w:start w:val="1"/>
      <w:numFmt w:val="decimal"/>
      <w:lvlText w:val="%1."/>
      <w:lvlJc w:val="left"/>
      <w:pPr>
        <w:ind w:left="720" w:hanging="360"/>
      </w:pPr>
    </w:lvl>
    <w:lvl w:ilvl="1" w:tplc="78889544" w:tentative="1">
      <w:start w:val="1"/>
      <w:numFmt w:val="lowerLetter"/>
      <w:lvlText w:val="%2."/>
      <w:lvlJc w:val="left"/>
      <w:pPr>
        <w:ind w:left="1440" w:hanging="360"/>
      </w:pPr>
    </w:lvl>
    <w:lvl w:ilvl="2" w:tplc="C582B638" w:tentative="1">
      <w:start w:val="1"/>
      <w:numFmt w:val="lowerRoman"/>
      <w:lvlText w:val="%3."/>
      <w:lvlJc w:val="right"/>
      <w:pPr>
        <w:ind w:left="2160" w:hanging="180"/>
      </w:pPr>
    </w:lvl>
    <w:lvl w:ilvl="3" w:tplc="32CAD14A" w:tentative="1">
      <w:start w:val="1"/>
      <w:numFmt w:val="decimal"/>
      <w:lvlText w:val="%4."/>
      <w:lvlJc w:val="left"/>
      <w:pPr>
        <w:ind w:left="2880" w:hanging="360"/>
      </w:pPr>
    </w:lvl>
    <w:lvl w:ilvl="4" w:tplc="C35A0F6E" w:tentative="1">
      <w:start w:val="1"/>
      <w:numFmt w:val="lowerLetter"/>
      <w:lvlText w:val="%5."/>
      <w:lvlJc w:val="left"/>
      <w:pPr>
        <w:ind w:left="3600" w:hanging="360"/>
      </w:pPr>
    </w:lvl>
    <w:lvl w:ilvl="5" w:tplc="4622D6D6" w:tentative="1">
      <w:start w:val="1"/>
      <w:numFmt w:val="lowerRoman"/>
      <w:lvlText w:val="%6."/>
      <w:lvlJc w:val="right"/>
      <w:pPr>
        <w:ind w:left="4320" w:hanging="180"/>
      </w:pPr>
    </w:lvl>
    <w:lvl w:ilvl="6" w:tplc="82F80C42" w:tentative="1">
      <w:start w:val="1"/>
      <w:numFmt w:val="decimal"/>
      <w:lvlText w:val="%7."/>
      <w:lvlJc w:val="left"/>
      <w:pPr>
        <w:ind w:left="5040" w:hanging="360"/>
      </w:pPr>
    </w:lvl>
    <w:lvl w:ilvl="7" w:tplc="C344A4F8" w:tentative="1">
      <w:start w:val="1"/>
      <w:numFmt w:val="lowerLetter"/>
      <w:lvlText w:val="%8."/>
      <w:lvlJc w:val="left"/>
      <w:pPr>
        <w:ind w:left="5760" w:hanging="360"/>
      </w:pPr>
    </w:lvl>
    <w:lvl w:ilvl="8" w:tplc="474EE90E" w:tentative="1">
      <w:start w:val="1"/>
      <w:numFmt w:val="lowerRoman"/>
      <w:lvlText w:val="%9."/>
      <w:lvlJc w:val="right"/>
      <w:pPr>
        <w:ind w:left="6480" w:hanging="180"/>
      </w:pPr>
    </w:lvl>
  </w:abstractNum>
  <w:abstractNum w:abstractNumId="1" w15:restartNumberingAfterBreak="0">
    <w:nsid w:val="47025AE3"/>
    <w:multiLevelType w:val="hybridMultilevel"/>
    <w:tmpl w:val="21F28DA8"/>
    <w:lvl w:ilvl="0" w:tplc="D562C8A8">
      <w:start w:val="1"/>
      <w:numFmt w:val="decimal"/>
      <w:lvlText w:val="%1."/>
      <w:lvlJc w:val="left"/>
      <w:pPr>
        <w:ind w:left="720" w:hanging="360"/>
      </w:pPr>
    </w:lvl>
    <w:lvl w:ilvl="1" w:tplc="88943244" w:tentative="1">
      <w:start w:val="1"/>
      <w:numFmt w:val="lowerLetter"/>
      <w:lvlText w:val="%2."/>
      <w:lvlJc w:val="left"/>
      <w:pPr>
        <w:ind w:left="1440" w:hanging="360"/>
      </w:pPr>
    </w:lvl>
    <w:lvl w:ilvl="2" w:tplc="ADC4AECC" w:tentative="1">
      <w:start w:val="1"/>
      <w:numFmt w:val="lowerRoman"/>
      <w:lvlText w:val="%3."/>
      <w:lvlJc w:val="right"/>
      <w:pPr>
        <w:ind w:left="2160" w:hanging="180"/>
      </w:pPr>
    </w:lvl>
    <w:lvl w:ilvl="3" w:tplc="4CA4B2F0" w:tentative="1">
      <w:start w:val="1"/>
      <w:numFmt w:val="decimal"/>
      <w:lvlText w:val="%4."/>
      <w:lvlJc w:val="left"/>
      <w:pPr>
        <w:ind w:left="2880" w:hanging="360"/>
      </w:pPr>
    </w:lvl>
    <w:lvl w:ilvl="4" w:tplc="490CBC18" w:tentative="1">
      <w:start w:val="1"/>
      <w:numFmt w:val="lowerLetter"/>
      <w:lvlText w:val="%5."/>
      <w:lvlJc w:val="left"/>
      <w:pPr>
        <w:ind w:left="3600" w:hanging="360"/>
      </w:pPr>
    </w:lvl>
    <w:lvl w:ilvl="5" w:tplc="5AF4BCFE" w:tentative="1">
      <w:start w:val="1"/>
      <w:numFmt w:val="lowerRoman"/>
      <w:lvlText w:val="%6."/>
      <w:lvlJc w:val="right"/>
      <w:pPr>
        <w:ind w:left="4320" w:hanging="180"/>
      </w:pPr>
    </w:lvl>
    <w:lvl w:ilvl="6" w:tplc="CC708EBE" w:tentative="1">
      <w:start w:val="1"/>
      <w:numFmt w:val="decimal"/>
      <w:lvlText w:val="%7."/>
      <w:lvlJc w:val="left"/>
      <w:pPr>
        <w:ind w:left="5040" w:hanging="360"/>
      </w:pPr>
    </w:lvl>
    <w:lvl w:ilvl="7" w:tplc="BAAA8E48" w:tentative="1">
      <w:start w:val="1"/>
      <w:numFmt w:val="lowerLetter"/>
      <w:lvlText w:val="%8."/>
      <w:lvlJc w:val="left"/>
      <w:pPr>
        <w:ind w:left="5760" w:hanging="360"/>
      </w:pPr>
    </w:lvl>
    <w:lvl w:ilvl="8" w:tplc="EFF092C0" w:tentative="1">
      <w:start w:val="1"/>
      <w:numFmt w:val="lowerRoman"/>
      <w:lvlText w:val="%9."/>
      <w:lvlJc w:val="right"/>
      <w:pPr>
        <w:ind w:left="6480" w:hanging="180"/>
      </w:pPr>
    </w:lvl>
  </w:abstractNum>
  <w:num w:numId="1" w16cid:durableId="1544367897">
    <w:abstractNumId w:val="0"/>
  </w:num>
  <w:num w:numId="2" w16cid:durableId="2099713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E70"/>
    <w:rsid w:val="0003283E"/>
    <w:rsid w:val="000C59C2"/>
    <w:rsid w:val="001133F8"/>
    <w:rsid w:val="001A3757"/>
    <w:rsid w:val="001D225F"/>
    <w:rsid w:val="001D7F8D"/>
    <w:rsid w:val="002D0A68"/>
    <w:rsid w:val="002E556A"/>
    <w:rsid w:val="002E794D"/>
    <w:rsid w:val="003D083C"/>
    <w:rsid w:val="00415D89"/>
    <w:rsid w:val="00430A70"/>
    <w:rsid w:val="00491200"/>
    <w:rsid w:val="00631B31"/>
    <w:rsid w:val="006437BC"/>
    <w:rsid w:val="006645A1"/>
    <w:rsid w:val="006A4E8C"/>
    <w:rsid w:val="00760A0A"/>
    <w:rsid w:val="00763846"/>
    <w:rsid w:val="00765F60"/>
    <w:rsid w:val="007C42D9"/>
    <w:rsid w:val="008371AE"/>
    <w:rsid w:val="00842BDA"/>
    <w:rsid w:val="008F2888"/>
    <w:rsid w:val="00995861"/>
    <w:rsid w:val="0099772E"/>
    <w:rsid w:val="00A45E70"/>
    <w:rsid w:val="00A560D5"/>
    <w:rsid w:val="00A642C9"/>
    <w:rsid w:val="00AF1C89"/>
    <w:rsid w:val="00B174DD"/>
    <w:rsid w:val="00B3250C"/>
    <w:rsid w:val="00B87A17"/>
    <w:rsid w:val="00CB3CE7"/>
    <w:rsid w:val="00CC35B9"/>
    <w:rsid w:val="00E2718F"/>
    <w:rsid w:val="00F32A12"/>
    <w:rsid w:val="00FA1F7E"/>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9D7CFD"/>
  <w15:chartTrackingRefBased/>
  <w15:docId w15:val="{5283D8A1-6EB9-4AD3-A63E-9E1A6309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C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71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3-Accent5">
    <w:name w:val="Grid Table 3 Accent 5"/>
    <w:basedOn w:val="TableNormal"/>
    <w:uiPriority w:val="48"/>
    <w:rsid w:val="000328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0328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032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83E"/>
  </w:style>
  <w:style w:type="paragraph" w:styleId="Footer">
    <w:name w:val="footer"/>
    <w:basedOn w:val="Normal"/>
    <w:link w:val="FooterChar"/>
    <w:uiPriority w:val="99"/>
    <w:unhideWhenUsed/>
    <w:rsid w:val="00032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83E"/>
  </w:style>
  <w:style w:type="paragraph" w:styleId="NormalWeb">
    <w:name w:val="Normal (Web)"/>
    <w:basedOn w:val="Normal"/>
    <w:uiPriority w:val="99"/>
    <w:semiHidden/>
    <w:unhideWhenUsed/>
    <w:rsid w:val="001D225F"/>
    <w:pPr>
      <w:spacing w:before="100" w:beforeAutospacing="1" w:after="100" w:afterAutospacing="1" w:line="240" w:lineRule="auto"/>
    </w:pPr>
    <w:rPr>
      <w:rFonts w:ascii="Times New Roman" w:eastAsia="Times New Roman" w:hAnsi="Times New Roman" w:cs="Times New Roman"/>
      <w:sz w:val="24"/>
      <w:szCs w:val="24"/>
      <w:lang w:eastAsia=""/>
    </w:rPr>
  </w:style>
  <w:style w:type="character" w:customStyle="1" w:styleId="url">
    <w:name w:val="url"/>
    <w:basedOn w:val="DefaultParagraphFont"/>
    <w:rsid w:val="001D225F"/>
  </w:style>
  <w:style w:type="table" w:styleId="GridTable2-Accent5">
    <w:name w:val="Grid Table 2 Accent 5"/>
    <w:basedOn w:val="TableNormal"/>
    <w:uiPriority w:val="47"/>
    <w:rsid w:val="001D225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7638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8F288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istParagraph">
    <w:name w:val="List Paragraph"/>
    <w:basedOn w:val="Normal"/>
    <w:uiPriority w:val="34"/>
    <w:qFormat/>
    <w:rsid w:val="0099772E"/>
    <w:pPr>
      <w:ind w:left="720"/>
      <w:contextualSpacing/>
    </w:pPr>
  </w:style>
  <w:style w:type="character" w:customStyle="1" w:styleId="Heading1Char">
    <w:name w:val="Heading 1 Char"/>
    <w:basedOn w:val="DefaultParagraphFont"/>
    <w:link w:val="Heading1"/>
    <w:uiPriority w:val="9"/>
    <w:rsid w:val="00CB3C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718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30A70"/>
    <w:pPr>
      <w:outlineLvl w:val="9"/>
    </w:pPr>
    <w:rPr>
      <w:lang w:val="en-US"/>
    </w:rPr>
  </w:style>
  <w:style w:type="paragraph" w:styleId="TOC1">
    <w:name w:val="toc 1"/>
    <w:basedOn w:val="Normal"/>
    <w:next w:val="Normal"/>
    <w:autoRedefine/>
    <w:uiPriority w:val="39"/>
    <w:unhideWhenUsed/>
    <w:rsid w:val="00430A70"/>
    <w:pPr>
      <w:tabs>
        <w:tab w:val="right" w:leader="dot" w:pos="9016"/>
      </w:tabs>
      <w:spacing w:after="100" w:line="276" w:lineRule="auto"/>
    </w:pPr>
    <w:rPr>
      <w:rFonts w:ascii="Times New Roman" w:hAnsi="Times New Roman" w:cs="Times New Roman"/>
      <w:noProof/>
      <w:sz w:val="24"/>
      <w:szCs w:val="24"/>
    </w:rPr>
  </w:style>
  <w:style w:type="paragraph" w:styleId="TOC2">
    <w:name w:val="toc 2"/>
    <w:basedOn w:val="Normal"/>
    <w:next w:val="Normal"/>
    <w:autoRedefine/>
    <w:uiPriority w:val="39"/>
    <w:unhideWhenUsed/>
    <w:rsid w:val="00430A70"/>
    <w:pPr>
      <w:spacing w:after="100"/>
      <w:ind w:left="220"/>
    </w:pPr>
  </w:style>
  <w:style w:type="character" w:styleId="Hyperlink">
    <w:name w:val="Hyperlink"/>
    <w:basedOn w:val="DefaultParagraphFont"/>
    <w:uiPriority w:val="99"/>
    <w:unhideWhenUsed/>
    <w:rsid w:val="00430A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5663">
      <w:bodyDiv w:val="1"/>
      <w:marLeft w:val="0"/>
      <w:marRight w:val="0"/>
      <w:marTop w:val="0"/>
      <w:marBottom w:val="0"/>
      <w:divBdr>
        <w:top w:val="none" w:sz="0" w:space="0" w:color="auto"/>
        <w:left w:val="none" w:sz="0" w:space="0" w:color="auto"/>
        <w:bottom w:val="none" w:sz="0" w:space="0" w:color="auto"/>
        <w:right w:val="none" w:sz="0" w:space="0" w:color="auto"/>
      </w:divBdr>
    </w:div>
    <w:div w:id="244802117">
      <w:bodyDiv w:val="1"/>
      <w:marLeft w:val="0"/>
      <w:marRight w:val="0"/>
      <w:marTop w:val="0"/>
      <w:marBottom w:val="0"/>
      <w:divBdr>
        <w:top w:val="none" w:sz="0" w:space="0" w:color="auto"/>
        <w:left w:val="none" w:sz="0" w:space="0" w:color="auto"/>
        <w:bottom w:val="none" w:sz="0" w:space="0" w:color="auto"/>
        <w:right w:val="none" w:sz="0" w:space="0" w:color="auto"/>
      </w:divBdr>
    </w:div>
    <w:div w:id="300817678">
      <w:bodyDiv w:val="1"/>
      <w:marLeft w:val="0"/>
      <w:marRight w:val="0"/>
      <w:marTop w:val="0"/>
      <w:marBottom w:val="0"/>
      <w:divBdr>
        <w:top w:val="none" w:sz="0" w:space="0" w:color="auto"/>
        <w:left w:val="none" w:sz="0" w:space="0" w:color="auto"/>
        <w:bottom w:val="none" w:sz="0" w:space="0" w:color="auto"/>
        <w:right w:val="none" w:sz="0" w:space="0" w:color="auto"/>
      </w:divBdr>
    </w:div>
    <w:div w:id="393282962">
      <w:bodyDiv w:val="1"/>
      <w:marLeft w:val="0"/>
      <w:marRight w:val="0"/>
      <w:marTop w:val="0"/>
      <w:marBottom w:val="0"/>
      <w:divBdr>
        <w:top w:val="none" w:sz="0" w:space="0" w:color="auto"/>
        <w:left w:val="none" w:sz="0" w:space="0" w:color="auto"/>
        <w:bottom w:val="none" w:sz="0" w:space="0" w:color="auto"/>
        <w:right w:val="none" w:sz="0" w:space="0" w:color="auto"/>
      </w:divBdr>
    </w:div>
    <w:div w:id="492140416">
      <w:bodyDiv w:val="1"/>
      <w:marLeft w:val="0"/>
      <w:marRight w:val="0"/>
      <w:marTop w:val="0"/>
      <w:marBottom w:val="0"/>
      <w:divBdr>
        <w:top w:val="none" w:sz="0" w:space="0" w:color="auto"/>
        <w:left w:val="none" w:sz="0" w:space="0" w:color="auto"/>
        <w:bottom w:val="none" w:sz="0" w:space="0" w:color="auto"/>
        <w:right w:val="none" w:sz="0" w:space="0" w:color="auto"/>
      </w:divBdr>
    </w:div>
    <w:div w:id="781924595">
      <w:bodyDiv w:val="1"/>
      <w:marLeft w:val="0"/>
      <w:marRight w:val="0"/>
      <w:marTop w:val="0"/>
      <w:marBottom w:val="0"/>
      <w:divBdr>
        <w:top w:val="none" w:sz="0" w:space="0" w:color="auto"/>
        <w:left w:val="none" w:sz="0" w:space="0" w:color="auto"/>
        <w:bottom w:val="none" w:sz="0" w:space="0" w:color="auto"/>
        <w:right w:val="none" w:sz="0" w:space="0" w:color="auto"/>
      </w:divBdr>
    </w:div>
    <w:div w:id="867765120">
      <w:bodyDiv w:val="1"/>
      <w:marLeft w:val="0"/>
      <w:marRight w:val="0"/>
      <w:marTop w:val="0"/>
      <w:marBottom w:val="0"/>
      <w:divBdr>
        <w:top w:val="none" w:sz="0" w:space="0" w:color="auto"/>
        <w:left w:val="none" w:sz="0" w:space="0" w:color="auto"/>
        <w:bottom w:val="none" w:sz="0" w:space="0" w:color="auto"/>
        <w:right w:val="none" w:sz="0" w:space="0" w:color="auto"/>
      </w:divBdr>
    </w:div>
    <w:div w:id="929196452">
      <w:bodyDiv w:val="1"/>
      <w:marLeft w:val="0"/>
      <w:marRight w:val="0"/>
      <w:marTop w:val="0"/>
      <w:marBottom w:val="0"/>
      <w:divBdr>
        <w:top w:val="none" w:sz="0" w:space="0" w:color="auto"/>
        <w:left w:val="none" w:sz="0" w:space="0" w:color="auto"/>
        <w:bottom w:val="none" w:sz="0" w:space="0" w:color="auto"/>
        <w:right w:val="none" w:sz="0" w:space="0" w:color="auto"/>
      </w:divBdr>
    </w:div>
    <w:div w:id="1064989521">
      <w:bodyDiv w:val="1"/>
      <w:marLeft w:val="0"/>
      <w:marRight w:val="0"/>
      <w:marTop w:val="0"/>
      <w:marBottom w:val="0"/>
      <w:divBdr>
        <w:top w:val="none" w:sz="0" w:space="0" w:color="auto"/>
        <w:left w:val="none" w:sz="0" w:space="0" w:color="auto"/>
        <w:bottom w:val="none" w:sz="0" w:space="0" w:color="auto"/>
        <w:right w:val="none" w:sz="0" w:space="0" w:color="auto"/>
      </w:divBdr>
    </w:div>
    <w:div w:id="1217356743">
      <w:bodyDiv w:val="1"/>
      <w:marLeft w:val="0"/>
      <w:marRight w:val="0"/>
      <w:marTop w:val="0"/>
      <w:marBottom w:val="0"/>
      <w:divBdr>
        <w:top w:val="none" w:sz="0" w:space="0" w:color="auto"/>
        <w:left w:val="none" w:sz="0" w:space="0" w:color="auto"/>
        <w:bottom w:val="none" w:sz="0" w:space="0" w:color="auto"/>
        <w:right w:val="none" w:sz="0" w:space="0" w:color="auto"/>
      </w:divBdr>
    </w:div>
    <w:div w:id="1472552455">
      <w:bodyDiv w:val="1"/>
      <w:marLeft w:val="0"/>
      <w:marRight w:val="0"/>
      <w:marTop w:val="0"/>
      <w:marBottom w:val="0"/>
      <w:divBdr>
        <w:top w:val="none" w:sz="0" w:space="0" w:color="auto"/>
        <w:left w:val="none" w:sz="0" w:space="0" w:color="auto"/>
        <w:bottom w:val="none" w:sz="0" w:space="0" w:color="auto"/>
        <w:right w:val="none" w:sz="0" w:space="0" w:color="auto"/>
      </w:divBdr>
    </w:div>
    <w:div w:id="167132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aisal.a.B07-F1-LPT145\AppData\Local\Temp\MicrosoftEdgeDownloads\306a7adc-c9be-49e9-9547-62a3731c1a3e\Research_Gantt_Chart_With_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Research Gantt Chart</a:t>
            </a:r>
          </a:p>
        </c:rich>
      </c:tx>
      <c:overlay val="0"/>
    </c:title>
    <c:autoTitleDeleted val="0"/>
    <c:plotArea>
      <c:layout/>
      <c:barChart>
        <c:barDir val="bar"/>
        <c:grouping val="stacked"/>
        <c:varyColors val="0"/>
        <c:ser>
          <c:idx val="0"/>
          <c:order val="0"/>
          <c:tx>
            <c:v>Start Date</c:v>
          </c:tx>
          <c:spPr>
            <a:noFill/>
            <a:ln>
              <a:noFill/>
            </a:ln>
          </c:spPr>
          <c:invertIfNegative val="0"/>
          <c:cat>
            <c:strRef>
              <c:f>'Gantt Chart'!$A$2:$A$9</c:f>
              <c:strCache>
                <c:ptCount val="8"/>
                <c:pt idx="0">
                  <c:v>Define Research Problem</c:v>
                </c:pt>
                <c:pt idx="1">
                  <c:v>Literature Review</c:v>
                </c:pt>
                <c:pt idx="2">
                  <c:v>Methodology Design</c:v>
                </c:pt>
                <c:pt idx="3">
                  <c:v>Data Collection</c:v>
                </c:pt>
                <c:pt idx="4">
                  <c:v>Data Analysis</c:v>
                </c:pt>
                <c:pt idx="5">
                  <c:v>Draft Writing</c:v>
                </c:pt>
                <c:pt idx="6">
                  <c:v>Final Revision</c:v>
                </c:pt>
                <c:pt idx="7">
                  <c:v>Submission</c:v>
                </c:pt>
              </c:strCache>
            </c:strRef>
          </c:cat>
          <c:val>
            <c:numRef>
              <c:f>'Gantt Chart'!$B$2:$B$9</c:f>
              <c:numCache>
                <c:formatCode>yyyy\-mm\-dd</c:formatCode>
                <c:ptCount val="8"/>
                <c:pt idx="0">
                  <c:v>45901</c:v>
                </c:pt>
                <c:pt idx="1">
                  <c:v>45908</c:v>
                </c:pt>
                <c:pt idx="2">
                  <c:v>45929</c:v>
                </c:pt>
                <c:pt idx="3">
                  <c:v>45943</c:v>
                </c:pt>
                <c:pt idx="4">
                  <c:v>45973</c:v>
                </c:pt>
                <c:pt idx="5">
                  <c:v>45988</c:v>
                </c:pt>
                <c:pt idx="6">
                  <c:v>46008</c:v>
                </c:pt>
                <c:pt idx="7">
                  <c:v>46018</c:v>
                </c:pt>
              </c:numCache>
            </c:numRef>
          </c:val>
          <c:extLst>
            <c:ext xmlns:c16="http://schemas.microsoft.com/office/drawing/2014/chart" uri="{C3380CC4-5D6E-409C-BE32-E72D297353CC}">
              <c16:uniqueId val="{00000000-220B-4F0A-B45C-6709717A13C7}"/>
            </c:ext>
          </c:extLst>
        </c:ser>
        <c:ser>
          <c:idx val="1"/>
          <c:order val="1"/>
          <c:tx>
            <c:v>Duration</c:v>
          </c:tx>
          <c:spPr>
            <a:solidFill>
              <a:srgbClr val="4F81BD"/>
            </a:solidFill>
            <a:ln>
              <a:solidFill>
                <a:srgbClr val="4F81BD"/>
              </a:solidFill>
            </a:ln>
          </c:spPr>
          <c:invertIfNegative val="0"/>
          <c:cat>
            <c:strRef>
              <c:f>'Gantt Chart'!$A$2:$A$9</c:f>
              <c:strCache>
                <c:ptCount val="8"/>
                <c:pt idx="0">
                  <c:v>Define Research Problem</c:v>
                </c:pt>
                <c:pt idx="1">
                  <c:v>Literature Review</c:v>
                </c:pt>
                <c:pt idx="2">
                  <c:v>Methodology Design</c:v>
                </c:pt>
                <c:pt idx="3">
                  <c:v>Data Collection</c:v>
                </c:pt>
                <c:pt idx="4">
                  <c:v>Data Analysis</c:v>
                </c:pt>
                <c:pt idx="5">
                  <c:v>Draft Writing</c:v>
                </c:pt>
                <c:pt idx="6">
                  <c:v>Final Revision</c:v>
                </c:pt>
                <c:pt idx="7">
                  <c:v>Submission</c:v>
                </c:pt>
              </c:strCache>
            </c:strRef>
          </c:cat>
          <c:val>
            <c:numRef>
              <c:f>'Gantt Chart'!$C$2:$C$9</c:f>
              <c:numCache>
                <c:formatCode>General</c:formatCode>
                <c:ptCount val="8"/>
                <c:pt idx="0">
                  <c:v>7</c:v>
                </c:pt>
                <c:pt idx="1">
                  <c:v>21</c:v>
                </c:pt>
                <c:pt idx="2">
                  <c:v>14</c:v>
                </c:pt>
                <c:pt idx="3">
                  <c:v>30</c:v>
                </c:pt>
                <c:pt idx="4">
                  <c:v>15</c:v>
                </c:pt>
                <c:pt idx="5">
                  <c:v>20</c:v>
                </c:pt>
                <c:pt idx="6">
                  <c:v>10</c:v>
                </c:pt>
                <c:pt idx="7">
                  <c:v>1</c:v>
                </c:pt>
              </c:numCache>
            </c:numRef>
          </c:val>
          <c:extLst>
            <c:ext xmlns:c16="http://schemas.microsoft.com/office/drawing/2014/chart" uri="{C3380CC4-5D6E-409C-BE32-E72D297353CC}">
              <c16:uniqueId val="{00000001-220B-4F0A-B45C-6709717A13C7}"/>
            </c:ext>
          </c:extLst>
        </c:ser>
        <c:dLbls>
          <c:showLegendKey val="0"/>
          <c:showVal val="0"/>
          <c:showCatName val="0"/>
          <c:showSerName val="0"/>
          <c:showPercent val="0"/>
          <c:showBubbleSize val="0"/>
        </c:dLbls>
        <c:gapWidth val="150"/>
        <c:overlap val="100"/>
        <c:axId val="50010001"/>
        <c:axId val="50010002"/>
      </c:barChart>
      <c:catAx>
        <c:axId val="50010001"/>
        <c:scaling>
          <c:orientation val="maxMin"/>
        </c:scaling>
        <c:delete val="0"/>
        <c:axPos val="l"/>
        <c:numFmt formatCode="General" sourceLinked="1"/>
        <c:majorTickMark val="out"/>
        <c:minorTickMark val="none"/>
        <c:tickLblPos val="nextTo"/>
        <c:crossAx val="50010002"/>
        <c:crosses val="autoZero"/>
        <c:auto val="1"/>
        <c:lblAlgn val="ctr"/>
        <c:lblOffset val="100"/>
        <c:noMultiLvlLbl val="0"/>
      </c:catAx>
      <c:valAx>
        <c:axId val="50010002"/>
        <c:scaling>
          <c:orientation val="minMax"/>
        </c:scaling>
        <c:delete val="0"/>
        <c:axPos val="t"/>
        <c:majorGridlines/>
        <c:title>
          <c:tx>
            <c:rich>
              <a:bodyPr/>
              <a:lstStyle/>
              <a:p>
                <a:pPr>
                  <a:defRPr/>
                </a:pPr>
                <a:r>
                  <a:rPr lang="en-US"/>
                  <a:t>Date</a:t>
                </a:r>
              </a:p>
            </c:rich>
          </c:tx>
          <c:overlay val="0"/>
        </c:title>
        <c:numFmt formatCode="yyyy\-mm\-dd" sourceLinked="0"/>
        <c:majorTickMark val="out"/>
        <c:minorTickMark val="none"/>
        <c:tickLblPos val="nextTo"/>
        <c:txPr>
          <a:bodyPr/>
          <a:lstStyle/>
          <a:p>
            <a:pPr>
              <a:defRPr sz="800"/>
            </a:pPr>
            <a:endParaRPr lang="en-US"/>
          </a:p>
        </c:txPr>
        <c:crossAx val="50010001"/>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6E6670A-6F26-4662-8A76-340B42776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2316</Words>
  <Characters>14400</Characters>
  <Application>Microsoft Office Word</Application>
  <DocSecurity>0</DocSecurity>
  <Lines>267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faisal muteb</cp:lastModifiedBy>
  <cp:revision>4</cp:revision>
  <dcterms:created xsi:type="dcterms:W3CDTF">2025-08-04T11:15:00Z</dcterms:created>
  <dcterms:modified xsi:type="dcterms:W3CDTF">2025-08-04T11:15:00Z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b4132143-c1a5-4e08-a576-efe6158abab5</vt:lpwstr>
  </property>
</Properties>
</file>