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AD811" w14:textId="77777777" w:rsidR="00CF7B61" w:rsidRPr="007C2480" w:rsidRDefault="00CF7B61" w:rsidP="00EB0259">
      <w:pPr>
        <w:bidi/>
        <w:spacing w:line="360" w:lineRule="auto"/>
        <w:jc w:val="center"/>
        <w:rPr>
          <w:rFonts w:ascii="Traditional Arabic" w:eastAsia="Times New Roman" w:hAnsi="Traditional Arabic" w:cs="Traditional Arabic"/>
          <w:rtl/>
        </w:rPr>
      </w:pPr>
      <w:r w:rsidRPr="007C2480">
        <w:rPr>
          <w:rFonts w:ascii="Traditional Arabic" w:eastAsia="Times New Roman" w:hAnsi="Traditional Arabic" w:cs="Traditional Arabic"/>
          <w:noProof/>
          <w:rtl/>
          <w:lang w:val="ar" w:bidi="ar"/>
        </w:rPr>
        <w:drawing>
          <wp:anchor distT="0" distB="0" distL="114300" distR="114300" simplePos="0" relativeHeight="251658240" behindDoc="1" locked="0" layoutInCell="1" allowOverlap="1" wp14:anchorId="4B5C27CD" wp14:editId="296FB7EB">
            <wp:simplePos x="0" y="0"/>
            <wp:positionH relativeFrom="margin">
              <wp:posOffset>1709365</wp:posOffset>
            </wp:positionH>
            <wp:positionV relativeFrom="paragraph">
              <wp:posOffset>0</wp:posOffset>
            </wp:positionV>
            <wp:extent cx="2407285" cy="2407285"/>
            <wp:effectExtent l="0" t="0" r="0" b="0"/>
            <wp:wrapTight wrapText="bothSides">
              <wp:wrapPolygon edited="0">
                <wp:start x="0" y="0"/>
                <wp:lineTo x="0" y="21366"/>
                <wp:lineTo x="21366" y="21366"/>
                <wp:lineTo x="213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idocea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7285" cy="2407285"/>
                    </a:xfrm>
                    <a:prstGeom prst="rect">
                      <a:avLst/>
                    </a:prstGeom>
                  </pic:spPr>
                </pic:pic>
              </a:graphicData>
            </a:graphic>
            <wp14:sizeRelH relativeFrom="margin">
              <wp14:pctWidth>0</wp14:pctWidth>
            </wp14:sizeRelH>
            <wp14:sizeRelV relativeFrom="margin">
              <wp14:pctHeight>0</wp14:pctHeight>
            </wp14:sizeRelV>
          </wp:anchor>
        </w:drawing>
      </w:r>
    </w:p>
    <w:p w14:paraId="06BFF638" w14:textId="77777777" w:rsidR="00CF7B61" w:rsidRPr="007C2480" w:rsidRDefault="00CF7B61" w:rsidP="00EB0259">
      <w:pPr>
        <w:bidi/>
        <w:spacing w:line="360" w:lineRule="auto"/>
        <w:jc w:val="center"/>
        <w:rPr>
          <w:rFonts w:ascii="Traditional Arabic" w:eastAsia="Times New Roman" w:hAnsi="Traditional Arabic" w:cs="Traditional Arabic"/>
          <w:rtl/>
        </w:rPr>
      </w:pPr>
    </w:p>
    <w:p w14:paraId="0D55875B" w14:textId="77777777" w:rsidR="00CF7B61" w:rsidRPr="007C2480" w:rsidRDefault="00CF7B61" w:rsidP="00EB0259">
      <w:pPr>
        <w:bidi/>
        <w:spacing w:line="360" w:lineRule="auto"/>
        <w:jc w:val="center"/>
        <w:rPr>
          <w:rFonts w:ascii="Traditional Arabic" w:eastAsia="Times New Roman" w:hAnsi="Traditional Arabic" w:cs="Traditional Arabic"/>
          <w:rtl/>
        </w:rPr>
      </w:pPr>
    </w:p>
    <w:p w14:paraId="25366CB3" w14:textId="77777777" w:rsidR="00CF7B61" w:rsidRPr="007C2480" w:rsidRDefault="00CF7B61" w:rsidP="00EB0259">
      <w:pPr>
        <w:bidi/>
        <w:spacing w:line="360" w:lineRule="auto"/>
        <w:jc w:val="center"/>
        <w:rPr>
          <w:rFonts w:ascii="Traditional Arabic" w:eastAsia="Times New Roman" w:hAnsi="Traditional Arabic" w:cs="Traditional Arabic"/>
          <w:rtl/>
        </w:rPr>
      </w:pPr>
    </w:p>
    <w:p w14:paraId="33F4E32C" w14:textId="77777777" w:rsidR="00CF7B61" w:rsidRPr="007C2480" w:rsidRDefault="00CF7B61" w:rsidP="00EB0259">
      <w:pPr>
        <w:bidi/>
        <w:spacing w:line="360" w:lineRule="auto"/>
        <w:jc w:val="center"/>
        <w:rPr>
          <w:rFonts w:ascii="Traditional Arabic" w:eastAsia="Times New Roman" w:hAnsi="Traditional Arabic" w:cs="Traditional Arabic"/>
          <w:rtl/>
        </w:rPr>
      </w:pPr>
    </w:p>
    <w:p w14:paraId="3EDBE5C1" w14:textId="77777777" w:rsidR="000B50EE" w:rsidRDefault="000B50EE" w:rsidP="000B50EE">
      <w:pPr>
        <w:bidi/>
        <w:spacing w:line="360" w:lineRule="auto"/>
        <w:rPr>
          <w:rFonts w:ascii="Traditional Arabic" w:eastAsia="Times New Roman" w:hAnsi="Traditional Arabic" w:cs="Traditional Arabic"/>
          <w:rtl/>
        </w:rPr>
      </w:pPr>
    </w:p>
    <w:p w14:paraId="39738A67" w14:textId="77777777" w:rsidR="000B50EE" w:rsidRDefault="000B50EE" w:rsidP="000B50EE">
      <w:pPr>
        <w:bidi/>
        <w:spacing w:line="360" w:lineRule="auto"/>
        <w:rPr>
          <w:rFonts w:ascii="Traditional Arabic" w:eastAsia="Times New Roman" w:hAnsi="Traditional Arabic" w:cs="Traditional Arabic"/>
          <w:b/>
          <w:bCs/>
          <w:rtl/>
          <w:lang w:bidi="ar"/>
        </w:rPr>
      </w:pPr>
    </w:p>
    <w:p w14:paraId="47C5D97D" w14:textId="1509F11C" w:rsidR="00CF7B61" w:rsidRPr="00DB3C7B" w:rsidRDefault="00CF7B61" w:rsidP="000B50EE">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 xml:space="preserve">جامعة </w:t>
      </w:r>
      <w:proofErr w:type="spellStart"/>
      <w:r w:rsidRPr="00DB3C7B">
        <w:rPr>
          <w:rFonts w:ascii="Traditional Arabic" w:eastAsia="Times New Roman" w:hAnsi="Traditional Arabic" w:cs="Traditional Arabic"/>
          <w:b/>
          <w:bCs/>
          <w:rtl/>
          <w:lang w:bidi="ar"/>
        </w:rPr>
        <w:t>ميدأوشن</w:t>
      </w:r>
      <w:proofErr w:type="spellEnd"/>
    </w:p>
    <w:p w14:paraId="0C356888" w14:textId="77777777" w:rsidR="00CF7B61" w:rsidRPr="00DB3C7B" w:rsidRDefault="00CF7B61" w:rsidP="00EB0259">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كلية الادارة</w:t>
      </w:r>
    </w:p>
    <w:p w14:paraId="77F7CDE5" w14:textId="77777777" w:rsidR="00CF7B61" w:rsidRPr="00DB3C7B" w:rsidRDefault="00CF7B61" w:rsidP="00EB0259">
      <w:pPr>
        <w:bidi/>
        <w:spacing w:line="360" w:lineRule="auto"/>
        <w:jc w:val="center"/>
        <w:rPr>
          <w:rFonts w:ascii="Traditional Arabic" w:eastAsia="Times New Roman" w:hAnsi="Traditional Arabic" w:cs="Traditional Arabic"/>
          <w:b/>
          <w:bCs/>
          <w:rtl/>
          <w:lang w:bidi="ar"/>
        </w:rPr>
      </w:pPr>
    </w:p>
    <w:p w14:paraId="151F1A57" w14:textId="3B4C3B60" w:rsidR="00CF7B61" w:rsidRPr="00DB3C7B" w:rsidRDefault="00323439" w:rsidP="00DB3C7B">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أثر التحوّل الرقمي المؤسسي على رضا الموظفين في مؤسسات المملكة العربية السعودية: وزارة الموارد البشرية والتنمية الاجتماعية أنموذجًا</w:t>
      </w:r>
    </w:p>
    <w:p w14:paraId="65423346" w14:textId="77777777" w:rsidR="00CF7B61" w:rsidRPr="00DB3C7B" w:rsidRDefault="00CF7B61" w:rsidP="00EB0259">
      <w:pPr>
        <w:bidi/>
        <w:spacing w:line="360" w:lineRule="auto"/>
        <w:jc w:val="center"/>
        <w:rPr>
          <w:rFonts w:ascii="Traditional Arabic" w:eastAsia="Times New Roman" w:hAnsi="Traditional Arabic" w:cs="Traditional Arabic"/>
          <w:b/>
          <w:bCs/>
          <w:rtl/>
          <w:lang w:bidi="ar"/>
        </w:rPr>
      </w:pPr>
    </w:p>
    <w:p w14:paraId="37B6030F" w14:textId="77777777" w:rsidR="00CF7B61" w:rsidRPr="00DB3C7B" w:rsidRDefault="00CF7B61" w:rsidP="00EB0259">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إعداد</w:t>
      </w:r>
    </w:p>
    <w:p w14:paraId="5CA02F3D" w14:textId="77777777" w:rsidR="00CF7B61" w:rsidRPr="00DB3C7B" w:rsidRDefault="00CF7B61" w:rsidP="00EB0259">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 xml:space="preserve">باحث </w:t>
      </w:r>
      <w:proofErr w:type="gramStart"/>
      <w:r w:rsidRPr="00DB3C7B">
        <w:rPr>
          <w:rFonts w:ascii="Traditional Arabic" w:eastAsia="Times New Roman" w:hAnsi="Traditional Arabic" w:cs="Traditional Arabic"/>
          <w:b/>
          <w:bCs/>
          <w:rtl/>
          <w:lang w:bidi="ar"/>
        </w:rPr>
        <w:t>الدكتوراه :</w:t>
      </w:r>
      <w:proofErr w:type="gramEnd"/>
      <w:r w:rsidRPr="00DB3C7B">
        <w:rPr>
          <w:rFonts w:ascii="Traditional Arabic" w:eastAsia="Times New Roman" w:hAnsi="Traditional Arabic" w:cs="Traditional Arabic"/>
          <w:b/>
          <w:bCs/>
          <w:rtl/>
          <w:lang w:bidi="ar"/>
        </w:rPr>
        <w:t xml:space="preserve"> سعود عبدالعزيز عبدالله آل حمد</w:t>
      </w:r>
    </w:p>
    <w:p w14:paraId="67D358D2" w14:textId="5A2A9F7B" w:rsidR="003625A1" w:rsidRPr="00DB3C7B" w:rsidRDefault="00CF7B61" w:rsidP="00DB3C7B">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المملكة العربية السعودية</w:t>
      </w:r>
    </w:p>
    <w:p w14:paraId="30350887" w14:textId="77777777" w:rsidR="00DB3C7B" w:rsidRPr="00DB3C7B" w:rsidRDefault="00DB3C7B" w:rsidP="00DB3C7B">
      <w:pPr>
        <w:bidi/>
        <w:spacing w:line="360" w:lineRule="auto"/>
        <w:jc w:val="center"/>
        <w:rPr>
          <w:rFonts w:ascii="Traditional Arabic" w:eastAsia="Times New Roman" w:hAnsi="Traditional Arabic" w:cs="Traditional Arabic"/>
          <w:b/>
          <w:bCs/>
          <w:rtl/>
          <w:lang w:bidi="ar"/>
        </w:rPr>
      </w:pPr>
    </w:p>
    <w:p w14:paraId="32035D50" w14:textId="77777777" w:rsidR="00E72D37" w:rsidRPr="00DB3C7B" w:rsidRDefault="00CF7B61" w:rsidP="00EB0259">
      <w:pPr>
        <w:bidi/>
        <w:spacing w:line="360" w:lineRule="auto"/>
        <w:jc w:val="center"/>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 xml:space="preserve">رسالة مقدمة لجامعة </w:t>
      </w:r>
      <w:proofErr w:type="spellStart"/>
      <w:r w:rsidRPr="00DB3C7B">
        <w:rPr>
          <w:rFonts w:ascii="Traditional Arabic" w:eastAsia="Times New Roman" w:hAnsi="Traditional Arabic" w:cs="Traditional Arabic"/>
          <w:b/>
          <w:bCs/>
          <w:rtl/>
        </w:rPr>
        <w:t>ميد</w:t>
      </w:r>
      <w:r w:rsidR="00E72D37" w:rsidRPr="00DB3C7B">
        <w:rPr>
          <w:rFonts w:ascii="Traditional Arabic" w:eastAsia="Times New Roman" w:hAnsi="Traditional Arabic" w:cs="Traditional Arabic"/>
          <w:b/>
          <w:bCs/>
          <w:rtl/>
        </w:rPr>
        <w:t>أوشن</w:t>
      </w:r>
      <w:proofErr w:type="spellEnd"/>
      <w:r w:rsidR="00E72D37" w:rsidRPr="00DB3C7B">
        <w:rPr>
          <w:rFonts w:ascii="Traditional Arabic" w:eastAsia="Times New Roman" w:hAnsi="Traditional Arabic" w:cs="Traditional Arabic"/>
          <w:b/>
          <w:bCs/>
          <w:rtl/>
        </w:rPr>
        <w:t xml:space="preserve"> </w:t>
      </w:r>
      <w:proofErr w:type="spellStart"/>
      <w:r w:rsidR="00E72D37" w:rsidRPr="00DB3C7B">
        <w:rPr>
          <w:rFonts w:ascii="Traditional Arabic" w:eastAsia="Times New Roman" w:hAnsi="Traditional Arabic" w:cs="Traditional Arabic"/>
          <w:b/>
          <w:bCs/>
          <w:rtl/>
        </w:rPr>
        <w:t>لإستكمال</w:t>
      </w:r>
      <w:proofErr w:type="spellEnd"/>
      <w:r w:rsidR="00E72D37" w:rsidRPr="00DB3C7B">
        <w:rPr>
          <w:rFonts w:ascii="Traditional Arabic" w:eastAsia="Times New Roman" w:hAnsi="Traditional Arabic" w:cs="Traditional Arabic"/>
          <w:b/>
          <w:bCs/>
          <w:rtl/>
        </w:rPr>
        <w:t xml:space="preserve"> متطلبات نيل درجة الدكتوراه </w:t>
      </w:r>
    </w:p>
    <w:p w14:paraId="461F848D" w14:textId="77777777" w:rsidR="00E72D37" w:rsidRPr="00DB3C7B" w:rsidRDefault="00E72D37" w:rsidP="00EB0259">
      <w:pPr>
        <w:bidi/>
        <w:spacing w:line="360" w:lineRule="auto"/>
        <w:jc w:val="center"/>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 xml:space="preserve">في </w:t>
      </w:r>
    </w:p>
    <w:p w14:paraId="3E88B99B" w14:textId="7D94EA85" w:rsidR="003625A1" w:rsidRPr="00DB3C7B" w:rsidRDefault="00E72D37" w:rsidP="00DB3C7B">
      <w:pPr>
        <w:bidi/>
        <w:spacing w:line="360" w:lineRule="auto"/>
        <w:jc w:val="center"/>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الإدارة</w:t>
      </w:r>
    </w:p>
    <w:p w14:paraId="1E453D03" w14:textId="77777777" w:rsidR="003625A1" w:rsidRPr="00DB3C7B" w:rsidRDefault="003625A1" w:rsidP="00EB0259">
      <w:pPr>
        <w:bidi/>
        <w:spacing w:line="360" w:lineRule="auto"/>
        <w:jc w:val="center"/>
        <w:rPr>
          <w:rFonts w:ascii="Traditional Arabic" w:eastAsia="Times New Roman" w:hAnsi="Traditional Arabic" w:cs="Traditional Arabic"/>
          <w:b/>
          <w:bCs/>
          <w:rtl/>
        </w:rPr>
      </w:pPr>
    </w:p>
    <w:p w14:paraId="61425D6D" w14:textId="77777777" w:rsidR="003625A1" w:rsidRPr="00DB3C7B" w:rsidRDefault="003625A1" w:rsidP="00EB0259">
      <w:pPr>
        <w:bidi/>
        <w:spacing w:line="360" w:lineRule="auto"/>
        <w:jc w:val="center"/>
        <w:rPr>
          <w:rFonts w:ascii="Traditional Arabic" w:eastAsia="Times New Roman" w:hAnsi="Traditional Arabic" w:cs="Traditional Arabic"/>
          <w:b/>
          <w:bCs/>
          <w:rtl/>
        </w:rPr>
      </w:pPr>
    </w:p>
    <w:p w14:paraId="4A07076C" w14:textId="77777777" w:rsidR="003625A1" w:rsidRPr="00DB3C7B" w:rsidRDefault="003625A1" w:rsidP="00EB0259">
      <w:pPr>
        <w:bidi/>
        <w:spacing w:line="360" w:lineRule="auto"/>
        <w:jc w:val="center"/>
        <w:rPr>
          <w:rFonts w:ascii="Traditional Arabic" w:eastAsia="Times New Roman" w:hAnsi="Traditional Arabic" w:cs="Traditional Arabic"/>
          <w:b/>
          <w:bCs/>
          <w:rtl/>
        </w:rPr>
      </w:pPr>
    </w:p>
    <w:p w14:paraId="0AB4987F" w14:textId="77777777" w:rsidR="00E72D37" w:rsidRPr="00DB3C7B" w:rsidRDefault="00E72D37" w:rsidP="00EB0259">
      <w:pPr>
        <w:bidi/>
        <w:spacing w:line="360" w:lineRule="auto"/>
        <w:jc w:val="center"/>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 xml:space="preserve">سنة التخرج </w:t>
      </w:r>
    </w:p>
    <w:p w14:paraId="43A6C936" w14:textId="54F5FB75" w:rsidR="00B64312" w:rsidRPr="00DB3C7B" w:rsidRDefault="00E72D37" w:rsidP="00DB3C7B">
      <w:pPr>
        <w:bidi/>
        <w:spacing w:after="240" w:line="360" w:lineRule="auto"/>
        <w:jc w:val="center"/>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202</w:t>
      </w:r>
      <w:r w:rsidR="00572992" w:rsidRPr="00DB3C7B">
        <w:rPr>
          <w:rFonts w:ascii="Traditional Arabic" w:eastAsia="Times New Roman" w:hAnsi="Traditional Arabic" w:cs="Traditional Arabic"/>
          <w:b/>
          <w:bCs/>
          <w:rtl/>
        </w:rPr>
        <w:t>7</w:t>
      </w:r>
      <w:bookmarkStart w:id="0" w:name="_Hlk214369247"/>
    </w:p>
    <w:p w14:paraId="5D3EBEEE" w14:textId="0EE013DB" w:rsidR="00A93973" w:rsidRDefault="00B64312" w:rsidP="00EB0259">
      <w:pPr>
        <w:bidi/>
        <w:spacing w:after="160" w:line="360" w:lineRule="auto"/>
        <w:jc w:val="center"/>
        <w:divId w:val="1647278641"/>
        <w:rPr>
          <w:rFonts w:ascii="Traditional Arabic" w:hAnsi="Traditional Arabic" w:cs="Traditional Arabic"/>
          <w:b/>
          <w:bCs/>
          <w:sz w:val="32"/>
          <w:szCs w:val="32"/>
          <w:rtl/>
        </w:rPr>
      </w:pPr>
      <w:r w:rsidRPr="00DB3C7B">
        <w:rPr>
          <w:rFonts w:ascii="Traditional Arabic" w:hAnsi="Traditional Arabic" w:cs="Traditional Arabic"/>
          <w:b/>
          <w:bCs/>
          <w:sz w:val="32"/>
          <w:szCs w:val="32"/>
          <w:rtl/>
        </w:rPr>
        <w:lastRenderedPageBreak/>
        <w:t xml:space="preserve">الفصل الثاني </w:t>
      </w:r>
    </w:p>
    <w:p w14:paraId="7314A611" w14:textId="77777777" w:rsidR="00B64312" w:rsidRPr="00DB3C7B" w:rsidRDefault="00B64312" w:rsidP="00EB0259">
      <w:pPr>
        <w:bidi/>
        <w:spacing w:after="160" w:line="360" w:lineRule="auto"/>
        <w:divId w:val="1647278641"/>
        <w:rPr>
          <w:rFonts w:ascii="Traditional Arabic" w:hAnsi="Traditional Arabic" w:cs="Traditional Arabic"/>
          <w:b/>
          <w:bCs/>
          <w:sz w:val="28"/>
          <w:szCs w:val="28"/>
          <w:lang w:bidi="ar"/>
        </w:rPr>
      </w:pPr>
      <w:bookmarkStart w:id="1" w:name="_GoBack"/>
      <w:bookmarkEnd w:id="1"/>
      <w:r w:rsidRPr="00DB3C7B">
        <w:rPr>
          <w:rFonts w:ascii="Traditional Arabic" w:hAnsi="Traditional Arabic" w:cs="Traditional Arabic"/>
          <w:b/>
          <w:bCs/>
          <w:sz w:val="28"/>
          <w:szCs w:val="28"/>
          <w:rtl/>
        </w:rPr>
        <w:t>ملخص تنفيذي</w:t>
      </w:r>
    </w:p>
    <w:p w14:paraId="4ACC34DB" w14:textId="77777777" w:rsidR="002F488C" w:rsidRDefault="000B50EE" w:rsidP="000B50EE">
      <w:pPr>
        <w:bidi/>
        <w:spacing w:after="160" w:line="360" w:lineRule="auto"/>
        <w:divId w:val="1647278641"/>
        <w:rPr>
          <w:rFonts w:ascii="Traditional Arabic" w:hAnsi="Traditional Arabic" w:cs="Traditional Arabic"/>
        </w:rPr>
      </w:pPr>
      <w:r w:rsidRPr="000B50EE">
        <w:rPr>
          <w:rFonts w:ascii="Traditional Arabic" w:hAnsi="Traditional Arabic" w:cs="Traditional Arabic"/>
          <w:rtl/>
        </w:rPr>
        <w:t>يُقدِّم هذا الفصل (2.0–2.3) مراجعة أدبيات منهجية وتحليلية تُسند النموذج المفاهيمي للدراسة التي تبحث أثر التحوّل الرقمي المؤسسي على الرضا الوظيفي لدى موظفي وزارة الموارد البشرية والتنمية الاجتماعية. وقد بُنيت المراجعة على تصور أن التحوّل الرقمي المؤسسي</w:t>
      </w:r>
      <w:r w:rsidRPr="000B50EE">
        <w:rPr>
          <w:rFonts w:ascii="Traditional Arabic" w:hAnsi="Traditional Arabic" w:cs="Traditional Arabic"/>
        </w:rPr>
        <w:t xml:space="preserve"> (DTD) </w:t>
      </w:r>
      <w:r w:rsidRPr="000B50EE">
        <w:rPr>
          <w:rFonts w:ascii="Traditional Arabic" w:hAnsi="Traditional Arabic" w:cs="Traditional Arabic"/>
          <w:rtl/>
        </w:rPr>
        <w:t xml:space="preserve">لا يُفهم بوصفه </w:t>
      </w:r>
      <w:r w:rsidR="002F488C">
        <w:rPr>
          <w:rFonts w:ascii="Traditional Arabic" w:hAnsi="Traditional Arabic" w:cs="Traditional Arabic"/>
          <w:rtl/>
        </w:rPr>
        <w:t>"</w:t>
      </w:r>
      <w:proofErr w:type="spellStart"/>
      <w:r w:rsidRPr="000B50EE">
        <w:rPr>
          <w:rFonts w:ascii="Traditional Arabic" w:hAnsi="Traditional Arabic" w:cs="Traditional Arabic"/>
          <w:rtl/>
        </w:rPr>
        <w:t>رقمنة</w:t>
      </w:r>
      <w:proofErr w:type="spellEnd"/>
      <w:r w:rsidR="002F488C">
        <w:rPr>
          <w:rFonts w:ascii="Traditional Arabic" w:hAnsi="Traditional Arabic" w:cs="Traditional Arabic"/>
          <w:rtl/>
        </w:rPr>
        <w:t>"</w:t>
      </w:r>
      <w:r w:rsidRPr="000B50EE">
        <w:rPr>
          <w:rFonts w:ascii="Traditional Arabic" w:hAnsi="Traditional Arabic" w:cs="Traditional Arabic"/>
          <w:rtl/>
        </w:rPr>
        <w:t xml:space="preserve"> جزئية فحسب، بل بوصفه تحولًا في تصميم العمليات الداخلية وتكاملها، وفي جودة الأنظمة والدعم المصاحب لها، بما يُعيد تشكيل خبرة الموظف اليومية</w:t>
      </w:r>
      <w:r w:rsidRPr="000B50EE">
        <w:rPr>
          <w:rFonts w:ascii="Traditional Arabic" w:hAnsi="Traditional Arabic" w:cs="Traditional Arabic"/>
        </w:rPr>
        <w:t xml:space="preserve"> Vial, 2019</w:t>
      </w:r>
      <w:r w:rsidR="002F488C">
        <w:rPr>
          <w:rFonts w:ascii="Traditional Arabic" w:hAnsi="Traditional Arabic" w:cs="Traditional Arabic"/>
        </w:rPr>
        <w:t xml:space="preserve">) </w:t>
      </w:r>
      <w:r w:rsidRPr="000B50EE">
        <w:rPr>
          <w:rFonts w:ascii="Traditional Arabic" w:hAnsi="Traditional Arabic" w:cs="Traditional Arabic"/>
          <w:rtl/>
        </w:rPr>
        <w:t>؛</w:t>
      </w:r>
      <w:r w:rsidR="002F488C">
        <w:rPr>
          <w:rFonts w:ascii="Traditional Arabic" w:hAnsi="Traditional Arabic" w:cs="Traditional Arabic"/>
        </w:rPr>
        <w:t>(</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Mergel</w:t>
      </w:r>
      <w:proofErr w:type="spellEnd"/>
      <w:r w:rsidRPr="000B50EE">
        <w:rPr>
          <w:rFonts w:ascii="Traditional Arabic" w:hAnsi="Traditional Arabic" w:cs="Traditional Arabic"/>
        </w:rPr>
        <w:t xml:space="preserve"> et al., 2019</w:t>
      </w:r>
      <w:r w:rsidR="002F488C">
        <w:rPr>
          <w:rFonts w:ascii="Traditional Arabic" w:hAnsi="Traditional Arabic" w:cs="Traditional Arabic"/>
        </w:rPr>
        <w:t xml:space="preserve"> </w:t>
      </w:r>
      <w:r w:rsidRPr="000B50EE">
        <w:rPr>
          <w:rFonts w:ascii="Traditional Arabic" w:hAnsi="Traditional Arabic" w:cs="Traditional Arabic"/>
        </w:rPr>
        <w:br/>
      </w:r>
      <w:r w:rsidRPr="000B50EE">
        <w:rPr>
          <w:rFonts w:ascii="Traditional Arabic" w:hAnsi="Traditional Arabic" w:cs="Traditional Arabic"/>
          <w:rtl/>
        </w:rPr>
        <w:t xml:space="preserve">وتقود الدراسة تفسير الأثر عبر مسارين وسيطين متوازيين: مسار </w:t>
      </w:r>
      <w:r w:rsidR="002F488C">
        <w:rPr>
          <w:rFonts w:ascii="Traditional Arabic" w:hAnsi="Traditional Arabic" w:cs="Traditional Arabic"/>
          <w:rtl/>
        </w:rPr>
        <w:t>"</w:t>
      </w:r>
      <w:r w:rsidRPr="000B50EE">
        <w:rPr>
          <w:rFonts w:ascii="Traditional Arabic" w:hAnsi="Traditional Arabic" w:cs="Traditional Arabic"/>
          <w:rtl/>
        </w:rPr>
        <w:t>تعزيزي</w:t>
      </w:r>
      <w:r w:rsidR="002F488C">
        <w:rPr>
          <w:rFonts w:ascii="Traditional Arabic" w:hAnsi="Traditional Arabic" w:cs="Traditional Arabic"/>
          <w:rtl/>
        </w:rPr>
        <w:t>"</w:t>
      </w:r>
      <w:r w:rsidRPr="000B50EE">
        <w:rPr>
          <w:rFonts w:ascii="Traditional Arabic" w:hAnsi="Traditional Arabic" w:cs="Traditional Arabic"/>
          <w:rtl/>
        </w:rPr>
        <w:t xml:space="preserve"> يعتمد على قبول التقنية وفق نموذج</w:t>
      </w:r>
      <w:r w:rsidRPr="000B50EE">
        <w:rPr>
          <w:rFonts w:ascii="Traditional Arabic" w:hAnsi="Traditional Arabic" w:cs="Traditional Arabic"/>
        </w:rPr>
        <w:t xml:space="preserve"> (TAM) </w:t>
      </w:r>
      <w:r w:rsidRPr="000B50EE">
        <w:rPr>
          <w:rFonts w:ascii="Traditional Arabic" w:hAnsi="Traditional Arabic" w:cs="Traditional Arabic"/>
          <w:rtl/>
        </w:rPr>
        <w:t>من خلال المنفعة المتصوَّرة وسهولة الاستخدام المتصوَّرة</w:t>
      </w:r>
      <w:r w:rsidRPr="000B50EE">
        <w:rPr>
          <w:rFonts w:ascii="Traditional Arabic" w:hAnsi="Traditional Arabic" w:cs="Traditional Arabic"/>
        </w:rPr>
        <w:t xml:space="preserve"> (Davis, 1989)</w:t>
      </w:r>
      <w:r w:rsidR="002F488C">
        <w:rPr>
          <w:rFonts w:ascii="Traditional Arabic" w:hAnsi="Traditional Arabic" w:cs="Traditional Arabic"/>
        </w:rPr>
        <w:t xml:space="preserve"> </w:t>
      </w:r>
      <w:r w:rsidRPr="000B50EE">
        <w:rPr>
          <w:rFonts w:ascii="Traditional Arabic" w:hAnsi="Traditional Arabic" w:cs="Traditional Arabic"/>
          <w:rtl/>
        </w:rPr>
        <w:t xml:space="preserve">، ومسار </w:t>
      </w:r>
      <w:r w:rsidR="002F488C">
        <w:rPr>
          <w:rFonts w:ascii="Traditional Arabic" w:hAnsi="Traditional Arabic" w:cs="Traditional Arabic"/>
          <w:rtl/>
        </w:rPr>
        <w:t>"</w:t>
      </w:r>
      <w:r w:rsidRPr="000B50EE">
        <w:rPr>
          <w:rFonts w:ascii="Traditional Arabic" w:hAnsi="Traditional Arabic" w:cs="Traditional Arabic"/>
          <w:rtl/>
        </w:rPr>
        <w:t>ضاغط</w:t>
      </w:r>
      <w:r w:rsidR="002F488C">
        <w:rPr>
          <w:rFonts w:ascii="Traditional Arabic" w:hAnsi="Traditional Arabic" w:cs="Traditional Arabic"/>
          <w:rtl/>
        </w:rPr>
        <w:t>"</w:t>
      </w:r>
      <w:r w:rsidRPr="000B50EE">
        <w:rPr>
          <w:rFonts w:ascii="Traditional Arabic" w:hAnsi="Traditional Arabic" w:cs="Traditional Arabic"/>
          <w:rtl/>
        </w:rPr>
        <w:t xml:space="preserve"> يعتمد على الإجهاد التقني</w:t>
      </w:r>
      <w:r w:rsidRPr="000B50EE">
        <w:rPr>
          <w:rFonts w:ascii="Traditional Arabic" w:hAnsi="Traditional Arabic" w:cs="Traditional Arabic"/>
        </w:rPr>
        <w:t xml:space="preserve"> (Technostress) </w:t>
      </w:r>
      <w:r w:rsidR="002F488C">
        <w:rPr>
          <w:rFonts w:ascii="Traditional Arabic" w:hAnsi="Traditional Arabic" w:cs="Traditional Arabic" w:hint="cs"/>
          <w:rtl/>
        </w:rPr>
        <w:t xml:space="preserve"> </w:t>
      </w:r>
      <w:r w:rsidRPr="000B50EE">
        <w:rPr>
          <w:rFonts w:ascii="Traditional Arabic" w:hAnsi="Traditional Arabic" w:cs="Traditional Arabic"/>
          <w:rtl/>
        </w:rPr>
        <w:t xml:space="preserve">بوصفه استجابة لضغوط التقنية ومتطلباتها، كما طُوِّر بمفهوم </w:t>
      </w:r>
      <w:r w:rsidR="002F488C">
        <w:rPr>
          <w:rFonts w:ascii="Traditional Arabic" w:hAnsi="Traditional Arabic" w:cs="Traditional Arabic"/>
          <w:rtl/>
        </w:rPr>
        <w:t>"</w:t>
      </w:r>
      <w:r w:rsidRPr="000B50EE">
        <w:rPr>
          <w:rFonts w:ascii="Traditional Arabic" w:hAnsi="Traditional Arabic" w:cs="Traditional Arabic"/>
          <w:rtl/>
        </w:rPr>
        <w:t>صانعات الإجهاد</w:t>
      </w:r>
      <w:r w:rsidR="002F488C">
        <w:rPr>
          <w:rFonts w:ascii="Traditional Arabic" w:hAnsi="Traditional Arabic" w:cs="Traditional Arabic"/>
          <w:rtl/>
        </w:rPr>
        <w:t>"</w:t>
      </w:r>
      <w:r w:rsidRPr="000B50EE">
        <w:rPr>
          <w:rFonts w:ascii="Traditional Arabic" w:hAnsi="Traditional Arabic" w:cs="Traditional Arabic"/>
          <w:rtl/>
        </w:rPr>
        <w:t xml:space="preserve"> و</w:t>
      </w:r>
      <w:r w:rsidR="002F488C">
        <w:rPr>
          <w:rFonts w:ascii="Traditional Arabic" w:hAnsi="Traditional Arabic" w:cs="Traditional Arabic"/>
          <w:rtl/>
        </w:rPr>
        <w:t>"</w:t>
      </w:r>
      <w:r w:rsidRPr="000B50EE">
        <w:rPr>
          <w:rFonts w:ascii="Traditional Arabic" w:hAnsi="Traditional Arabic" w:cs="Traditional Arabic"/>
          <w:rtl/>
        </w:rPr>
        <w:t>مثبطاته</w:t>
      </w:r>
      <w:r w:rsidR="002F488C">
        <w:rPr>
          <w:rFonts w:ascii="Traditional Arabic" w:hAnsi="Traditional Arabic" w:cs="Traditional Arabic"/>
          <w:rtl/>
        </w:rPr>
        <w:t>"</w:t>
      </w:r>
    </w:p>
    <w:p w14:paraId="795E37A1" w14:textId="61F17C53" w:rsidR="000B50EE" w:rsidRPr="000B50EE" w:rsidRDefault="000B50EE" w:rsidP="002F488C">
      <w:pPr>
        <w:bidi/>
        <w:spacing w:after="160" w:line="360" w:lineRule="auto"/>
        <w:divId w:val="1647278641"/>
        <w:rPr>
          <w:rFonts w:ascii="Traditional Arabic" w:hAnsi="Traditional Arabic" w:cs="Traditional Arabic"/>
        </w:rPr>
      </w:pPr>
      <w:r w:rsidRPr="000B50EE">
        <w:rPr>
          <w:rFonts w:ascii="Traditional Arabic" w:hAnsi="Traditional Arabic" w:cs="Traditional Arabic"/>
        </w:rPr>
        <w:t xml:space="preserve"> Ragu-Nathan et al., </w:t>
      </w:r>
      <w:proofErr w:type="gramStart"/>
      <w:r w:rsidRPr="000B50EE">
        <w:rPr>
          <w:rFonts w:ascii="Traditional Arabic" w:hAnsi="Traditional Arabic" w:cs="Traditional Arabic"/>
        </w:rPr>
        <w:t>2008</w:t>
      </w:r>
      <w:r w:rsidR="002F488C">
        <w:rPr>
          <w:rFonts w:ascii="Traditional Arabic" w:hAnsi="Traditional Arabic" w:cs="Traditional Arabic"/>
        </w:rPr>
        <w:t>)</w:t>
      </w:r>
      <w:r w:rsidRPr="000B50EE">
        <w:rPr>
          <w:rFonts w:ascii="Traditional Arabic" w:hAnsi="Traditional Arabic" w:cs="Traditional Arabic"/>
          <w:rtl/>
        </w:rPr>
        <w:t>؛</w:t>
      </w:r>
      <w:proofErr w:type="gramEnd"/>
      <w:r w:rsidRPr="000B50EE">
        <w:rPr>
          <w:rFonts w:ascii="Traditional Arabic" w:hAnsi="Traditional Arabic" w:cs="Traditional Arabic"/>
        </w:rPr>
        <w:t xml:space="preserve"> </w:t>
      </w:r>
      <w:proofErr w:type="spellStart"/>
      <w:r w:rsidRPr="000B50EE">
        <w:rPr>
          <w:rFonts w:ascii="Traditional Arabic" w:hAnsi="Traditional Arabic" w:cs="Traditional Arabic"/>
        </w:rPr>
        <w:t>Tarafdar</w:t>
      </w:r>
      <w:proofErr w:type="spellEnd"/>
      <w:r w:rsidRPr="000B50EE">
        <w:rPr>
          <w:rFonts w:ascii="Traditional Arabic" w:hAnsi="Traditional Arabic" w:cs="Traditional Arabic"/>
        </w:rPr>
        <w:t xml:space="preserve"> et al., 2011</w:t>
      </w:r>
      <w:r w:rsidRPr="000B50EE">
        <w:rPr>
          <w:rFonts w:ascii="Traditional Arabic" w:hAnsi="Traditional Arabic" w:cs="Traditional Arabic"/>
          <w:rtl/>
        </w:rPr>
        <w:t>؛</w:t>
      </w:r>
      <w:r w:rsidR="002F488C">
        <w:rPr>
          <w:rFonts w:ascii="Traditional Arabic" w:hAnsi="Traditional Arabic" w:cs="Traditional Arabic"/>
        </w:rPr>
        <w:t>(</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Ayyagari</w:t>
      </w:r>
      <w:proofErr w:type="spellEnd"/>
      <w:r w:rsidRPr="000B50EE">
        <w:rPr>
          <w:rFonts w:ascii="Traditional Arabic" w:hAnsi="Traditional Arabic" w:cs="Traditional Arabic"/>
        </w:rPr>
        <w:t xml:space="preserve"> et al., 2011.</w:t>
      </w:r>
      <w:r w:rsidR="002F488C">
        <w:rPr>
          <w:rFonts w:ascii="Traditional Arabic" w:hAnsi="Traditional Arabic" w:cs="Traditional Arabic" w:hint="cs"/>
          <w:rtl/>
        </w:rPr>
        <w:t xml:space="preserve"> .</w:t>
      </w:r>
      <w:r w:rsidRPr="000B50EE">
        <w:rPr>
          <w:rFonts w:ascii="Traditional Arabic" w:hAnsi="Traditional Arabic" w:cs="Traditional Arabic"/>
        </w:rPr>
        <w:br/>
      </w:r>
      <w:r w:rsidRPr="000B50EE">
        <w:rPr>
          <w:rFonts w:ascii="Traditional Arabic" w:hAnsi="Traditional Arabic" w:cs="Traditional Arabic"/>
          <w:rtl/>
        </w:rPr>
        <w:t>ويُسند الفصل اختيار أبعاد التحوّل الرقمي المؤسسي عبر عدستين داعمتين: إطار التقنية–المنظمة–البيئة</w:t>
      </w:r>
      <w:r w:rsidRPr="000B50EE">
        <w:rPr>
          <w:rFonts w:ascii="Traditional Arabic" w:hAnsi="Traditional Arabic" w:cs="Traditional Arabic"/>
        </w:rPr>
        <w:t xml:space="preserve"> (TOE) </w:t>
      </w:r>
      <w:r w:rsidRPr="000B50EE">
        <w:rPr>
          <w:rFonts w:ascii="Traditional Arabic" w:hAnsi="Traditional Arabic" w:cs="Traditional Arabic"/>
          <w:rtl/>
        </w:rPr>
        <w:t>لتفسير جاهزية المنظمة وسياقات التبنّي والتنفيذ</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Tornatzky</w:t>
      </w:r>
      <w:proofErr w:type="spellEnd"/>
      <w:r w:rsidRPr="000B50EE">
        <w:rPr>
          <w:rFonts w:ascii="Traditional Arabic" w:hAnsi="Traditional Arabic" w:cs="Traditional Arabic"/>
        </w:rPr>
        <w:t xml:space="preserve"> &amp; Fleischer, 1990</w:t>
      </w:r>
      <w:proofErr w:type="gramStart"/>
      <w:r w:rsidR="002F488C">
        <w:rPr>
          <w:rFonts w:ascii="Traditional Arabic" w:hAnsi="Traditional Arabic" w:cs="Traditional Arabic"/>
        </w:rPr>
        <w:t xml:space="preserve">) </w:t>
      </w:r>
      <w:r w:rsidRPr="000B50EE">
        <w:rPr>
          <w:rFonts w:ascii="Traditional Arabic" w:hAnsi="Traditional Arabic" w:cs="Traditional Arabic"/>
          <w:rtl/>
        </w:rPr>
        <w:t>؛</w:t>
      </w:r>
      <w:proofErr w:type="gramEnd"/>
      <w:r w:rsidRPr="000B50EE">
        <w:rPr>
          <w:rFonts w:ascii="Traditional Arabic" w:hAnsi="Traditional Arabic" w:cs="Traditional Arabic"/>
        </w:rPr>
        <w:t xml:space="preserve"> Oliveira &amp; Martins, 2011</w:t>
      </w:r>
      <w:r w:rsidRPr="000B50EE">
        <w:rPr>
          <w:rFonts w:ascii="Traditional Arabic" w:hAnsi="Traditional Arabic" w:cs="Traditional Arabic"/>
          <w:rtl/>
        </w:rPr>
        <w:t>،</w:t>
      </w:r>
      <w:r w:rsidR="002F488C">
        <w:rPr>
          <w:rFonts w:ascii="Traditional Arabic" w:hAnsi="Traditional Arabic" w:cs="Traditional Arabic" w:hint="cs"/>
          <w:rtl/>
        </w:rPr>
        <w:t xml:space="preserve">) </w:t>
      </w:r>
      <w:r w:rsidRPr="000B50EE">
        <w:rPr>
          <w:rFonts w:ascii="Traditional Arabic" w:hAnsi="Traditional Arabic" w:cs="Traditional Arabic"/>
          <w:rtl/>
        </w:rPr>
        <w:t xml:space="preserve">والمنظور </w:t>
      </w:r>
      <w:proofErr w:type="spellStart"/>
      <w:r w:rsidRPr="000B50EE">
        <w:rPr>
          <w:rFonts w:ascii="Traditional Arabic" w:hAnsi="Traditional Arabic" w:cs="Traditional Arabic"/>
          <w:rtl/>
        </w:rPr>
        <w:t>السوسيوتقني</w:t>
      </w:r>
      <w:proofErr w:type="spellEnd"/>
      <w:r w:rsidRPr="000B50EE">
        <w:rPr>
          <w:rFonts w:ascii="Traditional Arabic" w:hAnsi="Traditional Arabic" w:cs="Traditional Arabic"/>
          <w:rtl/>
        </w:rPr>
        <w:t xml:space="preserve"> لتفسير تفاعل النظام التقني مع النظام الاجتماعي داخل المنظمة</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Sarker</w:t>
      </w:r>
      <w:proofErr w:type="spellEnd"/>
      <w:r w:rsidRPr="000B50EE">
        <w:rPr>
          <w:rFonts w:ascii="Traditional Arabic" w:hAnsi="Traditional Arabic" w:cs="Traditional Arabic"/>
        </w:rPr>
        <w:t xml:space="preserve"> et al., 2019). </w:t>
      </w:r>
      <w:r w:rsidRPr="000B50EE">
        <w:rPr>
          <w:rFonts w:ascii="Traditional Arabic" w:hAnsi="Traditional Arabic" w:cs="Traditional Arabic"/>
          <w:rtl/>
        </w:rPr>
        <w:t>ويُختتم الفصل بتوليف نقدي يحدد الفجوة البحثية في ثلاثة مستويات (نظرية، سياقية/تطبيقية، منهجية) ويربطها بأسئلة الدراسة (س1–س4) وفرضياتها</w:t>
      </w:r>
      <w:r w:rsidRPr="000B50EE">
        <w:rPr>
          <w:rFonts w:ascii="Traditional Arabic" w:hAnsi="Traditional Arabic" w:cs="Traditional Arabic"/>
        </w:rPr>
        <w:t xml:space="preserve"> (H1–H4) </w:t>
      </w:r>
      <w:r w:rsidRPr="000B50EE">
        <w:rPr>
          <w:rFonts w:ascii="Traditional Arabic" w:hAnsi="Traditional Arabic" w:cs="Traditional Arabic"/>
          <w:rtl/>
        </w:rPr>
        <w:t>كما وردت في الخطة المعتمدة</w:t>
      </w:r>
      <w:r w:rsidRPr="000B50EE">
        <w:rPr>
          <w:rFonts w:ascii="Traditional Arabic" w:hAnsi="Traditional Arabic" w:cs="Traditional Arabic"/>
        </w:rPr>
        <w:t>.</w:t>
      </w:r>
    </w:p>
    <w:p w14:paraId="2AA8D45F" w14:textId="77777777" w:rsidR="00DB3C7B" w:rsidRPr="000B50EE" w:rsidRDefault="00DB3C7B" w:rsidP="00EB0259">
      <w:pPr>
        <w:bidi/>
        <w:spacing w:after="160" w:line="360" w:lineRule="auto"/>
        <w:divId w:val="1647278641"/>
        <w:rPr>
          <w:rFonts w:ascii="Traditional Arabic" w:hAnsi="Traditional Arabic" w:cs="Traditional Arabic"/>
          <w:b/>
          <w:bCs/>
          <w:sz w:val="28"/>
          <w:szCs w:val="28"/>
          <w:rtl/>
        </w:rPr>
      </w:pPr>
    </w:p>
    <w:p w14:paraId="0B83B191" w14:textId="2B66CCF9" w:rsidR="00B64312" w:rsidRDefault="00CC426D" w:rsidP="00DB3C7B">
      <w:pPr>
        <w:bidi/>
        <w:spacing w:after="160" w:line="360" w:lineRule="auto"/>
        <w:divId w:val="1647278641"/>
        <w:rPr>
          <w:rFonts w:ascii="Traditional Arabic" w:hAnsi="Traditional Arabic" w:cs="Traditional Arabic"/>
          <w:b/>
          <w:bCs/>
          <w:sz w:val="28"/>
          <w:szCs w:val="28"/>
          <w:rtl/>
        </w:rPr>
      </w:pPr>
      <w:r w:rsidRPr="00DB3C7B">
        <w:rPr>
          <w:rFonts w:ascii="Traditional Arabic" w:hAnsi="Traditional Arabic" w:cs="Traditional Arabic"/>
          <w:b/>
          <w:bCs/>
          <w:sz w:val="28"/>
          <w:szCs w:val="28"/>
          <w:rtl/>
        </w:rPr>
        <w:t xml:space="preserve">2.0 </w:t>
      </w:r>
      <w:r w:rsidR="00B64312" w:rsidRPr="00DB3C7B">
        <w:rPr>
          <w:rFonts w:ascii="Traditional Arabic" w:hAnsi="Traditional Arabic" w:cs="Traditional Arabic"/>
          <w:b/>
          <w:bCs/>
          <w:sz w:val="28"/>
          <w:szCs w:val="28"/>
          <w:rtl/>
        </w:rPr>
        <w:t>مقدمة الفصل الثاني</w:t>
      </w:r>
    </w:p>
    <w:p w14:paraId="0D3BF0C9" w14:textId="59050FB2" w:rsidR="000B50EE" w:rsidRPr="000B50EE" w:rsidRDefault="000B50EE" w:rsidP="000B50EE">
      <w:pPr>
        <w:bidi/>
        <w:spacing w:after="160" w:line="360" w:lineRule="auto"/>
        <w:divId w:val="1647278641"/>
        <w:rPr>
          <w:rFonts w:ascii="Traditional Arabic" w:hAnsi="Traditional Arabic" w:cs="Traditional Arabic"/>
          <w:b/>
          <w:bCs/>
        </w:rPr>
      </w:pPr>
      <w:r>
        <w:rPr>
          <w:rFonts w:ascii="Traditional Arabic" w:hAnsi="Traditional Arabic" w:cs="Traditional Arabic"/>
          <w:b/>
          <w:bCs/>
        </w:rPr>
        <w:t xml:space="preserve"> </w:t>
      </w:r>
      <w:r w:rsidRPr="000B50EE">
        <w:rPr>
          <w:rFonts w:ascii="Traditional Arabic" w:hAnsi="Traditional Arabic" w:cs="Traditional Arabic"/>
          <w:b/>
          <w:bCs/>
        </w:rPr>
        <w:t xml:space="preserve">2.0.1 </w:t>
      </w:r>
      <w:r w:rsidRPr="000B50EE">
        <w:rPr>
          <w:rFonts w:ascii="Traditional Arabic" w:hAnsi="Traditional Arabic" w:cs="Traditional Arabic"/>
          <w:b/>
          <w:bCs/>
          <w:rtl/>
        </w:rPr>
        <w:t>تمهيد منهجي لمراجعة الأدبيات</w:t>
      </w:r>
      <w:r w:rsidRPr="000B50EE">
        <w:rPr>
          <w:rFonts w:ascii="Traditional Arabic" w:hAnsi="Traditional Arabic" w:cs="Traditional Arabic"/>
        </w:rPr>
        <w:br/>
      </w:r>
      <w:r w:rsidRPr="000B50EE">
        <w:rPr>
          <w:rFonts w:ascii="Traditional Arabic" w:hAnsi="Traditional Arabic" w:cs="Traditional Arabic"/>
          <w:rtl/>
        </w:rPr>
        <w:t xml:space="preserve">اعتمدت مراجعة الأدبيات في هذا الفصل نهج </w:t>
      </w:r>
      <w:r w:rsidR="002F488C">
        <w:rPr>
          <w:rFonts w:ascii="Traditional Arabic" w:hAnsi="Traditional Arabic" w:cs="Traditional Arabic"/>
          <w:rtl/>
        </w:rPr>
        <w:t>"</w:t>
      </w:r>
      <w:r w:rsidRPr="000B50EE">
        <w:rPr>
          <w:rFonts w:ascii="Traditional Arabic" w:hAnsi="Traditional Arabic" w:cs="Traditional Arabic"/>
          <w:rtl/>
        </w:rPr>
        <w:t>المراجعة التحليلية السردية</w:t>
      </w:r>
      <w:r w:rsidR="002F488C">
        <w:rPr>
          <w:rFonts w:ascii="Traditional Arabic" w:hAnsi="Traditional Arabic" w:cs="Traditional Arabic"/>
          <w:rtl/>
        </w:rPr>
        <w:t>"</w:t>
      </w:r>
      <w:r w:rsidRPr="000B50EE">
        <w:rPr>
          <w:rFonts w:ascii="Traditional Arabic" w:hAnsi="Traditional Arabic" w:cs="Traditional Arabic"/>
        </w:rPr>
        <w:t xml:space="preserve"> (Analytical Narrative Review) </w:t>
      </w:r>
      <w:r w:rsidRPr="000B50EE">
        <w:rPr>
          <w:rFonts w:ascii="Traditional Arabic" w:hAnsi="Traditional Arabic" w:cs="Traditional Arabic"/>
          <w:rtl/>
        </w:rPr>
        <w:t>المدعومة باشتراطات انتقائية للتوثيق والتحقق؛ بهدف بناء إطار نظري متماسك وتوليف نتائج الدراسات السابقة للوصول إلى الفجوة البحثية وربطها بأسئلة الدراسة وفرضياتها. وتم البحث عن الأدبيات في قواعد بيانات ودوريات علمية متخصصة قدر الإمكان</w:t>
      </w:r>
      <w:r w:rsidR="002F488C">
        <w:rPr>
          <w:rFonts w:ascii="Traditional Arabic" w:hAnsi="Traditional Arabic" w:cs="Traditional Arabic"/>
        </w:rPr>
        <w:t xml:space="preserve"> </w:t>
      </w:r>
      <w:r w:rsidRPr="000B50EE">
        <w:rPr>
          <w:rFonts w:ascii="Traditional Arabic" w:hAnsi="Traditional Arabic" w:cs="Traditional Arabic"/>
          <w:rtl/>
        </w:rPr>
        <w:t>مثل</w:t>
      </w:r>
      <w:r w:rsidRPr="000B50EE">
        <w:rPr>
          <w:rFonts w:ascii="Traditional Arabic" w:hAnsi="Traditional Arabic" w:cs="Traditional Arabic"/>
        </w:rPr>
        <w:t>: Scopus</w:t>
      </w:r>
      <w:proofErr w:type="gramStart"/>
      <w:r w:rsidR="002F488C">
        <w:rPr>
          <w:rFonts w:ascii="Traditional Arabic" w:hAnsi="Traditional Arabic" w:cs="Traditional Arabic"/>
        </w:rPr>
        <w:t xml:space="preserve">) </w:t>
      </w:r>
      <w:r w:rsidRPr="000B50EE">
        <w:rPr>
          <w:rFonts w:ascii="Traditional Arabic" w:hAnsi="Traditional Arabic" w:cs="Traditional Arabic"/>
          <w:rtl/>
        </w:rPr>
        <w:t>،</w:t>
      </w:r>
      <w:proofErr w:type="gramEnd"/>
      <w:r w:rsidRPr="000B50EE">
        <w:rPr>
          <w:rFonts w:ascii="Traditional Arabic" w:hAnsi="Traditional Arabic" w:cs="Traditional Arabic"/>
          <w:rtl/>
        </w:rPr>
        <w:t xml:space="preserve"> </w:t>
      </w:r>
      <w:r w:rsidRPr="000B50EE">
        <w:rPr>
          <w:rFonts w:ascii="Traditional Arabic" w:hAnsi="Traditional Arabic" w:cs="Traditional Arabic"/>
        </w:rPr>
        <w:t>Web of Science</w:t>
      </w:r>
      <w:r w:rsidRPr="000B50EE">
        <w:rPr>
          <w:rFonts w:ascii="Traditional Arabic" w:hAnsi="Traditional Arabic" w:cs="Traditional Arabic"/>
          <w:rtl/>
        </w:rPr>
        <w:t xml:space="preserve">، </w:t>
      </w:r>
      <w:r w:rsidRPr="000B50EE">
        <w:rPr>
          <w:rFonts w:ascii="Traditional Arabic" w:hAnsi="Traditional Arabic" w:cs="Traditional Arabic"/>
        </w:rPr>
        <w:t>ScienceDirect</w:t>
      </w:r>
      <w:r w:rsidRPr="000B50EE">
        <w:rPr>
          <w:rFonts w:ascii="Traditional Arabic" w:hAnsi="Traditional Arabic" w:cs="Traditional Arabic"/>
          <w:rtl/>
        </w:rPr>
        <w:t xml:space="preserve">، </w:t>
      </w:r>
      <w:r w:rsidRPr="000B50EE">
        <w:rPr>
          <w:rFonts w:ascii="Traditional Arabic" w:hAnsi="Traditional Arabic" w:cs="Traditional Arabic"/>
        </w:rPr>
        <w:t>SpringerLink</w:t>
      </w:r>
      <w:r w:rsidRPr="000B50EE">
        <w:rPr>
          <w:rFonts w:ascii="Traditional Arabic" w:hAnsi="Traditional Arabic" w:cs="Traditional Arabic"/>
          <w:rtl/>
        </w:rPr>
        <w:t xml:space="preserve">، </w:t>
      </w:r>
      <w:r w:rsidRPr="000B50EE">
        <w:rPr>
          <w:rFonts w:ascii="Traditional Arabic" w:hAnsi="Traditional Arabic" w:cs="Traditional Arabic"/>
        </w:rPr>
        <w:t xml:space="preserve">AIS </w:t>
      </w:r>
      <w:proofErr w:type="spellStart"/>
      <w:r w:rsidRPr="000B50EE">
        <w:rPr>
          <w:rFonts w:ascii="Traditional Arabic" w:hAnsi="Traditional Arabic" w:cs="Traditional Arabic"/>
        </w:rPr>
        <w:t>eLibrary</w:t>
      </w:r>
      <w:proofErr w:type="spellEnd"/>
      <w:r w:rsidRPr="000B50EE">
        <w:rPr>
          <w:rFonts w:ascii="Traditional Arabic" w:hAnsi="Traditional Arabic" w:cs="Traditional Arabic"/>
          <w:rtl/>
        </w:rPr>
        <w:t xml:space="preserve">، </w:t>
      </w:r>
      <w:r w:rsidR="002F488C">
        <w:rPr>
          <w:rFonts w:ascii="Traditional Arabic" w:hAnsi="Traditional Arabic" w:cs="Traditional Arabic"/>
        </w:rPr>
        <w:t xml:space="preserve">   </w:t>
      </w:r>
      <w:r w:rsidR="002F488C">
        <w:rPr>
          <w:rFonts w:ascii="Traditional Arabic" w:hAnsi="Traditional Arabic" w:cs="Traditional Arabic"/>
        </w:rPr>
        <w:lastRenderedPageBreak/>
        <w:t>(</w:t>
      </w:r>
      <w:r w:rsidRPr="000B50EE">
        <w:rPr>
          <w:rFonts w:ascii="Traditional Arabic" w:hAnsi="Traditional Arabic" w:cs="Traditional Arabic"/>
        </w:rPr>
        <w:t xml:space="preserve">Google Scholar </w:t>
      </w:r>
      <w:r w:rsidR="00B04E3B">
        <w:rPr>
          <w:rFonts w:ascii="Traditional Arabic" w:hAnsi="Traditional Arabic" w:cs="Traditional Arabic" w:hint="cs"/>
          <w:rtl/>
        </w:rPr>
        <w:t xml:space="preserve"> </w:t>
      </w:r>
      <w:r w:rsidRPr="000B50EE">
        <w:rPr>
          <w:rFonts w:ascii="Traditional Arabic" w:hAnsi="Traditional Arabic" w:cs="Traditional Arabic"/>
          <w:rtl/>
        </w:rPr>
        <w:t>إضافة إلى مصادر رسمية وتقارير داعمة للسياق السعودي عند الاستشهاد بها</w:t>
      </w:r>
      <w:r w:rsidRPr="000B50EE">
        <w:rPr>
          <w:rFonts w:ascii="Traditional Arabic" w:hAnsi="Traditional Arabic" w:cs="Traditional Arabic"/>
        </w:rPr>
        <w:t xml:space="preserve"> </w:t>
      </w:r>
      <w:r w:rsidRPr="000B50EE">
        <w:rPr>
          <w:rFonts w:ascii="Traditional Arabic" w:hAnsi="Traditional Arabic" w:cs="Traditional Arabic"/>
          <w:rtl/>
        </w:rPr>
        <w:t>مثل تقارير</w:t>
      </w:r>
      <w:r w:rsidRPr="000B50EE">
        <w:rPr>
          <w:rFonts w:ascii="Traditional Arabic" w:hAnsi="Traditional Arabic" w:cs="Traditional Arabic"/>
        </w:rPr>
        <w:t xml:space="preserve"> Digital</w:t>
      </w:r>
      <w:r w:rsidR="00B04E3B">
        <w:rPr>
          <w:rFonts w:ascii="Traditional Arabic" w:hAnsi="Traditional Arabic" w:cs="Traditional Arabic"/>
        </w:rPr>
        <w:t>)</w:t>
      </w:r>
      <w:r w:rsidRPr="000B50EE">
        <w:rPr>
          <w:rFonts w:ascii="Traditional Arabic" w:hAnsi="Traditional Arabic" w:cs="Traditional Arabic"/>
        </w:rPr>
        <w:t xml:space="preserve"> </w:t>
      </w:r>
      <w:r w:rsidR="00B04E3B">
        <w:rPr>
          <w:rFonts w:ascii="Traditional Arabic" w:hAnsi="Traditional Arabic" w:cs="Traditional Arabic"/>
        </w:rPr>
        <w:t xml:space="preserve"> (</w:t>
      </w:r>
      <w:r w:rsidRPr="000B50EE">
        <w:rPr>
          <w:rFonts w:ascii="Traditional Arabic" w:hAnsi="Traditional Arabic" w:cs="Traditional Arabic"/>
        </w:rPr>
        <w:t xml:space="preserve">Government Authority [DGA] </w:t>
      </w:r>
      <w:r w:rsidR="00B04E3B">
        <w:rPr>
          <w:rFonts w:ascii="Traditional Arabic" w:hAnsi="Traditional Arabic" w:cs="Traditional Arabic" w:hint="cs"/>
          <w:rtl/>
        </w:rPr>
        <w:t xml:space="preserve"> </w:t>
      </w:r>
      <w:r w:rsidRPr="000B50EE">
        <w:rPr>
          <w:rFonts w:ascii="Traditional Arabic" w:hAnsi="Traditional Arabic" w:cs="Traditional Arabic"/>
          <w:rtl/>
        </w:rPr>
        <w:t>وتقارير</w:t>
      </w:r>
      <w:r w:rsidRPr="000B50EE">
        <w:rPr>
          <w:rFonts w:ascii="Traditional Arabic" w:hAnsi="Traditional Arabic" w:cs="Traditional Arabic"/>
        </w:rPr>
        <w:t xml:space="preserve"> </w:t>
      </w:r>
      <w:r w:rsidR="00B04E3B">
        <w:rPr>
          <w:rFonts w:ascii="Traditional Arabic" w:hAnsi="Traditional Arabic" w:cs="Traditional Arabic"/>
        </w:rPr>
        <w:t>(</w:t>
      </w:r>
      <w:r w:rsidRPr="000B50EE">
        <w:rPr>
          <w:rFonts w:ascii="Traditional Arabic" w:hAnsi="Traditional Arabic" w:cs="Traditional Arabic"/>
        </w:rPr>
        <w:t xml:space="preserve">World Bank) </w:t>
      </w:r>
      <w:r w:rsidRPr="000B50EE">
        <w:rPr>
          <w:rFonts w:ascii="Traditional Arabic" w:hAnsi="Traditional Arabic" w:cs="Traditional Arabic"/>
          <w:rtl/>
        </w:rPr>
        <w:t xml:space="preserve">بيانات محددة لقواعد البيانات المستخدَمة فعليًا: </w:t>
      </w:r>
    </w:p>
    <w:p w14:paraId="4F9118E6" w14:textId="0F977A94" w:rsidR="000B50EE" w:rsidRPr="000B50EE" w:rsidRDefault="000B50EE" w:rsidP="000B50EE">
      <w:pPr>
        <w:bidi/>
        <w:spacing w:after="160" w:line="360" w:lineRule="auto"/>
        <w:divId w:val="1647278641"/>
        <w:rPr>
          <w:rFonts w:ascii="Traditional Arabic" w:hAnsi="Traditional Arabic" w:cs="Traditional Arabic"/>
        </w:rPr>
      </w:pPr>
      <w:r w:rsidRPr="000B50EE">
        <w:rPr>
          <w:rFonts w:ascii="Traditional Arabic" w:hAnsi="Traditional Arabic" w:cs="Traditional Arabic"/>
          <w:rtl/>
        </w:rPr>
        <w:t>واستُخدمت كلمات مفتاحية عربية وإنجليزية ترتبط بمتغيرات النموذج ومساراته، ومن أمثلتها</w:t>
      </w:r>
      <w:r w:rsidRPr="000B50EE">
        <w:rPr>
          <w:rFonts w:ascii="Traditional Arabic" w:hAnsi="Traditional Arabic" w:cs="Traditional Arabic"/>
        </w:rPr>
        <w:t>:</w:t>
      </w:r>
      <w:r w:rsidRPr="000B50EE">
        <w:rPr>
          <w:rFonts w:ascii="Traditional Arabic" w:hAnsi="Traditional Arabic" w:cs="Traditional Arabic"/>
        </w:rPr>
        <w:br/>
      </w:r>
      <w:r w:rsidRPr="000B50EE">
        <w:rPr>
          <w:rFonts w:ascii="Traditional Arabic" w:hAnsi="Traditional Arabic" w:cs="Traditional Arabic"/>
          <w:rtl/>
        </w:rPr>
        <w:t xml:space="preserve">التحوّل الرقمي المؤسسي، التحول الرقمي الحكومي، التحول الرقمي للعمليات </w:t>
      </w:r>
      <w:proofErr w:type="gramStart"/>
      <w:r w:rsidRPr="000B50EE">
        <w:rPr>
          <w:rFonts w:ascii="Traditional Arabic" w:hAnsi="Traditional Arabic" w:cs="Traditional Arabic"/>
          <w:rtl/>
        </w:rPr>
        <w:t>الداخلية،</w:t>
      </w:r>
      <w:r w:rsidR="00B04E3B">
        <w:rPr>
          <w:rFonts w:ascii="Traditional Arabic" w:hAnsi="Traditional Arabic" w:cs="Traditional Arabic" w:hint="cs"/>
          <w:rtl/>
        </w:rPr>
        <w:t>(</w:t>
      </w:r>
      <w:proofErr w:type="gramEnd"/>
      <w:r w:rsidRPr="000B50EE">
        <w:rPr>
          <w:rFonts w:ascii="Traditional Arabic" w:hAnsi="Traditional Arabic" w:cs="Traditional Arabic"/>
          <w:rtl/>
        </w:rPr>
        <w:t xml:space="preserve"> </w:t>
      </w:r>
      <w:r w:rsidRPr="000B50EE">
        <w:rPr>
          <w:rFonts w:ascii="Traditional Arabic" w:hAnsi="Traditional Arabic" w:cs="Traditional Arabic"/>
        </w:rPr>
        <w:t>Institutional Digital Transformation</w:t>
      </w:r>
      <w:r w:rsidRPr="000B50EE">
        <w:rPr>
          <w:rFonts w:ascii="Traditional Arabic" w:hAnsi="Traditional Arabic" w:cs="Traditional Arabic"/>
          <w:rtl/>
        </w:rPr>
        <w:t xml:space="preserve">، </w:t>
      </w:r>
      <w:r w:rsidRPr="000B50EE">
        <w:rPr>
          <w:rFonts w:ascii="Traditional Arabic" w:hAnsi="Traditional Arabic" w:cs="Traditional Arabic"/>
        </w:rPr>
        <w:t>Digital transformation in public sector</w:t>
      </w:r>
      <w:r w:rsidRPr="000B50EE">
        <w:rPr>
          <w:rFonts w:ascii="Traditional Arabic" w:hAnsi="Traditional Arabic" w:cs="Traditional Arabic"/>
          <w:rtl/>
        </w:rPr>
        <w:t xml:space="preserve">، </w:t>
      </w:r>
      <w:r w:rsidRPr="000B50EE">
        <w:rPr>
          <w:rFonts w:ascii="Traditional Arabic" w:hAnsi="Traditional Arabic" w:cs="Traditional Arabic"/>
        </w:rPr>
        <w:t>Job satisfaction/Employee satisfaction</w:t>
      </w:r>
      <w:r w:rsidRPr="000B50EE">
        <w:rPr>
          <w:rFonts w:ascii="Traditional Arabic" w:hAnsi="Traditional Arabic" w:cs="Traditional Arabic"/>
          <w:rtl/>
        </w:rPr>
        <w:t xml:space="preserve">، </w:t>
      </w:r>
      <w:r w:rsidRPr="000B50EE">
        <w:rPr>
          <w:rFonts w:ascii="Traditional Arabic" w:hAnsi="Traditional Arabic" w:cs="Traditional Arabic"/>
        </w:rPr>
        <w:t>Technology Acceptance Model (TAM)</w:t>
      </w:r>
      <w:r w:rsidRPr="000B50EE">
        <w:rPr>
          <w:rFonts w:ascii="Traditional Arabic" w:hAnsi="Traditional Arabic" w:cs="Traditional Arabic"/>
          <w:rtl/>
        </w:rPr>
        <w:t xml:space="preserve">، </w:t>
      </w:r>
      <w:r w:rsidRPr="000B50EE">
        <w:rPr>
          <w:rFonts w:ascii="Traditional Arabic" w:hAnsi="Traditional Arabic" w:cs="Traditional Arabic"/>
        </w:rPr>
        <w:t>Perceived Usefulness</w:t>
      </w:r>
      <w:r w:rsidRPr="000B50EE">
        <w:rPr>
          <w:rFonts w:ascii="Traditional Arabic" w:hAnsi="Traditional Arabic" w:cs="Traditional Arabic"/>
          <w:rtl/>
        </w:rPr>
        <w:t xml:space="preserve">، </w:t>
      </w:r>
      <w:r w:rsidRPr="000B50EE">
        <w:rPr>
          <w:rFonts w:ascii="Traditional Arabic" w:hAnsi="Traditional Arabic" w:cs="Traditional Arabic"/>
        </w:rPr>
        <w:t>Perceived Ease of Use</w:t>
      </w:r>
      <w:r w:rsidRPr="000B50EE">
        <w:rPr>
          <w:rFonts w:ascii="Traditional Arabic" w:hAnsi="Traditional Arabic" w:cs="Traditional Arabic"/>
          <w:rtl/>
        </w:rPr>
        <w:t xml:space="preserve">، </w:t>
      </w:r>
      <w:r w:rsidRPr="000B50EE">
        <w:rPr>
          <w:rFonts w:ascii="Traditional Arabic" w:hAnsi="Traditional Arabic" w:cs="Traditional Arabic"/>
        </w:rPr>
        <w:t>Technostress</w:t>
      </w:r>
      <w:r w:rsidRPr="000B50EE">
        <w:rPr>
          <w:rFonts w:ascii="Traditional Arabic" w:hAnsi="Traditional Arabic" w:cs="Traditional Arabic"/>
          <w:rtl/>
        </w:rPr>
        <w:t xml:space="preserve">، </w:t>
      </w:r>
      <w:r w:rsidRPr="000B50EE">
        <w:rPr>
          <w:rFonts w:ascii="Traditional Arabic" w:hAnsi="Traditional Arabic" w:cs="Traditional Arabic"/>
        </w:rPr>
        <w:t>Techno-overload</w:t>
      </w:r>
      <w:r w:rsidRPr="000B50EE">
        <w:rPr>
          <w:rFonts w:ascii="Traditional Arabic" w:hAnsi="Traditional Arabic" w:cs="Traditional Arabic"/>
          <w:rtl/>
        </w:rPr>
        <w:t xml:space="preserve">، </w:t>
      </w:r>
      <w:r w:rsidRPr="000B50EE">
        <w:rPr>
          <w:rFonts w:ascii="Traditional Arabic" w:hAnsi="Traditional Arabic" w:cs="Traditional Arabic"/>
        </w:rPr>
        <w:t>Techno-invasion</w:t>
      </w:r>
      <w:r w:rsidRPr="000B50EE">
        <w:rPr>
          <w:rFonts w:ascii="Traditional Arabic" w:hAnsi="Traditional Arabic" w:cs="Traditional Arabic"/>
          <w:rtl/>
        </w:rPr>
        <w:t xml:space="preserve">، </w:t>
      </w:r>
      <w:r w:rsidRPr="000B50EE">
        <w:rPr>
          <w:rFonts w:ascii="Traditional Arabic" w:hAnsi="Traditional Arabic" w:cs="Traditional Arabic"/>
        </w:rPr>
        <w:t>Techno-complexity</w:t>
      </w:r>
      <w:r w:rsidRPr="000B50EE">
        <w:rPr>
          <w:rFonts w:ascii="Traditional Arabic" w:hAnsi="Traditional Arabic" w:cs="Traditional Arabic"/>
          <w:rtl/>
        </w:rPr>
        <w:t xml:space="preserve">، </w:t>
      </w:r>
      <w:r w:rsidRPr="000B50EE">
        <w:rPr>
          <w:rFonts w:ascii="Traditional Arabic" w:hAnsi="Traditional Arabic" w:cs="Traditional Arabic"/>
        </w:rPr>
        <w:t>Techno-uncertainty</w:t>
      </w:r>
      <w:r w:rsidRPr="000B50EE">
        <w:rPr>
          <w:rFonts w:ascii="Traditional Arabic" w:hAnsi="Traditional Arabic" w:cs="Traditional Arabic"/>
          <w:rtl/>
        </w:rPr>
        <w:t xml:space="preserve">، </w:t>
      </w:r>
      <w:r w:rsidRPr="000B50EE">
        <w:rPr>
          <w:rFonts w:ascii="Traditional Arabic" w:hAnsi="Traditional Arabic" w:cs="Traditional Arabic"/>
        </w:rPr>
        <w:t>TOE framework</w:t>
      </w:r>
      <w:r w:rsidRPr="000B50EE">
        <w:rPr>
          <w:rFonts w:ascii="Traditional Arabic" w:hAnsi="Traditional Arabic" w:cs="Traditional Arabic"/>
          <w:rtl/>
        </w:rPr>
        <w:t xml:space="preserve">، </w:t>
      </w:r>
      <w:r w:rsidRPr="000B50EE">
        <w:rPr>
          <w:rFonts w:ascii="Traditional Arabic" w:hAnsi="Traditional Arabic" w:cs="Traditional Arabic"/>
        </w:rPr>
        <w:t>Sociotechnical perspective.</w:t>
      </w:r>
      <w:r w:rsidR="00B04E3B">
        <w:rPr>
          <w:rFonts w:ascii="Traditional Arabic" w:hAnsi="Traditional Arabic" w:cs="Traditional Arabic" w:hint="cs"/>
          <w:rtl/>
        </w:rPr>
        <w:t xml:space="preserve"> )</w:t>
      </w:r>
    </w:p>
    <w:p w14:paraId="0C750D25" w14:textId="3714F1AC" w:rsidR="000B50EE" w:rsidRPr="000B50EE" w:rsidRDefault="000B50EE" w:rsidP="000B50EE">
      <w:pPr>
        <w:bidi/>
        <w:spacing w:after="160" w:line="360" w:lineRule="auto"/>
        <w:divId w:val="1647278641"/>
        <w:rPr>
          <w:rFonts w:ascii="Traditional Arabic" w:hAnsi="Traditional Arabic" w:cs="Traditional Arabic" w:hint="cs"/>
          <w:rtl/>
        </w:rPr>
      </w:pPr>
      <w:r w:rsidRPr="000B50EE">
        <w:rPr>
          <w:rFonts w:ascii="Traditional Arabic" w:hAnsi="Traditional Arabic" w:cs="Traditional Arabic"/>
          <w:rtl/>
        </w:rPr>
        <w:t xml:space="preserve">وتم اعتماد نافذة زمنية للدراسات الحديثة (2019–2026) لالتقاط تطور الأدبيات المعاصرة في التحول الرقمي والجانب </w:t>
      </w:r>
      <w:r w:rsidR="002F488C">
        <w:rPr>
          <w:rFonts w:ascii="Traditional Arabic" w:hAnsi="Traditional Arabic" w:cs="Traditional Arabic"/>
          <w:rtl/>
        </w:rPr>
        <w:t>"</w:t>
      </w:r>
      <w:r w:rsidRPr="000B50EE">
        <w:rPr>
          <w:rFonts w:ascii="Traditional Arabic" w:hAnsi="Traditional Arabic" w:cs="Traditional Arabic"/>
          <w:rtl/>
        </w:rPr>
        <w:t>المضيء/المظلم</w:t>
      </w:r>
      <w:r w:rsidR="002F488C">
        <w:rPr>
          <w:rFonts w:ascii="Traditional Arabic" w:hAnsi="Traditional Arabic" w:cs="Traditional Arabic"/>
          <w:rtl/>
        </w:rPr>
        <w:t>"</w:t>
      </w:r>
      <w:r w:rsidRPr="000B50EE">
        <w:rPr>
          <w:rFonts w:ascii="Traditional Arabic" w:hAnsi="Traditional Arabic" w:cs="Traditional Arabic"/>
          <w:rtl/>
        </w:rPr>
        <w:t xml:space="preserve"> للتقنية، مع الاستثناء المقصود للمراجع التأسيسية اللازمة لتأصيل المفاهيم وأدوات </w:t>
      </w:r>
      <w:proofErr w:type="gramStart"/>
      <w:r w:rsidRPr="000B50EE">
        <w:rPr>
          <w:rFonts w:ascii="Traditional Arabic" w:hAnsi="Traditional Arabic" w:cs="Traditional Arabic"/>
          <w:rtl/>
        </w:rPr>
        <w:t>القياس</w:t>
      </w:r>
      <w:r w:rsidR="00B04E3B">
        <w:rPr>
          <w:rFonts w:ascii="Traditional Arabic" w:hAnsi="Traditional Arabic" w:cs="Traditional Arabic" w:hint="cs"/>
          <w:rtl/>
        </w:rPr>
        <w:t xml:space="preserve"> </w:t>
      </w:r>
      <w:r w:rsidRPr="000B50EE">
        <w:rPr>
          <w:rFonts w:ascii="Traditional Arabic" w:hAnsi="Traditional Arabic" w:cs="Traditional Arabic"/>
          <w:rtl/>
        </w:rPr>
        <w:t xml:space="preserve"> (</w:t>
      </w:r>
      <w:proofErr w:type="gramEnd"/>
      <w:r w:rsidRPr="000B50EE">
        <w:rPr>
          <w:rFonts w:ascii="Traditional Arabic" w:hAnsi="Traditional Arabic" w:cs="Traditional Arabic"/>
        </w:rPr>
        <w:t>: Davis, 1989</w:t>
      </w:r>
      <w:r w:rsidRPr="000B50EE">
        <w:rPr>
          <w:rFonts w:ascii="Traditional Arabic" w:hAnsi="Traditional Arabic" w:cs="Traditional Arabic"/>
          <w:rtl/>
        </w:rPr>
        <w:t>؛</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DeLone</w:t>
      </w:r>
      <w:proofErr w:type="spellEnd"/>
      <w:r w:rsidRPr="000B50EE">
        <w:rPr>
          <w:rFonts w:ascii="Traditional Arabic" w:hAnsi="Traditional Arabic" w:cs="Traditional Arabic"/>
        </w:rPr>
        <w:t xml:space="preserve"> &amp; McLean, 2003</w:t>
      </w:r>
      <w:r w:rsidRPr="000B50EE">
        <w:rPr>
          <w:rFonts w:ascii="Traditional Arabic" w:hAnsi="Traditional Arabic" w:cs="Traditional Arabic"/>
          <w:rtl/>
        </w:rPr>
        <w:t>؛</w:t>
      </w:r>
      <w:r w:rsidRPr="000B50EE">
        <w:rPr>
          <w:rFonts w:ascii="Traditional Arabic" w:hAnsi="Traditional Arabic" w:cs="Traditional Arabic"/>
        </w:rPr>
        <w:t xml:space="preserve"> Venkatesh et al., 2003</w:t>
      </w:r>
      <w:r w:rsidRPr="000B50EE">
        <w:rPr>
          <w:rFonts w:ascii="Traditional Arabic" w:hAnsi="Traditional Arabic" w:cs="Traditional Arabic"/>
          <w:rtl/>
        </w:rPr>
        <w:t>؛</w:t>
      </w:r>
      <w:r w:rsidRPr="000B50EE">
        <w:rPr>
          <w:rFonts w:ascii="Traditional Arabic" w:hAnsi="Traditional Arabic" w:cs="Traditional Arabic"/>
        </w:rPr>
        <w:t xml:space="preserve"> Locke, 1976</w:t>
      </w:r>
      <w:r w:rsidRPr="000B50EE">
        <w:rPr>
          <w:rFonts w:ascii="Traditional Arabic" w:hAnsi="Traditional Arabic" w:cs="Traditional Arabic"/>
          <w:rtl/>
        </w:rPr>
        <w:t>؛</w:t>
      </w:r>
      <w:r w:rsidRPr="000B50EE">
        <w:rPr>
          <w:rFonts w:ascii="Traditional Arabic" w:hAnsi="Traditional Arabic" w:cs="Traditional Arabic"/>
        </w:rPr>
        <w:t xml:space="preserve"> Weiss, 2002</w:t>
      </w:r>
      <w:r w:rsidRPr="000B50EE">
        <w:rPr>
          <w:rFonts w:ascii="Traditional Arabic" w:hAnsi="Traditional Arabic" w:cs="Traditional Arabic"/>
          <w:rtl/>
        </w:rPr>
        <w:t>؛</w:t>
      </w:r>
      <w:r w:rsidRPr="000B50EE">
        <w:rPr>
          <w:rFonts w:ascii="Traditional Arabic" w:hAnsi="Traditional Arabic" w:cs="Traditional Arabic"/>
        </w:rPr>
        <w:t xml:space="preserve"> Ragu-Nathan et al., 2008</w:t>
      </w:r>
      <w:r w:rsidRPr="000B50EE">
        <w:rPr>
          <w:rFonts w:ascii="Traditional Arabic" w:hAnsi="Traditional Arabic" w:cs="Traditional Arabic"/>
          <w:rtl/>
        </w:rPr>
        <w:t>؛</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Tornatzky</w:t>
      </w:r>
      <w:proofErr w:type="spellEnd"/>
      <w:r w:rsidRPr="000B50EE">
        <w:rPr>
          <w:rFonts w:ascii="Traditional Arabic" w:hAnsi="Traditional Arabic" w:cs="Traditional Arabic"/>
        </w:rPr>
        <w:t xml:space="preserve"> &amp; Fleischer, 1990.</w:t>
      </w:r>
      <w:r w:rsidR="00B04E3B">
        <w:rPr>
          <w:rFonts w:ascii="Traditional Arabic" w:hAnsi="Traditional Arabic" w:cs="Traditional Arabic" w:hint="cs"/>
          <w:rtl/>
        </w:rPr>
        <w:t>).</w:t>
      </w:r>
    </w:p>
    <w:p w14:paraId="0185F2E7" w14:textId="31F6E48D" w:rsidR="000B50EE" w:rsidRPr="000B50EE" w:rsidRDefault="000B50EE" w:rsidP="000B50EE">
      <w:pPr>
        <w:bidi/>
        <w:spacing w:after="160" w:line="360" w:lineRule="auto"/>
        <w:divId w:val="1647278641"/>
        <w:rPr>
          <w:rFonts w:ascii="Traditional Arabic" w:hAnsi="Traditional Arabic" w:cs="Traditional Arabic"/>
        </w:rPr>
      </w:pPr>
      <w:r w:rsidRPr="000B50EE">
        <w:rPr>
          <w:rFonts w:ascii="Traditional Arabic" w:hAnsi="Traditional Arabic" w:cs="Traditional Arabic"/>
          <w:rtl/>
        </w:rPr>
        <w:t>وشملت معايير الإدراج ما يلي: (1) الارتباط المباشر بمتغيرات الدراسة أو بآلياتها</w:t>
      </w:r>
      <w:r w:rsidRPr="000B50EE">
        <w:rPr>
          <w:rFonts w:ascii="Traditional Arabic" w:hAnsi="Traditional Arabic" w:cs="Traditional Arabic"/>
        </w:rPr>
        <w:t xml:space="preserve"> (DTD </w:t>
      </w:r>
      <w:r w:rsidRPr="000B50EE">
        <w:t>→</w:t>
      </w:r>
      <w:r w:rsidRPr="000B50EE">
        <w:rPr>
          <w:rFonts w:ascii="Traditional Arabic" w:hAnsi="Traditional Arabic" w:cs="Traditional Arabic"/>
        </w:rPr>
        <w:t xml:space="preserve"> TAM/</w:t>
      </w:r>
      <w:proofErr w:type="gramStart"/>
      <w:r w:rsidRPr="000B50EE">
        <w:rPr>
          <w:rFonts w:ascii="Traditional Arabic" w:hAnsi="Traditional Arabic" w:cs="Traditional Arabic"/>
        </w:rPr>
        <w:t xml:space="preserve">Technostress </w:t>
      </w:r>
      <w:r w:rsidR="00B04E3B">
        <w:t xml:space="preserve"> </w:t>
      </w:r>
      <w:r w:rsidRPr="000B50EE">
        <w:t>→</w:t>
      </w:r>
      <w:proofErr w:type="gramEnd"/>
      <w:r w:rsidRPr="000B50EE">
        <w:rPr>
          <w:rFonts w:ascii="Traditional Arabic" w:hAnsi="Traditional Arabic" w:cs="Traditional Arabic"/>
        </w:rPr>
        <w:t xml:space="preserve"> JS) </w:t>
      </w:r>
      <w:r w:rsidRPr="000B50EE">
        <w:rPr>
          <w:rFonts w:ascii="Traditional Arabic" w:hAnsi="Traditional Arabic" w:cs="Traditional Arabic"/>
          <w:rtl/>
        </w:rPr>
        <w:t>أو بالأطر المفسرة لها، (2) نشر علمي محكّم أو عبر ناشر أكاديمي معروف، (3) وضوح منهجي في التصميم والعينة/الأداة والنتائج، (4) ملاءمة سياق الدراسة (القطاع العام) أو قابلية الاستئناس به. أما معايير الاستبعاد فشملت: (1) التكرار، (2) الدراسات التي تركز حصريًا على رضا المستفيد الخارجي دون الموظف الداخلي إذا لم تخدم منطق الفجوة، (3) غياب معلومات منهجية أساسية (حجم عينة/أسلوب تحليل) بصورة تجعل الاستنتاج غير قابل للتقييم، (4) مقالات الرأي غير المدعومة بنتائج</w:t>
      </w:r>
      <w:r w:rsidRPr="000B50EE">
        <w:rPr>
          <w:rFonts w:ascii="Traditional Arabic" w:hAnsi="Traditional Arabic" w:cs="Traditional Arabic"/>
        </w:rPr>
        <w:t>.</w:t>
      </w:r>
    </w:p>
    <w:p w14:paraId="0AC42CB6" w14:textId="2AC10812" w:rsidR="000B50EE" w:rsidRDefault="000B50EE" w:rsidP="000B50EE">
      <w:pPr>
        <w:bidi/>
        <w:spacing w:after="160" w:line="360" w:lineRule="auto"/>
        <w:divId w:val="1647278641"/>
        <w:rPr>
          <w:rFonts w:ascii="Traditional Arabic" w:hAnsi="Traditional Arabic" w:cs="Traditional Arabic"/>
          <w:rtl/>
        </w:rPr>
      </w:pPr>
      <w:r w:rsidRPr="000B50EE">
        <w:rPr>
          <w:rFonts w:ascii="Traditional Arabic" w:hAnsi="Traditional Arabic" w:cs="Traditional Arabic"/>
          <w:rtl/>
        </w:rPr>
        <w:t xml:space="preserve">وعُرضت الأدبيات داخل هذا الفصل وفق التنظيم الآتي: (أ) الإطار النظري لمفاهيم المتغيرات ونماذج تفسير العلاقات (2.1)، ثم (ب) الدراسات السابقة مرتبة حسب متغيرات النموذج (مستقل </w:t>
      </w:r>
      <w:r w:rsidRPr="000B50EE">
        <w:rPr>
          <w:rFonts w:hint="cs"/>
          <w:rtl/>
        </w:rPr>
        <w:t>←</w:t>
      </w:r>
      <w:r w:rsidRPr="000B50EE">
        <w:rPr>
          <w:rFonts w:ascii="Traditional Arabic" w:hAnsi="Traditional Arabic" w:cs="Traditional Arabic"/>
          <w:rtl/>
        </w:rPr>
        <w:t xml:space="preserve"> </w:t>
      </w:r>
      <w:r w:rsidRPr="000B50EE">
        <w:rPr>
          <w:rFonts w:ascii="Traditional Arabic" w:hAnsi="Traditional Arabic" w:cs="Traditional Arabic" w:hint="cs"/>
          <w:rtl/>
        </w:rPr>
        <w:t>وسيط</w:t>
      </w:r>
      <w:r w:rsidRPr="000B50EE">
        <w:rPr>
          <w:rFonts w:ascii="Traditional Arabic" w:hAnsi="Traditional Arabic" w:cs="Traditional Arabic"/>
          <w:rtl/>
        </w:rPr>
        <w:t>/</w:t>
      </w:r>
      <w:r w:rsidRPr="000B50EE">
        <w:rPr>
          <w:rFonts w:ascii="Traditional Arabic" w:hAnsi="Traditional Arabic" w:cs="Traditional Arabic" w:hint="cs"/>
          <w:rtl/>
        </w:rPr>
        <w:t>وسطاء</w:t>
      </w:r>
      <w:r w:rsidRPr="000B50EE">
        <w:rPr>
          <w:rFonts w:ascii="Traditional Arabic" w:hAnsi="Traditional Arabic" w:cs="Traditional Arabic"/>
          <w:rtl/>
        </w:rPr>
        <w:t xml:space="preserve"> </w:t>
      </w:r>
      <w:r w:rsidRPr="000B50EE">
        <w:rPr>
          <w:rFonts w:hint="cs"/>
          <w:rtl/>
        </w:rPr>
        <w:t>←</w:t>
      </w:r>
      <w:r w:rsidRPr="000B50EE">
        <w:rPr>
          <w:rFonts w:ascii="Traditional Arabic" w:hAnsi="Traditional Arabic" w:cs="Traditional Arabic"/>
          <w:rtl/>
        </w:rPr>
        <w:t xml:space="preserve"> </w:t>
      </w:r>
      <w:r w:rsidRPr="000B50EE">
        <w:rPr>
          <w:rFonts w:ascii="Traditional Arabic" w:hAnsi="Traditional Arabic" w:cs="Traditional Arabic" w:hint="cs"/>
          <w:rtl/>
        </w:rPr>
        <w:t>تابع</w:t>
      </w:r>
      <w:r w:rsidRPr="000B50EE">
        <w:rPr>
          <w:rFonts w:ascii="Traditional Arabic" w:hAnsi="Traditional Arabic" w:cs="Traditional Arabic"/>
          <w:rtl/>
        </w:rPr>
        <w:t xml:space="preserve"> </w:t>
      </w:r>
      <w:r w:rsidRPr="000B50EE">
        <w:rPr>
          <w:rFonts w:hint="cs"/>
          <w:rtl/>
        </w:rPr>
        <w:t>←</w:t>
      </w:r>
      <w:r w:rsidRPr="000B50EE">
        <w:rPr>
          <w:rFonts w:ascii="Traditional Arabic" w:hAnsi="Traditional Arabic" w:cs="Traditional Arabic"/>
          <w:rtl/>
        </w:rPr>
        <w:t xml:space="preserve"> </w:t>
      </w:r>
      <w:r w:rsidRPr="000B50EE">
        <w:rPr>
          <w:rFonts w:ascii="Traditional Arabic" w:hAnsi="Traditional Arabic" w:cs="Traditional Arabic" w:hint="cs"/>
          <w:rtl/>
        </w:rPr>
        <w:t>دراسات</w:t>
      </w:r>
      <w:r w:rsidRPr="000B50EE">
        <w:rPr>
          <w:rFonts w:ascii="Traditional Arabic" w:hAnsi="Traditional Arabic" w:cs="Traditional Arabic"/>
          <w:rtl/>
        </w:rPr>
        <w:t xml:space="preserve"> </w:t>
      </w:r>
      <w:r w:rsidRPr="000B50EE">
        <w:rPr>
          <w:rFonts w:ascii="Traditional Arabic" w:hAnsi="Traditional Arabic" w:cs="Traditional Arabic" w:hint="cs"/>
          <w:rtl/>
        </w:rPr>
        <w:t>الربط</w:t>
      </w:r>
      <w:r w:rsidRPr="000B50EE">
        <w:rPr>
          <w:rFonts w:ascii="Traditional Arabic" w:hAnsi="Traditional Arabic" w:cs="Traditional Arabic"/>
          <w:rtl/>
        </w:rPr>
        <w:t xml:space="preserve">) </w:t>
      </w:r>
      <w:r w:rsidRPr="000B50EE">
        <w:rPr>
          <w:rFonts w:ascii="Traditional Arabic" w:hAnsi="Traditional Arabic" w:cs="Traditional Arabic" w:hint="cs"/>
          <w:rtl/>
        </w:rPr>
        <w:t>مع</w:t>
      </w:r>
      <w:r w:rsidRPr="000B50EE">
        <w:rPr>
          <w:rFonts w:ascii="Traditional Arabic" w:hAnsi="Traditional Arabic" w:cs="Traditional Arabic"/>
          <w:rtl/>
        </w:rPr>
        <w:t xml:space="preserve"> </w:t>
      </w:r>
      <w:r w:rsidRPr="000B50EE">
        <w:rPr>
          <w:rFonts w:ascii="Traditional Arabic" w:hAnsi="Traditional Arabic" w:cs="Traditional Arabic" w:hint="cs"/>
          <w:rtl/>
        </w:rPr>
        <w:t>الترتيب</w:t>
      </w:r>
      <w:r w:rsidRPr="000B50EE">
        <w:rPr>
          <w:rFonts w:ascii="Traditional Arabic" w:hAnsi="Traditional Arabic" w:cs="Traditional Arabic"/>
          <w:rtl/>
        </w:rPr>
        <w:t xml:space="preserve"> </w:t>
      </w:r>
      <w:r w:rsidRPr="000B50EE">
        <w:rPr>
          <w:rFonts w:ascii="Traditional Arabic" w:hAnsi="Traditional Arabic" w:cs="Traditional Arabic" w:hint="cs"/>
          <w:rtl/>
        </w:rPr>
        <w:t>الز</w:t>
      </w:r>
      <w:r w:rsidRPr="000B50EE">
        <w:rPr>
          <w:rFonts w:ascii="Traditional Arabic" w:hAnsi="Traditional Arabic" w:cs="Traditional Arabic"/>
          <w:rtl/>
        </w:rPr>
        <w:t xml:space="preserve">مني داخل كل محور (الأحدث </w:t>
      </w:r>
      <w:r w:rsidRPr="000B50EE">
        <w:rPr>
          <w:rFonts w:hint="cs"/>
          <w:rtl/>
        </w:rPr>
        <w:t>→</w:t>
      </w:r>
      <w:r w:rsidRPr="000B50EE">
        <w:rPr>
          <w:rFonts w:ascii="Traditional Arabic" w:hAnsi="Traditional Arabic" w:cs="Traditional Arabic"/>
          <w:rtl/>
        </w:rPr>
        <w:t xml:space="preserve"> </w:t>
      </w:r>
      <w:r w:rsidRPr="000B50EE">
        <w:rPr>
          <w:rFonts w:ascii="Traditional Arabic" w:hAnsi="Traditional Arabic" w:cs="Traditional Arabic" w:hint="cs"/>
          <w:rtl/>
        </w:rPr>
        <w:t>الأقدم</w:t>
      </w:r>
      <w:r w:rsidRPr="000B50EE">
        <w:rPr>
          <w:rFonts w:ascii="Traditional Arabic" w:hAnsi="Traditional Arabic" w:cs="Traditional Arabic"/>
          <w:rtl/>
        </w:rPr>
        <w:t xml:space="preserve">) </w:t>
      </w:r>
      <w:r w:rsidRPr="000B50EE">
        <w:rPr>
          <w:rFonts w:ascii="Traditional Arabic" w:hAnsi="Traditional Arabic" w:cs="Traditional Arabic" w:hint="cs"/>
          <w:rtl/>
        </w:rPr>
        <w:t>ما</w:t>
      </w:r>
      <w:r w:rsidRPr="000B50EE">
        <w:rPr>
          <w:rFonts w:ascii="Traditional Arabic" w:hAnsi="Traditional Arabic" w:cs="Traditional Arabic"/>
          <w:rtl/>
        </w:rPr>
        <w:t xml:space="preserve"> </w:t>
      </w:r>
      <w:r w:rsidRPr="000B50EE">
        <w:rPr>
          <w:rFonts w:ascii="Traditional Arabic" w:hAnsi="Traditional Arabic" w:cs="Traditional Arabic" w:hint="cs"/>
          <w:rtl/>
        </w:rPr>
        <w:t>أمكن</w:t>
      </w:r>
      <w:r w:rsidRPr="000B50EE">
        <w:rPr>
          <w:rFonts w:ascii="Traditional Arabic" w:hAnsi="Traditional Arabic" w:cs="Traditional Arabic"/>
          <w:rtl/>
        </w:rPr>
        <w:t xml:space="preserve"> (2.2)</w:t>
      </w:r>
      <w:r w:rsidRPr="000B50EE">
        <w:rPr>
          <w:rFonts w:ascii="Traditional Arabic" w:hAnsi="Traditional Arabic" w:cs="Traditional Arabic" w:hint="cs"/>
          <w:rtl/>
        </w:rPr>
        <w:t>،</w:t>
      </w:r>
      <w:r w:rsidRPr="000B50EE">
        <w:rPr>
          <w:rFonts w:ascii="Traditional Arabic" w:hAnsi="Traditional Arabic" w:cs="Traditional Arabic"/>
          <w:rtl/>
        </w:rPr>
        <w:t xml:space="preserve"> </w:t>
      </w:r>
      <w:r w:rsidRPr="000B50EE">
        <w:rPr>
          <w:rFonts w:ascii="Traditional Arabic" w:hAnsi="Traditional Arabic" w:cs="Traditional Arabic" w:hint="cs"/>
          <w:rtl/>
        </w:rPr>
        <w:t>ثم</w:t>
      </w:r>
      <w:r w:rsidRPr="000B50EE">
        <w:rPr>
          <w:rFonts w:ascii="Traditional Arabic" w:hAnsi="Traditional Arabic" w:cs="Traditional Arabic"/>
          <w:rtl/>
        </w:rPr>
        <w:t xml:space="preserve"> (</w:t>
      </w:r>
      <w:r w:rsidRPr="000B50EE">
        <w:rPr>
          <w:rFonts w:ascii="Traditional Arabic" w:hAnsi="Traditional Arabic" w:cs="Traditional Arabic" w:hint="cs"/>
          <w:rtl/>
        </w:rPr>
        <w:t>ج</w:t>
      </w:r>
      <w:r w:rsidRPr="000B50EE">
        <w:rPr>
          <w:rFonts w:ascii="Traditional Arabic" w:hAnsi="Traditional Arabic" w:cs="Traditional Arabic"/>
          <w:rtl/>
        </w:rPr>
        <w:t xml:space="preserve">) </w:t>
      </w:r>
      <w:r w:rsidRPr="000B50EE">
        <w:rPr>
          <w:rFonts w:ascii="Traditional Arabic" w:hAnsi="Traditional Arabic" w:cs="Traditional Arabic" w:hint="cs"/>
          <w:rtl/>
        </w:rPr>
        <w:t>خلاصة</w:t>
      </w:r>
      <w:r w:rsidRPr="000B50EE">
        <w:rPr>
          <w:rFonts w:ascii="Traditional Arabic" w:hAnsi="Traditional Arabic" w:cs="Traditional Arabic"/>
          <w:rtl/>
        </w:rPr>
        <w:t xml:space="preserve"> </w:t>
      </w:r>
      <w:r w:rsidRPr="000B50EE">
        <w:rPr>
          <w:rFonts w:ascii="Traditional Arabic" w:hAnsi="Traditional Arabic" w:cs="Traditional Arabic" w:hint="cs"/>
          <w:rtl/>
        </w:rPr>
        <w:t>نقدية</w:t>
      </w:r>
      <w:r w:rsidRPr="000B50EE">
        <w:rPr>
          <w:rFonts w:ascii="Traditional Arabic" w:hAnsi="Traditional Arabic" w:cs="Traditional Arabic"/>
          <w:rtl/>
        </w:rPr>
        <w:t xml:space="preserve"> </w:t>
      </w:r>
      <w:r w:rsidRPr="000B50EE">
        <w:rPr>
          <w:rFonts w:ascii="Traditional Arabic" w:hAnsi="Traditional Arabic" w:cs="Traditional Arabic" w:hint="cs"/>
          <w:rtl/>
        </w:rPr>
        <w:t>تُخرج</w:t>
      </w:r>
      <w:r w:rsidRPr="000B50EE">
        <w:rPr>
          <w:rFonts w:ascii="Traditional Arabic" w:hAnsi="Traditional Arabic" w:cs="Traditional Arabic"/>
          <w:rtl/>
        </w:rPr>
        <w:t xml:space="preserve"> </w:t>
      </w:r>
      <w:r w:rsidRPr="000B50EE">
        <w:rPr>
          <w:rFonts w:ascii="Traditional Arabic" w:hAnsi="Traditional Arabic" w:cs="Traditional Arabic" w:hint="cs"/>
          <w:rtl/>
        </w:rPr>
        <w:t>الفجوة</w:t>
      </w:r>
      <w:r w:rsidRPr="000B50EE">
        <w:rPr>
          <w:rFonts w:ascii="Traditional Arabic" w:hAnsi="Traditional Arabic" w:cs="Traditional Arabic"/>
          <w:rtl/>
        </w:rPr>
        <w:t xml:space="preserve"> </w:t>
      </w:r>
      <w:r w:rsidRPr="000B50EE">
        <w:rPr>
          <w:rFonts w:ascii="Traditional Arabic" w:hAnsi="Traditional Arabic" w:cs="Traditional Arabic" w:hint="cs"/>
          <w:rtl/>
        </w:rPr>
        <w:t>البحثية</w:t>
      </w:r>
      <w:r w:rsidRPr="000B50EE">
        <w:rPr>
          <w:rFonts w:ascii="Traditional Arabic" w:hAnsi="Traditional Arabic" w:cs="Traditional Arabic"/>
          <w:rtl/>
        </w:rPr>
        <w:t xml:space="preserve"> </w:t>
      </w:r>
      <w:r w:rsidRPr="000B50EE">
        <w:rPr>
          <w:rFonts w:ascii="Traditional Arabic" w:hAnsi="Traditional Arabic" w:cs="Traditional Arabic" w:hint="cs"/>
          <w:rtl/>
        </w:rPr>
        <w:t>في</w:t>
      </w:r>
      <w:r w:rsidRPr="000B50EE">
        <w:rPr>
          <w:rFonts w:ascii="Traditional Arabic" w:hAnsi="Traditional Arabic" w:cs="Traditional Arabic"/>
          <w:rtl/>
        </w:rPr>
        <w:t xml:space="preserve"> </w:t>
      </w:r>
      <w:r w:rsidRPr="000B50EE">
        <w:rPr>
          <w:rFonts w:ascii="Traditional Arabic" w:hAnsi="Traditional Arabic" w:cs="Traditional Arabic" w:hint="cs"/>
          <w:rtl/>
        </w:rPr>
        <w:t>ثلاثة</w:t>
      </w:r>
      <w:r w:rsidRPr="000B50EE">
        <w:rPr>
          <w:rFonts w:ascii="Traditional Arabic" w:hAnsi="Traditional Arabic" w:cs="Traditional Arabic"/>
          <w:rtl/>
        </w:rPr>
        <w:t xml:space="preserve"> </w:t>
      </w:r>
      <w:r w:rsidRPr="000B50EE">
        <w:rPr>
          <w:rFonts w:ascii="Traditional Arabic" w:hAnsi="Traditional Arabic" w:cs="Traditional Arabic" w:hint="cs"/>
          <w:rtl/>
        </w:rPr>
        <w:t>مستويات</w:t>
      </w:r>
      <w:r w:rsidRPr="000B50EE">
        <w:rPr>
          <w:rFonts w:ascii="Traditional Arabic" w:hAnsi="Traditional Arabic" w:cs="Traditional Arabic"/>
          <w:rtl/>
        </w:rPr>
        <w:t xml:space="preserve"> </w:t>
      </w:r>
      <w:r w:rsidRPr="000B50EE">
        <w:rPr>
          <w:rFonts w:ascii="Traditional Arabic" w:hAnsi="Traditional Arabic" w:cs="Traditional Arabic" w:hint="cs"/>
          <w:rtl/>
        </w:rPr>
        <w:t>وتربطها</w:t>
      </w:r>
      <w:r w:rsidRPr="000B50EE">
        <w:rPr>
          <w:rFonts w:ascii="Traditional Arabic" w:hAnsi="Traditional Arabic" w:cs="Traditional Arabic"/>
          <w:rtl/>
        </w:rPr>
        <w:t xml:space="preserve"> </w:t>
      </w:r>
      <w:r w:rsidRPr="000B50EE">
        <w:rPr>
          <w:rFonts w:ascii="Traditional Arabic" w:hAnsi="Traditional Arabic" w:cs="Traditional Arabic" w:hint="cs"/>
          <w:rtl/>
        </w:rPr>
        <w:t>مباشرة</w:t>
      </w:r>
      <w:r w:rsidRPr="000B50EE">
        <w:rPr>
          <w:rFonts w:ascii="Traditional Arabic" w:hAnsi="Traditional Arabic" w:cs="Traditional Arabic"/>
          <w:rtl/>
        </w:rPr>
        <w:t xml:space="preserve"> </w:t>
      </w:r>
      <w:r w:rsidRPr="000B50EE">
        <w:rPr>
          <w:rFonts w:ascii="Traditional Arabic" w:hAnsi="Traditional Arabic" w:cs="Traditional Arabic" w:hint="cs"/>
          <w:rtl/>
        </w:rPr>
        <w:t>بأسئلة</w:t>
      </w:r>
      <w:r w:rsidRPr="000B50EE">
        <w:rPr>
          <w:rFonts w:ascii="Traditional Arabic" w:hAnsi="Traditional Arabic" w:cs="Traditional Arabic"/>
          <w:rtl/>
        </w:rPr>
        <w:t xml:space="preserve"> </w:t>
      </w:r>
      <w:r w:rsidRPr="000B50EE">
        <w:rPr>
          <w:rFonts w:ascii="Traditional Arabic" w:hAnsi="Traditional Arabic" w:cs="Traditional Arabic" w:hint="cs"/>
          <w:rtl/>
        </w:rPr>
        <w:t>الدراسة</w:t>
      </w:r>
      <w:r w:rsidRPr="000B50EE">
        <w:rPr>
          <w:rFonts w:ascii="Traditional Arabic" w:hAnsi="Traditional Arabic" w:cs="Traditional Arabic"/>
          <w:rtl/>
        </w:rPr>
        <w:t xml:space="preserve"> (</w:t>
      </w:r>
      <w:r w:rsidRPr="000B50EE">
        <w:rPr>
          <w:rFonts w:ascii="Traditional Arabic" w:hAnsi="Traditional Arabic" w:cs="Traditional Arabic" w:hint="cs"/>
          <w:rtl/>
        </w:rPr>
        <w:t>س</w:t>
      </w:r>
      <w:r w:rsidRPr="000B50EE">
        <w:rPr>
          <w:rFonts w:ascii="Traditional Arabic" w:hAnsi="Traditional Arabic" w:cs="Traditional Arabic"/>
          <w:rtl/>
        </w:rPr>
        <w:t>1</w:t>
      </w:r>
      <w:r w:rsidRPr="000B50EE">
        <w:rPr>
          <w:rFonts w:ascii="Traditional Arabic" w:hAnsi="Traditional Arabic" w:cs="Traditional Arabic" w:hint="cs"/>
          <w:rtl/>
        </w:rPr>
        <w:t>–س</w:t>
      </w:r>
      <w:r w:rsidRPr="000B50EE">
        <w:rPr>
          <w:rFonts w:ascii="Traditional Arabic" w:hAnsi="Traditional Arabic" w:cs="Traditional Arabic"/>
          <w:rtl/>
        </w:rPr>
        <w:t xml:space="preserve">4) </w:t>
      </w:r>
      <w:r w:rsidRPr="000B50EE">
        <w:rPr>
          <w:rFonts w:ascii="Traditional Arabic" w:hAnsi="Traditional Arabic" w:cs="Traditional Arabic" w:hint="cs"/>
          <w:rtl/>
        </w:rPr>
        <w:t>وفرضياتها</w:t>
      </w:r>
      <w:r w:rsidRPr="000B50EE">
        <w:rPr>
          <w:rFonts w:ascii="Traditional Arabic" w:hAnsi="Traditional Arabic" w:cs="Traditional Arabic"/>
        </w:rPr>
        <w:t xml:space="preserve"> (H1–H4) (2.3).</w:t>
      </w:r>
    </w:p>
    <w:p w14:paraId="00C31C94" w14:textId="15C1DFF7" w:rsidR="00DB3C7B" w:rsidRDefault="00B04E3B" w:rsidP="00335B65">
      <w:pPr>
        <w:bidi/>
        <w:spacing w:after="160" w:line="360" w:lineRule="auto"/>
        <w:divId w:val="1647278641"/>
        <w:rPr>
          <w:rFonts w:ascii="Traditional Arabic" w:hAnsi="Traditional Arabic" w:cs="Traditional Arabic"/>
          <w:rtl/>
        </w:rPr>
      </w:pPr>
      <w:r>
        <w:rPr>
          <w:rFonts w:ascii="Traditional Arabic" w:hAnsi="Traditional Arabic" w:cs="Traditional Arabic"/>
        </w:rPr>
        <w:lastRenderedPageBreak/>
        <w:t xml:space="preserve"> </w:t>
      </w:r>
      <w:r w:rsidR="006B19D1" w:rsidRPr="00B04E3B">
        <w:rPr>
          <w:rFonts w:ascii="Traditional Arabic" w:hAnsi="Traditional Arabic" w:cs="Traditional Arabic"/>
          <w:b/>
          <w:bCs/>
        </w:rPr>
        <w:t xml:space="preserve">2.0.2 </w:t>
      </w:r>
      <w:r w:rsidR="006B19D1" w:rsidRPr="00B04E3B">
        <w:rPr>
          <w:rFonts w:ascii="Traditional Arabic" w:hAnsi="Traditional Arabic" w:cs="Traditional Arabic"/>
          <w:b/>
          <w:bCs/>
          <w:rtl/>
        </w:rPr>
        <w:t>مدخل موضوعي إلى الفصل وربطه بأسئلة الدراسة وفرضياتها</w:t>
      </w:r>
      <w:r w:rsidR="006B19D1" w:rsidRPr="006B19D1">
        <w:rPr>
          <w:rFonts w:ascii="Traditional Arabic" w:hAnsi="Traditional Arabic" w:cs="Traditional Arabic"/>
        </w:rPr>
        <w:br/>
      </w:r>
      <w:r w:rsidR="006B19D1" w:rsidRPr="006B19D1">
        <w:rPr>
          <w:rFonts w:ascii="Traditional Arabic" w:hAnsi="Traditional Arabic" w:cs="Traditional Arabic"/>
          <w:rtl/>
        </w:rPr>
        <w:t>يُعد هذا الفصل حجر الأساس الذي يُعرِّف متغيرات الدراسة تعريفًا علميًا، ويعرض الأطر النظرية التي تفسر العلاقات المتوقعة بين التحول الرقمي المؤسسي (بأبعاده الأربعة) والرضا الوظيفي، مع اختبار الأثر المباشر</w:t>
      </w:r>
      <w:r w:rsidR="006B19D1" w:rsidRPr="006B19D1">
        <w:rPr>
          <w:rFonts w:ascii="Traditional Arabic" w:hAnsi="Traditional Arabic" w:cs="Traditional Arabic"/>
        </w:rPr>
        <w:t xml:space="preserve"> (H1a–H1</w:t>
      </w:r>
      <w:proofErr w:type="gramStart"/>
      <w:r w:rsidR="006B19D1" w:rsidRPr="006B19D1">
        <w:rPr>
          <w:rFonts w:ascii="Traditional Arabic" w:hAnsi="Traditional Arabic" w:cs="Traditional Arabic"/>
        </w:rPr>
        <w:t>d)</w:t>
      </w:r>
      <w:r w:rsidR="006B19D1" w:rsidRPr="006B19D1">
        <w:rPr>
          <w:rFonts w:ascii="Traditional Arabic" w:hAnsi="Traditional Arabic" w:cs="Traditional Arabic"/>
          <w:rtl/>
        </w:rPr>
        <w:t>،</w:t>
      </w:r>
      <w:proofErr w:type="gramEnd"/>
      <w:r w:rsidR="006B19D1" w:rsidRPr="006B19D1">
        <w:rPr>
          <w:rFonts w:ascii="Traditional Arabic" w:hAnsi="Traditional Arabic" w:cs="Traditional Arabic"/>
          <w:rtl/>
        </w:rPr>
        <w:t xml:space="preserve"> واختبار وساطة الإجهاد التقني</w:t>
      </w:r>
      <w:r w:rsidR="006B19D1" w:rsidRPr="006B19D1">
        <w:rPr>
          <w:rFonts w:ascii="Traditional Arabic" w:hAnsi="Traditional Arabic" w:cs="Traditional Arabic"/>
        </w:rPr>
        <w:t xml:space="preserve"> (H2a–H2c) </w:t>
      </w:r>
      <w:r w:rsidR="006B19D1" w:rsidRPr="006B19D1">
        <w:rPr>
          <w:rFonts w:ascii="Traditional Arabic" w:hAnsi="Traditional Arabic" w:cs="Traditional Arabic"/>
          <w:rtl/>
        </w:rPr>
        <w:t>وقبول التقنية وفق</w:t>
      </w:r>
      <w:r w:rsidR="006B19D1" w:rsidRPr="006B19D1">
        <w:rPr>
          <w:rFonts w:ascii="Traditional Arabic" w:hAnsi="Traditional Arabic" w:cs="Traditional Arabic"/>
        </w:rPr>
        <w:t xml:space="preserve"> TAM (H3a–H3f)</w:t>
      </w:r>
      <w:r w:rsidR="006B19D1" w:rsidRPr="006B19D1">
        <w:rPr>
          <w:rFonts w:ascii="Traditional Arabic" w:hAnsi="Traditional Arabic" w:cs="Traditional Arabic"/>
          <w:rtl/>
        </w:rPr>
        <w:t>، واختبار الاعتدال الديموغرافي</w:t>
      </w:r>
      <w:r w:rsidR="006B19D1" w:rsidRPr="006B19D1">
        <w:rPr>
          <w:rFonts w:ascii="Traditional Arabic" w:hAnsi="Traditional Arabic" w:cs="Traditional Arabic"/>
        </w:rPr>
        <w:t xml:space="preserve"> (H4). </w:t>
      </w:r>
      <w:r w:rsidR="006B19D1" w:rsidRPr="006B19D1">
        <w:rPr>
          <w:rFonts w:ascii="Traditional Arabic" w:hAnsi="Traditional Arabic" w:cs="Traditional Arabic"/>
          <w:rtl/>
        </w:rPr>
        <w:t>كما يُسند الفصل أسئلة الدراسة الأربع: قياس مستويات المتغيرات (س1)، اختبار الأثر المباشر للتحول الرقمي على الرضا (س2)، اختبار دور الوسطاء (س3)، واختبار تغاير العلاقة بحسب الديموغرافيات (س4)</w:t>
      </w:r>
      <w:r w:rsidR="006B19D1" w:rsidRPr="006B19D1">
        <w:rPr>
          <w:rFonts w:ascii="Traditional Arabic" w:hAnsi="Traditional Arabic" w:cs="Traditional Arabic"/>
        </w:rPr>
        <w:t>.</w:t>
      </w:r>
    </w:p>
    <w:p w14:paraId="75054B11" w14:textId="77777777" w:rsidR="00335B65" w:rsidRPr="00335B65" w:rsidRDefault="00335B65" w:rsidP="00335B65">
      <w:pPr>
        <w:bidi/>
        <w:spacing w:after="160" w:line="360" w:lineRule="auto"/>
        <w:divId w:val="1647278641"/>
        <w:rPr>
          <w:rFonts w:ascii="Traditional Arabic" w:hAnsi="Traditional Arabic" w:cs="Traditional Arabic"/>
          <w:rtl/>
        </w:rPr>
      </w:pPr>
    </w:p>
    <w:p w14:paraId="240B7F1D" w14:textId="5F4A09B1" w:rsidR="00335B65" w:rsidRPr="0062755D" w:rsidRDefault="00B64312" w:rsidP="0062755D">
      <w:pPr>
        <w:bidi/>
        <w:spacing w:after="160" w:line="360" w:lineRule="auto"/>
        <w:divId w:val="1647278641"/>
        <w:rPr>
          <w:rFonts w:ascii="Traditional Arabic" w:hAnsi="Traditional Arabic" w:cs="Traditional Arabic"/>
          <w:b/>
          <w:bCs/>
          <w:sz w:val="28"/>
          <w:szCs w:val="28"/>
        </w:rPr>
      </w:pPr>
      <w:r w:rsidRPr="00DB3C7B">
        <w:rPr>
          <w:rFonts w:ascii="Traditional Arabic" w:hAnsi="Traditional Arabic" w:cs="Traditional Arabic"/>
          <w:b/>
          <w:bCs/>
          <w:sz w:val="28"/>
          <w:szCs w:val="28"/>
          <w:rtl/>
        </w:rPr>
        <w:t>2.1 الإطار النظري للدراسة</w:t>
      </w:r>
    </w:p>
    <w:p w14:paraId="185E75C7" w14:textId="6B462466" w:rsidR="00335B65" w:rsidRPr="00335B65" w:rsidRDefault="0062755D" w:rsidP="00335B65">
      <w:pPr>
        <w:bidi/>
        <w:spacing w:after="160" w:line="360" w:lineRule="auto"/>
        <w:divId w:val="1647278641"/>
        <w:rPr>
          <w:rFonts w:ascii="Traditional Arabic" w:hAnsi="Traditional Arabic" w:cs="Traditional Arabic"/>
        </w:rPr>
      </w:pPr>
      <w:r>
        <w:rPr>
          <w:rFonts w:ascii="Traditional Arabic" w:hAnsi="Traditional Arabic" w:cs="Traditional Arabic"/>
        </w:rPr>
        <w:t xml:space="preserve"> </w:t>
      </w:r>
      <w:r w:rsidR="00335B65" w:rsidRPr="0062755D">
        <w:rPr>
          <w:rFonts w:ascii="Traditional Arabic" w:hAnsi="Traditional Arabic" w:cs="Traditional Arabic"/>
          <w:b/>
          <w:bCs/>
        </w:rPr>
        <w:t xml:space="preserve">2.1.0 </w:t>
      </w:r>
      <w:r w:rsidR="00335B65" w:rsidRPr="0062755D">
        <w:rPr>
          <w:rFonts w:ascii="Traditional Arabic" w:hAnsi="Traditional Arabic" w:cs="Traditional Arabic"/>
          <w:b/>
          <w:bCs/>
          <w:rtl/>
        </w:rPr>
        <w:t>الإطار النظري المحوري وتكامل الأطر المساندة</w:t>
      </w:r>
      <w:r w:rsidR="00335B65" w:rsidRPr="00335B65">
        <w:rPr>
          <w:rFonts w:ascii="Traditional Arabic" w:hAnsi="Traditional Arabic" w:cs="Traditional Arabic"/>
        </w:rPr>
        <w:br/>
      </w:r>
      <w:r w:rsidR="00335B65" w:rsidRPr="00335B65">
        <w:rPr>
          <w:rFonts w:ascii="Traditional Arabic" w:hAnsi="Traditional Arabic" w:cs="Traditional Arabic"/>
          <w:rtl/>
        </w:rPr>
        <w:t>قادت الدراسة تفسير النموذج المفاهيمي عبر محورين نظريين رئيسين يفسران انتقال أثر التحول الرقمي المؤسسي إلى الرضا الوظيفي على مستوى الموظف</w:t>
      </w:r>
      <w:r w:rsidR="00335B65" w:rsidRPr="00335B65">
        <w:rPr>
          <w:rFonts w:ascii="Traditional Arabic" w:hAnsi="Traditional Arabic" w:cs="Traditional Arabic"/>
        </w:rPr>
        <w:t>:</w:t>
      </w:r>
      <w:r w:rsidR="00335B65" w:rsidRPr="00335B65">
        <w:rPr>
          <w:rFonts w:ascii="Traditional Arabic" w:hAnsi="Traditional Arabic" w:cs="Traditional Arabic"/>
        </w:rPr>
        <w:br/>
      </w:r>
      <w:r w:rsidR="00335B65" w:rsidRPr="00335B65">
        <w:rPr>
          <w:rFonts w:ascii="Traditional Arabic" w:hAnsi="Traditional Arabic" w:cs="Traditional Arabic"/>
          <w:rtl/>
        </w:rPr>
        <w:t>المحور الأول: نموذج قبول التقنية</w:t>
      </w:r>
      <w:r w:rsidR="00335B65" w:rsidRPr="00335B65">
        <w:rPr>
          <w:rFonts w:ascii="Traditional Arabic" w:hAnsi="Traditional Arabic" w:cs="Traditional Arabic"/>
        </w:rPr>
        <w:t xml:space="preserve"> (TAM) </w:t>
      </w:r>
      <w:r w:rsidR="00335B65" w:rsidRPr="00335B65">
        <w:rPr>
          <w:rFonts w:ascii="Traditional Arabic" w:hAnsi="Traditional Arabic" w:cs="Traditional Arabic"/>
          <w:rtl/>
        </w:rPr>
        <w:t xml:space="preserve">بوصفه نظرية آلية لتفسير </w:t>
      </w:r>
      <w:r w:rsidR="002F488C">
        <w:rPr>
          <w:rFonts w:ascii="Traditional Arabic" w:hAnsi="Traditional Arabic" w:cs="Traditional Arabic"/>
          <w:rtl/>
        </w:rPr>
        <w:t>"</w:t>
      </w:r>
      <w:r w:rsidR="00335B65" w:rsidRPr="00335B65">
        <w:rPr>
          <w:rFonts w:ascii="Traditional Arabic" w:hAnsi="Traditional Arabic" w:cs="Traditional Arabic"/>
          <w:rtl/>
        </w:rPr>
        <w:t>المسار التعزيزي</w:t>
      </w:r>
      <w:r w:rsidR="002F488C">
        <w:rPr>
          <w:rFonts w:ascii="Traditional Arabic" w:hAnsi="Traditional Arabic" w:cs="Traditional Arabic"/>
          <w:rtl/>
        </w:rPr>
        <w:t>"</w:t>
      </w:r>
      <w:r w:rsidR="00335B65" w:rsidRPr="00335B65">
        <w:rPr>
          <w:rFonts w:ascii="Traditional Arabic" w:hAnsi="Traditional Arabic" w:cs="Traditional Arabic"/>
          <w:rtl/>
        </w:rPr>
        <w:t>؛ إذ تُفسَّر العلاقة بين خصائص التحول الرقمي المؤسسي ومدركات الموظف حول المنفعة المتصوَّرة وسهولة الاستخدام المتصوَّرة، ثم انعكاس ذلك على الرضا الوظيفي</w:t>
      </w:r>
      <w:r w:rsidR="00335B65" w:rsidRPr="00335B65">
        <w:rPr>
          <w:rFonts w:ascii="Traditional Arabic" w:hAnsi="Traditional Arabic" w:cs="Traditional Arabic"/>
        </w:rPr>
        <w:t xml:space="preserve"> (Davis, 1989).</w:t>
      </w:r>
      <w:r w:rsidR="00335B65" w:rsidRPr="00335B65">
        <w:rPr>
          <w:rFonts w:ascii="Traditional Arabic" w:hAnsi="Traditional Arabic" w:cs="Traditional Arabic"/>
        </w:rPr>
        <w:br/>
      </w:r>
      <w:r w:rsidR="00335B65" w:rsidRPr="00335B65">
        <w:rPr>
          <w:rFonts w:ascii="Traditional Arabic" w:hAnsi="Traditional Arabic" w:cs="Traditional Arabic"/>
          <w:rtl/>
        </w:rPr>
        <w:t>المحور الثاني: أدبيات الإجهاد التقني</w:t>
      </w:r>
      <w:r w:rsidR="00335B65" w:rsidRPr="00335B65">
        <w:rPr>
          <w:rFonts w:ascii="Traditional Arabic" w:hAnsi="Traditional Arabic" w:cs="Traditional Arabic"/>
        </w:rPr>
        <w:t xml:space="preserve"> (Technostress) </w:t>
      </w:r>
      <w:r w:rsidR="00335B65" w:rsidRPr="00335B65">
        <w:rPr>
          <w:rFonts w:ascii="Traditional Arabic" w:hAnsi="Traditional Arabic" w:cs="Traditional Arabic"/>
          <w:rtl/>
        </w:rPr>
        <w:t xml:space="preserve">بوصفها نظرية آلية لتفسير </w:t>
      </w:r>
      <w:r w:rsidR="002F488C">
        <w:rPr>
          <w:rFonts w:ascii="Traditional Arabic" w:hAnsi="Traditional Arabic" w:cs="Traditional Arabic"/>
          <w:rtl/>
        </w:rPr>
        <w:t>"</w:t>
      </w:r>
      <w:r w:rsidR="00335B65" w:rsidRPr="00335B65">
        <w:rPr>
          <w:rFonts w:ascii="Traditional Arabic" w:hAnsi="Traditional Arabic" w:cs="Traditional Arabic"/>
          <w:rtl/>
        </w:rPr>
        <w:t>المسار الضاغط</w:t>
      </w:r>
      <w:r w:rsidR="002F488C">
        <w:rPr>
          <w:rFonts w:ascii="Traditional Arabic" w:hAnsi="Traditional Arabic" w:cs="Traditional Arabic"/>
          <w:rtl/>
        </w:rPr>
        <w:t>"</w:t>
      </w:r>
      <w:r w:rsidR="00335B65" w:rsidRPr="00335B65">
        <w:rPr>
          <w:rFonts w:ascii="Traditional Arabic" w:hAnsi="Traditional Arabic" w:cs="Traditional Arabic"/>
          <w:rtl/>
        </w:rPr>
        <w:t xml:space="preserve">؛ إذ تُفسَّر العلاقة بين التعرض للمتطلبات الرقمية (العبء، التعقيد، الاقتحام، وتيرة التغير) وبين الضغوط والتراجع في مخرجات مثل الرضا الوظيفي، مع إبراز مفهوم </w:t>
      </w:r>
      <w:r w:rsidR="002F488C">
        <w:rPr>
          <w:rFonts w:ascii="Traditional Arabic" w:hAnsi="Traditional Arabic" w:cs="Traditional Arabic"/>
          <w:rtl/>
        </w:rPr>
        <w:t>"</w:t>
      </w:r>
      <w:r w:rsidR="00335B65" w:rsidRPr="00335B65">
        <w:rPr>
          <w:rFonts w:ascii="Traditional Arabic" w:hAnsi="Traditional Arabic" w:cs="Traditional Arabic"/>
          <w:rtl/>
        </w:rPr>
        <w:t>صانعات الإجهاد</w:t>
      </w:r>
      <w:r w:rsidR="002F488C">
        <w:rPr>
          <w:rFonts w:ascii="Traditional Arabic" w:hAnsi="Traditional Arabic" w:cs="Traditional Arabic"/>
          <w:rtl/>
        </w:rPr>
        <w:t>"</w:t>
      </w:r>
      <w:r w:rsidR="00335B65" w:rsidRPr="00335B65">
        <w:rPr>
          <w:rFonts w:ascii="Traditional Arabic" w:hAnsi="Traditional Arabic" w:cs="Traditional Arabic"/>
          <w:rtl/>
        </w:rPr>
        <w:t xml:space="preserve"> و</w:t>
      </w:r>
      <w:r w:rsidR="002F488C">
        <w:rPr>
          <w:rFonts w:ascii="Traditional Arabic" w:hAnsi="Traditional Arabic" w:cs="Traditional Arabic"/>
          <w:rtl/>
        </w:rPr>
        <w:t>"</w:t>
      </w:r>
      <w:r w:rsidR="00335B65" w:rsidRPr="00335B65">
        <w:rPr>
          <w:rFonts w:ascii="Traditional Arabic" w:hAnsi="Traditional Arabic" w:cs="Traditional Arabic"/>
          <w:rtl/>
        </w:rPr>
        <w:t>مثبطاته</w:t>
      </w:r>
      <w:r w:rsidR="002F488C">
        <w:rPr>
          <w:rFonts w:ascii="Traditional Arabic" w:hAnsi="Traditional Arabic" w:cs="Traditional Arabic"/>
          <w:rtl/>
        </w:rPr>
        <w:t>"</w:t>
      </w:r>
      <w:r w:rsidR="00335B65" w:rsidRPr="00335B65">
        <w:rPr>
          <w:rFonts w:ascii="Traditional Arabic" w:hAnsi="Traditional Arabic" w:cs="Traditional Arabic"/>
        </w:rPr>
        <w:t xml:space="preserve"> (Ragu-Nathan et al., 2008</w:t>
      </w:r>
      <w:r w:rsidR="00335B65" w:rsidRPr="00335B65">
        <w:rPr>
          <w:rFonts w:ascii="Traditional Arabic" w:hAnsi="Traditional Arabic" w:cs="Traditional Arabic"/>
          <w:rtl/>
        </w:rPr>
        <w:t>؛</w:t>
      </w:r>
      <w:r w:rsidR="00335B65" w:rsidRPr="00335B65">
        <w:rPr>
          <w:rFonts w:ascii="Traditional Arabic" w:hAnsi="Traditional Arabic" w:cs="Traditional Arabic"/>
        </w:rPr>
        <w:t xml:space="preserve"> </w:t>
      </w:r>
      <w:proofErr w:type="spellStart"/>
      <w:r w:rsidR="00335B65" w:rsidRPr="00335B65">
        <w:rPr>
          <w:rFonts w:ascii="Traditional Arabic" w:hAnsi="Traditional Arabic" w:cs="Traditional Arabic"/>
        </w:rPr>
        <w:t>Tarafdar</w:t>
      </w:r>
      <w:proofErr w:type="spellEnd"/>
      <w:r w:rsidR="00335B65" w:rsidRPr="00335B65">
        <w:rPr>
          <w:rFonts w:ascii="Traditional Arabic" w:hAnsi="Traditional Arabic" w:cs="Traditional Arabic"/>
        </w:rPr>
        <w:t xml:space="preserve"> et al., 2011</w:t>
      </w:r>
      <w:r w:rsidR="00335B65" w:rsidRPr="00335B65">
        <w:rPr>
          <w:rFonts w:ascii="Traditional Arabic" w:hAnsi="Traditional Arabic" w:cs="Traditional Arabic"/>
          <w:rtl/>
        </w:rPr>
        <w:t>؛</w:t>
      </w:r>
      <w:r w:rsidR="00335B65" w:rsidRPr="00335B65">
        <w:rPr>
          <w:rFonts w:ascii="Traditional Arabic" w:hAnsi="Traditional Arabic" w:cs="Traditional Arabic"/>
        </w:rPr>
        <w:t xml:space="preserve"> </w:t>
      </w:r>
      <w:proofErr w:type="spellStart"/>
      <w:r w:rsidR="00335B65" w:rsidRPr="00335B65">
        <w:rPr>
          <w:rFonts w:ascii="Traditional Arabic" w:hAnsi="Traditional Arabic" w:cs="Traditional Arabic"/>
        </w:rPr>
        <w:t>Ayyagari</w:t>
      </w:r>
      <w:proofErr w:type="spellEnd"/>
      <w:r w:rsidR="00335B65" w:rsidRPr="00335B65">
        <w:rPr>
          <w:rFonts w:ascii="Traditional Arabic" w:hAnsi="Traditional Arabic" w:cs="Traditional Arabic"/>
        </w:rPr>
        <w:t xml:space="preserve"> et al., 2011).</w:t>
      </w:r>
    </w:p>
    <w:p w14:paraId="7AD921E4" w14:textId="113EF17E" w:rsidR="00335B65" w:rsidRPr="00335B65" w:rsidRDefault="00335B65" w:rsidP="00335B65">
      <w:pPr>
        <w:bidi/>
        <w:spacing w:after="160" w:line="360" w:lineRule="auto"/>
        <w:divId w:val="1647278641"/>
        <w:rPr>
          <w:rFonts w:ascii="Traditional Arabic" w:hAnsi="Traditional Arabic" w:cs="Traditional Arabic"/>
        </w:rPr>
      </w:pPr>
      <w:r w:rsidRPr="00335B65">
        <w:rPr>
          <w:rFonts w:ascii="Traditional Arabic" w:hAnsi="Traditional Arabic" w:cs="Traditional Arabic"/>
          <w:rtl/>
        </w:rPr>
        <w:t>وخدمت بقية الأطر النظرية هذا التفسير ولم تُعرض بوصفها كيانات متجاورة: فقد استُخدم إطار التقنية–المنظمة–البيئة</w:t>
      </w:r>
      <w:r w:rsidRPr="00335B65">
        <w:rPr>
          <w:rFonts w:ascii="Traditional Arabic" w:hAnsi="Traditional Arabic" w:cs="Traditional Arabic"/>
        </w:rPr>
        <w:t xml:space="preserve"> (TOE) </w:t>
      </w:r>
      <w:r w:rsidRPr="00335B65">
        <w:rPr>
          <w:rFonts w:ascii="Traditional Arabic" w:hAnsi="Traditional Arabic" w:cs="Traditional Arabic"/>
          <w:rtl/>
        </w:rPr>
        <w:t>لتبرير تشغيل التحول الرقمي المؤسسي إلى أبعاد قابلة للقياس تتوزع بين سياقات تقنية وتنظيمية وبيئية تؤثر في التبنّي والتنفيذ</w:t>
      </w:r>
      <w:r w:rsidRPr="00335B65">
        <w:rPr>
          <w:rFonts w:ascii="Traditional Arabic" w:hAnsi="Traditional Arabic" w:cs="Traditional Arabic"/>
        </w:rPr>
        <w:t xml:space="preserve"> </w:t>
      </w:r>
      <w:r w:rsidR="00B04E3B">
        <w:rPr>
          <w:rFonts w:ascii="Traditional Arabic" w:hAnsi="Traditional Arabic" w:cs="Traditional Arabic" w:hint="cs"/>
          <w:rtl/>
        </w:rPr>
        <w:t>(</w:t>
      </w:r>
      <w:proofErr w:type="spellStart"/>
      <w:r w:rsidRPr="00335B65">
        <w:rPr>
          <w:rFonts w:ascii="Traditional Arabic" w:hAnsi="Traditional Arabic" w:cs="Traditional Arabic"/>
        </w:rPr>
        <w:t>Tornatzky</w:t>
      </w:r>
      <w:proofErr w:type="spellEnd"/>
      <w:r w:rsidRPr="00335B65">
        <w:rPr>
          <w:rFonts w:ascii="Traditional Arabic" w:hAnsi="Traditional Arabic" w:cs="Traditional Arabic"/>
        </w:rPr>
        <w:t xml:space="preserve"> &amp; Fleischer, 1990</w:t>
      </w:r>
      <w:r w:rsidRPr="00335B65">
        <w:rPr>
          <w:rFonts w:ascii="Traditional Arabic" w:hAnsi="Traditional Arabic" w:cs="Traditional Arabic"/>
          <w:rtl/>
        </w:rPr>
        <w:t>؛</w:t>
      </w:r>
      <w:r w:rsidRPr="00335B65">
        <w:rPr>
          <w:rFonts w:ascii="Traditional Arabic" w:hAnsi="Traditional Arabic" w:cs="Traditional Arabic"/>
        </w:rPr>
        <w:t xml:space="preserve"> </w:t>
      </w:r>
      <w:r w:rsidR="00B04E3B">
        <w:rPr>
          <w:rFonts w:ascii="Traditional Arabic" w:hAnsi="Traditional Arabic" w:cs="Traditional Arabic"/>
        </w:rPr>
        <w:t>(</w:t>
      </w:r>
      <w:r w:rsidRPr="00335B65">
        <w:rPr>
          <w:rFonts w:ascii="Traditional Arabic" w:hAnsi="Traditional Arabic" w:cs="Traditional Arabic"/>
        </w:rPr>
        <w:t xml:space="preserve">Oliveira &amp; Martins, 2011 </w:t>
      </w:r>
      <w:r w:rsidRPr="00335B65">
        <w:rPr>
          <w:rFonts w:ascii="Traditional Arabic" w:hAnsi="Traditional Arabic" w:cs="Traditional Arabic"/>
          <w:rtl/>
        </w:rPr>
        <w:t xml:space="preserve">كما خدم المنظور </w:t>
      </w:r>
      <w:proofErr w:type="spellStart"/>
      <w:r w:rsidRPr="00335B65">
        <w:rPr>
          <w:rFonts w:ascii="Traditional Arabic" w:hAnsi="Traditional Arabic" w:cs="Traditional Arabic"/>
          <w:rtl/>
        </w:rPr>
        <w:t>السوسيوتقني</w:t>
      </w:r>
      <w:proofErr w:type="spellEnd"/>
      <w:r w:rsidRPr="00335B65">
        <w:rPr>
          <w:rFonts w:ascii="Traditional Arabic" w:hAnsi="Traditional Arabic" w:cs="Traditional Arabic"/>
          <w:rtl/>
        </w:rPr>
        <w:t xml:space="preserve"> تفسير الفروق بين الموظفين وتغاير النتائج؛ لأن التقنية تتفاعل مع تصميم العمل والثقافة والتواصل والدعم داخل المنظمة</w:t>
      </w:r>
      <w:r w:rsidRPr="00335B65">
        <w:rPr>
          <w:rFonts w:ascii="Traditional Arabic" w:hAnsi="Traditional Arabic" w:cs="Traditional Arabic"/>
        </w:rPr>
        <w:t xml:space="preserve"> (</w:t>
      </w:r>
      <w:proofErr w:type="spellStart"/>
      <w:r w:rsidRPr="00335B65">
        <w:rPr>
          <w:rFonts w:ascii="Traditional Arabic" w:hAnsi="Traditional Arabic" w:cs="Traditional Arabic"/>
        </w:rPr>
        <w:t>Sarker</w:t>
      </w:r>
      <w:proofErr w:type="spellEnd"/>
      <w:r w:rsidRPr="00335B65">
        <w:rPr>
          <w:rFonts w:ascii="Traditional Arabic" w:hAnsi="Traditional Arabic" w:cs="Traditional Arabic"/>
        </w:rPr>
        <w:t xml:space="preserve"> et al., 2019 </w:t>
      </w:r>
      <w:r w:rsidR="00B04E3B">
        <w:rPr>
          <w:rFonts w:ascii="Traditional Arabic" w:hAnsi="Traditional Arabic" w:cs="Traditional Arabic" w:hint="cs"/>
          <w:rtl/>
        </w:rPr>
        <w:t xml:space="preserve">) </w:t>
      </w:r>
      <w:r w:rsidRPr="00335B65">
        <w:rPr>
          <w:rFonts w:ascii="Traditional Arabic" w:hAnsi="Traditional Arabic" w:cs="Traditional Arabic"/>
          <w:rtl/>
        </w:rPr>
        <w:t>واستُأنس بمنطق الفروق الفردية في نماذج القبول</w:t>
      </w:r>
      <w:r w:rsidRPr="00335B65">
        <w:rPr>
          <w:rFonts w:ascii="Traditional Arabic" w:hAnsi="Traditional Arabic" w:cs="Traditional Arabic"/>
        </w:rPr>
        <w:t xml:space="preserve"> (UTAUT) </w:t>
      </w:r>
      <w:r w:rsidRPr="00335B65">
        <w:rPr>
          <w:rFonts w:ascii="Traditional Arabic" w:hAnsi="Traditional Arabic" w:cs="Traditional Arabic"/>
          <w:rtl/>
        </w:rPr>
        <w:t>لتسويغ اختبار الخصائص الديموغرافية كمعدّلات محتملة</w:t>
      </w:r>
      <w:r w:rsidRPr="00335B65">
        <w:rPr>
          <w:rFonts w:ascii="Traditional Arabic" w:hAnsi="Traditional Arabic" w:cs="Traditional Arabic"/>
        </w:rPr>
        <w:t xml:space="preserve"> (Venkatesh et al., 2003).</w:t>
      </w:r>
    </w:p>
    <w:p w14:paraId="76F6166B" w14:textId="012DB487" w:rsidR="00335B65" w:rsidRPr="00335B65" w:rsidRDefault="00335B65" w:rsidP="00335B65">
      <w:pPr>
        <w:bidi/>
        <w:spacing w:after="160" w:line="360" w:lineRule="auto"/>
        <w:divId w:val="1647278641"/>
        <w:rPr>
          <w:rFonts w:ascii="Traditional Arabic" w:hAnsi="Traditional Arabic" w:cs="Traditional Arabic"/>
        </w:rPr>
      </w:pPr>
      <w:proofErr w:type="gramStart"/>
      <w:r w:rsidRPr="0062755D">
        <w:rPr>
          <w:rFonts w:ascii="Traditional Arabic" w:hAnsi="Traditional Arabic" w:cs="Traditional Arabic"/>
          <w:b/>
          <w:bCs/>
        </w:rPr>
        <w:lastRenderedPageBreak/>
        <w:t xml:space="preserve">2.1.1 </w:t>
      </w:r>
      <w:r w:rsidR="0062755D" w:rsidRPr="0062755D">
        <w:rPr>
          <w:rFonts w:ascii="Traditional Arabic" w:hAnsi="Traditional Arabic" w:cs="Traditional Arabic" w:hint="cs"/>
          <w:b/>
          <w:bCs/>
          <w:rtl/>
        </w:rPr>
        <w:t xml:space="preserve"> </w:t>
      </w:r>
      <w:r w:rsidRPr="0062755D">
        <w:rPr>
          <w:rFonts w:ascii="Traditional Arabic" w:hAnsi="Traditional Arabic" w:cs="Traditional Arabic"/>
          <w:b/>
          <w:bCs/>
          <w:rtl/>
        </w:rPr>
        <w:t>التحول</w:t>
      </w:r>
      <w:proofErr w:type="gramEnd"/>
      <w:r w:rsidRPr="0062755D">
        <w:rPr>
          <w:rFonts w:ascii="Traditional Arabic" w:hAnsi="Traditional Arabic" w:cs="Traditional Arabic"/>
          <w:b/>
          <w:bCs/>
          <w:rtl/>
        </w:rPr>
        <w:t xml:space="preserve"> الرقمي المؤسسي</w:t>
      </w:r>
      <w:r w:rsidRPr="00335B65">
        <w:rPr>
          <w:rFonts w:ascii="Traditional Arabic" w:hAnsi="Traditional Arabic" w:cs="Traditional Arabic"/>
        </w:rPr>
        <w:br/>
      </w:r>
      <w:r w:rsidRPr="00335B65">
        <w:rPr>
          <w:rFonts w:ascii="Traditional Arabic" w:hAnsi="Traditional Arabic" w:cs="Traditional Arabic"/>
          <w:rtl/>
        </w:rPr>
        <w:t>يُقدَّم التحول الرقمي في الأدبيات الحديثة بوصفه عملية تغيير مؤسسي شاملة تُحدثها التقنيات الرقمية عبر دفع المنظمة إلى إعادة تشكيل عملياتها ونماذج عملها وبناها التنظيمية وعلاقات أصحاب المصلحة، مع التأكيد على أن النتائج ليست حتمية في اتجاه واحد، بل تتأثر بجودة التصميم والتنفيذ وإدارة التغيير</w:t>
      </w:r>
      <w:r w:rsidRPr="00335B65">
        <w:rPr>
          <w:rFonts w:ascii="Traditional Arabic" w:hAnsi="Traditional Arabic" w:cs="Traditional Arabic"/>
        </w:rPr>
        <w:t xml:space="preserve"> (Vial, 2019). </w:t>
      </w:r>
      <w:r w:rsidRPr="00335B65">
        <w:rPr>
          <w:rFonts w:ascii="Traditional Arabic" w:hAnsi="Traditional Arabic" w:cs="Traditional Arabic"/>
          <w:rtl/>
        </w:rPr>
        <w:t xml:space="preserve">وفي القطاع العام، يُبرز مفهوم التحول الرقمي الحكومي بوصفه تحولًا يتجاوز </w:t>
      </w:r>
      <w:r w:rsidR="002F488C">
        <w:rPr>
          <w:rFonts w:ascii="Traditional Arabic" w:hAnsi="Traditional Arabic" w:cs="Traditional Arabic"/>
          <w:rtl/>
        </w:rPr>
        <w:t>"</w:t>
      </w:r>
      <w:proofErr w:type="spellStart"/>
      <w:r w:rsidRPr="00335B65">
        <w:rPr>
          <w:rFonts w:ascii="Traditional Arabic" w:hAnsi="Traditional Arabic" w:cs="Traditional Arabic"/>
          <w:rtl/>
        </w:rPr>
        <w:t>الرقمنة</w:t>
      </w:r>
      <w:proofErr w:type="spellEnd"/>
      <w:r w:rsidR="002F488C">
        <w:rPr>
          <w:rFonts w:ascii="Traditional Arabic" w:hAnsi="Traditional Arabic" w:cs="Traditional Arabic"/>
          <w:rtl/>
        </w:rPr>
        <w:t>"</w:t>
      </w:r>
      <w:r w:rsidRPr="00335B65">
        <w:rPr>
          <w:rFonts w:ascii="Traditional Arabic" w:hAnsi="Traditional Arabic" w:cs="Traditional Arabic"/>
          <w:rtl/>
        </w:rPr>
        <w:t xml:space="preserve"> وينصرف إلى تحسين الكفاءة والشفافية والتشغيل البيني وجودة الخدمات ضمن منظومة حوكمة وتشريعات متعددة الأطراف</w:t>
      </w:r>
      <w:r w:rsidRPr="00335B65">
        <w:rPr>
          <w:rFonts w:ascii="Traditional Arabic" w:hAnsi="Traditional Arabic" w:cs="Traditional Arabic"/>
        </w:rPr>
        <w:t xml:space="preserve"> (</w:t>
      </w:r>
      <w:proofErr w:type="spellStart"/>
      <w:r w:rsidRPr="00335B65">
        <w:rPr>
          <w:rFonts w:ascii="Traditional Arabic" w:hAnsi="Traditional Arabic" w:cs="Traditional Arabic"/>
        </w:rPr>
        <w:t>Mergel</w:t>
      </w:r>
      <w:proofErr w:type="spellEnd"/>
      <w:r w:rsidRPr="00335B65">
        <w:rPr>
          <w:rFonts w:ascii="Traditional Arabic" w:hAnsi="Traditional Arabic" w:cs="Traditional Arabic"/>
        </w:rPr>
        <w:t xml:space="preserve"> et al., 2019).</w:t>
      </w:r>
    </w:p>
    <w:p w14:paraId="59C70AF8" w14:textId="4F62934D" w:rsidR="00335B65" w:rsidRPr="00335B65" w:rsidRDefault="00335B65" w:rsidP="00335B65">
      <w:pPr>
        <w:bidi/>
        <w:spacing w:after="160" w:line="360" w:lineRule="auto"/>
        <w:divId w:val="1647278641"/>
        <w:rPr>
          <w:rFonts w:ascii="Traditional Arabic" w:hAnsi="Traditional Arabic" w:cs="Traditional Arabic"/>
        </w:rPr>
      </w:pPr>
      <w:r w:rsidRPr="00335B65">
        <w:rPr>
          <w:rFonts w:ascii="Traditional Arabic" w:hAnsi="Traditional Arabic" w:cs="Traditional Arabic"/>
          <w:rtl/>
        </w:rPr>
        <w:t>ويستلزم تحديد التحول الرقمي المؤسسي في هذه الدراسة تمييزه عن مفاهيم قريبة</w:t>
      </w:r>
      <w:r w:rsidRPr="00335B65">
        <w:rPr>
          <w:rFonts w:ascii="Traditional Arabic" w:hAnsi="Traditional Arabic" w:cs="Traditional Arabic"/>
        </w:rPr>
        <w:t>:</w:t>
      </w:r>
      <w:r w:rsidRPr="00335B65">
        <w:rPr>
          <w:rFonts w:ascii="Traditional Arabic" w:hAnsi="Traditional Arabic" w:cs="Traditional Arabic"/>
        </w:rPr>
        <w:br/>
      </w:r>
      <w:proofErr w:type="spellStart"/>
      <w:r w:rsidRPr="00335B65">
        <w:rPr>
          <w:rFonts w:ascii="Traditional Arabic" w:hAnsi="Traditional Arabic" w:cs="Traditional Arabic"/>
          <w:rtl/>
        </w:rPr>
        <w:t>الرقمنة</w:t>
      </w:r>
      <w:proofErr w:type="spellEnd"/>
      <w:r w:rsidRPr="00335B65">
        <w:rPr>
          <w:rFonts w:ascii="Traditional Arabic" w:hAnsi="Traditional Arabic" w:cs="Traditional Arabic"/>
        </w:rPr>
        <w:t xml:space="preserve"> (Digitization) </w:t>
      </w:r>
      <w:r w:rsidRPr="00335B65">
        <w:rPr>
          <w:rFonts w:ascii="Traditional Arabic" w:hAnsi="Traditional Arabic" w:cs="Traditional Arabic"/>
          <w:rtl/>
        </w:rPr>
        <w:t>تُستخدم غالبًا لوصف تحويل المحتوى/المعاملات من صيغة ورقية إلى رقمية دون إعادة تصميم عميق لطريقة العمل</w:t>
      </w:r>
      <w:r w:rsidRPr="00335B65">
        <w:rPr>
          <w:rFonts w:ascii="Traditional Arabic" w:hAnsi="Traditional Arabic" w:cs="Traditional Arabic"/>
        </w:rPr>
        <w:t>.</w:t>
      </w:r>
      <w:r w:rsidRPr="00335B65">
        <w:rPr>
          <w:rFonts w:ascii="Traditional Arabic" w:hAnsi="Traditional Arabic" w:cs="Traditional Arabic"/>
        </w:rPr>
        <w:br/>
      </w:r>
      <w:r w:rsidRPr="00335B65">
        <w:rPr>
          <w:rFonts w:ascii="Traditional Arabic" w:hAnsi="Traditional Arabic" w:cs="Traditional Arabic"/>
          <w:rtl/>
        </w:rPr>
        <w:t>أما الأتمتة الإجرائية</w:t>
      </w:r>
      <w:r w:rsidRPr="00335B65">
        <w:rPr>
          <w:rFonts w:ascii="Traditional Arabic" w:hAnsi="Traditional Arabic" w:cs="Traditional Arabic"/>
        </w:rPr>
        <w:t xml:space="preserve"> (Automation) </w:t>
      </w:r>
      <w:r w:rsidRPr="00335B65">
        <w:rPr>
          <w:rFonts w:ascii="Traditional Arabic" w:hAnsi="Traditional Arabic" w:cs="Traditional Arabic"/>
          <w:rtl/>
        </w:rPr>
        <w:t>فتركز على تسريع خطوات محددة دون بالضرورة إعادة هندسة العملية بأكملها</w:t>
      </w:r>
      <w:r w:rsidRPr="00335B65">
        <w:rPr>
          <w:rFonts w:ascii="Traditional Arabic" w:hAnsi="Traditional Arabic" w:cs="Traditional Arabic"/>
        </w:rPr>
        <w:t>.</w:t>
      </w:r>
      <w:r w:rsidRPr="00335B65">
        <w:rPr>
          <w:rFonts w:ascii="Traditional Arabic" w:hAnsi="Traditional Arabic" w:cs="Traditional Arabic"/>
        </w:rPr>
        <w:br/>
      </w:r>
      <w:r w:rsidRPr="00335B65">
        <w:rPr>
          <w:rFonts w:ascii="Traditional Arabic" w:hAnsi="Traditional Arabic" w:cs="Traditional Arabic"/>
          <w:rtl/>
        </w:rPr>
        <w:t xml:space="preserve">بينما التحول الرقمي المؤسسي – كما يُعتمد هنا – يقتضي إعادة تصميم تفاعل الموظف مع العمليات الداخلية، وتحقيق تكامل أفضل للأنظمة وتدفق المعلومات، وبناء قدرات تنظيمية (تدريب/دعم/حوكمة) تجعل التقنية جزءًا من </w:t>
      </w:r>
      <w:r w:rsidR="002F488C">
        <w:rPr>
          <w:rFonts w:ascii="Traditional Arabic" w:hAnsi="Traditional Arabic" w:cs="Traditional Arabic"/>
          <w:rtl/>
        </w:rPr>
        <w:t>"</w:t>
      </w:r>
      <w:r w:rsidRPr="00335B65">
        <w:rPr>
          <w:rFonts w:ascii="Traditional Arabic" w:hAnsi="Traditional Arabic" w:cs="Traditional Arabic"/>
          <w:rtl/>
        </w:rPr>
        <w:t>نظام العمل</w:t>
      </w:r>
      <w:r w:rsidR="002F488C">
        <w:rPr>
          <w:rFonts w:ascii="Traditional Arabic" w:hAnsi="Traditional Arabic" w:cs="Traditional Arabic"/>
          <w:rtl/>
        </w:rPr>
        <w:t>"</w:t>
      </w:r>
      <w:r w:rsidRPr="00335B65">
        <w:rPr>
          <w:rFonts w:ascii="Traditional Arabic" w:hAnsi="Traditional Arabic" w:cs="Traditional Arabic"/>
          <w:rtl/>
        </w:rPr>
        <w:t xml:space="preserve"> لا أداة منفصلة</w:t>
      </w:r>
      <w:r w:rsidRPr="00335B65">
        <w:rPr>
          <w:rFonts w:ascii="Traditional Arabic" w:hAnsi="Traditional Arabic" w:cs="Traditional Arabic"/>
        </w:rPr>
        <w:t xml:space="preserve"> (Vial, 2019</w:t>
      </w:r>
      <w:r w:rsidRPr="00335B65">
        <w:rPr>
          <w:rFonts w:ascii="Traditional Arabic" w:hAnsi="Traditional Arabic" w:cs="Traditional Arabic"/>
          <w:rtl/>
        </w:rPr>
        <w:t>؛</w:t>
      </w:r>
      <w:r w:rsidRPr="00335B65">
        <w:rPr>
          <w:rFonts w:ascii="Traditional Arabic" w:hAnsi="Traditional Arabic" w:cs="Traditional Arabic"/>
        </w:rPr>
        <w:t xml:space="preserve"> </w:t>
      </w:r>
      <w:proofErr w:type="spellStart"/>
      <w:r w:rsidRPr="00335B65">
        <w:rPr>
          <w:rFonts w:ascii="Traditional Arabic" w:hAnsi="Traditional Arabic" w:cs="Traditional Arabic"/>
        </w:rPr>
        <w:t>Mergel</w:t>
      </w:r>
      <w:proofErr w:type="spellEnd"/>
      <w:r w:rsidRPr="00335B65">
        <w:rPr>
          <w:rFonts w:ascii="Traditional Arabic" w:hAnsi="Traditional Arabic" w:cs="Traditional Arabic"/>
        </w:rPr>
        <w:t xml:space="preserve"> et al., 2019).</w:t>
      </w:r>
    </w:p>
    <w:p w14:paraId="43FCAEED" w14:textId="7C56B972" w:rsidR="00335B65" w:rsidRPr="00335B65" w:rsidRDefault="00422956" w:rsidP="00335B65">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00335B65" w:rsidRPr="0062755D">
        <w:rPr>
          <w:rFonts w:ascii="Traditional Arabic" w:hAnsi="Traditional Arabic" w:cs="Traditional Arabic"/>
          <w:b/>
          <w:bCs/>
        </w:rPr>
        <w:t xml:space="preserve">2.1.2 </w:t>
      </w:r>
      <w:r w:rsidR="00335B65" w:rsidRPr="0062755D">
        <w:rPr>
          <w:rFonts w:ascii="Traditional Arabic" w:hAnsi="Traditional Arabic" w:cs="Traditional Arabic"/>
          <w:b/>
          <w:bCs/>
          <w:rtl/>
        </w:rPr>
        <w:t>أبعاد التحول الرقمي المؤسسي في الدراسة</w:t>
      </w:r>
      <w:r w:rsidR="00335B65" w:rsidRPr="00335B65">
        <w:rPr>
          <w:rFonts w:ascii="Traditional Arabic" w:hAnsi="Traditional Arabic" w:cs="Traditional Arabic"/>
        </w:rPr>
        <w:br/>
      </w:r>
      <w:r w:rsidR="00335B65" w:rsidRPr="00335B65">
        <w:rPr>
          <w:rFonts w:ascii="Traditional Arabic" w:hAnsi="Traditional Arabic" w:cs="Traditional Arabic"/>
          <w:rtl/>
        </w:rPr>
        <w:t>تُشغّل الدراسة التحول الرقمي المؤسسي</w:t>
      </w:r>
      <w:r w:rsidR="00335B65" w:rsidRPr="00335B65">
        <w:rPr>
          <w:rFonts w:ascii="Traditional Arabic" w:hAnsi="Traditional Arabic" w:cs="Traditional Arabic"/>
        </w:rPr>
        <w:t xml:space="preserve"> (DTD) </w:t>
      </w:r>
      <w:r w:rsidR="00335B65" w:rsidRPr="00335B65">
        <w:rPr>
          <w:rFonts w:ascii="Traditional Arabic" w:hAnsi="Traditional Arabic" w:cs="Traditional Arabic"/>
          <w:rtl/>
        </w:rPr>
        <w:t>كبناء مستقل متعدد الأبعاد يلتقط خبرة الموظف الرقمية داخل العمليات الداخلية عبر أربعة أبعاد معتمدة في فرضيات الدراسة</w:t>
      </w:r>
      <w:r w:rsidR="00335B65" w:rsidRPr="00335B65">
        <w:rPr>
          <w:rFonts w:ascii="Traditional Arabic" w:hAnsi="Traditional Arabic" w:cs="Traditional Arabic"/>
        </w:rPr>
        <w:t xml:space="preserve"> (H1a–H1d):</w:t>
      </w:r>
      <w:r w:rsidR="00335B65" w:rsidRPr="00335B65">
        <w:rPr>
          <w:rFonts w:ascii="Traditional Arabic" w:hAnsi="Traditional Arabic" w:cs="Traditional Arabic"/>
        </w:rPr>
        <w:br/>
        <w:t xml:space="preserve">(1) </w:t>
      </w:r>
      <w:r w:rsidR="00335B65" w:rsidRPr="00335B65">
        <w:rPr>
          <w:rFonts w:ascii="Traditional Arabic" w:hAnsi="Traditional Arabic" w:cs="Traditional Arabic"/>
          <w:rtl/>
        </w:rPr>
        <w:t>توفر/انتشار الأنظمة الرقمية الداعمة لأداء المهام</w:t>
      </w:r>
      <w:r w:rsidR="00335B65" w:rsidRPr="00335B65">
        <w:rPr>
          <w:rFonts w:ascii="Traditional Arabic" w:hAnsi="Traditional Arabic" w:cs="Traditional Arabic"/>
        </w:rPr>
        <w:t xml:space="preserve"> (DTD1).</w:t>
      </w:r>
      <w:r w:rsidR="00335B65" w:rsidRPr="00335B65">
        <w:rPr>
          <w:rFonts w:ascii="Traditional Arabic" w:hAnsi="Traditional Arabic" w:cs="Traditional Arabic"/>
        </w:rPr>
        <w:br/>
        <w:t xml:space="preserve">(2) </w:t>
      </w:r>
      <w:r w:rsidR="00335B65" w:rsidRPr="00335B65">
        <w:rPr>
          <w:rFonts w:ascii="Traditional Arabic" w:hAnsi="Traditional Arabic" w:cs="Traditional Arabic"/>
          <w:rtl/>
        </w:rPr>
        <w:t>كفاءة الأنظمة والعمليات الرقمية</w:t>
      </w:r>
      <w:r w:rsidR="00335B65" w:rsidRPr="00335B65">
        <w:rPr>
          <w:rFonts w:ascii="Traditional Arabic" w:hAnsi="Traditional Arabic" w:cs="Traditional Arabic"/>
        </w:rPr>
        <w:t xml:space="preserve"> (DTD2).</w:t>
      </w:r>
      <w:r w:rsidR="00335B65" w:rsidRPr="00335B65">
        <w:rPr>
          <w:rFonts w:ascii="Traditional Arabic" w:hAnsi="Traditional Arabic" w:cs="Traditional Arabic"/>
        </w:rPr>
        <w:br/>
        <w:t xml:space="preserve">(3) </w:t>
      </w:r>
      <w:r w:rsidR="00335B65" w:rsidRPr="00335B65">
        <w:rPr>
          <w:rFonts w:ascii="Traditional Arabic" w:hAnsi="Traditional Arabic" w:cs="Traditional Arabic"/>
          <w:rtl/>
        </w:rPr>
        <w:t>جودة الدعم الفني والتدريب الرقمي</w:t>
      </w:r>
      <w:r w:rsidR="00335B65" w:rsidRPr="00335B65">
        <w:rPr>
          <w:rFonts w:ascii="Traditional Arabic" w:hAnsi="Traditional Arabic" w:cs="Traditional Arabic"/>
        </w:rPr>
        <w:t xml:space="preserve"> (DTD3).</w:t>
      </w:r>
      <w:r w:rsidR="00335B65" w:rsidRPr="00335B65">
        <w:rPr>
          <w:rFonts w:ascii="Traditional Arabic" w:hAnsi="Traditional Arabic" w:cs="Traditional Arabic"/>
        </w:rPr>
        <w:br/>
        <w:t xml:space="preserve">(4) </w:t>
      </w:r>
      <w:r w:rsidR="00335B65" w:rsidRPr="00335B65">
        <w:rPr>
          <w:rFonts w:ascii="Traditional Arabic" w:hAnsi="Traditional Arabic" w:cs="Traditional Arabic"/>
          <w:rtl/>
        </w:rPr>
        <w:t>تكامل العمليات الرقمية وتبسيط الإجراءات</w:t>
      </w:r>
      <w:r w:rsidR="00335B65" w:rsidRPr="00335B65">
        <w:rPr>
          <w:rFonts w:ascii="Traditional Arabic" w:hAnsi="Traditional Arabic" w:cs="Traditional Arabic"/>
        </w:rPr>
        <w:t xml:space="preserve"> (DTD4).</w:t>
      </w:r>
    </w:p>
    <w:p w14:paraId="4FCF83FA" w14:textId="5B1FFA2F" w:rsidR="00335B65" w:rsidRPr="00335B65" w:rsidRDefault="00335B65" w:rsidP="00335B65">
      <w:pPr>
        <w:bidi/>
        <w:spacing w:after="160" w:line="360" w:lineRule="auto"/>
        <w:divId w:val="1647278641"/>
        <w:rPr>
          <w:rFonts w:ascii="Traditional Arabic" w:hAnsi="Traditional Arabic" w:cs="Traditional Arabic" w:hint="cs"/>
          <w:rtl/>
        </w:rPr>
      </w:pPr>
      <w:r w:rsidRPr="00335B65">
        <w:rPr>
          <w:rFonts w:ascii="Traditional Arabic" w:hAnsi="Traditional Arabic" w:cs="Traditional Arabic"/>
          <w:rtl/>
        </w:rPr>
        <w:t>ويخدم إطار</w:t>
      </w:r>
      <w:r w:rsidRPr="00335B65">
        <w:rPr>
          <w:rFonts w:ascii="Traditional Arabic" w:hAnsi="Traditional Arabic" w:cs="Traditional Arabic"/>
        </w:rPr>
        <w:t xml:space="preserve"> TOE </w:t>
      </w:r>
      <w:r w:rsidRPr="00335B65">
        <w:rPr>
          <w:rFonts w:ascii="Traditional Arabic" w:hAnsi="Traditional Arabic" w:cs="Traditional Arabic"/>
          <w:rtl/>
        </w:rPr>
        <w:t>تبرير توزيع هذه الأبعاد: فـ</w:t>
      </w:r>
      <w:r w:rsidRPr="00335B65">
        <w:rPr>
          <w:rFonts w:ascii="Traditional Arabic" w:hAnsi="Traditional Arabic" w:cs="Traditional Arabic"/>
        </w:rPr>
        <w:t xml:space="preserve">DTD1 </w:t>
      </w:r>
      <w:r w:rsidRPr="00335B65">
        <w:rPr>
          <w:rFonts w:ascii="Traditional Arabic" w:hAnsi="Traditional Arabic" w:cs="Traditional Arabic"/>
          <w:rtl/>
        </w:rPr>
        <w:t>و</w:t>
      </w:r>
      <w:r w:rsidRPr="00335B65">
        <w:rPr>
          <w:rFonts w:ascii="Traditional Arabic" w:hAnsi="Traditional Arabic" w:cs="Traditional Arabic"/>
        </w:rPr>
        <w:t>DTD</w:t>
      </w:r>
      <w:proofErr w:type="gramStart"/>
      <w:r w:rsidRPr="00335B65">
        <w:rPr>
          <w:rFonts w:ascii="Traditional Arabic" w:hAnsi="Traditional Arabic" w:cs="Traditional Arabic"/>
        </w:rPr>
        <w:t xml:space="preserve">2 </w:t>
      </w:r>
      <w:r w:rsidR="00B04E3B">
        <w:rPr>
          <w:rFonts w:ascii="Traditional Arabic" w:hAnsi="Traditional Arabic" w:cs="Traditional Arabic" w:hint="cs"/>
          <w:rtl/>
        </w:rPr>
        <w:t xml:space="preserve"> </w:t>
      </w:r>
      <w:r w:rsidRPr="00335B65">
        <w:rPr>
          <w:rFonts w:ascii="Traditional Arabic" w:hAnsi="Traditional Arabic" w:cs="Traditional Arabic"/>
          <w:rtl/>
        </w:rPr>
        <w:t>يتقاطعان</w:t>
      </w:r>
      <w:proofErr w:type="gramEnd"/>
      <w:r w:rsidRPr="00335B65">
        <w:rPr>
          <w:rFonts w:ascii="Traditional Arabic" w:hAnsi="Traditional Arabic" w:cs="Traditional Arabic"/>
          <w:rtl/>
        </w:rPr>
        <w:t xml:space="preserve"> مع </w:t>
      </w:r>
      <w:r w:rsidR="002F488C">
        <w:rPr>
          <w:rFonts w:ascii="Traditional Arabic" w:hAnsi="Traditional Arabic" w:cs="Traditional Arabic"/>
          <w:rtl/>
        </w:rPr>
        <w:t>"</w:t>
      </w:r>
      <w:r w:rsidRPr="00335B65">
        <w:rPr>
          <w:rFonts w:ascii="Traditional Arabic" w:hAnsi="Traditional Arabic" w:cs="Traditional Arabic"/>
          <w:rtl/>
        </w:rPr>
        <w:t>السياق التقني</w:t>
      </w:r>
      <w:r w:rsidR="002F488C">
        <w:rPr>
          <w:rFonts w:ascii="Traditional Arabic" w:hAnsi="Traditional Arabic" w:cs="Traditional Arabic"/>
          <w:rtl/>
        </w:rPr>
        <w:t>"</w:t>
      </w:r>
      <w:r w:rsidRPr="00335B65">
        <w:rPr>
          <w:rFonts w:ascii="Traditional Arabic" w:hAnsi="Traditional Arabic" w:cs="Traditional Arabic"/>
          <w:rtl/>
        </w:rPr>
        <w:t xml:space="preserve"> (الأنظمة، نضج البنية، الموثوقية)، بينما يتقاطع</w:t>
      </w:r>
      <w:r w:rsidRPr="00335B65">
        <w:rPr>
          <w:rFonts w:ascii="Traditional Arabic" w:hAnsi="Traditional Arabic" w:cs="Traditional Arabic"/>
        </w:rPr>
        <w:t xml:space="preserve"> DTD3 </w:t>
      </w:r>
      <w:r w:rsidRPr="00335B65">
        <w:rPr>
          <w:rFonts w:ascii="Traditional Arabic" w:hAnsi="Traditional Arabic" w:cs="Traditional Arabic"/>
          <w:rtl/>
        </w:rPr>
        <w:t>و</w:t>
      </w:r>
      <w:r w:rsidR="00B04E3B">
        <w:rPr>
          <w:rFonts w:ascii="Traditional Arabic" w:hAnsi="Traditional Arabic" w:cs="Traditional Arabic"/>
        </w:rPr>
        <w:t xml:space="preserve"> </w:t>
      </w:r>
      <w:r w:rsidRPr="00335B65">
        <w:rPr>
          <w:rFonts w:ascii="Traditional Arabic" w:hAnsi="Traditional Arabic" w:cs="Traditional Arabic"/>
        </w:rPr>
        <w:t xml:space="preserve">DTD4 </w:t>
      </w:r>
      <w:r w:rsidRPr="00335B65">
        <w:rPr>
          <w:rFonts w:ascii="Traditional Arabic" w:hAnsi="Traditional Arabic" w:cs="Traditional Arabic"/>
          <w:rtl/>
        </w:rPr>
        <w:t xml:space="preserve">مع </w:t>
      </w:r>
      <w:r w:rsidR="002F488C">
        <w:rPr>
          <w:rFonts w:ascii="Traditional Arabic" w:hAnsi="Traditional Arabic" w:cs="Traditional Arabic"/>
          <w:rtl/>
        </w:rPr>
        <w:t>"</w:t>
      </w:r>
      <w:r w:rsidRPr="00335B65">
        <w:rPr>
          <w:rFonts w:ascii="Traditional Arabic" w:hAnsi="Traditional Arabic" w:cs="Traditional Arabic"/>
          <w:rtl/>
        </w:rPr>
        <w:t>السياق التنظيمي</w:t>
      </w:r>
      <w:r w:rsidR="002F488C">
        <w:rPr>
          <w:rFonts w:ascii="Traditional Arabic" w:hAnsi="Traditional Arabic" w:cs="Traditional Arabic"/>
          <w:rtl/>
        </w:rPr>
        <w:t>"</w:t>
      </w:r>
      <w:r w:rsidRPr="00335B65">
        <w:rPr>
          <w:rFonts w:ascii="Traditional Arabic" w:hAnsi="Traditional Arabic" w:cs="Traditional Arabic"/>
          <w:rtl/>
        </w:rPr>
        <w:t xml:space="preserve"> (الدعم، التدريب، تصميم العمليات، الهيكل)، مع الإقرار بتأثير السياق البيئي (اللوائح/الامتثال/الحوكمة) كخلفية تفسيرية للقطاع العام دون تحويله بالضرورة إلى متغير مباشر ما لم تتضمنه أداة القياس</w:t>
      </w:r>
      <w:r w:rsidRPr="00335B65">
        <w:rPr>
          <w:rFonts w:ascii="Traditional Arabic" w:hAnsi="Traditional Arabic" w:cs="Traditional Arabic"/>
        </w:rPr>
        <w:t xml:space="preserve"> </w:t>
      </w:r>
      <w:proofErr w:type="spellStart"/>
      <w:r w:rsidRPr="00335B65">
        <w:rPr>
          <w:rFonts w:ascii="Traditional Arabic" w:hAnsi="Traditional Arabic" w:cs="Traditional Arabic"/>
        </w:rPr>
        <w:t>Tornatzky</w:t>
      </w:r>
      <w:proofErr w:type="spellEnd"/>
      <w:r w:rsidRPr="00335B65">
        <w:rPr>
          <w:rFonts w:ascii="Traditional Arabic" w:hAnsi="Traditional Arabic" w:cs="Traditional Arabic"/>
        </w:rPr>
        <w:t xml:space="preserve"> &amp; Fleischer, 1990</w:t>
      </w:r>
      <w:r w:rsidR="00B04E3B">
        <w:rPr>
          <w:rFonts w:ascii="Traditional Arabic" w:hAnsi="Traditional Arabic" w:cs="Traditional Arabic"/>
        </w:rPr>
        <w:t xml:space="preserve">) </w:t>
      </w:r>
      <w:r w:rsidRPr="00335B65">
        <w:rPr>
          <w:rFonts w:ascii="Traditional Arabic" w:hAnsi="Traditional Arabic" w:cs="Traditional Arabic"/>
          <w:rtl/>
        </w:rPr>
        <w:t>؛</w:t>
      </w:r>
      <w:r w:rsidRPr="00335B65">
        <w:rPr>
          <w:rFonts w:ascii="Traditional Arabic" w:hAnsi="Traditional Arabic" w:cs="Traditional Arabic"/>
        </w:rPr>
        <w:t xml:space="preserve"> Oliveira &amp; Martins, 2011</w:t>
      </w:r>
      <w:r w:rsidR="00B04E3B">
        <w:rPr>
          <w:rFonts w:ascii="Traditional Arabic" w:hAnsi="Traditional Arabic" w:cs="Traditional Arabic" w:hint="cs"/>
          <w:rtl/>
        </w:rPr>
        <w:t>).</w:t>
      </w:r>
    </w:p>
    <w:p w14:paraId="6706EB67" w14:textId="1BFD4268" w:rsidR="00335B65" w:rsidRPr="00335B65" w:rsidRDefault="00335B65" w:rsidP="00335B65">
      <w:pPr>
        <w:bidi/>
        <w:spacing w:after="160" w:line="360" w:lineRule="auto"/>
        <w:divId w:val="1647278641"/>
        <w:rPr>
          <w:rFonts w:ascii="Traditional Arabic" w:hAnsi="Traditional Arabic" w:cs="Traditional Arabic"/>
        </w:rPr>
      </w:pPr>
      <w:r w:rsidRPr="00335B65">
        <w:rPr>
          <w:rFonts w:ascii="Traditional Arabic" w:hAnsi="Traditional Arabic" w:cs="Traditional Arabic"/>
          <w:rtl/>
        </w:rPr>
        <w:lastRenderedPageBreak/>
        <w:t>ويُفترض مسار سببي أولي في أن تحسن هذه الأبعاد يرتبط بارتفاع الرضا الوظيفي</w:t>
      </w:r>
      <w:r w:rsidRPr="00335B65">
        <w:rPr>
          <w:rFonts w:ascii="Traditional Arabic" w:hAnsi="Traditional Arabic" w:cs="Traditional Arabic"/>
        </w:rPr>
        <w:t xml:space="preserve"> (H1a–H1d)</w:t>
      </w:r>
      <w:r w:rsidRPr="00335B65">
        <w:rPr>
          <w:rFonts w:ascii="Traditional Arabic" w:hAnsi="Traditional Arabic" w:cs="Traditional Arabic"/>
          <w:rtl/>
        </w:rPr>
        <w:t>، مع آليات تفسيرية عبر</w:t>
      </w:r>
      <w:r w:rsidRPr="00335B65">
        <w:rPr>
          <w:rFonts w:ascii="Traditional Arabic" w:hAnsi="Traditional Arabic" w:cs="Traditional Arabic"/>
        </w:rPr>
        <w:t xml:space="preserve"> TAM </w:t>
      </w:r>
      <w:r w:rsidRPr="00335B65">
        <w:rPr>
          <w:rFonts w:ascii="Traditional Arabic" w:hAnsi="Traditional Arabic" w:cs="Traditional Arabic"/>
          <w:rtl/>
        </w:rPr>
        <w:t>و</w:t>
      </w:r>
      <w:r w:rsidRPr="00335B65">
        <w:rPr>
          <w:rFonts w:ascii="Traditional Arabic" w:hAnsi="Traditional Arabic" w:cs="Traditional Arabic"/>
        </w:rPr>
        <w:t>Technostress (H2–H3)</w:t>
      </w:r>
      <w:r w:rsidRPr="00335B65">
        <w:rPr>
          <w:rFonts w:ascii="Traditional Arabic" w:hAnsi="Traditional Arabic" w:cs="Traditional Arabic"/>
          <w:rtl/>
        </w:rPr>
        <w:t xml:space="preserve">؛ إذ يتوقع أن يتحول التحول الرقمي </w:t>
      </w:r>
      <w:r w:rsidR="002F488C">
        <w:rPr>
          <w:rFonts w:ascii="Traditional Arabic" w:hAnsi="Traditional Arabic" w:cs="Traditional Arabic"/>
          <w:rtl/>
        </w:rPr>
        <w:t>"</w:t>
      </w:r>
      <w:r w:rsidRPr="00335B65">
        <w:rPr>
          <w:rFonts w:ascii="Traditional Arabic" w:hAnsi="Traditional Arabic" w:cs="Traditional Arabic"/>
          <w:rtl/>
        </w:rPr>
        <w:t>الجيد</w:t>
      </w:r>
      <w:r w:rsidR="002F488C">
        <w:rPr>
          <w:rFonts w:ascii="Traditional Arabic" w:hAnsi="Traditional Arabic" w:cs="Traditional Arabic"/>
          <w:rtl/>
        </w:rPr>
        <w:t>"</w:t>
      </w:r>
      <w:r w:rsidRPr="00335B65">
        <w:rPr>
          <w:rFonts w:ascii="Traditional Arabic" w:hAnsi="Traditional Arabic" w:cs="Traditional Arabic"/>
          <w:rtl/>
        </w:rPr>
        <w:t xml:space="preserve"> (كفاءة/دعم/تكامل) إلى خبرة عمل رقمية أكثر سلاسة، في حين يمكن للتحول </w:t>
      </w:r>
      <w:r w:rsidR="002F488C">
        <w:rPr>
          <w:rFonts w:ascii="Traditional Arabic" w:hAnsi="Traditional Arabic" w:cs="Traditional Arabic"/>
          <w:rtl/>
        </w:rPr>
        <w:t>"</w:t>
      </w:r>
      <w:r w:rsidRPr="00335B65">
        <w:rPr>
          <w:rFonts w:ascii="Traditional Arabic" w:hAnsi="Traditional Arabic" w:cs="Traditional Arabic"/>
          <w:rtl/>
        </w:rPr>
        <w:t>غير المكتمل</w:t>
      </w:r>
      <w:r w:rsidR="002F488C">
        <w:rPr>
          <w:rFonts w:ascii="Traditional Arabic" w:hAnsi="Traditional Arabic" w:cs="Traditional Arabic"/>
          <w:rtl/>
        </w:rPr>
        <w:t>"</w:t>
      </w:r>
      <w:r w:rsidRPr="00335B65">
        <w:rPr>
          <w:rFonts w:ascii="Traditional Arabic" w:hAnsi="Traditional Arabic" w:cs="Traditional Arabic"/>
          <w:rtl/>
        </w:rPr>
        <w:t xml:space="preserve"> (ضعف دعم/تعقيد/تشظي أنظمة) أن يرفع صانعات الإجهاد ويضعف الرضا</w:t>
      </w:r>
      <w:r w:rsidRPr="00335B65">
        <w:rPr>
          <w:rFonts w:ascii="Traditional Arabic" w:hAnsi="Traditional Arabic" w:cs="Traditional Arabic"/>
        </w:rPr>
        <w:t>.</w:t>
      </w:r>
    </w:p>
    <w:p w14:paraId="0F81C99A" w14:textId="1123DC58" w:rsidR="00335B65" w:rsidRDefault="00335B65" w:rsidP="00335B65">
      <w:pPr>
        <w:bidi/>
        <w:spacing w:after="160" w:line="360" w:lineRule="auto"/>
        <w:divId w:val="1647278641"/>
        <w:rPr>
          <w:rFonts w:ascii="Traditional Arabic" w:hAnsi="Traditional Arabic" w:cs="Traditional Arabic"/>
          <w:rtl/>
        </w:rPr>
      </w:pPr>
      <w:r w:rsidRPr="00335B65">
        <w:rPr>
          <w:rFonts w:ascii="Traditional Arabic" w:hAnsi="Traditional Arabic" w:cs="Traditional Arabic"/>
          <w:rtl/>
        </w:rPr>
        <w:t xml:space="preserve">ورد في بعض نصوص الخطة/التعاريف الإجرائية السابقة إدراج </w:t>
      </w:r>
      <w:r w:rsidR="002F488C">
        <w:rPr>
          <w:rFonts w:ascii="Traditional Arabic" w:hAnsi="Traditional Arabic" w:cs="Traditional Arabic"/>
          <w:rtl/>
        </w:rPr>
        <w:t>"</w:t>
      </w:r>
      <w:r w:rsidRPr="00335B65">
        <w:rPr>
          <w:rFonts w:ascii="Traditional Arabic" w:hAnsi="Traditional Arabic" w:cs="Traditional Arabic"/>
          <w:rtl/>
        </w:rPr>
        <w:t>التحديات التقنية</w:t>
      </w:r>
      <w:r w:rsidR="002F488C">
        <w:rPr>
          <w:rFonts w:ascii="Traditional Arabic" w:hAnsi="Traditional Arabic" w:cs="Traditional Arabic"/>
          <w:rtl/>
        </w:rPr>
        <w:t>"</w:t>
      </w:r>
      <w:r w:rsidRPr="00335B65">
        <w:rPr>
          <w:rFonts w:ascii="Traditional Arabic" w:hAnsi="Traditional Arabic" w:cs="Traditional Arabic"/>
          <w:rtl/>
        </w:rPr>
        <w:t xml:space="preserve"> ضمن أبعاد التحول الرقمي، بينما تُبنى فرضيات الدراسة</w:t>
      </w:r>
      <w:r w:rsidRPr="00335B65">
        <w:rPr>
          <w:rFonts w:ascii="Traditional Arabic" w:hAnsi="Traditional Arabic" w:cs="Traditional Arabic"/>
        </w:rPr>
        <w:t xml:space="preserve"> (H1a–H1d) </w:t>
      </w:r>
      <w:r w:rsidRPr="00335B65">
        <w:rPr>
          <w:rFonts w:ascii="Traditional Arabic" w:hAnsi="Traditional Arabic" w:cs="Traditional Arabic"/>
          <w:rtl/>
        </w:rPr>
        <w:t xml:space="preserve">على </w:t>
      </w:r>
      <w:r w:rsidR="002F488C">
        <w:rPr>
          <w:rFonts w:ascii="Traditional Arabic" w:hAnsi="Traditional Arabic" w:cs="Traditional Arabic"/>
          <w:rtl/>
        </w:rPr>
        <w:t>"</w:t>
      </w:r>
      <w:r w:rsidRPr="00335B65">
        <w:rPr>
          <w:rFonts w:ascii="Traditional Arabic" w:hAnsi="Traditional Arabic" w:cs="Traditional Arabic"/>
          <w:rtl/>
        </w:rPr>
        <w:t>التكامل والتبسيط</w:t>
      </w:r>
      <w:r w:rsidR="002F488C">
        <w:rPr>
          <w:rFonts w:ascii="Traditional Arabic" w:hAnsi="Traditional Arabic" w:cs="Traditional Arabic"/>
          <w:rtl/>
        </w:rPr>
        <w:t>"</w:t>
      </w:r>
      <w:r w:rsidRPr="00335B65">
        <w:rPr>
          <w:rFonts w:ascii="Traditional Arabic" w:hAnsi="Traditional Arabic" w:cs="Traditional Arabic"/>
          <w:rtl/>
        </w:rPr>
        <w:t xml:space="preserve"> كبعد رابع. ويستلزم الاتساق النهائي حسم موقع </w:t>
      </w:r>
      <w:r w:rsidR="002F488C">
        <w:rPr>
          <w:rFonts w:ascii="Traditional Arabic" w:hAnsi="Traditional Arabic" w:cs="Traditional Arabic"/>
          <w:rtl/>
        </w:rPr>
        <w:t>"</w:t>
      </w:r>
      <w:r w:rsidRPr="00335B65">
        <w:rPr>
          <w:rFonts w:ascii="Traditional Arabic" w:hAnsi="Traditional Arabic" w:cs="Traditional Arabic"/>
          <w:rtl/>
        </w:rPr>
        <w:t>التحديات التقنية</w:t>
      </w:r>
      <w:r w:rsidR="002F488C">
        <w:rPr>
          <w:rFonts w:ascii="Traditional Arabic" w:hAnsi="Traditional Arabic" w:cs="Traditional Arabic"/>
          <w:rtl/>
        </w:rPr>
        <w:t>"</w:t>
      </w:r>
      <w:r w:rsidRPr="00335B65">
        <w:rPr>
          <w:rFonts w:ascii="Traditional Arabic" w:hAnsi="Traditional Arabic" w:cs="Traditional Arabic"/>
          <w:rtl/>
        </w:rPr>
        <w:t>: هل تُعامل كمؤشرات عكسية ضمن</w:t>
      </w:r>
      <w:r w:rsidRPr="00335B65">
        <w:rPr>
          <w:rFonts w:ascii="Traditional Arabic" w:hAnsi="Traditional Arabic" w:cs="Traditional Arabic"/>
        </w:rPr>
        <w:t xml:space="preserve"> DTD2 </w:t>
      </w:r>
      <w:r w:rsidRPr="00335B65">
        <w:rPr>
          <w:rFonts w:ascii="Traditional Arabic" w:hAnsi="Traditional Arabic" w:cs="Traditional Arabic"/>
          <w:rtl/>
        </w:rPr>
        <w:t>(كفاءة الأنظمة)، أم كمثيرات ضمن</w:t>
      </w:r>
      <w:r w:rsidRPr="00335B65">
        <w:rPr>
          <w:rFonts w:ascii="Traditional Arabic" w:hAnsi="Traditional Arabic" w:cs="Traditional Arabic"/>
        </w:rPr>
        <w:t xml:space="preserve"> </w:t>
      </w:r>
      <w:proofErr w:type="gramStart"/>
      <w:r w:rsidRPr="00335B65">
        <w:rPr>
          <w:rFonts w:ascii="Traditional Arabic" w:hAnsi="Traditional Arabic" w:cs="Traditional Arabic"/>
        </w:rPr>
        <w:t>Technostress</w:t>
      </w:r>
      <w:r w:rsidR="00B04E3B">
        <w:rPr>
          <w:rFonts w:ascii="Traditional Arabic" w:hAnsi="Traditional Arabic" w:cs="Traditional Arabic"/>
        </w:rPr>
        <w:t xml:space="preserve"> </w:t>
      </w:r>
      <w:r w:rsidRPr="00335B65">
        <w:rPr>
          <w:rFonts w:ascii="Traditional Arabic" w:hAnsi="Traditional Arabic" w:cs="Traditional Arabic"/>
          <w:rtl/>
        </w:rPr>
        <w:t>،</w:t>
      </w:r>
      <w:proofErr w:type="gramEnd"/>
      <w:r w:rsidRPr="00335B65">
        <w:rPr>
          <w:rFonts w:ascii="Traditional Arabic" w:hAnsi="Traditional Arabic" w:cs="Traditional Arabic"/>
          <w:rtl/>
        </w:rPr>
        <w:t xml:space="preserve"> أم كبعد مستقل خارج</w:t>
      </w:r>
      <w:r w:rsidRPr="00335B65">
        <w:rPr>
          <w:rFonts w:ascii="Traditional Arabic" w:hAnsi="Traditional Arabic" w:cs="Traditional Arabic"/>
        </w:rPr>
        <w:t xml:space="preserve"> H1</w:t>
      </w:r>
      <w:r w:rsidRPr="00335B65">
        <w:rPr>
          <w:rFonts w:ascii="Traditional Arabic" w:hAnsi="Traditional Arabic" w:cs="Traditional Arabic"/>
          <w:rtl/>
        </w:rPr>
        <w:t>؟</w:t>
      </w:r>
    </w:p>
    <w:p w14:paraId="21A7D44A" w14:textId="3E87D1A8" w:rsidR="0062755D" w:rsidRDefault="0062755D" w:rsidP="0062755D">
      <w:pPr>
        <w:bidi/>
        <w:spacing w:after="160" w:line="360" w:lineRule="auto"/>
        <w:divId w:val="1647278641"/>
        <w:rPr>
          <w:rFonts w:ascii="Traditional Arabic" w:hAnsi="Traditional Arabic" w:cs="Traditional Arabic"/>
          <w:rtl/>
        </w:rPr>
      </w:pPr>
    </w:p>
    <w:tbl>
      <w:tblPr>
        <w:tblStyle w:val="GridTable5Dark-Accent3"/>
        <w:tblpPr w:leftFromText="180" w:rightFromText="180" w:vertAnchor="page" w:horzAnchor="margin" w:tblpY="2155"/>
        <w:bidiVisual/>
        <w:tblW w:w="9566" w:type="dxa"/>
        <w:tblLayout w:type="fixed"/>
        <w:tblLook w:val="04A0" w:firstRow="1" w:lastRow="0" w:firstColumn="1" w:lastColumn="0" w:noHBand="0" w:noVBand="1"/>
      </w:tblPr>
      <w:tblGrid>
        <w:gridCol w:w="1594"/>
        <w:gridCol w:w="1594"/>
        <w:gridCol w:w="1595"/>
        <w:gridCol w:w="1594"/>
        <w:gridCol w:w="1594"/>
        <w:gridCol w:w="1595"/>
      </w:tblGrid>
      <w:tr w:rsidR="0062755D" w:rsidRPr="007C2480" w14:paraId="31F0AE09" w14:textId="77777777" w:rsidTr="0062755D">
        <w:trPr>
          <w:cnfStyle w:val="100000000000" w:firstRow="1" w:lastRow="0" w:firstColumn="0" w:lastColumn="0" w:oddVBand="0" w:evenVBand="0" w:oddHBand="0" w:evenHBand="0" w:firstRowFirstColumn="0" w:firstRowLastColumn="0" w:lastRowFirstColumn="0" w:lastRowLastColumn="0"/>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688DB24C" w14:textId="77777777" w:rsidR="0062755D" w:rsidRPr="007C2480" w:rsidRDefault="0062755D" w:rsidP="007C5230">
            <w:pPr>
              <w:spacing w:line="360" w:lineRule="auto"/>
              <w:jc w:val="center"/>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lastRenderedPageBreak/>
              <w:t>بُعد التحول الرقمي المؤسسي</w:t>
            </w:r>
            <w:r w:rsidRPr="007C2480">
              <w:rPr>
                <w:rFonts w:ascii="Traditional Arabic" w:eastAsia="Times New Roman" w:hAnsi="Traditional Arabic" w:cs="Traditional Arabic"/>
                <w:b w:val="0"/>
                <w:bCs w:val="0"/>
              </w:rPr>
              <w:t xml:space="preserve"> (DTD)</w:t>
            </w:r>
          </w:p>
        </w:tc>
        <w:tc>
          <w:tcPr>
            <w:tcW w:w="1594" w:type="dxa"/>
            <w:vAlign w:val="center"/>
            <w:hideMark/>
          </w:tcPr>
          <w:p w14:paraId="1EFDEC65" w14:textId="77777777" w:rsidR="0062755D" w:rsidRPr="007C2480" w:rsidRDefault="0062755D" w:rsidP="007C5230">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t>مضمون البعد (تعريف إجرائي موجز)</w:t>
            </w:r>
          </w:p>
        </w:tc>
        <w:tc>
          <w:tcPr>
            <w:tcW w:w="1595" w:type="dxa"/>
            <w:vAlign w:val="center"/>
            <w:hideMark/>
          </w:tcPr>
          <w:p w14:paraId="0E62AFEB" w14:textId="77777777" w:rsidR="0062755D" w:rsidRPr="007C2480" w:rsidRDefault="0062755D" w:rsidP="007C5230">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t>الأثر المتوقع على</w:t>
            </w:r>
            <w:r w:rsidRPr="007C2480">
              <w:rPr>
                <w:rFonts w:ascii="Traditional Arabic" w:eastAsia="Times New Roman" w:hAnsi="Traditional Arabic" w:cs="Traditional Arabic"/>
                <w:b w:val="0"/>
                <w:bCs w:val="0"/>
              </w:rPr>
              <w:t xml:space="preserve"> TAM (PU/PEOU)</w:t>
            </w:r>
          </w:p>
        </w:tc>
        <w:tc>
          <w:tcPr>
            <w:tcW w:w="1594" w:type="dxa"/>
            <w:vAlign w:val="center"/>
            <w:hideMark/>
          </w:tcPr>
          <w:p w14:paraId="7B0379F3" w14:textId="77777777" w:rsidR="0062755D" w:rsidRPr="007C2480" w:rsidRDefault="0062755D" w:rsidP="007C5230">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t>الأثر المتوقع على</w:t>
            </w:r>
            <w:r w:rsidRPr="007C2480">
              <w:rPr>
                <w:rFonts w:ascii="Traditional Arabic" w:eastAsia="Times New Roman" w:hAnsi="Traditional Arabic" w:cs="Traditional Arabic"/>
                <w:b w:val="0"/>
                <w:bCs w:val="0"/>
              </w:rPr>
              <w:t xml:space="preserve"> Technostress</w:t>
            </w:r>
          </w:p>
        </w:tc>
        <w:tc>
          <w:tcPr>
            <w:tcW w:w="1594" w:type="dxa"/>
            <w:vAlign w:val="center"/>
            <w:hideMark/>
          </w:tcPr>
          <w:p w14:paraId="4F6A463A" w14:textId="77777777" w:rsidR="0062755D" w:rsidRPr="007C2480" w:rsidRDefault="0062755D" w:rsidP="007C5230">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t>الأثر المتوقع على</w:t>
            </w:r>
            <w:r w:rsidRPr="007C2480">
              <w:rPr>
                <w:rFonts w:ascii="Traditional Arabic" w:eastAsia="Times New Roman" w:hAnsi="Traditional Arabic" w:cs="Traditional Arabic"/>
                <w:b w:val="0"/>
                <w:bCs w:val="0"/>
              </w:rPr>
              <w:t xml:space="preserve"> JS</w:t>
            </w:r>
          </w:p>
        </w:tc>
        <w:tc>
          <w:tcPr>
            <w:tcW w:w="1595" w:type="dxa"/>
            <w:vAlign w:val="center"/>
            <w:hideMark/>
          </w:tcPr>
          <w:p w14:paraId="3B150F17" w14:textId="77777777" w:rsidR="0062755D" w:rsidRPr="007C2480" w:rsidRDefault="0062755D" w:rsidP="007C5230">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t>أمثلة توثيق داخل المتن</w:t>
            </w:r>
          </w:p>
        </w:tc>
      </w:tr>
      <w:tr w:rsidR="0062755D" w:rsidRPr="007C2480" w14:paraId="33AA9B1E" w14:textId="77777777" w:rsidTr="0062755D">
        <w:trPr>
          <w:cnfStyle w:val="000000100000" w:firstRow="0" w:lastRow="0" w:firstColumn="0" w:lastColumn="0" w:oddVBand="0" w:evenVBand="0" w:oddHBand="1" w:evenHBand="0" w:firstRowFirstColumn="0" w:firstRowLastColumn="0" w:lastRowFirstColumn="0" w:lastRowLastColumn="0"/>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79517073" w14:textId="77777777" w:rsidR="0062755D" w:rsidRPr="007C2480" w:rsidRDefault="0062755D" w:rsidP="007C5230">
            <w:pPr>
              <w:spacing w:line="360" w:lineRule="auto"/>
              <w:jc w:val="center"/>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Pr>
              <w:t xml:space="preserve">DTD1 </w:t>
            </w:r>
            <w:r w:rsidRPr="007C2480">
              <w:rPr>
                <w:rFonts w:ascii="Traditional Arabic" w:eastAsia="Times New Roman" w:hAnsi="Traditional Arabic" w:cs="Traditional Arabic"/>
                <w:b w:val="0"/>
                <w:bCs w:val="0"/>
                <w:rtl/>
              </w:rPr>
              <w:t>توفر/انتشار الأنظمة</w:t>
            </w:r>
          </w:p>
        </w:tc>
        <w:tc>
          <w:tcPr>
            <w:tcW w:w="1594" w:type="dxa"/>
            <w:vAlign w:val="center"/>
            <w:hideMark/>
          </w:tcPr>
          <w:p w14:paraId="4453DC2B"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مدى شمول الأنظمة الرقمية لمعاملات الموظف واستخدامها اليومي</w:t>
            </w:r>
          </w:p>
        </w:tc>
        <w:tc>
          <w:tcPr>
            <w:tcW w:w="1595" w:type="dxa"/>
            <w:vAlign w:val="center"/>
            <w:hideMark/>
          </w:tcPr>
          <w:p w14:paraId="60324924"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عبر تقليل الاعتماد على بدائل مرهقة/يدوية</w:t>
            </w:r>
          </w:p>
        </w:tc>
        <w:tc>
          <w:tcPr>
            <w:tcW w:w="1594" w:type="dxa"/>
            <w:vAlign w:val="center"/>
            <w:hideMark/>
          </w:tcPr>
          <w:p w14:paraId="042CDD06"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قد</w:t>
            </w:r>
            <w:r w:rsidRPr="007C2480">
              <w:rPr>
                <w:rFonts w:ascii="Traditional Arabic" w:eastAsia="Times New Roman" w:hAnsi="Traditional Arabic" w:cs="Traditional Arabic"/>
              </w:rPr>
              <w:t xml:space="preserve"> </w:t>
            </w:r>
            <w:r w:rsidRPr="007C2480">
              <w:rPr>
                <w:rFonts w:eastAsia="Times New Roman"/>
              </w:rPr>
              <w:t>↓</w:t>
            </w:r>
            <w:r w:rsidRPr="007C2480">
              <w:rPr>
                <w:rFonts w:ascii="Traditional Arabic" w:eastAsia="Times New Roman" w:hAnsi="Traditional Arabic" w:cs="Traditional Arabic"/>
              </w:rPr>
              <w:t xml:space="preserve"> overload </w:t>
            </w:r>
            <w:r w:rsidRPr="007C2480">
              <w:rPr>
                <w:rFonts w:ascii="Traditional Arabic" w:eastAsia="Times New Roman" w:hAnsi="Traditional Arabic" w:cs="Traditional Arabic"/>
                <w:rtl/>
              </w:rPr>
              <w:t xml:space="preserve">عبر تنظيم العمل، أو </w:t>
            </w:r>
            <w:r w:rsidRPr="007C2480">
              <w:rPr>
                <w:rFonts w:eastAsia="Times New Roman" w:hint="cs"/>
                <w:rtl/>
              </w:rPr>
              <w:t>↑</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إذا</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صاحبته</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كثافة</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أدوات</w:t>
            </w:r>
          </w:p>
        </w:tc>
        <w:tc>
          <w:tcPr>
            <w:tcW w:w="1594" w:type="dxa"/>
            <w:vAlign w:val="center"/>
            <w:hideMark/>
          </w:tcPr>
          <w:p w14:paraId="4827D4B8"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 xml:space="preserve">غالبًا </w:t>
            </w:r>
            <w:r w:rsidRPr="007C2480">
              <w:rPr>
                <w:rFonts w:eastAsia="Times New Roman" w:hint="cs"/>
                <w:rtl/>
              </w:rPr>
              <w:t>↑</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عبر</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إحساس</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الإنجاز</w:t>
            </w:r>
            <w:r w:rsidRPr="007C2480">
              <w:rPr>
                <w:rFonts w:ascii="Traditional Arabic" w:eastAsia="Times New Roman" w:hAnsi="Traditional Arabic" w:cs="Traditional Arabic"/>
                <w:rtl/>
              </w:rPr>
              <w:t>/</w:t>
            </w:r>
            <w:r w:rsidRPr="007C2480">
              <w:rPr>
                <w:rFonts w:ascii="Traditional Arabic" w:eastAsia="Times New Roman" w:hAnsi="Traditional Arabic" w:cs="Traditional Arabic" w:hint="cs"/>
                <w:rtl/>
              </w:rPr>
              <w:t>السرعة</w:t>
            </w:r>
          </w:p>
        </w:tc>
        <w:tc>
          <w:tcPr>
            <w:tcW w:w="1595" w:type="dxa"/>
            <w:vAlign w:val="center"/>
            <w:hideMark/>
          </w:tcPr>
          <w:p w14:paraId="3B1870C2"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(Vial, 2019)</w:t>
            </w:r>
          </w:p>
        </w:tc>
      </w:tr>
      <w:tr w:rsidR="0062755D" w:rsidRPr="007C2480" w14:paraId="2DB13048" w14:textId="77777777" w:rsidTr="0062755D">
        <w:trPr>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330DA32B" w14:textId="77777777" w:rsidR="0062755D" w:rsidRPr="007C2480" w:rsidRDefault="0062755D" w:rsidP="007C5230">
            <w:pPr>
              <w:spacing w:line="360" w:lineRule="auto"/>
              <w:jc w:val="center"/>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Pr>
              <w:t xml:space="preserve">DTD2 </w:t>
            </w:r>
            <w:r w:rsidRPr="007C2480">
              <w:rPr>
                <w:rFonts w:ascii="Traditional Arabic" w:eastAsia="Times New Roman" w:hAnsi="Traditional Arabic" w:cs="Traditional Arabic"/>
                <w:b w:val="0"/>
                <w:bCs w:val="0"/>
                <w:rtl/>
              </w:rPr>
              <w:t>كفاءة الأنظمة والعمليات</w:t>
            </w:r>
          </w:p>
        </w:tc>
        <w:tc>
          <w:tcPr>
            <w:tcW w:w="1594" w:type="dxa"/>
            <w:vAlign w:val="center"/>
            <w:hideMark/>
          </w:tcPr>
          <w:p w14:paraId="2D397739"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الاستقرار، سرعة الاستجابة، تقليل الأخطاء، وضوح التدفق</w:t>
            </w:r>
          </w:p>
        </w:tc>
        <w:tc>
          <w:tcPr>
            <w:tcW w:w="1595" w:type="dxa"/>
            <w:vAlign w:val="center"/>
            <w:hideMark/>
          </w:tcPr>
          <w:p w14:paraId="109F8DF1"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(تحسن الأداء) و</w:t>
            </w: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سلاسة الاستخدام</w:t>
            </w:r>
            <w:r w:rsidRPr="007C2480">
              <w:rPr>
                <w:rFonts w:ascii="Traditional Arabic" w:eastAsia="Times New Roman" w:hAnsi="Traditional Arabic" w:cs="Traditional Arabic"/>
              </w:rPr>
              <w:t>)</w:t>
            </w:r>
          </w:p>
        </w:tc>
        <w:tc>
          <w:tcPr>
            <w:tcW w:w="1594" w:type="dxa"/>
            <w:vAlign w:val="center"/>
            <w:hideMark/>
          </w:tcPr>
          <w:p w14:paraId="54150DEC"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complexity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uncertainty </w:t>
            </w:r>
            <w:r w:rsidRPr="007C2480">
              <w:rPr>
                <w:rFonts w:ascii="Traditional Arabic" w:eastAsia="Times New Roman" w:hAnsi="Traditional Arabic" w:cs="Traditional Arabic"/>
                <w:rtl/>
              </w:rPr>
              <w:t>إذا تحسن الاستقرار</w:t>
            </w:r>
          </w:p>
        </w:tc>
        <w:tc>
          <w:tcPr>
            <w:tcW w:w="1594" w:type="dxa"/>
            <w:vAlign w:val="center"/>
            <w:hideMark/>
          </w:tcPr>
          <w:p w14:paraId="46C3F97D"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w:t>
            </w:r>
            <w:r w:rsidRPr="007C2480">
              <w:rPr>
                <w:rFonts w:ascii="Traditional Arabic" w:eastAsia="Times New Roman" w:hAnsi="Traditional Arabic" w:cs="Traditional Arabic"/>
                <w:rtl/>
              </w:rPr>
              <w:t>عبر الإنتاجية وثراء العمل، مع الحذر من ضغط الوقت</w:t>
            </w:r>
          </w:p>
        </w:tc>
        <w:tc>
          <w:tcPr>
            <w:tcW w:w="1595" w:type="dxa"/>
            <w:vAlign w:val="center"/>
            <w:hideMark/>
          </w:tcPr>
          <w:p w14:paraId="674719AF"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w:t>
            </w:r>
            <w:proofErr w:type="spellStart"/>
            <w:r w:rsidRPr="007C2480">
              <w:rPr>
                <w:rFonts w:ascii="Traditional Arabic" w:eastAsia="Times New Roman" w:hAnsi="Traditional Arabic" w:cs="Traditional Arabic"/>
              </w:rPr>
              <w:t>Bolli</w:t>
            </w:r>
            <w:proofErr w:type="spellEnd"/>
            <w:r w:rsidRPr="007C2480">
              <w:rPr>
                <w:rFonts w:ascii="Traditional Arabic" w:eastAsia="Times New Roman" w:hAnsi="Traditional Arabic" w:cs="Traditional Arabic"/>
              </w:rPr>
              <w:t xml:space="preserve"> &amp; </w:t>
            </w:r>
            <w:proofErr w:type="spellStart"/>
            <w:r w:rsidRPr="007C2480">
              <w:rPr>
                <w:rFonts w:ascii="Traditional Arabic" w:eastAsia="Times New Roman" w:hAnsi="Traditional Arabic" w:cs="Traditional Arabic"/>
              </w:rPr>
              <w:t>Pusterla</w:t>
            </w:r>
            <w:proofErr w:type="spellEnd"/>
            <w:r w:rsidRPr="007C2480">
              <w:rPr>
                <w:rFonts w:ascii="Traditional Arabic" w:eastAsia="Times New Roman" w:hAnsi="Traditional Arabic" w:cs="Traditional Arabic"/>
              </w:rPr>
              <w:t>, 2022)</w:t>
            </w:r>
          </w:p>
        </w:tc>
      </w:tr>
      <w:tr w:rsidR="0062755D" w:rsidRPr="007C2480" w14:paraId="3C93B075" w14:textId="77777777" w:rsidTr="0062755D">
        <w:trPr>
          <w:cnfStyle w:val="000000100000" w:firstRow="0" w:lastRow="0" w:firstColumn="0" w:lastColumn="0" w:oddVBand="0" w:evenVBand="0" w:oddHBand="1" w:evenHBand="0" w:firstRowFirstColumn="0" w:firstRowLastColumn="0" w:lastRowFirstColumn="0" w:lastRowLastColumn="0"/>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01960E9B" w14:textId="77777777" w:rsidR="0062755D" w:rsidRPr="007C2480" w:rsidRDefault="0062755D" w:rsidP="007C5230">
            <w:pPr>
              <w:spacing w:line="360" w:lineRule="auto"/>
              <w:jc w:val="center"/>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Pr>
              <w:t xml:space="preserve">DTD3 </w:t>
            </w:r>
            <w:r w:rsidRPr="007C2480">
              <w:rPr>
                <w:rFonts w:ascii="Traditional Arabic" w:eastAsia="Times New Roman" w:hAnsi="Traditional Arabic" w:cs="Traditional Arabic"/>
                <w:b w:val="0"/>
                <w:bCs w:val="0"/>
                <w:rtl/>
              </w:rPr>
              <w:t>جودة الدعم والتدريب</w:t>
            </w:r>
          </w:p>
        </w:tc>
        <w:tc>
          <w:tcPr>
            <w:tcW w:w="1594" w:type="dxa"/>
            <w:vAlign w:val="center"/>
            <w:hideMark/>
          </w:tcPr>
          <w:p w14:paraId="74BAF89E"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التدريب، قنوات المساعدة، الاستجابة للأعطال</w:t>
            </w:r>
          </w:p>
        </w:tc>
        <w:tc>
          <w:tcPr>
            <w:tcW w:w="1595" w:type="dxa"/>
            <w:vAlign w:val="center"/>
            <w:hideMark/>
          </w:tcPr>
          <w:p w14:paraId="43E0BAF6"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(تعلم أسهل) و</w:t>
            </w: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عبر الاستخدام الفعال</w:t>
            </w:r>
          </w:p>
        </w:tc>
        <w:tc>
          <w:tcPr>
            <w:tcW w:w="1594" w:type="dxa"/>
            <w:vAlign w:val="center"/>
            <w:hideMark/>
          </w:tcPr>
          <w:p w14:paraId="1F715499"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overload/complexity </w:t>
            </w:r>
            <w:r w:rsidRPr="007C2480">
              <w:rPr>
                <w:rFonts w:ascii="Traditional Arabic" w:eastAsia="Times New Roman" w:hAnsi="Traditional Arabic" w:cs="Traditional Arabic"/>
                <w:rtl/>
              </w:rPr>
              <w:t>عبر التمكين والدعم</w:t>
            </w:r>
          </w:p>
        </w:tc>
        <w:tc>
          <w:tcPr>
            <w:tcW w:w="1594" w:type="dxa"/>
            <w:vAlign w:val="center"/>
            <w:hideMark/>
          </w:tcPr>
          <w:p w14:paraId="59C73444"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w:t>
            </w:r>
            <w:r w:rsidRPr="007C2480">
              <w:rPr>
                <w:rFonts w:ascii="Traditional Arabic" w:eastAsia="Times New Roman" w:hAnsi="Traditional Arabic" w:cs="Traditional Arabic"/>
                <w:rtl/>
              </w:rPr>
              <w:t>عبر الثقة والتمكن وتقليل الإحباط</w:t>
            </w:r>
          </w:p>
        </w:tc>
        <w:tc>
          <w:tcPr>
            <w:tcW w:w="1595" w:type="dxa"/>
            <w:vAlign w:val="center"/>
            <w:hideMark/>
          </w:tcPr>
          <w:p w14:paraId="4A2D07DE"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w:t>
            </w:r>
            <w:proofErr w:type="spellStart"/>
            <w:r w:rsidRPr="007C2480">
              <w:rPr>
                <w:rFonts w:ascii="Traditional Arabic" w:eastAsia="Times New Roman" w:hAnsi="Traditional Arabic" w:cs="Traditional Arabic"/>
              </w:rPr>
              <w:t>DeLone</w:t>
            </w:r>
            <w:proofErr w:type="spellEnd"/>
            <w:r w:rsidRPr="007C2480">
              <w:rPr>
                <w:rFonts w:ascii="Traditional Arabic" w:eastAsia="Times New Roman" w:hAnsi="Traditional Arabic" w:cs="Traditional Arabic"/>
              </w:rPr>
              <w:t xml:space="preserve"> &amp; McLean, 2003</w:t>
            </w:r>
            <w:r w:rsidRPr="007C2480">
              <w:rPr>
                <w:rFonts w:ascii="Traditional Arabic" w:eastAsia="Times New Roman" w:hAnsi="Traditional Arabic" w:cs="Traditional Arabic"/>
                <w:rtl/>
              </w:rPr>
              <w:t>؛</w:t>
            </w:r>
            <w:r w:rsidRPr="007C2480">
              <w:rPr>
                <w:rFonts w:ascii="Traditional Arabic" w:eastAsia="Times New Roman" w:hAnsi="Traditional Arabic" w:cs="Traditional Arabic"/>
              </w:rPr>
              <w:t xml:space="preserve"> Kumar, 2024)</w:t>
            </w:r>
          </w:p>
        </w:tc>
      </w:tr>
      <w:tr w:rsidR="0062755D" w:rsidRPr="007C2480" w14:paraId="6B8C7982" w14:textId="77777777" w:rsidTr="0062755D">
        <w:trPr>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08E5460F" w14:textId="77777777" w:rsidR="0062755D" w:rsidRPr="007C2480" w:rsidRDefault="0062755D" w:rsidP="007C5230">
            <w:pPr>
              <w:spacing w:line="360" w:lineRule="auto"/>
              <w:jc w:val="center"/>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Pr>
              <w:t xml:space="preserve">DTD4 </w:t>
            </w:r>
            <w:r w:rsidRPr="007C2480">
              <w:rPr>
                <w:rFonts w:ascii="Traditional Arabic" w:eastAsia="Times New Roman" w:hAnsi="Traditional Arabic" w:cs="Traditional Arabic"/>
                <w:b w:val="0"/>
                <w:bCs w:val="0"/>
                <w:rtl/>
              </w:rPr>
              <w:t>التكامل والتبسيط</w:t>
            </w:r>
          </w:p>
        </w:tc>
        <w:tc>
          <w:tcPr>
            <w:tcW w:w="1594" w:type="dxa"/>
            <w:vAlign w:val="center"/>
            <w:hideMark/>
          </w:tcPr>
          <w:p w14:paraId="5EBD60D9"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التشغيل البيني وتقليل الازدواجية والخطوات</w:t>
            </w:r>
          </w:p>
        </w:tc>
        <w:tc>
          <w:tcPr>
            <w:tcW w:w="1595" w:type="dxa"/>
            <w:vAlign w:val="center"/>
            <w:hideMark/>
          </w:tcPr>
          <w:p w14:paraId="223955E7"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عبر تبسيط رحلة الإجراء</w:t>
            </w:r>
          </w:p>
        </w:tc>
        <w:tc>
          <w:tcPr>
            <w:tcW w:w="1594" w:type="dxa"/>
            <w:vAlign w:val="center"/>
            <w:hideMark/>
          </w:tcPr>
          <w:p w14:paraId="0CA13612"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overload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interruption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uncertainty</w:t>
            </w:r>
          </w:p>
        </w:tc>
        <w:tc>
          <w:tcPr>
            <w:tcW w:w="1594" w:type="dxa"/>
            <w:vAlign w:val="center"/>
            <w:hideMark/>
          </w:tcPr>
          <w:p w14:paraId="1FA3F807"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w:t>
            </w:r>
            <w:r w:rsidRPr="007C2480">
              <w:rPr>
                <w:rFonts w:ascii="Traditional Arabic" w:eastAsia="Times New Roman" w:hAnsi="Traditional Arabic" w:cs="Traditional Arabic"/>
                <w:rtl/>
              </w:rPr>
              <w:t>عبر الانسيابية وتقليل الاحتكاك البيروقراطي</w:t>
            </w:r>
          </w:p>
        </w:tc>
        <w:tc>
          <w:tcPr>
            <w:tcW w:w="1595" w:type="dxa"/>
            <w:vAlign w:val="center"/>
            <w:hideMark/>
          </w:tcPr>
          <w:p w14:paraId="706EF3D1"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w:t>
            </w:r>
            <w:proofErr w:type="spellStart"/>
            <w:r w:rsidRPr="007C2480">
              <w:rPr>
                <w:rFonts w:ascii="Traditional Arabic" w:eastAsia="Times New Roman" w:hAnsi="Traditional Arabic" w:cs="Traditional Arabic"/>
              </w:rPr>
              <w:t>Mergel</w:t>
            </w:r>
            <w:proofErr w:type="spellEnd"/>
            <w:r w:rsidRPr="007C2480">
              <w:rPr>
                <w:rFonts w:ascii="Traditional Arabic" w:eastAsia="Times New Roman" w:hAnsi="Traditional Arabic" w:cs="Traditional Arabic"/>
              </w:rPr>
              <w:t xml:space="preserve"> et al., 2019)</w:t>
            </w:r>
          </w:p>
        </w:tc>
      </w:tr>
    </w:tbl>
    <w:p w14:paraId="30D576DF" w14:textId="77777777" w:rsidR="0062755D" w:rsidRPr="00606ECD" w:rsidRDefault="0062755D" w:rsidP="00606ECD">
      <w:pPr>
        <w:bidi/>
        <w:spacing w:after="160" w:line="360" w:lineRule="auto"/>
        <w:divId w:val="1647278641"/>
        <w:rPr>
          <w:rFonts w:ascii="Traditional Arabic" w:hAnsi="Traditional Arabic" w:cs="Traditional Arabic"/>
          <w:b/>
          <w:bCs/>
          <w:lang w:bidi="ar"/>
        </w:rPr>
      </w:pPr>
      <w:r w:rsidRPr="00606ECD">
        <w:rPr>
          <w:rFonts w:ascii="Traditional Arabic" w:hAnsi="Traditional Arabic" w:cs="Traditional Arabic"/>
          <w:b/>
          <w:bCs/>
          <w:rtl/>
        </w:rPr>
        <w:t>جدول تلخيصي لعلاقة أبعاد</w:t>
      </w:r>
      <w:r w:rsidRPr="00606ECD">
        <w:rPr>
          <w:rFonts w:ascii="Traditional Arabic" w:hAnsi="Traditional Arabic" w:cs="Traditional Arabic"/>
          <w:b/>
          <w:bCs/>
          <w:lang w:bidi="ar"/>
        </w:rPr>
        <w:t xml:space="preserve"> DTD </w:t>
      </w:r>
      <w:r w:rsidRPr="00606ECD">
        <w:rPr>
          <w:rFonts w:ascii="Traditional Arabic" w:hAnsi="Traditional Arabic" w:cs="Traditional Arabic"/>
          <w:b/>
          <w:bCs/>
          <w:rtl/>
        </w:rPr>
        <w:t>بالآثار المتوقعة</w:t>
      </w:r>
    </w:p>
    <w:p w14:paraId="2DF02590" w14:textId="77777777" w:rsidR="0062755D" w:rsidRDefault="0062755D" w:rsidP="0062755D">
      <w:pPr>
        <w:bidi/>
        <w:spacing w:after="160" w:line="360" w:lineRule="auto"/>
        <w:divId w:val="1647278641"/>
        <w:rPr>
          <w:rFonts w:ascii="Traditional Arabic" w:hAnsi="Traditional Arabic" w:cs="Traditional Arabic"/>
          <w:rtl/>
        </w:rPr>
      </w:pPr>
    </w:p>
    <w:p w14:paraId="50C94E04" w14:textId="55C2D19C" w:rsidR="0062755D" w:rsidRPr="007C2480" w:rsidRDefault="0062755D" w:rsidP="0062755D">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تستند منطلقات الجدول إلى أدبيات التحول الرقمي (خصوصًا تركيزه على إعادة تصميم العمليات)، وإلى أدلة أثر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على الرضا عبر قنوات الإنتاجية وتوازن الحياة، وإلى نماذج جودة النظام/الخدمة وارتباطها بالرضا، وإلى مراجعات الإجهاد التقني التي تؤكد دور التدخلات التنظيمية (الدعم/التدريب) في التخفيف</w:t>
      </w:r>
      <w:r w:rsidRPr="007C2480">
        <w:rPr>
          <w:rFonts w:ascii="Traditional Arabic" w:hAnsi="Traditional Arabic" w:cs="Traditional Arabic"/>
          <w:lang w:bidi="ar"/>
        </w:rPr>
        <w:t>.</w:t>
      </w:r>
    </w:p>
    <w:p w14:paraId="7B82EB66" w14:textId="77777777" w:rsidR="0062755D" w:rsidRPr="0062755D" w:rsidRDefault="0062755D" w:rsidP="0062755D">
      <w:pPr>
        <w:bidi/>
        <w:spacing w:after="160" w:line="360" w:lineRule="auto"/>
        <w:divId w:val="1647278641"/>
        <w:rPr>
          <w:rFonts w:ascii="Traditional Arabic" w:hAnsi="Traditional Arabic" w:cs="Traditional Arabic"/>
        </w:rPr>
      </w:pPr>
    </w:p>
    <w:p w14:paraId="011FE41A" w14:textId="0E488081" w:rsidR="00335B65" w:rsidRPr="00335B65" w:rsidRDefault="00335B65" w:rsidP="00335B65">
      <w:pPr>
        <w:bidi/>
        <w:spacing w:after="160" w:line="360" w:lineRule="auto"/>
        <w:divId w:val="1647278641"/>
        <w:rPr>
          <w:rFonts w:ascii="Traditional Arabic" w:hAnsi="Traditional Arabic" w:cs="Traditional Arabic"/>
        </w:rPr>
      </w:pPr>
      <w:proofErr w:type="gramStart"/>
      <w:r w:rsidRPr="0062755D">
        <w:rPr>
          <w:rFonts w:ascii="Traditional Arabic" w:hAnsi="Traditional Arabic" w:cs="Traditional Arabic"/>
          <w:b/>
          <w:bCs/>
        </w:rPr>
        <w:lastRenderedPageBreak/>
        <w:t xml:space="preserve">2.1.3 </w:t>
      </w:r>
      <w:r w:rsidR="0062755D" w:rsidRPr="0062755D">
        <w:rPr>
          <w:rFonts w:ascii="Traditional Arabic" w:hAnsi="Traditional Arabic" w:cs="Traditional Arabic" w:hint="cs"/>
          <w:b/>
          <w:bCs/>
          <w:rtl/>
        </w:rPr>
        <w:t xml:space="preserve"> </w:t>
      </w:r>
      <w:r w:rsidRPr="0062755D">
        <w:rPr>
          <w:rFonts w:ascii="Traditional Arabic" w:hAnsi="Traditional Arabic" w:cs="Traditional Arabic"/>
          <w:b/>
          <w:bCs/>
          <w:rtl/>
        </w:rPr>
        <w:t>الرضا</w:t>
      </w:r>
      <w:proofErr w:type="gramEnd"/>
      <w:r w:rsidRPr="0062755D">
        <w:rPr>
          <w:rFonts w:ascii="Traditional Arabic" w:hAnsi="Traditional Arabic" w:cs="Traditional Arabic"/>
          <w:b/>
          <w:bCs/>
          <w:rtl/>
        </w:rPr>
        <w:t xml:space="preserve"> الوظيفي في بيئة العمل الرقمية</w:t>
      </w:r>
      <w:r w:rsidRPr="00335B65">
        <w:rPr>
          <w:rFonts w:ascii="Traditional Arabic" w:hAnsi="Traditional Arabic" w:cs="Traditional Arabic"/>
        </w:rPr>
        <w:br/>
      </w:r>
      <w:r w:rsidRPr="00335B65">
        <w:rPr>
          <w:rFonts w:ascii="Traditional Arabic" w:hAnsi="Traditional Arabic" w:cs="Traditional Arabic"/>
          <w:rtl/>
        </w:rPr>
        <w:t>يُقدَّم الرضا الوظيفي بوصفه تقييمًا وجدانيًا/معرفيًا تجاه العمل يتشكل من خبرات الموظف وتقييمه لخصائص الوظيفة وبيئة العمل. وقد عرّف</w:t>
      </w:r>
      <w:r w:rsidRPr="00335B65">
        <w:rPr>
          <w:rFonts w:ascii="Traditional Arabic" w:hAnsi="Traditional Arabic" w:cs="Traditional Arabic"/>
        </w:rPr>
        <w:t xml:space="preserve"> Locke </w:t>
      </w:r>
      <w:r w:rsidRPr="00335B65">
        <w:rPr>
          <w:rFonts w:ascii="Traditional Arabic" w:hAnsi="Traditional Arabic" w:cs="Traditional Arabic"/>
          <w:rtl/>
        </w:rPr>
        <w:t>الرضا الوظيفي بوصفه حالة وجدانية إيجابية ناتجة عن تقييم خبرات العمل</w:t>
      </w:r>
      <w:r w:rsidRPr="00335B65">
        <w:rPr>
          <w:rFonts w:ascii="Traditional Arabic" w:hAnsi="Traditional Arabic" w:cs="Traditional Arabic"/>
        </w:rPr>
        <w:t xml:space="preserve"> (Locke, 1976). </w:t>
      </w:r>
      <w:r w:rsidRPr="00335B65">
        <w:rPr>
          <w:rFonts w:ascii="Traditional Arabic" w:hAnsi="Traditional Arabic" w:cs="Traditional Arabic"/>
          <w:rtl/>
        </w:rPr>
        <w:t>كما ناقش</w:t>
      </w:r>
      <w:r w:rsidRPr="00335B65">
        <w:rPr>
          <w:rFonts w:ascii="Traditional Arabic" w:hAnsi="Traditional Arabic" w:cs="Traditional Arabic"/>
        </w:rPr>
        <w:t xml:space="preserve"> Weiss </w:t>
      </w:r>
      <w:r w:rsidRPr="00335B65">
        <w:rPr>
          <w:rFonts w:ascii="Traditional Arabic" w:hAnsi="Traditional Arabic" w:cs="Traditional Arabic"/>
          <w:rtl/>
        </w:rPr>
        <w:t>أهمية الفصل بين التقييمات والمعتقدات والخبرات الوجدانية عند تفسير الرضا وقياسه</w:t>
      </w:r>
      <w:r w:rsidRPr="00335B65">
        <w:rPr>
          <w:rFonts w:ascii="Traditional Arabic" w:hAnsi="Traditional Arabic" w:cs="Traditional Arabic"/>
        </w:rPr>
        <w:t xml:space="preserve"> (Weiss, 2002). </w:t>
      </w:r>
      <w:r w:rsidRPr="00335B65">
        <w:rPr>
          <w:rFonts w:ascii="Traditional Arabic" w:hAnsi="Traditional Arabic" w:cs="Traditional Arabic"/>
          <w:rtl/>
        </w:rPr>
        <w:t>ويُدعم ذلك إلى جانب منظور تصميم العمل الذي يربط خصائص الوظيفة (مثل تنوع المهارة والاستقلالية ومعنى العمل) بمخرجات الرضا والتحفيز</w:t>
      </w:r>
      <w:r w:rsidRPr="00335B65">
        <w:rPr>
          <w:rFonts w:ascii="Traditional Arabic" w:hAnsi="Traditional Arabic" w:cs="Traditional Arabic"/>
        </w:rPr>
        <w:t xml:space="preserve"> (Hackman &amp; Oldham, 1976).</w:t>
      </w:r>
    </w:p>
    <w:p w14:paraId="3F7E740A" w14:textId="21FFF144" w:rsidR="00335B65" w:rsidRPr="00335B65" w:rsidRDefault="00335B65" w:rsidP="00335B65">
      <w:pPr>
        <w:bidi/>
        <w:spacing w:after="160" w:line="360" w:lineRule="auto"/>
        <w:divId w:val="1647278641"/>
        <w:rPr>
          <w:rFonts w:ascii="Traditional Arabic" w:hAnsi="Traditional Arabic" w:cs="Traditional Arabic"/>
        </w:rPr>
      </w:pPr>
      <w:r w:rsidRPr="00335B65">
        <w:rPr>
          <w:rFonts w:ascii="Traditional Arabic" w:hAnsi="Traditional Arabic" w:cs="Traditional Arabic"/>
          <w:rtl/>
        </w:rPr>
        <w:t xml:space="preserve">في بيئة عمل تتزايد </w:t>
      </w:r>
      <w:proofErr w:type="spellStart"/>
      <w:r w:rsidRPr="00335B65">
        <w:rPr>
          <w:rFonts w:ascii="Traditional Arabic" w:hAnsi="Traditional Arabic" w:cs="Traditional Arabic"/>
          <w:rtl/>
        </w:rPr>
        <w:t>رقمنتها</w:t>
      </w:r>
      <w:proofErr w:type="spellEnd"/>
      <w:r w:rsidRPr="00335B65">
        <w:rPr>
          <w:rFonts w:ascii="Traditional Arabic" w:hAnsi="Traditional Arabic" w:cs="Traditional Arabic"/>
          <w:rtl/>
        </w:rPr>
        <w:t>، يتغير مصدر الرضا الوظيفي جزئيًا باتجاه خبرات مرتبطة بتصميم العمل الرقمي: سهولة إنجاز المهام، سرعة الوصول للمعلومة، تقليل الأعمال التكرارية، لكن قد يظهر في المقابل ضغط الوقت وتداخل العمل/الحياة بوصفهما قنوات سلبية</w:t>
      </w:r>
      <w:r w:rsidRPr="00335B65">
        <w:rPr>
          <w:rFonts w:ascii="Traditional Arabic" w:hAnsi="Traditional Arabic" w:cs="Traditional Arabic"/>
        </w:rPr>
        <w:t xml:space="preserve"> </w:t>
      </w:r>
      <w:proofErr w:type="spellStart"/>
      <w:r w:rsidRPr="00335B65">
        <w:rPr>
          <w:rFonts w:ascii="Traditional Arabic" w:hAnsi="Traditional Arabic" w:cs="Traditional Arabic"/>
        </w:rPr>
        <w:t>Bolli</w:t>
      </w:r>
      <w:proofErr w:type="spellEnd"/>
      <w:r w:rsidRPr="00335B65">
        <w:rPr>
          <w:rFonts w:ascii="Traditional Arabic" w:hAnsi="Traditional Arabic" w:cs="Traditional Arabic"/>
        </w:rPr>
        <w:t xml:space="preserve"> &amp; </w:t>
      </w:r>
      <w:proofErr w:type="spellStart"/>
      <w:r w:rsidRPr="00335B65">
        <w:rPr>
          <w:rFonts w:ascii="Traditional Arabic" w:hAnsi="Traditional Arabic" w:cs="Traditional Arabic"/>
        </w:rPr>
        <w:t>Pusterla</w:t>
      </w:r>
      <w:proofErr w:type="spellEnd"/>
      <w:r w:rsidRPr="00335B65">
        <w:rPr>
          <w:rFonts w:ascii="Traditional Arabic" w:hAnsi="Traditional Arabic" w:cs="Traditional Arabic"/>
        </w:rPr>
        <w:t xml:space="preserve">, </w:t>
      </w:r>
      <w:proofErr w:type="gramStart"/>
      <w:r w:rsidRPr="00335B65">
        <w:rPr>
          <w:rFonts w:ascii="Traditional Arabic" w:hAnsi="Traditional Arabic" w:cs="Traditional Arabic"/>
        </w:rPr>
        <w:t>2022</w:t>
      </w:r>
      <w:r w:rsidR="00B04E3B">
        <w:rPr>
          <w:rFonts w:ascii="Traditional Arabic" w:hAnsi="Traditional Arabic" w:cs="Traditional Arabic"/>
        </w:rPr>
        <w:t xml:space="preserve"> )</w:t>
      </w:r>
      <w:proofErr w:type="gramEnd"/>
      <w:r w:rsidR="00B04E3B">
        <w:rPr>
          <w:rFonts w:ascii="Traditional Arabic" w:hAnsi="Traditional Arabic" w:cs="Traditional Arabic"/>
        </w:rPr>
        <w:t xml:space="preserve"> </w:t>
      </w:r>
      <w:r w:rsidRPr="00335B65">
        <w:rPr>
          <w:rFonts w:ascii="Traditional Arabic" w:hAnsi="Traditional Arabic" w:cs="Traditional Arabic"/>
          <w:rtl/>
        </w:rPr>
        <w:t>؛</w:t>
      </w:r>
      <w:r w:rsidR="00B04E3B">
        <w:rPr>
          <w:rFonts w:ascii="Traditional Arabic" w:hAnsi="Traditional Arabic" w:cs="Traditional Arabic"/>
        </w:rPr>
        <w:t xml:space="preserve"> (</w:t>
      </w:r>
      <w:r w:rsidRPr="00335B65">
        <w:rPr>
          <w:rFonts w:ascii="Traditional Arabic" w:hAnsi="Traditional Arabic" w:cs="Traditional Arabic"/>
        </w:rPr>
        <w:t xml:space="preserve"> </w:t>
      </w:r>
      <w:proofErr w:type="spellStart"/>
      <w:r w:rsidRPr="00335B65">
        <w:rPr>
          <w:rFonts w:ascii="Traditional Arabic" w:hAnsi="Traditional Arabic" w:cs="Traditional Arabic"/>
        </w:rPr>
        <w:t>Ninaus</w:t>
      </w:r>
      <w:proofErr w:type="spellEnd"/>
      <w:r w:rsidRPr="00335B65">
        <w:rPr>
          <w:rFonts w:ascii="Traditional Arabic" w:hAnsi="Traditional Arabic" w:cs="Traditional Arabic"/>
        </w:rPr>
        <w:t xml:space="preserve"> et al., 2021 </w:t>
      </w:r>
      <w:r w:rsidRPr="00335B65">
        <w:rPr>
          <w:rFonts w:ascii="Traditional Arabic" w:hAnsi="Traditional Arabic" w:cs="Traditional Arabic"/>
          <w:rtl/>
        </w:rPr>
        <w:t>وعليه، تُبنى الدراسة على أن الرضا الوظيفي في الوزارة يمكن أن يكون نتاجًا لتفاعل مكاسب التحول الرقمي وتكاليفه، وهو ما يبرر اختبار الوسطاء</w:t>
      </w:r>
      <w:r w:rsidRPr="00335B65">
        <w:rPr>
          <w:rFonts w:ascii="Traditional Arabic" w:hAnsi="Traditional Arabic" w:cs="Traditional Arabic"/>
        </w:rPr>
        <w:t xml:space="preserve"> (H2–H3) </w:t>
      </w:r>
      <w:r w:rsidRPr="00335B65">
        <w:rPr>
          <w:rFonts w:ascii="Traditional Arabic" w:hAnsi="Traditional Arabic" w:cs="Traditional Arabic"/>
          <w:rtl/>
        </w:rPr>
        <w:t>بدل الاكتفاء بمسار مباشر</w:t>
      </w:r>
      <w:r w:rsidRPr="00335B65">
        <w:rPr>
          <w:rFonts w:ascii="Traditional Arabic" w:hAnsi="Traditional Arabic" w:cs="Traditional Arabic"/>
        </w:rPr>
        <w:t xml:space="preserve"> (H1).</w:t>
      </w:r>
    </w:p>
    <w:p w14:paraId="71367F1E" w14:textId="2B658969" w:rsidR="00335B65" w:rsidRPr="00335B65" w:rsidRDefault="00335B65" w:rsidP="00335B65">
      <w:pPr>
        <w:bidi/>
        <w:spacing w:after="160" w:line="360" w:lineRule="auto"/>
        <w:divId w:val="1647278641"/>
        <w:rPr>
          <w:rFonts w:ascii="Traditional Arabic" w:hAnsi="Traditional Arabic" w:cs="Traditional Arabic"/>
        </w:rPr>
      </w:pPr>
      <w:r w:rsidRPr="00335B65">
        <w:rPr>
          <w:rFonts w:ascii="Traditional Arabic" w:hAnsi="Traditional Arabic" w:cs="Traditional Arabic"/>
          <w:rtl/>
        </w:rPr>
        <w:t>تحديد مقياس الرضا الوظيفي المعتمد في الاستبانة النهائية</w:t>
      </w:r>
      <w:r w:rsidRPr="00335B65">
        <w:rPr>
          <w:rFonts w:ascii="Traditional Arabic" w:hAnsi="Traditional Arabic" w:cs="Traditional Arabic"/>
        </w:rPr>
        <w:t xml:space="preserve"> </w:t>
      </w:r>
      <w:r w:rsidRPr="00335B65">
        <w:rPr>
          <w:rFonts w:ascii="Traditional Arabic" w:hAnsi="Traditional Arabic" w:cs="Traditional Arabic"/>
          <w:rtl/>
        </w:rPr>
        <w:t>مثل</w:t>
      </w:r>
      <w:r w:rsidRPr="00335B65">
        <w:rPr>
          <w:rFonts w:ascii="Traditional Arabic" w:hAnsi="Traditional Arabic" w:cs="Traditional Arabic"/>
        </w:rPr>
        <w:t xml:space="preserve"> </w:t>
      </w:r>
      <w:r w:rsidR="00B04E3B">
        <w:rPr>
          <w:rFonts w:ascii="Traditional Arabic" w:hAnsi="Traditional Arabic" w:cs="Traditional Arabic"/>
        </w:rPr>
        <w:t>(</w:t>
      </w:r>
      <w:r w:rsidRPr="00335B65">
        <w:rPr>
          <w:rFonts w:ascii="Traditional Arabic" w:hAnsi="Traditional Arabic" w:cs="Traditional Arabic"/>
        </w:rPr>
        <w:t>Spector, 1997</w:t>
      </w:r>
      <w:r w:rsidR="00B04E3B">
        <w:rPr>
          <w:rFonts w:ascii="Traditional Arabic" w:hAnsi="Traditional Arabic" w:cs="Traditional Arabic"/>
        </w:rPr>
        <w:t>)</w:t>
      </w:r>
      <w:r w:rsidRPr="00335B65">
        <w:rPr>
          <w:rFonts w:ascii="Traditional Arabic" w:hAnsi="Traditional Arabic" w:cs="Traditional Arabic"/>
        </w:rPr>
        <w:t xml:space="preserve"> </w:t>
      </w:r>
      <w:r w:rsidRPr="00335B65">
        <w:rPr>
          <w:rFonts w:ascii="Traditional Arabic" w:hAnsi="Traditional Arabic" w:cs="Traditional Arabic"/>
          <w:rtl/>
        </w:rPr>
        <w:t>أو غيره</w:t>
      </w:r>
      <w:r w:rsidRPr="00335B65">
        <w:rPr>
          <w:rFonts w:ascii="Traditional Arabic" w:hAnsi="Traditional Arabic" w:cs="Traditional Arabic"/>
        </w:rPr>
        <w:t xml:space="preserve"> </w:t>
      </w:r>
      <w:r w:rsidRPr="00335B65">
        <w:rPr>
          <w:rFonts w:ascii="Traditional Arabic" w:hAnsi="Traditional Arabic" w:cs="Traditional Arabic"/>
          <w:rtl/>
        </w:rPr>
        <w:t>مع بيان أبعاده وعدد بنوده، ليتوافق الفصل النظري مع القياس المنهجي</w:t>
      </w:r>
      <w:r w:rsidRPr="00335B65">
        <w:rPr>
          <w:rFonts w:ascii="Traditional Arabic" w:hAnsi="Traditional Arabic" w:cs="Traditional Arabic"/>
        </w:rPr>
        <w:t>.</w:t>
      </w:r>
    </w:p>
    <w:p w14:paraId="52B7A53F" w14:textId="72BCEF45" w:rsidR="00335B65" w:rsidRPr="00335B65" w:rsidRDefault="0062755D" w:rsidP="00335B65">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00335B65" w:rsidRPr="0062755D">
        <w:rPr>
          <w:rFonts w:ascii="Traditional Arabic" w:hAnsi="Traditional Arabic" w:cs="Traditional Arabic"/>
          <w:b/>
          <w:bCs/>
        </w:rPr>
        <w:t xml:space="preserve">2.1.4 </w:t>
      </w:r>
      <w:r w:rsidR="00335B65" w:rsidRPr="0062755D">
        <w:rPr>
          <w:rFonts w:ascii="Traditional Arabic" w:hAnsi="Traditional Arabic" w:cs="Traditional Arabic"/>
          <w:b/>
          <w:bCs/>
          <w:rtl/>
        </w:rPr>
        <w:t>نموذج قبول التقنية</w:t>
      </w:r>
      <w:r w:rsidR="00335B65" w:rsidRPr="0062755D">
        <w:rPr>
          <w:rFonts w:ascii="Traditional Arabic" w:hAnsi="Traditional Arabic" w:cs="Traditional Arabic"/>
          <w:b/>
          <w:bCs/>
        </w:rPr>
        <w:t xml:space="preserve"> (TAM) </w:t>
      </w:r>
      <w:r w:rsidR="00335B65" w:rsidRPr="0062755D">
        <w:rPr>
          <w:rFonts w:ascii="Traditional Arabic" w:hAnsi="Traditional Arabic" w:cs="Traditional Arabic"/>
          <w:b/>
          <w:bCs/>
          <w:rtl/>
        </w:rPr>
        <w:t>ودوره في تفسير مسار الدراسة</w:t>
      </w:r>
      <w:r w:rsidR="00335B65" w:rsidRPr="00335B65">
        <w:rPr>
          <w:rFonts w:ascii="Traditional Arabic" w:hAnsi="Traditional Arabic" w:cs="Traditional Arabic"/>
        </w:rPr>
        <w:br/>
      </w:r>
      <w:r w:rsidR="00335B65" w:rsidRPr="00335B65">
        <w:rPr>
          <w:rFonts w:ascii="Traditional Arabic" w:hAnsi="Traditional Arabic" w:cs="Traditional Arabic"/>
          <w:rtl/>
        </w:rPr>
        <w:t>يُعَد نموذج قبول التقنية</w:t>
      </w:r>
      <w:r w:rsidR="00335B65" w:rsidRPr="00335B65">
        <w:rPr>
          <w:rFonts w:ascii="Traditional Arabic" w:hAnsi="Traditional Arabic" w:cs="Traditional Arabic"/>
        </w:rPr>
        <w:t xml:space="preserve"> (TAM) </w:t>
      </w:r>
      <w:r w:rsidR="00335B65" w:rsidRPr="00335B65">
        <w:rPr>
          <w:rFonts w:ascii="Traditional Arabic" w:hAnsi="Traditional Arabic" w:cs="Traditional Arabic"/>
          <w:rtl/>
        </w:rPr>
        <w:t>إطارًا تأسيسيًا لتفسير تبني المستخدم للتقنيات داخل العمل عبر بعدين إدراكيين: المنفعة المتصورة</w:t>
      </w:r>
      <w:r w:rsidR="00335B65" w:rsidRPr="00335B65">
        <w:rPr>
          <w:rFonts w:ascii="Traditional Arabic" w:hAnsi="Traditional Arabic" w:cs="Traditional Arabic"/>
        </w:rPr>
        <w:t xml:space="preserve"> (PU) </w:t>
      </w:r>
      <w:r w:rsidR="00335B65" w:rsidRPr="00335B65">
        <w:rPr>
          <w:rFonts w:ascii="Traditional Arabic" w:hAnsi="Traditional Arabic" w:cs="Traditional Arabic"/>
          <w:rtl/>
        </w:rPr>
        <w:t>وسهولة الاستخدام المتصورة</w:t>
      </w:r>
      <w:r w:rsidR="00335B65" w:rsidRPr="00335B65">
        <w:rPr>
          <w:rFonts w:ascii="Traditional Arabic" w:hAnsi="Traditional Arabic" w:cs="Traditional Arabic"/>
        </w:rPr>
        <w:t xml:space="preserve"> (PEOU) (Davis, 1989). </w:t>
      </w:r>
      <w:r w:rsidR="00335B65" w:rsidRPr="00335B65">
        <w:rPr>
          <w:rFonts w:ascii="Traditional Arabic" w:hAnsi="Traditional Arabic" w:cs="Traditional Arabic"/>
          <w:rtl/>
        </w:rPr>
        <w:t>ويُفترض أن تسهم</w:t>
      </w:r>
      <w:r w:rsidR="00335B65" w:rsidRPr="00335B65">
        <w:rPr>
          <w:rFonts w:ascii="Traditional Arabic" w:hAnsi="Traditional Arabic" w:cs="Traditional Arabic"/>
        </w:rPr>
        <w:t xml:space="preserve"> PEOU </w:t>
      </w:r>
      <w:r w:rsidR="00335B65" w:rsidRPr="00335B65">
        <w:rPr>
          <w:rFonts w:ascii="Traditional Arabic" w:hAnsi="Traditional Arabic" w:cs="Traditional Arabic"/>
          <w:rtl/>
        </w:rPr>
        <w:t>في رفع</w:t>
      </w:r>
      <w:r w:rsidR="00335B65" w:rsidRPr="00335B65">
        <w:rPr>
          <w:rFonts w:ascii="Traditional Arabic" w:hAnsi="Traditional Arabic" w:cs="Traditional Arabic"/>
        </w:rPr>
        <w:t xml:space="preserve"> PU </w:t>
      </w:r>
      <w:r w:rsidR="00335B65" w:rsidRPr="00335B65">
        <w:rPr>
          <w:rFonts w:ascii="Traditional Arabic" w:hAnsi="Traditional Arabic" w:cs="Traditional Arabic"/>
          <w:rtl/>
        </w:rPr>
        <w:t>في كثير من السياقات، وأن كليهما يرتبط بمواقف/نيات الاستخدام ثم الاستخدام الفعلي</w:t>
      </w:r>
      <w:r w:rsidR="00335B65" w:rsidRPr="00335B65">
        <w:rPr>
          <w:rFonts w:ascii="Traditional Arabic" w:hAnsi="Traditional Arabic" w:cs="Traditional Arabic"/>
        </w:rPr>
        <w:t xml:space="preserve"> Davis, 1989</w:t>
      </w:r>
      <w:proofErr w:type="gramStart"/>
      <w:r w:rsidR="00B04E3B">
        <w:rPr>
          <w:rFonts w:ascii="Traditional Arabic" w:hAnsi="Traditional Arabic" w:cs="Traditional Arabic"/>
        </w:rPr>
        <w:t xml:space="preserve">) </w:t>
      </w:r>
      <w:r w:rsidR="00335B65" w:rsidRPr="00335B65">
        <w:rPr>
          <w:rFonts w:ascii="Traditional Arabic" w:hAnsi="Traditional Arabic" w:cs="Traditional Arabic"/>
          <w:rtl/>
        </w:rPr>
        <w:t>؛</w:t>
      </w:r>
      <w:proofErr w:type="gramEnd"/>
      <w:r w:rsidR="00335B65" w:rsidRPr="00335B65">
        <w:rPr>
          <w:rFonts w:ascii="Traditional Arabic" w:hAnsi="Traditional Arabic" w:cs="Traditional Arabic"/>
        </w:rPr>
        <w:t xml:space="preserve"> Venkatesh &amp; </w:t>
      </w:r>
      <w:r w:rsidR="00B04E3B">
        <w:rPr>
          <w:rFonts w:ascii="Traditional Arabic" w:hAnsi="Traditional Arabic" w:cs="Traditional Arabic"/>
        </w:rPr>
        <w:t>(</w:t>
      </w:r>
      <w:r w:rsidR="00335B65" w:rsidRPr="00335B65">
        <w:rPr>
          <w:rFonts w:ascii="Traditional Arabic" w:hAnsi="Traditional Arabic" w:cs="Traditional Arabic"/>
        </w:rPr>
        <w:t xml:space="preserve">Davis, 2000 </w:t>
      </w:r>
      <w:r w:rsidR="00B04E3B">
        <w:rPr>
          <w:rFonts w:ascii="Traditional Arabic" w:hAnsi="Traditional Arabic" w:cs="Traditional Arabic" w:hint="cs"/>
          <w:rtl/>
        </w:rPr>
        <w:t xml:space="preserve"> </w:t>
      </w:r>
      <w:r w:rsidR="00335B65" w:rsidRPr="00335B65">
        <w:rPr>
          <w:rFonts w:ascii="Traditional Arabic" w:hAnsi="Traditional Arabic" w:cs="Traditional Arabic"/>
          <w:rtl/>
        </w:rPr>
        <w:t>كما طُور</w:t>
      </w:r>
      <w:r w:rsidR="00335B65" w:rsidRPr="00335B65">
        <w:rPr>
          <w:rFonts w:ascii="Traditional Arabic" w:hAnsi="Traditional Arabic" w:cs="Traditional Arabic"/>
        </w:rPr>
        <w:t xml:space="preserve"> TAM </w:t>
      </w:r>
      <w:r w:rsidR="00335B65" w:rsidRPr="00335B65">
        <w:rPr>
          <w:rFonts w:ascii="Traditional Arabic" w:hAnsi="Traditional Arabic" w:cs="Traditional Arabic"/>
          <w:rtl/>
        </w:rPr>
        <w:t>لاحقًا عبر</w:t>
      </w:r>
      <w:r w:rsidR="00335B65" w:rsidRPr="00335B65">
        <w:rPr>
          <w:rFonts w:ascii="Traditional Arabic" w:hAnsi="Traditional Arabic" w:cs="Traditional Arabic"/>
        </w:rPr>
        <w:t xml:space="preserve"> TAM3 </w:t>
      </w:r>
      <w:r w:rsidR="00335B65" w:rsidRPr="00335B65">
        <w:rPr>
          <w:rFonts w:ascii="Traditional Arabic" w:hAnsi="Traditional Arabic" w:cs="Traditional Arabic"/>
          <w:rtl/>
        </w:rPr>
        <w:t>بدعوة لتدخلات تنظيمية تعزز القبول</w:t>
      </w:r>
      <w:r w:rsidR="00335B65" w:rsidRPr="00335B65">
        <w:rPr>
          <w:rFonts w:ascii="Traditional Arabic" w:hAnsi="Traditional Arabic" w:cs="Traditional Arabic"/>
        </w:rPr>
        <w:t xml:space="preserve"> (Venkatesh &amp; </w:t>
      </w:r>
      <w:proofErr w:type="spellStart"/>
      <w:r w:rsidR="00335B65" w:rsidRPr="00335B65">
        <w:rPr>
          <w:rFonts w:ascii="Traditional Arabic" w:hAnsi="Traditional Arabic" w:cs="Traditional Arabic"/>
        </w:rPr>
        <w:t>Bala</w:t>
      </w:r>
      <w:proofErr w:type="spellEnd"/>
      <w:r w:rsidR="00335B65" w:rsidRPr="00335B65">
        <w:rPr>
          <w:rFonts w:ascii="Traditional Arabic" w:hAnsi="Traditional Arabic" w:cs="Traditional Arabic"/>
        </w:rPr>
        <w:t>, 2008).</w:t>
      </w:r>
    </w:p>
    <w:p w14:paraId="6A4B4BC2" w14:textId="77777777" w:rsidR="00335B65" w:rsidRPr="00335B65" w:rsidRDefault="00335B65" w:rsidP="00335B65">
      <w:pPr>
        <w:bidi/>
        <w:spacing w:after="160" w:line="360" w:lineRule="auto"/>
        <w:divId w:val="1647278641"/>
        <w:rPr>
          <w:rFonts w:ascii="Traditional Arabic" w:hAnsi="Traditional Arabic" w:cs="Traditional Arabic"/>
        </w:rPr>
      </w:pPr>
      <w:r w:rsidRPr="00335B65">
        <w:rPr>
          <w:rFonts w:ascii="Traditional Arabic" w:hAnsi="Traditional Arabic" w:cs="Traditional Arabic"/>
          <w:rtl/>
        </w:rPr>
        <w:t>وتُعد ملاءمة</w:t>
      </w:r>
      <w:r w:rsidRPr="00335B65">
        <w:rPr>
          <w:rFonts w:ascii="Traditional Arabic" w:hAnsi="Traditional Arabic" w:cs="Traditional Arabic"/>
        </w:rPr>
        <w:t xml:space="preserve"> TAM </w:t>
      </w:r>
      <w:r w:rsidRPr="00335B65">
        <w:rPr>
          <w:rFonts w:ascii="Traditional Arabic" w:hAnsi="Traditional Arabic" w:cs="Traditional Arabic"/>
          <w:rtl/>
        </w:rPr>
        <w:t>لهذه الدراسة نابعة من أن الموظف في الوزارة يُنجز جزءًا متزايدًا من عمله عبر الأنظمة الرقمية الداخلية؛ لذا فإن إدراكه لفائدة هذه الأنظمة وسهولة التعامل معها يُتوقع أن يكون قناة تفسيرية تربط خصائص التحول الرقمي المؤسسي بنتائج اتجاهية مثل الرضا الوظيفي. وبناءً عليه، تُسند</w:t>
      </w:r>
      <w:r w:rsidRPr="00335B65">
        <w:rPr>
          <w:rFonts w:ascii="Traditional Arabic" w:hAnsi="Traditional Arabic" w:cs="Traditional Arabic"/>
        </w:rPr>
        <w:t xml:space="preserve"> TAM </w:t>
      </w:r>
      <w:r w:rsidRPr="00335B65">
        <w:rPr>
          <w:rFonts w:ascii="Traditional Arabic" w:hAnsi="Traditional Arabic" w:cs="Traditional Arabic"/>
          <w:rtl/>
        </w:rPr>
        <w:t>فرضيات المسار</w:t>
      </w:r>
      <w:r w:rsidRPr="00335B65">
        <w:rPr>
          <w:rFonts w:ascii="Traditional Arabic" w:hAnsi="Traditional Arabic" w:cs="Traditional Arabic"/>
        </w:rPr>
        <w:t>:</w:t>
      </w:r>
      <w:r w:rsidRPr="00335B65">
        <w:rPr>
          <w:rFonts w:ascii="Traditional Arabic" w:hAnsi="Traditional Arabic" w:cs="Traditional Arabic"/>
        </w:rPr>
        <w:br/>
        <w:t xml:space="preserve">DTD </w:t>
      </w:r>
      <w:r w:rsidRPr="00335B65">
        <w:t>→</w:t>
      </w:r>
      <w:r w:rsidRPr="00335B65">
        <w:rPr>
          <w:rFonts w:ascii="Traditional Arabic" w:hAnsi="Traditional Arabic" w:cs="Traditional Arabic"/>
        </w:rPr>
        <w:t xml:space="preserve"> PU/PEOU (H3a–H3b)</w:t>
      </w:r>
      <w:r w:rsidRPr="00335B65">
        <w:rPr>
          <w:rFonts w:ascii="Traditional Arabic" w:hAnsi="Traditional Arabic" w:cs="Traditional Arabic"/>
          <w:rtl/>
        </w:rPr>
        <w:t>،</w:t>
      </w:r>
      <w:r w:rsidRPr="00335B65">
        <w:rPr>
          <w:rFonts w:ascii="Traditional Arabic" w:hAnsi="Traditional Arabic" w:cs="Traditional Arabic"/>
        </w:rPr>
        <w:br/>
        <w:t xml:space="preserve">PU/PEOU </w:t>
      </w:r>
      <w:r w:rsidRPr="00335B65">
        <w:t>→</w:t>
      </w:r>
      <w:r w:rsidRPr="00335B65">
        <w:rPr>
          <w:rFonts w:ascii="Traditional Arabic" w:hAnsi="Traditional Arabic" w:cs="Traditional Arabic"/>
        </w:rPr>
        <w:t xml:space="preserve"> </w:t>
      </w:r>
      <w:r w:rsidRPr="00335B65">
        <w:rPr>
          <w:rFonts w:ascii="Traditional Arabic" w:hAnsi="Traditional Arabic" w:cs="Traditional Arabic"/>
          <w:rtl/>
        </w:rPr>
        <w:t>الرضا الوظيفي</w:t>
      </w:r>
      <w:r w:rsidRPr="00335B65">
        <w:rPr>
          <w:rFonts w:ascii="Traditional Arabic" w:hAnsi="Traditional Arabic" w:cs="Traditional Arabic"/>
        </w:rPr>
        <w:t xml:space="preserve"> (H3c–H3d)</w:t>
      </w:r>
      <w:r w:rsidRPr="00335B65">
        <w:rPr>
          <w:rFonts w:ascii="Traditional Arabic" w:hAnsi="Traditional Arabic" w:cs="Traditional Arabic"/>
          <w:rtl/>
        </w:rPr>
        <w:t>،</w:t>
      </w:r>
      <w:r w:rsidRPr="00335B65">
        <w:rPr>
          <w:rFonts w:ascii="Traditional Arabic" w:hAnsi="Traditional Arabic" w:cs="Traditional Arabic"/>
        </w:rPr>
        <w:br/>
      </w:r>
      <w:r w:rsidRPr="00335B65">
        <w:rPr>
          <w:rFonts w:ascii="Traditional Arabic" w:hAnsi="Traditional Arabic" w:cs="Traditional Arabic"/>
          <w:rtl/>
        </w:rPr>
        <w:t>والوساطة عبر</w:t>
      </w:r>
      <w:r w:rsidRPr="00335B65">
        <w:rPr>
          <w:rFonts w:ascii="Traditional Arabic" w:hAnsi="Traditional Arabic" w:cs="Traditional Arabic"/>
        </w:rPr>
        <w:t xml:space="preserve"> PU/PEOU (H3e–H3f).</w:t>
      </w:r>
    </w:p>
    <w:p w14:paraId="65A64490" w14:textId="55A545F7" w:rsidR="00335B65" w:rsidRPr="00335B65" w:rsidRDefault="0062755D" w:rsidP="00335B65">
      <w:pPr>
        <w:bidi/>
        <w:spacing w:after="160" w:line="360" w:lineRule="auto"/>
        <w:divId w:val="1647278641"/>
        <w:rPr>
          <w:rFonts w:ascii="Traditional Arabic" w:hAnsi="Traditional Arabic" w:cs="Traditional Arabic"/>
        </w:rPr>
      </w:pPr>
      <w:r>
        <w:rPr>
          <w:rFonts w:ascii="Traditional Arabic" w:hAnsi="Traditional Arabic" w:cs="Traditional Arabic"/>
        </w:rPr>
        <w:lastRenderedPageBreak/>
        <w:t xml:space="preserve"> </w:t>
      </w:r>
      <w:r w:rsidR="00335B65" w:rsidRPr="0062755D">
        <w:rPr>
          <w:rFonts w:ascii="Traditional Arabic" w:hAnsi="Traditional Arabic" w:cs="Traditional Arabic"/>
          <w:b/>
          <w:bCs/>
        </w:rPr>
        <w:t xml:space="preserve">2.1.5 </w:t>
      </w:r>
      <w:r w:rsidR="00335B65" w:rsidRPr="0062755D">
        <w:rPr>
          <w:rFonts w:ascii="Traditional Arabic" w:hAnsi="Traditional Arabic" w:cs="Traditional Arabic"/>
          <w:b/>
          <w:bCs/>
          <w:rtl/>
        </w:rPr>
        <w:t>الإجهاد التقني</w:t>
      </w:r>
      <w:r w:rsidR="00335B65" w:rsidRPr="0062755D">
        <w:rPr>
          <w:rFonts w:ascii="Traditional Arabic" w:hAnsi="Traditional Arabic" w:cs="Traditional Arabic"/>
          <w:b/>
          <w:bCs/>
        </w:rPr>
        <w:t xml:space="preserve"> (Technostress) </w:t>
      </w:r>
      <w:r w:rsidR="00335B65" w:rsidRPr="0062755D">
        <w:rPr>
          <w:rFonts w:ascii="Traditional Arabic" w:hAnsi="Traditional Arabic" w:cs="Traditional Arabic"/>
          <w:b/>
          <w:bCs/>
          <w:rtl/>
        </w:rPr>
        <w:t xml:space="preserve">كمسار </w:t>
      </w:r>
      <w:r w:rsidR="002F488C">
        <w:rPr>
          <w:rFonts w:ascii="Traditional Arabic" w:hAnsi="Traditional Arabic" w:cs="Traditional Arabic"/>
          <w:b/>
          <w:bCs/>
          <w:rtl/>
        </w:rPr>
        <w:t>"</w:t>
      </w:r>
      <w:r w:rsidR="00335B65" w:rsidRPr="0062755D">
        <w:rPr>
          <w:rFonts w:ascii="Traditional Arabic" w:hAnsi="Traditional Arabic" w:cs="Traditional Arabic"/>
          <w:b/>
          <w:bCs/>
          <w:rtl/>
        </w:rPr>
        <w:t>الجانب المظلم</w:t>
      </w:r>
      <w:r w:rsidR="002F488C">
        <w:rPr>
          <w:rFonts w:ascii="Traditional Arabic" w:hAnsi="Traditional Arabic" w:cs="Traditional Arabic"/>
          <w:b/>
          <w:bCs/>
          <w:rtl/>
        </w:rPr>
        <w:t>"</w:t>
      </w:r>
      <w:r w:rsidR="00335B65" w:rsidRPr="0062755D">
        <w:rPr>
          <w:rFonts w:ascii="Traditional Arabic" w:hAnsi="Traditional Arabic" w:cs="Traditional Arabic"/>
          <w:b/>
          <w:bCs/>
          <w:rtl/>
        </w:rPr>
        <w:t xml:space="preserve"> للتقنية</w:t>
      </w:r>
      <w:r w:rsidR="00335B65" w:rsidRPr="00335B65">
        <w:rPr>
          <w:rFonts w:ascii="Traditional Arabic" w:hAnsi="Traditional Arabic" w:cs="Traditional Arabic"/>
        </w:rPr>
        <w:br/>
      </w:r>
      <w:r w:rsidR="00335B65" w:rsidRPr="00335B65">
        <w:rPr>
          <w:rFonts w:ascii="Traditional Arabic" w:hAnsi="Traditional Arabic" w:cs="Traditional Arabic"/>
          <w:rtl/>
        </w:rPr>
        <w:t xml:space="preserve">يُعرَّف الإجهاد التقني بوصفه ضغوطًا تنشأ عندما تتجاوز متطلبات التقنية قدرة الفرد على التكيف، أو عندما تتسم بيئة التقنية بكثافة/تعقيد/تغير سريع/اقتحام لحدود العمل والحياة. وقد طُور مفهوم </w:t>
      </w:r>
      <w:r w:rsidR="002F488C">
        <w:rPr>
          <w:rFonts w:ascii="Traditional Arabic" w:hAnsi="Traditional Arabic" w:cs="Traditional Arabic"/>
          <w:rtl/>
        </w:rPr>
        <w:t>"</w:t>
      </w:r>
      <w:r w:rsidR="00335B65" w:rsidRPr="00335B65">
        <w:rPr>
          <w:rFonts w:ascii="Traditional Arabic" w:hAnsi="Traditional Arabic" w:cs="Traditional Arabic"/>
          <w:rtl/>
        </w:rPr>
        <w:t>صانعات الإجهاد التقني</w:t>
      </w:r>
      <w:r w:rsidR="002F488C">
        <w:rPr>
          <w:rFonts w:ascii="Traditional Arabic" w:hAnsi="Traditional Arabic" w:cs="Traditional Arabic"/>
          <w:rtl/>
        </w:rPr>
        <w:t>"</w:t>
      </w:r>
      <w:r w:rsidR="00335B65" w:rsidRPr="00335B65">
        <w:rPr>
          <w:rFonts w:ascii="Traditional Arabic" w:hAnsi="Traditional Arabic" w:cs="Traditional Arabic"/>
          <w:rtl/>
        </w:rPr>
        <w:t xml:space="preserve"> كمجموعة مثيرات تشمل: عبء العمل الرقمي الزائد</w:t>
      </w:r>
      <w:r w:rsidR="00335B65" w:rsidRPr="00335B65">
        <w:rPr>
          <w:rFonts w:ascii="Traditional Arabic" w:hAnsi="Traditional Arabic" w:cs="Traditional Arabic"/>
        </w:rPr>
        <w:t xml:space="preserve"> (Techno-overload)</w:t>
      </w:r>
      <w:r w:rsidR="00335B65" w:rsidRPr="00335B65">
        <w:rPr>
          <w:rFonts w:ascii="Traditional Arabic" w:hAnsi="Traditional Arabic" w:cs="Traditional Arabic"/>
          <w:rtl/>
        </w:rPr>
        <w:t>، الاقتحام</w:t>
      </w:r>
      <w:r w:rsidR="00335B65" w:rsidRPr="00335B65">
        <w:rPr>
          <w:rFonts w:ascii="Traditional Arabic" w:hAnsi="Traditional Arabic" w:cs="Traditional Arabic"/>
        </w:rPr>
        <w:t xml:space="preserve"> (Techno-invasion)</w:t>
      </w:r>
      <w:r w:rsidR="00335B65" w:rsidRPr="00335B65">
        <w:rPr>
          <w:rFonts w:ascii="Traditional Arabic" w:hAnsi="Traditional Arabic" w:cs="Traditional Arabic"/>
          <w:rtl/>
        </w:rPr>
        <w:t>، التعقيد</w:t>
      </w:r>
      <w:r w:rsidR="00335B65" w:rsidRPr="00335B65">
        <w:rPr>
          <w:rFonts w:ascii="Traditional Arabic" w:hAnsi="Traditional Arabic" w:cs="Traditional Arabic"/>
        </w:rPr>
        <w:t xml:space="preserve"> (Techno-complexity)</w:t>
      </w:r>
      <w:r w:rsidR="00335B65" w:rsidRPr="00335B65">
        <w:rPr>
          <w:rFonts w:ascii="Traditional Arabic" w:hAnsi="Traditional Arabic" w:cs="Traditional Arabic"/>
          <w:rtl/>
        </w:rPr>
        <w:t>، عدم اليقين</w:t>
      </w:r>
      <w:r w:rsidR="00335B65" w:rsidRPr="00335B65">
        <w:rPr>
          <w:rFonts w:ascii="Traditional Arabic" w:hAnsi="Traditional Arabic" w:cs="Traditional Arabic"/>
        </w:rPr>
        <w:t xml:space="preserve"> (Techno-uncertainty)</w:t>
      </w:r>
      <w:r w:rsidR="00335B65" w:rsidRPr="00335B65">
        <w:rPr>
          <w:rFonts w:ascii="Traditional Arabic" w:hAnsi="Traditional Arabic" w:cs="Traditional Arabic"/>
          <w:rtl/>
        </w:rPr>
        <w:t xml:space="preserve">، إلى جانب </w:t>
      </w:r>
      <w:r w:rsidR="002F488C">
        <w:rPr>
          <w:rFonts w:ascii="Traditional Arabic" w:hAnsi="Traditional Arabic" w:cs="Traditional Arabic"/>
          <w:rtl/>
        </w:rPr>
        <w:t>"</w:t>
      </w:r>
      <w:r w:rsidR="00335B65" w:rsidRPr="00335B65">
        <w:rPr>
          <w:rFonts w:ascii="Traditional Arabic" w:hAnsi="Traditional Arabic" w:cs="Traditional Arabic"/>
          <w:rtl/>
        </w:rPr>
        <w:t>مثبطات</w:t>
      </w:r>
      <w:r w:rsidR="002F488C">
        <w:rPr>
          <w:rFonts w:ascii="Traditional Arabic" w:hAnsi="Traditional Arabic" w:cs="Traditional Arabic"/>
          <w:rtl/>
        </w:rPr>
        <w:t>"</w:t>
      </w:r>
      <w:r w:rsidR="00335B65" w:rsidRPr="00335B65">
        <w:rPr>
          <w:rFonts w:ascii="Traditional Arabic" w:hAnsi="Traditional Arabic" w:cs="Traditional Arabic"/>
          <w:rtl/>
        </w:rPr>
        <w:t xml:space="preserve"> تنظيميّة يمكن أن تخفف الأثر</w:t>
      </w:r>
      <w:r w:rsidR="00335B65" w:rsidRPr="00335B65">
        <w:rPr>
          <w:rFonts w:ascii="Traditional Arabic" w:hAnsi="Traditional Arabic" w:cs="Traditional Arabic"/>
        </w:rPr>
        <w:t xml:space="preserve"> Ragu-Nathan et al., 2008</w:t>
      </w:r>
      <w:r w:rsidR="00B04E3B">
        <w:rPr>
          <w:rFonts w:ascii="Traditional Arabic" w:hAnsi="Traditional Arabic" w:cs="Traditional Arabic"/>
        </w:rPr>
        <w:t>)</w:t>
      </w:r>
      <w:r w:rsidR="00335B65" w:rsidRPr="00335B65">
        <w:rPr>
          <w:rFonts w:ascii="Traditional Arabic" w:hAnsi="Traditional Arabic" w:cs="Traditional Arabic"/>
          <w:rtl/>
        </w:rPr>
        <w:t>؛</w:t>
      </w:r>
      <w:r w:rsidR="00335B65" w:rsidRPr="00335B65">
        <w:rPr>
          <w:rFonts w:ascii="Traditional Arabic" w:hAnsi="Traditional Arabic" w:cs="Traditional Arabic"/>
        </w:rPr>
        <w:t xml:space="preserve"> </w:t>
      </w:r>
      <w:r w:rsidR="00B04E3B">
        <w:rPr>
          <w:rFonts w:ascii="Traditional Arabic" w:hAnsi="Traditional Arabic" w:cs="Traditional Arabic"/>
        </w:rPr>
        <w:t>(</w:t>
      </w:r>
      <w:proofErr w:type="spellStart"/>
      <w:r w:rsidR="00335B65" w:rsidRPr="00335B65">
        <w:rPr>
          <w:rFonts w:ascii="Traditional Arabic" w:hAnsi="Traditional Arabic" w:cs="Traditional Arabic"/>
        </w:rPr>
        <w:t>Tarafdar</w:t>
      </w:r>
      <w:proofErr w:type="spellEnd"/>
      <w:r w:rsidR="00335B65" w:rsidRPr="00335B65">
        <w:rPr>
          <w:rFonts w:ascii="Traditional Arabic" w:hAnsi="Traditional Arabic" w:cs="Traditional Arabic"/>
        </w:rPr>
        <w:t xml:space="preserve"> et al., 2011 </w:t>
      </w:r>
      <w:r w:rsidR="00335B65" w:rsidRPr="00335B65">
        <w:rPr>
          <w:rFonts w:ascii="Traditional Arabic" w:hAnsi="Traditional Arabic" w:cs="Traditional Arabic"/>
          <w:rtl/>
        </w:rPr>
        <w:t>كما دعمت أعمال أخرى تفسير الإجهاد عبر خصائص التقنية ومثيراتها في سياقات نظم المعلومات</w:t>
      </w:r>
      <w:r w:rsidR="00335B65" w:rsidRPr="00335B65">
        <w:rPr>
          <w:rFonts w:ascii="Traditional Arabic" w:hAnsi="Traditional Arabic" w:cs="Traditional Arabic"/>
        </w:rPr>
        <w:t xml:space="preserve"> (</w:t>
      </w:r>
      <w:proofErr w:type="spellStart"/>
      <w:r w:rsidR="00335B65" w:rsidRPr="00335B65">
        <w:rPr>
          <w:rFonts w:ascii="Traditional Arabic" w:hAnsi="Traditional Arabic" w:cs="Traditional Arabic"/>
        </w:rPr>
        <w:t>Ayyagari</w:t>
      </w:r>
      <w:proofErr w:type="spellEnd"/>
      <w:r w:rsidR="00335B65" w:rsidRPr="00335B65">
        <w:rPr>
          <w:rFonts w:ascii="Traditional Arabic" w:hAnsi="Traditional Arabic" w:cs="Traditional Arabic"/>
        </w:rPr>
        <w:t xml:space="preserve"> et al., 2011).</w:t>
      </w:r>
    </w:p>
    <w:p w14:paraId="36A14884" w14:textId="6325582E" w:rsidR="00335B65" w:rsidRPr="00335B65" w:rsidRDefault="00335B65" w:rsidP="00335B65">
      <w:pPr>
        <w:bidi/>
        <w:spacing w:after="160" w:line="360" w:lineRule="auto"/>
        <w:divId w:val="1647278641"/>
        <w:rPr>
          <w:rFonts w:ascii="Traditional Arabic" w:hAnsi="Traditional Arabic" w:cs="Traditional Arabic"/>
        </w:rPr>
      </w:pPr>
      <w:r w:rsidRPr="00335B65">
        <w:rPr>
          <w:rFonts w:ascii="Traditional Arabic" w:hAnsi="Traditional Arabic" w:cs="Traditional Arabic"/>
          <w:rtl/>
        </w:rPr>
        <w:t>وفي بيئات تحويل رقمي كثيفة، يمكن أن يزداد الإجهاد التقني مع ضعف التدريب وتعدد الأنظمة وتكرار التحديثات وغموض الإجراءات، بما ينعكس على الاحتراق والتوازن بين العمل والحياة ومخرجات الرضا</w:t>
      </w:r>
      <w:r w:rsidRPr="00335B65">
        <w:rPr>
          <w:rFonts w:ascii="Traditional Arabic" w:hAnsi="Traditional Arabic" w:cs="Traditional Arabic"/>
        </w:rPr>
        <w:t xml:space="preserve"> (</w:t>
      </w:r>
      <w:proofErr w:type="spellStart"/>
      <w:r w:rsidRPr="00335B65">
        <w:rPr>
          <w:rFonts w:ascii="Traditional Arabic" w:hAnsi="Traditional Arabic" w:cs="Traditional Arabic"/>
        </w:rPr>
        <w:t>Ninaus</w:t>
      </w:r>
      <w:proofErr w:type="spellEnd"/>
      <w:r w:rsidRPr="00335B65">
        <w:rPr>
          <w:rFonts w:ascii="Traditional Arabic" w:hAnsi="Traditional Arabic" w:cs="Traditional Arabic"/>
        </w:rPr>
        <w:t xml:space="preserve"> et al., 2021). </w:t>
      </w:r>
      <w:r w:rsidRPr="00335B65">
        <w:rPr>
          <w:rFonts w:ascii="Traditional Arabic" w:hAnsi="Traditional Arabic" w:cs="Traditional Arabic"/>
          <w:rtl/>
        </w:rPr>
        <w:t>وبناءً عليه، يُعد إدراج</w:t>
      </w:r>
      <w:r w:rsidRPr="00335B65">
        <w:rPr>
          <w:rFonts w:ascii="Traditional Arabic" w:hAnsi="Traditional Arabic" w:cs="Traditional Arabic"/>
        </w:rPr>
        <w:t xml:space="preserve"> Technostress </w:t>
      </w:r>
      <w:r w:rsidRPr="00335B65">
        <w:rPr>
          <w:rFonts w:ascii="Traditional Arabic" w:hAnsi="Traditional Arabic" w:cs="Traditional Arabic"/>
          <w:rtl/>
        </w:rPr>
        <w:t>وسيطًا في الدراسة الحالية منسجمًا مع فرضيات</w:t>
      </w:r>
      <w:r w:rsidRPr="00335B65">
        <w:rPr>
          <w:rFonts w:ascii="Traditional Arabic" w:hAnsi="Traditional Arabic" w:cs="Traditional Arabic"/>
        </w:rPr>
        <w:t>:</w:t>
      </w:r>
      <w:r w:rsidRPr="00335B65">
        <w:rPr>
          <w:rFonts w:ascii="Traditional Arabic" w:hAnsi="Traditional Arabic" w:cs="Traditional Arabic"/>
        </w:rPr>
        <w:br/>
      </w:r>
      <w:r w:rsidR="00B04E3B">
        <w:rPr>
          <w:rFonts w:ascii="Traditional Arabic" w:hAnsi="Traditional Arabic" w:cs="Traditional Arabic"/>
        </w:rPr>
        <w:t xml:space="preserve"> </w:t>
      </w:r>
      <w:r w:rsidRPr="00335B65">
        <w:rPr>
          <w:rFonts w:ascii="Traditional Arabic" w:hAnsi="Traditional Arabic" w:cs="Traditional Arabic"/>
        </w:rPr>
        <w:t xml:space="preserve">DTD </w:t>
      </w:r>
      <w:r w:rsidRPr="00335B65">
        <w:t>→</w:t>
      </w:r>
      <w:r w:rsidRPr="00335B65">
        <w:rPr>
          <w:rFonts w:ascii="Traditional Arabic" w:hAnsi="Traditional Arabic" w:cs="Traditional Arabic"/>
        </w:rPr>
        <w:t xml:space="preserve"> Technostress (H2a) </w:t>
      </w:r>
      <w:r w:rsidRPr="00335B65">
        <w:rPr>
          <w:rFonts w:ascii="Traditional Arabic" w:hAnsi="Traditional Arabic" w:cs="Traditional Arabic"/>
          <w:rtl/>
        </w:rPr>
        <w:t>بوصفه أثرًا سلبيًا متوقعًا لأبعاد التحول الجيدة على صانعات الإجهاد،</w:t>
      </w:r>
      <w:r w:rsidRPr="00335B65">
        <w:rPr>
          <w:rFonts w:ascii="Traditional Arabic" w:hAnsi="Traditional Arabic" w:cs="Traditional Arabic"/>
        </w:rPr>
        <w:br/>
        <w:t xml:space="preserve">Technostress </w:t>
      </w:r>
      <w:r w:rsidRPr="00335B65">
        <w:t>→</w:t>
      </w:r>
      <w:r w:rsidRPr="00335B65">
        <w:rPr>
          <w:rFonts w:ascii="Traditional Arabic" w:hAnsi="Traditional Arabic" w:cs="Traditional Arabic"/>
        </w:rPr>
        <w:t xml:space="preserve"> </w:t>
      </w:r>
      <w:r w:rsidRPr="00335B65">
        <w:rPr>
          <w:rFonts w:ascii="Traditional Arabic" w:hAnsi="Traditional Arabic" w:cs="Traditional Arabic"/>
          <w:rtl/>
        </w:rPr>
        <w:t>الرضا الوظيفي</w:t>
      </w:r>
      <w:r w:rsidRPr="00335B65">
        <w:rPr>
          <w:rFonts w:ascii="Traditional Arabic" w:hAnsi="Traditional Arabic" w:cs="Traditional Arabic"/>
        </w:rPr>
        <w:t xml:space="preserve"> (H2b) </w:t>
      </w:r>
      <w:r w:rsidRPr="00335B65">
        <w:rPr>
          <w:rFonts w:ascii="Traditional Arabic" w:hAnsi="Traditional Arabic" w:cs="Traditional Arabic"/>
          <w:rtl/>
        </w:rPr>
        <w:t>بوصفه أثرًا سلبيًا،</w:t>
      </w:r>
      <w:r w:rsidRPr="00335B65">
        <w:rPr>
          <w:rFonts w:ascii="Traditional Arabic" w:hAnsi="Traditional Arabic" w:cs="Traditional Arabic"/>
        </w:rPr>
        <w:br/>
      </w:r>
      <w:r w:rsidRPr="00335B65">
        <w:rPr>
          <w:rFonts w:ascii="Traditional Arabic" w:hAnsi="Traditional Arabic" w:cs="Traditional Arabic"/>
          <w:rtl/>
        </w:rPr>
        <w:t>والوساطة</w:t>
      </w:r>
      <w:r w:rsidRPr="00335B65">
        <w:rPr>
          <w:rFonts w:ascii="Traditional Arabic" w:hAnsi="Traditional Arabic" w:cs="Traditional Arabic"/>
        </w:rPr>
        <w:t xml:space="preserve"> (H2c).</w:t>
      </w:r>
    </w:p>
    <w:p w14:paraId="6467C1A0" w14:textId="3B340038" w:rsidR="00335B65" w:rsidRPr="00335B65" w:rsidRDefault="00335B65" w:rsidP="00335B65">
      <w:pPr>
        <w:bidi/>
        <w:spacing w:after="160" w:line="360" w:lineRule="auto"/>
        <w:divId w:val="1647278641"/>
        <w:rPr>
          <w:rFonts w:ascii="Traditional Arabic" w:hAnsi="Traditional Arabic" w:cs="Traditional Arabic"/>
        </w:rPr>
      </w:pPr>
      <w:proofErr w:type="gramStart"/>
      <w:r w:rsidRPr="0062755D">
        <w:rPr>
          <w:rFonts w:ascii="Traditional Arabic" w:hAnsi="Traditional Arabic" w:cs="Traditional Arabic"/>
          <w:b/>
          <w:bCs/>
        </w:rPr>
        <w:t xml:space="preserve">2.1.6 </w:t>
      </w:r>
      <w:r w:rsidR="0062755D" w:rsidRPr="0062755D">
        <w:rPr>
          <w:rFonts w:ascii="Traditional Arabic" w:hAnsi="Traditional Arabic" w:cs="Traditional Arabic" w:hint="cs"/>
          <w:b/>
          <w:bCs/>
          <w:rtl/>
        </w:rPr>
        <w:t xml:space="preserve"> </w:t>
      </w:r>
      <w:r w:rsidRPr="0062755D">
        <w:rPr>
          <w:rFonts w:ascii="Traditional Arabic" w:hAnsi="Traditional Arabic" w:cs="Traditional Arabic"/>
          <w:b/>
          <w:bCs/>
          <w:rtl/>
        </w:rPr>
        <w:t>منطق</w:t>
      </w:r>
      <w:proofErr w:type="gramEnd"/>
      <w:r w:rsidRPr="0062755D">
        <w:rPr>
          <w:rFonts w:ascii="Traditional Arabic" w:hAnsi="Traditional Arabic" w:cs="Traditional Arabic"/>
          <w:b/>
          <w:bCs/>
          <w:rtl/>
        </w:rPr>
        <w:t xml:space="preserve"> العلاقات السببية ومسارات النموذج وربطها بالفرضيات</w:t>
      </w:r>
      <w:r w:rsidRPr="00335B65">
        <w:rPr>
          <w:rFonts w:ascii="Traditional Arabic" w:hAnsi="Traditional Arabic" w:cs="Traditional Arabic"/>
        </w:rPr>
        <w:br/>
      </w:r>
      <w:r w:rsidRPr="00335B65">
        <w:rPr>
          <w:rFonts w:ascii="Traditional Arabic" w:hAnsi="Traditional Arabic" w:cs="Traditional Arabic"/>
          <w:rtl/>
        </w:rPr>
        <w:t>تُفَسَّر العلاقات بين متغيرات الدراسة عبر مسارين وسيطين متوازيين</w:t>
      </w:r>
      <w:r w:rsidRPr="00335B65">
        <w:rPr>
          <w:rFonts w:ascii="Traditional Arabic" w:hAnsi="Traditional Arabic" w:cs="Traditional Arabic"/>
        </w:rPr>
        <w:t>:</w:t>
      </w:r>
      <w:r w:rsidRPr="00335B65">
        <w:rPr>
          <w:rFonts w:ascii="Traditional Arabic" w:hAnsi="Traditional Arabic" w:cs="Traditional Arabic"/>
        </w:rPr>
        <w:br/>
      </w:r>
      <w:r w:rsidRPr="00335B65">
        <w:rPr>
          <w:rFonts w:ascii="Traditional Arabic" w:hAnsi="Traditional Arabic" w:cs="Traditional Arabic"/>
          <w:rtl/>
        </w:rPr>
        <w:t>المسار التعزيزي</w:t>
      </w:r>
      <w:r w:rsidRPr="00335B65">
        <w:rPr>
          <w:rFonts w:ascii="Traditional Arabic" w:hAnsi="Traditional Arabic" w:cs="Traditional Arabic"/>
        </w:rPr>
        <w:t xml:space="preserve"> (TAM): </w:t>
      </w:r>
      <w:r w:rsidRPr="00335B65">
        <w:rPr>
          <w:rFonts w:ascii="Traditional Arabic" w:hAnsi="Traditional Arabic" w:cs="Traditional Arabic"/>
          <w:rtl/>
        </w:rPr>
        <w:t>تتحول جودة التحول الرقمي المؤسسي (خاصة كفاءة الأنظمة، الدعم، التكامل) إلى إدراكات أعلى للمنفعة وسهولة الاستخدام، بما يعزز خبرة العمل الرقمية ويرتبط بارتفاع الرضا الوظيفي</w:t>
      </w:r>
      <w:r w:rsidRPr="00335B65">
        <w:rPr>
          <w:rFonts w:ascii="Traditional Arabic" w:hAnsi="Traditional Arabic" w:cs="Traditional Arabic"/>
        </w:rPr>
        <w:t xml:space="preserve"> (H3).</w:t>
      </w:r>
      <w:r w:rsidRPr="00335B65">
        <w:rPr>
          <w:rFonts w:ascii="Traditional Arabic" w:hAnsi="Traditional Arabic" w:cs="Traditional Arabic"/>
        </w:rPr>
        <w:br/>
      </w:r>
      <w:r w:rsidRPr="00335B65">
        <w:rPr>
          <w:rFonts w:ascii="Traditional Arabic" w:hAnsi="Traditional Arabic" w:cs="Traditional Arabic"/>
          <w:rtl/>
        </w:rPr>
        <w:t>المسار الضاغط</w:t>
      </w:r>
      <w:r w:rsidRPr="00335B65">
        <w:rPr>
          <w:rFonts w:ascii="Traditional Arabic" w:hAnsi="Traditional Arabic" w:cs="Traditional Arabic"/>
        </w:rPr>
        <w:t xml:space="preserve"> (Technostress): </w:t>
      </w:r>
      <w:r w:rsidRPr="00335B65">
        <w:rPr>
          <w:rFonts w:ascii="Traditional Arabic" w:hAnsi="Traditional Arabic" w:cs="Traditional Arabic"/>
          <w:rtl/>
        </w:rPr>
        <w:t>تتحول مشكلات التحول (تعقيد/تشظي/تحديثات/اقتحام) إلى صانعات إجهاد تقني، بما يرتبط بانخفاض الرضا الوظيفي. وفي المقابل، يُتوقع أن يقلل التحول عالي الجودة من هذه الصانعات عبر الاستقرار والدعم والتكامل</w:t>
      </w:r>
      <w:r w:rsidRPr="00335B65">
        <w:rPr>
          <w:rFonts w:ascii="Traditional Arabic" w:hAnsi="Traditional Arabic" w:cs="Traditional Arabic"/>
        </w:rPr>
        <w:t xml:space="preserve"> (H2).</w:t>
      </w:r>
    </w:p>
    <w:p w14:paraId="7B7BF083" w14:textId="185B049D" w:rsidR="00335B65" w:rsidRDefault="00335B65" w:rsidP="00335B65">
      <w:pPr>
        <w:bidi/>
        <w:spacing w:after="160" w:line="360" w:lineRule="auto"/>
        <w:divId w:val="1647278641"/>
        <w:rPr>
          <w:rFonts w:ascii="Traditional Arabic" w:hAnsi="Traditional Arabic" w:cs="Traditional Arabic" w:hint="cs"/>
          <w:rtl/>
        </w:rPr>
      </w:pPr>
      <w:r w:rsidRPr="00335B65">
        <w:rPr>
          <w:rFonts w:ascii="Traditional Arabic" w:hAnsi="Traditional Arabic" w:cs="Traditional Arabic"/>
          <w:rtl/>
        </w:rPr>
        <w:t>ويُتوقع أيضًا وجود أثر مباشر محتمل لأبعاد التحول الرقمي على الرضا</w:t>
      </w:r>
      <w:r w:rsidRPr="00335B65">
        <w:rPr>
          <w:rFonts w:ascii="Traditional Arabic" w:hAnsi="Traditional Arabic" w:cs="Traditional Arabic"/>
        </w:rPr>
        <w:t xml:space="preserve"> (H1a–H1d)</w:t>
      </w:r>
      <w:r w:rsidRPr="00335B65">
        <w:rPr>
          <w:rFonts w:ascii="Traditional Arabic" w:hAnsi="Traditional Arabic" w:cs="Traditional Arabic"/>
          <w:rtl/>
        </w:rPr>
        <w:t>؛ لأن بعض مخرجات الرضا قد تتأثر مباشرة بتبسيط الإجراءات وتقليل الأخطاء وتحسين الوصول للمعلومات. كما يُختبر اعتدال الخصائص الديموغرافية</w:t>
      </w:r>
      <w:r w:rsidRPr="00335B65">
        <w:rPr>
          <w:rFonts w:ascii="Traditional Arabic" w:hAnsi="Traditional Arabic" w:cs="Traditional Arabic"/>
        </w:rPr>
        <w:t xml:space="preserve"> (H4) </w:t>
      </w:r>
      <w:r w:rsidRPr="00335B65">
        <w:rPr>
          <w:rFonts w:ascii="Traditional Arabic" w:hAnsi="Traditional Arabic" w:cs="Traditional Arabic"/>
          <w:rtl/>
        </w:rPr>
        <w:t>لتفسير اختلاف استجابة الموظفين للمسارين، انسجامًا مع الأدبيات التي تقر بتغاير القبول/الضغط بحسب العمر والخبرة وطبيعة الدور</w:t>
      </w:r>
      <w:r w:rsidRPr="00335B65">
        <w:rPr>
          <w:rFonts w:ascii="Traditional Arabic" w:hAnsi="Traditional Arabic" w:cs="Traditional Arabic"/>
        </w:rPr>
        <w:t xml:space="preserve"> Venkatesh et al., 2003</w:t>
      </w:r>
      <w:r w:rsidR="00B04E3B">
        <w:rPr>
          <w:rFonts w:ascii="Traditional Arabic" w:hAnsi="Traditional Arabic" w:cs="Traditional Arabic"/>
        </w:rPr>
        <w:t>)</w:t>
      </w:r>
      <w:r w:rsidRPr="00335B65">
        <w:rPr>
          <w:rFonts w:ascii="Traditional Arabic" w:hAnsi="Traditional Arabic" w:cs="Traditional Arabic"/>
          <w:rtl/>
        </w:rPr>
        <w:t>؛</w:t>
      </w:r>
      <w:r w:rsidRPr="00335B65">
        <w:rPr>
          <w:rFonts w:ascii="Traditional Arabic" w:hAnsi="Traditional Arabic" w:cs="Traditional Arabic"/>
        </w:rPr>
        <w:t xml:space="preserve"> Morris &amp; Venkatesh, 2000</w:t>
      </w:r>
      <w:r w:rsidR="00B04E3B">
        <w:rPr>
          <w:rFonts w:ascii="Traditional Arabic" w:hAnsi="Traditional Arabic" w:cs="Traditional Arabic" w:hint="cs"/>
          <w:rtl/>
        </w:rPr>
        <w:t>).</w:t>
      </w:r>
    </w:p>
    <w:p w14:paraId="1B4A4B38" w14:textId="38ADE039" w:rsidR="00186650" w:rsidRDefault="00186650" w:rsidP="00186650">
      <w:pPr>
        <w:bidi/>
        <w:spacing w:after="160" w:line="360" w:lineRule="auto"/>
        <w:divId w:val="1647278641"/>
        <w:rPr>
          <w:rFonts w:ascii="Traditional Arabic" w:hAnsi="Traditional Arabic" w:cs="Traditional Arabic"/>
          <w:rtl/>
        </w:rPr>
      </w:pPr>
      <w:r w:rsidRPr="007C2480">
        <w:rPr>
          <w:rFonts w:ascii="Traditional Arabic" w:hAnsi="Traditional Arabic" w:cs="Traditional Arabic"/>
          <w:noProof/>
          <w:rtl/>
          <w:lang w:val="ar-SA"/>
        </w:rPr>
        <w:lastRenderedPageBreak/>
        <w:drawing>
          <wp:inline distT="0" distB="0" distL="0" distR="0" wp14:anchorId="4E13520C" wp14:editId="5F262AB7">
            <wp:extent cx="5731510" cy="55829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maid-diagra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582920"/>
                    </a:xfrm>
                    <a:prstGeom prst="rect">
                      <a:avLst/>
                    </a:prstGeom>
                  </pic:spPr>
                </pic:pic>
              </a:graphicData>
            </a:graphic>
          </wp:inline>
        </w:drawing>
      </w:r>
    </w:p>
    <w:p w14:paraId="017FB0B2" w14:textId="1AAA42CE" w:rsidR="007C5230" w:rsidRDefault="007C5230" w:rsidP="007C5230">
      <w:pPr>
        <w:bidi/>
        <w:spacing w:after="160" w:line="360" w:lineRule="auto"/>
        <w:divId w:val="1647278641"/>
        <w:rPr>
          <w:rFonts w:ascii="Traditional Arabic" w:hAnsi="Traditional Arabic" w:cs="Traditional Arabic"/>
          <w:rtl/>
        </w:rPr>
      </w:pPr>
    </w:p>
    <w:p w14:paraId="407615F3" w14:textId="5ACDCA06" w:rsidR="007C5230" w:rsidRPr="007C5230" w:rsidRDefault="007C5230" w:rsidP="007C5230">
      <w:pPr>
        <w:bidi/>
        <w:spacing w:after="160" w:line="360" w:lineRule="auto"/>
        <w:divId w:val="1647278641"/>
        <w:rPr>
          <w:rFonts w:ascii="Traditional Arabic" w:hAnsi="Traditional Arabic" w:cs="Traditional Arabic"/>
        </w:rPr>
      </w:pPr>
      <w:r>
        <w:rPr>
          <w:rFonts w:ascii="Traditional Arabic" w:hAnsi="Traditional Arabic" w:cs="Traditional Arabic"/>
        </w:rPr>
        <w:t xml:space="preserve"> </w:t>
      </w:r>
      <w:r w:rsidRPr="007C5230">
        <w:rPr>
          <w:rFonts w:ascii="Traditional Arabic" w:hAnsi="Traditional Arabic" w:cs="Traditional Arabic"/>
          <w:b/>
          <w:bCs/>
        </w:rPr>
        <w:t xml:space="preserve">2.1.7 </w:t>
      </w:r>
      <w:r w:rsidRPr="007C5230">
        <w:rPr>
          <w:rFonts w:ascii="Traditional Arabic" w:hAnsi="Traditional Arabic" w:cs="Traditional Arabic"/>
          <w:b/>
          <w:bCs/>
          <w:rtl/>
        </w:rPr>
        <w:t>إطار التقنية–المنظمة–البيئة</w:t>
      </w:r>
      <w:r w:rsidRPr="007C5230">
        <w:rPr>
          <w:rFonts w:ascii="Traditional Arabic" w:hAnsi="Traditional Arabic" w:cs="Traditional Arabic"/>
          <w:b/>
          <w:bCs/>
        </w:rPr>
        <w:t xml:space="preserve"> (TOE) </w:t>
      </w:r>
      <w:r w:rsidRPr="007C5230">
        <w:rPr>
          <w:rFonts w:ascii="Traditional Arabic" w:hAnsi="Traditional Arabic" w:cs="Traditional Arabic"/>
          <w:b/>
          <w:bCs/>
          <w:rtl/>
        </w:rPr>
        <w:t xml:space="preserve">والمنظور </w:t>
      </w:r>
      <w:proofErr w:type="spellStart"/>
      <w:r w:rsidRPr="007C5230">
        <w:rPr>
          <w:rFonts w:ascii="Traditional Arabic" w:hAnsi="Traditional Arabic" w:cs="Traditional Arabic"/>
          <w:b/>
          <w:bCs/>
          <w:rtl/>
        </w:rPr>
        <w:t>السوسيوتقني</w:t>
      </w:r>
      <w:proofErr w:type="spellEnd"/>
      <w:r w:rsidRPr="007C5230">
        <w:rPr>
          <w:rFonts w:ascii="Traditional Arabic" w:hAnsi="Traditional Arabic" w:cs="Traditional Arabic"/>
          <w:b/>
          <w:bCs/>
          <w:rtl/>
        </w:rPr>
        <w:t xml:space="preserve"> كأطر مساندة</w:t>
      </w:r>
      <w:r w:rsidRPr="007C5230">
        <w:rPr>
          <w:rFonts w:ascii="Traditional Arabic" w:hAnsi="Traditional Arabic" w:cs="Traditional Arabic"/>
        </w:rPr>
        <w:br/>
      </w:r>
      <w:r w:rsidRPr="007C5230">
        <w:rPr>
          <w:rFonts w:ascii="Traditional Arabic" w:hAnsi="Traditional Arabic" w:cs="Traditional Arabic"/>
          <w:rtl/>
        </w:rPr>
        <w:t>يُستخدم إطار</w:t>
      </w:r>
      <w:r w:rsidRPr="007C5230">
        <w:rPr>
          <w:rFonts w:ascii="Traditional Arabic" w:hAnsi="Traditional Arabic" w:cs="Traditional Arabic"/>
        </w:rPr>
        <w:t xml:space="preserve"> TOE </w:t>
      </w:r>
      <w:r w:rsidRPr="007C5230">
        <w:rPr>
          <w:rFonts w:ascii="Traditional Arabic" w:hAnsi="Traditional Arabic" w:cs="Traditional Arabic"/>
          <w:rtl/>
        </w:rPr>
        <w:t>لتفسير اختلافات تبني الابتكار وتنفيذه بين المنظمات؛ إذ يُنظر إلى سياق تقني (البنية/النضج/</w:t>
      </w:r>
      <w:proofErr w:type="gramStart"/>
      <w:r w:rsidRPr="007C5230">
        <w:rPr>
          <w:rFonts w:ascii="Traditional Arabic" w:hAnsi="Traditional Arabic" w:cs="Traditional Arabic"/>
          <w:rtl/>
        </w:rPr>
        <w:t>الموثوقية)،</w:t>
      </w:r>
      <w:proofErr w:type="gramEnd"/>
      <w:r w:rsidRPr="007C5230">
        <w:rPr>
          <w:rFonts w:ascii="Traditional Arabic" w:hAnsi="Traditional Arabic" w:cs="Traditional Arabic"/>
          <w:rtl/>
        </w:rPr>
        <w:t xml:space="preserve"> وسياق تنظيمي (الموارد/التدريب/الدعم/الهيكل)، وسياق بيئي (الأنظمة/الضغوط/الامتثال) بوصفها محددات رئيسة للتبني والنتائج</w:t>
      </w:r>
      <w:r w:rsidRPr="007C5230">
        <w:rPr>
          <w:rFonts w:ascii="Traditional Arabic" w:hAnsi="Traditional Arabic" w:cs="Traditional Arabic"/>
        </w:rPr>
        <w:t xml:space="preserve"> </w:t>
      </w:r>
      <w:r w:rsidR="00B04E3B">
        <w:rPr>
          <w:rFonts w:ascii="Traditional Arabic" w:hAnsi="Traditional Arabic" w:cs="Traditional Arabic" w:hint="cs"/>
          <w:rtl/>
        </w:rPr>
        <w:t>(</w:t>
      </w:r>
      <w:proofErr w:type="spellStart"/>
      <w:r w:rsidRPr="007C5230">
        <w:rPr>
          <w:rFonts w:ascii="Traditional Arabic" w:hAnsi="Traditional Arabic" w:cs="Traditional Arabic"/>
        </w:rPr>
        <w:t>Tornatzky</w:t>
      </w:r>
      <w:proofErr w:type="spellEnd"/>
      <w:r w:rsidRPr="007C5230">
        <w:rPr>
          <w:rFonts w:ascii="Traditional Arabic" w:hAnsi="Traditional Arabic" w:cs="Traditional Arabic"/>
        </w:rPr>
        <w:t xml:space="preserve"> &amp; Fleischer, 1990</w:t>
      </w:r>
      <w:r w:rsidRPr="007C5230">
        <w:rPr>
          <w:rFonts w:ascii="Traditional Arabic" w:hAnsi="Traditional Arabic" w:cs="Traditional Arabic"/>
          <w:rtl/>
        </w:rPr>
        <w:t>؛</w:t>
      </w:r>
      <w:r w:rsidRPr="007C5230">
        <w:rPr>
          <w:rFonts w:ascii="Traditional Arabic" w:hAnsi="Traditional Arabic" w:cs="Traditional Arabic"/>
        </w:rPr>
        <w:t xml:space="preserve"> </w:t>
      </w:r>
      <w:r w:rsidR="00606ECD">
        <w:rPr>
          <w:rFonts w:ascii="Traditional Arabic" w:hAnsi="Traditional Arabic" w:cs="Traditional Arabic"/>
        </w:rPr>
        <w:t xml:space="preserve"> .</w:t>
      </w:r>
      <w:r w:rsidR="00B04E3B">
        <w:rPr>
          <w:rFonts w:ascii="Traditional Arabic" w:hAnsi="Traditional Arabic" w:cs="Traditional Arabic"/>
        </w:rPr>
        <w:t>(</w:t>
      </w:r>
      <w:r w:rsidRPr="007C5230">
        <w:rPr>
          <w:rFonts w:ascii="Traditional Arabic" w:hAnsi="Traditional Arabic" w:cs="Traditional Arabic"/>
        </w:rPr>
        <w:t xml:space="preserve">Oliveira &amp; Martins, 2011 </w:t>
      </w:r>
      <w:r w:rsidRPr="007C5230">
        <w:rPr>
          <w:rFonts w:ascii="Traditional Arabic" w:hAnsi="Traditional Arabic" w:cs="Traditional Arabic"/>
          <w:rtl/>
        </w:rPr>
        <w:t>ويسند ذلك تشغيل</w:t>
      </w:r>
      <w:r w:rsidRPr="007C5230">
        <w:rPr>
          <w:rFonts w:ascii="Traditional Arabic" w:hAnsi="Traditional Arabic" w:cs="Traditional Arabic"/>
        </w:rPr>
        <w:t xml:space="preserve"> DTD </w:t>
      </w:r>
      <w:r w:rsidRPr="007C5230">
        <w:rPr>
          <w:rFonts w:ascii="Traditional Arabic" w:hAnsi="Traditional Arabic" w:cs="Traditional Arabic"/>
          <w:rtl/>
        </w:rPr>
        <w:t>إلى أبعاد ذات طبيعة تقنية/تنظيمية داخل الوزارة</w:t>
      </w:r>
      <w:r w:rsidRPr="007C5230">
        <w:rPr>
          <w:rFonts w:ascii="Traditional Arabic" w:hAnsi="Traditional Arabic" w:cs="Traditional Arabic"/>
        </w:rPr>
        <w:t>.</w:t>
      </w:r>
    </w:p>
    <w:p w14:paraId="0D34DCCE" w14:textId="77777777" w:rsidR="007C5230" w:rsidRPr="007C5230" w:rsidRDefault="007C5230" w:rsidP="007C5230">
      <w:pPr>
        <w:bidi/>
        <w:spacing w:after="160" w:line="360" w:lineRule="auto"/>
        <w:divId w:val="1647278641"/>
        <w:rPr>
          <w:rFonts w:ascii="Traditional Arabic" w:hAnsi="Traditional Arabic" w:cs="Traditional Arabic"/>
        </w:rPr>
      </w:pPr>
      <w:r w:rsidRPr="007C5230">
        <w:rPr>
          <w:rFonts w:ascii="Traditional Arabic" w:hAnsi="Traditional Arabic" w:cs="Traditional Arabic"/>
          <w:rtl/>
        </w:rPr>
        <w:lastRenderedPageBreak/>
        <w:t xml:space="preserve">أما المنظور </w:t>
      </w:r>
      <w:proofErr w:type="spellStart"/>
      <w:r w:rsidRPr="007C5230">
        <w:rPr>
          <w:rFonts w:ascii="Traditional Arabic" w:hAnsi="Traditional Arabic" w:cs="Traditional Arabic"/>
          <w:rtl/>
        </w:rPr>
        <w:t>السوسيوتقني</w:t>
      </w:r>
      <w:proofErr w:type="spellEnd"/>
      <w:r w:rsidRPr="007C5230">
        <w:rPr>
          <w:rFonts w:ascii="Traditional Arabic" w:hAnsi="Traditional Arabic" w:cs="Traditional Arabic"/>
          <w:rtl/>
        </w:rPr>
        <w:t xml:space="preserve"> فيؤكد أن التقنية لا تُنتج نتائجها بصورة منفصلة، بل من خلال تفاعلها مع النظام الاجتماعي داخل المنظمة (تصميم العمل، الثقافة، العلاقات الإشرافية، القواعد)، وهو ما يبرر تغاير أثر التحول الرقمي بين فئات الموظفين حتى داخل نفس الجهة</w:t>
      </w:r>
      <w:r w:rsidRPr="007C5230">
        <w:rPr>
          <w:rFonts w:ascii="Traditional Arabic" w:hAnsi="Traditional Arabic" w:cs="Traditional Arabic"/>
        </w:rPr>
        <w:t xml:space="preserve"> (</w:t>
      </w:r>
      <w:proofErr w:type="spellStart"/>
      <w:r w:rsidRPr="007C5230">
        <w:rPr>
          <w:rFonts w:ascii="Traditional Arabic" w:hAnsi="Traditional Arabic" w:cs="Traditional Arabic"/>
        </w:rPr>
        <w:t>Sarker</w:t>
      </w:r>
      <w:proofErr w:type="spellEnd"/>
      <w:r w:rsidRPr="007C5230">
        <w:rPr>
          <w:rFonts w:ascii="Traditional Arabic" w:hAnsi="Traditional Arabic" w:cs="Traditional Arabic"/>
        </w:rPr>
        <w:t xml:space="preserve"> et al., 2019).</w:t>
      </w:r>
    </w:p>
    <w:p w14:paraId="40076FED" w14:textId="5BD1A7EC" w:rsidR="007C5230" w:rsidRPr="007C5230" w:rsidRDefault="007C5230" w:rsidP="007C5230">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7C5230">
        <w:rPr>
          <w:rFonts w:ascii="Traditional Arabic" w:hAnsi="Traditional Arabic" w:cs="Traditional Arabic"/>
          <w:b/>
          <w:bCs/>
        </w:rPr>
        <w:t xml:space="preserve">2.1.8 </w:t>
      </w:r>
      <w:r w:rsidRPr="007C5230">
        <w:rPr>
          <w:rFonts w:ascii="Traditional Arabic" w:hAnsi="Traditional Arabic" w:cs="Traditional Arabic"/>
          <w:b/>
          <w:bCs/>
          <w:rtl/>
        </w:rPr>
        <w:t>المتغيرات الديموغرافية وخلاصة الربط بالنموذج</w:t>
      </w:r>
      <w:r w:rsidRPr="007C5230">
        <w:rPr>
          <w:rFonts w:ascii="Traditional Arabic" w:hAnsi="Traditional Arabic" w:cs="Traditional Arabic"/>
        </w:rPr>
        <w:br/>
      </w:r>
      <w:r w:rsidRPr="007C5230">
        <w:rPr>
          <w:rFonts w:ascii="Traditional Arabic" w:hAnsi="Traditional Arabic" w:cs="Traditional Arabic"/>
          <w:rtl/>
        </w:rPr>
        <w:t>تُدرس الخصائص الديموغرافية (مثل الجنس، العمر، المؤهل، سنوات الخبرة، القطاع/الإدارة) بوصفها عوامل قد تُعدّل العلاقة بين التحول الرقمي المؤسسي والرضا الوظيفي</w:t>
      </w:r>
      <w:r w:rsidRPr="007C5230">
        <w:rPr>
          <w:rFonts w:ascii="Traditional Arabic" w:hAnsi="Traditional Arabic" w:cs="Traditional Arabic"/>
        </w:rPr>
        <w:t xml:space="preserve"> (H</w:t>
      </w:r>
      <w:proofErr w:type="gramStart"/>
      <w:r w:rsidRPr="007C5230">
        <w:rPr>
          <w:rFonts w:ascii="Traditional Arabic" w:hAnsi="Traditional Arabic" w:cs="Traditional Arabic"/>
        </w:rPr>
        <w:t>4)</w:t>
      </w:r>
      <w:r w:rsidRPr="007C5230">
        <w:rPr>
          <w:rFonts w:ascii="Traditional Arabic" w:hAnsi="Traditional Arabic" w:cs="Traditional Arabic"/>
          <w:rtl/>
        </w:rPr>
        <w:t>،</w:t>
      </w:r>
      <w:proofErr w:type="gramEnd"/>
      <w:r w:rsidRPr="007C5230">
        <w:rPr>
          <w:rFonts w:ascii="Traditional Arabic" w:hAnsi="Traditional Arabic" w:cs="Traditional Arabic"/>
          <w:rtl/>
        </w:rPr>
        <w:t xml:space="preserve"> استنادًا إلى منطق الفروق الفردية في نماذج القبول</w:t>
      </w:r>
      <w:r w:rsidRPr="007C5230">
        <w:rPr>
          <w:rFonts w:ascii="Traditional Arabic" w:hAnsi="Traditional Arabic" w:cs="Traditional Arabic"/>
        </w:rPr>
        <w:t xml:space="preserve"> (Venkatesh et al., 2003) </w:t>
      </w:r>
      <w:r w:rsidRPr="007C5230">
        <w:rPr>
          <w:rFonts w:ascii="Traditional Arabic" w:hAnsi="Traditional Arabic" w:cs="Traditional Arabic"/>
          <w:rtl/>
        </w:rPr>
        <w:t xml:space="preserve">وبالاستئناس بنتائج تشير إلى تغاير قنوات تأثير </w:t>
      </w:r>
      <w:proofErr w:type="spellStart"/>
      <w:r w:rsidRPr="007C5230">
        <w:rPr>
          <w:rFonts w:ascii="Traditional Arabic" w:hAnsi="Traditional Arabic" w:cs="Traditional Arabic"/>
          <w:rtl/>
        </w:rPr>
        <w:t>الرقمنة</w:t>
      </w:r>
      <w:proofErr w:type="spellEnd"/>
      <w:r w:rsidRPr="007C5230">
        <w:rPr>
          <w:rFonts w:ascii="Traditional Arabic" w:hAnsi="Traditional Arabic" w:cs="Traditional Arabic"/>
          <w:rtl/>
        </w:rPr>
        <w:t xml:space="preserve"> على الرضا بحسب خصائص العاملين</w:t>
      </w:r>
      <w:r w:rsidRPr="007C5230">
        <w:rPr>
          <w:rFonts w:ascii="Traditional Arabic" w:hAnsi="Traditional Arabic" w:cs="Traditional Arabic"/>
        </w:rPr>
        <w:t xml:space="preserve"> (</w:t>
      </w:r>
      <w:proofErr w:type="spellStart"/>
      <w:r w:rsidRPr="007C5230">
        <w:rPr>
          <w:rFonts w:ascii="Traditional Arabic" w:hAnsi="Traditional Arabic" w:cs="Traditional Arabic"/>
        </w:rPr>
        <w:t>Bolli</w:t>
      </w:r>
      <w:proofErr w:type="spellEnd"/>
      <w:r w:rsidRPr="007C5230">
        <w:rPr>
          <w:rFonts w:ascii="Traditional Arabic" w:hAnsi="Traditional Arabic" w:cs="Traditional Arabic"/>
        </w:rPr>
        <w:t xml:space="preserve"> &amp; </w:t>
      </w:r>
      <w:proofErr w:type="spellStart"/>
      <w:r w:rsidRPr="007C5230">
        <w:rPr>
          <w:rFonts w:ascii="Traditional Arabic" w:hAnsi="Traditional Arabic" w:cs="Traditional Arabic"/>
        </w:rPr>
        <w:t>Pusterla</w:t>
      </w:r>
      <w:proofErr w:type="spellEnd"/>
      <w:r w:rsidRPr="007C5230">
        <w:rPr>
          <w:rFonts w:ascii="Traditional Arabic" w:hAnsi="Traditional Arabic" w:cs="Traditional Arabic"/>
        </w:rPr>
        <w:t>, 2022).</w:t>
      </w:r>
    </w:p>
    <w:p w14:paraId="31118A68" w14:textId="08F78A6E" w:rsidR="007C5230" w:rsidRPr="007C5230" w:rsidRDefault="007C5230" w:rsidP="007C5230">
      <w:pPr>
        <w:bidi/>
        <w:spacing w:after="160" w:line="360" w:lineRule="auto"/>
        <w:divId w:val="1647278641"/>
        <w:rPr>
          <w:rFonts w:ascii="Traditional Arabic" w:hAnsi="Traditional Arabic" w:cs="Traditional Arabic"/>
        </w:rPr>
      </w:pPr>
      <w:r w:rsidRPr="007C5230">
        <w:rPr>
          <w:rFonts w:ascii="Traditional Arabic" w:hAnsi="Traditional Arabic" w:cs="Traditional Arabic"/>
          <w:rtl/>
        </w:rPr>
        <w:t>وبذلك يُختتم الإطار النظري بمنطق أن أبعاد التحول الرقمي المؤسسي تؤثر على الرضا الوظيفي مباشرة</w:t>
      </w:r>
      <w:r w:rsidRPr="007C5230">
        <w:rPr>
          <w:rFonts w:ascii="Traditional Arabic" w:hAnsi="Traditional Arabic" w:cs="Traditional Arabic"/>
        </w:rPr>
        <w:t xml:space="preserve"> (H1) </w:t>
      </w:r>
      <w:r w:rsidRPr="007C5230">
        <w:rPr>
          <w:rFonts w:ascii="Traditional Arabic" w:hAnsi="Traditional Arabic" w:cs="Traditional Arabic"/>
          <w:rtl/>
        </w:rPr>
        <w:t>وبصورة غير مباشرة عبر قناتين: قبول التقنية</w:t>
      </w:r>
      <w:r w:rsidRPr="007C5230">
        <w:rPr>
          <w:rFonts w:ascii="Traditional Arabic" w:hAnsi="Traditional Arabic" w:cs="Traditional Arabic"/>
        </w:rPr>
        <w:t xml:space="preserve"> (H3) </w:t>
      </w:r>
      <w:r w:rsidRPr="007C5230">
        <w:rPr>
          <w:rFonts w:ascii="Traditional Arabic" w:hAnsi="Traditional Arabic" w:cs="Traditional Arabic"/>
          <w:rtl/>
        </w:rPr>
        <w:t>والإجهاد التقني</w:t>
      </w:r>
      <w:r w:rsidRPr="007C5230">
        <w:rPr>
          <w:rFonts w:ascii="Traditional Arabic" w:hAnsi="Traditional Arabic" w:cs="Traditional Arabic"/>
        </w:rPr>
        <w:t xml:space="preserve"> (H2)</w:t>
      </w:r>
      <w:r w:rsidRPr="007C5230">
        <w:rPr>
          <w:rFonts w:ascii="Traditional Arabic" w:hAnsi="Traditional Arabic" w:cs="Traditional Arabic"/>
          <w:rtl/>
        </w:rPr>
        <w:t>، مع احتمال تغاير الأثر باختلاف الخصائص الديموغرافية</w:t>
      </w:r>
      <w:r w:rsidRPr="007C5230">
        <w:rPr>
          <w:rFonts w:ascii="Traditional Arabic" w:hAnsi="Traditional Arabic" w:cs="Traditional Arabic"/>
        </w:rPr>
        <w:t xml:space="preserve"> (H4)</w:t>
      </w:r>
      <w:r w:rsidRPr="007C5230">
        <w:rPr>
          <w:rFonts w:ascii="Traditional Arabic" w:hAnsi="Traditional Arabic" w:cs="Traditional Arabic"/>
          <w:rtl/>
        </w:rPr>
        <w:t>، بما يخدم أسئلة الدراسة (س1–س4)</w:t>
      </w:r>
      <w:r w:rsidRPr="007C5230">
        <w:rPr>
          <w:rFonts w:ascii="Traditional Arabic" w:hAnsi="Traditional Arabic" w:cs="Traditional Arabic"/>
        </w:rPr>
        <w:t>.</w:t>
      </w:r>
    </w:p>
    <w:p w14:paraId="3CD85EAE" w14:textId="77777777" w:rsidR="007C5230" w:rsidRPr="00606ECD" w:rsidRDefault="007C5230" w:rsidP="007C5230">
      <w:pPr>
        <w:bidi/>
        <w:spacing w:after="160" w:line="360" w:lineRule="auto"/>
        <w:divId w:val="1647278641"/>
        <w:rPr>
          <w:rFonts w:ascii="Traditional Arabic" w:hAnsi="Traditional Arabic" w:cs="Traditional Arabic"/>
          <w:b/>
          <w:bCs/>
        </w:rPr>
      </w:pPr>
      <w:r w:rsidRPr="00606ECD">
        <w:rPr>
          <w:rFonts w:ascii="Traditional Arabic" w:hAnsi="Traditional Arabic" w:cs="Traditional Arabic"/>
          <w:b/>
          <w:bCs/>
          <w:rtl/>
        </w:rPr>
        <w:t>جدول (2-1): مواءمة أبعاد التحول الرقمي المؤسسي</w:t>
      </w:r>
      <w:r w:rsidRPr="00606ECD">
        <w:rPr>
          <w:rFonts w:ascii="Traditional Arabic" w:hAnsi="Traditional Arabic" w:cs="Traditional Arabic"/>
          <w:b/>
          <w:bCs/>
        </w:rPr>
        <w:t xml:space="preserve"> (DTD) </w:t>
      </w:r>
      <w:r w:rsidRPr="00606ECD">
        <w:rPr>
          <w:rFonts w:ascii="Traditional Arabic" w:hAnsi="Traditional Arabic" w:cs="Traditional Arabic"/>
          <w:b/>
          <w:bCs/>
          <w:rtl/>
        </w:rPr>
        <w:t>مع الآثار المتوقعة ومسارات الفرضيات</w:t>
      </w:r>
    </w:p>
    <w:tbl>
      <w:tblPr>
        <w:tblStyle w:val="GridTable5Dark-Accent3"/>
        <w:tblpPr w:leftFromText="180" w:rightFromText="180" w:vertAnchor="text" w:tblpXSpec="right" w:tblpY="1"/>
        <w:bidiVisual/>
        <w:tblW w:w="9360" w:type="dxa"/>
        <w:tblLook w:val="04A0" w:firstRow="1" w:lastRow="0" w:firstColumn="1" w:lastColumn="0" w:noHBand="0" w:noVBand="1"/>
      </w:tblPr>
      <w:tblGrid>
        <w:gridCol w:w="1296"/>
        <w:gridCol w:w="1541"/>
        <w:gridCol w:w="1395"/>
        <w:gridCol w:w="1831"/>
        <w:gridCol w:w="1148"/>
        <w:gridCol w:w="2149"/>
      </w:tblGrid>
      <w:tr w:rsidR="007C5230" w:rsidRPr="007C5230" w14:paraId="2F065125" w14:textId="77777777" w:rsidTr="007C5230">
        <w:trPr>
          <w:cnfStyle w:val="100000000000" w:firstRow="1" w:lastRow="0" w:firstColumn="0" w:lastColumn="0" w:oddVBand="0" w:evenVBand="0" w:oddHBand="0"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C3DD03" w14:textId="77777777" w:rsidR="007C5230" w:rsidRPr="007C5230" w:rsidRDefault="007C5230" w:rsidP="007C5230">
            <w:pPr>
              <w:jc w:val="center"/>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بُعد</w:t>
            </w:r>
            <w:r w:rsidRPr="007C5230">
              <w:rPr>
                <w:rFonts w:ascii="Segoe UI" w:eastAsia="Times New Roman" w:hAnsi="Segoe UI" w:cs="Segoe UI"/>
                <w:color w:val="0D0D0D"/>
                <w:spacing w:val="-2"/>
                <w:sz w:val="20"/>
                <w:szCs w:val="20"/>
              </w:rPr>
              <w:t xml:space="preserve"> DTD</w:t>
            </w:r>
          </w:p>
        </w:tc>
        <w:tc>
          <w:tcPr>
            <w:tcW w:w="0" w:type="auto"/>
            <w:vAlign w:val="center"/>
            <w:hideMark/>
          </w:tcPr>
          <w:p w14:paraId="68027A0E" w14:textId="77777777" w:rsidR="007C5230" w:rsidRPr="007C5230"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مضمون البعد (تعريف إجرائي موجز)</w:t>
            </w:r>
          </w:p>
        </w:tc>
        <w:tc>
          <w:tcPr>
            <w:tcW w:w="0" w:type="auto"/>
            <w:vAlign w:val="center"/>
            <w:hideMark/>
          </w:tcPr>
          <w:p w14:paraId="42114D3E" w14:textId="77777777" w:rsidR="007C5230" w:rsidRPr="007C5230"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أثر متوقع على</w:t>
            </w:r>
            <w:r w:rsidRPr="007C5230">
              <w:rPr>
                <w:rFonts w:ascii="Segoe UI" w:eastAsia="Times New Roman" w:hAnsi="Segoe UI" w:cs="Segoe UI"/>
                <w:color w:val="0D0D0D"/>
                <w:spacing w:val="-2"/>
                <w:sz w:val="20"/>
                <w:szCs w:val="20"/>
              </w:rPr>
              <w:t xml:space="preserve"> TAM (H3a–H3b)</w:t>
            </w:r>
          </w:p>
        </w:tc>
        <w:tc>
          <w:tcPr>
            <w:tcW w:w="0" w:type="auto"/>
            <w:vAlign w:val="center"/>
            <w:hideMark/>
          </w:tcPr>
          <w:p w14:paraId="2CCD1B6A" w14:textId="77777777" w:rsidR="007C5230" w:rsidRPr="007C5230"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أثر متوقع على</w:t>
            </w:r>
            <w:r w:rsidRPr="007C5230">
              <w:rPr>
                <w:rFonts w:ascii="Segoe UI" w:eastAsia="Times New Roman" w:hAnsi="Segoe UI" w:cs="Segoe UI"/>
                <w:color w:val="0D0D0D"/>
                <w:spacing w:val="-2"/>
                <w:sz w:val="20"/>
                <w:szCs w:val="20"/>
              </w:rPr>
              <w:t xml:space="preserve"> Technostress (H2a)</w:t>
            </w:r>
          </w:p>
        </w:tc>
        <w:tc>
          <w:tcPr>
            <w:tcW w:w="0" w:type="auto"/>
            <w:vAlign w:val="center"/>
            <w:hideMark/>
          </w:tcPr>
          <w:p w14:paraId="53A18DD2" w14:textId="77777777" w:rsidR="007C5230" w:rsidRPr="007C5230"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أثر متوقع على الرضا الوظيفي</w:t>
            </w:r>
            <w:r w:rsidRPr="007C5230">
              <w:rPr>
                <w:rFonts w:ascii="Segoe UI" w:eastAsia="Times New Roman" w:hAnsi="Segoe UI" w:cs="Segoe UI"/>
                <w:color w:val="0D0D0D"/>
                <w:spacing w:val="-2"/>
                <w:sz w:val="20"/>
                <w:szCs w:val="20"/>
              </w:rPr>
              <w:t xml:space="preserve"> (H1)</w:t>
            </w:r>
          </w:p>
        </w:tc>
        <w:tc>
          <w:tcPr>
            <w:tcW w:w="0" w:type="auto"/>
            <w:vAlign w:val="center"/>
            <w:hideMark/>
          </w:tcPr>
          <w:p w14:paraId="77CA82BC" w14:textId="77777777" w:rsidR="007C5230" w:rsidRPr="007C5230"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ملاحظات نظرية موجزة</w:t>
            </w:r>
          </w:p>
        </w:tc>
      </w:tr>
      <w:tr w:rsidR="007C5230" w:rsidRPr="007C5230" w14:paraId="54CE1321" w14:textId="77777777" w:rsidTr="007C5230">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63D32F" w14:textId="77777777" w:rsidR="007C5230" w:rsidRPr="007C5230" w:rsidRDefault="007C5230" w:rsidP="007C5230">
            <w:pPr>
              <w:jc w:val="center"/>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 xml:space="preserve">DTD1 </w:t>
            </w:r>
            <w:r w:rsidRPr="007C5230">
              <w:rPr>
                <w:rFonts w:ascii="Segoe UI" w:eastAsia="Times New Roman" w:hAnsi="Segoe UI" w:cs="Segoe UI"/>
                <w:color w:val="0D0D0D"/>
                <w:spacing w:val="-2"/>
                <w:sz w:val="20"/>
                <w:szCs w:val="20"/>
                <w:rtl/>
              </w:rPr>
              <w:t>توفر/انتشار الأنظمة</w:t>
            </w:r>
          </w:p>
        </w:tc>
        <w:tc>
          <w:tcPr>
            <w:tcW w:w="0" w:type="auto"/>
            <w:vAlign w:val="center"/>
            <w:hideMark/>
          </w:tcPr>
          <w:p w14:paraId="30A96447"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شمول الأنظمة الرقمية لمعاملات الموظف واستخدامها اليومي</w:t>
            </w:r>
          </w:p>
        </w:tc>
        <w:tc>
          <w:tcPr>
            <w:tcW w:w="0" w:type="auto"/>
            <w:vAlign w:val="center"/>
            <w:hideMark/>
          </w:tcPr>
          <w:p w14:paraId="6D78C617"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رفع</w:t>
            </w:r>
            <w:r w:rsidRPr="007C5230">
              <w:rPr>
                <w:rFonts w:ascii="Segoe UI" w:eastAsia="Times New Roman" w:hAnsi="Segoe UI" w:cs="Segoe UI"/>
                <w:color w:val="0D0D0D"/>
                <w:spacing w:val="-2"/>
                <w:sz w:val="20"/>
                <w:szCs w:val="20"/>
              </w:rPr>
              <w:t xml:space="preserve"> PU/PEOU </w:t>
            </w:r>
            <w:r w:rsidRPr="007C5230">
              <w:rPr>
                <w:rFonts w:ascii="Segoe UI" w:eastAsia="Times New Roman" w:hAnsi="Segoe UI" w:cs="Segoe UI"/>
                <w:color w:val="0D0D0D"/>
                <w:spacing w:val="-2"/>
                <w:sz w:val="20"/>
                <w:szCs w:val="20"/>
                <w:rtl/>
              </w:rPr>
              <w:t>عبر خفض الاعتماد على البدائل اليدوية</w:t>
            </w:r>
          </w:p>
        </w:tc>
        <w:tc>
          <w:tcPr>
            <w:tcW w:w="0" w:type="auto"/>
            <w:vAlign w:val="center"/>
            <w:hideMark/>
          </w:tcPr>
          <w:p w14:paraId="4D545970"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قد يخفض/يرفع الإجهاد بحسب كثافة الأدوات وتنظيمها</w:t>
            </w:r>
          </w:p>
        </w:tc>
        <w:tc>
          <w:tcPr>
            <w:tcW w:w="0" w:type="auto"/>
            <w:vAlign w:val="center"/>
            <w:hideMark/>
          </w:tcPr>
          <w:p w14:paraId="37F80BE8"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أثر إيجابي متوقع</w:t>
            </w:r>
            <w:r w:rsidRPr="007C5230">
              <w:rPr>
                <w:rFonts w:ascii="Segoe UI" w:eastAsia="Times New Roman" w:hAnsi="Segoe UI" w:cs="Segoe UI"/>
                <w:color w:val="0D0D0D"/>
                <w:spacing w:val="-2"/>
                <w:sz w:val="20"/>
                <w:szCs w:val="20"/>
              </w:rPr>
              <w:t xml:space="preserve"> (H1a)</w:t>
            </w:r>
          </w:p>
        </w:tc>
        <w:tc>
          <w:tcPr>
            <w:tcW w:w="0" w:type="auto"/>
            <w:vAlign w:val="center"/>
            <w:hideMark/>
          </w:tcPr>
          <w:p w14:paraId="41EDA48A" w14:textId="742BBF8E"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 xml:space="preserve">يرتبط بمنطق </w:t>
            </w:r>
            <w:r w:rsidR="002F488C">
              <w:rPr>
                <w:rFonts w:ascii="Segoe UI" w:eastAsia="Times New Roman" w:hAnsi="Segoe UI" w:cs="Segoe UI"/>
                <w:color w:val="0D0D0D"/>
                <w:spacing w:val="-2"/>
                <w:sz w:val="20"/>
                <w:szCs w:val="20"/>
                <w:rtl/>
              </w:rPr>
              <w:t>"</w:t>
            </w:r>
            <w:r w:rsidRPr="007C5230">
              <w:rPr>
                <w:rFonts w:ascii="Segoe UI" w:eastAsia="Times New Roman" w:hAnsi="Segoe UI" w:cs="Segoe UI"/>
                <w:color w:val="0D0D0D"/>
                <w:spacing w:val="-2"/>
                <w:sz w:val="20"/>
                <w:szCs w:val="20"/>
                <w:rtl/>
              </w:rPr>
              <w:t>الإتاحة</w:t>
            </w:r>
            <w:r w:rsidR="002F488C">
              <w:rPr>
                <w:rFonts w:ascii="Segoe UI" w:eastAsia="Times New Roman" w:hAnsi="Segoe UI" w:cs="Segoe UI"/>
                <w:color w:val="0D0D0D"/>
                <w:spacing w:val="-2"/>
                <w:sz w:val="20"/>
                <w:szCs w:val="20"/>
                <w:rtl/>
              </w:rPr>
              <w:t>"</w:t>
            </w:r>
            <w:r w:rsidRPr="007C5230">
              <w:rPr>
                <w:rFonts w:ascii="Segoe UI" w:eastAsia="Times New Roman" w:hAnsi="Segoe UI" w:cs="Segoe UI"/>
                <w:color w:val="0D0D0D"/>
                <w:spacing w:val="-2"/>
                <w:sz w:val="20"/>
                <w:szCs w:val="20"/>
                <w:rtl/>
              </w:rPr>
              <w:t xml:space="preserve"> كشرط لانتقال التحول من مبادرة إلى ممارسة</w:t>
            </w:r>
            <w:r w:rsidRPr="007C5230">
              <w:rPr>
                <w:rFonts w:ascii="Segoe UI" w:eastAsia="Times New Roman" w:hAnsi="Segoe UI" w:cs="Segoe UI"/>
                <w:color w:val="0D0D0D"/>
                <w:spacing w:val="-2"/>
                <w:sz w:val="20"/>
                <w:szCs w:val="20"/>
              </w:rPr>
              <w:t xml:space="preserve"> (Vial, 2019)</w:t>
            </w:r>
          </w:p>
        </w:tc>
      </w:tr>
      <w:tr w:rsidR="007C5230" w:rsidRPr="007C5230" w14:paraId="29A8DA22" w14:textId="77777777" w:rsidTr="007C5230">
        <w:trPr>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C0C065" w14:textId="77777777" w:rsidR="007C5230" w:rsidRPr="007C5230" w:rsidRDefault="007C5230" w:rsidP="007C5230">
            <w:pPr>
              <w:jc w:val="center"/>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 xml:space="preserve">DTD2 </w:t>
            </w:r>
            <w:r w:rsidRPr="007C5230">
              <w:rPr>
                <w:rFonts w:ascii="Segoe UI" w:eastAsia="Times New Roman" w:hAnsi="Segoe UI" w:cs="Segoe UI"/>
                <w:color w:val="0D0D0D"/>
                <w:spacing w:val="-2"/>
                <w:sz w:val="20"/>
                <w:szCs w:val="20"/>
                <w:rtl/>
              </w:rPr>
              <w:t>كفاءة الأنظمة والعمليات</w:t>
            </w:r>
          </w:p>
        </w:tc>
        <w:tc>
          <w:tcPr>
            <w:tcW w:w="0" w:type="auto"/>
            <w:vAlign w:val="center"/>
            <w:hideMark/>
          </w:tcPr>
          <w:p w14:paraId="7DA18947"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الاستقرار، سرعة الاستجابة، تقليل الأخطاء، وضوح التدفق</w:t>
            </w:r>
          </w:p>
        </w:tc>
        <w:tc>
          <w:tcPr>
            <w:tcW w:w="0" w:type="auto"/>
            <w:vAlign w:val="center"/>
            <w:hideMark/>
          </w:tcPr>
          <w:p w14:paraId="391C578A"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رفع</w:t>
            </w:r>
            <w:r w:rsidRPr="007C5230">
              <w:rPr>
                <w:rFonts w:ascii="Segoe UI" w:eastAsia="Times New Roman" w:hAnsi="Segoe UI" w:cs="Segoe UI"/>
                <w:color w:val="0D0D0D"/>
                <w:spacing w:val="-2"/>
                <w:sz w:val="20"/>
                <w:szCs w:val="20"/>
              </w:rPr>
              <w:t xml:space="preserve"> PU/PEOU </w:t>
            </w:r>
            <w:r w:rsidRPr="007C5230">
              <w:rPr>
                <w:rFonts w:ascii="Segoe UI" w:eastAsia="Times New Roman" w:hAnsi="Segoe UI" w:cs="Segoe UI"/>
                <w:color w:val="0D0D0D"/>
                <w:spacing w:val="-2"/>
                <w:sz w:val="20"/>
                <w:szCs w:val="20"/>
                <w:rtl/>
              </w:rPr>
              <w:t>عبر تحسين الأداء وسلاسة الاستخدام</w:t>
            </w:r>
          </w:p>
        </w:tc>
        <w:tc>
          <w:tcPr>
            <w:tcW w:w="0" w:type="auto"/>
            <w:vAlign w:val="center"/>
            <w:hideMark/>
          </w:tcPr>
          <w:p w14:paraId="0F5719FC"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خفض التعقيد/عدم اليقين عند تحسن الاستقرار</w:t>
            </w:r>
          </w:p>
        </w:tc>
        <w:tc>
          <w:tcPr>
            <w:tcW w:w="0" w:type="auto"/>
            <w:vAlign w:val="center"/>
            <w:hideMark/>
          </w:tcPr>
          <w:p w14:paraId="1B8C8BA7"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أثر إيجابي متوقع</w:t>
            </w:r>
            <w:r w:rsidRPr="007C5230">
              <w:rPr>
                <w:rFonts w:ascii="Segoe UI" w:eastAsia="Times New Roman" w:hAnsi="Segoe UI" w:cs="Segoe UI"/>
                <w:color w:val="0D0D0D"/>
                <w:spacing w:val="-2"/>
                <w:sz w:val="20"/>
                <w:szCs w:val="20"/>
              </w:rPr>
              <w:t xml:space="preserve"> (H1b)</w:t>
            </w:r>
          </w:p>
        </w:tc>
        <w:tc>
          <w:tcPr>
            <w:tcW w:w="0" w:type="auto"/>
            <w:vAlign w:val="center"/>
            <w:hideMark/>
          </w:tcPr>
          <w:p w14:paraId="79D6347F"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 xml:space="preserve">يفسر القنوات الإيجابية </w:t>
            </w:r>
            <w:proofErr w:type="spellStart"/>
            <w:r w:rsidRPr="007C5230">
              <w:rPr>
                <w:rFonts w:ascii="Segoe UI" w:eastAsia="Times New Roman" w:hAnsi="Segoe UI" w:cs="Segoe UI"/>
                <w:color w:val="0D0D0D"/>
                <w:spacing w:val="-2"/>
                <w:sz w:val="20"/>
                <w:szCs w:val="20"/>
                <w:rtl/>
              </w:rPr>
              <w:t>للرقمنة</w:t>
            </w:r>
            <w:proofErr w:type="spellEnd"/>
            <w:r w:rsidRPr="007C5230">
              <w:rPr>
                <w:rFonts w:ascii="Segoe UI" w:eastAsia="Times New Roman" w:hAnsi="Segoe UI" w:cs="Segoe UI"/>
                <w:color w:val="0D0D0D"/>
                <w:spacing w:val="-2"/>
                <w:sz w:val="20"/>
                <w:szCs w:val="20"/>
                <w:rtl/>
              </w:rPr>
              <w:t xml:space="preserve"> مع احتمال ضغط الوقت</w:t>
            </w:r>
            <w:r w:rsidRPr="007C5230">
              <w:rPr>
                <w:rFonts w:ascii="Segoe UI" w:eastAsia="Times New Roman" w:hAnsi="Segoe UI" w:cs="Segoe UI"/>
                <w:color w:val="0D0D0D"/>
                <w:spacing w:val="-2"/>
                <w:sz w:val="20"/>
                <w:szCs w:val="20"/>
              </w:rPr>
              <w:t xml:space="preserve"> (</w:t>
            </w:r>
            <w:proofErr w:type="spellStart"/>
            <w:r w:rsidRPr="007C5230">
              <w:rPr>
                <w:rFonts w:ascii="Segoe UI" w:eastAsia="Times New Roman" w:hAnsi="Segoe UI" w:cs="Segoe UI"/>
                <w:color w:val="0D0D0D"/>
                <w:spacing w:val="-2"/>
                <w:sz w:val="20"/>
                <w:szCs w:val="20"/>
              </w:rPr>
              <w:t>Bolli</w:t>
            </w:r>
            <w:proofErr w:type="spellEnd"/>
            <w:r w:rsidRPr="007C5230">
              <w:rPr>
                <w:rFonts w:ascii="Segoe UI" w:eastAsia="Times New Roman" w:hAnsi="Segoe UI" w:cs="Segoe UI"/>
                <w:color w:val="0D0D0D"/>
                <w:spacing w:val="-2"/>
                <w:sz w:val="20"/>
                <w:szCs w:val="20"/>
              </w:rPr>
              <w:t xml:space="preserve"> &amp; </w:t>
            </w:r>
            <w:proofErr w:type="spellStart"/>
            <w:r w:rsidRPr="007C5230">
              <w:rPr>
                <w:rFonts w:ascii="Segoe UI" w:eastAsia="Times New Roman" w:hAnsi="Segoe UI" w:cs="Segoe UI"/>
                <w:color w:val="0D0D0D"/>
                <w:spacing w:val="-2"/>
                <w:sz w:val="20"/>
                <w:szCs w:val="20"/>
              </w:rPr>
              <w:t>Pusterla</w:t>
            </w:r>
            <w:proofErr w:type="spellEnd"/>
            <w:r w:rsidRPr="007C5230">
              <w:rPr>
                <w:rFonts w:ascii="Segoe UI" w:eastAsia="Times New Roman" w:hAnsi="Segoe UI" w:cs="Segoe UI"/>
                <w:color w:val="0D0D0D"/>
                <w:spacing w:val="-2"/>
                <w:sz w:val="20"/>
                <w:szCs w:val="20"/>
              </w:rPr>
              <w:t>, 2022)</w:t>
            </w:r>
          </w:p>
        </w:tc>
      </w:tr>
      <w:tr w:rsidR="007C5230" w:rsidRPr="007C5230" w14:paraId="40594561" w14:textId="77777777" w:rsidTr="007C5230">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C516B4" w14:textId="77777777" w:rsidR="007C5230" w:rsidRPr="007C5230" w:rsidRDefault="007C5230" w:rsidP="007C5230">
            <w:pPr>
              <w:jc w:val="center"/>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 xml:space="preserve">DTD3 </w:t>
            </w:r>
            <w:r w:rsidRPr="007C5230">
              <w:rPr>
                <w:rFonts w:ascii="Segoe UI" w:eastAsia="Times New Roman" w:hAnsi="Segoe UI" w:cs="Segoe UI"/>
                <w:color w:val="0D0D0D"/>
                <w:spacing w:val="-2"/>
                <w:sz w:val="20"/>
                <w:szCs w:val="20"/>
                <w:rtl/>
              </w:rPr>
              <w:t>جودة الدعم والتدريب</w:t>
            </w:r>
          </w:p>
        </w:tc>
        <w:tc>
          <w:tcPr>
            <w:tcW w:w="0" w:type="auto"/>
            <w:vAlign w:val="center"/>
            <w:hideMark/>
          </w:tcPr>
          <w:p w14:paraId="1D04D4C1"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التدريب، قنوات المساعدة، سرعة الاستجابة</w:t>
            </w:r>
          </w:p>
        </w:tc>
        <w:tc>
          <w:tcPr>
            <w:tcW w:w="0" w:type="auto"/>
            <w:vAlign w:val="center"/>
            <w:hideMark/>
          </w:tcPr>
          <w:p w14:paraId="5D62B007"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رفع</w:t>
            </w:r>
            <w:r w:rsidRPr="007C5230">
              <w:rPr>
                <w:rFonts w:ascii="Segoe UI" w:eastAsia="Times New Roman" w:hAnsi="Segoe UI" w:cs="Segoe UI"/>
                <w:color w:val="0D0D0D"/>
                <w:spacing w:val="-2"/>
                <w:sz w:val="20"/>
                <w:szCs w:val="20"/>
              </w:rPr>
              <w:t xml:space="preserve"> PEOU </w:t>
            </w:r>
            <w:r w:rsidRPr="007C5230">
              <w:rPr>
                <w:rFonts w:ascii="Segoe UI" w:eastAsia="Times New Roman" w:hAnsi="Segoe UI" w:cs="Segoe UI"/>
                <w:color w:val="0D0D0D"/>
                <w:spacing w:val="-2"/>
                <w:sz w:val="20"/>
                <w:szCs w:val="20"/>
                <w:rtl/>
              </w:rPr>
              <w:t>و</w:t>
            </w:r>
            <w:r w:rsidRPr="007C5230">
              <w:rPr>
                <w:rFonts w:ascii="Segoe UI" w:eastAsia="Times New Roman" w:hAnsi="Segoe UI" w:cs="Segoe UI"/>
                <w:color w:val="0D0D0D"/>
                <w:spacing w:val="-2"/>
                <w:sz w:val="20"/>
                <w:szCs w:val="20"/>
              </w:rPr>
              <w:t xml:space="preserve">PU </w:t>
            </w:r>
            <w:r w:rsidRPr="007C5230">
              <w:rPr>
                <w:rFonts w:ascii="Segoe UI" w:eastAsia="Times New Roman" w:hAnsi="Segoe UI" w:cs="Segoe UI"/>
                <w:color w:val="0D0D0D"/>
                <w:spacing w:val="-2"/>
                <w:sz w:val="20"/>
                <w:szCs w:val="20"/>
                <w:rtl/>
              </w:rPr>
              <w:t>عبر التمكين</w:t>
            </w:r>
          </w:p>
        </w:tc>
        <w:tc>
          <w:tcPr>
            <w:tcW w:w="0" w:type="auto"/>
            <w:vAlign w:val="center"/>
            <w:hideMark/>
          </w:tcPr>
          <w:p w14:paraId="2E07D410" w14:textId="0CD043D0"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 xml:space="preserve">خفض صانعات الإجهاد بوصفه </w:t>
            </w:r>
            <w:r w:rsidR="002F488C">
              <w:rPr>
                <w:rFonts w:ascii="Segoe UI" w:eastAsia="Times New Roman" w:hAnsi="Segoe UI" w:cs="Segoe UI"/>
                <w:color w:val="0D0D0D"/>
                <w:spacing w:val="-2"/>
                <w:sz w:val="20"/>
                <w:szCs w:val="20"/>
                <w:rtl/>
              </w:rPr>
              <w:t>"</w:t>
            </w:r>
            <w:r w:rsidRPr="007C5230">
              <w:rPr>
                <w:rFonts w:ascii="Segoe UI" w:eastAsia="Times New Roman" w:hAnsi="Segoe UI" w:cs="Segoe UI"/>
                <w:color w:val="0D0D0D"/>
                <w:spacing w:val="-2"/>
                <w:sz w:val="20"/>
                <w:szCs w:val="20"/>
                <w:rtl/>
              </w:rPr>
              <w:t>مثبطًا</w:t>
            </w:r>
            <w:r w:rsidR="002F488C">
              <w:rPr>
                <w:rFonts w:ascii="Segoe UI" w:eastAsia="Times New Roman" w:hAnsi="Segoe UI" w:cs="Segoe UI"/>
                <w:color w:val="0D0D0D"/>
                <w:spacing w:val="-2"/>
                <w:sz w:val="20"/>
                <w:szCs w:val="20"/>
                <w:rtl/>
              </w:rPr>
              <w:t>"</w:t>
            </w:r>
            <w:r w:rsidRPr="007C5230">
              <w:rPr>
                <w:rFonts w:ascii="Segoe UI" w:eastAsia="Times New Roman" w:hAnsi="Segoe UI" w:cs="Segoe UI"/>
                <w:color w:val="0D0D0D"/>
                <w:spacing w:val="-2"/>
                <w:sz w:val="20"/>
                <w:szCs w:val="20"/>
                <w:rtl/>
              </w:rPr>
              <w:t xml:space="preserve"> تنظيميًا</w:t>
            </w:r>
          </w:p>
        </w:tc>
        <w:tc>
          <w:tcPr>
            <w:tcW w:w="0" w:type="auto"/>
            <w:vAlign w:val="center"/>
            <w:hideMark/>
          </w:tcPr>
          <w:p w14:paraId="7D5F2347"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أثر إيجابي متوقع</w:t>
            </w:r>
            <w:r w:rsidRPr="007C5230">
              <w:rPr>
                <w:rFonts w:ascii="Segoe UI" w:eastAsia="Times New Roman" w:hAnsi="Segoe UI" w:cs="Segoe UI"/>
                <w:color w:val="0D0D0D"/>
                <w:spacing w:val="-2"/>
                <w:sz w:val="20"/>
                <w:szCs w:val="20"/>
              </w:rPr>
              <w:t xml:space="preserve"> (H1c)</w:t>
            </w:r>
          </w:p>
        </w:tc>
        <w:tc>
          <w:tcPr>
            <w:tcW w:w="0" w:type="auto"/>
            <w:vAlign w:val="center"/>
            <w:hideMark/>
          </w:tcPr>
          <w:p w14:paraId="45D96735"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يتسق مع مثبطات الإجهاد التقني</w:t>
            </w:r>
            <w:r w:rsidRPr="007C5230">
              <w:rPr>
                <w:rFonts w:ascii="Segoe UI" w:eastAsia="Times New Roman" w:hAnsi="Segoe UI" w:cs="Segoe UI"/>
                <w:color w:val="0D0D0D"/>
                <w:spacing w:val="-2"/>
                <w:sz w:val="20"/>
                <w:szCs w:val="20"/>
              </w:rPr>
              <w:t xml:space="preserve"> (</w:t>
            </w:r>
            <w:proofErr w:type="spellStart"/>
            <w:r w:rsidRPr="007C5230">
              <w:rPr>
                <w:rFonts w:ascii="Segoe UI" w:eastAsia="Times New Roman" w:hAnsi="Segoe UI" w:cs="Segoe UI"/>
                <w:color w:val="0D0D0D"/>
                <w:spacing w:val="-2"/>
                <w:sz w:val="20"/>
                <w:szCs w:val="20"/>
              </w:rPr>
              <w:t>Tarafdar</w:t>
            </w:r>
            <w:proofErr w:type="spellEnd"/>
            <w:r w:rsidRPr="007C5230">
              <w:rPr>
                <w:rFonts w:ascii="Segoe UI" w:eastAsia="Times New Roman" w:hAnsi="Segoe UI" w:cs="Segoe UI"/>
                <w:color w:val="0D0D0D"/>
                <w:spacing w:val="-2"/>
                <w:sz w:val="20"/>
                <w:szCs w:val="20"/>
              </w:rPr>
              <w:t xml:space="preserve"> et al., 2011) </w:t>
            </w:r>
            <w:r w:rsidRPr="007C5230">
              <w:rPr>
                <w:rFonts w:ascii="Segoe UI" w:eastAsia="Times New Roman" w:hAnsi="Segoe UI" w:cs="Segoe UI"/>
                <w:color w:val="0D0D0D"/>
                <w:spacing w:val="-2"/>
                <w:sz w:val="20"/>
                <w:szCs w:val="20"/>
                <w:rtl/>
              </w:rPr>
              <w:t>ومع جودة الخدمة/النظام</w:t>
            </w:r>
            <w:r w:rsidRPr="007C5230">
              <w:rPr>
                <w:rFonts w:ascii="Segoe UI" w:eastAsia="Times New Roman" w:hAnsi="Segoe UI" w:cs="Segoe UI"/>
                <w:color w:val="0D0D0D"/>
                <w:spacing w:val="-2"/>
                <w:sz w:val="20"/>
                <w:szCs w:val="20"/>
              </w:rPr>
              <w:t xml:space="preserve"> (</w:t>
            </w:r>
            <w:proofErr w:type="spellStart"/>
            <w:r w:rsidRPr="007C5230">
              <w:rPr>
                <w:rFonts w:ascii="Segoe UI" w:eastAsia="Times New Roman" w:hAnsi="Segoe UI" w:cs="Segoe UI"/>
                <w:color w:val="0D0D0D"/>
                <w:spacing w:val="-2"/>
                <w:sz w:val="20"/>
                <w:szCs w:val="20"/>
              </w:rPr>
              <w:t>DeLone</w:t>
            </w:r>
            <w:proofErr w:type="spellEnd"/>
            <w:r w:rsidRPr="007C5230">
              <w:rPr>
                <w:rFonts w:ascii="Segoe UI" w:eastAsia="Times New Roman" w:hAnsi="Segoe UI" w:cs="Segoe UI"/>
                <w:color w:val="0D0D0D"/>
                <w:spacing w:val="-2"/>
                <w:sz w:val="20"/>
                <w:szCs w:val="20"/>
              </w:rPr>
              <w:t xml:space="preserve"> &amp; McLean, 2003)</w:t>
            </w:r>
          </w:p>
        </w:tc>
      </w:tr>
      <w:tr w:rsidR="007C5230" w:rsidRPr="007C5230" w14:paraId="5D70D1B0" w14:textId="77777777" w:rsidTr="007C5230">
        <w:trPr>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C76E02" w14:textId="77777777" w:rsidR="007C5230" w:rsidRPr="007C5230" w:rsidRDefault="007C5230" w:rsidP="007C5230">
            <w:pPr>
              <w:jc w:val="center"/>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 xml:space="preserve">DTD4 </w:t>
            </w:r>
            <w:r w:rsidRPr="007C5230">
              <w:rPr>
                <w:rFonts w:ascii="Segoe UI" w:eastAsia="Times New Roman" w:hAnsi="Segoe UI" w:cs="Segoe UI"/>
                <w:color w:val="0D0D0D"/>
                <w:spacing w:val="-2"/>
                <w:sz w:val="20"/>
                <w:szCs w:val="20"/>
                <w:rtl/>
              </w:rPr>
              <w:t>التكامل وتبسيط الإجراءات</w:t>
            </w:r>
          </w:p>
        </w:tc>
        <w:tc>
          <w:tcPr>
            <w:tcW w:w="0" w:type="auto"/>
            <w:vAlign w:val="center"/>
            <w:hideMark/>
          </w:tcPr>
          <w:p w14:paraId="6CD41F69"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التشغيل البيني الداخلي وتقليل الازدواجية والخطوات</w:t>
            </w:r>
          </w:p>
        </w:tc>
        <w:tc>
          <w:tcPr>
            <w:tcW w:w="0" w:type="auto"/>
            <w:vAlign w:val="center"/>
            <w:hideMark/>
          </w:tcPr>
          <w:p w14:paraId="20C5F36F"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رفع</w:t>
            </w:r>
            <w:r w:rsidRPr="007C5230">
              <w:rPr>
                <w:rFonts w:ascii="Segoe UI" w:eastAsia="Times New Roman" w:hAnsi="Segoe UI" w:cs="Segoe UI"/>
                <w:color w:val="0D0D0D"/>
                <w:spacing w:val="-2"/>
                <w:sz w:val="20"/>
                <w:szCs w:val="20"/>
              </w:rPr>
              <w:t xml:space="preserve"> PU/PEOU </w:t>
            </w:r>
            <w:r w:rsidRPr="007C5230">
              <w:rPr>
                <w:rFonts w:ascii="Segoe UI" w:eastAsia="Times New Roman" w:hAnsi="Segoe UI" w:cs="Segoe UI"/>
                <w:color w:val="0D0D0D"/>
                <w:spacing w:val="-2"/>
                <w:sz w:val="20"/>
                <w:szCs w:val="20"/>
                <w:rtl/>
              </w:rPr>
              <w:t>عبر تبسيط رحلة الإجراء</w:t>
            </w:r>
          </w:p>
        </w:tc>
        <w:tc>
          <w:tcPr>
            <w:tcW w:w="0" w:type="auto"/>
            <w:vAlign w:val="center"/>
            <w:hideMark/>
          </w:tcPr>
          <w:p w14:paraId="6518BF91"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خفض الانقطاع/التشتت ووتيرة المشكلات</w:t>
            </w:r>
          </w:p>
        </w:tc>
        <w:tc>
          <w:tcPr>
            <w:tcW w:w="0" w:type="auto"/>
            <w:vAlign w:val="center"/>
            <w:hideMark/>
          </w:tcPr>
          <w:p w14:paraId="0179FA24"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أثر إيجابي متوقع</w:t>
            </w:r>
            <w:r w:rsidRPr="007C5230">
              <w:rPr>
                <w:rFonts w:ascii="Segoe UI" w:eastAsia="Times New Roman" w:hAnsi="Segoe UI" w:cs="Segoe UI"/>
                <w:color w:val="0D0D0D"/>
                <w:spacing w:val="-2"/>
                <w:sz w:val="20"/>
                <w:szCs w:val="20"/>
              </w:rPr>
              <w:t xml:space="preserve"> (H1d)</w:t>
            </w:r>
          </w:p>
        </w:tc>
        <w:tc>
          <w:tcPr>
            <w:tcW w:w="0" w:type="auto"/>
            <w:vAlign w:val="center"/>
            <w:hideMark/>
          </w:tcPr>
          <w:p w14:paraId="3F7DF019"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ينسجم مع التحول الحكومي بوصفه إعادة تصميم للعمليات</w:t>
            </w:r>
            <w:r w:rsidRPr="007C5230">
              <w:rPr>
                <w:rFonts w:ascii="Segoe UI" w:eastAsia="Times New Roman" w:hAnsi="Segoe UI" w:cs="Segoe UI"/>
                <w:color w:val="0D0D0D"/>
                <w:spacing w:val="-2"/>
                <w:sz w:val="20"/>
                <w:szCs w:val="20"/>
              </w:rPr>
              <w:t xml:space="preserve"> (</w:t>
            </w:r>
            <w:proofErr w:type="spellStart"/>
            <w:r w:rsidRPr="007C5230">
              <w:rPr>
                <w:rFonts w:ascii="Segoe UI" w:eastAsia="Times New Roman" w:hAnsi="Segoe UI" w:cs="Segoe UI"/>
                <w:color w:val="0D0D0D"/>
                <w:spacing w:val="-2"/>
                <w:sz w:val="20"/>
                <w:szCs w:val="20"/>
              </w:rPr>
              <w:t>Mergel</w:t>
            </w:r>
            <w:proofErr w:type="spellEnd"/>
            <w:r w:rsidRPr="007C5230">
              <w:rPr>
                <w:rFonts w:ascii="Segoe UI" w:eastAsia="Times New Roman" w:hAnsi="Segoe UI" w:cs="Segoe UI"/>
                <w:color w:val="0D0D0D"/>
                <w:spacing w:val="-2"/>
                <w:sz w:val="20"/>
                <w:szCs w:val="20"/>
              </w:rPr>
              <w:t xml:space="preserve"> et al., 2019)</w:t>
            </w:r>
          </w:p>
        </w:tc>
      </w:tr>
    </w:tbl>
    <w:p w14:paraId="4152F5DF" w14:textId="77777777" w:rsidR="007C5230" w:rsidRPr="00606ECD" w:rsidRDefault="007C5230" w:rsidP="007C5230">
      <w:pPr>
        <w:bidi/>
        <w:spacing w:after="160" w:line="360" w:lineRule="auto"/>
        <w:divId w:val="1647278641"/>
        <w:rPr>
          <w:rFonts w:ascii="Traditional Arabic" w:hAnsi="Traditional Arabic" w:cs="Traditional Arabic"/>
          <w:b/>
          <w:bCs/>
        </w:rPr>
      </w:pPr>
      <w:r w:rsidRPr="00606ECD">
        <w:rPr>
          <w:rFonts w:ascii="Traditional Arabic" w:hAnsi="Traditional Arabic" w:cs="Traditional Arabic"/>
          <w:b/>
          <w:bCs/>
          <w:rtl/>
        </w:rPr>
        <w:lastRenderedPageBreak/>
        <w:t>جدول (2-2): تعريفات المتغيرات والقياس والتمييز وملاحظات التكييف (وفق متطلبات اللجنة)</w:t>
      </w:r>
    </w:p>
    <w:tbl>
      <w:tblPr>
        <w:tblStyle w:val="GridTable5Dark-Accent3"/>
        <w:tblpPr w:leftFromText="180" w:rightFromText="180" w:vertAnchor="text" w:horzAnchor="page" w:tblpX="804" w:tblpY="18"/>
        <w:bidiVisual/>
        <w:tblW w:w="10141" w:type="dxa"/>
        <w:tblLook w:val="04A0" w:firstRow="1" w:lastRow="0" w:firstColumn="1" w:lastColumn="0" w:noHBand="0" w:noVBand="1"/>
      </w:tblPr>
      <w:tblGrid>
        <w:gridCol w:w="1416"/>
        <w:gridCol w:w="1322"/>
        <w:gridCol w:w="3444"/>
        <w:gridCol w:w="1327"/>
        <w:gridCol w:w="1159"/>
        <w:gridCol w:w="1473"/>
      </w:tblGrid>
      <w:tr w:rsidR="007C5230" w:rsidRPr="007C5230" w14:paraId="5160AF61" w14:textId="77777777" w:rsidTr="007C5230">
        <w:trPr>
          <w:cnfStyle w:val="100000000000" w:firstRow="1" w:lastRow="0" w:firstColumn="0" w:lastColumn="0" w:oddVBand="0" w:evenVBand="0" w:oddHBand="0"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5A372A81" w14:textId="77777777" w:rsidR="007C5230" w:rsidRPr="007C5230" w:rsidRDefault="007C5230" w:rsidP="007C5230">
            <w:pPr>
              <w:jc w:val="center"/>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المتغير</w:t>
            </w:r>
          </w:p>
        </w:tc>
        <w:tc>
          <w:tcPr>
            <w:tcW w:w="0" w:type="auto"/>
            <w:hideMark/>
          </w:tcPr>
          <w:p w14:paraId="1166828A" w14:textId="77777777" w:rsidR="007C5230" w:rsidRPr="007C5230"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التعريف المعتمد</w:t>
            </w:r>
          </w:p>
        </w:tc>
        <w:tc>
          <w:tcPr>
            <w:tcW w:w="0" w:type="auto"/>
            <w:hideMark/>
          </w:tcPr>
          <w:p w14:paraId="24AA9C49" w14:textId="77777777" w:rsidR="007C5230" w:rsidRPr="007C5230"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الأبعاد</w:t>
            </w:r>
          </w:p>
        </w:tc>
        <w:tc>
          <w:tcPr>
            <w:tcW w:w="0" w:type="auto"/>
            <w:hideMark/>
          </w:tcPr>
          <w:p w14:paraId="403A602E" w14:textId="77777777" w:rsidR="007C5230" w:rsidRPr="007C5230"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التمييز عن مفاهيم قريبة</w:t>
            </w:r>
          </w:p>
        </w:tc>
        <w:tc>
          <w:tcPr>
            <w:tcW w:w="0" w:type="auto"/>
            <w:hideMark/>
          </w:tcPr>
          <w:p w14:paraId="1A889F60" w14:textId="77777777" w:rsidR="007C5230" w:rsidRPr="007C5230"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مصدر القياس/الأداة</w:t>
            </w:r>
          </w:p>
        </w:tc>
        <w:tc>
          <w:tcPr>
            <w:tcW w:w="894" w:type="dxa"/>
            <w:hideMark/>
          </w:tcPr>
          <w:p w14:paraId="0656F77A" w14:textId="77777777" w:rsidR="007C5230" w:rsidRPr="007C5230"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ملاحظات التكييف لسياق الوزارة</w:t>
            </w:r>
          </w:p>
        </w:tc>
      </w:tr>
      <w:tr w:rsidR="007C5230" w:rsidRPr="007C5230" w14:paraId="6A3840C0" w14:textId="77777777" w:rsidTr="007C5230">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0534EE97" w14:textId="77777777" w:rsidR="007C5230" w:rsidRPr="007C5230" w:rsidRDefault="007C5230" w:rsidP="007C5230">
            <w:pPr>
              <w:jc w:val="center"/>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التحول الرقمي المؤسسي</w:t>
            </w:r>
            <w:r w:rsidRPr="007C5230">
              <w:rPr>
                <w:rFonts w:ascii="Segoe UI" w:eastAsia="Times New Roman" w:hAnsi="Segoe UI" w:cs="Segoe UI"/>
                <w:color w:val="0D0D0D"/>
                <w:spacing w:val="-2"/>
                <w:sz w:val="18"/>
                <w:szCs w:val="18"/>
              </w:rPr>
              <w:t xml:space="preserve"> (DTD)</w:t>
            </w:r>
          </w:p>
        </w:tc>
        <w:tc>
          <w:tcPr>
            <w:tcW w:w="0" w:type="auto"/>
            <w:hideMark/>
          </w:tcPr>
          <w:p w14:paraId="5AB1BBDE"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تحول مؤسسي في العمليات الداخلية عبر تصميم/تكامل الأنظمة والعمليات وتمكين المستخدم الداخلي رقميًا</w:t>
            </w:r>
            <w:r w:rsidRPr="007C5230">
              <w:rPr>
                <w:rFonts w:ascii="Segoe UI" w:eastAsia="Times New Roman" w:hAnsi="Segoe UI" w:cs="Segoe UI"/>
                <w:color w:val="0D0D0D"/>
                <w:spacing w:val="-2"/>
                <w:sz w:val="18"/>
                <w:szCs w:val="18"/>
              </w:rPr>
              <w:t xml:space="preserve"> (Vial, 2019</w:t>
            </w:r>
            <w:r w:rsidRPr="007C5230">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Pr>
              <w:t xml:space="preserve"> </w:t>
            </w:r>
            <w:proofErr w:type="spellStart"/>
            <w:r w:rsidRPr="007C5230">
              <w:rPr>
                <w:rFonts w:ascii="Segoe UI" w:eastAsia="Times New Roman" w:hAnsi="Segoe UI" w:cs="Segoe UI"/>
                <w:color w:val="0D0D0D"/>
                <w:spacing w:val="-2"/>
                <w:sz w:val="18"/>
                <w:szCs w:val="18"/>
              </w:rPr>
              <w:t>Mergel</w:t>
            </w:r>
            <w:proofErr w:type="spellEnd"/>
            <w:r w:rsidRPr="007C5230">
              <w:rPr>
                <w:rFonts w:ascii="Segoe UI" w:eastAsia="Times New Roman" w:hAnsi="Segoe UI" w:cs="Segoe UI"/>
                <w:color w:val="0D0D0D"/>
                <w:spacing w:val="-2"/>
                <w:sz w:val="18"/>
                <w:szCs w:val="18"/>
              </w:rPr>
              <w:t xml:space="preserve"> et al., 2019)</w:t>
            </w:r>
          </w:p>
        </w:tc>
        <w:tc>
          <w:tcPr>
            <w:tcW w:w="0" w:type="auto"/>
            <w:hideMark/>
          </w:tcPr>
          <w:p w14:paraId="6F812982"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Pr>
              <w:t>DTD1–DTD4</w:t>
            </w:r>
          </w:p>
        </w:tc>
        <w:tc>
          <w:tcPr>
            <w:tcW w:w="0" w:type="auto"/>
            <w:hideMark/>
          </w:tcPr>
          <w:p w14:paraId="492255B7" w14:textId="48E36886"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 xml:space="preserve">يختلف عن </w:t>
            </w:r>
            <w:r w:rsidR="002F488C">
              <w:rPr>
                <w:rFonts w:ascii="Segoe UI" w:eastAsia="Times New Roman" w:hAnsi="Segoe UI" w:cs="Segoe UI"/>
                <w:color w:val="0D0D0D"/>
                <w:spacing w:val="-2"/>
                <w:sz w:val="18"/>
                <w:szCs w:val="18"/>
                <w:rtl/>
              </w:rPr>
              <w:t>"</w:t>
            </w:r>
            <w:proofErr w:type="spellStart"/>
            <w:r w:rsidRPr="007C5230">
              <w:rPr>
                <w:rFonts w:ascii="Segoe UI" w:eastAsia="Times New Roman" w:hAnsi="Segoe UI" w:cs="Segoe UI"/>
                <w:color w:val="0D0D0D"/>
                <w:spacing w:val="-2"/>
                <w:sz w:val="18"/>
                <w:szCs w:val="18"/>
                <w:rtl/>
              </w:rPr>
              <w:t>رقمنة</w:t>
            </w:r>
            <w:proofErr w:type="spellEnd"/>
            <w:r w:rsidR="002F488C">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tl/>
              </w:rPr>
              <w:t xml:space="preserve"> جزئية أو أتمتة إجراء منفصل</w:t>
            </w:r>
          </w:p>
        </w:tc>
        <w:tc>
          <w:tcPr>
            <w:tcW w:w="0" w:type="auto"/>
            <w:hideMark/>
          </w:tcPr>
          <w:p w14:paraId="453F2020" w14:textId="605A7C99"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مقياس</w:t>
            </w:r>
            <w:r w:rsidRPr="007C5230">
              <w:rPr>
                <w:rFonts w:ascii="Segoe UI" w:eastAsia="Times New Roman" w:hAnsi="Segoe UI" w:cs="Segoe UI"/>
                <w:color w:val="0D0D0D"/>
                <w:spacing w:val="-2"/>
                <w:sz w:val="18"/>
                <w:szCs w:val="18"/>
              </w:rPr>
              <w:t xml:space="preserve"> DTD </w:t>
            </w:r>
            <w:r w:rsidRPr="007C5230">
              <w:rPr>
                <w:rFonts w:ascii="Segoe UI" w:eastAsia="Times New Roman" w:hAnsi="Segoe UI" w:cs="Segoe UI"/>
                <w:color w:val="0D0D0D"/>
                <w:spacing w:val="-2"/>
                <w:sz w:val="18"/>
                <w:szCs w:val="18"/>
                <w:rtl/>
              </w:rPr>
              <w:t>النهائي المستخدم في الاستبانة</w:t>
            </w:r>
            <w:r w:rsidRPr="007C5230">
              <w:rPr>
                <w:rFonts w:ascii="Segoe UI" w:eastAsia="Times New Roman" w:hAnsi="Segoe UI" w:cs="Segoe UI"/>
                <w:color w:val="0D0D0D"/>
                <w:spacing w:val="-2"/>
                <w:sz w:val="18"/>
                <w:szCs w:val="18"/>
              </w:rPr>
              <w:t>]</w:t>
            </w:r>
          </w:p>
        </w:tc>
        <w:tc>
          <w:tcPr>
            <w:tcW w:w="894" w:type="dxa"/>
            <w:hideMark/>
          </w:tcPr>
          <w:p w14:paraId="21C052E1" w14:textId="7F725D81"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 xml:space="preserve">توحيد </w:t>
            </w:r>
            <w:r w:rsidR="002F488C">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tl/>
              </w:rPr>
              <w:t>البعد الرابع</w:t>
            </w:r>
            <w:r w:rsidR="002F488C">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tl/>
              </w:rPr>
              <w:t xml:space="preserve"> مع الفرضيات (التكامل/التبسيط) وحسم موقع </w:t>
            </w:r>
            <w:r w:rsidR="002F488C">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tl/>
              </w:rPr>
              <w:t>التحديات التقنية</w:t>
            </w:r>
            <w:r w:rsidR="002F488C">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tl/>
              </w:rPr>
              <w:t xml:space="preserve"> لضمان الاتساق</w:t>
            </w:r>
          </w:p>
        </w:tc>
      </w:tr>
      <w:tr w:rsidR="007C5230" w:rsidRPr="007C5230" w14:paraId="7AE68A12" w14:textId="77777777" w:rsidTr="007C5230">
        <w:trPr>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0B18FCBD" w14:textId="77777777" w:rsidR="007C5230" w:rsidRPr="007C5230" w:rsidRDefault="007C5230" w:rsidP="007C5230">
            <w:pPr>
              <w:jc w:val="center"/>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قبول التقنية</w:t>
            </w:r>
            <w:r w:rsidRPr="007C5230">
              <w:rPr>
                <w:rFonts w:ascii="Segoe UI" w:eastAsia="Times New Roman" w:hAnsi="Segoe UI" w:cs="Segoe UI"/>
                <w:color w:val="0D0D0D"/>
                <w:spacing w:val="-2"/>
                <w:sz w:val="18"/>
                <w:szCs w:val="18"/>
              </w:rPr>
              <w:t xml:space="preserve"> (TAM)</w:t>
            </w:r>
          </w:p>
        </w:tc>
        <w:tc>
          <w:tcPr>
            <w:tcW w:w="0" w:type="auto"/>
            <w:hideMark/>
          </w:tcPr>
          <w:p w14:paraId="58A4A338"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إدراكات الموظف لفائدة التقنية وسهولة استخدامها كمدخل لقبولها</w:t>
            </w:r>
            <w:r w:rsidRPr="007C5230">
              <w:rPr>
                <w:rFonts w:ascii="Segoe UI" w:eastAsia="Times New Roman" w:hAnsi="Segoe UI" w:cs="Segoe UI"/>
                <w:color w:val="0D0D0D"/>
                <w:spacing w:val="-2"/>
                <w:sz w:val="18"/>
                <w:szCs w:val="18"/>
              </w:rPr>
              <w:t xml:space="preserve"> (Davis, 1989)</w:t>
            </w:r>
          </w:p>
        </w:tc>
        <w:tc>
          <w:tcPr>
            <w:tcW w:w="0" w:type="auto"/>
            <w:hideMark/>
          </w:tcPr>
          <w:p w14:paraId="3F167CE7"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Pr>
              <w:t>PU</w:t>
            </w:r>
            <w:r w:rsidRPr="007C5230">
              <w:rPr>
                <w:rFonts w:ascii="Segoe UI" w:eastAsia="Times New Roman" w:hAnsi="Segoe UI" w:cs="Segoe UI"/>
                <w:color w:val="0D0D0D"/>
                <w:spacing w:val="-2"/>
                <w:sz w:val="18"/>
                <w:szCs w:val="18"/>
                <w:rtl/>
              </w:rPr>
              <w:t xml:space="preserve">، </w:t>
            </w:r>
            <w:r w:rsidRPr="007C5230">
              <w:rPr>
                <w:rFonts w:ascii="Segoe UI" w:eastAsia="Times New Roman" w:hAnsi="Segoe UI" w:cs="Segoe UI"/>
                <w:color w:val="0D0D0D"/>
                <w:spacing w:val="-2"/>
                <w:sz w:val="18"/>
                <w:szCs w:val="18"/>
              </w:rPr>
              <w:t>PEOU</w:t>
            </w:r>
          </w:p>
        </w:tc>
        <w:tc>
          <w:tcPr>
            <w:tcW w:w="0" w:type="auto"/>
            <w:hideMark/>
          </w:tcPr>
          <w:p w14:paraId="5CC2706D"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يختلف عن الاستخدام الفعلي أو الرضا العام عن العمل</w:t>
            </w:r>
          </w:p>
        </w:tc>
        <w:tc>
          <w:tcPr>
            <w:tcW w:w="0" w:type="auto"/>
            <w:hideMark/>
          </w:tcPr>
          <w:p w14:paraId="2A5FDC84"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Pr>
              <w:t>(Davis, 1989)</w:t>
            </w:r>
          </w:p>
        </w:tc>
        <w:tc>
          <w:tcPr>
            <w:tcW w:w="894" w:type="dxa"/>
            <w:hideMark/>
          </w:tcPr>
          <w:p w14:paraId="3A9B8267"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مواءمة البنود مع الأنظمة الداخلية الشائعة الاستخدام وتفسير</w:t>
            </w:r>
            <w:r w:rsidRPr="007C5230">
              <w:rPr>
                <w:rFonts w:ascii="Segoe UI" w:eastAsia="Times New Roman" w:hAnsi="Segoe UI" w:cs="Segoe UI"/>
                <w:color w:val="0D0D0D"/>
                <w:spacing w:val="-2"/>
                <w:sz w:val="18"/>
                <w:szCs w:val="18"/>
              </w:rPr>
              <w:t xml:space="preserve"> PU/PEOU </w:t>
            </w:r>
            <w:r w:rsidRPr="007C5230">
              <w:rPr>
                <w:rFonts w:ascii="Segoe UI" w:eastAsia="Times New Roman" w:hAnsi="Segoe UI" w:cs="Segoe UI"/>
                <w:color w:val="0D0D0D"/>
                <w:spacing w:val="-2"/>
                <w:sz w:val="18"/>
                <w:szCs w:val="18"/>
                <w:rtl/>
              </w:rPr>
              <w:t>وفق طبيعة العمل الحكومي</w:t>
            </w:r>
          </w:p>
        </w:tc>
      </w:tr>
      <w:tr w:rsidR="007C5230" w:rsidRPr="007C5230" w14:paraId="4540324D" w14:textId="77777777" w:rsidTr="007C5230">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794BE0E0" w14:textId="77777777" w:rsidR="007C5230" w:rsidRPr="007C5230" w:rsidRDefault="007C5230" w:rsidP="007C5230">
            <w:pPr>
              <w:jc w:val="center"/>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الإجهاد التقني</w:t>
            </w:r>
            <w:r w:rsidRPr="007C5230">
              <w:rPr>
                <w:rFonts w:ascii="Segoe UI" w:eastAsia="Times New Roman" w:hAnsi="Segoe UI" w:cs="Segoe UI"/>
                <w:color w:val="0D0D0D"/>
                <w:spacing w:val="-2"/>
                <w:sz w:val="18"/>
                <w:szCs w:val="18"/>
              </w:rPr>
              <w:t xml:space="preserve"> (Technostress)</w:t>
            </w:r>
          </w:p>
        </w:tc>
        <w:tc>
          <w:tcPr>
            <w:tcW w:w="0" w:type="auto"/>
            <w:hideMark/>
          </w:tcPr>
          <w:p w14:paraId="6EFEF9D1"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ضغوط ناتجة عن متطلبات التقنية التي تتجاوز قدرة التكيف</w:t>
            </w:r>
          </w:p>
        </w:tc>
        <w:tc>
          <w:tcPr>
            <w:tcW w:w="0" w:type="auto"/>
            <w:hideMark/>
          </w:tcPr>
          <w:p w14:paraId="46C2BE49"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Pr>
              <w:t>overload/invasion/complexity/uncertainty</w:t>
            </w:r>
          </w:p>
        </w:tc>
        <w:tc>
          <w:tcPr>
            <w:tcW w:w="0" w:type="auto"/>
            <w:hideMark/>
          </w:tcPr>
          <w:p w14:paraId="380ADDFF"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يختلف عن الضغط الوظيفي العام غير المرتبط بالتقنية</w:t>
            </w:r>
          </w:p>
        </w:tc>
        <w:tc>
          <w:tcPr>
            <w:tcW w:w="0" w:type="auto"/>
            <w:hideMark/>
          </w:tcPr>
          <w:p w14:paraId="13F3538F"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Pr>
              <w:t>(Ragu-Nathan et al., 2008</w:t>
            </w:r>
            <w:r w:rsidRPr="007C5230">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Pr>
              <w:t xml:space="preserve"> </w:t>
            </w:r>
            <w:proofErr w:type="spellStart"/>
            <w:r w:rsidRPr="007C5230">
              <w:rPr>
                <w:rFonts w:ascii="Segoe UI" w:eastAsia="Times New Roman" w:hAnsi="Segoe UI" w:cs="Segoe UI"/>
                <w:color w:val="0D0D0D"/>
                <w:spacing w:val="-2"/>
                <w:sz w:val="18"/>
                <w:szCs w:val="18"/>
              </w:rPr>
              <w:t>Tarafdar</w:t>
            </w:r>
            <w:proofErr w:type="spellEnd"/>
            <w:r w:rsidRPr="007C5230">
              <w:rPr>
                <w:rFonts w:ascii="Segoe UI" w:eastAsia="Times New Roman" w:hAnsi="Segoe UI" w:cs="Segoe UI"/>
                <w:color w:val="0D0D0D"/>
                <w:spacing w:val="-2"/>
                <w:sz w:val="18"/>
                <w:szCs w:val="18"/>
              </w:rPr>
              <w:t xml:space="preserve"> et al., 2011)</w:t>
            </w:r>
          </w:p>
        </w:tc>
        <w:tc>
          <w:tcPr>
            <w:tcW w:w="894" w:type="dxa"/>
            <w:hideMark/>
          </w:tcPr>
          <w:p w14:paraId="78D95935" w14:textId="22EEFA5F"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 xml:space="preserve">مواءمة البنود مع واقع </w:t>
            </w:r>
            <w:r w:rsidR="002F488C">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tl/>
              </w:rPr>
              <w:t>الاتصال الدائم</w:t>
            </w:r>
            <w:r w:rsidR="002F488C">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tl/>
              </w:rPr>
              <w:t xml:space="preserve"> وتعدد الأنظمة والتحديثات داخل الوزارة، وفحص الصدق بعد الترجمة</w:t>
            </w:r>
          </w:p>
        </w:tc>
      </w:tr>
      <w:tr w:rsidR="007C5230" w:rsidRPr="007C5230" w14:paraId="6C24DBFF" w14:textId="77777777" w:rsidTr="00397F3A">
        <w:trPr>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4AD68B1D" w14:textId="77777777" w:rsidR="007C5230" w:rsidRPr="007C5230" w:rsidRDefault="007C5230" w:rsidP="007C5230">
            <w:pPr>
              <w:jc w:val="center"/>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الرضا الوظيفي</w:t>
            </w:r>
            <w:r w:rsidRPr="007C5230">
              <w:rPr>
                <w:rFonts w:ascii="Segoe UI" w:eastAsia="Times New Roman" w:hAnsi="Segoe UI" w:cs="Segoe UI"/>
                <w:color w:val="0D0D0D"/>
                <w:spacing w:val="-2"/>
                <w:sz w:val="18"/>
                <w:szCs w:val="18"/>
              </w:rPr>
              <w:t xml:space="preserve"> (JS)</w:t>
            </w:r>
          </w:p>
        </w:tc>
        <w:tc>
          <w:tcPr>
            <w:tcW w:w="0" w:type="auto"/>
            <w:hideMark/>
          </w:tcPr>
          <w:p w14:paraId="23A3BAE4"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تقييم وجداني/معرفي تجاه العمل يتشكل من الخبرات والخصائص الوظيفية</w:t>
            </w:r>
            <w:r w:rsidRPr="007C5230">
              <w:rPr>
                <w:rFonts w:ascii="Segoe UI" w:eastAsia="Times New Roman" w:hAnsi="Segoe UI" w:cs="Segoe UI"/>
                <w:color w:val="0D0D0D"/>
                <w:spacing w:val="-2"/>
                <w:sz w:val="18"/>
                <w:szCs w:val="18"/>
              </w:rPr>
              <w:t xml:space="preserve"> (Locke, 1976</w:t>
            </w:r>
            <w:r w:rsidRPr="007C5230">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Pr>
              <w:t xml:space="preserve"> Weiss, 2002)</w:t>
            </w:r>
          </w:p>
        </w:tc>
        <w:tc>
          <w:tcPr>
            <w:tcW w:w="0" w:type="auto"/>
          </w:tcPr>
          <w:p w14:paraId="5B45911F" w14:textId="6A636239" w:rsidR="007C5230" w:rsidRPr="007C5230" w:rsidRDefault="00397F3A"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مقياس الرضا الوظيفي</w:t>
            </w:r>
          </w:p>
        </w:tc>
        <w:tc>
          <w:tcPr>
            <w:tcW w:w="0" w:type="auto"/>
            <w:hideMark/>
          </w:tcPr>
          <w:p w14:paraId="16DD395E" w14:textId="7777777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يختلف عن رضا المستخدم عن النظام</w:t>
            </w:r>
            <w:r w:rsidRPr="007C5230">
              <w:rPr>
                <w:rFonts w:ascii="Segoe UI" w:eastAsia="Times New Roman" w:hAnsi="Segoe UI" w:cs="Segoe UI"/>
                <w:color w:val="0D0D0D"/>
                <w:spacing w:val="-2"/>
                <w:sz w:val="18"/>
                <w:szCs w:val="18"/>
              </w:rPr>
              <w:t xml:space="preserve"> (User satisfaction) </w:t>
            </w:r>
            <w:r w:rsidRPr="007C5230">
              <w:rPr>
                <w:rFonts w:ascii="Segoe UI" w:eastAsia="Times New Roman" w:hAnsi="Segoe UI" w:cs="Segoe UI"/>
                <w:color w:val="0D0D0D"/>
                <w:spacing w:val="-2"/>
                <w:sz w:val="18"/>
                <w:szCs w:val="18"/>
                <w:rtl/>
              </w:rPr>
              <w:t>وعن الالتزام/الاندماج</w:t>
            </w:r>
          </w:p>
        </w:tc>
        <w:tc>
          <w:tcPr>
            <w:tcW w:w="0" w:type="auto"/>
            <w:hideMark/>
          </w:tcPr>
          <w:p w14:paraId="3FEE7C3A" w14:textId="253C58E7"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 xml:space="preserve">مقياس الرضا الوظيفي </w:t>
            </w:r>
          </w:p>
        </w:tc>
        <w:tc>
          <w:tcPr>
            <w:tcW w:w="894" w:type="dxa"/>
            <w:hideMark/>
          </w:tcPr>
          <w:p w14:paraId="3B2095F0" w14:textId="5B0ABAA2" w:rsidR="007C5230" w:rsidRPr="007C5230"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 xml:space="preserve">تثبيت أن الرضا المقاس هو </w:t>
            </w:r>
            <w:r w:rsidR="002F488C">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tl/>
              </w:rPr>
              <w:t>في بيئة عمل رقمية</w:t>
            </w:r>
            <w:r w:rsidR="002F488C">
              <w:rPr>
                <w:rFonts w:ascii="Segoe UI" w:eastAsia="Times New Roman" w:hAnsi="Segoe UI" w:cs="Segoe UI"/>
                <w:color w:val="0D0D0D"/>
                <w:spacing w:val="-2"/>
                <w:sz w:val="18"/>
                <w:szCs w:val="18"/>
                <w:rtl/>
              </w:rPr>
              <w:t>"</w:t>
            </w:r>
            <w:r w:rsidRPr="007C5230">
              <w:rPr>
                <w:rFonts w:ascii="Segoe UI" w:eastAsia="Times New Roman" w:hAnsi="Segoe UI" w:cs="Segoe UI"/>
                <w:color w:val="0D0D0D"/>
                <w:spacing w:val="-2"/>
                <w:sz w:val="18"/>
                <w:szCs w:val="18"/>
                <w:rtl/>
              </w:rPr>
              <w:t xml:space="preserve"> إن كانت الأداة تتضمن ذلك، مع مراعاة اللغة التنظيمية للوزارة</w:t>
            </w:r>
          </w:p>
        </w:tc>
      </w:tr>
      <w:tr w:rsidR="007C5230" w:rsidRPr="007C5230" w14:paraId="0E279997" w14:textId="77777777" w:rsidTr="007C5230">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5D18AE3C" w14:textId="77777777" w:rsidR="007C5230" w:rsidRPr="007C5230" w:rsidRDefault="007C5230" w:rsidP="007C5230">
            <w:pPr>
              <w:jc w:val="center"/>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الخصائص الديموغرافية</w:t>
            </w:r>
            <w:r w:rsidRPr="007C5230">
              <w:rPr>
                <w:rFonts w:ascii="Segoe UI" w:eastAsia="Times New Roman" w:hAnsi="Segoe UI" w:cs="Segoe UI"/>
                <w:color w:val="0D0D0D"/>
                <w:spacing w:val="-2"/>
                <w:sz w:val="18"/>
                <w:szCs w:val="18"/>
              </w:rPr>
              <w:t xml:space="preserve"> (H4)</w:t>
            </w:r>
          </w:p>
        </w:tc>
        <w:tc>
          <w:tcPr>
            <w:tcW w:w="0" w:type="auto"/>
            <w:hideMark/>
          </w:tcPr>
          <w:p w14:paraId="16E12385"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 xml:space="preserve">خصائص فردية تُختبر </w:t>
            </w:r>
            <w:proofErr w:type="spellStart"/>
            <w:r w:rsidRPr="007C5230">
              <w:rPr>
                <w:rFonts w:ascii="Segoe UI" w:eastAsia="Times New Roman" w:hAnsi="Segoe UI" w:cs="Segoe UI"/>
                <w:color w:val="0D0D0D"/>
                <w:spacing w:val="-2"/>
                <w:sz w:val="18"/>
                <w:szCs w:val="18"/>
                <w:rtl/>
              </w:rPr>
              <w:t>كتغايرات</w:t>
            </w:r>
            <w:proofErr w:type="spellEnd"/>
            <w:r w:rsidRPr="007C5230">
              <w:rPr>
                <w:rFonts w:ascii="Segoe UI" w:eastAsia="Times New Roman" w:hAnsi="Segoe UI" w:cs="Segoe UI"/>
                <w:color w:val="0D0D0D"/>
                <w:spacing w:val="-2"/>
                <w:sz w:val="18"/>
                <w:szCs w:val="18"/>
                <w:rtl/>
              </w:rPr>
              <w:t xml:space="preserve"> محتملة للأثر</w:t>
            </w:r>
          </w:p>
        </w:tc>
        <w:tc>
          <w:tcPr>
            <w:tcW w:w="0" w:type="auto"/>
            <w:hideMark/>
          </w:tcPr>
          <w:p w14:paraId="561C521F"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الجنس/العمر/الخبرة/المؤهل/القطاع</w:t>
            </w:r>
          </w:p>
        </w:tc>
        <w:tc>
          <w:tcPr>
            <w:tcW w:w="0" w:type="auto"/>
            <w:hideMark/>
          </w:tcPr>
          <w:p w14:paraId="178760EE"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ليست متغيرات تفسيرية بذاتها بل تُستخدم للاعتدال/الفروق</w:t>
            </w:r>
          </w:p>
        </w:tc>
        <w:tc>
          <w:tcPr>
            <w:tcW w:w="0" w:type="auto"/>
            <w:hideMark/>
          </w:tcPr>
          <w:p w14:paraId="3F9E52FE"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Pr>
              <w:t>(Venkatesh et al., 2003)</w:t>
            </w:r>
          </w:p>
        </w:tc>
        <w:tc>
          <w:tcPr>
            <w:tcW w:w="894" w:type="dxa"/>
            <w:hideMark/>
          </w:tcPr>
          <w:p w14:paraId="37E2AD85" w14:textId="77777777" w:rsidR="007C5230" w:rsidRPr="007C5230"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18"/>
                <w:szCs w:val="18"/>
              </w:rPr>
            </w:pPr>
            <w:r w:rsidRPr="007C5230">
              <w:rPr>
                <w:rFonts w:ascii="Segoe UI" w:eastAsia="Times New Roman" w:hAnsi="Segoe UI" w:cs="Segoe UI"/>
                <w:color w:val="0D0D0D"/>
                <w:spacing w:val="-2"/>
                <w:sz w:val="18"/>
                <w:szCs w:val="18"/>
                <w:rtl/>
              </w:rPr>
              <w:t>تحديد فئات الترميز وطريقة اختبار الاعتدال</w:t>
            </w:r>
            <w:r w:rsidRPr="007C5230">
              <w:rPr>
                <w:rFonts w:ascii="Segoe UI" w:eastAsia="Times New Roman" w:hAnsi="Segoe UI" w:cs="Segoe UI"/>
                <w:color w:val="0D0D0D"/>
                <w:spacing w:val="-2"/>
                <w:sz w:val="18"/>
                <w:szCs w:val="18"/>
              </w:rPr>
              <w:t xml:space="preserve"> (MGA </w:t>
            </w:r>
            <w:r w:rsidRPr="007C5230">
              <w:rPr>
                <w:rFonts w:ascii="Segoe UI" w:eastAsia="Times New Roman" w:hAnsi="Segoe UI" w:cs="Segoe UI"/>
                <w:color w:val="0D0D0D"/>
                <w:spacing w:val="-2"/>
                <w:sz w:val="18"/>
                <w:szCs w:val="18"/>
                <w:rtl/>
              </w:rPr>
              <w:t>أو تفاعل</w:t>
            </w:r>
            <w:r w:rsidRPr="007C5230">
              <w:rPr>
                <w:rFonts w:ascii="Segoe UI" w:eastAsia="Times New Roman" w:hAnsi="Segoe UI" w:cs="Segoe UI"/>
                <w:color w:val="0D0D0D"/>
                <w:spacing w:val="-2"/>
                <w:sz w:val="18"/>
                <w:szCs w:val="18"/>
              </w:rPr>
              <w:t xml:space="preserve">) </w:t>
            </w:r>
            <w:r w:rsidRPr="007C5230">
              <w:rPr>
                <w:rFonts w:ascii="Segoe UI" w:eastAsia="Times New Roman" w:hAnsi="Segoe UI" w:cs="Segoe UI"/>
                <w:color w:val="0D0D0D"/>
                <w:spacing w:val="-2"/>
                <w:sz w:val="18"/>
                <w:szCs w:val="18"/>
                <w:rtl/>
              </w:rPr>
              <w:t>في الفصل الثالث</w:t>
            </w:r>
          </w:p>
        </w:tc>
      </w:tr>
    </w:tbl>
    <w:p w14:paraId="10D19DC6" w14:textId="1559233A" w:rsidR="007C5230" w:rsidRDefault="007C5230" w:rsidP="007C5230">
      <w:pPr>
        <w:bidi/>
        <w:spacing w:after="160" w:line="360" w:lineRule="auto"/>
        <w:divId w:val="1647278641"/>
        <w:rPr>
          <w:rFonts w:ascii="Traditional Arabic" w:hAnsi="Traditional Arabic" w:cs="Traditional Arabic"/>
          <w:rtl/>
        </w:rPr>
      </w:pPr>
    </w:p>
    <w:p w14:paraId="6E04B4A7" w14:textId="77777777" w:rsidR="00606ECD" w:rsidRDefault="00606ECD" w:rsidP="007C5230">
      <w:pPr>
        <w:bidi/>
        <w:spacing w:after="160" w:line="360" w:lineRule="auto"/>
        <w:divId w:val="1647278641"/>
        <w:rPr>
          <w:rFonts w:ascii="Traditional Arabic" w:hAnsi="Traditional Arabic" w:cs="Traditional Arabic"/>
          <w:b/>
          <w:bCs/>
          <w:rtl/>
        </w:rPr>
      </w:pPr>
    </w:p>
    <w:p w14:paraId="4041A3BF" w14:textId="77777777" w:rsidR="00606ECD" w:rsidRDefault="00606ECD" w:rsidP="00606ECD">
      <w:pPr>
        <w:bidi/>
        <w:spacing w:after="160" w:line="360" w:lineRule="auto"/>
        <w:divId w:val="1647278641"/>
        <w:rPr>
          <w:rFonts w:ascii="Traditional Arabic" w:hAnsi="Traditional Arabic" w:cs="Traditional Arabic"/>
          <w:b/>
          <w:bCs/>
          <w:rtl/>
        </w:rPr>
      </w:pPr>
    </w:p>
    <w:p w14:paraId="4E6B3CD3" w14:textId="45935571" w:rsidR="007C5230" w:rsidRPr="00606ECD" w:rsidRDefault="007C5230" w:rsidP="00606ECD">
      <w:pPr>
        <w:bidi/>
        <w:spacing w:after="160" w:line="360" w:lineRule="auto"/>
        <w:divId w:val="1647278641"/>
        <w:rPr>
          <w:rFonts w:ascii="Traditional Arabic" w:hAnsi="Traditional Arabic" w:cs="Traditional Arabic"/>
          <w:b/>
          <w:bCs/>
        </w:rPr>
      </w:pPr>
      <w:r w:rsidRPr="00606ECD">
        <w:rPr>
          <w:rFonts w:ascii="Traditional Arabic" w:hAnsi="Traditional Arabic" w:cs="Traditional Arabic"/>
          <w:b/>
          <w:bCs/>
          <w:rtl/>
        </w:rPr>
        <w:lastRenderedPageBreak/>
        <w:t>جدول (2-3): ربط الإطار النظري بالفرضيات وأسئلة الدراسة</w:t>
      </w:r>
    </w:p>
    <w:tbl>
      <w:tblPr>
        <w:tblStyle w:val="GridTable5Dark-Accent3"/>
        <w:tblpPr w:leftFromText="180" w:rightFromText="180" w:vertAnchor="text" w:tblpY="1"/>
        <w:bidiVisual/>
        <w:tblW w:w="9360" w:type="dxa"/>
        <w:tblLook w:val="04A0" w:firstRow="1" w:lastRow="0" w:firstColumn="1" w:lastColumn="0" w:noHBand="0" w:noVBand="1"/>
      </w:tblPr>
      <w:tblGrid>
        <w:gridCol w:w="2993"/>
        <w:gridCol w:w="3122"/>
        <w:gridCol w:w="1623"/>
        <w:gridCol w:w="1622"/>
      </w:tblGrid>
      <w:tr w:rsidR="007C5230" w:rsidRPr="007C5230" w14:paraId="44300CD2" w14:textId="77777777" w:rsidTr="008B0592">
        <w:trPr>
          <w:cnfStyle w:val="100000000000" w:firstRow="1" w:lastRow="0" w:firstColumn="0" w:lastColumn="0" w:oddVBand="0" w:evenVBand="0" w:oddHBand="0"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061DF612" w14:textId="77777777" w:rsidR="007C5230" w:rsidRPr="007C5230" w:rsidRDefault="007C5230" w:rsidP="008B0592">
            <w:pPr>
              <w:jc w:val="center"/>
              <w:rPr>
                <w:rFonts w:ascii="Segoe UI" w:eastAsia="Times New Roman" w:hAnsi="Segoe UI" w:cs="Segoe UI"/>
                <w:b w:val="0"/>
                <w:bCs w:val="0"/>
                <w:color w:val="0D0D0D"/>
                <w:spacing w:val="-2"/>
                <w:sz w:val="20"/>
                <w:szCs w:val="20"/>
              </w:rPr>
            </w:pPr>
            <w:r w:rsidRPr="007C5230">
              <w:rPr>
                <w:rFonts w:ascii="Segoe UI" w:eastAsia="Times New Roman" w:hAnsi="Segoe UI" w:cs="Segoe UI"/>
                <w:b w:val="0"/>
                <w:bCs w:val="0"/>
                <w:color w:val="0D0D0D"/>
                <w:spacing w:val="-2"/>
                <w:sz w:val="20"/>
                <w:szCs w:val="20"/>
                <w:rtl/>
              </w:rPr>
              <w:t>الإطار/النظرية</w:t>
            </w:r>
          </w:p>
        </w:tc>
        <w:tc>
          <w:tcPr>
            <w:tcW w:w="0" w:type="auto"/>
            <w:hideMark/>
          </w:tcPr>
          <w:p w14:paraId="4675BD0C" w14:textId="77777777" w:rsidR="007C5230" w:rsidRPr="007C5230" w:rsidRDefault="007C5230" w:rsidP="008B0592">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b w:val="0"/>
                <w:bCs w:val="0"/>
                <w:color w:val="0D0D0D"/>
                <w:spacing w:val="-2"/>
                <w:sz w:val="20"/>
                <w:szCs w:val="20"/>
              </w:rPr>
            </w:pPr>
            <w:r w:rsidRPr="007C5230">
              <w:rPr>
                <w:rFonts w:ascii="Segoe UI" w:eastAsia="Times New Roman" w:hAnsi="Segoe UI" w:cs="Segoe UI"/>
                <w:b w:val="0"/>
                <w:bCs w:val="0"/>
                <w:color w:val="0D0D0D"/>
                <w:spacing w:val="-2"/>
                <w:sz w:val="20"/>
                <w:szCs w:val="20"/>
                <w:rtl/>
              </w:rPr>
              <w:t>ما الذي تفسره في النموذج؟</w:t>
            </w:r>
          </w:p>
        </w:tc>
        <w:tc>
          <w:tcPr>
            <w:tcW w:w="0" w:type="auto"/>
            <w:hideMark/>
          </w:tcPr>
          <w:p w14:paraId="2DE24B27" w14:textId="77777777" w:rsidR="007C5230" w:rsidRPr="007C5230" w:rsidRDefault="007C5230" w:rsidP="008B0592">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b w:val="0"/>
                <w:bCs w:val="0"/>
                <w:color w:val="0D0D0D"/>
                <w:spacing w:val="-2"/>
                <w:sz w:val="20"/>
                <w:szCs w:val="20"/>
              </w:rPr>
            </w:pPr>
            <w:r w:rsidRPr="007C5230">
              <w:rPr>
                <w:rFonts w:ascii="Segoe UI" w:eastAsia="Times New Roman" w:hAnsi="Segoe UI" w:cs="Segoe UI"/>
                <w:b w:val="0"/>
                <w:bCs w:val="0"/>
                <w:color w:val="0D0D0D"/>
                <w:spacing w:val="-2"/>
                <w:sz w:val="20"/>
                <w:szCs w:val="20"/>
                <w:rtl/>
              </w:rPr>
              <w:t>الفرضيات المرتبطة</w:t>
            </w:r>
          </w:p>
        </w:tc>
        <w:tc>
          <w:tcPr>
            <w:tcW w:w="0" w:type="auto"/>
            <w:hideMark/>
          </w:tcPr>
          <w:p w14:paraId="5D69F02E" w14:textId="77777777" w:rsidR="007C5230" w:rsidRPr="007C5230" w:rsidRDefault="007C5230" w:rsidP="008B0592">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b w:val="0"/>
                <w:bCs w:val="0"/>
                <w:color w:val="0D0D0D"/>
                <w:spacing w:val="-2"/>
                <w:sz w:val="20"/>
                <w:szCs w:val="20"/>
              </w:rPr>
            </w:pPr>
            <w:r w:rsidRPr="007C5230">
              <w:rPr>
                <w:rFonts w:ascii="Segoe UI" w:eastAsia="Times New Roman" w:hAnsi="Segoe UI" w:cs="Segoe UI"/>
                <w:b w:val="0"/>
                <w:bCs w:val="0"/>
                <w:color w:val="0D0D0D"/>
                <w:spacing w:val="-2"/>
                <w:sz w:val="20"/>
                <w:szCs w:val="20"/>
                <w:rtl/>
              </w:rPr>
              <w:t>أسئلة الدراسة المرتبطة</w:t>
            </w:r>
          </w:p>
        </w:tc>
      </w:tr>
      <w:tr w:rsidR="007C5230" w:rsidRPr="007C5230" w14:paraId="66950C0E" w14:textId="77777777" w:rsidTr="008B0592">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65394E03" w14:textId="77777777" w:rsidR="008B0592" w:rsidRDefault="007C5230" w:rsidP="008B0592">
            <w:pPr>
              <w:jc w:val="center"/>
              <w:rPr>
                <w:rFonts w:ascii="Segoe UI" w:eastAsia="Times New Roman" w:hAnsi="Segoe UI" w:cs="Segoe UI"/>
                <w:b w:val="0"/>
                <w:bCs w:val="0"/>
                <w:color w:val="0D0D0D"/>
                <w:spacing w:val="-2"/>
                <w:sz w:val="20"/>
                <w:szCs w:val="20"/>
              </w:rPr>
            </w:pPr>
            <w:r w:rsidRPr="007C5230">
              <w:rPr>
                <w:rFonts w:ascii="Segoe UI" w:eastAsia="Times New Roman" w:hAnsi="Segoe UI" w:cs="Segoe UI"/>
                <w:color w:val="0D0D0D"/>
                <w:spacing w:val="-2"/>
                <w:sz w:val="20"/>
                <w:szCs w:val="20"/>
              </w:rPr>
              <w:t xml:space="preserve">TAM </w:t>
            </w:r>
          </w:p>
          <w:p w14:paraId="0268B4A7" w14:textId="57294498" w:rsidR="007C5230" w:rsidRPr="007C5230" w:rsidRDefault="007C5230" w:rsidP="008B0592">
            <w:pPr>
              <w:jc w:val="center"/>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(Davis, 1989)</w:t>
            </w:r>
          </w:p>
        </w:tc>
        <w:tc>
          <w:tcPr>
            <w:tcW w:w="0" w:type="auto"/>
            <w:hideMark/>
          </w:tcPr>
          <w:p w14:paraId="05E70E6A" w14:textId="77777777" w:rsidR="007C5230" w:rsidRPr="007C5230" w:rsidRDefault="007C5230" w:rsidP="008B0592">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كيفية انتقال جودة التحول الرقمي إلى إدراكات</w:t>
            </w:r>
            <w:r w:rsidRPr="007C5230">
              <w:rPr>
                <w:rFonts w:ascii="Segoe UI" w:eastAsia="Times New Roman" w:hAnsi="Segoe UI" w:cs="Segoe UI"/>
                <w:color w:val="0D0D0D"/>
                <w:spacing w:val="-2"/>
                <w:sz w:val="20"/>
                <w:szCs w:val="20"/>
              </w:rPr>
              <w:t xml:space="preserve"> PU/PEOU </w:t>
            </w:r>
            <w:r w:rsidRPr="007C5230">
              <w:rPr>
                <w:rFonts w:ascii="Segoe UI" w:eastAsia="Times New Roman" w:hAnsi="Segoe UI" w:cs="Segoe UI"/>
                <w:color w:val="0D0D0D"/>
                <w:spacing w:val="-2"/>
                <w:sz w:val="20"/>
                <w:szCs w:val="20"/>
                <w:rtl/>
              </w:rPr>
              <w:t>ثم إلى الرضا الوظيفي</w:t>
            </w:r>
          </w:p>
        </w:tc>
        <w:tc>
          <w:tcPr>
            <w:tcW w:w="0" w:type="auto"/>
            <w:hideMark/>
          </w:tcPr>
          <w:p w14:paraId="0C209E47" w14:textId="77777777" w:rsidR="007C5230" w:rsidRPr="007C5230" w:rsidRDefault="007C5230" w:rsidP="008B0592">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H3a–H3f</w:t>
            </w:r>
          </w:p>
        </w:tc>
        <w:tc>
          <w:tcPr>
            <w:tcW w:w="0" w:type="auto"/>
            <w:hideMark/>
          </w:tcPr>
          <w:p w14:paraId="5A64C2E1" w14:textId="77777777" w:rsidR="007C5230" w:rsidRPr="007C5230" w:rsidRDefault="007C5230" w:rsidP="008B0592">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س3 (الوساطة)، مع دعم س2 (الأثر)</w:t>
            </w:r>
          </w:p>
        </w:tc>
      </w:tr>
      <w:tr w:rsidR="007C5230" w:rsidRPr="007C5230" w14:paraId="275D3641" w14:textId="77777777" w:rsidTr="008B0592">
        <w:trPr>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66FA86ED" w14:textId="77777777" w:rsidR="008B0592" w:rsidRDefault="007C5230" w:rsidP="008B0592">
            <w:pPr>
              <w:jc w:val="center"/>
              <w:rPr>
                <w:rFonts w:ascii="Segoe UI" w:eastAsia="Times New Roman" w:hAnsi="Segoe UI" w:cs="Segoe UI"/>
                <w:b w:val="0"/>
                <w:bCs w:val="0"/>
                <w:color w:val="0D0D0D"/>
                <w:spacing w:val="-2"/>
                <w:sz w:val="20"/>
                <w:szCs w:val="20"/>
              </w:rPr>
            </w:pPr>
            <w:r w:rsidRPr="007C5230">
              <w:rPr>
                <w:rFonts w:ascii="Segoe UI" w:eastAsia="Times New Roman" w:hAnsi="Segoe UI" w:cs="Segoe UI"/>
                <w:color w:val="0D0D0D"/>
                <w:spacing w:val="-2"/>
                <w:sz w:val="20"/>
                <w:szCs w:val="20"/>
              </w:rPr>
              <w:t xml:space="preserve">Technostress </w:t>
            </w:r>
          </w:p>
          <w:p w14:paraId="7EFC519E" w14:textId="6272BE47" w:rsidR="007C5230" w:rsidRPr="007C5230" w:rsidRDefault="007C5230" w:rsidP="008B0592">
            <w:pPr>
              <w:jc w:val="center"/>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(Ragu-Nathan et al., 2008</w:t>
            </w:r>
            <w:r w:rsidRPr="007C5230">
              <w:rPr>
                <w:rFonts w:ascii="Segoe UI" w:eastAsia="Times New Roman" w:hAnsi="Segoe UI" w:cs="Segoe UI"/>
                <w:color w:val="0D0D0D"/>
                <w:spacing w:val="-2"/>
                <w:sz w:val="20"/>
                <w:szCs w:val="20"/>
                <w:rtl/>
              </w:rPr>
              <w:t>؛</w:t>
            </w:r>
            <w:r w:rsidRPr="007C5230">
              <w:rPr>
                <w:rFonts w:ascii="Segoe UI" w:eastAsia="Times New Roman" w:hAnsi="Segoe UI" w:cs="Segoe UI"/>
                <w:color w:val="0D0D0D"/>
                <w:spacing w:val="-2"/>
                <w:sz w:val="20"/>
                <w:szCs w:val="20"/>
              </w:rPr>
              <w:t xml:space="preserve"> </w:t>
            </w:r>
            <w:proofErr w:type="spellStart"/>
            <w:r w:rsidRPr="007C5230">
              <w:rPr>
                <w:rFonts w:ascii="Segoe UI" w:eastAsia="Times New Roman" w:hAnsi="Segoe UI" w:cs="Segoe UI"/>
                <w:color w:val="0D0D0D"/>
                <w:spacing w:val="-2"/>
                <w:sz w:val="20"/>
                <w:szCs w:val="20"/>
              </w:rPr>
              <w:t>Tarafdar</w:t>
            </w:r>
            <w:proofErr w:type="spellEnd"/>
            <w:r w:rsidRPr="007C5230">
              <w:rPr>
                <w:rFonts w:ascii="Segoe UI" w:eastAsia="Times New Roman" w:hAnsi="Segoe UI" w:cs="Segoe UI"/>
                <w:color w:val="0D0D0D"/>
                <w:spacing w:val="-2"/>
                <w:sz w:val="20"/>
                <w:szCs w:val="20"/>
              </w:rPr>
              <w:t xml:space="preserve"> et al., 2011</w:t>
            </w:r>
            <w:r w:rsidRPr="007C5230">
              <w:rPr>
                <w:rFonts w:ascii="Segoe UI" w:eastAsia="Times New Roman" w:hAnsi="Segoe UI" w:cs="Segoe UI"/>
                <w:color w:val="0D0D0D"/>
                <w:spacing w:val="-2"/>
                <w:sz w:val="20"/>
                <w:szCs w:val="20"/>
                <w:rtl/>
              </w:rPr>
              <w:t>؛</w:t>
            </w:r>
            <w:r w:rsidRPr="007C5230">
              <w:rPr>
                <w:rFonts w:ascii="Segoe UI" w:eastAsia="Times New Roman" w:hAnsi="Segoe UI" w:cs="Segoe UI"/>
                <w:color w:val="0D0D0D"/>
                <w:spacing w:val="-2"/>
                <w:sz w:val="20"/>
                <w:szCs w:val="20"/>
              </w:rPr>
              <w:t xml:space="preserve"> </w:t>
            </w:r>
            <w:proofErr w:type="spellStart"/>
            <w:r w:rsidRPr="007C5230">
              <w:rPr>
                <w:rFonts w:ascii="Segoe UI" w:eastAsia="Times New Roman" w:hAnsi="Segoe UI" w:cs="Segoe UI"/>
                <w:color w:val="0D0D0D"/>
                <w:spacing w:val="-2"/>
                <w:sz w:val="20"/>
                <w:szCs w:val="20"/>
              </w:rPr>
              <w:t>Ayyagari</w:t>
            </w:r>
            <w:proofErr w:type="spellEnd"/>
            <w:r w:rsidRPr="007C5230">
              <w:rPr>
                <w:rFonts w:ascii="Segoe UI" w:eastAsia="Times New Roman" w:hAnsi="Segoe UI" w:cs="Segoe UI"/>
                <w:color w:val="0D0D0D"/>
                <w:spacing w:val="-2"/>
                <w:sz w:val="20"/>
                <w:szCs w:val="20"/>
              </w:rPr>
              <w:t xml:space="preserve"> et al., 2011)</w:t>
            </w:r>
          </w:p>
        </w:tc>
        <w:tc>
          <w:tcPr>
            <w:tcW w:w="0" w:type="auto"/>
            <w:hideMark/>
          </w:tcPr>
          <w:p w14:paraId="30D4271D" w14:textId="77777777" w:rsidR="007C5230" w:rsidRPr="007C5230" w:rsidRDefault="007C5230" w:rsidP="008B0592">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المسار الضاغط: كيف تولد متطلبات التقنية ضغطًا يقلل الرضا، وكيف تُخفف الموارد التنظيمية الأثر</w:t>
            </w:r>
          </w:p>
        </w:tc>
        <w:tc>
          <w:tcPr>
            <w:tcW w:w="0" w:type="auto"/>
            <w:hideMark/>
          </w:tcPr>
          <w:p w14:paraId="55ED622B" w14:textId="77777777" w:rsidR="007C5230" w:rsidRPr="007C5230" w:rsidRDefault="007C5230" w:rsidP="008B0592">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H2a–H2c</w:t>
            </w:r>
          </w:p>
        </w:tc>
        <w:tc>
          <w:tcPr>
            <w:tcW w:w="0" w:type="auto"/>
            <w:hideMark/>
          </w:tcPr>
          <w:p w14:paraId="0EDBF546" w14:textId="77777777" w:rsidR="007C5230" w:rsidRPr="007C5230" w:rsidRDefault="007C5230" w:rsidP="008B0592">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س3</w:t>
            </w:r>
          </w:p>
        </w:tc>
      </w:tr>
      <w:tr w:rsidR="007C5230" w:rsidRPr="007C5230" w14:paraId="7A24B15B" w14:textId="77777777" w:rsidTr="008B0592">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77ACB441" w14:textId="77777777" w:rsidR="008B0592" w:rsidRDefault="007C5230" w:rsidP="008B0592">
            <w:pPr>
              <w:jc w:val="center"/>
              <w:rPr>
                <w:rFonts w:ascii="Segoe UI" w:eastAsia="Times New Roman" w:hAnsi="Segoe UI" w:cs="Segoe UI"/>
                <w:b w:val="0"/>
                <w:bCs w:val="0"/>
                <w:color w:val="0D0D0D"/>
                <w:spacing w:val="-2"/>
                <w:sz w:val="20"/>
                <w:szCs w:val="20"/>
              </w:rPr>
            </w:pPr>
            <w:r w:rsidRPr="007C5230">
              <w:rPr>
                <w:rFonts w:ascii="Segoe UI" w:eastAsia="Times New Roman" w:hAnsi="Segoe UI" w:cs="Segoe UI"/>
                <w:color w:val="0D0D0D"/>
                <w:spacing w:val="-2"/>
                <w:sz w:val="20"/>
                <w:szCs w:val="20"/>
              </w:rPr>
              <w:t xml:space="preserve">TOE </w:t>
            </w:r>
          </w:p>
          <w:p w14:paraId="3DF71B74" w14:textId="341729D6" w:rsidR="007C5230" w:rsidRPr="007C5230" w:rsidRDefault="007C5230" w:rsidP="008B0592">
            <w:pPr>
              <w:jc w:val="center"/>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w:t>
            </w:r>
            <w:proofErr w:type="spellStart"/>
            <w:r w:rsidRPr="007C5230">
              <w:rPr>
                <w:rFonts w:ascii="Segoe UI" w:eastAsia="Times New Roman" w:hAnsi="Segoe UI" w:cs="Segoe UI"/>
                <w:color w:val="0D0D0D"/>
                <w:spacing w:val="-2"/>
                <w:sz w:val="20"/>
                <w:szCs w:val="20"/>
              </w:rPr>
              <w:t>Tornatzky</w:t>
            </w:r>
            <w:proofErr w:type="spellEnd"/>
            <w:r w:rsidRPr="007C5230">
              <w:rPr>
                <w:rFonts w:ascii="Segoe UI" w:eastAsia="Times New Roman" w:hAnsi="Segoe UI" w:cs="Segoe UI"/>
                <w:color w:val="0D0D0D"/>
                <w:spacing w:val="-2"/>
                <w:sz w:val="20"/>
                <w:szCs w:val="20"/>
              </w:rPr>
              <w:t xml:space="preserve"> &amp; Fleischer, 1990</w:t>
            </w:r>
            <w:r w:rsidRPr="007C5230">
              <w:rPr>
                <w:rFonts w:ascii="Segoe UI" w:eastAsia="Times New Roman" w:hAnsi="Segoe UI" w:cs="Segoe UI"/>
                <w:color w:val="0D0D0D"/>
                <w:spacing w:val="-2"/>
                <w:sz w:val="20"/>
                <w:szCs w:val="20"/>
                <w:rtl/>
              </w:rPr>
              <w:t>؛</w:t>
            </w:r>
            <w:r w:rsidRPr="007C5230">
              <w:rPr>
                <w:rFonts w:ascii="Segoe UI" w:eastAsia="Times New Roman" w:hAnsi="Segoe UI" w:cs="Segoe UI"/>
                <w:color w:val="0D0D0D"/>
                <w:spacing w:val="-2"/>
                <w:sz w:val="20"/>
                <w:szCs w:val="20"/>
              </w:rPr>
              <w:t xml:space="preserve"> Oliveira &amp; Martins, 2011)</w:t>
            </w:r>
          </w:p>
        </w:tc>
        <w:tc>
          <w:tcPr>
            <w:tcW w:w="0" w:type="auto"/>
            <w:hideMark/>
          </w:tcPr>
          <w:p w14:paraId="4BE501B0" w14:textId="77777777" w:rsidR="007C5230" w:rsidRPr="007C5230" w:rsidRDefault="007C5230" w:rsidP="008B0592">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لماذا تختلف نتائج التحول الرقمي تبعًا للجاهزية التقنية والتنظيمية والبيئية، وكيف تُبرر أبعاد</w:t>
            </w:r>
            <w:r w:rsidRPr="007C5230">
              <w:rPr>
                <w:rFonts w:ascii="Segoe UI" w:eastAsia="Times New Roman" w:hAnsi="Segoe UI" w:cs="Segoe UI"/>
                <w:color w:val="0D0D0D"/>
                <w:spacing w:val="-2"/>
                <w:sz w:val="20"/>
                <w:szCs w:val="20"/>
              </w:rPr>
              <w:t xml:space="preserve"> DTD</w:t>
            </w:r>
          </w:p>
        </w:tc>
        <w:tc>
          <w:tcPr>
            <w:tcW w:w="0" w:type="auto"/>
            <w:hideMark/>
          </w:tcPr>
          <w:p w14:paraId="2B7EA0E5" w14:textId="77777777" w:rsidR="007C5230" w:rsidRPr="007C5230" w:rsidRDefault="007C5230" w:rsidP="008B0592">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يدعم بناء</w:t>
            </w:r>
            <w:r w:rsidRPr="007C5230">
              <w:rPr>
                <w:rFonts w:ascii="Segoe UI" w:eastAsia="Times New Roman" w:hAnsi="Segoe UI" w:cs="Segoe UI"/>
                <w:color w:val="0D0D0D"/>
                <w:spacing w:val="-2"/>
                <w:sz w:val="20"/>
                <w:szCs w:val="20"/>
              </w:rPr>
              <w:t xml:space="preserve"> H1 </w:t>
            </w:r>
            <w:r w:rsidRPr="007C5230">
              <w:rPr>
                <w:rFonts w:ascii="Segoe UI" w:eastAsia="Times New Roman" w:hAnsi="Segoe UI" w:cs="Segoe UI"/>
                <w:color w:val="0D0D0D"/>
                <w:spacing w:val="-2"/>
                <w:sz w:val="20"/>
                <w:szCs w:val="20"/>
                <w:rtl/>
              </w:rPr>
              <w:t>واشتقاق أبعاد</w:t>
            </w:r>
            <w:r w:rsidRPr="007C5230">
              <w:rPr>
                <w:rFonts w:ascii="Segoe UI" w:eastAsia="Times New Roman" w:hAnsi="Segoe UI" w:cs="Segoe UI"/>
                <w:color w:val="0D0D0D"/>
                <w:spacing w:val="-2"/>
                <w:sz w:val="20"/>
                <w:szCs w:val="20"/>
              </w:rPr>
              <w:t xml:space="preserve"> DTD</w:t>
            </w:r>
          </w:p>
        </w:tc>
        <w:tc>
          <w:tcPr>
            <w:tcW w:w="0" w:type="auto"/>
            <w:hideMark/>
          </w:tcPr>
          <w:p w14:paraId="33EF3082" w14:textId="77777777" w:rsidR="007C5230" w:rsidRPr="007C5230" w:rsidRDefault="007C5230" w:rsidP="008B0592">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س1 (مستويات الأبعاد)، س2</w:t>
            </w:r>
          </w:p>
        </w:tc>
      </w:tr>
      <w:tr w:rsidR="007C5230" w:rsidRPr="007C5230" w14:paraId="4533BF50" w14:textId="77777777" w:rsidTr="008B0592">
        <w:trPr>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7628DAA0" w14:textId="77777777" w:rsidR="008B0592" w:rsidRDefault="007C5230" w:rsidP="008B0592">
            <w:pPr>
              <w:jc w:val="center"/>
              <w:rPr>
                <w:rFonts w:ascii="Segoe UI" w:eastAsia="Times New Roman" w:hAnsi="Segoe UI" w:cs="Segoe UI"/>
                <w:b w:val="0"/>
                <w:bCs w:val="0"/>
                <w:color w:val="0D0D0D"/>
                <w:spacing w:val="-2"/>
                <w:sz w:val="20"/>
                <w:szCs w:val="20"/>
                <w:rtl/>
              </w:rPr>
            </w:pPr>
            <w:r w:rsidRPr="007C5230">
              <w:rPr>
                <w:rFonts w:ascii="Segoe UI" w:eastAsia="Times New Roman" w:hAnsi="Segoe UI" w:cs="Segoe UI"/>
                <w:color w:val="0D0D0D"/>
                <w:spacing w:val="-2"/>
                <w:sz w:val="20"/>
                <w:szCs w:val="20"/>
                <w:rtl/>
              </w:rPr>
              <w:t xml:space="preserve">المنظور </w:t>
            </w:r>
            <w:proofErr w:type="spellStart"/>
            <w:r w:rsidRPr="007C5230">
              <w:rPr>
                <w:rFonts w:ascii="Segoe UI" w:eastAsia="Times New Roman" w:hAnsi="Segoe UI" w:cs="Segoe UI"/>
                <w:color w:val="0D0D0D"/>
                <w:spacing w:val="-2"/>
                <w:sz w:val="20"/>
                <w:szCs w:val="20"/>
                <w:rtl/>
              </w:rPr>
              <w:t>السوسيوتقني</w:t>
            </w:r>
            <w:proofErr w:type="spellEnd"/>
          </w:p>
          <w:p w14:paraId="6CB4F0DC" w14:textId="59F3B9B9" w:rsidR="007C5230" w:rsidRPr="007C5230" w:rsidRDefault="007C5230" w:rsidP="008B0592">
            <w:pPr>
              <w:jc w:val="center"/>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 xml:space="preserve"> (</w:t>
            </w:r>
            <w:proofErr w:type="spellStart"/>
            <w:r w:rsidRPr="007C5230">
              <w:rPr>
                <w:rFonts w:ascii="Segoe UI" w:eastAsia="Times New Roman" w:hAnsi="Segoe UI" w:cs="Segoe UI"/>
                <w:color w:val="0D0D0D"/>
                <w:spacing w:val="-2"/>
                <w:sz w:val="20"/>
                <w:szCs w:val="20"/>
              </w:rPr>
              <w:t>Sarker</w:t>
            </w:r>
            <w:proofErr w:type="spellEnd"/>
            <w:r w:rsidRPr="007C5230">
              <w:rPr>
                <w:rFonts w:ascii="Segoe UI" w:eastAsia="Times New Roman" w:hAnsi="Segoe UI" w:cs="Segoe UI"/>
                <w:color w:val="0D0D0D"/>
                <w:spacing w:val="-2"/>
                <w:sz w:val="20"/>
                <w:szCs w:val="20"/>
              </w:rPr>
              <w:t xml:space="preserve"> et al., 2019)</w:t>
            </w:r>
          </w:p>
        </w:tc>
        <w:tc>
          <w:tcPr>
            <w:tcW w:w="0" w:type="auto"/>
            <w:hideMark/>
          </w:tcPr>
          <w:p w14:paraId="74890B0D" w14:textId="77777777" w:rsidR="007C5230" w:rsidRPr="007C5230" w:rsidRDefault="007C5230" w:rsidP="008B0592">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تفسير تفاعل النظام التقني والاجتماعي وتغاير التجربة الرقمية بين الموظفين</w:t>
            </w:r>
          </w:p>
        </w:tc>
        <w:tc>
          <w:tcPr>
            <w:tcW w:w="0" w:type="auto"/>
            <w:hideMark/>
          </w:tcPr>
          <w:p w14:paraId="4879D78D" w14:textId="77777777" w:rsidR="007C5230" w:rsidRPr="007C5230" w:rsidRDefault="007C5230" w:rsidP="008B0592">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يدعم تفسير</w:t>
            </w:r>
            <w:r w:rsidRPr="007C5230">
              <w:rPr>
                <w:rFonts w:ascii="Segoe UI" w:eastAsia="Times New Roman" w:hAnsi="Segoe UI" w:cs="Segoe UI"/>
                <w:color w:val="0D0D0D"/>
                <w:spacing w:val="-2"/>
                <w:sz w:val="20"/>
                <w:szCs w:val="20"/>
              </w:rPr>
              <w:t xml:space="preserve"> H1–H3 </w:t>
            </w:r>
            <w:r w:rsidRPr="007C5230">
              <w:rPr>
                <w:rFonts w:ascii="Segoe UI" w:eastAsia="Times New Roman" w:hAnsi="Segoe UI" w:cs="Segoe UI"/>
                <w:color w:val="0D0D0D"/>
                <w:spacing w:val="-2"/>
                <w:sz w:val="20"/>
                <w:szCs w:val="20"/>
                <w:rtl/>
              </w:rPr>
              <w:t>ويقوي منطق</w:t>
            </w:r>
            <w:r w:rsidRPr="007C5230">
              <w:rPr>
                <w:rFonts w:ascii="Segoe UI" w:eastAsia="Times New Roman" w:hAnsi="Segoe UI" w:cs="Segoe UI"/>
                <w:color w:val="0D0D0D"/>
                <w:spacing w:val="-2"/>
                <w:sz w:val="20"/>
                <w:szCs w:val="20"/>
              </w:rPr>
              <w:t xml:space="preserve"> H4</w:t>
            </w:r>
          </w:p>
        </w:tc>
        <w:tc>
          <w:tcPr>
            <w:tcW w:w="0" w:type="auto"/>
            <w:hideMark/>
          </w:tcPr>
          <w:p w14:paraId="054F105F" w14:textId="77777777" w:rsidR="007C5230" w:rsidRPr="007C5230" w:rsidRDefault="007C5230" w:rsidP="008B0592">
            <w:pPr>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س4</w:t>
            </w:r>
          </w:p>
        </w:tc>
      </w:tr>
      <w:tr w:rsidR="007C5230" w:rsidRPr="007C5230" w14:paraId="1EA02412" w14:textId="77777777" w:rsidTr="008B0592">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hideMark/>
          </w:tcPr>
          <w:p w14:paraId="08B50F55" w14:textId="77777777" w:rsidR="008B0592" w:rsidRDefault="007C5230" w:rsidP="008B0592">
            <w:pPr>
              <w:jc w:val="center"/>
              <w:rPr>
                <w:rFonts w:ascii="Segoe UI" w:eastAsia="Times New Roman" w:hAnsi="Segoe UI" w:cs="Segoe UI"/>
                <w:b w:val="0"/>
                <w:bCs w:val="0"/>
                <w:color w:val="0D0D0D"/>
                <w:spacing w:val="-2"/>
                <w:sz w:val="20"/>
                <w:szCs w:val="20"/>
              </w:rPr>
            </w:pPr>
            <w:r w:rsidRPr="007C5230">
              <w:rPr>
                <w:rFonts w:ascii="Segoe UI" w:eastAsia="Times New Roman" w:hAnsi="Segoe UI" w:cs="Segoe UI"/>
                <w:color w:val="0D0D0D"/>
                <w:spacing w:val="-2"/>
                <w:sz w:val="20"/>
                <w:szCs w:val="20"/>
              </w:rPr>
              <w:t>UTAUT/</w:t>
            </w:r>
            <w:r w:rsidRPr="007C5230">
              <w:rPr>
                <w:rFonts w:ascii="Segoe UI" w:eastAsia="Times New Roman" w:hAnsi="Segoe UI" w:cs="Segoe UI"/>
                <w:color w:val="0D0D0D"/>
                <w:spacing w:val="-2"/>
                <w:sz w:val="20"/>
                <w:szCs w:val="20"/>
                <w:rtl/>
              </w:rPr>
              <w:t>الفروق الفردية</w:t>
            </w:r>
            <w:r w:rsidRPr="007C5230">
              <w:rPr>
                <w:rFonts w:ascii="Segoe UI" w:eastAsia="Times New Roman" w:hAnsi="Segoe UI" w:cs="Segoe UI"/>
                <w:color w:val="0D0D0D"/>
                <w:spacing w:val="-2"/>
                <w:sz w:val="20"/>
                <w:szCs w:val="20"/>
              </w:rPr>
              <w:t xml:space="preserve"> </w:t>
            </w:r>
          </w:p>
          <w:p w14:paraId="6D3F3FBE" w14:textId="185825F6" w:rsidR="007C5230" w:rsidRPr="007C5230" w:rsidRDefault="007C5230" w:rsidP="008B0592">
            <w:pPr>
              <w:jc w:val="center"/>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(Venkatesh et al., 2003)</w:t>
            </w:r>
          </w:p>
        </w:tc>
        <w:tc>
          <w:tcPr>
            <w:tcW w:w="0" w:type="auto"/>
            <w:hideMark/>
          </w:tcPr>
          <w:p w14:paraId="2E7D5A81" w14:textId="77777777" w:rsidR="007C5230" w:rsidRPr="007C5230" w:rsidRDefault="007C5230" w:rsidP="008B0592">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لماذا قد تختلف قوة/اتجاه الأثر بين الفئات الديموغرافية</w:t>
            </w:r>
          </w:p>
        </w:tc>
        <w:tc>
          <w:tcPr>
            <w:tcW w:w="0" w:type="auto"/>
            <w:hideMark/>
          </w:tcPr>
          <w:p w14:paraId="1A05D1B8" w14:textId="77777777" w:rsidR="007C5230" w:rsidRPr="007C5230" w:rsidRDefault="007C5230" w:rsidP="008B0592">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Pr>
              <w:t>H4</w:t>
            </w:r>
          </w:p>
        </w:tc>
        <w:tc>
          <w:tcPr>
            <w:tcW w:w="0" w:type="auto"/>
            <w:hideMark/>
          </w:tcPr>
          <w:p w14:paraId="6C4B44ED" w14:textId="77777777" w:rsidR="007C5230" w:rsidRPr="007C5230" w:rsidRDefault="007C5230" w:rsidP="008B0592">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pacing w:val="-2"/>
                <w:sz w:val="20"/>
                <w:szCs w:val="20"/>
              </w:rPr>
            </w:pPr>
            <w:r w:rsidRPr="007C5230">
              <w:rPr>
                <w:rFonts w:ascii="Segoe UI" w:eastAsia="Times New Roman" w:hAnsi="Segoe UI" w:cs="Segoe UI"/>
                <w:color w:val="0D0D0D"/>
                <w:spacing w:val="-2"/>
                <w:sz w:val="20"/>
                <w:szCs w:val="20"/>
                <w:rtl/>
              </w:rPr>
              <w:t>س4</w:t>
            </w:r>
          </w:p>
        </w:tc>
      </w:tr>
    </w:tbl>
    <w:p w14:paraId="17A920F2" w14:textId="77777777" w:rsidR="007C5230" w:rsidRPr="007C5230" w:rsidRDefault="007C5230" w:rsidP="007C5230">
      <w:pPr>
        <w:bidi/>
        <w:spacing w:after="160" w:line="360" w:lineRule="auto"/>
        <w:divId w:val="1647278641"/>
        <w:rPr>
          <w:rFonts w:ascii="Traditional Arabic" w:hAnsi="Traditional Arabic" w:cs="Traditional Arabic" w:hint="cs"/>
        </w:rPr>
      </w:pPr>
    </w:p>
    <w:p w14:paraId="1927287A" w14:textId="68F69AFF" w:rsidR="0062755D" w:rsidRDefault="008B0592" w:rsidP="00BC27A4">
      <w:pPr>
        <w:bidi/>
        <w:spacing w:after="160" w:line="360" w:lineRule="auto"/>
        <w:divId w:val="1647278641"/>
        <w:rPr>
          <w:rFonts w:ascii="Traditional Arabic" w:hAnsi="Traditional Arabic" w:cs="Traditional Arabic"/>
          <w:rtl/>
        </w:rPr>
      </w:pPr>
      <w:r w:rsidRPr="00BC27A4">
        <w:rPr>
          <w:rFonts w:ascii="Traditional Arabic" w:hAnsi="Traditional Arabic" w:cs="Traditional Arabic"/>
          <w:b/>
          <w:bCs/>
          <w:sz w:val="28"/>
          <w:szCs w:val="28"/>
          <w:rtl/>
        </w:rPr>
        <w:t>فقرة انتقالية إلى الدراسات السابقة</w:t>
      </w:r>
      <w:r w:rsidRPr="008B0592">
        <w:rPr>
          <w:rFonts w:ascii="Traditional Arabic" w:hAnsi="Traditional Arabic" w:cs="Traditional Arabic"/>
        </w:rPr>
        <w:br/>
      </w:r>
      <w:r w:rsidRPr="008B0592">
        <w:rPr>
          <w:rFonts w:ascii="Traditional Arabic" w:hAnsi="Traditional Arabic" w:cs="Traditional Arabic"/>
          <w:rtl/>
        </w:rPr>
        <w:t>وبعد تأسيس المفاهيم والأطر المفسرة لمسارات النموذج واشتقاق الفرضيات</w:t>
      </w:r>
      <w:r w:rsidRPr="008B0592">
        <w:rPr>
          <w:rFonts w:ascii="Traditional Arabic" w:hAnsi="Traditional Arabic" w:cs="Traditional Arabic"/>
        </w:rPr>
        <w:t xml:space="preserve"> (H1–H4)</w:t>
      </w:r>
      <w:r w:rsidRPr="008B0592">
        <w:rPr>
          <w:rFonts w:ascii="Traditional Arabic" w:hAnsi="Traditional Arabic" w:cs="Traditional Arabic"/>
          <w:rtl/>
        </w:rPr>
        <w:t>، تُعرض الدراسات السابقة في القسم التالي بطريقة تحليلية تُبرز النتائج المتسقة والمتعارضة وحدود الأدلة وأثر اختلاف السياقات والمنهجيات، مع ربط كل محور بالأسئلة (س1–س4) والفرضيات ذات الصلة</w:t>
      </w:r>
      <w:r w:rsidRPr="008B0592">
        <w:rPr>
          <w:rFonts w:ascii="Traditional Arabic" w:hAnsi="Traditional Arabic" w:cs="Traditional Arabic"/>
        </w:rPr>
        <w:t>.</w:t>
      </w:r>
    </w:p>
    <w:p w14:paraId="00374A12" w14:textId="77777777" w:rsidR="00C37F6C" w:rsidRDefault="00C37F6C" w:rsidP="00EB0259">
      <w:pPr>
        <w:bidi/>
        <w:spacing w:after="160" w:line="360" w:lineRule="auto"/>
        <w:divId w:val="1647278641"/>
        <w:rPr>
          <w:rFonts w:ascii="Traditional Arabic" w:hAnsi="Traditional Arabic" w:cs="Traditional Arabic"/>
          <w:b/>
          <w:bCs/>
          <w:sz w:val="28"/>
          <w:szCs w:val="28"/>
          <w:rtl/>
        </w:rPr>
      </w:pPr>
    </w:p>
    <w:p w14:paraId="4F3622D3" w14:textId="2A32BEAB" w:rsidR="00BC27A4" w:rsidRPr="00BC27A4" w:rsidRDefault="002544C2" w:rsidP="00BC27A4">
      <w:pPr>
        <w:bidi/>
        <w:spacing w:after="160" w:line="360" w:lineRule="auto"/>
        <w:divId w:val="1647278641"/>
        <w:rPr>
          <w:rFonts w:ascii="Traditional Arabic" w:hAnsi="Traditional Arabic" w:cs="Traditional Arabic"/>
          <w:b/>
          <w:bCs/>
          <w:sz w:val="28"/>
          <w:szCs w:val="28"/>
        </w:rPr>
      </w:pPr>
      <w:r w:rsidRPr="00DB3C7B">
        <w:rPr>
          <w:rFonts w:ascii="Traditional Arabic" w:hAnsi="Traditional Arabic" w:cs="Traditional Arabic"/>
          <w:b/>
          <w:bCs/>
          <w:sz w:val="28"/>
          <w:szCs w:val="28"/>
          <w:rtl/>
        </w:rPr>
        <w:t xml:space="preserve">2.2 </w:t>
      </w:r>
      <w:r w:rsidR="00B64312" w:rsidRPr="00DB3C7B">
        <w:rPr>
          <w:rFonts w:ascii="Traditional Arabic" w:hAnsi="Traditional Arabic" w:cs="Traditional Arabic"/>
          <w:b/>
          <w:bCs/>
          <w:sz w:val="28"/>
          <w:szCs w:val="28"/>
          <w:rtl/>
        </w:rPr>
        <w:t>الدراسات السابقة</w:t>
      </w:r>
      <w:r w:rsidR="00BC27A4" w:rsidRPr="00BC27A4">
        <w:rPr>
          <w:rFonts w:ascii="Traditional Arabic" w:hAnsi="Traditional Arabic" w:cs="Traditional Arabic"/>
        </w:rPr>
        <w:br/>
      </w:r>
      <w:r w:rsidR="00BC27A4">
        <w:rPr>
          <w:rFonts w:ascii="Traditional Arabic" w:hAnsi="Traditional Arabic" w:cs="Traditional Arabic"/>
          <w:b/>
          <w:bCs/>
        </w:rPr>
        <w:t xml:space="preserve"> </w:t>
      </w:r>
      <w:r w:rsidR="00BC27A4" w:rsidRPr="00BC27A4">
        <w:rPr>
          <w:rFonts w:ascii="Traditional Arabic" w:hAnsi="Traditional Arabic" w:cs="Traditional Arabic"/>
          <w:b/>
          <w:bCs/>
        </w:rPr>
        <w:t xml:space="preserve">2.2.1 </w:t>
      </w:r>
      <w:r w:rsidR="00BC27A4" w:rsidRPr="00BC27A4">
        <w:rPr>
          <w:rFonts w:ascii="Traditional Arabic" w:hAnsi="Traditional Arabic" w:cs="Traditional Arabic"/>
          <w:b/>
          <w:bCs/>
          <w:rtl/>
        </w:rPr>
        <w:t>دراسات التحول الرقمي المؤسسي</w:t>
      </w:r>
      <w:r w:rsidR="00BC27A4" w:rsidRPr="00BC27A4">
        <w:rPr>
          <w:rFonts w:ascii="Traditional Arabic" w:hAnsi="Traditional Arabic" w:cs="Traditional Arabic"/>
          <w:rtl/>
        </w:rPr>
        <w:t xml:space="preserve"> </w:t>
      </w:r>
      <w:r w:rsidR="00BC27A4" w:rsidRPr="00BC27A4">
        <w:rPr>
          <w:rFonts w:ascii="Traditional Arabic" w:hAnsi="Traditional Arabic" w:cs="Traditional Arabic"/>
          <w:b/>
          <w:bCs/>
          <w:rtl/>
        </w:rPr>
        <w:t>والموظفين</w:t>
      </w:r>
      <w:r w:rsidR="00BC27A4" w:rsidRPr="00BC27A4">
        <w:rPr>
          <w:rFonts w:ascii="Traditional Arabic" w:hAnsi="Traditional Arabic" w:cs="Traditional Arabic"/>
        </w:rPr>
        <w:br/>
      </w:r>
      <w:r w:rsidR="00BC27A4" w:rsidRPr="00BC27A4">
        <w:rPr>
          <w:rFonts w:ascii="Traditional Arabic" w:hAnsi="Traditional Arabic" w:cs="Traditional Arabic"/>
          <w:rtl/>
        </w:rPr>
        <w:t>دراسة</w:t>
      </w:r>
      <w:r w:rsidR="00BC27A4" w:rsidRPr="00BC27A4">
        <w:rPr>
          <w:rFonts w:ascii="Traditional Arabic" w:hAnsi="Traditional Arabic" w:cs="Traditional Arabic"/>
        </w:rPr>
        <w:t xml:space="preserve"> (</w:t>
      </w:r>
      <w:proofErr w:type="spellStart"/>
      <w:r w:rsidR="00BC27A4" w:rsidRPr="00BC27A4">
        <w:rPr>
          <w:rFonts w:ascii="Traditional Arabic" w:hAnsi="Traditional Arabic" w:cs="Traditional Arabic"/>
        </w:rPr>
        <w:t>Shibeika</w:t>
      </w:r>
      <w:proofErr w:type="spellEnd"/>
      <w:r w:rsidR="00BC27A4" w:rsidRPr="00BC27A4">
        <w:rPr>
          <w:rFonts w:ascii="Traditional Arabic" w:hAnsi="Traditional Arabic" w:cs="Traditional Arabic"/>
        </w:rPr>
        <w:t xml:space="preserve"> et al., 2025) </w:t>
      </w:r>
      <w:r w:rsidR="00BC27A4" w:rsidRPr="00BC27A4">
        <w:rPr>
          <w:rFonts w:ascii="Traditional Arabic" w:hAnsi="Traditional Arabic" w:cs="Traditional Arabic"/>
          <w:rtl/>
        </w:rPr>
        <w:t>بعنوان</w:t>
      </w:r>
      <w:r w:rsidR="00BC27A4" w:rsidRPr="00BC27A4">
        <w:rPr>
          <w:rFonts w:ascii="Traditional Arabic" w:hAnsi="Traditional Arabic" w:cs="Traditional Arabic"/>
        </w:rPr>
        <w:t xml:space="preserve">: </w:t>
      </w:r>
      <w:r w:rsidR="002F488C">
        <w:rPr>
          <w:rFonts w:ascii="Traditional Arabic" w:hAnsi="Traditional Arabic" w:cs="Traditional Arabic"/>
        </w:rPr>
        <w:t>"</w:t>
      </w:r>
      <w:r w:rsidR="00BC27A4" w:rsidRPr="00BC27A4">
        <w:rPr>
          <w:rFonts w:ascii="Traditional Arabic" w:hAnsi="Traditional Arabic" w:cs="Traditional Arabic"/>
        </w:rPr>
        <w:t>THE IMPACT OF DIGITAL TRANSFORMATION IN HUMAN RESOURCE MANAGEMENT ON EMPLOYEE SATISFACTION IN SAUDI PRIVATE SECTOR</w:t>
      </w:r>
      <w:r w:rsidR="002F488C">
        <w:rPr>
          <w:rFonts w:ascii="Traditional Arabic" w:hAnsi="Traditional Arabic" w:cs="Traditional Arabic"/>
        </w:rPr>
        <w:t>"</w:t>
      </w:r>
      <w:r w:rsidR="00BC27A4" w:rsidRPr="00BC27A4">
        <w:rPr>
          <w:rFonts w:ascii="Traditional Arabic" w:hAnsi="Traditional Arabic" w:cs="Traditional Arabic"/>
        </w:rPr>
        <w:t>.</w:t>
      </w:r>
      <w:r w:rsidR="00BC27A4" w:rsidRPr="00BC27A4">
        <w:rPr>
          <w:rFonts w:ascii="Traditional Arabic" w:hAnsi="Traditional Arabic" w:cs="Traditional Arabic"/>
        </w:rPr>
        <w:br/>
      </w:r>
      <w:r w:rsidR="00BC27A4" w:rsidRPr="00BC27A4">
        <w:rPr>
          <w:rFonts w:ascii="Traditional Arabic" w:hAnsi="Traditional Arabic" w:cs="Traditional Arabic"/>
          <w:rtl/>
        </w:rPr>
        <w:t xml:space="preserve">هدفت الدراسة إلى: (1) اختبار أثر التحول الرقمي في إدارة الموارد البشرية على رضا الموظفين؛ (2) تقويم دور ممارسات الموارد البشرية الرقمية في تحسين جوانب تجربة العمل. تمثل المجتمع بموظفي شركات من القطاع الخاص (لم يُذكر حجم المجتمع)، وبلغت العينة 400 موظف من 10 شركات. استُخدم المنهج الكمي عبر استبانة وتحليلات علاقة. وأظهرت النتائج: (1) أثرًا إيجابيًا دالًا </w:t>
      </w:r>
      <w:r w:rsidR="00BC27A4" w:rsidRPr="00BC27A4">
        <w:rPr>
          <w:rFonts w:ascii="Traditional Arabic" w:hAnsi="Traditional Arabic" w:cs="Traditional Arabic"/>
          <w:rtl/>
        </w:rPr>
        <w:lastRenderedPageBreak/>
        <w:t>للتحول الرقمي في ممارسات الموارد البشرية على رضا الموظفين؛ (2) بروز التدريب وإدارة التغيير كشرطين لرفع فرص تحقق الأثر</w:t>
      </w:r>
      <w:r w:rsidR="00BC27A4" w:rsidRPr="00BC27A4">
        <w:rPr>
          <w:rFonts w:ascii="Traditional Arabic" w:hAnsi="Traditional Arabic" w:cs="Traditional Arabic"/>
        </w:rPr>
        <w:t>.</w:t>
      </w:r>
      <w:r w:rsidR="00BC27A4" w:rsidRPr="00BC27A4">
        <w:rPr>
          <w:rFonts w:ascii="Traditional Arabic" w:hAnsi="Traditional Arabic" w:cs="Traditional Arabic"/>
        </w:rPr>
        <w:br/>
      </w:r>
      <w:r w:rsidR="00BC27A4" w:rsidRPr="00BC27A4">
        <w:rPr>
          <w:rFonts w:ascii="Traditional Arabic" w:hAnsi="Traditional Arabic" w:cs="Traditional Arabic"/>
          <w:rtl/>
        </w:rPr>
        <w:t>تحليل/ربط: تدعم النتائج اتجاه فرضيات الأثر المباشر للتحول الرقمي على الرضا</w:t>
      </w:r>
      <w:r w:rsidR="00BC27A4" w:rsidRPr="00BC27A4">
        <w:rPr>
          <w:rFonts w:ascii="Traditional Arabic" w:hAnsi="Traditional Arabic" w:cs="Traditional Arabic"/>
        </w:rPr>
        <w:t xml:space="preserve"> (H1) </w:t>
      </w:r>
      <w:r w:rsidR="00BC27A4" w:rsidRPr="00BC27A4">
        <w:rPr>
          <w:rFonts w:ascii="Traditional Arabic" w:hAnsi="Traditional Arabic" w:cs="Traditional Arabic"/>
          <w:rtl/>
        </w:rPr>
        <w:t>من حيث الاتجاه العام، لكنها تُظهر حدودًا سياقية تتعلق بكون الدراسة في قطاع خاص ووظيفة فرعية</w:t>
      </w:r>
      <w:r w:rsidR="00BC27A4" w:rsidRPr="00BC27A4">
        <w:rPr>
          <w:rFonts w:ascii="Traditional Arabic" w:hAnsi="Traditional Arabic" w:cs="Traditional Arabic"/>
        </w:rPr>
        <w:t xml:space="preserve"> (HRM). </w:t>
      </w:r>
      <w:r w:rsidR="00BC27A4" w:rsidRPr="00BC27A4">
        <w:rPr>
          <w:rFonts w:ascii="Traditional Arabic" w:hAnsi="Traditional Arabic" w:cs="Traditional Arabic"/>
          <w:rtl/>
        </w:rPr>
        <w:t>كما لم تُفصل الدراسة آليات الوساطة</w:t>
      </w:r>
      <w:r w:rsidR="00BC27A4" w:rsidRPr="00BC27A4">
        <w:rPr>
          <w:rFonts w:ascii="Traditional Arabic" w:hAnsi="Traditional Arabic" w:cs="Traditional Arabic"/>
        </w:rPr>
        <w:t xml:space="preserve"> (H2–H3)</w:t>
      </w:r>
      <w:r w:rsidR="00BC27A4" w:rsidRPr="00BC27A4">
        <w:rPr>
          <w:rFonts w:ascii="Traditional Arabic" w:hAnsi="Traditional Arabic" w:cs="Traditional Arabic"/>
          <w:rtl/>
        </w:rPr>
        <w:t>، ما يبرر اختبار هذه الآليات داخل سياق الوزارة (س3)</w:t>
      </w:r>
      <w:r w:rsidR="00BC27A4" w:rsidRPr="00BC27A4">
        <w:rPr>
          <w:rFonts w:ascii="Traditional Arabic" w:hAnsi="Traditional Arabic" w:cs="Traditional Arabic"/>
        </w:rPr>
        <w:t>.</w:t>
      </w:r>
    </w:p>
    <w:p w14:paraId="6AE2CB12" w14:textId="064D886B"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Tzavella</w:t>
      </w:r>
      <w:proofErr w:type="spellEnd"/>
      <w:r w:rsidRPr="00BC27A4">
        <w:rPr>
          <w:rFonts w:ascii="Traditional Arabic" w:hAnsi="Traditional Arabic" w:cs="Traditional Arabic"/>
        </w:rPr>
        <w:t xml:space="preserve"> et al., 2025)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Measuring Job Satisfaction of Government Employees and the Impact of Digital Transformation in the Public Sector</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قياس الرضا الوظيفي لموظفي جهة حكومية في ظل التحول الرقمي؛ (2) تقدير دور مجالات التحول (مثل التدريب والمهارات الرقمية والموارد والإجراءات) في تفسير الاتجاهات. شمل مجتمع الدراسة 750 موظفًا، وبلغت العينة 206 استبانة إلكترونية. استُخدمت تحليلات وصفية واختبارات ثبات وتحليل ارتباط. وأظهرت النتائج: (1) اتجاهًا محايدًا إلى إيجابي قليلًا نحو مستوى التحول؛ (2) وجود ارتباط بين مجالات التحول مع إشارة إلى أهمية التدريب والعوائق المرتبطة بالوقت/الدافعية</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أهمية التدريب كمرتكز تنفيذي للتحول</w:t>
      </w:r>
      <w:r w:rsidRPr="00BC27A4">
        <w:rPr>
          <w:rFonts w:ascii="Traditional Arabic" w:hAnsi="Traditional Arabic" w:cs="Traditional Arabic"/>
        </w:rPr>
        <w:t xml:space="preserve"> (</w:t>
      </w:r>
      <w:r w:rsidRPr="00BC27A4">
        <w:rPr>
          <w:rFonts w:ascii="Traditional Arabic" w:hAnsi="Traditional Arabic" w:cs="Traditional Arabic"/>
          <w:rtl/>
        </w:rPr>
        <w:t>يتقاطع مع</w:t>
      </w:r>
      <w:r w:rsidRPr="00BC27A4">
        <w:rPr>
          <w:rFonts w:ascii="Traditional Arabic" w:hAnsi="Traditional Arabic" w:cs="Traditional Arabic"/>
        </w:rPr>
        <w:t xml:space="preserve"> DTD3 </w:t>
      </w:r>
      <w:r w:rsidRPr="00BC27A4">
        <w:rPr>
          <w:rFonts w:ascii="Traditional Arabic" w:hAnsi="Traditional Arabic" w:cs="Traditional Arabic"/>
          <w:rtl/>
        </w:rPr>
        <w:t>و</w:t>
      </w:r>
      <w:r w:rsidRPr="00BC27A4">
        <w:rPr>
          <w:rFonts w:ascii="Traditional Arabic" w:hAnsi="Traditional Arabic" w:cs="Traditional Arabic"/>
        </w:rPr>
        <w:t>H1c)</w:t>
      </w:r>
      <w:r w:rsidRPr="00BC27A4">
        <w:rPr>
          <w:rFonts w:ascii="Traditional Arabic" w:hAnsi="Traditional Arabic" w:cs="Traditional Arabic"/>
          <w:rtl/>
        </w:rPr>
        <w:t>، لكنها تُظهر محدودية تشغيل التحول إلى أبعاد تشغيلية داخلية تمس تجربة الموظف اليومية. ومن ثم تُسند الحاجة إلى تشغيل</w:t>
      </w:r>
      <w:r w:rsidRPr="00BC27A4">
        <w:rPr>
          <w:rFonts w:ascii="Traditional Arabic" w:hAnsi="Traditional Arabic" w:cs="Traditional Arabic"/>
        </w:rPr>
        <w:t xml:space="preserve"> DTD </w:t>
      </w:r>
      <w:r w:rsidRPr="00BC27A4">
        <w:rPr>
          <w:rFonts w:ascii="Traditional Arabic" w:hAnsi="Traditional Arabic" w:cs="Traditional Arabic"/>
          <w:rtl/>
        </w:rPr>
        <w:t>بأبعاد أكثر تحديدًا وفق النموذج الحالي، بما يخدم سؤال (س2) وفرضيات</w:t>
      </w:r>
      <w:r w:rsidRPr="00BC27A4">
        <w:rPr>
          <w:rFonts w:ascii="Traditional Arabic" w:hAnsi="Traditional Arabic" w:cs="Traditional Arabic"/>
        </w:rPr>
        <w:t xml:space="preserve"> (H1a–H1d).</w:t>
      </w:r>
    </w:p>
    <w:p w14:paraId="19956A40" w14:textId="5E479832"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Khuc</w:t>
      </w:r>
      <w:proofErr w:type="spellEnd"/>
      <w:r w:rsidRPr="00BC27A4">
        <w:rPr>
          <w:rFonts w:ascii="Traditional Arabic" w:hAnsi="Traditional Arabic" w:cs="Traditional Arabic"/>
        </w:rPr>
        <w:t xml:space="preserve"> &amp; Nguyen, 2025)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The impact of digital transformation on job performance: The mediating role of job satisfaction and work pressure</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 التحول الرقمي على الأداء الوظيفي؛ (2) اختبار وساطة الرضا الوظيفي وضغط العمل. بلغ حجم العينة 242، واستُخدم تحليل</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SmartPLS</w:t>
      </w:r>
      <w:proofErr w:type="spellEnd"/>
      <w:r w:rsidRPr="00BC27A4">
        <w:rPr>
          <w:rFonts w:ascii="Traditional Arabic" w:hAnsi="Traditional Arabic" w:cs="Traditional Arabic"/>
        </w:rPr>
        <w:t xml:space="preserve">. </w:t>
      </w:r>
      <w:r w:rsidRPr="00BC27A4">
        <w:rPr>
          <w:rFonts w:ascii="Traditional Arabic" w:hAnsi="Traditional Arabic" w:cs="Traditional Arabic"/>
          <w:rtl/>
        </w:rPr>
        <w:t>وأظهرت النتائج: (1) أثرًا مباشرًا للتحول الرقمي على الأداء؛ (2) أثرًا غير مباشر عبر الرضا وضغط العمل</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تُظهر الدراسة اتساقًا مع منطق الوساطة في تفسير آثار التحول الرقمي، لكنها تختلف في المتغير التابع (الأداء) وفي آليات الوساطة؛ وهو ما يدعم في الدراسة الحالية اختبار وساطتين أكثر تخصصًا</w:t>
      </w:r>
      <w:r w:rsidRPr="00BC27A4">
        <w:rPr>
          <w:rFonts w:ascii="Traditional Arabic" w:hAnsi="Traditional Arabic" w:cs="Traditional Arabic"/>
        </w:rPr>
        <w:t xml:space="preserve"> (TAM </w:t>
      </w:r>
      <w:r w:rsidRPr="00BC27A4">
        <w:rPr>
          <w:rFonts w:ascii="Traditional Arabic" w:hAnsi="Traditional Arabic" w:cs="Traditional Arabic"/>
          <w:rtl/>
        </w:rPr>
        <w:t>و</w:t>
      </w:r>
      <w:r w:rsidRPr="00BC27A4">
        <w:rPr>
          <w:rFonts w:ascii="Traditional Arabic" w:hAnsi="Traditional Arabic" w:cs="Traditional Arabic"/>
        </w:rPr>
        <w:t xml:space="preserve">Technostress) </w:t>
      </w:r>
      <w:r w:rsidRPr="00BC27A4">
        <w:rPr>
          <w:rFonts w:ascii="Traditional Arabic" w:hAnsi="Traditional Arabic" w:cs="Traditional Arabic"/>
          <w:rtl/>
        </w:rPr>
        <w:t>على الرضا الوظيفي بوصفه متغيرًا تابعًا</w:t>
      </w:r>
      <w:r w:rsidRPr="00BC27A4">
        <w:rPr>
          <w:rFonts w:ascii="Traditional Arabic" w:hAnsi="Traditional Arabic" w:cs="Traditional Arabic"/>
        </w:rPr>
        <w:t xml:space="preserve"> (</w:t>
      </w:r>
      <w:r w:rsidRPr="00BC27A4">
        <w:rPr>
          <w:rFonts w:ascii="Traditional Arabic" w:hAnsi="Traditional Arabic" w:cs="Traditional Arabic"/>
          <w:rtl/>
        </w:rPr>
        <w:t>س3؛</w:t>
      </w:r>
      <w:r w:rsidRPr="00BC27A4">
        <w:rPr>
          <w:rFonts w:ascii="Traditional Arabic" w:hAnsi="Traditional Arabic" w:cs="Traditional Arabic"/>
        </w:rPr>
        <w:t xml:space="preserve"> H2–H3).</w:t>
      </w:r>
    </w:p>
    <w:p w14:paraId="1419E4B5" w14:textId="42452D23"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Kadi</w:t>
      </w:r>
      <w:proofErr w:type="spellEnd"/>
      <w:r w:rsidRPr="00BC27A4">
        <w:rPr>
          <w:rFonts w:ascii="Traditional Arabic" w:hAnsi="Traditional Arabic" w:cs="Traditional Arabic"/>
        </w:rPr>
        <w:t xml:space="preserve">, 2024)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Digital transformation and employee involvement: Employees’ perspective in Saudi Arabia’s public sector</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 xml:space="preserve">هدفت الدراسة إلى: (1) استكشاف ممارسات التحول الرقمي مع التركيز على إشراك الموظفين؛ (2) تفسير أثر الإشراك على نجاح مبادرات التحول من منظور الموظف. اعتمدت الدراسة منهجًا نوعيًا، وأُجريت 20 مقابلة. وأظهرت النتائج: (1) ضعف جودة </w:t>
      </w:r>
      <w:r w:rsidRPr="00BC27A4">
        <w:rPr>
          <w:rFonts w:ascii="Traditional Arabic" w:hAnsi="Traditional Arabic" w:cs="Traditional Arabic"/>
          <w:rtl/>
        </w:rPr>
        <w:lastRenderedPageBreak/>
        <w:t>التطبيق عند انخفاض إشراك الموظفين؛ (2) ارتباط محدودية الإشراك بمقاومة التغيير وفجوة المهارات</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تؤكد الدراسة أن التحول الرقمي في القطاع العام لا يُختزل في التقنية؛ بل يتطلب إدارة تغيير وتمكينًا بشريًا. ويُستفاد منها في تقوية منطق</w:t>
      </w:r>
      <w:r w:rsidRPr="00BC27A4">
        <w:rPr>
          <w:rFonts w:ascii="Traditional Arabic" w:hAnsi="Traditional Arabic" w:cs="Traditional Arabic"/>
        </w:rPr>
        <w:t xml:space="preserve"> DTD3 </w:t>
      </w:r>
      <w:r w:rsidRPr="00BC27A4">
        <w:rPr>
          <w:rFonts w:ascii="Traditional Arabic" w:hAnsi="Traditional Arabic" w:cs="Traditional Arabic"/>
          <w:rtl/>
        </w:rPr>
        <w:t>ودور الموارد التنظيمية المثبِّطة للإجهاد</w:t>
      </w:r>
      <w:r w:rsidRPr="00BC27A4">
        <w:rPr>
          <w:rFonts w:ascii="Traditional Arabic" w:hAnsi="Traditional Arabic" w:cs="Traditional Arabic"/>
        </w:rPr>
        <w:t xml:space="preserve"> (</w:t>
      </w:r>
      <w:r w:rsidRPr="00BC27A4">
        <w:rPr>
          <w:rFonts w:ascii="Traditional Arabic" w:hAnsi="Traditional Arabic" w:cs="Traditional Arabic"/>
          <w:rtl/>
        </w:rPr>
        <w:t>س3؛</w:t>
      </w:r>
      <w:r w:rsidRPr="00BC27A4">
        <w:rPr>
          <w:rFonts w:ascii="Traditional Arabic" w:hAnsi="Traditional Arabic" w:cs="Traditional Arabic"/>
        </w:rPr>
        <w:t xml:space="preserve"> H2)</w:t>
      </w:r>
      <w:r w:rsidRPr="00BC27A4">
        <w:rPr>
          <w:rFonts w:ascii="Traditional Arabic" w:hAnsi="Traditional Arabic" w:cs="Traditional Arabic"/>
          <w:rtl/>
        </w:rPr>
        <w:t>، مع الإشارة إلى أن الانتقال من دليل نوعي إلى اختبار كمي لمسارات</w:t>
      </w:r>
      <w:r w:rsidRPr="00BC27A4">
        <w:rPr>
          <w:rFonts w:ascii="Traditional Arabic" w:hAnsi="Traditional Arabic" w:cs="Traditional Arabic"/>
        </w:rPr>
        <w:t xml:space="preserve"> H1–H4 </w:t>
      </w:r>
      <w:r w:rsidRPr="00BC27A4">
        <w:rPr>
          <w:rFonts w:ascii="Traditional Arabic" w:hAnsi="Traditional Arabic" w:cs="Traditional Arabic"/>
          <w:rtl/>
        </w:rPr>
        <w:t>يمثل إضافة منهجية تستهدفها الدراسة الحالية</w:t>
      </w:r>
      <w:r w:rsidRPr="00BC27A4">
        <w:rPr>
          <w:rFonts w:ascii="Traditional Arabic" w:hAnsi="Traditional Arabic" w:cs="Traditional Arabic"/>
        </w:rPr>
        <w:t>.</w:t>
      </w:r>
    </w:p>
    <w:p w14:paraId="4067A3DC" w14:textId="67BDC148"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توليف نقدي لمحور التحول الرقمي المؤسسي وربطه بـ</w:t>
      </w:r>
      <w:r w:rsidRPr="00BC27A4">
        <w:rPr>
          <w:rFonts w:ascii="Traditional Arabic" w:hAnsi="Traditional Arabic" w:cs="Traditional Arabic"/>
        </w:rPr>
        <w:t xml:space="preserve">H1 </w:t>
      </w:r>
      <w:r w:rsidRPr="00BC27A4">
        <w:rPr>
          <w:rFonts w:ascii="Traditional Arabic" w:hAnsi="Traditional Arabic" w:cs="Traditional Arabic"/>
          <w:rtl/>
        </w:rPr>
        <w:t>وس2</w:t>
      </w:r>
      <w:r w:rsidRPr="00BC27A4">
        <w:rPr>
          <w:rFonts w:ascii="Traditional Arabic" w:hAnsi="Traditional Arabic" w:cs="Traditional Arabic"/>
        </w:rPr>
        <w:br/>
      </w:r>
      <w:r w:rsidRPr="00BC27A4">
        <w:rPr>
          <w:rFonts w:ascii="Traditional Arabic" w:hAnsi="Traditional Arabic" w:cs="Traditional Arabic"/>
          <w:rtl/>
        </w:rPr>
        <w:t xml:space="preserve">تتسق نتائج الدراسات في أن التحول الرقمي يرتبط بنتائج أكثر إيجابية على الموظفين عندما يصاحبه تمكين تنظيمي (التدريب والدعم وإدارة </w:t>
      </w:r>
      <w:proofErr w:type="gramStart"/>
      <w:r w:rsidRPr="00BC27A4">
        <w:rPr>
          <w:rFonts w:ascii="Traditional Arabic" w:hAnsi="Traditional Arabic" w:cs="Traditional Arabic"/>
          <w:rtl/>
        </w:rPr>
        <w:t>التغيير</w:t>
      </w:r>
      <w:r w:rsidR="00606ECD">
        <w:rPr>
          <w:rFonts w:ascii="Traditional Arabic" w:hAnsi="Traditional Arabic" w:cs="Traditional Arabic" w:hint="cs"/>
          <w:rtl/>
        </w:rPr>
        <w:t>(</w:t>
      </w:r>
      <w:proofErr w:type="spellStart"/>
      <w:proofErr w:type="gramEnd"/>
      <w:r w:rsidRPr="00BC27A4">
        <w:rPr>
          <w:rFonts w:ascii="Traditional Arabic" w:hAnsi="Traditional Arabic" w:cs="Traditional Arabic"/>
        </w:rPr>
        <w:t>Shibeika</w:t>
      </w:r>
      <w:proofErr w:type="spellEnd"/>
      <w:r w:rsidRPr="00BC27A4">
        <w:rPr>
          <w:rFonts w:ascii="Traditional Arabic" w:hAnsi="Traditional Arabic" w:cs="Traditional Arabic"/>
        </w:rPr>
        <w:t xml:space="preserve"> et al., 2025</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Tzavella</w:t>
      </w:r>
      <w:proofErr w:type="spellEnd"/>
      <w:r w:rsidRPr="00BC27A4">
        <w:rPr>
          <w:rFonts w:ascii="Traditional Arabic" w:hAnsi="Traditional Arabic" w:cs="Traditional Arabic"/>
        </w:rPr>
        <w:t xml:space="preserve"> et al., 2025</w:t>
      </w:r>
      <w:r w:rsidRPr="00BC27A4">
        <w:rPr>
          <w:rFonts w:ascii="Traditional Arabic" w:hAnsi="Traditional Arabic" w:cs="Traditional Arabic"/>
          <w:rtl/>
        </w:rPr>
        <w:t>؛</w:t>
      </w:r>
      <w:r w:rsidR="00606ECD">
        <w:rPr>
          <w:rFonts w:ascii="Traditional Arabic" w:hAnsi="Traditional Arabic" w:cs="Traditional Arabic"/>
        </w:rPr>
        <w:t xml:space="preserve"> (</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Kadi</w:t>
      </w:r>
      <w:proofErr w:type="spellEnd"/>
      <w:r w:rsidRPr="00BC27A4">
        <w:rPr>
          <w:rFonts w:ascii="Traditional Arabic" w:hAnsi="Traditional Arabic" w:cs="Traditional Arabic"/>
        </w:rPr>
        <w:t xml:space="preserve">, 2024 </w:t>
      </w:r>
      <w:r w:rsidRPr="00BC27A4">
        <w:rPr>
          <w:rFonts w:ascii="Traditional Arabic" w:hAnsi="Traditional Arabic" w:cs="Traditional Arabic"/>
          <w:rtl/>
        </w:rPr>
        <w:t>وتظهر نتائج متباينة في قوة الأثر واتجاهه حين تختلف طبيعة القطاع أو طريقة تشغيل التحول أو المتغير التابع</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Khuc</w:t>
      </w:r>
      <w:proofErr w:type="spellEnd"/>
      <w:r w:rsidRPr="00BC27A4">
        <w:rPr>
          <w:rFonts w:ascii="Traditional Arabic" w:hAnsi="Traditional Arabic" w:cs="Traditional Arabic"/>
        </w:rPr>
        <w:t xml:space="preserve"> &amp; Nguyen, 2025). </w:t>
      </w:r>
      <w:r w:rsidRPr="00BC27A4">
        <w:rPr>
          <w:rFonts w:ascii="Traditional Arabic" w:hAnsi="Traditional Arabic" w:cs="Traditional Arabic"/>
          <w:rtl/>
        </w:rPr>
        <w:t>كما تتكرر حدود منهجية: تركّز على سياقات محددة، وتباين أدوات القياس، وعدم اختبار آليات وسيطة متوازية. وبناءً عليه، يصبح اختبار أثر أبعاد</w:t>
      </w:r>
      <w:r w:rsidRPr="00BC27A4">
        <w:rPr>
          <w:rFonts w:ascii="Traditional Arabic" w:hAnsi="Traditional Arabic" w:cs="Traditional Arabic"/>
        </w:rPr>
        <w:t xml:space="preserve"> DTD </w:t>
      </w:r>
      <w:r w:rsidRPr="00BC27A4">
        <w:rPr>
          <w:rFonts w:ascii="Traditional Arabic" w:hAnsi="Traditional Arabic" w:cs="Traditional Arabic"/>
          <w:rtl/>
        </w:rPr>
        <w:t>الأربعة على الرضا الوظيفي مباشرة</w:t>
      </w:r>
      <w:r w:rsidRPr="00BC27A4">
        <w:rPr>
          <w:rFonts w:ascii="Traditional Arabic" w:hAnsi="Traditional Arabic" w:cs="Traditional Arabic"/>
        </w:rPr>
        <w:t xml:space="preserve"> (H1a–H1d) </w:t>
      </w:r>
      <w:r w:rsidRPr="00BC27A4">
        <w:rPr>
          <w:rFonts w:ascii="Traditional Arabic" w:hAnsi="Traditional Arabic" w:cs="Traditional Arabic"/>
          <w:rtl/>
        </w:rPr>
        <w:t>وفي سياق وزارة سعودية محددة (س2) مساهمة تطبيقية/سياقية واضحة، مع اختبار الوساطة لتفسير الآليات (س3</w:t>
      </w:r>
      <w:r w:rsidR="00606ECD">
        <w:rPr>
          <w:rFonts w:ascii="Traditional Arabic" w:hAnsi="Traditional Arabic" w:cs="Traditional Arabic" w:hint="cs"/>
          <w:rtl/>
        </w:rPr>
        <w:t>).</w:t>
      </w:r>
    </w:p>
    <w:p w14:paraId="6305F9EC" w14:textId="698EDDD5"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2.2.2 </w:t>
      </w:r>
      <w:r w:rsidRPr="00BC27A4">
        <w:rPr>
          <w:rFonts w:ascii="Traditional Arabic" w:hAnsi="Traditional Arabic" w:cs="Traditional Arabic"/>
          <w:b/>
          <w:bCs/>
          <w:rtl/>
        </w:rPr>
        <w:t>دراسات قبول التقنية</w:t>
      </w:r>
      <w:r w:rsidRPr="00BC27A4">
        <w:rPr>
          <w:rFonts w:ascii="Traditional Arabic" w:hAnsi="Traditional Arabic" w:cs="Traditional Arabic"/>
          <w:b/>
          <w:bCs/>
        </w:rPr>
        <w:t xml:space="preserve"> (TAM)</w:t>
      </w:r>
      <w:r>
        <w:rPr>
          <w:rFonts w:ascii="Traditional Arabic" w:hAnsi="Traditional Arabic" w:cs="Traditional Arabic"/>
          <w:b/>
          <w:bCs/>
        </w:rPr>
        <w:t xml:space="preserve"> </w:t>
      </w:r>
      <w:r w:rsidRPr="00BC27A4">
        <w:rPr>
          <w:rFonts w:ascii="Traditional Arabic" w:hAnsi="Traditional Arabic" w:cs="Traditional Arabic"/>
        </w:rPr>
        <w:br/>
      </w: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Badawy</w:t>
      </w:r>
      <w:proofErr w:type="spellEnd"/>
      <w:r w:rsidRPr="00BC27A4">
        <w:rPr>
          <w:rFonts w:ascii="Traditional Arabic" w:hAnsi="Traditional Arabic" w:cs="Traditional Arabic"/>
        </w:rPr>
        <w:t xml:space="preserve">, 2025)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The Effect of Perceived Ease of Use and Usefulness of HRIS on Employee Satisfaction and Engagement in Real Estate and Construction Sector in Egypt</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w:t>
      </w:r>
      <w:r w:rsidRPr="00BC27A4">
        <w:rPr>
          <w:rFonts w:ascii="Traditional Arabic" w:hAnsi="Traditional Arabic" w:cs="Traditional Arabic"/>
        </w:rPr>
        <w:t xml:space="preserve"> PU </w:t>
      </w:r>
      <w:r w:rsidRPr="00BC27A4">
        <w:rPr>
          <w:rFonts w:ascii="Traditional Arabic" w:hAnsi="Traditional Arabic" w:cs="Traditional Arabic"/>
          <w:rtl/>
        </w:rPr>
        <w:t>و</w:t>
      </w:r>
      <w:r w:rsidR="00606ECD">
        <w:rPr>
          <w:rFonts w:ascii="Traditional Arabic" w:hAnsi="Traditional Arabic" w:cs="Traditional Arabic"/>
        </w:rPr>
        <w:t xml:space="preserve"> </w:t>
      </w:r>
      <w:r w:rsidRPr="00BC27A4">
        <w:rPr>
          <w:rFonts w:ascii="Traditional Arabic" w:hAnsi="Traditional Arabic" w:cs="Traditional Arabic"/>
        </w:rPr>
        <w:t xml:space="preserve">PEOU </w:t>
      </w:r>
      <w:r w:rsidRPr="00BC27A4">
        <w:rPr>
          <w:rFonts w:ascii="Traditional Arabic" w:hAnsi="Traditional Arabic" w:cs="Traditional Arabic"/>
          <w:rtl/>
        </w:rPr>
        <w:t>لنظم معلومات الموارد البشرية على رضا الموظفين؛ (2) اختبار أثرهما على اندماج الموظفين. بلغ حجم العينة 384. واستُخدم منهج كمي عبر استبانة. وأظهرت النتائج: (1) أثرًا إيجابيًا دالًا لـ</w:t>
      </w:r>
      <w:r w:rsidRPr="00BC27A4">
        <w:rPr>
          <w:rFonts w:ascii="Traditional Arabic" w:hAnsi="Traditional Arabic" w:cs="Traditional Arabic"/>
        </w:rPr>
        <w:t xml:space="preserve">PU </w:t>
      </w:r>
      <w:r w:rsidRPr="00BC27A4">
        <w:rPr>
          <w:rFonts w:ascii="Traditional Arabic" w:hAnsi="Traditional Arabic" w:cs="Traditional Arabic"/>
          <w:rtl/>
        </w:rPr>
        <w:t>و</w:t>
      </w:r>
      <w:proofErr w:type="gramStart"/>
      <w:r w:rsidRPr="00BC27A4">
        <w:rPr>
          <w:rFonts w:ascii="Traditional Arabic" w:hAnsi="Traditional Arabic" w:cs="Traditional Arabic"/>
        </w:rPr>
        <w:t xml:space="preserve">PEOU </w:t>
      </w:r>
      <w:r w:rsidR="00606ECD">
        <w:rPr>
          <w:rFonts w:ascii="Traditional Arabic" w:hAnsi="Traditional Arabic" w:cs="Traditional Arabic" w:hint="cs"/>
          <w:rtl/>
        </w:rPr>
        <w:t xml:space="preserve"> </w:t>
      </w:r>
      <w:r w:rsidRPr="00BC27A4">
        <w:rPr>
          <w:rFonts w:ascii="Traditional Arabic" w:hAnsi="Traditional Arabic" w:cs="Traditional Arabic"/>
          <w:rtl/>
        </w:rPr>
        <w:t>على</w:t>
      </w:r>
      <w:proofErr w:type="gramEnd"/>
      <w:r w:rsidRPr="00BC27A4">
        <w:rPr>
          <w:rFonts w:ascii="Traditional Arabic" w:hAnsi="Traditional Arabic" w:cs="Traditional Arabic"/>
          <w:rtl/>
        </w:rPr>
        <w:t xml:space="preserve"> رضا الموظفين؛ (2) أثرًا إيجابيًا دالًا لهما على الاندماج</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فرضيات</w:t>
      </w:r>
      <w:r w:rsidRPr="00BC27A4">
        <w:rPr>
          <w:rFonts w:ascii="Traditional Arabic" w:hAnsi="Traditional Arabic" w:cs="Traditional Arabic"/>
        </w:rPr>
        <w:t xml:space="preserve"> (H3c–H3d) </w:t>
      </w:r>
      <w:r w:rsidRPr="00BC27A4">
        <w:rPr>
          <w:rFonts w:ascii="Traditional Arabic" w:hAnsi="Traditional Arabic" w:cs="Traditional Arabic"/>
          <w:rtl/>
        </w:rPr>
        <w:t xml:space="preserve">من حيث اتجاه العلاقة، لكنها تُظهر حدًا </w:t>
      </w:r>
      <w:proofErr w:type="spellStart"/>
      <w:r w:rsidRPr="00BC27A4">
        <w:rPr>
          <w:rFonts w:ascii="Traditional Arabic" w:hAnsi="Traditional Arabic" w:cs="Traditional Arabic"/>
          <w:rtl/>
        </w:rPr>
        <w:t>سياقيًا</w:t>
      </w:r>
      <w:proofErr w:type="spellEnd"/>
      <w:r w:rsidR="00606ECD">
        <w:rPr>
          <w:rFonts w:ascii="Traditional Arabic" w:hAnsi="Traditional Arabic" w:cs="Traditional Arabic"/>
        </w:rPr>
        <w:t>)</w:t>
      </w:r>
      <w:r w:rsidRPr="00BC27A4">
        <w:rPr>
          <w:rFonts w:ascii="Traditional Arabic" w:hAnsi="Traditional Arabic" w:cs="Traditional Arabic"/>
          <w:rtl/>
        </w:rPr>
        <w:t>قطاع خاص/دولة مختلفة/نظام</w:t>
      </w:r>
      <w:r w:rsidRPr="00BC27A4">
        <w:rPr>
          <w:rFonts w:ascii="Traditional Arabic" w:hAnsi="Traditional Arabic" w:cs="Traditional Arabic"/>
        </w:rPr>
        <w:t xml:space="preserve"> </w:t>
      </w:r>
      <w:r w:rsidR="00606ECD">
        <w:rPr>
          <w:rFonts w:ascii="Traditional Arabic" w:hAnsi="Traditional Arabic" w:cs="Traditional Arabic"/>
        </w:rPr>
        <w:t>.(</w:t>
      </w:r>
      <w:r w:rsidRPr="00BC27A4">
        <w:rPr>
          <w:rFonts w:ascii="Traditional Arabic" w:hAnsi="Traditional Arabic" w:cs="Traditional Arabic"/>
        </w:rPr>
        <w:t xml:space="preserve">HRIS </w:t>
      </w:r>
      <w:r w:rsidRPr="00BC27A4">
        <w:rPr>
          <w:rFonts w:ascii="Traditional Arabic" w:hAnsi="Traditional Arabic" w:cs="Traditional Arabic"/>
          <w:rtl/>
        </w:rPr>
        <w:t>وبناء عليه يتعين اختبار الآلية نفسها داخل الوزارة مع أبعاد التحول المؤسسي</w:t>
      </w:r>
      <w:r w:rsidRPr="00BC27A4">
        <w:rPr>
          <w:rFonts w:ascii="Traditional Arabic" w:hAnsi="Traditional Arabic" w:cs="Traditional Arabic"/>
        </w:rPr>
        <w:t xml:space="preserve"> H3a–H3f</w:t>
      </w:r>
      <w:r w:rsidR="00606ECD">
        <w:rPr>
          <w:rFonts w:ascii="Traditional Arabic" w:hAnsi="Traditional Arabic" w:cs="Traditional Arabic"/>
        </w:rPr>
        <w:t xml:space="preserve">) </w:t>
      </w:r>
      <w:r w:rsidRPr="00BC27A4">
        <w:rPr>
          <w:rFonts w:ascii="Traditional Arabic" w:hAnsi="Traditional Arabic" w:cs="Traditional Arabic"/>
          <w:rtl/>
        </w:rPr>
        <w:t>؛ س3</w:t>
      </w:r>
      <w:r w:rsidR="00606ECD">
        <w:rPr>
          <w:rFonts w:ascii="Traditional Arabic" w:hAnsi="Traditional Arabic" w:cs="Traditional Arabic" w:hint="cs"/>
          <w:rtl/>
        </w:rPr>
        <w:t>).</w:t>
      </w:r>
    </w:p>
    <w:p w14:paraId="7751CC1D" w14:textId="23B2BE9E"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Mutambik</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Almuqrin</w:t>
      </w:r>
      <w:proofErr w:type="spellEnd"/>
      <w:r w:rsidRPr="00BC27A4">
        <w:rPr>
          <w:rFonts w:ascii="Traditional Arabic" w:hAnsi="Traditional Arabic" w:cs="Traditional Arabic"/>
        </w:rPr>
        <w:t xml:space="preserve">, 2024)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Employee Acceptance of Digital Transformation: A Study in a Smart City Context</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تحديد محددات قبول الموظفين للتحول الرقمي؛ (2) اختبار نموذج يقيس أثر دعم الإدارة والمنافع المتصورة وتعقيد العمليات والجمود على نية القبول. بلغ حجم العينة 1180 موظفًا داخل سياق سعودي. وأظهرت النتائج: (1) ارتباط دعم الإدارة والمنافع المتصورة إيجابًا بنية القبول؛ (2) ارتباط الجمود وتعقيد العمليات سلبًا بنية القبول</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lastRenderedPageBreak/>
        <w:t>تحليل/ربط: تتسق النتائج مع منطق أن عوامل تنظيمية (الدعم) وهيكلية (تعقيد العمليات) تشكل إدراكات القبول، ما يسند تفسير انتقال</w:t>
      </w:r>
      <w:r w:rsidRPr="00BC27A4">
        <w:rPr>
          <w:rFonts w:ascii="Traditional Arabic" w:hAnsi="Traditional Arabic" w:cs="Traditional Arabic"/>
        </w:rPr>
        <w:t xml:space="preserve"> DTD3/DTD4 </w:t>
      </w:r>
      <w:r w:rsidRPr="00BC27A4">
        <w:rPr>
          <w:rFonts w:ascii="Traditional Arabic" w:hAnsi="Traditional Arabic" w:cs="Traditional Arabic"/>
          <w:rtl/>
        </w:rPr>
        <w:t>إلى</w:t>
      </w:r>
      <w:r w:rsidRPr="00BC27A4">
        <w:rPr>
          <w:rFonts w:ascii="Traditional Arabic" w:hAnsi="Traditional Arabic" w:cs="Traditional Arabic"/>
        </w:rPr>
        <w:t xml:space="preserve"> PU/PEOU (H3a–H3b). </w:t>
      </w:r>
      <w:r w:rsidRPr="00BC27A4">
        <w:rPr>
          <w:rFonts w:ascii="Traditional Arabic" w:hAnsi="Traditional Arabic" w:cs="Traditional Arabic"/>
          <w:rtl/>
        </w:rPr>
        <w:t>كما تدعم النتائج إدراج السياق السعودي بوصفه سياقًا قابلًا للاختبار مع اختلاف جهة التطبيق (مدينة ذكية مقابل وزارة)</w:t>
      </w:r>
      <w:r w:rsidRPr="00BC27A4">
        <w:rPr>
          <w:rFonts w:ascii="Traditional Arabic" w:hAnsi="Traditional Arabic" w:cs="Traditional Arabic"/>
        </w:rPr>
        <w:t>.</w:t>
      </w:r>
    </w:p>
    <w:p w14:paraId="18107EA1" w14:textId="28E11EA1"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(Jo &amp; Park, 2023)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Mechanisms for successful management of enterprise resource planning from user information processing and system quality perspective</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دمج</w:t>
      </w:r>
      <w:r w:rsidRPr="00BC27A4">
        <w:rPr>
          <w:rFonts w:ascii="Traditional Arabic" w:hAnsi="Traditional Arabic" w:cs="Traditional Arabic"/>
        </w:rPr>
        <w:t xml:space="preserve"> TAM </w:t>
      </w:r>
      <w:r w:rsidRPr="00BC27A4">
        <w:rPr>
          <w:rFonts w:ascii="Traditional Arabic" w:hAnsi="Traditional Arabic" w:cs="Traditional Arabic"/>
          <w:rtl/>
        </w:rPr>
        <w:t>مع نموذج نجاح نظم المعلومات وعامل المشاركة لتفسير رضا المستخدم بعد تطبيق</w:t>
      </w:r>
      <w:r w:rsidRPr="00BC27A4">
        <w:rPr>
          <w:rFonts w:ascii="Traditional Arabic" w:hAnsi="Traditional Arabic" w:cs="Traditional Arabic"/>
        </w:rPr>
        <w:t xml:space="preserve"> ERP</w:t>
      </w:r>
      <w:r w:rsidRPr="00BC27A4">
        <w:rPr>
          <w:rFonts w:ascii="Traditional Arabic" w:hAnsi="Traditional Arabic" w:cs="Traditional Arabic"/>
          <w:rtl/>
        </w:rPr>
        <w:t>؛ (2) اختبار الدور التعديلي لمشاركة المستخدم. بلغ حجم العينة 234 مستخدمًا. وأظهرت النتائج: (1) أثرًا إيجابيًا لـ</w:t>
      </w:r>
      <w:proofErr w:type="gramStart"/>
      <w:r w:rsidRPr="00BC27A4">
        <w:rPr>
          <w:rFonts w:ascii="Traditional Arabic" w:hAnsi="Traditional Arabic" w:cs="Traditional Arabic"/>
        </w:rPr>
        <w:t xml:space="preserve">PEOU </w:t>
      </w:r>
      <w:r w:rsidR="00606ECD">
        <w:rPr>
          <w:rFonts w:ascii="Traditional Arabic" w:hAnsi="Traditional Arabic" w:cs="Traditional Arabic" w:hint="cs"/>
          <w:rtl/>
        </w:rPr>
        <w:t xml:space="preserve"> </w:t>
      </w:r>
      <w:r w:rsidRPr="00BC27A4">
        <w:rPr>
          <w:rFonts w:ascii="Traditional Arabic" w:hAnsi="Traditional Arabic" w:cs="Traditional Arabic"/>
          <w:rtl/>
        </w:rPr>
        <w:t>وجودة</w:t>
      </w:r>
      <w:proofErr w:type="gramEnd"/>
      <w:r w:rsidRPr="00BC27A4">
        <w:rPr>
          <w:rFonts w:ascii="Traditional Arabic" w:hAnsi="Traditional Arabic" w:cs="Traditional Arabic"/>
          <w:rtl/>
        </w:rPr>
        <w:t xml:space="preserve"> النظام وجودة الخدمة والمشاركة على رضا المستخدم؛ (2) عدم دلالة أثر</w:t>
      </w:r>
      <w:r w:rsidRPr="00BC27A4">
        <w:rPr>
          <w:rFonts w:ascii="Traditional Arabic" w:hAnsi="Traditional Arabic" w:cs="Traditional Arabic"/>
        </w:rPr>
        <w:t xml:space="preserve"> PU </w:t>
      </w:r>
      <w:r w:rsidRPr="00BC27A4">
        <w:rPr>
          <w:rFonts w:ascii="Traditional Arabic" w:hAnsi="Traditional Arabic" w:cs="Traditional Arabic"/>
          <w:rtl/>
        </w:rPr>
        <w:t>على الرضا في السياق المدروس؛ (3) تعديل مشاركة المستخدم لبعض المسارات</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تُظهر الدراسة نتيجة متعارضة جزئيًا بشأن</w:t>
      </w:r>
      <w:r w:rsidRPr="00BC27A4">
        <w:rPr>
          <w:rFonts w:ascii="Traditional Arabic" w:hAnsi="Traditional Arabic" w:cs="Traditional Arabic"/>
        </w:rPr>
        <w:t xml:space="preserve"> PU </w:t>
      </w:r>
      <w:r w:rsidRPr="00BC27A4">
        <w:rPr>
          <w:rFonts w:ascii="Traditional Arabic" w:hAnsi="Traditional Arabic" w:cs="Traditional Arabic"/>
          <w:rtl/>
        </w:rPr>
        <w:t>مقارنة بدراسات أخرى، ما يُفسر باختلاف سياق النظام ونضجه وتوقعات المستخدمين. وتدعم هذه النتيجة الحاجة إلى اختبار</w:t>
      </w:r>
      <w:r w:rsidRPr="00BC27A4">
        <w:rPr>
          <w:rFonts w:ascii="Traditional Arabic" w:hAnsi="Traditional Arabic" w:cs="Traditional Arabic"/>
        </w:rPr>
        <w:t xml:space="preserve"> TAM </w:t>
      </w:r>
      <w:r w:rsidRPr="00BC27A4">
        <w:rPr>
          <w:rFonts w:ascii="Traditional Arabic" w:hAnsi="Traditional Arabic" w:cs="Traditional Arabic"/>
          <w:rtl/>
        </w:rPr>
        <w:t xml:space="preserve">ميدانيًا في الوزارة بدل افتراض دلالة ثابتة </w:t>
      </w:r>
      <w:proofErr w:type="gramStart"/>
      <w:r w:rsidRPr="00BC27A4">
        <w:rPr>
          <w:rFonts w:ascii="Traditional Arabic" w:hAnsi="Traditional Arabic" w:cs="Traditional Arabic"/>
          <w:rtl/>
        </w:rPr>
        <w:t>لـ</w:t>
      </w:r>
      <w:r w:rsidRPr="00BC27A4">
        <w:rPr>
          <w:rFonts w:ascii="Traditional Arabic" w:hAnsi="Traditional Arabic" w:cs="Traditional Arabic"/>
        </w:rPr>
        <w:t>PU</w:t>
      </w:r>
      <w:proofErr w:type="gramEnd"/>
      <w:r w:rsidRPr="00BC27A4">
        <w:rPr>
          <w:rFonts w:ascii="Traditional Arabic" w:hAnsi="Traditional Arabic" w:cs="Traditional Arabic"/>
          <w:rtl/>
        </w:rPr>
        <w:t>، وتدعم أيضًا إدراج عناصر تنظيمية (مثل المشاركة/التدريب) في تفسير القبول</w:t>
      </w:r>
      <w:r w:rsidRPr="00BC27A4">
        <w:rPr>
          <w:rFonts w:ascii="Traditional Arabic" w:hAnsi="Traditional Arabic" w:cs="Traditional Arabic"/>
        </w:rPr>
        <w:t>.</w:t>
      </w:r>
    </w:p>
    <w:p w14:paraId="4BD6B756" w14:textId="18848B5F"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توليف نقدي لمحور</w:t>
      </w:r>
      <w:r w:rsidRPr="00BC27A4">
        <w:rPr>
          <w:rFonts w:ascii="Traditional Arabic" w:hAnsi="Traditional Arabic" w:cs="Traditional Arabic"/>
        </w:rPr>
        <w:t xml:space="preserve"> TAM </w:t>
      </w:r>
      <w:r w:rsidRPr="00BC27A4">
        <w:rPr>
          <w:rFonts w:ascii="Traditional Arabic" w:hAnsi="Traditional Arabic" w:cs="Traditional Arabic"/>
          <w:rtl/>
        </w:rPr>
        <w:t>وربطه بـ</w:t>
      </w:r>
      <w:r w:rsidR="00606ECD">
        <w:rPr>
          <w:rFonts w:ascii="Traditional Arabic" w:hAnsi="Traditional Arabic" w:cs="Traditional Arabic"/>
        </w:rPr>
        <w:t xml:space="preserve"> </w:t>
      </w:r>
      <w:r w:rsidRPr="00BC27A4">
        <w:rPr>
          <w:rFonts w:ascii="Traditional Arabic" w:hAnsi="Traditional Arabic" w:cs="Traditional Arabic"/>
        </w:rPr>
        <w:t xml:space="preserve">H3 </w:t>
      </w:r>
      <w:r w:rsidRPr="00BC27A4">
        <w:rPr>
          <w:rFonts w:ascii="Traditional Arabic" w:hAnsi="Traditional Arabic" w:cs="Traditional Arabic"/>
          <w:rtl/>
        </w:rPr>
        <w:t>وس3</w:t>
      </w:r>
      <w:r w:rsidRPr="00BC27A4">
        <w:rPr>
          <w:rFonts w:ascii="Traditional Arabic" w:hAnsi="Traditional Arabic" w:cs="Traditional Arabic"/>
        </w:rPr>
        <w:br/>
      </w:r>
      <w:r w:rsidRPr="00BC27A4">
        <w:rPr>
          <w:rFonts w:ascii="Traditional Arabic" w:hAnsi="Traditional Arabic" w:cs="Traditional Arabic"/>
          <w:rtl/>
        </w:rPr>
        <w:t>تتسق الأدلة في أن القبول لا يتحدد بخصائص تقنية مجردة، بل يتشكل بوضوح عبر عوامل تنظيمية (الدعم، جودة الخدمة، المشاركة) وعبر خصائص العملية (تعقيدها)</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Mutambik</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Almuqrin</w:t>
      </w:r>
      <w:proofErr w:type="spellEnd"/>
      <w:r w:rsidRPr="00BC27A4">
        <w:rPr>
          <w:rFonts w:ascii="Traditional Arabic" w:hAnsi="Traditional Arabic" w:cs="Traditional Arabic"/>
        </w:rPr>
        <w:t>, 2024</w:t>
      </w:r>
      <w:proofErr w:type="gramStart"/>
      <w:r w:rsidR="00606ECD">
        <w:rPr>
          <w:rFonts w:ascii="Traditional Arabic" w:hAnsi="Traditional Arabic" w:cs="Traditional Arabic"/>
        </w:rPr>
        <w:t xml:space="preserve">) </w:t>
      </w:r>
      <w:r w:rsidRPr="00BC27A4">
        <w:rPr>
          <w:rFonts w:ascii="Traditional Arabic" w:hAnsi="Traditional Arabic" w:cs="Traditional Arabic"/>
          <w:rtl/>
        </w:rPr>
        <w:t>؛</w:t>
      </w:r>
      <w:proofErr w:type="gramEnd"/>
      <w:r w:rsidR="00606ECD">
        <w:rPr>
          <w:rFonts w:ascii="Traditional Arabic" w:hAnsi="Traditional Arabic" w:cs="Traditional Arabic"/>
        </w:rPr>
        <w:t xml:space="preserve">. </w:t>
      </w:r>
      <w:proofErr w:type="gramStart"/>
      <w:r w:rsidR="00606ECD">
        <w:rPr>
          <w:rFonts w:ascii="Traditional Arabic" w:hAnsi="Traditional Arabic" w:cs="Traditional Arabic"/>
        </w:rPr>
        <w:t>(</w:t>
      </w:r>
      <w:proofErr w:type="gramEnd"/>
      <w:r w:rsidRPr="00BC27A4">
        <w:rPr>
          <w:rFonts w:ascii="Traditional Arabic" w:hAnsi="Traditional Arabic" w:cs="Traditional Arabic"/>
        </w:rPr>
        <w:t xml:space="preserve"> Jo &amp; Park, 2023 </w:t>
      </w:r>
      <w:r w:rsidRPr="00BC27A4">
        <w:rPr>
          <w:rFonts w:ascii="Traditional Arabic" w:hAnsi="Traditional Arabic" w:cs="Traditional Arabic"/>
          <w:rtl/>
        </w:rPr>
        <w:t>وتظهر نتائج متعارضة جزئيًا حول</w:t>
      </w:r>
      <w:r w:rsidRPr="00BC27A4">
        <w:rPr>
          <w:rFonts w:ascii="Traditional Arabic" w:hAnsi="Traditional Arabic" w:cs="Traditional Arabic"/>
        </w:rPr>
        <w:t xml:space="preserve"> PU</w:t>
      </w:r>
      <w:r w:rsidRPr="00BC27A4">
        <w:rPr>
          <w:rFonts w:ascii="Traditional Arabic" w:hAnsi="Traditional Arabic" w:cs="Traditional Arabic"/>
          <w:rtl/>
        </w:rPr>
        <w:t>، بما يدفع إلى تفسير دور السياق ونضج النظام والمهنة. ومن ثم تُسند فرضيات الدراسة</w:t>
      </w:r>
      <w:r w:rsidRPr="00BC27A4">
        <w:rPr>
          <w:rFonts w:ascii="Traditional Arabic" w:hAnsi="Traditional Arabic" w:cs="Traditional Arabic"/>
        </w:rPr>
        <w:t xml:space="preserve"> (H3a–H3f) </w:t>
      </w:r>
      <w:r w:rsidRPr="00BC27A4">
        <w:rPr>
          <w:rFonts w:ascii="Traditional Arabic" w:hAnsi="Traditional Arabic" w:cs="Traditional Arabic"/>
          <w:rtl/>
        </w:rPr>
        <w:t>وسؤال (س3) عبر اختبار كيف ينعكس</w:t>
      </w:r>
      <w:r w:rsidRPr="00BC27A4">
        <w:rPr>
          <w:rFonts w:ascii="Traditional Arabic" w:hAnsi="Traditional Arabic" w:cs="Traditional Arabic"/>
        </w:rPr>
        <w:t xml:space="preserve"> DTD – </w:t>
      </w:r>
      <w:r w:rsidRPr="00BC27A4">
        <w:rPr>
          <w:rFonts w:ascii="Traditional Arabic" w:hAnsi="Traditional Arabic" w:cs="Traditional Arabic"/>
          <w:rtl/>
        </w:rPr>
        <w:t>بأبعاده – على</w:t>
      </w:r>
      <w:r w:rsidRPr="00BC27A4">
        <w:rPr>
          <w:rFonts w:ascii="Traditional Arabic" w:hAnsi="Traditional Arabic" w:cs="Traditional Arabic"/>
        </w:rPr>
        <w:t xml:space="preserve"> PU/PEOU </w:t>
      </w:r>
      <w:r w:rsidRPr="00BC27A4">
        <w:rPr>
          <w:rFonts w:ascii="Traditional Arabic" w:hAnsi="Traditional Arabic" w:cs="Traditional Arabic"/>
          <w:rtl/>
        </w:rPr>
        <w:t>ثم على الرضا الوظيفي</w:t>
      </w:r>
      <w:r w:rsidRPr="00BC27A4">
        <w:rPr>
          <w:rFonts w:ascii="Traditional Arabic" w:hAnsi="Traditional Arabic" w:cs="Traditional Arabic"/>
        </w:rPr>
        <w:t>.</w:t>
      </w:r>
    </w:p>
    <w:p w14:paraId="074437B6" w14:textId="2DD8E01E"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2.2.3 </w:t>
      </w:r>
      <w:r w:rsidRPr="00BC27A4">
        <w:rPr>
          <w:rFonts w:ascii="Traditional Arabic" w:hAnsi="Traditional Arabic" w:cs="Traditional Arabic"/>
          <w:b/>
          <w:bCs/>
          <w:rtl/>
        </w:rPr>
        <w:t>دراسات الإجهاد التقني</w:t>
      </w:r>
      <w:r w:rsidRPr="00BC27A4">
        <w:rPr>
          <w:rFonts w:ascii="Traditional Arabic" w:hAnsi="Traditional Arabic" w:cs="Traditional Arabic"/>
          <w:b/>
          <w:bCs/>
        </w:rPr>
        <w:t xml:space="preserve"> (Technostress)</w:t>
      </w:r>
      <w:r w:rsidRPr="00BC27A4">
        <w:rPr>
          <w:rFonts w:ascii="Traditional Arabic" w:hAnsi="Traditional Arabic" w:cs="Traditional Arabic"/>
        </w:rPr>
        <w:br/>
      </w:r>
      <w:r w:rsidRPr="00BC27A4">
        <w:rPr>
          <w:rFonts w:ascii="Traditional Arabic" w:hAnsi="Traditional Arabic" w:cs="Traditional Arabic"/>
          <w:rtl/>
        </w:rPr>
        <w:t>دراسة</w:t>
      </w:r>
      <w:r w:rsidRPr="00BC27A4">
        <w:rPr>
          <w:rFonts w:ascii="Traditional Arabic" w:hAnsi="Traditional Arabic" w:cs="Traditional Arabic"/>
        </w:rPr>
        <w:t xml:space="preserve"> (Tu et al., 2025)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Technostress, Burnout, and Job Satisfaction: An Empirical Study of STEM Teachers’ Well-Being and Performance</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فحص صانعات الإجهاد التقني ومثبطاته؛ (2) اختبار الاحتراق وسيطًا بين الإجهاد والرضا الوظيفي. بلغ حجم العينة 378، واستُخدم تحليل</w:t>
      </w:r>
      <w:r w:rsidRPr="00BC27A4">
        <w:rPr>
          <w:rFonts w:ascii="Traditional Arabic" w:hAnsi="Traditional Arabic" w:cs="Traditional Arabic"/>
        </w:rPr>
        <w:t xml:space="preserve"> SEM. </w:t>
      </w:r>
      <w:r w:rsidRPr="00BC27A4">
        <w:rPr>
          <w:rFonts w:ascii="Traditional Arabic" w:hAnsi="Traditional Arabic" w:cs="Traditional Arabic"/>
          <w:rtl/>
        </w:rPr>
        <w:t>وأظهرت النتائج: (1) ارتباط صانعات الإجهاد بارتفاع الاحتراق؛ (2) وساطة الاحتراق في العلاقة مع الرضا؛ (3) دور مثبطات الإجهاد في التخفيف</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lastRenderedPageBreak/>
        <w:t>تحليل/ربط: تدعم الدراسة منطق</w:t>
      </w:r>
      <w:r w:rsidRPr="00BC27A4">
        <w:rPr>
          <w:rFonts w:ascii="Traditional Arabic" w:hAnsi="Traditional Arabic" w:cs="Traditional Arabic"/>
        </w:rPr>
        <w:t xml:space="preserve"> (H2b) </w:t>
      </w:r>
      <w:r w:rsidRPr="00BC27A4">
        <w:rPr>
          <w:rFonts w:ascii="Traditional Arabic" w:hAnsi="Traditional Arabic" w:cs="Traditional Arabic"/>
          <w:rtl/>
        </w:rPr>
        <w:t>و</w:t>
      </w:r>
      <w:r w:rsidRPr="00BC27A4">
        <w:rPr>
          <w:rFonts w:ascii="Traditional Arabic" w:hAnsi="Traditional Arabic" w:cs="Traditional Arabic"/>
        </w:rPr>
        <w:t xml:space="preserve">(H2c) </w:t>
      </w:r>
      <w:r w:rsidRPr="00BC27A4">
        <w:rPr>
          <w:rFonts w:ascii="Traditional Arabic" w:hAnsi="Traditional Arabic" w:cs="Traditional Arabic"/>
          <w:rtl/>
        </w:rPr>
        <w:t>وتؤكد أن اختبار الوساطة في الدراسة الحالية (س3) يتسق مع اتجاهات حديثة، مع الإقرار بأن طبيعة العمل (تعليم) تختلف عن السياق الحكومي</w:t>
      </w:r>
      <w:r w:rsidRPr="00BC27A4">
        <w:rPr>
          <w:rFonts w:ascii="Traditional Arabic" w:hAnsi="Traditional Arabic" w:cs="Traditional Arabic"/>
        </w:rPr>
        <w:t>.</w:t>
      </w:r>
    </w:p>
    <w:p w14:paraId="5F19EFF2" w14:textId="3B993119"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Alshammary</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Hilmi</w:t>
      </w:r>
      <w:proofErr w:type="spellEnd"/>
      <w:r w:rsidRPr="00BC27A4">
        <w:rPr>
          <w:rFonts w:ascii="Traditional Arabic" w:hAnsi="Traditional Arabic" w:cs="Traditional Arabic"/>
        </w:rPr>
        <w:t xml:space="preserve">, 2024)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Tackling techno-stress: Supervisor support and job clarity as catalysts for employee satisfaction</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 صانعات إجهاد تقنية على الرضا الوظيفي؛ (2) اختبار دور دعم المشرف ووضوح الدور كعوامل تخفيف. بلغ حجم العينة 135 في سياق سعودي (مصارف). وأظهرت النتائج: (1) أثرًا سلبيًا دالًا لصانعات الإجهاد على الرضا؛ (2) أثرًا مخففًا للدعم ووضوح الدور</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محليًا منطق</w:t>
      </w:r>
      <w:r w:rsidRPr="00BC27A4">
        <w:rPr>
          <w:rFonts w:ascii="Traditional Arabic" w:hAnsi="Traditional Arabic" w:cs="Traditional Arabic"/>
        </w:rPr>
        <w:t xml:space="preserve"> (H2b) </w:t>
      </w:r>
      <w:r w:rsidRPr="00BC27A4">
        <w:rPr>
          <w:rFonts w:ascii="Traditional Arabic" w:hAnsi="Traditional Arabic" w:cs="Traditional Arabic"/>
          <w:rtl/>
        </w:rPr>
        <w:t>وتؤيد اعتبار الدعم التنظيمي موردًا مثبطًا وهو ما يتقاطع مع</w:t>
      </w:r>
      <w:r w:rsidRPr="00BC27A4">
        <w:rPr>
          <w:rFonts w:ascii="Traditional Arabic" w:hAnsi="Traditional Arabic" w:cs="Traditional Arabic"/>
        </w:rPr>
        <w:t xml:space="preserve"> DTD3.</w:t>
      </w:r>
    </w:p>
    <w:p w14:paraId="011704EA" w14:textId="59336C4E"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(Singh et al., 2022)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Enforced remote working: The impact of digital platform-induced stress and remote working experience on technology exhaustion and subjective wellbeing</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 ضغط المنصات الرقمية في إنهاك التقنية والرفاه؛ (2) اختبار دور الخبرة السابقة بالعمل عن بعد في تعديل الأثر. بلغ حجم العينة 306. وأظهرت النتائج: (1) ارتباط ضغوط المنصات بارتفاع إنهاك التقنية؛ (2) تعديل الخبرة لبعض المسارات</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رغم اختلاف المخرجات عن الرضا الوظيفي مباشرة، فإن الدراسة تُظهر أن كثافة المنصات وتداخل حدود العمل/الحياة يمكن أن تكون سابقة لضغوط رقمية، وهو ما يدعم تفسير مسار</w:t>
      </w:r>
      <w:r w:rsidRPr="00BC27A4">
        <w:rPr>
          <w:rFonts w:ascii="Traditional Arabic" w:hAnsi="Traditional Arabic" w:cs="Traditional Arabic"/>
        </w:rPr>
        <w:t xml:space="preserve"> (H2) </w:t>
      </w:r>
      <w:r w:rsidRPr="00BC27A4">
        <w:rPr>
          <w:rFonts w:ascii="Traditional Arabic" w:hAnsi="Traditional Arabic" w:cs="Traditional Arabic"/>
          <w:rtl/>
        </w:rPr>
        <w:t>ويدعم أيضًا منطق الاعتدال الديموغرافي</w:t>
      </w:r>
      <w:r w:rsidRPr="00BC27A4">
        <w:rPr>
          <w:rFonts w:ascii="Traditional Arabic" w:hAnsi="Traditional Arabic" w:cs="Traditional Arabic"/>
        </w:rPr>
        <w:t xml:space="preserve"> (H4) </w:t>
      </w:r>
      <w:r w:rsidRPr="00BC27A4">
        <w:rPr>
          <w:rFonts w:ascii="Traditional Arabic" w:hAnsi="Traditional Arabic" w:cs="Traditional Arabic"/>
          <w:rtl/>
        </w:rPr>
        <w:t>بالاستئناس بدور الخبرة</w:t>
      </w:r>
      <w:r w:rsidRPr="00BC27A4">
        <w:rPr>
          <w:rFonts w:ascii="Traditional Arabic" w:hAnsi="Traditional Arabic" w:cs="Traditional Arabic"/>
        </w:rPr>
        <w:t>.</w:t>
      </w:r>
    </w:p>
    <w:p w14:paraId="6B242AFF" w14:textId="2ADD864C"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Aktan</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Toraman</w:t>
      </w:r>
      <w:proofErr w:type="spellEnd"/>
      <w:r w:rsidRPr="00BC27A4">
        <w:rPr>
          <w:rFonts w:ascii="Traditional Arabic" w:hAnsi="Traditional Arabic" w:cs="Traditional Arabic"/>
        </w:rPr>
        <w:t xml:space="preserve">, 2022)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The relationship between Technostress levels and job satisfaction of Teachers within the COVID-19 period</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قياس مستوى الإجهاد التقني في التعليم عن بعد؛ (2) فحص علاقته بالرضا الوظيفي وفروق بين فئات. بلغ حجم العينة 525. وأظهرت النتائج مؤشرات على تغاير الإجهاد والرضا بحسب بعض الخصائص</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مبدأ تغاير أثر التقنية بين الفئات، ما يسند اختبار</w:t>
      </w:r>
      <w:r w:rsidRPr="00BC27A4">
        <w:rPr>
          <w:rFonts w:ascii="Traditional Arabic" w:hAnsi="Traditional Arabic" w:cs="Traditional Arabic"/>
        </w:rPr>
        <w:t xml:space="preserve"> H4.</w:t>
      </w:r>
    </w:p>
    <w:p w14:paraId="659255FF" w14:textId="5BF8D776"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(Al-Ansari &amp; </w:t>
      </w:r>
      <w:proofErr w:type="spellStart"/>
      <w:r w:rsidRPr="00BC27A4">
        <w:rPr>
          <w:rFonts w:ascii="Traditional Arabic" w:hAnsi="Traditional Arabic" w:cs="Traditional Arabic"/>
        </w:rPr>
        <w:t>Alshare</w:t>
      </w:r>
      <w:proofErr w:type="spellEnd"/>
      <w:r w:rsidRPr="00BC27A4">
        <w:rPr>
          <w:rFonts w:ascii="Traditional Arabic" w:hAnsi="Traditional Arabic" w:cs="Traditional Arabic"/>
        </w:rPr>
        <w:t xml:space="preserve">, 2019)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The impact of technostress components on the employees satisfaction and perceived performance: The case of Qatar</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 xml:space="preserve">هدفت الدراسة إلى: (1) اختبار أثر صانعات ومثبطات الإجهاد التقني على الرضا؛ (2) قياس ارتباط الرضا بمخرجات أخرى. </w:t>
      </w:r>
      <w:r w:rsidRPr="00BC27A4">
        <w:rPr>
          <w:rFonts w:ascii="Traditional Arabic" w:hAnsi="Traditional Arabic" w:cs="Traditional Arabic"/>
          <w:rtl/>
        </w:rPr>
        <w:lastRenderedPageBreak/>
        <w:t>وعُرضت النتائج باتجاه سلبي للصانعات وإيجابي للمثبطات</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بنية</w:t>
      </w:r>
      <w:r w:rsidRPr="00BC27A4">
        <w:rPr>
          <w:rFonts w:ascii="Traditional Arabic" w:hAnsi="Traditional Arabic" w:cs="Traditional Arabic"/>
        </w:rPr>
        <w:t xml:space="preserve"> H2 </w:t>
      </w:r>
      <w:r w:rsidRPr="00BC27A4">
        <w:rPr>
          <w:rFonts w:ascii="Traditional Arabic" w:hAnsi="Traditional Arabic" w:cs="Traditional Arabic"/>
          <w:rtl/>
        </w:rPr>
        <w:t>وتدعم دور الموارد التنظيمية</w:t>
      </w:r>
      <w:r w:rsidRPr="00BC27A4">
        <w:rPr>
          <w:rFonts w:ascii="Traditional Arabic" w:hAnsi="Traditional Arabic" w:cs="Traditional Arabic"/>
        </w:rPr>
        <w:t xml:space="preserve"> </w:t>
      </w:r>
      <w:r w:rsidRPr="00BC27A4">
        <w:rPr>
          <w:rFonts w:ascii="Traditional Arabic" w:hAnsi="Traditional Arabic" w:cs="Traditional Arabic"/>
          <w:rtl/>
        </w:rPr>
        <w:t>يتقاطع مع</w:t>
      </w:r>
      <w:r w:rsidRPr="00BC27A4">
        <w:rPr>
          <w:rFonts w:ascii="Traditional Arabic" w:hAnsi="Traditional Arabic" w:cs="Traditional Arabic"/>
        </w:rPr>
        <w:t xml:space="preserve"> </w:t>
      </w:r>
      <w:r w:rsidR="00606ECD">
        <w:rPr>
          <w:rFonts w:ascii="Traditional Arabic" w:hAnsi="Traditional Arabic" w:cs="Traditional Arabic"/>
        </w:rPr>
        <w:t>(</w:t>
      </w:r>
      <w:r w:rsidRPr="00BC27A4">
        <w:rPr>
          <w:rFonts w:ascii="Traditional Arabic" w:hAnsi="Traditional Arabic" w:cs="Traditional Arabic"/>
        </w:rPr>
        <w:t xml:space="preserve">DTD3) </w:t>
      </w:r>
      <w:r w:rsidRPr="00BC27A4">
        <w:rPr>
          <w:rFonts w:ascii="Traditional Arabic" w:hAnsi="Traditional Arabic" w:cs="Traditional Arabic"/>
          <w:rtl/>
        </w:rPr>
        <w:t xml:space="preserve">مع التنبيه لنقص بعض البيانات المنهجية التفصيلية في النص </w:t>
      </w:r>
      <w:proofErr w:type="gramStart"/>
      <w:r w:rsidRPr="00BC27A4">
        <w:rPr>
          <w:rFonts w:ascii="Traditional Arabic" w:hAnsi="Traditional Arabic" w:cs="Traditional Arabic"/>
          <w:rtl/>
        </w:rPr>
        <w:t xml:space="preserve">المتاح </w:t>
      </w:r>
      <w:r w:rsidR="00606ECD">
        <w:rPr>
          <w:rFonts w:ascii="Traditional Arabic" w:hAnsi="Traditional Arabic" w:cs="Traditional Arabic" w:hint="cs"/>
          <w:rtl/>
        </w:rPr>
        <w:t>.</w:t>
      </w:r>
      <w:proofErr w:type="gramEnd"/>
    </w:p>
    <w:p w14:paraId="39FA0974" w14:textId="61A98397"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توليف نقدي لمحور</w:t>
      </w:r>
      <w:r w:rsidRPr="00BC27A4">
        <w:rPr>
          <w:rFonts w:ascii="Traditional Arabic" w:hAnsi="Traditional Arabic" w:cs="Traditional Arabic"/>
        </w:rPr>
        <w:t xml:space="preserve"> Technostress </w:t>
      </w:r>
      <w:r w:rsidRPr="00BC27A4">
        <w:rPr>
          <w:rFonts w:ascii="Traditional Arabic" w:hAnsi="Traditional Arabic" w:cs="Traditional Arabic"/>
          <w:rtl/>
        </w:rPr>
        <w:t>وربطه بـ</w:t>
      </w:r>
      <w:r w:rsidR="00606ECD">
        <w:rPr>
          <w:rFonts w:ascii="Traditional Arabic" w:hAnsi="Traditional Arabic" w:cs="Traditional Arabic"/>
        </w:rPr>
        <w:t xml:space="preserve"> </w:t>
      </w:r>
      <w:r w:rsidRPr="00BC27A4">
        <w:rPr>
          <w:rFonts w:ascii="Traditional Arabic" w:hAnsi="Traditional Arabic" w:cs="Traditional Arabic"/>
        </w:rPr>
        <w:t xml:space="preserve">H2 </w:t>
      </w:r>
      <w:r w:rsidRPr="00BC27A4">
        <w:rPr>
          <w:rFonts w:ascii="Traditional Arabic" w:hAnsi="Traditional Arabic" w:cs="Traditional Arabic"/>
          <w:rtl/>
        </w:rPr>
        <w:t>وس3</w:t>
      </w:r>
      <w:r w:rsidRPr="00BC27A4">
        <w:rPr>
          <w:rFonts w:ascii="Traditional Arabic" w:hAnsi="Traditional Arabic" w:cs="Traditional Arabic"/>
        </w:rPr>
        <w:br/>
      </w:r>
      <w:r w:rsidRPr="00BC27A4">
        <w:rPr>
          <w:rFonts w:ascii="Traditional Arabic" w:hAnsi="Traditional Arabic" w:cs="Traditional Arabic"/>
          <w:rtl/>
        </w:rPr>
        <w:t>تتسق الأدلة عبر سياقات متعددة في أن الإجهاد التقني يرتبط بمخرجات سلبية وأنه يمكن تخفيفه عبر موارد تنظيمية</w:t>
      </w:r>
      <w:r w:rsidRPr="00BC27A4">
        <w:rPr>
          <w:rFonts w:ascii="Traditional Arabic" w:hAnsi="Traditional Arabic" w:cs="Traditional Arabic"/>
        </w:rPr>
        <w:t xml:space="preserve"> (Tu et al., 2025</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Alshammary</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Hilmi</w:t>
      </w:r>
      <w:proofErr w:type="spellEnd"/>
      <w:r w:rsidRPr="00BC27A4">
        <w:rPr>
          <w:rFonts w:ascii="Traditional Arabic" w:hAnsi="Traditional Arabic" w:cs="Traditional Arabic"/>
        </w:rPr>
        <w:t>, 2024</w:t>
      </w:r>
      <w:r w:rsidRPr="00BC27A4">
        <w:rPr>
          <w:rFonts w:ascii="Traditional Arabic" w:hAnsi="Traditional Arabic" w:cs="Traditional Arabic"/>
          <w:rtl/>
        </w:rPr>
        <w:t>؛</w:t>
      </w:r>
      <w:r w:rsidRPr="00BC27A4">
        <w:rPr>
          <w:rFonts w:ascii="Traditional Arabic" w:hAnsi="Traditional Arabic" w:cs="Traditional Arabic"/>
        </w:rPr>
        <w:t xml:space="preserve"> </w:t>
      </w:r>
      <w:r w:rsidR="00606ECD">
        <w:rPr>
          <w:rFonts w:ascii="Traditional Arabic" w:hAnsi="Traditional Arabic" w:cs="Traditional Arabic"/>
        </w:rPr>
        <w:t>(</w:t>
      </w:r>
      <w:r w:rsidRPr="00BC27A4">
        <w:rPr>
          <w:rFonts w:ascii="Traditional Arabic" w:hAnsi="Traditional Arabic" w:cs="Traditional Arabic"/>
        </w:rPr>
        <w:t xml:space="preserve">Al-Ansari &amp; </w:t>
      </w:r>
      <w:proofErr w:type="spellStart"/>
      <w:r w:rsidRPr="00BC27A4">
        <w:rPr>
          <w:rFonts w:ascii="Traditional Arabic" w:hAnsi="Traditional Arabic" w:cs="Traditional Arabic"/>
        </w:rPr>
        <w:t>Alshare</w:t>
      </w:r>
      <w:proofErr w:type="spellEnd"/>
      <w:r w:rsidRPr="00BC27A4">
        <w:rPr>
          <w:rFonts w:ascii="Traditional Arabic" w:hAnsi="Traditional Arabic" w:cs="Traditional Arabic"/>
        </w:rPr>
        <w:t xml:space="preserve">, 2019 </w:t>
      </w:r>
      <w:r w:rsidRPr="00BC27A4">
        <w:rPr>
          <w:rFonts w:ascii="Traditional Arabic" w:hAnsi="Traditional Arabic" w:cs="Traditional Arabic"/>
          <w:rtl/>
        </w:rPr>
        <w:t>وتظهر حدود الأدلة في اختلاف المهن والسياقات وهيمنة التصاميم المقطعية وتباين أدوات القياس. لذا تُبرر الدراسة الحالية اختبار</w:t>
      </w:r>
      <w:r w:rsidRPr="00BC27A4">
        <w:rPr>
          <w:rFonts w:ascii="Traditional Arabic" w:hAnsi="Traditional Arabic" w:cs="Traditional Arabic"/>
        </w:rPr>
        <w:t xml:space="preserve"> Technostress </w:t>
      </w:r>
      <w:r w:rsidRPr="00BC27A4">
        <w:rPr>
          <w:rFonts w:ascii="Traditional Arabic" w:hAnsi="Traditional Arabic" w:cs="Traditional Arabic"/>
          <w:rtl/>
        </w:rPr>
        <w:t>وسيطًا بين</w:t>
      </w:r>
      <w:r w:rsidRPr="00BC27A4">
        <w:rPr>
          <w:rFonts w:ascii="Traditional Arabic" w:hAnsi="Traditional Arabic" w:cs="Traditional Arabic"/>
        </w:rPr>
        <w:t xml:space="preserve"> DTD </w:t>
      </w:r>
      <w:r w:rsidRPr="00BC27A4">
        <w:rPr>
          <w:rFonts w:ascii="Traditional Arabic" w:hAnsi="Traditional Arabic" w:cs="Traditional Arabic"/>
          <w:rtl/>
        </w:rPr>
        <w:t>والرضا الوظيفي داخل سياق الوزارة</w:t>
      </w:r>
      <w:r w:rsidRPr="00BC27A4">
        <w:rPr>
          <w:rFonts w:ascii="Traditional Arabic" w:hAnsi="Traditional Arabic" w:cs="Traditional Arabic"/>
        </w:rPr>
        <w:t xml:space="preserve"> H2</w:t>
      </w:r>
      <w:r w:rsidRPr="00BC27A4">
        <w:rPr>
          <w:rFonts w:ascii="Traditional Arabic" w:hAnsi="Traditional Arabic" w:cs="Traditional Arabic"/>
          <w:rtl/>
        </w:rPr>
        <w:t xml:space="preserve">؛ </w:t>
      </w:r>
      <w:r w:rsidR="00606ECD">
        <w:rPr>
          <w:rFonts w:ascii="Traditional Arabic" w:hAnsi="Traditional Arabic" w:cs="Traditional Arabic" w:hint="cs"/>
          <w:rtl/>
        </w:rPr>
        <w:t>(</w:t>
      </w:r>
      <w:r w:rsidRPr="00BC27A4">
        <w:rPr>
          <w:rFonts w:ascii="Traditional Arabic" w:hAnsi="Traditional Arabic" w:cs="Traditional Arabic"/>
          <w:rtl/>
        </w:rPr>
        <w:t>س3) مع اختبار التغاير الديموغرافي</w:t>
      </w:r>
      <w:r w:rsidRPr="00BC27A4">
        <w:rPr>
          <w:rFonts w:ascii="Traditional Arabic" w:hAnsi="Traditional Arabic" w:cs="Traditional Arabic"/>
        </w:rPr>
        <w:t xml:space="preserve"> H4</w:t>
      </w:r>
      <w:r w:rsidRPr="00BC27A4">
        <w:rPr>
          <w:rFonts w:ascii="Traditional Arabic" w:hAnsi="Traditional Arabic" w:cs="Traditional Arabic"/>
          <w:rtl/>
        </w:rPr>
        <w:t xml:space="preserve">؛ </w:t>
      </w:r>
      <w:r w:rsidR="00606ECD">
        <w:rPr>
          <w:rFonts w:ascii="Traditional Arabic" w:hAnsi="Traditional Arabic" w:cs="Traditional Arabic" w:hint="cs"/>
          <w:rtl/>
        </w:rPr>
        <w:t>(</w:t>
      </w:r>
      <w:r w:rsidRPr="00BC27A4">
        <w:rPr>
          <w:rFonts w:ascii="Traditional Arabic" w:hAnsi="Traditional Arabic" w:cs="Traditional Arabic"/>
          <w:rtl/>
        </w:rPr>
        <w:t>س4</w:t>
      </w:r>
      <w:r w:rsidR="00606ECD">
        <w:rPr>
          <w:rFonts w:ascii="Traditional Arabic" w:hAnsi="Traditional Arabic" w:cs="Traditional Arabic" w:hint="cs"/>
          <w:rtl/>
        </w:rPr>
        <w:t>)</w:t>
      </w:r>
      <w:r w:rsidRPr="00BC27A4">
        <w:rPr>
          <w:rFonts w:ascii="Traditional Arabic" w:hAnsi="Traditional Arabic" w:cs="Traditional Arabic"/>
        </w:rPr>
        <w:t>.</w:t>
      </w:r>
    </w:p>
    <w:p w14:paraId="48497D9C" w14:textId="09ED5F7A" w:rsidR="00BC27A4" w:rsidRPr="00BC27A4" w:rsidRDefault="00BC27A4" w:rsidP="00BC27A4">
      <w:pPr>
        <w:bidi/>
        <w:spacing w:after="160" w:line="360" w:lineRule="auto"/>
        <w:divId w:val="1647278641"/>
        <w:rPr>
          <w:rFonts w:ascii="Traditional Arabic" w:hAnsi="Traditional Arabic" w:cs="Traditional Arabic" w:hint="cs"/>
          <w:rtl/>
        </w:rPr>
      </w:pPr>
      <w:r>
        <w:rPr>
          <w:rFonts w:ascii="Traditional Arabic" w:hAnsi="Traditional Arabic" w:cs="Traditional Arabic"/>
          <w:b/>
          <w:bCs/>
        </w:rPr>
        <w:t xml:space="preserve"> </w:t>
      </w:r>
      <w:r w:rsidRPr="00BC27A4">
        <w:rPr>
          <w:rFonts w:ascii="Traditional Arabic" w:hAnsi="Traditional Arabic" w:cs="Traditional Arabic"/>
          <w:b/>
          <w:bCs/>
        </w:rPr>
        <w:t>2.2.4</w:t>
      </w:r>
      <w:r w:rsidRPr="00BC27A4">
        <w:rPr>
          <w:rFonts w:ascii="Traditional Arabic" w:hAnsi="Traditional Arabic" w:cs="Traditional Arabic"/>
        </w:rPr>
        <w:t xml:space="preserve"> </w:t>
      </w:r>
      <w:r w:rsidRPr="00BC27A4">
        <w:rPr>
          <w:rFonts w:ascii="Traditional Arabic" w:hAnsi="Traditional Arabic" w:cs="Traditional Arabic"/>
          <w:b/>
          <w:bCs/>
          <w:rtl/>
        </w:rPr>
        <w:t xml:space="preserve">دراسات الرضا الوظيفي في سياق </w:t>
      </w:r>
      <w:proofErr w:type="spellStart"/>
      <w:r w:rsidRPr="00BC27A4">
        <w:rPr>
          <w:rFonts w:ascii="Traditional Arabic" w:hAnsi="Traditional Arabic" w:cs="Traditional Arabic"/>
          <w:b/>
          <w:bCs/>
          <w:rtl/>
        </w:rPr>
        <w:t>الرقمنة</w:t>
      </w:r>
      <w:proofErr w:type="spellEnd"/>
      <w:r w:rsidRPr="00BC27A4">
        <w:rPr>
          <w:rFonts w:ascii="Traditional Arabic" w:hAnsi="Traditional Arabic" w:cs="Traditional Arabic"/>
        </w:rPr>
        <w:br/>
      </w: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Lechevalier</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Mofakhami</w:t>
      </w:r>
      <w:proofErr w:type="spellEnd"/>
      <w:r w:rsidRPr="00BC27A4">
        <w:rPr>
          <w:rFonts w:ascii="Traditional Arabic" w:hAnsi="Traditional Arabic" w:cs="Traditional Arabic"/>
        </w:rPr>
        <w:t xml:space="preserve">, 2025)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Assessing job satisfaction in the era of digital transformation: a comparative study of the first wave of tasks digitalization in Japan and France</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 xml:space="preserve">هدفت الدراسة إلى: (1) تحليل أثر </w:t>
      </w:r>
      <w:proofErr w:type="spellStart"/>
      <w:r w:rsidRPr="00BC27A4">
        <w:rPr>
          <w:rFonts w:ascii="Traditional Arabic" w:hAnsi="Traditional Arabic" w:cs="Traditional Arabic"/>
          <w:rtl/>
        </w:rPr>
        <w:t>رقمنة</w:t>
      </w:r>
      <w:proofErr w:type="spellEnd"/>
      <w:r w:rsidRPr="00BC27A4">
        <w:rPr>
          <w:rFonts w:ascii="Traditional Arabic" w:hAnsi="Traditional Arabic" w:cs="Traditional Arabic"/>
          <w:rtl/>
        </w:rPr>
        <w:t xml:space="preserve"> المهام على الرضا الوظيفي؛ (2) اختبار الوساطة عبر خصائص تنظيم العمل؛ (3) المقارنة بين دول. وأظهرت النتائج: (1) غياب أثر مباشر للاستخدام الرقمي على الرضا؛ (2) وجود أثر غير مباشر عبر خصائص تنظيم العمل</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 xml:space="preserve">تحليل/ربط: تُظهر النتائج تعارضًا مع افتراض </w:t>
      </w:r>
      <w:r w:rsidR="002F488C">
        <w:rPr>
          <w:rFonts w:ascii="Traditional Arabic" w:hAnsi="Traditional Arabic" w:cs="Traditional Arabic"/>
          <w:rtl/>
        </w:rPr>
        <w:t>"</w:t>
      </w:r>
      <w:r w:rsidRPr="00BC27A4">
        <w:rPr>
          <w:rFonts w:ascii="Traditional Arabic" w:hAnsi="Traditional Arabic" w:cs="Traditional Arabic"/>
          <w:rtl/>
        </w:rPr>
        <w:t>أثر مباشر دائم</w:t>
      </w:r>
      <w:r w:rsidR="002F488C">
        <w:rPr>
          <w:rFonts w:ascii="Traditional Arabic" w:hAnsi="Traditional Arabic" w:cs="Traditional Arabic"/>
          <w:rtl/>
        </w:rPr>
        <w:t>"</w:t>
      </w:r>
      <w:r w:rsidRPr="00BC27A4">
        <w:rPr>
          <w:rFonts w:ascii="Traditional Arabic" w:hAnsi="Traditional Arabic" w:cs="Traditional Arabic"/>
          <w:rtl/>
        </w:rPr>
        <w:t xml:space="preserve"> </w:t>
      </w:r>
      <w:proofErr w:type="spellStart"/>
      <w:r w:rsidRPr="00BC27A4">
        <w:rPr>
          <w:rFonts w:ascii="Traditional Arabic" w:hAnsi="Traditional Arabic" w:cs="Traditional Arabic"/>
          <w:rtl/>
        </w:rPr>
        <w:t>للرقمنة</w:t>
      </w:r>
      <w:proofErr w:type="spellEnd"/>
      <w:r w:rsidRPr="00BC27A4">
        <w:rPr>
          <w:rFonts w:ascii="Traditional Arabic" w:hAnsi="Traditional Arabic" w:cs="Traditional Arabic"/>
          <w:rtl/>
        </w:rPr>
        <w:t xml:space="preserve"> على الرضا، وتؤكد أهمية اختبار الوساطة؛ ما يسند في الدراسة الحالية اختبار</w:t>
      </w:r>
      <w:r w:rsidRPr="00BC27A4">
        <w:rPr>
          <w:rFonts w:ascii="Traditional Arabic" w:hAnsi="Traditional Arabic" w:cs="Traditional Arabic"/>
        </w:rPr>
        <w:t xml:space="preserve"> H2 </w:t>
      </w:r>
      <w:r w:rsidRPr="00BC27A4">
        <w:rPr>
          <w:rFonts w:ascii="Traditional Arabic" w:hAnsi="Traditional Arabic" w:cs="Traditional Arabic"/>
          <w:rtl/>
        </w:rPr>
        <w:t>و</w:t>
      </w:r>
      <w:r w:rsidRPr="00BC27A4">
        <w:rPr>
          <w:rFonts w:ascii="Traditional Arabic" w:hAnsi="Traditional Arabic" w:cs="Traditional Arabic"/>
        </w:rPr>
        <w:t xml:space="preserve">H3 </w:t>
      </w:r>
      <w:r w:rsidRPr="00BC27A4">
        <w:rPr>
          <w:rFonts w:ascii="Traditional Arabic" w:hAnsi="Traditional Arabic" w:cs="Traditional Arabic"/>
          <w:rtl/>
        </w:rPr>
        <w:t>إلى جانب</w:t>
      </w:r>
      <w:r w:rsidRPr="00BC27A4">
        <w:rPr>
          <w:rFonts w:ascii="Traditional Arabic" w:hAnsi="Traditional Arabic" w:cs="Traditional Arabic"/>
        </w:rPr>
        <w:t xml:space="preserve"> H1 </w:t>
      </w:r>
      <w:r w:rsidR="00606ECD">
        <w:rPr>
          <w:rFonts w:ascii="Traditional Arabic" w:hAnsi="Traditional Arabic" w:cs="Traditional Arabic" w:hint="cs"/>
          <w:rtl/>
        </w:rPr>
        <w:t>(</w:t>
      </w:r>
      <w:r w:rsidRPr="00BC27A4">
        <w:rPr>
          <w:rFonts w:ascii="Traditional Arabic" w:hAnsi="Traditional Arabic" w:cs="Traditional Arabic"/>
          <w:rtl/>
        </w:rPr>
        <w:t>س2–س3</w:t>
      </w:r>
      <w:r w:rsidR="00606ECD">
        <w:rPr>
          <w:rFonts w:ascii="Traditional Arabic" w:hAnsi="Traditional Arabic" w:cs="Traditional Arabic"/>
        </w:rPr>
        <w:t>(</w:t>
      </w:r>
      <w:r w:rsidR="00606ECD">
        <w:rPr>
          <w:rFonts w:ascii="Traditional Arabic" w:hAnsi="Traditional Arabic" w:cs="Traditional Arabic" w:hint="cs"/>
          <w:rtl/>
        </w:rPr>
        <w:t>.</w:t>
      </w:r>
    </w:p>
    <w:p w14:paraId="466494AD" w14:textId="207BB239"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(Kim &amp; Sohn, 2024)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The Impact of Quiet Quitting on Turnover Intentions in the Era of Digital Transformation…</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 الانسحاب الصامت على نية ترك العمل؛ (2) اختبار وساطة الرضا الوظيفي والالتزام؛ (3) اختبار اعتدال الأمان النفسي. وأظهرت النتائج ارتباطًا سلبيا بالرضا ودورًا للأمان النفسي في التخفيف</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تُظهر الدراسة حساسية الرضا الوظيفي في بيئات التحول، وتدعم منطقيًا فحص موارد تنظيمية/إنسانية كعوامل تفسيرية، وإن كان المتغير المستقل مختلفًا عن</w:t>
      </w:r>
      <w:r w:rsidRPr="00BC27A4">
        <w:rPr>
          <w:rFonts w:ascii="Traditional Arabic" w:hAnsi="Traditional Arabic" w:cs="Traditional Arabic"/>
        </w:rPr>
        <w:t xml:space="preserve"> DTD.</w:t>
      </w:r>
    </w:p>
    <w:p w14:paraId="1BA883DF" w14:textId="40A877C3"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Bolli</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Pusterla</w:t>
      </w:r>
      <w:proofErr w:type="spellEnd"/>
      <w:r w:rsidRPr="00BC27A4">
        <w:rPr>
          <w:rFonts w:ascii="Traditional Arabic" w:hAnsi="Traditional Arabic" w:cs="Traditional Arabic"/>
        </w:rPr>
        <w:t xml:space="preserve">, 2022)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Decomposing the effects of digitalization on workers’ job satisfaction</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lastRenderedPageBreak/>
        <w:t xml:space="preserve">هدفت الدراسة إلى تفكيك أثر </w:t>
      </w:r>
      <w:proofErr w:type="spellStart"/>
      <w:r w:rsidRPr="00BC27A4">
        <w:rPr>
          <w:rFonts w:ascii="Traditional Arabic" w:hAnsi="Traditional Arabic" w:cs="Traditional Arabic"/>
          <w:rtl/>
        </w:rPr>
        <w:t>الرقمنة</w:t>
      </w:r>
      <w:proofErr w:type="spellEnd"/>
      <w:r w:rsidRPr="00BC27A4">
        <w:rPr>
          <w:rFonts w:ascii="Traditional Arabic" w:hAnsi="Traditional Arabic" w:cs="Traditional Arabic"/>
          <w:rtl/>
        </w:rPr>
        <w:t xml:space="preserve"> على الرضا عبر قنوات متعددة، وأظهرت قنوات إيجابية (الإنتاجية/إثراء العمل) وقنوات سلبية (ضغط الوقت/توازن العمل والحياة) مع </w:t>
      </w:r>
      <w:proofErr w:type="spellStart"/>
      <w:r w:rsidRPr="00BC27A4">
        <w:rPr>
          <w:rFonts w:ascii="Traditional Arabic" w:hAnsi="Traditional Arabic" w:cs="Traditional Arabic"/>
          <w:rtl/>
        </w:rPr>
        <w:t>تغايرات</w:t>
      </w:r>
      <w:proofErr w:type="spellEnd"/>
      <w:r w:rsidRPr="00BC27A4">
        <w:rPr>
          <w:rFonts w:ascii="Traditional Arabic" w:hAnsi="Traditional Arabic" w:cs="Traditional Arabic"/>
          <w:rtl/>
        </w:rPr>
        <w:t xml:space="preserve"> بحسب الخصائص</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 xml:space="preserve">تحليل/ربط: تُسند الدراسة منطق </w:t>
      </w:r>
      <w:r w:rsidR="002F488C">
        <w:rPr>
          <w:rFonts w:ascii="Traditional Arabic" w:hAnsi="Traditional Arabic" w:cs="Traditional Arabic"/>
          <w:rtl/>
        </w:rPr>
        <w:t>"</w:t>
      </w:r>
      <w:r w:rsidRPr="00BC27A4">
        <w:rPr>
          <w:rFonts w:ascii="Traditional Arabic" w:hAnsi="Traditional Arabic" w:cs="Traditional Arabic"/>
          <w:rtl/>
        </w:rPr>
        <w:t>الأثر المزدوج</w:t>
      </w:r>
      <w:r w:rsidR="002F488C">
        <w:rPr>
          <w:rFonts w:ascii="Traditional Arabic" w:hAnsi="Traditional Arabic" w:cs="Traditional Arabic"/>
          <w:rtl/>
        </w:rPr>
        <w:t>"</w:t>
      </w:r>
      <w:r w:rsidRPr="00BC27A4">
        <w:rPr>
          <w:rFonts w:ascii="Traditional Arabic" w:hAnsi="Traditional Arabic" w:cs="Traditional Arabic"/>
          <w:rtl/>
        </w:rPr>
        <w:t xml:space="preserve"> الذي يبرر إدراج وسيطين متوازيين (قبول/إجهاد) واختبار التغاير الديموغرافي</w:t>
      </w:r>
      <w:r w:rsidRPr="00BC27A4">
        <w:rPr>
          <w:rFonts w:ascii="Traditional Arabic" w:hAnsi="Traditional Arabic" w:cs="Traditional Arabic"/>
        </w:rPr>
        <w:t xml:space="preserve"> (H4).</w:t>
      </w:r>
    </w:p>
    <w:p w14:paraId="2AD7BF61" w14:textId="7273E438" w:rsidR="00BC27A4" w:rsidRPr="00BC27A4" w:rsidRDefault="00BC27A4" w:rsidP="00BC27A4">
      <w:pPr>
        <w:bidi/>
        <w:spacing w:after="160" w:line="360" w:lineRule="auto"/>
        <w:divId w:val="1647278641"/>
        <w:rPr>
          <w:rFonts w:ascii="Traditional Arabic" w:hAnsi="Traditional Arabic" w:cs="Traditional Arabic" w:hint="cs"/>
          <w:rtl/>
        </w:rPr>
      </w:pPr>
      <w:r w:rsidRPr="00BC27A4">
        <w:rPr>
          <w:rFonts w:ascii="Traditional Arabic" w:hAnsi="Traditional Arabic" w:cs="Traditional Arabic"/>
          <w:rtl/>
        </w:rPr>
        <w:t>توليف نقدي لمحور الرضا الوظيفي وربطه بـ</w:t>
      </w:r>
      <w:r w:rsidRPr="00BC27A4">
        <w:rPr>
          <w:rFonts w:ascii="Traditional Arabic" w:hAnsi="Traditional Arabic" w:cs="Traditional Arabic"/>
        </w:rPr>
        <w:t>H1–H4</w:t>
      </w:r>
      <w:r w:rsidRPr="00BC27A4">
        <w:rPr>
          <w:rFonts w:ascii="Traditional Arabic" w:hAnsi="Traditional Arabic" w:cs="Traditional Arabic"/>
        </w:rPr>
        <w:br/>
      </w:r>
      <w:r w:rsidRPr="00BC27A4">
        <w:rPr>
          <w:rFonts w:ascii="Traditional Arabic" w:hAnsi="Traditional Arabic" w:cs="Traditional Arabic"/>
          <w:rtl/>
        </w:rPr>
        <w:t xml:space="preserve">تتسق الأدلة في أن </w:t>
      </w:r>
      <w:proofErr w:type="spellStart"/>
      <w:r w:rsidRPr="00BC27A4">
        <w:rPr>
          <w:rFonts w:ascii="Traditional Arabic" w:hAnsi="Traditional Arabic" w:cs="Traditional Arabic"/>
          <w:rtl/>
        </w:rPr>
        <w:t>الرقمنة</w:t>
      </w:r>
      <w:proofErr w:type="spellEnd"/>
      <w:r w:rsidRPr="00BC27A4">
        <w:rPr>
          <w:rFonts w:ascii="Traditional Arabic" w:hAnsi="Traditional Arabic" w:cs="Traditional Arabic"/>
          <w:rtl/>
        </w:rPr>
        <w:t xml:space="preserve"> تحمل قنوات أثر متعددة، وأن الأثر المباشر قد يتغير باختلاف السياق وتنظيم العمل ومستوى الدعم</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Lechevalier</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Mofakhami</w:t>
      </w:r>
      <w:proofErr w:type="spellEnd"/>
      <w:r w:rsidRPr="00BC27A4">
        <w:rPr>
          <w:rFonts w:ascii="Traditional Arabic" w:hAnsi="Traditional Arabic" w:cs="Traditional Arabic"/>
        </w:rPr>
        <w:t>, 2025</w:t>
      </w:r>
      <w:r w:rsidR="00606ECD">
        <w:rPr>
          <w:rFonts w:ascii="Traditional Arabic" w:hAnsi="Traditional Arabic" w:cs="Traditional Arabic"/>
        </w:rPr>
        <w:t>)</w:t>
      </w:r>
      <w:proofErr w:type="gramStart"/>
      <w:r w:rsidRPr="00BC27A4">
        <w:rPr>
          <w:rFonts w:ascii="Traditional Arabic" w:hAnsi="Traditional Arabic" w:cs="Traditional Arabic"/>
          <w:rtl/>
        </w:rPr>
        <w:t>؛</w:t>
      </w:r>
      <w:r w:rsidRPr="00BC27A4">
        <w:rPr>
          <w:rFonts w:ascii="Traditional Arabic" w:hAnsi="Traditional Arabic" w:cs="Traditional Arabic"/>
        </w:rPr>
        <w:t xml:space="preserve"> </w:t>
      </w:r>
      <w:r w:rsidR="00606ECD">
        <w:rPr>
          <w:rFonts w:ascii="Traditional Arabic" w:hAnsi="Traditional Arabic" w:cs="Traditional Arabic"/>
        </w:rPr>
        <w:t>.</w:t>
      </w:r>
      <w:proofErr w:type="gramEnd"/>
      <w:r w:rsidR="00606ECD">
        <w:rPr>
          <w:rFonts w:ascii="Traditional Arabic" w:hAnsi="Traditional Arabic" w:cs="Traditional Arabic"/>
        </w:rPr>
        <w:t>(</w:t>
      </w:r>
      <w:proofErr w:type="spellStart"/>
      <w:r w:rsidRPr="00BC27A4">
        <w:rPr>
          <w:rFonts w:ascii="Traditional Arabic" w:hAnsi="Traditional Arabic" w:cs="Traditional Arabic"/>
        </w:rPr>
        <w:t>Bolli</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Pusterla</w:t>
      </w:r>
      <w:proofErr w:type="spellEnd"/>
      <w:r w:rsidRPr="00BC27A4">
        <w:rPr>
          <w:rFonts w:ascii="Traditional Arabic" w:hAnsi="Traditional Arabic" w:cs="Traditional Arabic"/>
        </w:rPr>
        <w:t xml:space="preserve">, 2022 </w:t>
      </w:r>
      <w:r w:rsidRPr="00BC27A4">
        <w:rPr>
          <w:rFonts w:ascii="Traditional Arabic" w:hAnsi="Traditional Arabic" w:cs="Traditional Arabic"/>
          <w:rtl/>
        </w:rPr>
        <w:t>كما تتكرر الإشارة لتغاير خبرة الموظفين. وبناء عليه تتجه الدراسة الحالية لاختبار الأثر المباشر</w:t>
      </w:r>
      <w:r w:rsidRPr="00BC27A4">
        <w:rPr>
          <w:rFonts w:ascii="Traditional Arabic" w:hAnsi="Traditional Arabic" w:cs="Traditional Arabic"/>
        </w:rPr>
        <w:t xml:space="preserve"> (H1) </w:t>
      </w:r>
      <w:r w:rsidRPr="00BC27A4">
        <w:rPr>
          <w:rFonts w:ascii="Traditional Arabic" w:hAnsi="Traditional Arabic" w:cs="Traditional Arabic"/>
          <w:rtl/>
        </w:rPr>
        <w:t>مع تفسيره عبر آليات</w:t>
      </w:r>
      <w:r w:rsidRPr="00BC27A4">
        <w:rPr>
          <w:rFonts w:ascii="Traditional Arabic" w:hAnsi="Traditional Arabic" w:cs="Traditional Arabic"/>
        </w:rPr>
        <w:t xml:space="preserve"> (H2–H3) </w:t>
      </w:r>
      <w:r w:rsidRPr="00BC27A4">
        <w:rPr>
          <w:rFonts w:ascii="Traditional Arabic" w:hAnsi="Traditional Arabic" w:cs="Traditional Arabic"/>
          <w:rtl/>
        </w:rPr>
        <w:t>واختبار الاعتدال</w:t>
      </w:r>
      <w:r w:rsidRPr="00BC27A4">
        <w:rPr>
          <w:rFonts w:ascii="Traditional Arabic" w:hAnsi="Traditional Arabic" w:cs="Traditional Arabic"/>
        </w:rPr>
        <w:t xml:space="preserve"> (H4) </w:t>
      </w:r>
      <w:r w:rsidRPr="00BC27A4">
        <w:rPr>
          <w:rFonts w:ascii="Traditional Arabic" w:hAnsi="Traditional Arabic" w:cs="Traditional Arabic"/>
          <w:rtl/>
        </w:rPr>
        <w:t>بما يخدم (س2–س4</w:t>
      </w:r>
      <w:r w:rsidR="00606ECD">
        <w:rPr>
          <w:rFonts w:ascii="Traditional Arabic" w:hAnsi="Traditional Arabic" w:cs="Traditional Arabic"/>
        </w:rPr>
        <w:t>(</w:t>
      </w:r>
      <w:r w:rsidR="00606ECD">
        <w:rPr>
          <w:rFonts w:ascii="Traditional Arabic" w:hAnsi="Traditional Arabic" w:cs="Traditional Arabic" w:hint="cs"/>
          <w:rtl/>
        </w:rPr>
        <w:t>.</w:t>
      </w:r>
    </w:p>
    <w:p w14:paraId="31D5BD03" w14:textId="0BD8EF57" w:rsidR="00BC27A4" w:rsidRPr="00BC27A4" w:rsidRDefault="00BC27A4" w:rsidP="00BC27A4">
      <w:pPr>
        <w:bidi/>
        <w:spacing w:after="160" w:line="360" w:lineRule="auto"/>
        <w:divId w:val="1647278641"/>
        <w:rPr>
          <w:rFonts w:ascii="Traditional Arabic" w:hAnsi="Traditional Arabic" w:cs="Traditional Arabic"/>
        </w:rPr>
      </w:pPr>
      <w:proofErr w:type="gramStart"/>
      <w:r w:rsidRPr="00BC27A4">
        <w:rPr>
          <w:rFonts w:ascii="Traditional Arabic" w:hAnsi="Traditional Arabic" w:cs="Traditional Arabic"/>
          <w:b/>
          <w:bCs/>
        </w:rPr>
        <w:t xml:space="preserve">2.2.5 </w:t>
      </w:r>
      <w:r>
        <w:rPr>
          <w:rFonts w:ascii="Traditional Arabic" w:hAnsi="Traditional Arabic" w:cs="Traditional Arabic" w:hint="cs"/>
          <w:b/>
          <w:bCs/>
          <w:rtl/>
        </w:rPr>
        <w:t xml:space="preserve"> </w:t>
      </w:r>
      <w:r w:rsidRPr="00BC27A4">
        <w:rPr>
          <w:rFonts w:ascii="Traditional Arabic" w:hAnsi="Traditional Arabic" w:cs="Traditional Arabic"/>
          <w:b/>
          <w:bCs/>
          <w:rtl/>
        </w:rPr>
        <w:t>دراسات</w:t>
      </w:r>
      <w:proofErr w:type="gramEnd"/>
      <w:r w:rsidRPr="00BC27A4">
        <w:rPr>
          <w:rFonts w:ascii="Traditional Arabic" w:hAnsi="Traditional Arabic" w:cs="Traditional Arabic"/>
          <w:b/>
          <w:bCs/>
          <w:rtl/>
        </w:rPr>
        <w:t xml:space="preserve"> الربط بين المتغيرات ومسارات النموذج</w:t>
      </w:r>
      <w:r w:rsidRPr="00BC27A4">
        <w:rPr>
          <w:rFonts w:ascii="Traditional Arabic" w:hAnsi="Traditional Arabic" w:cs="Traditional Arabic"/>
        </w:rPr>
        <w:br/>
      </w:r>
      <w:r w:rsidRPr="00BC27A4">
        <w:rPr>
          <w:rFonts w:ascii="Traditional Arabic" w:hAnsi="Traditional Arabic" w:cs="Traditional Arabic"/>
          <w:rtl/>
        </w:rPr>
        <w:t>تشير محاور الأدبيات السابقة إلى أن تفسير أثر التحول الرقمي على الرضا الوظيفي يتطلب نمذجة مسارات غير مباشرة بدل الاكتفاء بالاختبار المباشر؛ إذ تُظهر أدبيات</w:t>
      </w:r>
      <w:r w:rsidRPr="00BC27A4">
        <w:rPr>
          <w:rFonts w:ascii="Traditional Arabic" w:hAnsi="Traditional Arabic" w:cs="Traditional Arabic"/>
        </w:rPr>
        <w:t xml:space="preserve"> TAM </w:t>
      </w:r>
      <w:r w:rsidRPr="00BC27A4">
        <w:rPr>
          <w:rFonts w:ascii="Traditional Arabic" w:hAnsi="Traditional Arabic" w:cs="Traditional Arabic"/>
          <w:rtl/>
        </w:rPr>
        <w:t>أن إدراكات الفائدة/السهولة تتأثر بالدعم والجودة وقد ترتبط بنتائج الرضا</w:t>
      </w:r>
      <w:r w:rsidRPr="00BC27A4">
        <w:rPr>
          <w:rFonts w:ascii="Traditional Arabic" w:hAnsi="Traditional Arabic" w:cs="Traditional Arabic"/>
        </w:rPr>
        <w:t xml:space="preserve"> Davis, 1989</w:t>
      </w:r>
      <w:r w:rsidR="00606ECD">
        <w:rPr>
          <w:rFonts w:ascii="Traditional Arabic" w:hAnsi="Traditional Arabic" w:cs="Traditional Arabic"/>
        </w:rPr>
        <w:t>)</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Badawy</w:t>
      </w:r>
      <w:proofErr w:type="spellEnd"/>
      <w:r w:rsidRPr="00BC27A4">
        <w:rPr>
          <w:rFonts w:ascii="Traditional Arabic" w:hAnsi="Traditional Arabic" w:cs="Traditional Arabic"/>
        </w:rPr>
        <w:t>, 2025</w:t>
      </w:r>
      <w:r w:rsidR="00606ECD">
        <w:rPr>
          <w:rFonts w:ascii="Traditional Arabic" w:hAnsi="Traditional Arabic" w:cs="Traditional Arabic" w:hint="cs"/>
          <w:rtl/>
        </w:rPr>
        <w:t>)</w:t>
      </w:r>
      <w:r w:rsidRPr="00BC27A4">
        <w:rPr>
          <w:rFonts w:ascii="Traditional Arabic" w:hAnsi="Traditional Arabic" w:cs="Traditional Arabic"/>
          <w:rtl/>
        </w:rPr>
        <w:t>، بينما تُظهر أدبيات</w:t>
      </w:r>
      <w:r w:rsidRPr="00BC27A4">
        <w:rPr>
          <w:rFonts w:ascii="Traditional Arabic" w:hAnsi="Traditional Arabic" w:cs="Traditional Arabic"/>
        </w:rPr>
        <w:t xml:space="preserve"> Technostress </w:t>
      </w:r>
      <w:r w:rsidRPr="00BC27A4">
        <w:rPr>
          <w:rFonts w:ascii="Traditional Arabic" w:hAnsi="Traditional Arabic" w:cs="Traditional Arabic"/>
          <w:rtl/>
        </w:rPr>
        <w:t>أن صانعات الإجهاد ترتبط بانخفاض الرضا وأن الموارد التنظيمية تخفف الأثر</w:t>
      </w:r>
      <w:r w:rsidRPr="00BC27A4">
        <w:rPr>
          <w:rFonts w:ascii="Traditional Arabic" w:hAnsi="Traditional Arabic" w:cs="Traditional Arabic"/>
        </w:rPr>
        <w:t xml:space="preserve"> Ragu-Nathan et al., 2008</w:t>
      </w:r>
      <w:r w:rsidR="00606ECD">
        <w:rPr>
          <w:rFonts w:ascii="Traditional Arabic" w:hAnsi="Traditional Arabic" w:cs="Traditional Arabic"/>
        </w:rPr>
        <w:t xml:space="preserve">) </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Tarafdar</w:t>
      </w:r>
      <w:proofErr w:type="spellEnd"/>
      <w:r w:rsidRPr="00BC27A4">
        <w:rPr>
          <w:rFonts w:ascii="Traditional Arabic" w:hAnsi="Traditional Arabic" w:cs="Traditional Arabic"/>
        </w:rPr>
        <w:t xml:space="preserve"> et al., 2011</w:t>
      </w:r>
      <w:r w:rsidRPr="00BC27A4">
        <w:rPr>
          <w:rFonts w:ascii="Traditional Arabic" w:hAnsi="Traditional Arabic" w:cs="Traditional Arabic"/>
          <w:rtl/>
        </w:rPr>
        <w:t>؛</w:t>
      </w:r>
      <w:r w:rsidRPr="00BC27A4">
        <w:rPr>
          <w:rFonts w:ascii="Traditional Arabic" w:hAnsi="Traditional Arabic" w:cs="Traditional Arabic"/>
        </w:rPr>
        <w:t xml:space="preserve"> </w:t>
      </w:r>
      <w:r w:rsidR="00606ECD">
        <w:rPr>
          <w:rFonts w:ascii="Traditional Arabic" w:hAnsi="Traditional Arabic" w:cs="Traditional Arabic"/>
        </w:rPr>
        <w:t>.(</w:t>
      </w:r>
      <w:proofErr w:type="spellStart"/>
      <w:r w:rsidRPr="00BC27A4">
        <w:rPr>
          <w:rFonts w:ascii="Traditional Arabic" w:hAnsi="Traditional Arabic" w:cs="Traditional Arabic"/>
        </w:rPr>
        <w:t>Alshammary</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Hilmi</w:t>
      </w:r>
      <w:proofErr w:type="spellEnd"/>
      <w:r w:rsidRPr="00BC27A4">
        <w:rPr>
          <w:rFonts w:ascii="Traditional Arabic" w:hAnsi="Traditional Arabic" w:cs="Traditional Arabic"/>
        </w:rPr>
        <w:t xml:space="preserve">, 2024 </w:t>
      </w:r>
      <w:r w:rsidR="00606ECD">
        <w:rPr>
          <w:rFonts w:ascii="Traditional Arabic" w:hAnsi="Traditional Arabic" w:cs="Traditional Arabic" w:hint="cs"/>
          <w:rtl/>
        </w:rPr>
        <w:t xml:space="preserve"> </w:t>
      </w:r>
      <w:r w:rsidRPr="00BC27A4">
        <w:rPr>
          <w:rFonts w:ascii="Traditional Arabic" w:hAnsi="Traditional Arabic" w:cs="Traditional Arabic"/>
          <w:rtl/>
        </w:rPr>
        <w:t xml:space="preserve">وفي المقابل، تُظهر أدبيات الرضا في سياق </w:t>
      </w:r>
      <w:proofErr w:type="spellStart"/>
      <w:r w:rsidRPr="00BC27A4">
        <w:rPr>
          <w:rFonts w:ascii="Traditional Arabic" w:hAnsi="Traditional Arabic" w:cs="Traditional Arabic"/>
          <w:rtl/>
        </w:rPr>
        <w:t>الرقمنة</w:t>
      </w:r>
      <w:proofErr w:type="spellEnd"/>
      <w:r w:rsidRPr="00BC27A4">
        <w:rPr>
          <w:rFonts w:ascii="Traditional Arabic" w:hAnsi="Traditional Arabic" w:cs="Traditional Arabic"/>
          <w:rtl/>
        </w:rPr>
        <w:t xml:space="preserve"> أن الأثر قد يكون غير مباشر أو متغايرًا بحسب تنظيم العمل وخصائص العاملين</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Lechevalier</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Mofakhami</w:t>
      </w:r>
      <w:proofErr w:type="spellEnd"/>
      <w:r w:rsidRPr="00BC27A4">
        <w:rPr>
          <w:rFonts w:ascii="Traditional Arabic" w:hAnsi="Traditional Arabic" w:cs="Traditional Arabic"/>
        </w:rPr>
        <w:t>, 2025</w:t>
      </w:r>
      <w:r w:rsidR="00606ECD">
        <w:rPr>
          <w:rFonts w:ascii="Traditional Arabic" w:hAnsi="Traditional Arabic" w:cs="Traditional Arabic"/>
        </w:rPr>
        <w:t xml:space="preserve">) </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Bolli</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Pusterla</w:t>
      </w:r>
      <w:proofErr w:type="spellEnd"/>
      <w:r w:rsidRPr="00BC27A4">
        <w:rPr>
          <w:rFonts w:ascii="Traditional Arabic" w:hAnsi="Traditional Arabic" w:cs="Traditional Arabic"/>
        </w:rPr>
        <w:t>, 2022</w:t>
      </w:r>
      <w:r w:rsidR="00606ECD">
        <w:rPr>
          <w:rFonts w:ascii="Traditional Arabic" w:hAnsi="Traditional Arabic" w:cs="Traditional Arabic" w:hint="cs"/>
          <w:rtl/>
        </w:rPr>
        <w:t>).</w:t>
      </w:r>
      <w:r w:rsidRPr="00BC27A4">
        <w:rPr>
          <w:rFonts w:ascii="Traditional Arabic" w:hAnsi="Traditional Arabic" w:cs="Traditional Arabic"/>
        </w:rPr>
        <w:br/>
      </w:r>
      <w:r w:rsidRPr="00BC27A4">
        <w:rPr>
          <w:rFonts w:ascii="Traditional Arabic" w:hAnsi="Traditional Arabic" w:cs="Traditional Arabic"/>
          <w:rtl/>
        </w:rPr>
        <w:t>وبناءً على ذلك، يُعد اختبار النموذج المتكامل في الوزارة – بأبعاد</w:t>
      </w:r>
      <w:r w:rsidRPr="00BC27A4">
        <w:rPr>
          <w:rFonts w:ascii="Traditional Arabic" w:hAnsi="Traditional Arabic" w:cs="Traditional Arabic"/>
        </w:rPr>
        <w:t xml:space="preserve"> DTD </w:t>
      </w:r>
      <w:r w:rsidRPr="00BC27A4">
        <w:rPr>
          <w:rFonts w:ascii="Traditional Arabic" w:hAnsi="Traditional Arabic" w:cs="Traditional Arabic"/>
          <w:rtl/>
        </w:rPr>
        <w:t>الأربعة، ووساطة</w:t>
      </w:r>
      <w:r w:rsidRPr="00BC27A4">
        <w:rPr>
          <w:rFonts w:ascii="Traditional Arabic" w:hAnsi="Traditional Arabic" w:cs="Traditional Arabic"/>
        </w:rPr>
        <w:t xml:space="preserve"> TAM </w:t>
      </w:r>
      <w:r w:rsidRPr="00BC27A4">
        <w:rPr>
          <w:rFonts w:ascii="Traditional Arabic" w:hAnsi="Traditional Arabic" w:cs="Traditional Arabic"/>
          <w:rtl/>
        </w:rPr>
        <w:t>و</w:t>
      </w:r>
      <w:r w:rsidRPr="00BC27A4">
        <w:rPr>
          <w:rFonts w:ascii="Traditional Arabic" w:hAnsi="Traditional Arabic" w:cs="Traditional Arabic"/>
        </w:rPr>
        <w:t>Technostress</w:t>
      </w:r>
      <w:r w:rsidRPr="00BC27A4">
        <w:rPr>
          <w:rFonts w:ascii="Traditional Arabic" w:hAnsi="Traditional Arabic" w:cs="Traditional Arabic"/>
          <w:rtl/>
        </w:rPr>
        <w:t>، واعتدال الديموغرافيات – استجابة مباشرة لحدود الأدبيات المتفرقة، بما يخدم الأسئلة (س1–س4) والفرضيات</w:t>
      </w:r>
      <w:r w:rsidRPr="00BC27A4">
        <w:rPr>
          <w:rFonts w:ascii="Traditional Arabic" w:hAnsi="Traditional Arabic" w:cs="Traditional Arabic"/>
        </w:rPr>
        <w:t xml:space="preserve"> (H1–H4).</w:t>
      </w:r>
    </w:p>
    <w:p w14:paraId="6FC0EE95" w14:textId="05559975" w:rsidR="00BC27A4" w:rsidRPr="00BC27A4" w:rsidRDefault="00BC27A4" w:rsidP="00BC27A4">
      <w:pPr>
        <w:bidi/>
        <w:spacing w:after="160" w:line="360" w:lineRule="auto"/>
        <w:divId w:val="1647278641"/>
        <w:rPr>
          <w:rFonts w:ascii="Traditional Arabic" w:hAnsi="Traditional Arabic" w:cs="Traditional Arabic"/>
          <w:b/>
          <w:bCs/>
          <w:sz w:val="28"/>
          <w:szCs w:val="28"/>
        </w:rPr>
      </w:pPr>
      <w:r w:rsidRPr="00BC27A4">
        <w:rPr>
          <w:rFonts w:ascii="Traditional Arabic" w:hAnsi="Traditional Arabic" w:cs="Traditional Arabic"/>
          <w:b/>
          <w:bCs/>
          <w:sz w:val="28"/>
          <w:szCs w:val="28"/>
        </w:rPr>
        <w:t xml:space="preserve"> 2.3 </w:t>
      </w:r>
      <w:r w:rsidRPr="00BC27A4">
        <w:rPr>
          <w:rFonts w:ascii="Traditional Arabic" w:hAnsi="Traditional Arabic" w:cs="Traditional Arabic"/>
          <w:b/>
          <w:bCs/>
          <w:sz w:val="28"/>
          <w:szCs w:val="28"/>
          <w:rtl/>
        </w:rPr>
        <w:t>الخلاصة النقدية والفجوة البحثية وربطها بالنموذج</w:t>
      </w:r>
    </w:p>
    <w:p w14:paraId="578DC9CE" w14:textId="771043E0" w:rsidR="00BC27A4" w:rsidRPr="00BC27A4" w:rsidRDefault="00BC27A4" w:rsidP="00BC27A4">
      <w:pPr>
        <w:bidi/>
        <w:spacing w:after="160" w:line="360" w:lineRule="auto"/>
        <w:divId w:val="1647278641"/>
        <w:rPr>
          <w:rFonts w:ascii="Traditional Arabic" w:hAnsi="Traditional Arabic" w:cs="Traditional Arabic" w:hint="cs"/>
          <w:rtl/>
        </w:rPr>
      </w:pPr>
      <w:r>
        <w:rPr>
          <w:rFonts w:ascii="Traditional Arabic" w:hAnsi="Traditional Arabic" w:cs="Traditional Arabic"/>
          <w:b/>
          <w:bCs/>
        </w:rPr>
        <w:t xml:space="preserve"> </w:t>
      </w:r>
      <w:r w:rsidRPr="00BC27A4">
        <w:rPr>
          <w:rFonts w:ascii="Traditional Arabic" w:hAnsi="Traditional Arabic" w:cs="Traditional Arabic"/>
          <w:b/>
          <w:bCs/>
        </w:rPr>
        <w:t xml:space="preserve">2.3.1 </w:t>
      </w:r>
      <w:r w:rsidRPr="00BC27A4">
        <w:rPr>
          <w:rFonts w:ascii="Traditional Arabic" w:hAnsi="Traditional Arabic" w:cs="Traditional Arabic"/>
          <w:b/>
          <w:bCs/>
          <w:rtl/>
        </w:rPr>
        <w:t>ما الذي اتفقت عليه الأدبيات؟</w:t>
      </w:r>
      <w:r w:rsidRPr="00BC27A4">
        <w:rPr>
          <w:rFonts w:ascii="Traditional Arabic" w:hAnsi="Traditional Arabic" w:cs="Traditional Arabic"/>
        </w:rPr>
        <w:br/>
      </w:r>
      <w:r w:rsidRPr="00BC27A4">
        <w:rPr>
          <w:rFonts w:ascii="Traditional Arabic" w:hAnsi="Traditional Arabic" w:cs="Traditional Arabic"/>
          <w:rtl/>
        </w:rPr>
        <w:t>تتفق الأدبيات عمومًا على أن التحول الرقمي المؤسسي يتجاوز إدخال التقنية إلى إعادة تصميم العمليات وتغيير طريقة العمل، وأن النتائج تعتمد على جودة التنفيذ وإدارة التغيير والموارد التنظيمية</w:t>
      </w:r>
      <w:r w:rsidRPr="00BC27A4">
        <w:rPr>
          <w:rFonts w:ascii="Traditional Arabic" w:hAnsi="Traditional Arabic" w:cs="Traditional Arabic"/>
        </w:rPr>
        <w:t xml:space="preserve"> Vial, 2019</w:t>
      </w:r>
      <w:r w:rsidR="00397F3A">
        <w:rPr>
          <w:rFonts w:ascii="Traditional Arabic" w:hAnsi="Traditional Arabic" w:cs="Traditional Arabic"/>
        </w:rPr>
        <w:t xml:space="preserve">) </w:t>
      </w:r>
      <w:r w:rsidRPr="00BC27A4">
        <w:rPr>
          <w:rFonts w:ascii="Traditional Arabic" w:hAnsi="Traditional Arabic" w:cs="Traditional Arabic"/>
          <w:rtl/>
        </w:rPr>
        <w:t>؛</w:t>
      </w:r>
      <w:r w:rsidR="00397F3A">
        <w:rPr>
          <w:rFonts w:ascii="Traditional Arabic" w:hAnsi="Traditional Arabic" w:cs="Traditional Arabic"/>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Mergel</w:t>
      </w:r>
      <w:proofErr w:type="spellEnd"/>
      <w:r w:rsidRPr="00BC27A4">
        <w:rPr>
          <w:rFonts w:ascii="Traditional Arabic" w:hAnsi="Traditional Arabic" w:cs="Traditional Arabic"/>
        </w:rPr>
        <w:t xml:space="preserve"> et al., 2019 </w:t>
      </w:r>
      <w:r w:rsidR="00397F3A">
        <w:rPr>
          <w:rFonts w:ascii="Traditional Arabic" w:hAnsi="Traditional Arabic" w:cs="Traditional Arabic" w:hint="cs"/>
          <w:rtl/>
        </w:rPr>
        <w:t xml:space="preserve"> </w:t>
      </w:r>
      <w:r w:rsidRPr="00BC27A4">
        <w:rPr>
          <w:rFonts w:ascii="Traditional Arabic" w:hAnsi="Traditional Arabic" w:cs="Traditional Arabic"/>
          <w:rtl/>
        </w:rPr>
        <w:t>كما تتفق أدبيات القبول على مركزية إدراك الفائدة/السهولة في تفسير قبول التقنية ضمن بيئات العمل</w:t>
      </w:r>
      <w:r w:rsidRPr="00BC27A4">
        <w:rPr>
          <w:rFonts w:ascii="Traditional Arabic" w:hAnsi="Traditional Arabic" w:cs="Traditional Arabic"/>
        </w:rPr>
        <w:t xml:space="preserve"> (Davis, 1989)</w:t>
      </w:r>
      <w:r w:rsidRPr="00BC27A4">
        <w:rPr>
          <w:rFonts w:ascii="Traditional Arabic" w:hAnsi="Traditional Arabic" w:cs="Traditional Arabic"/>
          <w:rtl/>
        </w:rPr>
        <w:t xml:space="preserve">، وتتفق أدبيات </w:t>
      </w:r>
      <w:r w:rsidRPr="00BC27A4">
        <w:rPr>
          <w:rFonts w:ascii="Traditional Arabic" w:hAnsi="Traditional Arabic" w:cs="Traditional Arabic"/>
          <w:rtl/>
        </w:rPr>
        <w:lastRenderedPageBreak/>
        <w:t xml:space="preserve">الإجهاد التقني على وجود </w:t>
      </w:r>
      <w:r w:rsidR="002F488C">
        <w:rPr>
          <w:rFonts w:ascii="Traditional Arabic" w:hAnsi="Traditional Arabic" w:cs="Traditional Arabic"/>
          <w:rtl/>
        </w:rPr>
        <w:t>"</w:t>
      </w:r>
      <w:r w:rsidRPr="00BC27A4">
        <w:rPr>
          <w:rFonts w:ascii="Traditional Arabic" w:hAnsi="Traditional Arabic" w:cs="Traditional Arabic"/>
          <w:rtl/>
        </w:rPr>
        <w:t>صانعات</w:t>
      </w:r>
      <w:r w:rsidR="002F488C">
        <w:rPr>
          <w:rFonts w:ascii="Traditional Arabic" w:hAnsi="Traditional Arabic" w:cs="Traditional Arabic"/>
          <w:rtl/>
        </w:rPr>
        <w:t>"</w:t>
      </w:r>
      <w:r w:rsidRPr="00BC27A4">
        <w:rPr>
          <w:rFonts w:ascii="Traditional Arabic" w:hAnsi="Traditional Arabic" w:cs="Traditional Arabic"/>
          <w:rtl/>
        </w:rPr>
        <w:t xml:space="preserve"> تؤثر سلبًا في مخرجات الموظف مع قابلية التخفيف عبر موارد تنظيمية</w:t>
      </w:r>
      <w:r w:rsidRPr="00BC27A4">
        <w:rPr>
          <w:rFonts w:ascii="Traditional Arabic" w:hAnsi="Traditional Arabic" w:cs="Traditional Arabic"/>
        </w:rPr>
        <w:t xml:space="preserve"> (Ragu-Nathan et al., 2008</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Tarafdar</w:t>
      </w:r>
      <w:proofErr w:type="spellEnd"/>
      <w:r w:rsidRPr="00BC27A4">
        <w:rPr>
          <w:rFonts w:ascii="Traditional Arabic" w:hAnsi="Traditional Arabic" w:cs="Traditional Arabic"/>
        </w:rPr>
        <w:t xml:space="preserve"> et al., 2011</w:t>
      </w:r>
      <w:r w:rsidR="00397F3A">
        <w:rPr>
          <w:rFonts w:ascii="Traditional Arabic" w:hAnsi="Traditional Arabic" w:cs="Traditional Arabic" w:hint="cs"/>
          <w:rtl/>
        </w:rPr>
        <w:t>).</w:t>
      </w:r>
    </w:p>
    <w:p w14:paraId="7583D174" w14:textId="4F67AD13"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2.3.2 </w:t>
      </w:r>
      <w:r w:rsidRPr="00BC27A4">
        <w:rPr>
          <w:rFonts w:ascii="Traditional Arabic" w:hAnsi="Traditional Arabic" w:cs="Traditional Arabic"/>
          <w:b/>
          <w:bCs/>
          <w:rtl/>
        </w:rPr>
        <w:t>أين ظهرت النتائج المتعارضة؟ ولماذا؟</w:t>
      </w:r>
      <w:r w:rsidRPr="00BC27A4">
        <w:rPr>
          <w:rFonts w:ascii="Traditional Arabic" w:hAnsi="Traditional Arabic" w:cs="Traditional Arabic"/>
        </w:rPr>
        <w:br/>
      </w:r>
      <w:r w:rsidRPr="00BC27A4">
        <w:rPr>
          <w:rFonts w:ascii="Traditional Arabic" w:hAnsi="Traditional Arabic" w:cs="Traditional Arabic"/>
          <w:rtl/>
        </w:rPr>
        <w:t xml:space="preserve">تظهر نتائج متعارضة بشأن </w:t>
      </w:r>
      <w:r w:rsidR="002F488C">
        <w:rPr>
          <w:rFonts w:ascii="Traditional Arabic" w:hAnsi="Traditional Arabic" w:cs="Traditional Arabic"/>
          <w:rtl/>
        </w:rPr>
        <w:t>"</w:t>
      </w:r>
      <w:r w:rsidRPr="00BC27A4">
        <w:rPr>
          <w:rFonts w:ascii="Traditional Arabic" w:hAnsi="Traditional Arabic" w:cs="Traditional Arabic"/>
          <w:rtl/>
        </w:rPr>
        <w:t>الأثر المباشر</w:t>
      </w:r>
      <w:r w:rsidR="002F488C">
        <w:rPr>
          <w:rFonts w:ascii="Traditional Arabic" w:hAnsi="Traditional Arabic" w:cs="Traditional Arabic"/>
          <w:rtl/>
        </w:rPr>
        <w:t>"</w:t>
      </w:r>
      <w:r w:rsidRPr="00BC27A4">
        <w:rPr>
          <w:rFonts w:ascii="Traditional Arabic" w:hAnsi="Traditional Arabic" w:cs="Traditional Arabic"/>
          <w:rtl/>
        </w:rPr>
        <w:t xml:space="preserve"> </w:t>
      </w:r>
      <w:proofErr w:type="spellStart"/>
      <w:r w:rsidRPr="00BC27A4">
        <w:rPr>
          <w:rFonts w:ascii="Traditional Arabic" w:hAnsi="Traditional Arabic" w:cs="Traditional Arabic"/>
          <w:rtl/>
        </w:rPr>
        <w:t>للرقمنة</w:t>
      </w:r>
      <w:proofErr w:type="spellEnd"/>
      <w:r w:rsidRPr="00BC27A4">
        <w:rPr>
          <w:rFonts w:ascii="Traditional Arabic" w:hAnsi="Traditional Arabic" w:cs="Traditional Arabic"/>
          <w:rtl/>
        </w:rPr>
        <w:t>/التحول على الرضا الوظيفي؛ إذ تُظهر بعض الأعمال أثرًا مباشرًا محدودًا أو غير دال مع بروز آثار غير مباشرة عبر خصائص تنظيم العمل</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Lechevalier</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Mofakhami</w:t>
      </w:r>
      <w:proofErr w:type="spellEnd"/>
      <w:r w:rsidRPr="00BC27A4">
        <w:rPr>
          <w:rFonts w:ascii="Traditional Arabic" w:hAnsi="Traditional Arabic" w:cs="Traditional Arabic"/>
        </w:rPr>
        <w:t>, 2025)</w:t>
      </w:r>
      <w:r w:rsidRPr="00BC27A4">
        <w:rPr>
          <w:rFonts w:ascii="Traditional Arabic" w:hAnsi="Traditional Arabic" w:cs="Traditional Arabic"/>
          <w:rtl/>
        </w:rPr>
        <w:t>، بينما تظهر أعمال أخرى أثرًا إيجابيًا عبر قنوات مثل الإنتاجية وإثراء العمل</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Bolli</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Pusterla</w:t>
      </w:r>
      <w:proofErr w:type="spellEnd"/>
      <w:r w:rsidRPr="00BC27A4">
        <w:rPr>
          <w:rFonts w:ascii="Traditional Arabic" w:hAnsi="Traditional Arabic" w:cs="Traditional Arabic"/>
        </w:rPr>
        <w:t xml:space="preserve">, 2022). </w:t>
      </w:r>
      <w:r w:rsidRPr="00BC27A4">
        <w:rPr>
          <w:rFonts w:ascii="Traditional Arabic" w:hAnsi="Traditional Arabic" w:cs="Traditional Arabic"/>
          <w:rtl/>
        </w:rPr>
        <w:t xml:space="preserve">ويُفسر جانب من هذا التعارض باختلاف كيفية تشغيل </w:t>
      </w:r>
      <w:r w:rsidR="002F488C">
        <w:rPr>
          <w:rFonts w:ascii="Traditional Arabic" w:hAnsi="Traditional Arabic" w:cs="Traditional Arabic"/>
          <w:rtl/>
        </w:rPr>
        <w:t>"</w:t>
      </w:r>
      <w:r w:rsidRPr="00BC27A4">
        <w:rPr>
          <w:rFonts w:ascii="Traditional Arabic" w:hAnsi="Traditional Arabic" w:cs="Traditional Arabic"/>
          <w:rtl/>
        </w:rPr>
        <w:t>التحول/</w:t>
      </w:r>
      <w:proofErr w:type="spellStart"/>
      <w:r w:rsidRPr="00BC27A4">
        <w:rPr>
          <w:rFonts w:ascii="Traditional Arabic" w:hAnsi="Traditional Arabic" w:cs="Traditional Arabic"/>
          <w:rtl/>
        </w:rPr>
        <w:t>الرقمنة</w:t>
      </w:r>
      <w:proofErr w:type="spellEnd"/>
      <w:r w:rsidR="002F488C">
        <w:rPr>
          <w:rFonts w:ascii="Traditional Arabic" w:hAnsi="Traditional Arabic" w:cs="Traditional Arabic"/>
          <w:rtl/>
        </w:rPr>
        <w:t>"</w:t>
      </w:r>
      <w:r w:rsidRPr="00BC27A4">
        <w:rPr>
          <w:rFonts w:ascii="Traditional Arabic" w:hAnsi="Traditional Arabic" w:cs="Traditional Arabic"/>
          <w:rtl/>
        </w:rPr>
        <w:t xml:space="preserve"> (استخدام رقمي عام مقابل أبعاد تشغيلية داخل مؤسسة)، واختلاف المهنة والسياق التنظيمي، وتفاوت نضج الأنظمة وجودة الدعم. كما تظهر نتائج متباينة في بعض تطبيقات</w:t>
      </w:r>
      <w:r w:rsidRPr="00BC27A4">
        <w:rPr>
          <w:rFonts w:ascii="Traditional Arabic" w:hAnsi="Traditional Arabic" w:cs="Traditional Arabic"/>
        </w:rPr>
        <w:t xml:space="preserve"> TAM </w:t>
      </w:r>
      <w:r w:rsidRPr="00BC27A4">
        <w:rPr>
          <w:rFonts w:ascii="Traditional Arabic" w:hAnsi="Traditional Arabic" w:cs="Traditional Arabic"/>
          <w:rtl/>
        </w:rPr>
        <w:t>بشأن دلالة</w:t>
      </w:r>
      <w:r w:rsidRPr="00BC27A4">
        <w:rPr>
          <w:rFonts w:ascii="Traditional Arabic" w:hAnsi="Traditional Arabic" w:cs="Traditional Arabic"/>
        </w:rPr>
        <w:t xml:space="preserve"> PU </w:t>
      </w:r>
      <w:r w:rsidRPr="00BC27A4">
        <w:rPr>
          <w:rFonts w:ascii="Traditional Arabic" w:hAnsi="Traditional Arabic" w:cs="Traditional Arabic"/>
          <w:rtl/>
        </w:rPr>
        <w:t>في الرضا/مخرجات الاستخدام</w:t>
      </w:r>
      <w:r w:rsidRPr="00BC27A4">
        <w:rPr>
          <w:rFonts w:ascii="Traditional Arabic" w:hAnsi="Traditional Arabic" w:cs="Traditional Arabic"/>
        </w:rPr>
        <w:t xml:space="preserve"> Jo &amp; Park, 2023</w:t>
      </w:r>
      <w:r w:rsidR="00397F3A">
        <w:rPr>
          <w:rFonts w:ascii="Traditional Arabic" w:hAnsi="Traditional Arabic" w:cs="Traditional Arabic"/>
        </w:rPr>
        <w:t>)</w:t>
      </w:r>
      <w:proofErr w:type="gramStart"/>
      <w:r w:rsidRPr="00BC27A4">
        <w:rPr>
          <w:rFonts w:ascii="Traditional Arabic" w:hAnsi="Traditional Arabic" w:cs="Traditional Arabic"/>
        </w:rPr>
        <w:t xml:space="preserve"> </w:t>
      </w:r>
      <w:r w:rsidR="00397F3A">
        <w:rPr>
          <w:rFonts w:ascii="Traditional Arabic" w:hAnsi="Traditional Arabic" w:cs="Traditional Arabic" w:hint="cs"/>
          <w:rtl/>
        </w:rPr>
        <w:t xml:space="preserve"> </w:t>
      </w:r>
      <w:r w:rsidRPr="00BC27A4">
        <w:rPr>
          <w:rFonts w:ascii="Traditional Arabic" w:hAnsi="Traditional Arabic" w:cs="Traditional Arabic"/>
        </w:rPr>
        <w:t xml:space="preserve"> </w:t>
      </w:r>
      <w:r w:rsidR="00397F3A">
        <w:rPr>
          <w:rFonts w:ascii="Traditional Arabic" w:hAnsi="Traditional Arabic" w:cs="Traditional Arabic"/>
        </w:rPr>
        <w:t>(</w:t>
      </w:r>
      <w:proofErr w:type="spellStart"/>
      <w:proofErr w:type="gramEnd"/>
      <w:r w:rsidRPr="00BC27A4">
        <w:rPr>
          <w:rFonts w:ascii="Traditional Arabic" w:hAnsi="Traditional Arabic" w:cs="Traditional Arabic"/>
        </w:rPr>
        <w:t>Badawy</w:t>
      </w:r>
      <w:proofErr w:type="spellEnd"/>
      <w:r w:rsidRPr="00BC27A4">
        <w:rPr>
          <w:rFonts w:ascii="Traditional Arabic" w:hAnsi="Traditional Arabic" w:cs="Traditional Arabic"/>
        </w:rPr>
        <w:t>, 2025</w:t>
      </w:r>
      <w:r w:rsidR="00397F3A">
        <w:rPr>
          <w:rFonts w:ascii="Traditional Arabic" w:hAnsi="Traditional Arabic" w:cs="Traditional Arabic"/>
        </w:rPr>
        <w:t>.</w:t>
      </w:r>
      <w:r w:rsidRPr="00BC27A4">
        <w:rPr>
          <w:rFonts w:ascii="Traditional Arabic" w:hAnsi="Traditional Arabic" w:cs="Traditional Arabic"/>
          <w:rtl/>
        </w:rPr>
        <w:t>، وهو ما يدعم ضرورة اختبار النموذج داخل سياق الوزارة بدل تعميم نتيجة واحدة</w:t>
      </w:r>
      <w:r w:rsidRPr="00BC27A4">
        <w:rPr>
          <w:rFonts w:ascii="Traditional Arabic" w:hAnsi="Traditional Arabic" w:cs="Traditional Arabic"/>
        </w:rPr>
        <w:t>.</w:t>
      </w:r>
    </w:p>
    <w:p w14:paraId="5D074560" w14:textId="031EAA75"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2.3.3 </w:t>
      </w:r>
      <w:r w:rsidRPr="00BC27A4">
        <w:rPr>
          <w:rFonts w:ascii="Traditional Arabic" w:hAnsi="Traditional Arabic" w:cs="Traditional Arabic"/>
          <w:b/>
          <w:bCs/>
          <w:rtl/>
        </w:rPr>
        <w:t>حدود الأدلة التي تستدعي البحث الحالي</w:t>
      </w:r>
      <w:r w:rsidRPr="00BC27A4">
        <w:rPr>
          <w:rFonts w:ascii="Traditional Arabic" w:hAnsi="Traditional Arabic" w:cs="Traditional Arabic"/>
        </w:rPr>
        <w:br/>
      </w:r>
      <w:r w:rsidRPr="00BC27A4">
        <w:rPr>
          <w:rFonts w:ascii="Traditional Arabic" w:hAnsi="Traditional Arabic" w:cs="Traditional Arabic"/>
          <w:rtl/>
        </w:rPr>
        <w:t>تتكرر حدود منهجية في الأدبيات: هيمنة التصاميم المقطعية، وتباين أدوات القياس، وتركز نتائج كثيرة على سياقات خارج القطاع العام السعودي، أو على رضا المستفيد الخارجي بدل الموظف. كما أن قلة من الدراسات تجمع في نموذج واحد بين</w:t>
      </w:r>
      <w:r w:rsidRPr="00BC27A4">
        <w:rPr>
          <w:rFonts w:ascii="Traditional Arabic" w:hAnsi="Traditional Arabic" w:cs="Traditional Arabic"/>
        </w:rPr>
        <w:t xml:space="preserve"> DTD </w:t>
      </w:r>
      <w:r w:rsidRPr="00BC27A4">
        <w:rPr>
          <w:rFonts w:ascii="Traditional Arabic" w:hAnsi="Traditional Arabic" w:cs="Traditional Arabic"/>
          <w:rtl/>
        </w:rPr>
        <w:t>متعدد الأبعاد ووساطة</w:t>
      </w:r>
      <w:r w:rsidRPr="00BC27A4">
        <w:rPr>
          <w:rFonts w:ascii="Traditional Arabic" w:hAnsi="Traditional Arabic" w:cs="Traditional Arabic"/>
        </w:rPr>
        <w:t xml:space="preserve"> TAM </w:t>
      </w:r>
      <w:r w:rsidRPr="00BC27A4">
        <w:rPr>
          <w:rFonts w:ascii="Traditional Arabic" w:hAnsi="Traditional Arabic" w:cs="Traditional Arabic"/>
          <w:rtl/>
        </w:rPr>
        <w:t>و</w:t>
      </w:r>
      <w:r w:rsidRPr="00BC27A4">
        <w:rPr>
          <w:rFonts w:ascii="Traditional Arabic" w:hAnsi="Traditional Arabic" w:cs="Traditional Arabic"/>
        </w:rPr>
        <w:t xml:space="preserve">Technostress </w:t>
      </w:r>
      <w:r w:rsidRPr="00BC27A4">
        <w:rPr>
          <w:rFonts w:ascii="Traditional Arabic" w:hAnsi="Traditional Arabic" w:cs="Traditional Arabic"/>
          <w:rtl/>
        </w:rPr>
        <w:t>والاعتدال الديموغرافي</w:t>
      </w:r>
      <w:r w:rsidRPr="00BC27A4">
        <w:rPr>
          <w:rFonts w:ascii="Traditional Arabic" w:hAnsi="Traditional Arabic" w:cs="Traditional Arabic"/>
        </w:rPr>
        <w:t>.</w:t>
      </w:r>
    </w:p>
    <w:p w14:paraId="7AFD65FD" w14:textId="5DE40F17"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2.3.4 </w:t>
      </w:r>
      <w:r w:rsidRPr="00BC27A4">
        <w:rPr>
          <w:rFonts w:ascii="Traditional Arabic" w:hAnsi="Traditional Arabic" w:cs="Traditional Arabic"/>
          <w:b/>
          <w:bCs/>
          <w:rtl/>
        </w:rPr>
        <w:t>الفجوة البحثية بثلاثة مستويات وربطها بأسئلة/فرضيات الدراسة</w:t>
      </w:r>
      <w:r w:rsidRPr="00BC27A4">
        <w:rPr>
          <w:rFonts w:ascii="Traditional Arabic" w:hAnsi="Traditional Arabic" w:cs="Traditional Arabic"/>
        </w:rPr>
        <w:br/>
      </w:r>
      <w:r w:rsidRPr="00BC27A4">
        <w:rPr>
          <w:rFonts w:ascii="Traditional Arabic" w:hAnsi="Traditional Arabic" w:cs="Traditional Arabic"/>
          <w:rtl/>
        </w:rPr>
        <w:t>الفجوة النظرية: تتمثل في محدودية الأعمال التي تُشغّل التحول الرقمي المؤسسي إلى أبعاد تشغيلية داخلية قابلة للقياس، ثم تربطها في نموذج واحد بآليتين تفسيريّتين متوازيتين على مستوى الموظف</w:t>
      </w:r>
      <w:r w:rsidRPr="00BC27A4">
        <w:rPr>
          <w:rFonts w:ascii="Traditional Arabic" w:hAnsi="Traditional Arabic" w:cs="Traditional Arabic"/>
        </w:rPr>
        <w:t xml:space="preserve"> (TAM</w:t>
      </w:r>
      <w:r w:rsidR="00397F3A">
        <w:rPr>
          <w:rFonts w:ascii="Traditional Arabic" w:hAnsi="Traditional Arabic" w:cs="Traditional Arabic"/>
        </w:rPr>
        <w:t>)</w:t>
      </w:r>
      <w:r w:rsidRPr="00BC27A4">
        <w:rPr>
          <w:rFonts w:ascii="Traditional Arabic" w:hAnsi="Traditional Arabic" w:cs="Traditional Arabic"/>
        </w:rPr>
        <w:t xml:space="preserve"> </w:t>
      </w:r>
      <w:r w:rsidRPr="00BC27A4">
        <w:rPr>
          <w:rFonts w:ascii="Traditional Arabic" w:hAnsi="Traditional Arabic" w:cs="Traditional Arabic"/>
          <w:rtl/>
        </w:rPr>
        <w:t>و</w:t>
      </w:r>
      <w:r w:rsidRPr="00BC27A4">
        <w:rPr>
          <w:rFonts w:ascii="Traditional Arabic" w:hAnsi="Traditional Arabic" w:cs="Traditional Arabic"/>
        </w:rPr>
        <w:t>Technostress</w:t>
      </w:r>
      <w:proofErr w:type="gramStart"/>
      <w:r w:rsidR="00397F3A">
        <w:rPr>
          <w:rFonts w:ascii="Traditional Arabic" w:hAnsi="Traditional Arabic" w:cs="Traditional Arabic"/>
        </w:rPr>
        <w:t>)</w:t>
      </w:r>
      <w:r w:rsidRPr="00BC27A4">
        <w:rPr>
          <w:rFonts w:ascii="Traditional Arabic" w:hAnsi="Traditional Arabic" w:cs="Traditional Arabic"/>
        </w:rPr>
        <w:t xml:space="preserve"> </w:t>
      </w:r>
      <w:r w:rsidR="00397F3A">
        <w:rPr>
          <w:rFonts w:ascii="Traditional Arabic" w:hAnsi="Traditional Arabic" w:cs="Traditional Arabic" w:hint="cs"/>
          <w:rtl/>
        </w:rPr>
        <w:t>)</w:t>
      </w:r>
      <w:proofErr w:type="gramEnd"/>
      <w:r w:rsidR="00397F3A">
        <w:rPr>
          <w:rFonts w:ascii="Traditional Arabic" w:hAnsi="Traditional Arabic" w:cs="Traditional Arabic" w:hint="cs"/>
          <w:rtl/>
        </w:rPr>
        <w:t xml:space="preserve"> </w:t>
      </w:r>
      <w:r w:rsidRPr="00BC27A4">
        <w:rPr>
          <w:rFonts w:ascii="Traditional Arabic" w:hAnsi="Traditional Arabic" w:cs="Traditional Arabic"/>
          <w:rtl/>
        </w:rPr>
        <w:t>وصولًا إلى الرضا الوظيفي. وتستهدف الدراسة سد هذه الفجوة عبر فرضيات الوساطة</w:t>
      </w:r>
      <w:r w:rsidRPr="00BC27A4">
        <w:rPr>
          <w:rFonts w:ascii="Traditional Arabic" w:hAnsi="Traditional Arabic" w:cs="Traditional Arabic"/>
        </w:rPr>
        <w:t xml:space="preserve"> H2c</w:t>
      </w:r>
      <w:proofErr w:type="gramStart"/>
      <w:r w:rsidR="00397F3A">
        <w:rPr>
          <w:rFonts w:ascii="Traditional Arabic" w:hAnsi="Traditional Arabic" w:cs="Traditional Arabic"/>
        </w:rPr>
        <w:t xml:space="preserve">) </w:t>
      </w:r>
      <w:r w:rsidRPr="00BC27A4">
        <w:rPr>
          <w:rFonts w:ascii="Traditional Arabic" w:hAnsi="Traditional Arabic" w:cs="Traditional Arabic"/>
          <w:rtl/>
        </w:rPr>
        <w:t>؛</w:t>
      </w:r>
      <w:proofErr w:type="gramEnd"/>
      <w:r w:rsidRPr="00BC27A4">
        <w:rPr>
          <w:rFonts w:ascii="Traditional Arabic" w:hAnsi="Traditional Arabic" w:cs="Traditional Arabic"/>
        </w:rPr>
        <w:t xml:space="preserve"> H3e</w:t>
      </w:r>
      <w:r w:rsidRPr="00BC27A4">
        <w:rPr>
          <w:rFonts w:ascii="Traditional Arabic" w:hAnsi="Traditional Arabic" w:cs="Traditional Arabic"/>
          <w:rtl/>
        </w:rPr>
        <w:t>؛</w:t>
      </w:r>
      <w:r w:rsidR="00397F3A">
        <w:rPr>
          <w:rFonts w:ascii="Traditional Arabic" w:hAnsi="Traditional Arabic" w:cs="Traditional Arabic"/>
        </w:rPr>
        <w:t>(</w:t>
      </w:r>
      <w:r w:rsidRPr="00BC27A4">
        <w:rPr>
          <w:rFonts w:ascii="Traditional Arabic" w:hAnsi="Traditional Arabic" w:cs="Traditional Arabic"/>
        </w:rPr>
        <w:t xml:space="preserve"> H3f </w:t>
      </w:r>
      <w:r w:rsidR="00397F3A">
        <w:rPr>
          <w:rFonts w:ascii="Traditional Arabic" w:hAnsi="Traditional Arabic" w:cs="Traditional Arabic" w:hint="cs"/>
          <w:rtl/>
        </w:rPr>
        <w:t xml:space="preserve"> </w:t>
      </w:r>
      <w:r w:rsidRPr="00BC27A4">
        <w:rPr>
          <w:rFonts w:ascii="Traditional Arabic" w:hAnsi="Traditional Arabic" w:cs="Traditional Arabic"/>
          <w:rtl/>
        </w:rPr>
        <w:t>وبناء جدول ربط النظرية بالفرضيات (جدول 2-3) بما يخدم سؤال (س3)</w:t>
      </w:r>
      <w:r w:rsidRPr="00BC27A4">
        <w:rPr>
          <w:rFonts w:ascii="Traditional Arabic" w:hAnsi="Traditional Arabic" w:cs="Traditional Arabic"/>
        </w:rPr>
        <w:t>.</w:t>
      </w:r>
    </w:p>
    <w:p w14:paraId="663E8D40" w14:textId="77777777"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الفجوة السياقية/التطبيقية: تتمثل في محدودية الأدلة الميدانية التي تقيس أثر التحول الرقمي المؤسسي على الرضا الوظيفي للموظفين داخل جهة حكومية سعودية محددة مثل وزارة الموارد البشرية والتنمية الاجتماعية، مع تشغيل التحول إلى أبعاد تمس خبرة الموظف اليومية. وتُعالج الدراسة ذلك باختبار الأثر المباشر لأبعاد</w:t>
      </w:r>
      <w:r w:rsidRPr="00BC27A4">
        <w:rPr>
          <w:rFonts w:ascii="Traditional Arabic" w:hAnsi="Traditional Arabic" w:cs="Traditional Arabic"/>
        </w:rPr>
        <w:t xml:space="preserve"> DTD </w:t>
      </w:r>
      <w:r w:rsidRPr="00BC27A4">
        <w:rPr>
          <w:rFonts w:ascii="Traditional Arabic" w:hAnsi="Traditional Arabic" w:cs="Traditional Arabic"/>
          <w:rtl/>
        </w:rPr>
        <w:t>الأربعة على الرضا</w:t>
      </w:r>
      <w:r w:rsidRPr="00BC27A4">
        <w:rPr>
          <w:rFonts w:ascii="Traditional Arabic" w:hAnsi="Traditional Arabic" w:cs="Traditional Arabic"/>
        </w:rPr>
        <w:t xml:space="preserve"> (H1a–H1d) </w:t>
      </w:r>
      <w:r w:rsidRPr="00BC27A4">
        <w:rPr>
          <w:rFonts w:ascii="Traditional Arabic" w:hAnsi="Traditional Arabic" w:cs="Traditional Arabic"/>
          <w:rtl/>
        </w:rPr>
        <w:t>ضمن سياق الوزارة، بما يخدم سؤال (س2) ويستند إلى قياس مستويات المتغيرات (س1)</w:t>
      </w:r>
      <w:r w:rsidRPr="00BC27A4">
        <w:rPr>
          <w:rFonts w:ascii="Traditional Arabic" w:hAnsi="Traditional Arabic" w:cs="Traditional Arabic"/>
        </w:rPr>
        <w:t>.</w:t>
      </w:r>
    </w:p>
    <w:p w14:paraId="08BDB149" w14:textId="77777777"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lastRenderedPageBreak/>
        <w:t>الفجوة المنهجية: تتمثل في ندرة النماذج الكمية المتكاملة التي تختبر المسارات المباشرة وغير المباشرة والاعتدال الديموغرافي في آن واحد ضمن سياق حكومي، مع ضبط جودة القياس وشفافية البيانات المنهجية. وتُعالج الدراسة ذلك باختبار نموذج سببي متكامل وفق الفرضيات</w:t>
      </w:r>
      <w:r w:rsidRPr="00BC27A4">
        <w:rPr>
          <w:rFonts w:ascii="Traditional Arabic" w:hAnsi="Traditional Arabic" w:cs="Traditional Arabic"/>
        </w:rPr>
        <w:t xml:space="preserve"> (H1–H4) </w:t>
      </w:r>
      <w:r w:rsidRPr="00BC27A4">
        <w:rPr>
          <w:rFonts w:ascii="Traditional Arabic" w:hAnsi="Traditional Arabic" w:cs="Traditional Arabic"/>
          <w:rtl/>
        </w:rPr>
        <w:t>والتحقق من تغاير العلاقة بحسب الديموغرافيات</w:t>
      </w:r>
      <w:r w:rsidRPr="00BC27A4">
        <w:rPr>
          <w:rFonts w:ascii="Traditional Arabic" w:hAnsi="Traditional Arabic" w:cs="Traditional Arabic"/>
        </w:rPr>
        <w:t xml:space="preserve"> (H4) </w:t>
      </w:r>
      <w:r w:rsidRPr="00BC27A4">
        <w:rPr>
          <w:rFonts w:ascii="Traditional Arabic" w:hAnsi="Traditional Arabic" w:cs="Traditional Arabic"/>
          <w:rtl/>
        </w:rPr>
        <w:t>بما يخدم سؤال (س4)، مع الالتزام بإجراءات الصدق والثبات وخطة التحليل كما ستُعرض في الفصل الثالث</w:t>
      </w:r>
      <w:r w:rsidRPr="00BC27A4">
        <w:rPr>
          <w:rFonts w:ascii="Traditional Arabic" w:hAnsi="Traditional Arabic" w:cs="Traditional Arabic"/>
        </w:rPr>
        <w:t>.</w:t>
      </w:r>
    </w:p>
    <w:p w14:paraId="7046F99C" w14:textId="190CC053"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2.3.5 </w:t>
      </w:r>
      <w:r w:rsidRPr="00BC27A4">
        <w:rPr>
          <w:rFonts w:ascii="Traditional Arabic" w:hAnsi="Traditional Arabic" w:cs="Traditional Arabic"/>
          <w:b/>
          <w:bCs/>
          <w:rtl/>
        </w:rPr>
        <w:t>تمهيد للفصل الثالث</w:t>
      </w:r>
      <w:r w:rsidRPr="00BC27A4">
        <w:rPr>
          <w:rFonts w:ascii="Traditional Arabic" w:hAnsi="Traditional Arabic" w:cs="Traditional Arabic"/>
        </w:rPr>
        <w:br/>
      </w:r>
      <w:r w:rsidRPr="00BC27A4">
        <w:rPr>
          <w:rFonts w:ascii="Traditional Arabic" w:hAnsi="Traditional Arabic" w:cs="Traditional Arabic"/>
          <w:rtl/>
        </w:rPr>
        <w:t>وبناءً على ما سبق، يُعرض في الفصل الثالث المنهج المتبع وإجراءات جمع البيانات وأداة القياس، واختبارات الصدق والثبات، وخطة التحليل الإحصائي لاختبار الفرضيات والمسارات الواردة في النموذج، بما يتيح الانتقال من التأسيس النظري إلى الاختبار الميداني المنظم</w:t>
      </w:r>
      <w:r w:rsidRPr="00BC27A4">
        <w:rPr>
          <w:rFonts w:ascii="Traditional Arabic" w:hAnsi="Traditional Arabic" w:cs="Traditional Arabic"/>
        </w:rPr>
        <w:t>.</w:t>
      </w:r>
    </w:p>
    <w:p w14:paraId="1FF11933" w14:textId="57789F19" w:rsidR="003627DB" w:rsidRDefault="003627DB" w:rsidP="003627DB">
      <w:pPr>
        <w:bidi/>
        <w:spacing w:after="160" w:line="360" w:lineRule="auto"/>
        <w:divId w:val="1647278641"/>
        <w:rPr>
          <w:rFonts w:ascii="Traditional Arabic" w:hAnsi="Traditional Arabic" w:cs="Traditional Arabic"/>
          <w:rtl/>
        </w:rPr>
      </w:pPr>
    </w:p>
    <w:p w14:paraId="497C6091" w14:textId="43917663" w:rsidR="00BC27A4" w:rsidRDefault="00BC27A4" w:rsidP="00BC27A4">
      <w:pPr>
        <w:bidi/>
        <w:spacing w:after="160" w:line="360" w:lineRule="auto"/>
        <w:divId w:val="1647278641"/>
        <w:rPr>
          <w:rFonts w:ascii="Traditional Arabic" w:hAnsi="Traditional Arabic" w:cs="Traditional Arabic"/>
          <w:rtl/>
        </w:rPr>
      </w:pPr>
    </w:p>
    <w:p w14:paraId="3E779A64" w14:textId="0D6AD3C9" w:rsidR="00BC27A4" w:rsidRDefault="00BC27A4" w:rsidP="00BC27A4">
      <w:pPr>
        <w:bidi/>
        <w:spacing w:after="160" w:line="360" w:lineRule="auto"/>
        <w:divId w:val="1647278641"/>
        <w:rPr>
          <w:rFonts w:ascii="Traditional Arabic" w:hAnsi="Traditional Arabic" w:cs="Traditional Arabic"/>
          <w:rtl/>
        </w:rPr>
      </w:pPr>
    </w:p>
    <w:p w14:paraId="564B773F" w14:textId="282A92B1" w:rsidR="00BC27A4" w:rsidRDefault="00BC27A4" w:rsidP="00BC27A4">
      <w:pPr>
        <w:bidi/>
        <w:spacing w:after="160" w:line="360" w:lineRule="auto"/>
        <w:divId w:val="1647278641"/>
        <w:rPr>
          <w:rFonts w:ascii="Traditional Arabic" w:hAnsi="Traditional Arabic" w:cs="Traditional Arabic"/>
          <w:rtl/>
        </w:rPr>
      </w:pPr>
    </w:p>
    <w:p w14:paraId="044A4BDF" w14:textId="314D6D00" w:rsidR="00BC27A4" w:rsidRDefault="00BC27A4" w:rsidP="00BC27A4">
      <w:pPr>
        <w:bidi/>
        <w:spacing w:after="160" w:line="360" w:lineRule="auto"/>
        <w:divId w:val="1647278641"/>
        <w:rPr>
          <w:rFonts w:ascii="Traditional Arabic" w:hAnsi="Traditional Arabic" w:cs="Traditional Arabic"/>
          <w:rtl/>
        </w:rPr>
      </w:pPr>
    </w:p>
    <w:p w14:paraId="025B5B51" w14:textId="77777777" w:rsidR="00BC27A4" w:rsidRPr="00BC27A4" w:rsidRDefault="00BC27A4" w:rsidP="00BC27A4">
      <w:pPr>
        <w:bidi/>
        <w:spacing w:after="160" w:line="360" w:lineRule="auto"/>
        <w:divId w:val="1647278641"/>
        <w:rPr>
          <w:rFonts w:ascii="Traditional Arabic" w:hAnsi="Traditional Arabic" w:cs="Traditional Arabic"/>
          <w:rtl/>
        </w:rPr>
      </w:pPr>
    </w:p>
    <w:bookmarkEnd w:id="0"/>
    <w:p w14:paraId="70D58E8F" w14:textId="77777777" w:rsidR="00BC27A4" w:rsidRDefault="00BC27A4">
      <w:pPr>
        <w:rPr>
          <w:rFonts w:ascii="Traditional Arabic" w:hAnsi="Traditional Arabic" w:cs="Traditional Arabic"/>
          <w:rtl/>
        </w:rPr>
      </w:pPr>
      <w:r>
        <w:rPr>
          <w:rFonts w:ascii="Traditional Arabic" w:hAnsi="Traditional Arabic" w:cs="Traditional Arabic"/>
          <w:rtl/>
        </w:rPr>
        <w:br w:type="page"/>
      </w:r>
    </w:p>
    <w:p w14:paraId="7EE2474D" w14:textId="49D64D62" w:rsidR="00113D0D" w:rsidRDefault="007C2480" w:rsidP="00113D0D">
      <w:pPr>
        <w:bidi/>
        <w:spacing w:before="600" w:after="160" w:line="360" w:lineRule="auto"/>
        <w:ind w:left="1200" w:right="1200"/>
        <w:jc w:val="center"/>
        <w:divId w:val="1647278641"/>
        <w:rPr>
          <w:rFonts w:ascii="Traditional Arabic" w:hAnsi="Traditional Arabic" w:cs="Traditional Arabic"/>
          <w:b/>
          <w:bCs/>
          <w:sz w:val="32"/>
          <w:szCs w:val="32"/>
          <w:rtl/>
        </w:rPr>
      </w:pPr>
      <w:r w:rsidRPr="00173B3F">
        <w:rPr>
          <w:rFonts w:ascii="Traditional Arabic" w:hAnsi="Traditional Arabic" w:cs="Traditional Arabic"/>
          <w:b/>
          <w:bCs/>
          <w:sz w:val="32"/>
          <w:szCs w:val="32"/>
          <w:rtl/>
        </w:rPr>
        <w:lastRenderedPageBreak/>
        <w:t>قائمة المراجع</w:t>
      </w:r>
    </w:p>
    <w:p w14:paraId="3D5644FC" w14:textId="7ED650AF" w:rsidR="00173B3F" w:rsidRPr="00113D0D" w:rsidRDefault="00173B3F" w:rsidP="00113D0D">
      <w:pPr>
        <w:bidi/>
        <w:spacing w:before="600" w:after="160" w:line="360" w:lineRule="auto"/>
        <w:ind w:left="120" w:right="1200"/>
        <w:divId w:val="1647278641"/>
        <w:rPr>
          <w:rFonts w:ascii="Traditional Arabic" w:hAnsi="Traditional Arabic" w:cs="Traditional Arabic" w:hint="cs"/>
          <w:b/>
          <w:bCs/>
          <w:sz w:val="28"/>
          <w:szCs w:val="28"/>
          <w:rtl/>
        </w:rPr>
      </w:pPr>
      <w:r w:rsidRPr="00113D0D">
        <w:rPr>
          <w:rFonts w:ascii="Traditional Arabic" w:hAnsi="Traditional Arabic" w:cs="Traditional Arabic"/>
          <w:b/>
          <w:bCs/>
          <w:sz w:val="28"/>
          <w:szCs w:val="28"/>
          <w:rtl/>
        </w:rPr>
        <w:t>المراجع الأجنبية</w:t>
      </w:r>
      <w:r w:rsidRPr="00113D0D">
        <w:rPr>
          <w:rFonts w:ascii="Traditional Arabic" w:hAnsi="Traditional Arabic" w:cs="Traditional Arabic"/>
          <w:b/>
          <w:bCs/>
          <w:sz w:val="28"/>
          <w:szCs w:val="28"/>
        </w:rPr>
        <w:t xml:space="preserve"> A–H </w:t>
      </w:r>
    </w:p>
    <w:p w14:paraId="31A15DE6" w14:textId="77777777" w:rsidR="00173B3F" w:rsidRDefault="00173B3F" w:rsidP="00173B3F">
      <w:pPr>
        <w:pStyle w:val="FirstParagraph"/>
        <w:numPr>
          <w:ilvl w:val="0"/>
          <w:numId w:val="46"/>
        </w:numPr>
        <w:ind w:left="0"/>
        <w:divId w:val="1647278641"/>
      </w:pPr>
      <w:proofErr w:type="spellStart"/>
      <w:r>
        <w:t>Aktan</w:t>
      </w:r>
      <w:proofErr w:type="spellEnd"/>
      <w:r>
        <w:t xml:space="preserve">, M., &amp; </w:t>
      </w:r>
      <w:proofErr w:type="spellStart"/>
      <w:r>
        <w:t>Toraman</w:t>
      </w:r>
      <w:proofErr w:type="spellEnd"/>
      <w:r>
        <w:t xml:space="preserve">, Ç. (2022). The relationship between technostress levels and job satisfaction of teachers within the COVID-19 period. </w:t>
      </w:r>
      <w:r>
        <w:rPr>
          <w:i/>
          <w:iCs/>
        </w:rPr>
        <w:t>Education and Information Technologies, 27</w:t>
      </w:r>
      <w:r>
        <w:t>, 10429–10453. https://doi.org/10.1007/s10639-022-11027-2</w:t>
      </w:r>
    </w:p>
    <w:p w14:paraId="169C1F0B" w14:textId="0ACE7B52" w:rsidR="00173B3F" w:rsidRDefault="00173B3F" w:rsidP="00173B3F">
      <w:pPr>
        <w:pStyle w:val="BodyText"/>
        <w:numPr>
          <w:ilvl w:val="0"/>
          <w:numId w:val="46"/>
        </w:numPr>
        <w:ind w:left="0"/>
        <w:divId w:val="1647278641"/>
      </w:pPr>
      <w:r>
        <w:t xml:space="preserve">Al-Ansari, M., &amp; </w:t>
      </w:r>
      <w:proofErr w:type="spellStart"/>
      <w:r>
        <w:t>Alshare</w:t>
      </w:r>
      <w:proofErr w:type="spellEnd"/>
      <w:r>
        <w:t xml:space="preserve">, K. (2019). The impact of technostress components on the </w:t>
      </w:r>
      <w:proofErr w:type="gramStart"/>
      <w:r>
        <w:t>employees</w:t>
      </w:r>
      <w:proofErr w:type="gramEnd"/>
      <w:r>
        <w:t xml:space="preserve"> satisfaction and perceived performance: The case of Qatar. </w:t>
      </w:r>
      <w:r>
        <w:rPr>
          <w:i/>
          <w:iCs/>
        </w:rPr>
        <w:t>Journal of Global Information Management, 27</w:t>
      </w:r>
      <w:r>
        <w:t>(3), https://doi.org/10.4018/JGIM.2019070104</w:t>
      </w:r>
    </w:p>
    <w:p w14:paraId="7E5F9E57" w14:textId="77777777" w:rsidR="00173B3F" w:rsidRDefault="00173B3F" w:rsidP="00173B3F">
      <w:pPr>
        <w:pStyle w:val="BodyText"/>
        <w:numPr>
          <w:ilvl w:val="0"/>
          <w:numId w:val="46"/>
        </w:numPr>
        <w:ind w:left="0"/>
        <w:divId w:val="1647278641"/>
      </w:pPr>
      <w:proofErr w:type="spellStart"/>
      <w:r>
        <w:t>Alshammary</w:t>
      </w:r>
      <w:proofErr w:type="spellEnd"/>
      <w:r>
        <w:t xml:space="preserve">, N., &amp; </w:t>
      </w:r>
      <w:proofErr w:type="spellStart"/>
      <w:r>
        <w:t>Hilmi</w:t>
      </w:r>
      <w:proofErr w:type="spellEnd"/>
      <w:r>
        <w:t xml:space="preserve">, M. F. (2024). Tackling techno-stress: Supervisor support and job clarity as catalysts for employee satisfaction. </w:t>
      </w:r>
      <w:r>
        <w:rPr>
          <w:i/>
          <w:iCs/>
        </w:rPr>
        <w:t>Journal of Infrastructure, Policy and Development, 8</w:t>
      </w:r>
      <w:r>
        <w:t>(9), 5458. https://doi.org/10.24294/jipd.v8i9.5458</w:t>
      </w:r>
    </w:p>
    <w:p w14:paraId="354A7C66" w14:textId="77777777" w:rsidR="00173B3F" w:rsidRDefault="00173B3F" w:rsidP="00173B3F">
      <w:pPr>
        <w:pStyle w:val="BodyText"/>
        <w:numPr>
          <w:ilvl w:val="0"/>
          <w:numId w:val="46"/>
        </w:numPr>
        <w:ind w:left="0"/>
        <w:divId w:val="1647278641"/>
      </w:pPr>
      <w:proofErr w:type="spellStart"/>
      <w:r>
        <w:t>Ayyagari</w:t>
      </w:r>
      <w:proofErr w:type="spellEnd"/>
      <w:r>
        <w:t xml:space="preserve">, R., Grover, V., &amp; Purvis, R. (2011). Technostress: Technological antecedents and implications. </w:t>
      </w:r>
      <w:r>
        <w:rPr>
          <w:i/>
          <w:iCs/>
        </w:rPr>
        <w:t>MIS Quarterly, 35</w:t>
      </w:r>
      <w:r>
        <w:t>(4), 831–858. https://doi.org/10.2307/41409963</w:t>
      </w:r>
    </w:p>
    <w:p w14:paraId="05931439" w14:textId="4E693FF7" w:rsidR="00173B3F" w:rsidRDefault="00173B3F" w:rsidP="00173B3F">
      <w:pPr>
        <w:pStyle w:val="BodyText"/>
        <w:numPr>
          <w:ilvl w:val="0"/>
          <w:numId w:val="46"/>
        </w:numPr>
        <w:ind w:left="0"/>
        <w:divId w:val="1647278641"/>
      </w:pPr>
      <w:proofErr w:type="spellStart"/>
      <w:r>
        <w:t>Badawy</w:t>
      </w:r>
      <w:proofErr w:type="spellEnd"/>
      <w:r>
        <w:t>, (2025). The effect of perceived ease of use and usefulness of HRIS on employee satisfaction and engagement in real estate and construction sector in Egypt.</w:t>
      </w:r>
      <w:r w:rsidR="00DA3433">
        <w:t xml:space="preserve"> </w:t>
      </w:r>
      <w:r>
        <w:t>https://doi.org/10.21608/aja.2025.410527.1911</w:t>
      </w:r>
    </w:p>
    <w:p w14:paraId="767B86E6" w14:textId="77777777" w:rsidR="00173B3F" w:rsidRDefault="00173B3F" w:rsidP="00173B3F">
      <w:pPr>
        <w:pStyle w:val="BodyText"/>
        <w:numPr>
          <w:ilvl w:val="0"/>
          <w:numId w:val="46"/>
        </w:numPr>
        <w:ind w:left="0"/>
        <w:divId w:val="1647278641"/>
      </w:pPr>
      <w:r>
        <w:t xml:space="preserve">Baker, J. (2012). The technology–organization–environment framework. In Y. K. Dwivedi, M. R. Wade, &amp; S. L. </w:t>
      </w:r>
      <w:proofErr w:type="spellStart"/>
      <w:r>
        <w:t>Schneberger</w:t>
      </w:r>
      <w:proofErr w:type="spellEnd"/>
      <w:r>
        <w:t xml:space="preserve"> (Eds.), </w:t>
      </w:r>
      <w:r>
        <w:rPr>
          <w:i/>
          <w:iCs/>
        </w:rPr>
        <w:t>Information systems theory: Explaining and predicting our digital society</w:t>
      </w:r>
      <w:r>
        <w:t xml:space="preserve"> (Vol. 1, pp. 231–245). Springer. https://doi.org/10.1007/978-1-4419-6108-2_12</w:t>
      </w:r>
    </w:p>
    <w:p w14:paraId="7BF32E98" w14:textId="77777777" w:rsidR="00173B3F" w:rsidRDefault="00173B3F" w:rsidP="00173B3F">
      <w:pPr>
        <w:pStyle w:val="BodyText"/>
        <w:numPr>
          <w:ilvl w:val="0"/>
          <w:numId w:val="46"/>
        </w:numPr>
        <w:ind w:left="0"/>
        <w:divId w:val="1647278641"/>
      </w:pPr>
      <w:r>
        <w:t xml:space="preserve">Bharadwaj, A. S., El </w:t>
      </w:r>
      <w:proofErr w:type="spellStart"/>
      <w:r>
        <w:t>Sawy</w:t>
      </w:r>
      <w:proofErr w:type="spellEnd"/>
      <w:r>
        <w:t xml:space="preserve">, O. A., </w:t>
      </w:r>
      <w:proofErr w:type="spellStart"/>
      <w:r>
        <w:t>Pavlou</w:t>
      </w:r>
      <w:proofErr w:type="spellEnd"/>
      <w:r>
        <w:t xml:space="preserve">, P. A., &amp; Venkatraman, N. (2013). Digital business strategy: Toward a next generation of insights. </w:t>
      </w:r>
      <w:r>
        <w:rPr>
          <w:i/>
          <w:iCs/>
        </w:rPr>
        <w:t>MIS Quarterly, 37</w:t>
      </w:r>
      <w:r>
        <w:t>(2), 471–482. https://doi.org/10.25300/misq/2013/37:2.3</w:t>
      </w:r>
    </w:p>
    <w:p w14:paraId="3B4F85F7" w14:textId="77777777" w:rsidR="00173B3F" w:rsidRDefault="00173B3F" w:rsidP="00173B3F">
      <w:pPr>
        <w:pStyle w:val="BodyText"/>
        <w:numPr>
          <w:ilvl w:val="0"/>
          <w:numId w:val="46"/>
        </w:numPr>
        <w:ind w:left="0"/>
        <w:divId w:val="1647278641"/>
      </w:pPr>
      <w:proofErr w:type="spellStart"/>
      <w:r>
        <w:t>Bolli</w:t>
      </w:r>
      <w:proofErr w:type="spellEnd"/>
      <w:r>
        <w:t xml:space="preserve">, T., &amp; </w:t>
      </w:r>
      <w:proofErr w:type="spellStart"/>
      <w:r>
        <w:t>Pusterla</w:t>
      </w:r>
      <w:proofErr w:type="spellEnd"/>
      <w:r>
        <w:t xml:space="preserve">, F. (2022). Decomposing the effects of digitalization on workers’ job satisfaction. </w:t>
      </w:r>
      <w:r>
        <w:rPr>
          <w:i/>
          <w:iCs/>
        </w:rPr>
        <w:t>International Review of Economics, 69</w:t>
      </w:r>
      <w:r>
        <w:t>(2), 263–300. https://doi.org/10.1007/s12232-022-00392-6</w:t>
      </w:r>
    </w:p>
    <w:p w14:paraId="74D31B3C" w14:textId="77777777" w:rsidR="00173B3F" w:rsidRDefault="00173B3F" w:rsidP="00173B3F">
      <w:pPr>
        <w:pStyle w:val="BodyText"/>
        <w:numPr>
          <w:ilvl w:val="0"/>
          <w:numId w:val="46"/>
        </w:numPr>
        <w:ind w:left="0"/>
        <w:divId w:val="1647278641"/>
      </w:pPr>
      <w:r>
        <w:t xml:space="preserve">Cochran, W. G. (1977). </w:t>
      </w:r>
      <w:r>
        <w:rPr>
          <w:i/>
          <w:iCs/>
        </w:rPr>
        <w:t>Sampling techniques</w:t>
      </w:r>
      <w:r>
        <w:t xml:space="preserve"> (3rd ed.). Wiley.</w:t>
      </w:r>
    </w:p>
    <w:p w14:paraId="61C8CA13" w14:textId="77777777" w:rsidR="00173B3F" w:rsidRDefault="00173B3F" w:rsidP="00173B3F">
      <w:pPr>
        <w:pStyle w:val="BodyText"/>
        <w:numPr>
          <w:ilvl w:val="0"/>
          <w:numId w:val="46"/>
        </w:numPr>
        <w:ind w:left="0"/>
        <w:divId w:val="1647278641"/>
      </w:pPr>
      <w:r>
        <w:t xml:space="preserve">Davenport, T. H. (1993). </w:t>
      </w:r>
      <w:r>
        <w:rPr>
          <w:i/>
          <w:iCs/>
        </w:rPr>
        <w:t>Process innovation: Reengineering work through information technology</w:t>
      </w:r>
      <w:r>
        <w:t>. Harvard Business School Press.</w:t>
      </w:r>
    </w:p>
    <w:p w14:paraId="6EFD2FB7" w14:textId="77777777" w:rsidR="00173B3F" w:rsidRDefault="00173B3F" w:rsidP="00173B3F">
      <w:pPr>
        <w:pStyle w:val="BodyText"/>
        <w:numPr>
          <w:ilvl w:val="0"/>
          <w:numId w:val="46"/>
        </w:numPr>
        <w:ind w:left="0"/>
        <w:divId w:val="1647278641"/>
      </w:pPr>
      <w:r>
        <w:lastRenderedPageBreak/>
        <w:t xml:space="preserve">Davis, F. D. (1989). Perceived usefulness, perceived ease of use, and user acceptance of information technology. </w:t>
      </w:r>
      <w:r>
        <w:rPr>
          <w:i/>
          <w:iCs/>
        </w:rPr>
        <w:t>MIS Quarterly, 13</w:t>
      </w:r>
      <w:r>
        <w:t>(3), 319–340. https://doi.org/10.2307/249008</w:t>
      </w:r>
    </w:p>
    <w:p w14:paraId="021C6024" w14:textId="77777777" w:rsidR="00173B3F" w:rsidRDefault="00173B3F" w:rsidP="00173B3F">
      <w:pPr>
        <w:pStyle w:val="BodyText"/>
        <w:numPr>
          <w:ilvl w:val="0"/>
          <w:numId w:val="46"/>
        </w:numPr>
        <w:ind w:left="0"/>
        <w:divId w:val="1647278641"/>
      </w:pPr>
      <w:proofErr w:type="spellStart"/>
      <w:r>
        <w:t>DeLone</w:t>
      </w:r>
      <w:proofErr w:type="spellEnd"/>
      <w:r>
        <w:t xml:space="preserve">, W. H., &amp; McLean, E. R. (2003). The </w:t>
      </w:r>
      <w:proofErr w:type="spellStart"/>
      <w:r>
        <w:t>DeLone</w:t>
      </w:r>
      <w:proofErr w:type="spellEnd"/>
      <w:r>
        <w:t xml:space="preserve"> and McLean model of information systems success: A ten-year update. </w:t>
      </w:r>
      <w:r>
        <w:rPr>
          <w:i/>
          <w:iCs/>
        </w:rPr>
        <w:t>Journal of Management Information Systems, 19</w:t>
      </w:r>
      <w:r>
        <w:t>(4), 9–30. https://doi.org/10.1080/07421222.2003.11045748</w:t>
      </w:r>
    </w:p>
    <w:p w14:paraId="15A104D8" w14:textId="77777777" w:rsidR="00173B3F" w:rsidRDefault="00173B3F" w:rsidP="00173B3F">
      <w:pPr>
        <w:pStyle w:val="BodyText"/>
        <w:numPr>
          <w:ilvl w:val="0"/>
          <w:numId w:val="46"/>
        </w:numPr>
        <w:ind w:left="0"/>
        <w:divId w:val="1647278641"/>
      </w:pPr>
      <w:r>
        <w:t xml:space="preserve">Derks, D., van </w:t>
      </w:r>
      <w:proofErr w:type="spellStart"/>
      <w:r>
        <w:t>Mierlo</w:t>
      </w:r>
      <w:proofErr w:type="spellEnd"/>
      <w:r>
        <w:t xml:space="preserve">, H., &amp; Schmitz, E. B. (2014). A diary study on work-related smartphone use, psychological detachment and exhaustion: The role of perceived segmentation norm. </w:t>
      </w:r>
      <w:r>
        <w:rPr>
          <w:i/>
          <w:iCs/>
        </w:rPr>
        <w:t>Journal of Occupational Health Psychology, 19</w:t>
      </w:r>
      <w:r>
        <w:t>(1), 74–84. https://doi.org/10.1037/a0035076</w:t>
      </w:r>
    </w:p>
    <w:p w14:paraId="5D439C0D" w14:textId="77777777" w:rsidR="00173B3F" w:rsidRDefault="00173B3F" w:rsidP="00173B3F">
      <w:pPr>
        <w:pStyle w:val="BodyText"/>
        <w:numPr>
          <w:ilvl w:val="0"/>
          <w:numId w:val="46"/>
        </w:numPr>
        <w:ind w:left="0"/>
        <w:divId w:val="1647278641"/>
      </w:pPr>
      <w:proofErr w:type="spellStart"/>
      <w:r>
        <w:t>DeVellis</w:t>
      </w:r>
      <w:proofErr w:type="spellEnd"/>
      <w:r>
        <w:t xml:space="preserve">, R. F. (2016). </w:t>
      </w:r>
      <w:r>
        <w:rPr>
          <w:i/>
          <w:iCs/>
        </w:rPr>
        <w:t>Scale development: Theory and applications</w:t>
      </w:r>
      <w:r>
        <w:t xml:space="preserve"> (4th ed.). Sage.</w:t>
      </w:r>
    </w:p>
    <w:p w14:paraId="05C67771" w14:textId="77777777" w:rsidR="00173B3F" w:rsidRDefault="00173B3F" w:rsidP="00173B3F">
      <w:pPr>
        <w:pStyle w:val="BodyText"/>
        <w:numPr>
          <w:ilvl w:val="0"/>
          <w:numId w:val="46"/>
        </w:numPr>
        <w:ind w:left="0"/>
        <w:divId w:val="1647278641"/>
      </w:pPr>
      <w:r>
        <w:t xml:space="preserve">Eisenhardt, K. M., &amp; </w:t>
      </w:r>
      <w:proofErr w:type="spellStart"/>
      <w:r>
        <w:t>Graebner</w:t>
      </w:r>
      <w:proofErr w:type="spellEnd"/>
      <w:r>
        <w:t xml:space="preserve">, M. E. (2007). Theory building from cases: Opportunities and challenges. </w:t>
      </w:r>
      <w:r>
        <w:rPr>
          <w:i/>
          <w:iCs/>
        </w:rPr>
        <w:t>Academy of Management Journal, 50</w:t>
      </w:r>
      <w:r>
        <w:t>(1), 25–32. https://doi.org/10.5465/amj.2007.24160888</w:t>
      </w:r>
    </w:p>
    <w:p w14:paraId="29E0DFED" w14:textId="77777777" w:rsidR="00173B3F" w:rsidRDefault="00173B3F" w:rsidP="00173B3F">
      <w:pPr>
        <w:pStyle w:val="BodyText"/>
        <w:numPr>
          <w:ilvl w:val="0"/>
          <w:numId w:val="46"/>
        </w:numPr>
        <w:ind w:left="0"/>
        <w:divId w:val="1647278641"/>
      </w:pPr>
      <w:proofErr w:type="spellStart"/>
      <w:r>
        <w:t>Flyvbjerg</w:t>
      </w:r>
      <w:proofErr w:type="spellEnd"/>
      <w:r>
        <w:t xml:space="preserve">, B. (2006). Five misunderstandings about case-study research. </w:t>
      </w:r>
      <w:r>
        <w:rPr>
          <w:i/>
          <w:iCs/>
        </w:rPr>
        <w:t>Qualitative Inquiry, 12</w:t>
      </w:r>
      <w:r>
        <w:t>(2), 219–245. https://doi.org/10.1177/1077800405284363</w:t>
      </w:r>
    </w:p>
    <w:p w14:paraId="32FB5194" w14:textId="77777777" w:rsidR="00173B3F" w:rsidRDefault="00173B3F" w:rsidP="00173B3F">
      <w:pPr>
        <w:pStyle w:val="BodyText"/>
        <w:numPr>
          <w:ilvl w:val="0"/>
          <w:numId w:val="46"/>
        </w:numPr>
        <w:ind w:left="0"/>
        <w:divId w:val="1647278641"/>
      </w:pPr>
      <w:r>
        <w:t xml:space="preserve">Fowler, F. J. (2013). </w:t>
      </w:r>
      <w:r>
        <w:rPr>
          <w:i/>
          <w:iCs/>
        </w:rPr>
        <w:t>Survey research methods</w:t>
      </w:r>
      <w:r>
        <w:t xml:space="preserve"> (5th ed.). Sage.</w:t>
      </w:r>
    </w:p>
    <w:p w14:paraId="6E75635E" w14:textId="77777777" w:rsidR="00173B3F" w:rsidRDefault="00173B3F" w:rsidP="00173B3F">
      <w:pPr>
        <w:pStyle w:val="BodyText"/>
        <w:numPr>
          <w:ilvl w:val="0"/>
          <w:numId w:val="46"/>
        </w:numPr>
        <w:ind w:left="0"/>
        <w:divId w:val="1647278641"/>
      </w:pPr>
      <w:proofErr w:type="spellStart"/>
      <w:r>
        <w:t>Gerring</w:t>
      </w:r>
      <w:proofErr w:type="spellEnd"/>
      <w:r>
        <w:t xml:space="preserve">, J. (2017). </w:t>
      </w:r>
      <w:r>
        <w:rPr>
          <w:i/>
          <w:iCs/>
        </w:rPr>
        <w:t>Case study research: Principles and practices</w:t>
      </w:r>
      <w:r>
        <w:t xml:space="preserve"> (2nd ed.). Cambridge University Press.</w:t>
      </w:r>
    </w:p>
    <w:p w14:paraId="28720DBA" w14:textId="77777777" w:rsidR="00173B3F" w:rsidRDefault="00173B3F" w:rsidP="00173B3F">
      <w:pPr>
        <w:pStyle w:val="BodyText"/>
        <w:numPr>
          <w:ilvl w:val="0"/>
          <w:numId w:val="46"/>
        </w:numPr>
        <w:ind w:left="0"/>
        <w:divId w:val="1647278641"/>
      </w:pPr>
      <w:proofErr w:type="spellStart"/>
      <w:r>
        <w:t>Golz</w:t>
      </w:r>
      <w:proofErr w:type="spellEnd"/>
      <w:r>
        <w:t xml:space="preserve">, C., Peter, K. A., </w:t>
      </w:r>
      <w:proofErr w:type="spellStart"/>
      <w:r>
        <w:t>Zwakhalen</w:t>
      </w:r>
      <w:proofErr w:type="spellEnd"/>
      <w:r>
        <w:t xml:space="preserve">, S. M. G., Hahn, S., &amp; Hodel, M. (2021). Technostress and digital competence among health professionals in Swiss psychiatric hospitals: Cross-sectional study. </w:t>
      </w:r>
      <w:r>
        <w:rPr>
          <w:i/>
          <w:iCs/>
        </w:rPr>
        <w:t>JMIR Mental Health, 8</w:t>
      </w:r>
      <w:r>
        <w:t>(2), e26467. https://doi.org/10.2196/26467</w:t>
      </w:r>
    </w:p>
    <w:p w14:paraId="3A8566B9" w14:textId="77777777" w:rsidR="00173B3F" w:rsidRDefault="00173B3F" w:rsidP="00173B3F">
      <w:pPr>
        <w:pStyle w:val="BodyText"/>
        <w:numPr>
          <w:ilvl w:val="0"/>
          <w:numId w:val="46"/>
        </w:numPr>
        <w:ind w:left="0"/>
        <w:divId w:val="1647278641"/>
      </w:pPr>
      <w:r>
        <w:t xml:space="preserve">Hackman, J. R., &amp; Oldham, G. R. (1976). Motivation through the design of work: Test of a theory. </w:t>
      </w:r>
      <w:r>
        <w:rPr>
          <w:i/>
          <w:iCs/>
        </w:rPr>
        <w:t>Organizational Behavior and Human Performance, 16</w:t>
      </w:r>
      <w:r>
        <w:t>(2), 250–279. https://doi.org/10.1016/0030-5073(76)90016-7</w:t>
      </w:r>
    </w:p>
    <w:p w14:paraId="2AC28BFE" w14:textId="77777777" w:rsidR="00173B3F" w:rsidRDefault="00173B3F" w:rsidP="00173B3F">
      <w:pPr>
        <w:pStyle w:val="BodyText"/>
        <w:numPr>
          <w:ilvl w:val="0"/>
          <w:numId w:val="46"/>
        </w:numPr>
        <w:ind w:left="0"/>
        <w:divId w:val="1647278641"/>
      </w:pPr>
      <w:proofErr w:type="spellStart"/>
      <w:r>
        <w:t>Hanelt</w:t>
      </w:r>
      <w:proofErr w:type="spellEnd"/>
      <w:r>
        <w:t xml:space="preserve">, A., </w:t>
      </w:r>
      <w:proofErr w:type="spellStart"/>
      <w:r>
        <w:t>Bohnsack</w:t>
      </w:r>
      <w:proofErr w:type="spellEnd"/>
      <w:r>
        <w:t xml:space="preserve">, R., </w:t>
      </w:r>
      <w:proofErr w:type="spellStart"/>
      <w:r>
        <w:t>Marz</w:t>
      </w:r>
      <w:proofErr w:type="spellEnd"/>
      <w:r>
        <w:t xml:space="preserve">, D., &amp; Antunes </w:t>
      </w:r>
      <w:proofErr w:type="spellStart"/>
      <w:r>
        <w:t>Marante</w:t>
      </w:r>
      <w:proofErr w:type="spellEnd"/>
      <w:r>
        <w:t xml:space="preserve">, C. (2021). A systematic review of the literature on digital transformation: Insights and implications for strategy and organizational change. </w:t>
      </w:r>
      <w:r>
        <w:rPr>
          <w:i/>
          <w:iCs/>
        </w:rPr>
        <w:t>Journal of Management Studies, 58</w:t>
      </w:r>
      <w:r>
        <w:t>(5), 1159–1197. https://doi.org/10.1111/joms.12639</w:t>
      </w:r>
    </w:p>
    <w:p w14:paraId="2B9499A0" w14:textId="77777777" w:rsidR="00113D0D" w:rsidRDefault="00113D0D" w:rsidP="00113D0D">
      <w:pPr>
        <w:bidi/>
        <w:spacing w:before="600" w:after="160" w:line="360" w:lineRule="auto"/>
        <w:ind w:right="1800"/>
        <w:divId w:val="1647278641"/>
        <w:rPr>
          <w:rFonts w:ascii="Traditional Arabic" w:hAnsi="Traditional Arabic" w:cs="Traditional Arabic"/>
          <w:b/>
          <w:bCs/>
          <w:sz w:val="32"/>
          <w:szCs w:val="32"/>
          <w:rtl/>
        </w:rPr>
      </w:pPr>
      <w:bookmarkStart w:id="2" w:name="المراجع-الأجنبية-ah"/>
      <w:bookmarkEnd w:id="2"/>
    </w:p>
    <w:p w14:paraId="04815F60" w14:textId="34EAB7A9" w:rsidR="00173B3F" w:rsidRPr="00113D0D" w:rsidRDefault="00173B3F" w:rsidP="00113D0D">
      <w:pPr>
        <w:bidi/>
        <w:spacing w:before="600" w:after="160" w:line="360" w:lineRule="auto"/>
        <w:ind w:right="1800"/>
        <w:divId w:val="1647278641"/>
        <w:rPr>
          <w:rFonts w:ascii="Traditional Arabic" w:hAnsi="Traditional Arabic" w:cs="Traditional Arabic"/>
          <w:b/>
          <w:bCs/>
          <w:sz w:val="28"/>
          <w:szCs w:val="28"/>
        </w:rPr>
      </w:pPr>
      <w:r w:rsidRPr="00113D0D">
        <w:rPr>
          <w:rFonts w:ascii="Traditional Arabic" w:hAnsi="Traditional Arabic" w:cs="Traditional Arabic"/>
          <w:b/>
          <w:bCs/>
          <w:sz w:val="28"/>
          <w:szCs w:val="28"/>
          <w:rtl/>
        </w:rPr>
        <w:lastRenderedPageBreak/>
        <w:t>المراجع الأجنبية</w:t>
      </w:r>
      <w:r w:rsidRPr="00113D0D">
        <w:rPr>
          <w:rFonts w:ascii="Traditional Arabic" w:hAnsi="Traditional Arabic" w:cs="Traditional Arabic"/>
          <w:b/>
          <w:bCs/>
          <w:sz w:val="28"/>
          <w:szCs w:val="28"/>
        </w:rPr>
        <w:t xml:space="preserve"> I–R </w:t>
      </w:r>
    </w:p>
    <w:p w14:paraId="7234A004" w14:textId="20AC6E84" w:rsidR="00173B3F" w:rsidRDefault="00173B3F" w:rsidP="00DA3433">
      <w:pPr>
        <w:pStyle w:val="FirstParagraph"/>
        <w:numPr>
          <w:ilvl w:val="0"/>
          <w:numId w:val="48"/>
        </w:numPr>
        <w:ind w:left="0"/>
        <w:divId w:val="1647278641"/>
      </w:pPr>
      <w:r>
        <w:t xml:space="preserve">Jo, H., &amp; Park, H. (2023). Mechanisms for successful management of enterprise resource planning from user information processing and system quality perspective. </w:t>
      </w:r>
      <w:r>
        <w:rPr>
          <w:i/>
          <w:iCs/>
        </w:rPr>
        <w:t>Scientific Reports, 13</w:t>
      </w:r>
      <w:r w:rsidR="00DA3433">
        <w:t>.</w:t>
      </w:r>
    </w:p>
    <w:p w14:paraId="67EBB7DB" w14:textId="77777777" w:rsidR="00173B3F" w:rsidRDefault="00173B3F" w:rsidP="00173B3F">
      <w:pPr>
        <w:pStyle w:val="BodyText"/>
        <w:numPr>
          <w:ilvl w:val="0"/>
          <w:numId w:val="48"/>
        </w:numPr>
        <w:ind w:left="0"/>
        <w:divId w:val="1647278641"/>
      </w:pPr>
      <w:r>
        <w:t xml:space="preserve">Judge, T. A., </w:t>
      </w:r>
      <w:proofErr w:type="spellStart"/>
      <w:r>
        <w:t>Thoresen</w:t>
      </w:r>
      <w:proofErr w:type="spellEnd"/>
      <w:r>
        <w:t xml:space="preserve">, C. J., Bono, J. E., &amp; Patton, G. K. (2001). The job satisfaction–job performance relationship: A qualitative and quantitative review. </w:t>
      </w:r>
      <w:r>
        <w:rPr>
          <w:i/>
          <w:iCs/>
        </w:rPr>
        <w:t>Psychological Bulletin, 127</w:t>
      </w:r>
      <w:r>
        <w:t>(3), 376–407. https://doi.org/10.1037/0033-2909.127.3.376</w:t>
      </w:r>
    </w:p>
    <w:p w14:paraId="58F936E1" w14:textId="0BFC7FB8" w:rsidR="00173B3F" w:rsidRDefault="00173B3F" w:rsidP="00173B3F">
      <w:pPr>
        <w:pStyle w:val="BodyText"/>
        <w:numPr>
          <w:ilvl w:val="0"/>
          <w:numId w:val="48"/>
        </w:numPr>
        <w:ind w:left="0"/>
        <w:divId w:val="1647278641"/>
      </w:pPr>
      <w:proofErr w:type="spellStart"/>
      <w:r>
        <w:t>Kadi</w:t>
      </w:r>
      <w:proofErr w:type="spellEnd"/>
      <w:r>
        <w:t xml:space="preserve">, (2024). Digital transformation and employee involvement: Employees’ perspective in Saudi Arabia’s public sector. </w:t>
      </w:r>
      <w:r>
        <w:rPr>
          <w:i/>
          <w:iCs/>
        </w:rPr>
        <w:t>Environment and Social Psychology, 9</w:t>
      </w:r>
      <w:r>
        <w:t>(11), 3042. https://doi.org/10.59429/esp.v9i11.3042</w:t>
      </w:r>
    </w:p>
    <w:p w14:paraId="6BBB4C46" w14:textId="3D001489" w:rsidR="00173B3F" w:rsidRDefault="00173B3F" w:rsidP="00173B3F">
      <w:pPr>
        <w:pStyle w:val="BodyText"/>
        <w:numPr>
          <w:ilvl w:val="0"/>
          <w:numId w:val="48"/>
        </w:numPr>
        <w:ind w:left="0"/>
        <w:divId w:val="1647278641"/>
      </w:pPr>
      <w:proofErr w:type="spellStart"/>
      <w:r>
        <w:t>Khuc</w:t>
      </w:r>
      <w:proofErr w:type="spellEnd"/>
      <w:r>
        <w:t xml:space="preserve"> &amp; Nguyen</w:t>
      </w:r>
      <w:r>
        <w:rPr>
          <w:rtl/>
        </w:rPr>
        <w:t>. (2025</w:t>
      </w:r>
      <w:r>
        <w:t xml:space="preserve"> The impact of digital transformation on job performance: The mediating role of job satisfaction and work pressure. </w:t>
      </w:r>
      <w:r>
        <w:rPr>
          <w:i/>
          <w:iCs/>
        </w:rPr>
        <w:t>Ho Chi Minh City Open University Journal of Science—Economics and Business Administration, 15</w:t>
      </w:r>
      <w:r>
        <w:t>(6), https://doi.org/10.46223/HCMCOUJS.econ.en.15.6.3935.2025</w:t>
      </w:r>
    </w:p>
    <w:p w14:paraId="0B6A00E9" w14:textId="77777777" w:rsidR="00173B3F" w:rsidRDefault="00173B3F" w:rsidP="00173B3F">
      <w:pPr>
        <w:pStyle w:val="BodyText"/>
        <w:numPr>
          <w:ilvl w:val="0"/>
          <w:numId w:val="48"/>
        </w:numPr>
        <w:ind w:left="0"/>
        <w:divId w:val="1647278641"/>
      </w:pPr>
      <w:r>
        <w:t xml:space="preserve">Kim, J., &amp; Sohn, S. (2024). The impact of quiet quitting on turnover intentions in the era of digital transformation: The mediating roles of job satisfaction and affective commitment, and the moderating role of psychological safety. </w:t>
      </w:r>
      <w:r>
        <w:rPr>
          <w:i/>
          <w:iCs/>
        </w:rPr>
        <w:t>Systems, 12</w:t>
      </w:r>
      <w:r>
        <w:t>(11), 460. https://doi.org/10.3390/systems12110460</w:t>
      </w:r>
    </w:p>
    <w:p w14:paraId="442BA705" w14:textId="77777777" w:rsidR="00173B3F" w:rsidRDefault="00173B3F" w:rsidP="00173B3F">
      <w:pPr>
        <w:pStyle w:val="BodyText"/>
        <w:numPr>
          <w:ilvl w:val="0"/>
          <w:numId w:val="48"/>
        </w:numPr>
        <w:ind w:left="0"/>
        <w:divId w:val="1647278641"/>
      </w:pPr>
      <w:proofErr w:type="spellStart"/>
      <w:r>
        <w:t>Kot</w:t>
      </w:r>
      <w:proofErr w:type="spellEnd"/>
      <w:r>
        <w:t xml:space="preserve">, P. (2022). Psychometric properties of the Polish adaptation of Technostress Creators and Technostress Inhibitors Scale. </w:t>
      </w:r>
      <w:proofErr w:type="spellStart"/>
      <w:r>
        <w:rPr>
          <w:i/>
          <w:iCs/>
        </w:rPr>
        <w:t>Medycyna</w:t>
      </w:r>
      <w:proofErr w:type="spellEnd"/>
      <w:r>
        <w:rPr>
          <w:i/>
          <w:iCs/>
        </w:rPr>
        <w:t xml:space="preserve"> </w:t>
      </w:r>
      <w:proofErr w:type="spellStart"/>
      <w:r>
        <w:rPr>
          <w:i/>
          <w:iCs/>
        </w:rPr>
        <w:t>Pracy</w:t>
      </w:r>
      <w:proofErr w:type="spellEnd"/>
      <w:r>
        <w:rPr>
          <w:i/>
          <w:iCs/>
        </w:rPr>
        <w:t>, 73</w:t>
      </w:r>
      <w:r>
        <w:t>(4), 277–293. https://doi.org/10.13075/mp.5893.01236</w:t>
      </w:r>
    </w:p>
    <w:p w14:paraId="59B352BE" w14:textId="77777777" w:rsidR="00173B3F" w:rsidRDefault="00173B3F" w:rsidP="00173B3F">
      <w:pPr>
        <w:pStyle w:val="BodyText"/>
        <w:numPr>
          <w:ilvl w:val="0"/>
          <w:numId w:val="48"/>
        </w:numPr>
        <w:ind w:left="0"/>
        <w:divId w:val="1647278641"/>
      </w:pPr>
      <w:r>
        <w:t xml:space="preserve">Kumar, S. (2024). Technostress: A comprehensive literature review on dimensions, impacts, and management strategies. </w:t>
      </w:r>
      <w:r>
        <w:rPr>
          <w:i/>
          <w:iCs/>
        </w:rPr>
        <w:t>Computers in Human Behavior Reports, 16</w:t>
      </w:r>
      <w:r>
        <w:t>, 100475. https://doi.org/10.1016/j.chbr.2024.100475</w:t>
      </w:r>
    </w:p>
    <w:p w14:paraId="4F7A1A64" w14:textId="77777777" w:rsidR="00173B3F" w:rsidRDefault="00173B3F" w:rsidP="00173B3F">
      <w:pPr>
        <w:pStyle w:val="BodyText"/>
        <w:numPr>
          <w:ilvl w:val="0"/>
          <w:numId w:val="48"/>
        </w:numPr>
        <w:ind w:left="0"/>
        <w:divId w:val="1647278641"/>
      </w:pPr>
      <w:proofErr w:type="spellStart"/>
      <w:r>
        <w:t>Lechevalier</w:t>
      </w:r>
      <w:proofErr w:type="spellEnd"/>
      <w:r>
        <w:t xml:space="preserve">, S., &amp; </w:t>
      </w:r>
      <w:proofErr w:type="spellStart"/>
      <w:r>
        <w:t>Mofakhami</w:t>
      </w:r>
      <w:proofErr w:type="spellEnd"/>
      <w:r>
        <w:t xml:space="preserve">, M. (2025). Assessing job satisfaction in the era of digital transformation: A comparative study of the first wave of tasks digitalization in Japan and France. </w:t>
      </w:r>
      <w:r>
        <w:rPr>
          <w:i/>
          <w:iCs/>
        </w:rPr>
        <w:t>Eurasian Business Review</w:t>
      </w:r>
      <w:r>
        <w:t>. Advance online publication. https://doi.org/10.1007/s40821-024-00282-7</w:t>
      </w:r>
    </w:p>
    <w:p w14:paraId="1A53403A" w14:textId="77777777" w:rsidR="00173B3F" w:rsidRDefault="00173B3F" w:rsidP="00173B3F">
      <w:pPr>
        <w:pStyle w:val="BodyText"/>
        <w:numPr>
          <w:ilvl w:val="0"/>
          <w:numId w:val="48"/>
        </w:numPr>
        <w:ind w:left="0"/>
        <w:divId w:val="1647278641"/>
      </w:pPr>
      <w:r>
        <w:t xml:space="preserve">Locke, E. A. (1976). The nature and causes of job satisfaction. In M. D. </w:t>
      </w:r>
      <w:proofErr w:type="spellStart"/>
      <w:r>
        <w:t>Dunnette</w:t>
      </w:r>
      <w:proofErr w:type="spellEnd"/>
      <w:r>
        <w:t xml:space="preserve"> (Ed.), </w:t>
      </w:r>
      <w:r>
        <w:rPr>
          <w:i/>
          <w:iCs/>
        </w:rPr>
        <w:t>Handbook of industrial and organizational psychology</w:t>
      </w:r>
      <w:r>
        <w:t xml:space="preserve"> (pp. 1297–1349). Rand McNally.</w:t>
      </w:r>
    </w:p>
    <w:p w14:paraId="06D3B901" w14:textId="77777777" w:rsidR="00173B3F" w:rsidRDefault="00173B3F" w:rsidP="00173B3F">
      <w:pPr>
        <w:pStyle w:val="BodyText"/>
        <w:numPr>
          <w:ilvl w:val="0"/>
          <w:numId w:val="48"/>
        </w:numPr>
        <w:ind w:left="0"/>
        <w:divId w:val="1647278641"/>
      </w:pPr>
      <w:r>
        <w:t xml:space="preserve">Markus, M. L., &amp; Mao, J.-Y. (2004). Participation in development and implementation—Updating an old, tired concept for today’s IS contexts. </w:t>
      </w:r>
      <w:r>
        <w:rPr>
          <w:i/>
          <w:iCs/>
        </w:rPr>
        <w:t>Journal of the Association for Information Systems, 5</w:t>
      </w:r>
      <w:r>
        <w:t>(11), 514–544. https://doi.org/10.17705/1jais.00057</w:t>
      </w:r>
    </w:p>
    <w:p w14:paraId="036D1D3B" w14:textId="77777777" w:rsidR="00173B3F" w:rsidRDefault="00173B3F" w:rsidP="00173B3F">
      <w:pPr>
        <w:pStyle w:val="BodyText"/>
        <w:numPr>
          <w:ilvl w:val="0"/>
          <w:numId w:val="48"/>
        </w:numPr>
        <w:ind w:left="0"/>
        <w:divId w:val="1647278641"/>
      </w:pPr>
      <w:r>
        <w:lastRenderedPageBreak/>
        <w:t xml:space="preserve">Matt, C., Hess, T., &amp; </w:t>
      </w:r>
      <w:proofErr w:type="spellStart"/>
      <w:r>
        <w:t>Benlian</w:t>
      </w:r>
      <w:proofErr w:type="spellEnd"/>
      <w:r>
        <w:t xml:space="preserve">, A. (2015). Digital transformation strategies. </w:t>
      </w:r>
      <w:r>
        <w:rPr>
          <w:i/>
          <w:iCs/>
        </w:rPr>
        <w:t>Business &amp; Information Systems Engineering, 57</w:t>
      </w:r>
      <w:r>
        <w:t>(5), 339–343. https://doi.org/10.1007/s12599-015-0401-5</w:t>
      </w:r>
    </w:p>
    <w:p w14:paraId="0C0706F3" w14:textId="77777777" w:rsidR="00173B3F" w:rsidRDefault="00173B3F" w:rsidP="00173B3F">
      <w:pPr>
        <w:pStyle w:val="BodyText"/>
        <w:numPr>
          <w:ilvl w:val="0"/>
          <w:numId w:val="48"/>
        </w:numPr>
        <w:ind w:left="0"/>
        <w:divId w:val="1647278641"/>
      </w:pPr>
      <w:proofErr w:type="spellStart"/>
      <w:r>
        <w:t>Mergel</w:t>
      </w:r>
      <w:proofErr w:type="spellEnd"/>
      <w:r>
        <w:t xml:space="preserve">, I., </w:t>
      </w:r>
      <w:proofErr w:type="spellStart"/>
      <w:r>
        <w:t>Edelmann</w:t>
      </w:r>
      <w:proofErr w:type="spellEnd"/>
      <w:r>
        <w:t xml:space="preserve">, N., &amp; </w:t>
      </w:r>
      <w:proofErr w:type="spellStart"/>
      <w:r>
        <w:t>Haug</w:t>
      </w:r>
      <w:proofErr w:type="spellEnd"/>
      <w:r>
        <w:t xml:space="preserve">, N. (2019). Defining digital transformation: Results from expert interviews. </w:t>
      </w:r>
      <w:r>
        <w:rPr>
          <w:i/>
          <w:iCs/>
        </w:rPr>
        <w:t>Government Information Quarterly, 36</w:t>
      </w:r>
      <w:r>
        <w:t>(4), 101385. https://doi.org/10.1016/j.giq.2019.06.002</w:t>
      </w:r>
    </w:p>
    <w:p w14:paraId="04A259B2" w14:textId="77777777" w:rsidR="00173B3F" w:rsidRDefault="00173B3F" w:rsidP="00173B3F">
      <w:pPr>
        <w:pStyle w:val="BodyText"/>
        <w:numPr>
          <w:ilvl w:val="0"/>
          <w:numId w:val="48"/>
        </w:numPr>
        <w:ind w:left="0"/>
        <w:divId w:val="1647278641"/>
      </w:pPr>
      <w:r>
        <w:t xml:space="preserve">Morris, M. G., &amp; Venkatesh, V. (2000). Age differences in technology adoption decisions. </w:t>
      </w:r>
      <w:r>
        <w:rPr>
          <w:i/>
          <w:iCs/>
        </w:rPr>
        <w:t>Personnel Psychology, 53</w:t>
      </w:r>
      <w:r>
        <w:t>(2), 375–403. https://doi.org/10.1111/j.1744-6570.2000.tb00206.x</w:t>
      </w:r>
    </w:p>
    <w:p w14:paraId="6357A4BB" w14:textId="77777777" w:rsidR="00173B3F" w:rsidRDefault="00173B3F" w:rsidP="00173B3F">
      <w:pPr>
        <w:pStyle w:val="BodyText"/>
        <w:numPr>
          <w:ilvl w:val="0"/>
          <w:numId w:val="48"/>
        </w:numPr>
        <w:ind w:left="0"/>
        <w:divId w:val="1647278641"/>
      </w:pPr>
      <w:proofErr w:type="spellStart"/>
      <w:r>
        <w:t>Mutambik</w:t>
      </w:r>
      <w:proofErr w:type="spellEnd"/>
      <w:r>
        <w:t xml:space="preserve">, I., &amp; </w:t>
      </w:r>
      <w:proofErr w:type="spellStart"/>
      <w:r>
        <w:t>Almuqrin</w:t>
      </w:r>
      <w:proofErr w:type="spellEnd"/>
      <w:r>
        <w:t xml:space="preserve">, A. (2024). Employee acceptance of digital transformation: A study in a smart city context. </w:t>
      </w:r>
      <w:r>
        <w:rPr>
          <w:i/>
          <w:iCs/>
        </w:rPr>
        <w:t>Sustainability, 16</w:t>
      </w:r>
      <w:r>
        <w:t>(4), 1398. https://doi.org/10.3390/su16041398</w:t>
      </w:r>
    </w:p>
    <w:p w14:paraId="34577413" w14:textId="77777777" w:rsidR="00173B3F" w:rsidRDefault="00173B3F" w:rsidP="00173B3F">
      <w:pPr>
        <w:pStyle w:val="BodyText"/>
        <w:numPr>
          <w:ilvl w:val="0"/>
          <w:numId w:val="48"/>
        </w:numPr>
        <w:ind w:left="0"/>
        <w:divId w:val="1647278641"/>
      </w:pPr>
      <w:r>
        <w:t xml:space="preserve">Nadkarni, S., &amp; </w:t>
      </w:r>
      <w:proofErr w:type="spellStart"/>
      <w:r>
        <w:t>Prügl</w:t>
      </w:r>
      <w:proofErr w:type="spellEnd"/>
      <w:r>
        <w:t xml:space="preserve">, R. (2021). Digital transformation: A review, synthesis and opportunities for future research. </w:t>
      </w:r>
      <w:r>
        <w:rPr>
          <w:i/>
          <w:iCs/>
        </w:rPr>
        <w:t>Management Review Quarterly, 71</w:t>
      </w:r>
      <w:r>
        <w:t>, 233–341. https://doi.org/10.1007/s11301-020-00185-7</w:t>
      </w:r>
    </w:p>
    <w:p w14:paraId="1A0CC416" w14:textId="77777777" w:rsidR="00173B3F" w:rsidRDefault="00173B3F" w:rsidP="00173B3F">
      <w:pPr>
        <w:pStyle w:val="BodyText"/>
        <w:numPr>
          <w:ilvl w:val="0"/>
          <w:numId w:val="48"/>
        </w:numPr>
        <w:ind w:left="0"/>
        <w:divId w:val="1647278641"/>
      </w:pPr>
      <w:proofErr w:type="spellStart"/>
      <w:r>
        <w:t>Ninaus</w:t>
      </w:r>
      <w:proofErr w:type="spellEnd"/>
      <w:r>
        <w:t xml:space="preserve">, K., Diehl, S., &amp; </w:t>
      </w:r>
      <w:proofErr w:type="spellStart"/>
      <w:r>
        <w:t>Terlutter</w:t>
      </w:r>
      <w:proofErr w:type="spellEnd"/>
      <w:r>
        <w:t xml:space="preserve">, R. (2021). Employee perceptions of ICTs, burnout, job satisfaction, and work–family balance. </w:t>
      </w:r>
      <w:r>
        <w:rPr>
          <w:i/>
          <w:iCs/>
        </w:rPr>
        <w:t>Journal of Business Research, 136</w:t>
      </w:r>
      <w:r>
        <w:t>, 652–666. https://doi.org/10.1016/j.jbusres.2020.11.048</w:t>
      </w:r>
    </w:p>
    <w:p w14:paraId="76CB48E5" w14:textId="77777777" w:rsidR="00173B3F" w:rsidRDefault="00173B3F" w:rsidP="00173B3F">
      <w:pPr>
        <w:pStyle w:val="BodyText"/>
        <w:numPr>
          <w:ilvl w:val="0"/>
          <w:numId w:val="48"/>
        </w:numPr>
        <w:ind w:left="0"/>
        <w:divId w:val="1647278641"/>
      </w:pPr>
      <w:r>
        <w:t xml:space="preserve">Oliveira, T., &amp; Martins, M. F. (2011). Literature review of information technology adoption models at firm level. </w:t>
      </w:r>
      <w:r>
        <w:rPr>
          <w:i/>
          <w:iCs/>
        </w:rPr>
        <w:t>The Electronic Journal of Information Systems Evaluation, 14</w:t>
      </w:r>
      <w:r>
        <w:t>(1), 110–121. https://academic-publishing.org/index.php/ejise/article/view/389</w:t>
      </w:r>
    </w:p>
    <w:p w14:paraId="6FB86F47" w14:textId="77777777" w:rsidR="00173B3F" w:rsidRDefault="00173B3F" w:rsidP="00173B3F">
      <w:pPr>
        <w:pStyle w:val="BodyText"/>
        <w:numPr>
          <w:ilvl w:val="0"/>
          <w:numId w:val="48"/>
        </w:numPr>
        <w:ind w:left="0"/>
        <w:divId w:val="1647278641"/>
      </w:pPr>
      <w:proofErr w:type="spellStart"/>
      <w:r>
        <w:t>Paulhus</w:t>
      </w:r>
      <w:proofErr w:type="spellEnd"/>
      <w:r>
        <w:t xml:space="preserve">, D. L. (1991). Measurement and control of response bias. In J. P. Robinson, P. R. Shaver, &amp; L. S. </w:t>
      </w:r>
      <w:proofErr w:type="spellStart"/>
      <w:r>
        <w:t>Wrightsman</w:t>
      </w:r>
      <w:proofErr w:type="spellEnd"/>
      <w:r>
        <w:t xml:space="preserve"> (Eds.), </w:t>
      </w:r>
      <w:r>
        <w:rPr>
          <w:i/>
          <w:iCs/>
        </w:rPr>
        <w:t>Measures of personality and social psychological attitudes</w:t>
      </w:r>
      <w:r>
        <w:t xml:space="preserve"> (pp. 17–59). Academic Press.</w:t>
      </w:r>
    </w:p>
    <w:p w14:paraId="1191DAD3" w14:textId="77777777" w:rsidR="00173B3F" w:rsidRDefault="00173B3F" w:rsidP="00173B3F">
      <w:pPr>
        <w:pStyle w:val="BodyText"/>
        <w:numPr>
          <w:ilvl w:val="0"/>
          <w:numId w:val="48"/>
        </w:numPr>
        <w:ind w:left="0"/>
        <w:divId w:val="1647278641"/>
      </w:pPr>
      <w:proofErr w:type="spellStart"/>
      <w:r>
        <w:t>Petter</w:t>
      </w:r>
      <w:proofErr w:type="spellEnd"/>
      <w:r>
        <w:t xml:space="preserve">, S., </w:t>
      </w:r>
      <w:proofErr w:type="spellStart"/>
      <w:r>
        <w:t>DeLone</w:t>
      </w:r>
      <w:proofErr w:type="spellEnd"/>
      <w:r>
        <w:t xml:space="preserve">, W., &amp; McLean, E. (2008). Measuring information systems success: Models, dimensions, measures, and interrelationships. </w:t>
      </w:r>
      <w:r>
        <w:rPr>
          <w:i/>
          <w:iCs/>
        </w:rPr>
        <w:t>European Journal of Information Systems, 17</w:t>
      </w:r>
      <w:r>
        <w:t>(3), 236–263. https://doi.org/10.1057/ejis.2008.15</w:t>
      </w:r>
    </w:p>
    <w:p w14:paraId="23849703" w14:textId="77777777" w:rsidR="00173B3F" w:rsidRDefault="00173B3F" w:rsidP="00173B3F">
      <w:pPr>
        <w:pStyle w:val="BodyText"/>
        <w:numPr>
          <w:ilvl w:val="0"/>
          <w:numId w:val="48"/>
        </w:numPr>
        <w:ind w:left="0"/>
        <w:divId w:val="1647278641"/>
      </w:pPr>
      <w:proofErr w:type="spellStart"/>
      <w:r>
        <w:t>Ployhart</w:t>
      </w:r>
      <w:proofErr w:type="spellEnd"/>
      <w:r>
        <w:t xml:space="preserve">, R. E., &amp; Vandenberg, R. J. (2010). Longitudinal research: The theory, design, and analysis of change. </w:t>
      </w:r>
      <w:r>
        <w:rPr>
          <w:i/>
          <w:iCs/>
        </w:rPr>
        <w:t>Journal of Management, 36</w:t>
      </w:r>
      <w:r>
        <w:t>(1), 94–120. https://doi.org/10.1177/0149206309352110</w:t>
      </w:r>
    </w:p>
    <w:p w14:paraId="30A21712" w14:textId="77777777" w:rsidR="00173B3F" w:rsidRDefault="00173B3F" w:rsidP="00173B3F">
      <w:pPr>
        <w:pStyle w:val="BodyText"/>
        <w:numPr>
          <w:ilvl w:val="0"/>
          <w:numId w:val="48"/>
        </w:numPr>
        <w:ind w:left="0"/>
        <w:divId w:val="1647278641"/>
      </w:pPr>
      <w:r>
        <w:t xml:space="preserve">Podsakoff, P. M., </w:t>
      </w:r>
      <w:proofErr w:type="spellStart"/>
      <w:r>
        <w:t>MacKenzie</w:t>
      </w:r>
      <w:proofErr w:type="spellEnd"/>
      <w:r>
        <w:t xml:space="preserve">, S. B., Lee, J.-Y., &amp; Podsakoff, N. P. (2003). Common method biases in behavioral research: A critical review of the literature and recommended remedies. </w:t>
      </w:r>
      <w:r>
        <w:rPr>
          <w:i/>
          <w:iCs/>
        </w:rPr>
        <w:t>Journal of Applied Psychology, 88</w:t>
      </w:r>
      <w:r>
        <w:t>(5), 879–903. https://doi.org/10.1037/0021-9010.88.5.879</w:t>
      </w:r>
    </w:p>
    <w:p w14:paraId="555BE43B" w14:textId="77777777" w:rsidR="00173B3F" w:rsidRDefault="00173B3F" w:rsidP="00173B3F">
      <w:pPr>
        <w:pStyle w:val="BodyText"/>
        <w:numPr>
          <w:ilvl w:val="0"/>
          <w:numId w:val="48"/>
        </w:numPr>
        <w:ind w:left="0"/>
        <w:divId w:val="1647278641"/>
      </w:pPr>
      <w:r>
        <w:t xml:space="preserve">Ragu-Nathan, T. S., </w:t>
      </w:r>
      <w:proofErr w:type="spellStart"/>
      <w:r>
        <w:t>Tarafdar</w:t>
      </w:r>
      <w:proofErr w:type="spellEnd"/>
      <w:r>
        <w:t xml:space="preserve">, M., Ragu-Nathan, B. S., &amp; Tu, Q. (2008). Consequences of technostress for end users in organizations: Conceptual development and empirical validation. </w:t>
      </w:r>
      <w:r>
        <w:rPr>
          <w:i/>
          <w:iCs/>
        </w:rPr>
        <w:t>Information Systems Research, 19</w:t>
      </w:r>
      <w:r>
        <w:t>(4), 417–433. https://doi.org/10.1287/isre.1070.0165</w:t>
      </w:r>
    </w:p>
    <w:p w14:paraId="414F8B58" w14:textId="77777777" w:rsidR="00173B3F" w:rsidRDefault="00173B3F" w:rsidP="00173B3F">
      <w:pPr>
        <w:pStyle w:val="BodyText"/>
        <w:numPr>
          <w:ilvl w:val="0"/>
          <w:numId w:val="48"/>
        </w:numPr>
        <w:ind w:left="0"/>
        <w:divId w:val="1647278641"/>
      </w:pPr>
      <w:proofErr w:type="spellStart"/>
      <w:r>
        <w:lastRenderedPageBreak/>
        <w:t>Ravid</w:t>
      </w:r>
      <w:proofErr w:type="spellEnd"/>
      <w:r>
        <w:t xml:space="preserve">, D., </w:t>
      </w:r>
      <w:proofErr w:type="spellStart"/>
      <w:r>
        <w:t>Tomprou</w:t>
      </w:r>
      <w:proofErr w:type="spellEnd"/>
      <w:r>
        <w:t xml:space="preserve">, M., &amp; </w:t>
      </w:r>
      <w:proofErr w:type="spellStart"/>
      <w:r>
        <w:t>Detert</w:t>
      </w:r>
      <w:proofErr w:type="spellEnd"/>
      <w:r>
        <w:t xml:space="preserve">, J. R. (2020). A meta-analysis of electronic performance monitoring. </w:t>
      </w:r>
      <w:r>
        <w:rPr>
          <w:i/>
          <w:iCs/>
        </w:rPr>
        <w:t>Journal of Applied Psychology, 105</w:t>
      </w:r>
      <w:r>
        <w:t>(12), 1461–1482. https://doi.org/10.1037/apl0000486</w:t>
      </w:r>
    </w:p>
    <w:p w14:paraId="23A175A1" w14:textId="77777777" w:rsidR="00173B3F" w:rsidRDefault="00173B3F" w:rsidP="00173B3F">
      <w:pPr>
        <w:pStyle w:val="BodyText"/>
        <w:numPr>
          <w:ilvl w:val="0"/>
          <w:numId w:val="48"/>
        </w:numPr>
        <w:ind w:left="0"/>
        <w:divId w:val="1647278641"/>
      </w:pPr>
      <w:proofErr w:type="spellStart"/>
      <w:r>
        <w:t>Ravid</w:t>
      </w:r>
      <w:proofErr w:type="spellEnd"/>
      <w:r>
        <w:t xml:space="preserve">, D. M., White, J. C., Tomczak, D. L., Miles, A. F., &amp; Behrend, T. S. (2023). A meta-analysis of the effects of electronic performance monitoring on work outcomes. </w:t>
      </w:r>
      <w:r>
        <w:rPr>
          <w:i/>
          <w:iCs/>
        </w:rPr>
        <w:t>Personnel Psychology, 76</w:t>
      </w:r>
      <w:r>
        <w:t>(1), 5–40. https://doi.org/10.1111/peps.12514</w:t>
      </w:r>
    </w:p>
    <w:p w14:paraId="042A5FFC" w14:textId="77777777" w:rsidR="00173B3F" w:rsidRDefault="00173B3F" w:rsidP="00173B3F">
      <w:pPr>
        <w:pStyle w:val="BodyText"/>
        <w:numPr>
          <w:ilvl w:val="0"/>
          <w:numId w:val="48"/>
        </w:numPr>
        <w:ind w:left="0"/>
        <w:divId w:val="1647278641"/>
      </w:pPr>
      <w:proofErr w:type="spellStart"/>
      <w:r>
        <w:t>Rindfleisch</w:t>
      </w:r>
      <w:proofErr w:type="spellEnd"/>
      <w:r>
        <w:t xml:space="preserve">, A., </w:t>
      </w:r>
      <w:proofErr w:type="spellStart"/>
      <w:r>
        <w:t>Malter</w:t>
      </w:r>
      <w:proofErr w:type="spellEnd"/>
      <w:r>
        <w:t xml:space="preserve">, A. J., Ganesan, S., &amp; Moorman, C. (2008). Cross-sectional versus longitudinal survey research: Concepts, findings, and guidelines. </w:t>
      </w:r>
      <w:r>
        <w:rPr>
          <w:i/>
          <w:iCs/>
        </w:rPr>
        <w:t>Journal of Marketing Research, 45</w:t>
      </w:r>
      <w:r>
        <w:t>(3), 261–279. https://doi.org/10.1509/jmkr.45.3.261</w:t>
      </w:r>
    </w:p>
    <w:p w14:paraId="68B0E664" w14:textId="28C76A88" w:rsidR="00173B3F" w:rsidRPr="00113D0D" w:rsidRDefault="00173B3F" w:rsidP="00113D0D">
      <w:pPr>
        <w:bidi/>
        <w:spacing w:before="600" w:after="160" w:line="360" w:lineRule="auto"/>
        <w:ind w:right="1800"/>
        <w:divId w:val="1647278641"/>
        <w:rPr>
          <w:rFonts w:ascii="Traditional Arabic" w:hAnsi="Traditional Arabic" w:cs="Traditional Arabic" w:hint="cs"/>
          <w:b/>
          <w:bCs/>
          <w:sz w:val="28"/>
          <w:szCs w:val="28"/>
          <w:rtl/>
        </w:rPr>
      </w:pPr>
      <w:bookmarkStart w:id="3" w:name="المراجع-الأجنبية-ir"/>
      <w:bookmarkEnd w:id="3"/>
      <w:r w:rsidRPr="00113D0D">
        <w:rPr>
          <w:rFonts w:ascii="Traditional Arabic" w:hAnsi="Traditional Arabic" w:cs="Traditional Arabic"/>
          <w:b/>
          <w:bCs/>
          <w:sz w:val="28"/>
          <w:szCs w:val="28"/>
          <w:rtl/>
        </w:rPr>
        <w:t>المراجع الأجنبية</w:t>
      </w:r>
      <w:r w:rsidRPr="00113D0D">
        <w:rPr>
          <w:rFonts w:ascii="Traditional Arabic" w:hAnsi="Traditional Arabic" w:cs="Traditional Arabic"/>
          <w:b/>
          <w:bCs/>
          <w:sz w:val="28"/>
          <w:szCs w:val="28"/>
        </w:rPr>
        <w:t xml:space="preserve"> S–Z</w:t>
      </w:r>
      <w:r w:rsidR="00113D0D" w:rsidRPr="00113D0D">
        <w:rPr>
          <w:rFonts w:ascii="Traditional Arabic" w:hAnsi="Traditional Arabic" w:cs="Traditional Arabic"/>
          <w:b/>
          <w:bCs/>
          <w:sz w:val="28"/>
          <w:szCs w:val="28"/>
        </w:rPr>
        <w:t xml:space="preserve"> </w:t>
      </w:r>
    </w:p>
    <w:p w14:paraId="65836BBC" w14:textId="11EEF4B6" w:rsidR="00173B3F" w:rsidRDefault="00173B3F" w:rsidP="00DA3433">
      <w:pPr>
        <w:pStyle w:val="FirstParagraph"/>
        <w:numPr>
          <w:ilvl w:val="0"/>
          <w:numId w:val="49"/>
        </w:numPr>
        <w:ind w:left="0"/>
        <w:divId w:val="1647278641"/>
      </w:pPr>
      <w:proofErr w:type="spellStart"/>
      <w:r>
        <w:t>Sarker</w:t>
      </w:r>
      <w:proofErr w:type="spellEnd"/>
      <w:r>
        <w:t xml:space="preserve">, S., Chatterjee, S., Xiao, X., &amp; </w:t>
      </w:r>
      <w:proofErr w:type="spellStart"/>
      <w:r>
        <w:t>Elbanna</w:t>
      </w:r>
      <w:proofErr w:type="spellEnd"/>
      <w:r>
        <w:t xml:space="preserve">, A. (2019). The sociotechnical axis of cohesion for the IS discipline: Its historical legacy and its continued relevance. </w:t>
      </w:r>
      <w:r>
        <w:rPr>
          <w:i/>
          <w:iCs/>
        </w:rPr>
        <w:t>MIS Quarterly, 43</w:t>
      </w:r>
      <w:r>
        <w:t>(3)</w:t>
      </w:r>
      <w:r w:rsidR="00DA3433">
        <w:t>.</w:t>
      </w:r>
    </w:p>
    <w:p w14:paraId="7DC8EA3A" w14:textId="77777777" w:rsidR="00173B3F" w:rsidRDefault="00173B3F" w:rsidP="00173B3F">
      <w:pPr>
        <w:pStyle w:val="BodyText"/>
        <w:numPr>
          <w:ilvl w:val="0"/>
          <w:numId w:val="49"/>
        </w:numPr>
        <w:ind w:left="0"/>
        <w:divId w:val="1647278641"/>
      </w:pPr>
      <w:proofErr w:type="spellStart"/>
      <w:r>
        <w:t>Shadish</w:t>
      </w:r>
      <w:proofErr w:type="spellEnd"/>
      <w:r>
        <w:t xml:space="preserve">, W. R., Cook, T. D., &amp; Campbell, D. T. (2002). </w:t>
      </w:r>
      <w:r>
        <w:rPr>
          <w:i/>
          <w:iCs/>
        </w:rPr>
        <w:t>Experimental and quasi-experimental designs for generalized causal inference</w:t>
      </w:r>
      <w:r>
        <w:t>. Houghton Mifflin.</w:t>
      </w:r>
    </w:p>
    <w:p w14:paraId="1FCEB898" w14:textId="4F6AAB55" w:rsidR="00173B3F" w:rsidRDefault="00173B3F" w:rsidP="00173B3F">
      <w:pPr>
        <w:pStyle w:val="BodyText"/>
        <w:numPr>
          <w:ilvl w:val="0"/>
          <w:numId w:val="49"/>
        </w:numPr>
        <w:ind w:left="0"/>
        <w:divId w:val="1647278641"/>
      </w:pPr>
      <w:proofErr w:type="spellStart"/>
      <w:r>
        <w:t>Shibeika</w:t>
      </w:r>
      <w:proofErr w:type="spellEnd"/>
      <w:r>
        <w:t xml:space="preserve">, </w:t>
      </w:r>
      <w:r>
        <w:rPr>
          <w:rtl/>
        </w:rPr>
        <w:t>وآخرون</w:t>
      </w:r>
      <w:r>
        <w:t xml:space="preserve">. (2025). The impact of digital transformation in human resource management on employee satisfaction in Saudi private sector. </w:t>
      </w:r>
      <w:r>
        <w:rPr>
          <w:i/>
          <w:iCs/>
        </w:rPr>
        <w:t>The Arab Journal of Information Systems, 16</w:t>
      </w:r>
      <w:r>
        <w:t>(1), https://doi.org/10.25148/ajis.16.1.101296</w:t>
      </w:r>
    </w:p>
    <w:p w14:paraId="588C6D11" w14:textId="4A219335" w:rsidR="00173B3F" w:rsidRDefault="00173B3F" w:rsidP="00173B3F">
      <w:pPr>
        <w:pStyle w:val="BodyText"/>
        <w:numPr>
          <w:ilvl w:val="0"/>
          <w:numId w:val="49"/>
        </w:numPr>
        <w:ind w:left="0"/>
        <w:divId w:val="1647278641"/>
      </w:pPr>
      <w:r>
        <w:t xml:space="preserve">Singh, (2022). Enforced remote working: The impact of digital platform-induced stress and remote working experience on technology exhaustion and subjective wellbeing. </w:t>
      </w:r>
      <w:r>
        <w:rPr>
          <w:i/>
          <w:iCs/>
        </w:rPr>
        <w:t>Journal of Business Research, 151</w:t>
      </w:r>
      <w:r>
        <w:t>, 269–286. https://doi.org/10.1016/j.jbusres.2022.07.002</w:t>
      </w:r>
    </w:p>
    <w:p w14:paraId="1E411AD1" w14:textId="77777777" w:rsidR="00173B3F" w:rsidRDefault="00173B3F" w:rsidP="00173B3F">
      <w:pPr>
        <w:pStyle w:val="BodyText"/>
        <w:numPr>
          <w:ilvl w:val="0"/>
          <w:numId w:val="49"/>
        </w:numPr>
        <w:ind w:left="0"/>
        <w:divId w:val="1647278641"/>
      </w:pPr>
      <w:r>
        <w:t xml:space="preserve">Spector, P. E. (1997). </w:t>
      </w:r>
      <w:r>
        <w:rPr>
          <w:i/>
          <w:iCs/>
        </w:rPr>
        <w:t>Job satisfaction: Application, assessment, causes, and consequences</w:t>
      </w:r>
      <w:r>
        <w:t>. Sage.</w:t>
      </w:r>
    </w:p>
    <w:p w14:paraId="42AE7E25" w14:textId="77777777" w:rsidR="00173B3F" w:rsidRDefault="00173B3F" w:rsidP="00173B3F">
      <w:pPr>
        <w:pStyle w:val="BodyText"/>
        <w:numPr>
          <w:ilvl w:val="0"/>
          <w:numId w:val="49"/>
        </w:numPr>
        <w:ind w:left="0"/>
        <w:divId w:val="1647278641"/>
      </w:pPr>
      <w:proofErr w:type="spellStart"/>
      <w:r>
        <w:t>Tarafdar</w:t>
      </w:r>
      <w:proofErr w:type="spellEnd"/>
      <w:r>
        <w:t xml:space="preserve">, M., Tu, Q., Ragu-Nathan, B. S., &amp; Ragu-Nathan, T. S. (2007). The impact of technostress on role stress and productivity. </w:t>
      </w:r>
      <w:r>
        <w:rPr>
          <w:i/>
          <w:iCs/>
        </w:rPr>
        <w:t>Journal of Management Information Systems, 24</w:t>
      </w:r>
      <w:r>
        <w:t>(1), 301–328. https://doi.org/10.2753/MIS0742-1222240109</w:t>
      </w:r>
    </w:p>
    <w:p w14:paraId="3B2A3073" w14:textId="77777777" w:rsidR="00173B3F" w:rsidRDefault="00173B3F" w:rsidP="00173B3F">
      <w:pPr>
        <w:pStyle w:val="BodyText"/>
        <w:numPr>
          <w:ilvl w:val="0"/>
          <w:numId w:val="49"/>
        </w:numPr>
        <w:ind w:left="0"/>
        <w:divId w:val="1647278641"/>
      </w:pPr>
      <w:proofErr w:type="spellStart"/>
      <w:r>
        <w:t>Tarafdar</w:t>
      </w:r>
      <w:proofErr w:type="spellEnd"/>
      <w:r>
        <w:t xml:space="preserve">, M., Tu, Q., Ragu-Nathan, B. S., &amp; Ragu-Nathan, T. S. (2011). Crossing to the dark side: Examining creators, outcomes, and inhibitors of technostress. </w:t>
      </w:r>
      <w:r>
        <w:rPr>
          <w:i/>
          <w:iCs/>
        </w:rPr>
        <w:t>Communications of the ACM, 54</w:t>
      </w:r>
      <w:r>
        <w:t>(9), 113–120. https://doi.org/10.1145/1995376.1995403</w:t>
      </w:r>
    </w:p>
    <w:p w14:paraId="5C9191E7" w14:textId="77777777" w:rsidR="00173B3F" w:rsidRDefault="00173B3F" w:rsidP="00173B3F">
      <w:pPr>
        <w:pStyle w:val="BodyText"/>
        <w:numPr>
          <w:ilvl w:val="0"/>
          <w:numId w:val="49"/>
        </w:numPr>
        <w:ind w:left="0"/>
        <w:divId w:val="1647278641"/>
      </w:pPr>
      <w:proofErr w:type="spellStart"/>
      <w:r>
        <w:t>Tarafdar</w:t>
      </w:r>
      <w:proofErr w:type="spellEnd"/>
      <w:r>
        <w:t xml:space="preserve">, M., </w:t>
      </w:r>
      <w:proofErr w:type="spellStart"/>
      <w:r>
        <w:t>Pullins</w:t>
      </w:r>
      <w:proofErr w:type="spellEnd"/>
      <w:r>
        <w:t xml:space="preserve">, E. B., &amp; Ragu-Nathan, T. S. (2015). Technostress: Negative effect on performance and possible mitigations. </w:t>
      </w:r>
      <w:r>
        <w:rPr>
          <w:i/>
          <w:iCs/>
        </w:rPr>
        <w:t>Information Systems Journal, 25</w:t>
      </w:r>
      <w:r>
        <w:t>(2), 103–132. https://doi.org/10.1111/isj.12042</w:t>
      </w:r>
    </w:p>
    <w:p w14:paraId="57973ADC" w14:textId="77777777" w:rsidR="00173B3F" w:rsidRDefault="00173B3F" w:rsidP="00173B3F">
      <w:pPr>
        <w:pStyle w:val="BodyText"/>
        <w:numPr>
          <w:ilvl w:val="0"/>
          <w:numId w:val="49"/>
        </w:numPr>
        <w:ind w:left="0"/>
        <w:divId w:val="1647278641"/>
      </w:pPr>
      <w:proofErr w:type="spellStart"/>
      <w:r>
        <w:lastRenderedPageBreak/>
        <w:t>Tornatzky</w:t>
      </w:r>
      <w:proofErr w:type="spellEnd"/>
      <w:r>
        <w:t xml:space="preserve">, L. G., &amp; Fleischer, M. (1990). </w:t>
      </w:r>
      <w:r>
        <w:rPr>
          <w:i/>
          <w:iCs/>
        </w:rPr>
        <w:t>The processes of technological innovation</w:t>
      </w:r>
      <w:r>
        <w:t>. Lexington Books.</w:t>
      </w:r>
    </w:p>
    <w:p w14:paraId="5FB9F1FF" w14:textId="77777777" w:rsidR="00173B3F" w:rsidRDefault="00173B3F" w:rsidP="00173B3F">
      <w:pPr>
        <w:pStyle w:val="BodyText"/>
        <w:numPr>
          <w:ilvl w:val="0"/>
          <w:numId w:val="49"/>
        </w:numPr>
        <w:ind w:left="0"/>
        <w:divId w:val="1647278641"/>
      </w:pPr>
      <w:r>
        <w:t xml:space="preserve">Tu, L., Rao, Z., Jiang, H., &amp; Dai, L. (2025). Technostress, burnout, and job satisfaction: An empirical study of STEM teachers’ well-being and performance. </w:t>
      </w:r>
      <w:r>
        <w:rPr>
          <w:i/>
          <w:iCs/>
        </w:rPr>
        <w:t>Behavioral Sciences, 15</w:t>
      </w:r>
      <w:r>
        <w:t>(7), 992. https://doi.org/10.3390/bs15070992</w:t>
      </w:r>
    </w:p>
    <w:p w14:paraId="7B85A8F0" w14:textId="77777777" w:rsidR="00173B3F" w:rsidRDefault="00173B3F" w:rsidP="00173B3F">
      <w:pPr>
        <w:pStyle w:val="BodyText"/>
        <w:numPr>
          <w:ilvl w:val="0"/>
          <w:numId w:val="49"/>
        </w:numPr>
        <w:ind w:left="0"/>
        <w:divId w:val="1647278641"/>
      </w:pPr>
      <w:proofErr w:type="spellStart"/>
      <w:r>
        <w:t>Tzavella</w:t>
      </w:r>
      <w:proofErr w:type="spellEnd"/>
      <w:r>
        <w:t xml:space="preserve">, V., </w:t>
      </w:r>
      <w:proofErr w:type="spellStart"/>
      <w:r>
        <w:t>Konstantinopoulou</w:t>
      </w:r>
      <w:proofErr w:type="spellEnd"/>
      <w:r>
        <w:t xml:space="preserve">, A., &amp; </w:t>
      </w:r>
      <w:proofErr w:type="spellStart"/>
      <w:r>
        <w:t>Lazakidou</w:t>
      </w:r>
      <w:proofErr w:type="spellEnd"/>
      <w:r>
        <w:t xml:space="preserve">, A. (2025). Measuring job satisfaction of government employees and the impact of digital transformation in the public sector. </w:t>
      </w:r>
      <w:r>
        <w:rPr>
          <w:i/>
          <w:iCs/>
        </w:rPr>
        <w:t xml:space="preserve">Acta Universitatis </w:t>
      </w:r>
      <w:proofErr w:type="spellStart"/>
      <w:r>
        <w:rPr>
          <w:i/>
          <w:iCs/>
        </w:rPr>
        <w:t>Bohemiae</w:t>
      </w:r>
      <w:proofErr w:type="spellEnd"/>
      <w:r>
        <w:rPr>
          <w:i/>
          <w:iCs/>
        </w:rPr>
        <w:t xml:space="preserve"> </w:t>
      </w:r>
      <w:proofErr w:type="spellStart"/>
      <w:r>
        <w:rPr>
          <w:i/>
          <w:iCs/>
        </w:rPr>
        <w:t>Meridionalis</w:t>
      </w:r>
      <w:proofErr w:type="spellEnd"/>
      <w:r>
        <w:rPr>
          <w:i/>
          <w:iCs/>
        </w:rPr>
        <w:t>, 28</w:t>
      </w:r>
      <w:r>
        <w:t>(1), 1–13. https://doi.org/10.32725/acta.2025.001</w:t>
      </w:r>
    </w:p>
    <w:p w14:paraId="51AEEF34" w14:textId="77777777" w:rsidR="00173B3F" w:rsidRDefault="00173B3F" w:rsidP="00173B3F">
      <w:pPr>
        <w:pStyle w:val="BodyText"/>
        <w:numPr>
          <w:ilvl w:val="0"/>
          <w:numId w:val="49"/>
        </w:numPr>
        <w:ind w:left="0"/>
        <w:divId w:val="1647278641"/>
      </w:pPr>
      <w:r>
        <w:t xml:space="preserve">Ullrich, A., </w:t>
      </w:r>
      <w:proofErr w:type="spellStart"/>
      <w:r>
        <w:t>Stief</w:t>
      </w:r>
      <w:proofErr w:type="spellEnd"/>
      <w:r>
        <w:t xml:space="preserve">, M., &amp; Nissen, V. (2023). Public sector digital transformation: A systematic literature review. In </w:t>
      </w:r>
      <w:r>
        <w:rPr>
          <w:i/>
          <w:iCs/>
        </w:rPr>
        <w:t>Advances in Digital Transformation</w:t>
      </w:r>
      <w:r>
        <w:t xml:space="preserve"> (pp. 3–20). Springer. https://doi.org/10.1007/978-3-031-11007-6_1</w:t>
      </w:r>
    </w:p>
    <w:p w14:paraId="3F1B8D02" w14:textId="77777777" w:rsidR="00173B3F" w:rsidRDefault="00173B3F" w:rsidP="00173B3F">
      <w:pPr>
        <w:pStyle w:val="BodyText"/>
        <w:numPr>
          <w:ilvl w:val="0"/>
          <w:numId w:val="49"/>
        </w:numPr>
        <w:ind w:left="0"/>
        <w:divId w:val="1647278641"/>
      </w:pPr>
      <w:r>
        <w:t xml:space="preserve">Venkatesh, V., &amp; </w:t>
      </w:r>
      <w:proofErr w:type="spellStart"/>
      <w:r>
        <w:t>Bala</w:t>
      </w:r>
      <w:proofErr w:type="spellEnd"/>
      <w:r>
        <w:t xml:space="preserve">, H. (2008). Technology acceptance model 3 and a research agenda on interventions. </w:t>
      </w:r>
      <w:r>
        <w:rPr>
          <w:i/>
          <w:iCs/>
        </w:rPr>
        <w:t>Decision Sciences, 39</w:t>
      </w:r>
      <w:r>
        <w:t>(2), 273–315. https://doi.org/10.1111/j.1540-5915.2008.00192.x</w:t>
      </w:r>
    </w:p>
    <w:p w14:paraId="1EFD6DE1" w14:textId="77777777" w:rsidR="00173B3F" w:rsidRDefault="00173B3F" w:rsidP="00173B3F">
      <w:pPr>
        <w:pStyle w:val="BodyText"/>
        <w:numPr>
          <w:ilvl w:val="0"/>
          <w:numId w:val="49"/>
        </w:numPr>
        <w:ind w:left="0"/>
        <w:divId w:val="1647278641"/>
      </w:pPr>
      <w:r>
        <w:t xml:space="preserve">Venkatesh, V., &amp; Davis, F. D. (2000). A theoretical extension of the Technology Acceptance Model: Four longitudinal field studies. </w:t>
      </w:r>
      <w:r>
        <w:rPr>
          <w:i/>
          <w:iCs/>
        </w:rPr>
        <w:t>Management Science, 46</w:t>
      </w:r>
      <w:r>
        <w:t>(2), 186–204. https://doi.org/10.1287/mnsc.46.2.186.11926</w:t>
      </w:r>
    </w:p>
    <w:p w14:paraId="7B6D16A5" w14:textId="77777777" w:rsidR="00173B3F" w:rsidRDefault="00173B3F" w:rsidP="00173B3F">
      <w:pPr>
        <w:pStyle w:val="BodyText"/>
        <w:numPr>
          <w:ilvl w:val="0"/>
          <w:numId w:val="49"/>
        </w:numPr>
        <w:ind w:left="0"/>
        <w:divId w:val="1647278641"/>
      </w:pPr>
      <w:r>
        <w:t xml:space="preserve">Venkatesh, V., Morris, M. G., Davis, G. B., &amp; Davis, F. D. (2003). User acceptance of information technology: Toward a unified view. </w:t>
      </w:r>
      <w:r>
        <w:rPr>
          <w:i/>
          <w:iCs/>
        </w:rPr>
        <w:t>MIS Quarterly, 27</w:t>
      </w:r>
      <w:r>
        <w:t>(3), 425–478. https://doi.org/10.2307/30036540</w:t>
      </w:r>
    </w:p>
    <w:p w14:paraId="230AA3D7" w14:textId="77777777" w:rsidR="00173B3F" w:rsidRDefault="00173B3F" w:rsidP="00173B3F">
      <w:pPr>
        <w:pStyle w:val="BodyText"/>
        <w:numPr>
          <w:ilvl w:val="0"/>
          <w:numId w:val="49"/>
        </w:numPr>
        <w:ind w:left="0"/>
        <w:divId w:val="1647278641"/>
      </w:pPr>
      <w:r>
        <w:t xml:space="preserve">Vial, G. (2019). Understanding digital transformation: A review and a research agenda. </w:t>
      </w:r>
      <w:r>
        <w:rPr>
          <w:i/>
          <w:iCs/>
        </w:rPr>
        <w:t>The Journal of Strategic Information Systems, 28</w:t>
      </w:r>
      <w:r>
        <w:t>(2), 118–144. https://doi.org/10.1016/j.jsis.2019.01.003</w:t>
      </w:r>
    </w:p>
    <w:p w14:paraId="6A3C3829" w14:textId="77777777" w:rsidR="00173B3F" w:rsidRDefault="00173B3F" w:rsidP="00173B3F">
      <w:pPr>
        <w:pStyle w:val="BodyText"/>
        <w:numPr>
          <w:ilvl w:val="0"/>
          <w:numId w:val="49"/>
        </w:numPr>
        <w:ind w:left="0"/>
        <w:divId w:val="1647278641"/>
      </w:pPr>
      <w:r>
        <w:t xml:space="preserve">Weiner, B. J. (2009). A theory of organizational readiness for change. </w:t>
      </w:r>
      <w:r>
        <w:rPr>
          <w:i/>
          <w:iCs/>
        </w:rPr>
        <w:t>Implementation Science, 4</w:t>
      </w:r>
      <w:r>
        <w:t>, 67. https://doi.org/10.1186/1748-5908-4-67</w:t>
      </w:r>
    </w:p>
    <w:p w14:paraId="23435A8F" w14:textId="77777777" w:rsidR="00173B3F" w:rsidRDefault="00173B3F" w:rsidP="00173B3F">
      <w:pPr>
        <w:pStyle w:val="BodyText"/>
        <w:numPr>
          <w:ilvl w:val="0"/>
          <w:numId w:val="49"/>
        </w:numPr>
        <w:ind w:left="0"/>
        <w:divId w:val="1647278641"/>
      </w:pPr>
      <w:r>
        <w:t xml:space="preserve">Weiss, H. M. (2002). Deconstructing job satisfaction: Separating evaluations, beliefs and affective experiences. </w:t>
      </w:r>
      <w:r>
        <w:rPr>
          <w:i/>
          <w:iCs/>
        </w:rPr>
        <w:t>Human Resource Management Review, 12</w:t>
      </w:r>
      <w:r>
        <w:t>(2), 173–194. https://doi.org/10.1016/S1053-4822(02)00045-8</w:t>
      </w:r>
    </w:p>
    <w:p w14:paraId="69F5D55F" w14:textId="77777777" w:rsidR="00173B3F" w:rsidRDefault="00173B3F" w:rsidP="00173B3F">
      <w:pPr>
        <w:pStyle w:val="BodyText"/>
        <w:numPr>
          <w:ilvl w:val="0"/>
          <w:numId w:val="49"/>
        </w:numPr>
        <w:ind w:left="0"/>
        <w:divId w:val="1647278641"/>
      </w:pPr>
      <w:r>
        <w:t xml:space="preserve">Wixom, B. H., &amp; Todd, P. A. (2005). A theoretical integration of user satisfaction and technology acceptance. </w:t>
      </w:r>
      <w:r>
        <w:rPr>
          <w:i/>
          <w:iCs/>
        </w:rPr>
        <w:t>Information Systems Research, 16</w:t>
      </w:r>
      <w:r>
        <w:t>(1), 85–102. https://doi.org/10.1287/isre.1050.0062</w:t>
      </w:r>
    </w:p>
    <w:p w14:paraId="17078AE9" w14:textId="77777777" w:rsidR="00173B3F" w:rsidRDefault="00173B3F" w:rsidP="00173B3F">
      <w:pPr>
        <w:pStyle w:val="BodyText"/>
        <w:numPr>
          <w:ilvl w:val="0"/>
          <w:numId w:val="49"/>
        </w:numPr>
        <w:ind w:left="0"/>
        <w:divId w:val="1647278641"/>
      </w:pPr>
      <w:r>
        <w:t xml:space="preserve">Yin, R. K. (2018). </w:t>
      </w:r>
      <w:r>
        <w:rPr>
          <w:i/>
          <w:iCs/>
        </w:rPr>
        <w:t>Case study research and applications: Design and methods</w:t>
      </w:r>
      <w:r>
        <w:t xml:space="preserve"> (6th ed.). Sage.</w:t>
      </w:r>
    </w:p>
    <w:p w14:paraId="6303EDD2" w14:textId="77777777" w:rsidR="00113D0D" w:rsidRDefault="00113D0D" w:rsidP="00113D0D">
      <w:pPr>
        <w:bidi/>
        <w:spacing w:before="600" w:after="160" w:line="360" w:lineRule="auto"/>
        <w:ind w:right="1800"/>
        <w:divId w:val="1647278641"/>
        <w:rPr>
          <w:rFonts w:ascii="Traditional Arabic" w:hAnsi="Traditional Arabic" w:cs="Traditional Arabic"/>
          <w:b/>
          <w:bCs/>
          <w:sz w:val="32"/>
          <w:szCs w:val="32"/>
          <w:rtl/>
        </w:rPr>
      </w:pPr>
      <w:bookmarkStart w:id="4" w:name="المراجع-الأجنبية-sz"/>
      <w:bookmarkEnd w:id="4"/>
    </w:p>
    <w:p w14:paraId="1768C79E" w14:textId="7BDCDC7F" w:rsidR="00173B3F" w:rsidRPr="00113D0D" w:rsidRDefault="00173B3F" w:rsidP="00113D0D">
      <w:pPr>
        <w:bidi/>
        <w:spacing w:before="600" w:after="160" w:line="360" w:lineRule="auto"/>
        <w:ind w:right="1800"/>
        <w:divId w:val="1647278641"/>
        <w:rPr>
          <w:rFonts w:ascii="Traditional Arabic" w:hAnsi="Traditional Arabic" w:cs="Traditional Arabic"/>
          <w:b/>
          <w:bCs/>
          <w:sz w:val="28"/>
          <w:szCs w:val="28"/>
        </w:rPr>
      </w:pPr>
      <w:r w:rsidRPr="00113D0D">
        <w:rPr>
          <w:rFonts w:ascii="Traditional Arabic" w:hAnsi="Traditional Arabic" w:cs="Traditional Arabic"/>
          <w:b/>
          <w:bCs/>
          <w:sz w:val="28"/>
          <w:szCs w:val="28"/>
          <w:rtl/>
        </w:rPr>
        <w:lastRenderedPageBreak/>
        <w:t>المراجع العربية والوثائق الرسمية</w:t>
      </w:r>
    </w:p>
    <w:p w14:paraId="29BEAA01" w14:textId="77777777" w:rsidR="00173B3F" w:rsidRDefault="00173B3F" w:rsidP="00113D0D">
      <w:pPr>
        <w:pStyle w:val="FirstParagraph"/>
        <w:numPr>
          <w:ilvl w:val="0"/>
          <w:numId w:val="47"/>
        </w:numPr>
        <w:ind w:left="0"/>
        <w:divId w:val="1647278641"/>
      </w:pPr>
      <w:r>
        <w:rPr>
          <w:rtl/>
        </w:rPr>
        <w:t>هيئة الحكومة الرقمية</w:t>
      </w:r>
      <w:r>
        <w:t xml:space="preserve">. (2024). </w:t>
      </w:r>
      <w:r>
        <w:rPr>
          <w:i/>
          <w:iCs/>
          <w:rtl/>
        </w:rPr>
        <w:t xml:space="preserve">التقرير السنوي لهيئة الحكومة الرقمية لعام </w:t>
      </w:r>
      <w:r>
        <w:rPr>
          <w:i/>
          <w:iCs/>
        </w:rPr>
        <w:t>2024</w:t>
      </w:r>
      <w:r>
        <w:t xml:space="preserve"> </w:t>
      </w:r>
      <w:r>
        <w:rPr>
          <w:rtl/>
        </w:rPr>
        <w:t>[تقرير]. هيئة الحكومة الرقمية</w:t>
      </w:r>
      <w:r>
        <w:t>. https://dga.gov.sa/ar/digital-knowledge/DGA-Annual-Report-2024</w:t>
      </w:r>
    </w:p>
    <w:p w14:paraId="128CA548" w14:textId="77777777" w:rsidR="00173B3F" w:rsidRDefault="00173B3F" w:rsidP="00113D0D">
      <w:pPr>
        <w:pStyle w:val="BodyText"/>
        <w:numPr>
          <w:ilvl w:val="0"/>
          <w:numId w:val="47"/>
        </w:numPr>
        <w:ind w:left="0"/>
        <w:divId w:val="1647278641"/>
      </w:pPr>
      <w:r>
        <w:rPr>
          <w:rtl/>
        </w:rPr>
        <w:t>وزارة العدل. (د.ت.)</w:t>
      </w:r>
      <w:r>
        <w:t xml:space="preserve">. </w:t>
      </w:r>
      <w:r>
        <w:rPr>
          <w:i/>
          <w:iCs/>
          <w:rtl/>
        </w:rPr>
        <w:t>مركز ناجز للخدمات العدلية</w:t>
      </w:r>
      <w:r>
        <w:t xml:space="preserve">. </w:t>
      </w:r>
      <w:r>
        <w:rPr>
          <w:rtl/>
        </w:rPr>
        <w:t xml:space="preserve">وزارة العدل (المملكة العربية السعودية). تم الاسترجاع في 31 مارس 2026، من </w:t>
      </w:r>
      <w:r>
        <w:t>https://www.moj.gov.sa/ar/Ministry/Departments/NajizCenter</w:t>
      </w:r>
    </w:p>
    <w:p w14:paraId="38AD887C" w14:textId="77777777" w:rsidR="00173B3F" w:rsidRDefault="00173B3F" w:rsidP="00113D0D">
      <w:pPr>
        <w:pStyle w:val="BodyText"/>
        <w:numPr>
          <w:ilvl w:val="0"/>
          <w:numId w:val="47"/>
        </w:numPr>
        <w:ind w:left="0"/>
        <w:divId w:val="1647278641"/>
      </w:pPr>
      <w:r>
        <w:t xml:space="preserve">Ministry of Interior – </w:t>
      </w:r>
      <w:proofErr w:type="spellStart"/>
      <w:r>
        <w:t>Absher</w:t>
      </w:r>
      <w:proofErr w:type="spellEnd"/>
      <w:r>
        <w:t xml:space="preserve">. (n.d.). </w:t>
      </w:r>
      <w:r>
        <w:rPr>
          <w:i/>
          <w:iCs/>
        </w:rPr>
        <w:t xml:space="preserve">About </w:t>
      </w:r>
      <w:proofErr w:type="spellStart"/>
      <w:r>
        <w:rPr>
          <w:i/>
          <w:iCs/>
        </w:rPr>
        <w:t>Absher</w:t>
      </w:r>
      <w:proofErr w:type="spellEnd"/>
      <w:r>
        <w:t xml:space="preserve">. </w:t>
      </w:r>
      <w:proofErr w:type="spellStart"/>
      <w:r>
        <w:t>Absher</w:t>
      </w:r>
      <w:proofErr w:type="spellEnd"/>
      <w:r>
        <w:t xml:space="preserve"> platform. Retrieved March 31, 2026, from https://absher.sa/wps/portal/individuals/Home/homepublic/contents/</w:t>
      </w:r>
    </w:p>
    <w:p w14:paraId="7459C1E7" w14:textId="77777777" w:rsidR="00173B3F" w:rsidRDefault="00173B3F" w:rsidP="00113D0D">
      <w:pPr>
        <w:pStyle w:val="BodyText"/>
        <w:numPr>
          <w:ilvl w:val="0"/>
          <w:numId w:val="47"/>
        </w:numPr>
        <w:ind w:left="0"/>
        <w:divId w:val="1647278641"/>
      </w:pPr>
      <w:r>
        <w:t xml:space="preserve">Ministry of Justice. (n.d.). </w:t>
      </w:r>
      <w:proofErr w:type="spellStart"/>
      <w:r>
        <w:rPr>
          <w:i/>
          <w:iCs/>
        </w:rPr>
        <w:t>Najiz</w:t>
      </w:r>
      <w:proofErr w:type="spellEnd"/>
      <w:r>
        <w:rPr>
          <w:i/>
          <w:iCs/>
        </w:rPr>
        <w:t xml:space="preserve"> platform (Electronic services)</w:t>
      </w:r>
      <w:r>
        <w:t>. Ministry of Justice (Saudi Arabia). Retrieved March 31, 2026, from https://www.moj.gov.sa/ar/eServices/Najiz</w:t>
      </w:r>
    </w:p>
    <w:p w14:paraId="3270B859" w14:textId="77777777" w:rsidR="00173B3F" w:rsidRDefault="00173B3F" w:rsidP="00113D0D">
      <w:pPr>
        <w:pStyle w:val="BodyText"/>
        <w:numPr>
          <w:ilvl w:val="0"/>
          <w:numId w:val="47"/>
        </w:numPr>
        <w:ind w:left="0"/>
        <w:divId w:val="1647278641"/>
      </w:pPr>
      <w:r>
        <w:t xml:space="preserve">Vision 2030. (2023). </w:t>
      </w:r>
      <w:r>
        <w:rPr>
          <w:i/>
          <w:iCs/>
        </w:rPr>
        <w:t>Vision 2030 annual report 2023</w:t>
      </w:r>
      <w:r>
        <w:t xml:space="preserve"> [Report]. Kingdom of Saudi Arabia. https://www.vision2030.gov.sa/media/xi2jlj0y/english_vision2030_annual_report_2023.pdf</w:t>
      </w:r>
    </w:p>
    <w:p w14:paraId="295D0ADF" w14:textId="77777777" w:rsidR="00173B3F" w:rsidRDefault="00173B3F" w:rsidP="00113D0D">
      <w:pPr>
        <w:pStyle w:val="BodyText"/>
        <w:numPr>
          <w:ilvl w:val="0"/>
          <w:numId w:val="47"/>
        </w:numPr>
        <w:ind w:left="0"/>
        <w:divId w:val="1647278641"/>
      </w:pPr>
      <w:r>
        <w:t xml:space="preserve">World Bank. (2022). </w:t>
      </w:r>
      <w:r>
        <w:rPr>
          <w:i/>
          <w:iCs/>
        </w:rPr>
        <w:t xml:space="preserve">2022 </w:t>
      </w:r>
      <w:proofErr w:type="spellStart"/>
      <w:r>
        <w:rPr>
          <w:i/>
          <w:iCs/>
        </w:rPr>
        <w:t>GovTech</w:t>
      </w:r>
      <w:proofErr w:type="spellEnd"/>
      <w:r>
        <w:rPr>
          <w:i/>
          <w:iCs/>
        </w:rPr>
        <w:t xml:space="preserve"> Maturity Index update</w:t>
      </w:r>
      <w:r>
        <w:t xml:space="preserve"> [Web page]. World Bank. Retrieved March 31, 2026, from https://www.worldbank.org/en/programs/govtech/2022-gtmi</w:t>
      </w:r>
    </w:p>
    <w:p w14:paraId="7176CCFF" w14:textId="77777777" w:rsidR="00173B3F" w:rsidRDefault="00173B3F" w:rsidP="00113D0D">
      <w:pPr>
        <w:pStyle w:val="BodyText"/>
        <w:numPr>
          <w:ilvl w:val="0"/>
          <w:numId w:val="47"/>
        </w:numPr>
        <w:ind w:left="0"/>
        <w:divId w:val="1647278641"/>
      </w:pPr>
      <w:r>
        <w:t xml:space="preserve">World Bank. (n.d.). </w:t>
      </w:r>
      <w:proofErr w:type="spellStart"/>
      <w:r>
        <w:rPr>
          <w:i/>
          <w:iCs/>
        </w:rPr>
        <w:t>GovTech</w:t>
      </w:r>
      <w:proofErr w:type="spellEnd"/>
      <w:r>
        <w:rPr>
          <w:i/>
          <w:iCs/>
        </w:rPr>
        <w:t xml:space="preserve"> dataset</w:t>
      </w:r>
      <w:r>
        <w:t xml:space="preserve"> [Data set]. World Bank Data Catalog. Retrieved March 31, 2026, from https://datacatalog.worldbank.org/search/dataset/0037889/govtech-</w:t>
      </w:r>
    </w:p>
    <w:p w14:paraId="30791546" w14:textId="328241C3" w:rsidR="00B64312" w:rsidRPr="00DB3C7B" w:rsidRDefault="00173B3F" w:rsidP="00B04E3B">
      <w:pPr>
        <w:pStyle w:val="BodyText"/>
        <w:numPr>
          <w:ilvl w:val="0"/>
          <w:numId w:val="47"/>
        </w:numPr>
        <w:spacing w:after="600" w:line="360" w:lineRule="auto"/>
        <w:ind w:left="0" w:right="600"/>
        <w:divId w:val="1647278641"/>
      </w:pPr>
      <w:r>
        <w:t xml:space="preserve">International </w:t>
      </w:r>
      <w:proofErr w:type="spellStart"/>
      <w:r>
        <w:t>Labour</w:t>
      </w:r>
      <w:proofErr w:type="spellEnd"/>
      <w:r>
        <w:t xml:space="preserve"> Organization. (2021). </w:t>
      </w:r>
      <w:r w:rsidRPr="00113D0D">
        <w:rPr>
          <w:i/>
          <w:iCs/>
        </w:rPr>
        <w:t>Skills, jobs and digital transformation: Global strategies</w:t>
      </w:r>
      <w:r>
        <w:t xml:space="preserve"> [Report]. </w:t>
      </w:r>
    </w:p>
    <w:sectPr w:rsidR="00B64312" w:rsidRPr="00DB3C7B" w:rsidSect="003625A1">
      <w:foot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234F5" w14:textId="77777777" w:rsidR="007873C6" w:rsidRDefault="007873C6" w:rsidP="003625A1">
      <w:r>
        <w:separator/>
      </w:r>
    </w:p>
  </w:endnote>
  <w:endnote w:type="continuationSeparator" w:id="0">
    <w:p w14:paraId="2C399AB9" w14:textId="77777777" w:rsidR="007873C6" w:rsidRDefault="007873C6" w:rsidP="00362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BC55E" w14:textId="77777777" w:rsidR="00B04E3B" w:rsidRDefault="00B04E3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A0F63C3" w14:textId="77777777" w:rsidR="00B04E3B" w:rsidRDefault="00B04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887E1" w14:textId="77777777" w:rsidR="007873C6" w:rsidRDefault="007873C6" w:rsidP="003625A1">
      <w:r>
        <w:separator/>
      </w:r>
    </w:p>
  </w:footnote>
  <w:footnote w:type="continuationSeparator" w:id="0">
    <w:p w14:paraId="3929CD95" w14:textId="77777777" w:rsidR="007873C6" w:rsidRDefault="007873C6" w:rsidP="00362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8B"/>
    <w:multiLevelType w:val="multilevel"/>
    <w:tmpl w:val="6E9E20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253A8"/>
    <w:multiLevelType w:val="multilevel"/>
    <w:tmpl w:val="3612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E7085"/>
    <w:multiLevelType w:val="multilevel"/>
    <w:tmpl w:val="FAF89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87F5B"/>
    <w:multiLevelType w:val="multilevel"/>
    <w:tmpl w:val="38FEB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57BDD"/>
    <w:multiLevelType w:val="multilevel"/>
    <w:tmpl w:val="1B4C9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A240C"/>
    <w:multiLevelType w:val="multilevel"/>
    <w:tmpl w:val="0DF8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F4BDA"/>
    <w:multiLevelType w:val="hybridMultilevel"/>
    <w:tmpl w:val="4C5E2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380F63"/>
    <w:multiLevelType w:val="multilevel"/>
    <w:tmpl w:val="18027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A94A2A"/>
    <w:multiLevelType w:val="multilevel"/>
    <w:tmpl w:val="D94E40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6D52E8"/>
    <w:multiLevelType w:val="multilevel"/>
    <w:tmpl w:val="B3E6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2D100A"/>
    <w:multiLevelType w:val="multilevel"/>
    <w:tmpl w:val="22B24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4119BE"/>
    <w:multiLevelType w:val="multilevel"/>
    <w:tmpl w:val="8C72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9F5E09"/>
    <w:multiLevelType w:val="multilevel"/>
    <w:tmpl w:val="916A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9379DB"/>
    <w:multiLevelType w:val="multilevel"/>
    <w:tmpl w:val="1C5C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9E024A"/>
    <w:multiLevelType w:val="multilevel"/>
    <w:tmpl w:val="E8C42A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020AB7"/>
    <w:multiLevelType w:val="multilevel"/>
    <w:tmpl w:val="A0BCF9A8"/>
    <w:lvl w:ilvl="0">
      <w:start w:val="1"/>
      <w:numFmt w:val="bullet"/>
      <w:lvlText w:val=""/>
      <w:lvlJc w:val="left"/>
      <w:pPr>
        <w:tabs>
          <w:tab w:val="num" w:pos="480"/>
        </w:tabs>
        <w:ind w:left="480" w:hanging="360"/>
      </w:pPr>
      <w:rPr>
        <w:rFonts w:ascii="Symbol" w:hAnsi="Symbol" w:hint="default"/>
        <w:sz w:val="20"/>
      </w:rPr>
    </w:lvl>
    <w:lvl w:ilvl="1" w:tentative="1">
      <w:start w:val="1"/>
      <w:numFmt w:val="bullet"/>
      <w:lvlText w:val="o"/>
      <w:lvlJc w:val="left"/>
      <w:pPr>
        <w:tabs>
          <w:tab w:val="num" w:pos="1200"/>
        </w:tabs>
        <w:ind w:left="1200" w:hanging="360"/>
      </w:pPr>
      <w:rPr>
        <w:rFonts w:ascii="Courier New" w:hAnsi="Courier New" w:hint="default"/>
        <w:sz w:val="20"/>
      </w:rPr>
    </w:lvl>
    <w:lvl w:ilvl="2" w:tentative="1">
      <w:start w:val="1"/>
      <w:numFmt w:val="bullet"/>
      <w:lvlText w:val=""/>
      <w:lvlJc w:val="left"/>
      <w:pPr>
        <w:tabs>
          <w:tab w:val="num" w:pos="1920"/>
        </w:tabs>
        <w:ind w:left="1920" w:hanging="360"/>
      </w:pPr>
      <w:rPr>
        <w:rFonts w:ascii="Wingdings" w:hAnsi="Wingdings" w:hint="default"/>
        <w:sz w:val="20"/>
      </w:rPr>
    </w:lvl>
    <w:lvl w:ilvl="3" w:tentative="1">
      <w:start w:val="1"/>
      <w:numFmt w:val="bullet"/>
      <w:lvlText w:val=""/>
      <w:lvlJc w:val="left"/>
      <w:pPr>
        <w:tabs>
          <w:tab w:val="num" w:pos="2640"/>
        </w:tabs>
        <w:ind w:left="2640" w:hanging="360"/>
      </w:pPr>
      <w:rPr>
        <w:rFonts w:ascii="Wingdings" w:hAnsi="Wingdings" w:hint="default"/>
        <w:sz w:val="20"/>
      </w:rPr>
    </w:lvl>
    <w:lvl w:ilvl="4" w:tentative="1">
      <w:start w:val="1"/>
      <w:numFmt w:val="bullet"/>
      <w:lvlText w:val=""/>
      <w:lvlJc w:val="left"/>
      <w:pPr>
        <w:tabs>
          <w:tab w:val="num" w:pos="3360"/>
        </w:tabs>
        <w:ind w:left="3360" w:hanging="360"/>
      </w:pPr>
      <w:rPr>
        <w:rFonts w:ascii="Wingdings" w:hAnsi="Wingdings" w:hint="default"/>
        <w:sz w:val="20"/>
      </w:rPr>
    </w:lvl>
    <w:lvl w:ilvl="5" w:tentative="1">
      <w:start w:val="1"/>
      <w:numFmt w:val="bullet"/>
      <w:lvlText w:val=""/>
      <w:lvlJc w:val="left"/>
      <w:pPr>
        <w:tabs>
          <w:tab w:val="num" w:pos="4080"/>
        </w:tabs>
        <w:ind w:left="4080" w:hanging="360"/>
      </w:pPr>
      <w:rPr>
        <w:rFonts w:ascii="Wingdings" w:hAnsi="Wingdings" w:hint="default"/>
        <w:sz w:val="20"/>
      </w:rPr>
    </w:lvl>
    <w:lvl w:ilvl="6" w:tentative="1">
      <w:start w:val="1"/>
      <w:numFmt w:val="bullet"/>
      <w:lvlText w:val=""/>
      <w:lvlJc w:val="left"/>
      <w:pPr>
        <w:tabs>
          <w:tab w:val="num" w:pos="4800"/>
        </w:tabs>
        <w:ind w:left="4800" w:hanging="360"/>
      </w:pPr>
      <w:rPr>
        <w:rFonts w:ascii="Wingdings" w:hAnsi="Wingdings" w:hint="default"/>
        <w:sz w:val="20"/>
      </w:rPr>
    </w:lvl>
    <w:lvl w:ilvl="7" w:tentative="1">
      <w:start w:val="1"/>
      <w:numFmt w:val="bullet"/>
      <w:lvlText w:val=""/>
      <w:lvlJc w:val="left"/>
      <w:pPr>
        <w:tabs>
          <w:tab w:val="num" w:pos="5520"/>
        </w:tabs>
        <w:ind w:left="5520" w:hanging="360"/>
      </w:pPr>
      <w:rPr>
        <w:rFonts w:ascii="Wingdings" w:hAnsi="Wingdings" w:hint="default"/>
        <w:sz w:val="20"/>
      </w:rPr>
    </w:lvl>
    <w:lvl w:ilvl="8" w:tentative="1">
      <w:start w:val="1"/>
      <w:numFmt w:val="bullet"/>
      <w:lvlText w:val=""/>
      <w:lvlJc w:val="left"/>
      <w:pPr>
        <w:tabs>
          <w:tab w:val="num" w:pos="6240"/>
        </w:tabs>
        <w:ind w:left="6240" w:hanging="360"/>
      </w:pPr>
      <w:rPr>
        <w:rFonts w:ascii="Wingdings" w:hAnsi="Wingdings" w:hint="default"/>
        <w:sz w:val="20"/>
      </w:rPr>
    </w:lvl>
  </w:abstractNum>
  <w:abstractNum w:abstractNumId="16" w15:restartNumberingAfterBreak="0">
    <w:nsid w:val="2F76088D"/>
    <w:multiLevelType w:val="multilevel"/>
    <w:tmpl w:val="9682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501BF8"/>
    <w:multiLevelType w:val="multilevel"/>
    <w:tmpl w:val="3C0053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C879DC"/>
    <w:multiLevelType w:val="multilevel"/>
    <w:tmpl w:val="8B28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657636"/>
    <w:multiLevelType w:val="multilevel"/>
    <w:tmpl w:val="772E9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093A32"/>
    <w:multiLevelType w:val="hybridMultilevel"/>
    <w:tmpl w:val="7F24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8E0EB1"/>
    <w:multiLevelType w:val="multilevel"/>
    <w:tmpl w:val="8CE2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496BA3"/>
    <w:multiLevelType w:val="hybridMultilevel"/>
    <w:tmpl w:val="26084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423D84"/>
    <w:multiLevelType w:val="multilevel"/>
    <w:tmpl w:val="6D54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0061CB"/>
    <w:multiLevelType w:val="multilevel"/>
    <w:tmpl w:val="D212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1E2E61"/>
    <w:multiLevelType w:val="multilevel"/>
    <w:tmpl w:val="D6D2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7B170A"/>
    <w:multiLevelType w:val="hybridMultilevel"/>
    <w:tmpl w:val="6AD6F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A01F0A"/>
    <w:multiLevelType w:val="multilevel"/>
    <w:tmpl w:val="CF48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471C42"/>
    <w:multiLevelType w:val="multilevel"/>
    <w:tmpl w:val="6C42A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946807"/>
    <w:multiLevelType w:val="multilevel"/>
    <w:tmpl w:val="2354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437879"/>
    <w:multiLevelType w:val="hybridMultilevel"/>
    <w:tmpl w:val="FE500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F40D40"/>
    <w:multiLevelType w:val="multilevel"/>
    <w:tmpl w:val="29A27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1B5F76"/>
    <w:multiLevelType w:val="multilevel"/>
    <w:tmpl w:val="0C9C13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772A16"/>
    <w:multiLevelType w:val="multilevel"/>
    <w:tmpl w:val="6D46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750677"/>
    <w:multiLevelType w:val="multilevel"/>
    <w:tmpl w:val="40E0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F17F38"/>
    <w:multiLevelType w:val="multilevel"/>
    <w:tmpl w:val="93384774"/>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26809FD"/>
    <w:multiLevelType w:val="multilevel"/>
    <w:tmpl w:val="E5B4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A91459"/>
    <w:multiLevelType w:val="multilevel"/>
    <w:tmpl w:val="A5D8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9A5C06"/>
    <w:multiLevelType w:val="hybridMultilevel"/>
    <w:tmpl w:val="5C42C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C85D7A"/>
    <w:multiLevelType w:val="multilevel"/>
    <w:tmpl w:val="AE26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307B75"/>
    <w:multiLevelType w:val="multilevel"/>
    <w:tmpl w:val="F3A4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D57FFE"/>
    <w:multiLevelType w:val="multilevel"/>
    <w:tmpl w:val="06D2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EC569E"/>
    <w:multiLevelType w:val="hybridMultilevel"/>
    <w:tmpl w:val="83E2D760"/>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3" w15:restartNumberingAfterBreak="0">
    <w:nsid w:val="764F0786"/>
    <w:multiLevelType w:val="multilevel"/>
    <w:tmpl w:val="7BB2D1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C44283"/>
    <w:multiLevelType w:val="multilevel"/>
    <w:tmpl w:val="C45C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6D094E"/>
    <w:multiLevelType w:val="multilevel"/>
    <w:tmpl w:val="6A1A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9A6067"/>
    <w:multiLevelType w:val="hybridMultilevel"/>
    <w:tmpl w:val="46161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F102A0"/>
    <w:multiLevelType w:val="multilevel"/>
    <w:tmpl w:val="FBA20A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0"/>
  </w:num>
  <w:num w:numId="3">
    <w:abstractNumId w:val="24"/>
  </w:num>
  <w:num w:numId="4">
    <w:abstractNumId w:val="40"/>
  </w:num>
  <w:num w:numId="5">
    <w:abstractNumId w:val="34"/>
  </w:num>
  <w:num w:numId="6">
    <w:abstractNumId w:val="27"/>
  </w:num>
  <w:num w:numId="7">
    <w:abstractNumId w:val="13"/>
  </w:num>
  <w:num w:numId="8">
    <w:abstractNumId w:val="44"/>
  </w:num>
  <w:num w:numId="9">
    <w:abstractNumId w:val="21"/>
  </w:num>
  <w:num w:numId="10">
    <w:abstractNumId w:val="0"/>
  </w:num>
  <w:num w:numId="11">
    <w:abstractNumId w:val="33"/>
  </w:num>
  <w:num w:numId="12">
    <w:abstractNumId w:val="16"/>
  </w:num>
  <w:num w:numId="13">
    <w:abstractNumId w:val="42"/>
  </w:num>
  <w:num w:numId="14">
    <w:abstractNumId w:val="4"/>
  </w:num>
  <w:num w:numId="15">
    <w:abstractNumId w:val="5"/>
  </w:num>
  <w:num w:numId="16">
    <w:abstractNumId w:val="39"/>
  </w:num>
  <w:num w:numId="17">
    <w:abstractNumId w:val="47"/>
  </w:num>
  <w:num w:numId="18">
    <w:abstractNumId w:val="11"/>
  </w:num>
  <w:num w:numId="19">
    <w:abstractNumId w:val="14"/>
  </w:num>
  <w:num w:numId="20">
    <w:abstractNumId w:val="32"/>
  </w:num>
  <w:num w:numId="21">
    <w:abstractNumId w:val="17"/>
  </w:num>
  <w:num w:numId="22">
    <w:abstractNumId w:val="43"/>
  </w:num>
  <w:num w:numId="23">
    <w:abstractNumId w:val="29"/>
  </w:num>
  <w:num w:numId="24">
    <w:abstractNumId w:val="3"/>
  </w:num>
  <w:num w:numId="25">
    <w:abstractNumId w:val="9"/>
  </w:num>
  <w:num w:numId="26">
    <w:abstractNumId w:val="23"/>
  </w:num>
  <w:num w:numId="27">
    <w:abstractNumId w:val="8"/>
  </w:num>
  <w:num w:numId="28">
    <w:abstractNumId w:val="8"/>
    <w:lvlOverride w:ilvl="1">
      <w:lvl w:ilvl="1">
        <w:numFmt w:val="bullet"/>
        <w:lvlText w:val="o"/>
        <w:lvlJc w:val="left"/>
        <w:pPr>
          <w:tabs>
            <w:tab w:val="num" w:pos="1440"/>
          </w:tabs>
          <w:ind w:left="1440" w:hanging="360"/>
        </w:pPr>
        <w:rPr>
          <w:rFonts w:ascii="Courier New" w:hAnsi="Courier New" w:hint="default"/>
          <w:sz w:val="20"/>
        </w:rPr>
      </w:lvl>
    </w:lvlOverride>
  </w:num>
  <w:num w:numId="29">
    <w:abstractNumId w:val="28"/>
  </w:num>
  <w:num w:numId="30">
    <w:abstractNumId w:val="37"/>
  </w:num>
  <w:num w:numId="31">
    <w:abstractNumId w:val="7"/>
  </w:num>
  <w:num w:numId="32">
    <w:abstractNumId w:val="35"/>
  </w:num>
  <w:num w:numId="33">
    <w:abstractNumId w:val="22"/>
  </w:num>
  <w:num w:numId="34">
    <w:abstractNumId w:val="36"/>
  </w:num>
  <w:num w:numId="35">
    <w:abstractNumId w:val="31"/>
  </w:num>
  <w:num w:numId="36">
    <w:abstractNumId w:val="45"/>
  </w:num>
  <w:num w:numId="37">
    <w:abstractNumId w:val="1"/>
  </w:num>
  <w:num w:numId="38">
    <w:abstractNumId w:val="2"/>
  </w:num>
  <w:num w:numId="39">
    <w:abstractNumId w:val="12"/>
  </w:num>
  <w:num w:numId="40">
    <w:abstractNumId w:val="19"/>
  </w:num>
  <w:num w:numId="41">
    <w:abstractNumId w:val="41"/>
  </w:num>
  <w:num w:numId="42">
    <w:abstractNumId w:val="18"/>
  </w:num>
  <w:num w:numId="43">
    <w:abstractNumId w:val="15"/>
  </w:num>
  <w:num w:numId="44">
    <w:abstractNumId w:val="26"/>
  </w:num>
  <w:num w:numId="45">
    <w:abstractNumId w:val="46"/>
  </w:num>
  <w:num w:numId="46">
    <w:abstractNumId w:val="20"/>
  </w:num>
  <w:num w:numId="47">
    <w:abstractNumId w:val="30"/>
  </w:num>
  <w:num w:numId="48">
    <w:abstractNumId w:val="6"/>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B61"/>
    <w:rsid w:val="00020D34"/>
    <w:rsid w:val="00026091"/>
    <w:rsid w:val="000B50EE"/>
    <w:rsid w:val="000C339F"/>
    <w:rsid w:val="00111C65"/>
    <w:rsid w:val="00113D0D"/>
    <w:rsid w:val="00173B3F"/>
    <w:rsid w:val="00186650"/>
    <w:rsid w:val="001D6516"/>
    <w:rsid w:val="00202D33"/>
    <w:rsid w:val="002544C2"/>
    <w:rsid w:val="00284884"/>
    <w:rsid w:val="002D2D73"/>
    <w:rsid w:val="002F488C"/>
    <w:rsid w:val="00323439"/>
    <w:rsid w:val="00335B65"/>
    <w:rsid w:val="003625A1"/>
    <w:rsid w:val="003627DB"/>
    <w:rsid w:val="00397F3A"/>
    <w:rsid w:val="003F3897"/>
    <w:rsid w:val="00422956"/>
    <w:rsid w:val="00481E53"/>
    <w:rsid w:val="00537022"/>
    <w:rsid w:val="00572992"/>
    <w:rsid w:val="00574EA9"/>
    <w:rsid w:val="005F5918"/>
    <w:rsid w:val="005F6506"/>
    <w:rsid w:val="00606ECD"/>
    <w:rsid w:val="0062755D"/>
    <w:rsid w:val="00651926"/>
    <w:rsid w:val="006850AB"/>
    <w:rsid w:val="006B19D1"/>
    <w:rsid w:val="00727C9B"/>
    <w:rsid w:val="007414CB"/>
    <w:rsid w:val="007619B3"/>
    <w:rsid w:val="007873C6"/>
    <w:rsid w:val="007B6401"/>
    <w:rsid w:val="007B785B"/>
    <w:rsid w:val="007C2480"/>
    <w:rsid w:val="007C5230"/>
    <w:rsid w:val="007F0F6F"/>
    <w:rsid w:val="00870201"/>
    <w:rsid w:val="00896DDD"/>
    <w:rsid w:val="008B0592"/>
    <w:rsid w:val="00931223"/>
    <w:rsid w:val="0093597D"/>
    <w:rsid w:val="009D14BA"/>
    <w:rsid w:val="00A54C3F"/>
    <w:rsid w:val="00A93973"/>
    <w:rsid w:val="00AB2FD6"/>
    <w:rsid w:val="00AC2BD1"/>
    <w:rsid w:val="00B04E3B"/>
    <w:rsid w:val="00B64312"/>
    <w:rsid w:val="00BC27A4"/>
    <w:rsid w:val="00BC4A07"/>
    <w:rsid w:val="00C37F6C"/>
    <w:rsid w:val="00CC426D"/>
    <w:rsid w:val="00CF7B61"/>
    <w:rsid w:val="00D20045"/>
    <w:rsid w:val="00D8585C"/>
    <w:rsid w:val="00DA3433"/>
    <w:rsid w:val="00DA778E"/>
    <w:rsid w:val="00DB3C7B"/>
    <w:rsid w:val="00E72D37"/>
    <w:rsid w:val="00EB02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F0081"/>
  <w15:chartTrackingRefBased/>
  <w15:docId w15:val="{A32ACF51-CFBF-461B-B563-C20EC9E52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288" w:after="96"/>
      <w:jc w:val="right"/>
      <w:outlineLvl w:val="0"/>
    </w:pPr>
    <w:rPr>
      <w:b/>
      <w:bCs/>
      <w:kern w:val="36"/>
      <w:sz w:val="48"/>
      <w:szCs w:val="48"/>
    </w:rPr>
  </w:style>
  <w:style w:type="paragraph" w:styleId="Heading2">
    <w:name w:val="heading 2"/>
    <w:basedOn w:val="Normal"/>
    <w:link w:val="Heading2Char"/>
    <w:uiPriority w:val="9"/>
    <w:qFormat/>
    <w:pPr>
      <w:spacing w:before="288" w:after="96"/>
      <w:jc w:val="right"/>
      <w:outlineLvl w:val="1"/>
    </w:pPr>
    <w:rPr>
      <w:b/>
      <w:bCs/>
      <w:sz w:val="36"/>
      <w:szCs w:val="36"/>
    </w:rPr>
  </w:style>
  <w:style w:type="paragraph" w:styleId="Heading3">
    <w:name w:val="heading 3"/>
    <w:basedOn w:val="Normal"/>
    <w:link w:val="Heading3Char"/>
    <w:uiPriority w:val="9"/>
    <w:qFormat/>
    <w:pPr>
      <w:spacing w:before="288" w:after="96"/>
      <w:jc w:val="right"/>
      <w:outlineLvl w:val="2"/>
    </w:pPr>
    <w:rPr>
      <w:b/>
      <w:bCs/>
      <w:sz w:val="27"/>
      <w:szCs w:val="27"/>
    </w:rPr>
  </w:style>
  <w:style w:type="paragraph" w:styleId="Heading4">
    <w:name w:val="heading 4"/>
    <w:basedOn w:val="Normal"/>
    <w:next w:val="Normal"/>
    <w:link w:val="Heading4Char"/>
    <w:uiPriority w:val="9"/>
    <w:semiHidden/>
    <w:unhideWhenUsed/>
    <w:qFormat/>
    <w:rsid w:val="00870201"/>
    <w:pPr>
      <w:keepNext/>
      <w:keepLines/>
      <w:bidi/>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pPr>
      <w:spacing w:before="96" w:after="96"/>
      <w:jc w:val="right"/>
    </w:pPr>
  </w:style>
  <w:style w:type="paragraph" w:styleId="NormalWeb">
    <w:name w:val="Normal (Web)"/>
    <w:basedOn w:val="Normal"/>
    <w:uiPriority w:val="99"/>
    <w:unhideWhenUsed/>
    <w:pPr>
      <w:spacing w:before="96" w:after="96"/>
      <w:jc w:val="right"/>
    </w:pPr>
  </w:style>
  <w:style w:type="paragraph" w:customStyle="1" w:styleId="Title1">
    <w:name w:val="Title1"/>
    <w:basedOn w:val="Normal"/>
    <w:pPr>
      <w:spacing w:before="100" w:beforeAutospacing="1" w:after="240"/>
      <w:jc w:val="center"/>
    </w:pPr>
    <w:rPr>
      <w:b/>
      <w:bCs/>
      <w:sz w:val="44"/>
      <w:szCs w:val="44"/>
    </w:rPr>
  </w:style>
  <w:style w:type="paragraph" w:customStyle="1" w:styleId="ref-title">
    <w:name w:val="ref-title"/>
    <w:basedOn w:val="Normal"/>
    <w:pPr>
      <w:spacing w:before="288" w:after="100" w:afterAutospacing="1"/>
    </w:pPr>
    <w:rPr>
      <w:b/>
      <w:bCs/>
      <w:sz w:val="32"/>
      <w:szCs w:val="32"/>
    </w:rPr>
  </w:style>
  <w:style w:type="paragraph" w:customStyle="1" w:styleId="pagebreak">
    <w:name w:val="pagebreak"/>
    <w:basedOn w:val="Normal"/>
    <w:pPr>
      <w:pageBreakBefore/>
      <w:spacing w:before="100" w:beforeAutospacing="1" w:after="100" w:afterAutospacing="1"/>
    </w:pPr>
  </w:style>
  <w:style w:type="character" w:styleId="Strong">
    <w:name w:val="Strong"/>
    <w:basedOn w:val="DefaultParagraphFont"/>
    <w:uiPriority w:val="22"/>
    <w:qFormat/>
    <w:rPr>
      <w:b/>
      <w:bCs/>
    </w:rPr>
  </w:style>
  <w:style w:type="character" w:customStyle="1" w:styleId="Heading4Char">
    <w:name w:val="Heading 4 Char"/>
    <w:basedOn w:val="DefaultParagraphFont"/>
    <w:link w:val="Heading4"/>
    <w:uiPriority w:val="9"/>
    <w:semiHidden/>
    <w:rsid w:val="00870201"/>
    <w:rPr>
      <w:rFonts w:asciiTheme="majorHAnsi" w:eastAsiaTheme="majorEastAsia" w:hAnsiTheme="majorHAnsi" w:cstheme="majorBidi"/>
      <w:i/>
      <w:iCs/>
      <w:color w:val="2F5496" w:themeColor="accent1" w:themeShade="BF"/>
      <w:sz w:val="22"/>
      <w:szCs w:val="22"/>
    </w:rPr>
  </w:style>
  <w:style w:type="character" w:styleId="Emphasis">
    <w:name w:val="Emphasis"/>
    <w:basedOn w:val="DefaultParagraphFont"/>
    <w:uiPriority w:val="20"/>
    <w:qFormat/>
    <w:rsid w:val="00870201"/>
    <w:rPr>
      <w:i/>
      <w:iCs/>
    </w:rPr>
  </w:style>
  <w:style w:type="table" w:styleId="GridTable3">
    <w:name w:val="Grid Table 3"/>
    <w:basedOn w:val="TableNormal"/>
    <w:uiPriority w:val="48"/>
    <w:rsid w:val="007619B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3">
    <w:name w:val="Grid Table 5 Dark Accent 3"/>
    <w:basedOn w:val="TableNormal"/>
    <w:uiPriority w:val="50"/>
    <w:rsid w:val="007619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Hyperlink">
    <w:name w:val="Hyperlink"/>
    <w:basedOn w:val="DefaultParagraphFont"/>
    <w:uiPriority w:val="99"/>
    <w:unhideWhenUsed/>
    <w:rsid w:val="007619B3"/>
    <w:rPr>
      <w:color w:val="0000FF"/>
      <w:u w:val="single"/>
    </w:rPr>
  </w:style>
  <w:style w:type="character" w:customStyle="1" w:styleId="ms-1">
    <w:name w:val="ms-1"/>
    <w:basedOn w:val="DefaultParagraphFont"/>
    <w:rsid w:val="007619B3"/>
  </w:style>
  <w:style w:type="character" w:customStyle="1" w:styleId="max-w-15ch">
    <w:name w:val="max-w-[15ch]"/>
    <w:basedOn w:val="DefaultParagraphFont"/>
    <w:rsid w:val="007619B3"/>
  </w:style>
  <w:style w:type="paragraph" w:styleId="Header">
    <w:name w:val="header"/>
    <w:basedOn w:val="Normal"/>
    <w:link w:val="HeaderChar"/>
    <w:uiPriority w:val="99"/>
    <w:unhideWhenUsed/>
    <w:rsid w:val="003625A1"/>
    <w:pPr>
      <w:tabs>
        <w:tab w:val="center" w:pos="4513"/>
        <w:tab w:val="right" w:pos="9026"/>
      </w:tabs>
    </w:pPr>
  </w:style>
  <w:style w:type="character" w:customStyle="1" w:styleId="HeaderChar">
    <w:name w:val="Header Char"/>
    <w:basedOn w:val="DefaultParagraphFont"/>
    <w:link w:val="Header"/>
    <w:uiPriority w:val="99"/>
    <w:rsid w:val="003625A1"/>
    <w:rPr>
      <w:rFonts w:eastAsiaTheme="minorEastAsia"/>
      <w:sz w:val="24"/>
      <w:szCs w:val="24"/>
    </w:rPr>
  </w:style>
  <w:style w:type="paragraph" w:styleId="Footer">
    <w:name w:val="footer"/>
    <w:basedOn w:val="Normal"/>
    <w:link w:val="FooterChar"/>
    <w:uiPriority w:val="99"/>
    <w:unhideWhenUsed/>
    <w:rsid w:val="003625A1"/>
    <w:pPr>
      <w:tabs>
        <w:tab w:val="center" w:pos="4513"/>
        <w:tab w:val="right" w:pos="9026"/>
      </w:tabs>
    </w:pPr>
  </w:style>
  <w:style w:type="character" w:customStyle="1" w:styleId="FooterChar">
    <w:name w:val="Footer Char"/>
    <w:basedOn w:val="DefaultParagraphFont"/>
    <w:link w:val="Footer"/>
    <w:uiPriority w:val="99"/>
    <w:rsid w:val="003625A1"/>
    <w:rPr>
      <w:rFonts w:eastAsiaTheme="minorEastAsia"/>
      <w:sz w:val="24"/>
      <w:szCs w:val="24"/>
    </w:rPr>
  </w:style>
  <w:style w:type="character" w:styleId="UnresolvedMention">
    <w:name w:val="Unresolved Mention"/>
    <w:basedOn w:val="DefaultParagraphFont"/>
    <w:uiPriority w:val="99"/>
    <w:semiHidden/>
    <w:unhideWhenUsed/>
    <w:rsid w:val="00B64312"/>
    <w:rPr>
      <w:color w:val="605E5C"/>
      <w:shd w:val="clear" w:color="auto" w:fill="E1DFDD"/>
    </w:rPr>
  </w:style>
  <w:style w:type="table" w:styleId="GridTable1Light">
    <w:name w:val="Grid Table 1 Light"/>
    <w:basedOn w:val="TableNormal"/>
    <w:uiPriority w:val="46"/>
    <w:rsid w:val="00B6431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nhideWhenUsed/>
    <w:qFormat/>
    <w:rsid w:val="00173B3F"/>
    <w:pPr>
      <w:spacing w:before="180" w:after="180"/>
    </w:pPr>
    <w:rPr>
      <w:rFonts w:asciiTheme="minorHAnsi" w:eastAsiaTheme="minorHAnsi" w:hAnsiTheme="minorHAnsi" w:cstheme="minorBidi"/>
      <w:lang w:val="en"/>
    </w:rPr>
  </w:style>
  <w:style w:type="character" w:customStyle="1" w:styleId="BodyTextChar">
    <w:name w:val="Body Text Char"/>
    <w:basedOn w:val="DefaultParagraphFont"/>
    <w:link w:val="BodyText"/>
    <w:rsid w:val="00173B3F"/>
    <w:rPr>
      <w:rFonts w:asciiTheme="minorHAnsi" w:eastAsiaTheme="minorHAnsi" w:hAnsiTheme="minorHAnsi" w:cstheme="minorBidi"/>
      <w:sz w:val="24"/>
      <w:szCs w:val="24"/>
      <w:lang w:val="en"/>
    </w:rPr>
  </w:style>
  <w:style w:type="paragraph" w:customStyle="1" w:styleId="FirstParagraph">
    <w:name w:val="First Paragraph"/>
    <w:basedOn w:val="BodyText"/>
    <w:next w:val="BodyText"/>
    <w:qFormat/>
    <w:rsid w:val="00173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278641">
      <w:bodyDiv w:val="1"/>
      <w:marLeft w:val="600"/>
      <w:marRight w:val="600"/>
      <w:marTop w:val="600"/>
      <w:marBottom w:val="600"/>
      <w:divBdr>
        <w:top w:val="none" w:sz="0" w:space="0" w:color="auto"/>
        <w:left w:val="none" w:sz="0" w:space="0" w:color="auto"/>
        <w:bottom w:val="none" w:sz="0" w:space="0" w:color="auto"/>
        <w:right w:val="none" w:sz="0" w:space="0" w:color="auto"/>
      </w:divBdr>
      <w:divsChild>
        <w:div w:id="1091001163">
          <w:marLeft w:val="0"/>
          <w:marRight w:val="0"/>
          <w:marTop w:val="0"/>
          <w:marBottom w:val="0"/>
          <w:divBdr>
            <w:top w:val="none" w:sz="0" w:space="0" w:color="auto"/>
            <w:left w:val="none" w:sz="0" w:space="0" w:color="auto"/>
            <w:bottom w:val="none" w:sz="0" w:space="0" w:color="auto"/>
            <w:right w:val="none" w:sz="0" w:space="0" w:color="auto"/>
          </w:divBdr>
        </w:div>
        <w:div w:id="1619217071">
          <w:marLeft w:val="0"/>
          <w:marRight w:val="0"/>
          <w:marTop w:val="0"/>
          <w:marBottom w:val="0"/>
          <w:divBdr>
            <w:top w:val="none" w:sz="0" w:space="0" w:color="auto"/>
            <w:left w:val="none" w:sz="0" w:space="0" w:color="auto"/>
            <w:bottom w:val="none" w:sz="0" w:space="0" w:color="auto"/>
            <w:right w:val="none" w:sz="0" w:space="0" w:color="auto"/>
          </w:divBdr>
        </w:div>
        <w:div w:id="1502575841">
          <w:marLeft w:val="0"/>
          <w:marRight w:val="0"/>
          <w:marTop w:val="0"/>
          <w:marBottom w:val="0"/>
          <w:divBdr>
            <w:top w:val="none" w:sz="0" w:space="0" w:color="auto"/>
            <w:left w:val="none" w:sz="0" w:space="0" w:color="auto"/>
            <w:bottom w:val="none" w:sz="0" w:space="0" w:color="auto"/>
            <w:right w:val="none" w:sz="0" w:space="0" w:color="auto"/>
          </w:divBdr>
        </w:div>
        <w:div w:id="294024547">
          <w:marLeft w:val="0"/>
          <w:marRight w:val="0"/>
          <w:marTop w:val="0"/>
          <w:marBottom w:val="0"/>
          <w:divBdr>
            <w:top w:val="none" w:sz="0" w:space="0" w:color="auto"/>
            <w:left w:val="none" w:sz="0" w:space="0" w:color="auto"/>
            <w:bottom w:val="none" w:sz="0" w:space="0" w:color="auto"/>
            <w:right w:val="none" w:sz="0" w:space="0" w:color="auto"/>
          </w:divBdr>
        </w:div>
        <w:div w:id="1070347520">
          <w:marLeft w:val="0"/>
          <w:marRight w:val="0"/>
          <w:marTop w:val="0"/>
          <w:marBottom w:val="0"/>
          <w:divBdr>
            <w:top w:val="none" w:sz="0" w:space="0" w:color="auto"/>
            <w:left w:val="none" w:sz="0" w:space="0" w:color="auto"/>
            <w:bottom w:val="none" w:sz="0" w:space="0" w:color="auto"/>
            <w:right w:val="none" w:sz="0" w:space="0" w:color="auto"/>
          </w:divBdr>
        </w:div>
        <w:div w:id="479269348">
          <w:marLeft w:val="0"/>
          <w:marRight w:val="0"/>
          <w:marTop w:val="0"/>
          <w:marBottom w:val="0"/>
          <w:divBdr>
            <w:top w:val="none" w:sz="0" w:space="0" w:color="auto"/>
            <w:left w:val="none" w:sz="0" w:space="0" w:color="auto"/>
            <w:bottom w:val="none" w:sz="0" w:space="0" w:color="auto"/>
            <w:right w:val="none" w:sz="0" w:space="0" w:color="auto"/>
          </w:divBdr>
        </w:div>
        <w:div w:id="751705252">
          <w:marLeft w:val="0"/>
          <w:marRight w:val="0"/>
          <w:marTop w:val="0"/>
          <w:marBottom w:val="0"/>
          <w:divBdr>
            <w:top w:val="none" w:sz="0" w:space="0" w:color="auto"/>
            <w:left w:val="none" w:sz="0" w:space="0" w:color="auto"/>
            <w:bottom w:val="none" w:sz="0" w:space="0" w:color="auto"/>
            <w:right w:val="none" w:sz="0" w:space="0" w:color="auto"/>
          </w:divBdr>
        </w:div>
        <w:div w:id="1613439929">
          <w:marLeft w:val="0"/>
          <w:marRight w:val="0"/>
          <w:marTop w:val="0"/>
          <w:marBottom w:val="0"/>
          <w:divBdr>
            <w:top w:val="none" w:sz="0" w:space="0" w:color="auto"/>
            <w:left w:val="none" w:sz="0" w:space="0" w:color="auto"/>
            <w:bottom w:val="none" w:sz="0" w:space="0" w:color="auto"/>
            <w:right w:val="none" w:sz="0" w:space="0" w:color="auto"/>
          </w:divBdr>
        </w:div>
        <w:div w:id="1971864641">
          <w:marLeft w:val="0"/>
          <w:marRight w:val="0"/>
          <w:marTop w:val="0"/>
          <w:marBottom w:val="0"/>
          <w:divBdr>
            <w:top w:val="none" w:sz="0" w:space="0" w:color="auto"/>
            <w:left w:val="none" w:sz="0" w:space="0" w:color="auto"/>
            <w:bottom w:val="none" w:sz="0" w:space="0" w:color="auto"/>
            <w:right w:val="none" w:sz="0" w:space="0" w:color="auto"/>
          </w:divBdr>
        </w:div>
        <w:div w:id="730612320">
          <w:marLeft w:val="0"/>
          <w:marRight w:val="0"/>
          <w:marTop w:val="0"/>
          <w:marBottom w:val="0"/>
          <w:divBdr>
            <w:top w:val="none" w:sz="0" w:space="0" w:color="auto"/>
            <w:left w:val="none" w:sz="0" w:space="0" w:color="auto"/>
            <w:bottom w:val="none" w:sz="0" w:space="0" w:color="auto"/>
            <w:right w:val="none" w:sz="0" w:space="0" w:color="auto"/>
          </w:divBdr>
        </w:div>
        <w:div w:id="1337148830">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1549</TotalTime>
  <Pages>28</Pages>
  <Words>7552</Words>
  <Characters>43052</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أثر التحوّل الرقمي المؤسسي على رضا الموظفين</vt:lpstr>
    </vt:vector>
  </TitlesOfParts>
  <Company>HRSD</Company>
  <LinksUpToDate>false</LinksUpToDate>
  <CharactersWithSpaces>50503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التحوّل الرقمي المؤسسي على رضا الموظفين</dc:title>
  <dc:subject/>
  <dc:creator>Saud A. Alhamad</dc:creator>
  <cp:keywords/>
  <dc:description/>
  <cp:lastModifiedBy>Saud A. Alhamad</cp:lastModifiedBy>
  <cp:revision>6</cp:revision>
  <cp:lastPrinted>2026-03-05T12:30:00Z</cp:lastPrinted>
  <dcterms:created xsi:type="dcterms:W3CDTF">2026-03-31T08:07:00Z</dcterms:created>
  <dcterms:modified xsi:type="dcterms:W3CDTF">2026-04-01T11:46:00Z</dcterms:modified>
</cp:coreProperties>
</file>