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D5912" w14:textId="77777777" w:rsidR="003959C6" w:rsidRDefault="00BF55AB" w:rsidP="00DB54FB">
      <w:pPr>
        <w:bidi/>
        <w:jc w:val="both"/>
      </w:pPr>
      <w:r>
        <w:rPr>
          <w:b/>
          <w:sz w:val="32"/>
        </w:rPr>
        <w:t>التقرير</w:t>
      </w:r>
      <w:r>
        <w:rPr>
          <w:b/>
          <w:sz w:val="32"/>
        </w:rPr>
        <w:t xml:space="preserve"> </w:t>
      </w:r>
      <w:r>
        <w:rPr>
          <w:b/>
          <w:sz w:val="32"/>
        </w:rPr>
        <w:t>النهائي</w:t>
      </w:r>
      <w:r>
        <w:rPr>
          <w:b/>
          <w:sz w:val="32"/>
        </w:rPr>
        <w:t xml:space="preserve"> </w:t>
      </w:r>
      <w:r>
        <w:rPr>
          <w:b/>
          <w:sz w:val="32"/>
        </w:rPr>
        <w:t>لمراجعة</w:t>
      </w:r>
      <w:r>
        <w:rPr>
          <w:b/>
          <w:sz w:val="32"/>
        </w:rPr>
        <w:t xml:space="preserve"> </w:t>
      </w:r>
      <w:r>
        <w:rPr>
          <w:b/>
          <w:sz w:val="32"/>
        </w:rPr>
        <w:t>الفصل</w:t>
      </w:r>
      <w:r>
        <w:rPr>
          <w:b/>
          <w:sz w:val="32"/>
        </w:rPr>
        <w:t xml:space="preserve"> </w:t>
      </w:r>
      <w:r>
        <w:rPr>
          <w:b/>
          <w:sz w:val="32"/>
        </w:rPr>
        <w:t>الثاني</w:t>
      </w:r>
    </w:p>
    <w:p w14:paraId="0EBEE2F4" w14:textId="77777777" w:rsidR="003959C6" w:rsidRDefault="00BF55AB" w:rsidP="00DB54FB">
      <w:pPr>
        <w:bidi/>
        <w:jc w:val="both"/>
      </w:pPr>
      <w:r>
        <w:rPr>
          <w:b/>
          <w:sz w:val="26"/>
        </w:rPr>
        <w:t>الإطار</w:t>
      </w:r>
      <w:r>
        <w:rPr>
          <w:b/>
          <w:sz w:val="26"/>
        </w:rPr>
        <w:t xml:space="preserve"> </w:t>
      </w:r>
      <w:r>
        <w:rPr>
          <w:b/>
          <w:sz w:val="26"/>
        </w:rPr>
        <w:t>النظري</w:t>
      </w:r>
      <w:r>
        <w:rPr>
          <w:b/>
          <w:sz w:val="26"/>
        </w:rPr>
        <w:t xml:space="preserve"> </w:t>
      </w:r>
      <w:r>
        <w:rPr>
          <w:b/>
          <w:sz w:val="26"/>
        </w:rPr>
        <w:t>والدراسات</w:t>
      </w:r>
      <w:r>
        <w:rPr>
          <w:b/>
          <w:sz w:val="26"/>
        </w:rPr>
        <w:t xml:space="preserve"> </w:t>
      </w:r>
      <w:r>
        <w:rPr>
          <w:b/>
          <w:sz w:val="26"/>
        </w:rPr>
        <w:t>السابقة</w:t>
      </w:r>
    </w:p>
    <w:p w14:paraId="4C157532" w14:textId="77777777" w:rsidR="003959C6" w:rsidRDefault="003959C6" w:rsidP="00DB54FB">
      <w:pPr>
        <w:bidi/>
        <w:jc w:val="both"/>
      </w:pPr>
    </w:p>
    <w:tbl>
      <w:tblPr>
        <w:tblStyle w:val="TableGrid"/>
        <w:tblW w:w="0" w:type="auto"/>
        <w:jc w:val="center"/>
        <w:tblLook w:val="04A0" w:firstRow="1" w:lastRow="0" w:firstColumn="1" w:lastColumn="0" w:noHBand="0" w:noVBand="1"/>
      </w:tblPr>
      <w:tblGrid>
        <w:gridCol w:w="6690"/>
        <w:gridCol w:w="2551"/>
      </w:tblGrid>
      <w:tr w:rsidR="00DD3176" w14:paraId="76AA00B6" w14:textId="77777777" w:rsidTr="0065254C">
        <w:trPr>
          <w:jc w:val="center"/>
        </w:trPr>
        <w:tc>
          <w:tcPr>
            <w:tcW w:w="6690" w:type="dxa"/>
          </w:tcPr>
          <w:p w14:paraId="6E3DCEBC" w14:textId="79E492C7" w:rsidR="00DD3176" w:rsidRDefault="00DD3176" w:rsidP="00DD3176">
            <w:pPr>
              <w:bidi/>
              <w:jc w:val="both"/>
            </w:pPr>
            <w:r w:rsidRPr="007A3E01">
              <w:rPr>
                <w:rtl/>
              </w:rPr>
              <w:t>علي الحارثي</w:t>
            </w:r>
          </w:p>
        </w:tc>
        <w:tc>
          <w:tcPr>
            <w:tcW w:w="2551" w:type="dxa"/>
            <w:shd w:val="clear" w:color="auto" w:fill="D9E2F3"/>
            <w:vAlign w:val="center"/>
          </w:tcPr>
          <w:p w14:paraId="5430FEC0" w14:textId="77777777" w:rsidR="00DD3176" w:rsidRDefault="00DD3176" w:rsidP="00DD3176">
            <w:pPr>
              <w:bidi/>
              <w:jc w:val="both"/>
            </w:pPr>
            <w:r>
              <w:rPr>
                <w:b/>
              </w:rPr>
              <w:t>اسم الطالب</w:t>
            </w:r>
          </w:p>
        </w:tc>
      </w:tr>
      <w:tr w:rsidR="00DD3176" w14:paraId="5C3B1906" w14:textId="77777777" w:rsidTr="0065254C">
        <w:trPr>
          <w:jc w:val="center"/>
        </w:trPr>
        <w:tc>
          <w:tcPr>
            <w:tcW w:w="6690" w:type="dxa"/>
          </w:tcPr>
          <w:p w14:paraId="72EA34B5" w14:textId="370F4667" w:rsidR="00DD3176" w:rsidRDefault="00DD3176" w:rsidP="00DD3176">
            <w:pPr>
              <w:bidi/>
              <w:jc w:val="both"/>
            </w:pPr>
            <w:r w:rsidRPr="007A3E01">
              <w:rPr>
                <w:rtl/>
              </w:rPr>
              <w:t>أثر استخدام تقنيات الذكاء الاصطناعي في قرارات التوظيف على تحقيق العدالة الوظيفية: دراسة تطبيقية في وزارة الموارد البشرية والتنمية الاجتماعية بالسعودية</w:t>
            </w:r>
          </w:p>
        </w:tc>
        <w:tc>
          <w:tcPr>
            <w:tcW w:w="2551" w:type="dxa"/>
            <w:shd w:val="clear" w:color="auto" w:fill="D9E2F3"/>
            <w:vAlign w:val="center"/>
          </w:tcPr>
          <w:p w14:paraId="1DF507DB" w14:textId="77777777" w:rsidR="00DD3176" w:rsidRDefault="00DD3176" w:rsidP="00DD3176">
            <w:pPr>
              <w:bidi/>
              <w:jc w:val="both"/>
            </w:pPr>
            <w:r>
              <w:rPr>
                <w:b/>
              </w:rPr>
              <w:t>موضوع الرسالة</w:t>
            </w:r>
          </w:p>
        </w:tc>
      </w:tr>
      <w:tr w:rsidR="00DD3176" w14:paraId="770C2C1B" w14:textId="77777777" w:rsidTr="0065254C">
        <w:trPr>
          <w:jc w:val="center"/>
        </w:trPr>
        <w:tc>
          <w:tcPr>
            <w:tcW w:w="6690" w:type="dxa"/>
          </w:tcPr>
          <w:p w14:paraId="623BEB6C" w14:textId="6091EB29" w:rsidR="00DD3176" w:rsidRDefault="00DD3176" w:rsidP="00DD3176">
            <w:pPr>
              <w:bidi/>
              <w:jc w:val="both"/>
            </w:pPr>
            <w:r w:rsidRPr="007A3E01">
              <w:rPr>
                <w:rtl/>
              </w:rPr>
              <w:t>مقارنة بين التقرير النهائي السابق والنسخة الحالية المعدلة من الفصل الثاني</w:t>
            </w:r>
          </w:p>
        </w:tc>
        <w:tc>
          <w:tcPr>
            <w:tcW w:w="2551" w:type="dxa"/>
            <w:shd w:val="clear" w:color="auto" w:fill="D9E2F3"/>
            <w:vAlign w:val="center"/>
          </w:tcPr>
          <w:p w14:paraId="2FC36BD2" w14:textId="77777777" w:rsidR="00DD3176" w:rsidRDefault="00DD3176" w:rsidP="00DD3176">
            <w:pPr>
              <w:bidi/>
              <w:jc w:val="both"/>
            </w:pPr>
            <w:r>
              <w:rPr>
                <w:b/>
              </w:rPr>
              <w:t>نوع المراجعة</w:t>
            </w:r>
          </w:p>
        </w:tc>
      </w:tr>
      <w:tr w:rsidR="00DD3176" w14:paraId="5D08DB87" w14:textId="77777777" w:rsidTr="0065254C">
        <w:trPr>
          <w:jc w:val="center"/>
        </w:trPr>
        <w:tc>
          <w:tcPr>
            <w:tcW w:w="6690" w:type="dxa"/>
          </w:tcPr>
          <w:p w14:paraId="2904F954" w14:textId="24E22653" w:rsidR="00DD3176" w:rsidRDefault="00DD3176" w:rsidP="00DD3176">
            <w:pPr>
              <w:bidi/>
              <w:jc w:val="both"/>
            </w:pPr>
            <w:r w:rsidRPr="007A3E01">
              <w:rPr>
                <w:rtl/>
              </w:rPr>
              <w:t>مقبول مع تعديلات بسيطة</w:t>
            </w:r>
          </w:p>
        </w:tc>
        <w:tc>
          <w:tcPr>
            <w:tcW w:w="2551" w:type="dxa"/>
            <w:shd w:val="clear" w:color="auto" w:fill="D9E2F3"/>
            <w:vAlign w:val="center"/>
          </w:tcPr>
          <w:p w14:paraId="3EDDC62F" w14:textId="77777777" w:rsidR="00DD3176" w:rsidRDefault="00DD3176" w:rsidP="00DD3176">
            <w:pPr>
              <w:bidi/>
              <w:jc w:val="both"/>
            </w:pPr>
            <w:r>
              <w:rPr>
                <w:b/>
              </w:rPr>
              <w:t>قرار المراجعة</w:t>
            </w:r>
          </w:p>
        </w:tc>
      </w:tr>
    </w:tbl>
    <w:p w14:paraId="37DABDCF" w14:textId="77777777" w:rsidR="003959C6" w:rsidRDefault="003959C6" w:rsidP="00DB54FB">
      <w:pPr>
        <w:bidi/>
        <w:jc w:val="both"/>
      </w:pPr>
    </w:p>
    <w:p w14:paraId="5DB07A06" w14:textId="77777777" w:rsidR="003959C6" w:rsidRDefault="00BF55AB" w:rsidP="00DB54FB">
      <w:pPr>
        <w:bidi/>
        <w:jc w:val="both"/>
      </w:pPr>
      <w:r>
        <w:rPr>
          <w:b/>
          <w:sz w:val="26"/>
        </w:rPr>
        <w:t>أولًا</w:t>
      </w:r>
      <w:r>
        <w:rPr>
          <w:b/>
          <w:sz w:val="26"/>
        </w:rPr>
        <w:t xml:space="preserve">: </w:t>
      </w:r>
      <w:r>
        <w:rPr>
          <w:b/>
          <w:sz w:val="26"/>
        </w:rPr>
        <w:t>التقدير</w:t>
      </w:r>
      <w:r>
        <w:rPr>
          <w:b/>
          <w:sz w:val="26"/>
        </w:rPr>
        <w:t xml:space="preserve"> </w:t>
      </w:r>
      <w:r>
        <w:rPr>
          <w:b/>
          <w:sz w:val="26"/>
        </w:rPr>
        <w:t>العام</w:t>
      </w:r>
    </w:p>
    <w:p w14:paraId="2D038000" w14:textId="77777777" w:rsidR="0054066B" w:rsidRDefault="0054066B" w:rsidP="00DB54FB">
      <w:pPr>
        <w:bidi/>
        <w:jc w:val="both"/>
        <w:rPr>
          <w:rFonts w:cs="Arial"/>
          <w:rtl/>
        </w:rPr>
      </w:pPr>
      <w:r w:rsidRPr="0054066B">
        <w:rPr>
          <w:rFonts w:cs="Arial"/>
          <w:rtl/>
        </w:rPr>
        <w:t>تُظهر النسخة الحالية تحسنًا واضحًا مقارنة بالتقرير النهائي السابق؛ إذ أضيف تمهيد أكثر اكتمالًا، ومنهج مراجعة أدبيات ومعايير عامة للاختيار، وخريطة للفصل، كما جرى تعزيز بناء الإطار النظري من خلال الاعتماد على النظرية الموحدة لقبول واستخدام التكنولوجيا (</w:t>
      </w:r>
      <w:r w:rsidRPr="0054066B">
        <w:t>UTAUT</w:t>
      </w:r>
      <w:r w:rsidRPr="0054066B">
        <w:rPr>
          <w:rFonts w:cs="Arial"/>
          <w:rtl/>
        </w:rPr>
        <w:t>) ونظرية العدالة التنظيمية، مع تقديم تفسير أوضح للعلاقة بين استخدام تقنيات الذكاء الاصطناعي في التوظيف وإدراك العدالة الوظيفية. ومع ذلك، فإن المقارنة الدقيقة تشير إلى أن بعض الملاحظات الجوهرية السابقة لم تُغلق بالكامل بعد، لا سيما ما يتعلق بإحكام التكامل بين الإطارين النظريين، وتعميق التوليف المقارن للدراسات السابقة، وتقوية مبرر الحالة التطبيقية، وإجراء تدقيق تحريري نهائي أكثر ضبطًا.</w:t>
      </w:r>
    </w:p>
    <w:p w14:paraId="5DE5652B" w14:textId="6880B743" w:rsidR="003959C6" w:rsidRDefault="00BF55AB" w:rsidP="0054066B">
      <w:pPr>
        <w:bidi/>
        <w:jc w:val="both"/>
      </w:pPr>
      <w:proofErr w:type="spellStart"/>
      <w:r>
        <w:rPr>
          <w:b/>
          <w:sz w:val="26"/>
        </w:rPr>
        <w:t>ثانيًا</w:t>
      </w:r>
      <w:proofErr w:type="spellEnd"/>
      <w:r>
        <w:rPr>
          <w:b/>
          <w:sz w:val="26"/>
        </w:rPr>
        <w:t xml:space="preserve">: </w:t>
      </w:r>
      <w:proofErr w:type="spellStart"/>
      <w:r>
        <w:rPr>
          <w:b/>
          <w:sz w:val="26"/>
        </w:rPr>
        <w:t>الملاحظات</w:t>
      </w:r>
      <w:proofErr w:type="spellEnd"/>
      <w:r>
        <w:rPr>
          <w:b/>
          <w:sz w:val="26"/>
        </w:rPr>
        <w:t xml:space="preserve"> </w:t>
      </w:r>
      <w:proofErr w:type="spellStart"/>
      <w:r>
        <w:rPr>
          <w:b/>
          <w:sz w:val="26"/>
        </w:rPr>
        <w:t>الجوهرية</w:t>
      </w:r>
      <w:proofErr w:type="spellEnd"/>
      <w:r>
        <w:rPr>
          <w:b/>
          <w:sz w:val="26"/>
        </w:rPr>
        <w:t xml:space="preserve"> </w:t>
      </w:r>
      <w:proofErr w:type="spellStart"/>
      <w:r>
        <w:rPr>
          <w:b/>
          <w:sz w:val="26"/>
        </w:rPr>
        <w:t>التي</w:t>
      </w:r>
      <w:proofErr w:type="spellEnd"/>
      <w:r>
        <w:rPr>
          <w:b/>
          <w:sz w:val="26"/>
        </w:rPr>
        <w:t xml:space="preserve"> </w:t>
      </w:r>
      <w:r>
        <w:rPr>
          <w:b/>
          <w:sz w:val="26"/>
        </w:rPr>
        <w:t>ما</w:t>
      </w:r>
      <w:r>
        <w:rPr>
          <w:b/>
          <w:sz w:val="26"/>
        </w:rPr>
        <w:t xml:space="preserve"> </w:t>
      </w:r>
      <w:r>
        <w:rPr>
          <w:b/>
          <w:sz w:val="26"/>
        </w:rPr>
        <w:t>تزال</w:t>
      </w:r>
      <w:r>
        <w:rPr>
          <w:b/>
          <w:sz w:val="26"/>
        </w:rPr>
        <w:t xml:space="preserve"> </w:t>
      </w:r>
      <w:r>
        <w:rPr>
          <w:b/>
          <w:sz w:val="26"/>
        </w:rPr>
        <w:t>قائمة</w:t>
      </w:r>
    </w:p>
    <w:tbl>
      <w:tblPr>
        <w:tblStyle w:val="TableGrid"/>
        <w:bidiVisual/>
        <w:tblW w:w="0" w:type="auto"/>
        <w:jc w:val="center"/>
        <w:tblLook w:val="04A0" w:firstRow="1" w:lastRow="0" w:firstColumn="1" w:lastColumn="0" w:noHBand="0" w:noVBand="1"/>
      </w:tblPr>
      <w:tblGrid>
        <w:gridCol w:w="680"/>
        <w:gridCol w:w="1932"/>
        <w:gridCol w:w="6799"/>
      </w:tblGrid>
      <w:tr w:rsidR="00DD3176" w14:paraId="7DA21456" w14:textId="77777777" w:rsidTr="00DD3176">
        <w:trPr>
          <w:jc w:val="center"/>
        </w:trPr>
        <w:tc>
          <w:tcPr>
            <w:tcW w:w="680" w:type="dxa"/>
            <w:shd w:val="clear" w:color="auto" w:fill="D9E2F3"/>
            <w:vAlign w:val="center"/>
          </w:tcPr>
          <w:p w14:paraId="44671DE1" w14:textId="0074F9EA" w:rsidR="00DD3176" w:rsidRPr="00DD3176" w:rsidRDefault="00DD3176" w:rsidP="00DD3176">
            <w:pPr>
              <w:bidi/>
              <w:jc w:val="center"/>
              <w:rPr>
                <w:b/>
                <w:bCs/>
              </w:rPr>
            </w:pPr>
            <w:r w:rsidRPr="00DD3176">
              <w:rPr>
                <w:b/>
                <w:bCs/>
                <w:rtl/>
              </w:rPr>
              <w:t>م</w:t>
            </w:r>
          </w:p>
        </w:tc>
        <w:tc>
          <w:tcPr>
            <w:tcW w:w="1932" w:type="dxa"/>
            <w:shd w:val="clear" w:color="auto" w:fill="D9E2F3"/>
            <w:vAlign w:val="center"/>
          </w:tcPr>
          <w:p w14:paraId="42F212DC" w14:textId="101EA8A8" w:rsidR="00DD3176" w:rsidRPr="00DD3176" w:rsidRDefault="00DD3176" w:rsidP="00DD3176">
            <w:pPr>
              <w:bidi/>
              <w:jc w:val="center"/>
              <w:rPr>
                <w:b/>
                <w:bCs/>
              </w:rPr>
            </w:pPr>
            <w:r w:rsidRPr="00DD3176">
              <w:rPr>
                <w:b/>
                <w:bCs/>
                <w:rtl/>
              </w:rPr>
              <w:t>الملاحظة الجوهرية</w:t>
            </w:r>
          </w:p>
        </w:tc>
        <w:tc>
          <w:tcPr>
            <w:tcW w:w="6799" w:type="dxa"/>
            <w:shd w:val="clear" w:color="auto" w:fill="D9E2F3"/>
            <w:vAlign w:val="center"/>
          </w:tcPr>
          <w:p w14:paraId="5BCA5EC2" w14:textId="396922E5" w:rsidR="00DD3176" w:rsidRPr="00DD3176" w:rsidRDefault="00DD3176" w:rsidP="00DD3176">
            <w:pPr>
              <w:bidi/>
              <w:jc w:val="center"/>
              <w:rPr>
                <w:b/>
                <w:bCs/>
              </w:rPr>
            </w:pPr>
            <w:r w:rsidRPr="00DD3176">
              <w:rPr>
                <w:b/>
                <w:bCs/>
                <w:rtl/>
              </w:rPr>
              <w:t>الحكم المختصر</w:t>
            </w:r>
          </w:p>
        </w:tc>
      </w:tr>
      <w:tr w:rsidR="00DD3176" w14:paraId="12E0FAB0" w14:textId="77777777" w:rsidTr="00DD3176">
        <w:trPr>
          <w:jc w:val="center"/>
        </w:trPr>
        <w:tc>
          <w:tcPr>
            <w:tcW w:w="680" w:type="dxa"/>
            <w:vAlign w:val="center"/>
          </w:tcPr>
          <w:p w14:paraId="4DF31B9B" w14:textId="0A344840" w:rsidR="00DD3176" w:rsidRPr="00DD3176" w:rsidRDefault="00DD3176" w:rsidP="00DD3176">
            <w:pPr>
              <w:bidi/>
              <w:jc w:val="center"/>
              <w:rPr>
                <w:b/>
                <w:bCs/>
              </w:rPr>
            </w:pPr>
            <w:r w:rsidRPr="00DD3176">
              <w:rPr>
                <w:b/>
                <w:bCs/>
              </w:rPr>
              <w:t>1</w:t>
            </w:r>
          </w:p>
        </w:tc>
        <w:tc>
          <w:tcPr>
            <w:tcW w:w="1932" w:type="dxa"/>
            <w:vAlign w:val="center"/>
          </w:tcPr>
          <w:p w14:paraId="0276E699" w14:textId="17A581E6" w:rsidR="00DD3176" w:rsidRPr="00DD3176" w:rsidRDefault="00DD3176" w:rsidP="00DD3176">
            <w:pPr>
              <w:bidi/>
              <w:jc w:val="center"/>
              <w:rPr>
                <w:b/>
                <w:bCs/>
              </w:rPr>
            </w:pPr>
            <w:r w:rsidRPr="00DD3176">
              <w:rPr>
                <w:b/>
                <w:bCs/>
                <w:rtl/>
              </w:rPr>
              <w:t>التكامل بين</w:t>
            </w:r>
            <w:r w:rsidRPr="00DD3176">
              <w:rPr>
                <w:b/>
                <w:bCs/>
              </w:rPr>
              <w:t xml:space="preserve"> UTAUT </w:t>
            </w:r>
            <w:r w:rsidRPr="00DD3176">
              <w:rPr>
                <w:b/>
                <w:bCs/>
                <w:rtl/>
              </w:rPr>
              <w:t>ونظرية العدالة التنظيمية</w:t>
            </w:r>
          </w:p>
        </w:tc>
        <w:tc>
          <w:tcPr>
            <w:tcW w:w="6799" w:type="dxa"/>
          </w:tcPr>
          <w:p w14:paraId="26793488" w14:textId="7B6030F9" w:rsidR="00DD3176" w:rsidRDefault="00DD3176" w:rsidP="00DD3176">
            <w:pPr>
              <w:bidi/>
              <w:jc w:val="both"/>
            </w:pPr>
            <w:r w:rsidRPr="00AC44BD">
              <w:rPr>
                <w:rtl/>
              </w:rPr>
              <w:t>أصبح حضور النظريتين أوضح من السابق، إلا أن الفصل لا يزال يحتاج إلى بيان أكثر مباشرة لكيفية انتقال التحليل من تبني التقنية واستخدامها إلى إدراك العدالة الوظيفية بأبعادها الأربعة، بحيث يظهر المنطق التفسيري للنموذج</w:t>
            </w:r>
            <w:r w:rsidRPr="00AC44BD">
              <w:t xml:space="preserve"> </w:t>
            </w:r>
            <w:r w:rsidRPr="00AC44BD">
              <w:rPr>
                <w:rtl/>
              </w:rPr>
              <w:t>بصورة أكثر إحكامًا وأقل تجاورًا بين الإطارين</w:t>
            </w:r>
            <w:r w:rsidRPr="00AC44BD">
              <w:t>.</w:t>
            </w:r>
          </w:p>
        </w:tc>
      </w:tr>
      <w:tr w:rsidR="00DD3176" w14:paraId="5EFACC4F" w14:textId="77777777" w:rsidTr="00DD3176">
        <w:trPr>
          <w:jc w:val="center"/>
        </w:trPr>
        <w:tc>
          <w:tcPr>
            <w:tcW w:w="680" w:type="dxa"/>
            <w:vAlign w:val="center"/>
          </w:tcPr>
          <w:p w14:paraId="5BFDDBAC" w14:textId="2431FCF0" w:rsidR="00DD3176" w:rsidRPr="00DD3176" w:rsidRDefault="00DD3176" w:rsidP="00DD3176">
            <w:pPr>
              <w:bidi/>
              <w:jc w:val="center"/>
              <w:rPr>
                <w:b/>
                <w:bCs/>
              </w:rPr>
            </w:pPr>
            <w:r w:rsidRPr="00DD3176">
              <w:rPr>
                <w:b/>
                <w:bCs/>
              </w:rPr>
              <w:t>2</w:t>
            </w:r>
          </w:p>
        </w:tc>
        <w:tc>
          <w:tcPr>
            <w:tcW w:w="1932" w:type="dxa"/>
            <w:vAlign w:val="center"/>
          </w:tcPr>
          <w:p w14:paraId="34E135FE" w14:textId="10BBCB7C" w:rsidR="00DD3176" w:rsidRPr="00DD3176" w:rsidRDefault="00DD3176" w:rsidP="00DD3176">
            <w:pPr>
              <w:bidi/>
              <w:jc w:val="center"/>
              <w:rPr>
                <w:b/>
                <w:bCs/>
              </w:rPr>
            </w:pPr>
            <w:r w:rsidRPr="00DD3176">
              <w:rPr>
                <w:b/>
                <w:bCs/>
                <w:rtl/>
              </w:rPr>
              <w:t>منهج مراجعة الأدبيات وحدوده</w:t>
            </w:r>
          </w:p>
        </w:tc>
        <w:tc>
          <w:tcPr>
            <w:tcW w:w="6799" w:type="dxa"/>
          </w:tcPr>
          <w:p w14:paraId="3EE12951" w14:textId="47BF4C11" w:rsidR="00DD3176" w:rsidRDefault="00DD3176" w:rsidP="00DD3176">
            <w:pPr>
              <w:bidi/>
              <w:jc w:val="both"/>
            </w:pPr>
            <w:r w:rsidRPr="00AC44BD">
              <w:rPr>
                <w:rtl/>
              </w:rPr>
              <w:t xml:space="preserve">أضيفت فقرة منهجية وخريطة للفصل، وهو تحسن مهم، لكن عرض المنهجية ما يزال عامًا؛ إذ لم يحدد بوضوح قواعد </w:t>
            </w:r>
            <w:r w:rsidRPr="00AC44BD">
              <w:rPr>
                <w:rFonts w:hint="cs"/>
                <w:rtl/>
              </w:rPr>
              <w:t>البيانات</w:t>
            </w:r>
            <w:r w:rsidRPr="00AC44BD">
              <w:rPr>
                <w:rFonts w:hint="eastAsia"/>
                <w:rtl/>
              </w:rPr>
              <w:t>،</w:t>
            </w:r>
            <w:r w:rsidRPr="00AC44BD">
              <w:rPr>
                <w:rtl/>
              </w:rPr>
              <w:t xml:space="preserve"> أو </w:t>
            </w:r>
            <w:r w:rsidRPr="00AC44BD">
              <w:rPr>
                <w:rFonts w:hint="cs"/>
                <w:rtl/>
              </w:rPr>
              <w:t xml:space="preserve">الكلمات المفتاحية </w:t>
            </w:r>
            <w:r w:rsidRPr="00AC44BD">
              <w:rPr>
                <w:rFonts w:hint="eastAsia"/>
                <w:rtl/>
              </w:rPr>
              <w:t>،</w:t>
            </w:r>
            <w:r w:rsidRPr="00AC44BD">
              <w:rPr>
                <w:rtl/>
              </w:rPr>
              <w:t>أو الإطار الزمني أو معايير الاستبعاد، وهو ما يجعل المراجعة المنهجية مقبولة مبدئيًا لكنها ليست مكتملة الصرامة بعد</w:t>
            </w:r>
            <w:r w:rsidRPr="00AC44BD">
              <w:t>.</w:t>
            </w:r>
          </w:p>
        </w:tc>
      </w:tr>
      <w:tr w:rsidR="00DD3176" w14:paraId="5099E519" w14:textId="77777777" w:rsidTr="00DD3176">
        <w:trPr>
          <w:jc w:val="center"/>
        </w:trPr>
        <w:tc>
          <w:tcPr>
            <w:tcW w:w="680" w:type="dxa"/>
            <w:vAlign w:val="center"/>
          </w:tcPr>
          <w:p w14:paraId="567CE244" w14:textId="79439892" w:rsidR="00DD3176" w:rsidRPr="00DD3176" w:rsidRDefault="00DD3176" w:rsidP="00DD3176">
            <w:pPr>
              <w:bidi/>
              <w:jc w:val="center"/>
              <w:rPr>
                <w:b/>
                <w:bCs/>
              </w:rPr>
            </w:pPr>
            <w:r w:rsidRPr="00DD3176">
              <w:rPr>
                <w:b/>
                <w:bCs/>
              </w:rPr>
              <w:t>3</w:t>
            </w:r>
          </w:p>
        </w:tc>
        <w:tc>
          <w:tcPr>
            <w:tcW w:w="1932" w:type="dxa"/>
            <w:vAlign w:val="center"/>
          </w:tcPr>
          <w:p w14:paraId="1001364E" w14:textId="26FCAD85" w:rsidR="00DD3176" w:rsidRPr="00DD3176" w:rsidRDefault="00DD3176" w:rsidP="00DD3176">
            <w:pPr>
              <w:bidi/>
              <w:jc w:val="center"/>
              <w:rPr>
                <w:b/>
                <w:bCs/>
              </w:rPr>
            </w:pPr>
            <w:r w:rsidRPr="00DD3176">
              <w:rPr>
                <w:b/>
                <w:bCs/>
                <w:rtl/>
              </w:rPr>
              <w:t>التوليف المقارن للدراسات السابقة</w:t>
            </w:r>
          </w:p>
        </w:tc>
        <w:tc>
          <w:tcPr>
            <w:tcW w:w="6799" w:type="dxa"/>
          </w:tcPr>
          <w:p w14:paraId="198CFB85" w14:textId="60068ED5" w:rsidR="00DD3176" w:rsidRDefault="00DD3176" w:rsidP="00DD3176">
            <w:pPr>
              <w:bidi/>
              <w:jc w:val="both"/>
            </w:pPr>
            <w:r w:rsidRPr="00AC44BD">
              <w:rPr>
                <w:rtl/>
              </w:rPr>
              <w:t xml:space="preserve">يوجد تحسن في تنظيم الدراسات وتصنيفها، لكن التوليف النقدي ما يزال بحاجة إلى تقوية، خاصة </w:t>
            </w:r>
            <w:r w:rsidRPr="00AC44BD">
              <w:rPr>
                <w:rFonts w:hint="cs"/>
                <w:rtl/>
              </w:rPr>
              <w:t>فيما</w:t>
            </w:r>
            <w:r w:rsidRPr="00AC44BD">
              <w:rPr>
                <w:rtl/>
              </w:rPr>
              <w:t xml:space="preserve"> يتعلق بالتحيز الخوارزمي، وقابلية التفسير، والتمييز بين أثر الاستخدام الفعلي للتقنية وأثر إدراك العدالة المدركة. كما أن بعض المقاطع لا تزال تميل إلى التلخيص الفردي أكثر من الدمج المقارن</w:t>
            </w:r>
            <w:r w:rsidRPr="00AC44BD">
              <w:t>.</w:t>
            </w:r>
          </w:p>
        </w:tc>
      </w:tr>
      <w:tr w:rsidR="00DD3176" w14:paraId="5C0D6E6D" w14:textId="77777777" w:rsidTr="00DD3176">
        <w:trPr>
          <w:jc w:val="center"/>
        </w:trPr>
        <w:tc>
          <w:tcPr>
            <w:tcW w:w="680" w:type="dxa"/>
            <w:vAlign w:val="center"/>
          </w:tcPr>
          <w:p w14:paraId="3AF6CA5F" w14:textId="3BD29EE5" w:rsidR="00DD3176" w:rsidRPr="00DD3176" w:rsidRDefault="00DD3176" w:rsidP="00DD3176">
            <w:pPr>
              <w:bidi/>
              <w:jc w:val="center"/>
              <w:rPr>
                <w:b/>
                <w:bCs/>
              </w:rPr>
            </w:pPr>
            <w:r w:rsidRPr="00DD3176">
              <w:rPr>
                <w:b/>
                <w:bCs/>
              </w:rPr>
              <w:t>4</w:t>
            </w:r>
          </w:p>
        </w:tc>
        <w:tc>
          <w:tcPr>
            <w:tcW w:w="1932" w:type="dxa"/>
            <w:vAlign w:val="center"/>
          </w:tcPr>
          <w:p w14:paraId="28BE73A2" w14:textId="51AB5334" w:rsidR="00DD3176" w:rsidRPr="00DD3176" w:rsidRDefault="00DD3176" w:rsidP="00DD3176">
            <w:pPr>
              <w:bidi/>
              <w:jc w:val="center"/>
              <w:rPr>
                <w:b/>
                <w:bCs/>
              </w:rPr>
            </w:pPr>
            <w:r w:rsidRPr="00DD3176">
              <w:rPr>
                <w:b/>
                <w:bCs/>
                <w:rtl/>
              </w:rPr>
              <w:t>تبرير الحالة التطبيقية</w:t>
            </w:r>
          </w:p>
        </w:tc>
        <w:tc>
          <w:tcPr>
            <w:tcW w:w="6799" w:type="dxa"/>
          </w:tcPr>
          <w:p w14:paraId="2D66CE84" w14:textId="0A52DC0A" w:rsidR="00DD3176" w:rsidRDefault="00DD3176" w:rsidP="00DD3176">
            <w:pPr>
              <w:bidi/>
              <w:jc w:val="both"/>
            </w:pPr>
            <w:r w:rsidRPr="00AC44BD">
              <w:rPr>
                <w:rtl/>
              </w:rPr>
              <w:t>الفجوة البحثية أصبحت أوضح، لكن الخاتمة ستغدو أقوى إذا أضيفت فقرة قصيرة تشرح بصورة أكثر صراحة لماذا تمثل وزارة الموارد البشرية والتنمية الاجتماعية حالة تفسيرية مهمة داخل السياق الحكومي السعودي، وليس مجرد موقع تطبيقي للدراسة</w:t>
            </w:r>
            <w:r w:rsidRPr="00AC44BD">
              <w:t>.</w:t>
            </w:r>
          </w:p>
        </w:tc>
      </w:tr>
      <w:tr w:rsidR="00DD3176" w14:paraId="5CDC9F4D" w14:textId="77777777" w:rsidTr="00DD3176">
        <w:trPr>
          <w:jc w:val="center"/>
        </w:trPr>
        <w:tc>
          <w:tcPr>
            <w:tcW w:w="680" w:type="dxa"/>
            <w:vAlign w:val="center"/>
          </w:tcPr>
          <w:p w14:paraId="0A522896" w14:textId="792625BC" w:rsidR="00DD3176" w:rsidRPr="00DD3176" w:rsidRDefault="00DD3176" w:rsidP="00DD3176">
            <w:pPr>
              <w:bidi/>
              <w:jc w:val="center"/>
              <w:rPr>
                <w:b/>
                <w:bCs/>
              </w:rPr>
            </w:pPr>
            <w:r w:rsidRPr="00DD3176">
              <w:rPr>
                <w:b/>
                <w:bCs/>
              </w:rPr>
              <w:t>5</w:t>
            </w:r>
          </w:p>
        </w:tc>
        <w:tc>
          <w:tcPr>
            <w:tcW w:w="1932" w:type="dxa"/>
            <w:vAlign w:val="center"/>
          </w:tcPr>
          <w:p w14:paraId="0CEBC5EE" w14:textId="75EFEB21" w:rsidR="00DD3176" w:rsidRPr="00DD3176" w:rsidRDefault="00DD3176" w:rsidP="00DD3176">
            <w:pPr>
              <w:bidi/>
              <w:jc w:val="center"/>
              <w:rPr>
                <w:b/>
                <w:bCs/>
              </w:rPr>
            </w:pPr>
            <w:r w:rsidRPr="00DD3176">
              <w:rPr>
                <w:b/>
                <w:bCs/>
                <w:rtl/>
              </w:rPr>
              <w:t>الضبط التحريري والتوثيقي النهائي</w:t>
            </w:r>
          </w:p>
        </w:tc>
        <w:tc>
          <w:tcPr>
            <w:tcW w:w="6799" w:type="dxa"/>
          </w:tcPr>
          <w:p w14:paraId="4C150138" w14:textId="2572A3DE" w:rsidR="00DD3176" w:rsidRDefault="00DD3176" w:rsidP="00DD3176">
            <w:pPr>
              <w:bidi/>
              <w:jc w:val="both"/>
            </w:pPr>
            <w:r w:rsidRPr="00AC44BD">
              <w:rPr>
                <w:rtl/>
              </w:rPr>
              <w:t>الفصل جيد في مجمله، إلا أنه ما يزال يستفيد من مراجعة نهائية محدودة لضبط الاقتصاد اللغوي، وبعض مواضع التوثيق، وعلامات الترقيم، وتخفيف بعض التكرار في الشرح النظري</w:t>
            </w:r>
            <w:r w:rsidRPr="00AC44BD">
              <w:t>.</w:t>
            </w:r>
          </w:p>
        </w:tc>
      </w:tr>
    </w:tbl>
    <w:p w14:paraId="16D844A3" w14:textId="77777777" w:rsidR="003959C6" w:rsidRDefault="003959C6" w:rsidP="00DB54FB">
      <w:pPr>
        <w:bidi/>
        <w:jc w:val="both"/>
      </w:pPr>
    </w:p>
    <w:p w14:paraId="01CDD7C4" w14:textId="77777777" w:rsidR="003959C6" w:rsidRDefault="00BF55AB" w:rsidP="00DB54FB">
      <w:pPr>
        <w:bidi/>
        <w:jc w:val="both"/>
      </w:pPr>
      <w:r>
        <w:rPr>
          <w:b/>
          <w:sz w:val="26"/>
        </w:rPr>
        <w:t>ثالثًا</w:t>
      </w:r>
      <w:r>
        <w:rPr>
          <w:b/>
          <w:sz w:val="26"/>
        </w:rPr>
        <w:t xml:space="preserve">: </w:t>
      </w:r>
      <w:r>
        <w:rPr>
          <w:b/>
          <w:sz w:val="26"/>
        </w:rPr>
        <w:t>إرشادات</w:t>
      </w:r>
      <w:r>
        <w:rPr>
          <w:b/>
          <w:sz w:val="26"/>
        </w:rPr>
        <w:t xml:space="preserve"> </w:t>
      </w:r>
      <w:r>
        <w:rPr>
          <w:b/>
          <w:sz w:val="26"/>
        </w:rPr>
        <w:t>الإغلاق</w:t>
      </w:r>
    </w:p>
    <w:p w14:paraId="4E4E12BF" w14:textId="13519BEA" w:rsidR="00552567" w:rsidRDefault="00552567" w:rsidP="00552567">
      <w:pPr>
        <w:pStyle w:val="ListParagraph"/>
        <w:numPr>
          <w:ilvl w:val="0"/>
          <w:numId w:val="15"/>
        </w:numPr>
        <w:bidi/>
        <w:ind w:left="815" w:hanging="95"/>
        <w:jc w:val="both"/>
      </w:pPr>
      <w:r w:rsidRPr="00552567">
        <w:rPr>
          <w:rFonts w:cs="Arial"/>
          <w:rtl/>
        </w:rPr>
        <w:t xml:space="preserve">إضافة فقرة تفسيرية مختصرة تُظهر بوضوح كيف ينتقل أثر تبني التقنية واستخدامها، كما تفسره </w:t>
      </w:r>
      <w:r>
        <w:t>UTAUT</w:t>
      </w:r>
      <w:r w:rsidRPr="00552567">
        <w:rPr>
          <w:rFonts w:cs="Arial"/>
          <w:rtl/>
        </w:rPr>
        <w:t>، إلى إدراك العدالة الوظيفية بأبعادها الأربعة وفق منطق العدالة التنظيمية.</w:t>
      </w:r>
    </w:p>
    <w:p w14:paraId="243216DC" w14:textId="72D56018" w:rsidR="00552567" w:rsidRDefault="00552567" w:rsidP="00552567">
      <w:pPr>
        <w:pStyle w:val="ListParagraph"/>
        <w:numPr>
          <w:ilvl w:val="0"/>
          <w:numId w:val="15"/>
        </w:numPr>
        <w:bidi/>
        <w:ind w:left="815" w:hanging="95"/>
        <w:jc w:val="both"/>
      </w:pPr>
      <w:r w:rsidRPr="00552567">
        <w:rPr>
          <w:rFonts w:cs="Arial"/>
          <w:rtl/>
        </w:rPr>
        <w:t>تعزيز فقرة منهج مراجعة الأدبيات بتحديد أكثر صراحة لقواعد البيانات أو الكلمات المفتاحية أو الحدود الزمنية ومعايير الاختيار والاستبعاد.</w:t>
      </w:r>
    </w:p>
    <w:p w14:paraId="30A3B7DC" w14:textId="4134BFBA" w:rsidR="00552567" w:rsidRDefault="00552567" w:rsidP="00552567">
      <w:pPr>
        <w:pStyle w:val="ListParagraph"/>
        <w:numPr>
          <w:ilvl w:val="0"/>
          <w:numId w:val="15"/>
        </w:numPr>
        <w:bidi/>
        <w:ind w:left="815" w:hanging="95"/>
        <w:jc w:val="both"/>
      </w:pPr>
      <w:r w:rsidRPr="00552567">
        <w:rPr>
          <w:rFonts w:cs="Arial"/>
          <w:rtl/>
        </w:rPr>
        <w:t>تقوية التوليف الختامي للدراسات السابقة في محاور التحيز الخوارزمي، وقابلية التفسير، والعدالة في التوظيف الرقمي، مع إبراز نتائج الاتفاق والاختلاف بصورة تجميعية.</w:t>
      </w:r>
    </w:p>
    <w:p w14:paraId="13D146C5" w14:textId="0656B30B" w:rsidR="00552567" w:rsidRDefault="00552567" w:rsidP="00552567">
      <w:pPr>
        <w:pStyle w:val="ListParagraph"/>
        <w:numPr>
          <w:ilvl w:val="0"/>
          <w:numId w:val="15"/>
        </w:numPr>
        <w:bidi/>
        <w:ind w:left="815" w:hanging="95"/>
        <w:jc w:val="both"/>
      </w:pPr>
      <w:r w:rsidRPr="00552567">
        <w:rPr>
          <w:rFonts w:cs="Arial"/>
          <w:rtl/>
        </w:rPr>
        <w:t>تدعيم خاتمة الفصل بفقرة تبرز القيمة التفسيرية للحالة التطبيقية المختارة داخل السياق الحكومي السعودي.</w:t>
      </w:r>
    </w:p>
    <w:p w14:paraId="2921878C" w14:textId="12D92F67" w:rsidR="00552567" w:rsidRPr="00552567" w:rsidRDefault="00552567" w:rsidP="00552567">
      <w:pPr>
        <w:pStyle w:val="ListParagraph"/>
        <w:numPr>
          <w:ilvl w:val="0"/>
          <w:numId w:val="15"/>
        </w:numPr>
        <w:bidi/>
        <w:ind w:left="815" w:hanging="95"/>
        <w:jc w:val="both"/>
        <w:rPr>
          <w:rFonts w:cs="Arial"/>
        </w:rPr>
      </w:pPr>
      <w:r w:rsidRPr="00552567">
        <w:rPr>
          <w:rFonts w:cs="Arial"/>
          <w:rtl/>
        </w:rPr>
        <w:lastRenderedPageBreak/>
        <w:t>إجراء تدقيق نهائي محدود للغة والتوثيق وتوحيد العناوين الفرعية وعلامات الترقيم.</w:t>
      </w:r>
    </w:p>
    <w:p w14:paraId="4C88921D" w14:textId="07998F77" w:rsidR="003959C6" w:rsidRDefault="00BF55AB" w:rsidP="00552567">
      <w:pPr>
        <w:bidi/>
        <w:jc w:val="both"/>
      </w:pPr>
      <w:proofErr w:type="spellStart"/>
      <w:r>
        <w:rPr>
          <w:b/>
          <w:sz w:val="26"/>
        </w:rPr>
        <w:t>ر</w:t>
      </w:r>
      <w:r>
        <w:rPr>
          <w:b/>
          <w:sz w:val="26"/>
        </w:rPr>
        <w:t>ابعًا</w:t>
      </w:r>
      <w:proofErr w:type="spellEnd"/>
      <w:r>
        <w:rPr>
          <w:b/>
          <w:sz w:val="26"/>
        </w:rPr>
        <w:t xml:space="preserve">: </w:t>
      </w:r>
      <w:proofErr w:type="spellStart"/>
      <w:r>
        <w:rPr>
          <w:b/>
          <w:sz w:val="26"/>
        </w:rPr>
        <w:t>الخلاصة</w:t>
      </w:r>
      <w:proofErr w:type="spellEnd"/>
      <w:r>
        <w:rPr>
          <w:b/>
          <w:sz w:val="26"/>
        </w:rPr>
        <w:t xml:space="preserve"> </w:t>
      </w:r>
      <w:proofErr w:type="spellStart"/>
      <w:r>
        <w:rPr>
          <w:b/>
          <w:sz w:val="26"/>
        </w:rPr>
        <w:t>التقويمية</w:t>
      </w:r>
      <w:proofErr w:type="spellEnd"/>
    </w:p>
    <w:p w14:paraId="2E5A370E" w14:textId="3FF478EF" w:rsidR="003959C6" w:rsidRDefault="0054066B" w:rsidP="0054066B">
      <w:pPr>
        <w:bidi/>
        <w:jc w:val="both"/>
      </w:pPr>
      <w:r w:rsidRPr="0054066B">
        <w:rPr>
          <w:rFonts w:cs="Arial"/>
          <w:rtl/>
        </w:rPr>
        <w:t xml:space="preserve">استنادًا إلى المقارنة بين التقرير النهائي السابق والنسخة الحالية المعدلة، يتبين أن الطالب نجح في معالجة جانب معتبر من الملاحظات الجوهرية السابقة، وأن الفصل أصبح أكثر نضجًا من حيث التمهيد، والإطار النظري، وخريطة العرض، وضبط المتغيرات. إلا أن بعض العناصر ما تزال بحاجة إلى صقل نهائي حتى يكتمل الفصل على نحو أكثر إحكامًا، وخاصة في جانب التكامل النظري، ومنطق المراجعة المنهجية، والتوليف المقارن للدراسات السابقة. وعليه، أوصي باعتماد </w:t>
      </w:r>
      <w:r w:rsidR="00DD3176" w:rsidRPr="0054066B">
        <w:rPr>
          <w:rFonts w:cs="Arial" w:hint="cs"/>
          <w:rtl/>
        </w:rPr>
        <w:t>الفصل وعمل</w:t>
      </w:r>
      <w:r w:rsidRPr="0054066B">
        <w:rPr>
          <w:rFonts w:cs="Arial"/>
          <w:rtl/>
        </w:rPr>
        <w:t xml:space="preserve"> التعديلات البسيطة المشار إليها أعلاه.</w:t>
      </w:r>
    </w:p>
    <w:sectPr w:rsidR="003959C6"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6A56B9"/>
    <w:multiLevelType w:val="hybridMultilevel"/>
    <w:tmpl w:val="590EF8A0"/>
    <w:lvl w:ilvl="0" w:tplc="47725858">
      <w:numFmt w:val="bullet"/>
      <w:lvlText w:val="•"/>
      <w:lvlJc w:val="left"/>
      <w:pPr>
        <w:ind w:left="1440" w:hanging="72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0A10287A"/>
    <w:multiLevelType w:val="hybridMultilevel"/>
    <w:tmpl w:val="101E93B8"/>
    <w:lvl w:ilvl="0" w:tplc="4F9A3962">
      <w:numFmt w:val="bullet"/>
      <w:lvlText w:val="•"/>
      <w:lvlJc w:val="left"/>
      <w:pPr>
        <w:ind w:left="3510" w:hanging="279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1870960"/>
    <w:multiLevelType w:val="hybridMultilevel"/>
    <w:tmpl w:val="82E03522"/>
    <w:lvl w:ilvl="0" w:tplc="47725858">
      <w:numFmt w:val="bullet"/>
      <w:lvlText w:val="•"/>
      <w:lvlJc w:val="left"/>
      <w:pPr>
        <w:ind w:left="1080" w:hanging="72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8E1A7D"/>
    <w:multiLevelType w:val="hybridMultilevel"/>
    <w:tmpl w:val="EF8A1E3A"/>
    <w:lvl w:ilvl="0" w:tplc="4F9A3962">
      <w:numFmt w:val="bullet"/>
      <w:lvlText w:val="•"/>
      <w:lvlJc w:val="left"/>
      <w:pPr>
        <w:ind w:left="3150" w:hanging="279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A80EB4"/>
    <w:multiLevelType w:val="hybridMultilevel"/>
    <w:tmpl w:val="A760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100953"/>
    <w:multiLevelType w:val="hybridMultilevel"/>
    <w:tmpl w:val="B37E94E6"/>
    <w:lvl w:ilvl="0" w:tplc="4F9A3962">
      <w:numFmt w:val="bullet"/>
      <w:lvlText w:val="•"/>
      <w:lvlJc w:val="left"/>
      <w:pPr>
        <w:ind w:left="3150" w:hanging="279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688785">
    <w:abstractNumId w:val="8"/>
  </w:num>
  <w:num w:numId="2" w16cid:durableId="1814980842">
    <w:abstractNumId w:val="6"/>
  </w:num>
  <w:num w:numId="3" w16cid:durableId="2013681770">
    <w:abstractNumId w:val="5"/>
  </w:num>
  <w:num w:numId="4" w16cid:durableId="728267825">
    <w:abstractNumId w:val="4"/>
  </w:num>
  <w:num w:numId="5" w16cid:durableId="490752197">
    <w:abstractNumId w:val="7"/>
  </w:num>
  <w:num w:numId="6" w16cid:durableId="114914205">
    <w:abstractNumId w:val="3"/>
  </w:num>
  <w:num w:numId="7" w16cid:durableId="939802695">
    <w:abstractNumId w:val="2"/>
  </w:num>
  <w:num w:numId="8" w16cid:durableId="1012998918">
    <w:abstractNumId w:val="1"/>
  </w:num>
  <w:num w:numId="9" w16cid:durableId="1388994483">
    <w:abstractNumId w:val="0"/>
  </w:num>
  <w:num w:numId="10" w16cid:durableId="1336568419">
    <w:abstractNumId w:val="13"/>
  </w:num>
  <w:num w:numId="11" w16cid:durableId="1388844674">
    <w:abstractNumId w:val="12"/>
  </w:num>
  <w:num w:numId="12" w16cid:durableId="1754665060">
    <w:abstractNumId w:val="10"/>
  </w:num>
  <w:num w:numId="13" w16cid:durableId="1975478204">
    <w:abstractNumId w:val="14"/>
  </w:num>
  <w:num w:numId="14" w16cid:durableId="1795974795">
    <w:abstractNumId w:val="11"/>
  </w:num>
  <w:num w:numId="15" w16cid:durableId="11291249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AwMTM0NbW0MDQ1sjRT0lEKTi0uzszPAykwrAUAj2HDZywAAAA="/>
  </w:docVars>
  <w:rsids>
    <w:rsidRoot w:val="00B47730"/>
    <w:rsid w:val="00034616"/>
    <w:rsid w:val="0006063C"/>
    <w:rsid w:val="000F0F80"/>
    <w:rsid w:val="0015074B"/>
    <w:rsid w:val="0029639D"/>
    <w:rsid w:val="00326F90"/>
    <w:rsid w:val="003959C6"/>
    <w:rsid w:val="0054066B"/>
    <w:rsid w:val="00552567"/>
    <w:rsid w:val="00AA1D8D"/>
    <w:rsid w:val="00B47730"/>
    <w:rsid w:val="00BF55AB"/>
    <w:rsid w:val="00CB0664"/>
    <w:rsid w:val="00DB54FB"/>
    <w:rsid w:val="00DD317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AE7DE0"/>
  <w14:defaultImageDpi w14:val="300"/>
  <w15:docId w15:val="{F03EDB8C-A804-440F-B6D0-405730006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543</Words>
  <Characters>3101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3</cp:revision>
  <dcterms:created xsi:type="dcterms:W3CDTF">2026-04-16T20:51:00Z</dcterms:created>
  <dcterms:modified xsi:type="dcterms:W3CDTF">2026-04-16T20:54:00Z</dcterms:modified>
  <cp:category/>
</cp:coreProperties>
</file>